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F461F4">
      <w:pPr>
        <w:spacing w:line="360" w:lineRule="auto"/>
        <w:ind w:left="660"/>
        <w:rPr>
          <w:rFonts w:hint="default" w:asciiTheme="minorEastAsia" w:hAnsiTheme="minorEastAsia" w:eastAsiaTheme="minorEastAsia"/>
          <w:bCs/>
          <w:color w:val="auto"/>
          <w:sz w:val="30"/>
          <w:highlight w:val="none"/>
          <w:lang w:val="en-US" w:eastAsia="zh-CN"/>
        </w:rPr>
      </w:pPr>
      <w:r>
        <w:rPr>
          <w:rFonts w:hint="eastAsia" w:asciiTheme="minorEastAsia" w:hAnsiTheme="minorEastAsia"/>
          <w:bCs/>
          <w:color w:val="auto"/>
          <w:sz w:val="30"/>
          <w:highlight w:val="none"/>
          <w:lang w:val="en-US" w:eastAsia="zh-CN"/>
        </w:rPr>
        <w:t xml:space="preserve">                                               </w:t>
      </w:r>
    </w:p>
    <w:p w14:paraId="796EBFAB">
      <w:pPr>
        <w:spacing w:line="360" w:lineRule="auto"/>
        <w:ind w:left="660"/>
        <w:rPr>
          <w:rFonts w:asciiTheme="minorEastAsia" w:hAnsiTheme="minorEastAsia"/>
          <w:bCs/>
          <w:color w:val="auto"/>
          <w:sz w:val="30"/>
          <w:highlight w:val="none"/>
        </w:rPr>
      </w:pPr>
    </w:p>
    <w:p w14:paraId="7807C3AF">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6378CC55">
      <w:pPr>
        <w:spacing w:line="360" w:lineRule="auto"/>
        <w:jc w:val="center"/>
        <w:rPr>
          <w:rFonts w:asciiTheme="minorEastAsia" w:hAnsiTheme="minorEastAsia"/>
          <w:b/>
          <w:bCs/>
          <w:color w:val="auto"/>
          <w:sz w:val="30"/>
          <w:highlight w:val="none"/>
        </w:rPr>
      </w:pPr>
      <w:r>
        <w:rPr>
          <w:rFonts w:hint="eastAsia" w:asciiTheme="minorEastAsia" w:hAnsiTheme="minorEastAsia"/>
          <w:b/>
          <w:bCs/>
          <w:color w:val="auto"/>
          <w:sz w:val="30"/>
          <w:highlight w:val="none"/>
        </w:rPr>
        <w:t>（全流程电子化）</w:t>
      </w:r>
    </w:p>
    <w:p w14:paraId="5CC2E3C7">
      <w:pPr>
        <w:spacing w:line="360" w:lineRule="auto"/>
        <w:rPr>
          <w:rFonts w:asciiTheme="minorEastAsia" w:hAnsiTheme="minorEastAsia"/>
          <w:b/>
          <w:bCs/>
          <w:color w:val="auto"/>
          <w:sz w:val="30"/>
          <w:highlight w:val="none"/>
        </w:rPr>
      </w:pPr>
    </w:p>
    <w:p w14:paraId="4D153E1B">
      <w:pPr>
        <w:spacing w:line="360" w:lineRule="auto"/>
        <w:rPr>
          <w:rFonts w:asciiTheme="minorEastAsia" w:hAnsiTheme="minorEastAsia"/>
          <w:b/>
          <w:bCs/>
          <w:color w:val="auto"/>
          <w:sz w:val="30"/>
          <w:highlight w:val="none"/>
        </w:rPr>
      </w:pPr>
    </w:p>
    <w:p w14:paraId="79430BF6">
      <w:pPr>
        <w:spacing w:line="360" w:lineRule="auto"/>
        <w:rPr>
          <w:rFonts w:asciiTheme="minorEastAsia" w:hAnsiTheme="minorEastAsia"/>
          <w:b/>
          <w:bCs/>
          <w:color w:val="auto"/>
          <w:sz w:val="30"/>
          <w:highlight w:val="none"/>
        </w:rPr>
      </w:pPr>
    </w:p>
    <w:p w14:paraId="0DD202D8">
      <w:pPr>
        <w:spacing w:line="360" w:lineRule="auto"/>
        <w:jc w:val="center"/>
        <w:rPr>
          <w:rFonts w:asciiTheme="minorEastAsia" w:hAnsiTheme="minorEastAsia"/>
          <w:b/>
          <w:bCs/>
          <w:color w:val="auto"/>
          <w:spacing w:val="20"/>
          <w:sz w:val="52"/>
          <w:szCs w:val="52"/>
          <w:highlight w:val="none"/>
        </w:rPr>
      </w:pPr>
      <w:r>
        <w:rPr>
          <w:rFonts w:hint="eastAsia" w:asciiTheme="minorEastAsia" w:hAnsiTheme="minorEastAsia"/>
          <w:b/>
          <w:bCs/>
          <w:color w:val="auto"/>
          <w:spacing w:val="20"/>
          <w:sz w:val="52"/>
          <w:szCs w:val="52"/>
          <w:highlight w:val="none"/>
        </w:rPr>
        <w:t>公开</w:t>
      </w:r>
      <w:r>
        <w:rPr>
          <w:rFonts w:asciiTheme="minorEastAsia" w:hAnsiTheme="minorEastAsia"/>
          <w:b/>
          <w:color w:val="auto"/>
          <w:highlight w:val="none"/>
        </w:rPr>
        <mc:AlternateContent>
          <mc:Choice Requires="wps">
            <w:drawing>
              <wp:anchor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0" cy="0"/>
                <wp:effectExtent l="0" t="0" r="0" b="0"/>
                <wp:wrapNone/>
                <wp:docPr id="4" name="直接连接符 1"/>
                <wp:cNvGraphicFramePr/>
                <a:graphic xmlns:a="http://schemas.openxmlformats.org/drawingml/2006/main">
                  <a:graphicData uri="http://schemas.microsoft.com/office/word/2010/wordprocessingShape">
                    <wps:wsp>
                      <wps:cNvCnPr/>
                      <wps:spPr bwMode="auto">
                        <a:xfrm>
                          <a:off x="0" y="0"/>
                          <a:ext cx="0" cy="0"/>
                        </a:xfrm>
                        <a:prstGeom prst="line">
                          <a:avLst/>
                        </a:prstGeom>
                        <a:solidFill>
                          <a:srgbClr val="FFFFFF"/>
                        </a:solidFill>
                        <a:ln>
                          <a:solidFill>
                            <a:srgbClr val="000000"/>
                          </a:solidFill>
                        </a:ln>
                      </wps:spPr>
                      <wps:bodyPr rot="0">
                        <a:noAutofit/>
                      </wps:bodyPr>
                    </wps:wsp>
                  </a:graphicData>
                </a:graphic>
              </wp:anchor>
            </w:drawing>
          </mc:Choice>
          <mc:Fallback>
            <w:pict>
              <v:line id="直接连接符 1" o:spid="_x0000_s1026" o:spt="20" style="position:absolute;left:0pt;margin-left:-8.95pt;margin-top:15.6pt;height:0pt;width:0pt;z-index:251661312;mso-width-relative:page;mso-height-relative:page;" fillcolor="#FFFFFF" filled="t" stroked="t" coordsize="21600,21600" o:allowincell="f" o:gfxdata="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qViGa1AAAAAkBAAAPAAAAAAAAAAEAIAAAACIAAABkcnMvZG93bnJl&#10;di54bWxQSwECFAAUAAAACACHTuJAl29iOMgBAACqAwAADgAAAAAAAAABACAAAAAjAQAAZHJzL2Uy&#10;b0RvYy54bWxQSwUGAAAAAAYABgBZAQAAXQUAAAAA&#10;">
                <v:fill on="t" focussize="0,0"/>
                <v:stroke color="#000000" joinstyle="round"/>
                <v:imagedata o:title=""/>
                <o:lock v:ext="edit" aspectratio="f"/>
              </v:line>
            </w:pict>
          </mc:Fallback>
        </mc:AlternateContent>
      </w:r>
      <w:r>
        <w:rPr>
          <w:rFonts w:hint="eastAsia" w:asciiTheme="minorEastAsia" w:hAnsiTheme="minorEastAsia"/>
          <w:b/>
          <w:bCs/>
          <w:color w:val="auto"/>
          <w:spacing w:val="20"/>
          <w:sz w:val="52"/>
          <w:szCs w:val="52"/>
          <w:highlight w:val="none"/>
        </w:rPr>
        <w:t>招标文件</w:t>
      </w:r>
    </w:p>
    <w:p w14:paraId="1BE7E092">
      <w:pPr>
        <w:spacing w:line="360" w:lineRule="auto"/>
        <w:rPr>
          <w:rFonts w:asciiTheme="minorEastAsia" w:hAnsiTheme="minorEastAsia"/>
          <w:b/>
          <w:bCs/>
          <w:color w:val="auto"/>
          <w:sz w:val="30"/>
          <w:highlight w:val="none"/>
        </w:rPr>
      </w:pPr>
    </w:p>
    <w:p w14:paraId="5ECAE4CC">
      <w:pPr>
        <w:spacing w:line="360" w:lineRule="auto"/>
        <w:rPr>
          <w:rFonts w:asciiTheme="minorEastAsia" w:hAnsiTheme="minorEastAsia"/>
          <w:b/>
          <w:bCs/>
          <w:color w:val="auto"/>
          <w:sz w:val="30"/>
          <w:highlight w:val="none"/>
        </w:rPr>
      </w:pPr>
    </w:p>
    <w:p w14:paraId="40644FC8">
      <w:pPr>
        <w:spacing w:line="360" w:lineRule="auto"/>
        <w:rPr>
          <w:rFonts w:asciiTheme="minorEastAsia" w:hAnsiTheme="minorEastAsia"/>
          <w:b/>
          <w:bCs/>
          <w:color w:val="auto"/>
          <w:sz w:val="30"/>
          <w:highlight w:val="none"/>
        </w:rPr>
      </w:pPr>
    </w:p>
    <w:p w14:paraId="662938F3">
      <w:pPr>
        <w:spacing w:line="360" w:lineRule="auto"/>
        <w:rPr>
          <w:rFonts w:asciiTheme="minorEastAsia" w:hAnsiTheme="minorEastAsia"/>
          <w:b/>
          <w:bCs/>
          <w:color w:val="auto"/>
          <w:sz w:val="30"/>
          <w:highlight w:val="none"/>
        </w:rPr>
      </w:pPr>
    </w:p>
    <w:p w14:paraId="33493174">
      <w:pPr>
        <w:spacing w:line="360" w:lineRule="auto"/>
        <w:ind w:firstLine="1500"/>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采购项目编号：JSZC-320211-ZQYY-G2025-0006</w:t>
      </w:r>
    </w:p>
    <w:p w14:paraId="7D6C78C1">
      <w:pPr>
        <w:spacing w:line="360" w:lineRule="auto"/>
        <w:ind w:firstLine="1500"/>
        <w:rPr>
          <w:rFonts w:hint="eastAsia" w:asciiTheme="minorEastAsia" w:hAnsiTheme="minorEastAsia" w:eastAsiaTheme="minorEastAsia"/>
          <w:bCs/>
          <w:color w:val="auto"/>
          <w:sz w:val="30"/>
          <w:szCs w:val="30"/>
          <w:highlight w:val="none"/>
          <w:lang w:eastAsia="zh-CN"/>
        </w:rPr>
      </w:pPr>
      <w:r>
        <w:rPr>
          <w:rFonts w:hint="eastAsia" w:asciiTheme="minorEastAsia" w:hAnsiTheme="minorEastAsia"/>
          <w:bCs/>
          <w:color w:val="auto"/>
          <w:sz w:val="30"/>
          <w:szCs w:val="30"/>
          <w:highlight w:val="none"/>
        </w:rPr>
        <w:t>采购项目名称：</w:t>
      </w:r>
      <w:r>
        <w:rPr>
          <w:rFonts w:hint="eastAsia" w:ascii="宋体" w:hAnsi="宋体" w:cs="宋体"/>
          <w:bCs/>
          <w:color w:val="auto"/>
          <w:sz w:val="30"/>
          <w:szCs w:val="30"/>
          <w:highlight w:val="none"/>
          <w:lang w:eastAsia="zh-CN"/>
        </w:rPr>
        <w:t>梅梁路与陆马公路交叉口地下水处置项目</w:t>
      </w:r>
    </w:p>
    <w:p w14:paraId="70AC9F1C">
      <w:pPr>
        <w:spacing w:line="360" w:lineRule="auto"/>
        <w:ind w:firstLine="1500"/>
        <w:rPr>
          <w:rFonts w:asciiTheme="minorEastAsia" w:hAnsiTheme="minorEastAsia"/>
          <w:bCs/>
          <w:color w:val="auto"/>
          <w:sz w:val="30"/>
          <w:szCs w:val="30"/>
          <w:highlight w:val="none"/>
        </w:rPr>
      </w:pPr>
      <w:r>
        <w:rPr>
          <w:rFonts w:hint="eastAsia" w:ascii="宋体" w:hAnsi="宋体" w:cs="宋体"/>
          <w:bCs/>
          <w:color w:val="auto"/>
          <w:sz w:val="30"/>
          <w:szCs w:val="30"/>
          <w:highlight w:val="none"/>
        </w:rPr>
        <w:t>采   购   人：</w:t>
      </w:r>
      <w:r>
        <w:rPr>
          <w:rFonts w:hint="eastAsia" w:eastAsia="宋体" w:asciiTheme="minorEastAsia" w:hAnsiTheme="minorEastAsia"/>
          <w:bCs/>
          <w:color w:val="auto"/>
          <w:sz w:val="30"/>
          <w:szCs w:val="30"/>
          <w:highlight w:val="none"/>
          <w:lang w:eastAsia="zh-CN"/>
        </w:rPr>
        <w:t>无锡市滨湖区马山街道办事处</w:t>
      </w:r>
      <w:r>
        <w:rPr>
          <w:rFonts w:hint="eastAsia" w:eastAsia="宋体" w:asciiTheme="minorEastAsia" w:hAnsiTheme="minorEastAsia"/>
          <w:bCs/>
          <w:color w:val="auto"/>
          <w:sz w:val="30"/>
          <w:szCs w:val="30"/>
          <w:highlight w:val="none"/>
        </w:rPr>
        <w:t xml:space="preserve"> </w:t>
      </w:r>
    </w:p>
    <w:p w14:paraId="74F6E0C3">
      <w:pPr>
        <w:spacing w:line="360" w:lineRule="auto"/>
        <w:ind w:firstLine="1500"/>
        <w:rPr>
          <w:rFonts w:hint="eastAsia" w:eastAsia="宋体" w:asciiTheme="minorEastAsia" w:hAnsiTheme="minorEastAsia"/>
          <w:bCs/>
          <w:color w:val="auto"/>
          <w:sz w:val="30"/>
          <w:szCs w:val="30"/>
          <w:highlight w:val="none"/>
          <w:lang w:eastAsia="zh-CN"/>
        </w:rPr>
      </w:pPr>
      <w:r>
        <w:rPr>
          <w:rFonts w:hint="eastAsia" w:eastAsia="宋体" w:asciiTheme="minorEastAsia" w:hAnsiTheme="minorEastAsia"/>
          <w:bCs/>
          <w:color w:val="auto"/>
          <w:sz w:val="30"/>
          <w:szCs w:val="30"/>
          <w:highlight w:val="none"/>
        </w:rPr>
        <w:t>采购代理机构：</w:t>
      </w:r>
      <w:r>
        <w:rPr>
          <w:rFonts w:hint="eastAsia" w:eastAsia="宋体" w:asciiTheme="minorEastAsia" w:hAnsiTheme="minorEastAsia"/>
          <w:bCs/>
          <w:color w:val="auto"/>
          <w:sz w:val="30"/>
          <w:szCs w:val="30"/>
          <w:highlight w:val="none"/>
          <w:lang w:eastAsia="zh-CN"/>
        </w:rPr>
        <w:t>江苏筑祁园工程管理咨询有限公司</w:t>
      </w:r>
    </w:p>
    <w:p w14:paraId="0554B8A9">
      <w:pPr>
        <w:spacing w:line="360" w:lineRule="auto"/>
        <w:rPr>
          <w:rFonts w:asciiTheme="minorEastAsia" w:hAnsiTheme="minorEastAsia"/>
          <w:bCs/>
          <w:color w:val="auto"/>
          <w:sz w:val="32"/>
          <w:highlight w:val="none"/>
        </w:rPr>
      </w:pPr>
    </w:p>
    <w:p w14:paraId="29AE87C5">
      <w:pPr>
        <w:spacing w:line="360" w:lineRule="auto"/>
        <w:rPr>
          <w:rFonts w:asciiTheme="minorEastAsia" w:hAnsiTheme="minorEastAsia"/>
          <w:bCs/>
          <w:color w:val="auto"/>
          <w:sz w:val="30"/>
          <w:highlight w:val="none"/>
        </w:rPr>
      </w:pPr>
    </w:p>
    <w:p w14:paraId="35C6097B">
      <w:pPr>
        <w:spacing w:line="360" w:lineRule="auto"/>
        <w:rPr>
          <w:rFonts w:asciiTheme="minorEastAsia" w:hAnsiTheme="minorEastAsia"/>
          <w:bCs/>
          <w:color w:val="auto"/>
          <w:sz w:val="30"/>
          <w:highlight w:val="none"/>
        </w:rPr>
      </w:pPr>
    </w:p>
    <w:p w14:paraId="2FFCAAF4">
      <w:pPr>
        <w:spacing w:line="360" w:lineRule="auto"/>
        <w:rPr>
          <w:rFonts w:asciiTheme="minorEastAsia" w:hAnsiTheme="minorEastAsia"/>
          <w:bCs/>
          <w:color w:val="auto"/>
          <w:sz w:val="30"/>
          <w:highlight w:val="none"/>
        </w:rPr>
      </w:pPr>
    </w:p>
    <w:p w14:paraId="12E5ADC6">
      <w:pPr>
        <w:spacing w:line="360" w:lineRule="auto"/>
        <w:rPr>
          <w:rFonts w:asciiTheme="minorEastAsia" w:hAnsiTheme="minorEastAsia"/>
          <w:bCs/>
          <w:color w:val="auto"/>
          <w:sz w:val="30"/>
          <w:highlight w:val="none"/>
        </w:rPr>
      </w:pPr>
    </w:p>
    <w:p w14:paraId="6FAE79A5">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w:t>
      </w:r>
      <w:r>
        <w:rPr>
          <w:rFonts w:hint="eastAsia" w:ascii="宋体" w:hAnsi="宋体" w:eastAsia="宋体" w:cs="宋体"/>
          <w:bCs/>
          <w:color w:val="auto"/>
          <w:sz w:val="44"/>
          <w:szCs w:val="44"/>
          <w:highlight w:val="none"/>
          <w:lang w:eastAsia="zh-CN"/>
        </w:rPr>
        <w:t>〇</w:t>
      </w:r>
      <w:r>
        <w:rPr>
          <w:rFonts w:hint="eastAsia" w:ascii="宋体" w:hAnsi="宋体" w:eastAsia="宋体" w:cs="宋体"/>
          <w:bCs/>
          <w:color w:val="auto"/>
          <w:sz w:val="44"/>
          <w:szCs w:val="44"/>
          <w:highlight w:val="none"/>
        </w:rPr>
        <w:t>二五年</w:t>
      </w:r>
      <w:r>
        <w:rPr>
          <w:rFonts w:hint="eastAsia" w:ascii="宋体" w:hAnsi="宋体" w:eastAsia="宋体" w:cs="宋体"/>
          <w:bCs/>
          <w:color w:val="auto"/>
          <w:sz w:val="44"/>
          <w:szCs w:val="44"/>
          <w:highlight w:val="none"/>
          <w:lang w:eastAsia="zh-CN"/>
        </w:rPr>
        <w:t>十一</w:t>
      </w:r>
      <w:r>
        <w:rPr>
          <w:rFonts w:hint="eastAsia" w:ascii="宋体" w:hAnsi="宋体" w:eastAsia="宋体" w:cs="宋体"/>
          <w:bCs/>
          <w:color w:val="auto"/>
          <w:sz w:val="44"/>
          <w:szCs w:val="44"/>
          <w:highlight w:val="none"/>
        </w:rPr>
        <w:t>月</w:t>
      </w:r>
    </w:p>
    <w:p w14:paraId="41047044">
      <w:pPr>
        <w:spacing w:line="360" w:lineRule="auto"/>
        <w:jc w:val="both"/>
        <w:rPr>
          <w:rStyle w:val="52"/>
          <w:rFonts w:asciiTheme="minorEastAsia" w:hAnsiTheme="minorEastAsia"/>
          <w:bCs/>
          <w:color w:val="auto"/>
          <w:sz w:val="48"/>
          <w:highlight w:val="none"/>
          <w:u w:val="none"/>
        </w:rPr>
      </w:pPr>
    </w:p>
    <w:p w14:paraId="557080AD">
      <w:pPr>
        <w:spacing w:line="360" w:lineRule="auto"/>
        <w:jc w:val="center"/>
        <w:rPr>
          <w:rStyle w:val="52"/>
          <w:rFonts w:asciiTheme="minorEastAsia" w:hAnsiTheme="minorEastAsia"/>
          <w:bCs/>
          <w:color w:val="auto"/>
          <w:sz w:val="48"/>
          <w:highlight w:val="none"/>
          <w:u w:val="none"/>
        </w:rPr>
        <w:sectPr>
          <w:headerReference r:id="rId3" w:type="first"/>
          <w:footerReference r:id="rId5" w:type="first"/>
          <w:footerReference r:id="rId4" w:type="even"/>
          <w:pgSz w:w="11906" w:h="16838"/>
          <w:pgMar w:top="850" w:right="851" w:bottom="850" w:left="1134" w:header="624" w:footer="907" w:gutter="0"/>
          <w:pgNumType w:start="0"/>
          <w:cols w:space="425" w:num="1"/>
          <w:titlePg/>
          <w:docGrid w:linePitch="360" w:charSpace="0"/>
        </w:sectPr>
      </w:pPr>
    </w:p>
    <w:p w14:paraId="38EBD276">
      <w:pPr>
        <w:spacing w:line="360" w:lineRule="auto"/>
        <w:rPr>
          <w:rStyle w:val="52"/>
          <w:rFonts w:asciiTheme="minorEastAsia" w:hAnsiTheme="minorEastAsia"/>
          <w:bCs/>
          <w:color w:val="auto"/>
          <w:sz w:val="48"/>
          <w:highlight w:val="none"/>
          <w:u w:val="none"/>
        </w:rPr>
      </w:pPr>
    </w:p>
    <w:p w14:paraId="4AC8BBDD">
      <w:pPr>
        <w:pStyle w:val="416"/>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572DD8B">
      <w:pPr>
        <w:spacing w:line="360" w:lineRule="auto"/>
        <w:jc w:val="center"/>
        <w:outlineLvl w:val="0"/>
        <w:rPr>
          <w:rFonts w:ascii="黑体" w:hAnsi="Arial" w:eastAsia="黑体"/>
          <w:color w:val="auto"/>
          <w:sz w:val="44"/>
          <w:highlight w:val="none"/>
        </w:rPr>
      </w:pPr>
    </w:p>
    <w:p w14:paraId="275FA369">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2DDC8175">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5879514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96C9E4F">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3CAB4A6C">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25B4F824">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77AC6196">
      <w:pPr>
        <w:spacing w:line="360" w:lineRule="auto"/>
        <w:rPr>
          <w:rFonts w:asciiTheme="minorEastAsia" w:hAnsiTheme="minorEastAsia"/>
          <w:bCs/>
          <w:color w:val="auto"/>
          <w:sz w:val="28"/>
          <w:szCs w:val="28"/>
          <w:highlight w:val="none"/>
        </w:rPr>
      </w:pPr>
    </w:p>
    <w:p w14:paraId="36C91E5E">
      <w:pPr>
        <w:spacing w:line="360" w:lineRule="auto"/>
        <w:rPr>
          <w:rFonts w:asciiTheme="minorEastAsia" w:hAnsiTheme="minorEastAsia"/>
          <w:bCs/>
          <w:color w:val="auto"/>
          <w:sz w:val="32"/>
          <w:highlight w:val="none"/>
        </w:rPr>
      </w:pPr>
    </w:p>
    <w:p w14:paraId="60AFCC16">
      <w:pPr>
        <w:spacing w:line="360" w:lineRule="auto"/>
        <w:rPr>
          <w:rFonts w:asciiTheme="minorEastAsia" w:hAnsiTheme="minorEastAsia"/>
          <w:bCs/>
          <w:color w:val="auto"/>
          <w:sz w:val="32"/>
          <w:highlight w:val="none"/>
        </w:rPr>
      </w:pPr>
    </w:p>
    <w:p w14:paraId="58EB04F8">
      <w:pPr>
        <w:spacing w:line="360" w:lineRule="auto"/>
        <w:rPr>
          <w:rFonts w:asciiTheme="minorEastAsia" w:hAnsiTheme="minorEastAsia"/>
          <w:bCs/>
          <w:color w:val="auto"/>
          <w:sz w:val="32"/>
          <w:highlight w:val="none"/>
        </w:rPr>
      </w:pPr>
    </w:p>
    <w:p w14:paraId="737DCCE9">
      <w:pPr>
        <w:spacing w:line="360" w:lineRule="auto"/>
        <w:rPr>
          <w:rFonts w:eastAsia="宋体" w:asciiTheme="minorEastAsia" w:hAnsiTheme="minorEastAsia"/>
          <w:bCs/>
          <w:color w:val="auto"/>
          <w:sz w:val="32"/>
          <w:highlight w:val="none"/>
        </w:rPr>
      </w:pPr>
      <w:r>
        <w:rPr>
          <w:rFonts w:hint="eastAsia" w:eastAsia="宋体" w:asciiTheme="minorEastAsia" w:hAnsiTheme="minorEastAsia"/>
          <w:bCs/>
          <w:color w:val="auto"/>
          <w:sz w:val="32"/>
          <w:highlight w:val="none"/>
        </w:rPr>
        <w:t xml:space="preserve">  </w:t>
      </w:r>
    </w:p>
    <w:p w14:paraId="0D2B8003">
      <w:pPr>
        <w:spacing w:line="360" w:lineRule="auto"/>
        <w:rPr>
          <w:rFonts w:asciiTheme="minorEastAsia" w:hAnsiTheme="minorEastAsia"/>
          <w:color w:val="auto"/>
          <w:sz w:val="32"/>
          <w:szCs w:val="32"/>
          <w:highlight w:val="none"/>
        </w:rPr>
      </w:pPr>
    </w:p>
    <w:p w14:paraId="7AE6B4E4">
      <w:pPr>
        <w:spacing w:line="360" w:lineRule="auto"/>
        <w:rPr>
          <w:rFonts w:asciiTheme="minorEastAsia" w:hAnsiTheme="minorEastAsia"/>
          <w:color w:val="auto"/>
          <w:sz w:val="32"/>
          <w:szCs w:val="32"/>
          <w:highlight w:val="none"/>
        </w:rPr>
      </w:pPr>
    </w:p>
    <w:p w14:paraId="0F57C9DB">
      <w:pPr>
        <w:spacing w:line="360" w:lineRule="auto"/>
        <w:rPr>
          <w:rFonts w:asciiTheme="minorEastAsia" w:hAnsiTheme="minorEastAsia"/>
          <w:bCs/>
          <w:color w:val="auto"/>
          <w:sz w:val="32"/>
          <w:highlight w:val="none"/>
        </w:rPr>
      </w:pPr>
    </w:p>
    <w:p w14:paraId="368D0280">
      <w:pPr>
        <w:spacing w:line="360" w:lineRule="auto"/>
        <w:rPr>
          <w:rFonts w:asciiTheme="minorEastAsia" w:hAnsiTheme="minorEastAsia"/>
          <w:bCs/>
          <w:color w:val="auto"/>
          <w:sz w:val="32"/>
          <w:highlight w:val="none"/>
        </w:rPr>
      </w:pPr>
    </w:p>
    <w:p w14:paraId="29A5FA64">
      <w:pPr>
        <w:pStyle w:val="32"/>
        <w:spacing w:line="360" w:lineRule="auto"/>
        <w:ind w:firstLine="0"/>
        <w:jc w:val="both"/>
        <w:rPr>
          <w:rFonts w:asciiTheme="minorEastAsia" w:hAnsiTheme="minorEastAsia"/>
          <w:color w:val="auto"/>
          <w:highlight w:val="none"/>
        </w:rPr>
      </w:pPr>
      <w:bookmarkStart w:id="0" w:name="报价方须知前附表"/>
      <w:bookmarkEnd w:id="0"/>
    </w:p>
    <w:p w14:paraId="33AFF1C1">
      <w:pPr>
        <w:spacing w:line="360" w:lineRule="auto"/>
        <w:jc w:val="center"/>
        <w:rPr>
          <w:rFonts w:asciiTheme="minorEastAsia" w:hAnsiTheme="minorEastAsia"/>
          <w:b/>
          <w:bCs/>
          <w:color w:val="auto"/>
          <w:sz w:val="28"/>
          <w:szCs w:val="28"/>
          <w:highlight w:val="none"/>
        </w:rPr>
      </w:pPr>
    </w:p>
    <w:p w14:paraId="4DF60CCA">
      <w:pPr>
        <w:spacing w:line="360" w:lineRule="auto"/>
        <w:jc w:val="center"/>
        <w:rPr>
          <w:rFonts w:ascii="黑体" w:hAnsi="黑体" w:eastAsia="黑体" w:cs="黑体"/>
          <w:color w:val="auto"/>
          <w:sz w:val="36"/>
          <w:szCs w:val="36"/>
          <w:highlight w:val="none"/>
        </w:rPr>
        <w:sectPr>
          <w:footerReference r:id="rId7" w:type="first"/>
          <w:footerReference r:id="rId6" w:type="default"/>
          <w:pgSz w:w="11906" w:h="16838"/>
          <w:pgMar w:top="850" w:right="851" w:bottom="850" w:left="1134" w:header="624" w:footer="907" w:gutter="0"/>
          <w:pgNumType w:start="0"/>
          <w:cols w:space="425" w:num="1"/>
          <w:titlePg/>
          <w:docGrid w:linePitch="360" w:charSpace="0"/>
        </w:sectPr>
      </w:pPr>
    </w:p>
    <w:p w14:paraId="5B7C5AB8">
      <w:pPr>
        <w:spacing w:line="360" w:lineRule="auto"/>
        <w:jc w:val="center"/>
        <w:rPr>
          <w:rFonts w:asciiTheme="minorEastAsia" w:hAnsiTheme="minorEastAsia"/>
          <w:b/>
          <w:bCs/>
          <w:color w:val="auto"/>
          <w:sz w:val="28"/>
          <w:szCs w:val="28"/>
          <w:highlight w:val="none"/>
        </w:rPr>
      </w:pPr>
      <w:r>
        <w:rPr>
          <w:rFonts w:hint="eastAsia" w:ascii="黑体" w:hAnsi="黑体" w:eastAsia="黑体" w:cs="黑体"/>
          <w:color w:val="auto"/>
          <w:sz w:val="36"/>
          <w:szCs w:val="36"/>
          <w:highlight w:val="none"/>
        </w:rPr>
        <w:t>第一章  投标邀请函</w:t>
      </w:r>
    </w:p>
    <w:p w14:paraId="41268854">
      <w:pPr>
        <w:spacing w:line="360" w:lineRule="auto"/>
        <w:ind w:firstLine="480"/>
        <w:rPr>
          <w:rFonts w:asciiTheme="minorEastAsia" w:hAnsiTheme="minorEastAsia"/>
          <w:bCs/>
          <w:color w:val="auto"/>
          <w:sz w:val="24"/>
          <w:szCs w:val="24"/>
          <w:highlight w:val="none"/>
        </w:rPr>
      </w:pPr>
      <w:r>
        <w:rPr>
          <w:rFonts w:hint="eastAsia" w:eastAsia="宋体" w:asciiTheme="minorEastAsia" w:hAnsiTheme="minorEastAsia"/>
          <w:bCs/>
          <w:color w:val="auto"/>
          <w:sz w:val="24"/>
          <w:szCs w:val="24"/>
          <w:highlight w:val="none"/>
          <w:u w:val="single"/>
          <w:lang w:eastAsia="zh-CN"/>
        </w:rPr>
        <w:t>江苏筑祁园工程管理咨询有限公司</w:t>
      </w:r>
      <w:r>
        <w:rPr>
          <w:rFonts w:hint="eastAsia" w:asciiTheme="minorEastAsia" w:hAnsiTheme="minorEastAsia"/>
          <w:bCs/>
          <w:color w:val="auto"/>
          <w:sz w:val="24"/>
          <w:szCs w:val="24"/>
          <w:highlight w:val="none"/>
        </w:rPr>
        <w:t>受</w:t>
      </w:r>
      <w:r>
        <w:rPr>
          <w:rFonts w:hint="eastAsia" w:eastAsia="宋体" w:asciiTheme="minorEastAsia" w:hAnsiTheme="minorEastAsia"/>
          <w:bCs/>
          <w:color w:val="auto"/>
          <w:sz w:val="24"/>
          <w:highlight w:val="none"/>
          <w:u w:val="single"/>
          <w:lang w:eastAsia="zh-CN"/>
        </w:rPr>
        <w:t>无锡市滨湖区马山街道办事处</w:t>
      </w:r>
      <w:r>
        <w:rPr>
          <w:rFonts w:hint="eastAsia" w:asciiTheme="minorEastAsia" w:hAnsiTheme="minorEastAsia"/>
          <w:bCs/>
          <w:color w:val="auto"/>
          <w:sz w:val="24"/>
          <w:szCs w:val="24"/>
          <w:highlight w:val="none"/>
        </w:rPr>
        <w:t>的委托，对</w:t>
      </w:r>
      <w:r>
        <w:rPr>
          <w:rFonts w:hint="eastAsia" w:eastAsia="宋体" w:asciiTheme="minorEastAsia" w:hAnsiTheme="minorEastAsia"/>
          <w:bCs/>
          <w:color w:val="auto"/>
          <w:sz w:val="24"/>
          <w:highlight w:val="none"/>
          <w:u w:val="single"/>
          <w:lang w:eastAsia="zh-CN"/>
        </w:rPr>
        <w:t>梅梁路与陆马公路交叉口地下水处置项目</w:t>
      </w:r>
      <w:r>
        <w:rPr>
          <w:rFonts w:hint="eastAsia" w:asciiTheme="minorEastAsia" w:hAnsiTheme="minorEastAsia"/>
          <w:bCs/>
          <w:color w:val="auto"/>
          <w:sz w:val="24"/>
          <w:szCs w:val="24"/>
          <w:highlight w:val="none"/>
        </w:rPr>
        <w:t>进行公开招标采购，欢迎符合相关条件的供应商参加投标。</w:t>
      </w:r>
    </w:p>
    <w:p w14:paraId="7998CF42">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6D8A8C6B">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eastAsia="宋体" w:asciiTheme="minorEastAsia" w:hAnsiTheme="minorEastAsia"/>
          <w:bCs/>
          <w:color w:val="auto"/>
          <w:sz w:val="24"/>
          <w:highlight w:val="none"/>
          <w:u w:val="single"/>
          <w:lang w:eastAsia="zh-CN"/>
        </w:rPr>
        <w:t>梅梁路与陆马公路交叉口地下水处置项目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2025年</w:t>
      </w:r>
      <w:r>
        <w:rPr>
          <w:rFonts w:hint="eastAsia" w:ascii="宋体" w:hAnsi="宋体"/>
          <w:b/>
          <w:bCs/>
          <w:color w:val="auto"/>
          <w:sz w:val="24"/>
          <w:szCs w:val="24"/>
          <w:highlight w:val="none"/>
          <w:lang w:val="en-US" w:eastAsia="zh-CN"/>
        </w:rPr>
        <w:t>12</w:t>
      </w:r>
      <w:r>
        <w:rPr>
          <w:rFonts w:hint="eastAsia" w:ascii="宋体" w:hAnsi="宋体"/>
          <w:b/>
          <w:bCs/>
          <w:color w:val="auto"/>
          <w:sz w:val="24"/>
          <w:szCs w:val="24"/>
          <w:highlight w:val="none"/>
        </w:rPr>
        <w:t>月</w:t>
      </w:r>
      <w:r>
        <w:rPr>
          <w:rFonts w:hint="eastAsia" w:ascii="宋体" w:hAnsi="宋体"/>
          <w:b/>
          <w:bCs/>
          <w:color w:val="auto"/>
          <w:sz w:val="24"/>
          <w:szCs w:val="24"/>
          <w:highlight w:val="none"/>
          <w:lang w:val="en-US" w:eastAsia="zh-CN"/>
        </w:rPr>
        <w:t>18</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09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30</w:t>
      </w:r>
      <w:r>
        <w:rPr>
          <w:rFonts w:hint="eastAsia" w:ascii="宋体" w:hAnsi="宋体"/>
          <w:b/>
          <w:bCs/>
          <w:color w:val="auto"/>
          <w:sz w:val="24"/>
          <w:szCs w:val="24"/>
          <w:highlight w:val="none"/>
        </w:rPr>
        <w:t>分</w:t>
      </w:r>
      <w:r>
        <w:rPr>
          <w:rFonts w:hint="eastAsia" w:ascii="宋体" w:hAnsi="宋体"/>
          <w:color w:val="auto"/>
          <w:sz w:val="24"/>
          <w:szCs w:val="24"/>
          <w:highlight w:val="none"/>
        </w:rPr>
        <w:t>（</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F1E0ABC">
      <w:pPr>
        <w:spacing w:line="360" w:lineRule="auto"/>
        <w:ind w:firstLine="241"/>
        <w:rPr>
          <w:rFonts w:asciiTheme="minorEastAsia" w:hAnsiTheme="minorEastAsia"/>
          <w:b/>
          <w:bCs/>
          <w:color w:val="auto"/>
          <w:sz w:val="24"/>
          <w:szCs w:val="24"/>
          <w:highlight w:val="none"/>
        </w:rPr>
      </w:pPr>
      <w:r>
        <w:rPr>
          <w:rFonts w:hint="eastAsia" w:asciiTheme="minorEastAsia" w:hAnsiTheme="minorEastAsia"/>
          <w:b/>
          <w:bCs/>
          <w:color w:val="auto"/>
          <w:sz w:val="24"/>
          <w:szCs w:val="24"/>
          <w:highlight w:val="none"/>
        </w:rPr>
        <w:t>（一）</w:t>
      </w:r>
      <w:r>
        <w:rPr>
          <w:rFonts w:hint="eastAsia" w:cs="宋体" w:asciiTheme="minorEastAsia" w:hAnsiTheme="minorEastAsia"/>
          <w:b/>
          <w:color w:val="auto"/>
          <w:sz w:val="24"/>
          <w:szCs w:val="24"/>
          <w:highlight w:val="none"/>
        </w:rPr>
        <w:t>招标项目信息</w:t>
      </w:r>
    </w:p>
    <w:p w14:paraId="3A473F7A">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1.项目编号：JSZC-320211-ZQYY-G2025-0006</w:t>
      </w:r>
    </w:p>
    <w:p w14:paraId="50460C99">
      <w:pPr>
        <w:widowControl/>
        <w:shd w:val="clear" w:color="auto" w:fill="FFFFFF"/>
        <w:spacing w:line="360" w:lineRule="auto"/>
        <w:ind w:firstLine="480"/>
        <w:jc w:val="left"/>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2.项目名称：</w:t>
      </w:r>
      <w:r>
        <w:rPr>
          <w:rFonts w:hint="eastAsia" w:cs="宋体" w:asciiTheme="minorEastAsia" w:hAnsiTheme="minorEastAsia"/>
          <w:color w:val="auto"/>
          <w:sz w:val="24"/>
          <w:szCs w:val="24"/>
          <w:highlight w:val="none"/>
          <w:lang w:eastAsia="zh-CN"/>
        </w:rPr>
        <w:t>梅梁路与陆马公路交叉口地下水处置项目</w:t>
      </w:r>
    </w:p>
    <w:p w14:paraId="18ACF08F">
      <w:pPr>
        <w:widowControl/>
        <w:shd w:val="clear" w:color="auto" w:fill="FFFFFF"/>
        <w:spacing w:line="360" w:lineRule="auto"/>
        <w:ind w:firstLine="480"/>
        <w:jc w:val="left"/>
        <w:rPr>
          <w:rFonts w:hint="default"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3.</w:t>
      </w:r>
      <w:r>
        <w:rPr>
          <w:rFonts w:cs="宋体" w:asciiTheme="minorEastAsia" w:hAnsiTheme="minorEastAsia"/>
          <w:color w:val="auto"/>
          <w:sz w:val="24"/>
          <w:szCs w:val="24"/>
          <w:highlight w:val="none"/>
        </w:rPr>
        <w:t>项目</w:t>
      </w:r>
      <w:r>
        <w:rPr>
          <w:rFonts w:hint="eastAsia" w:cs="宋体" w:asciiTheme="minorEastAsia" w:hAnsiTheme="minorEastAsia"/>
          <w:color w:val="auto"/>
          <w:sz w:val="24"/>
          <w:szCs w:val="24"/>
          <w:highlight w:val="none"/>
        </w:rPr>
        <w:t>预算金额：</w:t>
      </w:r>
      <w:r>
        <w:rPr>
          <w:rFonts w:hint="eastAsia" w:eastAsia="宋体" w:cs="宋体" w:asciiTheme="minorEastAsia" w:hAnsiTheme="minorEastAsia"/>
          <w:color w:val="auto"/>
          <w:sz w:val="24"/>
          <w:szCs w:val="24"/>
          <w:highlight w:val="none"/>
          <w:lang w:val="en-US" w:eastAsia="zh-CN"/>
        </w:rPr>
        <w:t>353.774</w:t>
      </w:r>
      <w:r>
        <w:rPr>
          <w:rFonts w:hint="eastAsia" w:eastAsia="宋体" w:cs="宋体" w:asciiTheme="minorEastAsia" w:hAnsiTheme="minorEastAsia"/>
          <w:color w:val="auto"/>
          <w:sz w:val="24"/>
          <w:szCs w:val="24"/>
          <w:highlight w:val="none"/>
        </w:rPr>
        <w:t>万元</w:t>
      </w:r>
    </w:p>
    <w:p w14:paraId="73EB157B">
      <w:pPr>
        <w:widowControl/>
        <w:shd w:val="clear" w:color="auto" w:fill="FFFFFF"/>
        <w:spacing w:line="360" w:lineRule="auto"/>
        <w:ind w:firstLine="480"/>
        <w:jc w:val="left"/>
        <w:rPr>
          <w:rFonts w:hint="eastAsia" w:ascii="宋体" w:hAnsi="宋体" w:cs="宋体" w:eastAsiaTheme="minorEastAsia"/>
          <w:color w:val="auto"/>
          <w:sz w:val="24"/>
          <w:szCs w:val="24"/>
          <w:highlight w:val="none"/>
          <w:lang w:eastAsia="zh-CN"/>
        </w:rPr>
      </w:pPr>
      <w:r>
        <w:rPr>
          <w:rFonts w:hint="eastAsia" w:cs="宋体" w:asciiTheme="minorEastAsia" w:hAnsiTheme="minorEastAsia"/>
          <w:color w:val="auto"/>
          <w:sz w:val="24"/>
          <w:szCs w:val="24"/>
          <w:highlight w:val="none"/>
        </w:rPr>
        <w:t>4.项目</w:t>
      </w:r>
      <w:r>
        <w:rPr>
          <w:rFonts w:hint="eastAsia" w:asciiTheme="minorEastAsia" w:hAnsiTheme="minorEastAsia"/>
          <w:color w:val="auto"/>
          <w:sz w:val="24"/>
          <w:szCs w:val="24"/>
          <w:highlight w:val="none"/>
        </w:rPr>
        <w:t>最高限价</w:t>
      </w:r>
      <w:r>
        <w:rPr>
          <w:rFonts w:hint="eastAsia"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343.87</w:t>
      </w:r>
      <w:r>
        <w:rPr>
          <w:rFonts w:hint="eastAsia" w:eastAsia="宋体" w:cs="宋体" w:asciiTheme="minorEastAsia" w:hAnsiTheme="minorEastAsia"/>
          <w:color w:val="auto"/>
          <w:sz w:val="24"/>
          <w:szCs w:val="24"/>
          <w:highlight w:val="none"/>
        </w:rPr>
        <w:t>万元</w:t>
      </w:r>
      <w:r>
        <w:rPr>
          <w:rFonts w:hint="eastAsia" w:cs="宋体" w:asciiTheme="minorEastAsia" w:hAnsiTheme="minorEastAsia"/>
          <w:color w:val="auto"/>
          <w:sz w:val="24"/>
          <w:szCs w:val="24"/>
          <w:highlight w:val="none"/>
        </w:rPr>
        <w:t>，</w:t>
      </w:r>
      <w:r>
        <w:rPr>
          <w:rFonts w:hint="eastAsia" w:ascii="宋体" w:hAnsi="宋体" w:cs="宋体"/>
          <w:color w:val="auto"/>
          <w:sz w:val="24"/>
          <w:szCs w:val="24"/>
          <w:highlight w:val="none"/>
        </w:rPr>
        <w:t>报价超过最高限价的按无效投标文件处理</w:t>
      </w:r>
      <w:r>
        <w:rPr>
          <w:rFonts w:hint="eastAsia" w:ascii="宋体" w:hAnsi="宋体" w:cs="宋体"/>
          <w:color w:val="auto"/>
          <w:sz w:val="24"/>
          <w:szCs w:val="24"/>
          <w:highlight w:val="none"/>
          <w:lang w:eastAsia="zh-CN"/>
        </w:rPr>
        <w:t>。</w:t>
      </w:r>
    </w:p>
    <w:p w14:paraId="209C41A2">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5.采购方式：公开招标</w:t>
      </w:r>
    </w:p>
    <w:p w14:paraId="09FF9EB6">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6.采购需求：对梅梁路与陆马公路交叉口地下水应急处置，保障周边河水生态安全，对该地块范围内地下水采取有效措施予以综合整治。（具体内容及要求详见采购文件“三.采购需求”）。</w:t>
      </w:r>
    </w:p>
    <w:p w14:paraId="70B3980B">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rPr>
        <w:t>7.服务期：90天；</w:t>
      </w:r>
    </w:p>
    <w:p w14:paraId="7B78A632">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ascii="宋体" w:hAnsi="宋体" w:cs="宋体"/>
          <w:color w:val="auto"/>
          <w:sz w:val="24"/>
          <w:szCs w:val="24"/>
          <w:highlight w:val="none"/>
        </w:rPr>
        <w:t>8</w:t>
      </w:r>
      <w:r>
        <w:rPr>
          <w:rFonts w:hint="eastAsia" w:cs="宋体" w:asciiTheme="minorEastAsia" w:hAnsiTheme="minorEastAsia"/>
          <w:color w:val="auto"/>
          <w:sz w:val="24"/>
          <w:szCs w:val="24"/>
          <w:highlight w:val="none"/>
        </w:rPr>
        <w:t>.采购标的的验收标准：</w:t>
      </w:r>
      <w:r>
        <w:rPr>
          <w:rFonts w:hint="eastAsia" w:ascii="宋体" w:hAnsi="宋体" w:eastAsia="宋体" w:cs="宋体"/>
          <w:color w:val="auto"/>
          <w:sz w:val="24"/>
          <w:szCs w:val="24"/>
          <w:highlight w:val="none"/>
          <w:lang w:val="en-US" w:eastAsia="zh-CN"/>
        </w:rPr>
        <w:t>对</w:t>
      </w:r>
      <w:r>
        <w:rPr>
          <w:rFonts w:hint="eastAsia" w:ascii="宋体" w:hAnsi="宋体" w:cs="宋体"/>
          <w:color w:val="auto"/>
          <w:sz w:val="24"/>
          <w:szCs w:val="24"/>
          <w:highlight w:val="none"/>
          <w:lang w:eastAsia="zh-CN"/>
        </w:rPr>
        <w:t>本地</w:t>
      </w:r>
      <w:r>
        <w:rPr>
          <w:rFonts w:hint="eastAsia" w:ascii="宋体" w:hAnsi="宋体" w:cs="宋体"/>
          <w:color w:val="auto"/>
          <w:sz w:val="24"/>
          <w:szCs w:val="24"/>
          <w:highlight w:val="none"/>
          <w:lang w:val="en-US" w:eastAsia="zh-CN"/>
        </w:rPr>
        <w:t>块</w:t>
      </w:r>
      <w:r>
        <w:rPr>
          <w:rFonts w:hint="eastAsia" w:ascii="宋体" w:hAnsi="宋体" w:cs="宋体"/>
          <w:color w:val="auto"/>
          <w:sz w:val="24"/>
          <w:szCs w:val="24"/>
          <w:highlight w:val="none"/>
          <w:lang w:eastAsia="zh-CN"/>
        </w:rPr>
        <w:t>进行</w:t>
      </w:r>
      <w:r>
        <w:rPr>
          <w:rFonts w:hint="eastAsia" w:ascii="宋体" w:hAnsi="宋体" w:cs="宋体"/>
          <w:color w:val="auto"/>
          <w:sz w:val="24"/>
          <w:szCs w:val="24"/>
          <w:highlight w:val="none"/>
          <w:lang w:val="en-US" w:eastAsia="zh-CN"/>
        </w:rPr>
        <w:t>地下水</w:t>
      </w:r>
      <w:r>
        <w:rPr>
          <w:rFonts w:hint="eastAsia" w:ascii="宋体" w:hAnsi="宋体" w:cs="宋体"/>
          <w:color w:val="auto"/>
          <w:sz w:val="24"/>
          <w:szCs w:val="24"/>
          <w:highlight w:val="none"/>
          <w:lang w:eastAsia="zh-CN"/>
        </w:rPr>
        <w:t>环境整治</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保障周边水生态安全，对该地块范围内地下水采取有效措施予以综合整治</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整治完成后委托第三方进行检测及评估。</w:t>
      </w:r>
      <w:r>
        <w:rPr>
          <w:rFonts w:hint="eastAsia" w:ascii="宋体" w:hAnsi="宋体" w:cs="宋体"/>
          <w:color w:val="auto"/>
          <w:sz w:val="24"/>
          <w:szCs w:val="24"/>
          <w:highlight w:val="none"/>
          <w:lang w:val="en-US" w:eastAsia="zh-CN"/>
        </w:rPr>
        <w:t>项目的验收标准：经过综合整治后目标达到地下水4类水标准。</w:t>
      </w:r>
    </w:p>
    <w:p w14:paraId="597E3123">
      <w:pPr>
        <w:widowControl/>
        <w:shd w:val="clear" w:color="auto" w:fill="FFFFFF"/>
        <w:spacing w:line="360" w:lineRule="auto"/>
        <w:ind w:firstLine="480"/>
        <w:jc w:val="left"/>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误期违约：</w:t>
      </w:r>
      <w:r>
        <w:rPr>
          <w:rFonts w:hint="eastAsia" w:ascii="宋体" w:hAnsi="宋体" w:eastAsia="宋体" w:cs="宋体"/>
          <w:color w:val="auto"/>
          <w:sz w:val="24"/>
          <w:szCs w:val="24"/>
          <w:highlight w:val="none"/>
        </w:rPr>
        <w:t>非采购人和监理单位、审计单位原因，乙方不能按合同修复期完成，应承担违约责任，并向甲方支付违约金。违约金按照本合同约定</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期每推迟一天，按中标价的万分之八支付违约金，但此违约金的支付并不能解除乙方完成项目的责任和合同规定的其它责任。</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期延误违约金最高不得超过合同总价的5%。</w:t>
      </w:r>
    </w:p>
    <w:p w14:paraId="217C4192">
      <w:pPr>
        <w:widowControl/>
        <w:shd w:val="clear" w:color="auto" w:fill="FFFFFF"/>
        <w:spacing w:line="360" w:lineRule="auto"/>
        <w:ind w:firstLine="480"/>
        <w:jc w:val="left"/>
        <w:rPr>
          <w:rFonts w:hint="eastAsia" w:eastAsia="宋体"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10</w:t>
      </w:r>
      <w:r>
        <w:rPr>
          <w:rFonts w:hint="eastAsia" w:eastAsia="宋体" w:asciiTheme="minorEastAsia" w:hAnsiTheme="minorEastAsia"/>
          <w:color w:val="auto"/>
          <w:sz w:val="24"/>
          <w:szCs w:val="24"/>
          <w:highlight w:val="none"/>
        </w:rPr>
        <w:t>.</w:t>
      </w:r>
      <w:r>
        <w:rPr>
          <w:rFonts w:hint="eastAsia" w:ascii="宋体" w:hAnsi="宋体" w:eastAsia="宋体" w:cs="宋体"/>
          <w:color w:val="auto"/>
          <w:sz w:val="24"/>
          <w:szCs w:val="24"/>
          <w:highlight w:val="none"/>
          <w:lang w:val="en-US" w:eastAsia="zh-CN"/>
        </w:rPr>
        <w:t>质量违约：</w:t>
      </w:r>
      <w:r>
        <w:rPr>
          <w:rFonts w:hint="eastAsia" w:ascii="宋体" w:hAnsi="宋体" w:eastAsia="宋体" w:cs="宋体"/>
          <w:color w:val="auto"/>
          <w:sz w:val="24"/>
          <w:szCs w:val="24"/>
          <w:highlight w:val="none"/>
        </w:rPr>
        <w:t>若竣工验收综合评定修复质量达不到一次验收合格，则承包人应承担违约责任，扣除承包人中标价的5%作为违约金，并且承包人还应立即整改，确保在监理工程师指定的时间范围内能完成验收合格；否则，发包人有权指定分割或终止合同，所产生的费用将无条件从承包人的结算款中扣除，并有权追索赔偿</w:t>
      </w:r>
      <w:r>
        <w:rPr>
          <w:rFonts w:hint="eastAsia" w:ascii="宋体" w:hAnsi="宋体" w:eastAsia="宋体" w:cs="宋体"/>
          <w:color w:val="auto"/>
          <w:sz w:val="21"/>
          <w:szCs w:val="21"/>
          <w:highlight w:val="none"/>
        </w:rPr>
        <w:t>。</w:t>
      </w:r>
    </w:p>
    <w:p w14:paraId="79264912">
      <w:pPr>
        <w:widowControl/>
        <w:shd w:val="clear" w:color="auto" w:fill="FFFFFF"/>
        <w:spacing w:line="360" w:lineRule="auto"/>
        <w:ind w:firstLine="480"/>
        <w:jc w:val="left"/>
        <w:rPr>
          <w:rFonts w:hint="default"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11.质保期：1年</w:t>
      </w:r>
    </w:p>
    <w:p w14:paraId="30BC9A12">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12.服务期延误：</w:t>
      </w:r>
    </w:p>
    <w:p w14:paraId="43F7F6E2">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12.1、因甲方原因导致修复期延误或遇到下列特殊情况，经甲乙双方书面协商一致后，服务期可相应顺延：</w:t>
      </w:r>
    </w:p>
    <w:p w14:paraId="3789C9A5">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（1）待整治场地临时水、电接入点、道路未按时提供，影响进场工作。</w:t>
      </w:r>
    </w:p>
    <w:p w14:paraId="6169DCA0">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（2）待整治场地周边居民关系未协调好，影响项目推进。</w:t>
      </w:r>
    </w:p>
    <w:p w14:paraId="1C1CEACE">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（3）因政策、阶段环境整治计划等政府原因导致的服务暂停。</w:t>
      </w:r>
    </w:p>
    <w:p w14:paraId="754D3092">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4）不可抗力：包括①12小时内降雨量达到50mm以上；②风速达到8级及以上的热带风暴（或台风）；③日最高气温超过38度或低于零下10度；④造成项目损坏的冰雹和12小时内降雪量达到4mm及以上的大雪灾害；⑤政府有关部门通知停工的其它恶劣气候条件；⑥因公共安全、卫生等事件导致的项目所在地临时管控。</w:t>
      </w:r>
    </w:p>
    <w:p w14:paraId="059D6390">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12.2、双方约定修复期顺延的其他情况：</w:t>
      </w:r>
    </w:p>
    <w:p w14:paraId="6AE8C47B">
      <w:pPr>
        <w:widowControl/>
        <w:shd w:val="clear" w:color="auto" w:fill="FFFFFF"/>
        <w:spacing w:line="360" w:lineRule="auto"/>
        <w:ind w:firstLine="480"/>
        <w:jc w:val="left"/>
        <w:rPr>
          <w:rFonts w:hint="eastAsia" w:eastAsia="宋体" w:asciiTheme="minorEastAsia" w:hAnsiTheme="minorEastAsia"/>
          <w:color w:val="auto"/>
          <w:sz w:val="24"/>
          <w:szCs w:val="24"/>
          <w:highlight w:val="none"/>
          <w:lang w:val="en-US" w:eastAsia="zh-CN"/>
        </w:rPr>
      </w:pPr>
      <w:r>
        <w:rPr>
          <w:rFonts w:hint="eastAsia" w:eastAsia="宋体" w:asciiTheme="minorEastAsia" w:hAnsiTheme="minorEastAsia"/>
          <w:color w:val="auto"/>
          <w:sz w:val="24"/>
          <w:szCs w:val="24"/>
          <w:highlight w:val="none"/>
          <w:lang w:val="en-US" w:eastAsia="zh-CN"/>
        </w:rPr>
        <w:t>非甲方和施工监理、环境监理、审计单位原因，乙方不能按合同修复期完成，应承担违约责任，并向甲方支付违约金。违约金按照本合同约定修复期每推迟一天，从合同价款中扣1万元，但此违约金的支付并不能解除乙方完成项目的责任和合同规定的其他责任。修复期延误违约金最高不得超过合同总价的5%。</w:t>
      </w:r>
    </w:p>
    <w:p w14:paraId="71FEA657">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eastAsia="宋体" w:asciiTheme="minorEastAsia" w:hAnsiTheme="minorEastAsia"/>
          <w:color w:val="auto"/>
          <w:sz w:val="24"/>
          <w:szCs w:val="24"/>
          <w:highlight w:val="none"/>
          <w:lang w:val="en-US" w:eastAsia="zh-CN"/>
        </w:rPr>
        <w:t>非供应商原因导致的设计变更、工作量的增加，或其他非供应商原因造成供应商服务暂停或延期的，合同约定的服务期相应顺延。</w:t>
      </w:r>
    </w:p>
    <w:p w14:paraId="64D51AC6">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cs="宋体" w:asciiTheme="minorEastAsia" w:hAnsiTheme="minorEastAsia"/>
          <w:color w:val="auto"/>
          <w:sz w:val="24"/>
          <w:szCs w:val="24"/>
          <w:highlight w:val="none"/>
          <w:lang w:val="en-US" w:eastAsia="zh-CN"/>
        </w:rPr>
        <w:t>3</w:t>
      </w:r>
      <w:r>
        <w:rPr>
          <w:rFonts w:hint="eastAsia" w:cs="宋体" w:asciiTheme="minorEastAsia" w:hAnsiTheme="minorEastAsia"/>
          <w:color w:val="auto"/>
          <w:sz w:val="24"/>
          <w:szCs w:val="24"/>
          <w:highlight w:val="none"/>
        </w:rPr>
        <w:t>.本项目是/否接受联合体投标：否</w:t>
      </w:r>
    </w:p>
    <w:p w14:paraId="4CEA5D20">
      <w:pPr>
        <w:widowControl/>
        <w:shd w:val="clear" w:color="auto" w:fill="FFFFFF"/>
        <w:spacing w:line="360" w:lineRule="auto"/>
        <w:ind w:firstLine="480"/>
        <w:jc w:val="left"/>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1</w:t>
      </w:r>
      <w:r>
        <w:rPr>
          <w:rFonts w:hint="eastAsia"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.本项目是/否专门面向中小微企业：</w:t>
      </w:r>
      <w:r>
        <w:rPr>
          <w:rFonts w:hint="eastAsia" w:cs="宋体" w:asciiTheme="minorEastAsia" w:hAnsiTheme="minorEastAsia"/>
          <w:color w:val="auto"/>
          <w:sz w:val="24"/>
          <w:szCs w:val="24"/>
          <w:highlight w:val="none"/>
          <w:lang w:eastAsia="zh-CN"/>
        </w:rPr>
        <w:t>是</w:t>
      </w:r>
    </w:p>
    <w:p w14:paraId="61A25AF9">
      <w:pPr>
        <w:widowControl/>
        <w:shd w:val="clear" w:color="auto" w:fill="FFFFFF"/>
        <w:spacing w:line="360" w:lineRule="auto"/>
        <w:ind w:firstLine="480"/>
        <w:jc w:val="lef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w:t>
      </w:r>
      <w:r>
        <w:rPr>
          <w:rFonts w:hint="eastAsia" w:cs="宋体" w:asciiTheme="minorEastAsia" w:hAnsiTheme="minorEastAsia"/>
          <w:color w:val="auto"/>
          <w:sz w:val="24"/>
          <w:szCs w:val="24"/>
          <w:highlight w:val="none"/>
          <w:lang w:val="en-US" w:eastAsia="zh-CN"/>
        </w:rPr>
        <w:t>4</w:t>
      </w:r>
      <w:r>
        <w:rPr>
          <w:rFonts w:hint="eastAsia" w:cs="宋体" w:asciiTheme="minorEastAsia" w:hAnsiTheme="minorEastAsia"/>
          <w:color w:val="auto"/>
          <w:sz w:val="24"/>
          <w:szCs w:val="24"/>
          <w:highlight w:val="none"/>
        </w:rPr>
        <w:t>.本项目标的所属行业：</w:t>
      </w:r>
      <w:r>
        <w:rPr>
          <w:rFonts w:hint="eastAsia" w:hAnsi="宋体" w:cs="宋体"/>
          <w:bCs/>
          <w:sz w:val="24"/>
          <w:highlight w:val="none"/>
        </w:rPr>
        <w:t>其他未列明行业</w:t>
      </w:r>
    </w:p>
    <w:p w14:paraId="1A5E54C3">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注：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E211AB">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（二）投标人资格要求</w:t>
      </w:r>
    </w:p>
    <w:p w14:paraId="4654B97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2F1858D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2C7BE47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2.1中小企业政策：本项目专门面向中小企业；</w:t>
      </w:r>
    </w:p>
    <w:p w14:paraId="60915CC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p w14:paraId="16D2AA2E">
      <w:pPr>
        <w:widowControl/>
        <w:numPr>
          <w:ilvl w:val="0"/>
          <w:numId w:val="7"/>
        </w:numPr>
        <w:shd w:val="clear" w:color="auto" w:fill="FFFFFF"/>
        <w:spacing w:line="360" w:lineRule="auto"/>
        <w:ind w:firstLine="482"/>
        <w:jc w:val="left"/>
        <w:rPr>
          <w:rFonts w:ascii="宋体" w:hAnsi="宋体"/>
          <w:color w:val="auto"/>
          <w:sz w:val="24"/>
          <w:szCs w:val="24"/>
          <w:highlight w:val="none"/>
        </w:rPr>
      </w:pP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val="en-US" w:eastAsia="zh-CN"/>
        </w:rPr>
        <w:t>无</w:t>
      </w:r>
      <w:r>
        <w:rPr>
          <w:rFonts w:hint="eastAsia" w:ascii="宋体" w:hAnsi="宋体"/>
          <w:color w:val="auto"/>
          <w:sz w:val="24"/>
          <w:szCs w:val="24"/>
          <w:highlight w:val="none"/>
        </w:rPr>
        <w:t>。</w:t>
      </w:r>
    </w:p>
    <w:p w14:paraId="1A8563A0">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（三）获取招标文件的时间期限</w:t>
      </w:r>
    </w:p>
    <w:p w14:paraId="6701EE24">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1.时间：本招标文件有效获取期限以本项目招标公告中规定的获取招标文件时间为准。</w:t>
      </w:r>
    </w:p>
    <w:p w14:paraId="6571EB8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0A32AA36">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7243DCA0">
      <w:pPr>
        <w:spacing w:line="360" w:lineRule="auto"/>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1021EB53">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（四）提交投标文件截止时间、开标时间和地点</w:t>
      </w:r>
    </w:p>
    <w:p w14:paraId="0B5D6778">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1.时间：</w:t>
      </w:r>
      <w:r>
        <w:rPr>
          <w:rFonts w:hint="eastAsia" w:ascii="宋体" w:hAnsi="宋体"/>
          <w:b/>
          <w:bCs/>
          <w:color w:val="auto"/>
          <w:sz w:val="24"/>
          <w:szCs w:val="24"/>
          <w:highlight w:val="none"/>
        </w:rPr>
        <w:t>2025年</w:t>
      </w:r>
      <w:r>
        <w:rPr>
          <w:rFonts w:hint="eastAsia" w:ascii="宋体" w:hAnsi="宋体"/>
          <w:b/>
          <w:bCs/>
          <w:color w:val="auto"/>
          <w:sz w:val="24"/>
          <w:szCs w:val="24"/>
          <w:highlight w:val="none"/>
          <w:lang w:val="en-US" w:eastAsia="zh-CN"/>
        </w:rPr>
        <w:t>12</w:t>
      </w:r>
      <w:r>
        <w:rPr>
          <w:rFonts w:hint="eastAsia" w:ascii="宋体" w:hAnsi="宋体"/>
          <w:b/>
          <w:bCs/>
          <w:color w:val="auto"/>
          <w:sz w:val="24"/>
          <w:szCs w:val="24"/>
          <w:highlight w:val="none"/>
        </w:rPr>
        <w:t>月</w:t>
      </w:r>
      <w:r>
        <w:rPr>
          <w:rFonts w:hint="eastAsia" w:ascii="宋体" w:hAnsi="宋体"/>
          <w:b/>
          <w:bCs/>
          <w:color w:val="auto"/>
          <w:sz w:val="24"/>
          <w:szCs w:val="24"/>
          <w:highlight w:val="none"/>
          <w:lang w:val="en-US" w:eastAsia="zh-CN"/>
        </w:rPr>
        <w:t>18</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lang w:val="en-US" w:eastAsia="zh-CN"/>
        </w:rPr>
        <w:t>09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30</w:t>
      </w:r>
      <w:r>
        <w:rPr>
          <w:rFonts w:hint="eastAsia" w:ascii="宋体" w:hAnsi="宋体"/>
          <w:b/>
          <w:bCs/>
          <w:color w:val="auto"/>
          <w:sz w:val="24"/>
          <w:szCs w:val="24"/>
          <w:highlight w:val="none"/>
        </w:rPr>
        <w:t>分</w:t>
      </w:r>
      <w:r>
        <w:rPr>
          <w:rFonts w:hint="eastAsia" w:cs="Times New Roman" w:asciiTheme="minorEastAsia" w:hAnsiTheme="minorEastAsia"/>
          <w:bCs/>
          <w:color w:val="auto"/>
          <w:sz w:val="24"/>
          <w:szCs w:val="24"/>
          <w:highlight w:val="none"/>
        </w:rPr>
        <w:t>（北京时间），截止时间后上传的任何投标文件恕不接受。</w:t>
      </w:r>
    </w:p>
    <w:p w14:paraId="48D71033">
      <w:pPr>
        <w:spacing w:line="360" w:lineRule="auto"/>
        <w:ind w:firstLine="480"/>
        <w:rPr>
          <w:rFonts w:cs="Times New Roman" w:asciiTheme="minorEastAsia" w:hAnsiTheme="minorEastAsia"/>
          <w:bCs/>
          <w:color w:val="auto"/>
          <w:sz w:val="24"/>
          <w:szCs w:val="24"/>
          <w:highlight w:val="none"/>
        </w:rPr>
      </w:pPr>
      <w:r>
        <w:rPr>
          <w:rFonts w:hint="eastAsia" w:cs="Times New Roman" w:asciiTheme="minorEastAsia" w:hAnsiTheme="minorEastAsia"/>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06FF1A5">
      <w:pPr>
        <w:pStyle w:val="186"/>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（五）公告期限</w:t>
      </w:r>
    </w:p>
    <w:p w14:paraId="7F1DD9C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（招标公告及招标文件公告期限）自本公告发布之日起5个工作日。</w:t>
      </w:r>
    </w:p>
    <w:p w14:paraId="1A53360C">
      <w:pPr>
        <w:pStyle w:val="186"/>
        <w:keepNext w:val="0"/>
        <w:keepLines w:val="0"/>
        <w:spacing w:before="0" w:after="0" w:line="360" w:lineRule="auto"/>
        <w:ind w:firstLine="452"/>
        <w:rPr>
          <w:rFonts w:cs="宋体" w:asciiTheme="minorEastAsia" w:hAnsiTheme="minorEastAsia" w:eastAsiaTheme="minorEastAsia"/>
          <w:bCs w:val="0"/>
          <w:color w:val="auto"/>
          <w:sz w:val="24"/>
          <w:szCs w:val="24"/>
          <w:highlight w:val="none"/>
          <w:lang w:eastAsia="zh-CN"/>
        </w:rPr>
      </w:pPr>
      <w:r>
        <w:rPr>
          <w:rFonts w:hint="eastAsia" w:cs="宋体" w:asciiTheme="minorEastAsia" w:hAnsiTheme="minorEastAsia" w:eastAsiaTheme="minorEastAsia"/>
          <w:bCs w:val="0"/>
          <w:color w:val="auto"/>
          <w:sz w:val="24"/>
          <w:szCs w:val="24"/>
          <w:highlight w:val="none"/>
          <w:lang w:eastAsia="zh-CN"/>
        </w:rPr>
        <w:t>（六）其他补充事宜</w:t>
      </w:r>
    </w:p>
    <w:p w14:paraId="08349F5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60ABC37F">
      <w:pPr>
        <w:spacing w:line="360" w:lineRule="auto"/>
        <w:ind w:firstLine="482"/>
        <w:rPr>
          <w:rFonts w:asciiTheme="minorEastAsia" w:hAnsiTheme="minorEastAsia"/>
          <w:b/>
          <w:bCs/>
          <w:color w:val="auto"/>
          <w:sz w:val="24"/>
          <w:szCs w:val="24"/>
          <w:highlight w:val="none"/>
        </w:rPr>
      </w:pPr>
      <w:r>
        <w:rPr>
          <w:rFonts w:hint="eastAsia" w:cs="宋体" w:asciiTheme="minorEastAsia" w:hAnsiTheme="minorEastAsia"/>
          <w:b/>
          <w:color w:val="auto"/>
          <w:sz w:val="24"/>
          <w:szCs w:val="24"/>
          <w:highlight w:val="none"/>
        </w:rPr>
        <w:t>（七）</w:t>
      </w:r>
      <w:r>
        <w:rPr>
          <w:rFonts w:hint="eastAsia" w:asciiTheme="minorEastAsia" w:hAnsiTheme="minorEastAsia"/>
          <w:b/>
          <w:bCs/>
          <w:color w:val="auto"/>
          <w:sz w:val="24"/>
          <w:szCs w:val="24"/>
          <w:highlight w:val="none"/>
        </w:rPr>
        <w:t>本次招标联系方式</w:t>
      </w:r>
    </w:p>
    <w:p w14:paraId="244C4406">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1.采购人信息</w:t>
      </w:r>
    </w:p>
    <w:p w14:paraId="0D855643">
      <w:pPr>
        <w:widowControl/>
        <w:shd w:val="clear" w:color="auto" w:fill="FFFFFF"/>
        <w:spacing w:line="360" w:lineRule="auto"/>
        <w:ind w:firstLine="480"/>
        <w:jc w:val="left"/>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无锡市滨湖区马山街道办事处</w:t>
      </w:r>
    </w:p>
    <w:p w14:paraId="11EC878E">
      <w:pPr>
        <w:widowControl/>
        <w:shd w:val="clear" w:color="auto" w:fill="FFFFFF"/>
        <w:spacing w:line="360" w:lineRule="auto"/>
        <w:ind w:firstLine="480"/>
        <w:jc w:val="left"/>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地址：</w:t>
      </w:r>
      <w:r>
        <w:rPr>
          <w:rFonts w:hint="eastAsia" w:cs="宋体" w:asciiTheme="minorEastAsia" w:hAnsiTheme="minorEastAsia"/>
          <w:color w:val="auto"/>
          <w:sz w:val="24"/>
          <w:szCs w:val="24"/>
          <w:highlight w:val="none"/>
          <w:lang w:eastAsia="zh-CN"/>
        </w:rPr>
        <w:t>江苏省无锡市滨湖区梅梁路</w:t>
      </w:r>
      <w:r>
        <w:rPr>
          <w:rFonts w:hint="eastAsia" w:cs="宋体" w:asciiTheme="minorEastAsia" w:hAnsiTheme="minorEastAsia"/>
          <w:color w:val="auto"/>
          <w:sz w:val="24"/>
          <w:szCs w:val="24"/>
          <w:highlight w:val="none"/>
          <w:lang w:val="en-US" w:eastAsia="zh-CN"/>
        </w:rPr>
        <w:t>16号</w:t>
      </w:r>
    </w:p>
    <w:p w14:paraId="3150FC14">
      <w:pPr>
        <w:widowControl/>
        <w:shd w:val="clear" w:color="auto" w:fill="FFFFFF"/>
        <w:spacing w:line="360" w:lineRule="auto"/>
        <w:ind w:firstLine="480"/>
        <w:jc w:val="left"/>
        <w:rPr>
          <w:rFonts w:hint="eastAsia"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联系人：</w:t>
      </w:r>
      <w:r>
        <w:rPr>
          <w:rFonts w:hint="eastAsia" w:cs="宋体" w:asciiTheme="minorEastAsia" w:hAnsiTheme="minorEastAsia"/>
          <w:color w:val="auto"/>
          <w:sz w:val="24"/>
          <w:szCs w:val="24"/>
          <w:highlight w:val="none"/>
          <w:lang w:eastAsia="zh-CN"/>
        </w:rPr>
        <w:t>李工</w:t>
      </w:r>
    </w:p>
    <w:p w14:paraId="46BC9E32">
      <w:pPr>
        <w:widowControl/>
        <w:shd w:val="clear" w:color="auto" w:fill="FFFFFF"/>
        <w:spacing w:line="360" w:lineRule="auto"/>
        <w:ind w:firstLine="480"/>
        <w:jc w:val="left"/>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联系电话：</w:t>
      </w:r>
      <w:r>
        <w:rPr>
          <w:rFonts w:hint="eastAsia" w:cs="宋体" w:asciiTheme="minorEastAsia" w:hAnsiTheme="minorEastAsia"/>
          <w:color w:val="auto"/>
          <w:sz w:val="24"/>
          <w:szCs w:val="24"/>
          <w:highlight w:val="none"/>
          <w:lang w:val="en-US" w:eastAsia="zh-CN"/>
        </w:rPr>
        <w:t>051085990761</w:t>
      </w:r>
    </w:p>
    <w:p w14:paraId="3032774A">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2.</w:t>
      </w:r>
      <w:r>
        <w:rPr>
          <w:rFonts w:hint="eastAsia" w:eastAsia="宋体" w:cs="宋体" w:asciiTheme="minorEastAsia" w:hAnsiTheme="minorEastAsia"/>
          <w:color w:val="auto"/>
          <w:sz w:val="24"/>
          <w:szCs w:val="24"/>
          <w:highlight w:val="none"/>
        </w:rPr>
        <w:t>采购代理机构信息</w:t>
      </w:r>
    </w:p>
    <w:p w14:paraId="1937D311">
      <w:pPr>
        <w:spacing w:line="360" w:lineRule="auto"/>
        <w:ind w:firstLine="480"/>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名称：</w:t>
      </w:r>
      <w:r>
        <w:rPr>
          <w:rFonts w:hint="eastAsia" w:eastAsia="宋体" w:cs="宋体" w:asciiTheme="minorEastAsia" w:hAnsiTheme="minorEastAsia"/>
          <w:color w:val="auto"/>
          <w:sz w:val="24"/>
          <w:szCs w:val="24"/>
          <w:highlight w:val="none"/>
          <w:lang w:eastAsia="zh-CN"/>
        </w:rPr>
        <w:t>江苏筑祁园工程管理咨询有限公司</w:t>
      </w:r>
    </w:p>
    <w:p w14:paraId="16F985C7">
      <w:pPr>
        <w:widowControl/>
        <w:shd w:val="clear" w:color="auto" w:fill="FFFFFF"/>
        <w:spacing w:line="360" w:lineRule="auto"/>
        <w:ind w:firstLine="480"/>
        <w:jc w:val="left"/>
        <w:rPr>
          <w:rFonts w:hint="eastAsia" w:ascii="宋体" w:hAnsi="宋体" w:eastAsia="宋体" w:cs="宋体"/>
          <w:color w:val="auto"/>
          <w:sz w:val="24"/>
          <w:highlight w:val="none"/>
          <w:lang w:eastAsia="zh-CN"/>
        </w:rPr>
      </w:pPr>
      <w:r>
        <w:rPr>
          <w:rFonts w:hint="eastAsia" w:cs="宋体" w:asciiTheme="minorEastAsia" w:hAnsiTheme="minorEastAsia"/>
          <w:color w:val="auto"/>
          <w:sz w:val="24"/>
          <w:szCs w:val="24"/>
          <w:highlight w:val="none"/>
        </w:rPr>
        <w:t>地址</w:t>
      </w:r>
      <w:r>
        <w:rPr>
          <w:rFonts w:hint="eastAsia" w:eastAsia="宋体" w:cs="宋体" w:asciiTheme="minorEastAsia" w:hAnsiTheme="minorEastAsia"/>
          <w:color w:val="auto"/>
          <w:sz w:val="24"/>
          <w:szCs w:val="24"/>
          <w:highlight w:val="none"/>
        </w:rPr>
        <w:t>：</w:t>
      </w:r>
      <w:r>
        <w:rPr>
          <w:rFonts w:hint="eastAsia" w:ascii="宋体" w:hAnsi="宋体" w:eastAsia="宋体" w:cs="宋体"/>
          <w:color w:val="auto"/>
          <w:sz w:val="24"/>
          <w:highlight w:val="none"/>
          <w:lang w:eastAsia="zh-CN"/>
        </w:rPr>
        <w:t>无锡经济开发区太湖街道丰裕园二期商业街雪丰路60-3</w:t>
      </w:r>
    </w:p>
    <w:p w14:paraId="78BFC5FC">
      <w:pPr>
        <w:spacing w:line="360" w:lineRule="auto"/>
        <w:ind w:firstLine="480"/>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rPr>
        <w:t>联系方式：</w:t>
      </w:r>
      <w:r>
        <w:rPr>
          <w:rFonts w:hint="eastAsia" w:ascii="宋体" w:hAnsi="宋体" w:eastAsia="宋体" w:cs="宋体"/>
          <w:color w:val="000000"/>
          <w:sz w:val="24"/>
          <w:szCs w:val="24"/>
          <w:highlight w:val="none"/>
        </w:rPr>
        <w:t>0510-85881501</w:t>
      </w:r>
    </w:p>
    <w:p w14:paraId="351A4195">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3.项目联系方式</w:t>
      </w:r>
    </w:p>
    <w:p w14:paraId="4194FE6E">
      <w:pPr>
        <w:widowControl/>
        <w:shd w:val="clear" w:color="auto" w:fill="FFFFFF"/>
        <w:spacing w:line="360" w:lineRule="auto"/>
        <w:ind w:firstLine="480"/>
        <w:jc w:val="left"/>
        <w:rPr>
          <w:rFonts w:hint="eastAsia" w:eastAsia="宋体"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rPr>
        <w:t>项目联系人</w:t>
      </w:r>
      <w:r>
        <w:rPr>
          <w:rFonts w:hint="eastAsia" w:eastAsia="宋体" w:cs="宋体" w:asciiTheme="minorEastAsia" w:hAnsiTheme="minorEastAsia"/>
          <w:color w:val="auto"/>
          <w:sz w:val="24"/>
          <w:szCs w:val="24"/>
          <w:highlight w:val="none"/>
        </w:rPr>
        <w:t>：</w:t>
      </w:r>
      <w:r>
        <w:rPr>
          <w:rFonts w:hint="eastAsia" w:eastAsia="宋体" w:cs="宋体" w:asciiTheme="minorEastAsia" w:hAnsiTheme="minorEastAsia"/>
          <w:color w:val="auto"/>
          <w:sz w:val="24"/>
          <w:szCs w:val="24"/>
          <w:highlight w:val="none"/>
          <w:lang w:val="en-US" w:eastAsia="zh-CN"/>
        </w:rPr>
        <w:t>蔡培芹</w:t>
      </w:r>
    </w:p>
    <w:p w14:paraId="3DB63F78">
      <w:pPr>
        <w:widowControl/>
        <w:shd w:val="clear" w:color="auto" w:fill="FFFFFF"/>
        <w:spacing w:line="360" w:lineRule="auto"/>
        <w:ind w:firstLine="480"/>
        <w:jc w:val="left"/>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电话</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18952670217、</w:t>
      </w:r>
      <w:r>
        <w:rPr>
          <w:rFonts w:hint="eastAsia" w:ascii="宋体" w:hAnsi="宋体" w:eastAsia="宋体" w:cs="宋体"/>
          <w:color w:val="000000"/>
          <w:sz w:val="24"/>
          <w:szCs w:val="24"/>
          <w:highlight w:val="none"/>
        </w:rPr>
        <w:t>0510-85881501</w:t>
      </w:r>
      <w:r>
        <w:rPr>
          <w:rFonts w:hint="eastAsia" w:ascii="宋体" w:hAnsi="宋体" w:eastAsia="宋体" w:cs="宋体"/>
          <w:bCs/>
          <w:color w:val="auto"/>
          <w:sz w:val="24"/>
          <w:highlight w:val="none"/>
        </w:rPr>
        <w:t xml:space="preserve">  </w:t>
      </w:r>
      <w:r>
        <w:rPr>
          <w:rFonts w:hint="eastAsia" w:cs="宋体" w:asciiTheme="minorEastAsia" w:hAnsiTheme="minorEastAsia"/>
          <w:color w:val="auto"/>
          <w:sz w:val="24"/>
          <w:szCs w:val="24"/>
          <w:highlight w:val="none"/>
        </w:rPr>
        <w:t xml:space="preserve">             </w:t>
      </w:r>
    </w:p>
    <w:p w14:paraId="79B9A495">
      <w:pPr>
        <w:widowControl/>
        <w:shd w:val="clear" w:color="auto" w:fill="FFFFFF"/>
        <w:spacing w:line="360" w:lineRule="auto"/>
        <w:ind w:firstLine="480"/>
        <w:jc w:val="left"/>
        <w:rPr>
          <w:rFonts w:ascii="宋体" w:hAnsi="宋体" w:eastAsia="宋体" w:cs="宋体"/>
          <w:color w:val="auto"/>
          <w:sz w:val="24"/>
          <w:highlight w:val="none"/>
        </w:rPr>
      </w:pPr>
      <w:r>
        <w:rPr>
          <w:rFonts w:hint="eastAsia" w:cs="宋体" w:asciiTheme="minorEastAsia" w:hAnsiTheme="minorEastAsia"/>
          <w:color w:val="auto"/>
          <w:sz w:val="24"/>
          <w:szCs w:val="24"/>
          <w:highlight w:val="none"/>
        </w:rPr>
        <w:t>邮箱：</w:t>
      </w:r>
      <w:r>
        <w:rPr>
          <w:rFonts w:hint="eastAsia" w:cs="宋体" w:asciiTheme="minorEastAsia" w:hAnsiTheme="minorEastAsia"/>
          <w:color w:val="auto"/>
          <w:sz w:val="24"/>
          <w:szCs w:val="24"/>
          <w:highlight w:val="none"/>
          <w:lang w:val="en-US" w:eastAsia="zh-CN"/>
        </w:rPr>
        <w:t>865875050@qq.com</w:t>
      </w:r>
    </w:p>
    <w:p w14:paraId="3B7769DF">
      <w:pPr>
        <w:widowControl/>
        <w:shd w:val="clear" w:color="auto" w:fill="FFFFFF"/>
        <w:spacing w:line="360" w:lineRule="auto"/>
        <w:ind w:firstLine="482"/>
        <w:jc w:val="left"/>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（八）其他</w:t>
      </w:r>
    </w:p>
    <w:p w14:paraId="572A362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147E86FD">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51ED570C">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77C731D4">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6386F05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CA驱动下载：</w:t>
      </w:r>
    </w:p>
    <w:p w14:paraId="4DE38D5A">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hint="eastAsia" w:ascii="宋体" w:hAnsi="宋体" w:eastAsia="宋体"/>
          <w:bCs/>
          <w:color w:val="auto"/>
          <w:sz w:val="24"/>
          <w:szCs w:val="24"/>
          <w:highlight w:val="none"/>
        </w:rPr>
        <w:t>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0EFB7AC">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233D8826">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69507B64">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123E2D13">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w:t>
      </w:r>
      <w:r>
        <w:rPr>
          <w:rFonts w:hint="eastAsia" w:ascii="宋体" w:hAnsi="宋体"/>
          <w:color w:val="auto"/>
          <w:sz w:val="24"/>
          <w:szCs w:val="24"/>
          <w:highlight w:val="none"/>
          <w:lang w:val="en-US" w:eastAsia="zh-CN"/>
        </w:rPr>
        <w:t>江苏政府采购网</w:t>
      </w:r>
      <w:r>
        <w:rPr>
          <w:rFonts w:ascii="宋体" w:hAnsi="宋体"/>
          <w:color w:val="auto"/>
          <w:sz w:val="24"/>
          <w:szCs w:val="24"/>
          <w:highlight w:val="none"/>
        </w:rPr>
        <w:t>——</w:t>
      </w:r>
      <w:r>
        <w:rPr>
          <w:rFonts w:hint="eastAsia" w:ascii="宋体" w:hAnsi="宋体"/>
          <w:color w:val="auto"/>
          <w:sz w:val="24"/>
          <w:szCs w:val="24"/>
          <w:highlight w:val="none"/>
        </w:rPr>
        <w:t>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422F1820">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w:t>
      </w:r>
      <w:r>
        <w:rPr>
          <w:rFonts w:hint="eastAsia" w:ascii="宋体" w:hAnsi="宋体" w:cs="宋体"/>
          <w:color w:val="auto"/>
          <w:sz w:val="24"/>
          <w:szCs w:val="24"/>
          <w:highlight w:val="none"/>
        </w:rPr>
        <w:t>田女士：3071474382 ；王先生：897651173</w:t>
      </w:r>
      <w:r>
        <w:rPr>
          <w:rFonts w:hint="eastAsia" w:ascii="宋体" w:hAnsi="宋体"/>
          <w:bCs/>
          <w:color w:val="auto"/>
          <w:sz w:val="24"/>
          <w:szCs w:val="24"/>
          <w:highlight w:val="none"/>
        </w:rPr>
        <w:t>。</w:t>
      </w:r>
    </w:p>
    <w:p w14:paraId="19042227">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2E2E654F">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3C1C3E13">
      <w:pPr>
        <w:tabs>
          <w:tab w:val="left" w:pos="900"/>
        </w:tabs>
        <w:spacing w:line="360" w:lineRule="auto"/>
        <w:ind w:firstLine="480"/>
        <w:rPr>
          <w:rFonts w:ascii="宋体" w:hAnsi="宋体" w:eastAsia="宋体"/>
          <w:bCs/>
          <w:color w:val="auto"/>
          <w:sz w:val="24"/>
          <w:szCs w:val="24"/>
          <w:highlight w:val="none"/>
        </w:rPr>
      </w:pPr>
      <w:r>
        <w:rPr>
          <w:rFonts w:hint="eastAsia" w:ascii="宋体" w:hAnsi="宋体"/>
          <w:bCs/>
          <w:color w:val="auto"/>
          <w:sz w:val="24"/>
          <w:szCs w:val="24"/>
          <w:highlight w:val="none"/>
        </w:rPr>
        <w:t>（三）有关本次采购的事项若存在变动或修改，敬</w:t>
      </w:r>
      <w:r>
        <w:rPr>
          <w:rFonts w:hint="eastAsia" w:ascii="宋体" w:hAnsi="宋体" w:eastAsia="宋体"/>
          <w:bCs/>
          <w:color w:val="auto"/>
          <w:sz w:val="24"/>
          <w:szCs w:val="24"/>
          <w:highlight w:val="none"/>
        </w:rPr>
        <w:t>请及时关注</w:t>
      </w:r>
      <w:r>
        <w:rPr>
          <w:rFonts w:hint="eastAsia" w:ascii="宋体" w:hAnsi="宋体" w:eastAsia="宋体"/>
          <w:bCs/>
          <w:color w:val="auto"/>
          <w:sz w:val="24"/>
          <w:szCs w:val="24"/>
          <w:highlight w:val="none"/>
          <w:lang w:eastAsia="zh-CN"/>
        </w:rPr>
        <w:t>江苏筑祁园工程管理咨询有限公司</w:t>
      </w:r>
      <w:r>
        <w:rPr>
          <w:rFonts w:hint="eastAsia" w:ascii="宋体" w:hAnsi="宋体" w:eastAsia="宋体"/>
          <w:bCs/>
          <w:color w:val="auto"/>
          <w:sz w:val="24"/>
          <w:szCs w:val="24"/>
          <w:highlight w:val="none"/>
        </w:rPr>
        <w:t>在“江苏政府采购网”发布的更正公告。</w:t>
      </w:r>
    </w:p>
    <w:p w14:paraId="4D54CD9B">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2A9902FF">
      <w:pPr>
        <w:widowControl/>
        <w:shd w:val="clear" w:color="auto" w:fill="FFFFFF"/>
        <w:spacing w:line="360" w:lineRule="auto"/>
        <w:ind w:firstLine="480"/>
        <w:jc w:val="left"/>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（五）其他事项</w:t>
      </w:r>
    </w:p>
    <w:p w14:paraId="789D09F0">
      <w:pPr>
        <w:spacing w:line="360" w:lineRule="auto"/>
        <w:ind w:firstLine="720"/>
        <w:rPr>
          <w:rFonts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w:t>
      </w:r>
      <w:r>
        <w:rPr>
          <w:rFonts w:hint="eastAsia" w:ascii="宋体" w:hAnsi="宋体" w:cs="宋体"/>
          <w:bCs/>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w:t>
      </w:r>
    </w:p>
    <w:p w14:paraId="3F7B7839">
      <w:pPr>
        <w:spacing w:line="360" w:lineRule="auto"/>
        <w:ind w:firstLine="720"/>
        <w:rPr>
          <w:rFonts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2）</w:t>
      </w:r>
      <w:r>
        <w:rPr>
          <w:rFonts w:hint="eastAsia" w:cs="Times New Roman" w:asciiTheme="minorEastAsia" w:hAnsiTheme="minorEastAsia"/>
          <w:color w:val="auto"/>
          <w:sz w:val="24"/>
          <w:szCs w:val="24"/>
          <w:highlight w:val="none"/>
        </w:rPr>
        <w:t>纸质投标文件：本项目为不见面开标，</w:t>
      </w:r>
      <w:r>
        <w:rPr>
          <w:rFonts w:hint="eastAsia" w:eastAsia="宋体" w:cs="Times New Roman" w:asciiTheme="minorEastAsia" w:hAnsiTheme="minorEastAsia"/>
          <w:color w:val="auto"/>
          <w:sz w:val="24"/>
          <w:szCs w:val="24"/>
          <w:highlight w:val="none"/>
        </w:rPr>
        <w:t>投标</w:t>
      </w:r>
      <w:r>
        <w:rPr>
          <w:rFonts w:hint="eastAsia" w:cs="Times New Roman" w:asciiTheme="minorEastAsia" w:hAnsiTheme="minorEastAsia"/>
          <w:color w:val="auto"/>
          <w:sz w:val="24"/>
          <w:szCs w:val="24"/>
          <w:highlight w:val="none"/>
        </w:rPr>
        <w:t>人无需递交纸质投标文件至现场，</w:t>
      </w:r>
      <w:r>
        <w:rPr>
          <w:rFonts w:hint="eastAsia" w:cs="Times New Roman" w:asciiTheme="minorEastAsia" w:hAnsiTheme="minorEastAsia"/>
          <w:b/>
          <w:color w:val="auto"/>
          <w:sz w:val="24"/>
          <w:szCs w:val="24"/>
          <w:highlight w:val="none"/>
        </w:rPr>
        <w:t>中标后中标供应商向</w:t>
      </w:r>
      <w:r>
        <w:rPr>
          <w:rFonts w:hint="eastAsia" w:eastAsia="宋体" w:cs="Times New Roman" w:asciiTheme="minorEastAsia" w:hAnsiTheme="minorEastAsia"/>
          <w:b/>
          <w:color w:val="auto"/>
          <w:sz w:val="24"/>
          <w:szCs w:val="24"/>
          <w:highlight w:val="none"/>
        </w:rPr>
        <w:t>采购代理机构</w:t>
      </w:r>
      <w:r>
        <w:rPr>
          <w:rFonts w:hint="eastAsia" w:cs="Times New Roman" w:asciiTheme="minorEastAsia" w:hAnsiTheme="minorEastAsia"/>
          <w:b/>
          <w:color w:val="auto"/>
          <w:sz w:val="24"/>
          <w:szCs w:val="24"/>
          <w:highlight w:val="none"/>
        </w:rPr>
        <w:t>提供与电子投标文件完全一致的纸质投标文件（2份：一正、</w:t>
      </w:r>
      <w:r>
        <w:rPr>
          <w:rFonts w:hint="eastAsia" w:cs="Times New Roman" w:asciiTheme="minorEastAsia" w:hAnsiTheme="minorEastAsia"/>
          <w:b/>
          <w:color w:val="auto"/>
          <w:sz w:val="24"/>
          <w:szCs w:val="24"/>
          <w:highlight w:val="none"/>
          <w:lang w:eastAsia="zh-CN"/>
        </w:rPr>
        <w:t>二</w:t>
      </w:r>
      <w:r>
        <w:rPr>
          <w:rFonts w:hint="eastAsia" w:cs="Times New Roman" w:asciiTheme="minorEastAsia" w:hAnsiTheme="minorEastAsia"/>
          <w:b/>
          <w:color w:val="auto"/>
          <w:sz w:val="24"/>
          <w:szCs w:val="24"/>
          <w:highlight w:val="none"/>
        </w:rPr>
        <w:t>副）。</w:t>
      </w:r>
    </w:p>
    <w:p w14:paraId="4F3D209A">
      <w:pPr>
        <w:spacing w:line="360" w:lineRule="auto"/>
        <w:ind w:firstLine="720"/>
        <w:rPr>
          <w:rFonts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3</w:t>
      </w:r>
      <w:r>
        <w:rPr>
          <w:rFonts w:hint="eastAsia" w:cs="Times New Roman" w:asciiTheme="minorEastAsia" w:hAnsiTheme="minorEastAsia"/>
          <w:color w:val="auto"/>
          <w:sz w:val="24"/>
          <w:szCs w:val="24"/>
          <w:highlight w:val="none"/>
        </w:rPr>
        <w:t>）供应商请仔细阅读供应商注册流程和招标文件中关于电子开评标等相关事项，如有问题可发送邮件或电话咨询。</w:t>
      </w:r>
      <w:bookmarkStart w:id="1" w:name="_Toc120614211"/>
    </w:p>
    <w:p w14:paraId="2AA43136">
      <w:pPr>
        <w:spacing w:line="360" w:lineRule="auto"/>
        <w:ind w:firstLine="720"/>
        <w:rPr>
          <w:rFonts w:cs="Times New Roman" w:asciiTheme="minorEastAsia" w:hAnsiTheme="minorEastAsia"/>
          <w:color w:val="auto"/>
          <w:sz w:val="24"/>
          <w:szCs w:val="24"/>
          <w:highlight w:val="none"/>
        </w:rPr>
      </w:pPr>
    </w:p>
    <w:p w14:paraId="51066150">
      <w:pPr>
        <w:spacing w:line="360" w:lineRule="auto"/>
        <w:jc w:val="center"/>
        <w:rPr>
          <w:rFonts w:ascii="黑体" w:hAnsi="黑体" w:eastAsia="黑体" w:cs="黑体"/>
          <w:color w:val="auto"/>
          <w:sz w:val="36"/>
          <w:szCs w:val="36"/>
          <w:highlight w:val="none"/>
        </w:rPr>
      </w:pPr>
    </w:p>
    <w:p w14:paraId="3BF57DAD">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p>
    <w:p w14:paraId="0014594F">
      <w:pPr>
        <w:spacing w:line="360" w:lineRule="auto"/>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bookmarkStart w:id="2" w:name="_Toc16938518"/>
      <w:bookmarkStart w:id="3" w:name="_Toc20823274"/>
      <w:bookmarkStart w:id="4" w:name="_Toc120614213"/>
      <w:bookmarkStart w:id="5" w:name="_Toc513029202"/>
      <w:r>
        <w:rPr>
          <w:rFonts w:hint="eastAsia" w:ascii="黑体" w:hAnsi="黑体" w:eastAsia="黑体" w:cs="黑体"/>
          <w:color w:val="auto"/>
          <w:sz w:val="36"/>
          <w:szCs w:val="36"/>
          <w:highlight w:val="none"/>
        </w:rPr>
        <w:t>投标人须知</w:t>
      </w:r>
      <w:bookmarkEnd w:id="2"/>
      <w:bookmarkEnd w:id="3"/>
      <w:bookmarkEnd w:id="4"/>
      <w:bookmarkEnd w:id="5"/>
    </w:p>
    <w:p w14:paraId="659A7E26">
      <w:pPr>
        <w:pStyle w:val="186"/>
        <w:keepNext w:val="0"/>
        <w:keepLines w:val="0"/>
        <w:spacing w:before="0" w:after="0" w:line="360" w:lineRule="auto"/>
        <w:ind w:firstLine="452"/>
        <w:rPr>
          <w:color w:val="auto"/>
          <w:sz w:val="30"/>
          <w:szCs w:val="30"/>
          <w:highlight w:val="none"/>
          <w:lang w:eastAsia="zh-CN"/>
        </w:rPr>
      </w:pPr>
      <w:bookmarkStart w:id="6" w:name="_Toc16938519"/>
      <w:bookmarkStart w:id="7" w:name="_Toc513029203"/>
      <w:bookmarkStart w:id="8" w:name="_Toc20823275"/>
      <w:bookmarkStart w:id="9" w:name="_Toc120614214"/>
      <w:r>
        <w:rPr>
          <w:rFonts w:hint="eastAsia"/>
          <w:color w:val="auto"/>
          <w:sz w:val="30"/>
          <w:szCs w:val="30"/>
          <w:highlight w:val="none"/>
          <w:lang w:eastAsia="zh-CN"/>
        </w:rPr>
        <w:t>一、总则</w:t>
      </w:r>
      <w:bookmarkEnd w:id="6"/>
      <w:bookmarkEnd w:id="7"/>
      <w:bookmarkEnd w:id="8"/>
      <w:bookmarkEnd w:id="9"/>
    </w:p>
    <w:p w14:paraId="270C512A">
      <w:pPr>
        <w:pStyle w:val="344"/>
        <w:keepNext w:val="0"/>
        <w:keepLines w:val="0"/>
        <w:spacing w:before="0" w:after="0" w:line="360" w:lineRule="auto"/>
        <w:ind w:firstLine="422"/>
        <w:rPr>
          <w:rFonts w:ascii="宋体" w:hAnsi="宋体" w:eastAsia="宋体"/>
          <w:bCs w:val="0"/>
          <w:color w:val="auto"/>
          <w:highlight w:val="none"/>
          <w:lang w:eastAsia="zh-CN"/>
        </w:rPr>
      </w:pPr>
      <w:bookmarkStart w:id="10" w:name="_Hlt16619475"/>
      <w:bookmarkEnd w:id="10"/>
      <w:bookmarkStart w:id="11" w:name="_Toc513029204"/>
      <w:bookmarkStart w:id="12" w:name="_Toc20823276"/>
      <w:bookmarkStart w:id="13" w:name="_Toc16938520"/>
      <w:r>
        <w:rPr>
          <w:rFonts w:hint="eastAsia" w:ascii="宋体" w:hAnsi="宋体" w:eastAsia="宋体"/>
          <w:bCs w:val="0"/>
          <w:color w:val="auto"/>
          <w:highlight w:val="none"/>
          <w:lang w:eastAsia="zh-CN"/>
        </w:rPr>
        <w:t>1.招标方式</w:t>
      </w:r>
      <w:bookmarkEnd w:id="11"/>
      <w:bookmarkEnd w:id="12"/>
      <w:bookmarkEnd w:id="13"/>
    </w:p>
    <w:p w14:paraId="7C5E0EDC">
      <w:pPr>
        <w:spacing w:line="360" w:lineRule="auto"/>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74A6BFFF">
      <w:pPr>
        <w:pStyle w:val="344"/>
        <w:keepNext w:val="0"/>
        <w:keepLines w:val="0"/>
        <w:spacing w:before="0" w:after="0" w:line="360" w:lineRule="auto"/>
        <w:ind w:firstLine="422"/>
        <w:rPr>
          <w:rFonts w:ascii="宋体" w:hAnsi="宋体" w:eastAsia="宋体"/>
          <w:bCs w:val="0"/>
          <w:color w:val="auto"/>
          <w:highlight w:val="none"/>
          <w:lang w:eastAsia="zh-CN"/>
        </w:rPr>
      </w:pPr>
      <w:bookmarkStart w:id="14" w:name="_Toc513029205"/>
      <w:bookmarkStart w:id="15" w:name="_Toc16938521"/>
      <w:bookmarkStart w:id="16" w:name="_Toc20823277"/>
      <w:r>
        <w:rPr>
          <w:rFonts w:hint="eastAsia" w:ascii="宋体" w:hAnsi="宋体" w:eastAsia="宋体"/>
          <w:bCs w:val="0"/>
          <w:color w:val="auto"/>
          <w:highlight w:val="none"/>
          <w:lang w:eastAsia="zh-CN"/>
        </w:rPr>
        <w:t>2.</w:t>
      </w:r>
      <w:bookmarkEnd w:id="14"/>
      <w:bookmarkEnd w:id="15"/>
      <w:bookmarkEnd w:id="16"/>
      <w:r>
        <w:rPr>
          <w:rFonts w:hint="eastAsia" w:ascii="宋体" w:hAnsi="宋体" w:eastAsia="宋体"/>
          <w:bCs w:val="0"/>
          <w:color w:val="auto"/>
          <w:highlight w:val="none"/>
          <w:lang w:eastAsia="zh-CN"/>
        </w:rPr>
        <w:t>采购人、采购代理机构、投标人、联合体</w:t>
      </w:r>
    </w:p>
    <w:p w14:paraId="5109872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0047EFB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2.2投标人（也称“供应商</w:t>
      </w:r>
      <w:r>
        <w:rPr>
          <w:rFonts w:hint="eastAsia" w:ascii="宋体" w:hAnsi="宋体" w:eastAsia="宋体"/>
          <w:color w:val="auto"/>
          <w:sz w:val="24"/>
          <w:szCs w:val="24"/>
          <w:highlight w:val="none"/>
        </w:rPr>
        <w:t>”“</w:t>
      </w:r>
      <w:r>
        <w:rPr>
          <w:rFonts w:hint="eastAsia" w:ascii="宋体" w:hAnsi="宋体"/>
          <w:color w:val="auto"/>
          <w:sz w:val="24"/>
          <w:szCs w:val="24"/>
          <w:highlight w:val="none"/>
        </w:rPr>
        <w:t>申请人”）：是指响应招标、参加投标竞争的法人、其他组织或者自然人。合格的投标人应满足招标公告中供应商的资格要求以及本文件实质性要求和条件的规定。</w:t>
      </w:r>
    </w:p>
    <w:p w14:paraId="4AD19FB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33F7BA8">
      <w:pPr>
        <w:pStyle w:val="344"/>
        <w:keepNext w:val="0"/>
        <w:keepLines w:val="0"/>
        <w:spacing w:before="0" w:after="0" w:line="360" w:lineRule="auto"/>
        <w:ind w:firstLine="422"/>
        <w:rPr>
          <w:rFonts w:ascii="宋体" w:hAnsi="宋体" w:eastAsia="宋体"/>
          <w:bCs w:val="0"/>
          <w:color w:val="auto"/>
          <w:highlight w:val="none"/>
          <w:lang w:eastAsia="zh-CN"/>
        </w:rPr>
      </w:pPr>
      <w:bookmarkStart w:id="17" w:name="_Toc513029206"/>
      <w:bookmarkStart w:id="18" w:name="_Toc16938522"/>
      <w:bookmarkStart w:id="19" w:name="_Toc20823278"/>
      <w:r>
        <w:rPr>
          <w:rFonts w:hint="eastAsia" w:ascii="宋体" w:hAnsi="宋体" w:eastAsia="宋体"/>
          <w:bCs w:val="0"/>
          <w:color w:val="auto"/>
          <w:highlight w:val="none"/>
          <w:lang w:eastAsia="zh-CN"/>
        </w:rPr>
        <w:t>3.适用法律</w:t>
      </w:r>
      <w:bookmarkEnd w:id="17"/>
      <w:bookmarkEnd w:id="18"/>
      <w:bookmarkEnd w:id="19"/>
    </w:p>
    <w:p w14:paraId="20E2679A">
      <w:pPr>
        <w:spacing w:line="360" w:lineRule="auto"/>
        <w:ind w:firstLine="48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3FD1778E">
      <w:pPr>
        <w:pStyle w:val="344"/>
        <w:keepNext w:val="0"/>
        <w:keepLines w:val="0"/>
        <w:spacing w:before="0" w:after="0" w:line="360" w:lineRule="auto"/>
        <w:ind w:firstLine="422"/>
        <w:rPr>
          <w:rFonts w:ascii="宋体" w:hAnsi="宋体" w:eastAsia="宋体"/>
          <w:bCs w:val="0"/>
          <w:color w:val="auto"/>
          <w:highlight w:val="none"/>
          <w:lang w:eastAsia="zh-CN"/>
        </w:rPr>
      </w:pPr>
      <w:bookmarkStart w:id="20" w:name="_Toc20823279"/>
      <w:bookmarkStart w:id="21" w:name="_Toc16938523"/>
      <w:bookmarkStart w:id="22" w:name="_Toc462564067"/>
      <w:bookmarkStart w:id="23" w:name="_Toc513029207"/>
      <w:r>
        <w:rPr>
          <w:rFonts w:hint="eastAsia" w:ascii="宋体" w:hAnsi="宋体" w:eastAsia="宋体"/>
          <w:bCs w:val="0"/>
          <w:color w:val="auto"/>
          <w:highlight w:val="none"/>
          <w:lang w:eastAsia="zh-CN"/>
        </w:rPr>
        <w:t>4.投标费用</w:t>
      </w:r>
      <w:bookmarkEnd w:id="20"/>
      <w:bookmarkEnd w:id="21"/>
      <w:bookmarkEnd w:id="22"/>
      <w:bookmarkEnd w:id="23"/>
    </w:p>
    <w:p w14:paraId="68D3A4ED">
      <w:pPr>
        <w:spacing w:line="360" w:lineRule="auto"/>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eastAsia="宋体"/>
          <w:color w:val="auto"/>
          <w:sz w:val="24"/>
          <w:highlight w:val="none"/>
          <w:lang w:eastAsia="zh-CN"/>
        </w:rPr>
        <w:t>江苏筑祁园工程管理咨询有限公司</w:t>
      </w:r>
      <w:r>
        <w:rPr>
          <w:rFonts w:hint="eastAsia" w:ascii="宋体" w:hAnsi="宋体"/>
          <w:color w:val="auto"/>
          <w:sz w:val="24"/>
          <w:highlight w:val="none"/>
        </w:rPr>
        <w:t>在任何情况下均无义务和责任承担这些费用。</w:t>
      </w:r>
    </w:p>
    <w:p w14:paraId="469D6D9F">
      <w:pPr>
        <w:spacing w:line="360" w:lineRule="auto"/>
        <w:ind w:firstLine="480"/>
        <w:rPr>
          <w:rFonts w:ascii="宋体" w:hAnsi="宋体"/>
          <w:color w:val="auto"/>
          <w:sz w:val="24"/>
          <w:highlight w:val="none"/>
        </w:rPr>
      </w:pPr>
      <w:r>
        <w:rPr>
          <w:rFonts w:hint="eastAsia" w:ascii="宋体" w:hAnsi="宋体"/>
          <w:color w:val="auto"/>
          <w:sz w:val="24"/>
          <w:highlight w:val="none"/>
        </w:rPr>
        <w:t>4.2本项目采购代理服务费由</w:t>
      </w:r>
      <w:r>
        <w:rPr>
          <w:rFonts w:hint="eastAsia" w:ascii="宋体" w:hAnsi="宋体"/>
          <w:b/>
          <w:bCs/>
          <w:color w:val="auto"/>
          <w:sz w:val="24"/>
          <w:highlight w:val="none"/>
        </w:rPr>
        <w:t>中标供应商</w:t>
      </w:r>
      <w:r>
        <w:rPr>
          <w:rFonts w:hint="eastAsia" w:ascii="宋体" w:hAnsi="宋体"/>
          <w:color w:val="auto"/>
          <w:sz w:val="24"/>
          <w:highlight w:val="none"/>
        </w:rPr>
        <w:t>支付，代理服务费参照国家计委《招标代理服务收费管理暂行方法》的[2002]1980号文件规定的80%计取。上述文件收费标准为：中标金额100万以下费率为中标金额的1.50%，100万-500万费率为中标金额的0.8%，按差额定率累进法计算。以上金额为含税价。</w:t>
      </w:r>
    </w:p>
    <w:p w14:paraId="47F1E321">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5.招标文件的约束力</w:t>
      </w:r>
    </w:p>
    <w:p w14:paraId="472EC7EE">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72096791">
      <w:pPr>
        <w:pStyle w:val="186"/>
        <w:keepNext w:val="0"/>
        <w:keepLines w:val="0"/>
        <w:spacing w:before="0" w:after="0" w:line="360" w:lineRule="auto"/>
        <w:ind w:firstLine="452"/>
        <w:rPr>
          <w:color w:val="auto"/>
          <w:sz w:val="30"/>
          <w:szCs w:val="30"/>
          <w:highlight w:val="none"/>
          <w:lang w:eastAsia="zh-CN"/>
        </w:rPr>
      </w:pPr>
      <w:bookmarkStart w:id="24" w:name="_Toc20823281"/>
      <w:bookmarkStart w:id="25" w:name="_Toc16938525"/>
      <w:bookmarkStart w:id="26" w:name="_Toc120614215"/>
      <w:bookmarkStart w:id="27" w:name="_Toc513029209"/>
      <w:r>
        <w:rPr>
          <w:rFonts w:hint="eastAsia"/>
          <w:color w:val="auto"/>
          <w:sz w:val="30"/>
          <w:szCs w:val="30"/>
          <w:highlight w:val="none"/>
          <w:lang w:eastAsia="zh-CN"/>
        </w:rPr>
        <w:t>二、招标文件</w:t>
      </w:r>
      <w:bookmarkEnd w:id="24"/>
      <w:bookmarkEnd w:id="25"/>
      <w:bookmarkEnd w:id="26"/>
      <w:bookmarkEnd w:id="27"/>
    </w:p>
    <w:p w14:paraId="71EFF417">
      <w:pPr>
        <w:pStyle w:val="344"/>
        <w:keepNext w:val="0"/>
        <w:keepLines w:val="0"/>
        <w:spacing w:before="0" w:after="0" w:line="360" w:lineRule="auto"/>
        <w:ind w:firstLine="422"/>
        <w:rPr>
          <w:rFonts w:ascii="宋体" w:hAnsi="宋体" w:eastAsia="宋体"/>
          <w:bCs w:val="0"/>
          <w:color w:val="auto"/>
          <w:highlight w:val="none"/>
          <w:lang w:eastAsia="zh-CN"/>
        </w:rPr>
      </w:pPr>
      <w:bookmarkStart w:id="28" w:name="_Toc20823282"/>
      <w:bookmarkStart w:id="29" w:name="_Toc513029210"/>
      <w:bookmarkStart w:id="30" w:name="_Toc16938526"/>
      <w:r>
        <w:rPr>
          <w:rFonts w:hint="eastAsia" w:ascii="宋体" w:hAnsi="宋体" w:eastAsia="宋体"/>
          <w:bCs w:val="0"/>
          <w:color w:val="auto"/>
          <w:highlight w:val="none"/>
          <w:lang w:eastAsia="zh-CN"/>
        </w:rPr>
        <w:t>6.招标文件构成</w:t>
      </w:r>
      <w:bookmarkEnd w:id="28"/>
      <w:bookmarkEnd w:id="29"/>
      <w:bookmarkEnd w:id="30"/>
    </w:p>
    <w:p w14:paraId="7BCBC768">
      <w:pPr>
        <w:spacing w:line="360" w:lineRule="auto"/>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2CC88AE6">
      <w:pPr>
        <w:spacing w:line="360" w:lineRule="auto"/>
        <w:ind w:firstLine="480"/>
        <w:rPr>
          <w:rFonts w:ascii="宋体" w:hAnsi="宋体" w:eastAsia="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r>
        <w:rPr>
          <w:rFonts w:hint="eastAsia" w:ascii="宋体" w:hAnsi="宋体" w:eastAsia="宋体"/>
          <w:color w:val="auto"/>
          <w:sz w:val="24"/>
          <w:szCs w:val="24"/>
          <w:highlight w:val="none"/>
        </w:rPr>
        <w:t>函</w:t>
      </w:r>
    </w:p>
    <w:p w14:paraId="6D813CE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74D2797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5B15B3D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6B6BE5AE">
      <w:pPr>
        <w:spacing w:line="360" w:lineRule="auto"/>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1FC17B0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308B129D">
      <w:pPr>
        <w:spacing w:line="360" w:lineRule="auto"/>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eastAsia="宋体"/>
          <w:color w:val="auto"/>
          <w:sz w:val="24"/>
          <w:highlight w:val="none"/>
        </w:rPr>
        <w:t>采购代理机构</w:t>
      </w:r>
      <w:r>
        <w:rPr>
          <w:rFonts w:hint="eastAsia" w:ascii="宋体" w:hAnsi="宋体"/>
          <w:color w:val="auto"/>
          <w:sz w:val="24"/>
          <w:highlight w:val="none"/>
        </w:rPr>
        <w:t>联系解决。</w:t>
      </w:r>
    </w:p>
    <w:p w14:paraId="316278E8">
      <w:pPr>
        <w:spacing w:line="360" w:lineRule="auto"/>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2A55805">
      <w:pPr>
        <w:pStyle w:val="344"/>
        <w:keepNext w:val="0"/>
        <w:keepLines w:val="0"/>
        <w:spacing w:before="0" w:after="0" w:line="360" w:lineRule="auto"/>
        <w:ind w:firstLine="422"/>
        <w:rPr>
          <w:rFonts w:ascii="宋体" w:hAnsi="宋体" w:eastAsia="宋体"/>
          <w:bCs w:val="0"/>
          <w:color w:val="auto"/>
          <w:highlight w:val="none"/>
          <w:lang w:eastAsia="zh-CN"/>
        </w:rPr>
      </w:pPr>
      <w:bookmarkStart w:id="31" w:name="_Toc462564070"/>
      <w:bookmarkStart w:id="32" w:name="_Toc16938527"/>
      <w:bookmarkStart w:id="33" w:name="_Toc20823283"/>
      <w:bookmarkStart w:id="34" w:name="_Toc513029211"/>
      <w:r>
        <w:rPr>
          <w:rFonts w:hint="eastAsia" w:ascii="宋体" w:hAnsi="宋体" w:eastAsia="宋体"/>
          <w:bCs w:val="0"/>
          <w:color w:val="auto"/>
          <w:highlight w:val="none"/>
          <w:lang w:eastAsia="zh-CN"/>
        </w:rPr>
        <w:t>7.招标文件的澄清</w:t>
      </w:r>
      <w:bookmarkEnd w:id="31"/>
      <w:bookmarkEnd w:id="32"/>
      <w:bookmarkEnd w:id="33"/>
      <w:bookmarkEnd w:id="34"/>
    </w:p>
    <w:p w14:paraId="08DD9A88">
      <w:pPr>
        <w:spacing w:line="360" w:lineRule="auto"/>
        <w:ind w:firstLine="480"/>
        <w:rPr>
          <w:rFonts w:ascii="宋体" w:hAnsi="宋体"/>
          <w:bCs/>
          <w:color w:val="auto"/>
          <w:sz w:val="24"/>
          <w:highlight w:val="none"/>
        </w:rPr>
      </w:pPr>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采购代理机构</w:t>
      </w:r>
      <w:r>
        <w:rPr>
          <w:rFonts w:hint="eastAsia" w:ascii="宋体" w:hAnsi="宋体"/>
          <w:bCs/>
          <w:color w:val="auto"/>
          <w:sz w:val="24"/>
          <w:highlight w:val="none"/>
        </w:rPr>
        <w:t>以书面形式提出。</w:t>
      </w:r>
    </w:p>
    <w:p w14:paraId="1B5B73FC">
      <w:pPr>
        <w:pStyle w:val="344"/>
        <w:keepNext w:val="0"/>
        <w:keepLines w:val="0"/>
        <w:spacing w:before="0" w:after="0" w:line="360" w:lineRule="auto"/>
        <w:ind w:firstLine="422"/>
        <w:rPr>
          <w:rFonts w:ascii="宋体" w:hAnsi="宋体" w:eastAsia="宋体"/>
          <w:bCs w:val="0"/>
          <w:color w:val="auto"/>
          <w:highlight w:val="none"/>
          <w:lang w:eastAsia="zh-CN"/>
        </w:rPr>
      </w:pPr>
      <w:bookmarkStart w:id="35" w:name="_Toc16938528"/>
      <w:bookmarkStart w:id="36" w:name="_Toc513029212"/>
      <w:bookmarkStart w:id="37" w:name="_Toc20823284"/>
      <w:bookmarkStart w:id="38" w:name="_Toc462564071"/>
      <w:r>
        <w:rPr>
          <w:rFonts w:hint="eastAsia" w:ascii="宋体" w:hAnsi="宋体" w:eastAsia="宋体"/>
          <w:bCs w:val="0"/>
          <w:color w:val="auto"/>
          <w:highlight w:val="none"/>
          <w:lang w:eastAsia="zh-CN"/>
        </w:rPr>
        <w:t>8.招标文件的修改</w:t>
      </w:r>
      <w:bookmarkEnd w:id="35"/>
      <w:bookmarkEnd w:id="36"/>
      <w:bookmarkEnd w:id="37"/>
      <w:bookmarkEnd w:id="38"/>
    </w:p>
    <w:p w14:paraId="4991ACF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591D5814">
      <w:pPr>
        <w:spacing w:line="360" w:lineRule="auto"/>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4D16CF8A">
      <w:pPr>
        <w:pStyle w:val="186"/>
        <w:keepNext w:val="0"/>
        <w:keepLines w:val="0"/>
        <w:spacing w:before="0" w:after="0" w:line="360" w:lineRule="auto"/>
        <w:ind w:firstLine="452"/>
        <w:rPr>
          <w:color w:val="auto"/>
          <w:sz w:val="30"/>
          <w:szCs w:val="30"/>
          <w:highlight w:val="none"/>
          <w:lang w:eastAsia="zh-CN"/>
        </w:rPr>
      </w:pPr>
      <w:bookmarkStart w:id="39" w:name="_Toc513029213"/>
      <w:bookmarkStart w:id="40" w:name="_Toc20823285"/>
      <w:bookmarkStart w:id="41" w:name="_Toc462564072"/>
      <w:bookmarkStart w:id="42" w:name="_Toc120614216"/>
      <w:bookmarkStart w:id="43" w:name="_Toc16938529"/>
      <w:r>
        <w:rPr>
          <w:rFonts w:hint="eastAsia"/>
          <w:color w:val="auto"/>
          <w:sz w:val="30"/>
          <w:szCs w:val="30"/>
          <w:highlight w:val="none"/>
          <w:lang w:eastAsia="zh-CN"/>
        </w:rPr>
        <w:t>三、投标文件的编制</w:t>
      </w:r>
      <w:bookmarkEnd w:id="39"/>
      <w:bookmarkEnd w:id="40"/>
      <w:bookmarkEnd w:id="41"/>
      <w:bookmarkEnd w:id="42"/>
      <w:bookmarkEnd w:id="43"/>
    </w:p>
    <w:p w14:paraId="16AD3D39">
      <w:pPr>
        <w:pStyle w:val="344"/>
        <w:keepNext w:val="0"/>
        <w:keepLines w:val="0"/>
        <w:spacing w:before="0" w:after="0" w:line="360" w:lineRule="auto"/>
        <w:ind w:firstLine="422"/>
        <w:rPr>
          <w:rFonts w:ascii="宋体" w:hAnsi="宋体" w:eastAsia="宋体"/>
          <w:bCs w:val="0"/>
          <w:color w:val="auto"/>
          <w:highlight w:val="none"/>
          <w:lang w:eastAsia="zh-CN"/>
        </w:rPr>
      </w:pPr>
      <w:bookmarkStart w:id="44" w:name="_Toc20823286"/>
      <w:bookmarkStart w:id="45" w:name="_Toc513029214"/>
      <w:bookmarkStart w:id="46" w:name="_Toc462564073"/>
      <w:bookmarkStart w:id="47" w:name="_Toc16938530"/>
      <w:r>
        <w:rPr>
          <w:rFonts w:hint="eastAsia" w:ascii="宋体" w:hAnsi="宋体" w:eastAsia="宋体"/>
          <w:bCs w:val="0"/>
          <w:color w:val="auto"/>
          <w:highlight w:val="none"/>
          <w:lang w:eastAsia="zh-CN"/>
        </w:rPr>
        <w:t>9.投标文件的语言及度量衡单位</w:t>
      </w:r>
      <w:bookmarkEnd w:id="44"/>
      <w:bookmarkEnd w:id="45"/>
      <w:bookmarkEnd w:id="46"/>
      <w:bookmarkEnd w:id="47"/>
    </w:p>
    <w:p w14:paraId="0BF38996">
      <w:pPr>
        <w:spacing w:line="360" w:lineRule="auto"/>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eastAsia="宋体"/>
          <w:color w:val="auto"/>
          <w:sz w:val="24"/>
          <w:highlight w:val="none"/>
        </w:rPr>
        <w:t>采购代理机构</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3DF33389">
      <w:pPr>
        <w:spacing w:line="360" w:lineRule="auto"/>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00D9A8C5">
      <w:pPr>
        <w:pStyle w:val="344"/>
        <w:keepNext w:val="0"/>
        <w:keepLines w:val="0"/>
        <w:spacing w:before="0" w:after="0" w:line="360" w:lineRule="auto"/>
        <w:ind w:firstLine="422"/>
        <w:rPr>
          <w:rFonts w:ascii="宋体" w:hAnsi="宋体" w:eastAsia="宋体"/>
          <w:bCs w:val="0"/>
          <w:color w:val="auto"/>
          <w:highlight w:val="none"/>
          <w:lang w:eastAsia="zh-CN"/>
        </w:rPr>
      </w:pPr>
      <w:bookmarkStart w:id="48" w:name="_Toc513029215"/>
      <w:bookmarkStart w:id="49" w:name="_Toc20823287"/>
      <w:bookmarkStart w:id="50" w:name="_Toc16938531"/>
      <w:bookmarkStart w:id="51" w:name="_Toc462564074"/>
      <w:r>
        <w:rPr>
          <w:rFonts w:hint="eastAsia" w:ascii="宋体" w:hAnsi="宋体" w:eastAsia="宋体"/>
          <w:bCs w:val="0"/>
          <w:color w:val="auto"/>
          <w:highlight w:val="none"/>
          <w:lang w:eastAsia="zh-CN"/>
        </w:rPr>
        <w:t>10.投标文件构成</w:t>
      </w:r>
      <w:bookmarkEnd w:id="48"/>
      <w:bookmarkEnd w:id="49"/>
      <w:bookmarkEnd w:id="50"/>
      <w:bookmarkEnd w:id="51"/>
    </w:p>
    <w:p w14:paraId="75AFFDD2">
      <w:pPr>
        <w:spacing w:line="360" w:lineRule="auto"/>
        <w:ind w:firstLine="480"/>
        <w:rPr>
          <w:rFonts w:ascii="宋体" w:hAnsi="宋体"/>
          <w:color w:val="auto"/>
          <w:sz w:val="24"/>
          <w:highlight w:val="none"/>
        </w:rPr>
      </w:pPr>
      <w:r>
        <w:rPr>
          <w:rFonts w:hint="eastAsia" w:ascii="宋体" w:hAnsi="宋体"/>
          <w:color w:val="auto"/>
          <w:sz w:val="24"/>
          <w:highlight w:val="none"/>
        </w:rPr>
        <w:t>10.1投标人编写的</w:t>
      </w:r>
      <w:r>
        <w:rPr>
          <w:rFonts w:hint="eastAsia" w:ascii="宋体" w:hAnsi="宋体"/>
          <w:b/>
          <w:bCs/>
          <w:color w:val="auto"/>
          <w:sz w:val="24"/>
          <w:highlight w:val="none"/>
        </w:rPr>
        <w:t>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64D81DEF">
      <w:pPr>
        <w:spacing w:line="360" w:lineRule="auto"/>
        <w:ind w:firstLine="480"/>
        <w:rPr>
          <w:rFonts w:ascii="宋体" w:hAnsi="宋体"/>
          <w:color w:val="auto"/>
          <w:sz w:val="24"/>
          <w:highlight w:val="none"/>
        </w:rPr>
      </w:pPr>
      <w:r>
        <w:rPr>
          <w:rFonts w:hint="eastAsia" w:ascii="宋体" w:hAnsi="宋体"/>
          <w:color w:val="auto"/>
          <w:sz w:val="24"/>
          <w:highlight w:val="none"/>
        </w:rPr>
        <w:t>10.2投标人所须提供的相关证明文件和要求以及投标文件的部分格式要求，详见第六章《投标文件内容与格式》。</w:t>
      </w:r>
    </w:p>
    <w:p w14:paraId="5C1BB29F">
      <w:pPr>
        <w:spacing w:line="360" w:lineRule="auto"/>
        <w:ind w:firstLine="480"/>
        <w:rPr>
          <w:rFonts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77FA4A8B">
      <w:pPr>
        <w:pStyle w:val="344"/>
        <w:keepNext w:val="0"/>
        <w:keepLines w:val="0"/>
        <w:spacing w:before="0" w:after="0" w:line="360" w:lineRule="auto"/>
        <w:ind w:firstLine="422"/>
        <w:rPr>
          <w:rFonts w:ascii="宋体" w:hAnsi="宋体" w:eastAsia="宋体"/>
          <w:bCs w:val="0"/>
          <w:color w:val="auto"/>
          <w:highlight w:val="none"/>
          <w:lang w:eastAsia="zh-CN"/>
        </w:rPr>
      </w:pPr>
      <w:bookmarkStart w:id="52" w:name="_Hlt26668975"/>
      <w:bookmarkEnd w:id="52"/>
      <w:bookmarkStart w:id="53" w:name="_Hlt26670360"/>
      <w:bookmarkEnd w:id="53"/>
      <w:bookmarkStart w:id="54" w:name="_Hlt26954838"/>
      <w:bookmarkEnd w:id="54"/>
      <w:bookmarkStart w:id="55" w:name="_Toc513029216"/>
      <w:bookmarkStart w:id="56" w:name="_Toc49090509"/>
      <w:bookmarkStart w:id="57" w:name="_Toc14577357"/>
      <w:bookmarkStart w:id="58" w:name="_Toc513029219"/>
      <w:bookmarkStart w:id="59" w:name="_Toc14577354"/>
      <w:bookmarkStart w:id="60" w:name="_Toc49090507"/>
      <w:r>
        <w:rPr>
          <w:rFonts w:hint="eastAsia" w:ascii="宋体" w:hAnsi="宋体" w:eastAsia="宋体"/>
          <w:bCs w:val="0"/>
          <w:color w:val="auto"/>
          <w:highlight w:val="none"/>
          <w:lang w:eastAsia="zh-CN"/>
        </w:rPr>
        <w:t>11.证明投标人及投标标的符合招标文件规定的文件</w:t>
      </w:r>
      <w:bookmarkEnd w:id="55"/>
      <w:bookmarkEnd w:id="56"/>
      <w:bookmarkEnd w:id="57"/>
      <w:bookmarkEnd w:id="58"/>
      <w:bookmarkEnd w:id="59"/>
      <w:bookmarkEnd w:id="60"/>
    </w:p>
    <w:p w14:paraId="404E8A25">
      <w:pPr>
        <w:spacing w:line="360" w:lineRule="auto"/>
        <w:ind w:firstLine="480"/>
        <w:rPr>
          <w:rFonts w:ascii="宋体" w:hAnsi="宋体"/>
          <w:bCs/>
          <w:color w:val="auto"/>
          <w:sz w:val="24"/>
          <w:highlight w:val="none"/>
        </w:rPr>
      </w:pPr>
      <w:bookmarkStart w:id="61" w:name="_Toc14577355"/>
      <w:bookmarkStart w:id="62" w:name="_Toc49090508"/>
      <w:r>
        <w:rPr>
          <w:rFonts w:hint="eastAsia" w:ascii="宋体" w:hAnsi="宋体"/>
          <w:bCs/>
          <w:color w:val="auto"/>
          <w:sz w:val="24"/>
          <w:highlight w:val="none"/>
        </w:rPr>
        <w:t>11.1投标人应按照</w:t>
      </w:r>
      <w:r>
        <w:rPr>
          <w:rFonts w:hint="eastAsia" w:ascii="宋体" w:hAnsi="宋体" w:eastAsia="宋体"/>
          <w:bCs/>
          <w:color w:val="auto"/>
          <w:sz w:val="24"/>
          <w:highlight w:val="none"/>
        </w:rPr>
        <w:t>法律法规</w:t>
      </w:r>
      <w:r>
        <w:rPr>
          <w:rFonts w:hint="eastAsia" w:ascii="宋体" w:hAnsi="宋体"/>
          <w:bCs/>
          <w:color w:val="auto"/>
          <w:sz w:val="24"/>
          <w:highlight w:val="none"/>
        </w:rPr>
        <w:t>、规章和规范性文件以及招标文件要求提交证明文件，证明其及投标标的符合招标文件规定。</w:t>
      </w:r>
    </w:p>
    <w:p w14:paraId="20707F73">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7CC4617E">
      <w:pPr>
        <w:pStyle w:val="344"/>
        <w:keepNext w:val="0"/>
        <w:keepLines w:val="0"/>
        <w:spacing w:before="0" w:after="0" w:line="360" w:lineRule="auto"/>
        <w:ind w:firstLine="422"/>
        <w:rPr>
          <w:rFonts w:ascii="宋体" w:hAnsi="宋体" w:eastAsia="宋体"/>
          <w:bCs w:val="0"/>
          <w:color w:val="auto"/>
          <w:highlight w:val="none"/>
          <w:lang w:eastAsia="zh-CN"/>
        </w:rPr>
      </w:pPr>
      <w:bookmarkStart w:id="63" w:name="_Toc14577359"/>
      <w:bookmarkStart w:id="64" w:name="_Toc49090510"/>
      <w:r>
        <w:rPr>
          <w:rFonts w:hint="eastAsia" w:ascii="宋体" w:hAnsi="宋体" w:eastAsia="宋体"/>
          <w:bCs w:val="0"/>
          <w:color w:val="auto"/>
          <w:highlight w:val="none"/>
          <w:lang w:eastAsia="zh-CN"/>
        </w:rPr>
        <w:t>12.投标函、承诺书和开标一览表</w:t>
      </w:r>
    </w:p>
    <w:p w14:paraId="65F76889">
      <w:pPr>
        <w:spacing w:line="360" w:lineRule="auto"/>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55A8C89">
      <w:pPr>
        <w:spacing w:line="360" w:lineRule="auto"/>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63"/>
      <w:bookmarkEnd w:id="64"/>
    </w:p>
    <w:p w14:paraId="501824AA">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61"/>
      <w:bookmarkEnd w:id="62"/>
      <w:r>
        <w:rPr>
          <w:rFonts w:hint="eastAsia" w:ascii="宋体" w:hAnsi="宋体" w:eastAsia="宋体"/>
          <w:bCs w:val="0"/>
          <w:color w:val="auto"/>
          <w:highlight w:val="none"/>
          <w:lang w:eastAsia="zh-CN"/>
        </w:rPr>
        <w:t>分项报价表</w:t>
      </w:r>
    </w:p>
    <w:p w14:paraId="2C21185A">
      <w:pPr>
        <w:spacing w:line="360" w:lineRule="auto"/>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65" w:name="_Hlt26954840"/>
      <w:bookmarkEnd w:id="65"/>
      <w:r>
        <w:rPr>
          <w:rFonts w:hint="eastAsia" w:ascii="宋体" w:hAnsi="宋体"/>
          <w:color w:val="auto"/>
          <w:sz w:val="24"/>
          <w:highlight w:val="none"/>
        </w:rPr>
        <w:t>标人应按照招标文件规定格式填报</w:t>
      </w:r>
      <w:bookmarkStart w:id="66" w:name="_Hlt26670399"/>
      <w:bookmarkEnd w:id="66"/>
      <w:r>
        <w:rPr>
          <w:rFonts w:hint="eastAsia" w:ascii="宋体" w:hAnsi="宋体"/>
          <w:color w:val="auto"/>
          <w:sz w:val="24"/>
          <w:highlight w:val="none"/>
        </w:rPr>
        <w:t>分项报价表。</w:t>
      </w:r>
    </w:p>
    <w:p w14:paraId="4CD2BA5E">
      <w:pPr>
        <w:spacing w:line="360" w:lineRule="auto"/>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49894AE6">
      <w:pPr>
        <w:pStyle w:val="344"/>
        <w:keepNext w:val="0"/>
        <w:keepLines w:val="0"/>
        <w:spacing w:before="0" w:after="0" w:line="360" w:lineRule="auto"/>
        <w:ind w:firstLine="422"/>
        <w:rPr>
          <w:rFonts w:ascii="宋体" w:hAnsi="宋体" w:eastAsia="宋体"/>
          <w:bCs w:val="0"/>
          <w:color w:val="auto"/>
          <w:highlight w:val="none"/>
          <w:lang w:eastAsia="zh-CN"/>
        </w:rPr>
      </w:pPr>
      <w:bookmarkStart w:id="67" w:name="_Hlt26954844"/>
      <w:bookmarkEnd w:id="67"/>
      <w:bookmarkStart w:id="68" w:name="_Hlt26954846"/>
      <w:bookmarkEnd w:id="68"/>
      <w:bookmarkStart w:id="69" w:name="_Hlt26668983"/>
      <w:bookmarkEnd w:id="69"/>
      <w:bookmarkStart w:id="70" w:name="_Hlt26954848"/>
      <w:bookmarkEnd w:id="70"/>
      <w:bookmarkStart w:id="71" w:name="_Hlt26954842"/>
      <w:bookmarkEnd w:id="71"/>
      <w:bookmarkStart w:id="72" w:name="_Hlt26670482"/>
      <w:bookmarkEnd w:id="72"/>
      <w:bookmarkStart w:id="73" w:name="_Hlt26670403"/>
      <w:bookmarkEnd w:id="73"/>
      <w:bookmarkStart w:id="74" w:name="_Hlt26670486"/>
      <w:bookmarkEnd w:id="74"/>
      <w:bookmarkStart w:id="75" w:name="_Hlt26954731"/>
      <w:bookmarkEnd w:id="75"/>
      <w:bookmarkStart w:id="76" w:name="_Hlt26670425"/>
      <w:bookmarkEnd w:id="76"/>
      <w:r>
        <w:rPr>
          <w:rFonts w:hint="eastAsia" w:ascii="宋体" w:hAnsi="宋体" w:eastAsia="宋体"/>
          <w:bCs w:val="0"/>
          <w:color w:val="auto"/>
          <w:highlight w:val="none"/>
          <w:lang w:eastAsia="zh-CN"/>
        </w:rPr>
        <w:t>14.投标偏离表</w:t>
      </w:r>
    </w:p>
    <w:p w14:paraId="49E169B9">
      <w:pPr>
        <w:tabs>
          <w:tab w:val="left" w:pos="1035"/>
        </w:tabs>
        <w:spacing w:line="360" w:lineRule="auto"/>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78122F7A">
      <w:pPr>
        <w:pStyle w:val="344"/>
        <w:keepNext w:val="0"/>
        <w:keepLines w:val="0"/>
        <w:spacing w:before="0" w:after="0" w:line="360" w:lineRule="auto"/>
        <w:ind w:firstLine="422"/>
        <w:rPr>
          <w:rFonts w:ascii="宋体" w:hAnsi="宋体" w:eastAsia="宋体"/>
          <w:bCs w:val="0"/>
          <w:color w:val="auto"/>
          <w:highlight w:val="none"/>
          <w:lang w:eastAsia="zh-CN"/>
        </w:rPr>
      </w:pPr>
      <w:bookmarkStart w:id="77" w:name="_Hlt26954734"/>
      <w:bookmarkEnd w:id="77"/>
      <w:bookmarkStart w:id="78" w:name="_Hlt26954850"/>
      <w:bookmarkEnd w:id="78"/>
      <w:bookmarkStart w:id="79" w:name="_Hlt26670489"/>
      <w:bookmarkEnd w:id="79"/>
      <w:bookmarkStart w:id="80" w:name="_Toc49090511"/>
      <w:bookmarkStart w:id="81" w:name="_Toc14577360"/>
      <w:r>
        <w:rPr>
          <w:rFonts w:hint="eastAsia" w:ascii="宋体" w:hAnsi="宋体" w:eastAsia="宋体"/>
          <w:bCs w:val="0"/>
          <w:color w:val="auto"/>
          <w:highlight w:val="none"/>
          <w:lang w:eastAsia="zh-CN"/>
        </w:rPr>
        <w:t>15.投标有效期</w:t>
      </w:r>
      <w:bookmarkEnd w:id="80"/>
      <w:bookmarkEnd w:id="81"/>
    </w:p>
    <w:p w14:paraId="2EB8FE41">
      <w:pPr>
        <w:spacing w:line="360" w:lineRule="auto"/>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1BD4BE1">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16.投标有效期的延长</w:t>
      </w:r>
    </w:p>
    <w:p w14:paraId="2FEC610B">
      <w:pPr>
        <w:spacing w:line="360" w:lineRule="auto"/>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eastAsia="宋体"/>
          <w:bCs/>
          <w:color w:val="auto"/>
          <w:sz w:val="24"/>
          <w:highlight w:val="none"/>
        </w:rPr>
        <w:t>采购代理机构</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采购代理机构</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3E1DE354">
      <w:pPr>
        <w:pStyle w:val="186"/>
        <w:keepNext w:val="0"/>
        <w:keepLines w:val="0"/>
        <w:spacing w:before="0" w:after="0" w:line="360" w:lineRule="auto"/>
        <w:ind w:firstLine="452"/>
        <w:rPr>
          <w:color w:val="auto"/>
          <w:sz w:val="30"/>
          <w:szCs w:val="30"/>
          <w:highlight w:val="none"/>
          <w:lang w:eastAsia="zh-CN"/>
        </w:rPr>
      </w:pPr>
      <w:bookmarkStart w:id="82" w:name="_Hlt26954739"/>
      <w:bookmarkEnd w:id="82"/>
      <w:bookmarkStart w:id="83" w:name="_Hlt26954852"/>
      <w:bookmarkEnd w:id="83"/>
      <w:bookmarkStart w:id="84" w:name="_Toc20823296"/>
      <w:bookmarkStart w:id="85" w:name="_Toc120614217"/>
      <w:bookmarkStart w:id="86" w:name="_Toc513029224"/>
      <w:bookmarkStart w:id="87" w:name="_Toc16938540"/>
      <w:r>
        <w:rPr>
          <w:rFonts w:hint="eastAsia"/>
          <w:color w:val="auto"/>
          <w:sz w:val="30"/>
          <w:szCs w:val="30"/>
          <w:highlight w:val="none"/>
          <w:lang w:eastAsia="zh-CN"/>
        </w:rPr>
        <w:t>四、投标文件的递交</w:t>
      </w:r>
      <w:bookmarkEnd w:id="84"/>
      <w:bookmarkEnd w:id="85"/>
      <w:bookmarkEnd w:id="86"/>
      <w:bookmarkEnd w:id="87"/>
    </w:p>
    <w:p w14:paraId="7394FD4F">
      <w:pPr>
        <w:pStyle w:val="344"/>
        <w:keepNext w:val="0"/>
        <w:keepLines w:val="0"/>
        <w:spacing w:before="0" w:after="0" w:line="360" w:lineRule="auto"/>
        <w:ind w:firstLine="422"/>
        <w:rPr>
          <w:rFonts w:ascii="宋体" w:hAnsi="宋体" w:eastAsia="宋体"/>
          <w:bCs w:val="0"/>
          <w:color w:val="auto"/>
          <w:highlight w:val="none"/>
          <w:lang w:eastAsia="zh-CN"/>
        </w:rPr>
      </w:pPr>
      <w:bookmarkStart w:id="88" w:name="_Toc462564084"/>
      <w:bookmarkStart w:id="89" w:name="_Toc513029225"/>
      <w:bookmarkStart w:id="90" w:name="_Toc16938541"/>
      <w:bookmarkStart w:id="91" w:name="_Toc20823297"/>
      <w:r>
        <w:rPr>
          <w:rFonts w:hint="eastAsia" w:ascii="宋体" w:hAnsi="宋体" w:eastAsia="宋体"/>
          <w:bCs w:val="0"/>
          <w:color w:val="auto"/>
          <w:highlight w:val="none"/>
          <w:lang w:eastAsia="zh-CN"/>
        </w:rPr>
        <w:t>17.投标文件</w:t>
      </w:r>
      <w:bookmarkEnd w:id="88"/>
      <w:bookmarkEnd w:id="89"/>
      <w:bookmarkEnd w:id="90"/>
      <w:bookmarkEnd w:id="91"/>
      <w:r>
        <w:rPr>
          <w:rFonts w:hint="eastAsia" w:ascii="宋体" w:hAnsi="宋体" w:eastAsia="宋体"/>
          <w:bCs w:val="0"/>
          <w:color w:val="auto"/>
          <w:highlight w:val="none"/>
          <w:lang w:eastAsia="zh-CN"/>
        </w:rPr>
        <w:t>的递交</w:t>
      </w:r>
    </w:p>
    <w:p w14:paraId="53090AC6">
      <w:pPr>
        <w:spacing w:line="360" w:lineRule="auto"/>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5764E32D">
      <w:pPr>
        <w:pStyle w:val="430"/>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2" w:name="_Toc16938542"/>
      <w:bookmarkStart w:id="93" w:name="_Toc513029226"/>
      <w:bookmarkStart w:id="94" w:name="_Toc20823298"/>
    </w:p>
    <w:p w14:paraId="09E41C3C">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18.投标截止</w:t>
      </w:r>
      <w:bookmarkEnd w:id="92"/>
      <w:bookmarkEnd w:id="93"/>
      <w:bookmarkEnd w:id="94"/>
      <w:r>
        <w:rPr>
          <w:rFonts w:hint="eastAsia" w:ascii="宋体" w:hAnsi="宋体" w:eastAsia="宋体"/>
          <w:bCs w:val="0"/>
          <w:color w:val="auto"/>
          <w:highlight w:val="none"/>
          <w:lang w:eastAsia="zh-CN"/>
        </w:rPr>
        <w:t>时间</w:t>
      </w:r>
    </w:p>
    <w:p w14:paraId="6E32AE09">
      <w:pPr>
        <w:spacing w:line="360" w:lineRule="auto"/>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6B64FAAE">
      <w:pPr>
        <w:spacing w:line="360" w:lineRule="auto"/>
        <w:ind w:firstLine="480"/>
        <w:rPr>
          <w:rFonts w:ascii="宋体" w:hAnsi="宋体"/>
          <w:bCs/>
          <w:color w:val="auto"/>
          <w:sz w:val="24"/>
          <w:highlight w:val="none"/>
        </w:rPr>
      </w:pPr>
      <w:r>
        <w:rPr>
          <w:rFonts w:hint="eastAsia" w:ascii="宋体" w:hAnsi="宋体"/>
          <w:bCs/>
          <w:color w:val="auto"/>
          <w:sz w:val="24"/>
          <w:highlight w:val="none"/>
        </w:rPr>
        <w:t>投标人应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网络环境、网络带宽等风险因素，如因投标人自身原因造成的电子投标文件上传不成功的视作投标人未按照招标文件要求上传电子投标文件，做无效投标处理。</w:t>
      </w:r>
    </w:p>
    <w:p w14:paraId="6E8F8DC0">
      <w:pPr>
        <w:spacing w:line="360" w:lineRule="auto"/>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eastAsia="宋体"/>
          <w:bCs/>
          <w:color w:val="auto"/>
          <w:sz w:val="24"/>
          <w:highlight w:val="none"/>
        </w:rPr>
        <w:t>采购代理机构</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6FF8E79F">
      <w:pPr>
        <w:pStyle w:val="344"/>
        <w:keepNext w:val="0"/>
        <w:keepLines w:val="0"/>
        <w:spacing w:before="0" w:after="0" w:line="360" w:lineRule="auto"/>
        <w:ind w:firstLine="422"/>
        <w:rPr>
          <w:rFonts w:ascii="宋体" w:hAnsi="宋体" w:eastAsia="宋体"/>
          <w:bCs w:val="0"/>
          <w:color w:val="auto"/>
          <w:highlight w:val="none"/>
          <w:lang w:eastAsia="zh-CN"/>
        </w:rPr>
      </w:pPr>
      <w:bookmarkStart w:id="95" w:name="_Toc20823299"/>
      <w:bookmarkStart w:id="96" w:name="_Toc513029227"/>
      <w:bookmarkStart w:id="97" w:name="_Toc16938543"/>
      <w:r>
        <w:rPr>
          <w:rFonts w:hint="eastAsia" w:ascii="宋体" w:hAnsi="宋体" w:eastAsia="宋体"/>
          <w:bCs w:val="0"/>
          <w:color w:val="auto"/>
          <w:highlight w:val="none"/>
          <w:lang w:eastAsia="zh-CN"/>
        </w:rPr>
        <w:t>19.投标文件</w:t>
      </w:r>
      <w:bookmarkEnd w:id="95"/>
      <w:bookmarkEnd w:id="96"/>
      <w:bookmarkEnd w:id="97"/>
      <w:r>
        <w:rPr>
          <w:rFonts w:hint="eastAsia" w:ascii="宋体" w:hAnsi="宋体" w:eastAsia="宋体"/>
          <w:bCs w:val="0"/>
          <w:color w:val="auto"/>
          <w:highlight w:val="none"/>
          <w:lang w:eastAsia="zh-CN"/>
        </w:rPr>
        <w:t>的拒收</w:t>
      </w:r>
    </w:p>
    <w:p w14:paraId="0E5E73DD">
      <w:pPr>
        <w:spacing w:line="360" w:lineRule="auto"/>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eastAsia="宋体"/>
          <w:bCs/>
          <w:color w:val="auto"/>
          <w:sz w:val="24"/>
          <w:highlight w:val="none"/>
        </w:rPr>
        <w:t>采购代理机构</w:t>
      </w:r>
      <w:r>
        <w:rPr>
          <w:rFonts w:hint="eastAsia" w:ascii="宋体" w:hAnsi="宋体"/>
          <w:bCs/>
          <w:color w:val="auto"/>
          <w:sz w:val="24"/>
          <w:highlight w:val="none"/>
        </w:rPr>
        <w:t>拒绝接收在其规定的投标截止时间后上传的任何投标文件。</w:t>
      </w:r>
    </w:p>
    <w:p w14:paraId="38798B5A">
      <w:pPr>
        <w:pStyle w:val="344"/>
        <w:keepNext w:val="0"/>
        <w:keepLines w:val="0"/>
        <w:spacing w:before="0" w:after="0" w:line="360" w:lineRule="auto"/>
        <w:ind w:firstLine="422"/>
        <w:rPr>
          <w:rFonts w:ascii="宋体" w:hAnsi="宋体" w:eastAsia="宋体"/>
          <w:bCs w:val="0"/>
          <w:color w:val="auto"/>
          <w:highlight w:val="none"/>
          <w:lang w:eastAsia="zh-CN"/>
        </w:rPr>
      </w:pPr>
      <w:bookmarkStart w:id="98" w:name="_Toc16938544"/>
      <w:bookmarkStart w:id="99" w:name="_Toc513029228"/>
      <w:bookmarkStart w:id="100" w:name="_Toc20823300"/>
      <w:r>
        <w:rPr>
          <w:rFonts w:hint="eastAsia" w:ascii="宋体" w:hAnsi="宋体" w:eastAsia="宋体"/>
          <w:bCs w:val="0"/>
          <w:color w:val="auto"/>
          <w:highlight w:val="none"/>
          <w:lang w:eastAsia="zh-CN"/>
        </w:rPr>
        <w:t>20.投标文件的撤回和修改</w:t>
      </w:r>
      <w:bookmarkEnd w:id="98"/>
      <w:bookmarkEnd w:id="99"/>
      <w:bookmarkEnd w:id="100"/>
    </w:p>
    <w:p w14:paraId="0E6CC70C">
      <w:pPr>
        <w:spacing w:line="360" w:lineRule="auto"/>
        <w:ind w:firstLine="480"/>
        <w:rPr>
          <w:rFonts w:ascii="宋体" w:hAnsi="宋体"/>
          <w:color w:val="auto"/>
          <w:sz w:val="24"/>
          <w:highlight w:val="none"/>
        </w:rPr>
      </w:pPr>
      <w:r>
        <w:rPr>
          <w:rFonts w:hint="eastAsia" w:ascii="宋体" w:hAnsi="宋体"/>
          <w:color w:val="auto"/>
          <w:sz w:val="24"/>
          <w:highlight w:val="none"/>
        </w:rPr>
        <w:t>20.1投标文件的撤回</w:t>
      </w:r>
    </w:p>
    <w:p w14:paraId="512A7000">
      <w:pPr>
        <w:spacing w:line="360" w:lineRule="auto"/>
        <w:ind w:firstLine="480"/>
        <w:rPr>
          <w:rFonts w:ascii="宋体" w:hAnsi="宋体"/>
          <w:color w:val="auto"/>
          <w:sz w:val="24"/>
          <w:highlight w:val="none"/>
        </w:rPr>
      </w:pPr>
      <w:r>
        <w:rPr>
          <w:rFonts w:hint="eastAsia" w:ascii="宋体" w:hAnsi="宋体"/>
          <w:color w:val="auto"/>
          <w:sz w:val="24"/>
          <w:highlight w:val="none"/>
        </w:rPr>
        <w:t>21.1.1电子投标文件的撤回</w:t>
      </w:r>
    </w:p>
    <w:p w14:paraId="0BAFBA5D">
      <w:pPr>
        <w:spacing w:line="360" w:lineRule="auto"/>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2C7965C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2ADFCBC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1F61CBD0">
      <w:pPr>
        <w:spacing w:line="360" w:lineRule="auto"/>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684FD2C7">
      <w:pPr>
        <w:spacing w:line="360" w:lineRule="auto"/>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在投标截止时间之后，投标人不得对其电子投标文件做任何修改。</w:t>
      </w:r>
    </w:p>
    <w:p w14:paraId="195BD606">
      <w:pPr>
        <w:spacing w:line="360" w:lineRule="auto"/>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4C1A7705">
      <w:pPr>
        <w:pStyle w:val="186"/>
        <w:keepNext w:val="0"/>
        <w:keepLines w:val="0"/>
        <w:spacing w:before="0" w:after="0" w:line="360" w:lineRule="auto"/>
        <w:ind w:firstLine="452"/>
        <w:rPr>
          <w:color w:val="auto"/>
          <w:sz w:val="30"/>
          <w:szCs w:val="30"/>
          <w:highlight w:val="none"/>
          <w:lang w:eastAsia="zh-CN"/>
        </w:rPr>
      </w:pPr>
      <w:bookmarkStart w:id="101" w:name="_Toc16938545"/>
      <w:bookmarkStart w:id="102" w:name="_Toc120614218"/>
      <w:bookmarkStart w:id="103" w:name="_Toc20823301"/>
      <w:bookmarkStart w:id="104" w:name="_Toc513029229"/>
      <w:r>
        <w:rPr>
          <w:rFonts w:hint="eastAsia"/>
          <w:color w:val="auto"/>
          <w:sz w:val="30"/>
          <w:szCs w:val="30"/>
          <w:highlight w:val="none"/>
          <w:lang w:eastAsia="zh-CN"/>
        </w:rPr>
        <w:t>五、开标与评标</w:t>
      </w:r>
      <w:bookmarkEnd w:id="101"/>
      <w:bookmarkEnd w:id="102"/>
      <w:bookmarkEnd w:id="103"/>
      <w:bookmarkEnd w:id="104"/>
    </w:p>
    <w:p w14:paraId="62D56FCD">
      <w:pPr>
        <w:pStyle w:val="344"/>
        <w:keepNext w:val="0"/>
        <w:keepLines w:val="0"/>
        <w:spacing w:before="0" w:after="0" w:line="360" w:lineRule="auto"/>
        <w:ind w:firstLine="422"/>
        <w:rPr>
          <w:rFonts w:ascii="宋体" w:hAnsi="宋体" w:eastAsia="宋体"/>
          <w:bCs w:val="0"/>
          <w:color w:val="auto"/>
          <w:highlight w:val="none"/>
          <w:lang w:eastAsia="zh-CN"/>
        </w:rPr>
      </w:pPr>
      <w:bookmarkStart w:id="105" w:name="_Toc16938546"/>
      <w:bookmarkStart w:id="106" w:name="_Toc20823302"/>
      <w:bookmarkStart w:id="107" w:name="_Toc513029230"/>
      <w:r>
        <w:rPr>
          <w:rFonts w:hint="eastAsia" w:ascii="宋体" w:hAnsi="宋体" w:eastAsia="宋体"/>
          <w:bCs w:val="0"/>
          <w:color w:val="auto"/>
          <w:highlight w:val="none"/>
          <w:lang w:eastAsia="zh-CN"/>
        </w:rPr>
        <w:t>21.开标</w:t>
      </w:r>
      <w:bookmarkEnd w:id="105"/>
      <w:bookmarkEnd w:id="106"/>
      <w:bookmarkEnd w:id="107"/>
    </w:p>
    <w:p w14:paraId="72558705">
      <w:pPr>
        <w:spacing w:line="360" w:lineRule="auto"/>
        <w:ind w:firstLine="480"/>
        <w:rPr>
          <w:color w:val="auto"/>
          <w:highlight w:val="none"/>
        </w:rPr>
      </w:pPr>
      <w:r>
        <w:rPr>
          <w:rFonts w:hint="eastAsia" w:ascii="宋体" w:hAnsi="宋体"/>
          <w:color w:val="auto"/>
          <w:sz w:val="24"/>
          <w:highlight w:val="none"/>
        </w:rPr>
        <w:t>21.1</w:t>
      </w:r>
      <w:r>
        <w:rPr>
          <w:rFonts w:hint="eastAsia" w:ascii="宋体" w:hAnsi="宋体" w:eastAsia="宋体"/>
          <w:bCs/>
          <w:color w:val="auto"/>
          <w:sz w:val="24"/>
          <w:highlight w:val="none"/>
        </w:rPr>
        <w:t>采购代理机构</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10999A4D">
      <w:pPr>
        <w:spacing w:line="360" w:lineRule="auto"/>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eastAsia="宋体"/>
          <w:color w:val="auto"/>
          <w:sz w:val="24"/>
          <w:highlight w:val="none"/>
        </w:rPr>
        <w:t>采购代理机构</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440747DB">
      <w:pPr>
        <w:spacing w:line="360" w:lineRule="auto"/>
        <w:ind w:firstLine="480"/>
        <w:rPr>
          <w:rFonts w:ascii="宋体" w:hAnsi="宋体"/>
          <w:color w:val="auto"/>
          <w:sz w:val="24"/>
          <w:highlight w:val="none"/>
        </w:rPr>
      </w:pPr>
      <w:r>
        <w:rPr>
          <w:rFonts w:hint="eastAsia" w:ascii="宋体" w:hAnsi="宋体"/>
          <w:color w:val="auto"/>
          <w:sz w:val="24"/>
          <w:highlight w:val="none"/>
        </w:rPr>
        <w:t>21.3投标人在开标过程中</w:t>
      </w:r>
      <w:r>
        <w:rPr>
          <w:rFonts w:hint="eastAsia" w:ascii="宋体" w:hAnsi="宋体" w:eastAsia="宋体"/>
          <w:color w:val="auto"/>
          <w:sz w:val="24"/>
          <w:highlight w:val="none"/>
        </w:rPr>
        <w:t>涉及的</w:t>
      </w:r>
      <w:r>
        <w:rPr>
          <w:rFonts w:hint="eastAsia" w:ascii="宋体" w:hAnsi="宋体"/>
          <w:color w:val="auto"/>
          <w:sz w:val="24"/>
          <w:highlight w:val="none"/>
        </w:rPr>
        <w:t>投标文件解密、开标结果确认等工作，应按照《操作手册》规定执行。</w:t>
      </w:r>
    </w:p>
    <w:p w14:paraId="3A73BE1F">
      <w:pPr>
        <w:spacing w:line="360" w:lineRule="auto"/>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28A37781">
      <w:pPr>
        <w:pStyle w:val="344"/>
        <w:keepNext w:val="0"/>
        <w:keepLines w:val="0"/>
        <w:spacing w:before="0" w:after="0" w:line="360" w:lineRule="auto"/>
        <w:ind w:firstLine="422"/>
        <w:rPr>
          <w:rFonts w:ascii="宋体" w:hAnsi="宋体" w:eastAsia="宋体"/>
          <w:bCs w:val="0"/>
          <w:color w:val="auto"/>
          <w:highlight w:val="none"/>
          <w:lang w:eastAsia="zh-CN"/>
        </w:rPr>
      </w:pPr>
      <w:bookmarkStart w:id="108" w:name="_Toc16938547"/>
      <w:bookmarkStart w:id="109" w:name="_Toc513029231"/>
      <w:bookmarkStart w:id="110" w:name="_Toc20823303"/>
      <w:r>
        <w:rPr>
          <w:rFonts w:hint="eastAsia" w:ascii="宋体" w:hAnsi="宋体" w:eastAsia="宋体"/>
          <w:bCs w:val="0"/>
          <w:color w:val="auto"/>
          <w:highlight w:val="none"/>
          <w:lang w:eastAsia="zh-CN"/>
        </w:rPr>
        <w:t>22.评标委员会</w:t>
      </w:r>
    </w:p>
    <w:p w14:paraId="2A7D97D3">
      <w:pPr>
        <w:spacing w:line="360" w:lineRule="auto"/>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将立即组织评标委员会（以下简称评委会）进行评标。</w:t>
      </w:r>
    </w:p>
    <w:p w14:paraId="3E98BE3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160A5F2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6EF435E">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23.评标过程的保密与公正</w:t>
      </w:r>
      <w:bookmarkEnd w:id="108"/>
      <w:bookmarkEnd w:id="109"/>
      <w:bookmarkEnd w:id="110"/>
    </w:p>
    <w:p w14:paraId="3A8945C7">
      <w:pPr>
        <w:spacing w:line="360" w:lineRule="auto"/>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color w:val="auto"/>
          <w:sz w:val="24"/>
          <w:highlight w:val="none"/>
          <w:lang w:eastAsia="zh-CN"/>
        </w:rPr>
        <w:t>凡</w:t>
      </w:r>
      <w:r>
        <w:rPr>
          <w:rFonts w:hint="eastAsia" w:ascii="宋体" w:hAnsi="宋体"/>
          <w:bCs/>
          <w:color w:val="auto"/>
          <w:sz w:val="24"/>
          <w:highlight w:val="none"/>
        </w:rPr>
        <w:t>与审查、澄清、评价和比较投标的有关资料以及授标建议等，采购人、评委、</w:t>
      </w:r>
      <w:r>
        <w:rPr>
          <w:rFonts w:hint="eastAsia" w:ascii="宋体" w:hAnsi="宋体" w:eastAsia="宋体"/>
          <w:bCs/>
          <w:color w:val="auto"/>
          <w:sz w:val="24"/>
          <w:highlight w:val="none"/>
        </w:rPr>
        <w:t>采购代理机构</w:t>
      </w:r>
      <w:r>
        <w:rPr>
          <w:rFonts w:hint="eastAsia" w:ascii="宋体" w:hAnsi="宋体"/>
          <w:bCs/>
          <w:color w:val="auto"/>
          <w:sz w:val="24"/>
          <w:highlight w:val="none"/>
        </w:rPr>
        <w:t>均不得向投标人或与评标无关的其他人员透露。</w:t>
      </w:r>
    </w:p>
    <w:p w14:paraId="0F2C12E7">
      <w:pPr>
        <w:spacing w:line="360" w:lineRule="auto"/>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5DF0C05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和评标委员会不向未中标的投标人解释未中标原因，也不公布评标过程中的相关细节。</w:t>
      </w:r>
    </w:p>
    <w:p w14:paraId="0F05BC3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7EDF43BE">
      <w:pPr>
        <w:pStyle w:val="344"/>
        <w:keepNext w:val="0"/>
        <w:keepLines w:val="0"/>
        <w:spacing w:before="0" w:after="0" w:line="360" w:lineRule="auto"/>
        <w:ind w:firstLine="422"/>
        <w:rPr>
          <w:rFonts w:ascii="宋体" w:hAnsi="宋体" w:eastAsia="宋体"/>
          <w:bCs w:val="0"/>
          <w:color w:val="auto"/>
          <w:highlight w:val="none"/>
          <w:lang w:eastAsia="zh-CN"/>
        </w:rPr>
      </w:pPr>
      <w:bookmarkStart w:id="111" w:name="_Toc16938548"/>
      <w:bookmarkStart w:id="112" w:name="_Toc513029232"/>
      <w:bookmarkStart w:id="113" w:name="_Toc20823304"/>
      <w:r>
        <w:rPr>
          <w:rFonts w:hint="eastAsia" w:ascii="宋体" w:hAnsi="宋体" w:eastAsia="宋体"/>
          <w:bCs w:val="0"/>
          <w:color w:val="auto"/>
          <w:highlight w:val="none"/>
          <w:lang w:eastAsia="zh-CN"/>
        </w:rPr>
        <w:t>24.投标文件的澄清</w:t>
      </w:r>
      <w:bookmarkEnd w:id="111"/>
      <w:bookmarkEnd w:id="112"/>
      <w:bookmarkEnd w:id="113"/>
    </w:p>
    <w:p w14:paraId="2341E9F4">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7530551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007595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32B1D23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w:t>
      </w:r>
      <w:r>
        <w:rPr>
          <w:rFonts w:hint="eastAsia" w:ascii="宋体" w:hAnsi="宋体" w:eastAsia="宋体"/>
          <w:color w:val="auto"/>
          <w:sz w:val="24"/>
          <w:szCs w:val="24"/>
          <w:highlight w:val="none"/>
        </w:rPr>
        <w:t>作出</w:t>
      </w:r>
      <w:r>
        <w:rPr>
          <w:rFonts w:hint="eastAsia" w:ascii="宋体" w:hAnsi="宋体"/>
          <w:color w:val="auto"/>
          <w:sz w:val="24"/>
          <w:szCs w:val="24"/>
          <w:highlight w:val="none"/>
        </w:rPr>
        <w:t>澄清、说明和补正，其风险由投标人自行承担。</w:t>
      </w:r>
    </w:p>
    <w:p w14:paraId="43433161">
      <w:pPr>
        <w:pStyle w:val="344"/>
        <w:keepNext w:val="0"/>
        <w:keepLines w:val="0"/>
        <w:spacing w:before="0" w:after="0" w:line="360" w:lineRule="auto"/>
        <w:ind w:firstLine="422"/>
        <w:rPr>
          <w:rFonts w:ascii="宋体" w:hAnsi="宋体" w:eastAsia="宋体"/>
          <w:bCs w:val="0"/>
          <w:color w:val="auto"/>
          <w:highlight w:val="none"/>
          <w:lang w:eastAsia="zh-CN"/>
        </w:rPr>
      </w:pPr>
      <w:bookmarkStart w:id="114" w:name="_Toc20823305"/>
      <w:bookmarkStart w:id="115" w:name="_Toc16938549"/>
      <w:bookmarkStart w:id="116" w:name="_Toc513029233"/>
      <w:r>
        <w:rPr>
          <w:rFonts w:hint="eastAsia" w:ascii="宋体" w:hAnsi="宋体" w:eastAsia="宋体"/>
          <w:bCs w:val="0"/>
          <w:color w:val="auto"/>
          <w:highlight w:val="none"/>
          <w:lang w:eastAsia="zh-CN"/>
        </w:rPr>
        <w:t>25.对投标文件的初审</w:t>
      </w:r>
      <w:bookmarkEnd w:id="114"/>
      <w:bookmarkEnd w:id="115"/>
      <w:bookmarkEnd w:id="116"/>
    </w:p>
    <w:p w14:paraId="0A946A48">
      <w:pPr>
        <w:spacing w:line="360" w:lineRule="auto"/>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3BB602DB">
      <w:pPr>
        <w:spacing w:line="360" w:lineRule="auto"/>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25.1.1资格审查：依据法律法规和招标文件的规定，由采购代理机构对投标文件中的资格证明文件进行审查。</w:t>
      </w:r>
    </w:p>
    <w:p w14:paraId="52EF6E2F">
      <w:pPr>
        <w:spacing w:line="360" w:lineRule="auto"/>
        <w:ind w:firstLine="480"/>
        <w:rPr>
          <w:rFonts w:ascii="宋体" w:hAnsi="宋体" w:cs="宋体"/>
          <w:bCs/>
          <w:color w:val="auto"/>
          <w:sz w:val="24"/>
          <w:highlight w:val="none"/>
        </w:rPr>
      </w:pPr>
      <w:r>
        <w:rPr>
          <w:rFonts w:hint="eastAsia" w:ascii="宋体" w:hAnsi="宋体"/>
          <w:b/>
          <w:color w:val="auto"/>
          <w:sz w:val="24"/>
          <w:highlight w:val="none"/>
        </w:rPr>
        <w:t>采购代理机构</w:t>
      </w:r>
      <w:r>
        <w:rPr>
          <w:rFonts w:hint="eastAsia" w:ascii="宋体" w:hAnsi="宋体" w:cs="宋体"/>
          <w:b/>
          <w:color w:val="auto"/>
          <w:sz w:val="24"/>
          <w:highlight w:val="none"/>
        </w:rPr>
        <w:t>在进行资格审查的同时，将</w:t>
      </w:r>
      <w:r>
        <w:rPr>
          <w:rFonts w:hint="eastAsia" w:ascii="宋体" w:hAnsi="宋体" w:cs="宋体"/>
          <w:b/>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
          <w:color w:val="auto"/>
          <w:sz w:val="24"/>
          <w:szCs w:val="24"/>
          <w:highlight w:val="none"/>
        </w:rPr>
        <w:t>www.creditchina.gov.cn</w:t>
      </w:r>
      <w:r>
        <w:rPr>
          <w:rFonts w:hint="eastAsia" w:ascii="宋体" w:hAnsi="宋体" w:cs="宋体"/>
          <w:b/>
          <w:color w:val="auto"/>
          <w:sz w:val="24"/>
          <w:szCs w:val="24"/>
          <w:highlight w:val="none"/>
        </w:rPr>
        <w:fldChar w:fldCharType="end"/>
      </w:r>
      <w:r>
        <w:rPr>
          <w:rFonts w:hint="eastAsia" w:ascii="宋体" w:hAnsi="宋体" w:cs="宋体"/>
          <w:b/>
          <w:color w:val="auto"/>
          <w:sz w:val="24"/>
          <w:szCs w:val="24"/>
          <w:highlight w:val="none"/>
        </w:rPr>
        <w:t>）、中国政府采购网</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rPr>
        <w:t>www.ccgp.gov.cn</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rPr>
        <w:t>查询投标供应商在投标截止时间之前，是否被列入失信被执行人、</w:t>
      </w:r>
      <w:r>
        <w:rPr>
          <w:rFonts w:hint="eastAsia" w:ascii="宋体" w:hAnsi="宋体" w:eastAsia="宋体" w:cs="宋体"/>
          <w:b/>
          <w:color w:val="auto"/>
          <w:sz w:val="24"/>
          <w:szCs w:val="24"/>
          <w:highlight w:val="none"/>
        </w:rPr>
        <w:t>重大税收违法失信主体</w:t>
      </w:r>
      <w:r>
        <w:rPr>
          <w:rFonts w:hint="eastAsia" w:ascii="宋体" w:hAnsi="宋体" w:cs="宋体"/>
          <w:b/>
          <w:color w:val="auto"/>
          <w:sz w:val="24"/>
          <w:szCs w:val="24"/>
          <w:highlight w:val="none"/>
        </w:rPr>
        <w:t>、政府采购严重违法失信行为记录名单，</w:t>
      </w:r>
      <w:r>
        <w:rPr>
          <w:rFonts w:hint="eastAsia" w:ascii="宋体" w:hAnsi="宋体" w:cs="宋体"/>
          <w:b/>
          <w:color w:val="auto"/>
          <w:sz w:val="24"/>
          <w:highlight w:val="none"/>
        </w:rPr>
        <w:t>以确定投标供应商是否具备投标资格。</w:t>
      </w:r>
      <w:r>
        <w:rPr>
          <w:rFonts w:hint="eastAsia" w:ascii="宋体" w:hAnsi="宋体" w:cs="宋体"/>
          <w:b/>
          <w:color w:val="auto"/>
          <w:sz w:val="24"/>
          <w:szCs w:val="24"/>
          <w:highlight w:val="none"/>
        </w:rPr>
        <w:t>查询结果留存并归档。</w:t>
      </w:r>
    </w:p>
    <w:p w14:paraId="2A34D4C8">
      <w:pPr>
        <w:spacing w:line="360" w:lineRule="auto"/>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w:t>
      </w:r>
      <w:r>
        <w:rPr>
          <w:rFonts w:hint="eastAsia" w:ascii="宋体" w:hAnsi="宋体"/>
          <w:bCs/>
          <w:color w:val="auto"/>
          <w:sz w:val="24"/>
          <w:highlight w:val="none"/>
        </w:rPr>
        <w:t>联合体成员存在不良信用记录的，视同联合体存在不良应用记录。</w:t>
      </w:r>
    </w:p>
    <w:p w14:paraId="64EDE35F">
      <w:pPr>
        <w:spacing w:line="360" w:lineRule="auto"/>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40023C16">
      <w:pPr>
        <w:spacing w:line="360" w:lineRule="auto"/>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44DC4AD2">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32737C2">
      <w:pPr>
        <w:spacing w:line="360" w:lineRule="auto"/>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采购代理机构</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4713BEF">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.3如果投标文件实质上没有响应招标文件的要求，评委会将予以拒绝，其投标文件无效，投标人不得通过修改或撤销不合要求的偏离或保留而使其投标成为实质性响应的投标。</w:t>
      </w:r>
    </w:p>
    <w:p w14:paraId="41CB196E">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6281BD09">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7B038B91">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28A2158F">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57FB0913">
      <w:pPr>
        <w:spacing w:line="360" w:lineRule="auto"/>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5BD2173">
      <w:pPr>
        <w:spacing w:line="360" w:lineRule="auto"/>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32DEAB21">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2ED116C6">
      <w:pPr>
        <w:spacing w:line="360" w:lineRule="auto"/>
        <w:ind w:firstLine="420"/>
        <w:rPr>
          <w:rFonts w:ascii="宋体" w:hAnsi="宋体"/>
          <w:color w:val="auto"/>
          <w:sz w:val="24"/>
          <w:highlight w:val="none"/>
        </w:rPr>
      </w:pPr>
      <w:bookmarkStart w:id="117" w:name="_Toc16938550"/>
      <w:bookmarkStart w:id="118" w:name="_Toc513029234"/>
      <w:bookmarkStart w:id="119" w:name="_Toc20823306"/>
      <w:r>
        <w:rPr>
          <w:rFonts w:hint="eastAsia" w:ascii="宋体" w:hAnsi="宋体"/>
          <w:color w:val="auto"/>
          <w:sz w:val="24"/>
          <w:highlight w:val="none"/>
        </w:rPr>
        <w:t>25.6投标人在开、评标全过程中应保持通信畅通，及时登录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4764B113">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26</w:t>
      </w:r>
      <w:bookmarkEnd w:id="117"/>
      <w:bookmarkEnd w:id="118"/>
      <w:bookmarkEnd w:id="119"/>
      <w:r>
        <w:rPr>
          <w:rFonts w:hint="eastAsia" w:ascii="宋体" w:hAnsi="宋体" w:eastAsia="宋体"/>
          <w:bCs w:val="0"/>
          <w:color w:val="auto"/>
          <w:highlight w:val="none"/>
          <w:lang w:eastAsia="zh-CN"/>
        </w:rPr>
        <w:t>.无效投标条款和废标条款</w:t>
      </w:r>
    </w:p>
    <w:p w14:paraId="39A7CDAC">
      <w:pPr>
        <w:spacing w:line="360" w:lineRule="auto"/>
        <w:ind w:left="479"/>
        <w:rPr>
          <w:rFonts w:ascii="宋体" w:hAnsi="宋体"/>
          <w:bCs/>
          <w:color w:val="auto"/>
          <w:sz w:val="24"/>
          <w:highlight w:val="none"/>
        </w:rPr>
      </w:pPr>
      <w:bookmarkStart w:id="120" w:name="_Toc20823307"/>
      <w:bookmarkStart w:id="121" w:name="_Toc16938551"/>
      <w:bookmarkStart w:id="122" w:name="_Toc513029235"/>
      <w:r>
        <w:rPr>
          <w:rFonts w:hint="eastAsia" w:ascii="宋体" w:hAnsi="宋体"/>
          <w:bCs/>
          <w:color w:val="auto"/>
          <w:sz w:val="24"/>
          <w:highlight w:val="none"/>
        </w:rPr>
        <w:t>26.1无效投标条款</w:t>
      </w:r>
    </w:p>
    <w:p w14:paraId="015BD204">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60FF79C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7C00D91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4A6C3B5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6B3D111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46CC41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51A84EF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23354211">
      <w:pPr>
        <w:spacing w:line="360" w:lineRule="auto"/>
        <w:ind w:firstLine="480"/>
        <w:rPr>
          <w:rFonts w:ascii="宋体" w:hAnsi="宋体"/>
          <w:b/>
          <w:bCs/>
          <w:color w:val="auto"/>
          <w:sz w:val="24"/>
          <w:szCs w:val="24"/>
          <w:highlight w:val="none"/>
        </w:rPr>
      </w:pPr>
      <w:r>
        <w:rPr>
          <w:rFonts w:hint="eastAsia" w:ascii="宋体" w:hAnsi="宋体"/>
          <w:b/>
          <w:bCs/>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b/>
          <w:bCs/>
          <w:color w:val="auto"/>
          <w:sz w:val="24"/>
          <w:szCs w:val="24"/>
          <w:highlight w:val="none"/>
        </w:rPr>
        <w:t>www.creditchina.gov.cn</w:t>
      </w:r>
      <w:r>
        <w:rPr>
          <w:rFonts w:hint="eastAsia" w:ascii="宋体" w:hAnsi="宋体"/>
          <w:b/>
          <w:bCs/>
          <w:color w:val="auto"/>
          <w:sz w:val="24"/>
          <w:szCs w:val="24"/>
          <w:highlight w:val="none"/>
        </w:rPr>
        <w:fldChar w:fldCharType="end"/>
      </w:r>
      <w:r>
        <w:rPr>
          <w:rFonts w:hint="eastAsia" w:ascii="宋体" w:hAnsi="宋体"/>
          <w:b/>
          <w:bCs/>
          <w:color w:val="auto"/>
          <w:sz w:val="24"/>
          <w:szCs w:val="24"/>
          <w:highlight w:val="none"/>
        </w:rPr>
        <w:t>）、中国政府采购网</w:t>
      </w:r>
      <w:r>
        <w:rPr>
          <w:rFonts w:hint="eastAsia" w:ascii="宋体" w:hAnsi="宋体" w:eastAsia="宋体"/>
          <w:b/>
          <w:bCs/>
          <w:color w:val="auto"/>
          <w:sz w:val="24"/>
          <w:szCs w:val="24"/>
          <w:highlight w:val="none"/>
        </w:rPr>
        <w:t>（</w:t>
      </w:r>
      <w:r>
        <w:rPr>
          <w:rFonts w:hint="eastAsia" w:ascii="宋体" w:hAnsi="宋体"/>
          <w:b/>
          <w:bCs/>
          <w:color w:val="auto"/>
          <w:sz w:val="24"/>
          <w:szCs w:val="24"/>
          <w:highlight w:val="none"/>
        </w:rPr>
        <w:t>www.ccgp.gov.cn</w:t>
      </w:r>
      <w:r>
        <w:rPr>
          <w:rFonts w:hint="eastAsia" w:ascii="宋体" w:hAnsi="宋体" w:eastAsia="宋体"/>
          <w:b/>
          <w:bCs/>
          <w:color w:val="auto"/>
          <w:sz w:val="24"/>
          <w:szCs w:val="24"/>
          <w:highlight w:val="none"/>
        </w:rPr>
        <w:t>）</w:t>
      </w:r>
      <w:r>
        <w:rPr>
          <w:rFonts w:hint="eastAsia" w:ascii="宋体" w:hAnsi="宋体"/>
          <w:b/>
          <w:bCs/>
          <w:color w:val="auto"/>
          <w:sz w:val="24"/>
          <w:szCs w:val="24"/>
          <w:highlight w:val="none"/>
        </w:rPr>
        <w:t>列入失信被执行人或</w:t>
      </w:r>
      <w:r>
        <w:rPr>
          <w:rFonts w:hint="eastAsia" w:ascii="宋体" w:hAnsi="宋体" w:eastAsia="宋体"/>
          <w:b/>
          <w:bCs/>
          <w:color w:val="auto"/>
          <w:sz w:val="24"/>
          <w:szCs w:val="24"/>
          <w:highlight w:val="none"/>
        </w:rPr>
        <w:t>重大税收违法失信主体</w:t>
      </w:r>
      <w:r>
        <w:rPr>
          <w:rFonts w:hint="eastAsia" w:ascii="宋体" w:hAnsi="宋体"/>
          <w:b/>
          <w:bCs/>
          <w:color w:val="auto"/>
          <w:sz w:val="24"/>
          <w:szCs w:val="24"/>
          <w:highlight w:val="none"/>
        </w:rPr>
        <w:t>或政府采购严重违法失信行为记录名单的。</w:t>
      </w:r>
      <w:r>
        <w:rPr>
          <w:rFonts w:hint="eastAsia" w:ascii="宋体" w:hAnsi="宋体"/>
          <w:b/>
          <w:bCs/>
          <w:color w:val="auto"/>
          <w:sz w:val="24"/>
          <w:highlight w:val="none"/>
        </w:rPr>
        <w:t>或查询“信用中国”网站、</w:t>
      </w:r>
      <w:r>
        <w:rPr>
          <w:rFonts w:hint="eastAsia" w:ascii="宋体" w:hAnsi="宋体"/>
          <w:b/>
          <w:bCs/>
          <w:color w:val="auto"/>
          <w:sz w:val="24"/>
          <w:szCs w:val="24"/>
          <w:highlight w:val="none"/>
        </w:rPr>
        <w:t>中国政府采购网</w:t>
      </w:r>
      <w:r>
        <w:rPr>
          <w:rFonts w:hint="eastAsia" w:ascii="宋体" w:hAnsi="宋体"/>
          <w:b/>
          <w:bCs/>
          <w:color w:val="auto"/>
          <w:sz w:val="24"/>
          <w:highlight w:val="none"/>
        </w:rPr>
        <w:t>后发现投标人存在其他不符合《中华人民共和国政府采购法》第二十二条规定条件的信用记录。</w:t>
      </w:r>
    </w:p>
    <w:p w14:paraId="7D78421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1EB120C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7819A98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77A7FD5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678E01C1">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5780D81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7DBC856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不同投标人委托同一单位或者个人办理投标事宜的。</w:t>
      </w:r>
    </w:p>
    <w:p w14:paraId="4F4184CB">
      <w:pPr>
        <w:spacing w:line="360" w:lineRule="auto"/>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不同投标人的单位负责人为同一人或者存在直接控股、管理关系的。</w:t>
      </w:r>
    </w:p>
    <w:p w14:paraId="7680F81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26.1.17不同投标人的投标文件的目录序号、排版格式、文字风格等存在明显的相似性或一致性，特征显示由同一单位或者同一个人编制的。</w:t>
      </w:r>
    </w:p>
    <w:p w14:paraId="3351FE9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D98EBBD">
      <w:pPr>
        <w:spacing w:line="360" w:lineRule="auto"/>
        <w:ind w:firstLine="480"/>
        <w:rPr>
          <w:rFonts w:ascii="宋体" w:hAnsi="宋体"/>
          <w:bCs/>
          <w:color w:val="auto"/>
          <w:sz w:val="24"/>
          <w:highlight w:val="none"/>
        </w:rPr>
      </w:pPr>
      <w:r>
        <w:rPr>
          <w:rFonts w:hint="eastAsia" w:ascii="宋体" w:hAnsi="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6E4000CA">
      <w:pPr>
        <w:spacing w:line="360" w:lineRule="auto"/>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669E2189">
      <w:pPr>
        <w:spacing w:line="360" w:lineRule="auto"/>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0348A036">
      <w:pPr>
        <w:spacing w:line="360" w:lineRule="auto"/>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在评标现场</w:t>
      </w:r>
      <w:r>
        <w:rPr>
          <w:rFonts w:hint="eastAsia" w:ascii="宋体" w:hAnsi="宋体"/>
          <w:color w:val="auto"/>
          <w:sz w:val="24"/>
          <w:szCs w:val="24"/>
          <w:highlight w:val="none"/>
        </w:rPr>
        <w:t>）给定的</w:t>
      </w:r>
      <w:r>
        <w:rPr>
          <w:rFonts w:hint="eastAsia" w:ascii="宋体" w:hAnsi="宋体"/>
          <w:bCs/>
          <w:color w:val="auto"/>
          <w:sz w:val="24"/>
          <w:szCs w:val="24"/>
          <w:highlight w:val="none"/>
        </w:rPr>
        <w:t>合理时间内提供说明（必要时评标委员会可要求投标人提交相关证明材料）证明其报价合理性的</w:t>
      </w:r>
      <w:r>
        <w:rPr>
          <w:rFonts w:hint="eastAsia" w:ascii="宋体" w:hAnsi="宋体"/>
          <w:bCs/>
          <w:color w:val="auto"/>
          <w:sz w:val="24"/>
          <w:highlight w:val="none"/>
        </w:rPr>
        <w:t>，评标委员会应当将其作为无效投标处理。</w:t>
      </w:r>
    </w:p>
    <w:p w14:paraId="2AD4D34D">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26.1.23投标文件内容不全或不符合招标文件中规定</w:t>
      </w:r>
      <w:r>
        <w:rPr>
          <w:rFonts w:hint="eastAsia" w:ascii="宋体" w:hAnsi="宋体" w:eastAsia="宋体"/>
          <w:bCs/>
          <w:color w:val="auto"/>
          <w:sz w:val="24"/>
          <w:szCs w:val="24"/>
          <w:highlight w:val="none"/>
        </w:rPr>
        <w:t>的其他</w:t>
      </w:r>
      <w:r>
        <w:rPr>
          <w:rFonts w:hint="eastAsia" w:ascii="宋体" w:hAnsi="宋体"/>
          <w:bCs/>
          <w:color w:val="auto"/>
          <w:sz w:val="24"/>
          <w:szCs w:val="24"/>
          <w:highlight w:val="none"/>
        </w:rPr>
        <w:t>实质性要求和条件的</w:t>
      </w:r>
    </w:p>
    <w:p w14:paraId="2B63FA99">
      <w:pPr>
        <w:spacing w:line="360" w:lineRule="auto"/>
        <w:ind w:firstLine="480"/>
        <w:rPr>
          <w:rFonts w:ascii="宋体" w:hAnsi="宋体"/>
          <w:bCs/>
          <w:color w:val="auto"/>
          <w:sz w:val="24"/>
          <w:highlight w:val="none"/>
        </w:rPr>
      </w:pPr>
      <w:r>
        <w:rPr>
          <w:rFonts w:hint="eastAsia" w:ascii="宋体" w:hAnsi="宋体"/>
          <w:bCs/>
          <w:color w:val="auto"/>
          <w:sz w:val="24"/>
          <w:highlight w:val="none"/>
        </w:rPr>
        <w:t>26.1.24其他</w:t>
      </w:r>
      <w:r>
        <w:rPr>
          <w:rFonts w:hint="eastAsia" w:ascii="宋体" w:hAnsi="宋体" w:eastAsia="宋体"/>
          <w:bCs/>
          <w:color w:val="auto"/>
          <w:sz w:val="24"/>
          <w:highlight w:val="none"/>
        </w:rPr>
        <w:t>法律法规</w:t>
      </w:r>
      <w:r>
        <w:rPr>
          <w:rFonts w:hint="eastAsia" w:ascii="宋体" w:hAnsi="宋体"/>
          <w:bCs/>
          <w:color w:val="auto"/>
          <w:sz w:val="24"/>
          <w:highlight w:val="none"/>
        </w:rPr>
        <w:t>及本招标文件规定的属无效投标的情形。</w:t>
      </w:r>
    </w:p>
    <w:p w14:paraId="5BFD1148">
      <w:pPr>
        <w:spacing w:line="360" w:lineRule="auto"/>
        <w:ind w:left="479"/>
        <w:rPr>
          <w:rFonts w:ascii="宋体" w:hAnsi="宋体"/>
          <w:bCs/>
          <w:color w:val="auto"/>
          <w:sz w:val="24"/>
          <w:highlight w:val="none"/>
        </w:rPr>
      </w:pPr>
      <w:r>
        <w:rPr>
          <w:rFonts w:hint="eastAsia" w:ascii="宋体" w:hAnsi="宋体"/>
          <w:bCs/>
          <w:color w:val="auto"/>
          <w:sz w:val="24"/>
          <w:highlight w:val="none"/>
        </w:rPr>
        <w:t>26.2废标条款</w:t>
      </w:r>
    </w:p>
    <w:p w14:paraId="2DE7C8B1">
      <w:pPr>
        <w:spacing w:line="360" w:lineRule="auto"/>
        <w:ind w:left="479"/>
        <w:rPr>
          <w:rFonts w:ascii="宋体" w:hAnsi="宋体"/>
          <w:bCs/>
          <w:color w:val="auto"/>
          <w:sz w:val="24"/>
          <w:highlight w:val="none"/>
        </w:rPr>
      </w:pPr>
      <w:r>
        <w:rPr>
          <w:rFonts w:hint="eastAsia" w:ascii="宋体" w:hAnsi="宋体"/>
          <w:bCs/>
          <w:color w:val="auto"/>
          <w:sz w:val="24"/>
          <w:highlight w:val="none"/>
        </w:rPr>
        <w:t>26.2.1符合专业条件的供应商或者对招标文件做实质响应的供应商不足三家的。</w:t>
      </w:r>
    </w:p>
    <w:p w14:paraId="66AA4226">
      <w:pPr>
        <w:spacing w:line="360" w:lineRule="auto"/>
        <w:ind w:left="479"/>
        <w:rPr>
          <w:rFonts w:ascii="宋体" w:hAnsi="宋体"/>
          <w:bCs/>
          <w:color w:val="auto"/>
          <w:sz w:val="24"/>
          <w:highlight w:val="none"/>
        </w:rPr>
      </w:pPr>
      <w:r>
        <w:rPr>
          <w:rFonts w:hint="eastAsia" w:ascii="宋体" w:hAnsi="宋体"/>
          <w:bCs/>
          <w:color w:val="auto"/>
          <w:sz w:val="24"/>
          <w:highlight w:val="none"/>
        </w:rPr>
        <w:t>26.2.2出现影响采购公正的违法、违规行为的。</w:t>
      </w:r>
    </w:p>
    <w:p w14:paraId="2093E726">
      <w:pPr>
        <w:spacing w:line="360" w:lineRule="auto"/>
        <w:ind w:left="479"/>
        <w:rPr>
          <w:rFonts w:ascii="宋体" w:hAnsi="宋体"/>
          <w:bCs/>
          <w:color w:val="auto"/>
          <w:sz w:val="24"/>
          <w:highlight w:val="none"/>
        </w:rPr>
      </w:pPr>
      <w:r>
        <w:rPr>
          <w:rFonts w:hint="eastAsia" w:ascii="宋体" w:hAnsi="宋体"/>
          <w:bCs/>
          <w:color w:val="auto"/>
          <w:sz w:val="24"/>
          <w:highlight w:val="none"/>
        </w:rPr>
        <w:t>26.2.3因重大变故，采购任务取消的。</w:t>
      </w:r>
    </w:p>
    <w:p w14:paraId="19B012DD">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212DDA0B">
      <w:pPr>
        <w:spacing w:line="360" w:lineRule="auto"/>
        <w:ind w:left="479"/>
        <w:rPr>
          <w:rFonts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20739F7F">
      <w:pPr>
        <w:spacing w:line="360" w:lineRule="auto"/>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2F330416">
      <w:pPr>
        <w:spacing w:line="360" w:lineRule="auto"/>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783CBFCD">
      <w:pPr>
        <w:spacing w:line="360" w:lineRule="auto"/>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12CF925B">
      <w:pPr>
        <w:pStyle w:val="186"/>
        <w:keepNext w:val="0"/>
        <w:keepLines w:val="0"/>
        <w:spacing w:before="0" w:after="0" w:line="360" w:lineRule="auto"/>
        <w:ind w:firstLine="452"/>
        <w:rPr>
          <w:color w:val="auto"/>
          <w:sz w:val="30"/>
          <w:szCs w:val="30"/>
          <w:highlight w:val="none"/>
          <w:lang w:eastAsia="zh-CN"/>
        </w:rPr>
      </w:pPr>
      <w:bookmarkStart w:id="123" w:name="_Toc120614219"/>
      <w:r>
        <w:rPr>
          <w:rFonts w:hint="eastAsia"/>
          <w:color w:val="auto"/>
          <w:sz w:val="30"/>
          <w:szCs w:val="30"/>
          <w:highlight w:val="none"/>
          <w:lang w:eastAsia="zh-CN"/>
        </w:rPr>
        <w:t>六、</w:t>
      </w:r>
      <w:bookmarkEnd w:id="120"/>
      <w:bookmarkEnd w:id="121"/>
      <w:bookmarkEnd w:id="122"/>
      <w:r>
        <w:rPr>
          <w:rFonts w:hint="eastAsia"/>
          <w:color w:val="auto"/>
          <w:sz w:val="30"/>
          <w:szCs w:val="30"/>
          <w:highlight w:val="none"/>
          <w:lang w:eastAsia="zh-CN"/>
        </w:rPr>
        <w:t>定标</w:t>
      </w:r>
      <w:bookmarkEnd w:id="123"/>
    </w:p>
    <w:p w14:paraId="72861468">
      <w:pPr>
        <w:pStyle w:val="344"/>
        <w:keepNext w:val="0"/>
        <w:keepLines w:val="0"/>
        <w:spacing w:before="0" w:after="0" w:line="360" w:lineRule="auto"/>
        <w:ind w:firstLine="422"/>
        <w:rPr>
          <w:rFonts w:ascii="宋体" w:hAnsi="宋体" w:eastAsia="宋体"/>
          <w:bCs w:val="0"/>
          <w:color w:val="auto"/>
          <w:highlight w:val="none"/>
          <w:lang w:eastAsia="zh-CN"/>
        </w:rPr>
      </w:pPr>
      <w:bookmarkStart w:id="124" w:name="_Toc513029238"/>
      <w:bookmarkStart w:id="125" w:name="_Toc20823310"/>
      <w:bookmarkStart w:id="126" w:name="_Toc16938554"/>
      <w:r>
        <w:rPr>
          <w:rFonts w:hint="eastAsia" w:ascii="宋体" w:hAnsi="宋体" w:eastAsia="宋体"/>
          <w:bCs w:val="0"/>
          <w:color w:val="auto"/>
          <w:highlight w:val="none"/>
          <w:lang w:eastAsia="zh-CN"/>
        </w:rPr>
        <w:t>27</w:t>
      </w:r>
      <w:bookmarkEnd w:id="124"/>
      <w:r>
        <w:rPr>
          <w:rFonts w:hint="eastAsia" w:ascii="宋体" w:hAnsi="宋体" w:eastAsia="宋体"/>
          <w:bCs w:val="0"/>
          <w:color w:val="auto"/>
          <w:highlight w:val="none"/>
          <w:lang w:eastAsia="zh-CN"/>
        </w:rPr>
        <w:t>.确定</w:t>
      </w:r>
      <w:bookmarkEnd w:id="125"/>
      <w:bookmarkEnd w:id="126"/>
      <w:r>
        <w:rPr>
          <w:rFonts w:hint="eastAsia" w:ascii="宋体" w:hAnsi="宋体" w:eastAsia="宋体"/>
          <w:bCs w:val="0"/>
          <w:color w:val="auto"/>
          <w:highlight w:val="none"/>
          <w:lang w:eastAsia="zh-CN"/>
        </w:rPr>
        <w:t>中标单位</w:t>
      </w:r>
    </w:p>
    <w:p w14:paraId="2FD8B927">
      <w:pPr>
        <w:spacing w:line="360" w:lineRule="auto"/>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第五章规定</w:t>
      </w:r>
      <w:r>
        <w:rPr>
          <w:rFonts w:hint="eastAsia" w:ascii="宋体" w:hAnsi="宋体"/>
          <w:bCs/>
          <w:color w:val="auto"/>
          <w:sz w:val="24"/>
          <w:highlight w:val="none"/>
        </w:rPr>
        <w:t>。</w:t>
      </w:r>
    </w:p>
    <w:p w14:paraId="1BBD166E">
      <w:pPr>
        <w:spacing w:line="360" w:lineRule="auto"/>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4086385A">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将在“江苏政府采购网”发布中标公告，公告期限为1个工作日。</w:t>
      </w:r>
    </w:p>
    <w:p w14:paraId="0C26DD5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439DF3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1E93CB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4836CA5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行贿或者提供其他不正当利益的。</w:t>
      </w:r>
    </w:p>
    <w:p w14:paraId="19FB9FF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63406F1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515CF2E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4696CA3A">
      <w:pPr>
        <w:spacing w:line="360" w:lineRule="auto"/>
        <w:ind w:firstLine="480"/>
        <w:rPr>
          <w:rFonts w:ascii="宋体" w:hAnsi="宋体"/>
          <w:color w:val="auto"/>
          <w:sz w:val="24"/>
          <w:szCs w:val="24"/>
          <w:highlight w:val="none"/>
        </w:rPr>
      </w:pPr>
      <w:bookmarkStart w:id="127"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442196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6381AD7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2ABCCF9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6E60EF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6AAC713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1DD6B51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645BEC47">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28.质疑处理</w:t>
      </w:r>
      <w:bookmarkEnd w:id="127"/>
    </w:p>
    <w:p w14:paraId="4C27DC8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提出质疑的供应商应当是参与所质疑项目采购活动的供应商。潜在供应商依法获取其可质疑的招标文件的，可以对招标文件提出质疑。</w:t>
      </w:r>
    </w:p>
    <w:p w14:paraId="0A74374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28.2供应商认为招标文件、采购过程和采购结果使自己的权益受到损害的，可以在知道或应知其权益受到损害之日起七个工作日内，以书面形式根据下述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28.4条款</w:t>
      </w:r>
      <w:r>
        <w:rPr>
          <w:rFonts w:hint="eastAsia" w:ascii="宋体" w:hAnsi="宋体"/>
          <w:color w:val="auto"/>
          <w:sz w:val="24"/>
          <w:szCs w:val="24"/>
          <w:highlight w:val="none"/>
        </w:rPr>
        <w:t>的规定向采购人或</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5B186A7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w:t>
      </w:r>
      <w:r>
        <w:rPr>
          <w:rFonts w:hint="eastAsia" w:ascii="宋体" w:hAnsi="宋体"/>
          <w:color w:val="auto"/>
          <w:sz w:val="24"/>
          <w:szCs w:val="24"/>
          <w:highlight w:val="none"/>
        </w:rPr>
        <w:t>招标文件</w:t>
      </w:r>
      <w:r>
        <w:rPr>
          <w:rFonts w:ascii="宋体" w:hAnsi="宋体"/>
          <w:color w:val="auto"/>
          <w:sz w:val="24"/>
          <w:szCs w:val="24"/>
          <w:highlight w:val="none"/>
        </w:rPr>
        <w:t>提出质疑的，为收到</w:t>
      </w:r>
      <w:r>
        <w:rPr>
          <w:rFonts w:hint="eastAsia" w:ascii="宋体" w:hAnsi="宋体"/>
          <w:color w:val="auto"/>
          <w:sz w:val="24"/>
          <w:szCs w:val="24"/>
          <w:highlight w:val="none"/>
        </w:rPr>
        <w:t>招标文件</w:t>
      </w:r>
      <w:r>
        <w:rPr>
          <w:rFonts w:ascii="宋体" w:hAnsi="宋体"/>
          <w:color w:val="auto"/>
          <w:sz w:val="24"/>
          <w:szCs w:val="24"/>
          <w:highlight w:val="none"/>
        </w:rPr>
        <w:t>之日或者</w:t>
      </w:r>
      <w:r>
        <w:rPr>
          <w:rFonts w:hint="eastAsia" w:ascii="宋体" w:hAnsi="宋体"/>
          <w:color w:val="auto"/>
          <w:sz w:val="24"/>
          <w:szCs w:val="24"/>
          <w:highlight w:val="none"/>
        </w:rPr>
        <w:t>招标文件</w:t>
      </w:r>
      <w:r>
        <w:rPr>
          <w:rFonts w:ascii="宋体" w:hAnsi="宋体"/>
          <w:color w:val="auto"/>
          <w:sz w:val="24"/>
          <w:szCs w:val="24"/>
          <w:highlight w:val="none"/>
        </w:rPr>
        <w:t>公告期限届满之日；</w:t>
      </w:r>
    </w:p>
    <w:p w14:paraId="22257F3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71FA341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76E3780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1518F45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5111F990">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等</w:t>
      </w:r>
      <w:r>
        <w:rPr>
          <w:rFonts w:hint="eastAsia" w:ascii="宋体" w:hAnsi="宋体"/>
          <w:color w:val="auto"/>
          <w:sz w:val="24"/>
          <w:szCs w:val="24"/>
          <w:highlight w:val="none"/>
        </w:rPr>
        <w:t>请向采购</w:t>
      </w:r>
      <w:r>
        <w:rPr>
          <w:rFonts w:hint="eastAsia" w:ascii="宋体" w:hAnsi="宋体" w:eastAsia="宋体"/>
          <w:color w:val="auto"/>
          <w:sz w:val="24"/>
          <w:szCs w:val="24"/>
          <w:highlight w:val="none"/>
        </w:rPr>
        <w:t>代理机构或采购人</w:t>
      </w:r>
      <w:r>
        <w:rPr>
          <w:rFonts w:hint="eastAsia" w:ascii="宋体" w:hAnsi="宋体"/>
          <w:color w:val="auto"/>
          <w:sz w:val="24"/>
          <w:szCs w:val="24"/>
          <w:highlight w:val="none"/>
        </w:rPr>
        <w:t>提出，由</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负责答复。</w:t>
      </w:r>
    </w:p>
    <w:p w14:paraId="447FDE1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只接收以纸质原件形式送达的质疑</w:t>
      </w:r>
      <w:r>
        <w:rPr>
          <w:rFonts w:hint="eastAsia" w:ascii="宋体" w:hAnsi="宋体" w:eastAsia="宋体"/>
          <w:color w:val="auto"/>
          <w:sz w:val="24"/>
          <w:szCs w:val="24"/>
          <w:highlight w:val="none"/>
        </w:rPr>
        <w:t>，</w:t>
      </w:r>
      <w:r>
        <w:rPr>
          <w:rFonts w:hint="eastAsia" w:ascii="宋体" w:hAnsi="宋体"/>
          <w:color w:val="auto"/>
          <w:sz w:val="24"/>
          <w:szCs w:val="24"/>
          <w:highlight w:val="none"/>
        </w:rPr>
        <w:t>质疑供应商可通过面交或邮寄方式送达（采购人和</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不接受未填写快递运单的快件）。</w:t>
      </w:r>
    </w:p>
    <w:p w14:paraId="61814CF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联系人、联系方式、通信地址见招标文件第一章。</w:t>
      </w:r>
    </w:p>
    <w:p w14:paraId="31B15F0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 以下情形的质疑不予受理</w:t>
      </w:r>
    </w:p>
    <w:p w14:paraId="699A7F0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2C95AA5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5A39E60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06181D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7FF0454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7F80B484">
      <w:pPr>
        <w:spacing w:line="360" w:lineRule="auto"/>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034434B8">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29.中标通知书</w:t>
      </w:r>
    </w:p>
    <w:p w14:paraId="7ED6441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将向中标人发出中标通知书。请中标人在中标结果公告届满之日起30日内</w:t>
      </w:r>
      <w:r>
        <w:rPr>
          <w:rFonts w:hint="eastAsia" w:ascii="宋体" w:hAnsi="宋体" w:eastAsia="宋体"/>
          <w:color w:val="auto"/>
          <w:sz w:val="24"/>
          <w:szCs w:val="24"/>
          <w:highlight w:val="none"/>
        </w:rPr>
        <w:t>，</w:t>
      </w:r>
      <w:r>
        <w:rPr>
          <w:rFonts w:hint="eastAsia" w:ascii="宋体" w:hAnsi="宋体"/>
          <w:color w:val="auto"/>
          <w:sz w:val="24"/>
          <w:szCs w:val="24"/>
          <w:highlight w:val="none"/>
        </w:rPr>
        <w:t>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w:t>
      </w:r>
      <w:r>
        <w:rPr>
          <w:rFonts w:hint="eastAsia" w:ascii="宋体" w:hAnsi="宋体" w:eastAsia="宋体"/>
          <w:color w:val="auto"/>
          <w:sz w:val="24"/>
          <w:szCs w:val="24"/>
          <w:highlight w:val="none"/>
        </w:rPr>
        <w:t>，</w:t>
      </w:r>
      <w:r>
        <w:rPr>
          <w:rFonts w:hint="eastAsia" w:ascii="宋体" w:hAnsi="宋体"/>
          <w:color w:val="auto"/>
          <w:sz w:val="24"/>
          <w:szCs w:val="24"/>
          <w:highlight w:val="none"/>
        </w:rPr>
        <w:t>因未及时下载而造成的不利后果由中标人自行承担。</w:t>
      </w:r>
    </w:p>
    <w:p w14:paraId="1AA8561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950807F">
      <w:pPr>
        <w:pStyle w:val="186"/>
        <w:keepNext w:val="0"/>
        <w:keepLines w:val="0"/>
        <w:spacing w:before="0" w:after="0" w:line="360" w:lineRule="auto"/>
        <w:ind w:firstLine="452"/>
        <w:rPr>
          <w:color w:val="auto"/>
          <w:sz w:val="30"/>
          <w:szCs w:val="30"/>
          <w:highlight w:val="none"/>
          <w:lang w:eastAsia="zh-CN"/>
        </w:rPr>
      </w:pPr>
      <w:bookmarkStart w:id="128" w:name="_Toc16938552"/>
      <w:bookmarkStart w:id="129" w:name="_Toc20823308"/>
      <w:bookmarkStart w:id="130" w:name="_Toc120614220"/>
      <w:bookmarkStart w:id="131" w:name="_Toc513029236"/>
      <w:r>
        <w:rPr>
          <w:rFonts w:hint="eastAsia"/>
          <w:color w:val="auto"/>
          <w:sz w:val="30"/>
          <w:szCs w:val="30"/>
          <w:highlight w:val="none"/>
          <w:lang w:eastAsia="zh-CN"/>
        </w:rPr>
        <w:t>七、授予合同</w:t>
      </w:r>
      <w:bookmarkEnd w:id="128"/>
      <w:bookmarkEnd w:id="129"/>
      <w:bookmarkEnd w:id="130"/>
      <w:bookmarkEnd w:id="131"/>
    </w:p>
    <w:p w14:paraId="5E9FD82C">
      <w:pPr>
        <w:pStyle w:val="344"/>
        <w:keepNext w:val="0"/>
        <w:keepLines w:val="0"/>
        <w:spacing w:before="0" w:after="0" w:line="360" w:lineRule="auto"/>
        <w:ind w:firstLine="422"/>
        <w:rPr>
          <w:rFonts w:ascii="宋体" w:hAnsi="宋体" w:eastAsia="宋体"/>
          <w:bCs w:val="0"/>
          <w:color w:val="auto"/>
          <w:highlight w:val="none"/>
          <w:lang w:eastAsia="zh-CN"/>
        </w:rPr>
      </w:pPr>
      <w:bookmarkStart w:id="132" w:name="_Toc20823309"/>
      <w:bookmarkStart w:id="133" w:name="_Toc16938553"/>
      <w:bookmarkStart w:id="134" w:name="_Toc513029237"/>
      <w:r>
        <w:rPr>
          <w:rFonts w:hint="eastAsia" w:ascii="宋体" w:hAnsi="宋体" w:eastAsia="宋体"/>
          <w:bCs w:val="0"/>
          <w:color w:val="auto"/>
          <w:highlight w:val="none"/>
          <w:lang w:eastAsia="zh-CN"/>
        </w:rPr>
        <w:t>30.签订合同</w:t>
      </w:r>
    </w:p>
    <w:p w14:paraId="07317BD2">
      <w:pPr>
        <w:spacing w:line="360" w:lineRule="auto"/>
        <w:ind w:firstLine="480"/>
        <w:rPr>
          <w:rFonts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0F50DB6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30.2中标人非因不可抗力未履行招、投标文件和合同规定的义务，一经查实，</w:t>
      </w:r>
      <w:r>
        <w:rPr>
          <w:rFonts w:hint="eastAsia" w:ascii="宋体" w:hAnsi="宋体" w:eastAsia="宋体"/>
          <w:color w:val="auto"/>
          <w:sz w:val="24"/>
          <w:szCs w:val="24"/>
          <w:highlight w:val="none"/>
        </w:rPr>
        <w:t>采购代理机构</w:t>
      </w:r>
      <w:r>
        <w:rPr>
          <w:rFonts w:hint="eastAsia" w:ascii="宋体" w:hAnsi="宋体"/>
          <w:color w:val="auto"/>
          <w:sz w:val="24"/>
          <w:szCs w:val="24"/>
          <w:highlight w:val="none"/>
        </w:rPr>
        <w:t>将根据具体情况提请政府采购管理部门作出相应处理。</w:t>
      </w:r>
    </w:p>
    <w:p w14:paraId="1875C959">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02820A5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CDC2E98">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31.服务（包含与服务相关的货物）的追加</w:t>
      </w:r>
    </w:p>
    <w:p w14:paraId="463BDDF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额的</w:t>
      </w:r>
      <w:r>
        <w:rPr>
          <w:rFonts w:hint="eastAsia" w:ascii="宋体" w:hAnsi="宋体"/>
          <w:color w:val="auto"/>
          <w:sz w:val="24"/>
          <w:szCs w:val="24"/>
          <w:highlight w:val="none"/>
        </w:rPr>
        <w:t>10%。</w:t>
      </w:r>
      <w:bookmarkEnd w:id="132"/>
      <w:bookmarkEnd w:id="133"/>
      <w:bookmarkEnd w:id="134"/>
    </w:p>
    <w:p w14:paraId="35364800">
      <w:pPr>
        <w:pStyle w:val="344"/>
        <w:keepNext w:val="0"/>
        <w:keepLines w:val="0"/>
        <w:spacing w:before="0" w:after="0" w:line="360" w:lineRule="auto"/>
        <w:ind w:firstLine="422"/>
        <w:rPr>
          <w:rFonts w:ascii="宋体" w:hAnsi="宋体" w:eastAsia="宋体"/>
          <w:bCs w:val="0"/>
          <w:color w:val="auto"/>
          <w:highlight w:val="none"/>
          <w:lang w:eastAsia="zh-CN"/>
        </w:rPr>
      </w:pPr>
      <w:bookmarkStart w:id="135" w:name="_Toc513029242"/>
      <w:bookmarkStart w:id="136" w:name="_Toc120614221"/>
      <w:bookmarkStart w:id="137" w:name="_Toc16938558"/>
      <w:bookmarkStart w:id="138" w:name="_Toc20823314"/>
      <w:bookmarkStart w:id="139" w:name="_Toc479757207"/>
      <w:r>
        <w:rPr>
          <w:rFonts w:hint="eastAsia" w:ascii="宋体" w:hAnsi="宋体" w:eastAsia="宋体"/>
          <w:bCs w:val="0"/>
          <w:color w:val="auto"/>
          <w:highlight w:val="none"/>
          <w:lang w:eastAsia="zh-CN"/>
        </w:rPr>
        <w:t>32.其他政策要求（包括但不限于下列具体政策要求）：</w:t>
      </w:r>
    </w:p>
    <w:p w14:paraId="71E3ED40">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一、落实政府采购政策的价格调整</w:t>
      </w:r>
    </w:p>
    <w:p w14:paraId="007D6254">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小微型企业价格扣除：</w:t>
      </w:r>
      <w:r>
        <w:rPr>
          <w:rFonts w:hint="eastAsia" w:asciiTheme="minorEastAsia" w:hAnsiTheme="minorEastAsia" w:cstheme="minorEastAsia"/>
          <w:b/>
          <w:color w:val="auto"/>
          <w:sz w:val="24"/>
          <w:szCs w:val="24"/>
          <w:highlight w:val="none"/>
        </w:rPr>
        <w:t>专门面向中小/小微企业的项目不做价格扣除。</w:t>
      </w:r>
    </w:p>
    <w:p w14:paraId="2561CD12">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1.对小型和微型企业产品的价格给予10%的扣除，用扣除后的价格参与评审。</w:t>
      </w:r>
    </w:p>
    <w:p w14:paraId="2AB4C22B">
      <w:pPr>
        <w:tabs>
          <w:tab w:val="left" w:pos="525"/>
          <w:tab w:val="left" w:pos="945"/>
        </w:tabs>
        <w:spacing w:line="360" w:lineRule="auto"/>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参加投标的中小企业，应当按照《政府采购促进中小企业发展管理办法》（财库﹝2020﹞46 号）的规定提供《中小企业声明函》（中小企业划型标准详见《关于印发中小企业划型标准规定的通知》工信部联企业〔2011〕300号）。</w:t>
      </w:r>
    </w:p>
    <w:p w14:paraId="52A60E81">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FBBFD11">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88C6D14">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4.残疾人福利单位、监狱企业属于小型、微型企业的，不重复享受政策。</w:t>
      </w:r>
    </w:p>
    <w:p w14:paraId="22BB274C">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p>
    <w:p w14:paraId="3EEE7022">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联合体各方均为小型、微型企业的，联合体视同为小型、微型企业按规定享受价格扣除。</w:t>
      </w:r>
    </w:p>
    <w:p w14:paraId="5A3931C0">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60C9A0D">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6D8DA40">
      <w:pPr>
        <w:tabs>
          <w:tab w:val="left" w:pos="525"/>
          <w:tab w:val="left" w:pos="945"/>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C3E1D56">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D809A0D">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认证机构详见市场监管总局发布的《参与实施政府采购节能产品认证机构名录》和《参与实施政府采购环境标志产品认证机构名录》。</w:t>
      </w:r>
    </w:p>
    <w:p w14:paraId="6FC6DE12">
      <w:pPr>
        <w:tabs>
          <w:tab w:val="left" w:pos="525"/>
          <w:tab w:val="left" w:pos="630"/>
          <w:tab w:val="left" w:pos="735"/>
          <w:tab w:val="left" w:pos="945"/>
          <w:tab w:val="left" w:pos="1080"/>
        </w:tabs>
        <w:spacing w:line="360" w:lineRule="auto"/>
        <w:ind w:firstLine="480"/>
        <w:rPr>
          <w:rFonts w:asciiTheme="minorEastAsia" w:hAnsiTheme="minorEastAsia" w:cstheme="minorEastAsia"/>
          <w:color w:val="auto"/>
          <w:sz w:val="24"/>
          <w:szCs w:val="24"/>
          <w:highlight w:val="none"/>
        </w:rPr>
      </w:pPr>
      <w:r>
        <w:rPr>
          <w:rFonts w:hint="eastAsia" w:asciiTheme="minorEastAsia" w:hAnsiTheme="minorEastAsia" w:cstheme="minorEastAsia"/>
          <w:bCs/>
          <w:color w:val="auto"/>
          <w:sz w:val="24"/>
          <w:szCs w:val="24"/>
          <w:highlight w:val="none"/>
        </w:rPr>
        <w:t>四、</w:t>
      </w:r>
      <w:r>
        <w:rPr>
          <w:rFonts w:hint="eastAsia" w:asciiTheme="minorEastAsia" w:hAnsiTheme="minorEastAsia" w:cstheme="minorEastAsia"/>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D623F5C">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color w:val="auto"/>
          <w:sz w:val="24"/>
          <w:szCs w:val="24"/>
          <w:highlight w:val="none"/>
        </w:rPr>
        <w:t>五、</w:t>
      </w:r>
      <w:r>
        <w:rPr>
          <w:rFonts w:hint="eastAsia" w:asciiTheme="minorEastAsia" w:hAnsiTheme="minorEastAsia" w:cstheme="minorEastAsia"/>
          <w:bCs/>
          <w:color w:val="auto"/>
          <w:sz w:val="24"/>
          <w:szCs w:val="24"/>
          <w:highlight w:val="none"/>
        </w:rPr>
        <w:t>中标、成交供应商可采用合同融资形式，中标人可凭政府采购合同办理融资贷款，详见无锡市政府采购网“政采贷”专栏。</w:t>
      </w:r>
    </w:p>
    <w:p w14:paraId="523A6FF0">
      <w:pPr>
        <w:tabs>
          <w:tab w:val="left" w:pos="525"/>
          <w:tab w:val="left" w:pos="630"/>
          <w:tab w:val="left" w:pos="735"/>
          <w:tab w:val="left" w:pos="945"/>
          <w:tab w:val="left" w:pos="1080"/>
        </w:tabs>
        <w:spacing w:line="360" w:lineRule="auto"/>
        <w:ind w:firstLine="480"/>
        <w:rPr>
          <w:rFonts w:asciiTheme="minorEastAsia" w:hAnsiTheme="minorEastAsia" w:cstheme="minorEastAsia"/>
          <w:color w:val="auto"/>
          <w:sz w:val="24"/>
          <w:szCs w:val="24"/>
          <w:highlight w:val="none"/>
        </w:rPr>
      </w:pPr>
      <w:r>
        <w:rPr>
          <w:rFonts w:hint="eastAsia" w:asciiTheme="minorEastAsia" w:hAnsiTheme="minorEastAsia" w:cstheme="minorEastAsia"/>
          <w:bCs/>
          <w:color w:val="auto"/>
          <w:sz w:val="24"/>
          <w:szCs w:val="24"/>
          <w:highlight w:val="none"/>
        </w:rPr>
        <w:t>六、履约担保，是指由专业担保机构为中标、成交供应商支付履约保证金的义务向采购人提供的保函担保。专业担保机构根据中标、成交供应商的中标（成交）通知书为凭据，进行资信审查后出具保函，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4814211">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47C6A3AD">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七、</w:t>
      </w:r>
      <w:r>
        <w:rPr>
          <w:rFonts w:hint="eastAsia" w:asciiTheme="minorEastAsia" w:hAnsiTheme="minorEastAsia" w:cstheme="minorEastAsia"/>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Theme="minorEastAsia" w:hAnsiTheme="minorEastAsia" w:cstheme="minorEastAsia"/>
          <w:bCs/>
          <w:color w:val="auto"/>
          <w:sz w:val="24"/>
          <w:szCs w:val="24"/>
          <w:highlight w:val="none"/>
        </w:rPr>
        <w:t>采购人可在合同中约定，</w:t>
      </w:r>
      <w:r>
        <w:rPr>
          <w:rFonts w:hint="eastAsia" w:asciiTheme="minorEastAsia" w:hAnsiTheme="minorEastAsia" w:cstheme="minorEastAsia"/>
          <w:color w:val="auto"/>
          <w:sz w:val="24"/>
          <w:szCs w:val="24"/>
          <w:highlight w:val="none"/>
        </w:rPr>
        <w:t>在</w:t>
      </w:r>
      <w:r>
        <w:rPr>
          <w:rFonts w:hint="eastAsia" w:asciiTheme="minorEastAsia" w:hAnsiTheme="minorEastAsia" w:cstheme="minorEastAsia"/>
          <w:bCs/>
          <w:color w:val="auto"/>
          <w:sz w:val="24"/>
          <w:szCs w:val="24"/>
          <w:highlight w:val="none"/>
        </w:rPr>
        <w:t>履约验收管理时，可对所提供的七种软硬件进行验收，必要时可以委托依法取得检测、认证资质的机构进行检测、认证。</w:t>
      </w:r>
    </w:p>
    <w:p w14:paraId="30D3AB87">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8E8FF32">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0675497">
      <w:pPr>
        <w:tabs>
          <w:tab w:val="left" w:pos="525"/>
          <w:tab w:val="left" w:pos="630"/>
          <w:tab w:val="left" w:pos="735"/>
          <w:tab w:val="left" w:pos="945"/>
          <w:tab w:val="left" w:pos="1080"/>
        </w:tabs>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采购人原则上应当自收到发票后10个工作日内将资金支付到合同约定的供应商账户。</w:t>
      </w:r>
    </w:p>
    <w:p w14:paraId="53B84059">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33.政府采购信用担保</w:t>
      </w:r>
    </w:p>
    <w:p w14:paraId="587DCBB7">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0D806921">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14:paraId="1221353B">
      <w:pPr>
        <w:tabs>
          <w:tab w:val="left" w:pos="525"/>
          <w:tab w:val="left" w:pos="630"/>
          <w:tab w:val="left" w:pos="735"/>
          <w:tab w:val="left" w:pos="945"/>
          <w:tab w:val="left" w:pos="1080"/>
        </w:tabs>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9350EE0">
      <w:pPr>
        <w:pStyle w:val="344"/>
        <w:keepNext w:val="0"/>
        <w:keepLines w:val="0"/>
        <w:spacing w:before="0" w:after="0" w:line="360" w:lineRule="auto"/>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34.电子履约保函</w:t>
      </w:r>
    </w:p>
    <w:p w14:paraId="6C3C4E2C">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2B479870">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131254BB">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2270FA70">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5E66AF7">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四、电子履约保函与履约保证金、纸质保函具有同等法律效力。</w:t>
      </w:r>
    </w:p>
    <w:p w14:paraId="10D1BA2B">
      <w:pPr>
        <w:spacing w:line="360" w:lineRule="auto"/>
        <w:ind w:firstLine="544"/>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五、供应商可通过江苏政府采购网下载“政府采购电子履约保函（保险）操作手册”，具体地址为：</w:t>
      </w:r>
      <w:r>
        <w:rPr>
          <w:color w:val="auto"/>
          <w:highlight w:val="none"/>
        </w:rPr>
        <w:fldChar w:fldCharType="begin"/>
      </w:r>
      <w:r>
        <w:rPr>
          <w:color w:val="auto"/>
          <w:highlight w:val="none"/>
        </w:rPr>
        <w:instrText xml:space="preserve"> HYPERLINK "http://www.ccgp-jiangsu.gov.cn/jiangsu/zlxz/" </w:instrText>
      </w:r>
      <w:r>
        <w:rPr>
          <w:color w:val="auto"/>
          <w:highlight w:val="none"/>
        </w:rPr>
        <w:fldChar w:fldCharType="separate"/>
      </w:r>
      <w:r>
        <w:rPr>
          <w:rStyle w:val="54"/>
          <w:rFonts w:hint="eastAsia" w:asciiTheme="minorEastAsia" w:hAnsiTheme="minorEastAsia" w:cstheme="minorEastAsia"/>
          <w:bCs/>
          <w:color w:val="auto"/>
          <w:sz w:val="24"/>
          <w:highlight w:val="none"/>
        </w:rPr>
        <w:t>http://www.ccgp-jiangsu.gov.cn/jiangsu/zlxz/</w:t>
      </w:r>
      <w:r>
        <w:rPr>
          <w:rStyle w:val="54"/>
          <w:rFonts w:hint="eastAsia" w:asciiTheme="minorEastAsia" w:hAnsiTheme="minorEastAsia" w:cstheme="minorEastAsia"/>
          <w:bCs/>
          <w:color w:val="auto"/>
          <w:sz w:val="24"/>
          <w:highlight w:val="none"/>
        </w:rPr>
        <w:fldChar w:fldCharType="end"/>
      </w:r>
    </w:p>
    <w:p w14:paraId="10ABC3B8">
      <w:pPr>
        <w:spacing w:line="360" w:lineRule="auto"/>
        <w:ind w:firstLine="544"/>
        <w:rPr>
          <w:rFonts w:asciiTheme="minorEastAsia" w:hAnsiTheme="minorEastAsia" w:cstheme="minorEastAsia"/>
          <w:b/>
          <w:color w:val="auto"/>
          <w:sz w:val="24"/>
          <w:highlight w:val="none"/>
        </w:rPr>
      </w:pPr>
      <w:r>
        <w:rPr>
          <w:rFonts w:hint="eastAsia" w:asciiTheme="minorEastAsia" w:hAnsiTheme="minorEastAsia" w:cstheme="minorEastAsia"/>
          <w:b/>
          <w:color w:val="auto"/>
          <w:sz w:val="24"/>
          <w:highlight w:val="none"/>
        </w:rPr>
        <w:t>35.政府采购合同融资：</w:t>
      </w:r>
      <w:r>
        <w:rPr>
          <w:rFonts w:hint="eastAsia" w:asciiTheme="minorEastAsia" w:hAnsiTheme="minorEastAsia" w:cstheme="minorEastAsia"/>
          <w:bCs/>
          <w:color w:val="auto"/>
          <w:sz w:val="24"/>
          <w:highlight w:val="none"/>
        </w:rPr>
        <w:t>【根据我市《关于开展政府采购合同融资工作的通知》（锡财购〔2020〕17号）】</w:t>
      </w:r>
    </w:p>
    <w:p w14:paraId="67228912">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28350616">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中标、成交供应商可根据自身情况，自行决定是否选择采用合同融资形式，在无锡政府采购网——政采贷专栏提供的银行名录内自主选择合作银行。</w:t>
      </w:r>
    </w:p>
    <w:p w14:paraId="68492517">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附：政府采购合同融资政策告知：</w:t>
      </w:r>
    </w:p>
    <w:p w14:paraId="1FFBB575">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中标供应商可依法依规使用本项目合同向金融机构融资，但采购人不为中标供应商的融资行为提供担保。</w:t>
      </w:r>
    </w:p>
    <w:p w14:paraId="2775E008">
      <w:pPr>
        <w:spacing w:line="360" w:lineRule="auto"/>
        <w:jc w:val="center"/>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无锡市政府采购合同融资政策告知函</w:t>
      </w:r>
    </w:p>
    <w:p w14:paraId="0E4D13FB">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各供应商：</w:t>
      </w:r>
    </w:p>
    <w:p w14:paraId="6C63C143">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欢迎贵公司参与无锡市政府采购活动！</w:t>
      </w:r>
    </w:p>
    <w:p w14:paraId="452A2900">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B3FB3DD">
      <w:pPr>
        <w:spacing w:line="360" w:lineRule="auto"/>
        <w:ind w:firstLine="48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贷款渠道和提供贷款的金融机构，可在无锡政府采购网无锡市政府采购交易管理一体化系统查询联系。</w:t>
      </w:r>
    </w:p>
    <w:p w14:paraId="4F619DE8">
      <w:pPr>
        <w:spacing w:line="360" w:lineRule="auto"/>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附件1.                政府采购履约担保函（项目用）</w:t>
      </w:r>
    </w:p>
    <w:p w14:paraId="10994D70">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编号：</w:t>
      </w:r>
    </w:p>
    <w:p w14:paraId="7464A7BD">
      <w:pPr>
        <w:widowControl/>
        <w:tabs>
          <w:tab w:val="left" w:pos="360"/>
          <w:tab w:val="left" w:pos="960"/>
        </w:tabs>
        <w:spacing w:line="360" w:lineRule="auto"/>
        <w:jc w:val="left"/>
        <w:rPr>
          <w:rFonts w:asciiTheme="minorEastAsia" w:hAnsiTheme="minorEastAsia" w:cstheme="minorEastAsia"/>
          <w:color w:val="auto"/>
          <w:sz w:val="24"/>
          <w:highlight w:val="none"/>
          <w:u w:val="single"/>
        </w:rPr>
      </w:pPr>
      <w:r>
        <w:rPr>
          <w:rFonts w:hint="eastAsia" w:asciiTheme="minorEastAsia" w:hAnsiTheme="minorEastAsia" w:cstheme="minorEastAsia"/>
          <w:color w:val="auto"/>
          <w:sz w:val="24"/>
          <w:highlight w:val="none"/>
        </w:rPr>
        <w:t xml:space="preserve">  </w:t>
      </w:r>
      <w:r>
        <w:rPr>
          <w:rFonts w:hint="eastAsia" w:asciiTheme="minorEastAsia" w:hAnsiTheme="minorEastAsia" w:cstheme="minorEastAsia"/>
          <w:color w:val="auto"/>
          <w:sz w:val="24"/>
          <w:highlight w:val="none"/>
          <w:u w:val="single"/>
        </w:rPr>
        <w:t>（采购人）：</w:t>
      </w:r>
    </w:p>
    <w:p w14:paraId="2216F2A9">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p>
    <w:p w14:paraId="616AFFC5">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鉴于你方与</w:t>
      </w:r>
      <w:r>
        <w:rPr>
          <w:rFonts w:hint="eastAsia" w:asciiTheme="minorEastAsia" w:hAnsiTheme="minorEastAsia" w:cstheme="minorEastAsia"/>
          <w:color w:val="auto"/>
          <w:sz w:val="24"/>
          <w:highlight w:val="none"/>
          <w:u w:val="single"/>
        </w:rPr>
        <w:t xml:space="preserve">                    （以下简称供应商）</w:t>
      </w:r>
      <w:r>
        <w:rPr>
          <w:rFonts w:hint="eastAsia" w:asciiTheme="minorEastAsia" w:hAnsiTheme="minorEastAsia" w:cstheme="minorEastAsia"/>
          <w:color w:val="auto"/>
          <w:sz w:val="24"/>
          <w:highlight w:val="none"/>
        </w:rPr>
        <w:t>于</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日签订编号为   的《</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政府采购合同》（以下简称主合同），且依据该合同的约定，供应商应在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年</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月</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日前向你方交纳履约保证金，且可以履约担保函的形式缴纳履约保证金。应供应商的申请，我方以保证的方式向你方提供如下履约保证金担保：</w:t>
      </w:r>
    </w:p>
    <w:p w14:paraId="70F7AD77">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一、保证责任的情形及保证金额</w:t>
      </w:r>
    </w:p>
    <w:p w14:paraId="1F5B4DB2">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（一）在供应商出现下列情形之一时，我方承担保证责任：</w:t>
      </w:r>
    </w:p>
    <w:p w14:paraId="6F823B3B">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1.将中标项目转让给他人，或者在投标文件中未说明，且未经采购人、招标代理机构同意，将中标项目分包给他人的；</w:t>
      </w:r>
    </w:p>
    <w:p w14:paraId="4511F1D9">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2.主合同约定的应当缴纳履约保证金的情形： </w:t>
      </w:r>
    </w:p>
    <w:p w14:paraId="0CA61D7C">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（1）未按主合同约定的质量、数量和期限供应货物/提供服务/完成工程的；</w:t>
      </w:r>
    </w:p>
    <w:p w14:paraId="69553EB9">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w:t>
      </w:r>
      <w:r>
        <w:rPr>
          <w:rFonts w:hint="eastAsia" w:asciiTheme="minorEastAsia" w:hAnsiTheme="minorEastAsia" w:cstheme="minorEastAsia"/>
          <w:color w:val="auto"/>
          <w:sz w:val="24"/>
          <w:highlight w:val="none"/>
          <w:u w:val="single"/>
        </w:rPr>
        <w:t xml:space="preserve">                                                           。</w:t>
      </w:r>
    </w:p>
    <w:p w14:paraId="057284D2">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（二）我方的保证范围是主合同约定的合同价款总额的</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%数额为</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元（大写</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 xml:space="preserve">），币种为 </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。（即主合同履约保证金金额）</w:t>
      </w:r>
    </w:p>
    <w:p w14:paraId="5C11015B">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二、保证的方式及保证期间</w:t>
      </w:r>
    </w:p>
    <w:p w14:paraId="62FFA66C">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我方保证的方式为：连带责任保证。</w:t>
      </w:r>
    </w:p>
    <w:p w14:paraId="36C9305C">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我方保证的期间为：自本合同生效之日起至供应商按照主合同约定的供货/完工期限届满后</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日内。</w:t>
      </w:r>
    </w:p>
    <w:p w14:paraId="7EDF67E8">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如果供应商未按主合同约定向贵方供应货物/提供服务/完成工程的，由我方在保证金额内向你方支付上述款项。</w:t>
      </w:r>
    </w:p>
    <w:p w14:paraId="389F2F1A">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三、承担保证责任的程序</w:t>
      </w:r>
    </w:p>
    <w:p w14:paraId="39F07B71">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7D8DFC23">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1AEA5408">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2.我方收到你方的书面索赔通知及相应证明材料，在</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工作日内进行核定后按照本保函的承诺承担保证责任。</w:t>
      </w:r>
    </w:p>
    <w:p w14:paraId="6B3AA0F3">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四、保证责任的终止</w:t>
      </w:r>
    </w:p>
    <w:p w14:paraId="23789B2E">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0EAFA3AB">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2.我方按照本保函向你方履行了保证责任后，自我方向你方支付款项（支付款项从我方账户划出）之日起，保证责任即终止。</w:t>
      </w:r>
    </w:p>
    <w:p w14:paraId="408B5688">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3.按照法律法规的规定或出现应终止我方保证责任的其他情形的，我方在本保函项下的保证责任亦终止。</w:t>
      </w:r>
    </w:p>
    <w:p w14:paraId="19086C74">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1FD8B2D">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五、免责条款</w:t>
      </w:r>
    </w:p>
    <w:p w14:paraId="7E2E93B3">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1.因你方违反主合同约定致使供应商不能履行义务的，我方不承担保证责任。</w:t>
      </w:r>
    </w:p>
    <w:p w14:paraId="2FF9F309">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2.依照法律法规的规定或你方与供应商的另行约定，全部或者部分免除供应商应缴纳的保证金义务的，我方亦免除相应的保证责任。</w:t>
      </w:r>
    </w:p>
    <w:p w14:paraId="2FB704B2">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3.因不可抗力造成供应商不能履行供货义务的，我方不承担保证责任。</w:t>
      </w:r>
    </w:p>
    <w:p w14:paraId="5F417450">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六、争议的解决</w:t>
      </w:r>
    </w:p>
    <w:p w14:paraId="63707B88">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因本保函发生的纠纷，由你我双方协商解决，协商不成的，通过诉讼程序解决，诉讼管辖地法院为</w:t>
      </w:r>
      <w:r>
        <w:rPr>
          <w:rFonts w:hint="eastAsia" w:asciiTheme="minorEastAsia" w:hAnsiTheme="minorEastAsia" w:cstheme="minorEastAsia"/>
          <w:color w:val="auto"/>
          <w:sz w:val="24"/>
          <w:highlight w:val="none"/>
          <w:u w:val="single"/>
        </w:rPr>
        <w:t xml:space="preserve">        </w:t>
      </w:r>
      <w:r>
        <w:rPr>
          <w:rFonts w:hint="eastAsia" w:asciiTheme="minorEastAsia" w:hAnsiTheme="minorEastAsia" w:cstheme="minorEastAsia"/>
          <w:color w:val="auto"/>
          <w:sz w:val="24"/>
          <w:highlight w:val="none"/>
        </w:rPr>
        <w:t>法院。</w:t>
      </w:r>
    </w:p>
    <w:p w14:paraId="1A228EC3">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七、保函的生效</w:t>
      </w:r>
    </w:p>
    <w:p w14:paraId="41D457B4">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本保函自我方加盖公章之日起生效。</w:t>
      </w:r>
    </w:p>
    <w:p w14:paraId="3C14C4DD">
      <w:pPr>
        <w:widowControl/>
        <w:tabs>
          <w:tab w:val="left" w:pos="360"/>
          <w:tab w:val="left" w:pos="960"/>
        </w:tabs>
        <w:spacing w:line="360" w:lineRule="auto"/>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p>
    <w:p w14:paraId="311C533C">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保证人：（公章）</w:t>
      </w:r>
    </w:p>
    <w:p w14:paraId="54F72393">
      <w:pPr>
        <w:widowControl/>
        <w:tabs>
          <w:tab w:val="left" w:pos="360"/>
          <w:tab w:val="left" w:pos="960"/>
        </w:tabs>
        <w:spacing w:line="360" w:lineRule="auto"/>
        <w:ind w:firstLine="360"/>
        <w:jc w:val="left"/>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p>
    <w:p w14:paraId="3303138C">
      <w:pPr>
        <w:spacing w:line="360" w:lineRule="auto"/>
        <w:jc w:val="cente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年     月      日</w:t>
      </w:r>
    </w:p>
    <w:bookmarkEnd w:id="135"/>
    <w:bookmarkEnd w:id="136"/>
    <w:bookmarkEnd w:id="137"/>
    <w:bookmarkEnd w:id="138"/>
    <w:bookmarkEnd w:id="139"/>
    <w:p w14:paraId="220D1EC0">
      <w:pPr>
        <w:jc w:val="cente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lang w:eastAsia="zh-CN"/>
        </w:rPr>
        <w:t>第三章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rPr>
        <w:t>合同文本</w:t>
      </w:r>
    </w:p>
    <w:p w14:paraId="66D9BC00">
      <w:pPr>
        <w:spacing w:line="500" w:lineRule="exact"/>
        <w:ind w:firstLine="480"/>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以下为中标后</w:t>
      </w:r>
      <w:r>
        <w:rPr>
          <w:rFonts w:hint="eastAsia" w:ascii="宋体" w:hAnsi="宋体" w:eastAsia="宋体" w:cs="宋体"/>
          <w:b w:val="0"/>
          <w:bCs/>
          <w:color w:val="000000"/>
          <w:sz w:val="24"/>
          <w:szCs w:val="24"/>
          <w:highlight w:val="none"/>
          <w:lang w:val="en-US" w:eastAsia="zh-CN"/>
        </w:rPr>
        <w:t>签订</w:t>
      </w:r>
      <w:r>
        <w:rPr>
          <w:rFonts w:hint="eastAsia" w:ascii="宋体" w:hAnsi="宋体" w:eastAsia="宋体" w:cs="宋体"/>
          <w:b w:val="0"/>
          <w:bCs/>
          <w:color w:val="000000"/>
          <w:sz w:val="24"/>
          <w:szCs w:val="24"/>
          <w:highlight w:val="none"/>
        </w:rPr>
        <w:t>本项目合同的通用条款，中标人不得提出实质性的修改。</w:t>
      </w:r>
    </w:p>
    <w:p w14:paraId="0D50351E">
      <w:pPr>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合同书</w:t>
      </w:r>
    </w:p>
    <w:p w14:paraId="7F93A080">
      <w:pPr>
        <w:keepNext w:val="0"/>
        <w:keepLines w:val="0"/>
        <w:pageBreakBefore w:val="0"/>
        <w:spacing w:line="480" w:lineRule="exact"/>
        <w:ind w:firstLine="482"/>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甲方（采购人）：</w:t>
      </w:r>
      <w:r>
        <w:rPr>
          <w:rFonts w:hint="eastAsia" w:ascii="宋体" w:hAnsi="宋体" w:eastAsia="宋体" w:cs="宋体"/>
          <w:b/>
          <w:bCs/>
          <w:color w:val="000000"/>
          <w:sz w:val="24"/>
          <w:highlight w:val="none"/>
          <w:u w:val="single"/>
          <w:lang w:eastAsia="zh-CN"/>
        </w:rPr>
        <w:t>无锡市滨湖区马山街道办事处</w:t>
      </w:r>
    </w:p>
    <w:p w14:paraId="6D802E7F">
      <w:pPr>
        <w:keepNext w:val="0"/>
        <w:keepLines w:val="0"/>
        <w:pageBreakBefore w:val="0"/>
        <w:spacing w:line="480" w:lineRule="exact"/>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乙方（中标供应商）：</w:t>
      </w:r>
      <w:r>
        <w:rPr>
          <w:rFonts w:hint="eastAsia" w:ascii="宋体" w:hAnsi="宋体" w:eastAsia="宋体" w:cs="宋体"/>
          <w:b/>
          <w:bCs/>
          <w:color w:val="000000"/>
          <w:sz w:val="24"/>
          <w:highlight w:val="none"/>
          <w:u w:val="single"/>
        </w:rPr>
        <w:t xml:space="preserve">                             </w:t>
      </w:r>
      <w:r>
        <w:rPr>
          <w:rFonts w:hint="eastAsia" w:ascii="宋体" w:hAnsi="宋体" w:eastAsia="宋体" w:cs="宋体"/>
          <w:b/>
          <w:color w:val="000000"/>
          <w:sz w:val="24"/>
          <w:highlight w:val="none"/>
          <w:u w:val="single"/>
        </w:rPr>
        <w:t xml:space="preserve"> </w:t>
      </w:r>
    </w:p>
    <w:p w14:paraId="1926E3B4">
      <w:pPr>
        <w:keepNext w:val="0"/>
        <w:keepLines w:val="0"/>
        <w:pageBreakBefore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依照《中华人民共和国民法典》、《中华人民共和国政府采购法》及其他有关法律、行政法规，遵照平等、自愿、公平和诚实信用的原则，双方就</w:t>
      </w:r>
      <w:r>
        <w:rPr>
          <w:rFonts w:hint="eastAsia" w:ascii="宋体" w:hAnsi="宋体" w:eastAsia="宋体" w:cs="宋体"/>
          <w:b/>
          <w:bCs/>
          <w:color w:val="000000"/>
          <w:sz w:val="24"/>
          <w:highlight w:val="none"/>
          <w:u w:val="single"/>
          <w:lang w:eastAsia="zh-CN"/>
        </w:rPr>
        <w:t>梅梁路与陆马公路交叉口地下水处置项目</w:t>
      </w:r>
      <w:r>
        <w:rPr>
          <w:rFonts w:hint="eastAsia" w:ascii="宋体" w:hAnsi="宋体" w:eastAsia="宋体" w:cs="宋体"/>
          <w:color w:val="000000"/>
          <w:sz w:val="24"/>
          <w:highlight w:val="none"/>
        </w:rPr>
        <w:t>协商一致，订立本合同。</w:t>
      </w:r>
    </w:p>
    <w:p w14:paraId="4F82B4A1">
      <w:pPr>
        <w:keepNext w:val="0"/>
        <w:keepLines w:val="0"/>
        <w:pageBreakBefore w:val="0"/>
        <w:widowControl/>
        <w:spacing w:line="480" w:lineRule="exact"/>
        <w:ind w:firstLine="480"/>
        <w:jc w:val="both"/>
        <w:rPr>
          <w:rFonts w:hint="eastAsia" w:ascii="宋体" w:hAnsi="宋体" w:eastAsia="宋体" w:cs="宋体"/>
          <w:color w:val="000000"/>
          <w:sz w:val="24"/>
          <w:highlight w:val="none"/>
          <w:u w:val="single"/>
        </w:rPr>
      </w:pPr>
      <w:bookmarkStart w:id="140" w:name="_Toc76417655"/>
      <w:r>
        <w:rPr>
          <w:rFonts w:hint="eastAsia" w:ascii="宋体" w:hAnsi="宋体" w:eastAsia="宋体" w:cs="宋体"/>
          <w:bCs/>
          <w:color w:val="000000"/>
          <w:sz w:val="24"/>
          <w:highlight w:val="none"/>
        </w:rPr>
        <w:t>一、</w:t>
      </w:r>
      <w:r>
        <w:rPr>
          <w:rFonts w:hint="eastAsia" w:ascii="宋体" w:hAnsi="宋体" w:eastAsia="宋体" w:cs="宋体"/>
          <w:b w:val="0"/>
          <w:color w:val="auto"/>
          <w:sz w:val="24"/>
          <w:szCs w:val="24"/>
          <w:highlight w:val="none"/>
        </w:rPr>
        <w:t>采购标的需实现的</w:t>
      </w:r>
      <w:r>
        <w:rPr>
          <w:rFonts w:hint="eastAsia" w:ascii="宋体" w:hAnsi="宋体" w:eastAsia="宋体" w:cs="宋体"/>
          <w:color w:val="auto"/>
          <w:sz w:val="24"/>
          <w:szCs w:val="24"/>
          <w:highlight w:val="none"/>
          <w:lang w:val="en-US" w:eastAsia="zh-CN"/>
        </w:rPr>
        <w:t>目标：对</w:t>
      </w:r>
      <w:r>
        <w:rPr>
          <w:rFonts w:hint="eastAsia" w:ascii="宋体" w:hAnsi="宋体" w:eastAsia="宋体" w:cs="宋体"/>
          <w:color w:val="auto"/>
          <w:sz w:val="24"/>
          <w:szCs w:val="24"/>
          <w:highlight w:val="none"/>
        </w:rPr>
        <w:t>梅梁路与陆马公路交叉口地下水应急处置</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保障周边河水生态安全，对该地块范围内地下水采取有效措施予以综合整治</w:t>
      </w:r>
      <w:r>
        <w:rPr>
          <w:rFonts w:hint="eastAsia" w:ascii="宋体" w:hAnsi="宋体" w:eastAsia="宋体" w:cs="宋体"/>
          <w:color w:val="auto"/>
          <w:sz w:val="24"/>
          <w:szCs w:val="24"/>
          <w:highlight w:val="none"/>
        </w:rPr>
        <w:t>。</w:t>
      </w:r>
    </w:p>
    <w:p w14:paraId="3E932B67">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二、合同金额：人民币（大写）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元 ；人民币（小写）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元</w:t>
      </w:r>
    </w:p>
    <w:p w14:paraId="2F225616">
      <w:pPr>
        <w:keepNext w:val="0"/>
        <w:keepLines w:val="0"/>
        <w:pageBreakBefore w:val="0"/>
        <w:widowControl/>
        <w:spacing w:line="480" w:lineRule="exact"/>
        <w:ind w:firstLine="482"/>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注：</w:t>
      </w:r>
      <w:r>
        <w:rPr>
          <w:rFonts w:hint="eastAsia" w:ascii="宋体" w:hAnsi="宋体" w:eastAsia="宋体" w:cs="宋体"/>
          <w:b/>
          <w:bCs/>
          <w:color w:val="000000"/>
          <w:sz w:val="24"/>
          <w:highlight w:val="none"/>
          <w:lang w:eastAsia="zh-CN"/>
        </w:rPr>
        <w:t>合同金额</w:t>
      </w:r>
      <w:r>
        <w:rPr>
          <w:rFonts w:hint="eastAsia" w:ascii="宋体" w:hAnsi="宋体" w:eastAsia="宋体" w:cs="宋体"/>
          <w:b/>
          <w:bCs/>
          <w:color w:val="000000"/>
          <w:sz w:val="24"/>
          <w:highlight w:val="none"/>
        </w:rPr>
        <w:t>包括但不限于人工费、材料费、调查费、交通费、采样费、所有检测费、机械使用费、专家费、管理费和利润、税费、成果文件编制费、政策性文件规定的各项规费等费用以及合同明示或暗示的所有一切风险责任和义务等各项应有费用。除合同另行约定外，合同价格后期不作调整。</w:t>
      </w:r>
    </w:p>
    <w:p w14:paraId="3ACB180E">
      <w:pPr>
        <w:keepNext w:val="0"/>
        <w:keepLines w:val="0"/>
        <w:pageBreakBefore w:val="0"/>
        <w:tabs>
          <w:tab w:val="left" w:pos="735"/>
          <w:tab w:val="left" w:pos="1260"/>
        </w:tabs>
        <w:spacing w:line="480" w:lineRule="exact"/>
        <w:ind w:firstLine="480"/>
        <w:rPr>
          <w:rFonts w:hint="default"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rPr>
        <w:t>三、服务期：</w:t>
      </w:r>
      <w:r>
        <w:rPr>
          <w:rFonts w:hint="eastAsia" w:ascii="宋体" w:hAnsi="宋体" w:cs="宋体"/>
          <w:color w:val="000000"/>
          <w:sz w:val="24"/>
          <w:highlight w:val="none"/>
          <w:lang w:val="en-US" w:eastAsia="zh-CN"/>
        </w:rPr>
        <w:t>自合同签订之日起</w:t>
      </w:r>
      <w:r>
        <w:rPr>
          <w:rFonts w:hint="eastAsia" w:ascii="宋体" w:hAnsi="宋体" w:eastAsia="宋体" w:cs="宋体"/>
          <w:color w:val="000000"/>
          <w:sz w:val="24"/>
          <w:highlight w:val="none"/>
          <w:u w:val="single"/>
          <w:lang w:val="en-US" w:eastAsia="zh-CN"/>
        </w:rPr>
        <w:t>90</w:t>
      </w:r>
      <w:r>
        <w:rPr>
          <w:rFonts w:hint="eastAsia" w:ascii="宋体" w:hAnsi="宋体" w:eastAsia="宋体" w:cs="宋体"/>
          <w:color w:val="000000"/>
          <w:sz w:val="24"/>
          <w:highlight w:val="none"/>
          <w:u w:val="single"/>
        </w:rPr>
        <w:t>天</w:t>
      </w:r>
      <w:r>
        <w:rPr>
          <w:rFonts w:hint="eastAsia" w:ascii="宋体" w:hAnsi="宋体" w:eastAsia="宋体" w:cs="宋体"/>
          <w:color w:val="000000"/>
          <w:sz w:val="24"/>
          <w:highlight w:val="none"/>
          <w:u w:val="single"/>
          <w:lang w:eastAsia="zh-CN"/>
        </w:rPr>
        <w:t>。</w:t>
      </w:r>
    </w:p>
    <w:p w14:paraId="6AC767F1">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四、服务地点和方式：</w:t>
      </w:r>
      <w:r>
        <w:rPr>
          <w:rFonts w:hint="eastAsia" w:ascii="宋体" w:hAnsi="宋体" w:eastAsia="宋体" w:cs="宋体"/>
          <w:color w:val="000000"/>
          <w:sz w:val="24"/>
          <w:highlight w:val="none"/>
          <w:u w:val="single"/>
        </w:rPr>
        <w:t>本项目位于梅梁路与陆马公路交叉口。</w:t>
      </w:r>
    </w:p>
    <w:bookmarkEnd w:id="140"/>
    <w:p w14:paraId="73EEB2D9">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五、</w:t>
      </w:r>
      <w:r>
        <w:rPr>
          <w:rFonts w:hint="eastAsia" w:ascii="宋体" w:hAnsi="宋体" w:eastAsia="宋体" w:cs="宋体"/>
          <w:bCs/>
          <w:color w:val="000000"/>
          <w:sz w:val="24"/>
          <w:highlight w:val="none"/>
        </w:rPr>
        <w:t>采购标的的</w:t>
      </w:r>
      <w:r>
        <w:rPr>
          <w:rFonts w:hint="eastAsia" w:ascii="宋体" w:hAnsi="宋体" w:cs="宋体"/>
          <w:bCs/>
          <w:color w:val="000000"/>
          <w:sz w:val="24"/>
          <w:highlight w:val="none"/>
          <w:lang w:val="en-US" w:eastAsia="zh-CN"/>
        </w:rPr>
        <w:t>履约</w:t>
      </w:r>
      <w:r>
        <w:rPr>
          <w:rFonts w:hint="eastAsia" w:ascii="宋体" w:hAnsi="宋体" w:eastAsia="宋体" w:cs="宋体"/>
          <w:bCs/>
          <w:color w:val="000000"/>
          <w:sz w:val="24"/>
          <w:highlight w:val="none"/>
        </w:rPr>
        <w:t>验收标准</w:t>
      </w:r>
    </w:p>
    <w:p w14:paraId="21A3EE40">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w:t>
      </w:r>
      <w:r>
        <w:rPr>
          <w:rFonts w:hint="eastAsia" w:ascii="宋体" w:hAnsi="宋体" w:cs="宋体"/>
          <w:color w:val="auto"/>
          <w:sz w:val="24"/>
          <w:szCs w:val="24"/>
          <w:highlight w:val="none"/>
          <w:lang w:eastAsia="zh-CN"/>
        </w:rPr>
        <w:t>本地</w:t>
      </w:r>
      <w:r>
        <w:rPr>
          <w:rFonts w:hint="eastAsia" w:ascii="宋体" w:hAnsi="宋体" w:cs="宋体"/>
          <w:color w:val="auto"/>
          <w:sz w:val="24"/>
          <w:szCs w:val="24"/>
          <w:highlight w:val="none"/>
          <w:lang w:val="en-US" w:eastAsia="zh-CN"/>
        </w:rPr>
        <w:t>块</w:t>
      </w:r>
      <w:r>
        <w:rPr>
          <w:rFonts w:hint="eastAsia" w:ascii="宋体" w:hAnsi="宋体" w:cs="宋体"/>
          <w:color w:val="auto"/>
          <w:sz w:val="24"/>
          <w:szCs w:val="24"/>
          <w:highlight w:val="none"/>
          <w:lang w:eastAsia="zh-CN"/>
        </w:rPr>
        <w:t>进行</w:t>
      </w:r>
      <w:r>
        <w:rPr>
          <w:rFonts w:hint="eastAsia" w:ascii="宋体" w:hAnsi="宋体" w:cs="宋体"/>
          <w:color w:val="auto"/>
          <w:sz w:val="24"/>
          <w:szCs w:val="24"/>
          <w:highlight w:val="none"/>
          <w:lang w:val="en-US" w:eastAsia="zh-CN"/>
        </w:rPr>
        <w:t>地下水</w:t>
      </w:r>
      <w:r>
        <w:rPr>
          <w:rFonts w:hint="eastAsia" w:ascii="宋体" w:hAnsi="宋体" w:cs="宋体"/>
          <w:color w:val="auto"/>
          <w:sz w:val="24"/>
          <w:szCs w:val="24"/>
          <w:highlight w:val="none"/>
          <w:lang w:eastAsia="zh-CN"/>
        </w:rPr>
        <w:t>环境整治</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保障周边水生态安全，对该地块范围内地下水采取有效措施予以综合整治</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整治完成后委托第三方进行检测及评估。</w:t>
      </w:r>
      <w:r>
        <w:rPr>
          <w:rFonts w:hint="eastAsia" w:ascii="宋体" w:hAnsi="宋体" w:cs="宋体"/>
          <w:color w:val="auto"/>
          <w:sz w:val="24"/>
          <w:szCs w:val="24"/>
          <w:highlight w:val="none"/>
          <w:lang w:val="en-US" w:eastAsia="zh-CN"/>
        </w:rPr>
        <w:t>项目的验收标准：经过综合整治后目标达到地下水4类水标准。</w:t>
      </w:r>
    </w:p>
    <w:p w14:paraId="3F4BC259">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六、采购标的的其他技术、服务等要求：</w:t>
      </w:r>
    </w:p>
    <w:p w14:paraId="0F915B23">
      <w:pPr>
        <w:shd w:val="clear" w:color="auto" w:fill="auto"/>
        <w:adjustRightInd w:val="0"/>
        <w:snapToGrid w:val="0"/>
        <w:spacing w:line="360" w:lineRule="auto"/>
        <w:ind w:firstLine="600" w:firstLineChars="2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付款方式：合同签订后30个工作日内，支付合同金额的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%作为预付款；项目实施完</w:t>
      </w:r>
      <w:r>
        <w:rPr>
          <w:rFonts w:hint="eastAsia" w:ascii="宋体" w:hAnsi="宋体" w:cs="宋体"/>
          <w:color w:val="auto"/>
          <w:sz w:val="24"/>
          <w:szCs w:val="24"/>
          <w:highlight w:val="none"/>
          <w:lang w:val="en-US" w:eastAsia="zh-CN"/>
        </w:rPr>
        <w:t>成并经甲方验收（经过第三方检测达标）后</w:t>
      </w:r>
      <w:r>
        <w:rPr>
          <w:rFonts w:hint="eastAsia" w:ascii="宋体" w:hAnsi="宋体" w:eastAsia="宋体" w:cs="宋体"/>
          <w:color w:val="auto"/>
          <w:sz w:val="24"/>
          <w:szCs w:val="24"/>
          <w:highlight w:val="none"/>
        </w:rPr>
        <w:t>支付合同金额的</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审计结束后付至审定价的</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2C2995D4">
      <w:pPr>
        <w:shd w:val="clear" w:color="auto" w:fill="auto"/>
        <w:adjustRightInd w:val="0"/>
        <w:snapToGrid w:val="0"/>
        <w:spacing w:line="360" w:lineRule="auto"/>
        <w:ind w:firstLine="600" w:firstLineChars="250"/>
        <w:jc w:val="both"/>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应协助</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完成履约验收并无条件接受</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组织的审计，以审计报告结果作为最终结算金额。若不审计，则以</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不超合同价确定的结算价为准。</w:t>
      </w:r>
    </w:p>
    <w:p w14:paraId="10761AFB">
      <w:pPr>
        <w:snapToGrid w:val="0"/>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2、误期违约：</w:t>
      </w:r>
      <w:r>
        <w:rPr>
          <w:rFonts w:hint="eastAsia" w:ascii="宋体" w:hAnsi="宋体" w:eastAsia="宋体" w:cs="宋体"/>
          <w:color w:val="auto"/>
          <w:sz w:val="24"/>
          <w:szCs w:val="24"/>
          <w:highlight w:val="none"/>
        </w:rPr>
        <w:t>非采购人和监理单位、审计单位原因，乙方不能按合同修复期完成，应承担违约责任，并向甲方支付违约金。违约金按照本合同约定</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期每推迟一天，按中标价的万分之八支付违约金，但此违约金的支付并不能</w:t>
      </w:r>
      <w:r>
        <w:rPr>
          <w:rFonts w:hint="eastAsia" w:ascii="宋体" w:hAnsi="宋体" w:cs="宋体"/>
          <w:color w:val="auto"/>
          <w:sz w:val="24"/>
          <w:szCs w:val="24"/>
          <w:highlight w:val="none"/>
          <w:lang w:val="en-US" w:eastAsia="zh-CN"/>
        </w:rPr>
        <w:t>排除</w:t>
      </w:r>
      <w:r>
        <w:rPr>
          <w:rFonts w:hint="eastAsia" w:ascii="宋体" w:hAnsi="宋体" w:eastAsia="宋体" w:cs="宋体"/>
          <w:color w:val="auto"/>
          <w:sz w:val="24"/>
          <w:szCs w:val="24"/>
          <w:highlight w:val="none"/>
        </w:rPr>
        <w:t>乙方完成项目的责任和合同规定的其它责任。</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期延误违约金最高不得超过合同总价的5%。</w:t>
      </w:r>
    </w:p>
    <w:p w14:paraId="6FF656AC">
      <w:pPr>
        <w:keepNext w:val="0"/>
        <w:keepLines w:val="0"/>
        <w:pageBreakBefore w:val="0"/>
        <w:tabs>
          <w:tab w:val="left" w:pos="735"/>
          <w:tab w:val="left" w:pos="1260"/>
        </w:tabs>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3、质量违约：</w:t>
      </w:r>
      <w:r>
        <w:rPr>
          <w:rFonts w:hint="eastAsia" w:ascii="宋体" w:hAnsi="宋体" w:eastAsia="宋体" w:cs="宋体"/>
          <w:color w:val="auto"/>
          <w:sz w:val="24"/>
          <w:szCs w:val="24"/>
          <w:highlight w:val="none"/>
        </w:rPr>
        <w:t>若竣工验收综合评定修复质量达不到一次</w:t>
      </w:r>
      <w:r>
        <w:rPr>
          <w:rFonts w:hint="eastAsia" w:ascii="宋体" w:hAnsi="宋体" w:cs="宋体"/>
          <w:color w:val="auto"/>
          <w:sz w:val="24"/>
          <w:szCs w:val="24"/>
          <w:highlight w:val="none"/>
          <w:lang w:val="en-US" w:eastAsia="zh-CN"/>
        </w:rPr>
        <w:t>性</w:t>
      </w:r>
      <w:r>
        <w:rPr>
          <w:rFonts w:hint="eastAsia" w:ascii="宋体" w:hAnsi="宋体" w:eastAsia="宋体" w:cs="宋体"/>
          <w:color w:val="auto"/>
          <w:sz w:val="24"/>
          <w:szCs w:val="24"/>
          <w:highlight w:val="none"/>
        </w:rPr>
        <w:t>验收合格，则</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应承担违约责任，</w:t>
      </w:r>
      <w:r>
        <w:rPr>
          <w:rFonts w:hint="eastAsia" w:ascii="宋体" w:hAnsi="宋体" w:cs="宋体"/>
          <w:color w:val="auto"/>
          <w:sz w:val="24"/>
          <w:szCs w:val="24"/>
          <w:highlight w:val="none"/>
          <w:lang w:val="en-US" w:eastAsia="zh-CN"/>
        </w:rPr>
        <w:t>甲方有权直接</w:t>
      </w:r>
      <w:r>
        <w:rPr>
          <w:rFonts w:hint="eastAsia" w:ascii="宋体" w:hAnsi="宋体" w:eastAsia="宋体" w:cs="宋体"/>
          <w:color w:val="auto"/>
          <w:sz w:val="24"/>
          <w:szCs w:val="24"/>
          <w:highlight w:val="none"/>
        </w:rPr>
        <w:t>扣除</w:t>
      </w:r>
      <w:r>
        <w:rPr>
          <w:rFonts w:hint="eastAsia" w:ascii="宋体" w:hAnsi="宋体" w:cs="宋体"/>
          <w:color w:val="auto"/>
          <w:sz w:val="24"/>
          <w:szCs w:val="24"/>
          <w:highlight w:val="none"/>
          <w:lang w:val="en-US" w:eastAsia="zh-CN"/>
        </w:rPr>
        <w:t>合同金额</w:t>
      </w:r>
      <w:r>
        <w:rPr>
          <w:rFonts w:hint="eastAsia" w:ascii="宋体" w:hAnsi="宋体" w:eastAsia="宋体" w:cs="宋体"/>
          <w:color w:val="auto"/>
          <w:sz w:val="24"/>
          <w:szCs w:val="24"/>
          <w:highlight w:val="none"/>
        </w:rPr>
        <w:t>的5%作为违约金，并且</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还应立即整改，确保在</w:t>
      </w:r>
      <w:r>
        <w:rPr>
          <w:rFonts w:hint="eastAsia" w:ascii="宋体" w:hAnsi="宋体" w:cs="宋体"/>
          <w:color w:val="auto"/>
          <w:sz w:val="24"/>
          <w:szCs w:val="24"/>
          <w:highlight w:val="none"/>
          <w:lang w:val="en-US" w:eastAsia="zh-CN"/>
        </w:rPr>
        <w:t>合同约定期限内达到</w:t>
      </w:r>
      <w:r>
        <w:rPr>
          <w:rFonts w:hint="eastAsia" w:ascii="宋体" w:hAnsi="宋体" w:eastAsia="宋体" w:cs="宋体"/>
          <w:color w:val="auto"/>
          <w:sz w:val="24"/>
          <w:szCs w:val="24"/>
          <w:highlight w:val="none"/>
        </w:rPr>
        <w:t>验收合格；否则，</w:t>
      </w:r>
      <w:r>
        <w:rPr>
          <w:rFonts w:hint="eastAsia" w:ascii="宋体" w:hAnsi="宋体" w:cs="宋体"/>
          <w:color w:val="auto"/>
          <w:sz w:val="24"/>
          <w:szCs w:val="24"/>
          <w:highlight w:val="none"/>
          <w:lang w:eastAsia="zh-CN"/>
        </w:rPr>
        <w:t>甲方</w:t>
      </w:r>
      <w:r>
        <w:rPr>
          <w:rFonts w:hint="eastAsia" w:ascii="宋体" w:hAnsi="宋体" w:eastAsia="宋体" w:cs="宋体"/>
          <w:color w:val="auto"/>
          <w:sz w:val="24"/>
          <w:szCs w:val="24"/>
          <w:highlight w:val="none"/>
        </w:rPr>
        <w:t>有权</w:t>
      </w:r>
      <w:r>
        <w:rPr>
          <w:rFonts w:hint="eastAsia" w:ascii="宋体" w:hAnsi="宋体" w:cs="宋体"/>
          <w:color w:val="auto"/>
          <w:sz w:val="24"/>
          <w:szCs w:val="24"/>
          <w:highlight w:val="none"/>
          <w:lang w:val="en-US" w:eastAsia="zh-CN"/>
        </w:rPr>
        <w:t>解除</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val="en-US" w:eastAsia="zh-CN"/>
        </w:rPr>
        <w:t>并委托第三方履行合同义务</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如产生费用由乙方承担</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同时甲方有权没收履约保证金且无需支付合同价款，乙方应退还甲方已支付合同款项</w:t>
      </w:r>
      <w:r>
        <w:rPr>
          <w:rFonts w:hint="eastAsia" w:ascii="宋体" w:hAnsi="宋体" w:eastAsia="宋体" w:cs="宋体"/>
          <w:color w:val="auto"/>
          <w:sz w:val="24"/>
          <w:szCs w:val="24"/>
          <w:highlight w:val="none"/>
        </w:rPr>
        <w:t>。</w:t>
      </w:r>
    </w:p>
    <w:p w14:paraId="267F548E">
      <w:pPr>
        <w:pStyle w:val="2"/>
        <w:ind w:firstLine="480" w:firstLineChars="200"/>
        <w:rPr>
          <w:rFonts w:hint="default" w:eastAsia="宋体"/>
          <w:highlight w:val="none"/>
          <w:lang w:val="en-US" w:eastAsia="zh-CN"/>
        </w:rPr>
      </w:pPr>
      <w:r>
        <w:rPr>
          <w:rFonts w:hint="eastAsia" w:ascii="宋体" w:hAnsi="宋体" w:eastAsia="宋体" w:cs="宋体"/>
          <w:color w:val="auto"/>
          <w:sz w:val="24"/>
          <w:szCs w:val="24"/>
          <w:highlight w:val="none"/>
          <w:lang w:val="en-US" w:eastAsia="zh-CN"/>
        </w:rPr>
        <w:t>4、质保期：1年。</w:t>
      </w:r>
    </w:p>
    <w:p w14:paraId="7353F20C">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七、合同文件的优先次序</w:t>
      </w:r>
      <w:r>
        <w:rPr>
          <w:rFonts w:hint="eastAsia" w:ascii="宋体" w:hAnsi="宋体" w:eastAsia="宋体" w:cs="宋体"/>
          <w:bCs/>
          <w:color w:val="000000"/>
          <w:sz w:val="24"/>
          <w:highlight w:val="none"/>
        </w:rPr>
        <w:t>：</w:t>
      </w:r>
    </w:p>
    <w:p w14:paraId="20D30EE3">
      <w:pPr>
        <w:keepNext w:val="0"/>
        <w:keepLines w:val="0"/>
        <w:pageBreakBefore w:val="0"/>
        <w:spacing w:line="48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构成本合同的文件可视为是能互相说明的，如果合同文件存在歧义或不一致，则根据如下优先次序来判断</w:t>
      </w:r>
      <w:r>
        <w:rPr>
          <w:rFonts w:hint="eastAsia" w:ascii="宋体" w:hAnsi="宋体" w:eastAsia="宋体" w:cs="宋体"/>
          <w:color w:val="000000"/>
          <w:sz w:val="24"/>
          <w:highlight w:val="none"/>
          <w:lang w:eastAsia="zh-CN"/>
        </w:rPr>
        <w:t>：</w:t>
      </w:r>
    </w:p>
    <w:p w14:paraId="2E1879C0">
      <w:pPr>
        <w:keepNext w:val="0"/>
        <w:keepLines w:val="0"/>
        <w:pageBreakBefore w:val="0"/>
        <w:spacing w:line="48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1）合同书</w:t>
      </w:r>
    </w:p>
    <w:p w14:paraId="6192A2A6">
      <w:pPr>
        <w:keepNext w:val="0"/>
        <w:keepLines w:val="0"/>
        <w:pageBreakBefore w:val="0"/>
        <w:spacing w:line="48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2）中标通知书</w:t>
      </w:r>
    </w:p>
    <w:p w14:paraId="4C981A0F">
      <w:pPr>
        <w:keepNext w:val="0"/>
        <w:keepLines w:val="0"/>
        <w:pageBreakBefore w:val="0"/>
        <w:spacing w:line="480" w:lineRule="exact"/>
        <w:ind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cs="宋体"/>
          <w:color w:val="000000"/>
          <w:sz w:val="24"/>
          <w:highlight w:val="none"/>
          <w:lang w:eastAsia="zh-CN"/>
        </w:rPr>
        <w:t>甲方</w:t>
      </w:r>
      <w:r>
        <w:rPr>
          <w:rFonts w:hint="eastAsia" w:ascii="宋体" w:hAnsi="宋体" w:eastAsia="宋体" w:cs="宋体"/>
          <w:color w:val="000000"/>
          <w:sz w:val="24"/>
          <w:highlight w:val="none"/>
        </w:rPr>
        <w:t>要求及委托书</w:t>
      </w:r>
    </w:p>
    <w:p w14:paraId="6D49924E">
      <w:pPr>
        <w:keepNext w:val="0"/>
        <w:keepLines w:val="0"/>
        <w:pageBreakBefore w:val="0"/>
        <w:spacing w:line="480" w:lineRule="exact"/>
        <w:ind w:firstLine="480"/>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4）投</w:t>
      </w:r>
      <w:r>
        <w:rPr>
          <w:rFonts w:hint="eastAsia" w:ascii="宋体" w:hAnsi="宋体" w:eastAsia="宋体" w:cs="宋体"/>
          <w:bCs/>
          <w:color w:val="000000"/>
          <w:sz w:val="24"/>
          <w:highlight w:val="none"/>
        </w:rPr>
        <w:t>标</w:t>
      </w:r>
      <w:r>
        <w:rPr>
          <w:rFonts w:hint="eastAsia" w:ascii="宋体" w:hAnsi="宋体" w:eastAsia="宋体" w:cs="宋体"/>
          <w:bCs/>
          <w:color w:val="000000"/>
          <w:sz w:val="24"/>
          <w:highlight w:val="none"/>
          <w:lang w:eastAsia="zh-CN"/>
        </w:rPr>
        <w:t>文件</w:t>
      </w:r>
    </w:p>
    <w:p w14:paraId="241D26E6">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八、预付款保函：</w:t>
      </w:r>
    </w:p>
    <w:p w14:paraId="2DD3544B">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乙方签订合同时，需一次性缴纳预付款保函，预付款保函金额为合同价的10%。</w:t>
      </w:r>
    </w:p>
    <w:p w14:paraId="2056C8F2">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乙方提供履约担保的形式及期限： </w:t>
      </w:r>
    </w:p>
    <w:p w14:paraId="2DFC02BC">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1）预付款保函金额缴纳形式：支票、汇票、本票、保函、电汇等非现金方式缴纳。</w:t>
      </w:r>
    </w:p>
    <w:p w14:paraId="1C768F44">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2）如果乙方未能履行合同规定的任何义务，甲方有权从预付款保函金额中</w:t>
      </w:r>
      <w:r>
        <w:rPr>
          <w:rFonts w:hint="eastAsia" w:ascii="宋体" w:hAnsi="宋体" w:cs="宋体"/>
          <w:bCs/>
          <w:color w:val="000000"/>
          <w:sz w:val="24"/>
          <w:highlight w:val="none"/>
          <w:lang w:val="en-US" w:eastAsia="zh-CN"/>
        </w:rPr>
        <w:t>直接扣除违约金或损失</w:t>
      </w:r>
      <w:r>
        <w:rPr>
          <w:rFonts w:hint="eastAsia" w:ascii="宋体" w:hAnsi="宋体" w:eastAsia="宋体" w:cs="宋体"/>
          <w:bCs/>
          <w:color w:val="000000"/>
          <w:sz w:val="24"/>
          <w:highlight w:val="none"/>
          <w:lang w:val="zh-CN"/>
        </w:rPr>
        <w:t>。</w:t>
      </w:r>
    </w:p>
    <w:p w14:paraId="0AEDBAEE">
      <w:pPr>
        <w:keepNext w:val="0"/>
        <w:keepLines w:val="0"/>
        <w:pageBreakBefore w:val="0"/>
        <w:tabs>
          <w:tab w:val="left" w:pos="735"/>
          <w:tab w:val="left" w:pos="1260"/>
        </w:tabs>
        <w:spacing w:line="480" w:lineRule="exact"/>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3）预付款保函金额退还时间、方式：预付款保函金额（无息）将在服务期满并验收合格后无息退回。</w:t>
      </w:r>
    </w:p>
    <w:p w14:paraId="7E4B1A6B">
      <w:pPr>
        <w:spacing w:line="360" w:lineRule="auto"/>
        <w:ind w:firstLine="480" w:firstLineChars="200"/>
        <w:jc w:val="both"/>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4）履约过程中乙方在服务期限、服务质量、安全作业、现场管理及服务人员配备、将中标项目转包或分包给他人的、拒绝履行合同义务等方面发生的不履约或违背合同规定的责任和义务的行为，甲方有权从预付款保函金额中</w:t>
      </w:r>
      <w:r>
        <w:rPr>
          <w:rFonts w:hint="eastAsia" w:ascii="宋体" w:hAnsi="宋体" w:cs="宋体"/>
          <w:bCs/>
          <w:color w:val="000000"/>
          <w:sz w:val="24"/>
          <w:highlight w:val="none"/>
          <w:lang w:val="en-US" w:eastAsia="zh-CN"/>
        </w:rPr>
        <w:t>直接扣除违约金或损失</w:t>
      </w:r>
      <w:r>
        <w:rPr>
          <w:rFonts w:hint="eastAsia" w:ascii="宋体" w:hAnsi="宋体" w:eastAsia="宋体" w:cs="宋体"/>
          <w:bCs/>
          <w:color w:val="000000"/>
          <w:sz w:val="24"/>
          <w:highlight w:val="none"/>
          <w:lang w:val="zh-CN"/>
        </w:rPr>
        <w:t>。</w:t>
      </w:r>
    </w:p>
    <w:p w14:paraId="4AAD483C">
      <w:pPr>
        <w:keepNext w:val="0"/>
        <w:keepLines w:val="0"/>
        <w:pageBreakBefore w:val="0"/>
        <w:widowControl/>
        <w:spacing w:line="480" w:lineRule="exact"/>
        <w:ind w:firstLine="480"/>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lang w:eastAsia="zh-CN"/>
        </w:rPr>
        <w:t>九</w:t>
      </w:r>
      <w:r>
        <w:rPr>
          <w:rFonts w:hint="eastAsia" w:ascii="宋体" w:hAnsi="宋体" w:eastAsia="宋体" w:cs="宋体"/>
          <w:color w:val="000000"/>
          <w:sz w:val="24"/>
          <w:highlight w:val="none"/>
        </w:rPr>
        <w:t>、违约责任</w:t>
      </w:r>
    </w:p>
    <w:p w14:paraId="4C843C38">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1、由于乙方原因，延误提交</w:t>
      </w:r>
      <w:r>
        <w:rPr>
          <w:rFonts w:hint="eastAsia" w:ascii="宋体" w:hAnsi="宋体" w:eastAsia="宋体" w:cs="宋体"/>
          <w:color w:val="000000"/>
          <w:sz w:val="24"/>
          <w:highlight w:val="none"/>
          <w:lang w:eastAsia="zh-CN"/>
        </w:rPr>
        <w:t>成果文件</w:t>
      </w:r>
      <w:r>
        <w:rPr>
          <w:rFonts w:hint="eastAsia" w:ascii="宋体" w:hAnsi="宋体" w:eastAsia="宋体" w:cs="宋体"/>
          <w:color w:val="000000"/>
          <w:sz w:val="24"/>
          <w:highlight w:val="none"/>
        </w:rPr>
        <w:t>的，每延误一天，应向甲方支付该2000元/天违约金，逾期超过20个工作日的，视为乙方根本违约，乙方应赔偿甲方合同价款的10%作为违约金，并赔偿由此给甲方造成的全部损失和费用。上述违约金和赔偿金可直接从</w:t>
      </w:r>
      <w:r>
        <w:rPr>
          <w:rFonts w:hint="eastAsia" w:ascii="宋体" w:hAnsi="宋体" w:cs="宋体"/>
          <w:color w:val="000000"/>
          <w:sz w:val="24"/>
          <w:highlight w:val="none"/>
          <w:lang w:val="en-US" w:eastAsia="zh-CN"/>
        </w:rPr>
        <w:t>履约保证金、合同金额</w:t>
      </w:r>
      <w:r>
        <w:rPr>
          <w:rFonts w:hint="eastAsia" w:ascii="宋体" w:hAnsi="宋体" w:eastAsia="宋体" w:cs="宋体"/>
          <w:color w:val="000000"/>
          <w:sz w:val="24"/>
          <w:highlight w:val="none"/>
        </w:rPr>
        <w:t>中扣除。</w:t>
      </w:r>
    </w:p>
    <w:p w14:paraId="114F1DF2">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2、乙方应确保所递交的报告通过甲方及相关部门组织的专家组评审验收</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如乙方报告未能通过上述任何一项验收的，乙方应在</w:t>
      </w:r>
      <w:r>
        <w:rPr>
          <w:rFonts w:hint="eastAsia" w:ascii="宋体" w:hAnsi="宋体" w:cs="宋体"/>
          <w:color w:val="000000"/>
          <w:sz w:val="24"/>
          <w:highlight w:val="none"/>
          <w:lang w:val="en-US" w:eastAsia="zh-CN"/>
        </w:rPr>
        <w:t>合同期限内</w:t>
      </w:r>
      <w:r>
        <w:rPr>
          <w:rFonts w:hint="eastAsia" w:ascii="宋体" w:hAnsi="宋体" w:eastAsia="宋体" w:cs="宋体"/>
          <w:color w:val="000000"/>
          <w:sz w:val="24"/>
          <w:highlight w:val="none"/>
        </w:rPr>
        <w:t>修改补充完善报告</w:t>
      </w:r>
      <w:r>
        <w:rPr>
          <w:rFonts w:hint="eastAsia" w:ascii="宋体" w:hAnsi="宋体" w:cs="宋体"/>
          <w:color w:val="000000"/>
          <w:sz w:val="24"/>
          <w:highlight w:val="none"/>
          <w:lang w:val="en-US" w:eastAsia="zh-CN"/>
        </w:rPr>
        <w:t>并通过验收</w:t>
      </w:r>
      <w:r>
        <w:rPr>
          <w:rFonts w:hint="eastAsia" w:ascii="宋体" w:hAnsi="宋体" w:eastAsia="宋体" w:cs="宋体"/>
          <w:color w:val="000000"/>
          <w:sz w:val="24"/>
          <w:highlight w:val="none"/>
        </w:rPr>
        <w:t>，否则，甲方有权解除本合同，要求乙方返还已支付的</w:t>
      </w:r>
      <w:r>
        <w:rPr>
          <w:rFonts w:hint="eastAsia" w:ascii="宋体" w:hAnsi="宋体" w:cs="宋体"/>
          <w:color w:val="000000"/>
          <w:sz w:val="24"/>
          <w:highlight w:val="none"/>
          <w:lang w:val="en-US" w:eastAsia="zh-CN"/>
        </w:rPr>
        <w:t>合同款项</w:t>
      </w:r>
      <w:r>
        <w:rPr>
          <w:rFonts w:hint="eastAsia" w:ascii="宋体" w:hAnsi="宋体" w:eastAsia="宋体" w:cs="宋体"/>
          <w:color w:val="000000"/>
          <w:sz w:val="24"/>
          <w:highlight w:val="none"/>
        </w:rPr>
        <w:t>，并要求乙方支付本合同价款5%的违约金。上述违约金和赔偿金可直接从</w:t>
      </w:r>
      <w:r>
        <w:rPr>
          <w:rFonts w:hint="eastAsia" w:ascii="宋体" w:hAnsi="宋体" w:eastAsia="宋体" w:cs="宋体"/>
          <w:color w:val="000000"/>
          <w:sz w:val="24"/>
          <w:highlight w:val="none"/>
          <w:lang w:eastAsia="zh-CN"/>
        </w:rPr>
        <w:t>服务</w:t>
      </w:r>
      <w:r>
        <w:rPr>
          <w:rFonts w:hint="eastAsia" w:ascii="宋体" w:hAnsi="宋体" w:eastAsia="宋体" w:cs="宋体"/>
          <w:color w:val="000000"/>
          <w:sz w:val="24"/>
          <w:highlight w:val="none"/>
        </w:rPr>
        <w:t>费中扣除。</w:t>
      </w:r>
    </w:p>
    <w:p w14:paraId="54D2C7DD">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3、合同生效后，未经甲方书面同意，乙方不得擅自解除合同或终止合同履行，否则，应向甲方支付合同总价30％的违约金，并赔偿由此给甲方造成的全部损失和费用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包括但不限于诉讼仲裁费、律师费、鉴定费等</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。上述违约金和赔偿金可直接从</w:t>
      </w:r>
      <w:r>
        <w:rPr>
          <w:rFonts w:hint="eastAsia" w:ascii="宋体" w:hAnsi="宋体" w:eastAsia="宋体" w:cs="宋体"/>
          <w:color w:val="000000"/>
          <w:sz w:val="24"/>
          <w:highlight w:val="none"/>
          <w:lang w:eastAsia="zh-CN"/>
        </w:rPr>
        <w:t>服务</w:t>
      </w:r>
      <w:r>
        <w:rPr>
          <w:rFonts w:hint="eastAsia" w:ascii="宋体" w:hAnsi="宋体" w:eastAsia="宋体" w:cs="宋体"/>
          <w:color w:val="000000"/>
          <w:sz w:val="24"/>
          <w:highlight w:val="none"/>
        </w:rPr>
        <w:t>费中扣除。</w:t>
      </w:r>
    </w:p>
    <w:p w14:paraId="3B8E187B">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4、乙方应确保其工作人员的人身安全，自费购买安全保险、安全防护设备等（该费用已包含在总价中，乙方不得再向甲方主张），乙方工作人员如发生任何人身损害，</w:t>
      </w:r>
      <w:r>
        <w:rPr>
          <w:rFonts w:hint="eastAsia" w:ascii="宋体" w:hAnsi="宋体" w:eastAsia="宋体" w:cs="宋体"/>
          <w:color w:val="000000"/>
          <w:sz w:val="24"/>
          <w:highlight w:val="none"/>
          <w:lang w:eastAsia="zh-CN"/>
        </w:rPr>
        <w:t>由</w:t>
      </w:r>
      <w:r>
        <w:rPr>
          <w:rFonts w:hint="eastAsia" w:ascii="宋体" w:hAnsi="宋体" w:eastAsia="宋体" w:cs="宋体"/>
          <w:color w:val="000000"/>
          <w:sz w:val="24"/>
          <w:highlight w:val="none"/>
        </w:rPr>
        <w:t>乙方</w:t>
      </w:r>
      <w:r>
        <w:rPr>
          <w:rFonts w:hint="eastAsia" w:ascii="宋体" w:hAnsi="宋体" w:eastAsia="宋体" w:cs="宋体"/>
          <w:color w:val="000000"/>
          <w:sz w:val="24"/>
          <w:highlight w:val="none"/>
          <w:lang w:eastAsia="zh-CN"/>
        </w:rPr>
        <w:t>承担一切责任及经济赔偿、损失，甲方</w:t>
      </w:r>
      <w:r>
        <w:rPr>
          <w:rFonts w:hint="eastAsia" w:ascii="宋体" w:hAnsi="宋体" w:eastAsia="宋体" w:cs="宋体"/>
          <w:color w:val="000000"/>
          <w:sz w:val="24"/>
          <w:highlight w:val="none"/>
        </w:rPr>
        <w:t>不承担任何责任</w:t>
      </w:r>
      <w:r>
        <w:rPr>
          <w:rFonts w:hint="eastAsia" w:ascii="宋体" w:hAnsi="宋体" w:eastAsia="宋体" w:cs="宋体"/>
          <w:color w:val="000000"/>
          <w:sz w:val="24"/>
          <w:highlight w:val="none"/>
          <w:lang w:eastAsia="zh-CN"/>
        </w:rPr>
        <w:t>及经济赔偿、损失；</w:t>
      </w:r>
      <w:r>
        <w:rPr>
          <w:rFonts w:hint="eastAsia" w:ascii="宋体" w:hAnsi="宋体" w:eastAsia="宋体" w:cs="宋体"/>
          <w:color w:val="000000"/>
          <w:sz w:val="24"/>
          <w:highlight w:val="none"/>
        </w:rPr>
        <w:t>如对甲方造成损失的，乙方应全额赔偿甲方损失。</w:t>
      </w:r>
    </w:p>
    <w:p w14:paraId="0A0359F4">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rPr>
        <w:t>5、乙方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highlight w:val="none"/>
          <w:lang w:eastAsia="zh-CN"/>
        </w:rPr>
        <w:t>均由</w:t>
      </w:r>
      <w:r>
        <w:rPr>
          <w:rFonts w:hint="eastAsia" w:ascii="宋体" w:hAnsi="宋体" w:eastAsia="宋体" w:cs="宋体"/>
          <w:color w:val="000000"/>
          <w:sz w:val="24"/>
          <w:highlight w:val="none"/>
        </w:rPr>
        <w:t>乙方</w:t>
      </w:r>
      <w:r>
        <w:rPr>
          <w:rFonts w:hint="eastAsia" w:ascii="宋体" w:hAnsi="宋体" w:eastAsia="宋体" w:cs="宋体"/>
          <w:color w:val="000000"/>
          <w:sz w:val="24"/>
          <w:highlight w:val="none"/>
          <w:lang w:eastAsia="zh-CN"/>
        </w:rPr>
        <w:t>负责处理，由</w:t>
      </w:r>
      <w:r>
        <w:rPr>
          <w:rFonts w:hint="eastAsia" w:ascii="宋体" w:hAnsi="宋体" w:eastAsia="宋体" w:cs="宋体"/>
          <w:color w:val="000000"/>
          <w:sz w:val="24"/>
          <w:highlight w:val="none"/>
        </w:rPr>
        <w:t>乙方</w:t>
      </w:r>
      <w:r>
        <w:rPr>
          <w:rFonts w:hint="eastAsia" w:ascii="宋体" w:hAnsi="宋体" w:eastAsia="宋体" w:cs="宋体"/>
          <w:color w:val="000000"/>
          <w:sz w:val="24"/>
          <w:highlight w:val="none"/>
          <w:lang w:eastAsia="zh-CN"/>
        </w:rPr>
        <w:t>承担一切责任及经济赔偿、损失，甲方</w:t>
      </w:r>
      <w:r>
        <w:rPr>
          <w:rFonts w:hint="eastAsia" w:ascii="宋体" w:hAnsi="宋体" w:eastAsia="宋体" w:cs="宋体"/>
          <w:color w:val="000000"/>
          <w:sz w:val="24"/>
          <w:highlight w:val="none"/>
        </w:rPr>
        <w:t>不承担任何责任</w:t>
      </w:r>
      <w:r>
        <w:rPr>
          <w:rFonts w:hint="eastAsia" w:ascii="宋体" w:hAnsi="宋体" w:eastAsia="宋体" w:cs="宋体"/>
          <w:color w:val="000000"/>
          <w:sz w:val="24"/>
          <w:highlight w:val="none"/>
          <w:lang w:eastAsia="zh-CN"/>
        </w:rPr>
        <w:t>及经济赔偿、损失；</w:t>
      </w:r>
      <w:r>
        <w:rPr>
          <w:rFonts w:hint="eastAsia" w:ascii="宋体" w:hAnsi="宋体" w:eastAsia="宋体" w:cs="宋体"/>
          <w:color w:val="000000"/>
          <w:sz w:val="24"/>
          <w:highlight w:val="none"/>
        </w:rPr>
        <w:t>如对甲方造成损失的，乙方应全额赔偿甲方损失。</w:t>
      </w:r>
    </w:p>
    <w:p w14:paraId="6B2B1FC5">
      <w:pPr>
        <w:keepNext w:val="0"/>
        <w:keepLines w:val="0"/>
        <w:pageBreakBefore w:val="0"/>
        <w:widowControl/>
        <w:spacing w:line="480" w:lineRule="exact"/>
        <w:ind w:firstLine="480"/>
        <w:jc w:val="both"/>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未经甲方书面同意，乙方不得将本合同项下委托事项全部或部分转包分包给第三人，否则，甲方有权立即解除本合同，并要求乙方返还已支付的</w:t>
      </w:r>
      <w:r>
        <w:rPr>
          <w:rFonts w:hint="eastAsia" w:ascii="宋体" w:hAnsi="宋体" w:cs="宋体"/>
          <w:color w:val="000000"/>
          <w:sz w:val="24"/>
          <w:highlight w:val="none"/>
          <w:lang w:eastAsia="zh-CN"/>
        </w:rPr>
        <w:t>合同款项</w:t>
      </w:r>
      <w:r>
        <w:rPr>
          <w:rFonts w:hint="eastAsia" w:ascii="宋体" w:hAnsi="宋体" w:eastAsia="宋体" w:cs="宋体"/>
          <w:color w:val="000000"/>
          <w:sz w:val="24"/>
          <w:highlight w:val="none"/>
        </w:rPr>
        <w:t>及支付本合同</w:t>
      </w:r>
      <w:r>
        <w:rPr>
          <w:rFonts w:hint="eastAsia" w:ascii="宋体" w:hAnsi="宋体" w:cs="宋体"/>
          <w:color w:val="000000"/>
          <w:sz w:val="24"/>
          <w:highlight w:val="none"/>
          <w:lang w:val="en-US" w:eastAsia="zh-CN"/>
        </w:rPr>
        <w:t>金额</w:t>
      </w:r>
      <w:r>
        <w:rPr>
          <w:rFonts w:hint="eastAsia" w:ascii="宋体" w:hAnsi="宋体" w:eastAsia="宋体" w:cs="宋体"/>
          <w:color w:val="000000"/>
          <w:sz w:val="24"/>
          <w:highlight w:val="none"/>
        </w:rPr>
        <w:t>20%的违约金，并赔偿由此给甲方造成的全部损失和费用</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包括但不限于诉讼仲裁费、律师费、鉴定费等</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。上述违约金和赔偿金可直接从</w:t>
      </w:r>
      <w:r>
        <w:rPr>
          <w:rFonts w:hint="eastAsia" w:ascii="宋体" w:hAnsi="宋体" w:eastAsia="宋体" w:cs="宋体"/>
          <w:color w:val="000000"/>
          <w:sz w:val="24"/>
          <w:highlight w:val="none"/>
          <w:lang w:eastAsia="zh-CN"/>
        </w:rPr>
        <w:t>服务</w:t>
      </w:r>
      <w:r>
        <w:rPr>
          <w:rFonts w:hint="eastAsia" w:ascii="宋体" w:hAnsi="宋体" w:eastAsia="宋体" w:cs="宋体"/>
          <w:color w:val="000000"/>
          <w:sz w:val="24"/>
          <w:highlight w:val="none"/>
        </w:rPr>
        <w:t>费中扣除。</w:t>
      </w:r>
    </w:p>
    <w:p w14:paraId="616464CF">
      <w:pPr>
        <w:keepNext w:val="0"/>
        <w:keepLines w:val="0"/>
        <w:pageBreakBefore w:val="0"/>
        <w:spacing w:line="480" w:lineRule="exact"/>
        <w:ind w:firstLine="480"/>
        <w:outlineLvl w:val="0"/>
        <w:rPr>
          <w:rFonts w:hint="eastAsia" w:ascii="宋体" w:hAnsi="宋体" w:eastAsia="宋体" w:cs="宋体"/>
          <w:color w:val="000000"/>
          <w:sz w:val="24"/>
          <w:highlight w:val="none"/>
        </w:rPr>
      </w:pPr>
      <w:bookmarkStart w:id="141" w:name="_Toc76417657"/>
      <w:r>
        <w:rPr>
          <w:rFonts w:hint="eastAsia" w:ascii="宋体" w:hAnsi="宋体" w:eastAsia="宋体" w:cs="宋体"/>
          <w:color w:val="000000"/>
          <w:sz w:val="24"/>
          <w:highlight w:val="none"/>
        </w:rPr>
        <w:t>十、保密</w:t>
      </w:r>
      <w:bookmarkEnd w:id="141"/>
    </w:p>
    <w:p w14:paraId="00D5CE96">
      <w:pPr>
        <w:keepNext w:val="0"/>
        <w:keepLines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双方均应保护对方的知识产权，未经对方同意，任何一方均不得对对方的资料及文件擅自修改、复制或向第三人转让或用于本合同项目外的项目。如发生以上情况，泄密方承担一切由此引起的后果并承担赔偿责任。</w:t>
      </w:r>
    </w:p>
    <w:p w14:paraId="29BCE31A">
      <w:pPr>
        <w:keepNext w:val="0"/>
        <w:keepLines w:val="0"/>
        <w:pageBreakBefore w:val="0"/>
        <w:spacing w:line="480" w:lineRule="exact"/>
        <w:outlineLvl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　　</w:t>
      </w:r>
      <w:bookmarkStart w:id="142" w:name="_Toc76417658"/>
      <w:r>
        <w:rPr>
          <w:rFonts w:hint="eastAsia" w:ascii="宋体" w:hAnsi="宋体" w:eastAsia="宋体" w:cs="宋体"/>
          <w:color w:val="000000"/>
          <w:sz w:val="24"/>
          <w:highlight w:val="none"/>
        </w:rPr>
        <w:t>十</w:t>
      </w:r>
      <w:r>
        <w:rPr>
          <w:rFonts w:hint="eastAsia" w:ascii="宋体" w:hAnsi="宋体" w:eastAsia="宋体" w:cs="宋体"/>
          <w:color w:val="000000"/>
          <w:sz w:val="24"/>
          <w:highlight w:val="none"/>
          <w:lang w:eastAsia="zh-CN"/>
        </w:rPr>
        <w:t>一</w:t>
      </w:r>
      <w:r>
        <w:rPr>
          <w:rFonts w:hint="eastAsia" w:ascii="宋体" w:hAnsi="宋体" w:eastAsia="宋体" w:cs="宋体"/>
          <w:color w:val="000000"/>
          <w:sz w:val="24"/>
          <w:highlight w:val="none"/>
        </w:rPr>
        <w:t>、争议解决</w:t>
      </w:r>
      <w:bookmarkEnd w:id="142"/>
    </w:p>
    <w:p w14:paraId="179581DE">
      <w:pPr>
        <w:keepNext w:val="0"/>
        <w:keepLines w:val="0"/>
        <w:pageBreakBefore w:val="0"/>
        <w:spacing w:line="480" w:lineRule="exact"/>
        <w:ind w:firstLine="480"/>
        <w:outlineLvl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本合同发生争议，甲方与乙方应及时协商解决。也可由当地行政主管部门调解，调解不成时，双方当事人同意向甲方所在地人民法院诉讼解决。</w:t>
      </w:r>
    </w:p>
    <w:p w14:paraId="1A6F94FA">
      <w:pPr>
        <w:keepNext w:val="0"/>
        <w:keepLines w:val="0"/>
        <w:pageBreakBefore w:val="0"/>
        <w:spacing w:line="480" w:lineRule="exact"/>
        <w:ind w:firstLine="480"/>
        <w:outlineLvl w:val="0"/>
        <w:rPr>
          <w:rFonts w:hint="eastAsia" w:ascii="宋体" w:hAnsi="宋体" w:eastAsia="宋体" w:cs="宋体"/>
          <w:color w:val="000000"/>
          <w:sz w:val="24"/>
          <w:highlight w:val="none"/>
        </w:rPr>
      </w:pPr>
      <w:bookmarkStart w:id="143" w:name="_Toc76417659"/>
      <w:r>
        <w:rPr>
          <w:rFonts w:hint="eastAsia" w:ascii="宋体" w:hAnsi="宋体" w:eastAsia="宋体" w:cs="宋体"/>
          <w:color w:val="000000"/>
          <w:sz w:val="24"/>
          <w:highlight w:val="none"/>
        </w:rPr>
        <w:t>十</w:t>
      </w:r>
      <w:r>
        <w:rPr>
          <w:rFonts w:hint="eastAsia" w:ascii="宋体" w:hAnsi="宋体" w:eastAsia="宋体" w:cs="宋体"/>
          <w:color w:val="000000"/>
          <w:sz w:val="24"/>
          <w:highlight w:val="none"/>
          <w:lang w:eastAsia="zh-CN"/>
        </w:rPr>
        <w:t>二</w:t>
      </w:r>
      <w:r>
        <w:rPr>
          <w:rFonts w:hint="eastAsia" w:ascii="宋体" w:hAnsi="宋体" w:eastAsia="宋体" w:cs="宋体"/>
          <w:color w:val="000000"/>
          <w:sz w:val="24"/>
          <w:highlight w:val="none"/>
        </w:rPr>
        <w:t>、合同生效及其他</w:t>
      </w:r>
      <w:bookmarkEnd w:id="143"/>
    </w:p>
    <w:p w14:paraId="23ACEB38">
      <w:pPr>
        <w:keepNext w:val="0"/>
        <w:keepLines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1.</w:t>
      </w:r>
      <w:r>
        <w:rPr>
          <w:rFonts w:hint="eastAsia" w:ascii="宋体" w:hAnsi="宋体" w:cs="宋体"/>
          <w:color w:val="000000"/>
          <w:sz w:val="24"/>
          <w:highlight w:val="none"/>
          <w:lang w:eastAsia="zh-CN"/>
        </w:rPr>
        <w:t>乙方</w:t>
      </w:r>
      <w:r>
        <w:rPr>
          <w:rFonts w:hint="eastAsia" w:ascii="宋体" w:hAnsi="宋体" w:eastAsia="宋体" w:cs="宋体"/>
          <w:color w:val="000000"/>
          <w:sz w:val="24"/>
          <w:highlight w:val="none"/>
        </w:rPr>
        <w:t>在本合同约定的服务期限内为</w:t>
      </w:r>
      <w:r>
        <w:rPr>
          <w:rFonts w:hint="eastAsia" w:ascii="宋体" w:hAnsi="宋体" w:cs="宋体"/>
          <w:color w:val="000000"/>
          <w:sz w:val="24"/>
          <w:highlight w:val="none"/>
          <w:lang w:eastAsia="zh-CN"/>
        </w:rPr>
        <w:t>甲方</w:t>
      </w:r>
      <w:r>
        <w:rPr>
          <w:rFonts w:hint="eastAsia" w:ascii="宋体" w:hAnsi="宋体" w:eastAsia="宋体" w:cs="宋体"/>
          <w:color w:val="000000"/>
          <w:sz w:val="24"/>
          <w:highlight w:val="none"/>
        </w:rPr>
        <w:t>提供服务。</w:t>
      </w:r>
    </w:p>
    <w:p w14:paraId="0D47F280">
      <w:pPr>
        <w:keepNext w:val="0"/>
        <w:keepLines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2.</w:t>
      </w:r>
      <w:r>
        <w:rPr>
          <w:rFonts w:hint="eastAsia" w:ascii="宋体" w:hAnsi="宋体" w:cs="宋体"/>
          <w:color w:val="000000"/>
          <w:sz w:val="24"/>
          <w:highlight w:val="none"/>
          <w:lang w:eastAsia="zh-CN"/>
        </w:rPr>
        <w:t>甲方</w:t>
      </w:r>
      <w:r>
        <w:rPr>
          <w:rFonts w:hint="eastAsia" w:ascii="宋体" w:hAnsi="宋体" w:eastAsia="宋体" w:cs="宋体"/>
          <w:color w:val="000000"/>
          <w:sz w:val="24"/>
          <w:highlight w:val="none"/>
        </w:rPr>
        <w:t>委托</w:t>
      </w:r>
      <w:r>
        <w:rPr>
          <w:rFonts w:hint="eastAsia" w:ascii="宋体" w:hAnsi="宋体" w:cs="宋体"/>
          <w:color w:val="000000"/>
          <w:sz w:val="24"/>
          <w:highlight w:val="none"/>
          <w:lang w:eastAsia="zh-CN"/>
        </w:rPr>
        <w:t>乙方</w:t>
      </w:r>
      <w:r>
        <w:rPr>
          <w:rFonts w:hint="eastAsia" w:ascii="宋体" w:hAnsi="宋体" w:eastAsia="宋体" w:cs="宋体"/>
          <w:color w:val="000000"/>
          <w:sz w:val="24"/>
          <w:highlight w:val="none"/>
        </w:rPr>
        <w:t>承担本合同内容以外的工作服务，另行签订协议并支付费用。</w:t>
      </w:r>
    </w:p>
    <w:p w14:paraId="3A65D5C7">
      <w:pPr>
        <w:keepNext w:val="0"/>
        <w:keepLines w:val="0"/>
        <w:pageBreakBefore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3.由于不可抗力因素致使合同无法履行时，双方应及时协商解决。</w:t>
      </w:r>
    </w:p>
    <w:p w14:paraId="448407B3">
      <w:pPr>
        <w:keepNext w:val="0"/>
        <w:keepLines w:val="0"/>
        <w:pageBreakBefore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4.双方认可的来往传真、电报、会议纪要等，均为合同的组成部分，与本合同具有同等法律效力。</w:t>
      </w:r>
    </w:p>
    <w:p w14:paraId="5458AAF5">
      <w:pPr>
        <w:keepNext w:val="0"/>
        <w:keepLines w:val="0"/>
        <w:pageBreakBefore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5.合同不可分割部分：采购文件、响应文件、合同条款及中标通知书，乙方在投标、评标过程中所作其它有关承诺、声明、书面澄清等均为合同不可分割的部分，与主合同具有同等法律效力。</w:t>
      </w:r>
    </w:p>
    <w:p w14:paraId="05D7371C">
      <w:pPr>
        <w:keepNext w:val="0"/>
        <w:keepLines w:val="0"/>
        <w:pageBreakBefore w:val="0"/>
        <w:spacing w:line="4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6.本合同双方</w:t>
      </w:r>
      <w:r>
        <w:rPr>
          <w:rFonts w:hint="eastAsia" w:ascii="宋体" w:hAnsi="宋体" w:cs="宋体"/>
          <w:color w:val="000000"/>
          <w:sz w:val="24"/>
          <w:highlight w:val="none"/>
          <w:lang w:val="en-US" w:eastAsia="zh-CN"/>
        </w:rPr>
        <w:t>代表人/代理人</w:t>
      </w:r>
      <w:r>
        <w:rPr>
          <w:rFonts w:hint="eastAsia" w:ascii="宋体" w:hAnsi="宋体" w:eastAsia="宋体" w:cs="宋体"/>
          <w:color w:val="000000"/>
          <w:sz w:val="24"/>
          <w:highlight w:val="none"/>
        </w:rPr>
        <w:t>签字</w:t>
      </w:r>
      <w:r>
        <w:rPr>
          <w:rFonts w:hint="eastAsia" w:ascii="宋体" w:hAnsi="宋体" w:cs="宋体"/>
          <w:color w:val="000000"/>
          <w:sz w:val="24"/>
          <w:highlight w:val="none"/>
          <w:lang w:val="en-US" w:eastAsia="zh-CN"/>
        </w:rPr>
        <w:t>加</w:t>
      </w:r>
      <w:r>
        <w:rPr>
          <w:rFonts w:hint="eastAsia" w:ascii="宋体" w:hAnsi="宋体" w:eastAsia="宋体" w:cs="宋体"/>
          <w:color w:val="000000"/>
          <w:sz w:val="24"/>
          <w:highlight w:val="none"/>
        </w:rPr>
        <w:t>盖</w:t>
      </w:r>
      <w:r>
        <w:rPr>
          <w:rFonts w:hint="eastAsia" w:ascii="宋体" w:hAnsi="宋体" w:cs="宋体"/>
          <w:color w:val="000000"/>
          <w:sz w:val="24"/>
          <w:highlight w:val="none"/>
          <w:lang w:val="en-US" w:eastAsia="zh-CN"/>
        </w:rPr>
        <w:t>公</w:t>
      </w:r>
      <w:r>
        <w:rPr>
          <w:rFonts w:hint="eastAsia" w:ascii="宋体" w:hAnsi="宋体" w:eastAsia="宋体" w:cs="宋体"/>
          <w:color w:val="000000"/>
          <w:sz w:val="24"/>
          <w:highlight w:val="none"/>
        </w:rPr>
        <w:t>章</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并</w:t>
      </w:r>
      <w:r>
        <w:rPr>
          <w:rFonts w:hint="eastAsia" w:ascii="宋体" w:hAnsi="宋体" w:cs="宋体"/>
          <w:color w:val="000000"/>
          <w:sz w:val="24"/>
          <w:highlight w:val="none"/>
          <w:lang w:val="en-US" w:eastAsia="zh-CN"/>
        </w:rPr>
        <w:t>经</w:t>
      </w:r>
      <w:r>
        <w:rPr>
          <w:rFonts w:hint="eastAsia" w:ascii="宋体" w:hAnsi="宋体" w:eastAsia="宋体" w:cs="宋体"/>
          <w:color w:val="000000"/>
          <w:sz w:val="24"/>
          <w:highlight w:val="none"/>
        </w:rPr>
        <w:t>见证</w:t>
      </w:r>
      <w:r>
        <w:rPr>
          <w:rFonts w:hint="eastAsia" w:ascii="宋体" w:hAnsi="宋体" w:cs="宋体"/>
          <w:color w:val="000000"/>
          <w:sz w:val="24"/>
          <w:highlight w:val="none"/>
          <w:lang w:val="en-US" w:eastAsia="zh-CN"/>
        </w:rPr>
        <w:t>人盖章后</w:t>
      </w:r>
      <w:r>
        <w:rPr>
          <w:rFonts w:hint="eastAsia" w:ascii="宋体" w:hAnsi="宋体" w:eastAsia="宋体" w:cs="宋体"/>
          <w:color w:val="000000"/>
          <w:sz w:val="24"/>
          <w:highlight w:val="none"/>
        </w:rPr>
        <w:t>即生效，一式</w:t>
      </w:r>
      <w:r>
        <w:rPr>
          <w:rFonts w:hint="eastAsia" w:ascii="宋体" w:hAnsi="宋体" w:eastAsia="宋体" w:cs="宋体"/>
          <w:color w:val="000000"/>
          <w:sz w:val="24"/>
          <w:highlight w:val="none"/>
          <w:u w:val="single"/>
        </w:rPr>
        <w:t xml:space="preserve"> 伍 </w:t>
      </w:r>
      <w:r>
        <w:rPr>
          <w:rFonts w:hint="eastAsia" w:ascii="宋体" w:hAnsi="宋体" w:eastAsia="宋体" w:cs="宋体"/>
          <w:color w:val="000000"/>
          <w:sz w:val="24"/>
          <w:highlight w:val="none"/>
        </w:rPr>
        <w:t>份，</w:t>
      </w:r>
      <w:r>
        <w:rPr>
          <w:rFonts w:hint="eastAsia" w:ascii="宋体" w:hAnsi="宋体" w:cs="宋体"/>
          <w:color w:val="000000"/>
          <w:sz w:val="24"/>
          <w:highlight w:val="none"/>
          <w:lang w:eastAsia="zh-CN"/>
        </w:rPr>
        <w:t>甲方</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份，</w:t>
      </w:r>
      <w:r>
        <w:rPr>
          <w:rFonts w:hint="eastAsia" w:ascii="宋体" w:hAnsi="宋体" w:cs="宋体"/>
          <w:color w:val="000000"/>
          <w:sz w:val="24"/>
          <w:highlight w:val="none"/>
          <w:lang w:eastAsia="zh-CN"/>
        </w:rPr>
        <w:t>乙方</w:t>
      </w:r>
      <w:r>
        <w:rPr>
          <w:rFonts w:hint="eastAsia" w:ascii="宋体" w:hAnsi="宋体" w:eastAsia="宋体" w:cs="宋体"/>
          <w:color w:val="000000"/>
          <w:sz w:val="24"/>
          <w:highlight w:val="none"/>
          <w:u w:val="single"/>
        </w:rPr>
        <w:t xml:space="preserve"> 贰 </w:t>
      </w:r>
      <w:r>
        <w:rPr>
          <w:rFonts w:hint="eastAsia" w:ascii="宋体" w:hAnsi="宋体" w:eastAsia="宋体" w:cs="宋体"/>
          <w:color w:val="000000"/>
          <w:sz w:val="24"/>
          <w:highlight w:val="none"/>
        </w:rPr>
        <w:t>份，见证人</w:t>
      </w:r>
      <w:r>
        <w:rPr>
          <w:rFonts w:hint="eastAsia" w:ascii="宋体" w:hAnsi="宋体" w:eastAsia="宋体" w:cs="宋体"/>
          <w:color w:val="000000"/>
          <w:sz w:val="24"/>
          <w:highlight w:val="none"/>
          <w:u w:val="single"/>
        </w:rPr>
        <w:t>壹</w:t>
      </w:r>
      <w:r>
        <w:rPr>
          <w:rFonts w:hint="eastAsia" w:ascii="宋体" w:hAnsi="宋体" w:eastAsia="宋体" w:cs="宋体"/>
          <w:color w:val="000000"/>
          <w:sz w:val="24"/>
          <w:highlight w:val="none"/>
        </w:rPr>
        <w:t>份。</w:t>
      </w:r>
    </w:p>
    <w:p w14:paraId="2E58E505">
      <w:pPr>
        <w:keepNext w:val="0"/>
        <w:keepLines w:val="0"/>
        <w:pageBreakBefore w:val="0"/>
        <w:spacing w:line="480" w:lineRule="exact"/>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7.未尽事宜，经双方协商一致，签订补充协议，补充协议与本合同具有同等效力。</w:t>
      </w:r>
    </w:p>
    <w:p w14:paraId="19C3A299">
      <w:pPr>
        <w:pStyle w:val="2"/>
        <w:rPr>
          <w:rFonts w:hint="default" w:eastAsia="宋体"/>
          <w:highlight w:val="none"/>
          <w:lang w:val="en-US" w:eastAsia="zh-CN"/>
        </w:rPr>
      </w:pPr>
      <w:r>
        <w:rPr>
          <w:rFonts w:hint="eastAsia" w:ascii="宋体" w:hAnsi="宋体" w:eastAsia="宋体" w:cs="宋体"/>
          <w:color w:val="000000"/>
          <w:sz w:val="24"/>
          <w:highlight w:val="none"/>
          <w:lang w:val="en-US" w:eastAsia="zh-CN"/>
        </w:rPr>
        <w:t xml:space="preserve">    8.服务项目清单附后。</w:t>
      </w:r>
    </w:p>
    <w:p w14:paraId="288683FC">
      <w:pPr>
        <w:keepNext w:val="0"/>
        <w:keepLines w:val="0"/>
        <w:pageBreakBefore w:val="0"/>
        <w:spacing w:before="120" w:after="120" w:line="320" w:lineRule="exact"/>
        <w:ind w:firstLine="480"/>
        <w:rPr>
          <w:rFonts w:hint="eastAsia" w:ascii="宋体" w:hAnsi="宋体" w:eastAsia="宋体" w:cs="宋体"/>
          <w:color w:val="000000"/>
          <w:sz w:val="24"/>
          <w:highlight w:val="none"/>
        </w:rPr>
      </w:pPr>
    </w:p>
    <w:p w14:paraId="7BABFC61">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甲方</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盖章</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eastAsia="zh-CN"/>
        </w:rPr>
        <w:t>乙方</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盖章</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01292A20">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131A17F0">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委托代理人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130874D5">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电　　话</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电　　话</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1CB80E4A">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传　　真</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传　　真</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5BE85A3A">
      <w:pPr>
        <w:keepNext w:val="0"/>
        <w:keepLines w:val="0"/>
        <w:pageBreakBefore w:val="0"/>
        <w:widowControl w:val="0"/>
        <w:spacing w:before="120" w:after="120" w:line="28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银行账号</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银行账号</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xml:space="preserve">  </w:t>
      </w:r>
    </w:p>
    <w:p w14:paraId="658B213F">
      <w:pPr>
        <w:keepNext w:val="0"/>
        <w:keepLines w:val="0"/>
        <w:pageBreakBefore w:val="0"/>
        <w:spacing w:line="320" w:lineRule="exact"/>
        <w:ind w:firstLine="461"/>
        <w:rPr>
          <w:rFonts w:hint="eastAsia" w:ascii="宋体" w:hAnsi="宋体" w:eastAsia="宋体" w:cs="宋体"/>
          <w:b/>
          <w:color w:val="000000"/>
          <w:spacing w:val="12"/>
          <w:sz w:val="24"/>
          <w:highlight w:val="none"/>
        </w:rPr>
      </w:pPr>
    </w:p>
    <w:p w14:paraId="55666B89">
      <w:pPr>
        <w:keepNext w:val="0"/>
        <w:keepLines w:val="0"/>
        <w:pageBreakBefore w:val="0"/>
        <w:spacing w:line="320" w:lineRule="exact"/>
        <w:ind w:firstLine="461"/>
        <w:rPr>
          <w:rFonts w:hint="eastAsia" w:ascii="宋体" w:hAnsi="宋体" w:eastAsia="宋体" w:cs="宋体"/>
          <w:b/>
          <w:color w:val="000000"/>
          <w:spacing w:val="12"/>
          <w:sz w:val="24"/>
          <w:highlight w:val="none"/>
          <w:u w:val="single"/>
        </w:rPr>
      </w:pPr>
      <w:r>
        <w:rPr>
          <w:rFonts w:hint="eastAsia" w:ascii="宋体" w:hAnsi="宋体" w:eastAsia="宋体" w:cs="宋体"/>
          <w:b/>
          <w:color w:val="000000"/>
          <w:spacing w:val="12"/>
          <w:sz w:val="24"/>
          <w:highlight w:val="none"/>
        </w:rPr>
        <w:t>见证人：</w:t>
      </w:r>
      <w:r>
        <w:rPr>
          <w:rFonts w:hint="eastAsia" w:ascii="宋体" w:hAnsi="宋体" w:eastAsia="宋体" w:cs="宋体"/>
          <w:b/>
          <w:color w:val="000000"/>
          <w:spacing w:val="12"/>
          <w:sz w:val="24"/>
          <w:highlight w:val="none"/>
          <w:u w:val="single"/>
        </w:rPr>
        <w:t xml:space="preserve">             （公章）</w:t>
      </w:r>
    </w:p>
    <w:p w14:paraId="5E16EE7D">
      <w:pPr>
        <w:ind w:firstLine="480" w:firstLineChars="200"/>
        <w:rPr>
          <w:highlight w:val="none"/>
        </w:rPr>
      </w:pPr>
      <w:r>
        <w:rPr>
          <w:rFonts w:hint="eastAsia" w:ascii="宋体" w:hAnsi="宋体" w:eastAsia="宋体" w:cs="宋体"/>
          <w:color w:val="000000"/>
          <w:sz w:val="24"/>
          <w:highlight w:val="none"/>
        </w:rPr>
        <w:t>日    期</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　　年　月　日</w:t>
      </w:r>
    </w:p>
    <w:p w14:paraId="4C90B466">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p>
    <w:p w14:paraId="73DC9B1B">
      <w:pPr>
        <w:pStyle w:val="3"/>
        <w:tabs>
          <w:tab w:val="left" w:pos="432"/>
        </w:tabs>
        <w:snapToGrid w:val="0"/>
        <w:ind w:left="0" w:firstLine="0"/>
        <w:rPr>
          <w:rFonts w:hint="default" w:eastAsia="黑体"/>
          <w:bCs/>
          <w:color w:val="auto"/>
          <w:sz w:val="30"/>
          <w:szCs w:val="30"/>
          <w:highlight w:val="none"/>
          <w:lang w:val="en-US" w:eastAsia="zh-CN"/>
        </w:rPr>
      </w:pPr>
      <w:bookmarkStart w:id="144" w:name="_Toc120614244"/>
      <w:bookmarkStart w:id="145" w:name="_Toc16938590"/>
      <w:bookmarkStart w:id="146" w:name="_Toc20823346"/>
      <w:r>
        <w:rPr>
          <w:rFonts w:hint="eastAsia" w:ascii="黑体" w:eastAsia="黑体" w:hAnsiTheme="minorHAnsi" w:cstheme="minorBidi"/>
          <w:bCs/>
          <w:color w:val="auto"/>
          <w:sz w:val="36"/>
          <w:szCs w:val="36"/>
          <w:highlight w:val="none"/>
          <w:lang w:val="en-US" w:eastAsia="zh-CN" w:bidi="ar-SA"/>
        </w:rPr>
        <w:t>第</w:t>
      </w:r>
      <w:r>
        <w:rPr>
          <w:rFonts w:hint="eastAsia" w:ascii="黑体" w:eastAsia="黑体" w:cstheme="minorBidi"/>
          <w:bCs/>
          <w:color w:val="auto"/>
          <w:sz w:val="36"/>
          <w:szCs w:val="36"/>
          <w:highlight w:val="none"/>
          <w:lang w:val="en-US" w:eastAsia="zh-CN" w:bidi="ar-SA"/>
        </w:rPr>
        <w:t>四</w:t>
      </w:r>
      <w:r>
        <w:rPr>
          <w:rFonts w:hint="eastAsia" w:ascii="黑体" w:eastAsia="黑体" w:hAnsiTheme="minorHAnsi" w:cstheme="minorBidi"/>
          <w:bCs/>
          <w:color w:val="auto"/>
          <w:sz w:val="36"/>
          <w:szCs w:val="36"/>
          <w:highlight w:val="none"/>
          <w:lang w:val="en-US" w:eastAsia="zh-CN" w:bidi="ar-SA"/>
        </w:rPr>
        <w:t>章</w:t>
      </w:r>
      <w:r>
        <w:rPr>
          <w:rFonts w:hint="eastAsia" w:ascii="黑体" w:eastAsia="黑体" w:cstheme="minorBidi"/>
          <w:bCs/>
          <w:color w:val="auto"/>
          <w:sz w:val="36"/>
          <w:szCs w:val="36"/>
          <w:highlight w:val="none"/>
          <w:lang w:val="en-US" w:eastAsia="zh-CN" w:bidi="ar-SA"/>
        </w:rPr>
        <w:t xml:space="preserve"> </w:t>
      </w:r>
      <w:bookmarkEnd w:id="144"/>
      <w:bookmarkEnd w:id="145"/>
      <w:bookmarkEnd w:id="146"/>
      <w:bookmarkStart w:id="147" w:name="_Toc26554093"/>
      <w:bookmarkStart w:id="148" w:name="_Toc120614281"/>
      <w:bookmarkStart w:id="149" w:name="_Toc49090575"/>
      <w:r>
        <w:rPr>
          <w:rFonts w:hint="eastAsia" w:ascii="黑体" w:eastAsia="黑体" w:hAnsiTheme="minorHAnsi" w:cstheme="minorBidi"/>
          <w:bCs/>
          <w:color w:val="auto"/>
          <w:sz w:val="36"/>
          <w:szCs w:val="36"/>
          <w:highlight w:val="none"/>
          <w:lang w:val="en-US" w:eastAsia="zh-CN" w:bidi="ar-SA"/>
        </w:rPr>
        <w:t>采购需求</w:t>
      </w:r>
    </w:p>
    <w:p w14:paraId="45387F5E">
      <w:pPr>
        <w:spacing w:line="360" w:lineRule="auto"/>
        <w:jc w:val="left"/>
        <w:rPr>
          <w:rFonts w:hint="eastAsia" w:ascii="宋体" w:hAnsi="宋体" w:eastAsia="宋体" w:cs="宋体"/>
          <w:b/>
          <w:color w:val="auto"/>
          <w:sz w:val="24"/>
          <w:szCs w:val="24"/>
          <w:highlight w:val="none"/>
        </w:rPr>
      </w:pPr>
      <w:bookmarkStart w:id="150" w:name="_Toc421127639"/>
      <w:r>
        <w:rPr>
          <w:rFonts w:hint="eastAsia" w:ascii="宋体" w:hAnsi="宋体" w:eastAsia="宋体" w:cs="宋体"/>
          <w:b/>
          <w:color w:val="auto"/>
          <w:sz w:val="24"/>
          <w:szCs w:val="24"/>
          <w:highlight w:val="none"/>
        </w:rPr>
        <w:t>（一）采购标的需实现的功能或者目标，以及为落实政府采购政策需满足的要求</w:t>
      </w:r>
    </w:p>
    <w:p w14:paraId="4D9E579C">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一、采购标的需实现的功能或者目标</w:t>
      </w:r>
    </w:p>
    <w:p w14:paraId="525C722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1、采购</w:t>
      </w:r>
      <w:r>
        <w:rPr>
          <w:rFonts w:hint="eastAsia" w:ascii="宋体" w:hAnsi="宋体" w:eastAsia="宋体" w:cs="宋体"/>
          <w:color w:val="auto"/>
          <w:sz w:val="24"/>
          <w:szCs w:val="24"/>
          <w:highlight w:val="none"/>
        </w:rPr>
        <w:t>项目名称：梅梁路与陆马公路交叉口地下水应急处置项目</w:t>
      </w:r>
    </w:p>
    <w:p w14:paraId="002C5EB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2、采购</w:t>
      </w:r>
      <w:r>
        <w:rPr>
          <w:rFonts w:hint="eastAsia" w:ascii="宋体" w:hAnsi="宋体" w:eastAsia="宋体" w:cs="宋体"/>
          <w:color w:val="auto"/>
          <w:sz w:val="24"/>
          <w:szCs w:val="24"/>
          <w:highlight w:val="none"/>
        </w:rPr>
        <w:t>项目地点：本项目位于梅梁路与陆马公路交叉口。</w:t>
      </w:r>
    </w:p>
    <w:p w14:paraId="37E241BD">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资金来源：</w:t>
      </w:r>
      <w:r>
        <w:rPr>
          <w:rFonts w:hint="eastAsia" w:ascii="宋体" w:hAnsi="宋体" w:cs="宋体"/>
          <w:color w:val="auto"/>
          <w:sz w:val="24"/>
          <w:szCs w:val="24"/>
          <w:highlight w:val="none"/>
          <w:lang w:val="en-US" w:eastAsia="zh-CN"/>
        </w:rPr>
        <w:t>财政资金</w:t>
      </w:r>
      <w:r>
        <w:rPr>
          <w:rFonts w:hint="eastAsia" w:ascii="宋体" w:hAnsi="宋体" w:eastAsia="宋体" w:cs="宋体"/>
          <w:color w:val="auto"/>
          <w:sz w:val="24"/>
          <w:szCs w:val="24"/>
          <w:highlight w:val="none"/>
        </w:rPr>
        <w:t>。</w:t>
      </w:r>
    </w:p>
    <w:p w14:paraId="62F1D4A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val="0"/>
          <w:color w:val="auto"/>
          <w:sz w:val="24"/>
          <w:szCs w:val="24"/>
          <w:highlight w:val="none"/>
        </w:rPr>
        <w:t>采购标的需实现的</w:t>
      </w:r>
      <w:r>
        <w:rPr>
          <w:rFonts w:hint="eastAsia" w:ascii="宋体" w:hAnsi="宋体" w:eastAsia="宋体" w:cs="宋体"/>
          <w:color w:val="auto"/>
          <w:sz w:val="24"/>
          <w:szCs w:val="24"/>
          <w:highlight w:val="none"/>
          <w:lang w:val="en-US" w:eastAsia="zh-CN"/>
        </w:rPr>
        <w:t>目标：对</w:t>
      </w:r>
      <w:r>
        <w:rPr>
          <w:rFonts w:hint="eastAsia" w:ascii="宋体" w:hAnsi="宋体" w:eastAsia="宋体" w:cs="宋体"/>
          <w:color w:val="auto"/>
          <w:sz w:val="24"/>
          <w:szCs w:val="24"/>
          <w:highlight w:val="none"/>
        </w:rPr>
        <w:t>梅梁路与陆马公路交叉口地下水应急处置</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保障周边河水生态安全，对该地块范围内地下水采取有效措施予以综合整治</w:t>
      </w:r>
      <w:r>
        <w:rPr>
          <w:rFonts w:hint="eastAsia" w:ascii="宋体" w:hAnsi="宋体" w:eastAsia="宋体" w:cs="宋体"/>
          <w:color w:val="auto"/>
          <w:sz w:val="24"/>
          <w:szCs w:val="24"/>
          <w:highlight w:val="none"/>
        </w:rPr>
        <w:t>。</w:t>
      </w:r>
    </w:p>
    <w:p w14:paraId="4783A634">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二、落实政府采购政策需满足的要求</w:t>
      </w:r>
    </w:p>
    <w:p w14:paraId="191B858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5022A01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6E77BC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7B29596">
      <w:pPr>
        <w:ind w:firstLine="480" w:firstLineChars="200"/>
        <w:rPr>
          <w:rFonts w:hint="eastAsia" w:ascii="宋体" w:hAnsi="宋体" w:eastAsia="宋体" w:cs="宋体"/>
          <w:bCs w:val="0"/>
          <w:color w:val="auto"/>
          <w:sz w:val="24"/>
          <w:szCs w:val="24"/>
          <w:highlight w:val="none"/>
          <w:lang w:val="en-US" w:eastAsia="zh-CN"/>
        </w:rPr>
      </w:pPr>
      <w:r>
        <w:rPr>
          <w:rFonts w:hint="eastAsia" w:ascii="宋体" w:hAnsi="宋体" w:eastAsia="宋体" w:cs="宋体"/>
          <w:color w:val="auto"/>
          <w:sz w:val="24"/>
          <w:szCs w:val="24"/>
          <w:highlight w:val="none"/>
        </w:rPr>
        <w:t>4.残疾人福利单位、监狱企业属于小型、微型企业的，不重复享受政策。</w:t>
      </w:r>
    </w:p>
    <w:p w14:paraId="1D807565">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（二）采购标的需执行的国家相关标准、行业标准、地方标准或者其他标准、规范</w:t>
      </w:r>
    </w:p>
    <w:p w14:paraId="43CE6B0A">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、相关法律、法规及政策：</w:t>
      </w:r>
    </w:p>
    <w:p w14:paraId="5EA5A5F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《中华人民共和国环境保护法》，2014年4月24日修订通过，2015年1月1日起施行；</w:t>
      </w:r>
    </w:p>
    <w:p w14:paraId="0F3BBBE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《中华人民共和国土壤污染防治法》，2018年8月31日通过，自2019年1月1日起施行；</w:t>
      </w:r>
    </w:p>
    <w:p w14:paraId="7C129D4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《中华人民共和国水污染防治法》，2017年6月27日修订，2018年1月1日实施；</w:t>
      </w:r>
    </w:p>
    <w:p w14:paraId="4D238CE4">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《江苏省土壤污染防治条例》（江苏省人大常委会公告第80号，2022年9月1日施行）；</w:t>
      </w:r>
    </w:p>
    <w:p w14:paraId="155073E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《江苏省水污染防治条例》</w:t>
      </w:r>
      <w:r>
        <w:rPr>
          <w:rFonts w:hint="eastAsia" w:ascii="宋体" w:hAnsi="宋体" w:eastAsia="宋体" w:cs="宋体"/>
          <w:color w:val="auto"/>
          <w:sz w:val="24"/>
          <w:szCs w:val="24"/>
          <w:highlight w:val="none"/>
        </w:rPr>
        <w:t>（江苏省人大常委会公告第</w:t>
      </w:r>
      <w:r>
        <w:rPr>
          <w:rFonts w:hint="eastAsia" w:ascii="宋体" w:hAnsi="宋体" w:cs="宋体"/>
          <w:color w:val="auto"/>
          <w:sz w:val="24"/>
          <w:szCs w:val="24"/>
          <w:highlight w:val="none"/>
          <w:lang w:val="en-US" w:eastAsia="zh-CN"/>
        </w:rPr>
        <w:t>48</w:t>
      </w:r>
      <w:r>
        <w:rPr>
          <w:rFonts w:hint="eastAsia" w:ascii="宋体" w:hAnsi="宋体" w:eastAsia="宋体" w:cs="宋体"/>
          <w:color w:val="auto"/>
          <w:sz w:val="24"/>
          <w:szCs w:val="24"/>
          <w:highlight w:val="none"/>
        </w:rPr>
        <w:t>号，202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月1日施行）；</w:t>
      </w:r>
    </w:p>
    <w:p w14:paraId="3C2F782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《国务院关于印发土壤污染防治行动计划的通知》（国发〔2016〕31号）；</w:t>
      </w:r>
    </w:p>
    <w:p w14:paraId="03B53DB1">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《污染地块土壤环境管理办法（试行）》（部令〔2016〕42号）；</w:t>
      </w:r>
    </w:p>
    <w:p w14:paraId="33727B0A">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《省政府关于印发江苏省土壤污染防治工作方案的通知》（苏政发〔2016〕169号）；</w:t>
      </w:r>
    </w:p>
    <w:p w14:paraId="4FB7625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《无锡市2024年土壤和地下水污染防治工作计划》（</w:t>
      </w:r>
      <w:r>
        <w:rPr>
          <w:rFonts w:hint="eastAsia" w:ascii="宋体" w:hAnsi="宋体" w:cs="宋体"/>
          <w:color w:val="auto"/>
          <w:sz w:val="24"/>
          <w:szCs w:val="24"/>
          <w:highlight w:val="none"/>
          <w:lang w:val="en-US" w:eastAsia="zh-CN"/>
        </w:rPr>
        <w:t>2024年3月5日</w:t>
      </w:r>
      <w:r>
        <w:rPr>
          <w:rFonts w:hint="eastAsia" w:ascii="宋体" w:hAnsi="宋体" w:eastAsia="宋体" w:cs="宋体"/>
          <w:color w:val="auto"/>
          <w:sz w:val="24"/>
          <w:szCs w:val="24"/>
          <w:highlight w:val="none"/>
        </w:rPr>
        <w:t>）。</w:t>
      </w:r>
    </w:p>
    <w:p w14:paraId="726F2DC8">
      <w:pPr>
        <w:spacing w:line="360" w:lineRule="auto"/>
        <w:ind w:firstLine="482" w:firstLineChars="20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二、相关标准：</w:t>
      </w:r>
    </w:p>
    <w:p w14:paraId="0F78A44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《土壤环境质量建设用地土壤污染风险管控标准（试行）》（GB36600-2018）；</w:t>
      </w:r>
    </w:p>
    <w:p w14:paraId="4B1A219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《地下水质量标准》（GB/T14848-2017）；</w:t>
      </w:r>
    </w:p>
    <w:p w14:paraId="7CEB18F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《上海市建设用地土壤污染状况调查、风险评估、风险管控与修复方案编制、风险管控与修复效果评估工作的补充规定》（沪环土〔2020〕62号）。</w:t>
      </w:r>
    </w:p>
    <w:p w14:paraId="605754F3">
      <w:pPr>
        <w:spacing w:line="360" w:lineRule="auto"/>
        <w:ind w:firstLine="482" w:firstLineChars="20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三、相关技术导则和规范：</w:t>
      </w:r>
    </w:p>
    <w:p w14:paraId="592016C2">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《建设用地土壤污染状况调查技术导则》（HJ25.1-2019）；</w:t>
      </w:r>
    </w:p>
    <w:p w14:paraId="4CD5B75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《建设用地土壤污染风险管控和修复监测技术导则》（HJ25.2-2019）；</w:t>
      </w:r>
    </w:p>
    <w:p w14:paraId="751C71B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《建设用地土壤污染风险评估技术导则》（HJ25.3-2019）；</w:t>
      </w:r>
    </w:p>
    <w:p w14:paraId="3621D6E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《污染地块地下水修复和风险管控技术导则》（HJ 25.6-2019）；</w:t>
      </w:r>
    </w:p>
    <w:p w14:paraId="3FEA71B6">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《污染地块风险管控与土壤修复效果评估技术导则（试行）》（HJ25.5-2018）；</w:t>
      </w:r>
    </w:p>
    <w:p w14:paraId="1527BFA4">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《建设用地土壤环境调查评估技术指南》（原环境保护部，2017年12月14日）</w:t>
      </w:r>
      <w:r>
        <w:rPr>
          <w:rFonts w:hint="eastAsia" w:ascii="宋体" w:hAnsi="宋体" w:eastAsia="宋体" w:cs="宋体"/>
          <w:color w:val="auto"/>
          <w:sz w:val="24"/>
          <w:szCs w:val="24"/>
          <w:highlight w:val="none"/>
          <w:lang w:eastAsia="zh-CN"/>
        </w:rPr>
        <w:t>。</w:t>
      </w:r>
    </w:p>
    <w:p w14:paraId="184AE370">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三</w:t>
      </w:r>
      <w:r>
        <w:rPr>
          <w:rFonts w:hint="eastAsia" w:ascii="宋体" w:hAnsi="宋体" w:eastAsia="宋体" w:cs="宋体"/>
          <w:b/>
          <w:color w:val="auto"/>
          <w:sz w:val="24"/>
          <w:szCs w:val="24"/>
          <w:highlight w:val="none"/>
        </w:rPr>
        <w:t>）采购标的需满足的服务标准、期限、效率等要求</w:t>
      </w:r>
    </w:p>
    <w:p w14:paraId="6D5D3D66">
      <w:pPr>
        <w:snapToGrid w:val="0"/>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一、服务期：</w:t>
      </w:r>
    </w:p>
    <w:p w14:paraId="095EDDBD">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天。</w:t>
      </w:r>
    </w:p>
    <w:p w14:paraId="14B4D678">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lang w:eastAsia="zh-CN"/>
        </w:rPr>
        <w:t>期</w:t>
      </w:r>
      <w:r>
        <w:rPr>
          <w:rFonts w:hint="eastAsia" w:ascii="宋体" w:hAnsi="宋体" w:eastAsia="宋体" w:cs="宋体"/>
          <w:color w:val="auto"/>
          <w:sz w:val="24"/>
          <w:szCs w:val="24"/>
          <w:highlight w:val="none"/>
        </w:rPr>
        <w:t>延误：</w:t>
      </w:r>
    </w:p>
    <w:p w14:paraId="7E661807">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因甲方原因导致</w:t>
      </w:r>
      <w:r>
        <w:rPr>
          <w:rFonts w:hint="eastAsia" w:ascii="宋体" w:hAnsi="宋体" w:eastAsia="宋体" w:cs="宋体"/>
          <w:color w:val="auto"/>
          <w:sz w:val="24"/>
          <w:szCs w:val="24"/>
          <w:highlight w:val="none"/>
          <w:lang w:eastAsia="zh-CN"/>
        </w:rPr>
        <w:t>修复期</w:t>
      </w:r>
      <w:r>
        <w:rPr>
          <w:rFonts w:hint="eastAsia" w:ascii="宋体" w:hAnsi="宋体" w:eastAsia="宋体" w:cs="宋体"/>
          <w:color w:val="auto"/>
          <w:sz w:val="24"/>
          <w:szCs w:val="24"/>
          <w:highlight w:val="none"/>
        </w:rPr>
        <w:t>延误或遇到下列特殊情况，经甲乙双方书面协商一致后，</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lang w:eastAsia="zh-CN"/>
        </w:rPr>
        <w:t>期</w:t>
      </w:r>
      <w:r>
        <w:rPr>
          <w:rFonts w:hint="eastAsia" w:ascii="宋体" w:hAnsi="宋体" w:eastAsia="宋体" w:cs="宋体"/>
          <w:color w:val="auto"/>
          <w:sz w:val="24"/>
          <w:szCs w:val="24"/>
          <w:highlight w:val="none"/>
        </w:rPr>
        <w:t>可相应顺延：</w:t>
      </w:r>
    </w:p>
    <w:p w14:paraId="07603B92">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（1）待整治场地临时水、电接入点、道路未按时提供，影响进场工作。</w:t>
      </w:r>
    </w:p>
    <w:p w14:paraId="2DADA380">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（2）待整治场地周边居民关系未协调好，影响项目推进。</w:t>
      </w:r>
    </w:p>
    <w:p w14:paraId="2491D81A">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（3）因政策、阶段环境整治计划等政府原因导致的服务暂停。</w:t>
      </w:r>
    </w:p>
    <w:p w14:paraId="3871DEE7">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可抗力：包括①12小时内降雨量达到50mm以上；②风速达到8级及以上的热带风暴（或台风）；③日最高气温超过38度或低于零下10度；④造成项目损坏的冰雹和12小时内降雪量达到4mm及以上的大雪灾害；⑤政府有关部门通知停工的其它恶劣气候条件；⑥因公共安全、卫生等事件导致的项目所在地临时管控。</w:t>
      </w:r>
    </w:p>
    <w:p w14:paraId="4B68752A">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双方约定</w:t>
      </w:r>
      <w:r>
        <w:rPr>
          <w:rFonts w:hint="eastAsia" w:ascii="宋体" w:hAnsi="宋体" w:eastAsia="宋体" w:cs="宋体"/>
          <w:color w:val="auto"/>
          <w:sz w:val="24"/>
          <w:szCs w:val="24"/>
          <w:highlight w:val="none"/>
          <w:lang w:eastAsia="zh-CN"/>
        </w:rPr>
        <w:t>修复期</w:t>
      </w:r>
      <w:r>
        <w:rPr>
          <w:rFonts w:hint="eastAsia" w:ascii="宋体" w:hAnsi="宋体" w:eastAsia="宋体" w:cs="宋体"/>
          <w:color w:val="auto"/>
          <w:sz w:val="24"/>
          <w:szCs w:val="24"/>
          <w:highlight w:val="none"/>
        </w:rPr>
        <w:t>顺延的其他情况：</w:t>
      </w:r>
    </w:p>
    <w:p w14:paraId="6824E8BA">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非甲方和施工监理、环境监理、审计单位原因，乙方不能按合同</w:t>
      </w:r>
      <w:r>
        <w:rPr>
          <w:rFonts w:hint="eastAsia" w:ascii="宋体" w:hAnsi="宋体" w:eastAsia="宋体" w:cs="宋体"/>
          <w:color w:val="auto"/>
          <w:sz w:val="24"/>
          <w:szCs w:val="24"/>
          <w:highlight w:val="none"/>
          <w:lang w:eastAsia="zh-CN"/>
        </w:rPr>
        <w:t>修复期</w:t>
      </w:r>
      <w:r>
        <w:rPr>
          <w:rFonts w:hint="eastAsia" w:ascii="宋体" w:hAnsi="宋体" w:eastAsia="宋体" w:cs="宋体"/>
          <w:color w:val="auto"/>
          <w:sz w:val="24"/>
          <w:szCs w:val="24"/>
          <w:highlight w:val="none"/>
        </w:rPr>
        <w:t>完成，应承担违约责任，并向甲方支付违约金。违约金按照本合同约定</w:t>
      </w:r>
      <w:r>
        <w:rPr>
          <w:rFonts w:hint="eastAsia" w:ascii="宋体" w:hAnsi="宋体" w:eastAsia="宋体" w:cs="宋体"/>
          <w:color w:val="auto"/>
          <w:sz w:val="24"/>
          <w:szCs w:val="24"/>
          <w:highlight w:val="none"/>
          <w:lang w:eastAsia="zh-CN"/>
        </w:rPr>
        <w:t>修复期</w:t>
      </w:r>
      <w:r>
        <w:rPr>
          <w:rFonts w:hint="eastAsia" w:ascii="宋体" w:hAnsi="宋体" w:eastAsia="宋体" w:cs="宋体"/>
          <w:color w:val="auto"/>
          <w:sz w:val="24"/>
          <w:szCs w:val="24"/>
          <w:highlight w:val="none"/>
        </w:rPr>
        <w:t>每推迟一天，从合同价款中扣1万元，但此违约金的支付并不能解除乙方完成项目的责任和合同规定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责任。</w:t>
      </w:r>
      <w:r>
        <w:rPr>
          <w:rFonts w:hint="eastAsia" w:ascii="宋体" w:hAnsi="宋体" w:eastAsia="宋体" w:cs="宋体"/>
          <w:color w:val="auto"/>
          <w:sz w:val="24"/>
          <w:szCs w:val="24"/>
          <w:highlight w:val="none"/>
          <w:lang w:eastAsia="zh-CN"/>
        </w:rPr>
        <w:t>修复期</w:t>
      </w:r>
      <w:r>
        <w:rPr>
          <w:rFonts w:hint="eastAsia" w:ascii="宋体" w:hAnsi="宋体" w:eastAsia="宋体" w:cs="宋体"/>
          <w:color w:val="auto"/>
          <w:sz w:val="24"/>
          <w:szCs w:val="24"/>
          <w:highlight w:val="none"/>
        </w:rPr>
        <w:t>延误违约金最高不得超过合同总价的5%。</w:t>
      </w:r>
    </w:p>
    <w:p w14:paraId="7F70DED8">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非供应商原因导致的设计变更、工作量的增加，或其他非供应商原因造成供应商服务暂停或延期的，合同约定的服务期相应顺延。</w:t>
      </w:r>
    </w:p>
    <w:p w14:paraId="05AB51BA">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二、服务标准：满足采购人及采购文件要求、</w:t>
      </w:r>
    </w:p>
    <w:p w14:paraId="4AB2B357">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（六）采购标的的验收标准</w:t>
      </w:r>
    </w:p>
    <w:p w14:paraId="00F5978B">
      <w:pPr>
        <w:spacing w:line="360" w:lineRule="auto"/>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w:t>
      </w:r>
      <w:r>
        <w:rPr>
          <w:rFonts w:hint="eastAsia" w:ascii="宋体" w:hAnsi="宋体" w:cs="宋体"/>
          <w:color w:val="auto"/>
          <w:sz w:val="24"/>
          <w:szCs w:val="24"/>
          <w:highlight w:val="none"/>
          <w:lang w:eastAsia="zh-CN"/>
        </w:rPr>
        <w:t>本地</w:t>
      </w:r>
      <w:r>
        <w:rPr>
          <w:rFonts w:hint="eastAsia" w:ascii="宋体" w:hAnsi="宋体" w:cs="宋体"/>
          <w:color w:val="auto"/>
          <w:sz w:val="24"/>
          <w:szCs w:val="24"/>
          <w:highlight w:val="none"/>
          <w:lang w:val="en-US" w:eastAsia="zh-CN"/>
        </w:rPr>
        <w:t>块</w:t>
      </w:r>
      <w:r>
        <w:rPr>
          <w:rFonts w:hint="eastAsia" w:ascii="宋体" w:hAnsi="宋体" w:cs="宋体"/>
          <w:color w:val="auto"/>
          <w:sz w:val="24"/>
          <w:szCs w:val="24"/>
          <w:highlight w:val="none"/>
          <w:lang w:eastAsia="zh-CN"/>
        </w:rPr>
        <w:t>进行</w:t>
      </w:r>
      <w:r>
        <w:rPr>
          <w:rFonts w:hint="eastAsia" w:ascii="宋体" w:hAnsi="宋体" w:cs="宋体"/>
          <w:color w:val="auto"/>
          <w:sz w:val="24"/>
          <w:szCs w:val="24"/>
          <w:highlight w:val="none"/>
          <w:lang w:val="en-US" w:eastAsia="zh-CN"/>
        </w:rPr>
        <w:t>地下水</w:t>
      </w:r>
      <w:r>
        <w:rPr>
          <w:rFonts w:hint="eastAsia" w:ascii="宋体" w:hAnsi="宋体" w:cs="宋体"/>
          <w:color w:val="auto"/>
          <w:sz w:val="24"/>
          <w:szCs w:val="24"/>
          <w:highlight w:val="none"/>
          <w:lang w:eastAsia="zh-CN"/>
        </w:rPr>
        <w:t>环境整治</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保障周边水生态安全，对该地块范围内地下水采取有效措施予以综合整治</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整治完成后委托第三方进行检测及评估。</w:t>
      </w:r>
      <w:r>
        <w:rPr>
          <w:rFonts w:hint="eastAsia" w:ascii="宋体" w:hAnsi="宋体" w:cs="宋体"/>
          <w:color w:val="auto"/>
          <w:sz w:val="24"/>
          <w:szCs w:val="24"/>
          <w:highlight w:val="none"/>
          <w:lang w:val="en-US" w:eastAsia="zh-CN"/>
        </w:rPr>
        <w:t>项目的验收标准：经过综合整治后目标达到地下水4类水标准。</w:t>
      </w:r>
    </w:p>
    <w:p w14:paraId="669C36DC">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（七）采购标的的其他技术、服务等要求：</w:t>
      </w:r>
    </w:p>
    <w:p w14:paraId="4E6A2593">
      <w:pPr>
        <w:shd w:val="clear" w:color="auto" w:fill="auto"/>
        <w:adjustRightInd w:val="0"/>
        <w:snapToGrid w:val="0"/>
        <w:spacing w:line="360" w:lineRule="auto"/>
        <w:ind w:firstLine="600" w:firstLineChars="2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bookmarkEnd w:id="150"/>
      <w:r>
        <w:rPr>
          <w:rFonts w:hint="eastAsia" w:ascii="宋体" w:hAnsi="宋体" w:eastAsia="宋体" w:cs="宋体"/>
          <w:color w:val="auto"/>
          <w:sz w:val="24"/>
          <w:szCs w:val="24"/>
          <w:highlight w:val="none"/>
        </w:rPr>
        <w:t>付款方式：合同签订后30个工作日内，支付合同金额的</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%作为预付款；项目实施完</w:t>
      </w:r>
      <w:r>
        <w:rPr>
          <w:rFonts w:hint="eastAsia" w:ascii="宋体" w:hAnsi="宋体" w:cs="宋体"/>
          <w:color w:val="auto"/>
          <w:sz w:val="24"/>
          <w:szCs w:val="24"/>
          <w:highlight w:val="none"/>
          <w:lang w:val="en-US" w:eastAsia="zh-CN"/>
        </w:rPr>
        <w:t>成并经甲方验收（经过第三方检测达标）后</w:t>
      </w:r>
      <w:r>
        <w:rPr>
          <w:rFonts w:hint="eastAsia" w:ascii="宋体" w:hAnsi="宋体" w:eastAsia="宋体" w:cs="宋体"/>
          <w:color w:val="auto"/>
          <w:sz w:val="24"/>
          <w:szCs w:val="24"/>
          <w:highlight w:val="none"/>
        </w:rPr>
        <w:t>支付合同金额的</w:t>
      </w:r>
      <w:r>
        <w:rPr>
          <w:rFonts w:hint="eastAsia" w:ascii="宋体" w:hAnsi="宋体" w:cs="宋体"/>
          <w:color w:val="auto"/>
          <w:sz w:val="24"/>
          <w:szCs w:val="24"/>
          <w:highlight w:val="none"/>
          <w:lang w:val="en-US" w:eastAsia="zh-CN"/>
        </w:rPr>
        <w:t>90</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审计结束后付至审定价的</w:t>
      </w:r>
      <w:r>
        <w:rPr>
          <w:rFonts w:hint="eastAsia" w:ascii="宋体" w:hAnsi="宋体" w:cs="宋体"/>
          <w:color w:val="auto"/>
          <w:sz w:val="24"/>
          <w:szCs w:val="24"/>
          <w:highlight w:val="none"/>
          <w:lang w:val="en-US" w:eastAsia="zh-CN"/>
        </w:rPr>
        <w:t>100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71C6AD6F">
      <w:pPr>
        <w:autoSpaceDE w:val="0"/>
        <w:autoSpaceDN w:val="0"/>
        <w:ind w:firstLine="480" w:firstLineChars="200"/>
        <w:jc w:val="left"/>
        <w:textAlignment w:val="bottom"/>
        <w:outlineLvl w:val="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、误期违约：</w:t>
      </w:r>
      <w:r>
        <w:rPr>
          <w:rFonts w:hint="eastAsia" w:ascii="宋体" w:hAnsi="宋体" w:eastAsia="宋体" w:cs="宋体"/>
          <w:color w:val="auto"/>
          <w:sz w:val="24"/>
          <w:szCs w:val="24"/>
          <w:highlight w:val="none"/>
        </w:rPr>
        <w:t>非采购人和监理单位、审计单位原因，乙方不能按合同修复期完成，应承担违约责任，并向甲方支付违约金。违约金按照本合同约定</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期每推迟一天，按中标价的万分之八支付违约金，但此违约金的支付并不能解除乙方完成项目的责任和合同规定的其它责任。</w:t>
      </w:r>
      <w:r>
        <w:rPr>
          <w:rFonts w:hint="eastAsia" w:ascii="宋体" w:hAnsi="宋体" w:cs="宋体"/>
          <w:color w:val="auto"/>
          <w:sz w:val="24"/>
          <w:szCs w:val="24"/>
          <w:highlight w:val="none"/>
          <w:lang w:eastAsia="zh-CN"/>
        </w:rPr>
        <w:t>服务</w:t>
      </w:r>
      <w:r>
        <w:rPr>
          <w:rFonts w:hint="eastAsia" w:ascii="宋体" w:hAnsi="宋体" w:eastAsia="宋体" w:cs="宋体"/>
          <w:color w:val="auto"/>
          <w:sz w:val="24"/>
          <w:szCs w:val="24"/>
          <w:highlight w:val="none"/>
        </w:rPr>
        <w:t>期延误违约金最高不得超过合同总价的5%。</w:t>
      </w:r>
    </w:p>
    <w:p w14:paraId="41A02D78">
      <w:pPr>
        <w:ind w:firstLine="480" w:firstLineChars="200"/>
        <w:jc w:val="left"/>
        <w:rPr>
          <w:rFonts w:hint="eastAsia" w:ascii="宋体" w:hAnsi="宋体" w:eastAsia="宋体" w:cs="宋体"/>
          <w:color w:val="auto"/>
          <w:sz w:val="21"/>
          <w:szCs w:val="21"/>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、质量违约：</w:t>
      </w:r>
      <w:r>
        <w:rPr>
          <w:rFonts w:hint="eastAsia" w:ascii="宋体" w:hAnsi="宋体" w:eastAsia="宋体" w:cs="宋体"/>
          <w:color w:val="auto"/>
          <w:sz w:val="24"/>
          <w:szCs w:val="24"/>
          <w:highlight w:val="none"/>
        </w:rPr>
        <w:t>若竣工验收综合评定修复质量达不到一次验收合格，则承包人应承担违约责任，扣除承包人中标价的5%作为违约金，并且承包人还应立即整改，确保在监理工程师指定的时间范围内能完成验收合格；否则，发包人有权指定分割或终止合同，所产生的费用将无条件从承包人的结算款中扣除，并有权追索赔偿</w:t>
      </w:r>
      <w:r>
        <w:rPr>
          <w:rFonts w:hint="eastAsia" w:ascii="宋体" w:hAnsi="宋体" w:eastAsia="宋体" w:cs="宋体"/>
          <w:color w:val="auto"/>
          <w:sz w:val="21"/>
          <w:szCs w:val="21"/>
          <w:highlight w:val="none"/>
        </w:rPr>
        <w:t>。</w:t>
      </w:r>
    </w:p>
    <w:p w14:paraId="0DDBEC72">
      <w:pPr>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lang w:val="en-US" w:eastAsia="zh-CN"/>
        </w:rPr>
        <w:t>采购需求</w:t>
      </w:r>
      <w:r>
        <w:rPr>
          <w:rFonts w:hint="eastAsia" w:ascii="宋体" w:hAnsi="宋体" w:eastAsia="宋体" w:cs="宋体"/>
          <w:color w:val="auto"/>
          <w:sz w:val="21"/>
          <w:szCs w:val="21"/>
          <w:highlight w:val="none"/>
          <w:lang w:val="en-US" w:bidi="zh-CN"/>
        </w:rPr>
        <w:t>附件：服务项目清单</w:t>
      </w:r>
    </w:p>
    <w:tbl>
      <w:tblPr>
        <w:tblStyle w:val="46"/>
        <w:tblW w:w="91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9"/>
        <w:gridCol w:w="6677"/>
        <w:gridCol w:w="728"/>
        <w:gridCol w:w="1161"/>
      </w:tblGrid>
      <w:tr w14:paraId="5D9B0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599"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163943EB">
            <w:pPr>
              <w:keepNext w:val="0"/>
              <w:keepLines w:val="0"/>
              <w:widowControl/>
              <w:suppressLineNumbers w:val="0"/>
              <w:jc w:val="center"/>
              <w:textAlignment w:val="center"/>
              <w:rPr>
                <w:rFonts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序号</w:t>
            </w:r>
          </w:p>
        </w:tc>
        <w:tc>
          <w:tcPr>
            <w:tcW w:w="6677"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186CA62A">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项目名称</w:t>
            </w:r>
          </w:p>
        </w:tc>
        <w:tc>
          <w:tcPr>
            <w:tcW w:w="728"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02285387">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单位</w:t>
            </w:r>
          </w:p>
        </w:tc>
        <w:tc>
          <w:tcPr>
            <w:tcW w:w="1161" w:type="dxa"/>
            <w:tcBorders>
              <w:top w:val="single" w:color="000000" w:sz="8" w:space="0"/>
              <w:left w:val="single" w:color="000000" w:sz="4" w:space="0"/>
              <w:bottom w:val="single" w:color="000000" w:sz="4" w:space="0"/>
              <w:right w:val="single" w:color="000000" w:sz="4" w:space="0"/>
            </w:tcBorders>
            <w:shd w:val="clear" w:color="auto" w:fill="FFFFFF"/>
            <w:vAlign w:val="center"/>
          </w:tcPr>
          <w:p w14:paraId="5CF4F2FE">
            <w:pPr>
              <w:keepNext w:val="0"/>
              <w:keepLines w:val="0"/>
              <w:widowControl/>
              <w:suppressLineNumbers w:val="0"/>
              <w:jc w:val="center"/>
              <w:textAlignment w:val="center"/>
              <w:rPr>
                <w:rFonts w:hint="eastAsia" w:ascii="黑体" w:hAnsi="宋体" w:eastAsia="黑体" w:cs="黑体"/>
                <w:b/>
                <w:bCs/>
                <w:i w:val="0"/>
                <w:iCs w:val="0"/>
                <w:color w:val="000000"/>
                <w:sz w:val="21"/>
                <w:szCs w:val="21"/>
                <w:highlight w:val="none"/>
                <w:u w:val="none"/>
              </w:rPr>
            </w:pPr>
            <w:r>
              <w:rPr>
                <w:rFonts w:hint="eastAsia" w:ascii="黑体" w:hAnsi="宋体" w:eastAsia="黑体" w:cs="黑体"/>
                <w:b/>
                <w:bCs/>
                <w:i w:val="0"/>
                <w:iCs w:val="0"/>
                <w:color w:val="000000"/>
                <w:kern w:val="0"/>
                <w:sz w:val="21"/>
                <w:szCs w:val="21"/>
                <w:highlight w:val="none"/>
                <w:u w:val="none"/>
                <w:lang w:val="en-US" w:eastAsia="zh-CN" w:bidi="ar"/>
              </w:rPr>
              <w:t>工程量</w:t>
            </w:r>
          </w:p>
        </w:tc>
      </w:tr>
      <w:tr w14:paraId="21007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96A4A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518C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抽提系统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1、钻孔孔径、深度:孔径400，井径160，井深6.5m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2、含抽提井建设、抽提泵、空压机及配套连接抽提管路安装费用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3、含系统调试费用</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E4D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口</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928B">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120.00 </w:t>
            </w:r>
          </w:p>
        </w:tc>
      </w:tr>
      <w:tr w14:paraId="72545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5E60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E5BC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回灌系统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1、钻孔孔径、深度:孔径400，井径160，井深6.5m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2、含回灌井建设、排水泵、空压机及配套连接回灌管路安装费用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3、含系统调试费用</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B8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口</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D4A70">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120.00 </w:t>
            </w:r>
          </w:p>
        </w:tc>
      </w:tr>
      <w:tr w14:paraId="0E273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13"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DDBA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2EE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水处理设备租赁</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1、类型:高级氧化、混凝沉淀工艺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2、规格、型号:处理能力30m³/h</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3、参数:①调节池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污水处理设备配套建设临时调节池（废水收集池），用于水质均化及预沉淀。</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②重金属去除单元（絮凝沉淀池）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通过向水中投加一些药剂，使水中难以沉淀的颗粒能互相聚合而形成胶体，然后与水体中的杂质结合形成更大的絮凝体。絮凝体通过吸附，体积增大而下沉。该处理工艺既可以降低原水的浊度、色度等水质的感观指标，又可以去除重金属等多种有毒有害污染物。</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③过滤单元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利用滤料本身的特性，将无机物等吸附于过滤器的表面，干净的水由过滤器底部出水口流出。被截阻的悬浮物达到一定量时，开启反洗流程进行反冲洗实现对滤层再生功能，恢复到下一个工作流程。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④高级氧化单元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高级氧化单元产生具有极强氧化作用的羟基自由基，能有效去除金属离子、无机物等，降解COD，并具有消毒、杀菌、除臭、脱色等作用。氧化后的废水进入缓冲罐然后由泵提升至活性炭过滤器。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⑤活性炭吸附单元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利用活性碳的吸附特性，将水中悬浮物及溶解金属离子、无机物等吸附于碳的表面，干净的水由过滤器底部出水口流出。被截阻的悬浮物达到一定量时，开启反洗流程进行反冲洗实现对滤层再生功能，恢复到下一个工作流程。本工程活性碳主要用于有效吸附水中残留的金属离子、无机物等且能去除水中的阴离子洗涤和水中的异味，使出水水质更为优良。</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FA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04D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 </w:t>
            </w:r>
          </w:p>
        </w:tc>
      </w:tr>
      <w:tr w14:paraId="269D2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4820C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F7D8">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板框压滤机租赁费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1、类型:将沉淀单元中产生的沉淀污泥通过板框压滤机压缩为含水率更低的泥饼，方便作为危废处置。</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956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C97C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 </w:t>
            </w:r>
          </w:p>
        </w:tc>
      </w:tr>
      <w:tr w14:paraId="5BF12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22C32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44D2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污泥处置费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1、将残余泥渣泥饼委托具有一般固废处置资质的单位协同处置</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60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吨</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CEA27">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5.00 </w:t>
            </w:r>
          </w:p>
        </w:tc>
      </w:tr>
      <w:tr w14:paraId="74359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AF138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B85E">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设备运行费用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1、包含设备运行所需人工，其中水处理高级工程师2人、操作工4人</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2、设备日常维护费用</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83B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957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 </w:t>
            </w:r>
          </w:p>
        </w:tc>
      </w:tr>
      <w:tr w14:paraId="137C9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4F9F9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6A4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药剂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1、名称:PAM</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2、含药剂配制所需自来水</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3FC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吨</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2CF4">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0.50 </w:t>
            </w:r>
          </w:p>
        </w:tc>
      </w:tr>
      <w:tr w14:paraId="36655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09AA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ED3B">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药剂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1、名称:PAC</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2、含药剂配制所需自来水</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D51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吨</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EBF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50.00 </w:t>
            </w:r>
          </w:p>
        </w:tc>
      </w:tr>
      <w:tr w14:paraId="08142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4"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9271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EE5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药剂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1、名称:废活性炭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2、含药剂配制所需自来水</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135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吨</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4C42">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10.00 </w:t>
            </w:r>
          </w:p>
        </w:tc>
      </w:tr>
      <w:tr w14:paraId="68AF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99" w:type="dxa"/>
            <w:tcBorders>
              <w:top w:val="single" w:color="000000" w:sz="4" w:space="0"/>
              <w:left w:val="single" w:color="000000" w:sz="8" w:space="0"/>
              <w:bottom w:val="single" w:color="000000" w:sz="8" w:space="0"/>
              <w:right w:val="single" w:color="000000" w:sz="4" w:space="0"/>
            </w:tcBorders>
            <w:shd w:val="clear" w:color="auto" w:fill="auto"/>
            <w:vAlign w:val="center"/>
          </w:tcPr>
          <w:p w14:paraId="45ED92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6677" w:type="dxa"/>
            <w:tcBorders>
              <w:top w:val="single" w:color="000000" w:sz="4" w:space="0"/>
              <w:left w:val="single" w:color="000000" w:sz="4" w:space="0"/>
              <w:bottom w:val="single" w:color="000000" w:sz="8" w:space="0"/>
              <w:right w:val="single" w:color="000000" w:sz="4" w:space="0"/>
            </w:tcBorders>
            <w:shd w:val="clear" w:color="auto" w:fill="auto"/>
            <w:vAlign w:val="center"/>
          </w:tcPr>
          <w:p w14:paraId="04BE504A">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设备运行用电费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1、名称:运行所需电费，平均总功率约200Kwh</w:t>
            </w:r>
          </w:p>
        </w:tc>
        <w:tc>
          <w:tcPr>
            <w:tcW w:w="728" w:type="dxa"/>
            <w:tcBorders>
              <w:top w:val="single" w:color="000000" w:sz="4" w:space="0"/>
              <w:left w:val="single" w:color="000000" w:sz="4" w:space="0"/>
              <w:bottom w:val="single" w:color="000000" w:sz="8" w:space="0"/>
              <w:right w:val="single" w:color="000000" w:sz="4" w:space="0"/>
            </w:tcBorders>
            <w:shd w:val="clear" w:color="auto" w:fill="auto"/>
            <w:vAlign w:val="center"/>
          </w:tcPr>
          <w:p w14:paraId="5CFC98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度</w:t>
            </w:r>
          </w:p>
        </w:tc>
        <w:tc>
          <w:tcPr>
            <w:tcW w:w="1161" w:type="dxa"/>
            <w:tcBorders>
              <w:top w:val="single" w:color="000000" w:sz="4" w:space="0"/>
              <w:left w:val="single" w:color="000000" w:sz="4" w:space="0"/>
              <w:bottom w:val="single" w:color="000000" w:sz="8" w:space="0"/>
              <w:right w:val="single" w:color="000000" w:sz="4" w:space="0"/>
            </w:tcBorders>
            <w:shd w:val="clear" w:color="auto" w:fill="auto"/>
            <w:vAlign w:val="center"/>
          </w:tcPr>
          <w:p w14:paraId="7BA09B4D">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432000.00 </w:t>
            </w:r>
          </w:p>
        </w:tc>
      </w:tr>
      <w:tr w14:paraId="16BC2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599" w:type="dxa"/>
            <w:tcBorders>
              <w:top w:val="nil"/>
              <w:left w:val="single" w:color="000000" w:sz="8" w:space="0"/>
              <w:bottom w:val="single" w:color="000000" w:sz="4" w:space="0"/>
              <w:right w:val="single" w:color="000000" w:sz="4" w:space="0"/>
            </w:tcBorders>
            <w:shd w:val="clear" w:color="auto" w:fill="auto"/>
            <w:vAlign w:val="center"/>
          </w:tcPr>
          <w:p w14:paraId="6BA6DA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6677" w:type="dxa"/>
            <w:tcBorders>
              <w:top w:val="nil"/>
              <w:left w:val="single" w:color="000000" w:sz="4" w:space="0"/>
              <w:bottom w:val="single" w:color="000000" w:sz="4" w:space="0"/>
              <w:right w:val="single" w:color="000000" w:sz="4" w:space="0"/>
            </w:tcBorders>
            <w:shd w:val="clear" w:color="auto" w:fill="auto"/>
            <w:vAlign w:val="center"/>
          </w:tcPr>
          <w:p w14:paraId="3E54672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水质监测费用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1、项目实施过程中每天出水水质检测、每周地下水采样及检测</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2、样品检测:每天1个样品（5个特征因子），每周8个样品（PH、45项特征因子及地下水35项）</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3、检测指标详见《土壤环境质量建设用地土壤污染风险管控标准（试行）》（GB36600-2018）</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4、出具书面检测报告</w:t>
            </w:r>
          </w:p>
        </w:tc>
        <w:tc>
          <w:tcPr>
            <w:tcW w:w="728" w:type="dxa"/>
            <w:tcBorders>
              <w:top w:val="nil"/>
              <w:left w:val="single" w:color="000000" w:sz="4" w:space="0"/>
              <w:bottom w:val="single" w:color="000000" w:sz="4" w:space="0"/>
              <w:right w:val="single" w:color="000000" w:sz="4" w:space="0"/>
            </w:tcBorders>
            <w:shd w:val="clear" w:color="auto" w:fill="auto"/>
            <w:vAlign w:val="center"/>
          </w:tcPr>
          <w:p w14:paraId="48A0CC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月</w:t>
            </w:r>
          </w:p>
        </w:tc>
        <w:tc>
          <w:tcPr>
            <w:tcW w:w="1161" w:type="dxa"/>
            <w:tcBorders>
              <w:top w:val="nil"/>
              <w:left w:val="single" w:color="000000" w:sz="4" w:space="0"/>
              <w:bottom w:val="single" w:color="000000" w:sz="4" w:space="0"/>
              <w:right w:val="single" w:color="000000" w:sz="4" w:space="0"/>
            </w:tcBorders>
            <w:shd w:val="clear" w:color="auto" w:fill="auto"/>
            <w:vAlign w:val="center"/>
          </w:tcPr>
          <w:p w14:paraId="7E17B4B6">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 </w:t>
            </w:r>
          </w:p>
        </w:tc>
      </w:tr>
      <w:tr w14:paraId="26C60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9BA9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011C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大型机械设备进出场及安拆</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2C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项</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1C6A">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r>
      <w:tr w14:paraId="30322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67725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DABF1">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施工护栏</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1、地块边界围挡</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2、符合现场施工要求</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65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89C91">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900.00 </w:t>
            </w:r>
          </w:p>
        </w:tc>
      </w:tr>
      <w:tr w14:paraId="111B9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7E4D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D1D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场地硬化</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1、材料种类:10cm厚碎石垫层；20cm厚C20商品砼面层</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2、含模板安拆费用</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4D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m2</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E3FE3">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2000.00 </w:t>
            </w:r>
          </w:p>
        </w:tc>
      </w:tr>
      <w:tr w14:paraId="11B96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599"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A891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6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C57D">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办公用房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1、项目实施过程中所需办公用房</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AD9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m2</w:t>
            </w:r>
          </w:p>
        </w:tc>
        <w:tc>
          <w:tcPr>
            <w:tcW w:w="11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F60E">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300.00 </w:t>
            </w:r>
          </w:p>
        </w:tc>
      </w:tr>
    </w:tbl>
    <w:p w14:paraId="060A6D67">
      <w:pPr>
        <w:pStyle w:val="99"/>
        <w:ind w:left="0" w:leftChars="0" w:firstLine="0" w:firstLineChars="0"/>
        <w:rPr>
          <w:rFonts w:hint="eastAsia" w:ascii="宋体" w:hAnsi="宋体" w:eastAsia="宋体" w:cs="宋体"/>
          <w:color w:val="auto"/>
          <w:kern w:val="0"/>
          <w:sz w:val="22"/>
          <w:szCs w:val="22"/>
          <w:highlight w:val="none"/>
          <w:lang w:bidi="ar"/>
        </w:rPr>
      </w:pPr>
      <w:r>
        <w:rPr>
          <w:rFonts w:hint="eastAsia" w:ascii="宋体" w:hAnsi="宋体" w:eastAsia="宋体" w:cs="宋体"/>
          <w:color w:val="auto"/>
          <w:kern w:val="0"/>
          <w:sz w:val="22"/>
          <w:szCs w:val="22"/>
          <w:highlight w:val="none"/>
          <w:lang w:bidi="ar"/>
        </w:rPr>
        <w:t>说明：</w:t>
      </w:r>
    </w:p>
    <w:p w14:paraId="670BD300">
      <w:pPr>
        <w:pStyle w:val="99"/>
        <w:ind w:left="0" w:leftChars="0"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bidi="ar"/>
        </w:rPr>
        <w:t>1、投标供应商的投标报价应是投标供应商在报价文件中提出的各项支付金额的总和，也应是完成投标报价文件所列采购需求的全部费用。</w:t>
      </w:r>
      <w:r>
        <w:rPr>
          <w:rFonts w:hint="eastAsia" w:ascii="宋体" w:hAnsi="宋体" w:eastAsia="宋体" w:cs="宋体"/>
          <w:color w:val="auto"/>
          <w:kern w:val="0"/>
          <w:sz w:val="24"/>
          <w:szCs w:val="24"/>
          <w:highlight w:val="none"/>
          <w:lang w:val="en-US" w:eastAsia="zh-CN" w:bidi="ar"/>
        </w:rPr>
        <w:t>报价时按上述项目清单填报，不得改变项目清单的实质性内容，否则按无效投标文件处理。</w:t>
      </w:r>
    </w:p>
    <w:p w14:paraId="2242761D">
      <w:pPr>
        <w:pStyle w:val="99"/>
        <w:ind w:left="0" w:leftChars="0"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2、最终报价包括但不限于人工费、材料费、机械使用费、管理费和利润、税费、政策性文件规定的各项规费等费用以及合同明示或暗示的所有一切风险责任和义务等各项应有费用。</w:t>
      </w:r>
    </w:p>
    <w:p w14:paraId="60C5F7AF">
      <w:pPr>
        <w:pStyle w:val="99"/>
        <w:ind w:left="0" w:leftChars="0" w:firstLine="480" w:firstLineChars="200"/>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3、除非采购人对招标文件予以修改，投标供应商应按采购人提供的需求清单中列出的采购项目和数量填报单价和合价。每一项目只允许有一个报价。任何有选择的报价将不予接受。投标供应商未填单价或合价的工程项目，在实施后，采购人将不予以支付，并视为该项费用已包括在其他有价款的单价或合价内。</w:t>
      </w:r>
    </w:p>
    <w:p w14:paraId="5A6F25C3">
      <w:pPr>
        <w:pStyle w:val="99"/>
        <w:ind w:left="0" w:leftChars="0" w:firstLine="480" w:firstLineChars="200"/>
        <w:jc w:val="left"/>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4</w:t>
      </w:r>
      <w:r>
        <w:rPr>
          <w:rFonts w:hint="eastAsia" w:ascii="宋体" w:hAnsi="宋体" w:eastAsia="宋体" w:cs="宋体"/>
          <w:color w:val="auto"/>
          <w:kern w:val="0"/>
          <w:sz w:val="24"/>
          <w:szCs w:val="24"/>
          <w:highlight w:val="none"/>
          <w:lang w:bidi="ar"/>
        </w:rPr>
        <w:t>、本项目需求清单凡未能注明做法或项目内容无法描述详细的清单项目按现行相关规范、</w:t>
      </w:r>
      <w:r>
        <w:rPr>
          <w:rFonts w:hint="eastAsia" w:ascii="宋体" w:hAnsi="宋体" w:cs="宋体"/>
          <w:color w:val="auto"/>
          <w:kern w:val="0"/>
          <w:sz w:val="24"/>
          <w:szCs w:val="24"/>
          <w:highlight w:val="none"/>
          <w:lang w:eastAsia="zh-CN" w:bidi="ar"/>
        </w:rPr>
        <w:t>服务</w:t>
      </w:r>
      <w:r>
        <w:rPr>
          <w:rFonts w:hint="eastAsia" w:ascii="宋体" w:hAnsi="宋体" w:eastAsia="宋体" w:cs="宋体"/>
          <w:color w:val="auto"/>
          <w:kern w:val="0"/>
          <w:sz w:val="24"/>
          <w:szCs w:val="24"/>
          <w:highlight w:val="none"/>
          <w:lang w:bidi="ar"/>
        </w:rPr>
        <w:t>方案及常规工艺实施并由投标单位自主报价</w:t>
      </w:r>
      <w:r>
        <w:rPr>
          <w:rFonts w:hint="eastAsia" w:ascii="宋体" w:hAnsi="宋体" w:eastAsia="宋体" w:cs="宋体"/>
          <w:color w:val="auto"/>
          <w:kern w:val="0"/>
          <w:sz w:val="24"/>
          <w:szCs w:val="24"/>
          <w:highlight w:val="none"/>
          <w:lang w:val="en-US" w:eastAsia="zh-CN" w:bidi="ar"/>
        </w:rPr>
        <w:t>并包含在投标总价中</w:t>
      </w:r>
      <w:r>
        <w:rPr>
          <w:rFonts w:hint="eastAsia" w:ascii="宋体" w:hAnsi="宋体" w:eastAsia="宋体" w:cs="宋体"/>
          <w:color w:val="auto"/>
          <w:kern w:val="0"/>
          <w:sz w:val="24"/>
          <w:szCs w:val="24"/>
          <w:highlight w:val="none"/>
          <w:lang w:bidi="ar"/>
        </w:rPr>
        <w:t>。本项目需求清单应与招标文件、合同条件、合同协议条款、项目范围和修复方案一起使用。</w:t>
      </w:r>
    </w:p>
    <w:p w14:paraId="2EC2D548">
      <w:pPr>
        <w:pStyle w:val="99"/>
        <w:ind w:left="0" w:leftChars="0" w:firstLine="480" w:firstLineChars="200"/>
        <w:jc w:val="left"/>
        <w:rPr>
          <w:rFonts w:hint="eastAsia" w:ascii="宋体" w:hAnsi="宋体" w:eastAsia="宋体" w:cs="宋体"/>
          <w:color w:val="auto"/>
          <w:kern w:val="0"/>
          <w:sz w:val="24"/>
          <w:szCs w:val="24"/>
          <w:highlight w:val="none"/>
          <w:lang w:bidi="ar"/>
        </w:rPr>
      </w:pP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、项目用水电费由投标供应商根据现场情况自主报价，一旦中标水电费不另调整。</w:t>
      </w:r>
    </w:p>
    <w:p w14:paraId="7DEE38BC">
      <w:pPr>
        <w:rPr>
          <w:color w:val="auto"/>
          <w:highlight w:val="none"/>
        </w:rPr>
      </w:pPr>
      <w:r>
        <w:rPr>
          <w:rFonts w:hint="eastAsia" w:ascii="宋体" w:hAnsi="宋体" w:cs="宋体"/>
          <w:color w:val="auto"/>
          <w:kern w:val="0"/>
          <w:sz w:val="24"/>
          <w:szCs w:val="24"/>
          <w:highlight w:val="none"/>
          <w:lang w:val="en-US" w:eastAsia="zh-CN" w:bidi="ar"/>
        </w:rPr>
        <w:t>6</w:t>
      </w:r>
      <w:r>
        <w:rPr>
          <w:rFonts w:hint="eastAsia" w:ascii="宋体" w:hAnsi="宋体" w:eastAsia="宋体" w:cs="宋体"/>
          <w:color w:val="auto"/>
          <w:kern w:val="0"/>
          <w:sz w:val="24"/>
          <w:szCs w:val="24"/>
          <w:highlight w:val="none"/>
          <w:lang w:bidi="ar"/>
        </w:rPr>
        <w:t>、自进场之日起，中标供应商应全面负责照管、维护本项目和用于本项目的材料、设备以及工地范围内既有设施，直至项目验收通过，移交手续完备。实施期间，如发生损失，应由中标供应商负责赔偿。做好项目现场周围地下管线（包括场地内现有管线）和邻近建筑物、构筑物（含文物保护建筑）、古树名木的保护工作，并将预计可能发生的费用列入投标报价，结算时不再增加。</w:t>
      </w:r>
    </w:p>
    <w:p w14:paraId="7E18A73D">
      <w:pPr>
        <w:pStyle w:val="99"/>
        <w:ind w:left="0" w:leftChars="0" w:firstLine="480" w:firstLineChars="200"/>
        <w:jc w:val="left"/>
        <w:rPr>
          <w:rFonts w:hint="eastAsia" w:ascii="宋体" w:hAnsi="宋体" w:eastAsia="宋体" w:cs="宋体"/>
          <w:color w:val="auto"/>
          <w:kern w:val="0"/>
          <w:sz w:val="24"/>
          <w:szCs w:val="24"/>
          <w:highlight w:val="none"/>
          <w:lang w:bidi="ar"/>
        </w:rPr>
      </w:pPr>
    </w:p>
    <w:p w14:paraId="7A645565">
      <w:pPr>
        <w:rPr>
          <w:color w:val="auto"/>
          <w:highlight w:val="none"/>
        </w:rPr>
      </w:pPr>
    </w:p>
    <w:p w14:paraId="418374C6">
      <w:pPr>
        <w:pStyle w:val="99"/>
        <w:ind w:firstLine="480"/>
        <w:rPr>
          <w:color w:val="auto"/>
          <w:highlight w:val="none"/>
        </w:rPr>
        <w:sectPr>
          <w:headerReference r:id="rId8" w:type="default"/>
          <w:footerReference r:id="rId9" w:type="default"/>
          <w:pgSz w:w="11906" w:h="16838"/>
          <w:pgMar w:top="1440" w:right="1440" w:bottom="1440" w:left="1418" w:header="851" w:footer="992" w:gutter="0"/>
          <w:pgNumType w:start="1"/>
          <w:cols w:space="720" w:num="1"/>
          <w:docGrid w:linePitch="360" w:charSpace="0"/>
        </w:sectPr>
      </w:pPr>
    </w:p>
    <w:p w14:paraId="47BF402A">
      <w:pPr>
        <w:rPr>
          <w:rFonts w:ascii="Times New Roman" w:hAnsi="Times New Roman"/>
          <w:color w:val="auto"/>
          <w:sz w:val="24"/>
          <w:szCs w:val="24"/>
          <w:highlight w:val="none"/>
        </w:rPr>
      </w:pPr>
    </w:p>
    <w:p w14:paraId="5E726FE3">
      <w:pPr>
        <w:numPr>
          <w:ilvl w:val="0"/>
          <w:numId w:val="0"/>
        </w:numPr>
        <w:tabs>
          <w:tab w:val="left" w:pos="525"/>
          <w:tab w:val="left" w:pos="630"/>
          <w:tab w:val="left" w:pos="735"/>
          <w:tab w:val="left" w:pos="945"/>
          <w:tab w:val="left" w:pos="1080"/>
        </w:tabs>
        <w:spacing w:line="360" w:lineRule="auto"/>
        <w:jc w:val="center"/>
        <w:rPr>
          <w:rFonts w:ascii="黑体" w:hAnsi="黑体" w:eastAsia="黑体"/>
          <w:b/>
          <w:bCs/>
          <w:color w:val="auto"/>
          <w:sz w:val="36"/>
          <w:szCs w:val="36"/>
          <w:highlight w:val="none"/>
        </w:rPr>
      </w:pPr>
      <w:r>
        <w:rPr>
          <w:rFonts w:hint="eastAsia" w:ascii="黑体" w:hAnsi="黑体" w:eastAsia="黑体" w:cstheme="minorBidi"/>
          <w:b/>
          <w:bCs/>
          <w:color w:val="auto"/>
          <w:sz w:val="36"/>
          <w:szCs w:val="36"/>
          <w:highlight w:val="none"/>
          <w:lang w:val="en-US" w:eastAsia="zh-CN" w:bidi="ar-SA"/>
        </w:rPr>
        <w:t>第五章</w:t>
      </w:r>
      <w:r>
        <w:rPr>
          <w:rFonts w:hint="eastAsia" w:ascii="黑体" w:hAnsi="黑体" w:eastAsia="黑体"/>
          <w:bCs/>
          <w:color w:val="auto"/>
          <w:sz w:val="36"/>
          <w:szCs w:val="36"/>
          <w:highlight w:val="none"/>
        </w:rPr>
        <w:t xml:space="preserve"> </w:t>
      </w:r>
      <w:r>
        <w:rPr>
          <w:rFonts w:hint="eastAsia" w:ascii="黑体" w:hAnsi="黑体" w:eastAsia="黑体"/>
          <w:b/>
          <w:bCs/>
          <w:color w:val="auto"/>
          <w:sz w:val="36"/>
          <w:szCs w:val="36"/>
          <w:highlight w:val="none"/>
        </w:rPr>
        <w:t>评标方法与评标标准</w:t>
      </w:r>
    </w:p>
    <w:p w14:paraId="7EC42688">
      <w:pPr>
        <w:pStyle w:val="416"/>
        <w:spacing w:before="0" w:after="0"/>
        <w:rPr>
          <w:rFonts w:cs="Arial"/>
          <w:b/>
          <w:color w:val="auto"/>
          <w:sz w:val="30"/>
          <w:szCs w:val="30"/>
          <w:highlight w:val="none"/>
        </w:rPr>
      </w:pPr>
      <w:r>
        <w:rPr>
          <w:rFonts w:hint="eastAsia" w:cs="Arial"/>
          <w:b/>
          <w:color w:val="auto"/>
          <w:sz w:val="30"/>
          <w:szCs w:val="30"/>
          <w:highlight w:val="none"/>
        </w:rPr>
        <w:t>第一部分  评标方法</w:t>
      </w:r>
    </w:p>
    <w:p w14:paraId="2705040C">
      <w:pPr>
        <w:pStyle w:val="416"/>
        <w:spacing w:before="0" w:after="0"/>
        <w:rPr>
          <w:rFonts w:cs="Arial"/>
          <w:color w:val="auto"/>
          <w:highlight w:val="none"/>
        </w:rPr>
      </w:pPr>
      <w:r>
        <w:rPr>
          <w:rFonts w:hint="eastAsia" w:cs="Arial"/>
          <w:color w:val="auto"/>
          <w:highlight w:val="none"/>
        </w:rPr>
        <w:t>投标人通过初审的，方可进入比较与评价程序。</w:t>
      </w:r>
    </w:p>
    <w:p w14:paraId="6E30EF1C">
      <w:pPr>
        <w:pStyle w:val="416"/>
        <w:spacing w:before="0" w:after="0"/>
        <w:rPr>
          <w:rFonts w:cs="Arial"/>
          <w:color w:val="auto"/>
          <w:highlight w:val="none"/>
        </w:rPr>
      </w:pPr>
      <w:r>
        <w:rPr>
          <w:rFonts w:hint="eastAsia" w:cs="Arial"/>
          <w:color w:val="auto"/>
          <w:highlight w:val="none"/>
        </w:rPr>
        <w:t>比较与评价采用综合评分法。</w:t>
      </w:r>
    </w:p>
    <w:p w14:paraId="5C1B89C8">
      <w:pPr>
        <w:pStyle w:val="416"/>
        <w:spacing w:before="0" w:after="0"/>
        <w:rPr>
          <w:rStyle w:val="410"/>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344458A2">
      <w:pPr>
        <w:pStyle w:val="416"/>
        <w:spacing w:before="0" w:after="0"/>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311992F9">
      <w:pPr>
        <w:widowControl/>
        <w:spacing w:line="360" w:lineRule="auto"/>
        <w:jc w:val="left"/>
        <w:rPr>
          <w:rFonts w:ascii="Arial" w:hAnsi="Arial" w:eastAsia="宋体" w:cs="Arial"/>
          <w:b/>
          <w:color w:val="auto"/>
          <w:sz w:val="30"/>
          <w:szCs w:val="30"/>
          <w:highlight w:val="none"/>
        </w:rPr>
      </w:pPr>
      <w:r>
        <w:rPr>
          <w:rFonts w:cs="Arial"/>
          <w:b/>
          <w:color w:val="auto"/>
          <w:sz w:val="30"/>
          <w:szCs w:val="30"/>
          <w:highlight w:val="none"/>
        </w:rPr>
        <w:br w:type="page" w:clear="all"/>
      </w:r>
    </w:p>
    <w:p w14:paraId="22AC22DF">
      <w:pPr>
        <w:pStyle w:val="416"/>
        <w:spacing w:before="0" w:after="0"/>
        <w:ind w:firstLine="602"/>
        <w:rPr>
          <w:rFonts w:cs="Arial"/>
          <w:b/>
          <w:color w:val="auto"/>
          <w:sz w:val="30"/>
          <w:szCs w:val="30"/>
          <w:highlight w:val="none"/>
        </w:rPr>
      </w:pPr>
      <w:r>
        <w:rPr>
          <w:rFonts w:hint="eastAsia" w:cs="Arial"/>
          <w:b/>
          <w:color w:val="auto"/>
          <w:sz w:val="30"/>
          <w:szCs w:val="30"/>
          <w:highlight w:val="none"/>
        </w:rPr>
        <w:t>第二部分  评标标准</w:t>
      </w:r>
    </w:p>
    <w:p w14:paraId="1E3F99D3">
      <w:pPr>
        <w:pStyle w:val="416"/>
        <w:spacing w:before="0" w:after="0"/>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0CEBFC9C">
      <w:pPr>
        <w:spacing w:line="360" w:lineRule="auto"/>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512D2460">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613C7B7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含新疆生产建设兵团</w:t>
      </w:r>
      <w:r>
        <w:rPr>
          <w:rFonts w:hint="eastAsia" w:ascii="宋体" w:hAnsi="宋体" w:eastAsia="宋体"/>
          <w:bCs/>
          <w:color w:val="auto"/>
          <w:sz w:val="24"/>
          <w:szCs w:val="24"/>
          <w:highlight w:val="none"/>
        </w:rPr>
        <w:t>）</w:t>
      </w:r>
      <w:r>
        <w:rPr>
          <w:rFonts w:hint="eastAsia" w:ascii="宋体" w:hAnsi="宋体"/>
          <w:bCs/>
          <w:color w:val="auto"/>
          <w:sz w:val="24"/>
          <w:szCs w:val="24"/>
          <w:highlight w:val="none"/>
        </w:rPr>
        <w:t>出具的属于监狱企业的证明文件扫描件。</w:t>
      </w:r>
    </w:p>
    <w:p w14:paraId="60EDFFC3">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BB01052">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F9AC38F">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F917E9D">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6AAAD5B1">
      <w:pPr>
        <w:spacing w:line="360" w:lineRule="auto"/>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38287B9D">
      <w:pPr>
        <w:pStyle w:val="416"/>
        <w:spacing w:before="0" w:after="0"/>
        <w:ind w:firstLine="0"/>
        <w:rPr>
          <w:rFonts w:ascii="宋体" w:hAnsi="宋体"/>
          <w:b/>
          <w:bCs/>
          <w:i/>
          <w:color w:val="auto"/>
          <w:sz w:val="28"/>
          <w:szCs w:val="28"/>
          <w:highlight w:val="none"/>
        </w:rPr>
      </w:pPr>
    </w:p>
    <w:p w14:paraId="7DEC55D6">
      <w:pPr>
        <w:pStyle w:val="416"/>
        <w:spacing w:before="0" w:after="0"/>
        <w:ind w:firstLine="0"/>
        <w:rPr>
          <w:rFonts w:ascii="宋体" w:hAnsi="宋体"/>
          <w:b/>
          <w:bCs/>
          <w:i/>
          <w:color w:val="auto"/>
          <w:sz w:val="28"/>
          <w:szCs w:val="28"/>
          <w:highlight w:val="none"/>
        </w:rPr>
      </w:pPr>
    </w:p>
    <w:p w14:paraId="57CBE3D5">
      <w:pPr>
        <w:pStyle w:val="416"/>
        <w:spacing w:before="0" w:after="0"/>
        <w:ind w:firstLine="0"/>
        <w:rPr>
          <w:rFonts w:ascii="宋体" w:hAnsi="宋体"/>
          <w:b/>
          <w:bCs/>
          <w:i/>
          <w:color w:val="auto"/>
          <w:sz w:val="28"/>
          <w:szCs w:val="28"/>
          <w:highlight w:val="none"/>
        </w:rPr>
      </w:pPr>
    </w:p>
    <w:p w14:paraId="6B538890">
      <w:pPr>
        <w:widowControl/>
        <w:numPr>
          <w:ilvl w:val="0"/>
          <w:numId w:val="8"/>
        </w:numPr>
        <w:spacing w:line="360" w:lineRule="auto"/>
        <w:jc w:val="left"/>
        <w:rPr>
          <w:rFonts w:ascii="宋体" w:hAnsi="宋体"/>
          <w:b/>
          <w:color w:val="auto"/>
          <w:sz w:val="28"/>
          <w:szCs w:val="28"/>
          <w:highlight w:val="none"/>
        </w:rPr>
      </w:pPr>
      <w:r>
        <w:rPr>
          <w:rFonts w:hint="eastAsia" w:ascii="宋体" w:hAnsi="宋体"/>
          <w:b/>
          <w:color w:val="auto"/>
          <w:sz w:val="28"/>
          <w:szCs w:val="28"/>
          <w:highlight w:val="none"/>
        </w:rPr>
        <w:t>评分标准</w:t>
      </w:r>
    </w:p>
    <w:p w14:paraId="1EABFA5E">
      <w:pPr>
        <w:rPr>
          <w:color w:val="auto"/>
          <w:highlight w:val="none"/>
        </w:rPr>
      </w:pPr>
    </w:p>
    <w:p w14:paraId="3838206A">
      <w:pPr>
        <w:keepNext/>
        <w:keepLines/>
        <w:widowControl/>
        <w:tabs>
          <w:tab w:val="left" w:pos="720"/>
        </w:tabs>
        <w:spacing w:line="360" w:lineRule="auto"/>
        <w:jc w:val="left"/>
        <w:outlineLvl w:val="2"/>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rPr>
        <w:t>1.</w:t>
      </w:r>
      <w:r>
        <w:rPr>
          <w:rFonts w:hint="eastAsia" w:ascii="宋体" w:hAnsi="宋体" w:eastAsia="宋体" w:cs="Times New Roman"/>
          <w:b/>
          <w:color w:val="auto"/>
          <w:sz w:val="28"/>
          <w:szCs w:val="28"/>
          <w:highlight w:val="none"/>
        </w:rPr>
        <w:t>价格部分（</w:t>
      </w:r>
      <w:r>
        <w:rPr>
          <w:rFonts w:hint="eastAsia" w:ascii="宋体" w:hAnsi="宋体" w:eastAsia="宋体" w:cs="Times New Roman"/>
          <w:b/>
          <w:color w:val="auto"/>
          <w:sz w:val="28"/>
          <w:szCs w:val="28"/>
          <w:highlight w:val="none"/>
          <w:lang w:val="en-US" w:eastAsia="zh-CN"/>
        </w:rPr>
        <w:t>25</w:t>
      </w:r>
      <w:r>
        <w:rPr>
          <w:rFonts w:hint="eastAsia" w:ascii="宋体" w:hAnsi="宋体" w:eastAsia="宋体" w:cs="Times New Roman"/>
          <w:b/>
          <w:color w:val="auto"/>
          <w:sz w:val="28"/>
          <w:szCs w:val="28"/>
          <w:highlight w:val="none"/>
        </w:rPr>
        <w:t>分）</w:t>
      </w:r>
    </w:p>
    <w:p w14:paraId="49DACBC3">
      <w:pPr>
        <w:tabs>
          <w:tab w:val="left" w:pos="1365"/>
        </w:tabs>
        <w:spacing w:line="360" w:lineRule="auto"/>
        <w:ind w:firstLine="480"/>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采用低价优先法计算，即满足招标文件要求且投标价格最低的投标报价为评标基准价，其价格分为满分</w:t>
      </w:r>
      <w:r>
        <w:rPr>
          <w:rFonts w:hint="eastAsia" w:ascii="宋体" w:hAnsi="宋体" w:eastAsia="宋体" w:cs="Times New Roman"/>
          <w:bCs/>
          <w:color w:val="auto"/>
          <w:sz w:val="24"/>
          <w:szCs w:val="20"/>
          <w:highlight w:val="none"/>
          <w:lang w:val="en-US" w:eastAsia="zh-CN"/>
        </w:rPr>
        <w:t>25</w:t>
      </w:r>
      <w:r>
        <w:rPr>
          <w:rFonts w:hint="eastAsia" w:ascii="宋体" w:hAnsi="宋体" w:eastAsia="宋体" w:cs="Times New Roman"/>
          <w:bCs/>
          <w:color w:val="auto"/>
          <w:sz w:val="24"/>
          <w:szCs w:val="20"/>
          <w:highlight w:val="none"/>
        </w:rPr>
        <w:t>分。其他投标人的价格分统一按照下列公式计算（小数点保留两位）：</w:t>
      </w:r>
    </w:p>
    <w:p w14:paraId="197B6B1A">
      <w:pPr>
        <w:tabs>
          <w:tab w:val="left" w:pos="945"/>
          <w:tab w:val="left" w:pos="1155"/>
        </w:tabs>
        <w:spacing w:line="360" w:lineRule="auto"/>
        <w:ind w:firstLine="480"/>
        <w:rPr>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hint="eastAsia" w:ascii="宋体" w:hAnsi="宋体" w:cs="Times New Roman"/>
          <w:bCs/>
          <w:color w:val="auto"/>
          <w:sz w:val="24"/>
          <w:szCs w:val="24"/>
          <w:highlight w:val="none"/>
        </w:rPr>
        <w:t>）</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25</w:t>
      </w: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46D67404">
      <w:pPr>
        <w:spacing w:line="360" w:lineRule="auto"/>
        <w:ind w:firstLine="527"/>
        <w:rPr>
          <w:rFonts w:ascii="宋体" w:hAnsi="宋体"/>
          <w:bCs/>
          <w:color w:val="auto"/>
          <w:highlight w:val="none"/>
        </w:rPr>
      </w:pPr>
      <w:r>
        <w:rPr>
          <w:rFonts w:hint="eastAsia" w:ascii="Calibri" w:hAnsi="Calibri" w:eastAsia="宋体" w:cs="Times New Roman"/>
          <w:b/>
          <w:color w:val="auto"/>
          <w:sz w:val="24"/>
          <w:highlight w:val="none"/>
        </w:rPr>
        <w:t>评标委员会认为投标人的报价明显低于其他通过符合性审查投标人的报价，有可能影响产品质量或者不能诚信履约的，将要求其在评标现场合理的时间内提供书面说明（30分钟内），必要时提交相关证明材料；投标人不能证明其报价合理性的，评标委员会将其作为无效投标处理。</w:t>
      </w:r>
    </w:p>
    <w:p w14:paraId="3CDCD6FA">
      <w:pPr>
        <w:keepNext/>
        <w:keepLines/>
        <w:widowControl/>
        <w:tabs>
          <w:tab w:val="left" w:pos="720"/>
        </w:tabs>
        <w:spacing w:line="360" w:lineRule="auto"/>
        <w:jc w:val="left"/>
        <w:outlineLvl w:val="2"/>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rPr>
        <w:t>2.</w:t>
      </w:r>
      <w:r>
        <w:rPr>
          <w:rFonts w:hint="eastAsia" w:ascii="宋体" w:hAnsi="宋体" w:eastAsia="宋体" w:cs="Times New Roman"/>
          <w:b/>
          <w:color w:val="auto"/>
          <w:sz w:val="28"/>
          <w:szCs w:val="28"/>
          <w:highlight w:val="none"/>
        </w:rPr>
        <w:t>商务部分（</w:t>
      </w:r>
      <w:r>
        <w:rPr>
          <w:rFonts w:hint="eastAsia" w:ascii="宋体" w:hAnsi="宋体" w:eastAsia="宋体" w:cs="Times New Roman"/>
          <w:b/>
          <w:color w:val="auto"/>
          <w:sz w:val="28"/>
          <w:szCs w:val="28"/>
          <w:highlight w:val="none"/>
          <w:lang w:val="en-US" w:eastAsia="zh-CN"/>
        </w:rPr>
        <w:t>23</w:t>
      </w:r>
      <w:r>
        <w:rPr>
          <w:rFonts w:hint="eastAsia" w:ascii="宋体" w:hAnsi="宋体" w:eastAsia="宋体" w:cs="Times New Roman"/>
          <w:b/>
          <w:color w:val="auto"/>
          <w:sz w:val="28"/>
          <w:szCs w:val="28"/>
          <w:highlight w:val="none"/>
        </w:rPr>
        <w:t>分）</w:t>
      </w:r>
    </w:p>
    <w:p w14:paraId="4E02B045">
      <w:pPr>
        <w:keepNext/>
        <w:keepLines/>
        <w:widowControl/>
        <w:tabs>
          <w:tab w:val="left" w:pos="720"/>
        </w:tabs>
        <w:spacing w:line="360" w:lineRule="auto"/>
        <w:ind w:firstLine="480" w:firstLineChars="200"/>
        <w:jc w:val="left"/>
        <w:outlineLvl w:val="2"/>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lang w:eastAsia="zh-CN"/>
        </w:rPr>
        <w:t>）</w:t>
      </w:r>
      <w:r>
        <w:rPr>
          <w:rFonts w:hint="eastAsia" w:ascii="宋体" w:hAnsi="宋体"/>
          <w:bCs/>
          <w:color w:val="auto"/>
          <w:sz w:val="24"/>
          <w:highlight w:val="none"/>
        </w:rPr>
        <w:t>体系认证（</w:t>
      </w:r>
      <w:r>
        <w:rPr>
          <w:rFonts w:hint="eastAsia" w:ascii="宋体" w:hAnsi="宋体"/>
          <w:bCs/>
          <w:color w:val="auto"/>
          <w:sz w:val="24"/>
          <w:highlight w:val="none"/>
          <w:lang w:val="en-US" w:eastAsia="zh-CN"/>
        </w:rPr>
        <w:t>3</w:t>
      </w:r>
      <w:r>
        <w:rPr>
          <w:rFonts w:hint="eastAsia" w:ascii="宋体" w:hAnsi="宋体"/>
          <w:bCs/>
          <w:color w:val="auto"/>
          <w:sz w:val="24"/>
          <w:highlight w:val="none"/>
        </w:rPr>
        <w:t>分）：投标供应商具有有效期内的质量管理体系认证、环境管理体系认证、职业安全健康管理体系认证，有一张证书得</w:t>
      </w:r>
      <w:r>
        <w:rPr>
          <w:rFonts w:hint="eastAsia" w:ascii="宋体" w:hAnsi="宋体"/>
          <w:bCs/>
          <w:color w:val="auto"/>
          <w:sz w:val="24"/>
          <w:highlight w:val="none"/>
          <w:lang w:val="en-US" w:eastAsia="zh-CN"/>
        </w:rPr>
        <w:t>1</w:t>
      </w:r>
      <w:r>
        <w:rPr>
          <w:rFonts w:hint="eastAsia" w:ascii="宋体" w:hAnsi="宋体"/>
          <w:bCs/>
          <w:color w:val="auto"/>
          <w:sz w:val="24"/>
          <w:highlight w:val="none"/>
        </w:rPr>
        <w:t>分，本项最多</w:t>
      </w:r>
      <w:r>
        <w:rPr>
          <w:rFonts w:hint="eastAsia" w:ascii="宋体" w:hAnsi="宋体"/>
          <w:bCs/>
          <w:color w:val="auto"/>
          <w:sz w:val="24"/>
          <w:highlight w:val="none"/>
          <w:lang w:val="en-US" w:eastAsia="zh-CN"/>
        </w:rPr>
        <w:t>3</w:t>
      </w:r>
      <w:r>
        <w:rPr>
          <w:rFonts w:hint="eastAsia" w:ascii="宋体" w:hAnsi="宋体"/>
          <w:bCs/>
          <w:color w:val="auto"/>
          <w:sz w:val="24"/>
          <w:highlight w:val="none"/>
        </w:rPr>
        <w:t>分。（提供证书复印件加盖公章计入投标文件中，否则不得分。）</w:t>
      </w:r>
    </w:p>
    <w:p w14:paraId="76C5B8F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heme="minorEastAsia" w:cstheme="minorBidi"/>
          <w:bCs/>
          <w:color w:val="auto"/>
          <w:sz w:val="24"/>
          <w:szCs w:val="22"/>
          <w:highlight w:val="none"/>
          <w:lang w:val="en-US" w:eastAsia="zh-CN" w:bidi="ar-SA"/>
        </w:rPr>
      </w:pPr>
      <w:r>
        <w:rPr>
          <w:rFonts w:hint="eastAsia" w:ascii="宋体" w:hAnsi="宋体" w:eastAsiaTheme="minorEastAsia" w:cstheme="minorBidi"/>
          <w:bCs/>
          <w:color w:val="auto"/>
          <w:sz w:val="24"/>
          <w:szCs w:val="22"/>
          <w:highlight w:val="none"/>
          <w:lang w:val="en-US" w:eastAsia="zh-CN" w:bidi="ar-SA"/>
        </w:rPr>
        <w:t>（2）业绩（6分）：自2020年1月1日起至投标截止之日，投标供应商具有同类项目业绩，有一个得2分，</w:t>
      </w:r>
      <w:r>
        <w:rPr>
          <w:rFonts w:hint="eastAsia" w:ascii="宋体" w:hAnsi="宋体"/>
          <w:bCs/>
          <w:color w:val="auto"/>
          <w:sz w:val="24"/>
          <w:highlight w:val="none"/>
        </w:rPr>
        <w:t>本项</w:t>
      </w:r>
      <w:r>
        <w:rPr>
          <w:rFonts w:hint="eastAsia" w:ascii="宋体" w:hAnsi="宋体" w:eastAsiaTheme="minorEastAsia" w:cstheme="minorBidi"/>
          <w:bCs/>
          <w:color w:val="auto"/>
          <w:sz w:val="24"/>
          <w:szCs w:val="22"/>
          <w:highlight w:val="none"/>
          <w:lang w:val="en-US" w:eastAsia="zh-CN" w:bidi="ar-SA"/>
        </w:rPr>
        <w:t>最多6分。相关业绩列入投标文件“企业业绩一览表”中同时需提供同类项目完整合同、中标通知书复印件加盖投标单位公章计入投标文件，</w:t>
      </w:r>
      <w:r>
        <w:rPr>
          <w:rFonts w:hint="eastAsia" w:ascii="宋体" w:hAnsi="宋体" w:cstheme="minorBidi"/>
          <w:bCs/>
          <w:color w:val="auto"/>
          <w:sz w:val="24"/>
          <w:szCs w:val="22"/>
          <w:highlight w:val="none"/>
          <w:lang w:val="en-US" w:eastAsia="zh-CN" w:bidi="ar-SA"/>
        </w:rPr>
        <w:t>不提供或者提供不全不得分</w:t>
      </w:r>
      <w:r>
        <w:rPr>
          <w:rFonts w:hint="eastAsia" w:ascii="宋体" w:hAnsi="宋体" w:eastAsiaTheme="minorEastAsia" w:cstheme="minorBidi"/>
          <w:bCs/>
          <w:color w:val="auto"/>
          <w:sz w:val="24"/>
          <w:szCs w:val="22"/>
          <w:highlight w:val="none"/>
          <w:lang w:val="en-US" w:eastAsia="zh-CN" w:bidi="ar-SA"/>
        </w:rPr>
        <w:t>。日期以合同签订日期为准。</w:t>
      </w:r>
    </w:p>
    <w:p w14:paraId="22C0DC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heme="minorEastAsia" w:cstheme="minorBidi"/>
          <w:bCs/>
          <w:color w:val="auto"/>
          <w:sz w:val="24"/>
          <w:szCs w:val="22"/>
          <w:highlight w:val="none"/>
          <w:lang w:val="en-US" w:eastAsia="zh-CN" w:bidi="ar-SA"/>
        </w:rPr>
      </w:pPr>
      <w:r>
        <w:rPr>
          <w:rFonts w:hint="eastAsia" w:ascii="宋体" w:hAnsi="宋体" w:eastAsiaTheme="minorEastAsia" w:cstheme="minorBidi"/>
          <w:bCs/>
          <w:color w:val="auto"/>
          <w:sz w:val="24"/>
          <w:szCs w:val="22"/>
          <w:highlight w:val="none"/>
          <w:lang w:val="en-US" w:eastAsia="zh-CN" w:bidi="ar-SA"/>
        </w:rPr>
        <w:t>（3）荣誉（2分）投标供应商自202</w:t>
      </w:r>
      <w:r>
        <w:rPr>
          <w:rFonts w:hint="eastAsia" w:ascii="宋体" w:hAnsi="宋体" w:cstheme="minorBidi"/>
          <w:bCs/>
          <w:color w:val="auto"/>
          <w:sz w:val="24"/>
          <w:szCs w:val="22"/>
          <w:highlight w:val="none"/>
          <w:lang w:val="en-US" w:eastAsia="zh-CN" w:bidi="ar-SA"/>
        </w:rPr>
        <w:t>0</w:t>
      </w:r>
      <w:r>
        <w:rPr>
          <w:rFonts w:hint="eastAsia" w:ascii="宋体" w:hAnsi="宋体" w:eastAsiaTheme="minorEastAsia" w:cstheme="minorBidi"/>
          <w:bCs/>
          <w:color w:val="auto"/>
          <w:sz w:val="24"/>
          <w:szCs w:val="22"/>
          <w:highlight w:val="none"/>
          <w:lang w:val="en-US" w:eastAsia="zh-CN" w:bidi="ar-SA"/>
        </w:rPr>
        <w:t>年1月1日起至投标截止之日，获得环境部门颁发的单位荣誉得2分。本项最多2分（证书复印件加盖投标单位公章计入投标文件，不提供或者提供不全不得分。）</w:t>
      </w:r>
    </w:p>
    <w:p w14:paraId="1AE8E19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Theme="minorEastAsia" w:cstheme="minorBidi"/>
          <w:bCs/>
          <w:color w:val="auto"/>
          <w:sz w:val="24"/>
          <w:szCs w:val="22"/>
          <w:highlight w:val="none"/>
          <w:lang w:val="en-US" w:eastAsia="zh-CN" w:bidi="ar-SA"/>
        </w:rPr>
      </w:pPr>
      <w:r>
        <w:rPr>
          <w:rFonts w:hint="eastAsia" w:ascii="宋体" w:hAnsi="宋体" w:eastAsiaTheme="minorEastAsia" w:cstheme="minorBidi"/>
          <w:bCs/>
          <w:color w:val="auto"/>
          <w:sz w:val="24"/>
          <w:szCs w:val="22"/>
          <w:highlight w:val="none"/>
          <w:lang w:val="en-US" w:eastAsia="zh-CN" w:bidi="ar-SA"/>
        </w:rPr>
        <w:t>（4）</w:t>
      </w:r>
      <w:r>
        <w:rPr>
          <w:rFonts w:hint="default" w:ascii="宋体" w:hAnsi="宋体" w:eastAsiaTheme="minorEastAsia" w:cstheme="minorBidi"/>
          <w:bCs/>
          <w:color w:val="auto"/>
          <w:sz w:val="24"/>
          <w:szCs w:val="22"/>
          <w:highlight w:val="none"/>
          <w:lang w:val="en-US" w:eastAsia="zh-CN" w:bidi="ar-SA"/>
        </w:rPr>
        <w:t>拟派人员配备（12分）</w:t>
      </w:r>
    </w:p>
    <w:p w14:paraId="08B70AF3">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①拟派的项目负责人（4分）</w:t>
      </w:r>
    </w:p>
    <w:p w14:paraId="27A2DB6B">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a具有二级注册建造师证得1分，具有一级注册建造师得2分</w:t>
      </w:r>
    </w:p>
    <w:p w14:paraId="1CE16BE9">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b具有中级及以上职称证书得2分</w:t>
      </w:r>
    </w:p>
    <w:p w14:paraId="436098D1">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投标时供应商需提供</w:t>
      </w:r>
      <w:r>
        <w:rPr>
          <w:rFonts w:hint="eastAsia" w:ascii="宋体" w:hAnsi="宋体" w:eastAsiaTheme="minorEastAsia" w:cstheme="minorBidi"/>
          <w:bCs/>
          <w:color w:val="auto"/>
          <w:sz w:val="24"/>
          <w:szCs w:val="22"/>
          <w:highlight w:val="none"/>
          <w:lang w:val="en-US" w:eastAsia="zh-CN" w:bidi="ar-SA"/>
        </w:rPr>
        <w:t>劳动</w:t>
      </w:r>
      <w:r>
        <w:rPr>
          <w:rFonts w:hint="default" w:ascii="宋体" w:hAnsi="宋体" w:eastAsiaTheme="minorEastAsia" w:cstheme="minorBidi"/>
          <w:bCs/>
          <w:color w:val="auto"/>
          <w:sz w:val="24"/>
          <w:szCs w:val="22"/>
          <w:highlight w:val="none"/>
          <w:lang w:val="en-US" w:eastAsia="zh-CN" w:bidi="ar-SA"/>
        </w:rPr>
        <w:t>合同、本企业为其缴纳的近三个月的社保证明、相关证明资料复印件加盖公章放入投标文件，不提交或提交不全均不得分</w:t>
      </w:r>
    </w:p>
    <w:p w14:paraId="44D43541">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②除项目项目负责人外的其他人员（8分）</w:t>
      </w:r>
    </w:p>
    <w:p w14:paraId="24D1F744">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a具有环保专业中级及以上职称证书有一张得1分，</w:t>
      </w:r>
      <w:r>
        <w:rPr>
          <w:rFonts w:hint="eastAsia" w:ascii="宋体" w:hAnsi="宋体" w:eastAsiaTheme="minorEastAsia" w:cstheme="minorBidi"/>
          <w:bCs/>
          <w:color w:val="auto"/>
          <w:sz w:val="24"/>
          <w:szCs w:val="22"/>
          <w:highlight w:val="none"/>
          <w:lang w:val="en-US" w:eastAsia="zh-CN" w:bidi="ar-SA"/>
        </w:rPr>
        <w:t>本项</w:t>
      </w:r>
      <w:r>
        <w:rPr>
          <w:rFonts w:hint="default" w:ascii="宋体" w:hAnsi="宋体" w:eastAsiaTheme="minorEastAsia" w:cstheme="minorBidi"/>
          <w:bCs/>
          <w:color w:val="auto"/>
          <w:sz w:val="24"/>
          <w:szCs w:val="22"/>
          <w:highlight w:val="none"/>
          <w:lang w:val="en-US" w:eastAsia="zh-CN" w:bidi="ar-SA"/>
        </w:rPr>
        <w:t>最多2分</w:t>
      </w:r>
      <w:r>
        <w:rPr>
          <w:rFonts w:hint="eastAsia" w:ascii="宋体" w:hAnsi="宋体" w:eastAsiaTheme="minorEastAsia" w:cstheme="minorBidi"/>
          <w:bCs/>
          <w:color w:val="auto"/>
          <w:sz w:val="24"/>
          <w:szCs w:val="22"/>
          <w:highlight w:val="none"/>
          <w:lang w:val="en-US" w:eastAsia="zh-CN" w:bidi="ar-SA"/>
        </w:rPr>
        <w:t>；</w:t>
      </w:r>
    </w:p>
    <w:p w14:paraId="752CBAED">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b具有与本项目有关的其他专业类中级及以上职称证书有一张得1分，</w:t>
      </w:r>
      <w:r>
        <w:rPr>
          <w:rFonts w:hint="eastAsia" w:ascii="宋体" w:hAnsi="宋体" w:eastAsiaTheme="minorEastAsia" w:cstheme="minorBidi"/>
          <w:bCs/>
          <w:color w:val="auto"/>
          <w:sz w:val="24"/>
          <w:szCs w:val="22"/>
          <w:highlight w:val="none"/>
          <w:lang w:val="en-US" w:eastAsia="zh-CN" w:bidi="ar-SA"/>
        </w:rPr>
        <w:t>本项</w:t>
      </w:r>
      <w:r>
        <w:rPr>
          <w:rFonts w:hint="default" w:ascii="宋体" w:hAnsi="宋体" w:eastAsiaTheme="minorEastAsia" w:cstheme="minorBidi"/>
          <w:bCs/>
          <w:color w:val="auto"/>
          <w:sz w:val="24"/>
          <w:szCs w:val="22"/>
          <w:highlight w:val="none"/>
          <w:lang w:val="en-US" w:eastAsia="zh-CN" w:bidi="ar-SA"/>
        </w:rPr>
        <w:t>最多4分</w:t>
      </w:r>
    </w:p>
    <w:p w14:paraId="51203722">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c拟配备安全员，有一张证得1分，</w:t>
      </w:r>
      <w:r>
        <w:rPr>
          <w:rFonts w:hint="eastAsia" w:ascii="宋体" w:hAnsi="宋体" w:eastAsiaTheme="minorEastAsia" w:cstheme="minorBidi"/>
          <w:bCs/>
          <w:color w:val="auto"/>
          <w:sz w:val="24"/>
          <w:szCs w:val="22"/>
          <w:highlight w:val="none"/>
          <w:lang w:val="en-US" w:eastAsia="zh-CN" w:bidi="ar-SA"/>
        </w:rPr>
        <w:t>本项</w:t>
      </w:r>
      <w:r>
        <w:rPr>
          <w:rFonts w:hint="default" w:ascii="宋体" w:hAnsi="宋体" w:eastAsiaTheme="minorEastAsia" w:cstheme="minorBidi"/>
          <w:bCs/>
          <w:color w:val="auto"/>
          <w:sz w:val="24"/>
          <w:szCs w:val="22"/>
          <w:highlight w:val="none"/>
          <w:lang w:val="en-US" w:eastAsia="zh-CN" w:bidi="ar-SA"/>
        </w:rPr>
        <w:t>最多2分</w:t>
      </w:r>
      <w:r>
        <w:rPr>
          <w:rFonts w:hint="eastAsia" w:ascii="宋体" w:hAnsi="宋体" w:eastAsiaTheme="minorEastAsia" w:cstheme="minorBidi"/>
          <w:bCs/>
          <w:color w:val="auto"/>
          <w:sz w:val="24"/>
          <w:szCs w:val="22"/>
          <w:highlight w:val="none"/>
          <w:lang w:val="en-US" w:eastAsia="zh-CN" w:bidi="ar-SA"/>
        </w:rPr>
        <w:t>；</w:t>
      </w:r>
    </w:p>
    <w:p w14:paraId="7391602C">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Theme="minorEastAsia" w:cstheme="minorBidi"/>
          <w:bCs/>
          <w:color w:val="auto"/>
          <w:sz w:val="24"/>
          <w:szCs w:val="22"/>
          <w:highlight w:val="none"/>
          <w:lang w:val="en-US" w:eastAsia="zh-CN" w:bidi="ar-SA"/>
        </w:rPr>
      </w:pPr>
      <w:r>
        <w:rPr>
          <w:rFonts w:hint="default" w:ascii="宋体" w:hAnsi="宋体" w:eastAsiaTheme="minorEastAsia" w:cstheme="minorBidi"/>
          <w:bCs/>
          <w:color w:val="auto"/>
          <w:sz w:val="24"/>
          <w:szCs w:val="22"/>
          <w:highlight w:val="none"/>
          <w:lang w:val="en-US" w:eastAsia="zh-CN" w:bidi="ar-SA"/>
        </w:rPr>
        <w:t>以上拟派的配备人员一人多证不重复得分，以最高分计。必须附在投标文件《拟投入人员计划一览表》（格式见附件）中；同时在投标文件中提供上述人员的证书复印件、由法定的社保收缴部门出具的投标人依法为上述人员缴纳近三个月的社会保险证明复印件加盖公章计入投标文件，不提交或提交不全均不得分。</w:t>
      </w:r>
    </w:p>
    <w:p w14:paraId="46C40ED2">
      <w:pPr>
        <w:keepNext/>
        <w:keepLines/>
        <w:widowControl/>
        <w:tabs>
          <w:tab w:val="left" w:pos="720"/>
        </w:tabs>
        <w:spacing w:line="360" w:lineRule="auto"/>
        <w:jc w:val="left"/>
        <w:outlineLvl w:val="2"/>
        <w:rPr>
          <w:rFonts w:ascii="宋体" w:hAnsi="宋体" w:eastAsia="宋体" w:cs="Times New Roman"/>
          <w:b/>
          <w:color w:val="auto"/>
          <w:sz w:val="28"/>
          <w:szCs w:val="28"/>
          <w:highlight w:val="none"/>
        </w:rPr>
      </w:pPr>
      <w:r>
        <w:rPr>
          <w:rFonts w:hint="eastAsia" w:ascii="宋体" w:hAnsi="宋体" w:cs="Times New Roman"/>
          <w:b/>
          <w:color w:val="auto"/>
          <w:sz w:val="28"/>
          <w:szCs w:val="28"/>
          <w:highlight w:val="none"/>
        </w:rPr>
        <w:t>3.</w:t>
      </w:r>
      <w:r>
        <w:rPr>
          <w:rFonts w:hint="eastAsia" w:ascii="宋体" w:hAnsi="宋体" w:eastAsia="宋体" w:cs="Times New Roman"/>
          <w:b/>
          <w:color w:val="auto"/>
          <w:sz w:val="28"/>
          <w:szCs w:val="28"/>
          <w:highlight w:val="none"/>
        </w:rPr>
        <w:t>技术部分（</w:t>
      </w:r>
      <w:r>
        <w:rPr>
          <w:rFonts w:hint="eastAsia" w:ascii="宋体" w:hAnsi="宋体" w:eastAsia="宋体" w:cs="Times New Roman"/>
          <w:b/>
          <w:color w:val="auto"/>
          <w:sz w:val="28"/>
          <w:szCs w:val="28"/>
          <w:highlight w:val="none"/>
          <w:lang w:val="en-US" w:eastAsia="zh-CN"/>
        </w:rPr>
        <w:t>52</w:t>
      </w:r>
      <w:r>
        <w:rPr>
          <w:rFonts w:hint="eastAsia" w:ascii="宋体" w:hAnsi="宋体" w:eastAsia="宋体" w:cs="Times New Roman"/>
          <w:b/>
          <w:color w:val="auto"/>
          <w:sz w:val="28"/>
          <w:szCs w:val="28"/>
          <w:highlight w:val="none"/>
        </w:rPr>
        <w:t>分）</w:t>
      </w:r>
    </w:p>
    <w:p w14:paraId="44B8F85A">
      <w:pPr>
        <w:spacing w:line="360" w:lineRule="auto"/>
        <w:ind w:firstLine="480"/>
        <w:rPr>
          <w:rFonts w:ascii="宋体" w:hAnsi="宋体" w:eastAsia="宋体" w:cs="宋体"/>
          <w:color w:val="auto"/>
          <w:sz w:val="24"/>
          <w:szCs w:val="24"/>
          <w:highlight w:val="none"/>
        </w:rPr>
      </w:pPr>
      <w:r>
        <w:rPr>
          <w:rFonts w:hint="eastAsia" w:ascii="宋体" w:hAnsi="宋体"/>
          <w:bCs/>
          <w:color w:val="auto"/>
          <w:sz w:val="24"/>
          <w:highlight w:val="none"/>
        </w:rPr>
        <w:t>（1）项目总体设想、方案针对性及项目背景综述（</w:t>
      </w:r>
      <w:r>
        <w:rPr>
          <w:rFonts w:hint="eastAsia" w:ascii="宋体" w:hAnsi="宋体"/>
          <w:bCs/>
          <w:color w:val="auto"/>
          <w:sz w:val="24"/>
          <w:highlight w:val="none"/>
          <w:lang w:val="en-US" w:eastAsia="zh-CN"/>
        </w:rPr>
        <w:t>6</w:t>
      </w:r>
      <w:r>
        <w:rPr>
          <w:rFonts w:hint="eastAsia" w:ascii="宋体" w:hAnsi="宋体"/>
          <w:bCs/>
          <w:color w:val="auto"/>
          <w:sz w:val="24"/>
          <w:highlight w:val="none"/>
        </w:rPr>
        <w:t>分）：投标供应商结合现状，对本项目进行充分调研分析，对本项目需要完成的工作目标和任务的理解，形成本项目的总体思路、总体规划、技术路线等；根据投标人理解程度是否与采购人实际吻合程度打分；</w:t>
      </w:r>
    </w:p>
    <w:p w14:paraId="7CCBF515">
      <w:pPr>
        <w:spacing w:line="360" w:lineRule="auto"/>
        <w:ind w:firstLine="480"/>
        <w:rPr>
          <w:rFonts w:ascii="宋体" w:hAnsi="宋体" w:eastAsia="宋体" w:cs="宋体"/>
          <w:color w:val="auto"/>
          <w:sz w:val="24"/>
          <w:szCs w:val="24"/>
          <w:highlight w:val="none"/>
        </w:rPr>
      </w:pPr>
      <w:bookmarkStart w:id="151" w:name="_Hlk119524357"/>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阐述合理、描述详细、切实可行有效，得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002A9B2">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阐述不够全面、但满足采购需求的，得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22E4D830">
      <w:pPr>
        <w:spacing w:line="360" w:lineRule="auto"/>
        <w:ind w:firstLine="480"/>
        <w:rPr>
          <w:rFonts w:hint="eastAsia"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w:t>
      </w:r>
      <w:r>
        <w:rPr>
          <w:rFonts w:hint="eastAsia" w:ascii="宋体" w:hAnsi="宋体"/>
          <w:bCs/>
          <w:color w:val="auto"/>
          <w:sz w:val="24"/>
          <w:szCs w:val="24"/>
          <w:highlight w:val="none"/>
          <w:lang w:bidi="ar"/>
        </w:rPr>
        <w:t>比较模糊，表述不清的</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得</w:t>
      </w:r>
      <w:r>
        <w:rPr>
          <w:rFonts w:hint="eastAsia" w:ascii="宋体" w:hAnsi="宋体"/>
          <w:bCs/>
          <w:color w:val="auto"/>
          <w:sz w:val="24"/>
          <w:szCs w:val="24"/>
          <w:highlight w:val="none"/>
          <w:lang w:val="en-US" w:eastAsia="zh-CN" w:bidi="ar"/>
        </w:rPr>
        <w:t>2</w:t>
      </w:r>
      <w:r>
        <w:rPr>
          <w:rFonts w:hint="eastAsia" w:ascii="宋体" w:hAnsi="宋体"/>
          <w:bCs/>
          <w:color w:val="auto"/>
          <w:sz w:val="24"/>
          <w:szCs w:val="24"/>
          <w:highlight w:val="none"/>
          <w:lang w:bidi="ar"/>
        </w:rPr>
        <w:t>分；</w:t>
      </w:r>
    </w:p>
    <w:p w14:paraId="5F4F818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未阐述或不可行或前后矛盾或不详细具体全面的，不得分。</w:t>
      </w:r>
      <w:bookmarkEnd w:id="151"/>
    </w:p>
    <w:p w14:paraId="68F3B2B6">
      <w:pPr>
        <w:spacing w:line="360" w:lineRule="auto"/>
        <w:ind w:firstLine="480"/>
        <w:rPr>
          <w:rFonts w:ascii="宋体" w:hAnsi="宋体" w:eastAsia="宋体" w:cs="宋体"/>
          <w:color w:val="auto"/>
          <w:sz w:val="24"/>
          <w:szCs w:val="24"/>
          <w:highlight w:val="none"/>
        </w:rPr>
      </w:pPr>
      <w:r>
        <w:rPr>
          <w:rFonts w:hint="eastAsia" w:ascii="宋体" w:hAnsi="宋体"/>
          <w:bCs/>
          <w:color w:val="auto"/>
          <w:sz w:val="24"/>
          <w:highlight w:val="none"/>
        </w:rPr>
        <w:t>（2）</w:t>
      </w:r>
      <w:r>
        <w:rPr>
          <w:rFonts w:hint="eastAsia" w:ascii="宋体" w:hAnsi="宋体" w:cs="宋体"/>
          <w:bCs/>
          <w:sz w:val="24"/>
          <w:highlight w:val="none"/>
        </w:rPr>
        <w:t>实施本项目的质量保证措施（15分）：投标人根据项目要求和采购需求对</w:t>
      </w:r>
      <w:r>
        <w:rPr>
          <w:rFonts w:hint="eastAsia" w:ascii="宋体" w:hAnsi="宋体" w:cs="宋体"/>
          <w:bCs/>
          <w:sz w:val="24"/>
          <w:highlight w:val="none"/>
          <w:lang w:eastAsia="zh-CN"/>
        </w:rPr>
        <w:t>实施</w:t>
      </w:r>
      <w:r>
        <w:rPr>
          <w:rFonts w:hint="eastAsia" w:ascii="宋体" w:hAnsi="宋体" w:cs="宋体"/>
          <w:bCs/>
          <w:sz w:val="24"/>
          <w:highlight w:val="none"/>
        </w:rPr>
        <w:t>本项目的质量保证措施的描述，包括但不限于①实施本项目的合理性与可行性、</w:t>
      </w:r>
      <w:r>
        <w:rPr>
          <w:rFonts w:hint="eastAsia" w:ascii="宋体" w:hAnsi="宋体" w:cs="宋体"/>
          <w:bCs/>
          <w:sz w:val="24"/>
          <w:highlight w:val="none"/>
          <w:lang w:eastAsia="zh-CN"/>
        </w:rPr>
        <w:t>②</w:t>
      </w:r>
      <w:r>
        <w:rPr>
          <w:rFonts w:hint="eastAsia" w:ascii="宋体" w:hAnsi="宋体" w:cs="宋体"/>
          <w:bCs/>
          <w:sz w:val="24"/>
          <w:highlight w:val="none"/>
        </w:rPr>
        <w:t>实施本项目工艺的可靠性、实用性、先进性</w:t>
      </w:r>
      <w:r>
        <w:rPr>
          <w:rFonts w:hint="eastAsia" w:ascii="宋体" w:hAnsi="宋体" w:cs="宋体"/>
          <w:bCs/>
          <w:sz w:val="24"/>
          <w:highlight w:val="none"/>
          <w:lang w:eastAsia="zh-CN"/>
        </w:rPr>
        <w:t>、</w:t>
      </w:r>
      <w:r>
        <w:rPr>
          <w:rFonts w:hint="eastAsia" w:ascii="宋体" w:hAnsi="宋体" w:cs="宋体"/>
          <w:bCs/>
          <w:sz w:val="24"/>
          <w:highlight w:val="none"/>
        </w:rPr>
        <w:t>③</w:t>
      </w:r>
      <w:r>
        <w:rPr>
          <w:rFonts w:hint="eastAsia"/>
          <w:sz w:val="24"/>
          <w:szCs w:val="24"/>
          <w:highlight w:val="none"/>
        </w:rPr>
        <w:t>实施本项目的质量保证措施。</w:t>
      </w:r>
    </w:p>
    <w:p w14:paraId="502AAA71">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阐述合理、描述详细、切实可行有效，得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6B6F6A8D">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阐述不够全面、但满足采购需求的，得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CE81B99">
      <w:pPr>
        <w:spacing w:line="360" w:lineRule="auto"/>
        <w:ind w:firstLine="480"/>
        <w:rPr>
          <w:rFonts w:hint="eastAsia"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w:t>
      </w:r>
      <w:r>
        <w:rPr>
          <w:rFonts w:hint="eastAsia" w:ascii="宋体" w:hAnsi="宋体"/>
          <w:bCs/>
          <w:color w:val="auto"/>
          <w:sz w:val="24"/>
          <w:szCs w:val="24"/>
          <w:highlight w:val="none"/>
          <w:lang w:bidi="ar"/>
        </w:rPr>
        <w:t>比较模糊，表述不清的</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得</w:t>
      </w:r>
      <w:r>
        <w:rPr>
          <w:rFonts w:hint="eastAsia" w:ascii="宋体" w:hAnsi="宋体"/>
          <w:bCs/>
          <w:color w:val="auto"/>
          <w:sz w:val="24"/>
          <w:szCs w:val="24"/>
          <w:highlight w:val="none"/>
          <w:lang w:val="en-US" w:eastAsia="zh-CN" w:bidi="ar"/>
        </w:rPr>
        <w:t>1</w:t>
      </w:r>
      <w:r>
        <w:rPr>
          <w:rFonts w:hint="eastAsia" w:ascii="宋体" w:hAnsi="宋体"/>
          <w:bCs/>
          <w:color w:val="auto"/>
          <w:sz w:val="24"/>
          <w:szCs w:val="24"/>
          <w:highlight w:val="none"/>
          <w:lang w:bidi="ar"/>
        </w:rPr>
        <w:t>分；</w:t>
      </w:r>
    </w:p>
    <w:p w14:paraId="0A638D8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未阐述或不可行或前后矛盾或不详细具体全面的，不得分。</w:t>
      </w:r>
    </w:p>
    <w:p w14:paraId="44BA5A1A">
      <w:pPr>
        <w:spacing w:line="360" w:lineRule="auto"/>
        <w:ind w:firstLine="480"/>
        <w:rPr>
          <w:rFonts w:ascii="宋体" w:hAnsi="宋体" w:eastAsia="宋体" w:cs="宋体"/>
          <w:color w:val="auto"/>
          <w:sz w:val="24"/>
          <w:szCs w:val="24"/>
          <w:highlight w:val="none"/>
        </w:rPr>
      </w:pPr>
      <w:r>
        <w:rPr>
          <w:rFonts w:hint="eastAsia" w:ascii="宋体" w:hAnsi="宋体"/>
          <w:bCs/>
          <w:color w:val="auto"/>
          <w:sz w:val="24"/>
          <w:highlight w:val="none"/>
        </w:rPr>
        <w:t>（3）</w:t>
      </w:r>
      <w:r>
        <w:rPr>
          <w:rFonts w:hint="eastAsia" w:ascii="宋体" w:hAnsi="宋体" w:cs="宋体"/>
          <w:bCs/>
          <w:sz w:val="24"/>
          <w:highlight w:val="none"/>
        </w:rPr>
        <w:t>环境管理措施（15分）：投标人根据项目要求和采购需求对环境管理措施的描述，包括但不限于</w:t>
      </w:r>
      <w:r>
        <w:rPr>
          <w:rFonts w:hint="eastAsia"/>
          <w:sz w:val="24"/>
          <w:szCs w:val="24"/>
          <w:highlight w:val="none"/>
        </w:rPr>
        <w:t>①现场二次污染防治措施</w:t>
      </w:r>
      <w:r>
        <w:rPr>
          <w:rFonts w:hint="eastAsia"/>
          <w:sz w:val="24"/>
          <w:szCs w:val="24"/>
          <w:highlight w:val="none"/>
          <w:lang w:eastAsia="zh-CN"/>
        </w:rPr>
        <w:t>、</w:t>
      </w:r>
      <w:r>
        <w:rPr>
          <w:rFonts w:hint="eastAsia"/>
          <w:sz w:val="24"/>
          <w:szCs w:val="24"/>
          <w:highlight w:val="none"/>
        </w:rPr>
        <w:t>②项目实施期间周边环境监测措施</w:t>
      </w:r>
      <w:r>
        <w:rPr>
          <w:rFonts w:hint="eastAsia"/>
          <w:sz w:val="24"/>
          <w:szCs w:val="24"/>
          <w:highlight w:val="none"/>
          <w:lang w:eastAsia="zh-CN"/>
        </w:rPr>
        <w:t>、</w:t>
      </w:r>
      <w:r>
        <w:rPr>
          <w:rFonts w:hint="eastAsia"/>
          <w:sz w:val="24"/>
          <w:szCs w:val="24"/>
          <w:highlight w:val="none"/>
        </w:rPr>
        <w:t>③处置过程中环境事故风险防范措施、应急方案和措施。</w:t>
      </w:r>
    </w:p>
    <w:p w14:paraId="5AB5F939">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阐述合理、描述详细、切实可行有效，得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7D97EED4">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阐述不够全面、但满足采购需求的，得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B2D9F57">
      <w:pPr>
        <w:spacing w:line="360" w:lineRule="auto"/>
        <w:ind w:firstLine="480"/>
        <w:rPr>
          <w:rFonts w:hint="eastAsia"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w:t>
      </w:r>
      <w:r>
        <w:rPr>
          <w:rFonts w:hint="eastAsia" w:ascii="宋体" w:hAnsi="宋体"/>
          <w:bCs/>
          <w:color w:val="auto"/>
          <w:sz w:val="24"/>
          <w:szCs w:val="24"/>
          <w:highlight w:val="none"/>
          <w:lang w:bidi="ar"/>
        </w:rPr>
        <w:t>比较模糊，表述不清的</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得1分；</w:t>
      </w:r>
    </w:p>
    <w:p w14:paraId="7C9CFDD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未阐述或不可行或前后矛盾或不详细具体全面的，不得分。</w:t>
      </w:r>
    </w:p>
    <w:p w14:paraId="76853182">
      <w:pPr>
        <w:spacing w:line="360" w:lineRule="auto"/>
        <w:ind w:firstLine="480"/>
        <w:rPr>
          <w:rFonts w:hint="eastAsia" w:ascii="宋体" w:hAnsi="宋体" w:eastAsiaTheme="minorEastAsia"/>
          <w:bCs/>
          <w:color w:val="auto"/>
          <w:sz w:val="24"/>
          <w:highlight w:val="none"/>
          <w:lang w:eastAsia="zh-CN"/>
        </w:rPr>
      </w:pPr>
      <w:r>
        <w:rPr>
          <w:rFonts w:hint="eastAsia" w:ascii="宋体" w:hAnsi="宋体"/>
          <w:bCs/>
          <w:color w:val="auto"/>
          <w:sz w:val="24"/>
          <w:highlight w:val="none"/>
        </w:rPr>
        <w:t>（4）</w:t>
      </w:r>
      <w:r>
        <w:rPr>
          <w:rFonts w:hint="eastAsia" w:ascii="宋体" w:hAnsi="宋体" w:cs="宋体"/>
          <w:sz w:val="24"/>
          <w:szCs w:val="24"/>
          <w:highlight w:val="none"/>
          <w:lang w:bidi="ar"/>
        </w:rPr>
        <w:t>项目实施进度计划（</w:t>
      </w:r>
      <w:r>
        <w:rPr>
          <w:rFonts w:hint="eastAsia" w:ascii="宋体" w:hAnsi="宋体" w:cs="宋体"/>
          <w:sz w:val="24"/>
          <w:szCs w:val="24"/>
          <w:highlight w:val="none"/>
          <w:lang w:val="en-US" w:eastAsia="zh-CN" w:bidi="ar"/>
        </w:rPr>
        <w:t>6</w:t>
      </w:r>
      <w:r>
        <w:rPr>
          <w:rFonts w:hint="eastAsia" w:ascii="宋体" w:hAnsi="宋体" w:cs="宋体"/>
          <w:sz w:val="24"/>
          <w:szCs w:val="24"/>
          <w:highlight w:val="none"/>
          <w:lang w:bidi="ar"/>
        </w:rPr>
        <w:t>分）</w:t>
      </w:r>
      <w:r>
        <w:rPr>
          <w:rFonts w:hint="eastAsia" w:ascii="宋体" w:hAnsi="宋体"/>
          <w:bCs/>
          <w:color w:val="auto"/>
          <w:sz w:val="24"/>
          <w:highlight w:val="none"/>
        </w:rPr>
        <w:t>投标人根据项目要求描述</w:t>
      </w:r>
      <w:r>
        <w:rPr>
          <w:rFonts w:hint="eastAsia" w:ascii="宋体" w:hAnsi="宋体"/>
          <w:bCs/>
          <w:color w:val="auto"/>
          <w:sz w:val="24"/>
          <w:highlight w:val="none"/>
          <w:lang w:eastAsia="zh-CN"/>
        </w:rPr>
        <w:t>；</w:t>
      </w:r>
    </w:p>
    <w:p w14:paraId="7A1C25D7">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内容进行</w:t>
      </w:r>
      <w:r>
        <w:rPr>
          <w:rFonts w:hint="eastAsia" w:ascii="宋体" w:hAnsi="宋体" w:eastAsia="宋体" w:cs="宋体"/>
          <w:color w:val="auto"/>
          <w:sz w:val="24"/>
          <w:szCs w:val="24"/>
          <w:highlight w:val="none"/>
        </w:rPr>
        <w:t>阐述合理、描述详细、切实可行有效，得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61D90A49">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内容进行</w:t>
      </w:r>
      <w:r>
        <w:rPr>
          <w:rFonts w:hint="eastAsia" w:ascii="宋体" w:hAnsi="宋体" w:eastAsia="宋体" w:cs="宋体"/>
          <w:color w:val="auto"/>
          <w:sz w:val="24"/>
          <w:szCs w:val="24"/>
          <w:highlight w:val="none"/>
        </w:rPr>
        <w:t>阐述不够全面、但满足采购需求的，得</w:t>
      </w:r>
      <w:bookmarkStart w:id="162" w:name="_GoBack"/>
      <w:bookmarkEnd w:id="162"/>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C4AC59A">
      <w:pPr>
        <w:spacing w:line="360" w:lineRule="auto"/>
        <w:ind w:firstLine="480"/>
        <w:rPr>
          <w:rFonts w:hint="eastAsia" w:ascii="宋体" w:hAnsi="宋体" w:eastAsia="宋体" w:cs="宋体"/>
          <w:color w:val="auto"/>
          <w:sz w:val="24"/>
          <w:szCs w:val="24"/>
          <w:highlight w:val="none"/>
        </w:rPr>
      </w:pPr>
      <w:r>
        <w:rPr>
          <w:rFonts w:hint="eastAsia" w:ascii="宋体" w:hAnsi="宋体" w:cs="宋体"/>
          <w:bCs/>
          <w:sz w:val="24"/>
          <w:highlight w:val="none"/>
        </w:rPr>
        <w:t>内容进行</w:t>
      </w:r>
      <w:r>
        <w:rPr>
          <w:rFonts w:hint="eastAsia" w:ascii="宋体" w:hAnsi="宋体" w:eastAsia="宋体" w:cs="宋体"/>
          <w:color w:val="auto"/>
          <w:sz w:val="24"/>
          <w:szCs w:val="24"/>
          <w:highlight w:val="none"/>
        </w:rPr>
        <w:t>阐述</w:t>
      </w:r>
      <w:r>
        <w:rPr>
          <w:rFonts w:hint="eastAsia" w:ascii="宋体" w:hAnsi="宋体"/>
          <w:bCs/>
          <w:color w:val="auto"/>
          <w:sz w:val="24"/>
          <w:szCs w:val="24"/>
          <w:highlight w:val="none"/>
          <w:lang w:bidi="ar"/>
        </w:rPr>
        <w:t>比较模糊，表述不清的</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得</w:t>
      </w:r>
      <w:r>
        <w:rPr>
          <w:rFonts w:hint="eastAsia" w:ascii="宋体" w:hAnsi="宋体"/>
          <w:bCs/>
          <w:color w:val="auto"/>
          <w:sz w:val="24"/>
          <w:szCs w:val="24"/>
          <w:highlight w:val="none"/>
          <w:lang w:val="en-US" w:eastAsia="zh-CN" w:bidi="ar"/>
        </w:rPr>
        <w:t>2</w:t>
      </w:r>
      <w:r>
        <w:rPr>
          <w:rFonts w:hint="eastAsia" w:ascii="宋体" w:hAnsi="宋体"/>
          <w:bCs/>
          <w:color w:val="auto"/>
          <w:sz w:val="24"/>
          <w:szCs w:val="24"/>
          <w:highlight w:val="none"/>
          <w:lang w:bidi="ar"/>
        </w:rPr>
        <w:t>分；</w:t>
      </w:r>
    </w:p>
    <w:p w14:paraId="310969F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未阐述或不可行或前后矛盾或不详细具体全面的，不得分。</w:t>
      </w:r>
    </w:p>
    <w:p w14:paraId="3D690DF6">
      <w:pPr>
        <w:spacing w:line="360" w:lineRule="auto"/>
        <w:ind w:firstLine="480"/>
        <w:rPr>
          <w:rFonts w:ascii="宋体" w:hAnsi="宋体" w:eastAsia="宋体" w:cs="宋体"/>
          <w:color w:val="auto"/>
          <w:sz w:val="24"/>
          <w:szCs w:val="24"/>
          <w:highlight w:val="none"/>
        </w:rPr>
      </w:pPr>
      <w:r>
        <w:rPr>
          <w:rFonts w:hint="eastAsia" w:ascii="宋体" w:hAnsi="宋体"/>
          <w:bCs/>
          <w:color w:val="auto"/>
          <w:sz w:val="24"/>
          <w:highlight w:val="none"/>
        </w:rPr>
        <w:t>（</w:t>
      </w:r>
      <w:r>
        <w:rPr>
          <w:rFonts w:hint="eastAsia" w:ascii="宋体" w:hAnsi="宋体"/>
          <w:bCs/>
          <w:color w:val="auto"/>
          <w:sz w:val="24"/>
          <w:highlight w:val="none"/>
          <w:lang w:val="en-US" w:eastAsia="zh-CN"/>
        </w:rPr>
        <w:t>5</w:t>
      </w:r>
      <w:r>
        <w:rPr>
          <w:rFonts w:hint="eastAsia" w:ascii="宋体" w:hAnsi="宋体"/>
          <w:bCs/>
          <w:color w:val="auto"/>
          <w:sz w:val="24"/>
          <w:highlight w:val="none"/>
        </w:rPr>
        <w:t>）</w:t>
      </w:r>
      <w:r>
        <w:rPr>
          <w:rFonts w:hint="eastAsia" w:ascii="宋体" w:hAnsi="宋体" w:cs="宋体"/>
          <w:bCs/>
          <w:sz w:val="24"/>
          <w:highlight w:val="none"/>
        </w:rPr>
        <w:t>本项目实施的重难点及解决方案（10分）：投标人根据项目要求和采购需求对本项目实施的重难点及解决方案的描述，包括但不限于</w:t>
      </w:r>
      <w:r>
        <w:rPr>
          <w:rFonts w:hint="eastAsia"/>
          <w:sz w:val="24"/>
          <w:szCs w:val="24"/>
          <w:highlight w:val="none"/>
        </w:rPr>
        <w:t>①本项目实施过程中的重难点</w:t>
      </w:r>
      <w:r>
        <w:rPr>
          <w:rFonts w:hint="eastAsia"/>
          <w:sz w:val="24"/>
          <w:szCs w:val="24"/>
          <w:highlight w:val="none"/>
          <w:lang w:eastAsia="zh-CN"/>
        </w:rPr>
        <w:t>、</w:t>
      </w:r>
      <w:r>
        <w:rPr>
          <w:rFonts w:hint="eastAsia"/>
          <w:sz w:val="24"/>
          <w:szCs w:val="24"/>
          <w:highlight w:val="none"/>
        </w:rPr>
        <w:t>②实施过程中的重难点解决方案。</w:t>
      </w:r>
    </w:p>
    <w:p w14:paraId="7DBFC584">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阐述合理、描述详细、切实可行有效，得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1D58061">
      <w:pPr>
        <w:spacing w:line="360" w:lineRule="auto"/>
        <w:ind w:firstLine="480"/>
        <w:rPr>
          <w:rFonts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阐述不够全面、但满足采购需求的，得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2E6FE0DD">
      <w:pPr>
        <w:spacing w:line="360" w:lineRule="auto"/>
        <w:ind w:firstLine="480"/>
        <w:rPr>
          <w:rFonts w:hint="eastAsia" w:ascii="宋体" w:hAnsi="宋体" w:eastAsia="宋体" w:cs="宋体"/>
          <w:color w:val="auto"/>
          <w:sz w:val="24"/>
          <w:szCs w:val="24"/>
          <w:highlight w:val="none"/>
        </w:rPr>
      </w:pPr>
      <w:r>
        <w:rPr>
          <w:rFonts w:hint="eastAsia" w:ascii="宋体" w:hAnsi="宋体" w:cs="宋体"/>
          <w:bCs/>
          <w:sz w:val="24"/>
          <w:highlight w:val="none"/>
        </w:rPr>
        <w:t>每有一项内容进行</w:t>
      </w:r>
      <w:r>
        <w:rPr>
          <w:rFonts w:hint="eastAsia" w:ascii="宋体" w:hAnsi="宋体" w:eastAsia="宋体" w:cs="宋体"/>
          <w:color w:val="auto"/>
          <w:sz w:val="24"/>
          <w:szCs w:val="24"/>
          <w:highlight w:val="none"/>
        </w:rPr>
        <w:t>阐述</w:t>
      </w:r>
      <w:r>
        <w:rPr>
          <w:rFonts w:hint="eastAsia" w:ascii="宋体" w:hAnsi="宋体"/>
          <w:bCs/>
          <w:color w:val="auto"/>
          <w:sz w:val="24"/>
          <w:szCs w:val="24"/>
          <w:highlight w:val="none"/>
          <w:lang w:bidi="ar"/>
        </w:rPr>
        <w:t>比较模糊，表述不清的</w:t>
      </w:r>
      <w:r>
        <w:rPr>
          <w:rFonts w:hint="eastAsia" w:ascii="宋体" w:hAnsi="宋体"/>
          <w:bCs/>
          <w:color w:val="auto"/>
          <w:sz w:val="24"/>
          <w:szCs w:val="24"/>
          <w:highlight w:val="none"/>
          <w:lang w:eastAsia="zh-CN" w:bidi="ar"/>
        </w:rPr>
        <w:t>，</w:t>
      </w:r>
      <w:r>
        <w:rPr>
          <w:rFonts w:hint="eastAsia" w:ascii="宋体" w:hAnsi="宋体"/>
          <w:bCs/>
          <w:color w:val="auto"/>
          <w:sz w:val="24"/>
          <w:szCs w:val="24"/>
          <w:highlight w:val="none"/>
          <w:lang w:bidi="ar"/>
        </w:rPr>
        <w:t>得1分；</w:t>
      </w:r>
    </w:p>
    <w:p w14:paraId="77A49C5E">
      <w:pPr>
        <w:spacing w:line="360" w:lineRule="auto"/>
        <w:ind w:firstLine="482"/>
        <w:rPr>
          <w:rFonts w:hint="eastAsia" w:ascii="宋体" w:hAnsi="宋体"/>
          <w:b/>
          <w:bCs/>
          <w:color w:val="auto"/>
          <w:sz w:val="24"/>
          <w:szCs w:val="24"/>
          <w:highlight w:val="none"/>
        </w:rPr>
      </w:pPr>
      <w:r>
        <w:rPr>
          <w:rFonts w:hint="eastAsia" w:ascii="宋体" w:hAnsi="宋体" w:eastAsia="宋体" w:cs="宋体"/>
          <w:color w:val="auto"/>
          <w:sz w:val="24"/>
          <w:szCs w:val="24"/>
          <w:highlight w:val="none"/>
        </w:rPr>
        <w:t>未阐述或不可行或前后矛盾或不详细具体全面的，不得分。</w:t>
      </w:r>
    </w:p>
    <w:p w14:paraId="33661FC8">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注：投标供应商须针对本项目的实际情况，结合自身条件，编制相应的“技术文件”。取所有评委打分的平均值。</w:t>
      </w:r>
    </w:p>
    <w:p w14:paraId="5F241681">
      <w:pPr>
        <w:spacing w:line="360" w:lineRule="auto"/>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评分办法及评分细则的解释权属采购人，未列入本评分细则的其他条件不作为评分内容。</w:t>
      </w:r>
      <w:r>
        <w:rPr>
          <w:color w:val="auto"/>
          <w:highlight w:val="none"/>
        </w:rPr>
        <w:br w:type="page" w:clear="all"/>
      </w:r>
    </w:p>
    <w:p w14:paraId="567AB80F">
      <w:pPr>
        <w:spacing w:line="360" w:lineRule="auto"/>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7"/>
      <w:bookmarkEnd w:id="148"/>
      <w:bookmarkEnd w:id="149"/>
      <w:r>
        <w:rPr>
          <w:rFonts w:hint="eastAsia" w:ascii="黑体" w:eastAsia="黑体"/>
          <w:bCs/>
          <w:color w:val="auto"/>
          <w:sz w:val="36"/>
          <w:szCs w:val="36"/>
          <w:highlight w:val="none"/>
        </w:rPr>
        <w:t>投标文件内容与格式</w:t>
      </w:r>
    </w:p>
    <w:p w14:paraId="1213973F">
      <w:pPr>
        <w:pStyle w:val="416"/>
        <w:spacing w:before="0" w:after="0"/>
        <w:ind w:firstLine="602"/>
        <w:rPr>
          <w:rFonts w:cs="Arial"/>
          <w:b/>
          <w:color w:val="auto"/>
          <w:sz w:val="30"/>
          <w:szCs w:val="30"/>
          <w:highlight w:val="none"/>
        </w:rPr>
      </w:pPr>
      <w:bookmarkStart w:id="152" w:name="_Hlt26671244"/>
      <w:bookmarkEnd w:id="152"/>
      <w:bookmarkStart w:id="153" w:name="_Hlt26955039"/>
      <w:bookmarkEnd w:id="153"/>
      <w:r>
        <w:rPr>
          <w:rFonts w:hint="eastAsia" w:cs="Arial"/>
          <w:b/>
          <w:color w:val="auto"/>
          <w:sz w:val="30"/>
          <w:szCs w:val="30"/>
          <w:highlight w:val="none"/>
        </w:rPr>
        <w:t>第一部分  投标文件内容</w:t>
      </w:r>
    </w:p>
    <w:p w14:paraId="435339FB">
      <w:pPr>
        <w:pStyle w:val="416"/>
        <w:spacing w:before="0" w:after="0"/>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6"/>
        <w:tblW w:w="9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562"/>
      </w:tblGrid>
      <w:tr w14:paraId="648D8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3F5DB76D">
            <w:pPr>
              <w:pStyle w:val="416"/>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1B300633">
            <w:pPr>
              <w:pStyle w:val="416"/>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562" w:type="dxa"/>
            <w:vAlign w:val="center"/>
          </w:tcPr>
          <w:p w14:paraId="78C3DD67">
            <w:pPr>
              <w:pStyle w:val="416"/>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74492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B5EC97F">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vAlign w:val="center"/>
          </w:tcPr>
          <w:p w14:paraId="2CB3CBA0">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562" w:type="dxa"/>
            <w:vMerge w:val="restart"/>
            <w:vAlign w:val="center"/>
          </w:tcPr>
          <w:p w14:paraId="12AB7B19">
            <w:pPr>
              <w:pStyle w:val="416"/>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76E57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2" w:hRule="atLeast"/>
          <w:jc w:val="center"/>
        </w:trPr>
        <w:tc>
          <w:tcPr>
            <w:tcW w:w="719" w:type="dxa"/>
            <w:tcBorders>
              <w:bottom w:val="single" w:color="auto" w:sz="4" w:space="0"/>
            </w:tcBorders>
            <w:vAlign w:val="center"/>
          </w:tcPr>
          <w:p w14:paraId="0CC562BE">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tcBorders>
              <w:bottom w:val="single" w:color="auto" w:sz="4" w:space="0"/>
            </w:tcBorders>
            <w:vAlign w:val="center"/>
          </w:tcPr>
          <w:p w14:paraId="2465F165">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562" w:type="dxa"/>
            <w:vMerge w:val="continue"/>
            <w:vAlign w:val="center"/>
          </w:tcPr>
          <w:p w14:paraId="71CA8C91">
            <w:pPr>
              <w:pStyle w:val="416"/>
              <w:spacing w:before="0" w:after="0" w:line="240" w:lineRule="auto"/>
              <w:ind w:firstLine="0"/>
              <w:rPr>
                <w:rFonts w:ascii="宋体" w:hAnsi="宋体" w:cs="宋体"/>
                <w:color w:val="auto"/>
                <w:highlight w:val="none"/>
              </w:rPr>
            </w:pPr>
          </w:p>
        </w:tc>
      </w:tr>
      <w:tr w14:paraId="0EE8A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719" w:type="dxa"/>
            <w:tcBorders>
              <w:top w:val="single" w:color="auto" w:sz="4" w:space="0"/>
            </w:tcBorders>
            <w:vAlign w:val="center"/>
          </w:tcPr>
          <w:p w14:paraId="2377D038">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tcBorders>
              <w:top w:val="single" w:color="auto" w:sz="4" w:space="0"/>
            </w:tcBorders>
            <w:vAlign w:val="center"/>
          </w:tcPr>
          <w:p w14:paraId="21BAB9CC">
            <w:pPr>
              <w:pStyle w:val="416"/>
              <w:spacing w:before="0" w:after="0"/>
              <w:ind w:firstLine="0"/>
              <w:jc w:val="both"/>
              <w:rPr>
                <w:rFonts w:ascii="宋体" w:hAnsi="宋体" w:cs="宋体"/>
                <w:b/>
                <w:bCs/>
                <w:color w:val="auto"/>
                <w:highlight w:val="none"/>
              </w:rPr>
            </w:pPr>
            <w:r>
              <w:rPr>
                <w:rFonts w:hint="eastAsia"/>
                <w:bCs/>
                <w:color w:val="auto"/>
                <w:highlight w:val="none"/>
              </w:rPr>
              <w:t>投标人法定代表人授权代表及项目负责人具备与本企业签订的</w:t>
            </w:r>
            <w:r>
              <w:rPr>
                <w:rFonts w:hint="eastAsia"/>
                <w:b/>
                <w:color w:val="auto"/>
                <w:highlight w:val="none"/>
              </w:rPr>
              <w:t>劳动合同</w:t>
            </w:r>
            <w:r>
              <w:rPr>
                <w:rFonts w:hint="eastAsia"/>
                <w:bCs/>
                <w:color w:val="auto"/>
                <w:highlight w:val="none"/>
              </w:rPr>
              <w:t>，及《职工养老保险手册》（内附</w:t>
            </w:r>
            <w:r>
              <w:rPr>
                <w:rFonts w:hint="eastAsia" w:ascii="宋体" w:hAnsi="宋体" w:cs="宋体"/>
                <w:b/>
                <w:color w:val="auto"/>
                <w:highlight w:val="none"/>
              </w:rPr>
              <w:t>近</w:t>
            </w:r>
            <w:r>
              <w:rPr>
                <w:rFonts w:hint="eastAsia" w:ascii="宋体" w:hAnsi="宋体" w:cs="宋体"/>
                <w:b/>
                <w:color w:val="auto"/>
                <w:highlight w:val="none"/>
                <w:lang w:eastAsia="zh-CN"/>
              </w:rPr>
              <w:t>一年</w:t>
            </w:r>
            <w:r>
              <w:rPr>
                <w:rFonts w:hint="eastAsia" w:ascii="宋体" w:hAnsi="宋体" w:cs="宋体"/>
                <w:b/>
                <w:color w:val="auto"/>
                <w:highlight w:val="none"/>
              </w:rPr>
              <w:t>中任意一个月（不含投标当月）</w:t>
            </w:r>
            <w:r>
              <w:rPr>
                <w:rFonts w:hint="eastAsia" w:ascii="宋体" w:hAnsi="宋体" w:cs="宋体"/>
                <w:bCs/>
                <w:color w:val="auto"/>
                <w:highlight w:val="none"/>
              </w:rPr>
              <w:t>的缴费清单）或由社保机构出具本企业的</w:t>
            </w:r>
            <w:r>
              <w:rPr>
                <w:rFonts w:hint="eastAsia" w:ascii="宋体" w:hAnsi="宋体" w:cs="宋体"/>
                <w:b/>
                <w:color w:val="auto"/>
                <w:highlight w:val="none"/>
              </w:rPr>
              <w:t>近</w:t>
            </w:r>
            <w:r>
              <w:rPr>
                <w:rFonts w:hint="eastAsia" w:ascii="宋体" w:hAnsi="宋体" w:cs="宋体"/>
                <w:b/>
                <w:color w:val="auto"/>
                <w:highlight w:val="none"/>
                <w:lang w:eastAsia="zh-CN"/>
              </w:rPr>
              <w:t>一年</w:t>
            </w:r>
            <w:r>
              <w:rPr>
                <w:rFonts w:hint="eastAsia" w:ascii="宋体" w:hAnsi="宋体" w:cs="宋体"/>
                <w:b/>
                <w:color w:val="auto"/>
                <w:highlight w:val="none"/>
              </w:rPr>
              <w:t>中任意一个月（不含投标当月）</w:t>
            </w:r>
            <w:r>
              <w:rPr>
                <w:rFonts w:hint="eastAsia" w:ascii="宋体" w:hAnsi="宋体" w:cs="宋体"/>
                <w:bCs/>
                <w:color w:val="auto"/>
                <w:highlight w:val="none"/>
              </w:rPr>
              <w:t>的缴费证明</w:t>
            </w:r>
            <w:r>
              <w:rPr>
                <w:rFonts w:hint="eastAsia"/>
                <w:bCs/>
                <w:color w:val="auto"/>
                <w:highlight w:val="none"/>
              </w:rPr>
              <w:t>扫描件（由相关主管部门出具，新成立公司除外、法定代表人亲自参加投标的除外）。</w:t>
            </w:r>
          </w:p>
        </w:tc>
        <w:tc>
          <w:tcPr>
            <w:tcW w:w="2562" w:type="dxa"/>
            <w:vMerge w:val="continue"/>
            <w:vAlign w:val="center"/>
          </w:tcPr>
          <w:p w14:paraId="10941E32">
            <w:pPr>
              <w:pStyle w:val="416"/>
              <w:spacing w:before="0" w:after="0" w:line="240" w:lineRule="auto"/>
              <w:ind w:firstLine="0"/>
              <w:rPr>
                <w:rFonts w:ascii="宋体" w:hAnsi="宋体" w:cs="宋体"/>
                <w:color w:val="auto"/>
                <w:highlight w:val="none"/>
              </w:rPr>
            </w:pPr>
          </w:p>
        </w:tc>
      </w:tr>
      <w:tr w14:paraId="25B77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7AB53CC5">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vAlign w:val="center"/>
          </w:tcPr>
          <w:p w14:paraId="2EE253A7">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投标人近一年中任意一个月份（不含投标当月）的财务状况报告（资产负债表和利润表）或由会计师事务所出具的202</w:t>
            </w:r>
            <w:r>
              <w:rPr>
                <w:rFonts w:hint="eastAsia" w:ascii="宋体" w:hAnsi="宋体" w:cs="宋体"/>
                <w:color w:val="auto"/>
                <w:highlight w:val="none"/>
                <w:lang w:val="en-US" w:eastAsia="zh-CN"/>
              </w:rPr>
              <w:t>3</w:t>
            </w:r>
            <w:r>
              <w:rPr>
                <w:rFonts w:hint="eastAsia" w:ascii="宋体" w:hAnsi="宋体" w:cs="宋体"/>
                <w:color w:val="auto"/>
                <w:highlight w:val="none"/>
              </w:rPr>
              <w:t>年度或202</w:t>
            </w:r>
            <w:r>
              <w:rPr>
                <w:rFonts w:hint="eastAsia" w:ascii="宋体" w:hAnsi="宋体" w:cs="宋体"/>
                <w:color w:val="auto"/>
                <w:highlight w:val="none"/>
                <w:lang w:val="en-US" w:eastAsia="zh-CN"/>
              </w:rPr>
              <w:t>4</w:t>
            </w:r>
            <w:r>
              <w:rPr>
                <w:rFonts w:hint="eastAsia" w:ascii="宋体" w:hAnsi="宋体" w:cs="宋体"/>
                <w:color w:val="auto"/>
                <w:highlight w:val="none"/>
              </w:rPr>
              <w:t>年度的审计报告和所附已审财务报告（投标人如是自然人情形的，没有经审计的财务报告的，可以提供银行出具的资信证明）</w:t>
            </w:r>
            <w:r>
              <w:rPr>
                <w:rStyle w:val="410"/>
                <w:rFonts w:hint="eastAsia" w:ascii="宋体" w:hAnsi="宋体" w:cs="宋体"/>
                <w:color w:val="auto"/>
                <w:highlight w:val="none"/>
              </w:rPr>
              <w:t>。</w:t>
            </w:r>
          </w:p>
        </w:tc>
        <w:tc>
          <w:tcPr>
            <w:tcW w:w="2562" w:type="dxa"/>
            <w:vMerge w:val="continue"/>
            <w:vAlign w:val="center"/>
          </w:tcPr>
          <w:p w14:paraId="23D28C8C">
            <w:pPr>
              <w:pStyle w:val="416"/>
              <w:spacing w:before="0" w:after="0" w:line="240" w:lineRule="auto"/>
              <w:ind w:firstLine="0"/>
              <w:rPr>
                <w:rFonts w:ascii="宋体" w:hAnsi="宋体" w:cs="宋体"/>
                <w:color w:val="auto"/>
                <w:highlight w:val="none"/>
              </w:rPr>
            </w:pPr>
          </w:p>
        </w:tc>
      </w:tr>
      <w:tr w14:paraId="2B58D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6C51CA08">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vAlign w:val="center"/>
          </w:tcPr>
          <w:p w14:paraId="34DF3140">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投标人近一年任意一个月份（不含投标当月）的依法缴纳税收的相关材料（提供相关主管部门证明或银行代扣证明）。</w:t>
            </w:r>
          </w:p>
        </w:tc>
        <w:tc>
          <w:tcPr>
            <w:tcW w:w="2562" w:type="dxa"/>
            <w:vMerge w:val="continue"/>
            <w:vAlign w:val="center"/>
          </w:tcPr>
          <w:p w14:paraId="0236A6ED">
            <w:pPr>
              <w:pStyle w:val="416"/>
              <w:spacing w:before="0" w:after="0" w:line="240" w:lineRule="auto"/>
              <w:ind w:firstLine="0"/>
              <w:rPr>
                <w:rFonts w:ascii="宋体" w:hAnsi="宋体" w:cs="宋体"/>
                <w:color w:val="auto"/>
                <w:highlight w:val="none"/>
              </w:rPr>
            </w:pPr>
          </w:p>
        </w:tc>
      </w:tr>
      <w:tr w14:paraId="5FD183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714FEC41">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vAlign w:val="center"/>
          </w:tcPr>
          <w:p w14:paraId="1E16CE2A">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562" w:type="dxa"/>
            <w:vMerge w:val="continue"/>
            <w:vAlign w:val="center"/>
          </w:tcPr>
          <w:p w14:paraId="6CB8D493">
            <w:pPr>
              <w:pStyle w:val="416"/>
              <w:spacing w:before="0" w:after="0" w:line="240" w:lineRule="auto"/>
              <w:ind w:firstLine="0"/>
              <w:rPr>
                <w:rFonts w:ascii="宋体" w:hAnsi="宋体" w:cs="宋体"/>
                <w:color w:val="auto"/>
                <w:highlight w:val="none"/>
              </w:rPr>
            </w:pPr>
          </w:p>
        </w:tc>
      </w:tr>
      <w:tr w14:paraId="22D5D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0B20E078">
            <w:pPr>
              <w:pStyle w:val="416"/>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tcBorders>
              <w:bottom w:val="single" w:color="000000" w:sz="4" w:space="0"/>
            </w:tcBorders>
            <w:vAlign w:val="center"/>
          </w:tcPr>
          <w:p w14:paraId="0783CDF0">
            <w:pPr>
              <w:pStyle w:val="416"/>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562" w:type="dxa"/>
            <w:vMerge w:val="continue"/>
            <w:vAlign w:val="center"/>
          </w:tcPr>
          <w:p w14:paraId="3CDF58CF">
            <w:pPr>
              <w:pStyle w:val="416"/>
              <w:spacing w:before="0" w:after="0" w:line="240" w:lineRule="auto"/>
              <w:ind w:firstLine="0"/>
              <w:rPr>
                <w:rFonts w:ascii="宋体" w:hAnsi="宋体" w:cs="宋体"/>
                <w:color w:val="auto"/>
                <w:highlight w:val="none"/>
              </w:rPr>
            </w:pPr>
          </w:p>
        </w:tc>
      </w:tr>
      <w:tr w14:paraId="13D5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2CBA6423">
            <w:pPr>
              <w:pStyle w:val="416"/>
              <w:spacing w:before="0" w:after="0"/>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p>
        </w:tc>
        <w:tc>
          <w:tcPr>
            <w:tcW w:w="6104" w:type="dxa"/>
            <w:tcBorders>
              <w:bottom w:val="single" w:color="000000" w:sz="4" w:space="0"/>
            </w:tcBorders>
            <w:vAlign w:val="center"/>
          </w:tcPr>
          <w:p w14:paraId="203F2FD0">
            <w:pPr>
              <w:pStyle w:val="416"/>
              <w:spacing w:before="0" w:after="0"/>
              <w:ind w:firstLine="0"/>
              <w:jc w:val="both"/>
              <w:rPr>
                <w:rFonts w:hint="eastAsia" w:ascii="宋体" w:hAnsi="宋体" w:cs="宋体"/>
                <w:color w:val="auto"/>
                <w:highlight w:val="none"/>
              </w:rPr>
            </w:pPr>
            <w:r>
              <w:rPr>
                <w:rFonts w:hint="eastAsia" w:ascii="宋体" w:hAnsi="宋体" w:cs="宋体"/>
                <w:color w:val="auto"/>
                <w:highlight w:val="none"/>
              </w:rPr>
              <w:t>承诺书（给定格式）</w:t>
            </w:r>
          </w:p>
        </w:tc>
        <w:tc>
          <w:tcPr>
            <w:tcW w:w="2562" w:type="dxa"/>
            <w:vMerge w:val="continue"/>
            <w:vAlign w:val="center"/>
          </w:tcPr>
          <w:p w14:paraId="087ECACF">
            <w:pPr>
              <w:pStyle w:val="416"/>
              <w:spacing w:before="0" w:after="0" w:line="240" w:lineRule="auto"/>
              <w:ind w:firstLine="0"/>
              <w:rPr>
                <w:rFonts w:ascii="宋体" w:hAnsi="宋体" w:cs="宋体"/>
                <w:color w:val="auto"/>
                <w:highlight w:val="none"/>
              </w:rPr>
            </w:pPr>
          </w:p>
        </w:tc>
      </w:tr>
      <w:tr w14:paraId="2590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0EA1918D">
            <w:pPr>
              <w:pStyle w:val="416"/>
              <w:spacing w:before="0" w:after="0"/>
              <w:ind w:firstLine="0"/>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9</w:t>
            </w:r>
          </w:p>
        </w:tc>
        <w:tc>
          <w:tcPr>
            <w:tcW w:w="6104" w:type="dxa"/>
            <w:tcBorders>
              <w:bottom w:val="single" w:color="000000" w:sz="4" w:space="0"/>
            </w:tcBorders>
            <w:vAlign w:val="center"/>
          </w:tcPr>
          <w:p w14:paraId="59D00CED">
            <w:pPr>
              <w:pStyle w:val="416"/>
              <w:spacing w:before="0" w:after="0"/>
              <w:ind w:firstLine="0"/>
              <w:jc w:val="both"/>
              <w:rPr>
                <w:rFonts w:hint="eastAsia" w:ascii="宋体" w:hAnsi="宋体" w:cs="宋体"/>
                <w:color w:val="auto"/>
                <w:highlight w:val="none"/>
              </w:rPr>
            </w:pPr>
            <w:r>
              <w:rPr>
                <w:rFonts w:hint="eastAsia" w:ascii="宋体" w:hAnsi="宋体"/>
                <w:color w:val="auto"/>
                <w:sz w:val="24"/>
                <w:szCs w:val="24"/>
                <w:highlight w:val="none"/>
              </w:rPr>
              <w:t>在“信用中国”网站（www.creditchina.gov.cn）、中国政府采购网</w:t>
            </w:r>
            <w:r>
              <w:rPr>
                <w:rFonts w:hint="eastAsia" w:ascii="宋体" w:hAnsi="宋体" w:eastAsia="宋体"/>
                <w:color w:val="auto"/>
                <w:sz w:val="24"/>
                <w:szCs w:val="24"/>
                <w:highlight w:val="none"/>
              </w:rPr>
              <w:t>（</w:t>
            </w:r>
            <w:r>
              <w:rPr>
                <w:rFonts w:hint="eastAsia" w:ascii="宋体" w:hAnsi="宋体"/>
                <w:color w:val="auto"/>
                <w:sz w:val="24"/>
                <w:szCs w:val="24"/>
                <w:highlight w:val="none"/>
              </w:rPr>
              <w:t>www.ccgp.gov.cn</w:t>
            </w:r>
            <w:r>
              <w:rPr>
                <w:rFonts w:hint="eastAsia" w:ascii="宋体" w:hAnsi="宋体" w:eastAsia="宋体"/>
                <w:color w:val="auto"/>
                <w:sz w:val="24"/>
                <w:szCs w:val="24"/>
                <w:highlight w:val="none"/>
              </w:rPr>
              <w:t>）</w:t>
            </w:r>
            <w:r>
              <w:rPr>
                <w:rFonts w:hint="eastAsia" w:ascii="宋体" w:hAnsi="宋体"/>
                <w:color w:val="auto"/>
                <w:sz w:val="24"/>
                <w:szCs w:val="24"/>
                <w:highlight w:val="none"/>
              </w:rPr>
              <w:t>查询，无被列入失信被执行人、</w:t>
            </w:r>
            <w:r>
              <w:rPr>
                <w:rFonts w:hint="eastAsia" w:ascii="宋体" w:hAnsi="宋体" w:eastAsia="宋体"/>
                <w:color w:val="auto"/>
                <w:sz w:val="24"/>
                <w:szCs w:val="24"/>
                <w:highlight w:val="none"/>
              </w:rPr>
              <w:t>重大税收违法失信主体</w:t>
            </w:r>
            <w:r>
              <w:rPr>
                <w:rFonts w:hint="eastAsia" w:ascii="宋体" w:hAnsi="宋体"/>
                <w:color w:val="auto"/>
                <w:sz w:val="24"/>
                <w:szCs w:val="24"/>
                <w:highlight w:val="none"/>
              </w:rPr>
              <w:t>、政府采购严重失信行为记录名单及其他不符合《中华人民共和国政府采购法》第二十二条规定条件的信用记录；</w:t>
            </w:r>
          </w:p>
        </w:tc>
        <w:tc>
          <w:tcPr>
            <w:tcW w:w="2562" w:type="dxa"/>
            <w:vMerge w:val="continue"/>
            <w:vAlign w:val="center"/>
          </w:tcPr>
          <w:p w14:paraId="6D511CAE">
            <w:pPr>
              <w:pStyle w:val="416"/>
              <w:spacing w:before="0" w:after="0" w:line="240" w:lineRule="auto"/>
              <w:ind w:firstLine="0"/>
              <w:rPr>
                <w:rFonts w:ascii="宋体" w:hAnsi="宋体" w:cs="宋体"/>
                <w:color w:val="auto"/>
                <w:highlight w:val="none"/>
              </w:rPr>
            </w:pPr>
          </w:p>
        </w:tc>
      </w:tr>
      <w:tr w14:paraId="7995E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7CFBAB47">
            <w:pPr>
              <w:pStyle w:val="416"/>
              <w:spacing w:before="0" w:after="0"/>
              <w:ind w:firstLine="0"/>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10</w:t>
            </w:r>
          </w:p>
        </w:tc>
        <w:tc>
          <w:tcPr>
            <w:tcW w:w="6104" w:type="dxa"/>
            <w:vAlign w:val="center"/>
          </w:tcPr>
          <w:p w14:paraId="5975AEFA">
            <w:pPr>
              <w:pStyle w:val="416"/>
              <w:spacing w:before="0" w:after="0"/>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color w:val="auto"/>
                <w:highlight w:val="none"/>
                <w:lang w:val="en-US" w:eastAsia="zh-CN"/>
              </w:rPr>
              <w:t>无</w:t>
            </w:r>
            <w:r>
              <w:rPr>
                <w:rFonts w:hint="eastAsia" w:ascii="宋体" w:hAnsi="宋体" w:cs="宋体"/>
                <w:color w:val="auto"/>
                <w:highlight w:val="none"/>
              </w:rPr>
              <w:t>。</w:t>
            </w:r>
          </w:p>
        </w:tc>
        <w:tc>
          <w:tcPr>
            <w:tcW w:w="2562" w:type="dxa"/>
            <w:vAlign w:val="center"/>
          </w:tcPr>
          <w:p w14:paraId="79ACC49C">
            <w:pPr>
              <w:pStyle w:val="416"/>
              <w:spacing w:before="0" w:after="0"/>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2623E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154D56A5">
            <w:pPr>
              <w:pStyle w:val="416"/>
              <w:spacing w:before="0" w:after="0"/>
              <w:ind w:firstLine="0"/>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11</w:t>
            </w:r>
          </w:p>
        </w:tc>
        <w:tc>
          <w:tcPr>
            <w:tcW w:w="8666" w:type="dxa"/>
            <w:gridSpan w:val="2"/>
            <w:vAlign w:val="center"/>
          </w:tcPr>
          <w:p w14:paraId="5136A29A">
            <w:pPr>
              <w:pStyle w:val="416"/>
              <w:spacing w:before="0" w:after="0"/>
              <w:ind w:firstLine="0"/>
              <w:rPr>
                <w:rFonts w:hint="eastAsia" w:ascii="宋体" w:hAnsi="宋体" w:eastAsia="宋体" w:cs="宋体"/>
                <w:color w:val="auto"/>
                <w:highlight w:val="none"/>
                <w:lang w:val="en-US" w:eastAsia="zh-CN"/>
              </w:rPr>
            </w:pPr>
            <w:r>
              <w:rPr>
                <w:rFonts w:hint="eastAsia" w:cs="宋体" w:asciiTheme="minorEastAsia" w:hAnsiTheme="minorEastAsia"/>
                <w:color w:val="auto"/>
                <w:sz w:val="24"/>
                <w:szCs w:val="24"/>
                <w:highlight w:val="none"/>
              </w:rPr>
              <w:t>本项目</w:t>
            </w:r>
            <w:r>
              <w:rPr>
                <w:rFonts w:hint="eastAsia" w:cs="宋体" w:asciiTheme="minorEastAsia" w:hAnsiTheme="minorEastAsia"/>
                <w:color w:val="auto"/>
                <w:sz w:val="24"/>
                <w:szCs w:val="24"/>
                <w:highlight w:val="none"/>
                <w:lang w:eastAsia="zh-CN"/>
              </w:rPr>
              <w:t>不</w:t>
            </w:r>
            <w:r>
              <w:rPr>
                <w:rFonts w:hint="eastAsia" w:cs="宋体" w:asciiTheme="minorEastAsia" w:hAnsiTheme="minorEastAsia"/>
                <w:color w:val="auto"/>
                <w:sz w:val="24"/>
                <w:szCs w:val="24"/>
                <w:highlight w:val="none"/>
              </w:rPr>
              <w:t>接受联合体投标</w:t>
            </w:r>
            <w:r>
              <w:rPr>
                <w:rFonts w:hint="eastAsia" w:cs="宋体" w:asciiTheme="minorEastAsia" w:hAnsiTheme="minorEastAsia"/>
                <w:color w:val="auto"/>
                <w:sz w:val="24"/>
                <w:szCs w:val="24"/>
                <w:highlight w:val="none"/>
                <w:lang w:eastAsia="zh-CN"/>
              </w:rPr>
              <w:t>。</w:t>
            </w:r>
          </w:p>
        </w:tc>
      </w:tr>
    </w:tbl>
    <w:p w14:paraId="26A46DA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31C732A4">
      <w:pPr>
        <w:numPr>
          <w:ilvl w:val="0"/>
          <w:numId w:val="9"/>
        </w:numPr>
        <w:spacing w:line="360" w:lineRule="auto"/>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1～7项必须全部按要求提供（有给定格式的，必须按给定格式的要求正确填报并提供，相应格式见本章第二部分），否则投标文件无效。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5、6</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2F58C147">
      <w:pPr>
        <w:spacing w:line="360" w:lineRule="auto"/>
        <w:ind w:firstLine="480"/>
        <w:rPr>
          <w:rFonts w:ascii="宋体" w:hAnsi="宋体"/>
          <w:color w:val="auto"/>
          <w:sz w:val="24"/>
          <w:szCs w:val="24"/>
          <w:highlight w:val="none"/>
        </w:rPr>
      </w:pPr>
      <w:r>
        <w:rPr>
          <w:rFonts w:hint="eastAsia" w:ascii="宋体" w:hAnsi="宋体"/>
          <w:b/>
          <w:bCs/>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E85229F">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项，如本项目有特定资格要求的（详见第一章《投标邀请》），须提供相应的特定资格证明文件。</w:t>
      </w:r>
    </w:p>
    <w:p w14:paraId="2DF1E422">
      <w:pPr>
        <w:numPr>
          <w:ilvl w:val="0"/>
          <w:numId w:val="9"/>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项，如本项目接受联合体投标的（详见第一章《投标邀请</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且投标人为联合体时，必须提供《联合体协议》（格式自拟，明确各方拟承担的工作和责任，并指定联合体牵头人，授权其代表所有联合体成员负责本项目投标和合同实施阶段的牵头、协调工作），否则投标文件无效。</w:t>
      </w:r>
    </w:p>
    <w:p w14:paraId="4A06F9B2">
      <w:pPr>
        <w:spacing w:line="360" w:lineRule="auto"/>
        <w:ind w:firstLine="480"/>
        <w:jc w:val="left"/>
        <w:rPr>
          <w:b/>
          <w:color w:val="auto"/>
          <w:sz w:val="28"/>
          <w:szCs w:val="28"/>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中：第2、7项可由联合体主体单位（即联合体牵头人）代表联合体提供；第1、3、4、5、6（如有要求）、8（如有要求）、9项（如有要求）、10项（如有要求），联合体各方均须提供。</w:t>
      </w: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46"/>
        <w:tblW w:w="8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5887"/>
        <w:gridCol w:w="1920"/>
      </w:tblGrid>
      <w:tr w14:paraId="2638DB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9" w:type="dxa"/>
            <w:vAlign w:val="center"/>
          </w:tcPr>
          <w:p w14:paraId="6B79AAF0">
            <w:pPr>
              <w:pStyle w:val="416"/>
              <w:spacing w:before="0" w:after="0" w:line="240" w:lineRule="auto"/>
              <w:ind w:firstLine="0"/>
              <w:jc w:val="center"/>
              <w:rPr>
                <w:rFonts w:cs="Arial"/>
                <w:b/>
                <w:color w:val="auto"/>
                <w:highlight w:val="none"/>
              </w:rPr>
            </w:pPr>
            <w:r>
              <w:rPr>
                <w:rFonts w:hint="eastAsia" w:cs="Arial"/>
                <w:b/>
                <w:color w:val="auto"/>
                <w:highlight w:val="none"/>
              </w:rPr>
              <w:t>序号</w:t>
            </w:r>
          </w:p>
        </w:tc>
        <w:tc>
          <w:tcPr>
            <w:tcW w:w="5887" w:type="dxa"/>
            <w:vAlign w:val="center"/>
          </w:tcPr>
          <w:p w14:paraId="4408BCD0">
            <w:pPr>
              <w:pStyle w:val="416"/>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1920" w:type="dxa"/>
            <w:vAlign w:val="center"/>
          </w:tcPr>
          <w:p w14:paraId="41FE86C6">
            <w:pPr>
              <w:pStyle w:val="416"/>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64C23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6E99DDB0">
            <w:pPr>
              <w:pStyle w:val="416"/>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887" w:type="dxa"/>
            <w:vAlign w:val="center"/>
          </w:tcPr>
          <w:p w14:paraId="32B5E210">
            <w:pPr>
              <w:pStyle w:val="416"/>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20" w:type="dxa"/>
            <w:vMerge w:val="restart"/>
            <w:vAlign w:val="center"/>
          </w:tcPr>
          <w:p w14:paraId="691EB690">
            <w:pPr>
              <w:pStyle w:val="416"/>
              <w:spacing w:before="0" w:after="0" w:line="240" w:lineRule="auto"/>
              <w:ind w:firstLine="0"/>
              <w:jc w:val="center"/>
              <w:rPr>
                <w:rFonts w:cs="Arial"/>
                <w:color w:val="auto"/>
                <w:highlight w:val="none"/>
              </w:rPr>
            </w:pPr>
            <w:r>
              <w:rPr>
                <w:rFonts w:hint="eastAsia" w:cs="Arial"/>
                <w:color w:val="auto"/>
                <w:highlight w:val="none"/>
              </w:rPr>
              <w:t>商务符合性</w:t>
            </w:r>
          </w:p>
        </w:tc>
      </w:tr>
      <w:tr w14:paraId="24022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6B518A69">
            <w:pPr>
              <w:pStyle w:val="416"/>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887" w:type="dxa"/>
            <w:vAlign w:val="center"/>
          </w:tcPr>
          <w:p w14:paraId="36CE3B0A">
            <w:pPr>
              <w:pStyle w:val="416"/>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20" w:type="dxa"/>
            <w:vMerge w:val="continue"/>
            <w:vAlign w:val="center"/>
          </w:tcPr>
          <w:p w14:paraId="786FEFC1">
            <w:pPr>
              <w:pStyle w:val="416"/>
              <w:spacing w:before="0" w:after="0" w:line="240" w:lineRule="auto"/>
              <w:ind w:firstLine="0"/>
              <w:jc w:val="center"/>
              <w:rPr>
                <w:rFonts w:cs="Arial"/>
                <w:color w:val="auto"/>
                <w:highlight w:val="none"/>
              </w:rPr>
            </w:pPr>
          </w:p>
        </w:tc>
      </w:tr>
      <w:tr w14:paraId="76130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69F84F0F">
            <w:pPr>
              <w:pStyle w:val="416"/>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5887" w:type="dxa"/>
            <w:vAlign w:val="center"/>
          </w:tcPr>
          <w:p w14:paraId="576A3E9C">
            <w:pPr>
              <w:pStyle w:val="416"/>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20" w:type="dxa"/>
            <w:vMerge w:val="restart"/>
            <w:vAlign w:val="center"/>
          </w:tcPr>
          <w:p w14:paraId="47FC41B3">
            <w:pPr>
              <w:pStyle w:val="416"/>
              <w:spacing w:before="0" w:after="0" w:line="240" w:lineRule="auto"/>
              <w:ind w:firstLine="0"/>
              <w:jc w:val="center"/>
              <w:rPr>
                <w:rFonts w:cs="Arial"/>
                <w:color w:val="auto"/>
                <w:highlight w:val="none"/>
              </w:rPr>
            </w:pPr>
            <w:r>
              <w:rPr>
                <w:rFonts w:hint="eastAsia" w:cs="Arial"/>
                <w:color w:val="auto"/>
                <w:highlight w:val="none"/>
              </w:rPr>
              <w:t>报价符合性</w:t>
            </w:r>
          </w:p>
        </w:tc>
      </w:tr>
      <w:tr w14:paraId="6014B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462E3974">
            <w:pPr>
              <w:pStyle w:val="416"/>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5887" w:type="dxa"/>
            <w:vAlign w:val="center"/>
          </w:tcPr>
          <w:p w14:paraId="4CA1855D">
            <w:pPr>
              <w:pStyle w:val="416"/>
              <w:spacing w:before="0" w:after="0" w:line="240" w:lineRule="auto"/>
              <w:ind w:firstLine="0"/>
              <w:jc w:val="both"/>
              <w:rPr>
                <w:rFonts w:ascii="宋体" w:hAnsi="宋体" w:cs="Arial"/>
                <w:color w:val="auto"/>
                <w:highlight w:val="none"/>
              </w:rPr>
            </w:pPr>
            <w:r>
              <w:rPr>
                <w:rFonts w:hint="eastAsia" w:ascii="宋体" w:hAnsi="宋体"/>
                <w:color w:val="auto"/>
                <w:highlight w:val="none"/>
              </w:rPr>
              <w:t>分项报价表（给定格式）</w:t>
            </w:r>
          </w:p>
        </w:tc>
        <w:tc>
          <w:tcPr>
            <w:tcW w:w="1920" w:type="dxa"/>
            <w:vMerge w:val="continue"/>
            <w:vAlign w:val="center"/>
          </w:tcPr>
          <w:p w14:paraId="62993980">
            <w:pPr>
              <w:pStyle w:val="416"/>
              <w:spacing w:before="0" w:after="0" w:line="240" w:lineRule="auto"/>
              <w:ind w:firstLine="0"/>
              <w:jc w:val="center"/>
              <w:rPr>
                <w:rFonts w:cs="Arial"/>
                <w:color w:val="auto"/>
                <w:highlight w:val="none"/>
              </w:rPr>
            </w:pPr>
          </w:p>
        </w:tc>
      </w:tr>
      <w:tr w14:paraId="5F334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1BB7D842">
            <w:pPr>
              <w:pStyle w:val="416"/>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5887" w:type="dxa"/>
            <w:vAlign w:val="center"/>
          </w:tcPr>
          <w:p w14:paraId="1D15D5CB">
            <w:pPr>
              <w:pStyle w:val="416"/>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20" w:type="dxa"/>
            <w:vMerge w:val="restart"/>
            <w:vAlign w:val="center"/>
          </w:tcPr>
          <w:p w14:paraId="4E88F820">
            <w:pPr>
              <w:pStyle w:val="416"/>
              <w:spacing w:before="0" w:after="0" w:line="240" w:lineRule="auto"/>
              <w:ind w:firstLine="0"/>
              <w:jc w:val="center"/>
              <w:rPr>
                <w:rFonts w:cs="Arial"/>
                <w:color w:val="auto"/>
                <w:highlight w:val="none"/>
              </w:rPr>
            </w:pPr>
            <w:r>
              <w:rPr>
                <w:rFonts w:hint="eastAsia" w:cs="Arial"/>
                <w:color w:val="auto"/>
                <w:highlight w:val="none"/>
              </w:rPr>
              <w:t>技术符合性</w:t>
            </w:r>
          </w:p>
        </w:tc>
      </w:tr>
      <w:tr w14:paraId="29207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09" w:type="dxa"/>
            <w:vAlign w:val="center"/>
          </w:tcPr>
          <w:p w14:paraId="1BD2116F">
            <w:pPr>
              <w:pStyle w:val="416"/>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5887" w:type="dxa"/>
            <w:vAlign w:val="center"/>
          </w:tcPr>
          <w:p w14:paraId="4BFFD3D0">
            <w:pPr>
              <w:pStyle w:val="416"/>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《采购需求》中要求提供的证明材料（如有）</w:t>
            </w:r>
          </w:p>
        </w:tc>
        <w:tc>
          <w:tcPr>
            <w:tcW w:w="1920" w:type="dxa"/>
            <w:vMerge w:val="continue"/>
            <w:vAlign w:val="center"/>
          </w:tcPr>
          <w:p w14:paraId="59CF5270">
            <w:pPr>
              <w:pStyle w:val="416"/>
              <w:spacing w:before="0" w:after="0" w:line="240" w:lineRule="auto"/>
              <w:ind w:firstLine="0"/>
              <w:jc w:val="center"/>
              <w:rPr>
                <w:rFonts w:cs="Arial"/>
                <w:color w:val="auto"/>
                <w:highlight w:val="none"/>
              </w:rPr>
            </w:pPr>
          </w:p>
        </w:tc>
      </w:tr>
    </w:tbl>
    <w:p w14:paraId="24647800">
      <w:pPr>
        <w:spacing w:line="360" w:lineRule="auto"/>
        <w:ind w:firstLine="480"/>
        <w:rPr>
          <w:rFonts w:ascii="宋体" w:hAnsi="宋体"/>
          <w:color w:val="auto"/>
          <w:sz w:val="24"/>
          <w:szCs w:val="24"/>
          <w:highlight w:val="none"/>
        </w:rPr>
      </w:pPr>
    </w:p>
    <w:p w14:paraId="120EE5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w:t>
      </w:r>
    </w:p>
    <w:p w14:paraId="32EDCFC6">
      <w:pPr>
        <w:numPr>
          <w:ilvl w:val="0"/>
          <w:numId w:val="10"/>
        </w:num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316AC20A">
      <w:pPr>
        <w:numPr>
          <w:ilvl w:val="0"/>
          <w:numId w:val="1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0807C989">
      <w:pPr>
        <w:spacing w:line="360" w:lineRule="auto"/>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5E3E0BD2">
      <w:pPr>
        <w:pStyle w:val="416"/>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6C7071E3">
      <w:pPr>
        <w:widowControl/>
        <w:spacing w:line="360" w:lineRule="auto"/>
        <w:jc w:val="left"/>
        <w:rPr>
          <w:rFonts w:asciiTheme="minorEastAsia" w:hAnsiTheme="minorEastAsia"/>
          <w:bCs/>
          <w:color w:val="auto"/>
          <w:sz w:val="32"/>
          <w:highlight w:val="none"/>
        </w:rPr>
      </w:pPr>
    </w:p>
    <w:p w14:paraId="1DC74821">
      <w:pPr>
        <w:spacing w:line="360" w:lineRule="auto"/>
        <w:rPr>
          <w:rFonts w:asciiTheme="minorEastAsia" w:hAnsiTheme="minorEastAsia"/>
          <w:bCs/>
          <w:color w:val="auto"/>
          <w:sz w:val="32"/>
          <w:highlight w:val="none"/>
        </w:rPr>
      </w:pPr>
    </w:p>
    <w:p w14:paraId="3C0BA884">
      <w:pPr>
        <w:spacing w:line="360" w:lineRule="auto"/>
        <w:rPr>
          <w:rFonts w:asciiTheme="minorEastAsia" w:hAnsiTheme="minorEastAsia"/>
          <w:bCs/>
          <w:color w:val="auto"/>
          <w:sz w:val="32"/>
          <w:highlight w:val="none"/>
        </w:rPr>
      </w:pPr>
    </w:p>
    <w:p w14:paraId="4F5BA594">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投</w:t>
      </w:r>
    </w:p>
    <w:p w14:paraId="4A09F053">
      <w:pPr>
        <w:spacing w:line="360" w:lineRule="auto"/>
        <w:jc w:val="center"/>
        <w:rPr>
          <w:rFonts w:asciiTheme="minorEastAsia" w:hAnsiTheme="minorEastAsia"/>
          <w:bCs/>
          <w:color w:val="auto"/>
          <w:sz w:val="72"/>
          <w:highlight w:val="none"/>
        </w:rPr>
      </w:pPr>
    </w:p>
    <w:p w14:paraId="32D2EE53">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标</w:t>
      </w:r>
    </w:p>
    <w:p w14:paraId="28D568A4">
      <w:pPr>
        <w:spacing w:line="360" w:lineRule="auto"/>
        <w:jc w:val="center"/>
        <w:rPr>
          <w:rFonts w:asciiTheme="minorEastAsia" w:hAnsiTheme="minorEastAsia"/>
          <w:bCs/>
          <w:color w:val="auto"/>
          <w:sz w:val="72"/>
          <w:highlight w:val="none"/>
        </w:rPr>
      </w:pPr>
    </w:p>
    <w:p w14:paraId="4570699F">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文</w:t>
      </w:r>
    </w:p>
    <w:p w14:paraId="41E09F05">
      <w:pPr>
        <w:spacing w:line="360" w:lineRule="auto"/>
        <w:jc w:val="center"/>
        <w:rPr>
          <w:rFonts w:asciiTheme="minorEastAsia" w:hAnsiTheme="minorEastAsia"/>
          <w:bCs/>
          <w:color w:val="auto"/>
          <w:sz w:val="52"/>
          <w:szCs w:val="52"/>
          <w:highlight w:val="none"/>
        </w:rPr>
      </w:pPr>
    </w:p>
    <w:p w14:paraId="06CCC408">
      <w:pPr>
        <w:spacing w:line="360" w:lineRule="auto"/>
        <w:jc w:val="center"/>
        <w:rPr>
          <w:rFonts w:asciiTheme="minorEastAsia" w:hAnsiTheme="minorEastAsia"/>
          <w:bCs/>
          <w:color w:val="auto"/>
          <w:sz w:val="52"/>
          <w:szCs w:val="52"/>
          <w:highlight w:val="none"/>
        </w:rPr>
      </w:pPr>
      <w:r>
        <w:rPr>
          <w:rFonts w:hint="eastAsia" w:asciiTheme="minorEastAsia" w:hAnsiTheme="minorEastAsia"/>
          <w:bCs/>
          <w:color w:val="auto"/>
          <w:sz w:val="52"/>
          <w:szCs w:val="52"/>
          <w:highlight w:val="none"/>
        </w:rPr>
        <w:t>件</w:t>
      </w:r>
    </w:p>
    <w:p w14:paraId="6DCAC9AC">
      <w:pPr>
        <w:spacing w:line="360" w:lineRule="auto"/>
        <w:rPr>
          <w:rFonts w:asciiTheme="minorEastAsia" w:hAnsiTheme="minorEastAsia"/>
          <w:bCs/>
          <w:color w:val="auto"/>
          <w:sz w:val="28"/>
          <w:highlight w:val="none"/>
        </w:rPr>
      </w:pPr>
    </w:p>
    <w:p w14:paraId="4A07BEF6">
      <w:pPr>
        <w:spacing w:line="360" w:lineRule="auto"/>
        <w:ind w:firstLine="2715"/>
        <w:rPr>
          <w:rFonts w:asciiTheme="minorEastAsia" w:hAnsiTheme="minorEastAsia"/>
          <w:bCs/>
          <w:color w:val="auto"/>
          <w:sz w:val="28"/>
          <w:szCs w:val="28"/>
          <w:highlight w:val="none"/>
        </w:rPr>
      </w:pPr>
      <w:bookmarkStart w:id="154" w:name="_Hlk165208193"/>
      <w:r>
        <w:rPr>
          <w:rFonts w:hint="eastAsia" w:asciiTheme="minorEastAsia" w:hAnsiTheme="minorEastAsia"/>
          <w:bCs/>
          <w:color w:val="auto"/>
          <w:sz w:val="28"/>
          <w:szCs w:val="28"/>
          <w:highlight w:val="none"/>
        </w:rPr>
        <w:t xml:space="preserve">采购项目编号： </w:t>
      </w:r>
    </w:p>
    <w:p w14:paraId="65DFE3BB">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采购项目名称： </w:t>
      </w:r>
    </w:p>
    <w:p w14:paraId="3058539B">
      <w:pPr>
        <w:spacing w:line="360" w:lineRule="auto"/>
        <w:ind w:firstLine="2703"/>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 xml:space="preserve">投标人： </w:t>
      </w:r>
    </w:p>
    <w:p w14:paraId="09B1A05D">
      <w:pPr>
        <w:spacing w:line="360" w:lineRule="auto"/>
        <w:jc w:val="center"/>
        <w:rPr>
          <w:rFonts w:asciiTheme="minorEastAsia" w:hAnsiTheme="minorEastAsia"/>
          <w:bCs/>
          <w:color w:val="auto"/>
          <w:sz w:val="36"/>
          <w:szCs w:val="36"/>
          <w:highlight w:val="none"/>
        </w:rPr>
      </w:pPr>
    </w:p>
    <w:p w14:paraId="5FCAD1F4">
      <w:pPr>
        <w:spacing w:line="360" w:lineRule="auto"/>
        <w:jc w:val="center"/>
        <w:outlineLvl w:val="0"/>
        <w:rPr>
          <w:rFonts w:asciiTheme="minorEastAsia" w:hAnsiTheme="minorEastAsia"/>
          <w:bCs/>
          <w:color w:val="auto"/>
          <w:sz w:val="28"/>
          <w:szCs w:val="28"/>
          <w:highlight w:val="none"/>
        </w:rPr>
      </w:pPr>
      <w:r>
        <w:rPr>
          <w:rFonts w:hint="eastAsia" w:asciiTheme="minorEastAsia" w:hAnsiTheme="minorEastAsia"/>
          <w:bCs/>
          <w:color w:val="auto"/>
          <w:sz w:val="28"/>
          <w:szCs w:val="28"/>
          <w:highlight w:val="none"/>
        </w:rPr>
        <w:t>20   年   月</w:t>
      </w:r>
      <w:bookmarkEnd w:id="154"/>
    </w:p>
    <w:p w14:paraId="17344790">
      <w:pPr>
        <w:spacing w:line="360" w:lineRule="auto"/>
        <w:outlineLvl w:val="0"/>
        <w:rPr>
          <w:rFonts w:asciiTheme="minorEastAsia" w:hAnsiTheme="minorEastAsia"/>
          <w:bCs/>
          <w:color w:val="auto"/>
          <w:sz w:val="24"/>
          <w:szCs w:val="24"/>
          <w:highlight w:val="none"/>
        </w:rPr>
      </w:pPr>
    </w:p>
    <w:p w14:paraId="08A9BBE2">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二、授权委托书（给定格式）：</w:t>
      </w:r>
    </w:p>
    <w:p w14:paraId="4E223A4F">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FA3850F">
      <w:pPr>
        <w:pStyle w:val="41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770A7B90">
      <w:pPr>
        <w:pStyle w:val="41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6AB7ED91">
      <w:pPr>
        <w:pStyle w:val="41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44913AD9">
      <w:pPr>
        <w:pStyle w:val="41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07C34272">
      <w:pPr>
        <w:pStyle w:val="415"/>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05423E12">
      <w:pPr>
        <w:pStyle w:val="415"/>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特此授权委托。</w:t>
      </w:r>
    </w:p>
    <w:p w14:paraId="50D76CC8">
      <w:pPr>
        <w:pStyle w:val="415"/>
        <w:spacing w:line="360" w:lineRule="auto"/>
        <w:ind w:firstLine="0"/>
        <w:rPr>
          <w:rFonts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477E7409">
      <w:pPr>
        <w:pStyle w:val="415"/>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55A201A1">
      <w:pPr>
        <w:pStyle w:val="415"/>
        <w:spacing w:line="360" w:lineRule="auto"/>
        <w:ind w:firstLine="0"/>
        <w:rPr>
          <w:rFonts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60F71F7F">
      <w:pPr>
        <w:pStyle w:val="415"/>
        <w:spacing w:line="360" w:lineRule="auto"/>
        <w:ind w:firstLine="0"/>
        <w:rPr>
          <w:rFonts w:ascii="宋体" w:hAnsi="宋体" w:cs="宋体"/>
          <w:color w:val="auto"/>
          <w:sz w:val="24"/>
          <w:szCs w:val="24"/>
          <w:highlight w:val="none"/>
        </w:rPr>
      </w:pPr>
    </w:p>
    <w:p w14:paraId="3AA4135C">
      <w:pPr>
        <w:pStyle w:val="415"/>
        <w:spacing w:line="360" w:lineRule="auto"/>
        <w:ind w:firstLine="0"/>
        <w:rPr>
          <w:rFonts w:ascii="宋体" w:hAnsi="宋体" w:cs="宋体"/>
          <w:color w:val="auto"/>
          <w:sz w:val="24"/>
          <w:szCs w:val="24"/>
          <w:highlight w:val="none"/>
        </w:rPr>
      </w:pPr>
    </w:p>
    <w:p w14:paraId="6862E390">
      <w:pPr>
        <w:pStyle w:val="415"/>
        <w:spacing w:line="360" w:lineRule="auto"/>
        <w:ind w:firstLine="0"/>
        <w:rPr>
          <w:rFonts w:ascii="宋体" w:hAnsi="宋体" w:cs="宋体"/>
          <w:color w:val="auto"/>
          <w:sz w:val="24"/>
          <w:szCs w:val="24"/>
          <w:highlight w:val="none"/>
        </w:rPr>
      </w:pPr>
    </w:p>
    <w:p w14:paraId="387350B4">
      <w:pPr>
        <w:pStyle w:val="415"/>
        <w:spacing w:line="360" w:lineRule="auto"/>
        <w:ind w:firstLine="0"/>
        <w:rPr>
          <w:rFonts w:ascii="宋体" w:hAnsi="宋体" w:cs="宋体"/>
          <w:color w:val="auto"/>
          <w:sz w:val="24"/>
          <w:szCs w:val="24"/>
          <w:highlight w:val="none"/>
        </w:rPr>
      </w:pPr>
    </w:p>
    <w:p w14:paraId="06B97DB9">
      <w:pPr>
        <w:pStyle w:val="415"/>
        <w:spacing w:line="360" w:lineRule="auto"/>
        <w:ind w:firstLine="0"/>
        <w:rPr>
          <w:rFonts w:ascii="宋体" w:hAnsi="宋体" w:cs="宋体"/>
          <w:color w:val="auto"/>
          <w:sz w:val="24"/>
          <w:szCs w:val="24"/>
          <w:highlight w:val="none"/>
        </w:rPr>
      </w:pPr>
    </w:p>
    <w:p w14:paraId="0BAEFDF4">
      <w:pPr>
        <w:pStyle w:val="415"/>
        <w:spacing w:line="360" w:lineRule="auto"/>
        <w:ind w:firstLine="0"/>
        <w:rPr>
          <w:rFonts w:ascii="宋体" w:hAnsi="宋体" w:cs="宋体"/>
          <w:color w:val="auto"/>
          <w:sz w:val="24"/>
          <w:szCs w:val="24"/>
          <w:highlight w:val="none"/>
        </w:rPr>
      </w:pPr>
    </w:p>
    <w:p w14:paraId="3EFD4789">
      <w:pPr>
        <w:pStyle w:val="415"/>
        <w:spacing w:line="360" w:lineRule="auto"/>
        <w:ind w:firstLine="0"/>
        <w:rPr>
          <w:rFonts w:ascii="宋体" w:hAnsi="宋体" w:cs="宋体"/>
          <w:color w:val="auto"/>
          <w:sz w:val="24"/>
          <w:szCs w:val="24"/>
          <w:highlight w:val="none"/>
        </w:rPr>
      </w:pPr>
    </w:p>
    <w:p w14:paraId="3B5CA568">
      <w:pPr>
        <w:pStyle w:val="415"/>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36ABB89E">
      <w:pPr>
        <w:pStyle w:val="415"/>
        <w:numPr>
          <w:ilvl w:val="0"/>
          <w:numId w:val="11"/>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若投标人为事业单位或其他组织或分支机构（仅限招标文件注明允许分支机构投标情形的），则法定代表人处的签字人可为单位负责人。</w:t>
      </w:r>
    </w:p>
    <w:p w14:paraId="1ADD20C0">
      <w:pPr>
        <w:pStyle w:val="415"/>
        <w:numPr>
          <w:ilvl w:val="0"/>
          <w:numId w:val="11"/>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777BFA32">
      <w:pPr>
        <w:pStyle w:val="415"/>
        <w:numPr>
          <w:ilvl w:val="0"/>
          <w:numId w:val="11"/>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53AF7F19">
      <w:pPr>
        <w:pStyle w:val="415"/>
        <w:numPr>
          <w:ilvl w:val="0"/>
          <w:numId w:val="11"/>
        </w:num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1B7B2A4D">
      <w:pPr>
        <w:pStyle w:val="415"/>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32528AB0">
      <w:pPr>
        <w:jc w:val="center"/>
        <w:outlineLvl w:val="0"/>
        <w:rPr>
          <w:rFonts w:ascii="黑体" w:eastAsia="黑体"/>
          <w:bCs/>
          <w:color w:val="auto"/>
          <w:sz w:val="28"/>
          <w:szCs w:val="28"/>
          <w:highlight w:val="none"/>
        </w:rPr>
      </w:pPr>
      <w:bookmarkStart w:id="155" w:name="报价方关于资格的声明函（格式）"/>
      <w:bookmarkEnd w:id="155"/>
      <w:r>
        <w:rPr>
          <w:rFonts w:hint="eastAsia" w:ascii="黑体" w:eastAsia="黑体"/>
          <w:bCs/>
          <w:color w:val="auto"/>
          <w:sz w:val="28"/>
          <w:szCs w:val="28"/>
          <w:highlight w:val="none"/>
        </w:rPr>
        <w:t>资格声明函</w:t>
      </w:r>
    </w:p>
    <w:p w14:paraId="2634CA80">
      <w:pPr>
        <w:spacing w:line="480" w:lineRule="auto"/>
        <w:jc w:val="center"/>
        <w:rPr>
          <w:rFonts w:ascii="宋体"/>
          <w:bCs/>
          <w:color w:val="auto"/>
          <w:sz w:val="24"/>
          <w:szCs w:val="24"/>
          <w:highlight w:val="none"/>
        </w:rPr>
      </w:pPr>
    </w:p>
    <w:p w14:paraId="4D09539C">
      <w:pPr>
        <w:spacing w:line="480" w:lineRule="auto"/>
        <w:rPr>
          <w:rFonts w:ascii="宋体"/>
          <w:bCs/>
          <w:color w:val="auto"/>
          <w:sz w:val="24"/>
          <w:szCs w:val="24"/>
          <w:highlight w:val="none"/>
        </w:rPr>
      </w:pPr>
      <w:r>
        <w:rPr>
          <w:rFonts w:hint="eastAsia" w:ascii="宋体" w:hAnsi="宋体" w:eastAsia="宋体"/>
          <w:bCs/>
          <w:color w:val="auto"/>
          <w:sz w:val="24"/>
          <w:szCs w:val="24"/>
          <w:highlight w:val="none"/>
          <w:lang w:eastAsia="zh-CN"/>
        </w:rPr>
        <w:t>江苏筑祁园工程管理咨询有限公司</w:t>
      </w:r>
      <w:r>
        <w:rPr>
          <w:rFonts w:hint="eastAsia" w:ascii="宋体" w:hAnsi="宋体"/>
          <w:bCs/>
          <w:color w:val="auto"/>
          <w:sz w:val="24"/>
          <w:szCs w:val="24"/>
          <w:highlight w:val="none"/>
        </w:rPr>
        <w:t>：</w:t>
      </w:r>
    </w:p>
    <w:p w14:paraId="5E0B3F4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进行投标，并做如下声明</w:t>
      </w:r>
    </w:p>
    <w:p w14:paraId="4AE6C92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4928628A">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5C50048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w:t>
      </w:r>
      <w:r>
        <w:rPr>
          <w:rFonts w:hint="eastAsia" w:ascii="宋体" w:hAnsi="宋体" w:eastAsia="宋体"/>
          <w:bCs/>
          <w:color w:val="auto"/>
          <w:sz w:val="24"/>
          <w:szCs w:val="24"/>
          <w:highlight w:val="none"/>
        </w:rPr>
        <w:t>未</w:t>
      </w:r>
      <w:r>
        <w:rPr>
          <w:rFonts w:hint="eastAsia" w:ascii="宋体" w:hAnsi="宋体"/>
          <w:bCs/>
          <w:color w:val="auto"/>
          <w:sz w:val="24"/>
          <w:szCs w:val="24"/>
          <w:highlight w:val="none"/>
        </w:rPr>
        <w:t>被“信用中国”网站（www.creditchina.gov.cn）、中国政府采购网（www.ccgp.gov.cn）列入失信被执行人、</w:t>
      </w:r>
      <w:r>
        <w:rPr>
          <w:rFonts w:hint="eastAsia" w:ascii="宋体" w:hAnsi="宋体" w:eastAsia="宋体"/>
          <w:bCs/>
          <w:color w:val="auto"/>
          <w:sz w:val="24"/>
          <w:szCs w:val="24"/>
          <w:highlight w:val="none"/>
        </w:rPr>
        <w:t>重大税收违法失信主体</w:t>
      </w:r>
      <w:r>
        <w:rPr>
          <w:rFonts w:hint="eastAsia" w:ascii="宋体" w:hAnsi="宋体"/>
          <w:bCs/>
          <w:color w:val="auto"/>
          <w:sz w:val="24"/>
          <w:szCs w:val="24"/>
          <w:highlight w:val="none"/>
        </w:rPr>
        <w:t>、政府采购严重失信行为记录名单及其他不符合《中华人民共和国政府采购法》第二十二条规定条件的信用记录。</w:t>
      </w:r>
    </w:p>
    <w:p w14:paraId="75209CF3">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5AF9CCC5">
      <w:pPr>
        <w:spacing w:line="480" w:lineRule="auto"/>
        <w:rPr>
          <w:rFonts w:ascii="宋体"/>
          <w:bCs/>
          <w:color w:val="auto"/>
          <w:sz w:val="24"/>
          <w:szCs w:val="24"/>
          <w:highlight w:val="none"/>
        </w:rPr>
      </w:pPr>
    </w:p>
    <w:p w14:paraId="6E5049B3">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00082D1B">
      <w:pPr>
        <w:spacing w:line="360" w:lineRule="auto"/>
        <w:jc w:val="left"/>
        <w:rPr>
          <w:rFonts w:hAnsi="宋体" w:cs="宋体"/>
          <w:color w:val="auto"/>
          <w:sz w:val="24"/>
          <w:highlight w:val="none"/>
        </w:rPr>
      </w:pPr>
      <w:r>
        <w:rPr>
          <w:rFonts w:hint="eastAsia" w:ascii="宋体" w:hAnsi="宋体" w:cs="宋体"/>
          <w:color w:val="auto"/>
          <w:sz w:val="24"/>
          <w:highlight w:val="none"/>
        </w:rPr>
        <w:t>日期：</w:t>
      </w:r>
      <w:r>
        <w:rPr>
          <w:rFonts w:hint="eastAsia" w:ascii="宋体" w:hAnsi="宋体" w:eastAsia="宋体" w:cs="宋体"/>
          <w:color w:val="auto"/>
          <w:sz w:val="24"/>
          <w:highlight w:val="none"/>
        </w:rPr>
        <w:t xml:space="preserve"> </w:t>
      </w:r>
    </w:p>
    <w:p w14:paraId="1D565198">
      <w:pPr>
        <w:spacing w:line="360" w:lineRule="auto"/>
        <w:rPr>
          <w:rFonts w:ascii="宋体" w:hAnsi="宋体" w:eastAsia="宋体" w:cs="宋体"/>
          <w:bCs/>
          <w:color w:val="auto"/>
          <w:highlight w:val="none"/>
        </w:rPr>
      </w:pPr>
    </w:p>
    <w:p w14:paraId="3BA3E308">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p>
    <w:p w14:paraId="511B1DE5">
      <w:pPr>
        <w:spacing w:line="360" w:lineRule="auto"/>
        <w:ind w:firstLine="560"/>
        <w:jc w:val="center"/>
        <w:rPr>
          <w:rFonts w:ascii="黑体" w:eastAsia="黑体"/>
          <w:bCs/>
          <w:color w:val="000000"/>
          <w:sz w:val="28"/>
          <w:szCs w:val="28"/>
          <w:highlight w:val="none"/>
        </w:rPr>
      </w:pPr>
      <w:r>
        <w:rPr>
          <w:rFonts w:ascii="黑体" w:eastAsia="黑体"/>
          <w:bCs/>
          <w:color w:val="000000"/>
          <w:sz w:val="28"/>
          <w:szCs w:val="28"/>
          <w:highlight w:val="none"/>
        </w:rPr>
        <w:t>中小企业声明函（</w:t>
      </w:r>
      <w:r>
        <w:rPr>
          <w:rFonts w:ascii="黑体" w:eastAsia="黑体"/>
          <w:bCs/>
          <w:sz w:val="28"/>
          <w:szCs w:val="28"/>
          <w:highlight w:val="none"/>
        </w:rPr>
        <w:t>货物</w:t>
      </w:r>
      <w:r>
        <w:rPr>
          <w:rFonts w:ascii="黑体" w:eastAsia="黑体"/>
          <w:bCs/>
          <w:color w:val="000000"/>
          <w:sz w:val="28"/>
          <w:szCs w:val="28"/>
          <w:highlight w:val="none"/>
        </w:rPr>
        <w:t>）</w:t>
      </w:r>
    </w:p>
    <w:p w14:paraId="5352CE0C">
      <w:pPr>
        <w:spacing w:line="360" w:lineRule="auto"/>
        <w:ind w:firstLine="480"/>
        <w:rPr>
          <w:rFonts w:ascii="宋体" w:hAnsi="宋体"/>
          <w:bCs/>
          <w:sz w:val="24"/>
          <w:szCs w:val="24"/>
          <w:highlight w:val="none"/>
        </w:rPr>
      </w:pPr>
      <w:r>
        <w:rPr>
          <w:rFonts w:ascii="宋体" w:hAnsi="宋体"/>
          <w:bCs/>
          <w:sz w:val="24"/>
          <w:szCs w:val="24"/>
          <w:highlight w:val="none"/>
        </w:rPr>
        <w:t>本公司（联合体）郑重声明，根据《政府采购促进中小企业发展管理办法》（财库﹝2020﹞46 号）的规定，本公司</w:t>
      </w:r>
      <w:r>
        <w:rPr>
          <w:rFonts w:ascii="宋体" w:hAnsi="宋体"/>
          <w:bCs/>
          <w:sz w:val="24"/>
          <w:szCs w:val="24"/>
          <w:highlight w:val="none"/>
          <w:u w:val="single"/>
        </w:rPr>
        <w:t xml:space="preserve"> （联合体）</w:t>
      </w:r>
      <w:r>
        <w:rPr>
          <w:rFonts w:ascii="宋体" w:hAnsi="宋体"/>
          <w:bCs/>
          <w:sz w:val="24"/>
          <w:szCs w:val="24"/>
          <w:highlight w:val="none"/>
        </w:rPr>
        <w:t>参加</w:t>
      </w:r>
      <w:r>
        <w:rPr>
          <w:rFonts w:ascii="宋体" w:hAnsi="宋体"/>
          <w:bCs/>
          <w:sz w:val="24"/>
          <w:szCs w:val="24"/>
          <w:highlight w:val="none"/>
          <w:u w:val="single"/>
        </w:rPr>
        <w:t>（单位名称）</w:t>
      </w:r>
      <w:r>
        <w:rPr>
          <w:rFonts w:ascii="宋体" w:hAnsi="宋体"/>
          <w:bCs/>
          <w:sz w:val="24"/>
          <w:szCs w:val="24"/>
          <w:highlight w:val="none"/>
        </w:rPr>
        <w:t>的</w:t>
      </w:r>
      <w:r>
        <w:rPr>
          <w:rFonts w:ascii="宋体" w:hAnsi="宋体"/>
          <w:bCs/>
          <w:sz w:val="24"/>
          <w:szCs w:val="24"/>
          <w:highlight w:val="none"/>
          <w:u w:val="single"/>
        </w:rPr>
        <w:t>（项目名称）</w:t>
      </w:r>
      <w:r>
        <w:rPr>
          <w:rFonts w:ascii="宋体" w:hAnsi="宋体"/>
          <w:bCs/>
          <w:sz w:val="24"/>
          <w:szCs w:val="24"/>
          <w:highlight w:val="none"/>
        </w:rPr>
        <w:t>采购活动，提供的货物全部由符合政策要求的中小企业制造。相关企业 （含联合体中的中小企业、签订分包意向协议的中小企业）的具体情况如下：</w:t>
      </w:r>
    </w:p>
    <w:p w14:paraId="33D365EF">
      <w:pPr>
        <w:spacing w:line="360" w:lineRule="auto"/>
        <w:ind w:firstLine="480"/>
        <w:rPr>
          <w:rFonts w:ascii="宋体" w:hAnsi="宋体"/>
          <w:bCs/>
          <w:sz w:val="24"/>
          <w:szCs w:val="24"/>
          <w:highlight w:val="none"/>
        </w:rPr>
      </w:pPr>
      <w:r>
        <w:rPr>
          <w:rFonts w:ascii="宋体" w:hAnsi="宋体"/>
          <w:bCs/>
          <w:sz w:val="24"/>
          <w:szCs w:val="24"/>
          <w:highlight w:val="none"/>
        </w:rPr>
        <w:t xml:space="preserve">1. </w:t>
      </w:r>
      <w:r>
        <w:rPr>
          <w:rFonts w:ascii="宋体" w:hAnsi="宋体"/>
          <w:bCs/>
          <w:sz w:val="24"/>
          <w:szCs w:val="24"/>
          <w:highlight w:val="none"/>
          <w:u w:val="single"/>
        </w:rPr>
        <w:t xml:space="preserve">（标的名称）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 型企业、微型企业）</w:t>
      </w:r>
      <w:r>
        <w:rPr>
          <w:rFonts w:ascii="宋体" w:hAnsi="宋体"/>
          <w:bCs/>
          <w:sz w:val="24"/>
          <w:szCs w:val="24"/>
          <w:highlight w:val="none"/>
        </w:rPr>
        <w:t>；</w:t>
      </w:r>
    </w:p>
    <w:p w14:paraId="040151BC">
      <w:pPr>
        <w:spacing w:line="360" w:lineRule="auto"/>
        <w:ind w:firstLine="480"/>
        <w:rPr>
          <w:rFonts w:ascii="宋体" w:hAnsi="宋体"/>
          <w:bCs/>
          <w:sz w:val="24"/>
          <w:szCs w:val="24"/>
          <w:highlight w:val="none"/>
        </w:rPr>
      </w:pPr>
      <w:r>
        <w:rPr>
          <w:rFonts w:ascii="宋体" w:hAnsi="宋体"/>
          <w:bCs/>
          <w:sz w:val="24"/>
          <w:szCs w:val="24"/>
          <w:highlight w:val="none"/>
        </w:rPr>
        <w:t>2.</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w:t>
      </w:r>
      <w:r>
        <w:rPr>
          <w:rFonts w:hint="eastAsia" w:ascii="宋体" w:hAnsi="宋体"/>
          <w:bCs/>
          <w:sz w:val="24"/>
          <w:szCs w:val="24"/>
          <w:highlight w:val="none"/>
          <w:u w:val="single"/>
        </w:rPr>
        <w:t>招标</w:t>
      </w:r>
      <w:r>
        <w:rPr>
          <w:rFonts w:ascii="宋体" w:hAnsi="宋体"/>
          <w:bCs/>
          <w:sz w:val="24"/>
          <w:szCs w:val="24"/>
          <w:highlight w:val="none"/>
          <w:u w:val="single"/>
        </w:rPr>
        <w:t>文件中明确的所属行业） 行业</w:t>
      </w:r>
      <w:r>
        <w:rPr>
          <w:rFonts w:ascii="宋体" w:hAnsi="宋体"/>
          <w:bCs/>
          <w:sz w:val="24"/>
          <w:szCs w:val="24"/>
          <w:highlight w:val="none"/>
        </w:rPr>
        <w:t>；制造商为</w:t>
      </w:r>
      <w:r>
        <w:rPr>
          <w:rFonts w:ascii="宋体" w:hAnsi="宋体"/>
          <w:bCs/>
          <w:sz w:val="24"/>
          <w:szCs w:val="24"/>
          <w:highlight w:val="none"/>
          <w:u w:val="single"/>
        </w:rPr>
        <w:t>（企业名称）</w:t>
      </w:r>
      <w:r>
        <w:rPr>
          <w:rFonts w:ascii="宋体" w:hAnsi="宋体"/>
          <w:bCs/>
          <w:sz w:val="24"/>
          <w:szCs w:val="24"/>
          <w:highlight w:val="none"/>
        </w:rPr>
        <w:t>，从业人员</w:t>
      </w:r>
      <w:r>
        <w:rPr>
          <w:rFonts w:hint="eastAsia" w:ascii="宋体" w:hAnsi="宋体"/>
          <w:bCs/>
          <w:sz w:val="24"/>
          <w:szCs w:val="24"/>
          <w:highlight w:val="none"/>
          <w:u w:val="single"/>
        </w:rPr>
        <w:t xml:space="preserve">     </w:t>
      </w:r>
      <w:r>
        <w:rPr>
          <w:rFonts w:ascii="宋体" w:hAnsi="宋体"/>
          <w:bCs/>
          <w:sz w:val="24"/>
          <w:szCs w:val="24"/>
          <w:highlight w:val="none"/>
        </w:rPr>
        <w:t>人，营业收入为</w:t>
      </w:r>
      <w:r>
        <w:rPr>
          <w:rFonts w:hint="eastAsia" w:ascii="宋体" w:hAnsi="宋体"/>
          <w:bCs/>
          <w:sz w:val="24"/>
          <w:szCs w:val="24"/>
          <w:highlight w:val="none"/>
          <w:u w:val="single"/>
        </w:rPr>
        <w:t xml:space="preserve">     </w:t>
      </w:r>
      <w:r>
        <w:rPr>
          <w:rFonts w:ascii="宋体" w:hAnsi="宋体"/>
          <w:bCs/>
          <w:sz w:val="24"/>
          <w:szCs w:val="24"/>
          <w:highlight w:val="none"/>
        </w:rPr>
        <w:t>万元，资产总额为</w:t>
      </w:r>
      <w:r>
        <w:rPr>
          <w:rFonts w:hint="eastAsia" w:ascii="宋体" w:hAnsi="宋体"/>
          <w:bCs/>
          <w:sz w:val="24"/>
          <w:szCs w:val="24"/>
          <w:highlight w:val="none"/>
          <w:u w:val="single"/>
        </w:rPr>
        <w:t xml:space="preserve">      </w:t>
      </w:r>
      <w:r>
        <w:rPr>
          <w:rFonts w:ascii="宋体" w:hAnsi="宋体"/>
          <w:bCs/>
          <w:sz w:val="24"/>
          <w:szCs w:val="24"/>
          <w:highlight w:val="none"/>
        </w:rPr>
        <w:t>万元，属于</w:t>
      </w:r>
      <w:r>
        <w:rPr>
          <w:rFonts w:ascii="宋体" w:hAnsi="宋体"/>
          <w:bCs/>
          <w:sz w:val="24"/>
          <w:szCs w:val="24"/>
          <w:highlight w:val="none"/>
          <w:u w:val="single"/>
        </w:rPr>
        <w:t>（中型企业、小 型企业、微型企业）</w:t>
      </w:r>
      <w:r>
        <w:rPr>
          <w:rFonts w:ascii="宋体" w:hAnsi="宋体"/>
          <w:bCs/>
          <w:sz w:val="24"/>
          <w:szCs w:val="24"/>
          <w:highlight w:val="none"/>
        </w:rPr>
        <w:t>；</w:t>
      </w:r>
    </w:p>
    <w:p w14:paraId="59B7CFF1">
      <w:pPr>
        <w:spacing w:line="360" w:lineRule="auto"/>
        <w:ind w:firstLine="480"/>
        <w:rPr>
          <w:rFonts w:ascii="宋体" w:hAnsi="宋体"/>
          <w:bCs/>
          <w:sz w:val="24"/>
          <w:szCs w:val="24"/>
          <w:highlight w:val="none"/>
        </w:rPr>
      </w:pPr>
      <w:r>
        <w:rPr>
          <w:rFonts w:ascii="宋体" w:hAnsi="宋体"/>
          <w:bCs/>
          <w:sz w:val="24"/>
          <w:szCs w:val="24"/>
          <w:highlight w:val="none"/>
        </w:rPr>
        <w:t>……</w:t>
      </w:r>
    </w:p>
    <w:p w14:paraId="2DF61092">
      <w:pPr>
        <w:spacing w:line="360" w:lineRule="auto"/>
        <w:ind w:firstLine="480"/>
        <w:rPr>
          <w:rFonts w:ascii="宋体" w:hAnsi="宋体"/>
          <w:bCs/>
          <w:color w:val="000000"/>
          <w:sz w:val="24"/>
          <w:szCs w:val="24"/>
          <w:highlight w:val="none"/>
        </w:rPr>
      </w:pPr>
      <w:r>
        <w:rPr>
          <w:rFonts w:ascii="宋体" w:hAnsi="宋体"/>
          <w:bCs/>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04107BC5">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企业名称（盖章）：</w:t>
      </w:r>
    </w:p>
    <w:p w14:paraId="7F899583">
      <w:pPr>
        <w:spacing w:line="360" w:lineRule="auto"/>
        <w:ind w:firstLine="4800"/>
        <w:rPr>
          <w:rFonts w:ascii="宋体" w:hAnsi="宋体"/>
          <w:bCs/>
          <w:color w:val="000000"/>
          <w:sz w:val="24"/>
          <w:szCs w:val="24"/>
          <w:highlight w:val="none"/>
        </w:rPr>
      </w:pPr>
      <w:r>
        <w:rPr>
          <w:rFonts w:hint="eastAsia" w:ascii="宋体" w:hAnsi="宋体"/>
          <w:bCs/>
          <w:color w:val="000000"/>
          <w:sz w:val="24"/>
          <w:szCs w:val="24"/>
          <w:highlight w:val="none"/>
        </w:rPr>
        <w:t>日　　　　　　期：</w:t>
      </w:r>
    </w:p>
    <w:p w14:paraId="1CA1DCFE">
      <w:pPr>
        <w:spacing w:line="360" w:lineRule="auto"/>
        <w:ind w:firstLine="420"/>
        <w:rPr>
          <w:rFonts w:hint="eastAsia"/>
          <w:color w:val="000000"/>
          <w:highlight w:val="none"/>
        </w:rPr>
      </w:pPr>
    </w:p>
    <w:p w14:paraId="76B22C2C">
      <w:pPr>
        <w:spacing w:line="360" w:lineRule="auto"/>
        <w:ind w:firstLine="420"/>
        <w:rPr>
          <w:rFonts w:hint="eastAsia"/>
          <w:color w:val="000000"/>
          <w:highlight w:val="none"/>
        </w:rPr>
      </w:pPr>
      <w:r>
        <w:rPr>
          <w:rFonts w:hint="eastAsia"/>
          <w:color w:val="000000"/>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000000"/>
          <w:highlight w:val="none"/>
          <w:lang w:eastAsia="zh-CN"/>
        </w:rPr>
        <w:t>只需</w:t>
      </w:r>
      <w:r>
        <w:rPr>
          <w:rFonts w:hint="eastAsia"/>
          <w:color w:val="000000"/>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0A8C770">
      <w:pPr>
        <w:spacing w:line="360" w:lineRule="auto"/>
        <w:ind w:firstLine="420"/>
        <w:rPr>
          <w:color w:val="000000"/>
          <w:highlight w:val="none"/>
        </w:rPr>
      </w:pPr>
      <w:r>
        <w:rPr>
          <w:rFonts w:hint="eastAsia"/>
          <w:color w:val="000000"/>
          <w:highlight w:val="none"/>
        </w:rPr>
        <w:t>（2）</w:t>
      </w:r>
      <w:r>
        <w:rPr>
          <w:color w:val="000000"/>
          <w:highlight w:val="none"/>
        </w:rPr>
        <w:t>从业人员、营业收入、资产总额填报上一年度数据，无上一年度数据的新成立企业可不填报。</w:t>
      </w:r>
    </w:p>
    <w:p w14:paraId="1672E10E">
      <w:pPr>
        <w:spacing w:line="360" w:lineRule="auto"/>
        <w:ind w:firstLine="420"/>
        <w:rPr>
          <w:color w:val="auto"/>
          <w:highlight w:val="none"/>
        </w:rPr>
      </w:pPr>
      <w:r>
        <w:rPr>
          <w:rFonts w:hint="eastAsia"/>
          <w:color w:val="000000"/>
          <w:highlight w:val="none"/>
        </w:rPr>
        <w:t>（3）中标供应商的《</w:t>
      </w:r>
      <w:r>
        <w:rPr>
          <w:color w:val="000000"/>
          <w:highlight w:val="none"/>
        </w:rPr>
        <w:t>中小企业声明函</w:t>
      </w:r>
      <w:r>
        <w:rPr>
          <w:rFonts w:hint="eastAsia"/>
          <w:color w:val="000000"/>
          <w:highlight w:val="none"/>
        </w:rPr>
        <w:t>》将随中标公告进行公示。供应商按照本办法规定提供声明函内容不实的，属于提供虚假材料谋取中标、成交，依照《中华人民共和国政府采购法》等国家有关规定追究相应责任。</w:t>
      </w:r>
    </w:p>
    <w:p w14:paraId="6D5C31E3">
      <w:pPr>
        <w:spacing w:line="360" w:lineRule="auto"/>
        <w:rPr>
          <w:b/>
          <w:bCs/>
          <w:color w:val="auto"/>
          <w:sz w:val="28"/>
          <w:szCs w:val="28"/>
          <w:highlight w:val="none"/>
        </w:rPr>
      </w:pPr>
    </w:p>
    <w:p w14:paraId="5292E82A">
      <w:pPr>
        <w:spacing w:line="360" w:lineRule="auto"/>
        <w:rPr>
          <w:b/>
          <w:bCs/>
          <w:color w:val="auto"/>
          <w:sz w:val="28"/>
          <w:szCs w:val="28"/>
          <w:highlight w:val="none"/>
        </w:rPr>
      </w:pPr>
    </w:p>
    <w:p w14:paraId="071EA2C9">
      <w:pPr>
        <w:spacing w:line="360" w:lineRule="auto"/>
        <w:rPr>
          <w:rFonts w:ascii="宋体" w:hAnsi="宋体" w:cs="宋体"/>
          <w:b/>
          <w:color w:val="auto"/>
          <w:sz w:val="28"/>
          <w:szCs w:val="28"/>
          <w:highlight w:val="none"/>
        </w:rPr>
      </w:pPr>
      <w:r>
        <w:rPr>
          <w:rFonts w:hint="eastAsia"/>
          <w:b/>
          <w:color w:val="auto"/>
          <w:sz w:val="28"/>
          <w:szCs w:val="28"/>
          <w:highlight w:val="none"/>
        </w:rPr>
        <w:t>五</w:t>
      </w:r>
      <w:r>
        <w:rPr>
          <w:rFonts w:hint="eastAsia" w:ascii="宋体" w:hAnsi="宋体" w:cs="宋体"/>
          <w:b/>
          <w:color w:val="auto"/>
          <w:sz w:val="28"/>
          <w:szCs w:val="28"/>
          <w:highlight w:val="none"/>
        </w:rPr>
        <w:t>、残疾人福利性单位声明函（给定格式）：</w:t>
      </w:r>
    </w:p>
    <w:p w14:paraId="510286BD">
      <w:pPr>
        <w:spacing w:line="360" w:lineRule="auto"/>
        <w:ind w:firstLine="482"/>
        <w:rPr>
          <w:rFonts w:ascii="Arial" w:hAnsi="Arial"/>
          <w:b/>
          <w:color w:val="auto"/>
          <w:sz w:val="24"/>
          <w:highlight w:val="none"/>
        </w:rPr>
      </w:pPr>
    </w:p>
    <w:p w14:paraId="10E42B0A">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6ACCCF73">
      <w:pPr>
        <w:spacing w:line="360" w:lineRule="auto"/>
        <w:jc w:val="center"/>
        <w:rPr>
          <w:rFonts w:ascii="黑体" w:eastAsia="黑体"/>
          <w:bCs/>
          <w:color w:val="auto"/>
          <w:sz w:val="28"/>
          <w:szCs w:val="28"/>
          <w:highlight w:val="none"/>
        </w:rPr>
      </w:pPr>
    </w:p>
    <w:p w14:paraId="5B6974C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83D1C2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5DA643A1">
      <w:pPr>
        <w:spacing w:line="360" w:lineRule="auto"/>
        <w:ind w:firstLine="480"/>
        <w:rPr>
          <w:rFonts w:ascii="宋体" w:hAnsi="宋体"/>
          <w:bCs/>
          <w:color w:val="auto"/>
          <w:sz w:val="24"/>
          <w:szCs w:val="24"/>
          <w:highlight w:val="none"/>
        </w:rPr>
      </w:pPr>
    </w:p>
    <w:p w14:paraId="2DB6AA84">
      <w:pPr>
        <w:spacing w:line="360" w:lineRule="auto"/>
        <w:ind w:firstLine="480"/>
        <w:rPr>
          <w:rFonts w:ascii="宋体" w:hAnsi="宋体"/>
          <w:bCs/>
          <w:color w:val="auto"/>
          <w:sz w:val="24"/>
          <w:szCs w:val="24"/>
          <w:highlight w:val="none"/>
        </w:rPr>
      </w:pPr>
    </w:p>
    <w:p w14:paraId="69CEB45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6F98E9A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08B9E577">
      <w:pPr>
        <w:spacing w:line="360" w:lineRule="auto"/>
        <w:rPr>
          <w:rFonts w:ascii="宋体" w:hAnsi="宋体"/>
          <w:bCs/>
          <w:color w:val="auto"/>
          <w:sz w:val="24"/>
          <w:szCs w:val="24"/>
          <w:highlight w:val="none"/>
        </w:rPr>
      </w:pPr>
      <w:r>
        <w:rPr>
          <w:rFonts w:ascii="宋体" w:hAnsi="宋体"/>
          <w:bCs/>
          <w:color w:val="auto"/>
          <w:sz w:val="24"/>
          <w:szCs w:val="24"/>
          <w:highlight w:val="none"/>
        </w:rPr>
        <w:br w:type="page" w:clear="all"/>
      </w:r>
    </w:p>
    <w:p w14:paraId="47B60A0D">
      <w:pPr>
        <w:spacing w:line="360" w:lineRule="auto"/>
        <w:rPr>
          <w:rFonts w:asciiTheme="minorEastAsia" w:hAnsiTheme="minorEastAsia" w:cstheme="minorEastAsia"/>
          <w:b/>
          <w:color w:val="auto"/>
          <w:sz w:val="28"/>
          <w:szCs w:val="28"/>
          <w:highlight w:val="none"/>
        </w:rPr>
      </w:pPr>
      <w:r>
        <w:rPr>
          <w:rFonts w:hint="eastAsia" w:asciiTheme="minorEastAsia" w:hAnsiTheme="minorEastAsia" w:cstheme="minorEastAsia"/>
          <w:b/>
          <w:color w:val="auto"/>
          <w:sz w:val="28"/>
          <w:szCs w:val="28"/>
          <w:highlight w:val="none"/>
        </w:rPr>
        <w:t>六、监狱企业声明函（给定格式）：</w:t>
      </w:r>
    </w:p>
    <w:p w14:paraId="3C63177A">
      <w:pPr>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本公司郑重声明，根据《关于政府采购支持监狱企业发展有关问题的通知》（财库〔2014〕68号）的规定，本公司为 ______（请填写：监狱、非监狱）企业。即，本公司同时满足以下条件：</w:t>
      </w:r>
    </w:p>
    <w:p w14:paraId="29062094">
      <w:pPr>
        <w:spacing w:line="360" w:lineRule="auto"/>
        <w:ind w:firstLine="194"/>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1.根据《关于政府采购支持监狱企业发展有关问题的通知》（财库〔2014〕68号），本公司为______（请填写：监狱、非监狱）企业。</w:t>
      </w:r>
    </w:p>
    <w:p w14:paraId="47B87D4C">
      <w:pPr>
        <w:spacing w:line="360" w:lineRule="auto"/>
        <w:ind w:firstLine="194"/>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2.本公司参加__________________单位的________________________项目采购活动提供本企业制造的货物，由本企业承担工程、提供服务，或者提供其他______（请填写：监狱、非监狱）企业制造的货物。</w:t>
      </w:r>
    </w:p>
    <w:p w14:paraId="371AECD4">
      <w:pPr>
        <w:spacing w:line="360" w:lineRule="auto"/>
        <w:ind w:firstLine="480"/>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本公司对上述声明的真实性负责。如有虚假，将依法承担相应责任。</w:t>
      </w:r>
    </w:p>
    <w:p w14:paraId="27D4F676">
      <w:pPr>
        <w:spacing w:line="360" w:lineRule="auto"/>
        <w:ind w:firstLine="194"/>
        <w:rPr>
          <w:rFonts w:asciiTheme="minorEastAsia" w:hAnsiTheme="minorEastAsia" w:cstheme="minorEastAsia"/>
          <w:bCs/>
          <w:color w:val="auto"/>
          <w:sz w:val="24"/>
          <w:szCs w:val="24"/>
          <w:highlight w:val="none"/>
        </w:rPr>
      </w:pPr>
    </w:p>
    <w:p w14:paraId="62749172">
      <w:pPr>
        <w:spacing w:line="360" w:lineRule="auto"/>
        <w:ind w:firstLine="171"/>
        <w:outlineLvl w:val="0"/>
        <w:rPr>
          <w:rFonts w:asciiTheme="minorEastAsia" w:hAnsiTheme="minorEastAsia" w:cstheme="minorEastAsia"/>
          <w:bCs/>
          <w:color w:val="auto"/>
          <w:sz w:val="24"/>
          <w:szCs w:val="24"/>
          <w:highlight w:val="none"/>
        </w:rPr>
      </w:pPr>
      <w:r>
        <w:rPr>
          <w:rFonts w:hint="eastAsia" w:asciiTheme="minorEastAsia" w:hAnsiTheme="minorEastAsia" w:cstheme="minorEastAsia"/>
          <w:b/>
          <w:color w:val="auto"/>
          <w:sz w:val="24"/>
          <w:szCs w:val="24"/>
          <w:highlight w:val="none"/>
        </w:rPr>
        <w:t>注：</w:t>
      </w:r>
      <w:r>
        <w:rPr>
          <w:rFonts w:hint="eastAsia" w:asciiTheme="minorEastAsia" w:hAnsiTheme="minorEastAsia" w:cstheme="minorEastAsia"/>
          <w:color w:val="auto"/>
          <w:sz w:val="24"/>
          <w:szCs w:val="24"/>
          <w:highlight w:val="none"/>
          <w:lang w:val="zh-CN"/>
        </w:rPr>
        <w:t>投标供应商如为“监狱</w:t>
      </w:r>
      <w:r>
        <w:rPr>
          <w:rFonts w:hint="eastAsia" w:asciiTheme="minorEastAsia" w:hAnsiTheme="minorEastAsia" w:cstheme="minorEastAsia"/>
          <w:bCs/>
          <w:color w:val="auto"/>
          <w:sz w:val="24"/>
          <w:szCs w:val="24"/>
          <w:highlight w:val="none"/>
        </w:rPr>
        <w:t>企业</w:t>
      </w:r>
      <w:r>
        <w:rPr>
          <w:rFonts w:hint="eastAsia" w:asciiTheme="minorEastAsia" w:hAnsiTheme="minorEastAsia" w:cstheme="minorEastAsia"/>
          <w:color w:val="auto"/>
          <w:sz w:val="24"/>
          <w:szCs w:val="24"/>
          <w:highlight w:val="none"/>
          <w:lang w:val="zh-CN"/>
        </w:rPr>
        <w:t>”，必须提供由省级以上监狱管理局、戒毒管理局（含新疆生产建设兵团）出具的属于监狱企业的证明文件</w:t>
      </w:r>
      <w:r>
        <w:rPr>
          <w:rFonts w:hint="eastAsia" w:asciiTheme="minorEastAsia" w:hAnsiTheme="minorEastAsia" w:cstheme="minorEastAsia"/>
          <w:bCs/>
          <w:color w:val="auto"/>
          <w:sz w:val="24"/>
          <w:szCs w:val="24"/>
          <w:highlight w:val="none"/>
        </w:rPr>
        <w:t>复印件；如未按要求填写和提供有效证明或</w:t>
      </w:r>
      <w:r>
        <w:rPr>
          <w:rFonts w:hint="eastAsia" w:asciiTheme="minorEastAsia" w:hAnsiTheme="minorEastAsia" w:cstheme="minorEastAsia"/>
          <w:color w:val="auto"/>
          <w:sz w:val="24"/>
          <w:szCs w:val="24"/>
          <w:highlight w:val="none"/>
          <w:lang w:val="zh-CN"/>
        </w:rPr>
        <w:t>相关内容表述不清的，</w:t>
      </w:r>
      <w:r>
        <w:rPr>
          <w:rFonts w:hint="eastAsia" w:asciiTheme="minorEastAsia" w:hAnsiTheme="minorEastAsia" w:cstheme="minorEastAsia"/>
          <w:bCs/>
          <w:color w:val="auto"/>
          <w:sz w:val="24"/>
          <w:szCs w:val="24"/>
          <w:highlight w:val="none"/>
        </w:rPr>
        <w:t>不得享受价格扣除。</w:t>
      </w:r>
      <w:r>
        <w:rPr>
          <w:rFonts w:hint="eastAsia" w:asciiTheme="minorEastAsia" w:hAnsiTheme="minorEastAsia" w:cstheme="minorEastAsia"/>
          <w:color w:val="auto"/>
          <w:sz w:val="24"/>
          <w:szCs w:val="24"/>
          <w:highlight w:val="none"/>
          <w:lang w:val="zh-CN"/>
        </w:rPr>
        <w:t>投标供应商对所报相关数据的真实性负责，</w:t>
      </w:r>
      <w:r>
        <w:rPr>
          <w:rFonts w:hint="eastAsia" w:asciiTheme="minorEastAsia" w:hAnsiTheme="minorEastAsia" w:cstheme="minorEastAsia"/>
          <w:bCs/>
          <w:color w:val="auto"/>
          <w:sz w:val="24"/>
          <w:szCs w:val="24"/>
          <w:highlight w:val="none"/>
        </w:rPr>
        <w:t>江苏嘉朗工程建设项目管理有限公司</w:t>
      </w:r>
      <w:r>
        <w:rPr>
          <w:rFonts w:hint="eastAsia" w:asciiTheme="minorEastAsia" w:hAnsiTheme="minorEastAsia" w:cstheme="minorEastAsia"/>
          <w:color w:val="auto"/>
          <w:sz w:val="24"/>
          <w:szCs w:val="24"/>
          <w:highlight w:val="none"/>
          <w:lang w:val="zh-CN"/>
        </w:rPr>
        <w:t>有权将相关内容进行公示；</w:t>
      </w:r>
    </w:p>
    <w:p w14:paraId="31D18F55">
      <w:pPr>
        <w:spacing w:line="360" w:lineRule="auto"/>
        <w:ind w:firstLine="194"/>
        <w:rPr>
          <w:rFonts w:asciiTheme="minorEastAsia" w:hAnsiTheme="minorEastAsia" w:cstheme="minorEastAsia"/>
          <w:bCs/>
          <w:color w:val="auto"/>
          <w:sz w:val="24"/>
          <w:szCs w:val="24"/>
          <w:highlight w:val="none"/>
        </w:rPr>
      </w:pPr>
    </w:p>
    <w:p w14:paraId="6B7E2F9D">
      <w:pPr>
        <w:spacing w:line="360" w:lineRule="auto"/>
        <w:ind w:firstLine="194"/>
        <w:rPr>
          <w:rFonts w:asciiTheme="minorEastAsia" w:hAnsiTheme="minorEastAsia" w:cstheme="minorEastAsia"/>
          <w:bCs/>
          <w:color w:val="auto"/>
          <w:sz w:val="24"/>
          <w:szCs w:val="24"/>
          <w:highlight w:val="none"/>
        </w:rPr>
      </w:pPr>
    </w:p>
    <w:p w14:paraId="2481CB9B">
      <w:pPr>
        <w:spacing w:line="360" w:lineRule="auto"/>
        <w:ind w:firstLine="194"/>
        <w:jc w:val="center"/>
        <w:rPr>
          <w:rFonts w:asciiTheme="minorEastAsia" w:hAnsiTheme="minorEastAsia" w:cstheme="minorEastAsia"/>
          <w:bCs/>
          <w:color w:val="auto"/>
          <w:sz w:val="24"/>
          <w:szCs w:val="24"/>
          <w:highlight w:val="none"/>
        </w:rPr>
      </w:pPr>
      <w:r>
        <w:rPr>
          <w:rFonts w:hint="eastAsia" w:asciiTheme="minorEastAsia" w:hAnsiTheme="minorEastAsia" w:cstheme="minorEastAsia"/>
          <w:bCs/>
          <w:color w:val="auto"/>
          <w:sz w:val="24"/>
          <w:szCs w:val="24"/>
          <w:highlight w:val="none"/>
        </w:rPr>
        <w:t>企业名称（盖章）：</w:t>
      </w:r>
    </w:p>
    <w:p w14:paraId="0C98F538">
      <w:pPr>
        <w:spacing w:line="360" w:lineRule="auto"/>
        <w:ind w:firstLine="194"/>
        <w:jc w:val="right"/>
        <w:rPr>
          <w:rFonts w:asciiTheme="minorEastAsia" w:hAnsiTheme="minorEastAsia" w:cstheme="minorEastAsia"/>
          <w:bCs/>
          <w:color w:val="auto"/>
          <w:sz w:val="24"/>
          <w:highlight w:val="none"/>
        </w:rPr>
      </w:pPr>
      <w:r>
        <w:rPr>
          <w:rFonts w:hint="eastAsia" w:asciiTheme="minorEastAsia" w:hAnsiTheme="minorEastAsia" w:cstheme="minorEastAsia"/>
          <w:bCs/>
          <w:color w:val="auto"/>
          <w:sz w:val="24"/>
          <w:highlight w:val="none"/>
        </w:rPr>
        <w:t xml:space="preserve"> </w:t>
      </w:r>
    </w:p>
    <w:p w14:paraId="15CD4FE7">
      <w:pPr>
        <w:spacing w:line="360" w:lineRule="auto"/>
        <w:jc w:val="center"/>
        <w:rPr>
          <w:rFonts w:ascii="宋体" w:hAnsi="宋体"/>
          <w:bCs/>
          <w:color w:val="auto"/>
          <w:sz w:val="24"/>
          <w:szCs w:val="24"/>
          <w:highlight w:val="none"/>
        </w:rPr>
      </w:pPr>
      <w:r>
        <w:rPr>
          <w:rFonts w:hint="eastAsia" w:asciiTheme="minorEastAsia" w:hAnsiTheme="minorEastAsia" w:cstheme="minorEastAsia"/>
          <w:bCs/>
          <w:color w:val="auto"/>
          <w:sz w:val="24"/>
          <w:highlight w:val="none"/>
        </w:rPr>
        <w:t xml:space="preserve">  日　　　　　 期</w:t>
      </w:r>
      <w:r>
        <w:rPr>
          <w:rFonts w:hint="eastAsia" w:ascii="宋体" w:hAnsi="宋体" w:cs="宋体"/>
          <w:bCs/>
          <w:color w:val="auto"/>
          <w:sz w:val="24"/>
          <w:highlight w:val="none"/>
        </w:rPr>
        <w:t>：</w:t>
      </w:r>
      <w:r>
        <w:rPr>
          <w:rFonts w:hint="eastAsia" w:ascii="宋体" w:hAnsi="宋体" w:eastAsia="宋体" w:cs="宋体"/>
          <w:bCs/>
          <w:color w:val="auto"/>
          <w:sz w:val="24"/>
          <w:highlight w:val="none"/>
        </w:rPr>
        <w:t xml:space="preserve">  </w:t>
      </w:r>
    </w:p>
    <w:p w14:paraId="5982CB58">
      <w:pPr>
        <w:spacing w:line="360" w:lineRule="auto"/>
        <w:rPr>
          <w:rFonts w:ascii="宋体" w:hAnsi="宋体"/>
          <w:bCs/>
          <w:color w:val="auto"/>
          <w:sz w:val="24"/>
          <w:szCs w:val="24"/>
          <w:highlight w:val="none"/>
        </w:rPr>
      </w:pPr>
    </w:p>
    <w:p w14:paraId="72D50ABE">
      <w:pPr>
        <w:spacing w:line="360" w:lineRule="auto"/>
        <w:rPr>
          <w:rFonts w:ascii="宋体" w:hAnsi="宋体"/>
          <w:bCs/>
          <w:color w:val="auto"/>
          <w:sz w:val="24"/>
          <w:szCs w:val="24"/>
          <w:highlight w:val="none"/>
        </w:rPr>
      </w:pPr>
    </w:p>
    <w:p w14:paraId="04ACF198">
      <w:pPr>
        <w:spacing w:line="360" w:lineRule="auto"/>
        <w:rPr>
          <w:rFonts w:ascii="宋体" w:hAnsi="宋体"/>
          <w:bCs/>
          <w:color w:val="auto"/>
          <w:sz w:val="24"/>
          <w:szCs w:val="24"/>
          <w:highlight w:val="none"/>
        </w:rPr>
      </w:pPr>
    </w:p>
    <w:p w14:paraId="519946C0">
      <w:pPr>
        <w:spacing w:line="360" w:lineRule="auto"/>
        <w:rPr>
          <w:rFonts w:ascii="宋体" w:hAnsi="宋体"/>
          <w:bCs/>
          <w:color w:val="auto"/>
          <w:sz w:val="24"/>
          <w:szCs w:val="24"/>
          <w:highlight w:val="none"/>
        </w:rPr>
      </w:pPr>
    </w:p>
    <w:p w14:paraId="009A45F4">
      <w:pPr>
        <w:spacing w:line="360" w:lineRule="auto"/>
        <w:rPr>
          <w:b/>
          <w:color w:val="auto"/>
          <w:sz w:val="28"/>
          <w:szCs w:val="28"/>
          <w:highlight w:val="none"/>
        </w:rPr>
      </w:pPr>
    </w:p>
    <w:p w14:paraId="2A9DC7F5">
      <w:pPr>
        <w:spacing w:line="360" w:lineRule="auto"/>
        <w:rPr>
          <w:b/>
          <w:color w:val="auto"/>
          <w:sz w:val="28"/>
          <w:szCs w:val="28"/>
          <w:highlight w:val="none"/>
        </w:rPr>
      </w:pPr>
    </w:p>
    <w:p w14:paraId="7C5A84D0">
      <w:pPr>
        <w:spacing w:line="360" w:lineRule="auto"/>
        <w:rPr>
          <w:b/>
          <w:color w:val="auto"/>
          <w:sz w:val="28"/>
          <w:szCs w:val="28"/>
          <w:highlight w:val="none"/>
        </w:rPr>
      </w:pPr>
    </w:p>
    <w:p w14:paraId="388A3FE2">
      <w:pPr>
        <w:spacing w:line="360" w:lineRule="auto"/>
        <w:rPr>
          <w:b/>
          <w:color w:val="auto"/>
          <w:sz w:val="28"/>
          <w:szCs w:val="28"/>
          <w:highlight w:val="none"/>
        </w:rPr>
      </w:pPr>
    </w:p>
    <w:p w14:paraId="2C611ACF">
      <w:pPr>
        <w:spacing w:line="360" w:lineRule="auto"/>
        <w:rPr>
          <w:b/>
          <w:color w:val="auto"/>
          <w:sz w:val="28"/>
          <w:szCs w:val="28"/>
          <w:highlight w:val="none"/>
        </w:rPr>
      </w:pPr>
    </w:p>
    <w:p w14:paraId="0E090E04">
      <w:pPr>
        <w:spacing w:line="440" w:lineRule="exact"/>
        <w:rPr>
          <w:b/>
          <w:color w:val="auto"/>
          <w:sz w:val="28"/>
          <w:szCs w:val="28"/>
          <w:highlight w:val="none"/>
        </w:rPr>
      </w:pPr>
      <w:r>
        <w:rPr>
          <w:rFonts w:hint="eastAsia"/>
          <w:b/>
          <w:color w:val="auto"/>
          <w:sz w:val="28"/>
          <w:szCs w:val="28"/>
          <w:highlight w:val="none"/>
          <w:lang w:eastAsia="zh-CN"/>
        </w:rPr>
        <w:t>七</w:t>
      </w:r>
      <w:r>
        <w:rPr>
          <w:b/>
          <w:color w:val="auto"/>
          <w:sz w:val="28"/>
          <w:szCs w:val="28"/>
          <w:highlight w:val="none"/>
        </w:rPr>
        <w:t>、投标函</w:t>
      </w:r>
      <w:r>
        <w:rPr>
          <w:rFonts w:hint="eastAsia"/>
          <w:b/>
          <w:color w:val="auto"/>
          <w:sz w:val="28"/>
          <w:szCs w:val="28"/>
          <w:highlight w:val="none"/>
        </w:rPr>
        <w:t>（给定格式）：</w:t>
      </w:r>
    </w:p>
    <w:p w14:paraId="1767171B">
      <w:pPr>
        <w:spacing w:line="44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7D2029C6">
      <w:pPr>
        <w:spacing w:line="44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eastAsia="宋体"/>
          <w:bCs/>
          <w:color w:val="auto"/>
          <w:sz w:val="24"/>
          <w:szCs w:val="24"/>
          <w:highlight w:val="none"/>
          <w:lang w:eastAsia="zh-CN"/>
        </w:rPr>
        <w:t>江苏筑祁园工程管理咨询有限公司</w:t>
      </w:r>
      <w:r>
        <w:rPr>
          <w:rFonts w:hint="eastAsia" w:ascii="宋体" w:hAnsi="宋体"/>
          <w:bCs/>
          <w:color w:val="auto"/>
          <w:sz w:val="24"/>
          <w:szCs w:val="24"/>
          <w:highlight w:val="none"/>
        </w:rPr>
        <w:t>：</w:t>
      </w:r>
    </w:p>
    <w:p w14:paraId="2699BA87">
      <w:pPr>
        <w:spacing w:line="44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招标文件，经仔细阅读和研究，我方决定参加此项目的投标。</w:t>
      </w:r>
    </w:p>
    <w:p w14:paraId="00863A57">
      <w:pPr>
        <w:numPr>
          <w:ilvl w:val="0"/>
          <w:numId w:val="12"/>
        </w:numPr>
        <w:tabs>
          <w:tab w:val="left" w:pos="315"/>
          <w:tab w:val="left" w:pos="840"/>
          <w:tab w:val="left" w:pos="945"/>
          <w:tab w:val="left" w:pos="1050"/>
          <w:tab w:val="left" w:pos="1260"/>
          <w:tab w:val="clear" w:pos="552"/>
        </w:tabs>
        <w:spacing w:line="44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6AA9257">
      <w:pPr>
        <w:numPr>
          <w:ilvl w:val="0"/>
          <w:numId w:val="12"/>
        </w:numPr>
        <w:tabs>
          <w:tab w:val="left" w:pos="0"/>
          <w:tab w:val="left" w:pos="315"/>
          <w:tab w:val="left" w:pos="525"/>
          <w:tab w:val="left" w:pos="840"/>
          <w:tab w:val="left" w:pos="945"/>
          <w:tab w:val="left" w:pos="1050"/>
          <w:tab w:val="clear" w:pos="552"/>
        </w:tabs>
        <w:spacing w:line="440" w:lineRule="exact"/>
        <w:ind w:left="0" w:firstLine="523"/>
        <w:rPr>
          <w:rStyle w:val="408"/>
          <w:bCs/>
          <w:color w:val="auto"/>
          <w:highlight w:val="none"/>
        </w:rPr>
      </w:pPr>
      <w:r>
        <w:rPr>
          <w:rFonts w:hint="eastAsia" w:ascii="宋体" w:hAnsi="宋体"/>
          <w:bCs/>
          <w:color w:val="auto"/>
          <w:sz w:val="24"/>
          <w:szCs w:val="24"/>
          <w:highlight w:val="none"/>
        </w:rPr>
        <w:t>我方愿意提供</w:t>
      </w:r>
      <w:r>
        <w:rPr>
          <w:rFonts w:hint="eastAsia" w:ascii="宋体" w:hAnsi="宋体" w:eastAsia="宋体"/>
          <w:bCs/>
          <w:color w:val="auto"/>
          <w:sz w:val="24"/>
          <w:szCs w:val="24"/>
          <w:highlight w:val="none"/>
          <w:lang w:eastAsia="zh-CN"/>
        </w:rPr>
        <w:t>江苏筑祁园工程管理咨询有限公司</w:t>
      </w:r>
      <w:r>
        <w:rPr>
          <w:rFonts w:hint="eastAsia" w:ascii="宋体" w:hAnsi="宋体"/>
          <w:bCs/>
          <w:color w:val="auto"/>
          <w:sz w:val="24"/>
          <w:szCs w:val="24"/>
          <w:highlight w:val="none"/>
        </w:rPr>
        <w:t>在招标文件中要求的文件、资料。</w:t>
      </w:r>
    </w:p>
    <w:p w14:paraId="007DB2AA">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w:t>
      </w:r>
      <w:r>
        <w:rPr>
          <w:rFonts w:hint="eastAsia" w:ascii="宋体" w:hAnsi="宋体" w:eastAsia="宋体"/>
          <w:bCs/>
          <w:color w:val="auto"/>
          <w:sz w:val="24"/>
          <w:szCs w:val="24"/>
          <w:highlight w:val="none"/>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334F0CB4">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5632089A">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583F19EA">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4401C716">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B32625E">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649438AF">
      <w:pPr>
        <w:numPr>
          <w:ilvl w:val="0"/>
          <w:numId w:val="12"/>
        </w:numPr>
        <w:tabs>
          <w:tab w:val="left" w:pos="0"/>
          <w:tab w:val="left" w:pos="315"/>
          <w:tab w:val="left" w:pos="525"/>
          <w:tab w:val="left" w:pos="945"/>
          <w:tab w:val="left" w:pos="1050"/>
          <w:tab w:val="clear" w:pos="552"/>
        </w:tabs>
        <w:spacing w:line="44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w:t>
      </w:r>
      <w:r>
        <w:rPr>
          <w:rFonts w:hint="eastAsia" w:ascii="宋体" w:hAnsi="宋体" w:eastAsia="宋体"/>
          <w:bCs/>
          <w:color w:val="auto"/>
          <w:sz w:val="24"/>
          <w:szCs w:val="24"/>
          <w:highlight w:val="none"/>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2CAA158">
      <w:pPr>
        <w:numPr>
          <w:ilvl w:val="0"/>
          <w:numId w:val="12"/>
        </w:numPr>
        <w:tabs>
          <w:tab w:val="left" w:pos="0"/>
          <w:tab w:val="left" w:pos="315"/>
          <w:tab w:val="left" w:pos="525"/>
          <w:tab w:val="left" w:pos="945"/>
          <w:tab w:val="left" w:pos="1050"/>
          <w:tab w:val="clear" w:pos="552"/>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eastAsia="宋体"/>
          <w:bCs/>
          <w:color w:val="auto"/>
          <w:sz w:val="24"/>
          <w:szCs w:val="24"/>
          <w:highlight w:val="none"/>
        </w:rPr>
        <w:t>其他</w:t>
      </w:r>
      <w:r>
        <w:rPr>
          <w:rFonts w:hint="eastAsia" w:ascii="宋体" w:hAnsi="宋体"/>
          <w:bCs/>
          <w:color w:val="auto"/>
          <w:sz w:val="24"/>
          <w:szCs w:val="24"/>
          <w:highlight w:val="none"/>
        </w:rPr>
        <w:t>供应商或者</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恶意串通、决不向采购人、</w:t>
      </w:r>
      <w:r>
        <w:rPr>
          <w:rFonts w:hint="eastAsia" w:ascii="宋体" w:hAnsi="宋体" w:eastAsia="宋体"/>
          <w:bCs/>
          <w:color w:val="auto"/>
          <w:sz w:val="24"/>
          <w:szCs w:val="24"/>
          <w:highlight w:val="none"/>
        </w:rPr>
        <w:t>采购代理机构</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3E61DE52">
      <w:pPr>
        <w:spacing w:line="44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5C48C82C">
      <w:pPr>
        <w:spacing w:line="44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w:t>
      </w:r>
    </w:p>
    <w:p w14:paraId="074021CD">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7A9E185D">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八、承诺书（给定格式）：</w:t>
      </w:r>
    </w:p>
    <w:p w14:paraId="280053D2">
      <w:pP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6E1143F8">
      <w:pPr>
        <w:spacing w:line="360" w:lineRule="auto"/>
        <w:ind w:firstLine="240"/>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投标人</w:t>
      </w:r>
      <w:r>
        <w:rPr>
          <w:rFonts w:hint="eastAsia" w:ascii="宋体" w:hAnsi="宋体"/>
          <w:color w:val="auto"/>
          <w:sz w:val="24"/>
          <w:szCs w:val="24"/>
          <w:highlight w:val="none"/>
          <w:u w:val="single"/>
        </w:rPr>
        <w:t>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针对本项目</w:t>
      </w:r>
      <w:r>
        <w:rPr>
          <w:rFonts w:hint="eastAsia" w:ascii="宋体" w:hAnsi="宋体"/>
          <w:bCs/>
          <w:color w:val="auto"/>
          <w:sz w:val="24"/>
          <w:szCs w:val="24"/>
          <w:highlight w:val="none"/>
        </w:rPr>
        <w:t>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在此承诺：</w:t>
      </w:r>
    </w:p>
    <w:p w14:paraId="7DA29F53">
      <w:pPr>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3AE798DD">
      <w:pPr>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w:t>
      </w:r>
      <w:r>
        <w:rPr>
          <w:rFonts w:hint="eastAsia" w:ascii="宋体" w:eastAsia="宋体"/>
          <w:bCs/>
          <w:color w:val="auto"/>
          <w:sz w:val="24"/>
          <w:szCs w:val="24"/>
          <w:highlight w:val="none"/>
        </w:rPr>
        <w:t>涉及</w:t>
      </w:r>
      <w:r>
        <w:rPr>
          <w:rFonts w:hint="eastAsia" w:ascii="宋体"/>
          <w:bCs/>
          <w:color w:val="auto"/>
          <w:sz w:val="24"/>
          <w:szCs w:val="24"/>
          <w:highlight w:val="none"/>
        </w:rPr>
        <w:t>商品包装、快递包装要求的，本公司（单位）对于中标产品的包装将严格</w:t>
      </w:r>
      <w:r>
        <w:rPr>
          <w:rFonts w:hint="eastAsia" w:ascii="宋体" w:eastAsia="宋体"/>
          <w:bCs/>
          <w:color w:val="auto"/>
          <w:sz w:val="24"/>
          <w:szCs w:val="24"/>
          <w:highlight w:val="none"/>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1AEFCB6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47DC39D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37AD4FF0">
      <w:pPr>
        <w:spacing w:line="360" w:lineRule="auto"/>
        <w:ind w:firstLine="480"/>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0D4ABA86">
      <w:pPr>
        <w:spacing w:line="36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4B7EB314">
      <w:pPr>
        <w:spacing w:line="36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40EC2F0">
      <w:pPr>
        <w:spacing w:line="360" w:lineRule="auto"/>
        <w:ind w:firstLine="5400"/>
        <w:rPr>
          <w:rFonts w:ascii="宋体" w:hAnsi="宋体"/>
          <w:bCs/>
          <w:color w:val="auto"/>
          <w:sz w:val="24"/>
          <w:szCs w:val="24"/>
          <w:highlight w:val="none"/>
        </w:rPr>
      </w:pPr>
    </w:p>
    <w:p w14:paraId="5254F21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410B21C5">
      <w:pPr>
        <w:spacing w:line="360" w:lineRule="auto"/>
        <w:rPr>
          <w:rFonts w:hint="eastAsia"/>
          <w:b/>
          <w:color w:val="auto"/>
          <w:sz w:val="28"/>
          <w:szCs w:val="28"/>
          <w:highlight w:val="none"/>
        </w:rPr>
      </w:pPr>
    </w:p>
    <w:p w14:paraId="25873BE8">
      <w:pPr>
        <w:spacing w:line="360" w:lineRule="auto"/>
        <w:rPr>
          <w:b/>
          <w:color w:val="auto"/>
          <w:sz w:val="28"/>
          <w:szCs w:val="28"/>
          <w:highlight w:val="none"/>
        </w:rPr>
      </w:pPr>
      <w:r>
        <w:rPr>
          <w:rFonts w:hint="eastAsia"/>
          <w:b/>
          <w:color w:val="auto"/>
          <w:sz w:val="28"/>
          <w:szCs w:val="28"/>
          <w:highlight w:val="none"/>
        </w:rPr>
        <w:t>九、开标一览表（给定格式）：</w:t>
      </w:r>
    </w:p>
    <w:p w14:paraId="18851626">
      <w:pPr>
        <w:spacing w:line="360" w:lineRule="auto"/>
        <w:ind w:firstLine="482"/>
        <w:rPr>
          <w:rFonts w:ascii="Arial" w:hAnsi="Arial"/>
          <w:b/>
          <w:color w:val="auto"/>
          <w:sz w:val="24"/>
          <w:highlight w:val="none"/>
        </w:rPr>
      </w:pPr>
    </w:p>
    <w:p w14:paraId="1052E66D">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AB022D0">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                                          货币单位：人民币元</w:t>
      </w:r>
    </w:p>
    <w:tbl>
      <w:tblPr>
        <w:tblStyle w:val="46"/>
        <w:tblW w:w="9380" w:type="dxa"/>
        <w:tblInd w:w="96" w:type="dxa"/>
        <w:tblLayout w:type="fixed"/>
        <w:tblCellMar>
          <w:top w:w="0" w:type="dxa"/>
          <w:left w:w="108" w:type="dxa"/>
          <w:bottom w:w="0" w:type="dxa"/>
          <w:right w:w="108" w:type="dxa"/>
        </w:tblCellMar>
      </w:tblPr>
      <w:tblGrid>
        <w:gridCol w:w="3413"/>
        <w:gridCol w:w="5967"/>
      </w:tblGrid>
      <w:tr w14:paraId="563C0ECF">
        <w:tblPrEx>
          <w:tblCellMar>
            <w:top w:w="0" w:type="dxa"/>
            <w:left w:w="108" w:type="dxa"/>
            <w:bottom w:w="0" w:type="dxa"/>
            <w:right w:w="108" w:type="dxa"/>
          </w:tblCellMar>
        </w:tblPrEx>
        <w:trPr>
          <w:trHeight w:val="1244" w:hRule="atLeast"/>
        </w:trPr>
        <w:tc>
          <w:tcPr>
            <w:tcW w:w="3413" w:type="dxa"/>
            <w:tcBorders>
              <w:top w:val="single" w:color="auto" w:sz="4" w:space="0"/>
              <w:left w:val="single" w:color="auto" w:sz="4" w:space="0"/>
              <w:bottom w:val="single" w:color="auto" w:sz="4" w:space="0"/>
              <w:right w:val="single" w:color="auto" w:sz="4" w:space="0"/>
            </w:tcBorders>
            <w:vAlign w:val="center"/>
          </w:tcPr>
          <w:p w14:paraId="51587FF7">
            <w:pPr>
              <w:widowControl/>
              <w:jc w:val="center"/>
              <w:rPr>
                <w:rFonts w:ascii="宋体" w:hAnsi="宋体" w:cs="宋体"/>
                <w:sz w:val="24"/>
                <w:highlight w:val="none"/>
              </w:rPr>
            </w:pPr>
            <w:r>
              <w:rPr>
                <w:rFonts w:hint="eastAsia" w:ascii="宋体" w:hAnsi="宋体" w:cs="宋体"/>
                <w:sz w:val="24"/>
                <w:highlight w:val="none"/>
              </w:rPr>
              <w:t>项目总报价</w:t>
            </w:r>
          </w:p>
          <w:p w14:paraId="41AEB32C">
            <w:pPr>
              <w:widowControl/>
              <w:jc w:val="center"/>
              <w:rPr>
                <w:rFonts w:ascii="宋体" w:hAnsi="宋体" w:cs="宋体"/>
                <w:b/>
                <w:bCs/>
                <w:sz w:val="24"/>
                <w:highlight w:val="none"/>
              </w:rPr>
            </w:pPr>
            <w:r>
              <w:rPr>
                <w:rFonts w:hint="eastAsia" w:ascii="宋体" w:hAnsi="宋体" w:cs="宋体"/>
                <w:sz w:val="24"/>
                <w:highlight w:val="none"/>
              </w:rPr>
              <w:t>（人民币）</w:t>
            </w:r>
          </w:p>
        </w:tc>
        <w:tc>
          <w:tcPr>
            <w:tcW w:w="5967" w:type="dxa"/>
            <w:tcBorders>
              <w:top w:val="single" w:color="auto" w:sz="4" w:space="0"/>
              <w:left w:val="single" w:color="auto" w:sz="4" w:space="0"/>
              <w:bottom w:val="single" w:color="auto" w:sz="4" w:space="0"/>
              <w:right w:val="single" w:color="auto" w:sz="4" w:space="0"/>
            </w:tcBorders>
            <w:vAlign w:val="center"/>
          </w:tcPr>
          <w:p w14:paraId="62CCF65F">
            <w:pPr>
              <w:widowControl/>
              <w:jc w:val="left"/>
              <w:rPr>
                <w:rFonts w:ascii="宋体" w:hAnsi="宋体" w:cs="宋体"/>
                <w:sz w:val="24"/>
                <w:highlight w:val="none"/>
              </w:rPr>
            </w:pPr>
            <w:r>
              <w:rPr>
                <w:rFonts w:hint="eastAsia" w:ascii="宋体" w:hAnsi="宋体" w:cs="宋体"/>
                <w:sz w:val="24"/>
                <w:highlight w:val="none"/>
              </w:rPr>
              <w:t>大写：</w:t>
            </w:r>
          </w:p>
          <w:p w14:paraId="50080915">
            <w:pPr>
              <w:widowControl/>
              <w:jc w:val="left"/>
              <w:rPr>
                <w:rFonts w:ascii="宋体" w:hAnsi="宋体" w:cs="宋体"/>
                <w:sz w:val="24"/>
                <w:highlight w:val="none"/>
              </w:rPr>
            </w:pPr>
          </w:p>
          <w:p w14:paraId="53979C49">
            <w:pPr>
              <w:widowControl/>
              <w:jc w:val="left"/>
              <w:rPr>
                <w:rFonts w:ascii="宋体" w:hAnsi="宋体" w:cs="宋体"/>
                <w:sz w:val="24"/>
                <w:highlight w:val="none"/>
              </w:rPr>
            </w:pPr>
            <w:r>
              <w:rPr>
                <w:rFonts w:hint="eastAsia" w:ascii="宋体" w:hAnsi="宋体" w:cs="宋体"/>
                <w:sz w:val="24"/>
                <w:highlight w:val="none"/>
              </w:rPr>
              <w:t>小写：</w:t>
            </w:r>
          </w:p>
        </w:tc>
      </w:tr>
      <w:tr w14:paraId="33A6E413">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vAlign w:val="center"/>
          </w:tcPr>
          <w:p w14:paraId="0D81A0DB">
            <w:pPr>
              <w:widowControl/>
              <w:jc w:val="center"/>
              <w:rPr>
                <w:rFonts w:hint="eastAsia" w:ascii="宋体" w:hAnsi="宋体" w:cs="宋体" w:eastAsiaTheme="minorEastAsia"/>
                <w:sz w:val="24"/>
                <w:highlight w:val="none"/>
                <w:lang w:eastAsia="zh-CN"/>
              </w:rPr>
            </w:pPr>
            <w:r>
              <w:rPr>
                <w:rFonts w:hint="eastAsia" w:ascii="宋体" w:hAnsi="宋体" w:cs="宋体"/>
                <w:sz w:val="24"/>
                <w:highlight w:val="none"/>
                <w:lang w:eastAsia="zh-CN"/>
              </w:rPr>
              <w:t>服务期</w:t>
            </w:r>
          </w:p>
        </w:tc>
        <w:tc>
          <w:tcPr>
            <w:tcW w:w="5967" w:type="dxa"/>
            <w:tcBorders>
              <w:top w:val="single" w:color="auto" w:sz="4" w:space="0"/>
              <w:left w:val="single" w:color="auto" w:sz="4" w:space="0"/>
              <w:bottom w:val="single" w:color="auto" w:sz="4" w:space="0"/>
              <w:right w:val="single" w:color="auto" w:sz="4" w:space="0"/>
            </w:tcBorders>
            <w:vAlign w:val="center"/>
          </w:tcPr>
          <w:p w14:paraId="5F059B9D">
            <w:pPr>
              <w:widowControl/>
              <w:jc w:val="left"/>
              <w:rPr>
                <w:rFonts w:ascii="宋体" w:hAnsi="宋体" w:cs="宋体"/>
                <w:sz w:val="24"/>
                <w:highlight w:val="none"/>
              </w:rPr>
            </w:pPr>
          </w:p>
        </w:tc>
      </w:tr>
      <w:tr w14:paraId="44A1CC61">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vAlign w:val="center"/>
          </w:tcPr>
          <w:p w14:paraId="3CD365BD">
            <w:pPr>
              <w:widowControl/>
              <w:jc w:val="center"/>
              <w:rPr>
                <w:rFonts w:hint="eastAsia" w:ascii="宋体" w:hAnsi="宋体" w:cs="宋体"/>
                <w:sz w:val="24"/>
                <w:highlight w:val="none"/>
              </w:rPr>
            </w:pPr>
            <w:r>
              <w:rPr>
                <w:rFonts w:hint="eastAsia" w:ascii="宋体" w:hAnsi="宋体" w:cs="宋体"/>
                <w:sz w:val="24"/>
                <w:highlight w:val="none"/>
              </w:rPr>
              <w:t>采购标的的验收标准</w:t>
            </w:r>
          </w:p>
        </w:tc>
        <w:tc>
          <w:tcPr>
            <w:tcW w:w="5967" w:type="dxa"/>
            <w:tcBorders>
              <w:top w:val="single" w:color="auto" w:sz="4" w:space="0"/>
              <w:left w:val="single" w:color="auto" w:sz="4" w:space="0"/>
              <w:bottom w:val="single" w:color="auto" w:sz="4" w:space="0"/>
              <w:right w:val="single" w:color="auto" w:sz="4" w:space="0"/>
            </w:tcBorders>
            <w:vAlign w:val="center"/>
          </w:tcPr>
          <w:p w14:paraId="2B8F21F4">
            <w:pPr>
              <w:widowControl/>
              <w:jc w:val="left"/>
              <w:rPr>
                <w:rFonts w:ascii="宋体" w:hAnsi="宋体" w:cs="宋体"/>
                <w:sz w:val="24"/>
                <w:highlight w:val="none"/>
              </w:rPr>
            </w:pPr>
          </w:p>
        </w:tc>
      </w:tr>
      <w:tr w14:paraId="7553863A">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vAlign w:val="center"/>
          </w:tcPr>
          <w:p w14:paraId="4FED6E13">
            <w:pPr>
              <w:widowControl/>
              <w:jc w:val="center"/>
              <w:rPr>
                <w:rFonts w:hint="eastAsia" w:ascii="宋体" w:hAnsi="宋体" w:cs="宋体"/>
                <w:sz w:val="24"/>
                <w:highlight w:val="none"/>
                <w:lang w:eastAsia="zh-CN"/>
              </w:rPr>
            </w:pPr>
            <w:r>
              <w:rPr>
                <w:rFonts w:hint="eastAsia" w:ascii="宋体" w:hAnsi="宋体" w:eastAsia="宋体" w:cs="宋体"/>
                <w:color w:val="auto"/>
                <w:sz w:val="24"/>
                <w:szCs w:val="24"/>
                <w:highlight w:val="none"/>
                <w:lang w:val="en-US" w:eastAsia="zh-CN"/>
              </w:rPr>
              <w:t>误期违约</w:t>
            </w:r>
          </w:p>
        </w:tc>
        <w:tc>
          <w:tcPr>
            <w:tcW w:w="5967" w:type="dxa"/>
            <w:tcBorders>
              <w:top w:val="single" w:color="auto" w:sz="4" w:space="0"/>
              <w:left w:val="single" w:color="auto" w:sz="4" w:space="0"/>
              <w:bottom w:val="single" w:color="auto" w:sz="4" w:space="0"/>
              <w:right w:val="single" w:color="auto" w:sz="4" w:space="0"/>
            </w:tcBorders>
            <w:vAlign w:val="center"/>
          </w:tcPr>
          <w:p w14:paraId="2CAAD478">
            <w:pPr>
              <w:widowControl/>
              <w:jc w:val="left"/>
              <w:rPr>
                <w:rFonts w:ascii="宋体" w:hAnsi="宋体" w:cs="宋体"/>
                <w:sz w:val="24"/>
                <w:highlight w:val="none"/>
              </w:rPr>
            </w:pPr>
          </w:p>
        </w:tc>
      </w:tr>
      <w:tr w14:paraId="5832578C">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vAlign w:val="center"/>
          </w:tcPr>
          <w:p w14:paraId="156DD0D4">
            <w:pPr>
              <w:widowControl/>
              <w:jc w:val="center"/>
              <w:rPr>
                <w:rFonts w:hint="eastAsia" w:ascii="宋体" w:hAnsi="宋体" w:cs="宋体"/>
                <w:sz w:val="24"/>
                <w:highlight w:val="none"/>
              </w:rPr>
            </w:pPr>
            <w:r>
              <w:rPr>
                <w:rFonts w:hint="eastAsia" w:ascii="宋体" w:hAnsi="宋体" w:eastAsia="宋体" w:cs="宋体"/>
                <w:color w:val="auto"/>
                <w:sz w:val="24"/>
                <w:szCs w:val="24"/>
                <w:highlight w:val="none"/>
                <w:lang w:val="en-US" w:eastAsia="zh-CN"/>
              </w:rPr>
              <w:t>质量违约</w:t>
            </w:r>
          </w:p>
        </w:tc>
        <w:tc>
          <w:tcPr>
            <w:tcW w:w="5967" w:type="dxa"/>
            <w:tcBorders>
              <w:top w:val="single" w:color="auto" w:sz="4" w:space="0"/>
              <w:left w:val="single" w:color="auto" w:sz="4" w:space="0"/>
              <w:bottom w:val="single" w:color="auto" w:sz="4" w:space="0"/>
              <w:right w:val="single" w:color="auto" w:sz="4" w:space="0"/>
            </w:tcBorders>
            <w:vAlign w:val="center"/>
          </w:tcPr>
          <w:p w14:paraId="079745F0">
            <w:pPr>
              <w:widowControl/>
              <w:jc w:val="left"/>
              <w:rPr>
                <w:rFonts w:ascii="宋体" w:hAnsi="宋体" w:cs="宋体"/>
                <w:sz w:val="24"/>
                <w:highlight w:val="none"/>
              </w:rPr>
            </w:pPr>
          </w:p>
        </w:tc>
      </w:tr>
      <w:tr w14:paraId="05CF3842">
        <w:tblPrEx>
          <w:tblCellMar>
            <w:top w:w="0" w:type="dxa"/>
            <w:left w:w="108" w:type="dxa"/>
            <w:bottom w:w="0" w:type="dxa"/>
            <w:right w:w="108" w:type="dxa"/>
          </w:tblCellMar>
        </w:tblPrEx>
        <w:trPr>
          <w:trHeight w:val="915" w:hRule="atLeast"/>
        </w:trPr>
        <w:tc>
          <w:tcPr>
            <w:tcW w:w="3413" w:type="dxa"/>
            <w:tcBorders>
              <w:top w:val="single" w:color="auto" w:sz="4" w:space="0"/>
              <w:left w:val="single" w:color="auto" w:sz="4" w:space="0"/>
              <w:bottom w:val="single" w:color="auto" w:sz="4" w:space="0"/>
              <w:right w:val="single" w:color="auto" w:sz="4" w:space="0"/>
            </w:tcBorders>
            <w:vAlign w:val="center"/>
          </w:tcPr>
          <w:p w14:paraId="7BF5EB1B">
            <w:pPr>
              <w:widowControl/>
              <w:jc w:val="center"/>
              <w:rPr>
                <w:rFonts w:hint="eastAsia" w:ascii="宋体" w:hAnsi="宋体" w:cs="宋体"/>
                <w:sz w:val="24"/>
                <w:highlight w:val="none"/>
              </w:rPr>
            </w:pPr>
            <w:r>
              <w:rPr>
                <w:rFonts w:hint="eastAsia" w:ascii="宋体" w:hAnsi="宋体" w:cs="宋体"/>
                <w:sz w:val="24"/>
                <w:highlight w:val="none"/>
              </w:rPr>
              <w:t>项目负责人</w:t>
            </w:r>
          </w:p>
        </w:tc>
        <w:tc>
          <w:tcPr>
            <w:tcW w:w="5967" w:type="dxa"/>
            <w:tcBorders>
              <w:top w:val="single" w:color="auto" w:sz="4" w:space="0"/>
              <w:left w:val="single" w:color="auto" w:sz="4" w:space="0"/>
              <w:bottom w:val="single" w:color="auto" w:sz="4" w:space="0"/>
              <w:right w:val="single" w:color="auto" w:sz="4" w:space="0"/>
            </w:tcBorders>
            <w:vAlign w:val="center"/>
          </w:tcPr>
          <w:p w14:paraId="348F8DF9">
            <w:pPr>
              <w:widowControl/>
              <w:jc w:val="left"/>
              <w:rPr>
                <w:rFonts w:ascii="宋体" w:hAnsi="宋体" w:cs="宋体"/>
                <w:sz w:val="24"/>
                <w:highlight w:val="none"/>
              </w:rPr>
            </w:pPr>
          </w:p>
        </w:tc>
      </w:tr>
    </w:tbl>
    <w:p w14:paraId="7626AA15">
      <w:pPr>
        <w:spacing w:line="360" w:lineRule="auto"/>
        <w:rPr>
          <w:rFonts w:ascii="黑体" w:eastAsia="黑体"/>
          <w:bCs/>
          <w:color w:val="auto"/>
          <w:sz w:val="24"/>
          <w:szCs w:val="24"/>
          <w:highlight w:val="none"/>
        </w:rPr>
      </w:pPr>
    </w:p>
    <w:p w14:paraId="2D4555DF">
      <w:pPr>
        <w:spacing w:line="360" w:lineRule="auto"/>
        <w:rPr>
          <w:rFonts w:ascii="黑体" w:eastAsia="黑体"/>
          <w:bCs/>
          <w:color w:val="auto"/>
          <w:sz w:val="24"/>
          <w:szCs w:val="24"/>
          <w:highlight w:val="none"/>
        </w:rPr>
      </w:pPr>
    </w:p>
    <w:p w14:paraId="658FB180">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DB04FEE">
      <w:pPr>
        <w:spacing w:line="360" w:lineRule="auto"/>
        <w:rPr>
          <w:rFonts w:ascii="黑体" w:eastAsia="黑体"/>
          <w:bCs/>
          <w:color w:val="auto"/>
          <w:sz w:val="24"/>
          <w:szCs w:val="24"/>
          <w:highlight w:val="none"/>
        </w:rPr>
      </w:pPr>
    </w:p>
    <w:p w14:paraId="6F0A0744">
      <w:pPr>
        <w:spacing w:line="360" w:lineRule="auto"/>
        <w:rPr>
          <w:rFonts w:ascii="宋体" w:hAnsi="宋体"/>
          <w:color w:val="auto"/>
          <w:sz w:val="24"/>
          <w:highlight w:val="none"/>
        </w:rPr>
      </w:pPr>
      <w:bookmarkStart w:id="156" w:name="_Hlk165208335"/>
      <w:r>
        <w:rPr>
          <w:rFonts w:hint="eastAsia" w:ascii="宋体" w:hAnsi="宋体"/>
          <w:color w:val="auto"/>
          <w:sz w:val="24"/>
          <w:highlight w:val="none"/>
        </w:rPr>
        <w:t>填写说明：</w:t>
      </w:r>
    </w:p>
    <w:p w14:paraId="3535BE23">
      <w:pPr>
        <w:spacing w:line="360" w:lineRule="auto"/>
        <w:ind w:firstLine="482"/>
        <w:rPr>
          <w:rFonts w:ascii="宋体" w:hAnsi="宋体"/>
          <w:b/>
          <w:color w:val="auto"/>
          <w:sz w:val="24"/>
          <w:highlight w:val="none"/>
        </w:rPr>
      </w:pPr>
      <w:r>
        <w:rPr>
          <w:rFonts w:hint="eastAsia" w:ascii="宋体" w:hAnsi="宋体"/>
          <w:b/>
          <w:color w:val="auto"/>
          <w:sz w:val="24"/>
          <w:highlight w:val="none"/>
        </w:rPr>
        <w:t>开标一览表中的内容应与投标函内容一致，否则评标时一律按开标一览表中内容为准，开标一览表中必须盖章或签字。</w:t>
      </w:r>
      <w:bookmarkEnd w:id="156"/>
    </w:p>
    <w:p w14:paraId="591E8B32">
      <w:pPr>
        <w:pStyle w:val="2"/>
        <w:ind w:firstLine="482"/>
        <w:rPr>
          <w:rFonts w:ascii="宋体" w:hAnsi="宋体" w:eastAsiaTheme="minorEastAsia" w:cstheme="minorBidi"/>
          <w:b/>
          <w:bCs w:val="0"/>
          <w:color w:val="auto"/>
          <w:sz w:val="24"/>
          <w:szCs w:val="22"/>
          <w:highlight w:val="none"/>
        </w:rPr>
      </w:pPr>
      <w:r>
        <w:rPr>
          <w:rFonts w:hint="eastAsia" w:ascii="宋体" w:hAnsi="宋体" w:eastAsiaTheme="minorEastAsia" w:cstheme="minorBidi"/>
          <w:b/>
          <w:bCs w:val="0"/>
          <w:color w:val="auto"/>
          <w:sz w:val="24"/>
          <w:szCs w:val="22"/>
          <w:highlight w:val="none"/>
        </w:rPr>
        <w:t>开标一览表以系统生成格式为准。</w:t>
      </w:r>
    </w:p>
    <w:p w14:paraId="433CBD16">
      <w:pPr>
        <w:pStyle w:val="42"/>
        <w:rPr>
          <w:rFonts w:ascii="宋体" w:hAnsi="宋体" w:eastAsiaTheme="minorEastAsia" w:cstheme="minorBidi"/>
          <w:b/>
          <w:color w:val="auto"/>
          <w:sz w:val="24"/>
          <w:szCs w:val="22"/>
          <w:highlight w:val="none"/>
        </w:rPr>
      </w:pPr>
    </w:p>
    <w:p w14:paraId="6D704499">
      <w:pPr>
        <w:rPr>
          <w:rFonts w:ascii="宋体" w:hAnsi="宋体"/>
          <w:b/>
          <w:color w:val="auto"/>
          <w:sz w:val="24"/>
          <w:highlight w:val="none"/>
        </w:rPr>
      </w:pPr>
    </w:p>
    <w:p w14:paraId="547606B1">
      <w:pPr>
        <w:pStyle w:val="2"/>
        <w:rPr>
          <w:highlight w:val="none"/>
        </w:rPr>
      </w:pPr>
    </w:p>
    <w:p w14:paraId="38D4F910">
      <w:pPr>
        <w:pStyle w:val="18"/>
        <w:rPr>
          <w:highlight w:val="none"/>
        </w:rPr>
      </w:pPr>
    </w:p>
    <w:p w14:paraId="0418BAF4">
      <w:pPr>
        <w:rPr>
          <w:rFonts w:ascii="宋体" w:hAnsi="宋体"/>
          <w:b/>
          <w:color w:val="auto"/>
          <w:sz w:val="24"/>
          <w:highlight w:val="none"/>
        </w:rPr>
      </w:pPr>
    </w:p>
    <w:p w14:paraId="15E856D2">
      <w:pPr>
        <w:rPr>
          <w:rFonts w:ascii="宋体" w:hAnsi="宋体"/>
          <w:b/>
          <w:color w:val="auto"/>
          <w:sz w:val="24"/>
          <w:highlight w:val="none"/>
        </w:rPr>
      </w:pPr>
    </w:p>
    <w:p w14:paraId="34E97ADA">
      <w:pPr>
        <w:rPr>
          <w:rFonts w:ascii="Times New Roman" w:eastAsia="宋体"/>
          <w:b/>
          <w:color w:val="auto"/>
          <w:sz w:val="28"/>
          <w:szCs w:val="28"/>
          <w:highlight w:val="none"/>
        </w:rPr>
      </w:pPr>
      <w:r>
        <w:rPr>
          <w:rFonts w:hint="eastAsia" w:eastAsia="黑体"/>
          <w:b/>
          <w:color w:val="auto"/>
          <w:sz w:val="28"/>
          <w:szCs w:val="28"/>
          <w:highlight w:val="none"/>
        </w:rPr>
        <w:t>十</w:t>
      </w:r>
      <w:r>
        <w:rPr>
          <w:rFonts w:hint="eastAsia"/>
          <w:b/>
          <w:color w:val="auto"/>
          <w:sz w:val="28"/>
          <w:szCs w:val="28"/>
          <w:highlight w:val="none"/>
        </w:rPr>
        <w:t>、分项</w:t>
      </w:r>
      <w:r>
        <w:rPr>
          <w:b/>
          <w:color w:val="auto"/>
          <w:sz w:val="28"/>
          <w:szCs w:val="28"/>
          <w:highlight w:val="none"/>
        </w:rPr>
        <w:t>报价表</w:t>
      </w:r>
      <w:r>
        <w:rPr>
          <w:rFonts w:hint="eastAsia"/>
          <w:b/>
          <w:color w:val="auto"/>
          <w:sz w:val="28"/>
          <w:szCs w:val="28"/>
          <w:highlight w:val="none"/>
        </w:rPr>
        <w:t>（给定格式）：</w:t>
      </w:r>
    </w:p>
    <w:p w14:paraId="54CC6BFB">
      <w:pPr>
        <w:pBdr>
          <w:top w:val="none" w:color="000000" w:sz="0" w:space="0"/>
          <w:left w:val="none" w:color="000000" w:sz="0" w:space="0"/>
          <w:bottom w:val="none" w:color="000000" w:sz="0" w:space="0"/>
          <w:right w:val="none" w:color="000000" w:sz="0" w:space="0"/>
        </w:pBdr>
        <w:jc w:val="center"/>
        <w:rPr>
          <w:rFonts w:ascii="黑体" w:eastAsia="黑体"/>
          <w:bCs/>
          <w:color w:val="auto"/>
          <w:sz w:val="28"/>
          <w:szCs w:val="28"/>
          <w:highlight w:val="none"/>
        </w:rPr>
      </w:pPr>
    </w:p>
    <w:p w14:paraId="3A4D6FFF">
      <w:pPr>
        <w:pBdr>
          <w:top w:val="none" w:color="000000" w:sz="0" w:space="0"/>
          <w:left w:val="none" w:color="000000" w:sz="0" w:space="0"/>
          <w:bottom w:val="none" w:color="000000" w:sz="0" w:space="0"/>
          <w:right w:val="none" w:color="000000" w:sz="0" w:space="0"/>
        </w:pBdr>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722E72AE">
      <w:pPr>
        <w:pStyle w:val="4"/>
        <w:rPr>
          <w:rFonts w:ascii="宋体" w:hAnsi="宋体" w:eastAsia="宋体" w:cs="宋体"/>
          <w:color w:val="auto"/>
          <w:sz w:val="24"/>
          <w:szCs w:val="24"/>
          <w:highlight w:val="none"/>
        </w:rPr>
      </w:pPr>
    </w:p>
    <w:p w14:paraId="612557C1">
      <w:pPr>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供应商名称（盖章）                                         采购编号</w:t>
      </w:r>
      <w:r>
        <w:rPr>
          <w:rFonts w:hint="eastAsia" w:ascii="宋体" w:hAnsi="宋体" w:eastAsia="宋体" w:cs="宋体"/>
          <w:bCs/>
          <w:color w:val="auto"/>
          <w:sz w:val="24"/>
          <w:szCs w:val="24"/>
          <w:highlight w:val="none"/>
        </w:rPr>
        <w:t>：</w:t>
      </w:r>
    </w:p>
    <w:p w14:paraId="046DE454">
      <w:pPr>
        <w:rPr>
          <w:rFonts w:ascii="黑体" w:eastAsia="黑体"/>
          <w:bCs/>
          <w:color w:val="auto"/>
          <w:highlight w:val="none"/>
        </w:rPr>
      </w:pPr>
    </w:p>
    <w:tbl>
      <w:tblPr>
        <w:tblStyle w:val="46"/>
        <w:tblW w:w="8951" w:type="dxa"/>
        <w:tblInd w:w="-8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1515"/>
        <w:gridCol w:w="928"/>
        <w:gridCol w:w="947"/>
        <w:gridCol w:w="1069"/>
        <w:gridCol w:w="851"/>
        <w:gridCol w:w="825"/>
        <w:gridCol w:w="825"/>
        <w:gridCol w:w="1301"/>
      </w:tblGrid>
      <w:tr w14:paraId="6FEE6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690" w:type="dxa"/>
            <w:tcMar>
              <w:top w:w="15" w:type="dxa"/>
              <w:left w:w="15" w:type="dxa"/>
              <w:bottom w:w="0" w:type="dxa"/>
              <w:right w:w="15" w:type="dxa"/>
            </w:tcMar>
            <w:vAlign w:val="center"/>
          </w:tcPr>
          <w:p w14:paraId="284CA1EF">
            <w:pPr>
              <w:spacing w:before="5"/>
              <w:jc w:val="center"/>
              <w:rPr>
                <w:sz w:val="18"/>
                <w:highlight w:val="none"/>
              </w:rPr>
            </w:pPr>
            <w:r>
              <w:rPr>
                <w:rFonts w:hint="eastAsia"/>
                <w:sz w:val="18"/>
                <w:highlight w:val="none"/>
              </w:rPr>
              <w:t>序号</w:t>
            </w:r>
          </w:p>
        </w:tc>
        <w:tc>
          <w:tcPr>
            <w:tcW w:w="1515" w:type="dxa"/>
            <w:tcMar>
              <w:top w:w="15" w:type="dxa"/>
              <w:left w:w="15" w:type="dxa"/>
              <w:bottom w:w="0" w:type="dxa"/>
              <w:right w:w="15" w:type="dxa"/>
            </w:tcMar>
            <w:vAlign w:val="center"/>
          </w:tcPr>
          <w:p w14:paraId="761DB39B">
            <w:pPr>
              <w:spacing w:before="5"/>
              <w:jc w:val="center"/>
              <w:rPr>
                <w:sz w:val="18"/>
                <w:highlight w:val="none"/>
                <w:u w:val="none"/>
              </w:rPr>
            </w:pPr>
            <w:r>
              <w:rPr>
                <w:rFonts w:hint="eastAsia"/>
                <w:sz w:val="18"/>
                <w:highlight w:val="none"/>
              </w:rPr>
              <w:t>名称</w:t>
            </w:r>
          </w:p>
        </w:tc>
        <w:tc>
          <w:tcPr>
            <w:tcW w:w="928" w:type="dxa"/>
            <w:tcMar>
              <w:top w:w="15" w:type="dxa"/>
              <w:left w:w="15" w:type="dxa"/>
              <w:bottom w:w="0" w:type="dxa"/>
              <w:right w:w="15" w:type="dxa"/>
            </w:tcMar>
            <w:vAlign w:val="center"/>
          </w:tcPr>
          <w:p w14:paraId="2CB850FF">
            <w:pPr>
              <w:spacing w:before="5"/>
              <w:jc w:val="center"/>
              <w:rPr>
                <w:sz w:val="18"/>
                <w:highlight w:val="none"/>
                <w:u w:val="none"/>
              </w:rPr>
            </w:pPr>
            <w:r>
              <w:rPr>
                <w:rFonts w:hint="eastAsia"/>
                <w:sz w:val="18"/>
                <w:highlight w:val="none"/>
                <w:u w:val="none"/>
              </w:rPr>
              <w:t>品牌型号</w:t>
            </w:r>
          </w:p>
        </w:tc>
        <w:tc>
          <w:tcPr>
            <w:tcW w:w="947" w:type="dxa"/>
            <w:tcMar>
              <w:top w:w="15" w:type="dxa"/>
              <w:left w:w="15" w:type="dxa"/>
              <w:bottom w:w="0" w:type="dxa"/>
              <w:right w:w="15" w:type="dxa"/>
            </w:tcMar>
            <w:vAlign w:val="center"/>
          </w:tcPr>
          <w:p w14:paraId="7C8AC8FE">
            <w:pPr>
              <w:spacing w:before="5"/>
              <w:jc w:val="center"/>
              <w:rPr>
                <w:sz w:val="18"/>
                <w:highlight w:val="none"/>
              </w:rPr>
            </w:pPr>
            <w:r>
              <w:rPr>
                <w:rFonts w:hint="eastAsia"/>
                <w:sz w:val="18"/>
                <w:highlight w:val="none"/>
              </w:rPr>
              <w:t>数量</w:t>
            </w:r>
          </w:p>
        </w:tc>
        <w:tc>
          <w:tcPr>
            <w:tcW w:w="1069" w:type="dxa"/>
            <w:tcMar>
              <w:top w:w="15" w:type="dxa"/>
              <w:left w:w="15" w:type="dxa"/>
              <w:bottom w:w="0" w:type="dxa"/>
              <w:right w:w="15" w:type="dxa"/>
            </w:tcMar>
            <w:vAlign w:val="center"/>
          </w:tcPr>
          <w:p w14:paraId="13E4A5CF">
            <w:pPr>
              <w:spacing w:before="5"/>
              <w:jc w:val="center"/>
              <w:rPr>
                <w:sz w:val="18"/>
                <w:highlight w:val="none"/>
              </w:rPr>
            </w:pPr>
            <w:r>
              <w:rPr>
                <w:rFonts w:hint="eastAsia"/>
                <w:sz w:val="18"/>
                <w:highlight w:val="none"/>
              </w:rPr>
              <w:t>产地</w:t>
            </w:r>
          </w:p>
        </w:tc>
        <w:tc>
          <w:tcPr>
            <w:tcW w:w="851" w:type="dxa"/>
            <w:tcMar>
              <w:top w:w="15" w:type="dxa"/>
              <w:left w:w="15" w:type="dxa"/>
              <w:bottom w:w="0" w:type="dxa"/>
              <w:right w:w="15" w:type="dxa"/>
            </w:tcMar>
            <w:vAlign w:val="center"/>
          </w:tcPr>
          <w:p w14:paraId="1697CD15">
            <w:pPr>
              <w:spacing w:before="5"/>
              <w:jc w:val="center"/>
              <w:rPr>
                <w:sz w:val="18"/>
                <w:highlight w:val="none"/>
              </w:rPr>
            </w:pPr>
            <w:r>
              <w:rPr>
                <w:rFonts w:hint="eastAsia"/>
                <w:sz w:val="18"/>
                <w:highlight w:val="none"/>
              </w:rPr>
              <w:t>质保期</w:t>
            </w:r>
          </w:p>
        </w:tc>
        <w:tc>
          <w:tcPr>
            <w:tcW w:w="825" w:type="dxa"/>
            <w:vAlign w:val="center"/>
          </w:tcPr>
          <w:p w14:paraId="092E122E">
            <w:pPr>
              <w:spacing w:before="5"/>
              <w:jc w:val="center"/>
              <w:rPr>
                <w:rFonts w:hint="eastAsia" w:eastAsiaTheme="minorEastAsia"/>
                <w:sz w:val="18"/>
                <w:highlight w:val="none"/>
                <w:lang w:eastAsia="zh-CN"/>
              </w:rPr>
            </w:pPr>
            <w:r>
              <w:rPr>
                <w:rFonts w:hint="eastAsia"/>
                <w:sz w:val="18"/>
                <w:highlight w:val="none"/>
                <w:lang w:eastAsia="zh-CN"/>
              </w:rPr>
              <w:t>交货时间</w:t>
            </w:r>
          </w:p>
        </w:tc>
        <w:tc>
          <w:tcPr>
            <w:tcW w:w="825" w:type="dxa"/>
            <w:vAlign w:val="center"/>
          </w:tcPr>
          <w:p w14:paraId="00496CB3">
            <w:pPr>
              <w:spacing w:before="5"/>
              <w:jc w:val="center"/>
              <w:rPr>
                <w:sz w:val="18"/>
                <w:highlight w:val="none"/>
              </w:rPr>
            </w:pPr>
            <w:r>
              <w:rPr>
                <w:rFonts w:hint="eastAsia"/>
                <w:sz w:val="18"/>
                <w:highlight w:val="none"/>
              </w:rPr>
              <w:t>单报价</w:t>
            </w:r>
          </w:p>
        </w:tc>
        <w:tc>
          <w:tcPr>
            <w:tcW w:w="1301" w:type="dxa"/>
            <w:vAlign w:val="center"/>
          </w:tcPr>
          <w:p w14:paraId="39BFDC42">
            <w:pPr>
              <w:spacing w:before="5"/>
              <w:jc w:val="center"/>
              <w:rPr>
                <w:sz w:val="18"/>
                <w:highlight w:val="none"/>
              </w:rPr>
            </w:pPr>
            <w:r>
              <w:rPr>
                <w:rFonts w:hint="eastAsia"/>
                <w:sz w:val="18"/>
                <w:highlight w:val="none"/>
              </w:rPr>
              <w:t>分项总报价</w:t>
            </w:r>
          </w:p>
        </w:tc>
      </w:tr>
      <w:tr w14:paraId="275B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17" w:hRule="atLeast"/>
        </w:trPr>
        <w:tc>
          <w:tcPr>
            <w:tcW w:w="690" w:type="dxa"/>
            <w:tcMar>
              <w:top w:w="15" w:type="dxa"/>
              <w:left w:w="15" w:type="dxa"/>
              <w:bottom w:w="0" w:type="dxa"/>
              <w:right w:w="15" w:type="dxa"/>
            </w:tcMar>
            <w:vAlign w:val="center"/>
          </w:tcPr>
          <w:p w14:paraId="4909C712">
            <w:pPr>
              <w:pStyle w:val="29"/>
              <w:pBdr>
                <w:bottom w:val="none" w:color="auto" w:sz="0" w:space="0"/>
              </w:pBdr>
              <w:tabs>
                <w:tab w:val="clear" w:pos="4153"/>
                <w:tab w:val="clear" w:pos="8306"/>
              </w:tabs>
              <w:spacing w:before="5"/>
              <w:rPr>
                <w:rFonts w:ascii="宋体"/>
                <w:highlight w:val="none"/>
              </w:rPr>
            </w:pPr>
          </w:p>
        </w:tc>
        <w:tc>
          <w:tcPr>
            <w:tcW w:w="1515" w:type="dxa"/>
            <w:tcMar>
              <w:top w:w="15" w:type="dxa"/>
              <w:left w:w="15" w:type="dxa"/>
              <w:bottom w:w="0" w:type="dxa"/>
              <w:right w:w="15" w:type="dxa"/>
            </w:tcMar>
            <w:vAlign w:val="center"/>
          </w:tcPr>
          <w:p w14:paraId="07405863">
            <w:pPr>
              <w:pStyle w:val="29"/>
              <w:pBdr>
                <w:bottom w:val="none" w:color="auto" w:sz="0" w:space="0"/>
              </w:pBdr>
              <w:tabs>
                <w:tab w:val="clear" w:pos="4153"/>
                <w:tab w:val="clear" w:pos="8306"/>
              </w:tabs>
              <w:rPr>
                <w:rFonts w:ascii="宋体"/>
                <w:bCs/>
                <w:highlight w:val="none"/>
              </w:rPr>
            </w:pPr>
          </w:p>
        </w:tc>
        <w:tc>
          <w:tcPr>
            <w:tcW w:w="928" w:type="dxa"/>
            <w:tcMar>
              <w:top w:w="15" w:type="dxa"/>
              <w:left w:w="15" w:type="dxa"/>
              <w:bottom w:w="0" w:type="dxa"/>
              <w:right w:w="15" w:type="dxa"/>
            </w:tcMar>
            <w:vAlign w:val="center"/>
          </w:tcPr>
          <w:p w14:paraId="3B875471">
            <w:pPr>
              <w:pStyle w:val="29"/>
              <w:pBdr>
                <w:bottom w:val="none" w:color="auto" w:sz="0" w:space="0"/>
              </w:pBdr>
              <w:tabs>
                <w:tab w:val="clear" w:pos="4153"/>
                <w:tab w:val="clear" w:pos="8306"/>
              </w:tabs>
              <w:rPr>
                <w:rFonts w:ascii="宋体"/>
                <w:bCs/>
                <w:highlight w:val="none"/>
              </w:rPr>
            </w:pPr>
          </w:p>
        </w:tc>
        <w:tc>
          <w:tcPr>
            <w:tcW w:w="947" w:type="dxa"/>
            <w:tcMar>
              <w:top w:w="15" w:type="dxa"/>
              <w:left w:w="15" w:type="dxa"/>
              <w:bottom w:w="0" w:type="dxa"/>
              <w:right w:w="15" w:type="dxa"/>
            </w:tcMar>
            <w:vAlign w:val="center"/>
          </w:tcPr>
          <w:p w14:paraId="3601FC78">
            <w:pPr>
              <w:jc w:val="center"/>
              <w:rPr>
                <w:rFonts w:hint="eastAsia" w:ascii="宋体" w:eastAsiaTheme="minorEastAsia"/>
                <w:bCs/>
                <w:sz w:val="18"/>
                <w:highlight w:val="none"/>
                <w:lang w:val="en-US" w:eastAsia="zh-CN"/>
              </w:rPr>
            </w:pPr>
            <w:r>
              <w:rPr>
                <w:rFonts w:hint="eastAsia" w:ascii="宋体"/>
                <w:bCs/>
                <w:sz w:val="18"/>
                <w:highlight w:val="none"/>
                <w:lang w:val="en-US" w:eastAsia="zh-CN"/>
              </w:rPr>
              <w:t>1</w:t>
            </w:r>
          </w:p>
        </w:tc>
        <w:tc>
          <w:tcPr>
            <w:tcW w:w="1069" w:type="dxa"/>
            <w:tcMar>
              <w:top w:w="15" w:type="dxa"/>
              <w:left w:w="15" w:type="dxa"/>
              <w:bottom w:w="0" w:type="dxa"/>
              <w:right w:w="15" w:type="dxa"/>
            </w:tcMar>
            <w:vAlign w:val="center"/>
          </w:tcPr>
          <w:p w14:paraId="58DAE133">
            <w:pPr>
              <w:jc w:val="center"/>
              <w:rPr>
                <w:rFonts w:ascii="黑体" w:hAnsi="宋体" w:eastAsia="黑体"/>
                <w:b/>
                <w:bCs/>
                <w:sz w:val="24"/>
                <w:szCs w:val="24"/>
                <w:highlight w:val="none"/>
              </w:rPr>
            </w:pPr>
            <w:r>
              <w:rPr>
                <w:rFonts w:hint="eastAsia" w:ascii="黑体" w:eastAsia="黑体"/>
                <w:b/>
                <w:bCs/>
                <w:highlight w:val="none"/>
              </w:rPr>
              <w:t>　</w:t>
            </w:r>
          </w:p>
        </w:tc>
        <w:tc>
          <w:tcPr>
            <w:tcW w:w="851" w:type="dxa"/>
            <w:tcMar>
              <w:top w:w="15" w:type="dxa"/>
              <w:left w:w="15" w:type="dxa"/>
              <w:bottom w:w="0" w:type="dxa"/>
              <w:right w:w="15" w:type="dxa"/>
            </w:tcMar>
            <w:vAlign w:val="center"/>
          </w:tcPr>
          <w:p w14:paraId="2B90361C">
            <w:pPr>
              <w:jc w:val="center"/>
              <w:rPr>
                <w:rFonts w:ascii="黑体" w:hAnsi="宋体" w:eastAsia="黑体"/>
                <w:b/>
                <w:bCs/>
                <w:sz w:val="24"/>
                <w:szCs w:val="24"/>
                <w:highlight w:val="none"/>
              </w:rPr>
            </w:pPr>
            <w:r>
              <w:rPr>
                <w:rFonts w:hint="eastAsia" w:ascii="黑体" w:eastAsia="黑体"/>
                <w:b/>
                <w:bCs/>
                <w:highlight w:val="none"/>
              </w:rPr>
              <w:t>　</w:t>
            </w:r>
          </w:p>
        </w:tc>
        <w:tc>
          <w:tcPr>
            <w:tcW w:w="825" w:type="dxa"/>
            <w:vAlign w:val="center"/>
          </w:tcPr>
          <w:p w14:paraId="5D7E9385">
            <w:pPr>
              <w:jc w:val="center"/>
              <w:rPr>
                <w:rFonts w:hint="eastAsia" w:ascii="黑体" w:eastAsia="黑体"/>
                <w:b/>
                <w:bCs/>
                <w:highlight w:val="none"/>
              </w:rPr>
            </w:pPr>
          </w:p>
        </w:tc>
        <w:tc>
          <w:tcPr>
            <w:tcW w:w="825" w:type="dxa"/>
            <w:vAlign w:val="center"/>
          </w:tcPr>
          <w:p w14:paraId="38193548">
            <w:pPr>
              <w:jc w:val="center"/>
              <w:rPr>
                <w:rFonts w:ascii="黑体" w:hAnsi="宋体" w:eastAsia="黑体"/>
                <w:b/>
                <w:bCs/>
                <w:sz w:val="24"/>
                <w:szCs w:val="24"/>
                <w:highlight w:val="none"/>
              </w:rPr>
            </w:pPr>
          </w:p>
        </w:tc>
        <w:tc>
          <w:tcPr>
            <w:tcW w:w="1301" w:type="dxa"/>
            <w:vAlign w:val="center"/>
          </w:tcPr>
          <w:p w14:paraId="6963D894">
            <w:pPr>
              <w:jc w:val="center"/>
              <w:rPr>
                <w:rFonts w:ascii="黑体" w:hAnsi="宋体" w:eastAsia="黑体"/>
                <w:b/>
                <w:bCs/>
                <w:sz w:val="24"/>
                <w:szCs w:val="24"/>
                <w:highlight w:val="none"/>
              </w:rPr>
            </w:pPr>
          </w:p>
        </w:tc>
      </w:tr>
      <w:tr w14:paraId="2DEA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690" w:type="dxa"/>
            <w:tcMar>
              <w:top w:w="15" w:type="dxa"/>
              <w:left w:w="15" w:type="dxa"/>
              <w:bottom w:w="0" w:type="dxa"/>
              <w:right w:w="15" w:type="dxa"/>
            </w:tcMar>
            <w:vAlign w:val="center"/>
          </w:tcPr>
          <w:p w14:paraId="5A4A9289">
            <w:pPr>
              <w:jc w:val="center"/>
              <w:rPr>
                <w:rFonts w:ascii="宋体"/>
                <w:sz w:val="18"/>
                <w:highlight w:val="none"/>
              </w:rPr>
            </w:pPr>
          </w:p>
        </w:tc>
        <w:tc>
          <w:tcPr>
            <w:tcW w:w="1515" w:type="dxa"/>
            <w:tcMar>
              <w:top w:w="15" w:type="dxa"/>
              <w:left w:w="15" w:type="dxa"/>
              <w:bottom w:w="0" w:type="dxa"/>
              <w:right w:w="15" w:type="dxa"/>
            </w:tcMar>
            <w:vAlign w:val="center"/>
          </w:tcPr>
          <w:p w14:paraId="395F491B">
            <w:pPr>
              <w:jc w:val="center"/>
              <w:rPr>
                <w:rFonts w:ascii="宋体"/>
                <w:highlight w:val="none"/>
              </w:rPr>
            </w:pPr>
          </w:p>
        </w:tc>
        <w:tc>
          <w:tcPr>
            <w:tcW w:w="928" w:type="dxa"/>
            <w:tcMar>
              <w:top w:w="15" w:type="dxa"/>
              <w:left w:w="15" w:type="dxa"/>
              <w:bottom w:w="0" w:type="dxa"/>
              <w:right w:w="15" w:type="dxa"/>
            </w:tcMar>
            <w:vAlign w:val="center"/>
          </w:tcPr>
          <w:p w14:paraId="540F4527">
            <w:pPr>
              <w:pStyle w:val="29"/>
              <w:pBdr>
                <w:bottom w:val="none" w:color="auto" w:sz="0" w:space="0"/>
              </w:pBdr>
              <w:tabs>
                <w:tab w:val="clear" w:pos="4153"/>
                <w:tab w:val="clear" w:pos="8306"/>
              </w:tabs>
              <w:rPr>
                <w:rFonts w:ascii="宋体"/>
                <w:bCs/>
                <w:highlight w:val="none"/>
              </w:rPr>
            </w:pPr>
          </w:p>
        </w:tc>
        <w:tc>
          <w:tcPr>
            <w:tcW w:w="947" w:type="dxa"/>
            <w:tcMar>
              <w:top w:w="15" w:type="dxa"/>
              <w:left w:w="15" w:type="dxa"/>
              <w:bottom w:w="0" w:type="dxa"/>
              <w:right w:w="15" w:type="dxa"/>
            </w:tcMar>
            <w:vAlign w:val="center"/>
          </w:tcPr>
          <w:p w14:paraId="3E8203C6">
            <w:pPr>
              <w:jc w:val="center"/>
              <w:rPr>
                <w:rFonts w:ascii="宋体"/>
                <w:bCs/>
                <w:sz w:val="18"/>
                <w:highlight w:val="none"/>
              </w:rPr>
            </w:pPr>
          </w:p>
        </w:tc>
        <w:tc>
          <w:tcPr>
            <w:tcW w:w="1069" w:type="dxa"/>
            <w:tcMar>
              <w:top w:w="15" w:type="dxa"/>
              <w:left w:w="15" w:type="dxa"/>
              <w:bottom w:w="0" w:type="dxa"/>
              <w:right w:w="15" w:type="dxa"/>
            </w:tcMar>
            <w:vAlign w:val="center"/>
          </w:tcPr>
          <w:p w14:paraId="570DB43C">
            <w:pPr>
              <w:jc w:val="center"/>
              <w:rPr>
                <w:rFonts w:ascii="黑体" w:hAnsi="宋体" w:eastAsia="黑体"/>
                <w:b/>
                <w:bCs/>
                <w:sz w:val="24"/>
                <w:szCs w:val="24"/>
                <w:highlight w:val="none"/>
              </w:rPr>
            </w:pPr>
            <w:r>
              <w:rPr>
                <w:rFonts w:hint="eastAsia" w:ascii="黑体" w:eastAsia="黑体"/>
                <w:b/>
                <w:bCs/>
                <w:highlight w:val="none"/>
              </w:rPr>
              <w:t>　</w:t>
            </w:r>
          </w:p>
        </w:tc>
        <w:tc>
          <w:tcPr>
            <w:tcW w:w="851" w:type="dxa"/>
            <w:tcMar>
              <w:top w:w="15" w:type="dxa"/>
              <w:left w:w="15" w:type="dxa"/>
              <w:bottom w:w="0" w:type="dxa"/>
              <w:right w:w="15" w:type="dxa"/>
            </w:tcMar>
            <w:vAlign w:val="center"/>
          </w:tcPr>
          <w:p w14:paraId="5BBE41DD">
            <w:pPr>
              <w:jc w:val="center"/>
              <w:rPr>
                <w:rFonts w:ascii="黑体" w:hAnsi="宋体" w:eastAsia="黑体"/>
                <w:b/>
                <w:bCs/>
                <w:sz w:val="24"/>
                <w:szCs w:val="24"/>
                <w:highlight w:val="none"/>
              </w:rPr>
            </w:pPr>
            <w:r>
              <w:rPr>
                <w:rFonts w:hint="eastAsia" w:ascii="黑体" w:eastAsia="黑体"/>
                <w:b/>
                <w:bCs/>
                <w:highlight w:val="none"/>
              </w:rPr>
              <w:t>　</w:t>
            </w:r>
          </w:p>
        </w:tc>
        <w:tc>
          <w:tcPr>
            <w:tcW w:w="825" w:type="dxa"/>
            <w:vAlign w:val="center"/>
          </w:tcPr>
          <w:p w14:paraId="38FBD7DF">
            <w:pPr>
              <w:jc w:val="center"/>
              <w:rPr>
                <w:rFonts w:hint="eastAsia" w:ascii="黑体" w:eastAsia="黑体"/>
                <w:b/>
                <w:bCs/>
                <w:highlight w:val="none"/>
              </w:rPr>
            </w:pPr>
          </w:p>
        </w:tc>
        <w:tc>
          <w:tcPr>
            <w:tcW w:w="825" w:type="dxa"/>
            <w:vAlign w:val="center"/>
          </w:tcPr>
          <w:p w14:paraId="3A25ABDD">
            <w:pPr>
              <w:jc w:val="center"/>
              <w:rPr>
                <w:rFonts w:ascii="黑体" w:hAnsi="宋体" w:eastAsia="黑体"/>
                <w:b/>
                <w:bCs/>
                <w:sz w:val="24"/>
                <w:szCs w:val="24"/>
                <w:highlight w:val="none"/>
              </w:rPr>
            </w:pPr>
          </w:p>
        </w:tc>
        <w:tc>
          <w:tcPr>
            <w:tcW w:w="1301" w:type="dxa"/>
            <w:vAlign w:val="center"/>
          </w:tcPr>
          <w:p w14:paraId="1F0908BB">
            <w:pPr>
              <w:jc w:val="center"/>
              <w:rPr>
                <w:rFonts w:ascii="黑体" w:hAnsi="宋体" w:eastAsia="黑体"/>
                <w:b/>
                <w:bCs/>
                <w:sz w:val="24"/>
                <w:szCs w:val="24"/>
                <w:highlight w:val="none"/>
              </w:rPr>
            </w:pPr>
          </w:p>
        </w:tc>
      </w:tr>
      <w:tr w14:paraId="50380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8" w:hRule="atLeast"/>
        </w:trPr>
        <w:tc>
          <w:tcPr>
            <w:tcW w:w="690" w:type="dxa"/>
            <w:tcMar>
              <w:top w:w="15" w:type="dxa"/>
              <w:left w:w="15" w:type="dxa"/>
              <w:bottom w:w="0" w:type="dxa"/>
              <w:right w:w="15" w:type="dxa"/>
            </w:tcMar>
            <w:vAlign w:val="center"/>
          </w:tcPr>
          <w:p w14:paraId="2E36E50A">
            <w:pPr>
              <w:jc w:val="center"/>
              <w:rPr>
                <w:rFonts w:ascii="宋体"/>
                <w:sz w:val="18"/>
                <w:highlight w:val="none"/>
              </w:rPr>
            </w:pPr>
          </w:p>
        </w:tc>
        <w:tc>
          <w:tcPr>
            <w:tcW w:w="1515" w:type="dxa"/>
            <w:tcMar>
              <w:top w:w="15" w:type="dxa"/>
              <w:left w:w="15" w:type="dxa"/>
              <w:bottom w:w="0" w:type="dxa"/>
              <w:right w:w="15" w:type="dxa"/>
            </w:tcMar>
            <w:vAlign w:val="center"/>
          </w:tcPr>
          <w:p w14:paraId="6DBA8F04">
            <w:pPr>
              <w:jc w:val="center"/>
              <w:rPr>
                <w:rFonts w:hint="default" w:ascii="宋体" w:eastAsia="宋体"/>
                <w:highlight w:val="none"/>
                <w:lang w:val="en-US" w:eastAsia="zh-CN"/>
              </w:rPr>
            </w:pPr>
            <w:r>
              <w:rPr>
                <w:rFonts w:hint="eastAsia" w:ascii="宋体"/>
                <w:highlight w:val="none"/>
                <w:lang w:val="en-US" w:eastAsia="zh-CN"/>
              </w:rPr>
              <w:t>......</w:t>
            </w:r>
          </w:p>
        </w:tc>
        <w:tc>
          <w:tcPr>
            <w:tcW w:w="928" w:type="dxa"/>
            <w:tcMar>
              <w:top w:w="15" w:type="dxa"/>
              <w:left w:w="15" w:type="dxa"/>
              <w:bottom w:w="0" w:type="dxa"/>
              <w:right w:w="15" w:type="dxa"/>
            </w:tcMar>
            <w:vAlign w:val="center"/>
          </w:tcPr>
          <w:p w14:paraId="73544A05">
            <w:pPr>
              <w:pStyle w:val="29"/>
              <w:pBdr>
                <w:bottom w:val="none" w:color="auto" w:sz="0" w:space="0"/>
              </w:pBdr>
              <w:tabs>
                <w:tab w:val="clear" w:pos="4153"/>
                <w:tab w:val="clear" w:pos="8306"/>
              </w:tabs>
              <w:rPr>
                <w:rFonts w:ascii="宋体"/>
                <w:bCs/>
                <w:highlight w:val="none"/>
              </w:rPr>
            </w:pPr>
          </w:p>
        </w:tc>
        <w:tc>
          <w:tcPr>
            <w:tcW w:w="947" w:type="dxa"/>
            <w:tcMar>
              <w:top w:w="15" w:type="dxa"/>
              <w:left w:w="15" w:type="dxa"/>
              <w:bottom w:w="0" w:type="dxa"/>
              <w:right w:w="15" w:type="dxa"/>
            </w:tcMar>
            <w:vAlign w:val="center"/>
          </w:tcPr>
          <w:p w14:paraId="0C5EAAC8">
            <w:pPr>
              <w:jc w:val="center"/>
              <w:rPr>
                <w:rFonts w:ascii="宋体"/>
                <w:bCs/>
                <w:sz w:val="18"/>
                <w:highlight w:val="none"/>
              </w:rPr>
            </w:pPr>
          </w:p>
        </w:tc>
        <w:tc>
          <w:tcPr>
            <w:tcW w:w="1069" w:type="dxa"/>
            <w:tcMar>
              <w:top w:w="15" w:type="dxa"/>
              <w:left w:w="15" w:type="dxa"/>
              <w:bottom w:w="0" w:type="dxa"/>
              <w:right w:w="15" w:type="dxa"/>
            </w:tcMar>
            <w:vAlign w:val="center"/>
          </w:tcPr>
          <w:p w14:paraId="3FD1DFA4">
            <w:pPr>
              <w:jc w:val="center"/>
              <w:rPr>
                <w:rFonts w:hint="eastAsia" w:ascii="黑体" w:eastAsia="黑体"/>
                <w:b/>
                <w:bCs/>
                <w:highlight w:val="none"/>
              </w:rPr>
            </w:pPr>
          </w:p>
        </w:tc>
        <w:tc>
          <w:tcPr>
            <w:tcW w:w="851" w:type="dxa"/>
            <w:tcMar>
              <w:top w:w="15" w:type="dxa"/>
              <w:left w:w="15" w:type="dxa"/>
              <w:bottom w:w="0" w:type="dxa"/>
              <w:right w:w="15" w:type="dxa"/>
            </w:tcMar>
            <w:vAlign w:val="center"/>
          </w:tcPr>
          <w:p w14:paraId="1D600E59">
            <w:pPr>
              <w:jc w:val="center"/>
              <w:rPr>
                <w:rFonts w:hint="eastAsia" w:ascii="黑体" w:eastAsia="黑体"/>
                <w:b/>
                <w:bCs/>
                <w:highlight w:val="none"/>
              </w:rPr>
            </w:pPr>
          </w:p>
        </w:tc>
        <w:tc>
          <w:tcPr>
            <w:tcW w:w="825" w:type="dxa"/>
            <w:vAlign w:val="center"/>
          </w:tcPr>
          <w:p w14:paraId="00608836">
            <w:pPr>
              <w:jc w:val="center"/>
              <w:rPr>
                <w:rFonts w:hint="eastAsia" w:ascii="黑体" w:eastAsia="黑体"/>
                <w:b/>
                <w:bCs/>
                <w:highlight w:val="none"/>
              </w:rPr>
            </w:pPr>
          </w:p>
        </w:tc>
        <w:tc>
          <w:tcPr>
            <w:tcW w:w="825" w:type="dxa"/>
            <w:vAlign w:val="center"/>
          </w:tcPr>
          <w:p w14:paraId="0E161220">
            <w:pPr>
              <w:jc w:val="center"/>
              <w:rPr>
                <w:rFonts w:ascii="黑体" w:hAnsi="宋体" w:eastAsia="黑体"/>
                <w:b/>
                <w:bCs/>
                <w:sz w:val="24"/>
                <w:szCs w:val="24"/>
                <w:highlight w:val="none"/>
              </w:rPr>
            </w:pPr>
          </w:p>
        </w:tc>
        <w:tc>
          <w:tcPr>
            <w:tcW w:w="1301" w:type="dxa"/>
            <w:vAlign w:val="center"/>
          </w:tcPr>
          <w:p w14:paraId="1A3AA346">
            <w:pPr>
              <w:jc w:val="center"/>
              <w:rPr>
                <w:rFonts w:ascii="黑体" w:hAnsi="宋体" w:eastAsia="黑体"/>
                <w:b/>
                <w:bCs/>
                <w:sz w:val="24"/>
                <w:szCs w:val="24"/>
                <w:highlight w:val="none"/>
              </w:rPr>
            </w:pPr>
          </w:p>
        </w:tc>
      </w:tr>
    </w:tbl>
    <w:p w14:paraId="1A71DCB5">
      <w:pPr>
        <w:spacing w:line="360" w:lineRule="auto"/>
        <w:rPr>
          <w:rFonts w:ascii="黑体" w:eastAsia="黑体"/>
          <w:bCs/>
          <w:color w:val="auto"/>
          <w:sz w:val="24"/>
          <w:szCs w:val="24"/>
          <w:highlight w:val="none"/>
        </w:rPr>
      </w:pPr>
    </w:p>
    <w:p w14:paraId="1687EDAD">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bCs/>
          <w:color w:val="auto"/>
          <w:sz w:val="24"/>
          <w:szCs w:val="24"/>
          <w:highlight w:val="none"/>
        </w:rPr>
        <w:t>（1）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bCs/>
          <w:color w:val="auto"/>
          <w:sz w:val="24"/>
          <w:szCs w:val="24"/>
          <w:highlight w:val="none"/>
          <w:lang w:eastAsia="zh-CN"/>
        </w:rPr>
        <w:t>江苏筑祁园工程管理咨询有限公司</w:t>
      </w:r>
      <w:r>
        <w:rPr>
          <w:rFonts w:hint="eastAsia" w:ascii="宋体" w:hAnsi="宋体" w:eastAsia="宋体" w:cs="宋体"/>
          <w:bCs/>
          <w:color w:val="auto"/>
          <w:sz w:val="24"/>
          <w:szCs w:val="24"/>
          <w:highlight w:val="none"/>
        </w:rPr>
        <w:t>有权将相关内容进行公示；</w:t>
      </w:r>
    </w:p>
    <w:p w14:paraId="7606099C">
      <w:pPr>
        <w:pBdr>
          <w:top w:val="none" w:color="000000" w:sz="0" w:space="0"/>
          <w:left w:val="none" w:color="000000" w:sz="0" w:space="0"/>
          <w:bottom w:val="none" w:color="000000" w:sz="0" w:space="0"/>
          <w:right w:val="none" w:color="000000" w:sz="0" w:space="0"/>
        </w:pBdr>
        <w:spacing w:line="360" w:lineRule="auto"/>
        <w:ind w:firstLine="4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（2）投标人应当根据“采购需求”的内容在上表中详细填写；</w:t>
      </w:r>
    </w:p>
    <w:p w14:paraId="44AAB261">
      <w:pPr>
        <w:pBdr>
          <w:top w:val="none" w:color="000000" w:sz="0" w:space="0"/>
          <w:left w:val="none" w:color="000000" w:sz="0" w:space="0"/>
          <w:bottom w:val="none" w:color="000000" w:sz="0" w:space="0"/>
          <w:right w:val="none" w:color="000000" w:sz="0" w:space="0"/>
        </w:pBdr>
        <w:spacing w:line="360" w:lineRule="auto"/>
        <w:ind w:firstLine="420"/>
        <w:rPr>
          <w:rFonts w:ascii="黑体" w:eastAsia="黑体"/>
          <w:bCs/>
          <w:color w:val="auto"/>
          <w:sz w:val="24"/>
          <w:szCs w:val="24"/>
          <w:highlight w:val="none"/>
        </w:rPr>
        <w:sectPr>
          <w:footerReference r:id="rId11" w:type="first"/>
          <w:footerReference r:id="rId10" w:type="default"/>
          <w:pgSz w:w="11906" w:h="16838"/>
          <w:pgMar w:top="697" w:right="1732" w:bottom="850" w:left="1774" w:header="624" w:footer="907" w:gutter="0"/>
          <w:cols w:space="425" w:num="1"/>
          <w:docGrid w:linePitch="360" w:charSpace="0"/>
        </w:sectPr>
      </w:pPr>
      <w:r>
        <w:rPr>
          <w:rFonts w:hint="eastAsia" w:ascii="宋体" w:hAnsi="宋体" w:eastAsia="宋体" w:cs="宋体"/>
          <w:bCs/>
          <w:color w:val="auto"/>
          <w:sz w:val="24"/>
          <w:szCs w:val="24"/>
          <w:highlight w:val="none"/>
        </w:rPr>
        <w:t>（3）表格不够可自行延长。</w:t>
      </w:r>
    </w:p>
    <w:p w14:paraId="3F10E9C6">
      <w:pPr>
        <w:spacing w:line="360" w:lineRule="auto"/>
        <w:rPr>
          <w:b/>
          <w:color w:val="auto"/>
          <w:sz w:val="28"/>
          <w:szCs w:val="28"/>
          <w:highlight w:val="none"/>
        </w:rPr>
      </w:pPr>
      <w:bookmarkStart w:id="157" w:name="_Toc120614284"/>
      <w:r>
        <w:rPr>
          <w:rFonts w:hint="eastAsia"/>
          <w:b/>
          <w:color w:val="auto"/>
          <w:sz w:val="28"/>
          <w:szCs w:val="28"/>
          <w:highlight w:val="none"/>
        </w:rPr>
        <w:t>十</w:t>
      </w:r>
      <w:r>
        <w:rPr>
          <w:rFonts w:hint="eastAsia" w:eastAsia="黑体"/>
          <w:b/>
          <w:color w:val="auto"/>
          <w:sz w:val="28"/>
          <w:szCs w:val="28"/>
          <w:highlight w:val="none"/>
        </w:rPr>
        <w:t>一</w:t>
      </w:r>
      <w:r>
        <w:rPr>
          <w:b/>
          <w:color w:val="auto"/>
          <w:sz w:val="28"/>
          <w:szCs w:val="28"/>
          <w:highlight w:val="none"/>
        </w:rPr>
        <w:t>、</w:t>
      </w:r>
      <w:r>
        <w:rPr>
          <w:rFonts w:hint="eastAsia"/>
          <w:b/>
          <w:color w:val="auto"/>
          <w:sz w:val="28"/>
          <w:szCs w:val="28"/>
          <w:highlight w:val="none"/>
        </w:rPr>
        <w:t>投标偏离表（给定格式）：</w:t>
      </w:r>
    </w:p>
    <w:p w14:paraId="51BF56C3">
      <w:pPr>
        <w:spacing w:line="360" w:lineRule="auto"/>
        <w:ind w:firstLine="490"/>
        <w:jc w:val="center"/>
        <w:outlineLvl w:val="0"/>
        <w:rPr>
          <w:rFonts w:ascii="黑体" w:eastAsia="黑体"/>
          <w:bCs/>
          <w:color w:val="auto"/>
          <w:sz w:val="28"/>
          <w:szCs w:val="28"/>
          <w:highlight w:val="none"/>
        </w:rPr>
      </w:pPr>
    </w:p>
    <w:p w14:paraId="444B3DB7">
      <w:pPr>
        <w:spacing w:line="360" w:lineRule="auto"/>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2736D7B9">
      <w:pPr>
        <w:spacing w:line="360" w:lineRule="auto"/>
        <w:jc w:val="center"/>
        <w:outlineLvl w:val="0"/>
        <w:rPr>
          <w:rFonts w:ascii="黑体" w:eastAsia="黑体"/>
          <w:bCs/>
          <w:color w:val="auto"/>
          <w:sz w:val="28"/>
          <w:szCs w:val="28"/>
          <w:highlight w:val="none"/>
        </w:rPr>
      </w:pPr>
    </w:p>
    <w:p w14:paraId="29C29FF0">
      <w:pPr>
        <w:spacing w:line="360" w:lineRule="auto"/>
        <w:jc w:val="center"/>
        <w:outlineLvl w:val="0"/>
        <w:rPr>
          <w:rFonts w:ascii="黑体" w:eastAsia="黑体"/>
          <w:bCs/>
          <w:color w:val="auto"/>
          <w:sz w:val="28"/>
          <w:szCs w:val="28"/>
          <w:highlight w:val="none"/>
        </w:rPr>
      </w:pPr>
    </w:p>
    <w:p w14:paraId="7B63F3A1">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6"/>
        <w:tblW w:w="9885" w:type="dxa"/>
        <w:jc w:val="center"/>
        <w:tblLayout w:type="fixed"/>
        <w:tblCellMar>
          <w:top w:w="0" w:type="dxa"/>
          <w:left w:w="0" w:type="dxa"/>
          <w:bottom w:w="0" w:type="dxa"/>
          <w:right w:w="0" w:type="dxa"/>
        </w:tblCellMar>
      </w:tblPr>
      <w:tblGrid>
        <w:gridCol w:w="1905"/>
        <w:gridCol w:w="2835"/>
        <w:gridCol w:w="2835"/>
        <w:gridCol w:w="2310"/>
      </w:tblGrid>
      <w:tr w14:paraId="1320E903">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A62BAD6">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4D038201">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6769ECFD">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787A4FC7">
            <w:pPr>
              <w:spacing w:line="360" w:lineRule="auto"/>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129CCB62">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B0B18F4">
            <w:pPr>
              <w:spacing w:line="360" w:lineRule="auto"/>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5161E4B">
            <w:pPr>
              <w:spacing w:line="360" w:lineRule="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1A9A705">
            <w:pPr>
              <w:spacing w:line="360" w:lineRule="auto"/>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7A74ADF7">
            <w:pPr>
              <w:spacing w:line="360" w:lineRule="auto"/>
              <w:jc w:val="center"/>
              <w:rPr>
                <w:rFonts w:ascii="宋体"/>
                <w:bCs/>
                <w:color w:val="auto"/>
                <w:highlight w:val="none"/>
              </w:rPr>
            </w:pPr>
          </w:p>
        </w:tc>
      </w:tr>
    </w:tbl>
    <w:p w14:paraId="41508369">
      <w:pPr>
        <w:spacing w:line="360" w:lineRule="auto"/>
        <w:rPr>
          <w:rFonts w:ascii="黑体" w:eastAsia="黑体"/>
          <w:bCs/>
          <w:color w:val="auto"/>
          <w:sz w:val="24"/>
          <w:szCs w:val="24"/>
          <w:highlight w:val="none"/>
        </w:rPr>
      </w:pPr>
    </w:p>
    <w:p w14:paraId="2B72F5A3">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47F7DEC3">
      <w:pPr>
        <w:spacing w:line="360" w:lineRule="auto"/>
        <w:ind w:firstLine="420"/>
        <w:outlineLvl w:val="0"/>
        <w:rPr>
          <w:rFonts w:ascii="宋体" w:hAnsi="宋体"/>
          <w:bCs/>
          <w:color w:val="auto"/>
          <w:sz w:val="24"/>
          <w:szCs w:val="24"/>
          <w:highlight w:val="none"/>
        </w:rPr>
      </w:pPr>
    </w:p>
    <w:p w14:paraId="476C68F1">
      <w:pPr>
        <w:spacing w:line="360" w:lineRule="auto"/>
        <w:ind w:firstLine="420"/>
        <w:outlineLvl w:val="0"/>
        <w:rPr>
          <w:rFonts w:ascii="宋体" w:hAnsi="宋体"/>
          <w:bCs/>
          <w:color w:val="auto"/>
          <w:sz w:val="24"/>
          <w:szCs w:val="24"/>
          <w:highlight w:val="none"/>
        </w:rPr>
      </w:pPr>
    </w:p>
    <w:p w14:paraId="05E7F8B9">
      <w:pPr>
        <w:spacing w:line="360" w:lineRule="auto"/>
        <w:ind w:firstLine="420"/>
        <w:outlineLvl w:val="0"/>
        <w:rPr>
          <w:rFonts w:ascii="宋体" w:hAnsi="宋体"/>
          <w:bCs/>
          <w:color w:val="auto"/>
          <w:sz w:val="24"/>
          <w:szCs w:val="24"/>
          <w:highlight w:val="none"/>
        </w:rPr>
      </w:pPr>
    </w:p>
    <w:p w14:paraId="45A84883">
      <w:pPr>
        <w:spacing w:line="360" w:lineRule="auto"/>
        <w:ind w:firstLine="420"/>
        <w:outlineLvl w:val="0"/>
        <w:rPr>
          <w:rFonts w:ascii="宋体" w:hAnsi="宋体"/>
          <w:bCs/>
          <w:color w:val="auto"/>
          <w:sz w:val="24"/>
          <w:szCs w:val="24"/>
          <w:highlight w:val="none"/>
        </w:rPr>
      </w:pPr>
    </w:p>
    <w:p w14:paraId="1C95F427">
      <w:pPr>
        <w:spacing w:line="360" w:lineRule="auto"/>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6A8246D0">
      <w:pPr>
        <w:spacing w:line="360" w:lineRule="auto"/>
        <w:ind w:firstLine="480"/>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176EABC">
      <w:pPr>
        <w:spacing w:line="360" w:lineRule="auto"/>
        <w:ind w:firstLine="480"/>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（3）如有技术偏离项，请于本表中列明偏离内容，如需要可自行延长，其余无偏离内容不须赘述。</w:t>
      </w:r>
      <w:bookmarkEnd w:id="157"/>
      <w:bookmarkStart w:id="158" w:name="_格式2__法定代表人授权书"/>
      <w:bookmarkEnd w:id="158"/>
      <w:bookmarkStart w:id="159" w:name="_Hlt26671374"/>
      <w:bookmarkEnd w:id="159"/>
      <w:bookmarkStart w:id="160" w:name="_Hlt26955066"/>
      <w:bookmarkEnd w:id="160"/>
      <w:bookmarkStart w:id="161" w:name="_Hlt26609389"/>
      <w:bookmarkEnd w:id="161"/>
    </w:p>
    <w:p w14:paraId="6F6628E4">
      <w:pPr>
        <w:spacing w:line="360" w:lineRule="auto"/>
        <w:ind w:firstLine="420"/>
        <w:outlineLvl w:val="0"/>
        <w:rPr>
          <w:rFonts w:ascii="宋体" w:hAnsi="宋体"/>
          <w:bCs/>
          <w:color w:val="auto"/>
          <w:sz w:val="24"/>
          <w:szCs w:val="24"/>
          <w:highlight w:val="none"/>
        </w:rPr>
      </w:pPr>
    </w:p>
    <w:p w14:paraId="242DEAE5">
      <w:pPr>
        <w:spacing w:line="360" w:lineRule="auto"/>
        <w:ind w:firstLine="420"/>
        <w:outlineLvl w:val="0"/>
        <w:rPr>
          <w:rFonts w:ascii="宋体" w:hAnsi="宋体"/>
          <w:bCs/>
          <w:color w:val="auto"/>
          <w:sz w:val="24"/>
          <w:szCs w:val="24"/>
          <w:highlight w:val="none"/>
        </w:rPr>
      </w:pPr>
    </w:p>
    <w:p w14:paraId="4A28ABC3">
      <w:pPr>
        <w:spacing w:line="360" w:lineRule="auto"/>
        <w:rPr>
          <w:color w:val="auto"/>
          <w:highlight w:val="none"/>
        </w:rPr>
      </w:pPr>
    </w:p>
    <w:p w14:paraId="0A3894BE">
      <w:pPr>
        <w:spacing w:line="360" w:lineRule="auto"/>
        <w:outlineLvl w:val="0"/>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十二、项目人员配置表（格式）</w:t>
      </w:r>
    </w:p>
    <w:p w14:paraId="03C9670B">
      <w:pPr>
        <w:spacing w:line="360" w:lineRule="auto"/>
        <w:ind w:firstLine="420"/>
        <w:outlineLvl w:val="0"/>
        <w:rPr>
          <w:rFonts w:ascii="黑体" w:hAnsi="宋体" w:eastAsia="黑体"/>
          <w:bCs/>
          <w:color w:val="auto"/>
          <w:sz w:val="24"/>
          <w:szCs w:val="24"/>
          <w:highlight w:val="none"/>
        </w:rPr>
      </w:pPr>
    </w:p>
    <w:p w14:paraId="2A08071D">
      <w:pPr>
        <w:pStyle w:val="179"/>
        <w:jc w:val="center"/>
        <w:rPr>
          <w:rFonts w:ascii="Times New Roman" w:hAnsi="Times New Roman" w:eastAsia="黑体"/>
          <w:bCs/>
          <w:color w:val="auto"/>
          <w:sz w:val="28"/>
          <w:szCs w:val="28"/>
          <w:highlight w:val="none"/>
        </w:rPr>
      </w:pPr>
      <w:r>
        <w:rPr>
          <w:rFonts w:hint="eastAsia" w:ascii="Times New Roman" w:hAnsi="Times New Roman" w:eastAsia="黑体"/>
          <w:bCs/>
          <w:color w:val="auto"/>
          <w:sz w:val="28"/>
          <w:szCs w:val="28"/>
          <w:highlight w:val="none"/>
        </w:rPr>
        <w:t>项目人员配置表</w:t>
      </w:r>
    </w:p>
    <w:p w14:paraId="54DC79A6">
      <w:pPr>
        <w:spacing w:line="360" w:lineRule="auto"/>
        <w:jc w:val="center"/>
        <w:rPr>
          <w:rFonts w:ascii="黑体" w:eastAsia="黑体"/>
          <w:bCs/>
          <w:color w:val="auto"/>
          <w:sz w:val="28"/>
          <w:szCs w:val="28"/>
          <w:highlight w:val="none"/>
        </w:rPr>
      </w:pPr>
    </w:p>
    <w:p w14:paraId="7953882A">
      <w:pPr>
        <w:spacing w:line="360" w:lineRule="auto"/>
        <w:ind w:firstLine="480"/>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46"/>
        <w:tblW w:w="93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6"/>
        <w:gridCol w:w="1947"/>
        <w:gridCol w:w="1150"/>
        <w:gridCol w:w="1228"/>
        <w:gridCol w:w="1167"/>
        <w:gridCol w:w="1167"/>
        <w:gridCol w:w="1841"/>
      </w:tblGrid>
      <w:tr w14:paraId="4F16E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876" w:type="dxa"/>
            <w:vAlign w:val="center"/>
          </w:tcPr>
          <w:p w14:paraId="780CB2B5">
            <w:pPr>
              <w:jc w:val="center"/>
              <w:rPr>
                <w:color w:val="auto"/>
                <w:highlight w:val="none"/>
              </w:rPr>
            </w:pPr>
            <w:r>
              <w:rPr>
                <w:rFonts w:hint="eastAsia"/>
                <w:color w:val="auto"/>
                <w:highlight w:val="none"/>
              </w:rPr>
              <w:t xml:space="preserve">序 </w:t>
            </w:r>
            <w:r>
              <w:rPr>
                <w:rFonts w:hint="eastAsia" w:ascii="宋体"/>
                <w:color w:val="auto"/>
                <w:highlight w:val="none"/>
              </w:rPr>
              <w:t>号</w:t>
            </w:r>
          </w:p>
        </w:tc>
        <w:tc>
          <w:tcPr>
            <w:tcW w:w="1947" w:type="dxa"/>
            <w:vAlign w:val="center"/>
          </w:tcPr>
          <w:p w14:paraId="0557FD67">
            <w:pPr>
              <w:jc w:val="center"/>
              <w:rPr>
                <w:color w:val="auto"/>
                <w:highlight w:val="none"/>
              </w:rPr>
            </w:pPr>
            <w:r>
              <w:rPr>
                <w:rFonts w:hint="eastAsia"/>
                <w:color w:val="auto"/>
                <w:highlight w:val="none"/>
              </w:rPr>
              <w:t>姓</w:t>
            </w:r>
            <w:r>
              <w:rPr>
                <w:rFonts w:eastAsia="Times New Roman"/>
                <w:color w:val="auto"/>
                <w:highlight w:val="none"/>
              </w:rPr>
              <w:t xml:space="preserve"> </w:t>
            </w:r>
            <w:r>
              <w:rPr>
                <w:rFonts w:hint="eastAsia" w:ascii="宋体"/>
                <w:color w:val="auto"/>
                <w:highlight w:val="none"/>
              </w:rPr>
              <w:t>名</w:t>
            </w:r>
          </w:p>
        </w:tc>
        <w:tc>
          <w:tcPr>
            <w:tcW w:w="1150" w:type="dxa"/>
            <w:vAlign w:val="center"/>
          </w:tcPr>
          <w:p w14:paraId="43AE0FAD">
            <w:pPr>
              <w:jc w:val="center"/>
              <w:rPr>
                <w:color w:val="auto"/>
                <w:highlight w:val="none"/>
              </w:rPr>
            </w:pPr>
            <w:r>
              <w:rPr>
                <w:rFonts w:hint="eastAsia"/>
                <w:color w:val="auto"/>
                <w:highlight w:val="none"/>
              </w:rPr>
              <w:t xml:space="preserve">年 </w:t>
            </w:r>
            <w:r>
              <w:rPr>
                <w:rFonts w:hint="eastAsia" w:ascii="宋体"/>
                <w:color w:val="auto"/>
                <w:highlight w:val="none"/>
              </w:rPr>
              <w:t>龄</w:t>
            </w:r>
          </w:p>
        </w:tc>
        <w:tc>
          <w:tcPr>
            <w:tcW w:w="1228" w:type="dxa"/>
            <w:vAlign w:val="center"/>
          </w:tcPr>
          <w:p w14:paraId="038995E7">
            <w:pPr>
              <w:jc w:val="center"/>
              <w:rPr>
                <w:color w:val="auto"/>
                <w:highlight w:val="none"/>
              </w:rPr>
            </w:pPr>
            <w:r>
              <w:rPr>
                <w:rFonts w:hint="eastAsia"/>
                <w:color w:val="auto"/>
                <w:highlight w:val="none"/>
              </w:rPr>
              <w:t xml:space="preserve">性 </w:t>
            </w:r>
            <w:r>
              <w:rPr>
                <w:rFonts w:hint="eastAsia" w:ascii="宋体"/>
                <w:color w:val="auto"/>
                <w:highlight w:val="none"/>
              </w:rPr>
              <w:t>别</w:t>
            </w:r>
          </w:p>
        </w:tc>
        <w:tc>
          <w:tcPr>
            <w:tcW w:w="1167" w:type="dxa"/>
            <w:vAlign w:val="center"/>
          </w:tcPr>
          <w:p w14:paraId="75CD778A">
            <w:pPr>
              <w:jc w:val="center"/>
              <w:rPr>
                <w:color w:val="auto"/>
                <w:highlight w:val="none"/>
              </w:rPr>
            </w:pPr>
            <w:r>
              <w:rPr>
                <w:rFonts w:hint="eastAsia"/>
                <w:color w:val="auto"/>
                <w:highlight w:val="none"/>
              </w:rPr>
              <w:t>证书</w:t>
            </w:r>
          </w:p>
        </w:tc>
        <w:tc>
          <w:tcPr>
            <w:tcW w:w="1167" w:type="dxa"/>
            <w:vAlign w:val="center"/>
          </w:tcPr>
          <w:p w14:paraId="369C2FF8">
            <w:pPr>
              <w:jc w:val="center"/>
              <w:rPr>
                <w:color w:val="auto"/>
                <w:highlight w:val="none"/>
              </w:rPr>
            </w:pPr>
            <w:r>
              <w:rPr>
                <w:rFonts w:hint="eastAsia"/>
                <w:color w:val="auto"/>
                <w:highlight w:val="none"/>
              </w:rPr>
              <w:t xml:space="preserve">学 </w:t>
            </w:r>
            <w:r>
              <w:rPr>
                <w:rFonts w:hint="eastAsia" w:ascii="宋体"/>
                <w:color w:val="auto"/>
                <w:highlight w:val="none"/>
              </w:rPr>
              <w:t>历</w:t>
            </w:r>
          </w:p>
        </w:tc>
        <w:tc>
          <w:tcPr>
            <w:tcW w:w="1841" w:type="dxa"/>
            <w:vAlign w:val="center"/>
          </w:tcPr>
          <w:p w14:paraId="17796892">
            <w:pPr>
              <w:jc w:val="center"/>
              <w:rPr>
                <w:color w:val="auto"/>
                <w:highlight w:val="none"/>
              </w:rPr>
            </w:pPr>
            <w:r>
              <w:rPr>
                <w:rFonts w:hint="eastAsia" w:hAnsi="宋体" w:cs="宋体"/>
                <w:color w:val="auto"/>
                <w:highlight w:val="none"/>
              </w:rPr>
              <w:t>在</w:t>
            </w:r>
            <w:r>
              <w:rPr>
                <w:color w:val="auto"/>
                <w:highlight w:val="none"/>
              </w:rPr>
              <w:t>本项目拟任</w:t>
            </w:r>
            <w:r>
              <w:rPr>
                <w:rFonts w:hint="eastAsia"/>
                <w:color w:val="auto"/>
                <w:highlight w:val="none"/>
              </w:rPr>
              <w:t>职</w:t>
            </w:r>
            <w:r>
              <w:rPr>
                <w:rFonts w:hint="eastAsia" w:ascii="宋体"/>
                <w:color w:val="auto"/>
                <w:highlight w:val="none"/>
              </w:rPr>
              <w:t>务</w:t>
            </w:r>
          </w:p>
        </w:tc>
      </w:tr>
      <w:tr w14:paraId="78BB6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081BCA31">
            <w:pPr>
              <w:rPr>
                <w:color w:val="auto"/>
                <w:highlight w:val="none"/>
              </w:rPr>
            </w:pPr>
          </w:p>
        </w:tc>
        <w:tc>
          <w:tcPr>
            <w:tcW w:w="1947" w:type="dxa"/>
            <w:vAlign w:val="center"/>
          </w:tcPr>
          <w:p w14:paraId="32C3F874">
            <w:pPr>
              <w:rPr>
                <w:color w:val="auto"/>
                <w:highlight w:val="none"/>
              </w:rPr>
            </w:pPr>
          </w:p>
        </w:tc>
        <w:tc>
          <w:tcPr>
            <w:tcW w:w="1150" w:type="dxa"/>
            <w:vAlign w:val="center"/>
          </w:tcPr>
          <w:p w14:paraId="4076A1AE">
            <w:pPr>
              <w:rPr>
                <w:color w:val="auto"/>
                <w:highlight w:val="none"/>
              </w:rPr>
            </w:pPr>
          </w:p>
        </w:tc>
        <w:tc>
          <w:tcPr>
            <w:tcW w:w="1228" w:type="dxa"/>
            <w:vAlign w:val="center"/>
          </w:tcPr>
          <w:p w14:paraId="21D607EA">
            <w:pPr>
              <w:rPr>
                <w:color w:val="auto"/>
                <w:highlight w:val="none"/>
              </w:rPr>
            </w:pPr>
          </w:p>
        </w:tc>
        <w:tc>
          <w:tcPr>
            <w:tcW w:w="1167" w:type="dxa"/>
            <w:vAlign w:val="center"/>
          </w:tcPr>
          <w:p w14:paraId="248B9841">
            <w:pPr>
              <w:rPr>
                <w:color w:val="auto"/>
                <w:highlight w:val="none"/>
              </w:rPr>
            </w:pPr>
          </w:p>
        </w:tc>
        <w:tc>
          <w:tcPr>
            <w:tcW w:w="1167" w:type="dxa"/>
            <w:vAlign w:val="center"/>
          </w:tcPr>
          <w:p w14:paraId="37882160">
            <w:pPr>
              <w:rPr>
                <w:color w:val="auto"/>
                <w:highlight w:val="none"/>
              </w:rPr>
            </w:pPr>
          </w:p>
        </w:tc>
        <w:tc>
          <w:tcPr>
            <w:tcW w:w="1841" w:type="dxa"/>
            <w:vAlign w:val="center"/>
          </w:tcPr>
          <w:p w14:paraId="3FB750B7">
            <w:pPr>
              <w:rPr>
                <w:color w:val="auto"/>
                <w:highlight w:val="none"/>
              </w:rPr>
            </w:pPr>
          </w:p>
        </w:tc>
      </w:tr>
      <w:tr w14:paraId="6A89D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7E5236DC">
            <w:pPr>
              <w:rPr>
                <w:color w:val="auto"/>
                <w:highlight w:val="none"/>
              </w:rPr>
            </w:pPr>
          </w:p>
        </w:tc>
        <w:tc>
          <w:tcPr>
            <w:tcW w:w="1947" w:type="dxa"/>
            <w:vAlign w:val="center"/>
          </w:tcPr>
          <w:p w14:paraId="1F9F0CD4">
            <w:pPr>
              <w:rPr>
                <w:color w:val="auto"/>
                <w:highlight w:val="none"/>
              </w:rPr>
            </w:pPr>
          </w:p>
        </w:tc>
        <w:tc>
          <w:tcPr>
            <w:tcW w:w="1150" w:type="dxa"/>
            <w:vAlign w:val="center"/>
          </w:tcPr>
          <w:p w14:paraId="627C1B8D">
            <w:pPr>
              <w:rPr>
                <w:color w:val="auto"/>
                <w:highlight w:val="none"/>
              </w:rPr>
            </w:pPr>
          </w:p>
        </w:tc>
        <w:tc>
          <w:tcPr>
            <w:tcW w:w="1228" w:type="dxa"/>
            <w:vAlign w:val="center"/>
          </w:tcPr>
          <w:p w14:paraId="22ED6CAF">
            <w:pPr>
              <w:rPr>
                <w:color w:val="auto"/>
                <w:highlight w:val="none"/>
              </w:rPr>
            </w:pPr>
          </w:p>
        </w:tc>
        <w:tc>
          <w:tcPr>
            <w:tcW w:w="1167" w:type="dxa"/>
            <w:vAlign w:val="center"/>
          </w:tcPr>
          <w:p w14:paraId="07142A7C">
            <w:pPr>
              <w:rPr>
                <w:color w:val="auto"/>
                <w:highlight w:val="none"/>
              </w:rPr>
            </w:pPr>
          </w:p>
        </w:tc>
        <w:tc>
          <w:tcPr>
            <w:tcW w:w="1167" w:type="dxa"/>
            <w:vAlign w:val="center"/>
          </w:tcPr>
          <w:p w14:paraId="5E36F8F2">
            <w:pPr>
              <w:rPr>
                <w:color w:val="auto"/>
                <w:highlight w:val="none"/>
              </w:rPr>
            </w:pPr>
          </w:p>
        </w:tc>
        <w:tc>
          <w:tcPr>
            <w:tcW w:w="1841" w:type="dxa"/>
            <w:vAlign w:val="center"/>
          </w:tcPr>
          <w:p w14:paraId="4F07EB78">
            <w:pPr>
              <w:rPr>
                <w:color w:val="auto"/>
                <w:highlight w:val="none"/>
              </w:rPr>
            </w:pPr>
          </w:p>
        </w:tc>
      </w:tr>
      <w:tr w14:paraId="18269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49652B80">
            <w:pPr>
              <w:rPr>
                <w:color w:val="auto"/>
                <w:highlight w:val="none"/>
              </w:rPr>
            </w:pPr>
          </w:p>
        </w:tc>
        <w:tc>
          <w:tcPr>
            <w:tcW w:w="1947" w:type="dxa"/>
            <w:vAlign w:val="center"/>
          </w:tcPr>
          <w:p w14:paraId="48A0EDD0">
            <w:pPr>
              <w:rPr>
                <w:color w:val="auto"/>
                <w:highlight w:val="none"/>
              </w:rPr>
            </w:pPr>
          </w:p>
        </w:tc>
        <w:tc>
          <w:tcPr>
            <w:tcW w:w="1150" w:type="dxa"/>
            <w:vAlign w:val="center"/>
          </w:tcPr>
          <w:p w14:paraId="12A877EF">
            <w:pPr>
              <w:rPr>
                <w:color w:val="auto"/>
                <w:highlight w:val="none"/>
              </w:rPr>
            </w:pPr>
          </w:p>
        </w:tc>
        <w:tc>
          <w:tcPr>
            <w:tcW w:w="1228" w:type="dxa"/>
            <w:vAlign w:val="center"/>
          </w:tcPr>
          <w:p w14:paraId="3C7AB466">
            <w:pPr>
              <w:rPr>
                <w:color w:val="auto"/>
                <w:highlight w:val="none"/>
              </w:rPr>
            </w:pPr>
          </w:p>
        </w:tc>
        <w:tc>
          <w:tcPr>
            <w:tcW w:w="1167" w:type="dxa"/>
            <w:vAlign w:val="center"/>
          </w:tcPr>
          <w:p w14:paraId="423D7D03">
            <w:pPr>
              <w:rPr>
                <w:color w:val="auto"/>
                <w:highlight w:val="none"/>
              </w:rPr>
            </w:pPr>
          </w:p>
        </w:tc>
        <w:tc>
          <w:tcPr>
            <w:tcW w:w="1167" w:type="dxa"/>
            <w:vAlign w:val="center"/>
          </w:tcPr>
          <w:p w14:paraId="294356C9">
            <w:pPr>
              <w:rPr>
                <w:color w:val="auto"/>
                <w:highlight w:val="none"/>
              </w:rPr>
            </w:pPr>
          </w:p>
        </w:tc>
        <w:tc>
          <w:tcPr>
            <w:tcW w:w="1841" w:type="dxa"/>
            <w:vAlign w:val="center"/>
          </w:tcPr>
          <w:p w14:paraId="4D798516">
            <w:pPr>
              <w:rPr>
                <w:color w:val="auto"/>
                <w:highlight w:val="none"/>
              </w:rPr>
            </w:pPr>
          </w:p>
        </w:tc>
      </w:tr>
      <w:tr w14:paraId="070A7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24876874">
            <w:pPr>
              <w:rPr>
                <w:color w:val="auto"/>
                <w:highlight w:val="none"/>
              </w:rPr>
            </w:pPr>
          </w:p>
        </w:tc>
        <w:tc>
          <w:tcPr>
            <w:tcW w:w="1947" w:type="dxa"/>
            <w:vAlign w:val="center"/>
          </w:tcPr>
          <w:p w14:paraId="30BE00AC">
            <w:pPr>
              <w:rPr>
                <w:color w:val="auto"/>
                <w:highlight w:val="none"/>
              </w:rPr>
            </w:pPr>
          </w:p>
        </w:tc>
        <w:tc>
          <w:tcPr>
            <w:tcW w:w="1150" w:type="dxa"/>
            <w:vAlign w:val="center"/>
          </w:tcPr>
          <w:p w14:paraId="107FAFB6">
            <w:pPr>
              <w:rPr>
                <w:color w:val="auto"/>
                <w:highlight w:val="none"/>
              </w:rPr>
            </w:pPr>
          </w:p>
        </w:tc>
        <w:tc>
          <w:tcPr>
            <w:tcW w:w="1228" w:type="dxa"/>
            <w:vAlign w:val="center"/>
          </w:tcPr>
          <w:p w14:paraId="27EFE453">
            <w:pPr>
              <w:rPr>
                <w:color w:val="auto"/>
                <w:highlight w:val="none"/>
              </w:rPr>
            </w:pPr>
          </w:p>
        </w:tc>
        <w:tc>
          <w:tcPr>
            <w:tcW w:w="1167" w:type="dxa"/>
            <w:vAlign w:val="center"/>
          </w:tcPr>
          <w:p w14:paraId="0A03CFF5">
            <w:pPr>
              <w:rPr>
                <w:color w:val="auto"/>
                <w:highlight w:val="none"/>
              </w:rPr>
            </w:pPr>
          </w:p>
        </w:tc>
        <w:tc>
          <w:tcPr>
            <w:tcW w:w="1167" w:type="dxa"/>
            <w:vAlign w:val="center"/>
          </w:tcPr>
          <w:p w14:paraId="25FC5817">
            <w:pPr>
              <w:rPr>
                <w:color w:val="auto"/>
                <w:highlight w:val="none"/>
              </w:rPr>
            </w:pPr>
          </w:p>
        </w:tc>
        <w:tc>
          <w:tcPr>
            <w:tcW w:w="1841" w:type="dxa"/>
            <w:vAlign w:val="center"/>
          </w:tcPr>
          <w:p w14:paraId="0A83A84D">
            <w:pPr>
              <w:rPr>
                <w:color w:val="auto"/>
                <w:highlight w:val="none"/>
              </w:rPr>
            </w:pPr>
          </w:p>
        </w:tc>
      </w:tr>
      <w:tr w14:paraId="1B13E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7A851521">
            <w:pPr>
              <w:rPr>
                <w:color w:val="auto"/>
                <w:highlight w:val="none"/>
              </w:rPr>
            </w:pPr>
          </w:p>
        </w:tc>
        <w:tc>
          <w:tcPr>
            <w:tcW w:w="1947" w:type="dxa"/>
            <w:vAlign w:val="center"/>
          </w:tcPr>
          <w:p w14:paraId="096EE12E">
            <w:pPr>
              <w:rPr>
                <w:color w:val="auto"/>
                <w:highlight w:val="none"/>
              </w:rPr>
            </w:pPr>
          </w:p>
        </w:tc>
        <w:tc>
          <w:tcPr>
            <w:tcW w:w="1150" w:type="dxa"/>
            <w:vAlign w:val="center"/>
          </w:tcPr>
          <w:p w14:paraId="27788B40">
            <w:pPr>
              <w:rPr>
                <w:color w:val="auto"/>
                <w:highlight w:val="none"/>
              </w:rPr>
            </w:pPr>
          </w:p>
        </w:tc>
        <w:tc>
          <w:tcPr>
            <w:tcW w:w="1228" w:type="dxa"/>
            <w:vAlign w:val="center"/>
          </w:tcPr>
          <w:p w14:paraId="02FC400C">
            <w:pPr>
              <w:rPr>
                <w:color w:val="auto"/>
                <w:highlight w:val="none"/>
              </w:rPr>
            </w:pPr>
          </w:p>
        </w:tc>
        <w:tc>
          <w:tcPr>
            <w:tcW w:w="1167" w:type="dxa"/>
            <w:vAlign w:val="center"/>
          </w:tcPr>
          <w:p w14:paraId="5DF997B0">
            <w:pPr>
              <w:rPr>
                <w:color w:val="auto"/>
                <w:highlight w:val="none"/>
              </w:rPr>
            </w:pPr>
          </w:p>
        </w:tc>
        <w:tc>
          <w:tcPr>
            <w:tcW w:w="1167" w:type="dxa"/>
            <w:vAlign w:val="center"/>
          </w:tcPr>
          <w:p w14:paraId="7A7E95A3">
            <w:pPr>
              <w:rPr>
                <w:color w:val="auto"/>
                <w:highlight w:val="none"/>
              </w:rPr>
            </w:pPr>
          </w:p>
        </w:tc>
        <w:tc>
          <w:tcPr>
            <w:tcW w:w="1841" w:type="dxa"/>
            <w:vAlign w:val="center"/>
          </w:tcPr>
          <w:p w14:paraId="698ED441">
            <w:pPr>
              <w:rPr>
                <w:color w:val="auto"/>
                <w:highlight w:val="none"/>
              </w:rPr>
            </w:pPr>
          </w:p>
        </w:tc>
      </w:tr>
      <w:tr w14:paraId="2A60A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268F5056">
            <w:pPr>
              <w:rPr>
                <w:color w:val="auto"/>
                <w:highlight w:val="none"/>
              </w:rPr>
            </w:pPr>
          </w:p>
        </w:tc>
        <w:tc>
          <w:tcPr>
            <w:tcW w:w="1947" w:type="dxa"/>
            <w:vAlign w:val="center"/>
          </w:tcPr>
          <w:p w14:paraId="30534E80">
            <w:pPr>
              <w:rPr>
                <w:color w:val="auto"/>
                <w:highlight w:val="none"/>
              </w:rPr>
            </w:pPr>
          </w:p>
        </w:tc>
        <w:tc>
          <w:tcPr>
            <w:tcW w:w="1150" w:type="dxa"/>
            <w:vAlign w:val="center"/>
          </w:tcPr>
          <w:p w14:paraId="5FF53036">
            <w:pPr>
              <w:rPr>
                <w:color w:val="auto"/>
                <w:highlight w:val="none"/>
              </w:rPr>
            </w:pPr>
          </w:p>
        </w:tc>
        <w:tc>
          <w:tcPr>
            <w:tcW w:w="1228" w:type="dxa"/>
            <w:vAlign w:val="center"/>
          </w:tcPr>
          <w:p w14:paraId="6B38A2E4">
            <w:pPr>
              <w:rPr>
                <w:color w:val="auto"/>
                <w:highlight w:val="none"/>
              </w:rPr>
            </w:pPr>
          </w:p>
        </w:tc>
        <w:tc>
          <w:tcPr>
            <w:tcW w:w="1167" w:type="dxa"/>
            <w:vAlign w:val="center"/>
          </w:tcPr>
          <w:p w14:paraId="70FB0259">
            <w:pPr>
              <w:rPr>
                <w:color w:val="auto"/>
                <w:highlight w:val="none"/>
              </w:rPr>
            </w:pPr>
          </w:p>
        </w:tc>
        <w:tc>
          <w:tcPr>
            <w:tcW w:w="1167" w:type="dxa"/>
            <w:vAlign w:val="center"/>
          </w:tcPr>
          <w:p w14:paraId="12F8A127">
            <w:pPr>
              <w:rPr>
                <w:color w:val="auto"/>
                <w:highlight w:val="none"/>
              </w:rPr>
            </w:pPr>
          </w:p>
        </w:tc>
        <w:tc>
          <w:tcPr>
            <w:tcW w:w="1841" w:type="dxa"/>
            <w:vAlign w:val="center"/>
          </w:tcPr>
          <w:p w14:paraId="6241A4FF">
            <w:pPr>
              <w:rPr>
                <w:color w:val="auto"/>
                <w:highlight w:val="none"/>
              </w:rPr>
            </w:pPr>
          </w:p>
        </w:tc>
      </w:tr>
      <w:tr w14:paraId="1B932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876" w:type="dxa"/>
            <w:vAlign w:val="center"/>
          </w:tcPr>
          <w:p w14:paraId="6EDF5C50">
            <w:pPr>
              <w:rPr>
                <w:color w:val="auto"/>
                <w:highlight w:val="none"/>
              </w:rPr>
            </w:pPr>
          </w:p>
        </w:tc>
        <w:tc>
          <w:tcPr>
            <w:tcW w:w="1947" w:type="dxa"/>
            <w:vAlign w:val="center"/>
          </w:tcPr>
          <w:p w14:paraId="2516FC6F">
            <w:pPr>
              <w:rPr>
                <w:color w:val="auto"/>
                <w:highlight w:val="none"/>
              </w:rPr>
            </w:pPr>
          </w:p>
        </w:tc>
        <w:tc>
          <w:tcPr>
            <w:tcW w:w="1150" w:type="dxa"/>
            <w:vAlign w:val="center"/>
          </w:tcPr>
          <w:p w14:paraId="4CE9E5E5">
            <w:pPr>
              <w:rPr>
                <w:color w:val="auto"/>
                <w:highlight w:val="none"/>
              </w:rPr>
            </w:pPr>
          </w:p>
        </w:tc>
        <w:tc>
          <w:tcPr>
            <w:tcW w:w="1228" w:type="dxa"/>
            <w:vAlign w:val="center"/>
          </w:tcPr>
          <w:p w14:paraId="3EFA6A80">
            <w:pPr>
              <w:rPr>
                <w:color w:val="auto"/>
                <w:highlight w:val="none"/>
              </w:rPr>
            </w:pPr>
          </w:p>
        </w:tc>
        <w:tc>
          <w:tcPr>
            <w:tcW w:w="1167" w:type="dxa"/>
            <w:vAlign w:val="center"/>
          </w:tcPr>
          <w:p w14:paraId="0477E1D8">
            <w:pPr>
              <w:rPr>
                <w:color w:val="auto"/>
                <w:highlight w:val="none"/>
              </w:rPr>
            </w:pPr>
          </w:p>
        </w:tc>
        <w:tc>
          <w:tcPr>
            <w:tcW w:w="1167" w:type="dxa"/>
            <w:vAlign w:val="center"/>
          </w:tcPr>
          <w:p w14:paraId="0BFA846D">
            <w:pPr>
              <w:rPr>
                <w:color w:val="auto"/>
                <w:highlight w:val="none"/>
              </w:rPr>
            </w:pPr>
          </w:p>
        </w:tc>
        <w:tc>
          <w:tcPr>
            <w:tcW w:w="1841" w:type="dxa"/>
            <w:vAlign w:val="center"/>
          </w:tcPr>
          <w:p w14:paraId="56A9DBD7">
            <w:pPr>
              <w:rPr>
                <w:color w:val="auto"/>
                <w:highlight w:val="none"/>
              </w:rPr>
            </w:pPr>
          </w:p>
        </w:tc>
      </w:tr>
      <w:tr w14:paraId="2D6B7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876" w:type="dxa"/>
            <w:vAlign w:val="center"/>
          </w:tcPr>
          <w:p w14:paraId="016E445B">
            <w:pPr>
              <w:rPr>
                <w:color w:val="auto"/>
                <w:highlight w:val="none"/>
              </w:rPr>
            </w:pPr>
          </w:p>
        </w:tc>
        <w:tc>
          <w:tcPr>
            <w:tcW w:w="1947" w:type="dxa"/>
            <w:vAlign w:val="center"/>
          </w:tcPr>
          <w:p w14:paraId="38D6AC72">
            <w:pPr>
              <w:rPr>
                <w:color w:val="auto"/>
                <w:highlight w:val="none"/>
              </w:rPr>
            </w:pPr>
          </w:p>
        </w:tc>
        <w:tc>
          <w:tcPr>
            <w:tcW w:w="1150" w:type="dxa"/>
            <w:vAlign w:val="center"/>
          </w:tcPr>
          <w:p w14:paraId="6623F174">
            <w:pPr>
              <w:rPr>
                <w:color w:val="auto"/>
                <w:highlight w:val="none"/>
              </w:rPr>
            </w:pPr>
          </w:p>
        </w:tc>
        <w:tc>
          <w:tcPr>
            <w:tcW w:w="1228" w:type="dxa"/>
            <w:vAlign w:val="center"/>
          </w:tcPr>
          <w:p w14:paraId="5B87C5C3">
            <w:pPr>
              <w:rPr>
                <w:color w:val="auto"/>
                <w:highlight w:val="none"/>
              </w:rPr>
            </w:pPr>
          </w:p>
        </w:tc>
        <w:tc>
          <w:tcPr>
            <w:tcW w:w="1167" w:type="dxa"/>
            <w:vAlign w:val="center"/>
          </w:tcPr>
          <w:p w14:paraId="257B030F">
            <w:pPr>
              <w:rPr>
                <w:color w:val="auto"/>
                <w:highlight w:val="none"/>
              </w:rPr>
            </w:pPr>
          </w:p>
        </w:tc>
        <w:tc>
          <w:tcPr>
            <w:tcW w:w="1167" w:type="dxa"/>
            <w:vAlign w:val="center"/>
          </w:tcPr>
          <w:p w14:paraId="6564CD6A">
            <w:pPr>
              <w:rPr>
                <w:color w:val="auto"/>
                <w:highlight w:val="none"/>
              </w:rPr>
            </w:pPr>
          </w:p>
        </w:tc>
        <w:tc>
          <w:tcPr>
            <w:tcW w:w="1841" w:type="dxa"/>
            <w:vAlign w:val="center"/>
          </w:tcPr>
          <w:p w14:paraId="105F0B3E">
            <w:pPr>
              <w:rPr>
                <w:color w:val="auto"/>
                <w:highlight w:val="none"/>
              </w:rPr>
            </w:pPr>
          </w:p>
        </w:tc>
      </w:tr>
    </w:tbl>
    <w:p w14:paraId="4F422522">
      <w:pPr>
        <w:spacing w:line="360" w:lineRule="auto"/>
        <w:rPr>
          <w:rFonts w:ascii="黑体" w:eastAsia="黑体"/>
          <w:bCs/>
          <w:color w:val="auto"/>
          <w:sz w:val="24"/>
          <w:szCs w:val="24"/>
          <w:highlight w:val="none"/>
        </w:rPr>
      </w:pPr>
    </w:p>
    <w:p w14:paraId="4D6CDEB5">
      <w:pPr>
        <w:spacing w:line="360" w:lineRule="auto"/>
        <w:ind w:firstLine="720"/>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06E13C3">
      <w:pPr>
        <w:spacing w:line="360" w:lineRule="auto"/>
        <w:rPr>
          <w:rFonts w:ascii="宋体" w:hAnsi="宋体"/>
          <w:bCs/>
          <w:color w:val="auto"/>
          <w:highlight w:val="none"/>
        </w:rPr>
      </w:pPr>
    </w:p>
    <w:p w14:paraId="42259038">
      <w:pPr>
        <w:spacing w:line="360" w:lineRule="auto"/>
        <w:rPr>
          <w:rFonts w:ascii="宋体" w:hAnsi="宋体"/>
          <w:bCs/>
          <w:color w:val="auto"/>
          <w:highlight w:val="none"/>
        </w:rPr>
      </w:pPr>
    </w:p>
    <w:p w14:paraId="1B3CCD99">
      <w:pPr>
        <w:spacing w:line="360" w:lineRule="auto"/>
        <w:rPr>
          <w:rFonts w:ascii="宋体" w:hAnsi="宋体"/>
          <w:bCs/>
          <w:color w:val="auto"/>
          <w:highlight w:val="none"/>
        </w:rPr>
      </w:pPr>
    </w:p>
    <w:p w14:paraId="3FD135C7">
      <w:pPr>
        <w:spacing w:line="360" w:lineRule="auto"/>
        <w:rPr>
          <w:rFonts w:ascii="宋体" w:hAnsi="宋体"/>
          <w:bCs/>
          <w:color w:val="auto"/>
          <w:highlight w:val="none"/>
        </w:rPr>
      </w:pPr>
    </w:p>
    <w:p w14:paraId="0207DEA1">
      <w:pPr>
        <w:spacing w:line="360" w:lineRule="auto"/>
        <w:rPr>
          <w:rFonts w:ascii="宋体" w:hAnsi="宋体"/>
          <w:bCs/>
          <w:color w:val="auto"/>
          <w:highlight w:val="none"/>
        </w:rPr>
      </w:pPr>
      <w:r>
        <w:rPr>
          <w:rFonts w:hint="eastAsia" w:ascii="宋体" w:hAnsi="宋体"/>
          <w:bCs/>
          <w:color w:val="auto"/>
          <w:highlight w:val="none"/>
        </w:rPr>
        <w:t>注：1. 本表对应项目人员配置情况，表格不够可自行延长。</w:t>
      </w:r>
    </w:p>
    <w:p w14:paraId="3D742357">
      <w:pPr>
        <w:spacing w:line="360" w:lineRule="auto"/>
        <w:rPr>
          <w:rFonts w:asciiTheme="minorEastAsia" w:hAnsiTheme="minorEastAsia"/>
          <w:bCs/>
          <w:color w:val="auto"/>
          <w:sz w:val="30"/>
          <w:highlight w:val="none"/>
        </w:rPr>
      </w:pPr>
    </w:p>
    <w:p w14:paraId="15AD55ED">
      <w:pPr>
        <w:spacing w:line="360" w:lineRule="auto"/>
        <w:rPr>
          <w:rFonts w:asciiTheme="minorEastAsia" w:hAnsiTheme="minorEastAsia"/>
          <w:bCs/>
          <w:color w:val="auto"/>
          <w:sz w:val="30"/>
          <w:highlight w:val="none"/>
        </w:rPr>
      </w:pPr>
    </w:p>
    <w:p w14:paraId="1D0A523B">
      <w:pPr>
        <w:spacing w:line="360" w:lineRule="auto"/>
        <w:rPr>
          <w:rFonts w:asciiTheme="minorEastAsia" w:hAnsiTheme="minorEastAsia"/>
          <w:bCs/>
          <w:color w:val="auto"/>
          <w:sz w:val="30"/>
          <w:highlight w:val="none"/>
        </w:rPr>
      </w:pPr>
    </w:p>
    <w:p w14:paraId="05F0B727">
      <w:pPr>
        <w:spacing w:line="360" w:lineRule="auto"/>
        <w:rPr>
          <w:rFonts w:asciiTheme="minorEastAsia" w:hAnsiTheme="minorEastAsia"/>
          <w:bCs/>
          <w:color w:val="auto"/>
          <w:sz w:val="30"/>
          <w:highlight w:val="none"/>
        </w:rPr>
      </w:pPr>
    </w:p>
    <w:p w14:paraId="66A72705">
      <w:pPr>
        <w:spacing w:line="360" w:lineRule="auto"/>
        <w:rPr>
          <w:rFonts w:asciiTheme="minorEastAsia" w:hAnsiTheme="minorEastAsia"/>
          <w:bCs/>
          <w:color w:val="auto"/>
          <w:sz w:val="30"/>
          <w:highlight w:val="none"/>
        </w:rPr>
      </w:pPr>
    </w:p>
    <w:p w14:paraId="70B6BE3C">
      <w:pPr>
        <w:spacing w:line="360" w:lineRule="auto"/>
        <w:outlineLvl w:val="0"/>
        <w:rPr>
          <w:b/>
          <w:color w:val="auto"/>
          <w:sz w:val="28"/>
          <w:szCs w:val="28"/>
          <w:highlight w:val="none"/>
        </w:rPr>
      </w:pPr>
      <w:r>
        <w:rPr>
          <w:rFonts w:hint="eastAsia"/>
          <w:b/>
          <w:color w:val="auto"/>
          <w:sz w:val="28"/>
          <w:szCs w:val="28"/>
          <w:highlight w:val="none"/>
        </w:rPr>
        <w:t>十三、供应商情况说明表（格式）</w:t>
      </w:r>
    </w:p>
    <w:p w14:paraId="76DDD9E0">
      <w:pPr>
        <w:pStyle w:val="423"/>
        <w:numPr>
          <w:ilvl w:val="0"/>
          <w:numId w:val="0"/>
        </w:numPr>
        <w:spacing w:line="360" w:lineRule="auto"/>
        <w:jc w:val="center"/>
        <w:rPr>
          <w:b/>
          <w:bCs/>
          <w:color w:val="auto"/>
          <w:sz w:val="24"/>
          <w:szCs w:val="24"/>
          <w:highlight w:val="none"/>
        </w:rPr>
      </w:pPr>
      <w:r>
        <w:rPr>
          <w:rFonts w:hint="eastAsia"/>
          <w:b/>
          <w:bCs/>
          <w:color w:val="auto"/>
          <w:sz w:val="24"/>
          <w:szCs w:val="24"/>
          <w:highlight w:val="none"/>
        </w:rPr>
        <w:t>供应商情况说明表</w:t>
      </w:r>
    </w:p>
    <w:p w14:paraId="60D7432F">
      <w:pPr>
        <w:spacing w:line="360" w:lineRule="auto"/>
        <w:jc w:val="center"/>
        <w:rPr>
          <w:color w:val="auto"/>
          <w:sz w:val="24"/>
          <w:szCs w:val="24"/>
          <w:highlight w:val="none"/>
        </w:rPr>
      </w:pPr>
      <w:r>
        <w:rPr>
          <w:rFonts w:hint="eastAsia"/>
          <w:color w:val="auto"/>
          <w:sz w:val="24"/>
          <w:szCs w:val="24"/>
          <w:highlight w:val="none"/>
        </w:rPr>
        <w:t>（内容写不完的栏目可相应扩展）</w:t>
      </w:r>
    </w:p>
    <w:p w14:paraId="7EEBB1D2">
      <w:pPr>
        <w:pStyle w:val="341"/>
        <w:spacing w:line="360" w:lineRule="auto"/>
        <w:ind w:firstLine="400"/>
        <w:rPr>
          <w:b/>
          <w:bCs/>
          <w:color w:val="auto"/>
          <w:sz w:val="24"/>
          <w:szCs w:val="24"/>
          <w:highlight w:val="none"/>
        </w:rPr>
      </w:pPr>
      <w:r>
        <w:rPr>
          <w:rFonts w:hint="eastAsia"/>
          <w:b/>
          <w:bCs/>
          <w:color w:val="auto"/>
          <w:sz w:val="24"/>
          <w:szCs w:val="24"/>
          <w:highlight w:val="none"/>
        </w:rPr>
        <w:t>供应商名称（盖章）</w:t>
      </w:r>
    </w:p>
    <w:tbl>
      <w:tblPr>
        <w:tblStyle w:val="46"/>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110"/>
        <w:gridCol w:w="149"/>
        <w:gridCol w:w="1757"/>
        <w:gridCol w:w="2601"/>
      </w:tblGrid>
      <w:tr w14:paraId="20B46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0260A766">
            <w:pPr>
              <w:pStyle w:val="341"/>
              <w:spacing w:line="360" w:lineRule="auto"/>
              <w:ind w:firstLine="400"/>
              <w:rPr>
                <w:color w:val="auto"/>
                <w:sz w:val="24"/>
                <w:szCs w:val="24"/>
                <w:highlight w:val="none"/>
              </w:rPr>
            </w:pPr>
            <w:r>
              <w:rPr>
                <w:rFonts w:hint="eastAsia"/>
                <w:color w:val="auto"/>
                <w:sz w:val="24"/>
                <w:szCs w:val="24"/>
                <w:highlight w:val="none"/>
              </w:rPr>
              <w:t>法定代表人</w:t>
            </w:r>
          </w:p>
        </w:tc>
        <w:tc>
          <w:tcPr>
            <w:tcW w:w="2259" w:type="dxa"/>
            <w:gridSpan w:val="2"/>
          </w:tcPr>
          <w:p w14:paraId="2F283D88">
            <w:pPr>
              <w:pStyle w:val="341"/>
              <w:spacing w:line="360" w:lineRule="auto"/>
              <w:ind w:firstLine="400"/>
              <w:rPr>
                <w:color w:val="auto"/>
                <w:sz w:val="24"/>
                <w:szCs w:val="24"/>
                <w:highlight w:val="none"/>
              </w:rPr>
            </w:pPr>
          </w:p>
        </w:tc>
        <w:tc>
          <w:tcPr>
            <w:tcW w:w="1757" w:type="dxa"/>
          </w:tcPr>
          <w:p w14:paraId="0709317D">
            <w:pPr>
              <w:pStyle w:val="341"/>
              <w:spacing w:line="360" w:lineRule="auto"/>
              <w:ind w:firstLine="400"/>
              <w:rPr>
                <w:color w:val="auto"/>
                <w:sz w:val="24"/>
                <w:szCs w:val="24"/>
                <w:highlight w:val="none"/>
              </w:rPr>
            </w:pPr>
            <w:r>
              <w:rPr>
                <w:rFonts w:hint="eastAsia"/>
                <w:color w:val="auto"/>
                <w:sz w:val="24"/>
                <w:szCs w:val="24"/>
                <w:highlight w:val="none"/>
              </w:rPr>
              <w:t>成立日期</w:t>
            </w:r>
          </w:p>
        </w:tc>
        <w:tc>
          <w:tcPr>
            <w:tcW w:w="2601" w:type="dxa"/>
          </w:tcPr>
          <w:p w14:paraId="251C1A2F">
            <w:pPr>
              <w:pStyle w:val="341"/>
              <w:spacing w:line="360" w:lineRule="auto"/>
              <w:ind w:firstLine="400"/>
              <w:rPr>
                <w:color w:val="auto"/>
                <w:sz w:val="24"/>
                <w:szCs w:val="24"/>
                <w:highlight w:val="none"/>
              </w:rPr>
            </w:pPr>
          </w:p>
        </w:tc>
      </w:tr>
      <w:tr w14:paraId="7057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33E0A422">
            <w:pPr>
              <w:pStyle w:val="341"/>
              <w:spacing w:line="360" w:lineRule="auto"/>
              <w:ind w:firstLine="400"/>
              <w:rPr>
                <w:color w:val="auto"/>
                <w:sz w:val="24"/>
                <w:szCs w:val="24"/>
                <w:highlight w:val="none"/>
              </w:rPr>
            </w:pPr>
            <w:r>
              <w:rPr>
                <w:rFonts w:hint="eastAsia"/>
                <w:color w:val="auto"/>
                <w:sz w:val="24"/>
                <w:szCs w:val="24"/>
                <w:highlight w:val="none"/>
              </w:rPr>
              <w:t>企业地址</w:t>
            </w:r>
          </w:p>
        </w:tc>
        <w:tc>
          <w:tcPr>
            <w:tcW w:w="2259" w:type="dxa"/>
            <w:gridSpan w:val="2"/>
          </w:tcPr>
          <w:p w14:paraId="778468D1">
            <w:pPr>
              <w:pStyle w:val="341"/>
              <w:spacing w:line="360" w:lineRule="auto"/>
              <w:ind w:firstLine="400"/>
              <w:rPr>
                <w:color w:val="auto"/>
                <w:sz w:val="24"/>
                <w:szCs w:val="24"/>
                <w:highlight w:val="none"/>
              </w:rPr>
            </w:pPr>
          </w:p>
        </w:tc>
        <w:tc>
          <w:tcPr>
            <w:tcW w:w="1757" w:type="dxa"/>
          </w:tcPr>
          <w:p w14:paraId="4657174F">
            <w:pPr>
              <w:pStyle w:val="341"/>
              <w:spacing w:line="360" w:lineRule="auto"/>
              <w:ind w:firstLine="400"/>
              <w:rPr>
                <w:color w:val="auto"/>
                <w:sz w:val="24"/>
                <w:szCs w:val="24"/>
                <w:highlight w:val="none"/>
              </w:rPr>
            </w:pPr>
            <w:r>
              <w:rPr>
                <w:rFonts w:hint="eastAsia"/>
                <w:color w:val="auto"/>
                <w:sz w:val="24"/>
                <w:szCs w:val="24"/>
                <w:highlight w:val="none"/>
              </w:rPr>
              <w:t>注册资本</w:t>
            </w:r>
          </w:p>
        </w:tc>
        <w:tc>
          <w:tcPr>
            <w:tcW w:w="2601" w:type="dxa"/>
          </w:tcPr>
          <w:p w14:paraId="55ABA586">
            <w:pPr>
              <w:pStyle w:val="341"/>
              <w:spacing w:line="360" w:lineRule="auto"/>
              <w:ind w:firstLine="400"/>
              <w:rPr>
                <w:color w:val="auto"/>
                <w:sz w:val="24"/>
                <w:szCs w:val="24"/>
                <w:highlight w:val="none"/>
              </w:rPr>
            </w:pPr>
            <w:r>
              <w:rPr>
                <w:rFonts w:hint="eastAsia"/>
                <w:color w:val="auto"/>
                <w:sz w:val="24"/>
                <w:szCs w:val="24"/>
                <w:highlight w:val="none"/>
              </w:rPr>
              <w:t>万元</w:t>
            </w:r>
          </w:p>
        </w:tc>
      </w:tr>
      <w:tr w14:paraId="622D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2AE0BFDC">
            <w:pPr>
              <w:pStyle w:val="341"/>
              <w:spacing w:line="360" w:lineRule="auto"/>
              <w:ind w:firstLine="400"/>
              <w:rPr>
                <w:color w:val="auto"/>
                <w:sz w:val="24"/>
                <w:szCs w:val="24"/>
                <w:highlight w:val="none"/>
              </w:rPr>
            </w:pPr>
            <w:r>
              <w:rPr>
                <w:rFonts w:hint="eastAsia"/>
                <w:color w:val="auto"/>
                <w:sz w:val="24"/>
                <w:szCs w:val="24"/>
                <w:highlight w:val="none"/>
              </w:rPr>
              <w:t>经营范围</w:t>
            </w:r>
          </w:p>
        </w:tc>
        <w:tc>
          <w:tcPr>
            <w:tcW w:w="6617" w:type="dxa"/>
            <w:gridSpan w:val="4"/>
          </w:tcPr>
          <w:p w14:paraId="54BEBFF6">
            <w:pPr>
              <w:pStyle w:val="341"/>
              <w:spacing w:line="360" w:lineRule="auto"/>
              <w:ind w:firstLine="400"/>
              <w:rPr>
                <w:color w:val="auto"/>
                <w:sz w:val="24"/>
                <w:szCs w:val="24"/>
                <w:highlight w:val="none"/>
              </w:rPr>
            </w:pPr>
          </w:p>
        </w:tc>
      </w:tr>
      <w:tr w14:paraId="085B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53B6CC2D">
            <w:pPr>
              <w:pStyle w:val="341"/>
              <w:spacing w:line="360" w:lineRule="auto"/>
              <w:ind w:firstLine="400"/>
              <w:rPr>
                <w:color w:val="auto"/>
                <w:sz w:val="24"/>
                <w:szCs w:val="24"/>
                <w:highlight w:val="none"/>
              </w:rPr>
            </w:pPr>
            <w:r>
              <w:rPr>
                <w:rFonts w:hint="eastAsia"/>
                <w:color w:val="auto"/>
                <w:sz w:val="24"/>
                <w:szCs w:val="24"/>
                <w:highlight w:val="none"/>
              </w:rPr>
              <w:t>职工人数</w:t>
            </w:r>
          </w:p>
        </w:tc>
        <w:tc>
          <w:tcPr>
            <w:tcW w:w="2110" w:type="dxa"/>
          </w:tcPr>
          <w:p w14:paraId="6645DD2C">
            <w:pPr>
              <w:pStyle w:val="341"/>
              <w:spacing w:line="360" w:lineRule="auto"/>
              <w:ind w:firstLine="400"/>
              <w:rPr>
                <w:color w:val="auto"/>
                <w:sz w:val="24"/>
                <w:szCs w:val="24"/>
                <w:highlight w:val="none"/>
              </w:rPr>
            </w:pPr>
          </w:p>
        </w:tc>
        <w:tc>
          <w:tcPr>
            <w:tcW w:w="4507" w:type="dxa"/>
            <w:gridSpan w:val="3"/>
          </w:tcPr>
          <w:p w14:paraId="6AB7CD4D">
            <w:pPr>
              <w:pStyle w:val="341"/>
              <w:spacing w:line="360" w:lineRule="auto"/>
              <w:ind w:firstLine="400"/>
              <w:rPr>
                <w:color w:val="auto"/>
                <w:sz w:val="24"/>
                <w:szCs w:val="24"/>
                <w:highlight w:val="none"/>
                <w:lang w:eastAsia="zh-CN"/>
              </w:rPr>
            </w:pPr>
            <w:r>
              <w:rPr>
                <w:rFonts w:hint="eastAsia"/>
                <w:color w:val="auto"/>
                <w:sz w:val="24"/>
                <w:szCs w:val="24"/>
                <w:highlight w:val="none"/>
                <w:lang w:eastAsia="zh-CN"/>
              </w:rPr>
              <w:t>其中：</w:t>
            </w:r>
          </w:p>
          <w:p w14:paraId="18C8D97F">
            <w:pPr>
              <w:pStyle w:val="341"/>
              <w:spacing w:line="360" w:lineRule="auto"/>
              <w:ind w:firstLine="400"/>
              <w:rPr>
                <w:color w:val="auto"/>
                <w:sz w:val="24"/>
                <w:szCs w:val="24"/>
                <w:highlight w:val="none"/>
                <w:lang w:eastAsia="zh-CN"/>
              </w:rPr>
            </w:pPr>
            <w:r>
              <w:rPr>
                <w:rFonts w:hint="eastAsia"/>
                <w:color w:val="auto"/>
                <w:sz w:val="24"/>
                <w:szCs w:val="24"/>
                <w:highlight w:val="none"/>
                <w:lang w:eastAsia="zh-CN"/>
              </w:rPr>
              <w:t>中级职称</w:t>
            </w:r>
            <w:r>
              <w:rPr>
                <w:rFonts w:hint="eastAsia"/>
                <w:color w:val="auto"/>
                <w:sz w:val="24"/>
                <w:szCs w:val="24"/>
                <w:highlight w:val="none"/>
                <w:u w:val="single"/>
                <w:lang w:eastAsia="zh-CN"/>
              </w:rPr>
              <w:t xml:space="preserve">    </w:t>
            </w:r>
            <w:r>
              <w:rPr>
                <w:rFonts w:hint="eastAsia"/>
                <w:color w:val="auto"/>
                <w:sz w:val="24"/>
                <w:szCs w:val="24"/>
                <w:highlight w:val="none"/>
                <w:lang w:eastAsia="zh-CN"/>
              </w:rPr>
              <w:t>人数、</w:t>
            </w:r>
          </w:p>
          <w:p w14:paraId="577A5827">
            <w:pPr>
              <w:pStyle w:val="341"/>
              <w:spacing w:line="360" w:lineRule="auto"/>
              <w:ind w:firstLine="400"/>
              <w:rPr>
                <w:color w:val="auto"/>
                <w:sz w:val="24"/>
                <w:szCs w:val="24"/>
                <w:highlight w:val="none"/>
                <w:lang w:eastAsia="zh-CN"/>
              </w:rPr>
            </w:pPr>
            <w:r>
              <w:rPr>
                <w:rFonts w:hint="eastAsia"/>
                <w:color w:val="auto"/>
                <w:sz w:val="24"/>
                <w:szCs w:val="24"/>
                <w:highlight w:val="none"/>
                <w:lang w:eastAsia="zh-CN"/>
              </w:rPr>
              <w:t>高级职称</w:t>
            </w:r>
            <w:r>
              <w:rPr>
                <w:rFonts w:hint="eastAsia"/>
                <w:color w:val="auto"/>
                <w:sz w:val="24"/>
                <w:szCs w:val="24"/>
                <w:highlight w:val="none"/>
                <w:u w:val="single"/>
                <w:lang w:eastAsia="zh-CN"/>
              </w:rPr>
              <w:t xml:space="preserve">     </w:t>
            </w:r>
            <w:r>
              <w:rPr>
                <w:rFonts w:hint="eastAsia"/>
                <w:color w:val="auto"/>
                <w:sz w:val="24"/>
                <w:szCs w:val="24"/>
                <w:highlight w:val="none"/>
                <w:lang w:eastAsia="zh-CN"/>
              </w:rPr>
              <w:t>人数</w:t>
            </w:r>
          </w:p>
        </w:tc>
      </w:tr>
      <w:tr w14:paraId="1C30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510" w:type="dxa"/>
          </w:tcPr>
          <w:p w14:paraId="6A8F7938">
            <w:pPr>
              <w:pStyle w:val="341"/>
              <w:spacing w:line="360" w:lineRule="auto"/>
              <w:ind w:firstLine="0"/>
              <w:rPr>
                <w:color w:val="auto"/>
                <w:sz w:val="24"/>
                <w:szCs w:val="24"/>
                <w:highlight w:val="none"/>
              </w:rPr>
            </w:pPr>
            <w:r>
              <w:rPr>
                <w:rFonts w:hint="eastAsia"/>
                <w:color w:val="auto"/>
                <w:sz w:val="24"/>
                <w:szCs w:val="24"/>
                <w:highlight w:val="none"/>
              </w:rPr>
              <w:t>2024年12月资产总额</w:t>
            </w:r>
          </w:p>
        </w:tc>
        <w:tc>
          <w:tcPr>
            <w:tcW w:w="2110" w:type="dxa"/>
          </w:tcPr>
          <w:p w14:paraId="0EA83833">
            <w:pPr>
              <w:pStyle w:val="341"/>
              <w:spacing w:line="360" w:lineRule="auto"/>
              <w:ind w:firstLine="40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万元</w:t>
            </w:r>
          </w:p>
        </w:tc>
        <w:tc>
          <w:tcPr>
            <w:tcW w:w="1906" w:type="dxa"/>
            <w:gridSpan w:val="2"/>
          </w:tcPr>
          <w:p w14:paraId="1BB75288">
            <w:pPr>
              <w:pStyle w:val="341"/>
              <w:spacing w:line="360" w:lineRule="auto"/>
              <w:ind w:firstLine="400"/>
              <w:rPr>
                <w:color w:val="auto"/>
                <w:sz w:val="24"/>
                <w:szCs w:val="24"/>
                <w:highlight w:val="none"/>
              </w:rPr>
            </w:pPr>
            <w:r>
              <w:rPr>
                <w:rFonts w:hint="eastAsia"/>
                <w:color w:val="auto"/>
                <w:sz w:val="24"/>
                <w:szCs w:val="24"/>
                <w:highlight w:val="none"/>
              </w:rPr>
              <w:t>净资产</w:t>
            </w:r>
          </w:p>
        </w:tc>
        <w:tc>
          <w:tcPr>
            <w:tcW w:w="2601" w:type="dxa"/>
          </w:tcPr>
          <w:p w14:paraId="1191B75F">
            <w:pPr>
              <w:pStyle w:val="341"/>
              <w:spacing w:line="360" w:lineRule="auto"/>
              <w:ind w:firstLine="400"/>
              <w:rPr>
                <w:color w:val="auto"/>
                <w:sz w:val="24"/>
                <w:szCs w:val="24"/>
                <w:highlight w:val="none"/>
              </w:rPr>
            </w:pPr>
            <w:r>
              <w:rPr>
                <w:color w:val="auto"/>
                <w:sz w:val="24"/>
                <w:szCs w:val="24"/>
                <w:highlight w:val="none"/>
              </w:rPr>
              <w:t xml:space="preserve">         </w:t>
            </w:r>
            <w:r>
              <w:rPr>
                <w:rFonts w:hint="eastAsia"/>
                <w:color w:val="auto"/>
                <w:sz w:val="24"/>
                <w:szCs w:val="24"/>
                <w:highlight w:val="none"/>
              </w:rPr>
              <w:t>万元</w:t>
            </w:r>
          </w:p>
        </w:tc>
      </w:tr>
      <w:tr w14:paraId="374D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36101A2F">
            <w:pPr>
              <w:pStyle w:val="341"/>
              <w:spacing w:line="360" w:lineRule="auto"/>
              <w:ind w:firstLine="0"/>
              <w:rPr>
                <w:color w:val="auto"/>
                <w:sz w:val="24"/>
                <w:szCs w:val="24"/>
                <w:highlight w:val="none"/>
              </w:rPr>
            </w:pPr>
            <w:r>
              <w:rPr>
                <w:rFonts w:hint="eastAsia"/>
                <w:color w:val="auto"/>
                <w:sz w:val="24"/>
                <w:szCs w:val="24"/>
                <w:highlight w:val="none"/>
              </w:rPr>
              <w:t>2024年12月股东权益</w:t>
            </w:r>
          </w:p>
        </w:tc>
        <w:tc>
          <w:tcPr>
            <w:tcW w:w="2110" w:type="dxa"/>
          </w:tcPr>
          <w:p w14:paraId="7D3B56D8">
            <w:pPr>
              <w:pStyle w:val="341"/>
              <w:spacing w:line="360" w:lineRule="auto"/>
              <w:ind w:firstLine="40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万元</w:t>
            </w:r>
          </w:p>
        </w:tc>
        <w:tc>
          <w:tcPr>
            <w:tcW w:w="1906" w:type="dxa"/>
            <w:gridSpan w:val="2"/>
          </w:tcPr>
          <w:p w14:paraId="6B8AE197">
            <w:pPr>
              <w:pStyle w:val="341"/>
              <w:spacing w:line="360" w:lineRule="auto"/>
              <w:ind w:firstLine="0"/>
              <w:rPr>
                <w:color w:val="auto"/>
                <w:sz w:val="24"/>
                <w:szCs w:val="24"/>
                <w:highlight w:val="none"/>
              </w:rPr>
            </w:pPr>
            <w:r>
              <w:rPr>
                <w:rFonts w:hint="eastAsia"/>
                <w:color w:val="auto"/>
                <w:sz w:val="24"/>
                <w:szCs w:val="24"/>
                <w:highlight w:val="none"/>
              </w:rPr>
              <w:t>2024</w:t>
            </w:r>
            <w:r>
              <w:rPr>
                <w:color w:val="auto"/>
                <w:sz w:val="24"/>
                <w:szCs w:val="24"/>
                <w:highlight w:val="none"/>
              </w:rPr>
              <w:t>年</w:t>
            </w:r>
            <w:r>
              <w:rPr>
                <w:rFonts w:hint="eastAsia"/>
                <w:color w:val="auto"/>
                <w:sz w:val="24"/>
                <w:szCs w:val="24"/>
                <w:highlight w:val="none"/>
              </w:rPr>
              <w:t>业务收入</w:t>
            </w:r>
          </w:p>
        </w:tc>
        <w:tc>
          <w:tcPr>
            <w:tcW w:w="2601" w:type="dxa"/>
          </w:tcPr>
          <w:p w14:paraId="290B4839">
            <w:pPr>
              <w:pStyle w:val="341"/>
              <w:spacing w:line="360" w:lineRule="auto"/>
              <w:ind w:firstLine="40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万元</w:t>
            </w:r>
          </w:p>
        </w:tc>
      </w:tr>
      <w:tr w14:paraId="71EC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0" w:type="dxa"/>
          </w:tcPr>
          <w:p w14:paraId="6E802A85">
            <w:pPr>
              <w:pStyle w:val="341"/>
              <w:spacing w:line="360" w:lineRule="auto"/>
              <w:ind w:firstLine="0"/>
              <w:rPr>
                <w:color w:val="auto"/>
                <w:sz w:val="24"/>
                <w:szCs w:val="24"/>
                <w:highlight w:val="none"/>
              </w:rPr>
            </w:pPr>
            <w:r>
              <w:rPr>
                <w:rFonts w:hint="eastAsia"/>
                <w:color w:val="auto"/>
                <w:sz w:val="24"/>
                <w:szCs w:val="24"/>
                <w:highlight w:val="none"/>
              </w:rPr>
              <w:t>2024年实现利润</w:t>
            </w:r>
          </w:p>
        </w:tc>
        <w:tc>
          <w:tcPr>
            <w:tcW w:w="2110" w:type="dxa"/>
          </w:tcPr>
          <w:p w14:paraId="0FF671AA">
            <w:pPr>
              <w:pStyle w:val="341"/>
              <w:spacing w:line="360" w:lineRule="auto"/>
              <w:ind w:firstLine="400"/>
              <w:rPr>
                <w:color w:val="auto"/>
                <w:sz w:val="24"/>
                <w:szCs w:val="24"/>
                <w:highlight w:val="none"/>
              </w:rPr>
            </w:pPr>
            <w:r>
              <w:rPr>
                <w:rFonts w:hint="eastAsia"/>
                <w:color w:val="auto"/>
                <w:sz w:val="24"/>
                <w:szCs w:val="24"/>
                <w:highlight w:val="none"/>
              </w:rPr>
              <w:t>万元</w:t>
            </w:r>
          </w:p>
        </w:tc>
        <w:tc>
          <w:tcPr>
            <w:tcW w:w="1906" w:type="dxa"/>
            <w:gridSpan w:val="2"/>
          </w:tcPr>
          <w:p w14:paraId="6228FE6E">
            <w:pPr>
              <w:pStyle w:val="341"/>
              <w:spacing w:line="360" w:lineRule="auto"/>
              <w:ind w:firstLine="400"/>
              <w:rPr>
                <w:color w:val="auto"/>
                <w:sz w:val="24"/>
                <w:szCs w:val="24"/>
                <w:highlight w:val="none"/>
              </w:rPr>
            </w:pPr>
          </w:p>
        </w:tc>
        <w:tc>
          <w:tcPr>
            <w:tcW w:w="2601" w:type="dxa"/>
          </w:tcPr>
          <w:p w14:paraId="0EBA2C4F">
            <w:pPr>
              <w:pStyle w:val="341"/>
              <w:spacing w:line="360" w:lineRule="auto"/>
              <w:ind w:firstLine="400"/>
              <w:rPr>
                <w:color w:val="auto"/>
                <w:sz w:val="24"/>
                <w:szCs w:val="24"/>
                <w:highlight w:val="none"/>
              </w:rPr>
            </w:pPr>
          </w:p>
        </w:tc>
      </w:tr>
      <w:tr w14:paraId="5954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2510" w:type="dxa"/>
          </w:tcPr>
          <w:p w14:paraId="75A6CDFC">
            <w:pPr>
              <w:pStyle w:val="341"/>
              <w:spacing w:line="360" w:lineRule="auto"/>
              <w:ind w:firstLine="0"/>
              <w:rPr>
                <w:color w:val="auto"/>
                <w:sz w:val="24"/>
                <w:szCs w:val="24"/>
                <w:highlight w:val="none"/>
              </w:rPr>
            </w:pPr>
            <w:r>
              <w:rPr>
                <w:rFonts w:hint="eastAsia"/>
                <w:color w:val="auto"/>
                <w:sz w:val="24"/>
                <w:szCs w:val="24"/>
                <w:highlight w:val="none"/>
              </w:rPr>
              <w:t>办公面积</w:t>
            </w:r>
          </w:p>
          <w:p w14:paraId="0B695C5F">
            <w:pPr>
              <w:pStyle w:val="341"/>
              <w:spacing w:line="360" w:lineRule="auto"/>
              <w:ind w:firstLine="400"/>
              <w:rPr>
                <w:color w:val="auto"/>
                <w:sz w:val="24"/>
                <w:szCs w:val="24"/>
                <w:highlight w:val="none"/>
              </w:rPr>
            </w:pPr>
          </w:p>
        </w:tc>
        <w:tc>
          <w:tcPr>
            <w:tcW w:w="2110" w:type="dxa"/>
          </w:tcPr>
          <w:p w14:paraId="068E66F9">
            <w:pPr>
              <w:pStyle w:val="341"/>
              <w:spacing w:line="360" w:lineRule="auto"/>
              <w:ind w:firstLine="400"/>
              <w:rPr>
                <w:color w:val="auto"/>
                <w:sz w:val="24"/>
                <w:szCs w:val="24"/>
                <w:highlight w:val="none"/>
              </w:rPr>
            </w:pPr>
            <w:r>
              <w:rPr>
                <w:color w:val="auto"/>
                <w:sz w:val="24"/>
                <w:szCs w:val="24"/>
                <w:highlight w:val="none"/>
              </w:rPr>
              <w:t xml:space="preserve">     </w:t>
            </w:r>
            <w:r>
              <w:rPr>
                <w:rFonts w:hint="eastAsia"/>
                <w:color w:val="auto"/>
                <w:sz w:val="24"/>
                <w:szCs w:val="24"/>
                <w:highlight w:val="none"/>
              </w:rPr>
              <w:t>平方米</w:t>
            </w:r>
          </w:p>
        </w:tc>
        <w:tc>
          <w:tcPr>
            <w:tcW w:w="1906" w:type="dxa"/>
            <w:gridSpan w:val="2"/>
          </w:tcPr>
          <w:p w14:paraId="63EF1AA2">
            <w:pPr>
              <w:pStyle w:val="341"/>
              <w:spacing w:line="360" w:lineRule="auto"/>
              <w:ind w:firstLine="400"/>
              <w:rPr>
                <w:color w:val="auto"/>
                <w:sz w:val="24"/>
                <w:szCs w:val="24"/>
                <w:highlight w:val="none"/>
              </w:rPr>
            </w:pPr>
            <w:r>
              <w:rPr>
                <w:rFonts w:hint="eastAsia"/>
                <w:color w:val="auto"/>
                <w:sz w:val="24"/>
                <w:szCs w:val="24"/>
                <w:highlight w:val="none"/>
              </w:rPr>
              <w:t>其中：</w:t>
            </w:r>
          </w:p>
        </w:tc>
        <w:tc>
          <w:tcPr>
            <w:tcW w:w="2601" w:type="dxa"/>
          </w:tcPr>
          <w:p w14:paraId="78F58409">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自有面积</w:t>
            </w:r>
            <w:r>
              <w:rPr>
                <w:color w:val="auto"/>
                <w:sz w:val="24"/>
                <w:szCs w:val="24"/>
                <w:highlight w:val="none"/>
                <w:lang w:eastAsia="zh-CN"/>
              </w:rPr>
              <w:t xml:space="preserve">    平方米</w:t>
            </w:r>
          </w:p>
          <w:p w14:paraId="34915CA1">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承租面积</w:t>
            </w:r>
            <w:r>
              <w:rPr>
                <w:color w:val="auto"/>
                <w:sz w:val="24"/>
                <w:szCs w:val="24"/>
                <w:highlight w:val="none"/>
                <w:lang w:eastAsia="zh-CN"/>
              </w:rPr>
              <w:t xml:space="preserve">    平方米</w:t>
            </w:r>
          </w:p>
        </w:tc>
      </w:tr>
      <w:tr w14:paraId="60F4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76B4438A">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单位简历及内设机构情况</w:t>
            </w:r>
          </w:p>
        </w:tc>
        <w:tc>
          <w:tcPr>
            <w:tcW w:w="4507" w:type="dxa"/>
            <w:gridSpan w:val="3"/>
          </w:tcPr>
          <w:p w14:paraId="5F139329">
            <w:pPr>
              <w:pStyle w:val="341"/>
              <w:spacing w:line="360" w:lineRule="auto"/>
              <w:ind w:firstLine="400"/>
              <w:rPr>
                <w:color w:val="auto"/>
                <w:sz w:val="24"/>
                <w:szCs w:val="24"/>
                <w:highlight w:val="none"/>
                <w:lang w:eastAsia="zh-CN"/>
              </w:rPr>
            </w:pPr>
          </w:p>
        </w:tc>
      </w:tr>
      <w:tr w14:paraId="0A51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3FBBFBF2">
            <w:pPr>
              <w:pStyle w:val="341"/>
              <w:spacing w:line="360" w:lineRule="auto"/>
              <w:ind w:firstLine="0"/>
              <w:rPr>
                <w:color w:val="auto"/>
                <w:sz w:val="24"/>
                <w:szCs w:val="24"/>
                <w:highlight w:val="none"/>
              </w:rPr>
            </w:pPr>
            <w:r>
              <w:rPr>
                <w:rFonts w:hint="eastAsia"/>
                <w:color w:val="auto"/>
                <w:sz w:val="24"/>
                <w:szCs w:val="24"/>
                <w:highlight w:val="none"/>
              </w:rPr>
              <w:t>单位优势及特长</w:t>
            </w:r>
          </w:p>
        </w:tc>
        <w:tc>
          <w:tcPr>
            <w:tcW w:w="4507" w:type="dxa"/>
            <w:gridSpan w:val="3"/>
          </w:tcPr>
          <w:p w14:paraId="54951B20">
            <w:pPr>
              <w:pStyle w:val="341"/>
              <w:spacing w:line="360" w:lineRule="auto"/>
              <w:ind w:firstLine="400"/>
              <w:rPr>
                <w:color w:val="auto"/>
                <w:sz w:val="24"/>
                <w:szCs w:val="24"/>
                <w:highlight w:val="none"/>
              </w:rPr>
            </w:pPr>
          </w:p>
        </w:tc>
      </w:tr>
      <w:tr w14:paraId="1A13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5CE78A1F">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近三年来完成或正在履行的重大合同情况</w:t>
            </w:r>
          </w:p>
        </w:tc>
        <w:tc>
          <w:tcPr>
            <w:tcW w:w="4507" w:type="dxa"/>
            <w:gridSpan w:val="3"/>
          </w:tcPr>
          <w:p w14:paraId="527C7C5E">
            <w:pPr>
              <w:pStyle w:val="341"/>
              <w:spacing w:line="360" w:lineRule="auto"/>
              <w:ind w:firstLine="400"/>
              <w:rPr>
                <w:color w:val="auto"/>
                <w:sz w:val="24"/>
                <w:szCs w:val="24"/>
                <w:highlight w:val="none"/>
                <w:lang w:eastAsia="zh-CN"/>
              </w:rPr>
            </w:pPr>
          </w:p>
        </w:tc>
      </w:tr>
      <w:tr w14:paraId="7ED47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334B84E5">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近三年来受行业主管部门考核评价及业主评价意见</w:t>
            </w:r>
          </w:p>
        </w:tc>
        <w:tc>
          <w:tcPr>
            <w:tcW w:w="4507" w:type="dxa"/>
            <w:gridSpan w:val="3"/>
          </w:tcPr>
          <w:p w14:paraId="506FB537">
            <w:pPr>
              <w:pStyle w:val="341"/>
              <w:spacing w:line="360" w:lineRule="auto"/>
              <w:ind w:firstLine="400"/>
              <w:rPr>
                <w:color w:val="auto"/>
                <w:sz w:val="24"/>
                <w:szCs w:val="24"/>
                <w:highlight w:val="none"/>
                <w:lang w:eastAsia="zh-CN"/>
              </w:rPr>
            </w:pPr>
          </w:p>
        </w:tc>
      </w:tr>
      <w:tr w14:paraId="1F12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1366D3B6">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最近</w:t>
            </w:r>
            <w:r>
              <w:rPr>
                <w:color w:val="auto"/>
                <w:sz w:val="24"/>
                <w:szCs w:val="24"/>
                <w:highlight w:val="none"/>
                <w:lang w:eastAsia="zh-CN"/>
              </w:rPr>
              <w:t>3年内有无因</w:t>
            </w:r>
            <w:r>
              <w:rPr>
                <w:rFonts w:hint="eastAsia"/>
                <w:color w:val="auto"/>
                <w:sz w:val="24"/>
                <w:szCs w:val="24"/>
                <w:highlight w:val="none"/>
                <w:lang w:eastAsia="zh-CN"/>
              </w:rPr>
              <w:t>违纪</w:t>
            </w:r>
            <w:r>
              <w:rPr>
                <w:color w:val="auto"/>
                <w:sz w:val="24"/>
                <w:szCs w:val="24"/>
                <w:highlight w:val="none"/>
                <w:lang w:eastAsia="zh-CN"/>
              </w:rPr>
              <w:t>或是其他原因被投诉或起诉的情况及说明</w:t>
            </w:r>
          </w:p>
        </w:tc>
        <w:tc>
          <w:tcPr>
            <w:tcW w:w="4507" w:type="dxa"/>
            <w:gridSpan w:val="3"/>
          </w:tcPr>
          <w:p w14:paraId="4D93BF72">
            <w:pPr>
              <w:pStyle w:val="341"/>
              <w:spacing w:line="360" w:lineRule="auto"/>
              <w:ind w:firstLine="400"/>
              <w:rPr>
                <w:color w:val="auto"/>
                <w:sz w:val="24"/>
                <w:szCs w:val="24"/>
                <w:highlight w:val="none"/>
                <w:lang w:eastAsia="zh-CN"/>
              </w:rPr>
            </w:pPr>
            <w:r>
              <w:rPr>
                <w:rFonts w:hint="eastAsia"/>
                <w:color w:val="auto"/>
                <w:sz w:val="24"/>
                <w:szCs w:val="24"/>
                <w:highlight w:val="none"/>
                <w:lang w:eastAsia="zh-CN"/>
              </w:rPr>
              <w:t>（包括解决方式和结果）</w:t>
            </w:r>
          </w:p>
        </w:tc>
      </w:tr>
      <w:tr w14:paraId="3298A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0" w:type="dxa"/>
            <w:gridSpan w:val="2"/>
          </w:tcPr>
          <w:p w14:paraId="1687EF7F">
            <w:pPr>
              <w:pStyle w:val="341"/>
              <w:spacing w:line="360" w:lineRule="auto"/>
              <w:ind w:firstLine="0"/>
              <w:rPr>
                <w:color w:val="auto"/>
                <w:sz w:val="24"/>
                <w:szCs w:val="24"/>
                <w:highlight w:val="none"/>
                <w:lang w:eastAsia="zh-CN"/>
              </w:rPr>
            </w:pPr>
            <w:r>
              <w:rPr>
                <w:rFonts w:hint="eastAsia"/>
                <w:color w:val="auto"/>
                <w:sz w:val="24"/>
                <w:szCs w:val="24"/>
                <w:highlight w:val="none"/>
                <w:lang w:eastAsia="zh-CN"/>
              </w:rPr>
              <w:t>最近</w:t>
            </w:r>
            <w:r>
              <w:rPr>
                <w:color w:val="auto"/>
                <w:sz w:val="24"/>
                <w:szCs w:val="24"/>
                <w:highlight w:val="none"/>
                <w:lang w:eastAsia="zh-CN"/>
              </w:rPr>
              <w:t>3年内主要负责人有无因经济犯罪被司法机关追究的情况及说明</w:t>
            </w:r>
          </w:p>
        </w:tc>
        <w:tc>
          <w:tcPr>
            <w:tcW w:w="4507" w:type="dxa"/>
            <w:gridSpan w:val="3"/>
          </w:tcPr>
          <w:p w14:paraId="0EFDECA3">
            <w:pPr>
              <w:spacing w:line="360" w:lineRule="auto"/>
              <w:rPr>
                <w:color w:val="auto"/>
                <w:sz w:val="24"/>
                <w:szCs w:val="24"/>
                <w:highlight w:val="none"/>
              </w:rPr>
            </w:pPr>
          </w:p>
        </w:tc>
      </w:tr>
      <w:tr w14:paraId="2646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4620" w:type="dxa"/>
            <w:gridSpan w:val="2"/>
          </w:tcPr>
          <w:p w14:paraId="1394C7E7">
            <w:pPr>
              <w:pStyle w:val="341"/>
              <w:spacing w:line="360" w:lineRule="auto"/>
              <w:ind w:firstLine="0"/>
              <w:rPr>
                <w:color w:val="auto"/>
                <w:sz w:val="24"/>
                <w:szCs w:val="24"/>
                <w:highlight w:val="none"/>
              </w:rPr>
            </w:pPr>
            <w:r>
              <w:rPr>
                <w:rFonts w:hint="eastAsia"/>
                <w:color w:val="auto"/>
                <w:sz w:val="24"/>
                <w:szCs w:val="24"/>
                <w:highlight w:val="none"/>
              </w:rPr>
              <w:t>其他需要说明的情况</w:t>
            </w:r>
          </w:p>
        </w:tc>
        <w:tc>
          <w:tcPr>
            <w:tcW w:w="4507" w:type="dxa"/>
            <w:gridSpan w:val="3"/>
          </w:tcPr>
          <w:p w14:paraId="49C6984B">
            <w:pPr>
              <w:pStyle w:val="341"/>
              <w:spacing w:line="360" w:lineRule="auto"/>
              <w:ind w:firstLine="400"/>
              <w:rPr>
                <w:color w:val="auto"/>
                <w:sz w:val="24"/>
                <w:szCs w:val="24"/>
                <w:highlight w:val="none"/>
              </w:rPr>
            </w:pPr>
          </w:p>
        </w:tc>
      </w:tr>
    </w:tbl>
    <w:p w14:paraId="3544D597">
      <w:pPr>
        <w:spacing w:line="360" w:lineRule="auto"/>
        <w:rPr>
          <w:color w:val="auto"/>
          <w:sz w:val="24"/>
          <w:szCs w:val="24"/>
          <w:highlight w:val="none"/>
        </w:rPr>
      </w:pPr>
    </w:p>
    <w:p w14:paraId="1F633961">
      <w:pPr>
        <w:spacing w:line="360" w:lineRule="auto"/>
        <w:rPr>
          <w:color w:val="auto"/>
          <w:sz w:val="24"/>
          <w:szCs w:val="24"/>
          <w:highlight w:val="none"/>
        </w:rPr>
      </w:pPr>
      <w:r>
        <w:rPr>
          <w:rFonts w:hint="eastAsia"/>
          <w:color w:val="auto"/>
          <w:sz w:val="24"/>
          <w:szCs w:val="24"/>
          <w:highlight w:val="none"/>
        </w:rPr>
        <w:t>法定代表人或法定代表人授权代表签字或盖章：</w:t>
      </w:r>
    </w:p>
    <w:p w14:paraId="29E993EA">
      <w:pPr>
        <w:spacing w:line="360" w:lineRule="auto"/>
        <w:rPr>
          <w:color w:val="auto"/>
          <w:sz w:val="24"/>
          <w:szCs w:val="24"/>
          <w:highlight w:val="none"/>
        </w:rPr>
      </w:pPr>
    </w:p>
    <w:p w14:paraId="5811B1C1">
      <w:pPr>
        <w:spacing w:line="360" w:lineRule="auto"/>
        <w:rPr>
          <w:rFonts w:ascii="宋体" w:hAnsi="宋体" w:cs="宋体"/>
          <w:color w:val="auto"/>
          <w:sz w:val="24"/>
          <w:szCs w:val="24"/>
          <w:highlight w:val="none"/>
        </w:rPr>
      </w:pPr>
      <w:r>
        <w:rPr>
          <w:rFonts w:hint="eastAsia"/>
          <w:color w:val="auto"/>
          <w:sz w:val="24"/>
          <w:szCs w:val="24"/>
          <w:highlight w:val="none"/>
        </w:rPr>
        <w:t>日期：</w:t>
      </w:r>
    </w:p>
    <w:sectPr>
      <w:pgSz w:w="11906" w:h="16838"/>
      <w:pgMar w:top="697" w:right="1732" w:bottom="850" w:left="1774" w:header="624" w:footer="907"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5DC74">
    <w:pPr>
      <w:pStyle w:val="27"/>
      <w:framePr w:wrap="around" w:vAnchor="text" w:hAnchor="margin" w:xAlign="center" w:y="1"/>
      <w:rPr>
        <w:rStyle w:val="51"/>
      </w:rPr>
    </w:pPr>
    <w:r>
      <w:rPr>
        <w:rStyle w:val="51"/>
      </w:rPr>
      <w:fldChar w:fldCharType="begin"/>
    </w:r>
    <w:r>
      <w:rPr>
        <w:rStyle w:val="51"/>
      </w:rPr>
      <w:instrText xml:space="preserve">PAGE  </w:instrText>
    </w:r>
    <w:r>
      <w:rPr>
        <w:rStyle w:val="51"/>
      </w:rPr>
      <w:fldChar w:fldCharType="separate"/>
    </w:r>
    <w:r>
      <w:rPr>
        <w:rStyle w:val="51"/>
      </w:rPr>
      <w:t>1</w:t>
    </w:r>
    <w:r>
      <w:rPr>
        <w:rStyle w:val="51"/>
      </w:rPr>
      <w:fldChar w:fldCharType="end"/>
    </w:r>
  </w:p>
  <w:p w14:paraId="1E041DDA">
    <w:pPr>
      <w:pStyle w:val="2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67E6">
    <w:pPr>
      <w:pStyle w:val="27"/>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D9AD1">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17882">
    <w:pPr>
      <w:pStyle w:val="27"/>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41BF7">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95938">
                          <w:pPr>
                            <w:pStyle w:val="27"/>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mfhYg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mMMysMGr7//m3/&#10;43H/8ys7Tf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mfhYg2AgAAYwQAAA4AAAAAAAAAAQAgAAAAHwEAAGRycy9lMm9Eb2MueG1s&#10;UEsFBgAAAAAGAAYAWQEAAMcFAAAAAA==&#10;">
              <v:fill on="f" focussize="0,0"/>
              <v:stroke on="f" weight="0.5pt"/>
              <v:imagedata o:title=""/>
              <o:lock v:ext="edit" aspectratio="f"/>
              <v:textbox inset="0mm,0mm,0mm,0mm" style="mso-fit-shape-to-text:t;">
                <w:txbxContent>
                  <w:p w14:paraId="7B695938">
                    <w:pPr>
                      <w:pStyle w:val="27"/>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AA7E9">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FF1758">
                          <w:pPr>
                            <w:pStyle w:val="27"/>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Nx5Y3AgAAYwQAAA4AAABkcnMvZTJvRG9jLnhtbK1UwW4TMRC9I/EP&#10;lu900xa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L5M8nQszRK0d4mL/mnoMzXgf0uWme0cV3oltpKxBX3uTtAA7hmhIvTtKrfrIZIKYnk2n&#10;E7gkfOMHshViNj53PsQ3igxLRsk9epnhxcMqxCF0DEnZLC1brXM/tWVdyS/O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TjceWNwIAAGMEAAAOAAAAAAAAAAEAIAAAAB8BAABkcnMvZTJvRG9jLnht&#10;bFBLBQYAAAAABgAGAFkBAADIBQAAAAA=&#10;">
              <v:fill on="f" focussize="0,0"/>
              <v:stroke on="f" weight="0.5pt"/>
              <v:imagedata o:title=""/>
              <o:lock v:ext="edit" aspectratio="f"/>
              <v:textbox inset="0mm,0mm,0mm,0mm" style="mso-fit-shape-to-text:t;">
                <w:txbxContent>
                  <w:p w14:paraId="45FF1758">
                    <w:pPr>
                      <w:pStyle w:val="27"/>
                    </w:pPr>
                    <w:r>
                      <w:fldChar w:fldCharType="begin"/>
                    </w:r>
                    <w:r>
                      <w:instrText xml:space="preserve"> PAGE  \* MERGEFORMAT </w:instrText>
                    </w:r>
                    <w:r>
                      <w:fldChar w:fldCharType="separate"/>
                    </w:r>
                    <w:r>
                      <w:t>37</w:t>
                    </w:r>
                    <w:r>
                      <w:fldChar w:fldCharType="end"/>
                    </w:r>
                  </w:p>
                </w:txbxContent>
              </v:textbox>
            </v:shape>
          </w:pict>
        </mc:Fallback>
      </mc:AlternateContent>
    </w:r>
  </w:p>
  <w:p w14:paraId="46D12088">
    <w:pPr>
      <w:pStyle w:val="27"/>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EC316">
    <w:pPr>
      <w:pStyle w:val="2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212E5">
    <w:pPr>
      <w:pStyle w:val="29"/>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7ECCF">
    <w:pPr>
      <w:pStyle w:val="2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2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BF205925"/>
    <w:multiLevelType w:val="multilevel"/>
    <w:tmpl w:val="BF205925"/>
    <w:lvl w:ilvl="0" w:tentative="0">
      <w:start w:val="1"/>
      <w:numFmt w:val="upperLetter"/>
      <w:pStyle w:val="41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japaneseCounting"/>
      <w:pStyle w:val="173"/>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upperLetter"/>
      <w:pStyle w:val="7"/>
      <w:lvlText w:val="%1."/>
      <w:lvlJc w:val="left"/>
      <w:pPr>
        <w:tabs>
          <w:tab w:val="left" w:pos="360"/>
        </w:tabs>
        <w:ind w:left="360" w:hanging="36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48"/>
      <w:suff w:val="nothing"/>
      <w:lvlText w:val=""/>
      <w:lvlJc w:val="left"/>
      <w:pPr>
        <w:ind w:left="0" w:firstLine="0"/>
      </w:pPr>
      <w:rPr>
        <w:rFonts w:hint="eastAsia"/>
      </w:rPr>
    </w:lvl>
    <w:lvl w:ilvl="6" w:tentative="0">
      <w:start w:val="1"/>
      <w:numFmt w:val="decimal"/>
      <w:pStyle w:val="350"/>
      <w:suff w:val="nothing"/>
      <w:lvlText w:val=""/>
      <w:lvlJc w:val="left"/>
      <w:pPr>
        <w:ind w:left="0" w:firstLine="0"/>
      </w:pPr>
      <w:rPr>
        <w:rFonts w:hint="eastAsia"/>
      </w:rPr>
    </w:lvl>
    <w:lvl w:ilvl="7" w:tentative="0">
      <w:start w:val="1"/>
      <w:numFmt w:val="decimal"/>
      <w:pStyle w:val="352"/>
      <w:suff w:val="nothing"/>
      <w:lvlText w:val=""/>
      <w:lvlJc w:val="left"/>
      <w:pPr>
        <w:ind w:left="0" w:firstLine="0"/>
      </w:pPr>
      <w:rPr>
        <w:rFonts w:hint="eastAsia"/>
      </w:rPr>
    </w:lvl>
    <w:lvl w:ilvl="8" w:tentative="0">
      <w:start w:val="1"/>
      <w:numFmt w:val="decimal"/>
      <w:pStyle w:val="354"/>
      <w:suff w:val="nothing"/>
      <w:lvlText w:val=""/>
      <w:lvlJc w:val="left"/>
      <w:pPr>
        <w:ind w:left="0" w:firstLine="0"/>
      </w:pPr>
      <w:rPr>
        <w:rFonts w:hint="eastAsia"/>
      </w:rPr>
    </w:lvl>
  </w:abstractNum>
  <w:num w:numId="1">
    <w:abstractNumId w:val="5"/>
  </w:num>
  <w:num w:numId="2">
    <w:abstractNumId w:val="3"/>
  </w:num>
  <w:num w:numId="3">
    <w:abstractNumId w:val="11"/>
  </w:num>
  <w:num w:numId="4">
    <w:abstractNumId w:val="1"/>
  </w:num>
  <w:num w:numId="5">
    <w:abstractNumId w:val="0"/>
  </w:num>
  <w:num w:numId="6">
    <w:abstractNumId w:val="6"/>
  </w:num>
  <w:num w:numId="7">
    <w:abstractNumId w:val="8"/>
  </w:num>
  <w:num w:numId="8">
    <w:abstractNumId w:val="9"/>
  </w:num>
  <w:num w:numId="9">
    <w:abstractNumId w:val="2"/>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01A4716"/>
    <w:rsid w:val="001F4D0A"/>
    <w:rsid w:val="00C226C9"/>
    <w:rsid w:val="01C901A1"/>
    <w:rsid w:val="03073C0C"/>
    <w:rsid w:val="03575C81"/>
    <w:rsid w:val="03606D67"/>
    <w:rsid w:val="05290F57"/>
    <w:rsid w:val="06150F68"/>
    <w:rsid w:val="06A418E8"/>
    <w:rsid w:val="06C74ECC"/>
    <w:rsid w:val="074B3407"/>
    <w:rsid w:val="078A2181"/>
    <w:rsid w:val="07BE62CF"/>
    <w:rsid w:val="07EC0192"/>
    <w:rsid w:val="084A5DB4"/>
    <w:rsid w:val="09000221"/>
    <w:rsid w:val="09297778"/>
    <w:rsid w:val="094B5940"/>
    <w:rsid w:val="094C6FF8"/>
    <w:rsid w:val="096B5FE2"/>
    <w:rsid w:val="09C0632E"/>
    <w:rsid w:val="0A622F41"/>
    <w:rsid w:val="0B0F03B9"/>
    <w:rsid w:val="0BFC73C5"/>
    <w:rsid w:val="0C6E276B"/>
    <w:rsid w:val="0C84215E"/>
    <w:rsid w:val="0C9420F8"/>
    <w:rsid w:val="0CC954FA"/>
    <w:rsid w:val="0CD45C4C"/>
    <w:rsid w:val="0D643474"/>
    <w:rsid w:val="0D6C2329"/>
    <w:rsid w:val="0D910C60"/>
    <w:rsid w:val="0E884F40"/>
    <w:rsid w:val="0F0F11BE"/>
    <w:rsid w:val="0F1A07E4"/>
    <w:rsid w:val="0F501F02"/>
    <w:rsid w:val="0F803E6A"/>
    <w:rsid w:val="0F930041"/>
    <w:rsid w:val="0FDE750E"/>
    <w:rsid w:val="101F3682"/>
    <w:rsid w:val="10741C20"/>
    <w:rsid w:val="10FB5E9E"/>
    <w:rsid w:val="118539B9"/>
    <w:rsid w:val="12096398"/>
    <w:rsid w:val="122B27B2"/>
    <w:rsid w:val="1246139A"/>
    <w:rsid w:val="126D1873"/>
    <w:rsid w:val="127F48AC"/>
    <w:rsid w:val="1299596E"/>
    <w:rsid w:val="136B15CD"/>
    <w:rsid w:val="139D3726"/>
    <w:rsid w:val="139D4FEA"/>
    <w:rsid w:val="14294AD0"/>
    <w:rsid w:val="14D41776"/>
    <w:rsid w:val="15627617"/>
    <w:rsid w:val="161B669A"/>
    <w:rsid w:val="165A5414"/>
    <w:rsid w:val="16864176"/>
    <w:rsid w:val="1699418F"/>
    <w:rsid w:val="16BF34C9"/>
    <w:rsid w:val="16E573D4"/>
    <w:rsid w:val="177249E0"/>
    <w:rsid w:val="17A80401"/>
    <w:rsid w:val="17CC40F0"/>
    <w:rsid w:val="17E05DED"/>
    <w:rsid w:val="17E256C1"/>
    <w:rsid w:val="17E551B2"/>
    <w:rsid w:val="187A12BE"/>
    <w:rsid w:val="18B0756E"/>
    <w:rsid w:val="190A2398"/>
    <w:rsid w:val="19297320"/>
    <w:rsid w:val="19445F08"/>
    <w:rsid w:val="19B25567"/>
    <w:rsid w:val="19FC6162"/>
    <w:rsid w:val="1B3F1AA6"/>
    <w:rsid w:val="1B6A5147"/>
    <w:rsid w:val="1B961B24"/>
    <w:rsid w:val="1B972C67"/>
    <w:rsid w:val="1C297D63"/>
    <w:rsid w:val="1C3E1334"/>
    <w:rsid w:val="1D293D92"/>
    <w:rsid w:val="1D4C4073"/>
    <w:rsid w:val="1D6A0633"/>
    <w:rsid w:val="1D6E4EF6"/>
    <w:rsid w:val="1D7E6E01"/>
    <w:rsid w:val="1E852914"/>
    <w:rsid w:val="1F2E5690"/>
    <w:rsid w:val="1F4A5F8A"/>
    <w:rsid w:val="1FF70178"/>
    <w:rsid w:val="207C0EDB"/>
    <w:rsid w:val="20E71F9A"/>
    <w:rsid w:val="20FF1092"/>
    <w:rsid w:val="21326115"/>
    <w:rsid w:val="214B57FF"/>
    <w:rsid w:val="216B497A"/>
    <w:rsid w:val="21A51B5B"/>
    <w:rsid w:val="21ED35E0"/>
    <w:rsid w:val="22396826"/>
    <w:rsid w:val="22535048"/>
    <w:rsid w:val="226C2CA6"/>
    <w:rsid w:val="228026A7"/>
    <w:rsid w:val="22DF561F"/>
    <w:rsid w:val="23DA5DE6"/>
    <w:rsid w:val="23EB7FF4"/>
    <w:rsid w:val="240D16E8"/>
    <w:rsid w:val="24247062"/>
    <w:rsid w:val="24442A22"/>
    <w:rsid w:val="244A6AC8"/>
    <w:rsid w:val="2540611D"/>
    <w:rsid w:val="258458FE"/>
    <w:rsid w:val="258E2EC9"/>
    <w:rsid w:val="268D0EEE"/>
    <w:rsid w:val="269E30FB"/>
    <w:rsid w:val="26B26BA7"/>
    <w:rsid w:val="275A511D"/>
    <w:rsid w:val="27D068EF"/>
    <w:rsid w:val="28814A83"/>
    <w:rsid w:val="28935663"/>
    <w:rsid w:val="291E22D1"/>
    <w:rsid w:val="2A7A0B21"/>
    <w:rsid w:val="2ABE1FBE"/>
    <w:rsid w:val="2AEA2DB3"/>
    <w:rsid w:val="2B05199B"/>
    <w:rsid w:val="2B073965"/>
    <w:rsid w:val="2B1568B7"/>
    <w:rsid w:val="2BA80578"/>
    <w:rsid w:val="2D1265F1"/>
    <w:rsid w:val="2E662925"/>
    <w:rsid w:val="2E8B0409"/>
    <w:rsid w:val="2EB536D8"/>
    <w:rsid w:val="2EF75A9F"/>
    <w:rsid w:val="2FDD4C94"/>
    <w:rsid w:val="308E41E1"/>
    <w:rsid w:val="30C16364"/>
    <w:rsid w:val="3216448E"/>
    <w:rsid w:val="327C0C9B"/>
    <w:rsid w:val="32DC7485"/>
    <w:rsid w:val="33A31D51"/>
    <w:rsid w:val="33A914A0"/>
    <w:rsid w:val="342E2DE1"/>
    <w:rsid w:val="34DF14AF"/>
    <w:rsid w:val="34E46AC5"/>
    <w:rsid w:val="3608233F"/>
    <w:rsid w:val="3656754F"/>
    <w:rsid w:val="3676691E"/>
    <w:rsid w:val="37114410"/>
    <w:rsid w:val="373E3E64"/>
    <w:rsid w:val="376161AB"/>
    <w:rsid w:val="384A6801"/>
    <w:rsid w:val="3A606BEE"/>
    <w:rsid w:val="3A916DA7"/>
    <w:rsid w:val="3A972F8C"/>
    <w:rsid w:val="3ACD1DA9"/>
    <w:rsid w:val="3B2C4D22"/>
    <w:rsid w:val="3B595665"/>
    <w:rsid w:val="3BC77282"/>
    <w:rsid w:val="3C2854E9"/>
    <w:rsid w:val="3C9012E0"/>
    <w:rsid w:val="3CA31014"/>
    <w:rsid w:val="3D307BF4"/>
    <w:rsid w:val="3D347EBE"/>
    <w:rsid w:val="3E170D06"/>
    <w:rsid w:val="3E860BED"/>
    <w:rsid w:val="3EF21DDE"/>
    <w:rsid w:val="3EF913BF"/>
    <w:rsid w:val="3F185FCA"/>
    <w:rsid w:val="3F2B16A5"/>
    <w:rsid w:val="3F636838"/>
    <w:rsid w:val="3F7647BE"/>
    <w:rsid w:val="3FB47D1B"/>
    <w:rsid w:val="3FD6525C"/>
    <w:rsid w:val="40204729"/>
    <w:rsid w:val="402C1320"/>
    <w:rsid w:val="42AB0C22"/>
    <w:rsid w:val="42BA70B7"/>
    <w:rsid w:val="43C95804"/>
    <w:rsid w:val="43D441A9"/>
    <w:rsid w:val="43E81BAE"/>
    <w:rsid w:val="43E93F8A"/>
    <w:rsid w:val="44E07B24"/>
    <w:rsid w:val="44EC107E"/>
    <w:rsid w:val="45062140"/>
    <w:rsid w:val="45684BA8"/>
    <w:rsid w:val="466C14B8"/>
    <w:rsid w:val="46CA3B6E"/>
    <w:rsid w:val="47946129"/>
    <w:rsid w:val="47D613CB"/>
    <w:rsid w:val="47DC7D0B"/>
    <w:rsid w:val="47E4066D"/>
    <w:rsid w:val="47F00E85"/>
    <w:rsid w:val="47F6649C"/>
    <w:rsid w:val="47F95F8C"/>
    <w:rsid w:val="48166B3E"/>
    <w:rsid w:val="48272AF9"/>
    <w:rsid w:val="4828061F"/>
    <w:rsid w:val="48961A2D"/>
    <w:rsid w:val="48D83DF3"/>
    <w:rsid w:val="49262DB0"/>
    <w:rsid w:val="49776641"/>
    <w:rsid w:val="49AE2F15"/>
    <w:rsid w:val="49C36851"/>
    <w:rsid w:val="49F27137"/>
    <w:rsid w:val="4B2652EA"/>
    <w:rsid w:val="4C7B78B7"/>
    <w:rsid w:val="4C83338C"/>
    <w:rsid w:val="4C854292"/>
    <w:rsid w:val="4D2C6E03"/>
    <w:rsid w:val="4D3B0DF4"/>
    <w:rsid w:val="4E375A60"/>
    <w:rsid w:val="4E616639"/>
    <w:rsid w:val="4EB03520"/>
    <w:rsid w:val="4FB629B4"/>
    <w:rsid w:val="4FF705C0"/>
    <w:rsid w:val="503F29AA"/>
    <w:rsid w:val="50C555A5"/>
    <w:rsid w:val="51F06651"/>
    <w:rsid w:val="52100AA2"/>
    <w:rsid w:val="52335CF5"/>
    <w:rsid w:val="529A036B"/>
    <w:rsid w:val="52A35472"/>
    <w:rsid w:val="53035F10"/>
    <w:rsid w:val="542720D3"/>
    <w:rsid w:val="5435659E"/>
    <w:rsid w:val="547F6E00"/>
    <w:rsid w:val="54FB77E7"/>
    <w:rsid w:val="55256612"/>
    <w:rsid w:val="55B41744"/>
    <w:rsid w:val="55DC0FE9"/>
    <w:rsid w:val="566B4172"/>
    <w:rsid w:val="56AE1205"/>
    <w:rsid w:val="56F20776"/>
    <w:rsid w:val="57016C0B"/>
    <w:rsid w:val="575115E2"/>
    <w:rsid w:val="57821E15"/>
    <w:rsid w:val="579E08FE"/>
    <w:rsid w:val="57FF75EE"/>
    <w:rsid w:val="584E7C2E"/>
    <w:rsid w:val="58AB6E2E"/>
    <w:rsid w:val="59E44CEE"/>
    <w:rsid w:val="5AA224B3"/>
    <w:rsid w:val="5C5577D7"/>
    <w:rsid w:val="5C904CB9"/>
    <w:rsid w:val="5CB92EFC"/>
    <w:rsid w:val="5D1F603D"/>
    <w:rsid w:val="5D366F75"/>
    <w:rsid w:val="5D720862"/>
    <w:rsid w:val="5E5D0BCB"/>
    <w:rsid w:val="5EE72B8A"/>
    <w:rsid w:val="5F092B01"/>
    <w:rsid w:val="5F667F53"/>
    <w:rsid w:val="604C40C6"/>
    <w:rsid w:val="609A4358"/>
    <w:rsid w:val="60E750C3"/>
    <w:rsid w:val="60FF41BB"/>
    <w:rsid w:val="64F16511"/>
    <w:rsid w:val="650D2C1F"/>
    <w:rsid w:val="65436640"/>
    <w:rsid w:val="661C75BD"/>
    <w:rsid w:val="664739F1"/>
    <w:rsid w:val="67C25F42"/>
    <w:rsid w:val="67D440F4"/>
    <w:rsid w:val="69390486"/>
    <w:rsid w:val="695A0B28"/>
    <w:rsid w:val="699F478D"/>
    <w:rsid w:val="69E228CC"/>
    <w:rsid w:val="6A242EE4"/>
    <w:rsid w:val="6AAD2EDA"/>
    <w:rsid w:val="6ADA5940"/>
    <w:rsid w:val="6AF71AD0"/>
    <w:rsid w:val="6B8F70CD"/>
    <w:rsid w:val="6B951414"/>
    <w:rsid w:val="6BAD751C"/>
    <w:rsid w:val="6BB65DBE"/>
    <w:rsid w:val="6BCA3618"/>
    <w:rsid w:val="6C0A7EB8"/>
    <w:rsid w:val="6C5D2613"/>
    <w:rsid w:val="6D007715"/>
    <w:rsid w:val="6D4F64CA"/>
    <w:rsid w:val="6D6D6BC8"/>
    <w:rsid w:val="6E2F3C06"/>
    <w:rsid w:val="6E865F1C"/>
    <w:rsid w:val="6EE13152"/>
    <w:rsid w:val="6F433E0D"/>
    <w:rsid w:val="6F8166E3"/>
    <w:rsid w:val="6FA57274"/>
    <w:rsid w:val="6FFE7D34"/>
    <w:rsid w:val="712038D9"/>
    <w:rsid w:val="7141437C"/>
    <w:rsid w:val="71755DD4"/>
    <w:rsid w:val="71816E6E"/>
    <w:rsid w:val="71AF7537"/>
    <w:rsid w:val="724759C2"/>
    <w:rsid w:val="72E74AAF"/>
    <w:rsid w:val="737748FA"/>
    <w:rsid w:val="73F56B61"/>
    <w:rsid w:val="7407365B"/>
    <w:rsid w:val="74820F33"/>
    <w:rsid w:val="74E33682"/>
    <w:rsid w:val="75263FB5"/>
    <w:rsid w:val="752C5223"/>
    <w:rsid w:val="75560F4C"/>
    <w:rsid w:val="756E770A"/>
    <w:rsid w:val="75AD1FE0"/>
    <w:rsid w:val="75F95FAC"/>
    <w:rsid w:val="765E32DA"/>
    <w:rsid w:val="76B70203"/>
    <w:rsid w:val="77376760"/>
    <w:rsid w:val="778154D2"/>
    <w:rsid w:val="77905715"/>
    <w:rsid w:val="77E31CE9"/>
    <w:rsid w:val="78852DA0"/>
    <w:rsid w:val="793B3DA7"/>
    <w:rsid w:val="79C124FE"/>
    <w:rsid w:val="79D446F2"/>
    <w:rsid w:val="79D833A4"/>
    <w:rsid w:val="7A291E51"/>
    <w:rsid w:val="7BD81D81"/>
    <w:rsid w:val="7C174657"/>
    <w:rsid w:val="7C1F350C"/>
    <w:rsid w:val="7C484810"/>
    <w:rsid w:val="7CAA1027"/>
    <w:rsid w:val="7DAC7021"/>
    <w:rsid w:val="7E5751DF"/>
    <w:rsid w:val="7E811E77"/>
    <w:rsid w:val="7E861620"/>
    <w:rsid w:val="7EB937A4"/>
    <w:rsid w:val="7FF76C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3">
    <w:name w:val="heading 1"/>
    <w:basedOn w:val="1"/>
    <w:next w:val="1"/>
    <w:link w:val="104"/>
    <w:qFormat/>
    <w:uiPriority w:val="9"/>
    <w:pPr>
      <w:keepNext/>
      <w:jc w:val="center"/>
      <w:outlineLvl w:val="0"/>
    </w:pPr>
    <w:rPr>
      <w:rFonts w:ascii="楷体_GB2312" w:hAnsi="Times New Roman" w:eastAsia="楷体_GB2312" w:cs="Times New Roman"/>
      <w:b/>
      <w:sz w:val="28"/>
      <w:szCs w:val="20"/>
    </w:rPr>
  </w:style>
  <w:style w:type="paragraph" w:styleId="4">
    <w:name w:val="heading 2"/>
    <w:basedOn w:val="1"/>
    <w:next w:val="1"/>
    <w:link w:val="105"/>
    <w:qFormat/>
    <w:uiPriority w:val="9"/>
    <w:pPr>
      <w:keepNext/>
      <w:jc w:val="center"/>
      <w:outlineLvl w:val="1"/>
    </w:pPr>
    <w:rPr>
      <w:rFonts w:ascii="楷体_GB2312" w:hAnsi="Times New Roman" w:eastAsia="楷体_GB2312" w:cs="Times New Roman"/>
      <w:b/>
      <w:bCs/>
      <w:sz w:val="18"/>
      <w:szCs w:val="20"/>
    </w:rPr>
  </w:style>
  <w:style w:type="paragraph" w:styleId="5">
    <w:name w:val="heading 3"/>
    <w:basedOn w:val="1"/>
    <w:next w:val="1"/>
    <w:link w:val="106"/>
    <w:qFormat/>
    <w:uiPriority w:val="9"/>
    <w:pPr>
      <w:keepNext/>
      <w:jc w:val="left"/>
      <w:outlineLvl w:val="2"/>
    </w:pPr>
    <w:rPr>
      <w:rFonts w:asciiTheme="minorEastAsia" w:hAnsiTheme="minorEastAsia"/>
      <w:bCs/>
      <w:sz w:val="24"/>
      <w:szCs w:val="24"/>
    </w:rPr>
  </w:style>
  <w:style w:type="paragraph" w:styleId="6">
    <w:name w:val="heading 4"/>
    <w:basedOn w:val="1"/>
    <w:next w:val="1"/>
    <w:link w:val="107"/>
    <w:qFormat/>
    <w:uiPriority w:val="9"/>
    <w:pPr>
      <w:keepNext/>
      <w:outlineLvl w:val="3"/>
    </w:pPr>
    <w:rPr>
      <w:rFonts w:ascii="Times New Roman" w:hAnsi="Times New Roman" w:eastAsia="楷体_GB2312" w:cs="Times New Roman"/>
      <w:b/>
      <w:bCs/>
      <w:sz w:val="15"/>
      <w:szCs w:val="20"/>
    </w:rPr>
  </w:style>
  <w:style w:type="paragraph" w:styleId="7">
    <w:name w:val="heading 5"/>
    <w:basedOn w:val="1"/>
    <w:next w:val="1"/>
    <w:link w:val="108"/>
    <w:qFormat/>
    <w:uiPriority w:val="9"/>
    <w:pPr>
      <w:keepNext/>
      <w:numPr>
        <w:ilvl w:val="0"/>
        <w:numId w:val="1"/>
      </w:numPr>
      <w:outlineLvl w:val="4"/>
    </w:pPr>
    <w:rPr>
      <w:rFonts w:ascii="楷体_GB2312" w:hAnsi="Times New Roman" w:eastAsia="楷体_GB2312" w:cs="Times New Roman"/>
      <w:bCs/>
      <w:sz w:val="28"/>
      <w:szCs w:val="20"/>
    </w:rPr>
  </w:style>
  <w:style w:type="paragraph" w:styleId="8">
    <w:name w:val="heading 6"/>
    <w:basedOn w:val="1"/>
    <w:next w:val="1"/>
    <w:link w:val="188"/>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89"/>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90"/>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91"/>
    <w:qFormat/>
    <w:uiPriority w:val="9"/>
    <w:pPr>
      <w:keepNext/>
      <w:keepLines/>
      <w:spacing w:before="320" w:after="200"/>
      <w:outlineLvl w:val="8"/>
    </w:pPr>
    <w:rPr>
      <w:rFonts w:ascii="Arial" w:hAnsi="Arial" w:eastAsia="Arial" w:cs="Arial"/>
      <w:i/>
      <w:iCs/>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3"/>
    <w:qFormat/>
    <w:uiPriority w:val="99"/>
    <w:rPr>
      <w:rFonts w:ascii="华文中宋" w:hAnsi="Times New Roman" w:eastAsia="华文中宋" w:cs="Times New Roman"/>
      <w:bCs/>
      <w:sz w:val="28"/>
      <w:szCs w:val="20"/>
    </w:rPr>
  </w:style>
  <w:style w:type="paragraph" w:styleId="12">
    <w:name w:val="toc 7"/>
    <w:basedOn w:val="1"/>
    <w:next w:val="1"/>
    <w:unhideWhenUsed/>
    <w:qFormat/>
    <w:uiPriority w:val="39"/>
    <w:pPr>
      <w:spacing w:after="57"/>
      <w:ind w:left="1701"/>
    </w:pPr>
    <w:rPr>
      <w:rFonts w:ascii="Times New Roman" w:hAnsi="Times New Roman" w:eastAsia="宋体" w:cs="Times New Roman"/>
      <w:szCs w:val="21"/>
    </w:rPr>
  </w:style>
  <w:style w:type="paragraph" w:styleId="13">
    <w:name w:val="Normal Indent"/>
    <w:basedOn w:val="1"/>
    <w:qFormat/>
    <w:uiPriority w:val="99"/>
    <w:pPr>
      <w:ind w:firstLine="420"/>
    </w:pPr>
    <w:rPr>
      <w:rFonts w:ascii="Times New Roman" w:hAnsi="Times New Roman" w:eastAsia="宋体" w:cs="Times New Roman"/>
      <w:szCs w:val="20"/>
    </w:rPr>
  </w:style>
  <w:style w:type="paragraph" w:styleId="14">
    <w:name w:val="caption"/>
    <w:basedOn w:val="1"/>
    <w:next w:val="1"/>
    <w:qFormat/>
    <w:uiPriority w:val="35"/>
    <w:pPr>
      <w:spacing w:line="276" w:lineRule="auto"/>
    </w:pPr>
    <w:rPr>
      <w:rFonts w:ascii="Times New Roman" w:hAnsi="Times New Roman" w:eastAsia="宋体" w:cs="Times New Roman"/>
      <w:b/>
      <w:bCs/>
      <w:color w:val="4F81BD"/>
      <w:sz w:val="18"/>
      <w:szCs w:val="18"/>
    </w:rPr>
  </w:style>
  <w:style w:type="paragraph" w:styleId="15">
    <w:name w:val="Document Map"/>
    <w:basedOn w:val="1"/>
    <w:link w:val="169"/>
    <w:semiHidden/>
    <w:qFormat/>
    <w:uiPriority w:val="99"/>
    <w:pPr>
      <w:shd w:val="clear" w:color="auto" w:fill="000080"/>
    </w:pPr>
    <w:rPr>
      <w:rFonts w:ascii="Times New Roman" w:hAnsi="Times New Roman" w:eastAsia="宋体" w:cs="Times New Roman"/>
      <w:sz w:val="20"/>
      <w:szCs w:val="20"/>
    </w:rPr>
  </w:style>
  <w:style w:type="paragraph" w:styleId="16">
    <w:name w:val="annotation text"/>
    <w:basedOn w:val="1"/>
    <w:link w:val="176"/>
    <w:unhideWhenUsed/>
    <w:qFormat/>
    <w:uiPriority w:val="99"/>
    <w:pPr>
      <w:jc w:val="left"/>
    </w:pPr>
  </w:style>
  <w:style w:type="paragraph" w:styleId="17">
    <w:name w:val="Body Text Indent"/>
    <w:basedOn w:val="1"/>
    <w:link w:val="110"/>
    <w:qFormat/>
    <w:uiPriority w:val="99"/>
    <w:pPr>
      <w:ind w:firstLine="576"/>
    </w:pPr>
    <w:rPr>
      <w:rFonts w:ascii="Times New Roman" w:hAnsi="Times New Roman" w:eastAsia="宋体" w:cs="Times New Roman"/>
      <w:b/>
      <w:sz w:val="30"/>
      <w:szCs w:val="20"/>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rPr>
      <w:rFonts w:ascii="Times New Roman" w:hAnsi="Times New Roman" w:eastAsia="宋体" w:cs="Times New Roman"/>
      <w:szCs w:val="21"/>
    </w:rPr>
  </w:style>
  <w:style w:type="paragraph" w:styleId="20">
    <w:name w:val="toc 3"/>
    <w:basedOn w:val="1"/>
    <w:next w:val="1"/>
    <w:unhideWhenUsed/>
    <w:qFormat/>
    <w:uiPriority w:val="39"/>
    <w:pPr>
      <w:spacing w:after="57"/>
      <w:ind w:left="567"/>
    </w:pPr>
    <w:rPr>
      <w:rFonts w:ascii="Times New Roman" w:hAnsi="Times New Roman" w:eastAsia="宋体" w:cs="Times New Roman"/>
      <w:szCs w:val="21"/>
    </w:rPr>
  </w:style>
  <w:style w:type="paragraph" w:styleId="21">
    <w:name w:val="Plain Text"/>
    <w:basedOn w:val="1"/>
    <w:qFormat/>
    <w:uiPriority w:val="0"/>
    <w:rPr>
      <w:rFonts w:ascii="黑体" w:cs="Times New Roman"/>
      <w:szCs w:val="21"/>
    </w:rPr>
  </w:style>
  <w:style w:type="paragraph" w:styleId="22">
    <w:name w:val="toc 8"/>
    <w:basedOn w:val="1"/>
    <w:next w:val="1"/>
    <w:unhideWhenUsed/>
    <w:qFormat/>
    <w:uiPriority w:val="39"/>
    <w:pPr>
      <w:spacing w:after="57"/>
      <w:ind w:left="1984"/>
    </w:pPr>
    <w:rPr>
      <w:rFonts w:ascii="Times New Roman" w:hAnsi="Times New Roman" w:eastAsia="宋体" w:cs="Times New Roman"/>
      <w:szCs w:val="21"/>
    </w:rPr>
  </w:style>
  <w:style w:type="paragraph" w:styleId="23">
    <w:name w:val="Date"/>
    <w:basedOn w:val="1"/>
    <w:next w:val="1"/>
    <w:link w:val="109"/>
    <w:qFormat/>
    <w:uiPriority w:val="99"/>
    <w:rPr>
      <w:rFonts w:ascii="Times New Roman" w:hAnsi="Times New Roman" w:eastAsia="黑体" w:cs="Times New Roman"/>
      <w:b/>
      <w:sz w:val="36"/>
      <w:szCs w:val="20"/>
    </w:rPr>
  </w:style>
  <w:style w:type="paragraph" w:styleId="24">
    <w:name w:val="Body Text Indent 2"/>
    <w:basedOn w:val="1"/>
    <w:link w:val="114"/>
    <w:qFormat/>
    <w:uiPriority w:val="99"/>
    <w:pPr>
      <w:ind w:left="900"/>
    </w:pPr>
    <w:rPr>
      <w:rFonts w:ascii="楷体_GB2312" w:hAnsi="Times New Roman" w:eastAsia="楷体_GB2312" w:cs="Times New Roman"/>
      <w:b/>
      <w:sz w:val="28"/>
      <w:szCs w:val="20"/>
    </w:rPr>
  </w:style>
  <w:style w:type="paragraph" w:styleId="25">
    <w:name w:val="endnote text"/>
    <w:basedOn w:val="1"/>
    <w:link w:val="216"/>
    <w:unhideWhenUsed/>
    <w:qFormat/>
    <w:uiPriority w:val="99"/>
    <w:rPr>
      <w:rFonts w:ascii="Times New Roman" w:hAnsi="Times New Roman" w:eastAsia="宋体" w:cs="Times New Roman"/>
      <w:sz w:val="20"/>
      <w:szCs w:val="21"/>
    </w:rPr>
  </w:style>
  <w:style w:type="paragraph" w:styleId="26">
    <w:name w:val="Balloon Text"/>
    <w:basedOn w:val="1"/>
    <w:link w:val="175"/>
    <w:unhideWhenUsed/>
    <w:qFormat/>
    <w:uiPriority w:val="99"/>
    <w:rPr>
      <w:rFonts w:ascii="Times New Roman" w:hAnsi="Times New Roman" w:eastAsia="宋体" w:cs="Times New Roman"/>
      <w:sz w:val="18"/>
      <w:szCs w:val="18"/>
    </w:rPr>
  </w:style>
  <w:style w:type="paragraph" w:styleId="27">
    <w:name w:val="footer"/>
    <w:basedOn w:val="1"/>
    <w:next w:val="28"/>
    <w:link w:val="111"/>
    <w:qFormat/>
    <w:uiPriority w:val="99"/>
    <w:pPr>
      <w:tabs>
        <w:tab w:val="center" w:pos="4153"/>
        <w:tab w:val="right" w:pos="8306"/>
      </w:tabs>
      <w:jc w:val="left"/>
    </w:pPr>
    <w:rPr>
      <w:rFonts w:ascii="Times New Roman" w:hAnsi="Times New Roman" w:eastAsia="宋体" w:cs="Times New Roman"/>
      <w:sz w:val="18"/>
      <w:szCs w:val="20"/>
    </w:rPr>
  </w:style>
  <w:style w:type="paragraph" w:customStyle="1" w:styleId="28">
    <w:name w:val="TOC Heading1"/>
    <w:next w:val="1"/>
    <w:qFormat/>
    <w:uiPriority w:val="0"/>
    <w:rPr>
      <w:rFonts w:hint="default" w:ascii="Calibri" w:hAnsi="Calibri" w:eastAsia="宋体" w:cs="Times New Roman"/>
      <w:sz w:val="32"/>
      <w:lang w:val="en-US" w:eastAsia="zh-CN" w:bidi="ar-SA"/>
    </w:rPr>
  </w:style>
  <w:style w:type="paragraph" w:styleId="29">
    <w:name w:val="header"/>
    <w:basedOn w:val="1"/>
    <w:link w:val="112"/>
    <w:qFormat/>
    <w:uiPriority w:val="99"/>
    <w:pPr>
      <w:pBdr>
        <w:bottom w:val="single" w:color="auto" w:sz="6" w:space="1"/>
      </w:pBdr>
      <w:tabs>
        <w:tab w:val="center" w:pos="4153"/>
        <w:tab w:val="right" w:pos="8306"/>
      </w:tabs>
      <w:jc w:val="center"/>
    </w:pPr>
    <w:rPr>
      <w:rFonts w:ascii="Times New Roman" w:hAnsi="Times New Roman" w:eastAsia="宋体" w:cs="Times New Roman"/>
      <w:sz w:val="18"/>
      <w:szCs w:val="20"/>
    </w:rPr>
  </w:style>
  <w:style w:type="paragraph" w:styleId="30">
    <w:name w:val="toc 1"/>
    <w:basedOn w:val="1"/>
    <w:next w:val="1"/>
    <w:unhideWhenUsed/>
    <w:qFormat/>
    <w:uiPriority w:val="39"/>
    <w:pPr>
      <w:spacing w:after="57"/>
    </w:pPr>
    <w:rPr>
      <w:rFonts w:ascii="Times New Roman" w:hAnsi="Times New Roman" w:eastAsia="宋体" w:cs="Times New Roman"/>
      <w:szCs w:val="21"/>
    </w:rPr>
  </w:style>
  <w:style w:type="paragraph" w:styleId="31">
    <w:name w:val="toc 4"/>
    <w:basedOn w:val="1"/>
    <w:next w:val="1"/>
    <w:unhideWhenUsed/>
    <w:qFormat/>
    <w:uiPriority w:val="39"/>
    <w:pPr>
      <w:spacing w:after="57"/>
      <w:ind w:left="850"/>
    </w:pPr>
    <w:rPr>
      <w:rFonts w:ascii="Times New Roman" w:hAnsi="Times New Roman" w:eastAsia="宋体" w:cs="Times New Roman"/>
      <w:szCs w:val="21"/>
    </w:rPr>
  </w:style>
  <w:style w:type="paragraph" w:styleId="32">
    <w:name w:val="Subtitle"/>
    <w:basedOn w:val="1"/>
    <w:next w:val="1"/>
    <w:link w:val="225"/>
    <w:qFormat/>
    <w:uiPriority w:val="11"/>
    <w:pPr>
      <w:spacing w:before="240" w:after="60" w:line="312" w:lineRule="atLeast"/>
      <w:ind w:firstLine="471"/>
      <w:jc w:val="center"/>
      <w:outlineLvl w:val="1"/>
    </w:pPr>
    <w:rPr>
      <w:rFonts w:ascii="Arial" w:hAnsi="Arial"/>
      <w:b/>
      <w:bCs/>
      <w:sz w:val="32"/>
      <w:szCs w:val="32"/>
    </w:rPr>
  </w:style>
  <w:style w:type="paragraph" w:styleId="33">
    <w:name w:val="List"/>
    <w:basedOn w:val="1"/>
    <w:qFormat/>
    <w:uiPriority w:val="0"/>
    <w:pPr>
      <w:tabs>
        <w:tab w:val="left" w:pos="420"/>
      </w:tabs>
      <w:spacing w:after="20" w:line="360" w:lineRule="auto"/>
      <w:ind w:firstLine="480"/>
    </w:pPr>
    <w:rPr>
      <w:rFonts w:ascii="宋体" w:hAnsi="宋体" w:eastAsia="宋体" w:cs="宋体"/>
      <w:sz w:val="24"/>
      <w:szCs w:val="24"/>
    </w:rPr>
  </w:style>
  <w:style w:type="paragraph" w:styleId="34">
    <w:name w:val="footnote text"/>
    <w:basedOn w:val="1"/>
    <w:link w:val="214"/>
    <w:unhideWhenUsed/>
    <w:qFormat/>
    <w:uiPriority w:val="99"/>
    <w:pPr>
      <w:spacing w:after="40"/>
    </w:pPr>
    <w:rPr>
      <w:rFonts w:ascii="Times New Roman" w:hAnsi="Times New Roman" w:eastAsia="宋体" w:cs="Times New Roman"/>
      <w:sz w:val="18"/>
      <w:szCs w:val="21"/>
    </w:rPr>
  </w:style>
  <w:style w:type="paragraph" w:styleId="35">
    <w:name w:val="toc 6"/>
    <w:basedOn w:val="1"/>
    <w:next w:val="1"/>
    <w:unhideWhenUsed/>
    <w:qFormat/>
    <w:uiPriority w:val="39"/>
    <w:pPr>
      <w:spacing w:after="57"/>
      <w:ind w:left="1417"/>
    </w:pPr>
    <w:rPr>
      <w:rFonts w:ascii="Times New Roman" w:hAnsi="Times New Roman" w:eastAsia="宋体" w:cs="Times New Roman"/>
      <w:szCs w:val="21"/>
    </w:rPr>
  </w:style>
  <w:style w:type="paragraph" w:styleId="36">
    <w:name w:val="Body Text Indent 3"/>
    <w:basedOn w:val="1"/>
    <w:link w:val="115"/>
    <w:qFormat/>
    <w:uiPriority w:val="99"/>
    <w:pPr>
      <w:ind w:left="359" w:firstLine="359"/>
    </w:pPr>
    <w:rPr>
      <w:rFonts w:ascii="Times New Roman" w:hAnsi="Times New Roman" w:eastAsia="宋体" w:cs="Times New Roman"/>
      <w:sz w:val="20"/>
      <w:szCs w:val="20"/>
    </w:rPr>
  </w:style>
  <w:style w:type="paragraph" w:styleId="37">
    <w:name w:val="table of figures"/>
    <w:basedOn w:val="1"/>
    <w:next w:val="1"/>
    <w:unhideWhenUsed/>
    <w:qFormat/>
    <w:uiPriority w:val="99"/>
    <w:rPr>
      <w:rFonts w:ascii="Times New Roman" w:hAnsi="Times New Roman" w:eastAsia="宋体" w:cs="Times New Roman"/>
      <w:szCs w:val="21"/>
    </w:rPr>
  </w:style>
  <w:style w:type="paragraph" w:styleId="38">
    <w:name w:val="toc 2"/>
    <w:basedOn w:val="1"/>
    <w:next w:val="1"/>
    <w:unhideWhenUsed/>
    <w:qFormat/>
    <w:uiPriority w:val="39"/>
    <w:pPr>
      <w:spacing w:after="57"/>
      <w:ind w:left="283"/>
    </w:pPr>
    <w:rPr>
      <w:rFonts w:ascii="Times New Roman" w:hAnsi="Times New Roman" w:eastAsia="宋体" w:cs="Times New Roman"/>
      <w:szCs w:val="21"/>
    </w:rPr>
  </w:style>
  <w:style w:type="paragraph" w:styleId="39">
    <w:name w:val="toc 9"/>
    <w:basedOn w:val="1"/>
    <w:next w:val="1"/>
    <w:unhideWhenUsed/>
    <w:qFormat/>
    <w:uiPriority w:val="39"/>
    <w:pPr>
      <w:spacing w:after="57"/>
      <w:ind w:left="2268"/>
    </w:pPr>
    <w:rPr>
      <w:rFonts w:ascii="Times New Roman" w:hAnsi="Times New Roman" w:eastAsia="宋体" w:cs="Times New Roman"/>
      <w:szCs w:val="21"/>
    </w:rPr>
  </w:style>
  <w:style w:type="paragraph" w:styleId="40">
    <w:name w:val="Body Text 2"/>
    <w:basedOn w:val="1"/>
    <w:link w:val="170"/>
    <w:qFormat/>
    <w:uiPriority w:val="99"/>
    <w:pPr>
      <w:spacing w:after="120" w:line="480" w:lineRule="auto"/>
    </w:pPr>
    <w:rPr>
      <w:rFonts w:ascii="Times New Roman" w:hAnsi="Times New Roman" w:eastAsia="宋体" w:cs="Times New Roman"/>
      <w:sz w:val="20"/>
      <w:szCs w:val="20"/>
    </w:rPr>
  </w:style>
  <w:style w:type="paragraph" w:styleId="41">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2">
    <w:name w:val="Title"/>
    <w:basedOn w:val="1"/>
    <w:next w:val="1"/>
    <w:link w:val="202"/>
    <w:qFormat/>
    <w:uiPriority w:val="10"/>
    <w:pPr>
      <w:spacing w:before="300" w:after="200"/>
      <w:contextualSpacing/>
    </w:pPr>
    <w:rPr>
      <w:rFonts w:ascii="Times New Roman" w:hAnsi="Times New Roman" w:eastAsia="宋体" w:cs="Times New Roman"/>
      <w:sz w:val="48"/>
      <w:szCs w:val="48"/>
    </w:rPr>
  </w:style>
  <w:style w:type="paragraph" w:styleId="43">
    <w:name w:val="annotation subject"/>
    <w:basedOn w:val="16"/>
    <w:next w:val="16"/>
    <w:link w:val="177"/>
    <w:unhideWhenUsed/>
    <w:qFormat/>
    <w:uiPriority w:val="99"/>
    <w:rPr>
      <w:b/>
      <w:bCs/>
    </w:rPr>
  </w:style>
  <w:style w:type="paragraph" w:styleId="44">
    <w:name w:val="Body Text First Indent"/>
    <w:basedOn w:val="2"/>
    <w:unhideWhenUsed/>
    <w:qFormat/>
    <w:uiPriority w:val="99"/>
    <w:pPr>
      <w:spacing w:after="120"/>
      <w:ind w:firstLine="420"/>
    </w:pPr>
    <w:rPr>
      <w:rFonts w:ascii="Calibri" w:hAnsi="Calibri" w:eastAsia="宋体"/>
      <w:sz w:val="21"/>
      <w:szCs w:val="22"/>
    </w:rPr>
  </w:style>
  <w:style w:type="paragraph" w:styleId="45">
    <w:name w:val="Body Text First Indent 2"/>
    <w:basedOn w:val="17"/>
    <w:link w:val="180"/>
    <w:unhideWhenUsed/>
    <w:qFormat/>
    <w:uiPriority w:val="99"/>
    <w:pPr>
      <w:spacing w:after="120"/>
      <w:ind w:left="420" w:firstLine="420"/>
    </w:pPr>
    <w:rPr>
      <w:rFonts w:asciiTheme="minorHAnsi" w:hAnsiTheme="minorHAnsi" w:eastAsiaTheme="minorEastAsia" w:cstheme="minorBidi"/>
      <w:b w:val="0"/>
      <w:sz w:val="21"/>
      <w:szCs w:val="22"/>
    </w:rPr>
  </w:style>
  <w:style w:type="table" w:styleId="47">
    <w:name w:val="Table Grid"/>
    <w:basedOn w:val="46"/>
    <w:qFormat/>
    <w:uiPriority w:val="59"/>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99"/>
    <w:rPr>
      <w:rFonts w:cs="Times New Roman"/>
      <w:b/>
      <w:bCs/>
    </w:rPr>
  </w:style>
  <w:style w:type="character" w:styleId="50">
    <w:name w:val="endnote reference"/>
    <w:unhideWhenUsed/>
    <w:qFormat/>
    <w:uiPriority w:val="99"/>
    <w:rPr>
      <w:vertAlign w:val="superscript"/>
    </w:rPr>
  </w:style>
  <w:style w:type="character" w:styleId="51">
    <w:name w:val="page number"/>
    <w:qFormat/>
    <w:uiPriority w:val="99"/>
    <w:rPr>
      <w:rFonts w:cs="Times New Roman"/>
    </w:rPr>
  </w:style>
  <w:style w:type="character" w:styleId="52">
    <w:name w:val="FollowedHyperlink"/>
    <w:unhideWhenUsed/>
    <w:qFormat/>
    <w:uiPriority w:val="99"/>
    <w:rPr>
      <w:color w:val="800080"/>
      <w:u w:val="single"/>
    </w:rPr>
  </w:style>
  <w:style w:type="character" w:styleId="53">
    <w:name w:val="HTML Typewriter"/>
    <w:qFormat/>
    <w:uiPriority w:val="99"/>
    <w:rPr>
      <w:rFonts w:ascii="宋体" w:hAnsi="宋体" w:eastAsia="宋体" w:cs="宋体"/>
      <w:sz w:val="24"/>
      <w:szCs w:val="24"/>
    </w:rPr>
  </w:style>
  <w:style w:type="character" w:styleId="54">
    <w:name w:val="Hyperlink"/>
    <w:qFormat/>
    <w:uiPriority w:val="99"/>
    <w:rPr>
      <w:rFonts w:cs="Times New Roman"/>
      <w:color w:val="auto"/>
      <w:u w:val="none"/>
    </w:rPr>
  </w:style>
  <w:style w:type="character" w:styleId="55">
    <w:name w:val="annotation reference"/>
    <w:basedOn w:val="48"/>
    <w:unhideWhenUsed/>
    <w:qFormat/>
    <w:uiPriority w:val="0"/>
    <w:rPr>
      <w:sz w:val="21"/>
      <w:szCs w:val="21"/>
    </w:rPr>
  </w:style>
  <w:style w:type="character" w:styleId="56">
    <w:name w:val="footnote reference"/>
    <w:unhideWhenUsed/>
    <w:qFormat/>
    <w:uiPriority w:val="99"/>
    <w:rPr>
      <w:vertAlign w:val="superscript"/>
    </w:rPr>
  </w:style>
  <w:style w:type="paragraph" w:customStyle="1" w:styleId="57">
    <w:name w:val="首行缩进"/>
    <w:basedOn w:val="1"/>
    <w:qFormat/>
    <w:uiPriority w:val="99"/>
    <w:pPr>
      <w:spacing w:line="360" w:lineRule="auto"/>
      <w:ind w:firstLine="480"/>
    </w:pPr>
  </w:style>
  <w:style w:type="table" w:customStyle="1" w:styleId="58">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7">
    <w:name w:val="TOC Heading"/>
    <w:unhideWhenUsed/>
    <w:qFormat/>
    <w:uiPriority w:val="39"/>
    <w:rPr>
      <w:rFonts w:hint="default" w:ascii="Times New Roman" w:hAnsi="Times New Roman" w:eastAsia="宋体" w:cs="Times New Roman"/>
    </w:rPr>
  </w:style>
  <w:style w:type="table" w:customStyle="1" w:styleId="78">
    <w:name w:val="无格式表格 11"/>
    <w:basedOn w:val="46"/>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46"/>
    <w:qFormat/>
    <w:uiPriority w:val="5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46"/>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46"/>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46"/>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46"/>
    <w:qFormat/>
    <w:uiPriority w:val="99"/>
    <w:rPr>
      <w:rFonts w:ascii="Calibri" w:hAnsi="Calibri"/>
    </w:rPr>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网格表 21"/>
    <w:basedOn w:val="4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31"/>
    <w:basedOn w:val="4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网格表 41"/>
    <w:basedOn w:val="46"/>
    <w:qFormat/>
    <w:uiPriority w:val="59"/>
    <w:rPr>
      <w:rFonts w:ascii="Calibri" w:hAnsi="Calibri"/>
    </w:rPr>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5 深色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网格表 6 彩色1"/>
    <w:basedOn w:val="46"/>
    <w:qFormat/>
    <w:uiPriority w:val="99"/>
    <w:rPr>
      <w:rFonts w:ascii="Calibri" w:hAnsi="Calibri"/>
    </w:rPr>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网格表 7 彩色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清单表 1 浅色1"/>
    <w:basedOn w:val="4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清单表 2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3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清单表 4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5 深色1"/>
    <w:basedOn w:val="46"/>
    <w:qFormat/>
    <w:uiPriority w:val="99"/>
    <w:rPr>
      <w:rFonts w:ascii="Calibri" w:hAnsi="Calibri"/>
    </w:rPr>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清单表 6 彩色1"/>
    <w:basedOn w:val="46"/>
    <w:qFormat/>
    <w:uiPriority w:val="99"/>
    <w:rPr>
      <w:rFonts w:ascii="Calibri" w:hAnsi="Calibri"/>
    </w:rPr>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清单表 7 彩色1"/>
    <w:basedOn w:val="46"/>
    <w:qFormat/>
    <w:uiPriority w:val="99"/>
    <w:rPr>
      <w:rFonts w:ascii="Calibri" w:hAnsi="Calibri"/>
    </w:rPr>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标题1"/>
    <w:unhideWhenUsed/>
    <w:qFormat/>
    <w:uiPriority w:val="39"/>
    <w:rPr>
      <w:rFonts w:hint="default" w:ascii="Times New Roman" w:hAnsi="Times New Roman" w:eastAsia="宋体" w:cs="Times New Roman"/>
      <w:lang w:val="en-US" w:eastAsia="zh-CN" w:bidi="ar-SA"/>
    </w:rPr>
  </w:style>
  <w:style w:type="paragraph" w:customStyle="1" w:styleId="98">
    <w:name w:val="Cn Heading3"/>
    <w:basedOn w:val="99"/>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99">
    <w:name w:val="列出段落1"/>
    <w:basedOn w:val="1"/>
    <w:link w:val="413"/>
    <w:qFormat/>
    <w:uiPriority w:val="0"/>
    <w:pPr>
      <w:spacing w:before="120" w:after="120" w:line="360" w:lineRule="auto"/>
      <w:ind w:firstLine="420"/>
    </w:pPr>
    <w:rPr>
      <w:rFonts w:ascii="Calibri" w:hAnsi="Calibri" w:eastAsia="宋体" w:cs="Times New Roman"/>
      <w:sz w:val="24"/>
    </w:rPr>
  </w:style>
  <w:style w:type="paragraph" w:customStyle="1" w:styleId="100">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customStyle="1" w:styleId="101">
    <w:name w:val="TOC 标题112"/>
    <w:unhideWhenUsed/>
    <w:qFormat/>
    <w:uiPriority w:val="39"/>
    <w:rPr>
      <w:rFonts w:hint="default" w:ascii="Times New Roman" w:hAnsi="Times New Roman" w:eastAsia="宋体" w:cs="Times New Roman"/>
      <w:lang w:val="en-US" w:eastAsia="zh-CN" w:bidi="ar-SA"/>
    </w:rPr>
  </w:style>
  <w:style w:type="paragraph" w:customStyle="1" w:styleId="10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03">
    <w:name w:val="TOC 标题111"/>
    <w:unhideWhenUsed/>
    <w:qFormat/>
    <w:uiPriority w:val="39"/>
    <w:rPr>
      <w:rFonts w:hint="default" w:asciiTheme="minorHAnsi" w:hAnsiTheme="minorHAnsi" w:eastAsiaTheme="minorEastAsia" w:cstheme="minorBidi"/>
      <w:lang w:val="en-US" w:eastAsia="zh-CN" w:bidi="ar-SA"/>
    </w:rPr>
  </w:style>
  <w:style w:type="character" w:customStyle="1" w:styleId="104">
    <w:name w:val="标题 1 字符"/>
    <w:basedOn w:val="48"/>
    <w:link w:val="3"/>
    <w:qFormat/>
    <w:uiPriority w:val="9"/>
    <w:rPr>
      <w:rFonts w:ascii="楷体_GB2312" w:hAnsi="Times New Roman" w:eastAsia="楷体_GB2312" w:cs="Times New Roman"/>
      <w:b/>
      <w:sz w:val="28"/>
      <w:szCs w:val="20"/>
    </w:rPr>
  </w:style>
  <w:style w:type="character" w:customStyle="1" w:styleId="105">
    <w:name w:val="标题 2 字符"/>
    <w:basedOn w:val="48"/>
    <w:link w:val="4"/>
    <w:qFormat/>
    <w:uiPriority w:val="9"/>
    <w:rPr>
      <w:rFonts w:ascii="楷体_GB2312" w:hAnsi="Times New Roman" w:eastAsia="楷体_GB2312" w:cs="Times New Roman"/>
      <w:b/>
      <w:bCs/>
      <w:sz w:val="18"/>
      <w:szCs w:val="20"/>
    </w:rPr>
  </w:style>
  <w:style w:type="character" w:customStyle="1" w:styleId="106">
    <w:name w:val="标题 3 字符"/>
    <w:basedOn w:val="48"/>
    <w:link w:val="5"/>
    <w:qFormat/>
    <w:uiPriority w:val="9"/>
    <w:rPr>
      <w:rFonts w:asciiTheme="minorEastAsia" w:hAnsiTheme="minorEastAsia"/>
      <w:b/>
      <w:bCs/>
      <w:sz w:val="24"/>
      <w:szCs w:val="24"/>
    </w:rPr>
  </w:style>
  <w:style w:type="character" w:customStyle="1" w:styleId="107">
    <w:name w:val="标题 4 字符"/>
    <w:basedOn w:val="48"/>
    <w:link w:val="6"/>
    <w:qFormat/>
    <w:uiPriority w:val="9"/>
    <w:rPr>
      <w:rFonts w:ascii="Times New Roman" w:hAnsi="Times New Roman" w:eastAsia="楷体_GB2312" w:cs="Times New Roman"/>
      <w:b/>
      <w:bCs/>
      <w:sz w:val="15"/>
    </w:rPr>
  </w:style>
  <w:style w:type="character" w:customStyle="1" w:styleId="108">
    <w:name w:val="标题 5 字符"/>
    <w:basedOn w:val="48"/>
    <w:link w:val="7"/>
    <w:qFormat/>
    <w:uiPriority w:val="9"/>
    <w:rPr>
      <w:rFonts w:ascii="楷体_GB2312" w:hAnsi="Times New Roman" w:eastAsia="楷体_GB2312" w:cs="Times New Roman"/>
      <w:bCs/>
      <w:sz w:val="28"/>
    </w:rPr>
  </w:style>
  <w:style w:type="character" w:customStyle="1" w:styleId="109">
    <w:name w:val="日期 字符"/>
    <w:basedOn w:val="48"/>
    <w:link w:val="23"/>
    <w:qFormat/>
    <w:uiPriority w:val="99"/>
    <w:rPr>
      <w:rFonts w:ascii="Times New Roman" w:hAnsi="Times New Roman" w:eastAsia="黑体" w:cs="Times New Roman"/>
      <w:b/>
      <w:sz w:val="36"/>
      <w:szCs w:val="20"/>
    </w:rPr>
  </w:style>
  <w:style w:type="character" w:customStyle="1" w:styleId="110">
    <w:name w:val="正文文本缩进 字符"/>
    <w:basedOn w:val="48"/>
    <w:link w:val="17"/>
    <w:qFormat/>
    <w:uiPriority w:val="99"/>
    <w:rPr>
      <w:rFonts w:ascii="Times New Roman" w:hAnsi="Times New Roman" w:eastAsia="宋体" w:cs="Times New Roman"/>
      <w:b/>
      <w:sz w:val="30"/>
      <w:szCs w:val="20"/>
    </w:rPr>
  </w:style>
  <w:style w:type="character" w:customStyle="1" w:styleId="111">
    <w:name w:val="页脚 字符"/>
    <w:basedOn w:val="48"/>
    <w:link w:val="27"/>
    <w:qFormat/>
    <w:uiPriority w:val="99"/>
    <w:rPr>
      <w:rFonts w:ascii="Times New Roman" w:hAnsi="Times New Roman" w:eastAsia="宋体" w:cs="Times New Roman"/>
      <w:sz w:val="18"/>
      <w:szCs w:val="20"/>
    </w:rPr>
  </w:style>
  <w:style w:type="character" w:customStyle="1" w:styleId="112">
    <w:name w:val="页眉 字符"/>
    <w:basedOn w:val="48"/>
    <w:link w:val="29"/>
    <w:qFormat/>
    <w:uiPriority w:val="99"/>
    <w:rPr>
      <w:rFonts w:ascii="Times New Roman" w:hAnsi="Times New Roman" w:eastAsia="宋体" w:cs="Times New Roman"/>
      <w:sz w:val="18"/>
      <w:szCs w:val="20"/>
    </w:rPr>
  </w:style>
  <w:style w:type="character" w:customStyle="1" w:styleId="113">
    <w:name w:val="正文文本 字符"/>
    <w:basedOn w:val="48"/>
    <w:link w:val="2"/>
    <w:qFormat/>
    <w:uiPriority w:val="99"/>
    <w:rPr>
      <w:rFonts w:ascii="华文中宋" w:hAnsi="Times New Roman" w:eastAsia="华文中宋" w:cs="Times New Roman"/>
      <w:bCs/>
      <w:sz w:val="28"/>
      <w:szCs w:val="20"/>
    </w:rPr>
  </w:style>
  <w:style w:type="character" w:customStyle="1" w:styleId="114">
    <w:name w:val="正文文本缩进 2 字符"/>
    <w:basedOn w:val="48"/>
    <w:link w:val="24"/>
    <w:qFormat/>
    <w:uiPriority w:val="99"/>
    <w:rPr>
      <w:rFonts w:ascii="楷体_GB2312" w:hAnsi="Times New Roman" w:eastAsia="楷体_GB2312" w:cs="Times New Roman"/>
      <w:b/>
      <w:sz w:val="28"/>
      <w:szCs w:val="20"/>
    </w:rPr>
  </w:style>
  <w:style w:type="character" w:customStyle="1" w:styleId="115">
    <w:name w:val="正文文本缩进 3 字符"/>
    <w:basedOn w:val="48"/>
    <w:link w:val="36"/>
    <w:qFormat/>
    <w:uiPriority w:val="99"/>
    <w:rPr>
      <w:rFonts w:ascii="Times New Roman" w:hAnsi="Times New Roman" w:eastAsia="宋体" w:cs="Times New Roman"/>
      <w:sz w:val="20"/>
      <w:szCs w:val="20"/>
    </w:rPr>
  </w:style>
  <w:style w:type="paragraph" w:customStyle="1" w:styleId="116">
    <w:name w:val="font5"/>
    <w:basedOn w:val="1"/>
    <w:qFormat/>
    <w:uiPriority w:val="0"/>
    <w:pPr>
      <w:widowControl/>
      <w:spacing w:before="100" w:beforeAutospacing="1" w:after="100" w:afterAutospacing="1"/>
      <w:jc w:val="left"/>
    </w:pPr>
    <w:rPr>
      <w:rFonts w:ascii="宋体" w:hAnsi="宋体" w:eastAsia="宋体" w:cs="Times New Roman"/>
      <w:sz w:val="18"/>
      <w:szCs w:val="18"/>
    </w:rPr>
  </w:style>
  <w:style w:type="paragraph" w:customStyle="1" w:styleId="117">
    <w:name w:val="font6"/>
    <w:basedOn w:val="1"/>
    <w:qFormat/>
    <w:uiPriority w:val="0"/>
    <w:pPr>
      <w:widowControl/>
      <w:spacing w:before="100" w:beforeAutospacing="1" w:after="100" w:afterAutospacing="1"/>
      <w:jc w:val="left"/>
    </w:pPr>
    <w:rPr>
      <w:rFonts w:ascii="宋体" w:hAnsi="宋体" w:eastAsia="宋体" w:cs="Times New Roman"/>
      <w:b/>
      <w:bCs/>
      <w:sz w:val="20"/>
      <w:szCs w:val="20"/>
    </w:rPr>
  </w:style>
  <w:style w:type="paragraph" w:customStyle="1" w:styleId="118">
    <w:name w:val="font7"/>
    <w:basedOn w:val="1"/>
    <w:qFormat/>
    <w:uiPriority w:val="0"/>
    <w:pPr>
      <w:widowControl/>
      <w:spacing w:before="100" w:beforeAutospacing="1" w:after="100" w:afterAutospacing="1"/>
      <w:jc w:val="left"/>
    </w:pPr>
    <w:rPr>
      <w:rFonts w:ascii="Times New Roman" w:hAnsi="Times New Roman" w:eastAsia="宋体" w:cs="Times New Roman"/>
      <w:b/>
      <w:bCs/>
      <w:i/>
      <w:iCs/>
      <w:sz w:val="20"/>
      <w:szCs w:val="20"/>
    </w:rPr>
  </w:style>
  <w:style w:type="paragraph" w:customStyle="1" w:styleId="119">
    <w:name w:val="font8"/>
    <w:basedOn w:val="1"/>
    <w:qFormat/>
    <w:uiPriority w:val="99"/>
    <w:pPr>
      <w:widowControl/>
      <w:spacing w:before="100" w:beforeAutospacing="1" w:after="100" w:afterAutospacing="1"/>
      <w:jc w:val="left"/>
    </w:pPr>
    <w:rPr>
      <w:rFonts w:ascii="宋体" w:hAnsi="宋体" w:eastAsia="宋体" w:cs="Times New Roman"/>
      <w:b/>
      <w:bCs/>
      <w:i/>
      <w:iCs/>
      <w:sz w:val="20"/>
      <w:szCs w:val="20"/>
    </w:rPr>
  </w:style>
  <w:style w:type="paragraph" w:customStyle="1" w:styleId="120">
    <w:name w:val="font9"/>
    <w:basedOn w:val="1"/>
    <w:qFormat/>
    <w:uiPriority w:val="99"/>
    <w:pPr>
      <w:widowControl/>
      <w:spacing w:before="100" w:beforeAutospacing="1" w:after="100" w:afterAutospacing="1"/>
      <w:jc w:val="left"/>
    </w:pPr>
    <w:rPr>
      <w:rFonts w:ascii="Times New Roman" w:hAnsi="Times New Roman" w:eastAsia="宋体" w:cs="Times New Roman"/>
      <w:b/>
      <w:bCs/>
      <w:sz w:val="20"/>
      <w:szCs w:val="20"/>
    </w:rPr>
  </w:style>
  <w:style w:type="paragraph" w:customStyle="1" w:styleId="1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2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2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2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28">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Times New Roman"/>
      <w:b/>
      <w:bCs/>
      <w:sz w:val="24"/>
      <w:szCs w:val="24"/>
    </w:rPr>
  </w:style>
  <w:style w:type="paragraph" w:customStyle="1" w:styleId="12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0">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31">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i/>
      <w:iCs/>
      <w:sz w:val="20"/>
      <w:szCs w:val="20"/>
    </w:rPr>
  </w:style>
  <w:style w:type="paragraph" w:customStyle="1" w:styleId="132">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3">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4">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i/>
      <w:iCs/>
      <w:sz w:val="20"/>
      <w:szCs w:val="20"/>
    </w:rPr>
  </w:style>
  <w:style w:type="paragraph" w:customStyle="1" w:styleId="135">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6">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137">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b/>
      <w:bCs/>
      <w:sz w:val="20"/>
      <w:szCs w:val="20"/>
    </w:rPr>
  </w:style>
  <w:style w:type="paragraph" w:customStyle="1" w:styleId="138">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b/>
      <w:bCs/>
      <w:sz w:val="20"/>
      <w:szCs w:val="20"/>
    </w:rPr>
  </w:style>
  <w:style w:type="paragraph" w:customStyle="1" w:styleId="139">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0">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1">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2">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b/>
      <w:bCs/>
      <w:sz w:val="20"/>
      <w:szCs w:val="20"/>
    </w:rPr>
  </w:style>
  <w:style w:type="paragraph" w:customStyle="1" w:styleId="143">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4">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145">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6">
    <w:name w:val="xl49"/>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7">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48">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49">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0">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1">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eastAsia="宋体" w:cs="Times New Roman"/>
      <w:b/>
      <w:bCs/>
      <w:sz w:val="20"/>
      <w:szCs w:val="20"/>
    </w:rPr>
  </w:style>
  <w:style w:type="paragraph" w:customStyle="1" w:styleId="152">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3">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sz w:val="20"/>
      <w:szCs w:val="20"/>
    </w:rPr>
  </w:style>
  <w:style w:type="paragraph" w:customStyle="1" w:styleId="154">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5">
    <w:name w:val="xl58"/>
    <w:basedOn w:val="1"/>
    <w:qFormat/>
    <w:uiPriority w:val="99"/>
    <w:pPr>
      <w:widowControl/>
      <w:pBdr>
        <w:left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6">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7">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8">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59">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Times New Roman" w:hAnsi="Times New Roman" w:eastAsia="宋体" w:cs="Times New Roman"/>
      <w:b/>
      <w:bCs/>
      <w:i/>
      <w:iCs/>
      <w:sz w:val="20"/>
      <w:szCs w:val="20"/>
    </w:rPr>
  </w:style>
  <w:style w:type="paragraph" w:customStyle="1" w:styleId="160">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rFonts w:ascii="Times New Roman" w:hAnsi="Times New Roman" w:eastAsia="宋体" w:cs="Times New Roman"/>
      <w:b/>
      <w:bCs/>
      <w:sz w:val="20"/>
      <w:szCs w:val="20"/>
    </w:rPr>
  </w:style>
  <w:style w:type="paragraph" w:customStyle="1" w:styleId="161">
    <w:name w:val="font10"/>
    <w:basedOn w:val="1"/>
    <w:qFormat/>
    <w:uiPriority w:val="99"/>
    <w:pPr>
      <w:widowControl/>
      <w:spacing w:before="100" w:beforeAutospacing="1" w:after="100" w:afterAutospacing="1"/>
      <w:jc w:val="left"/>
    </w:pPr>
    <w:rPr>
      <w:rFonts w:ascii="楷体_GB2312" w:hAnsi="宋体" w:eastAsia="楷体_GB2312" w:cs="Times New Roman"/>
      <w:b/>
      <w:bCs/>
      <w:sz w:val="18"/>
      <w:szCs w:val="18"/>
    </w:rPr>
  </w:style>
  <w:style w:type="paragraph" w:customStyle="1" w:styleId="162">
    <w:name w:val="font11"/>
    <w:basedOn w:val="1"/>
    <w:qFormat/>
    <w:uiPriority w:val="99"/>
    <w:pPr>
      <w:widowControl/>
      <w:spacing w:before="100" w:beforeAutospacing="1" w:after="100" w:afterAutospacing="1"/>
      <w:jc w:val="left"/>
    </w:pPr>
    <w:rPr>
      <w:rFonts w:ascii="Times New Roman" w:hAnsi="Times New Roman" w:eastAsia="宋体" w:cs="Times New Roman"/>
      <w:b/>
      <w:bCs/>
      <w:sz w:val="18"/>
      <w:szCs w:val="18"/>
    </w:rPr>
  </w:style>
  <w:style w:type="paragraph" w:customStyle="1" w:styleId="163">
    <w:name w:val="font12"/>
    <w:basedOn w:val="1"/>
    <w:qFormat/>
    <w:uiPriority w:val="99"/>
    <w:pPr>
      <w:widowControl/>
      <w:spacing w:before="100" w:beforeAutospacing="1" w:after="100" w:afterAutospacing="1"/>
      <w:jc w:val="left"/>
    </w:pPr>
    <w:rPr>
      <w:rFonts w:ascii="宋体" w:hAnsi="宋体" w:eastAsia="宋体" w:cs="Times New Roman"/>
      <w:sz w:val="36"/>
      <w:szCs w:val="36"/>
    </w:rPr>
  </w:style>
  <w:style w:type="paragraph" w:customStyle="1" w:styleId="164">
    <w:name w:val="font13"/>
    <w:basedOn w:val="1"/>
    <w:qFormat/>
    <w:uiPriority w:val="99"/>
    <w:pPr>
      <w:widowControl/>
      <w:spacing w:before="100" w:beforeAutospacing="1" w:after="100" w:afterAutospacing="1"/>
      <w:jc w:val="left"/>
    </w:pPr>
    <w:rPr>
      <w:rFonts w:ascii="Times New Roman" w:hAnsi="Times New Roman" w:eastAsia="宋体" w:cs="Times New Roman"/>
      <w:i/>
      <w:iCs/>
      <w:sz w:val="36"/>
      <w:szCs w:val="36"/>
    </w:rPr>
  </w:style>
  <w:style w:type="paragraph" w:customStyle="1" w:styleId="165">
    <w:name w:val="font14"/>
    <w:basedOn w:val="1"/>
    <w:qFormat/>
    <w:uiPriority w:val="99"/>
    <w:pPr>
      <w:widowControl/>
      <w:spacing w:before="100" w:beforeAutospacing="1" w:after="100" w:afterAutospacing="1"/>
      <w:jc w:val="left"/>
    </w:pPr>
    <w:rPr>
      <w:rFonts w:ascii="Times New Roman" w:hAnsi="Times New Roman" w:eastAsia="宋体" w:cs="Times New Roman"/>
      <w:sz w:val="36"/>
      <w:szCs w:val="36"/>
    </w:rPr>
  </w:style>
  <w:style w:type="character" w:customStyle="1" w:styleId="166">
    <w:name w:val="case31"/>
    <w:qFormat/>
    <w:uiPriority w:val="99"/>
    <w:rPr>
      <w:rFonts w:cs="Times New Roman"/>
      <w:spacing w:val="390"/>
      <w:sz w:val="21"/>
      <w:szCs w:val="21"/>
    </w:rPr>
  </w:style>
  <w:style w:type="paragraph" w:customStyle="1" w:styleId="167">
    <w:name w:val="普通文字"/>
    <w:basedOn w:val="1"/>
    <w:next w:val="1"/>
    <w:qFormat/>
    <w:uiPriority w:val="99"/>
    <w:rPr>
      <w:rFonts w:ascii="宋体" w:hAnsi="Times New Roman" w:eastAsia="宋体" w:cs="Times New Roman"/>
      <w:sz w:val="24"/>
      <w:szCs w:val="20"/>
    </w:rPr>
  </w:style>
  <w:style w:type="paragraph" w:customStyle="1" w:styleId="168">
    <w:name w:val="默认段落字体 Para Char"/>
    <w:basedOn w:val="1"/>
    <w:qFormat/>
    <w:uiPriority w:val="99"/>
    <w:pPr>
      <w:tabs>
        <w:tab w:val="left" w:pos="552"/>
      </w:tabs>
      <w:ind w:left="552" w:hanging="420"/>
    </w:pPr>
    <w:rPr>
      <w:rFonts w:ascii="Times New Roman" w:hAnsi="Times New Roman" w:eastAsia="宋体" w:cs="Times New Roman"/>
      <w:sz w:val="24"/>
      <w:szCs w:val="24"/>
    </w:rPr>
  </w:style>
  <w:style w:type="character" w:customStyle="1" w:styleId="169">
    <w:name w:val="文档结构图 字符"/>
    <w:basedOn w:val="48"/>
    <w:link w:val="15"/>
    <w:semiHidden/>
    <w:qFormat/>
    <w:uiPriority w:val="99"/>
    <w:rPr>
      <w:rFonts w:ascii="Times New Roman" w:hAnsi="Times New Roman" w:eastAsia="宋体" w:cs="Times New Roman"/>
      <w:sz w:val="20"/>
      <w:szCs w:val="20"/>
      <w:shd w:val="clear" w:color="auto" w:fill="000080"/>
    </w:rPr>
  </w:style>
  <w:style w:type="character" w:customStyle="1" w:styleId="170">
    <w:name w:val="正文文本 2 字符"/>
    <w:basedOn w:val="48"/>
    <w:link w:val="40"/>
    <w:qFormat/>
    <w:uiPriority w:val="99"/>
    <w:rPr>
      <w:rFonts w:ascii="Times New Roman" w:hAnsi="Times New Roman" w:eastAsia="宋体" w:cs="Times New Roman"/>
      <w:sz w:val="20"/>
      <w:szCs w:val="20"/>
    </w:rPr>
  </w:style>
  <w:style w:type="paragraph" w:customStyle="1" w:styleId="171">
    <w:name w:val="Char Char Char Char"/>
    <w:basedOn w:val="15"/>
    <w:qFormat/>
    <w:uiPriority w:val="0"/>
    <w:pPr>
      <w:spacing w:line="360" w:lineRule="auto"/>
    </w:pPr>
    <w:rPr>
      <w:rFonts w:ascii="Tahoma" w:hAnsi="Tahoma"/>
      <w:sz w:val="24"/>
      <w:szCs w:val="24"/>
    </w:rPr>
  </w:style>
  <w:style w:type="paragraph" w:customStyle="1" w:styleId="172">
    <w:name w:val="Char Char1 Char Char Char Char"/>
    <w:basedOn w:val="15"/>
    <w:qFormat/>
    <w:uiPriority w:val="99"/>
    <w:pPr>
      <w:spacing w:line="436" w:lineRule="exact"/>
      <w:ind w:left="357"/>
      <w:jc w:val="left"/>
      <w:outlineLvl w:val="3"/>
    </w:pPr>
    <w:rPr>
      <w:rFonts w:ascii="Tahoma" w:hAnsi="Tahoma"/>
      <w:b/>
      <w:sz w:val="24"/>
      <w:szCs w:val="24"/>
    </w:rPr>
  </w:style>
  <w:style w:type="paragraph" w:customStyle="1" w:styleId="173">
    <w:name w:val="List Paragraph"/>
    <w:basedOn w:val="1"/>
    <w:qFormat/>
    <w:uiPriority w:val="34"/>
    <w:pPr>
      <w:numPr>
        <w:ilvl w:val="0"/>
        <w:numId w:val="2"/>
      </w:numPr>
      <w:spacing w:line="360" w:lineRule="auto"/>
    </w:pPr>
    <w:rPr>
      <w:rFonts w:eastAsia="宋体" w:cs="宋体" w:asciiTheme="minorEastAsia" w:hAnsiTheme="minorEastAsia"/>
      <w:b/>
      <w:sz w:val="24"/>
      <w:szCs w:val="20"/>
    </w:rPr>
  </w:style>
  <w:style w:type="paragraph" w:customStyle="1" w:styleId="174">
    <w:name w:val="修订1"/>
    <w:hidden/>
    <w:semiHidden/>
    <w:qFormat/>
    <w:uiPriority w:val="99"/>
    <w:rPr>
      <w:rFonts w:hint="default" w:ascii="Times New Roman" w:hAnsi="Times New Roman" w:eastAsia="宋体" w:cs="Times New Roman"/>
      <w:sz w:val="21"/>
      <w:lang w:val="en-US" w:eastAsia="zh-CN" w:bidi="ar-SA"/>
    </w:rPr>
  </w:style>
  <w:style w:type="character" w:customStyle="1" w:styleId="175">
    <w:name w:val="批注框文本 字符"/>
    <w:basedOn w:val="48"/>
    <w:link w:val="26"/>
    <w:semiHidden/>
    <w:qFormat/>
    <w:uiPriority w:val="99"/>
    <w:rPr>
      <w:rFonts w:ascii="Times New Roman" w:hAnsi="Times New Roman" w:eastAsia="宋体" w:cs="Times New Roman"/>
      <w:sz w:val="18"/>
      <w:szCs w:val="18"/>
    </w:rPr>
  </w:style>
  <w:style w:type="character" w:customStyle="1" w:styleId="176">
    <w:name w:val="批注文字 字符"/>
    <w:basedOn w:val="48"/>
    <w:link w:val="16"/>
    <w:semiHidden/>
    <w:qFormat/>
    <w:uiPriority w:val="99"/>
  </w:style>
  <w:style w:type="character" w:customStyle="1" w:styleId="177">
    <w:name w:val="批注主题 字符"/>
    <w:basedOn w:val="176"/>
    <w:link w:val="43"/>
    <w:semiHidden/>
    <w:qFormat/>
    <w:uiPriority w:val="99"/>
    <w:rPr>
      <w:b/>
      <w:bCs/>
    </w:rPr>
  </w:style>
  <w:style w:type="paragraph" w:customStyle="1" w:styleId="178">
    <w:name w:val="列表段落1"/>
    <w:basedOn w:val="1"/>
    <w:qFormat/>
    <w:uiPriority w:val="34"/>
    <w:pPr>
      <w:ind w:firstLine="420"/>
    </w:pPr>
  </w:style>
  <w:style w:type="paragraph" w:customStyle="1" w:styleId="179">
    <w:name w:val="样式 小四 段前: 5 磅 段后: 5 磅 首行缩进:  2 字符"/>
    <w:basedOn w:val="1"/>
    <w:qFormat/>
    <w:uiPriority w:val="0"/>
    <w:pPr>
      <w:spacing w:line="360" w:lineRule="auto"/>
    </w:pPr>
    <w:rPr>
      <w:rFonts w:ascii="宋体" w:hAnsi="宋体"/>
      <w:szCs w:val="21"/>
    </w:rPr>
  </w:style>
  <w:style w:type="character" w:customStyle="1" w:styleId="180">
    <w:name w:val="正文首行缩进 2 字符"/>
    <w:basedOn w:val="110"/>
    <w:link w:val="45"/>
    <w:semiHidden/>
    <w:qFormat/>
    <w:uiPriority w:val="99"/>
    <w:rPr>
      <w:rFonts w:ascii="Times New Roman" w:hAnsi="Times New Roman" w:eastAsia="宋体" w:cs="Times New Roman"/>
      <w:b w:val="0"/>
      <w:sz w:val="21"/>
      <w:szCs w:val="22"/>
    </w:rPr>
  </w:style>
  <w:style w:type="table" w:customStyle="1" w:styleId="181">
    <w:name w:val="网格型1"/>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2">
    <w:name w:val="网格型2"/>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3">
    <w:name w:val="网格型3"/>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84">
    <w:name w:val="网格型4"/>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85">
    <w:name w:val="List Paragraph1"/>
    <w:basedOn w:val="1"/>
    <w:qFormat/>
    <w:uiPriority w:val="0"/>
    <w:pPr>
      <w:ind w:firstLine="420"/>
    </w:pPr>
    <w:rPr>
      <w:szCs w:val="21"/>
    </w:rPr>
  </w:style>
  <w:style w:type="paragraph" w:customStyle="1" w:styleId="186">
    <w:name w:val="标题 31"/>
    <w:basedOn w:val="1"/>
    <w:next w:val="1"/>
    <w:link w:val="187"/>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187">
    <w:name w:val="标题 3 Char"/>
    <w:link w:val="186"/>
    <w:qFormat/>
    <w:uiPriority w:val="0"/>
    <w:rPr>
      <w:rFonts w:ascii="Times New Roman" w:hAnsi="Times New Roman" w:eastAsia="宋体" w:cs="Times New Roman"/>
      <w:b/>
      <w:bCs/>
      <w:sz w:val="32"/>
      <w:szCs w:val="32"/>
      <w:lang w:eastAsia="en-US"/>
    </w:rPr>
  </w:style>
  <w:style w:type="character" w:customStyle="1" w:styleId="188">
    <w:name w:val="标题 6 字符"/>
    <w:basedOn w:val="48"/>
    <w:link w:val="8"/>
    <w:qFormat/>
    <w:uiPriority w:val="9"/>
    <w:rPr>
      <w:rFonts w:ascii="Arial" w:hAnsi="Arial" w:eastAsia="Arial" w:cs="Arial"/>
      <w:b/>
      <w:bCs/>
      <w:sz w:val="22"/>
      <w:szCs w:val="22"/>
    </w:rPr>
  </w:style>
  <w:style w:type="character" w:customStyle="1" w:styleId="189">
    <w:name w:val="标题 7 字符"/>
    <w:basedOn w:val="48"/>
    <w:link w:val="9"/>
    <w:qFormat/>
    <w:uiPriority w:val="9"/>
    <w:rPr>
      <w:rFonts w:ascii="Arial" w:hAnsi="Arial" w:eastAsia="Arial" w:cs="Arial"/>
      <w:b/>
      <w:bCs/>
      <w:i/>
      <w:iCs/>
      <w:sz w:val="22"/>
      <w:szCs w:val="22"/>
    </w:rPr>
  </w:style>
  <w:style w:type="character" w:customStyle="1" w:styleId="190">
    <w:name w:val="标题 8 字符"/>
    <w:basedOn w:val="48"/>
    <w:link w:val="10"/>
    <w:qFormat/>
    <w:uiPriority w:val="9"/>
    <w:rPr>
      <w:rFonts w:ascii="Arial" w:hAnsi="Arial" w:eastAsia="Arial" w:cs="Arial"/>
      <w:i/>
      <w:iCs/>
      <w:sz w:val="22"/>
      <w:szCs w:val="22"/>
    </w:rPr>
  </w:style>
  <w:style w:type="character" w:customStyle="1" w:styleId="191">
    <w:name w:val="标题 9 字符"/>
    <w:basedOn w:val="48"/>
    <w:link w:val="11"/>
    <w:qFormat/>
    <w:uiPriority w:val="9"/>
    <w:rPr>
      <w:rFonts w:ascii="Arial" w:hAnsi="Arial" w:eastAsia="Arial" w:cs="Arial"/>
      <w:i/>
      <w:iCs/>
      <w:sz w:val="21"/>
      <w:szCs w:val="21"/>
    </w:rPr>
  </w:style>
  <w:style w:type="character" w:customStyle="1" w:styleId="192">
    <w:name w:val="Heading 1 Char"/>
    <w:qFormat/>
    <w:uiPriority w:val="9"/>
    <w:rPr>
      <w:rFonts w:ascii="Arial" w:hAnsi="Arial" w:eastAsia="Arial" w:cs="Arial"/>
      <w:sz w:val="40"/>
      <w:szCs w:val="40"/>
    </w:rPr>
  </w:style>
  <w:style w:type="character" w:customStyle="1" w:styleId="193">
    <w:name w:val="Heading 2 Char"/>
    <w:qFormat/>
    <w:uiPriority w:val="9"/>
    <w:rPr>
      <w:rFonts w:ascii="Arial" w:hAnsi="Arial" w:eastAsia="Arial" w:cs="Arial"/>
      <w:sz w:val="34"/>
    </w:rPr>
  </w:style>
  <w:style w:type="character" w:customStyle="1" w:styleId="194">
    <w:name w:val="Heading 3 Char"/>
    <w:qFormat/>
    <w:uiPriority w:val="9"/>
    <w:rPr>
      <w:rFonts w:ascii="Arial" w:hAnsi="Arial" w:eastAsia="Arial" w:cs="Arial"/>
      <w:sz w:val="30"/>
      <w:szCs w:val="30"/>
    </w:rPr>
  </w:style>
  <w:style w:type="character" w:customStyle="1" w:styleId="195">
    <w:name w:val="Heading 4 Char"/>
    <w:qFormat/>
    <w:uiPriority w:val="9"/>
    <w:rPr>
      <w:rFonts w:ascii="Arial" w:hAnsi="Arial" w:eastAsia="Arial" w:cs="Arial"/>
      <w:b/>
      <w:bCs/>
      <w:sz w:val="26"/>
      <w:szCs w:val="26"/>
    </w:rPr>
  </w:style>
  <w:style w:type="character" w:customStyle="1" w:styleId="196">
    <w:name w:val="Heading 5 Char"/>
    <w:qFormat/>
    <w:uiPriority w:val="9"/>
    <w:rPr>
      <w:rFonts w:ascii="Arial" w:hAnsi="Arial" w:eastAsia="Arial" w:cs="Arial"/>
      <w:b/>
      <w:bCs/>
      <w:sz w:val="24"/>
      <w:szCs w:val="24"/>
    </w:rPr>
  </w:style>
  <w:style w:type="character" w:customStyle="1" w:styleId="197">
    <w:name w:val="Heading 6 Char"/>
    <w:qFormat/>
    <w:uiPriority w:val="9"/>
    <w:rPr>
      <w:rFonts w:ascii="Arial" w:hAnsi="Arial" w:eastAsia="Arial" w:cs="Arial"/>
      <w:b/>
      <w:bCs/>
      <w:sz w:val="22"/>
      <w:szCs w:val="22"/>
    </w:rPr>
  </w:style>
  <w:style w:type="character" w:customStyle="1" w:styleId="198">
    <w:name w:val="Heading 7 Char"/>
    <w:qFormat/>
    <w:uiPriority w:val="9"/>
    <w:rPr>
      <w:rFonts w:ascii="Arial" w:hAnsi="Arial" w:eastAsia="Arial" w:cs="Arial"/>
      <w:b/>
      <w:bCs/>
      <w:i/>
      <w:iCs/>
      <w:sz w:val="22"/>
      <w:szCs w:val="22"/>
    </w:rPr>
  </w:style>
  <w:style w:type="character" w:customStyle="1" w:styleId="199">
    <w:name w:val="Heading 8 Char"/>
    <w:qFormat/>
    <w:uiPriority w:val="9"/>
    <w:rPr>
      <w:rFonts w:ascii="Arial" w:hAnsi="Arial" w:eastAsia="Arial" w:cs="Arial"/>
      <w:i/>
      <w:iCs/>
      <w:sz w:val="22"/>
      <w:szCs w:val="22"/>
    </w:rPr>
  </w:style>
  <w:style w:type="character" w:customStyle="1" w:styleId="200">
    <w:name w:val="Heading 9 Char"/>
    <w:qFormat/>
    <w:uiPriority w:val="9"/>
    <w:rPr>
      <w:rFonts w:ascii="Arial" w:hAnsi="Arial" w:eastAsia="Arial" w:cs="Arial"/>
      <w:i/>
      <w:iCs/>
      <w:sz w:val="21"/>
      <w:szCs w:val="21"/>
    </w:rPr>
  </w:style>
  <w:style w:type="paragraph" w:customStyle="1" w:styleId="201">
    <w:name w:val="No Spacing"/>
    <w:qFormat/>
    <w:uiPriority w:val="1"/>
    <w:rPr>
      <w:rFonts w:hint="default" w:ascii="Calibri" w:hAnsi="Calibri" w:eastAsia="宋体" w:cs="Times New Roman"/>
      <w:lang w:val="en-US" w:eastAsia="zh-CN" w:bidi="ar-SA"/>
    </w:rPr>
  </w:style>
  <w:style w:type="character" w:customStyle="1" w:styleId="202">
    <w:name w:val="标题 字符"/>
    <w:basedOn w:val="48"/>
    <w:link w:val="42"/>
    <w:qFormat/>
    <w:uiPriority w:val="10"/>
    <w:rPr>
      <w:rFonts w:ascii="Times New Roman" w:hAnsi="Times New Roman" w:eastAsia="宋体" w:cs="Times New Roman"/>
      <w:sz w:val="48"/>
      <w:szCs w:val="48"/>
    </w:rPr>
  </w:style>
  <w:style w:type="character" w:customStyle="1" w:styleId="203">
    <w:name w:val="Title Char"/>
    <w:qFormat/>
    <w:uiPriority w:val="10"/>
    <w:rPr>
      <w:sz w:val="48"/>
      <w:szCs w:val="48"/>
    </w:rPr>
  </w:style>
  <w:style w:type="character" w:customStyle="1" w:styleId="204">
    <w:name w:val="Subtitle Char"/>
    <w:qFormat/>
    <w:uiPriority w:val="11"/>
    <w:rPr>
      <w:sz w:val="24"/>
      <w:szCs w:val="24"/>
    </w:rPr>
  </w:style>
  <w:style w:type="paragraph" w:customStyle="1" w:styleId="205">
    <w:name w:val="Quote"/>
    <w:basedOn w:val="1"/>
    <w:next w:val="1"/>
    <w:link w:val="206"/>
    <w:qFormat/>
    <w:uiPriority w:val="29"/>
    <w:pPr>
      <w:ind w:left="720" w:right="720"/>
    </w:pPr>
    <w:rPr>
      <w:rFonts w:ascii="Times New Roman" w:hAnsi="Times New Roman" w:eastAsia="宋体" w:cs="Times New Roman"/>
      <w:i/>
      <w:szCs w:val="21"/>
    </w:rPr>
  </w:style>
  <w:style w:type="character" w:customStyle="1" w:styleId="206">
    <w:name w:val="引用 字符"/>
    <w:basedOn w:val="48"/>
    <w:link w:val="205"/>
    <w:qFormat/>
    <w:uiPriority w:val="29"/>
    <w:rPr>
      <w:rFonts w:ascii="Times New Roman" w:hAnsi="Times New Roman" w:eastAsia="宋体" w:cs="Times New Roman"/>
      <w:i/>
      <w:sz w:val="21"/>
      <w:szCs w:val="21"/>
    </w:rPr>
  </w:style>
  <w:style w:type="character" w:customStyle="1" w:styleId="207">
    <w:name w:val="Quote Char"/>
    <w:qFormat/>
    <w:uiPriority w:val="29"/>
    <w:rPr>
      <w:i/>
    </w:rPr>
  </w:style>
  <w:style w:type="paragraph" w:customStyle="1" w:styleId="208">
    <w:name w:val="Intense Quote"/>
    <w:basedOn w:val="1"/>
    <w:next w:val="1"/>
    <w:link w:val="2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szCs w:val="21"/>
    </w:rPr>
  </w:style>
  <w:style w:type="character" w:customStyle="1" w:styleId="209">
    <w:name w:val="明显引用 字符"/>
    <w:basedOn w:val="48"/>
    <w:link w:val="208"/>
    <w:qFormat/>
    <w:uiPriority w:val="30"/>
    <w:rPr>
      <w:rFonts w:ascii="Times New Roman" w:hAnsi="Times New Roman" w:eastAsia="宋体" w:cs="Times New Roman"/>
      <w:i/>
      <w:sz w:val="21"/>
      <w:szCs w:val="21"/>
      <w:shd w:val="clear" w:color="auto" w:fill="F2F2F2"/>
    </w:rPr>
  </w:style>
  <w:style w:type="character" w:customStyle="1" w:styleId="210">
    <w:name w:val="Intense Quote Char"/>
    <w:qFormat/>
    <w:uiPriority w:val="30"/>
    <w:rPr>
      <w:i/>
    </w:rPr>
  </w:style>
  <w:style w:type="character" w:customStyle="1" w:styleId="211">
    <w:name w:val="Header Char"/>
    <w:qFormat/>
    <w:uiPriority w:val="99"/>
  </w:style>
  <w:style w:type="character" w:customStyle="1" w:styleId="212">
    <w:name w:val="Footer Char"/>
    <w:qFormat/>
    <w:uiPriority w:val="99"/>
  </w:style>
  <w:style w:type="character" w:customStyle="1" w:styleId="213">
    <w:name w:val="Caption Char"/>
    <w:qFormat/>
    <w:uiPriority w:val="99"/>
  </w:style>
  <w:style w:type="character" w:customStyle="1" w:styleId="214">
    <w:name w:val="脚注文本 字符"/>
    <w:basedOn w:val="48"/>
    <w:link w:val="34"/>
    <w:qFormat/>
    <w:uiPriority w:val="99"/>
    <w:rPr>
      <w:rFonts w:ascii="Times New Roman" w:hAnsi="Times New Roman" w:eastAsia="宋体" w:cs="Times New Roman"/>
      <w:sz w:val="18"/>
      <w:szCs w:val="21"/>
    </w:rPr>
  </w:style>
  <w:style w:type="character" w:customStyle="1" w:styleId="215">
    <w:name w:val="Footnote Text Char"/>
    <w:qFormat/>
    <w:uiPriority w:val="99"/>
    <w:rPr>
      <w:sz w:val="18"/>
    </w:rPr>
  </w:style>
  <w:style w:type="character" w:customStyle="1" w:styleId="216">
    <w:name w:val="尾注文本 字符"/>
    <w:basedOn w:val="48"/>
    <w:link w:val="25"/>
    <w:qFormat/>
    <w:uiPriority w:val="99"/>
    <w:rPr>
      <w:rFonts w:ascii="Times New Roman" w:hAnsi="Times New Roman" w:eastAsia="宋体" w:cs="Times New Roman"/>
      <w:szCs w:val="21"/>
    </w:rPr>
  </w:style>
  <w:style w:type="character" w:customStyle="1" w:styleId="217">
    <w:name w:val="Endnote Text Char"/>
    <w:qFormat/>
    <w:uiPriority w:val="99"/>
    <w:rPr>
      <w:sz w:val="20"/>
    </w:rPr>
  </w:style>
  <w:style w:type="paragraph" w:customStyle="1" w:styleId="218">
    <w:name w:val="目录 71"/>
    <w:basedOn w:val="1"/>
    <w:next w:val="1"/>
    <w:unhideWhenUsed/>
    <w:qFormat/>
    <w:uiPriority w:val="39"/>
    <w:pPr>
      <w:spacing w:after="57"/>
      <w:ind w:left="1701"/>
    </w:pPr>
    <w:rPr>
      <w:rFonts w:ascii="Times New Roman" w:hAnsi="Times New Roman" w:eastAsia="宋体" w:cs="Times New Roman"/>
      <w:szCs w:val="21"/>
    </w:rPr>
  </w:style>
  <w:style w:type="paragraph" w:customStyle="1" w:styleId="219">
    <w:name w:val="目录 51"/>
    <w:basedOn w:val="1"/>
    <w:next w:val="1"/>
    <w:unhideWhenUsed/>
    <w:qFormat/>
    <w:uiPriority w:val="39"/>
    <w:pPr>
      <w:spacing w:after="57"/>
      <w:ind w:left="1134"/>
    </w:pPr>
    <w:rPr>
      <w:rFonts w:ascii="Times New Roman" w:hAnsi="Times New Roman" w:eastAsia="宋体" w:cs="Times New Roman"/>
      <w:szCs w:val="21"/>
    </w:rPr>
  </w:style>
  <w:style w:type="paragraph" w:customStyle="1" w:styleId="220">
    <w:name w:val="目录 31"/>
    <w:basedOn w:val="1"/>
    <w:next w:val="1"/>
    <w:unhideWhenUsed/>
    <w:qFormat/>
    <w:uiPriority w:val="39"/>
    <w:pPr>
      <w:spacing w:after="57"/>
      <w:ind w:left="567"/>
    </w:pPr>
    <w:rPr>
      <w:rFonts w:ascii="Times New Roman" w:hAnsi="Times New Roman" w:eastAsia="宋体" w:cs="Times New Roman"/>
      <w:szCs w:val="21"/>
    </w:rPr>
  </w:style>
  <w:style w:type="paragraph" w:customStyle="1" w:styleId="221">
    <w:name w:val="目录 81"/>
    <w:basedOn w:val="1"/>
    <w:next w:val="1"/>
    <w:unhideWhenUsed/>
    <w:qFormat/>
    <w:uiPriority w:val="39"/>
    <w:pPr>
      <w:spacing w:after="57"/>
      <w:ind w:left="1984"/>
    </w:pPr>
    <w:rPr>
      <w:rFonts w:ascii="Times New Roman" w:hAnsi="Times New Roman" w:eastAsia="宋体" w:cs="Times New Roman"/>
      <w:szCs w:val="21"/>
    </w:rPr>
  </w:style>
  <w:style w:type="character" w:customStyle="1" w:styleId="222">
    <w:name w:val="页脚 字符1"/>
    <w:qFormat/>
    <w:uiPriority w:val="99"/>
  </w:style>
  <w:style w:type="paragraph" w:customStyle="1" w:styleId="223">
    <w:name w:val="目录 11"/>
    <w:basedOn w:val="1"/>
    <w:next w:val="1"/>
    <w:unhideWhenUsed/>
    <w:qFormat/>
    <w:uiPriority w:val="39"/>
    <w:pPr>
      <w:spacing w:after="57"/>
    </w:pPr>
    <w:rPr>
      <w:rFonts w:ascii="Times New Roman" w:hAnsi="Times New Roman" w:eastAsia="宋体" w:cs="Times New Roman"/>
      <w:szCs w:val="21"/>
    </w:rPr>
  </w:style>
  <w:style w:type="paragraph" w:customStyle="1" w:styleId="224">
    <w:name w:val="目录 41"/>
    <w:basedOn w:val="1"/>
    <w:next w:val="1"/>
    <w:unhideWhenUsed/>
    <w:qFormat/>
    <w:uiPriority w:val="39"/>
    <w:pPr>
      <w:spacing w:after="57"/>
      <w:ind w:left="850"/>
    </w:pPr>
    <w:rPr>
      <w:rFonts w:ascii="Times New Roman" w:hAnsi="Times New Roman" w:eastAsia="宋体" w:cs="Times New Roman"/>
      <w:szCs w:val="21"/>
    </w:rPr>
  </w:style>
  <w:style w:type="character" w:customStyle="1" w:styleId="225">
    <w:name w:val="副标题 字符"/>
    <w:link w:val="32"/>
    <w:qFormat/>
    <w:uiPriority w:val="11"/>
    <w:rPr>
      <w:rFonts w:ascii="Arial" w:hAnsi="Arial"/>
      <w:b/>
      <w:bCs/>
      <w:sz w:val="32"/>
      <w:szCs w:val="32"/>
    </w:rPr>
  </w:style>
  <w:style w:type="paragraph" w:customStyle="1" w:styleId="226">
    <w:name w:val="目录 61"/>
    <w:basedOn w:val="1"/>
    <w:next w:val="1"/>
    <w:unhideWhenUsed/>
    <w:qFormat/>
    <w:uiPriority w:val="39"/>
    <w:pPr>
      <w:spacing w:after="57"/>
      <w:ind w:left="1417"/>
    </w:pPr>
    <w:rPr>
      <w:rFonts w:ascii="Times New Roman" w:hAnsi="Times New Roman" w:eastAsia="宋体" w:cs="Times New Roman"/>
      <w:szCs w:val="21"/>
    </w:rPr>
  </w:style>
  <w:style w:type="paragraph" w:customStyle="1" w:styleId="227">
    <w:name w:val="目录 21"/>
    <w:basedOn w:val="1"/>
    <w:next w:val="1"/>
    <w:unhideWhenUsed/>
    <w:qFormat/>
    <w:uiPriority w:val="39"/>
    <w:pPr>
      <w:spacing w:after="57"/>
      <w:ind w:left="283"/>
    </w:pPr>
    <w:rPr>
      <w:rFonts w:ascii="Times New Roman" w:hAnsi="Times New Roman" w:eastAsia="宋体" w:cs="Times New Roman"/>
      <w:szCs w:val="21"/>
    </w:rPr>
  </w:style>
  <w:style w:type="paragraph" w:customStyle="1" w:styleId="228">
    <w:name w:val="目录 91"/>
    <w:basedOn w:val="1"/>
    <w:next w:val="1"/>
    <w:unhideWhenUsed/>
    <w:qFormat/>
    <w:uiPriority w:val="39"/>
    <w:pPr>
      <w:spacing w:after="57"/>
      <w:ind w:left="2268"/>
    </w:pPr>
    <w:rPr>
      <w:rFonts w:ascii="Times New Roman" w:hAnsi="Times New Roman" w:eastAsia="宋体" w:cs="Times New Roman"/>
      <w:szCs w:val="21"/>
    </w:rPr>
  </w:style>
  <w:style w:type="character" w:customStyle="1" w:styleId="229">
    <w:name w:val="font5 Char"/>
    <w:qFormat/>
    <w:uiPriority w:val="0"/>
    <w:rPr>
      <w:rFonts w:ascii="宋体" w:hAnsi="宋体" w:eastAsia="宋体"/>
      <w:sz w:val="28"/>
      <w:szCs w:val="28"/>
      <w:lang w:val="en-US" w:eastAsia="zh-CN" w:bidi="ar-SA"/>
    </w:rPr>
  </w:style>
  <w:style w:type="paragraph" w:customStyle="1" w:styleId="230">
    <w:name w:val="列出段落2"/>
    <w:basedOn w:val="1"/>
    <w:qFormat/>
    <w:uiPriority w:val="34"/>
    <w:pPr>
      <w:ind w:left="720"/>
      <w:contextualSpacing/>
    </w:pPr>
    <w:rPr>
      <w:rFonts w:ascii="Times New Roman" w:hAnsi="Times New Roman" w:eastAsia="宋体" w:cs="Times New Roman"/>
      <w:szCs w:val="21"/>
    </w:rPr>
  </w:style>
  <w:style w:type="table" w:customStyle="1" w:styleId="231">
    <w:name w:val="Table Grid Light"/>
    <w:qFormat/>
    <w:uiPriority w:val="59"/>
    <w:rPr>
      <w:rFonts w:ascii="Calibri" w:hAnsi="Calibri"/>
    </w:rPr>
    <w:tblPr>
      <w:tblCellMar>
        <w:top w:w="0" w:type="dxa"/>
        <w:left w:w="0" w:type="dxa"/>
        <w:bottom w:w="0" w:type="dxa"/>
        <w:right w:w="0" w:type="dxa"/>
      </w:tblCellMar>
    </w:tblPr>
  </w:style>
  <w:style w:type="table" w:customStyle="1" w:styleId="232">
    <w:name w:val="Grid Table 1 Light - Accent 1"/>
    <w:qFormat/>
    <w:uiPriority w:val="99"/>
    <w:rPr>
      <w:rFonts w:ascii="Calibri" w:hAnsi="Calibri"/>
    </w:rPr>
    <w:tblPr>
      <w:tblCellMar>
        <w:top w:w="0" w:type="dxa"/>
        <w:left w:w="0" w:type="dxa"/>
        <w:bottom w:w="0" w:type="dxa"/>
        <w:right w:w="0" w:type="dxa"/>
      </w:tblCellMar>
    </w:tblPr>
  </w:style>
  <w:style w:type="table" w:customStyle="1" w:styleId="233">
    <w:name w:val="Grid Table 1 Light - Accent 2"/>
    <w:qFormat/>
    <w:uiPriority w:val="99"/>
    <w:rPr>
      <w:rFonts w:ascii="Calibri" w:hAnsi="Calibri"/>
    </w:rPr>
    <w:tblPr>
      <w:tblCellMar>
        <w:top w:w="0" w:type="dxa"/>
        <w:left w:w="0" w:type="dxa"/>
        <w:bottom w:w="0" w:type="dxa"/>
        <w:right w:w="0" w:type="dxa"/>
      </w:tblCellMar>
    </w:tblPr>
  </w:style>
  <w:style w:type="table" w:customStyle="1" w:styleId="234">
    <w:name w:val="Grid Table 1 Light - Accent 3"/>
    <w:qFormat/>
    <w:uiPriority w:val="99"/>
    <w:rPr>
      <w:rFonts w:ascii="Calibri" w:hAnsi="Calibri"/>
    </w:rPr>
    <w:tblPr>
      <w:tblCellMar>
        <w:top w:w="0" w:type="dxa"/>
        <w:left w:w="0" w:type="dxa"/>
        <w:bottom w:w="0" w:type="dxa"/>
        <w:right w:w="0" w:type="dxa"/>
      </w:tblCellMar>
    </w:tblPr>
  </w:style>
  <w:style w:type="table" w:customStyle="1" w:styleId="235">
    <w:name w:val="Grid Table 1 Light - Accent 4"/>
    <w:qFormat/>
    <w:uiPriority w:val="99"/>
    <w:rPr>
      <w:rFonts w:ascii="Calibri" w:hAnsi="Calibri"/>
    </w:rPr>
    <w:tblPr>
      <w:tblCellMar>
        <w:top w:w="0" w:type="dxa"/>
        <w:left w:w="0" w:type="dxa"/>
        <w:bottom w:w="0" w:type="dxa"/>
        <w:right w:w="0" w:type="dxa"/>
      </w:tblCellMar>
    </w:tblPr>
  </w:style>
  <w:style w:type="table" w:customStyle="1" w:styleId="236">
    <w:name w:val="Grid Table 1 Light - Accent 5"/>
    <w:qFormat/>
    <w:uiPriority w:val="99"/>
    <w:rPr>
      <w:rFonts w:ascii="Calibri" w:hAnsi="Calibri"/>
    </w:rPr>
    <w:tblPr>
      <w:tblCellMar>
        <w:top w:w="0" w:type="dxa"/>
        <w:left w:w="0" w:type="dxa"/>
        <w:bottom w:w="0" w:type="dxa"/>
        <w:right w:w="0" w:type="dxa"/>
      </w:tblCellMar>
    </w:tblPr>
  </w:style>
  <w:style w:type="table" w:customStyle="1" w:styleId="237">
    <w:name w:val="Grid Table 1 Light - Accent 6"/>
    <w:qFormat/>
    <w:uiPriority w:val="99"/>
    <w:rPr>
      <w:rFonts w:ascii="Calibri" w:hAnsi="Calibri"/>
    </w:rPr>
    <w:tblPr>
      <w:tblCellMar>
        <w:top w:w="0" w:type="dxa"/>
        <w:left w:w="0" w:type="dxa"/>
        <w:bottom w:w="0" w:type="dxa"/>
        <w:right w:w="0" w:type="dxa"/>
      </w:tblCellMar>
    </w:tblPr>
  </w:style>
  <w:style w:type="table" w:customStyle="1" w:styleId="238">
    <w:name w:val="Grid Table 2 - Accent 1"/>
    <w:qFormat/>
    <w:uiPriority w:val="99"/>
    <w:rPr>
      <w:rFonts w:ascii="Calibri" w:hAnsi="Calibri"/>
    </w:rPr>
    <w:tblPr>
      <w:tblCellMar>
        <w:top w:w="0" w:type="dxa"/>
        <w:left w:w="0" w:type="dxa"/>
        <w:bottom w:w="0" w:type="dxa"/>
        <w:right w:w="0" w:type="dxa"/>
      </w:tblCellMar>
    </w:tblPr>
  </w:style>
  <w:style w:type="table" w:customStyle="1" w:styleId="239">
    <w:name w:val="Grid Table 2 - Accent 2"/>
    <w:qFormat/>
    <w:uiPriority w:val="99"/>
    <w:rPr>
      <w:rFonts w:ascii="Calibri" w:hAnsi="Calibri"/>
    </w:rPr>
    <w:tblPr>
      <w:tblCellMar>
        <w:top w:w="0" w:type="dxa"/>
        <w:left w:w="0" w:type="dxa"/>
        <w:bottom w:w="0" w:type="dxa"/>
        <w:right w:w="0" w:type="dxa"/>
      </w:tblCellMar>
    </w:tblPr>
  </w:style>
  <w:style w:type="table" w:customStyle="1" w:styleId="240">
    <w:name w:val="Grid Table 2 - Accent 3"/>
    <w:qFormat/>
    <w:uiPriority w:val="99"/>
    <w:rPr>
      <w:rFonts w:ascii="Calibri" w:hAnsi="Calibri"/>
    </w:rPr>
    <w:tblPr>
      <w:tblCellMar>
        <w:top w:w="0" w:type="dxa"/>
        <w:left w:w="0" w:type="dxa"/>
        <w:bottom w:w="0" w:type="dxa"/>
        <w:right w:w="0" w:type="dxa"/>
      </w:tblCellMar>
    </w:tblPr>
  </w:style>
  <w:style w:type="table" w:customStyle="1" w:styleId="241">
    <w:name w:val="Grid Table 2 - Accent 4"/>
    <w:qFormat/>
    <w:uiPriority w:val="99"/>
    <w:rPr>
      <w:rFonts w:ascii="Calibri" w:hAnsi="Calibri"/>
    </w:rPr>
    <w:tblPr>
      <w:tblCellMar>
        <w:top w:w="0" w:type="dxa"/>
        <w:left w:w="0" w:type="dxa"/>
        <w:bottom w:w="0" w:type="dxa"/>
        <w:right w:w="0" w:type="dxa"/>
      </w:tblCellMar>
    </w:tblPr>
  </w:style>
  <w:style w:type="table" w:customStyle="1" w:styleId="242">
    <w:name w:val="Grid Table 2 - Accent 5"/>
    <w:qFormat/>
    <w:uiPriority w:val="99"/>
    <w:rPr>
      <w:rFonts w:ascii="Calibri" w:hAnsi="Calibri"/>
    </w:rPr>
    <w:tblPr>
      <w:tblCellMar>
        <w:top w:w="0" w:type="dxa"/>
        <w:left w:w="0" w:type="dxa"/>
        <w:bottom w:w="0" w:type="dxa"/>
        <w:right w:w="0" w:type="dxa"/>
      </w:tblCellMar>
    </w:tblPr>
  </w:style>
  <w:style w:type="table" w:customStyle="1" w:styleId="243">
    <w:name w:val="Grid Table 2 - Accent 6"/>
    <w:qFormat/>
    <w:uiPriority w:val="99"/>
    <w:rPr>
      <w:rFonts w:ascii="Calibri" w:hAnsi="Calibri"/>
    </w:rPr>
    <w:tblPr>
      <w:tblCellMar>
        <w:top w:w="0" w:type="dxa"/>
        <w:left w:w="0" w:type="dxa"/>
        <w:bottom w:w="0" w:type="dxa"/>
        <w:right w:w="0" w:type="dxa"/>
      </w:tblCellMar>
    </w:tblPr>
  </w:style>
  <w:style w:type="table" w:customStyle="1" w:styleId="244">
    <w:name w:val="Grid Table 3 - Accent 1"/>
    <w:qFormat/>
    <w:uiPriority w:val="99"/>
    <w:rPr>
      <w:rFonts w:ascii="Calibri" w:hAnsi="Calibri"/>
    </w:rPr>
    <w:tblPr>
      <w:tblCellMar>
        <w:top w:w="0" w:type="dxa"/>
        <w:left w:w="0" w:type="dxa"/>
        <w:bottom w:w="0" w:type="dxa"/>
        <w:right w:w="0" w:type="dxa"/>
      </w:tblCellMar>
    </w:tblPr>
  </w:style>
  <w:style w:type="table" w:customStyle="1" w:styleId="245">
    <w:name w:val="Grid Table 3 - Accent 2"/>
    <w:qFormat/>
    <w:uiPriority w:val="99"/>
    <w:rPr>
      <w:rFonts w:ascii="Calibri" w:hAnsi="Calibri"/>
    </w:rPr>
    <w:tblPr>
      <w:tblCellMar>
        <w:top w:w="0" w:type="dxa"/>
        <w:left w:w="0" w:type="dxa"/>
        <w:bottom w:w="0" w:type="dxa"/>
        <w:right w:w="0" w:type="dxa"/>
      </w:tblCellMar>
    </w:tblPr>
  </w:style>
  <w:style w:type="table" w:customStyle="1" w:styleId="246">
    <w:name w:val="Grid Table 3 - Accent 3"/>
    <w:qFormat/>
    <w:uiPriority w:val="99"/>
    <w:rPr>
      <w:rFonts w:ascii="Calibri" w:hAnsi="Calibri"/>
    </w:rPr>
    <w:tblPr>
      <w:tblCellMar>
        <w:top w:w="0" w:type="dxa"/>
        <w:left w:w="0" w:type="dxa"/>
        <w:bottom w:w="0" w:type="dxa"/>
        <w:right w:w="0" w:type="dxa"/>
      </w:tblCellMar>
    </w:tblPr>
  </w:style>
  <w:style w:type="table" w:customStyle="1" w:styleId="247">
    <w:name w:val="Grid Table 3 - Accent 4"/>
    <w:qFormat/>
    <w:uiPriority w:val="99"/>
    <w:rPr>
      <w:rFonts w:ascii="Calibri" w:hAnsi="Calibri"/>
    </w:rPr>
    <w:tblPr>
      <w:tblCellMar>
        <w:top w:w="0" w:type="dxa"/>
        <w:left w:w="0" w:type="dxa"/>
        <w:bottom w:w="0" w:type="dxa"/>
        <w:right w:w="0" w:type="dxa"/>
      </w:tblCellMar>
    </w:tblPr>
  </w:style>
  <w:style w:type="table" w:customStyle="1" w:styleId="248">
    <w:name w:val="Grid Table 3 - Accent 5"/>
    <w:qFormat/>
    <w:uiPriority w:val="99"/>
    <w:rPr>
      <w:rFonts w:ascii="Calibri" w:hAnsi="Calibri"/>
    </w:rPr>
    <w:tblPr>
      <w:tblCellMar>
        <w:top w:w="0" w:type="dxa"/>
        <w:left w:w="0" w:type="dxa"/>
        <w:bottom w:w="0" w:type="dxa"/>
        <w:right w:w="0" w:type="dxa"/>
      </w:tblCellMar>
    </w:tblPr>
  </w:style>
  <w:style w:type="table" w:customStyle="1" w:styleId="249">
    <w:name w:val="Grid Table 3 - Accent 6"/>
    <w:qFormat/>
    <w:uiPriority w:val="99"/>
    <w:rPr>
      <w:rFonts w:ascii="Calibri" w:hAnsi="Calibri"/>
    </w:rPr>
    <w:tblPr>
      <w:tblCellMar>
        <w:top w:w="0" w:type="dxa"/>
        <w:left w:w="0" w:type="dxa"/>
        <w:bottom w:w="0" w:type="dxa"/>
        <w:right w:w="0" w:type="dxa"/>
      </w:tblCellMar>
    </w:tblPr>
  </w:style>
  <w:style w:type="table" w:customStyle="1" w:styleId="250">
    <w:name w:val="Grid Table 4 - Accent 1"/>
    <w:qFormat/>
    <w:uiPriority w:val="59"/>
    <w:rPr>
      <w:rFonts w:ascii="Calibri" w:hAnsi="Calibri"/>
    </w:rPr>
    <w:tblPr>
      <w:tblCellMar>
        <w:top w:w="0" w:type="dxa"/>
        <w:left w:w="0" w:type="dxa"/>
        <w:bottom w:w="0" w:type="dxa"/>
        <w:right w:w="0" w:type="dxa"/>
      </w:tblCellMar>
    </w:tblPr>
  </w:style>
  <w:style w:type="table" w:customStyle="1" w:styleId="251">
    <w:name w:val="Grid Table 4 - Accent 2"/>
    <w:qFormat/>
    <w:uiPriority w:val="59"/>
    <w:rPr>
      <w:rFonts w:ascii="Calibri" w:hAnsi="Calibri"/>
    </w:rPr>
    <w:tblPr>
      <w:tblCellMar>
        <w:top w:w="0" w:type="dxa"/>
        <w:left w:w="0" w:type="dxa"/>
        <w:bottom w:w="0" w:type="dxa"/>
        <w:right w:w="0" w:type="dxa"/>
      </w:tblCellMar>
    </w:tblPr>
  </w:style>
  <w:style w:type="table" w:customStyle="1" w:styleId="252">
    <w:name w:val="Grid Table 4 - Accent 3"/>
    <w:qFormat/>
    <w:uiPriority w:val="59"/>
    <w:rPr>
      <w:rFonts w:ascii="Calibri" w:hAnsi="Calibri"/>
    </w:rPr>
    <w:tblPr>
      <w:tblCellMar>
        <w:top w:w="0" w:type="dxa"/>
        <w:left w:w="0" w:type="dxa"/>
        <w:bottom w:w="0" w:type="dxa"/>
        <w:right w:w="0" w:type="dxa"/>
      </w:tblCellMar>
    </w:tblPr>
  </w:style>
  <w:style w:type="table" w:customStyle="1" w:styleId="253">
    <w:name w:val="Grid Table 4 - Accent 4"/>
    <w:qFormat/>
    <w:uiPriority w:val="59"/>
    <w:rPr>
      <w:rFonts w:ascii="Calibri" w:hAnsi="Calibri"/>
    </w:rPr>
    <w:tblPr>
      <w:tblCellMar>
        <w:top w:w="0" w:type="dxa"/>
        <w:left w:w="0" w:type="dxa"/>
        <w:bottom w:w="0" w:type="dxa"/>
        <w:right w:w="0" w:type="dxa"/>
      </w:tblCellMar>
    </w:tblPr>
  </w:style>
  <w:style w:type="table" w:customStyle="1" w:styleId="254">
    <w:name w:val="Grid Table 4 - Accent 5"/>
    <w:qFormat/>
    <w:uiPriority w:val="59"/>
    <w:rPr>
      <w:rFonts w:ascii="Calibri" w:hAnsi="Calibri"/>
    </w:rPr>
    <w:tblPr>
      <w:tblCellMar>
        <w:top w:w="0" w:type="dxa"/>
        <w:left w:w="0" w:type="dxa"/>
        <w:bottom w:w="0" w:type="dxa"/>
        <w:right w:w="0" w:type="dxa"/>
      </w:tblCellMar>
    </w:tblPr>
  </w:style>
  <w:style w:type="table" w:customStyle="1" w:styleId="255">
    <w:name w:val="Grid Table 4 - Accent 6"/>
    <w:qFormat/>
    <w:uiPriority w:val="59"/>
    <w:rPr>
      <w:rFonts w:ascii="Calibri" w:hAnsi="Calibri"/>
    </w:rPr>
    <w:tblPr>
      <w:tblCellMar>
        <w:top w:w="0" w:type="dxa"/>
        <w:left w:w="0" w:type="dxa"/>
        <w:bottom w:w="0" w:type="dxa"/>
        <w:right w:w="0" w:type="dxa"/>
      </w:tblCellMar>
    </w:tblPr>
  </w:style>
  <w:style w:type="table" w:customStyle="1" w:styleId="256">
    <w:name w:val="Grid Table 5 Dark- Accent 1"/>
    <w:qFormat/>
    <w:uiPriority w:val="99"/>
    <w:rPr>
      <w:rFonts w:ascii="Calibri" w:hAnsi="Calibri"/>
    </w:rPr>
    <w:tblPr>
      <w:tblCellMar>
        <w:top w:w="0" w:type="dxa"/>
        <w:left w:w="0" w:type="dxa"/>
        <w:bottom w:w="0" w:type="dxa"/>
        <w:right w:w="0" w:type="dxa"/>
      </w:tblCellMar>
    </w:tblPr>
  </w:style>
  <w:style w:type="table" w:customStyle="1" w:styleId="257">
    <w:name w:val="Grid Table 5 Dark - Accent 2"/>
    <w:qFormat/>
    <w:uiPriority w:val="99"/>
    <w:rPr>
      <w:rFonts w:ascii="Calibri" w:hAnsi="Calibri"/>
    </w:rPr>
    <w:tblPr>
      <w:tblCellMar>
        <w:top w:w="0" w:type="dxa"/>
        <w:left w:w="0" w:type="dxa"/>
        <w:bottom w:w="0" w:type="dxa"/>
        <w:right w:w="0" w:type="dxa"/>
      </w:tblCellMar>
    </w:tblPr>
  </w:style>
  <w:style w:type="table" w:customStyle="1" w:styleId="258">
    <w:name w:val="Grid Table 5 Dark - Accent 3"/>
    <w:qFormat/>
    <w:uiPriority w:val="99"/>
    <w:rPr>
      <w:rFonts w:ascii="Calibri" w:hAnsi="Calibri"/>
    </w:rPr>
    <w:tblPr>
      <w:tblCellMar>
        <w:top w:w="0" w:type="dxa"/>
        <w:left w:w="0" w:type="dxa"/>
        <w:bottom w:w="0" w:type="dxa"/>
        <w:right w:w="0" w:type="dxa"/>
      </w:tblCellMar>
    </w:tblPr>
  </w:style>
  <w:style w:type="table" w:customStyle="1" w:styleId="259">
    <w:name w:val="Grid Table 5 Dark- Accent 4"/>
    <w:qFormat/>
    <w:uiPriority w:val="99"/>
    <w:rPr>
      <w:rFonts w:ascii="Calibri" w:hAnsi="Calibri"/>
    </w:rPr>
    <w:tblPr>
      <w:tblCellMar>
        <w:top w:w="0" w:type="dxa"/>
        <w:left w:w="0" w:type="dxa"/>
        <w:bottom w:w="0" w:type="dxa"/>
        <w:right w:w="0" w:type="dxa"/>
      </w:tblCellMar>
    </w:tblPr>
  </w:style>
  <w:style w:type="table" w:customStyle="1" w:styleId="260">
    <w:name w:val="Grid Table 5 Dark - Accent 5"/>
    <w:qFormat/>
    <w:uiPriority w:val="99"/>
    <w:rPr>
      <w:rFonts w:ascii="Calibri" w:hAnsi="Calibri"/>
    </w:rPr>
    <w:tblPr>
      <w:tblCellMar>
        <w:top w:w="0" w:type="dxa"/>
        <w:left w:w="0" w:type="dxa"/>
        <w:bottom w:w="0" w:type="dxa"/>
        <w:right w:w="0" w:type="dxa"/>
      </w:tblCellMar>
    </w:tblPr>
  </w:style>
  <w:style w:type="table" w:customStyle="1" w:styleId="261">
    <w:name w:val="Grid Table 5 Dark - Accent 6"/>
    <w:qFormat/>
    <w:uiPriority w:val="99"/>
    <w:rPr>
      <w:rFonts w:ascii="Calibri" w:hAnsi="Calibri"/>
    </w:rPr>
    <w:tblPr>
      <w:tblCellMar>
        <w:top w:w="0" w:type="dxa"/>
        <w:left w:w="0" w:type="dxa"/>
        <w:bottom w:w="0" w:type="dxa"/>
        <w:right w:w="0" w:type="dxa"/>
      </w:tblCellMar>
    </w:tblPr>
  </w:style>
  <w:style w:type="table" w:customStyle="1" w:styleId="262">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63">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64">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65">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66">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67">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68">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69">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70">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71">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72">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73">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74">
    <w:name w:val="List Table 1 Light - Accent 1"/>
    <w:qFormat/>
    <w:uiPriority w:val="99"/>
    <w:rPr>
      <w:rFonts w:ascii="Calibri" w:hAnsi="Calibri"/>
    </w:rPr>
    <w:tblPr>
      <w:tblCellMar>
        <w:top w:w="0" w:type="dxa"/>
        <w:left w:w="0" w:type="dxa"/>
        <w:bottom w:w="0" w:type="dxa"/>
        <w:right w:w="0" w:type="dxa"/>
      </w:tblCellMar>
    </w:tblPr>
  </w:style>
  <w:style w:type="table" w:customStyle="1" w:styleId="275">
    <w:name w:val="List Table 1 Light - Accent 2"/>
    <w:qFormat/>
    <w:uiPriority w:val="99"/>
    <w:rPr>
      <w:rFonts w:ascii="Calibri" w:hAnsi="Calibri"/>
    </w:rPr>
    <w:tblPr>
      <w:tblCellMar>
        <w:top w:w="0" w:type="dxa"/>
        <w:left w:w="0" w:type="dxa"/>
        <w:bottom w:w="0" w:type="dxa"/>
        <w:right w:w="0" w:type="dxa"/>
      </w:tblCellMar>
    </w:tblPr>
  </w:style>
  <w:style w:type="table" w:customStyle="1" w:styleId="276">
    <w:name w:val="List Table 1 Light - Accent 3"/>
    <w:qFormat/>
    <w:uiPriority w:val="99"/>
    <w:rPr>
      <w:rFonts w:ascii="Calibri" w:hAnsi="Calibri"/>
    </w:rPr>
    <w:tblPr>
      <w:tblCellMar>
        <w:top w:w="0" w:type="dxa"/>
        <w:left w:w="0" w:type="dxa"/>
        <w:bottom w:w="0" w:type="dxa"/>
        <w:right w:w="0" w:type="dxa"/>
      </w:tblCellMar>
    </w:tblPr>
  </w:style>
  <w:style w:type="table" w:customStyle="1" w:styleId="277">
    <w:name w:val="List Table 1 Light - Accent 4"/>
    <w:qFormat/>
    <w:uiPriority w:val="99"/>
    <w:rPr>
      <w:rFonts w:ascii="Calibri" w:hAnsi="Calibri"/>
    </w:rPr>
    <w:tblPr>
      <w:tblCellMar>
        <w:top w:w="0" w:type="dxa"/>
        <w:left w:w="0" w:type="dxa"/>
        <w:bottom w:w="0" w:type="dxa"/>
        <w:right w:w="0" w:type="dxa"/>
      </w:tblCellMar>
    </w:tblPr>
  </w:style>
  <w:style w:type="table" w:customStyle="1" w:styleId="278">
    <w:name w:val="List Table 1 Light - Accent 5"/>
    <w:qFormat/>
    <w:uiPriority w:val="99"/>
    <w:rPr>
      <w:rFonts w:ascii="Calibri" w:hAnsi="Calibri"/>
    </w:rPr>
    <w:tblPr>
      <w:tblCellMar>
        <w:top w:w="0" w:type="dxa"/>
        <w:left w:w="0" w:type="dxa"/>
        <w:bottom w:w="0" w:type="dxa"/>
        <w:right w:w="0" w:type="dxa"/>
      </w:tblCellMar>
    </w:tblPr>
  </w:style>
  <w:style w:type="table" w:customStyle="1" w:styleId="279">
    <w:name w:val="List Table 1 Light - Accent 6"/>
    <w:qFormat/>
    <w:uiPriority w:val="99"/>
    <w:rPr>
      <w:rFonts w:ascii="Calibri" w:hAnsi="Calibri"/>
    </w:rPr>
    <w:tblPr>
      <w:tblCellMar>
        <w:top w:w="0" w:type="dxa"/>
        <w:left w:w="0" w:type="dxa"/>
        <w:bottom w:w="0" w:type="dxa"/>
        <w:right w:w="0" w:type="dxa"/>
      </w:tblCellMar>
    </w:tblPr>
  </w:style>
  <w:style w:type="table" w:customStyle="1" w:styleId="280">
    <w:name w:val="List Table 2 - Accent 1"/>
    <w:qFormat/>
    <w:uiPriority w:val="99"/>
    <w:rPr>
      <w:rFonts w:ascii="Calibri" w:hAnsi="Calibri"/>
    </w:rPr>
    <w:tblPr>
      <w:tblCellMar>
        <w:top w:w="0" w:type="dxa"/>
        <w:left w:w="0" w:type="dxa"/>
        <w:bottom w:w="0" w:type="dxa"/>
        <w:right w:w="0" w:type="dxa"/>
      </w:tblCellMar>
    </w:tblPr>
  </w:style>
  <w:style w:type="table" w:customStyle="1" w:styleId="281">
    <w:name w:val="List Table 2 - Accent 2"/>
    <w:qFormat/>
    <w:uiPriority w:val="99"/>
    <w:rPr>
      <w:rFonts w:ascii="Calibri" w:hAnsi="Calibri"/>
    </w:rPr>
    <w:tblPr>
      <w:tblCellMar>
        <w:top w:w="0" w:type="dxa"/>
        <w:left w:w="0" w:type="dxa"/>
        <w:bottom w:w="0" w:type="dxa"/>
        <w:right w:w="0" w:type="dxa"/>
      </w:tblCellMar>
    </w:tblPr>
  </w:style>
  <w:style w:type="table" w:customStyle="1" w:styleId="282">
    <w:name w:val="List Table 2 - Accent 3"/>
    <w:qFormat/>
    <w:uiPriority w:val="99"/>
    <w:rPr>
      <w:rFonts w:ascii="Calibri" w:hAnsi="Calibri"/>
    </w:rPr>
    <w:tblPr>
      <w:tblCellMar>
        <w:top w:w="0" w:type="dxa"/>
        <w:left w:w="0" w:type="dxa"/>
        <w:bottom w:w="0" w:type="dxa"/>
        <w:right w:w="0" w:type="dxa"/>
      </w:tblCellMar>
    </w:tblPr>
  </w:style>
  <w:style w:type="table" w:customStyle="1" w:styleId="283">
    <w:name w:val="List Table 2 - Accent 4"/>
    <w:qFormat/>
    <w:uiPriority w:val="99"/>
    <w:rPr>
      <w:rFonts w:ascii="Calibri" w:hAnsi="Calibri"/>
    </w:rPr>
    <w:tblPr>
      <w:tblCellMar>
        <w:top w:w="0" w:type="dxa"/>
        <w:left w:w="0" w:type="dxa"/>
        <w:bottom w:w="0" w:type="dxa"/>
        <w:right w:w="0" w:type="dxa"/>
      </w:tblCellMar>
    </w:tblPr>
  </w:style>
  <w:style w:type="table" w:customStyle="1" w:styleId="284">
    <w:name w:val="List Table 2 - Accent 5"/>
    <w:qFormat/>
    <w:uiPriority w:val="99"/>
    <w:rPr>
      <w:rFonts w:ascii="Calibri" w:hAnsi="Calibri"/>
    </w:rPr>
    <w:tblPr>
      <w:tblCellMar>
        <w:top w:w="0" w:type="dxa"/>
        <w:left w:w="0" w:type="dxa"/>
        <w:bottom w:w="0" w:type="dxa"/>
        <w:right w:w="0" w:type="dxa"/>
      </w:tblCellMar>
    </w:tblPr>
  </w:style>
  <w:style w:type="table" w:customStyle="1" w:styleId="285">
    <w:name w:val="List Table 2 - Accent 6"/>
    <w:qFormat/>
    <w:uiPriority w:val="99"/>
    <w:rPr>
      <w:rFonts w:ascii="Calibri" w:hAnsi="Calibri"/>
    </w:rPr>
    <w:tblPr>
      <w:tblCellMar>
        <w:top w:w="0" w:type="dxa"/>
        <w:left w:w="0" w:type="dxa"/>
        <w:bottom w:w="0" w:type="dxa"/>
        <w:right w:w="0" w:type="dxa"/>
      </w:tblCellMar>
    </w:tblPr>
  </w:style>
  <w:style w:type="table" w:customStyle="1" w:styleId="286">
    <w:name w:val="List Table 3 - Accent 1"/>
    <w:qFormat/>
    <w:uiPriority w:val="99"/>
    <w:rPr>
      <w:rFonts w:ascii="Calibri" w:hAnsi="Calibri"/>
    </w:rPr>
    <w:tblPr>
      <w:tblCellMar>
        <w:top w:w="0" w:type="dxa"/>
        <w:left w:w="0" w:type="dxa"/>
        <w:bottom w:w="0" w:type="dxa"/>
        <w:right w:w="0" w:type="dxa"/>
      </w:tblCellMar>
    </w:tblPr>
  </w:style>
  <w:style w:type="table" w:customStyle="1" w:styleId="287">
    <w:name w:val="List Table 3 - Accent 2"/>
    <w:qFormat/>
    <w:uiPriority w:val="99"/>
    <w:rPr>
      <w:rFonts w:ascii="Calibri" w:hAnsi="Calibri"/>
    </w:rPr>
    <w:tblPr>
      <w:tblCellMar>
        <w:top w:w="0" w:type="dxa"/>
        <w:left w:w="0" w:type="dxa"/>
        <w:bottom w:w="0" w:type="dxa"/>
        <w:right w:w="0" w:type="dxa"/>
      </w:tblCellMar>
    </w:tblPr>
  </w:style>
  <w:style w:type="table" w:customStyle="1" w:styleId="288">
    <w:name w:val="List Table 3 - Accent 3"/>
    <w:qFormat/>
    <w:uiPriority w:val="99"/>
    <w:rPr>
      <w:rFonts w:ascii="Calibri" w:hAnsi="Calibri"/>
    </w:rPr>
    <w:tblPr>
      <w:tblCellMar>
        <w:top w:w="0" w:type="dxa"/>
        <w:left w:w="0" w:type="dxa"/>
        <w:bottom w:w="0" w:type="dxa"/>
        <w:right w:w="0" w:type="dxa"/>
      </w:tblCellMar>
    </w:tblPr>
  </w:style>
  <w:style w:type="table" w:customStyle="1" w:styleId="289">
    <w:name w:val="List Table 3 - Accent 4"/>
    <w:qFormat/>
    <w:uiPriority w:val="99"/>
    <w:rPr>
      <w:rFonts w:ascii="Calibri" w:hAnsi="Calibri"/>
    </w:rPr>
    <w:tblPr>
      <w:tblCellMar>
        <w:top w:w="0" w:type="dxa"/>
        <w:left w:w="0" w:type="dxa"/>
        <w:bottom w:w="0" w:type="dxa"/>
        <w:right w:w="0" w:type="dxa"/>
      </w:tblCellMar>
    </w:tblPr>
  </w:style>
  <w:style w:type="table" w:customStyle="1" w:styleId="290">
    <w:name w:val="List Table 3 - Accent 5"/>
    <w:qFormat/>
    <w:uiPriority w:val="99"/>
    <w:rPr>
      <w:rFonts w:ascii="Calibri" w:hAnsi="Calibri"/>
    </w:rPr>
    <w:tblPr>
      <w:tblCellMar>
        <w:top w:w="0" w:type="dxa"/>
        <w:left w:w="0" w:type="dxa"/>
        <w:bottom w:w="0" w:type="dxa"/>
        <w:right w:w="0" w:type="dxa"/>
      </w:tblCellMar>
    </w:tblPr>
  </w:style>
  <w:style w:type="table" w:customStyle="1" w:styleId="291">
    <w:name w:val="List Table 3 - Accent 6"/>
    <w:qFormat/>
    <w:uiPriority w:val="99"/>
    <w:rPr>
      <w:rFonts w:ascii="Calibri" w:hAnsi="Calibri"/>
    </w:rPr>
    <w:tblPr>
      <w:tblCellMar>
        <w:top w:w="0" w:type="dxa"/>
        <w:left w:w="0" w:type="dxa"/>
        <w:bottom w:w="0" w:type="dxa"/>
        <w:right w:w="0" w:type="dxa"/>
      </w:tblCellMar>
    </w:tblPr>
  </w:style>
  <w:style w:type="table" w:customStyle="1" w:styleId="292">
    <w:name w:val="List Table 4 - Accent 1"/>
    <w:qFormat/>
    <w:uiPriority w:val="99"/>
    <w:rPr>
      <w:rFonts w:ascii="Calibri" w:hAnsi="Calibri"/>
    </w:rPr>
    <w:tblPr>
      <w:tblCellMar>
        <w:top w:w="0" w:type="dxa"/>
        <w:left w:w="0" w:type="dxa"/>
        <w:bottom w:w="0" w:type="dxa"/>
        <w:right w:w="0" w:type="dxa"/>
      </w:tblCellMar>
    </w:tblPr>
  </w:style>
  <w:style w:type="table" w:customStyle="1" w:styleId="293">
    <w:name w:val="List Table 4 - Accent 2"/>
    <w:qFormat/>
    <w:uiPriority w:val="99"/>
    <w:rPr>
      <w:rFonts w:ascii="Calibri" w:hAnsi="Calibri"/>
    </w:rPr>
    <w:tblPr>
      <w:tblCellMar>
        <w:top w:w="0" w:type="dxa"/>
        <w:left w:w="0" w:type="dxa"/>
        <w:bottom w:w="0" w:type="dxa"/>
        <w:right w:w="0" w:type="dxa"/>
      </w:tblCellMar>
    </w:tblPr>
  </w:style>
  <w:style w:type="table" w:customStyle="1" w:styleId="294">
    <w:name w:val="List Table 4 - Accent 3"/>
    <w:qFormat/>
    <w:uiPriority w:val="99"/>
    <w:rPr>
      <w:rFonts w:ascii="Calibri" w:hAnsi="Calibri"/>
    </w:rPr>
    <w:tblPr>
      <w:tblCellMar>
        <w:top w:w="0" w:type="dxa"/>
        <w:left w:w="0" w:type="dxa"/>
        <w:bottom w:w="0" w:type="dxa"/>
        <w:right w:w="0" w:type="dxa"/>
      </w:tblCellMar>
    </w:tblPr>
  </w:style>
  <w:style w:type="table" w:customStyle="1" w:styleId="295">
    <w:name w:val="List Table 4 - Accent 4"/>
    <w:qFormat/>
    <w:uiPriority w:val="99"/>
    <w:rPr>
      <w:rFonts w:ascii="Calibri" w:hAnsi="Calibri"/>
    </w:rPr>
    <w:tblPr>
      <w:tblCellMar>
        <w:top w:w="0" w:type="dxa"/>
        <w:left w:w="0" w:type="dxa"/>
        <w:bottom w:w="0" w:type="dxa"/>
        <w:right w:w="0" w:type="dxa"/>
      </w:tblCellMar>
    </w:tblPr>
  </w:style>
  <w:style w:type="table" w:customStyle="1" w:styleId="296">
    <w:name w:val="List Table 4 - Accent 5"/>
    <w:qFormat/>
    <w:uiPriority w:val="99"/>
    <w:rPr>
      <w:rFonts w:ascii="Calibri" w:hAnsi="Calibri"/>
    </w:rPr>
    <w:tblPr>
      <w:tblCellMar>
        <w:top w:w="0" w:type="dxa"/>
        <w:left w:w="0" w:type="dxa"/>
        <w:bottom w:w="0" w:type="dxa"/>
        <w:right w:w="0" w:type="dxa"/>
      </w:tblCellMar>
    </w:tblPr>
  </w:style>
  <w:style w:type="table" w:customStyle="1" w:styleId="297">
    <w:name w:val="List Table 4 - Accent 6"/>
    <w:qFormat/>
    <w:uiPriority w:val="99"/>
    <w:rPr>
      <w:rFonts w:ascii="Calibri" w:hAnsi="Calibri"/>
    </w:rPr>
    <w:tblPr>
      <w:tblCellMar>
        <w:top w:w="0" w:type="dxa"/>
        <w:left w:w="0" w:type="dxa"/>
        <w:bottom w:w="0" w:type="dxa"/>
        <w:right w:w="0" w:type="dxa"/>
      </w:tblCellMar>
    </w:tblPr>
  </w:style>
  <w:style w:type="table" w:customStyle="1" w:styleId="298">
    <w:name w:val="List Table 5 Dark - Accent 1"/>
    <w:qFormat/>
    <w:uiPriority w:val="99"/>
    <w:rPr>
      <w:rFonts w:ascii="Calibri" w:hAnsi="Calibri"/>
    </w:rPr>
    <w:tblPr>
      <w:tblCellMar>
        <w:top w:w="0" w:type="dxa"/>
        <w:left w:w="0" w:type="dxa"/>
        <w:bottom w:w="0" w:type="dxa"/>
        <w:right w:w="0" w:type="dxa"/>
      </w:tblCellMar>
    </w:tblPr>
  </w:style>
  <w:style w:type="table" w:customStyle="1" w:styleId="299">
    <w:name w:val="List Table 5 Dark - Accent 2"/>
    <w:qFormat/>
    <w:uiPriority w:val="99"/>
    <w:rPr>
      <w:rFonts w:ascii="Calibri" w:hAnsi="Calibri"/>
    </w:rPr>
    <w:tblPr>
      <w:tblCellMar>
        <w:top w:w="0" w:type="dxa"/>
        <w:left w:w="0" w:type="dxa"/>
        <w:bottom w:w="0" w:type="dxa"/>
        <w:right w:w="0" w:type="dxa"/>
      </w:tblCellMar>
    </w:tblPr>
  </w:style>
  <w:style w:type="table" w:customStyle="1" w:styleId="300">
    <w:name w:val="List Table 5 Dark - Accent 3"/>
    <w:qFormat/>
    <w:uiPriority w:val="99"/>
    <w:rPr>
      <w:rFonts w:ascii="Calibri" w:hAnsi="Calibri"/>
    </w:rPr>
    <w:tblPr>
      <w:tblCellMar>
        <w:top w:w="0" w:type="dxa"/>
        <w:left w:w="0" w:type="dxa"/>
        <w:bottom w:w="0" w:type="dxa"/>
        <w:right w:w="0" w:type="dxa"/>
      </w:tblCellMar>
    </w:tblPr>
  </w:style>
  <w:style w:type="table" w:customStyle="1" w:styleId="301">
    <w:name w:val="List Table 5 Dark - Accent 4"/>
    <w:qFormat/>
    <w:uiPriority w:val="99"/>
    <w:rPr>
      <w:rFonts w:ascii="Calibri" w:hAnsi="Calibri"/>
    </w:rPr>
    <w:tblPr>
      <w:tblCellMar>
        <w:top w:w="0" w:type="dxa"/>
        <w:left w:w="0" w:type="dxa"/>
        <w:bottom w:w="0" w:type="dxa"/>
        <w:right w:w="0" w:type="dxa"/>
      </w:tblCellMar>
    </w:tblPr>
  </w:style>
  <w:style w:type="table" w:customStyle="1" w:styleId="302">
    <w:name w:val="List Table 5 Dark - Accent 5"/>
    <w:qFormat/>
    <w:uiPriority w:val="99"/>
    <w:rPr>
      <w:rFonts w:ascii="Calibri" w:hAnsi="Calibri"/>
    </w:rPr>
    <w:tblPr>
      <w:tblCellMar>
        <w:top w:w="0" w:type="dxa"/>
        <w:left w:w="0" w:type="dxa"/>
        <w:bottom w:w="0" w:type="dxa"/>
        <w:right w:w="0" w:type="dxa"/>
      </w:tblCellMar>
    </w:tblPr>
  </w:style>
  <w:style w:type="table" w:customStyle="1" w:styleId="303">
    <w:name w:val="List Table 5 Dark - Accent 6"/>
    <w:qFormat/>
    <w:uiPriority w:val="99"/>
    <w:rPr>
      <w:rFonts w:ascii="Calibri" w:hAnsi="Calibri"/>
    </w:rPr>
    <w:tblPr>
      <w:tblCellMar>
        <w:top w:w="0" w:type="dxa"/>
        <w:left w:w="0" w:type="dxa"/>
        <w:bottom w:w="0" w:type="dxa"/>
        <w:right w:w="0" w:type="dxa"/>
      </w:tblCellMar>
    </w:tblPr>
  </w:style>
  <w:style w:type="table" w:customStyle="1" w:styleId="304">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05">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06">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07">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08">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09">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10">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11">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12">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13">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14">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15">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16">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17">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18">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19">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20">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21">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22">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23">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24">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25">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26">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27">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28">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29">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30">
    <w:name w:val="Bordered"/>
    <w:qFormat/>
    <w:uiPriority w:val="99"/>
    <w:rPr>
      <w:rFonts w:ascii="Calibri" w:hAnsi="Calibri"/>
    </w:rPr>
    <w:tblPr>
      <w:tblCellMar>
        <w:top w:w="0" w:type="dxa"/>
        <w:left w:w="0" w:type="dxa"/>
        <w:bottom w:w="0" w:type="dxa"/>
        <w:right w:w="0" w:type="dxa"/>
      </w:tblCellMar>
    </w:tblPr>
  </w:style>
  <w:style w:type="table" w:customStyle="1" w:styleId="331">
    <w:name w:val="Bordered - Accent 1"/>
    <w:qFormat/>
    <w:uiPriority w:val="99"/>
    <w:rPr>
      <w:rFonts w:ascii="Calibri" w:hAnsi="Calibri"/>
    </w:rPr>
    <w:tblPr>
      <w:tblCellMar>
        <w:top w:w="0" w:type="dxa"/>
        <w:left w:w="0" w:type="dxa"/>
        <w:bottom w:w="0" w:type="dxa"/>
        <w:right w:w="0" w:type="dxa"/>
      </w:tblCellMar>
    </w:tblPr>
  </w:style>
  <w:style w:type="table" w:customStyle="1" w:styleId="332">
    <w:name w:val="Bordered - Accent 2"/>
    <w:qFormat/>
    <w:uiPriority w:val="99"/>
    <w:rPr>
      <w:rFonts w:ascii="Calibri" w:hAnsi="Calibri"/>
    </w:rPr>
    <w:tblPr>
      <w:tblCellMar>
        <w:top w:w="0" w:type="dxa"/>
        <w:left w:w="0" w:type="dxa"/>
        <w:bottom w:w="0" w:type="dxa"/>
        <w:right w:w="0" w:type="dxa"/>
      </w:tblCellMar>
    </w:tblPr>
  </w:style>
  <w:style w:type="table" w:customStyle="1" w:styleId="333">
    <w:name w:val="Bordered - Accent 3"/>
    <w:qFormat/>
    <w:uiPriority w:val="99"/>
    <w:rPr>
      <w:rFonts w:ascii="Calibri" w:hAnsi="Calibri"/>
    </w:rPr>
    <w:tblPr>
      <w:tblCellMar>
        <w:top w:w="0" w:type="dxa"/>
        <w:left w:w="0" w:type="dxa"/>
        <w:bottom w:w="0" w:type="dxa"/>
        <w:right w:w="0" w:type="dxa"/>
      </w:tblCellMar>
    </w:tblPr>
  </w:style>
  <w:style w:type="table" w:customStyle="1" w:styleId="334">
    <w:name w:val="Bordered - Accent 4"/>
    <w:qFormat/>
    <w:uiPriority w:val="99"/>
    <w:rPr>
      <w:rFonts w:ascii="Calibri" w:hAnsi="Calibri"/>
    </w:rPr>
    <w:tblPr>
      <w:tblCellMar>
        <w:top w:w="0" w:type="dxa"/>
        <w:left w:w="0" w:type="dxa"/>
        <w:bottom w:w="0" w:type="dxa"/>
        <w:right w:w="0" w:type="dxa"/>
      </w:tblCellMar>
    </w:tblPr>
  </w:style>
  <w:style w:type="table" w:customStyle="1" w:styleId="335">
    <w:name w:val="Bordered - Accent 5"/>
    <w:qFormat/>
    <w:uiPriority w:val="99"/>
    <w:rPr>
      <w:rFonts w:ascii="Calibri" w:hAnsi="Calibri"/>
    </w:rPr>
    <w:tblPr>
      <w:tblCellMar>
        <w:top w:w="0" w:type="dxa"/>
        <w:left w:w="0" w:type="dxa"/>
        <w:bottom w:w="0" w:type="dxa"/>
        <w:right w:w="0" w:type="dxa"/>
      </w:tblCellMar>
    </w:tblPr>
  </w:style>
  <w:style w:type="table" w:customStyle="1" w:styleId="336">
    <w:name w:val="Bordered - Accent 6"/>
    <w:qFormat/>
    <w:uiPriority w:val="99"/>
    <w:rPr>
      <w:rFonts w:ascii="Calibri" w:hAnsi="Calibri"/>
    </w:rPr>
    <w:tblPr>
      <w:tblCellMar>
        <w:top w:w="0" w:type="dxa"/>
        <w:left w:w="0" w:type="dxa"/>
        <w:bottom w:w="0" w:type="dxa"/>
        <w:right w:w="0" w:type="dxa"/>
      </w:tblCellMar>
    </w:tblPr>
  </w:style>
  <w:style w:type="paragraph" w:customStyle="1" w:styleId="337">
    <w:name w:val="TOC 标题11"/>
    <w:unhideWhenUsed/>
    <w:qFormat/>
    <w:uiPriority w:val="39"/>
    <w:rPr>
      <w:rFonts w:hint="default" w:ascii="Calibri" w:hAnsi="Calibri" w:eastAsia="宋体" w:cs="Times New Roman"/>
      <w:lang w:val="en-US" w:eastAsia="zh-CN" w:bidi="ar-SA"/>
    </w:rPr>
  </w:style>
  <w:style w:type="paragraph" w:customStyle="1" w:styleId="338">
    <w:name w:val="标题 11"/>
    <w:basedOn w:val="1"/>
    <w:next w:val="1"/>
    <w:link w:val="339"/>
    <w:qFormat/>
    <w:uiPriority w:val="0"/>
    <w:pPr>
      <w:keepNext/>
      <w:jc w:val="center"/>
      <w:outlineLvl w:val="0"/>
    </w:pPr>
    <w:rPr>
      <w:rFonts w:ascii="楷体_GB2312" w:hAnsi="Times New Roman" w:eastAsia="楷体_GB2312" w:cs="Times New Roman"/>
      <w:sz w:val="28"/>
      <w:szCs w:val="28"/>
      <w:lang w:eastAsia="en-US"/>
    </w:rPr>
  </w:style>
  <w:style w:type="character" w:customStyle="1" w:styleId="339">
    <w:name w:val="标题 1 Char"/>
    <w:link w:val="338"/>
    <w:qFormat/>
    <w:uiPriority w:val="0"/>
    <w:rPr>
      <w:rFonts w:ascii="楷体_GB2312" w:hAnsi="Times New Roman" w:eastAsia="楷体_GB2312" w:cs="Times New Roman"/>
      <w:sz w:val="28"/>
      <w:szCs w:val="28"/>
      <w:lang w:eastAsia="en-US"/>
    </w:rPr>
  </w:style>
  <w:style w:type="paragraph" w:customStyle="1" w:styleId="340">
    <w:name w:val="标题 21"/>
    <w:basedOn w:val="1"/>
    <w:next w:val="341"/>
    <w:link w:val="342"/>
    <w:qFormat/>
    <w:uiPriority w:val="0"/>
    <w:pPr>
      <w:keepNext/>
      <w:keepLines/>
      <w:spacing w:before="260" w:after="260" w:line="416" w:lineRule="auto"/>
      <w:jc w:val="center"/>
      <w:outlineLvl w:val="1"/>
    </w:pPr>
    <w:rPr>
      <w:rFonts w:ascii="Arial" w:hAnsi="Arial" w:eastAsia="幼圆" w:cs="Times New Roman"/>
      <w:b/>
      <w:bCs/>
      <w:sz w:val="44"/>
      <w:szCs w:val="44"/>
      <w:lang w:eastAsia="en-US"/>
    </w:rPr>
  </w:style>
  <w:style w:type="paragraph" w:customStyle="1" w:styleId="341">
    <w:name w:val="正文缩进1"/>
    <w:basedOn w:val="1"/>
    <w:link w:val="343"/>
    <w:qFormat/>
    <w:uiPriority w:val="0"/>
    <w:pPr>
      <w:ind w:firstLine="420"/>
    </w:pPr>
    <w:rPr>
      <w:rFonts w:ascii="Times New Roman" w:hAnsi="Times New Roman" w:eastAsia="宋体" w:cs="Times New Roman"/>
      <w:sz w:val="20"/>
      <w:szCs w:val="21"/>
      <w:lang w:eastAsia="en-US"/>
    </w:rPr>
  </w:style>
  <w:style w:type="character" w:customStyle="1" w:styleId="342">
    <w:name w:val="标题 2 Char"/>
    <w:link w:val="340"/>
    <w:qFormat/>
    <w:uiPriority w:val="0"/>
    <w:rPr>
      <w:rFonts w:ascii="Arial" w:hAnsi="Arial" w:eastAsia="幼圆" w:cs="Times New Roman"/>
      <w:b/>
      <w:bCs/>
      <w:sz w:val="44"/>
      <w:szCs w:val="44"/>
      <w:lang w:eastAsia="en-US"/>
    </w:rPr>
  </w:style>
  <w:style w:type="character" w:customStyle="1" w:styleId="343">
    <w:name w:val="正文缩进 Char"/>
    <w:link w:val="341"/>
    <w:qFormat/>
    <w:uiPriority w:val="0"/>
    <w:rPr>
      <w:rFonts w:ascii="Times New Roman" w:hAnsi="Times New Roman" w:eastAsia="宋体" w:cs="Times New Roman"/>
      <w:szCs w:val="21"/>
      <w:lang w:eastAsia="en-US"/>
    </w:rPr>
  </w:style>
  <w:style w:type="paragraph" w:customStyle="1" w:styleId="344">
    <w:name w:val="标题 41"/>
    <w:basedOn w:val="1"/>
    <w:next w:val="341"/>
    <w:link w:val="345"/>
    <w:qFormat/>
    <w:uiPriority w:val="0"/>
    <w:pPr>
      <w:keepNext/>
      <w:keepLines/>
      <w:spacing w:before="280" w:after="290" w:line="376" w:lineRule="auto"/>
      <w:outlineLvl w:val="3"/>
    </w:pPr>
    <w:rPr>
      <w:rFonts w:ascii="Arial" w:hAnsi="Arial" w:eastAsia="黑体" w:cs="Times New Roman"/>
      <w:b/>
      <w:bCs/>
      <w:sz w:val="28"/>
      <w:szCs w:val="28"/>
      <w:lang w:eastAsia="en-US"/>
    </w:rPr>
  </w:style>
  <w:style w:type="character" w:customStyle="1" w:styleId="345">
    <w:name w:val="标题 4 Char"/>
    <w:link w:val="344"/>
    <w:qFormat/>
    <w:uiPriority w:val="0"/>
    <w:rPr>
      <w:rFonts w:ascii="Arial" w:hAnsi="Arial" w:eastAsia="黑体" w:cs="Times New Roman"/>
      <w:b/>
      <w:bCs/>
      <w:sz w:val="28"/>
      <w:szCs w:val="28"/>
      <w:lang w:eastAsia="en-US"/>
    </w:rPr>
  </w:style>
  <w:style w:type="paragraph" w:customStyle="1" w:styleId="346">
    <w:name w:val="标题 51"/>
    <w:basedOn w:val="1"/>
    <w:next w:val="341"/>
    <w:link w:val="347"/>
    <w:qFormat/>
    <w:uiPriority w:val="0"/>
    <w:pPr>
      <w:keepNext/>
      <w:outlineLvl w:val="4"/>
    </w:pPr>
    <w:rPr>
      <w:rFonts w:ascii="宋体" w:hAnsi="Times New Roman" w:eastAsia="宋体" w:cs="Times New Roman"/>
      <w:color w:val="000000"/>
      <w:sz w:val="28"/>
      <w:szCs w:val="28"/>
      <w:lang w:eastAsia="en-US"/>
    </w:rPr>
  </w:style>
  <w:style w:type="character" w:customStyle="1" w:styleId="347">
    <w:name w:val="标题 5 Char"/>
    <w:link w:val="346"/>
    <w:qFormat/>
    <w:uiPriority w:val="0"/>
    <w:rPr>
      <w:rFonts w:ascii="宋体" w:hAnsi="Times New Roman" w:eastAsia="宋体" w:cs="Times New Roman"/>
      <w:color w:val="000000"/>
      <w:sz w:val="28"/>
      <w:szCs w:val="28"/>
      <w:lang w:eastAsia="en-US"/>
    </w:rPr>
  </w:style>
  <w:style w:type="paragraph" w:customStyle="1" w:styleId="348">
    <w:name w:val="标题 61"/>
    <w:basedOn w:val="1"/>
    <w:next w:val="1"/>
    <w:link w:val="349"/>
    <w:qFormat/>
    <w:uiPriority w:val="0"/>
    <w:pPr>
      <w:keepNext/>
      <w:keepLines/>
      <w:numPr>
        <w:ilvl w:val="5"/>
        <w:numId w:val="3"/>
      </w:numPr>
      <w:spacing w:before="240" w:after="64" w:line="320" w:lineRule="auto"/>
      <w:outlineLvl w:val="5"/>
    </w:pPr>
    <w:rPr>
      <w:rFonts w:ascii="Arial" w:hAnsi="Arial" w:eastAsia="黑体" w:cs="Times New Roman"/>
      <w:b/>
      <w:bCs/>
      <w:sz w:val="24"/>
      <w:szCs w:val="24"/>
      <w:lang w:eastAsia="en-US"/>
    </w:rPr>
  </w:style>
  <w:style w:type="character" w:customStyle="1" w:styleId="349">
    <w:name w:val="标题 6 Char"/>
    <w:link w:val="348"/>
    <w:qFormat/>
    <w:uiPriority w:val="0"/>
    <w:rPr>
      <w:rFonts w:ascii="Arial" w:hAnsi="Arial" w:eastAsia="黑体" w:cs="Times New Roman"/>
      <w:b/>
      <w:bCs/>
      <w:sz w:val="24"/>
      <w:szCs w:val="24"/>
      <w:lang w:eastAsia="en-US"/>
    </w:rPr>
  </w:style>
  <w:style w:type="paragraph" w:customStyle="1" w:styleId="350">
    <w:name w:val="标题 71"/>
    <w:basedOn w:val="1"/>
    <w:next w:val="1"/>
    <w:link w:val="351"/>
    <w:qFormat/>
    <w:uiPriority w:val="0"/>
    <w:pPr>
      <w:keepNext/>
      <w:keepLines/>
      <w:numPr>
        <w:ilvl w:val="6"/>
        <w:numId w:val="3"/>
      </w:numPr>
      <w:spacing w:before="240" w:after="64" w:line="320" w:lineRule="auto"/>
      <w:outlineLvl w:val="6"/>
    </w:pPr>
    <w:rPr>
      <w:rFonts w:ascii="Times New Roman" w:hAnsi="Times New Roman" w:eastAsia="宋体" w:cs="Times New Roman"/>
      <w:b/>
      <w:bCs/>
      <w:sz w:val="24"/>
      <w:szCs w:val="24"/>
      <w:lang w:eastAsia="en-US"/>
    </w:rPr>
  </w:style>
  <w:style w:type="character" w:customStyle="1" w:styleId="351">
    <w:name w:val="标题 7 Char"/>
    <w:link w:val="350"/>
    <w:qFormat/>
    <w:uiPriority w:val="0"/>
    <w:rPr>
      <w:rFonts w:ascii="Times New Roman" w:hAnsi="Times New Roman" w:eastAsia="宋体" w:cs="Times New Roman"/>
      <w:b/>
      <w:bCs/>
      <w:sz w:val="24"/>
      <w:szCs w:val="24"/>
      <w:lang w:eastAsia="en-US"/>
    </w:rPr>
  </w:style>
  <w:style w:type="paragraph" w:customStyle="1" w:styleId="352">
    <w:name w:val="标题 81"/>
    <w:basedOn w:val="1"/>
    <w:next w:val="1"/>
    <w:link w:val="353"/>
    <w:qFormat/>
    <w:uiPriority w:val="0"/>
    <w:pPr>
      <w:keepNext/>
      <w:keepLines/>
      <w:numPr>
        <w:ilvl w:val="7"/>
        <w:numId w:val="3"/>
      </w:numPr>
      <w:spacing w:before="240" w:after="64" w:line="320" w:lineRule="auto"/>
      <w:outlineLvl w:val="7"/>
    </w:pPr>
    <w:rPr>
      <w:rFonts w:ascii="Arial" w:hAnsi="Arial" w:eastAsia="黑体" w:cs="Times New Roman"/>
      <w:sz w:val="24"/>
      <w:szCs w:val="24"/>
      <w:lang w:eastAsia="en-US"/>
    </w:rPr>
  </w:style>
  <w:style w:type="character" w:customStyle="1" w:styleId="353">
    <w:name w:val="标题 8 Char"/>
    <w:link w:val="352"/>
    <w:qFormat/>
    <w:uiPriority w:val="0"/>
    <w:rPr>
      <w:rFonts w:ascii="Arial" w:hAnsi="Arial" w:eastAsia="黑体" w:cs="Times New Roman"/>
      <w:sz w:val="24"/>
      <w:szCs w:val="24"/>
      <w:lang w:eastAsia="en-US"/>
    </w:rPr>
  </w:style>
  <w:style w:type="paragraph" w:customStyle="1" w:styleId="354">
    <w:name w:val="标题 91"/>
    <w:basedOn w:val="1"/>
    <w:next w:val="1"/>
    <w:link w:val="355"/>
    <w:qFormat/>
    <w:uiPriority w:val="0"/>
    <w:pPr>
      <w:keepNext/>
      <w:keepLines/>
      <w:numPr>
        <w:ilvl w:val="8"/>
        <w:numId w:val="3"/>
      </w:numPr>
      <w:spacing w:before="240" w:after="64" w:line="320" w:lineRule="auto"/>
      <w:outlineLvl w:val="8"/>
    </w:pPr>
    <w:rPr>
      <w:rFonts w:ascii="Arial" w:hAnsi="Arial" w:eastAsia="黑体" w:cs="Times New Roman"/>
      <w:sz w:val="20"/>
      <w:szCs w:val="21"/>
      <w:lang w:eastAsia="en-US"/>
    </w:rPr>
  </w:style>
  <w:style w:type="character" w:customStyle="1" w:styleId="355">
    <w:name w:val="标题 9 Char"/>
    <w:link w:val="354"/>
    <w:qFormat/>
    <w:uiPriority w:val="0"/>
    <w:rPr>
      <w:rFonts w:ascii="Arial" w:hAnsi="Arial" w:eastAsia="黑体" w:cs="Times New Roman"/>
      <w:szCs w:val="21"/>
      <w:lang w:eastAsia="en-US"/>
    </w:rPr>
  </w:style>
  <w:style w:type="character" w:customStyle="1" w:styleId="356">
    <w:name w:val="默认段落字体1"/>
    <w:unhideWhenUsed/>
    <w:qFormat/>
    <w:uiPriority w:val="1"/>
  </w:style>
  <w:style w:type="table" w:customStyle="1" w:styleId="357">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58">
    <w:name w:val="列表 31"/>
    <w:basedOn w:val="1"/>
    <w:qFormat/>
    <w:uiPriority w:val="0"/>
    <w:pPr>
      <w:ind w:left="100" w:hanging="200"/>
    </w:pPr>
    <w:rPr>
      <w:rFonts w:ascii="Times New Roman" w:hAnsi="Times New Roman" w:eastAsia="宋体" w:cs="Times New Roman"/>
      <w:szCs w:val="21"/>
    </w:rPr>
  </w:style>
  <w:style w:type="paragraph" w:customStyle="1" w:styleId="359">
    <w:name w:val="目录 711"/>
    <w:basedOn w:val="1"/>
    <w:next w:val="1"/>
    <w:semiHidden/>
    <w:qFormat/>
    <w:uiPriority w:val="0"/>
    <w:pPr>
      <w:ind w:left="1260"/>
      <w:jc w:val="left"/>
    </w:pPr>
    <w:rPr>
      <w:rFonts w:ascii="Times New Roman" w:hAnsi="Times New Roman" w:eastAsia="宋体" w:cs="Times New Roman"/>
      <w:szCs w:val="21"/>
    </w:rPr>
  </w:style>
  <w:style w:type="paragraph" w:customStyle="1" w:styleId="360">
    <w:name w:val="文档结构图1"/>
    <w:basedOn w:val="1"/>
    <w:link w:val="361"/>
    <w:semiHidden/>
    <w:qFormat/>
    <w:uiPriority w:val="0"/>
    <w:pPr>
      <w:shd w:val="clear" w:color="auto" w:fill="000080"/>
    </w:pPr>
    <w:rPr>
      <w:rFonts w:ascii="Times New Roman" w:hAnsi="Times New Roman" w:eastAsia="宋体" w:cs="Times New Roman"/>
      <w:sz w:val="20"/>
      <w:szCs w:val="21"/>
      <w:lang w:eastAsia="en-US"/>
    </w:rPr>
  </w:style>
  <w:style w:type="character" w:customStyle="1" w:styleId="361">
    <w:name w:val="文档结构图 Char"/>
    <w:link w:val="360"/>
    <w:semiHidden/>
    <w:qFormat/>
    <w:uiPriority w:val="0"/>
    <w:rPr>
      <w:rFonts w:ascii="Times New Roman" w:hAnsi="Times New Roman" w:eastAsia="宋体" w:cs="Times New Roman"/>
      <w:szCs w:val="21"/>
      <w:shd w:val="clear" w:color="auto" w:fill="000080"/>
      <w:lang w:eastAsia="en-US"/>
    </w:rPr>
  </w:style>
  <w:style w:type="paragraph" w:customStyle="1" w:styleId="362">
    <w:name w:val="批注文字1"/>
    <w:basedOn w:val="1"/>
    <w:link w:val="363"/>
    <w:semiHidden/>
    <w:qFormat/>
    <w:uiPriority w:val="0"/>
    <w:pPr>
      <w:jc w:val="left"/>
    </w:pPr>
    <w:rPr>
      <w:rFonts w:ascii="Times New Roman" w:hAnsi="Times New Roman" w:eastAsia="宋体" w:cs="Times New Roman"/>
      <w:sz w:val="20"/>
      <w:szCs w:val="21"/>
      <w:lang w:eastAsia="en-US"/>
    </w:rPr>
  </w:style>
  <w:style w:type="character" w:customStyle="1" w:styleId="363">
    <w:name w:val="批注文字 Char"/>
    <w:link w:val="362"/>
    <w:semiHidden/>
    <w:qFormat/>
    <w:uiPriority w:val="0"/>
    <w:rPr>
      <w:rFonts w:ascii="Times New Roman" w:hAnsi="Times New Roman" w:eastAsia="宋体" w:cs="Times New Roman"/>
      <w:szCs w:val="21"/>
      <w:lang w:eastAsia="en-US"/>
    </w:rPr>
  </w:style>
  <w:style w:type="paragraph" w:customStyle="1" w:styleId="364">
    <w:name w:val="正文文本 31"/>
    <w:basedOn w:val="1"/>
    <w:link w:val="365"/>
    <w:qFormat/>
    <w:uiPriority w:val="0"/>
    <w:rPr>
      <w:rFonts w:ascii="仿宋_GB2312" w:hAnsi="Arial" w:eastAsia="仿宋_GB2312" w:cs="Times New Roman"/>
      <w:sz w:val="32"/>
      <w:szCs w:val="32"/>
      <w:lang w:eastAsia="en-US"/>
    </w:rPr>
  </w:style>
  <w:style w:type="character" w:customStyle="1" w:styleId="365">
    <w:name w:val="正文文本 3 Char"/>
    <w:link w:val="364"/>
    <w:qFormat/>
    <w:uiPriority w:val="0"/>
    <w:rPr>
      <w:rFonts w:ascii="仿宋_GB2312" w:hAnsi="Arial" w:eastAsia="仿宋_GB2312" w:cs="Times New Roman"/>
      <w:sz w:val="32"/>
      <w:szCs w:val="32"/>
      <w:lang w:eastAsia="en-US"/>
    </w:rPr>
  </w:style>
  <w:style w:type="paragraph" w:customStyle="1" w:styleId="366">
    <w:name w:val="正文文本1"/>
    <w:basedOn w:val="1"/>
    <w:link w:val="367"/>
    <w:qFormat/>
    <w:uiPriority w:val="0"/>
    <w:rPr>
      <w:rFonts w:ascii="楷体_GB2312" w:hAnsi="Arial" w:eastAsia="楷体_GB2312" w:cs="Times New Roman"/>
      <w:sz w:val="28"/>
      <w:szCs w:val="28"/>
      <w:lang w:eastAsia="en-US"/>
    </w:rPr>
  </w:style>
  <w:style w:type="character" w:customStyle="1" w:styleId="367">
    <w:name w:val="正文文本 Char"/>
    <w:link w:val="366"/>
    <w:qFormat/>
    <w:uiPriority w:val="0"/>
    <w:rPr>
      <w:rFonts w:ascii="楷体_GB2312" w:hAnsi="Arial" w:eastAsia="楷体_GB2312" w:cs="Times New Roman"/>
      <w:sz w:val="28"/>
      <w:szCs w:val="28"/>
      <w:lang w:eastAsia="en-US"/>
    </w:rPr>
  </w:style>
  <w:style w:type="paragraph" w:customStyle="1" w:styleId="368">
    <w:name w:val="正文文本缩进1"/>
    <w:basedOn w:val="1"/>
    <w:link w:val="369"/>
    <w:qFormat/>
    <w:uiPriority w:val="0"/>
    <w:pPr>
      <w:ind w:firstLine="645"/>
    </w:pPr>
    <w:rPr>
      <w:rFonts w:ascii="楷体_GB2312" w:hAnsi="Times New Roman" w:eastAsia="楷体_GB2312" w:cs="Times New Roman"/>
      <w:sz w:val="32"/>
      <w:szCs w:val="32"/>
      <w:lang w:eastAsia="en-US"/>
    </w:rPr>
  </w:style>
  <w:style w:type="character" w:customStyle="1" w:styleId="369">
    <w:name w:val="正文文本缩进 Char"/>
    <w:link w:val="368"/>
    <w:qFormat/>
    <w:uiPriority w:val="0"/>
    <w:rPr>
      <w:rFonts w:ascii="楷体_GB2312" w:hAnsi="Times New Roman" w:eastAsia="楷体_GB2312" w:cs="Times New Roman"/>
      <w:sz w:val="32"/>
      <w:szCs w:val="32"/>
      <w:lang w:eastAsia="en-US"/>
    </w:rPr>
  </w:style>
  <w:style w:type="paragraph" w:customStyle="1" w:styleId="370">
    <w:name w:val="列表 21"/>
    <w:basedOn w:val="1"/>
    <w:qFormat/>
    <w:uiPriority w:val="0"/>
    <w:pPr>
      <w:ind w:left="100" w:hanging="200"/>
    </w:pPr>
    <w:rPr>
      <w:rFonts w:ascii="Times New Roman" w:hAnsi="Times New Roman" w:eastAsia="宋体" w:cs="Times New Roman"/>
      <w:szCs w:val="21"/>
    </w:rPr>
  </w:style>
  <w:style w:type="paragraph" w:customStyle="1" w:styleId="371">
    <w:name w:val="目录 511"/>
    <w:basedOn w:val="1"/>
    <w:next w:val="1"/>
    <w:semiHidden/>
    <w:qFormat/>
    <w:uiPriority w:val="0"/>
    <w:pPr>
      <w:ind w:left="840"/>
      <w:jc w:val="left"/>
    </w:pPr>
    <w:rPr>
      <w:rFonts w:ascii="Times New Roman" w:hAnsi="Times New Roman" w:eastAsia="宋体" w:cs="Times New Roman"/>
      <w:szCs w:val="21"/>
    </w:rPr>
  </w:style>
  <w:style w:type="paragraph" w:customStyle="1" w:styleId="372">
    <w:name w:val="目录 311"/>
    <w:basedOn w:val="1"/>
    <w:next w:val="1"/>
    <w:semiHidden/>
    <w:qFormat/>
    <w:uiPriority w:val="0"/>
    <w:pPr>
      <w:ind w:left="420"/>
      <w:jc w:val="left"/>
    </w:pPr>
    <w:rPr>
      <w:rFonts w:ascii="Times New Roman" w:hAnsi="Times New Roman" w:eastAsia="宋体" w:cs="Times New Roman"/>
      <w:i/>
      <w:iCs/>
      <w:szCs w:val="24"/>
    </w:rPr>
  </w:style>
  <w:style w:type="paragraph" w:customStyle="1" w:styleId="373">
    <w:name w:val="纯文本1"/>
    <w:basedOn w:val="1"/>
    <w:link w:val="374"/>
    <w:qFormat/>
    <w:uiPriority w:val="0"/>
    <w:rPr>
      <w:rFonts w:ascii="宋体" w:hAnsi="Courier New" w:eastAsia="宋体" w:cs="Times New Roman"/>
      <w:sz w:val="20"/>
      <w:szCs w:val="21"/>
      <w:lang w:eastAsia="en-US"/>
    </w:rPr>
  </w:style>
  <w:style w:type="character" w:customStyle="1" w:styleId="374">
    <w:name w:val="纯文本 Char"/>
    <w:link w:val="373"/>
    <w:qFormat/>
    <w:uiPriority w:val="0"/>
    <w:rPr>
      <w:rFonts w:ascii="宋体" w:hAnsi="Courier New" w:eastAsia="宋体" w:cs="Times New Roman"/>
      <w:szCs w:val="21"/>
      <w:lang w:eastAsia="en-US"/>
    </w:rPr>
  </w:style>
  <w:style w:type="paragraph" w:customStyle="1" w:styleId="375">
    <w:name w:val="目录 811"/>
    <w:basedOn w:val="1"/>
    <w:next w:val="1"/>
    <w:semiHidden/>
    <w:qFormat/>
    <w:uiPriority w:val="0"/>
    <w:pPr>
      <w:ind w:left="1470"/>
      <w:jc w:val="left"/>
    </w:pPr>
    <w:rPr>
      <w:rFonts w:ascii="Times New Roman" w:hAnsi="Times New Roman" w:eastAsia="宋体" w:cs="Times New Roman"/>
      <w:szCs w:val="21"/>
    </w:rPr>
  </w:style>
  <w:style w:type="paragraph" w:customStyle="1" w:styleId="376">
    <w:name w:val="日期1"/>
    <w:basedOn w:val="1"/>
    <w:next w:val="1"/>
    <w:link w:val="377"/>
    <w:qFormat/>
    <w:uiPriority w:val="0"/>
    <w:rPr>
      <w:rFonts w:ascii="Times New Roman" w:hAnsi="Times New Roman" w:eastAsia="宋体" w:cs="Times New Roman"/>
      <w:sz w:val="24"/>
      <w:szCs w:val="24"/>
      <w:lang w:eastAsia="en-US"/>
    </w:rPr>
  </w:style>
  <w:style w:type="character" w:customStyle="1" w:styleId="377">
    <w:name w:val="日期 Char"/>
    <w:link w:val="376"/>
    <w:qFormat/>
    <w:uiPriority w:val="0"/>
    <w:rPr>
      <w:rFonts w:ascii="Times New Roman" w:hAnsi="Times New Roman" w:eastAsia="宋体" w:cs="Times New Roman"/>
      <w:sz w:val="24"/>
      <w:szCs w:val="24"/>
      <w:lang w:eastAsia="en-US"/>
    </w:rPr>
  </w:style>
  <w:style w:type="paragraph" w:customStyle="1" w:styleId="378">
    <w:name w:val="正文文本缩进 21"/>
    <w:basedOn w:val="1"/>
    <w:link w:val="379"/>
    <w:qFormat/>
    <w:uiPriority w:val="0"/>
    <w:pPr>
      <w:ind w:left="630" w:firstLine="645"/>
    </w:pPr>
    <w:rPr>
      <w:rFonts w:ascii="Arial" w:hAnsi="Arial" w:eastAsia="仿宋_GB2312" w:cs="Times New Roman"/>
      <w:sz w:val="32"/>
      <w:szCs w:val="32"/>
      <w:lang w:eastAsia="en-US"/>
    </w:rPr>
  </w:style>
  <w:style w:type="character" w:customStyle="1" w:styleId="379">
    <w:name w:val="正文文本缩进 2 Char"/>
    <w:link w:val="378"/>
    <w:qFormat/>
    <w:uiPriority w:val="0"/>
    <w:rPr>
      <w:rFonts w:ascii="Arial" w:hAnsi="Arial" w:eastAsia="仿宋_GB2312" w:cs="Times New Roman"/>
      <w:sz w:val="32"/>
      <w:szCs w:val="32"/>
      <w:lang w:eastAsia="en-US"/>
    </w:rPr>
  </w:style>
  <w:style w:type="paragraph" w:customStyle="1" w:styleId="380">
    <w:name w:val="批注框文本1"/>
    <w:basedOn w:val="1"/>
    <w:link w:val="381"/>
    <w:semiHidden/>
    <w:qFormat/>
    <w:uiPriority w:val="0"/>
    <w:rPr>
      <w:rFonts w:ascii="Times New Roman" w:hAnsi="Times New Roman" w:eastAsia="宋体" w:cs="Times New Roman"/>
      <w:sz w:val="18"/>
      <w:szCs w:val="18"/>
      <w:lang w:eastAsia="en-US"/>
    </w:rPr>
  </w:style>
  <w:style w:type="character" w:customStyle="1" w:styleId="381">
    <w:name w:val="批注框文本 Char"/>
    <w:link w:val="380"/>
    <w:semiHidden/>
    <w:qFormat/>
    <w:uiPriority w:val="0"/>
    <w:rPr>
      <w:rFonts w:ascii="Times New Roman" w:hAnsi="Times New Roman" w:eastAsia="宋体" w:cs="Times New Roman"/>
      <w:sz w:val="18"/>
      <w:szCs w:val="18"/>
      <w:lang w:eastAsia="en-US"/>
    </w:rPr>
  </w:style>
  <w:style w:type="paragraph" w:customStyle="1" w:styleId="382">
    <w:name w:val="页脚1"/>
    <w:basedOn w:val="1"/>
    <w:link w:val="383"/>
    <w:qFormat/>
    <w:uiPriority w:val="0"/>
    <w:pPr>
      <w:tabs>
        <w:tab w:val="center" w:pos="4153"/>
        <w:tab w:val="right" w:pos="8306"/>
      </w:tabs>
      <w:jc w:val="left"/>
    </w:pPr>
    <w:rPr>
      <w:rFonts w:ascii="Times New Roman" w:hAnsi="Times New Roman" w:eastAsia="宋体" w:cs="Times New Roman"/>
      <w:sz w:val="18"/>
      <w:szCs w:val="18"/>
      <w:lang w:eastAsia="en-US"/>
    </w:rPr>
  </w:style>
  <w:style w:type="character" w:customStyle="1" w:styleId="383">
    <w:name w:val="页脚 Char"/>
    <w:link w:val="382"/>
    <w:qFormat/>
    <w:uiPriority w:val="0"/>
    <w:rPr>
      <w:rFonts w:ascii="Times New Roman" w:hAnsi="Times New Roman" w:eastAsia="宋体" w:cs="Times New Roman"/>
      <w:sz w:val="18"/>
      <w:szCs w:val="18"/>
      <w:lang w:eastAsia="en-US"/>
    </w:rPr>
  </w:style>
  <w:style w:type="paragraph" w:customStyle="1" w:styleId="384">
    <w:name w:val="页眉1"/>
    <w:basedOn w:val="1"/>
    <w:link w:val="385"/>
    <w:qFormat/>
    <w:uiPriority w:val="99"/>
    <w:pPr>
      <w:pBdr>
        <w:bottom w:val="single" w:color="000000" w:sz="6" w:space="1"/>
      </w:pBdr>
      <w:tabs>
        <w:tab w:val="center" w:pos="4153"/>
        <w:tab w:val="right" w:pos="8306"/>
      </w:tabs>
      <w:jc w:val="center"/>
    </w:pPr>
    <w:rPr>
      <w:rFonts w:ascii="Times New Roman" w:hAnsi="Times New Roman" w:eastAsia="宋体" w:cs="Times New Roman"/>
      <w:sz w:val="18"/>
      <w:szCs w:val="18"/>
      <w:lang w:eastAsia="en-US"/>
    </w:rPr>
  </w:style>
  <w:style w:type="character" w:customStyle="1" w:styleId="385">
    <w:name w:val="页眉 Char"/>
    <w:link w:val="384"/>
    <w:qFormat/>
    <w:uiPriority w:val="99"/>
    <w:rPr>
      <w:rFonts w:ascii="Times New Roman" w:hAnsi="Times New Roman" w:eastAsia="宋体" w:cs="Times New Roman"/>
      <w:sz w:val="18"/>
      <w:szCs w:val="18"/>
      <w:lang w:eastAsia="en-US"/>
    </w:rPr>
  </w:style>
  <w:style w:type="paragraph" w:customStyle="1" w:styleId="386">
    <w:name w:val="目录 11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387">
    <w:name w:val="目录 411"/>
    <w:basedOn w:val="1"/>
    <w:next w:val="1"/>
    <w:semiHidden/>
    <w:qFormat/>
    <w:uiPriority w:val="0"/>
    <w:pPr>
      <w:ind w:left="630"/>
      <w:jc w:val="left"/>
    </w:pPr>
    <w:rPr>
      <w:rFonts w:ascii="Times New Roman" w:hAnsi="Times New Roman" w:eastAsia="宋体" w:cs="Times New Roman"/>
      <w:szCs w:val="21"/>
    </w:rPr>
  </w:style>
  <w:style w:type="paragraph" w:customStyle="1" w:styleId="388">
    <w:name w:val="列表1"/>
    <w:basedOn w:val="1"/>
    <w:qFormat/>
    <w:uiPriority w:val="0"/>
    <w:pPr>
      <w:ind w:left="200" w:hanging="200"/>
    </w:pPr>
    <w:rPr>
      <w:rFonts w:ascii="Times New Roman" w:hAnsi="Times New Roman" w:eastAsia="宋体" w:cs="Times New Roman"/>
      <w:szCs w:val="21"/>
    </w:rPr>
  </w:style>
  <w:style w:type="paragraph" w:customStyle="1" w:styleId="389">
    <w:name w:val="目录 611"/>
    <w:basedOn w:val="1"/>
    <w:next w:val="1"/>
    <w:semiHidden/>
    <w:qFormat/>
    <w:uiPriority w:val="0"/>
    <w:pPr>
      <w:ind w:left="1050"/>
      <w:jc w:val="left"/>
    </w:pPr>
    <w:rPr>
      <w:rFonts w:ascii="Times New Roman" w:hAnsi="Times New Roman" w:eastAsia="宋体" w:cs="Times New Roman"/>
      <w:szCs w:val="21"/>
    </w:rPr>
  </w:style>
  <w:style w:type="paragraph" w:customStyle="1" w:styleId="390">
    <w:name w:val="正文文本缩进 31"/>
    <w:basedOn w:val="1"/>
    <w:link w:val="391"/>
    <w:qFormat/>
    <w:uiPriority w:val="0"/>
    <w:pPr>
      <w:ind w:left="645" w:firstLine="645"/>
    </w:pPr>
    <w:rPr>
      <w:rFonts w:ascii="Arial" w:hAnsi="Arial" w:eastAsia="仿宋_GB2312" w:cs="Times New Roman"/>
      <w:color w:val="FFFF00"/>
      <w:sz w:val="32"/>
      <w:szCs w:val="32"/>
      <w:lang w:eastAsia="en-US"/>
    </w:rPr>
  </w:style>
  <w:style w:type="character" w:customStyle="1" w:styleId="391">
    <w:name w:val="正文文本缩进 3 Char"/>
    <w:link w:val="390"/>
    <w:qFormat/>
    <w:uiPriority w:val="0"/>
    <w:rPr>
      <w:rFonts w:ascii="Arial" w:hAnsi="Arial" w:eastAsia="仿宋_GB2312" w:cs="Times New Roman"/>
      <w:color w:val="FFFF00"/>
      <w:sz w:val="32"/>
      <w:szCs w:val="32"/>
      <w:lang w:eastAsia="en-US"/>
    </w:rPr>
  </w:style>
  <w:style w:type="paragraph" w:customStyle="1" w:styleId="392">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393">
    <w:name w:val="目录 211"/>
    <w:basedOn w:val="1"/>
    <w:next w:val="1"/>
    <w:semiHidden/>
    <w:qFormat/>
    <w:uiPriority w:val="0"/>
    <w:pPr>
      <w:ind w:left="210"/>
      <w:jc w:val="left"/>
    </w:pPr>
    <w:rPr>
      <w:rFonts w:ascii="Times New Roman" w:hAnsi="Times New Roman" w:eastAsia="宋体" w:cs="Times New Roman"/>
      <w:smallCaps/>
      <w:szCs w:val="24"/>
    </w:rPr>
  </w:style>
  <w:style w:type="paragraph" w:customStyle="1" w:styleId="394">
    <w:name w:val="目录 911"/>
    <w:basedOn w:val="1"/>
    <w:next w:val="1"/>
    <w:semiHidden/>
    <w:qFormat/>
    <w:uiPriority w:val="0"/>
    <w:pPr>
      <w:ind w:left="1680"/>
      <w:jc w:val="left"/>
    </w:pPr>
    <w:rPr>
      <w:rFonts w:ascii="Times New Roman" w:hAnsi="Times New Roman" w:eastAsia="宋体" w:cs="Times New Roman"/>
      <w:szCs w:val="21"/>
    </w:rPr>
  </w:style>
  <w:style w:type="paragraph" w:customStyle="1" w:styleId="395">
    <w:name w:val="正文文本 21"/>
    <w:basedOn w:val="1"/>
    <w:link w:val="396"/>
    <w:qFormat/>
    <w:uiPriority w:val="0"/>
    <w:pPr>
      <w:widowControl/>
      <w:jc w:val="center"/>
    </w:pPr>
    <w:rPr>
      <w:rFonts w:ascii="楷体_GB2312" w:hAnsi="Times New Roman" w:eastAsia="楷体_GB2312" w:cs="Times New Roman"/>
      <w:sz w:val="28"/>
      <w:szCs w:val="28"/>
      <w:lang w:eastAsia="en-US"/>
    </w:rPr>
  </w:style>
  <w:style w:type="character" w:customStyle="1" w:styleId="396">
    <w:name w:val="正文文本 2 Char"/>
    <w:link w:val="395"/>
    <w:qFormat/>
    <w:uiPriority w:val="0"/>
    <w:rPr>
      <w:rFonts w:ascii="楷体_GB2312" w:hAnsi="Times New Roman" w:eastAsia="楷体_GB2312" w:cs="Times New Roman"/>
      <w:sz w:val="28"/>
      <w:szCs w:val="28"/>
      <w:lang w:eastAsia="en-US"/>
    </w:rPr>
  </w:style>
  <w:style w:type="paragraph" w:customStyle="1" w:styleId="39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398">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399">
    <w:name w:val="批注主题1"/>
    <w:basedOn w:val="362"/>
    <w:next w:val="362"/>
    <w:link w:val="400"/>
    <w:semiHidden/>
    <w:qFormat/>
    <w:uiPriority w:val="0"/>
    <w:rPr>
      <w:b/>
      <w:bCs/>
    </w:rPr>
  </w:style>
  <w:style w:type="character" w:customStyle="1" w:styleId="400">
    <w:name w:val="批注主题 Char"/>
    <w:link w:val="399"/>
    <w:semiHidden/>
    <w:qFormat/>
    <w:uiPriority w:val="0"/>
    <w:rPr>
      <w:rFonts w:ascii="Times New Roman" w:hAnsi="Times New Roman" w:eastAsia="宋体" w:cs="Times New Roman"/>
      <w:b/>
      <w:bCs/>
      <w:szCs w:val="21"/>
      <w:lang w:eastAsia="en-US"/>
    </w:rPr>
  </w:style>
  <w:style w:type="paragraph" w:customStyle="1" w:styleId="401">
    <w:name w:val="正文首行缩进1"/>
    <w:basedOn w:val="1"/>
    <w:link w:val="402"/>
    <w:qFormat/>
    <w:uiPriority w:val="0"/>
    <w:pPr>
      <w:spacing w:line="360" w:lineRule="auto"/>
      <w:ind w:firstLine="200"/>
    </w:pPr>
    <w:rPr>
      <w:rFonts w:ascii="仿宋_GB2312" w:hAnsi="Times New Roman" w:eastAsia="仿宋_GB2312" w:cs="Times New Roman"/>
      <w:sz w:val="30"/>
      <w:szCs w:val="30"/>
      <w:lang w:eastAsia="en-US"/>
    </w:rPr>
  </w:style>
  <w:style w:type="character" w:customStyle="1" w:styleId="402">
    <w:name w:val="正文首行缩进 Char"/>
    <w:link w:val="401"/>
    <w:qFormat/>
    <w:uiPriority w:val="0"/>
    <w:rPr>
      <w:rFonts w:ascii="仿宋_GB2312" w:hAnsi="Times New Roman" w:eastAsia="仿宋_GB2312" w:cs="Times New Roman"/>
      <w:sz w:val="30"/>
      <w:szCs w:val="30"/>
      <w:lang w:eastAsia="en-US"/>
    </w:rPr>
  </w:style>
  <w:style w:type="paragraph" w:customStyle="1" w:styleId="403">
    <w:name w:val="正文首行缩进 21"/>
    <w:basedOn w:val="368"/>
    <w:link w:val="404"/>
    <w:qFormat/>
    <w:uiPriority w:val="0"/>
    <w:pPr>
      <w:spacing w:line="360" w:lineRule="auto"/>
      <w:ind w:firstLine="420"/>
    </w:pPr>
    <w:rPr>
      <w:rFonts w:ascii="宋体" w:hAnsi="宋体" w:eastAsia="宋体"/>
      <w:szCs w:val="20"/>
    </w:rPr>
  </w:style>
  <w:style w:type="character" w:customStyle="1" w:styleId="404">
    <w:name w:val="正文首行缩进 2 Char"/>
    <w:link w:val="403"/>
    <w:qFormat/>
    <w:uiPriority w:val="0"/>
    <w:rPr>
      <w:rFonts w:ascii="宋体" w:hAnsi="宋体" w:eastAsia="宋体" w:cs="Times New Roman"/>
      <w:sz w:val="32"/>
      <w:lang w:eastAsia="en-US"/>
    </w:rPr>
  </w:style>
  <w:style w:type="character" w:customStyle="1" w:styleId="405">
    <w:name w:val="要点1"/>
    <w:qFormat/>
    <w:uiPriority w:val="0"/>
    <w:rPr>
      <w:b/>
      <w:bCs/>
    </w:rPr>
  </w:style>
  <w:style w:type="character" w:customStyle="1" w:styleId="406">
    <w:name w:val="页码1"/>
    <w:qFormat/>
    <w:uiPriority w:val="0"/>
  </w:style>
  <w:style w:type="character" w:customStyle="1" w:styleId="407">
    <w:name w:val="已访问的超链接1"/>
    <w:qFormat/>
    <w:uiPriority w:val="0"/>
    <w:rPr>
      <w:color w:val="800080"/>
      <w:u w:val="single"/>
    </w:rPr>
  </w:style>
  <w:style w:type="character" w:customStyle="1" w:styleId="408">
    <w:name w:val="HTML 打字机1"/>
    <w:qFormat/>
    <w:uiPriority w:val="99"/>
    <w:rPr>
      <w:rFonts w:ascii="宋体" w:hAnsi="宋体" w:eastAsia="宋体" w:cs="宋体"/>
      <w:sz w:val="24"/>
      <w:szCs w:val="24"/>
    </w:rPr>
  </w:style>
  <w:style w:type="character" w:customStyle="1" w:styleId="409">
    <w:name w:val="超链接1"/>
    <w:qFormat/>
    <w:uiPriority w:val="0"/>
    <w:rPr>
      <w:color w:val="0000FF"/>
      <w:u w:val="single"/>
    </w:rPr>
  </w:style>
  <w:style w:type="character" w:customStyle="1" w:styleId="410">
    <w:name w:val="批注引用1"/>
    <w:semiHidden/>
    <w:qFormat/>
    <w:uiPriority w:val="0"/>
    <w:rPr>
      <w:rFonts w:hint="default" w:asciiTheme="minorHAnsi" w:hAnsiTheme="minorHAnsi" w:eastAsiaTheme="minorEastAsia" w:cstheme="minorBidi"/>
      <w:sz w:val="21"/>
      <w:szCs w:val="22"/>
    </w:rPr>
  </w:style>
  <w:style w:type="character" w:customStyle="1" w:styleId="411">
    <w:name w:val="二级目录 Char"/>
    <w:link w:val="412"/>
    <w:qFormat/>
    <w:uiPriority w:val="0"/>
    <w:rPr>
      <w:b/>
      <w:sz w:val="30"/>
      <w:szCs w:val="28"/>
    </w:rPr>
  </w:style>
  <w:style w:type="paragraph" w:customStyle="1" w:styleId="412">
    <w:name w:val="二级目录"/>
    <w:next w:val="1"/>
    <w:link w:val="411"/>
    <w:qFormat/>
    <w:uiPriority w:val="0"/>
    <w:pPr>
      <w:numPr>
        <w:ilvl w:val="0"/>
        <w:numId w:val="4"/>
      </w:numPr>
      <w:tabs>
        <w:tab w:val="left" w:pos="1145"/>
        <w:tab w:val="clear" w:pos="907"/>
      </w:tabs>
      <w:outlineLvl w:val="1"/>
    </w:pPr>
    <w:rPr>
      <w:rFonts w:hint="default" w:asciiTheme="minorHAnsi" w:hAnsiTheme="minorHAnsi" w:eastAsiaTheme="minorEastAsia" w:cstheme="minorBidi"/>
      <w:b/>
      <w:sz w:val="30"/>
      <w:szCs w:val="28"/>
      <w:lang w:val="en-US" w:eastAsia="zh-CN" w:bidi="ar-SA"/>
    </w:rPr>
  </w:style>
  <w:style w:type="character" w:customStyle="1" w:styleId="413">
    <w:name w:val="列出段落 Char"/>
    <w:link w:val="99"/>
    <w:qFormat/>
    <w:uiPriority w:val="0"/>
    <w:rPr>
      <w:rFonts w:ascii="Calibri" w:hAnsi="Calibri" w:eastAsia="宋体" w:cs="Times New Roman"/>
      <w:sz w:val="24"/>
      <w:szCs w:val="22"/>
    </w:rPr>
  </w:style>
  <w:style w:type="paragraph" w:customStyle="1" w:styleId="414">
    <w:name w:val="Body Text(ch)"/>
    <w:basedOn w:val="1"/>
    <w:next w:val="366"/>
    <w:qFormat/>
    <w:uiPriority w:val="0"/>
    <w:pPr>
      <w:spacing w:after="120"/>
    </w:pPr>
    <w:rPr>
      <w:rFonts w:ascii="宋体" w:hAnsi="Arial" w:eastAsia="宋体" w:cs="Times New Roman"/>
      <w:bCs/>
      <w:iCs/>
      <w:szCs w:val="24"/>
    </w:rPr>
  </w:style>
  <w:style w:type="paragraph" w:customStyle="1" w:styleId="415">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416">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417">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19">
    <w:name w:val="列出段落21"/>
    <w:basedOn w:val="1"/>
    <w:qFormat/>
    <w:uiPriority w:val="99"/>
    <w:pPr>
      <w:widowControl/>
      <w:ind w:left="720"/>
      <w:contextualSpacing/>
      <w:jc w:val="left"/>
    </w:pPr>
    <w:rPr>
      <w:rFonts w:ascii="Calibri" w:hAnsi="Calibri" w:eastAsia="宋体" w:cs="Times New Roman"/>
      <w:sz w:val="24"/>
      <w:szCs w:val="24"/>
      <w:lang w:eastAsia="en-US" w:bidi="en-US"/>
    </w:rPr>
  </w:style>
  <w:style w:type="paragraph" w:customStyle="1" w:styleId="420">
    <w:name w:val="4"/>
    <w:basedOn w:val="1"/>
    <w:next w:val="390"/>
    <w:qFormat/>
    <w:uiPriority w:val="0"/>
    <w:pPr>
      <w:spacing w:line="360" w:lineRule="auto"/>
      <w:ind w:firstLine="420"/>
    </w:pPr>
    <w:rPr>
      <w:rFonts w:ascii="Times New Roman" w:hAnsi="Times New Roman" w:eastAsia="宋体" w:cs="Times New Roman"/>
      <w:color w:val="FF0000"/>
      <w:sz w:val="24"/>
      <w:szCs w:val="24"/>
    </w:rPr>
  </w:style>
  <w:style w:type="paragraph" w:customStyle="1" w:styleId="42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422">
    <w:name w:val="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423">
    <w:name w:val="样式1"/>
    <w:basedOn w:val="1"/>
    <w:qFormat/>
    <w:uiPriority w:val="0"/>
    <w:pPr>
      <w:numPr>
        <w:ilvl w:val="0"/>
        <w:numId w:val="5"/>
      </w:numPr>
    </w:pPr>
    <w:rPr>
      <w:rFonts w:ascii="宋体" w:hAnsi="宋体" w:eastAsia="宋体" w:cs="Times New Roman"/>
      <w:szCs w:val="21"/>
    </w:rPr>
  </w:style>
  <w:style w:type="paragraph" w:customStyle="1" w:styleId="42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42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426">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427">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42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429">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30">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31">
    <w:name w:val="目录 111"/>
    <w:basedOn w:val="1"/>
    <w:next w:val="1"/>
    <w:unhideWhenUsed/>
    <w:qFormat/>
    <w:uiPriority w:val="39"/>
    <w:pPr>
      <w:widowControl/>
      <w:spacing w:after="100" w:line="259" w:lineRule="auto"/>
      <w:jc w:val="left"/>
    </w:pPr>
    <w:rPr>
      <w:rFonts w:ascii="Calibri" w:hAnsi="Calibri" w:eastAsia="宋体" w:cs="Times New Roman"/>
      <w:sz w:val="22"/>
    </w:rPr>
  </w:style>
  <w:style w:type="table" w:customStyle="1" w:styleId="432">
    <w:name w:val="网格型5"/>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33">
    <w:name w:val="a0"/>
    <w:basedOn w:val="1"/>
    <w:qFormat/>
    <w:uiPriority w:val="0"/>
    <w:pPr>
      <w:widowControl/>
      <w:spacing w:before="100" w:beforeAutospacing="1" w:after="100" w:afterAutospacing="1"/>
      <w:jc w:val="left"/>
    </w:pPr>
    <w:rPr>
      <w:rFonts w:ascii="宋体" w:hAnsi="宋体" w:cs="宋体"/>
    </w:rPr>
  </w:style>
  <w:style w:type="character" w:customStyle="1" w:styleId="434">
    <w:name w:val="NormalCharacter"/>
    <w:qFormat/>
    <w:uiPriority w:val="0"/>
  </w:style>
  <w:style w:type="paragraph" w:customStyle="1" w:styleId="435">
    <w:name w:val="_Style 1"/>
    <w:basedOn w:val="1"/>
    <w:qFormat/>
    <w:uiPriority w:val="34"/>
    <w:pPr>
      <w:ind w:firstLine="420"/>
    </w:pPr>
    <w:rPr>
      <w:rFonts w:ascii="Calibri" w:hAnsi="Calibri"/>
    </w:rPr>
  </w:style>
  <w:style w:type="paragraph" w:customStyle="1" w:styleId="436">
    <w:name w:val="UserStyle_0"/>
    <w:basedOn w:val="1"/>
    <w:qFormat/>
    <w:uiPriority w:val="0"/>
    <w:pPr>
      <w:widowControl/>
      <w:spacing w:after="120"/>
      <w:ind w:left="420" w:firstLine="420"/>
    </w:pPr>
    <w:rPr>
      <w:rFonts w:ascii="Times New Roman" w:hAnsi="Times New Roman"/>
      <w:szCs w:val="20"/>
    </w:rPr>
  </w:style>
  <w:style w:type="paragraph" w:customStyle="1" w:styleId="437">
    <w:name w:val="UserStyle_87"/>
    <w:basedOn w:val="1"/>
    <w:qFormat/>
    <w:uiPriority w:val="0"/>
    <w:pPr>
      <w:widowControl/>
      <w:ind w:firstLine="420"/>
    </w:pPr>
  </w:style>
  <w:style w:type="character" w:customStyle="1" w:styleId="438">
    <w:name w:val="UserStyle_88"/>
    <w:qFormat/>
    <w:uiPriority w:val="0"/>
  </w:style>
  <w:style w:type="paragraph" w:customStyle="1" w:styleId="439">
    <w:name w:val="BodyText1I2"/>
    <w:basedOn w:val="1"/>
    <w:qFormat/>
    <w:uiPriority w:val="0"/>
    <w:pPr>
      <w:spacing w:after="120"/>
      <w:ind w:left="420" w:firstLine="420"/>
    </w:pPr>
    <w:rPr>
      <w:rFonts w:ascii="Times New Roman" w:hAnsi="Times New Roman"/>
      <w:szCs w:val="20"/>
    </w:rPr>
  </w:style>
  <w:style w:type="character" w:customStyle="1" w:styleId="440">
    <w:name w:val="CharAttribute7"/>
    <w:qFormat/>
    <w:uiPriority w:val="0"/>
    <w:rPr>
      <w:rFonts w:hint="default" w:ascii="Calibri" w:hAnsi="Calibri" w:eastAsia="Calibri" w:cs="Calibri"/>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LenovoCop</Company>
  <Pages>56</Pages>
  <Words>33941</Words>
  <Characters>35785</Characters>
  <Lines>0</Lines>
  <Paragraphs>0</Paragraphs>
  <TotalTime>22</TotalTime>
  <ScaleCrop>false</ScaleCrop>
  <LinksUpToDate>false</LinksUpToDate>
  <CharactersWithSpaces>36870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2024-11-20T02:26:00Z</dcterms:created>
  <dc:creator>黄炜</dc:creator>
  <cp:lastModifiedBy>陈裕</cp:lastModifiedBy>
  <dcterms:modified xsi:type="dcterms:W3CDTF">2025-11-21T01:15:52Z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FB053F098D5446189806742607D3BB01_13</vt:lpwstr>
  </property>
  <property fmtid="{D5CDD505-2E9C-101B-9397-08002B2CF9AE}" pid="4" name="KSOTemplateDocerSaveRecord">
    <vt:lpwstr>eyJoZGlkIjoiNzQ2ZGJiMTZkMWExZDk2YWQyMzQ5OGM2ZDBhMjFlOTIiLCJ1c2VySWQiOiI0MzU1NzUzNzQifQ==</vt:lpwstr>
  </property>
</Properties>
</file>