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7"/>
        <w:ind w:firstLine="0"/>
        <w:rPr>
          <w:rFonts w:hint="eastAsia" w:eastAsia="黑体"/>
          <w:b/>
          <w:bCs/>
          <w:color w:val="auto"/>
          <w:sz w:val="84"/>
          <w:highlight w:val="none"/>
          <w:shd w:val="clear" w:color="ffffff" w:fill="d9d9d9"/>
        </w:rPr>
      </w:pPr>
      <w:r>
        <w:rPr>
          <w:rFonts w:hint="eastAsia" w:eastAsia="黑体"/>
          <w:b/>
          <w:bCs/>
          <w:color w:val="auto"/>
          <w:sz w:val="84"/>
          <w:highlight w:val="none"/>
          <w:shd w:val="clear" w:color="ffffff" w:fill="d9d9d9"/>
        </w:rPr>
      </w:r>
      <w:r>
        <w:rPr>
          <w:color w:val="auto"/>
          <w:highlight w:val="none"/>
        </w:rPr>
      </w:r>
    </w:p>
    <w:p>
      <w:pPr>
        <w:pStyle w:val="1017"/>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 开 招 标 文 件</w:t>
      </w:r>
      <w:r>
        <w:rPr>
          <w:color w:val="auto"/>
          <w:highlight w:val="none"/>
        </w:rPr>
      </w:r>
    </w:p>
    <w:p>
      <w:pPr>
        <w:pStyle w:val="1017"/>
        <w:ind w:firstLine="0"/>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r>
      <w:r>
        <w:rPr>
          <w:color w:val="auto"/>
          <w:highlight w:val="none"/>
        </w:rPr>
      </w:r>
    </w:p>
    <w:p>
      <w:pPr>
        <w:pStyle w:val="1017"/>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rPr>
          <w:color w:val="auto"/>
          <w:highlight w:val="none"/>
        </w:rPr>
      </w:r>
    </w:p>
    <w:p>
      <w:pPr>
        <w:pStyle w:val="1017"/>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rPr>
          <w:color w:val="auto"/>
          <w:highlight w:val="none"/>
        </w:rPr>
      </w:r>
    </w:p>
    <w:p>
      <w:pPr>
        <w:pStyle w:val="1017"/>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rPr>
          <w:color w:val="auto"/>
          <w:highlight w:val="none"/>
        </w:rPr>
      </w:r>
    </w:p>
    <w:p>
      <w:pPr>
        <w:pStyle w:val="929"/>
        <w:ind w:firstLine="1920"/>
        <w:jc w:val="left"/>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rPr>
        <w:t xml:space="preserve">JSZC-320200-JZCG-G2024-0135</w:t>
      </w:r>
      <w:r>
        <w:rPr>
          <w:rFonts w:ascii="黑体" w:hAnsi="华文中宋" w:eastAsia="黑体"/>
          <w:bCs/>
          <w:color w:val="auto"/>
          <w:sz w:val="32"/>
          <w:szCs w:val="32"/>
          <w:highlight w:val="none"/>
        </w:rPr>
      </w:r>
      <w:r>
        <w:rPr>
          <w:color w:val="auto"/>
          <w:highlight w:val="none"/>
        </w:rPr>
      </w:r>
    </w:p>
    <w:p>
      <w:pPr>
        <w:pStyle w:val="929"/>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rPr>
        <w:t xml:space="preserve">数字化校园管理提升项目</w:t>
      </w:r>
      <w:r>
        <w:rPr>
          <w:rFonts w:hint="eastAsia" w:ascii="黑体" w:hAnsi="华文中宋" w:eastAsia="黑体"/>
          <w:bCs/>
          <w:color w:val="auto"/>
          <w:sz w:val="32"/>
          <w:szCs w:val="32"/>
          <w:highlight w:val="none"/>
        </w:rPr>
      </w:r>
      <w:r>
        <w:rPr>
          <w:color w:val="auto"/>
          <w:highlight w:val="none"/>
        </w:rPr>
      </w:r>
    </w:p>
    <w:p>
      <w:pPr>
        <w:pStyle w:val="929"/>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rPr>
        <w:t xml:space="preserve">无锡卫生高等职业技术学校</w:t>
      </w:r>
      <w:r>
        <w:rPr>
          <w:rFonts w:hint="eastAsia" w:ascii="黑体" w:hAnsi="华文中宋" w:eastAsia="黑体"/>
          <w:bCs/>
          <w:color w:val="auto"/>
          <w:sz w:val="32"/>
          <w:szCs w:val="32"/>
          <w:highlight w:val="none"/>
        </w:rPr>
      </w:r>
      <w:r>
        <w:rPr>
          <w:color w:val="auto"/>
          <w:highlight w:val="none"/>
        </w:rPr>
      </w:r>
    </w:p>
    <w:p>
      <w:pPr>
        <w:pStyle w:val="929"/>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rPr>
          <w:color w:val="auto"/>
          <w:highlight w:val="none"/>
        </w:rPr>
      </w:r>
    </w:p>
    <w:p>
      <w:pPr>
        <w:pStyle w:val="1017"/>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rPr>
          <w:color w:val="auto"/>
          <w:highlight w:val="none"/>
        </w:rPr>
      </w:r>
    </w:p>
    <w:p>
      <w:pPr>
        <w:pStyle w:val="1017"/>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rPr>
          <w:color w:val="auto"/>
          <w:highlight w:val="none"/>
        </w:rPr>
      </w:r>
    </w:p>
    <w:p>
      <w:pPr>
        <w:pStyle w:val="1017"/>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rPr>
          <w:color w:val="auto"/>
          <w:highlight w:val="none"/>
        </w:rPr>
      </w:r>
    </w:p>
    <w:p>
      <w:pPr>
        <w:pStyle w:val="1017"/>
        <w:ind w:firstLine="0"/>
        <w:jc w:val="center"/>
        <w:spacing w:before="0" w:after="0"/>
        <w:rPr>
          <w:rFonts w:hint="eastAsia" w:ascii="宋体" w:hAnsi="宋体"/>
          <w:color w:val="auto"/>
          <w:sz w:val="32"/>
          <w:szCs w:val="32"/>
          <w:highlight w:val="none"/>
          <w:shd w:val="clear" w:color="ffffff" w:fill="d9d9d9"/>
        </w:rPr>
      </w:pPr>
      <w:r>
        <w:rPr>
          <w:rFonts w:hint="eastAsia" w:ascii="黑体" w:hAnsi="华文中宋" w:eastAsia="黑体"/>
          <w:bCs/>
          <w:color w:val="auto"/>
          <w:sz w:val="32"/>
          <w:szCs w:val="32"/>
          <w:highlight w:val="none"/>
        </w:rPr>
        <w:t xml:space="preserve">采购代理机构：无锡市公共资源交易中心</w:t>
      </w:r>
      <w:r>
        <w:rPr>
          <w:rFonts w:hint="eastAsia" w:ascii="宋体" w:hAnsi="宋体"/>
          <w:color w:val="auto"/>
          <w:sz w:val="32"/>
          <w:szCs w:val="32"/>
          <w:highlight w:val="none"/>
          <w:shd w:val="clear" w:color="ffffff" w:fill="d9d9d9"/>
        </w:rPr>
      </w:r>
      <w:r>
        <w:rPr>
          <w:color w:val="auto"/>
          <w:highlight w:val="none"/>
        </w:rPr>
      </w:r>
    </w:p>
    <w:p>
      <w:pPr>
        <w:pStyle w:val="1017"/>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rPr>
        <w:t xml:space="preserve">四</w:t>
      </w:r>
      <w:r>
        <w:rPr>
          <w:rFonts w:hint="eastAsia" w:ascii="黑体" w:hAnsi="华文中宋" w:eastAsia="黑体"/>
          <w:bCs/>
          <w:color w:val="auto"/>
          <w:sz w:val="32"/>
          <w:szCs w:val="32"/>
          <w:highlight w:val="none"/>
        </w:rPr>
        <w:t xml:space="preserve">年七月</w:t>
      </w:r>
      <w:r>
        <w:rPr>
          <w:rFonts w:ascii="黑体" w:hAnsi="华文中宋" w:eastAsia="黑体"/>
          <w:bCs/>
          <w:color w:val="auto"/>
          <w:sz w:val="32"/>
          <w:szCs w:val="32"/>
          <w:highlight w:val="none"/>
        </w:rPr>
      </w:r>
      <w:r>
        <w:rPr>
          <w:color w:val="auto"/>
          <w:highlight w:val="none"/>
        </w:rPr>
      </w:r>
    </w:p>
    <w:p>
      <w:pPr>
        <w:pStyle w:val="1017"/>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rPr>
          <w:color w:val="auto"/>
          <w:highlight w:val="none"/>
        </w:rPr>
      </w:r>
      <w:bookmarkStart w:id="1" w:name="_Toc479757206"/>
      <w:r>
        <w:rPr>
          <w:color w:val="auto"/>
          <w:highlight w:val="none"/>
        </w:rPr>
      </w:r>
      <w:bookmarkStart w:id="2" w:name="_Toc513029200"/>
      <w:r>
        <w:rPr>
          <w:color w:val="auto"/>
          <w:highlight w:val="none"/>
        </w:rPr>
      </w:r>
      <w:bookmarkStart w:id="3" w:name="_Toc523127445"/>
      <w:r>
        <w:rPr>
          <w:color w:val="auto"/>
          <w:highlight w:val="none"/>
        </w:rPr>
      </w:r>
      <w:bookmarkStart w:id="4" w:name="_Toc20823272"/>
      <w:r>
        <w:rPr>
          <w:color w:val="auto"/>
          <w:highlight w:val="none"/>
        </w:rPr>
      </w:r>
      <w:bookmarkStart w:id="5" w:name="_Toc16938516"/>
      <w:r>
        <w:rPr>
          <w:rFonts w:hint="eastAsia" w:ascii="黑体" w:hAnsi="黑体" w:eastAsia="黑体"/>
          <w:color w:val="auto"/>
          <w:sz w:val="36"/>
          <w:szCs w:val="36"/>
          <w:highlight w:val="none"/>
        </w:rPr>
        <w:t xml:space="preserve">总  目  录</w:t>
      </w:r>
      <w:r>
        <w:rPr>
          <w:color w:val="auto"/>
          <w:highlight w:val="none"/>
        </w:rPr>
      </w:r>
    </w:p>
    <w:p>
      <w:pPr>
        <w:pStyle w:val="929"/>
        <w:jc w:val="center"/>
        <w:spacing w:line="480" w:lineRule="auto"/>
        <w:rPr>
          <w:rFonts w:hint="eastAsia" w:ascii="黑体" w:hAnsi="Arial" w:eastAsia="黑体"/>
          <w:color w:val="auto"/>
          <w:sz w:val="44"/>
          <w:highlight w:val="none"/>
        </w:rPr>
        <w:outlineLvl w:val="0"/>
      </w:pPr>
      <w:r>
        <w:rPr>
          <w:rFonts w:hint="eastAsia" w:ascii="黑体" w:hAnsi="Arial" w:eastAsia="黑体"/>
          <w:color w:val="auto"/>
          <w:sz w:val="44"/>
          <w:highlight w:val="none"/>
        </w:rPr>
      </w:r>
      <w:r>
        <w:rPr>
          <w:color w:val="auto"/>
          <w:highlight w:val="none"/>
        </w:rPr>
      </w:r>
    </w:p>
    <w:p>
      <w:pPr>
        <w:pStyle w:val="929"/>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color w:val="auto"/>
          <w:highlight w:val="none"/>
        </w:rPr>
      </w:r>
    </w:p>
    <w:p>
      <w:pPr>
        <w:pStyle w:val="929"/>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color w:val="auto"/>
          <w:highlight w:val="none"/>
        </w:rPr>
      </w:r>
    </w:p>
    <w:p>
      <w:pPr>
        <w:pStyle w:val="929"/>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rPr>
          <w:color w:val="auto"/>
          <w:highlight w:val="none"/>
        </w:rPr>
      </w:r>
    </w:p>
    <w:p>
      <w:pPr>
        <w:pStyle w:val="929"/>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color w:val="auto"/>
          <w:highlight w:val="none"/>
        </w:rPr>
      </w:r>
    </w:p>
    <w:p>
      <w:pPr>
        <w:pStyle w:val="929"/>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color w:val="auto"/>
          <w:highlight w:val="none"/>
        </w:rPr>
      </w:r>
    </w:p>
    <w:p>
      <w:pPr>
        <w:pStyle w:val="929"/>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rPr>
          <w:color w:val="auto"/>
          <w:highlight w:val="none"/>
        </w:rPr>
      </w:r>
    </w:p>
    <w:p>
      <w:pPr>
        <w:pStyle w:val="929"/>
        <w:jc w:val="center"/>
        <w:spacing w:line="500" w:lineRule="exact"/>
        <w:tabs>
          <w:tab w:val="left" w:pos="1440" w:leader="none"/>
        </w:tabs>
        <w:rPr>
          <w:rFonts w:hint="eastAsia"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r>
        <w:rPr>
          <w:color w:val="auto"/>
          <w:highlight w:val="none"/>
        </w:rPr>
      </w:r>
    </w:p>
    <w:p>
      <w:pPr>
        <w:pStyle w:val="929"/>
        <w:ind w:firstLine="480"/>
        <w:spacing w:line="500" w:lineRule="exact"/>
        <w:rPr>
          <w:rFonts w:ascii="宋体" w:hAnsi="宋体"/>
          <w:color w:val="auto"/>
          <w:sz w:val="24"/>
          <w:szCs w:val="24"/>
          <w:highlight w:val="none"/>
          <w:shd w:val="clear" w:color="ffffff" w:fill="d9d9d9"/>
        </w:rPr>
      </w:pPr>
      <w:r>
        <w:rPr>
          <w:color w:val="auto"/>
          <w:highlight w:val="none"/>
        </w:rPr>
      </w:r>
      <w:bookmarkEnd w:id="0"/>
      <w:r>
        <w:rPr>
          <w:rFonts w:hint="eastAsia" w:ascii="宋体" w:hAnsi="宋体"/>
          <w:color w:val="auto"/>
          <w:sz w:val="24"/>
          <w:szCs w:val="24"/>
          <w:highlight w:val="none"/>
        </w:rPr>
        <w:t xml:space="preserve">受</w:t>
      </w:r>
      <w:r>
        <w:rPr>
          <w:rFonts w:hint="eastAsia" w:ascii="宋体" w:hAnsi="宋体"/>
          <w:color w:val="auto"/>
          <w:sz w:val="24"/>
          <w:szCs w:val="24"/>
          <w:highlight w:val="none"/>
        </w:rPr>
        <w:t xml:space="preserve">无锡卫生高等职业技术学校</w:t>
      </w:r>
      <w:r>
        <w:rPr>
          <w:rFonts w:hint="eastAsia" w:ascii="宋体" w:hAnsi="宋体"/>
          <w:color w:val="auto"/>
          <w:sz w:val="24"/>
          <w:szCs w:val="24"/>
          <w:highlight w:val="none"/>
        </w:rPr>
        <w:t xml:space="preserve">的委托，无锡市公共资源交易中心就</w:t>
      </w:r>
      <w:r>
        <w:rPr>
          <w:rFonts w:hint="eastAsia" w:ascii="宋体" w:hAnsi="宋体"/>
          <w:color w:val="auto"/>
          <w:sz w:val="24"/>
          <w:szCs w:val="24"/>
          <w:highlight w:val="none"/>
        </w:rPr>
        <w:t xml:space="preserve">数字化校园管理提升项目</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JSZC-320200-JZCG-G2024-0135</w:t>
      </w:r>
      <w:r>
        <w:rPr>
          <w:rFonts w:hint="eastAsia" w:ascii="宋体" w:hAnsi="宋体"/>
          <w:color w:val="auto"/>
          <w:sz w:val="24"/>
          <w:szCs w:val="24"/>
          <w:highlight w:val="none"/>
        </w:rPr>
        <w:t xml:space="preserve">）进行公开招标采购，欢迎符合条件的供应商投标。</w:t>
      </w:r>
      <w:r>
        <w:rPr>
          <w:rFonts w:ascii="宋体" w:hAnsi="宋体"/>
          <w:color w:val="auto"/>
          <w:sz w:val="24"/>
          <w:szCs w:val="24"/>
          <w:highlight w:val="none"/>
          <w:shd w:val="clear" w:color="ffffff" w:fill="d9d9d9"/>
        </w:rPr>
      </w:r>
      <w:r>
        <w:rPr>
          <w:color w:val="auto"/>
          <w:highlight w:val="none"/>
        </w:rPr>
      </w:r>
    </w:p>
    <w:p>
      <w:pPr>
        <w:pStyle w:val="929"/>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rPr>
          <w:rFonts w:ascii="宋体" w:hAnsi="宋体"/>
          <w:color w:val="auto"/>
          <w:sz w:val="24"/>
          <w:szCs w:val="24"/>
          <w:highlight w:val="none"/>
          <w:shd w:val="clear" w:color="ffffff" w:fill="d9d9d9"/>
        </w:rPr>
      </w:r>
      <w:r>
        <w:rPr>
          <w:color w:val="auto"/>
          <w:highlight w:val="none"/>
        </w:rPr>
      </w:r>
    </w:p>
    <w:p>
      <w:pPr>
        <w:pStyle w:val="929"/>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数字化校园管理提升项目</w:t>
      </w:r>
      <w:r>
        <w:rPr>
          <w:rFonts w:hint="eastAsia" w:ascii="宋体" w:hAnsi="宋体"/>
          <w:color w:val="auto"/>
          <w:sz w:val="24"/>
          <w:szCs w:val="24"/>
          <w:highlight w:val="none"/>
        </w:rPr>
        <w:t xml:space="preserve">采购项目的</w:t>
      </w:r>
      <w:r>
        <w:rPr>
          <w:rFonts w:hint="eastAsia" w:ascii="宋体" w:hAnsi="宋体"/>
          <w:color w:val="auto"/>
          <w:sz w:val="24"/>
          <w:szCs w:val="24"/>
          <w:highlight w:val="none"/>
        </w:rPr>
        <w:t xml:space="preserve">潜在投标人应在</w:t>
      </w:r>
      <w:r>
        <w:rPr>
          <w:rFonts w:hint="eastAsia" w:ascii="宋体" w:hAnsi="宋体"/>
          <w:color w:val="auto"/>
          <w:sz w:val="24"/>
          <w:szCs w:val="24"/>
          <w:highlight w:val="none"/>
        </w:rPr>
        <w:t xml:space="preserve">“无锡政府采购网”“江苏政府采购网”自行浏览招标文件，如有投标意向须在本招标文件有效获取期内通过</w:t>
      </w:r>
      <w:r>
        <w:rPr>
          <w:rFonts w:hint="eastAsia" w:ascii="宋体" w:hAnsi="宋体"/>
          <w:color w:val="auto"/>
          <w:sz w:val="24"/>
          <w:szCs w:val="24"/>
          <w:highlight w:val="none"/>
        </w:rPr>
        <w:t xml:space="preserve">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w:t>
      </w:r>
      <w:r>
        <w:rPr>
          <w:rFonts w:hint="eastAsia" w:ascii="宋体" w:hAnsi="宋体"/>
          <w:color w:val="auto"/>
          <w:sz w:val="24"/>
          <w:szCs w:val="24"/>
          <w:highlight w:val="none"/>
        </w:rPr>
        <w:t xml:space="preserve">依法</w:t>
      </w:r>
      <w:r>
        <w:rPr>
          <w:rFonts w:hint="eastAsia" w:ascii="宋体" w:hAnsi="宋体"/>
          <w:color w:val="auto"/>
          <w:sz w:val="24"/>
          <w:szCs w:val="24"/>
          <w:highlight w:val="none"/>
        </w:rPr>
        <w:t xml:space="preserve">获取招标文件，</w:t>
      </w:r>
      <w:r>
        <w:rPr>
          <w:rFonts w:hint="eastAsia" w:ascii="宋体" w:hAnsi="宋体"/>
          <w:color w:val="auto"/>
          <w:sz w:val="24"/>
          <w:szCs w:val="24"/>
          <w:highlight w:val="none"/>
        </w:rPr>
        <w:t xml:space="preserve">并于</w:t>
      </w:r>
      <w:r>
        <w:rPr>
          <w:rFonts w:hint="eastAsia" w:ascii="宋体" w:hAnsi="宋体"/>
          <w:color w:val="auto"/>
          <w:sz w:val="24"/>
          <w:szCs w:val="24"/>
          <w:highlight w:val="none"/>
        </w:rPr>
        <w:t xml:space="preserve">202</w:t>
      </w:r>
      <w:r>
        <w:rPr>
          <w:rFonts w:hint="eastAsia" w:ascii="宋体" w:hAnsi="宋体"/>
          <w:color w:val="auto"/>
          <w:sz w:val="24"/>
          <w:szCs w:val="24"/>
          <w:highlight w:val="none"/>
        </w:rPr>
        <w:t xml:space="preserve">4年</w:t>
      </w:r>
      <w:r>
        <w:rPr>
          <w:rFonts w:hint="eastAsia" w:ascii="宋体" w:hAnsi="宋体"/>
          <w:color w:val="auto"/>
          <w:sz w:val="24"/>
          <w:szCs w:val="24"/>
          <w:highlight w:val="none"/>
        </w:rPr>
        <w:t xml:space="preserve">8</w:t>
      </w:r>
      <w:r>
        <w:rPr>
          <w:rFonts w:hint="eastAsia" w:ascii="宋体" w:hAnsi="宋体"/>
          <w:color w:val="auto"/>
          <w:sz w:val="24"/>
          <w:szCs w:val="24"/>
          <w:highlight w:val="none"/>
        </w:rPr>
        <w:t xml:space="preserve">月9</w:t>
      </w:r>
      <w:r>
        <w:rPr>
          <w:rFonts w:hint="eastAsia" w:ascii="宋体" w:hAnsi="宋体"/>
          <w:color w:val="auto"/>
          <w:sz w:val="24"/>
          <w:szCs w:val="24"/>
          <w:highlight w:val="none"/>
        </w:rPr>
        <w:t xml:space="preserve">日0</w:t>
      </w:r>
      <w:r>
        <w:rPr>
          <w:rFonts w:hint="eastAsia" w:ascii="宋体" w:hAnsi="宋体"/>
          <w:color w:val="auto"/>
          <w:sz w:val="24"/>
          <w:szCs w:val="24"/>
          <w:highlight w:val="none"/>
        </w:rPr>
        <w:t xml:space="preserve">9</w:t>
      </w:r>
      <w:r>
        <w:rPr>
          <w:rFonts w:hint="eastAsia" w:ascii="宋体" w:hAnsi="宋体"/>
          <w:color w:val="auto"/>
          <w:sz w:val="24"/>
          <w:szCs w:val="24"/>
          <w:highlight w:val="none"/>
        </w:rPr>
        <w:t xml:space="preserve">点</w:t>
      </w:r>
      <w:r>
        <w:rPr>
          <w:rFonts w:hint="eastAsia" w:ascii="宋体" w:hAnsi="宋体"/>
          <w:color w:val="auto"/>
          <w:sz w:val="24"/>
          <w:szCs w:val="24"/>
          <w:highlight w:val="none"/>
        </w:rPr>
        <w:t xml:space="preserve">30</w:t>
      </w:r>
      <w:r>
        <w:rPr>
          <w:rFonts w:hint="eastAsia" w:ascii="宋体" w:hAnsi="宋体"/>
          <w:color w:val="auto"/>
          <w:sz w:val="24"/>
          <w:szCs w:val="24"/>
          <w:highlight w:val="none"/>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rPr>
          <w:rFonts w:ascii="宋体" w:hAnsi="宋体"/>
          <w:color w:val="auto"/>
          <w:sz w:val="24"/>
          <w:szCs w:val="24"/>
          <w:highlight w:val="none"/>
          <w:shd w:val="clear" w:color="ffffff" w:fill="d9d9d9"/>
        </w:rPr>
      </w:r>
      <w:r>
        <w:rPr>
          <w:color w:val="auto"/>
          <w:highlight w:val="none"/>
        </w:rPr>
      </w:r>
    </w:p>
    <w:p>
      <w:pPr>
        <w:pStyle w:val="932"/>
        <w:ind w:firstLine="452"/>
        <w:keepLines w:val="0"/>
        <w:keepNext w:val="0"/>
        <w:spacing w:before="0" w:after="0" w:line="500" w:lineRule="exact"/>
        <w:rPr>
          <w:color w:val="auto"/>
          <w:sz w:val="30"/>
          <w:szCs w:val="30"/>
          <w:highlight w:val="none"/>
        </w:rPr>
      </w:pPr>
      <w:r>
        <w:rPr>
          <w:color w:val="auto"/>
          <w:highlight w:val="none"/>
        </w:rPr>
      </w:r>
      <w:bookmarkStart w:id="6" w:name="_Toc35393790"/>
      <w:r>
        <w:rPr>
          <w:color w:val="auto"/>
          <w:highlight w:val="none"/>
        </w:rPr>
      </w:r>
      <w:bookmarkStart w:id="7" w:name="_Toc38985263"/>
      <w:r>
        <w:rPr>
          <w:color w:val="auto"/>
          <w:highlight w:val="none"/>
        </w:rPr>
      </w:r>
      <w:bookmarkStart w:id="8" w:name="_Toc28359079"/>
      <w:r>
        <w:rPr>
          <w:color w:val="auto"/>
          <w:highlight w:val="none"/>
        </w:rPr>
      </w:r>
      <w:bookmarkStart w:id="9" w:name="_Toc28359002"/>
      <w:r>
        <w:rPr>
          <w:color w:val="auto"/>
          <w:highlight w:val="none"/>
        </w:rPr>
      </w:r>
      <w:bookmarkStart w:id="10" w:name="_Toc35393621"/>
      <w:r>
        <w:rPr>
          <w:color w:val="auto"/>
          <w:highlight w:val="none"/>
        </w:rPr>
      </w:r>
      <w:bookmarkStart w:id="11" w:name="_Hlk24379207"/>
      <w:r>
        <w:rPr>
          <w:rFonts w:hint="eastAsia"/>
          <w:color w:val="auto"/>
          <w:sz w:val="30"/>
          <w:szCs w:val="30"/>
          <w:highlight w:val="none"/>
        </w:rPr>
        <w:t xml:space="preserve">一、项目基本情况</w:t>
      </w:r>
      <w:bookmarkEnd w:id="6"/>
      <w:r>
        <w:rPr>
          <w:color w:val="auto"/>
          <w:highlight w:val="none"/>
        </w:rPr>
      </w:r>
      <w:bookmarkEnd w:id="7"/>
      <w:r>
        <w:rPr>
          <w:color w:val="auto"/>
          <w:highlight w:val="none"/>
        </w:rPr>
      </w:r>
      <w:bookmarkEnd w:id="8"/>
      <w:r>
        <w:rPr>
          <w:color w:val="auto"/>
          <w:highlight w:val="none"/>
        </w:rPr>
      </w:r>
      <w:bookmarkEnd w:id="9"/>
      <w:r>
        <w:rPr>
          <w:color w:val="auto"/>
          <w:highlight w:val="none"/>
        </w:rPr>
      </w:r>
      <w:bookmarkEnd w:id="10"/>
      <w:r>
        <w:rPr>
          <w:color w:val="auto"/>
          <w:sz w:val="30"/>
          <w:szCs w:val="30"/>
          <w:highlight w:val="none"/>
        </w:rPr>
      </w:r>
      <w:r>
        <w:rPr>
          <w:color w:val="auto"/>
          <w:highlight w:val="none"/>
        </w:rPr>
      </w:r>
    </w:p>
    <w:p>
      <w:pPr>
        <w:pStyle w:val="929"/>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rPr>
        <w:t xml:space="preserve">JSZC-320200-JZCG-G2024-0135</w:t>
      </w:r>
      <w:r>
        <w:rPr>
          <w:rFonts w:ascii="宋体" w:hAnsi="宋体"/>
          <w:color w:val="auto"/>
          <w:sz w:val="24"/>
          <w:szCs w:val="24"/>
          <w:highlight w:val="none"/>
        </w:rPr>
      </w:r>
      <w:r>
        <w:rPr>
          <w:color w:val="auto"/>
          <w:highlight w:val="none"/>
        </w:rPr>
      </w:r>
    </w:p>
    <w:p>
      <w:pPr>
        <w:pStyle w:val="929"/>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rPr>
        <w:t xml:space="preserve">数字化校园管理提升项目</w:t>
      </w:r>
      <w:r>
        <w:rPr>
          <w:rFonts w:ascii="宋体" w:hAnsi="宋体"/>
          <w:color w:val="auto"/>
          <w:sz w:val="24"/>
          <w:szCs w:val="24"/>
          <w:highlight w:val="none"/>
        </w:rPr>
      </w:r>
      <w:r>
        <w:rPr>
          <w:color w:val="auto"/>
          <w:highlight w:val="none"/>
        </w:rPr>
      </w:r>
    </w:p>
    <w:p>
      <w:pPr>
        <w:pStyle w:val="929"/>
        <w:ind w:firstLine="480"/>
        <w:spacing w:line="500" w:lineRule="exact"/>
        <w:rPr>
          <w:rFonts w:ascii="宋体" w:hAnsi="宋体"/>
          <w:color w:val="auto"/>
          <w:sz w:val="24"/>
          <w:szCs w:val="24"/>
          <w:highlight w:val="none"/>
        </w:rPr>
      </w:pPr>
      <w:r>
        <w:rPr>
          <w:color w:val="auto"/>
          <w:highlight w:val="none"/>
        </w:rPr>
      </w:r>
      <w:bookmarkEnd w:id="11"/>
      <w:r>
        <w:rPr>
          <w:rFonts w:hint="eastAsia" w:ascii="宋体" w:hAnsi="宋体"/>
          <w:color w:val="auto"/>
          <w:sz w:val="24"/>
          <w:szCs w:val="24"/>
          <w:highlight w:val="none"/>
        </w:rPr>
        <w:t xml:space="preserve">3.项目预算金额：</w:t>
      </w:r>
      <w:r>
        <w:rPr>
          <w:rFonts w:ascii="宋体" w:hAnsi="宋体"/>
          <w:color w:val="auto"/>
          <w:sz w:val="24"/>
          <w:szCs w:val="24"/>
          <w:highlight w:val="none"/>
        </w:rPr>
        <w:t xml:space="preserve">68</w:t>
      </w:r>
      <w:r>
        <w:rPr>
          <w:rFonts w:hint="eastAsia" w:ascii="宋体" w:hAnsi="宋体"/>
          <w:color w:val="auto"/>
          <w:sz w:val="24"/>
          <w:szCs w:val="24"/>
          <w:highlight w:val="none"/>
        </w:rPr>
        <w:t xml:space="preserve">万元</w:t>
      </w:r>
      <w:r>
        <w:rPr>
          <w:rFonts w:ascii="宋体" w:hAnsi="宋体"/>
          <w:color w:val="auto"/>
          <w:sz w:val="24"/>
          <w:szCs w:val="24"/>
          <w:highlight w:val="none"/>
        </w:rPr>
      </w:r>
      <w:r>
        <w:rPr>
          <w:color w:val="auto"/>
          <w:highlight w:val="none"/>
        </w:rPr>
      </w:r>
    </w:p>
    <w:p>
      <w:pPr>
        <w:pStyle w:val="929"/>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4.项目最高限价：</w:t>
      </w:r>
      <w:r>
        <w:rPr>
          <w:rFonts w:ascii="宋体" w:hAnsi="宋体"/>
          <w:color w:val="auto"/>
          <w:sz w:val="24"/>
          <w:szCs w:val="24"/>
          <w:highlight w:val="none"/>
        </w:rPr>
        <w:t xml:space="preserve">68</w:t>
      </w:r>
      <w:r>
        <w:rPr>
          <w:rFonts w:hint="eastAsia" w:ascii="宋体" w:hAnsi="宋体"/>
          <w:color w:val="auto"/>
          <w:sz w:val="24"/>
          <w:szCs w:val="24"/>
          <w:highlight w:val="none"/>
        </w:rPr>
        <w:t xml:space="preserve">万元</w:t>
      </w:r>
      <w:r>
        <w:rPr>
          <w:rFonts w:ascii="宋体" w:hAnsi="宋体"/>
          <w:color w:val="auto"/>
          <w:sz w:val="24"/>
          <w:szCs w:val="24"/>
          <w:highlight w:val="none"/>
        </w:rPr>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color w:val="auto"/>
          <w:sz w:val="24"/>
          <w:szCs w:val="24"/>
          <w:highlight w:val="none"/>
        </w:rPr>
        <w:t xml:space="preserve">.采购需求：</w:t>
      </w:r>
      <w:r>
        <w:rPr>
          <w:rFonts w:hint="eastAsia" w:ascii="宋体" w:hAnsi="宋体" w:cs="宋体"/>
          <w:color w:val="auto"/>
          <w:sz w:val="24"/>
          <w:szCs w:val="24"/>
          <w:highlight w:val="none"/>
        </w:rPr>
        <w:t xml:space="preserve">详见招标文件第四章《采购需求》</w:t>
      </w:r>
      <w:r>
        <w:rPr>
          <w:rFonts w:hint="eastAsia" w:ascii="宋体" w:hAnsi="宋体"/>
          <w:color w:val="auto"/>
          <w:sz w:val="24"/>
          <w:szCs w:val="24"/>
          <w:highlight w:val="none"/>
        </w:rPr>
      </w:r>
      <w:r>
        <w:rPr>
          <w:color w:val="auto"/>
          <w:highlight w:val="none"/>
        </w:rPr>
      </w:r>
    </w:p>
    <w:p>
      <w:pPr>
        <w:pStyle w:val="929"/>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olor w:val="auto"/>
          <w:sz w:val="24"/>
          <w:szCs w:val="24"/>
          <w:highlight w:val="none"/>
        </w:rPr>
        <w:t xml:space="preserve">.合同履行期限：</w:t>
      </w:r>
      <w:r>
        <w:rPr>
          <w:rFonts w:hint="eastAsia" w:ascii="宋体" w:hAnsi="宋体" w:cs="宋体"/>
          <w:color w:val="auto"/>
          <w:sz w:val="24"/>
          <w:szCs w:val="24"/>
          <w:highlight w:val="none"/>
        </w:rPr>
        <w:t xml:space="preserve">详见招标文件第四章《采购需求》</w:t>
      </w:r>
      <w:r>
        <w:rPr>
          <w:color w:val="auto"/>
          <w:highlight w:val="none"/>
        </w:rPr>
      </w:r>
    </w:p>
    <w:p>
      <w:pPr>
        <w:pStyle w:val="929"/>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rPr>
        <w:t xml:space="preserve">.本项目不接受联合体投标。</w:t>
      </w:r>
      <w:r>
        <w:rPr>
          <w:rFonts w:ascii="宋体" w:hAnsi="宋体" w:cs="宋体"/>
          <w:color w:val="auto"/>
          <w:sz w:val="24"/>
          <w:szCs w:val="24"/>
          <w:highlight w:val="none"/>
        </w:rPr>
      </w:r>
      <w:r>
        <w:rPr>
          <w:color w:val="auto"/>
          <w:highlight w:val="none"/>
        </w:rPr>
      </w:r>
    </w:p>
    <w:p>
      <w:pPr>
        <w:pStyle w:val="932"/>
        <w:ind w:firstLine="452"/>
        <w:keepLines w:val="0"/>
        <w:keepNext w:val="0"/>
        <w:spacing w:before="0" w:after="0" w:line="500" w:lineRule="exact"/>
        <w:rPr>
          <w:color w:val="auto"/>
          <w:sz w:val="30"/>
          <w:szCs w:val="30"/>
          <w:highlight w:val="none"/>
        </w:rPr>
      </w:pPr>
      <w:r>
        <w:rPr>
          <w:color w:val="auto"/>
          <w:highlight w:val="none"/>
        </w:rPr>
      </w:r>
      <w:bookmarkStart w:id="12" w:name="_Toc38985264"/>
      <w:r>
        <w:rPr>
          <w:color w:val="auto"/>
          <w:highlight w:val="none"/>
        </w:rPr>
      </w:r>
      <w:bookmarkStart w:id="13" w:name="_Toc35393791"/>
      <w:r>
        <w:rPr>
          <w:color w:val="auto"/>
          <w:highlight w:val="none"/>
        </w:rPr>
      </w:r>
      <w:bookmarkStart w:id="14" w:name="_Toc28359080"/>
      <w:r>
        <w:rPr>
          <w:color w:val="auto"/>
          <w:highlight w:val="none"/>
        </w:rPr>
      </w:r>
      <w:bookmarkStart w:id="15" w:name="_Toc28359003"/>
      <w:r>
        <w:rPr>
          <w:color w:val="auto"/>
          <w:highlight w:val="none"/>
        </w:rPr>
      </w:r>
      <w:bookmarkStart w:id="16" w:name="_Toc35393622"/>
      <w:r>
        <w:rPr>
          <w:rFonts w:hint="eastAsia"/>
          <w:color w:val="auto"/>
          <w:sz w:val="30"/>
          <w:szCs w:val="30"/>
          <w:highlight w:val="none"/>
        </w:rPr>
        <w:t xml:space="preserve">二、申请人的资格要求</w:t>
      </w:r>
      <w:bookmarkEnd w:id="12"/>
      <w:r>
        <w:rPr>
          <w:color w:val="auto"/>
          <w:highlight w:val="none"/>
        </w:rPr>
      </w:r>
      <w:bookmarkEnd w:id="13"/>
      <w:r>
        <w:rPr>
          <w:color w:val="auto"/>
          <w:highlight w:val="none"/>
        </w:rPr>
      </w:r>
      <w:bookmarkEnd w:id="14"/>
      <w:r>
        <w:rPr>
          <w:color w:val="auto"/>
          <w:highlight w:val="none"/>
        </w:rPr>
      </w:r>
      <w:bookmarkEnd w:id="15"/>
      <w:r>
        <w:rPr>
          <w:color w:val="auto"/>
          <w:highlight w:val="none"/>
        </w:rPr>
      </w:r>
      <w:bookmarkEnd w:id="16"/>
      <w:r>
        <w:rPr>
          <w:color w:val="auto"/>
          <w:sz w:val="30"/>
          <w:szCs w:val="30"/>
          <w:highlight w:val="none"/>
        </w:rPr>
      </w:r>
      <w:r>
        <w:rPr>
          <w:color w:val="auto"/>
          <w:highlight w:val="none"/>
        </w:rPr>
      </w:r>
    </w:p>
    <w:p>
      <w:pPr>
        <w:pStyle w:val="929"/>
        <w:ind w:firstLine="480"/>
        <w:spacing w:line="500" w:lineRule="exact"/>
        <w:rPr>
          <w:rFonts w:ascii="宋体" w:hAnsi="宋体"/>
          <w:color w:val="auto"/>
          <w:sz w:val="24"/>
          <w:szCs w:val="24"/>
          <w:highlight w:val="none"/>
        </w:rPr>
      </w:pPr>
      <w:r>
        <w:rPr>
          <w:color w:val="auto"/>
          <w:highlight w:val="none"/>
        </w:rPr>
      </w:r>
      <w:bookmarkStart w:id="17" w:name="_Toc28359004"/>
      <w:r>
        <w:rPr>
          <w:color w:val="auto"/>
          <w:highlight w:val="none"/>
        </w:rPr>
      </w:r>
      <w:bookmarkStart w:id="18" w:name="_Toc35393792"/>
      <w:r>
        <w:rPr>
          <w:color w:val="auto"/>
          <w:highlight w:val="none"/>
        </w:rPr>
      </w:r>
      <w:bookmarkStart w:id="19" w:name="_Toc28359081"/>
      <w:r>
        <w:rPr>
          <w:color w:val="auto"/>
          <w:highlight w:val="none"/>
        </w:rPr>
      </w:r>
      <w:bookmarkStart w:id="20" w:name="_Toc38985265"/>
      <w:r>
        <w:rPr>
          <w:color w:val="auto"/>
          <w:highlight w:val="none"/>
        </w:rPr>
      </w:r>
      <w:bookmarkStart w:id="21" w:name="_Toc35393623"/>
      <w:r>
        <w:rPr>
          <w:rFonts w:hint="eastAsia" w:ascii="宋体" w:hAnsi="宋体"/>
          <w:color w:val="auto"/>
          <w:sz w:val="24"/>
          <w:szCs w:val="24"/>
          <w:highlight w:val="none"/>
        </w:rPr>
        <w:t xml:space="preserve">1.满足《中华人民共和国政府采购法》第二十二条规定；</w:t>
      </w:r>
      <w:r>
        <w:rPr>
          <w:rFonts w:ascii="宋体" w:hAnsi="宋体"/>
          <w:color w:val="auto"/>
          <w:sz w:val="24"/>
          <w:szCs w:val="24"/>
          <w:highlight w:val="none"/>
        </w:rPr>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rPr>
        <w:t xml:space="preserve">落实政府采购政策需满足的资格要求：</w:t>
      </w:r>
      <w:r>
        <w:rPr>
          <w:rFonts w:hint="eastAsia" w:ascii="宋体" w:hAnsi="宋体"/>
          <w:color w:val="auto"/>
          <w:sz w:val="24"/>
          <w:szCs w:val="24"/>
          <w:highlight w:val="none"/>
        </w:rPr>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2.1中小企业政策：本项目专门面向中小企业；</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w:t>
      </w:r>
      <w:r>
        <w:rPr>
          <w:rFonts w:hint="eastAsia" w:ascii="宋体" w:hAnsi="宋体"/>
          <w:color w:val="auto"/>
          <w:sz w:val="24"/>
          <w:szCs w:val="24"/>
          <w:highlight w:val="none"/>
        </w:rPr>
        <w:t xml:space="preserve">通用资格要求</w:t>
      </w:r>
      <w:r>
        <w:rPr>
          <w:rFonts w:hint="eastAsia" w:ascii="宋体" w:hAnsi="宋体"/>
          <w:color w:val="auto"/>
          <w:sz w:val="24"/>
          <w:szCs w:val="24"/>
          <w:highlight w:val="none"/>
        </w:rPr>
        <w:t xml:space="preserve">：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color w:val="auto"/>
          <w:highlight w:val="none"/>
        </w:rPr>
      </w:r>
    </w:p>
    <w:p>
      <w:pPr>
        <w:pStyle w:val="929"/>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rPr>
        <w:t xml:space="preserve">.本项目的特定资格要求：无</w:t>
      </w:r>
      <w:r>
        <w:rPr>
          <w:rFonts w:hint="eastAsia" w:ascii="宋体" w:hAnsi="宋体"/>
          <w:color w:val="auto"/>
          <w:sz w:val="24"/>
          <w:szCs w:val="24"/>
          <w:highlight w:val="none"/>
        </w:rPr>
        <w:t xml:space="preserve">。</w:t>
      </w:r>
      <w:r>
        <w:rPr>
          <w:rFonts w:ascii="宋体" w:hAnsi="宋体" w:cs="宋体"/>
          <w:color w:val="auto"/>
          <w:sz w:val="24"/>
          <w:szCs w:val="24"/>
          <w:highlight w:val="none"/>
        </w:rPr>
      </w:r>
      <w:r>
        <w:rPr>
          <w:color w:val="auto"/>
          <w:highlight w:val="none"/>
        </w:rPr>
      </w:r>
    </w:p>
    <w:p>
      <w:pPr>
        <w:pStyle w:val="932"/>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rPr>
          <w:color w:val="auto"/>
          <w:highlight w:val="none"/>
        </w:rPr>
      </w:r>
      <w:bookmarkEnd w:id="18"/>
      <w:r>
        <w:rPr>
          <w:color w:val="auto"/>
          <w:highlight w:val="none"/>
        </w:rPr>
      </w:r>
      <w:bookmarkEnd w:id="19"/>
      <w:r>
        <w:rPr>
          <w:color w:val="auto"/>
          <w:highlight w:val="none"/>
        </w:rPr>
      </w:r>
      <w:bookmarkEnd w:id="20"/>
      <w:r>
        <w:rPr>
          <w:color w:val="auto"/>
          <w:highlight w:val="none"/>
        </w:rPr>
      </w:r>
      <w:bookmarkEnd w:id="21"/>
      <w:r>
        <w:rPr>
          <w:color w:val="auto"/>
          <w:sz w:val="30"/>
          <w:szCs w:val="30"/>
          <w:highlight w:val="none"/>
        </w:rPr>
      </w:r>
      <w:r>
        <w:rPr>
          <w:color w:val="auto"/>
          <w:highlight w:val="none"/>
        </w:rPr>
      </w:r>
    </w:p>
    <w:p>
      <w:pPr>
        <w:pStyle w:val="929"/>
        <w:ind w:firstLine="540"/>
        <w:spacing w:line="500" w:lineRule="exact"/>
        <w:rPr>
          <w:rFonts w:hint="eastAsia" w:ascii="宋体" w:hAnsi="宋体"/>
          <w:color w:val="auto"/>
          <w:sz w:val="24"/>
          <w:szCs w:val="24"/>
          <w:highlight w:val="none"/>
        </w:rPr>
      </w:pPr>
      <w:r>
        <w:rPr>
          <w:color w:val="auto"/>
          <w:highlight w:val="none"/>
        </w:rPr>
      </w:r>
      <w:bookmarkStart w:id="22" w:name="_Toc28359005"/>
      <w:r>
        <w:rPr>
          <w:color w:val="auto"/>
          <w:highlight w:val="none"/>
        </w:rPr>
      </w:r>
      <w:bookmarkStart w:id="23" w:name="_Toc28359082"/>
      <w:r>
        <w:rPr>
          <w:color w:val="auto"/>
          <w:highlight w:val="none"/>
        </w:rPr>
      </w:r>
      <w:bookmarkStart w:id="24" w:name="_Toc35393793"/>
      <w:r>
        <w:rPr>
          <w:color w:val="auto"/>
          <w:highlight w:val="none"/>
        </w:rPr>
      </w:r>
      <w:bookmarkStart w:id="25" w:name="_Toc35393624"/>
      <w:r>
        <w:rPr>
          <w:color w:val="auto"/>
          <w:highlight w:val="none"/>
        </w:rPr>
      </w:r>
      <w:bookmarkStart w:id="26" w:name="_Toc38985266"/>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w:t>
      </w:r>
      <w:r>
        <w:rPr>
          <w:rFonts w:hint="eastAsia" w:ascii="宋体" w:hAnsi="宋体"/>
          <w:color w:val="auto"/>
          <w:sz w:val="24"/>
          <w:szCs w:val="24"/>
          <w:highlight w:val="none"/>
        </w:rPr>
        <w:t xml:space="preserve">以本项目招标公告中规定的获取招标文件时间为准。</w:t>
      </w:r>
      <w:r>
        <w:rPr>
          <w:color w:val="auto"/>
          <w:highlight w:val="none"/>
        </w:rPr>
      </w:r>
    </w:p>
    <w:p>
      <w:pPr>
        <w:pStyle w:val="929"/>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bCs/>
          <w:color w:val="auto"/>
          <w:sz w:val="24"/>
          <w:szCs w:val="24"/>
          <w:highlight w:val="none"/>
        </w:rPr>
      </w:r>
      <w:r>
        <w:rPr>
          <w:color w:val="auto"/>
          <w:highlight w:val="none"/>
        </w:rPr>
      </w:r>
    </w:p>
    <w:p>
      <w:pPr>
        <w:pStyle w:val="929"/>
        <w:ind w:firstLine="540"/>
        <w:spacing w:line="500" w:lineRule="exact"/>
        <w:rPr>
          <w:rStyle w:val="1006"/>
          <w:color w:val="auto"/>
          <w:highlight w:val="none"/>
        </w:rPr>
      </w:pPr>
      <w:r>
        <w:rPr>
          <w:rFonts w:hint="eastAsia" w:ascii="宋体" w:hAnsi="宋体"/>
          <w:bCs/>
          <w:color w:val="auto"/>
          <w:sz w:val="24"/>
          <w:szCs w:val="24"/>
          <w:highlight w:val="none"/>
        </w:rPr>
        <w:t xml:space="preserve">3.方式：</w:t>
      </w:r>
      <w:r>
        <w:rPr>
          <w:rFonts w:hint="eastAsia" w:ascii="宋体" w:hAnsi="宋体"/>
          <w:bCs/>
          <w:color w:val="auto"/>
          <w:sz w:val="24"/>
          <w:szCs w:val="24"/>
          <w:highlight w:val="none"/>
        </w:rPr>
        <w:t xml:space="preserve">请有投标意向的供应商在招标文件有效获取期内及时至</w:t>
      </w:r>
      <w:r>
        <w:rPr>
          <w:rFonts w:ascii="宋体" w:hAnsi="宋体"/>
          <w:color w:val="auto"/>
          <w:sz w:val="24"/>
          <w:szCs w:val="24"/>
          <w:highlight w:val="none"/>
        </w:rPr>
        <w:t xml:space="preserve">“江苏省政府采购（苏采云）平台”</w:t>
      </w:r>
      <w:r>
        <w:rPr>
          <w:rFonts w:ascii="宋体" w:hAnsi="宋体"/>
          <w:color w:val="auto"/>
          <w:sz w:val="24"/>
          <w:szCs w:val="24"/>
          <w:highlight w:val="none"/>
        </w:rPr>
        <w:t xml:space="preserve">（</w:t>
      </w:r>
      <w:r>
        <w:rPr>
          <w:rFonts w:ascii="宋体" w:hAnsi="宋体"/>
          <w:color w:val="auto"/>
          <w:sz w:val="24"/>
          <w:szCs w:val="24"/>
          <w:highlight w:val="none"/>
        </w:rPr>
        <w:t xml:space="preserve">http://jszfcg.jscz.gov.cn/jszc/login</w:t>
      </w:r>
      <w:r>
        <w:rPr>
          <w:rFonts w:ascii="宋体" w:hAnsi="宋体"/>
          <w:color w:val="auto"/>
          <w:sz w:val="24"/>
          <w:szCs w:val="24"/>
          <w:highlight w:val="none"/>
        </w:rPr>
        <w:t xml:space="preserve">）</w:t>
      </w:r>
      <w:r>
        <w:rPr>
          <w:rFonts w:ascii="宋体" w:hAnsi="宋体"/>
          <w:color w:val="auto"/>
          <w:sz w:val="24"/>
          <w:szCs w:val="24"/>
          <w:highlight w:val="none"/>
        </w:rPr>
        <w:t xml:space="preserve">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w:t>
      </w:r>
      <w:r>
        <w:rPr>
          <w:rFonts w:hint="eastAsia" w:ascii="宋体" w:hAnsi="宋体"/>
          <w:bCs/>
          <w:color w:val="auto"/>
          <w:sz w:val="24"/>
          <w:szCs w:val="24"/>
          <w:highlight w:val="none"/>
        </w:rPr>
        <w:t xml:space="preserve">有效获取</w:t>
      </w:r>
      <w:r>
        <w:rPr>
          <w:rFonts w:hint="eastAsia" w:ascii="宋体" w:hAnsi="宋体"/>
          <w:bCs/>
          <w:color w:val="auto"/>
          <w:sz w:val="24"/>
          <w:szCs w:val="24"/>
          <w:highlight w:val="none"/>
        </w:rPr>
        <w:t xml:space="preserve">期限内，从</w:t>
      </w:r>
      <w:r>
        <w:rPr>
          <w:rFonts w:ascii="宋体" w:hAnsi="宋体"/>
          <w:color w:val="auto"/>
          <w:sz w:val="24"/>
          <w:szCs w:val="24"/>
          <w:highlight w:val="none"/>
        </w:rPr>
        <w:t xml:space="preserve">“江苏省政府采购（苏采云）平台”</w:t>
      </w:r>
      <w:r>
        <w:rPr>
          <w:rFonts w:ascii="宋体" w:hAnsi="宋体"/>
          <w:color w:val="auto"/>
          <w:sz w:val="24"/>
          <w:szCs w:val="24"/>
          <w:highlight w:val="none"/>
        </w:rPr>
        <w:t xml:space="preserve">获取的</w:t>
      </w:r>
      <w:r>
        <w:rPr>
          <w:rFonts w:hint="eastAsia" w:ascii="宋体" w:hAnsi="宋体"/>
          <w:bCs/>
          <w:color w:val="auto"/>
          <w:sz w:val="24"/>
          <w:szCs w:val="24"/>
          <w:highlight w:val="none"/>
        </w:rPr>
        <w:t xml:space="preserve">招标文件，视为依法获取的招标文件。</w:t>
      </w:r>
      <w:r>
        <w:rPr>
          <w:rStyle w:val="1006"/>
          <w:color w:val="auto"/>
          <w:highlight w:val="none"/>
        </w:rPr>
      </w:r>
      <w:r>
        <w:rPr>
          <w:color w:val="auto"/>
          <w:highlight w:val="none"/>
        </w:rPr>
      </w:r>
    </w:p>
    <w:p>
      <w:pPr>
        <w:pStyle w:val="929"/>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w:t>
      </w:r>
      <w:r>
        <w:rPr>
          <w:rFonts w:hint="eastAsia" w:ascii="宋体" w:hAnsi="宋体"/>
          <w:bCs/>
          <w:color w:val="auto"/>
          <w:sz w:val="24"/>
          <w:szCs w:val="24"/>
          <w:highlight w:val="none"/>
        </w:rPr>
        <w:t xml:space="preserve">本</w:t>
      </w:r>
      <w:r>
        <w:rPr>
          <w:rFonts w:hint="eastAsia" w:ascii="宋体" w:hAnsi="宋体"/>
          <w:bCs/>
          <w:color w:val="auto"/>
          <w:sz w:val="24"/>
          <w:szCs w:val="24"/>
          <w:highlight w:val="none"/>
        </w:rPr>
        <w:t xml:space="preserve">项目</w:t>
      </w:r>
      <w:r>
        <w:rPr>
          <w:rFonts w:hint="eastAsia" w:ascii="宋体" w:hAnsi="宋体"/>
          <w:bCs/>
          <w:color w:val="auto"/>
          <w:sz w:val="24"/>
          <w:szCs w:val="24"/>
          <w:highlight w:val="none"/>
        </w:rPr>
        <w:t xml:space="preserve">招标文件</w:t>
      </w:r>
      <w:r>
        <w:rPr>
          <w:rFonts w:hint="eastAsia" w:ascii="宋体" w:hAnsi="宋体"/>
          <w:bCs/>
          <w:color w:val="auto"/>
          <w:sz w:val="24"/>
          <w:szCs w:val="24"/>
          <w:highlight w:val="none"/>
        </w:rPr>
        <w:t xml:space="preserve">免费。</w:t>
      </w:r>
      <w:r>
        <w:rPr>
          <w:rFonts w:ascii="宋体" w:hAnsi="宋体"/>
          <w:bCs/>
          <w:color w:val="auto"/>
          <w:sz w:val="24"/>
          <w:szCs w:val="24"/>
          <w:highlight w:val="none"/>
        </w:rPr>
      </w:r>
      <w:r>
        <w:rPr>
          <w:color w:val="auto"/>
          <w:highlight w:val="none"/>
        </w:rPr>
      </w:r>
    </w:p>
    <w:p>
      <w:pPr>
        <w:pStyle w:val="932"/>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rPr>
          <w:color w:val="auto"/>
          <w:highlight w:val="none"/>
        </w:rPr>
      </w:r>
      <w:bookmarkEnd w:id="23"/>
      <w:r>
        <w:rPr>
          <w:rFonts w:hint="eastAsia"/>
          <w:color w:val="auto"/>
          <w:sz w:val="30"/>
          <w:szCs w:val="30"/>
          <w:highlight w:val="none"/>
        </w:rPr>
        <w:t xml:space="preserve">截止时间、开标时间和地点</w:t>
      </w:r>
      <w:bookmarkEnd w:id="24"/>
      <w:r>
        <w:rPr>
          <w:color w:val="auto"/>
          <w:highlight w:val="none"/>
        </w:rPr>
      </w:r>
      <w:bookmarkEnd w:id="25"/>
      <w:r>
        <w:rPr>
          <w:color w:val="auto"/>
          <w:highlight w:val="none"/>
        </w:rPr>
      </w:r>
      <w:bookmarkEnd w:id="26"/>
      <w:r>
        <w:rPr>
          <w:color w:val="auto"/>
          <w:sz w:val="30"/>
          <w:szCs w:val="30"/>
          <w:highlight w:val="none"/>
        </w:rPr>
      </w:r>
      <w:r>
        <w:rPr>
          <w:color w:val="auto"/>
          <w:highlight w:val="none"/>
        </w:rPr>
      </w:r>
    </w:p>
    <w:p>
      <w:pPr>
        <w:pStyle w:val="929"/>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bCs/>
          <w:color w:val="auto"/>
          <w:sz w:val="24"/>
          <w:szCs w:val="24"/>
          <w:highlight w:val="none"/>
        </w:rPr>
        <w:t xml:space="preserve">202</w:t>
      </w:r>
      <w:r>
        <w:rPr>
          <w:rFonts w:hint="eastAsia" w:ascii="宋体" w:hAnsi="宋体"/>
          <w:bCs/>
          <w:color w:val="auto"/>
          <w:sz w:val="24"/>
          <w:szCs w:val="24"/>
          <w:highlight w:val="none"/>
        </w:rPr>
        <w:t xml:space="preserve">4年8</w:t>
      </w:r>
      <w:r>
        <w:rPr>
          <w:rFonts w:hint="eastAsia" w:ascii="宋体" w:hAnsi="宋体"/>
          <w:bCs/>
          <w:color w:val="auto"/>
          <w:sz w:val="24"/>
          <w:szCs w:val="24"/>
          <w:highlight w:val="none"/>
        </w:rPr>
        <w:t xml:space="preserve">月9</w:t>
      </w:r>
      <w:r>
        <w:rPr>
          <w:rFonts w:hint="eastAsia" w:ascii="宋体" w:hAnsi="宋体"/>
          <w:bCs/>
          <w:color w:val="auto"/>
          <w:sz w:val="24"/>
          <w:szCs w:val="24"/>
          <w:highlight w:val="none"/>
        </w:rPr>
        <w:t xml:space="preserve">日09点30</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rPr>
        <w:t xml:space="preserve">（北京时间）</w:t>
      </w:r>
      <w:r>
        <w:rPr>
          <w:color w:val="auto"/>
          <w:highlight w:val="none"/>
        </w:rPr>
      </w:r>
    </w:p>
    <w:p>
      <w:pPr>
        <w:pStyle w:val="929"/>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rPr>
          <w:rFonts w:hint="eastAsia" w:ascii="宋体" w:hAnsi="宋体"/>
          <w:bCs/>
          <w:color w:val="auto"/>
          <w:sz w:val="24"/>
          <w:szCs w:val="24"/>
          <w:highlight w:val="none"/>
          <w:u w:val="single"/>
        </w:rPr>
      </w:r>
      <w:r>
        <w:rPr>
          <w:color w:val="auto"/>
          <w:highlight w:val="none"/>
        </w:rPr>
      </w:r>
    </w:p>
    <w:p>
      <w:pPr>
        <w:pStyle w:val="932"/>
        <w:ind w:firstLine="452"/>
        <w:keepLines w:val="0"/>
        <w:keepNext w:val="0"/>
        <w:spacing w:before="0" w:after="0" w:line="500" w:lineRule="exact"/>
        <w:rPr>
          <w:color w:val="auto"/>
          <w:sz w:val="30"/>
          <w:szCs w:val="30"/>
          <w:highlight w:val="none"/>
        </w:rPr>
      </w:pPr>
      <w:r>
        <w:rPr>
          <w:color w:val="auto"/>
          <w:highlight w:val="none"/>
        </w:rPr>
      </w:r>
      <w:bookmarkStart w:id="27" w:name="_Toc28359084"/>
      <w:r>
        <w:rPr>
          <w:color w:val="auto"/>
          <w:highlight w:val="none"/>
        </w:rPr>
      </w:r>
      <w:bookmarkStart w:id="28" w:name="_Toc28359007"/>
      <w:r>
        <w:rPr>
          <w:color w:val="auto"/>
          <w:highlight w:val="none"/>
        </w:rPr>
      </w:r>
      <w:bookmarkStart w:id="29" w:name="_Toc35393625"/>
      <w:r>
        <w:rPr>
          <w:color w:val="auto"/>
          <w:highlight w:val="none"/>
        </w:rPr>
      </w:r>
      <w:bookmarkStart w:id="30" w:name="_Toc35393794"/>
      <w:r>
        <w:rPr>
          <w:color w:val="auto"/>
          <w:highlight w:val="none"/>
        </w:rPr>
      </w:r>
      <w:bookmarkStart w:id="31" w:name="_Toc38985267"/>
      <w:r>
        <w:rPr>
          <w:rFonts w:hint="eastAsia"/>
          <w:color w:val="auto"/>
          <w:sz w:val="30"/>
          <w:szCs w:val="30"/>
          <w:highlight w:val="none"/>
        </w:rPr>
        <w:t xml:space="preserve">五、公告期限</w:t>
      </w:r>
      <w:bookmarkEnd w:id="27"/>
      <w:r>
        <w:rPr>
          <w:color w:val="auto"/>
          <w:highlight w:val="none"/>
        </w:rPr>
      </w:r>
      <w:bookmarkEnd w:id="28"/>
      <w:r>
        <w:rPr>
          <w:color w:val="auto"/>
          <w:highlight w:val="none"/>
        </w:rPr>
      </w:r>
      <w:bookmarkEnd w:id="29"/>
      <w:r>
        <w:rPr>
          <w:color w:val="auto"/>
          <w:highlight w:val="none"/>
        </w:rPr>
      </w:r>
      <w:bookmarkEnd w:id="30"/>
      <w:r>
        <w:rPr>
          <w:color w:val="auto"/>
          <w:highlight w:val="none"/>
        </w:rPr>
      </w:r>
      <w:bookmarkEnd w:id="31"/>
      <w:r>
        <w:rPr>
          <w:color w:val="auto"/>
          <w:sz w:val="30"/>
          <w:szCs w:val="30"/>
          <w:highlight w:val="none"/>
        </w:rPr>
      </w:r>
      <w:r>
        <w:rPr>
          <w:color w:val="auto"/>
          <w:highlight w:val="none"/>
        </w:rPr>
      </w:r>
    </w:p>
    <w:p>
      <w:pPr>
        <w:pStyle w:val="929"/>
        <w:ind w:firstLine="480"/>
        <w:spacing w:line="500" w:lineRule="exact"/>
        <w:rPr>
          <w:rFonts w:ascii="宋体" w:hAnsi="宋体" w:cs="宋体"/>
          <w:color w:val="auto"/>
          <w:sz w:val="24"/>
          <w:szCs w:val="24"/>
          <w:highlight w:val="none"/>
        </w:rPr>
      </w:pPr>
      <w:r>
        <w:rPr>
          <w:color w:val="auto"/>
          <w:highlight w:val="none"/>
        </w:rPr>
      </w:r>
      <w:bookmarkStart w:id="32" w:name="_Toc35393795"/>
      <w:r>
        <w:rPr>
          <w:color w:val="auto"/>
          <w:highlight w:val="none"/>
        </w:rPr>
      </w:r>
      <w:bookmarkStart w:id="33" w:name="_Toc38985268"/>
      <w:r>
        <w:rPr>
          <w:color w:val="auto"/>
          <w:highlight w:val="none"/>
        </w:rPr>
      </w:r>
      <w:bookmarkStart w:id="34" w:name="_Toc35393626"/>
      <w:r>
        <w:rPr>
          <w:rFonts w:hint="eastAsia" w:ascii="宋体" w:hAnsi="宋体" w:cs="宋体"/>
          <w:color w:val="auto"/>
          <w:sz w:val="24"/>
          <w:szCs w:val="24"/>
          <w:highlight w:val="none"/>
        </w:rPr>
        <w:t xml:space="preserve">（招标公告及招标文件公告期限）自本公告发布之日起5个工作日。</w:t>
      </w:r>
      <w:r>
        <w:rPr>
          <w:rFonts w:ascii="宋体" w:hAnsi="宋体" w:cs="宋体"/>
          <w:color w:val="auto"/>
          <w:sz w:val="24"/>
          <w:szCs w:val="24"/>
          <w:highlight w:val="none"/>
        </w:rPr>
      </w:r>
      <w:r>
        <w:rPr>
          <w:color w:val="auto"/>
          <w:highlight w:val="none"/>
        </w:rPr>
      </w:r>
    </w:p>
    <w:p>
      <w:pPr>
        <w:pStyle w:val="932"/>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rPr>
          <w:color w:val="auto"/>
          <w:highlight w:val="none"/>
        </w:rPr>
      </w:r>
      <w:bookmarkEnd w:id="33"/>
      <w:r>
        <w:rPr>
          <w:color w:val="auto"/>
          <w:highlight w:val="none"/>
        </w:rPr>
      </w:r>
      <w:bookmarkEnd w:id="34"/>
      <w:r>
        <w:rPr>
          <w:color w:val="auto"/>
          <w:sz w:val="30"/>
          <w:szCs w:val="30"/>
          <w:highlight w:val="none"/>
        </w:rPr>
      </w:r>
      <w:r>
        <w:rPr>
          <w:color w:val="auto"/>
          <w:highlight w:val="none"/>
        </w:rPr>
      </w:r>
    </w:p>
    <w:p>
      <w:pPr>
        <w:pStyle w:val="929"/>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rPr>
          <w:rFonts w:ascii="宋体" w:hAnsi="宋体" w:cs="宋体"/>
          <w:color w:val="auto"/>
          <w:sz w:val="24"/>
          <w:szCs w:val="24"/>
          <w:highlight w:val="none"/>
        </w:rPr>
      </w:r>
      <w:r>
        <w:rPr>
          <w:color w:val="auto"/>
          <w:highlight w:val="none"/>
        </w:rPr>
      </w:r>
    </w:p>
    <w:p>
      <w:pPr>
        <w:pStyle w:val="932"/>
        <w:ind w:firstLine="452"/>
        <w:keepLines w:val="0"/>
        <w:keepNext w:val="0"/>
        <w:spacing w:before="0" w:after="0" w:line="500" w:lineRule="exact"/>
        <w:rPr>
          <w:color w:val="auto"/>
          <w:sz w:val="30"/>
          <w:szCs w:val="30"/>
          <w:highlight w:val="none"/>
        </w:rPr>
      </w:pPr>
      <w:r>
        <w:rPr>
          <w:color w:val="auto"/>
          <w:highlight w:val="none"/>
        </w:rPr>
      </w:r>
      <w:bookmarkStart w:id="35" w:name="_Toc28359008"/>
      <w:r>
        <w:rPr>
          <w:color w:val="auto"/>
          <w:highlight w:val="none"/>
        </w:rPr>
      </w:r>
      <w:bookmarkStart w:id="36" w:name="_Toc35393627"/>
      <w:r>
        <w:rPr>
          <w:color w:val="auto"/>
          <w:highlight w:val="none"/>
        </w:rPr>
      </w:r>
      <w:bookmarkStart w:id="37" w:name="_Toc28359085"/>
      <w:r>
        <w:rPr>
          <w:color w:val="auto"/>
          <w:highlight w:val="none"/>
        </w:rPr>
      </w:r>
      <w:bookmarkStart w:id="38" w:name="_Toc35393796"/>
      <w:r>
        <w:rPr>
          <w:color w:val="auto"/>
          <w:highlight w:val="none"/>
        </w:rPr>
      </w:r>
      <w:bookmarkStart w:id="39" w:name="_Toc38985269"/>
      <w:r>
        <w:rPr>
          <w:rFonts w:hint="eastAsia"/>
          <w:color w:val="auto"/>
          <w:sz w:val="30"/>
          <w:szCs w:val="30"/>
          <w:highlight w:val="none"/>
        </w:rPr>
        <w:t xml:space="preserve">七、本项目联系方式</w:t>
      </w:r>
      <w:bookmarkEnd w:id="35"/>
      <w:r>
        <w:rPr>
          <w:color w:val="auto"/>
          <w:highlight w:val="none"/>
        </w:rPr>
      </w:r>
      <w:bookmarkEnd w:id="36"/>
      <w:r>
        <w:rPr>
          <w:color w:val="auto"/>
          <w:highlight w:val="none"/>
        </w:rPr>
      </w:r>
      <w:bookmarkEnd w:id="37"/>
      <w:r>
        <w:rPr>
          <w:color w:val="auto"/>
          <w:highlight w:val="none"/>
        </w:rPr>
      </w:r>
      <w:bookmarkEnd w:id="38"/>
      <w:r>
        <w:rPr>
          <w:color w:val="auto"/>
          <w:highlight w:val="none"/>
        </w:rPr>
      </w:r>
      <w:bookmarkEnd w:id="39"/>
      <w:r>
        <w:rPr>
          <w:color w:val="auto"/>
          <w:sz w:val="30"/>
          <w:szCs w:val="30"/>
          <w:highlight w:val="none"/>
        </w:rPr>
      </w:r>
      <w:r>
        <w:rPr>
          <w:color w:val="auto"/>
          <w:highlight w:val="none"/>
        </w:rPr>
      </w:r>
    </w:p>
    <w:p>
      <w:pPr>
        <w:pStyle w:val="929"/>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rPr>
          <w:rFonts w:ascii="宋体" w:hAnsi="宋体" w:cs="宋体"/>
          <w:color w:val="auto"/>
          <w:sz w:val="24"/>
          <w:szCs w:val="24"/>
          <w:highlight w:val="none"/>
        </w:rPr>
      </w:r>
      <w:r>
        <w:rPr>
          <w:color w:val="auto"/>
          <w:highlight w:val="none"/>
        </w:rPr>
      </w:r>
    </w:p>
    <w:p>
      <w:pPr>
        <w:pStyle w:val="929"/>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rPr>
        <w:t xml:space="preserve">无锡卫生高等职业技术学校</w:t>
      </w:r>
      <w:r>
        <w:rPr>
          <w:rFonts w:ascii="宋体" w:hAnsi="宋体" w:cs="宋体"/>
          <w:color w:val="auto"/>
          <w:sz w:val="24"/>
          <w:szCs w:val="24"/>
          <w:highlight w:val="none"/>
        </w:rPr>
      </w:r>
      <w:r>
        <w:rPr>
          <w:color w:val="auto"/>
          <w:highlight w:val="none"/>
        </w:rPr>
      </w:r>
    </w:p>
    <w:p>
      <w:pPr>
        <w:pStyle w:val="929"/>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w:t>
      </w:r>
      <w:r>
        <w:rPr>
          <w:rFonts w:hint="eastAsia" w:ascii="宋体" w:hAnsi="宋体" w:cs="宋体"/>
          <w:color w:val="auto"/>
          <w:sz w:val="24"/>
          <w:szCs w:val="24"/>
          <w:highlight w:val="none"/>
        </w:rPr>
        <w:t xml:space="preserve">新光路305号</w:t>
      </w:r>
      <w:r>
        <w:rPr>
          <w:rFonts w:ascii="宋体" w:hAnsi="宋体" w:cs="宋体"/>
          <w:color w:val="auto"/>
          <w:sz w:val="24"/>
          <w:szCs w:val="24"/>
          <w:highlight w:val="none"/>
        </w:rPr>
      </w:r>
      <w:r>
        <w:rPr>
          <w:color w:val="auto"/>
          <w:highlight w:val="none"/>
        </w:rPr>
      </w:r>
    </w:p>
    <w:p>
      <w:pPr>
        <w:pStyle w:val="929"/>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rPr>
          <w:color w:val="auto"/>
          <w:highlight w:val="none"/>
        </w:rPr>
      </w:r>
      <w:bookmarkStart w:id="41" w:name="_Toc28359086"/>
      <w:r>
        <w:rPr>
          <w:rFonts w:hint="eastAsia" w:ascii="宋体" w:hAnsi="宋体" w:cs="宋体"/>
          <w:color w:val="auto"/>
          <w:sz w:val="24"/>
          <w:szCs w:val="24"/>
          <w:highlight w:val="none"/>
        </w:rPr>
        <w:t xml:space="preserve">见“项目联系方式”</w:t>
      </w:r>
      <w:r>
        <w:rPr>
          <w:rFonts w:ascii="宋体" w:hAnsi="宋体" w:cs="宋体"/>
          <w:color w:val="auto"/>
          <w:sz w:val="24"/>
          <w:szCs w:val="24"/>
          <w:highlight w:val="none"/>
        </w:rPr>
      </w:r>
      <w:r>
        <w:rPr>
          <w:color w:val="auto"/>
          <w:highlight w:val="none"/>
        </w:rPr>
      </w:r>
    </w:p>
    <w:p>
      <w:pPr>
        <w:pStyle w:val="929"/>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rPr>
          <w:color w:val="auto"/>
          <w:highlight w:val="none"/>
        </w:rPr>
      </w:r>
      <w:bookmarkEnd w:id="41"/>
      <w:r>
        <w:rPr>
          <w:rFonts w:hint="eastAsia" w:ascii="宋体" w:hAnsi="宋体" w:cs="宋体"/>
          <w:color w:val="auto"/>
          <w:sz w:val="24"/>
          <w:szCs w:val="24"/>
          <w:highlight w:val="none"/>
        </w:rPr>
        <w:t xml:space="preserve">采购代理机构信息</w:t>
      </w:r>
      <w:r>
        <w:rPr>
          <w:rFonts w:ascii="宋体" w:hAnsi="宋体" w:cs="宋体"/>
          <w:color w:val="auto"/>
          <w:sz w:val="24"/>
          <w:szCs w:val="24"/>
          <w:highlight w:val="none"/>
        </w:rPr>
      </w:r>
      <w:r>
        <w:rPr>
          <w:color w:val="auto"/>
          <w:highlight w:val="none"/>
        </w:rPr>
      </w:r>
    </w:p>
    <w:p>
      <w:pPr>
        <w:pStyle w:val="929"/>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称：无锡市公共资源交易中心</w:t>
      </w:r>
      <w:r>
        <w:rPr>
          <w:color w:val="auto"/>
          <w:highlight w:val="none"/>
        </w:rPr>
      </w:r>
    </w:p>
    <w:p>
      <w:pPr>
        <w:pStyle w:val="929"/>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址：无锡市滨湖区观山路199号10号3楼</w:t>
      </w:r>
      <w:r>
        <w:rPr>
          <w:rFonts w:ascii="宋体" w:hAnsi="宋体" w:cs="宋体"/>
          <w:color w:val="auto"/>
          <w:sz w:val="24"/>
          <w:szCs w:val="24"/>
          <w:highlight w:val="none"/>
        </w:rPr>
      </w:r>
      <w:r>
        <w:rPr>
          <w:color w:val="auto"/>
          <w:highlight w:val="none"/>
        </w:rPr>
      </w:r>
    </w:p>
    <w:p>
      <w:pPr>
        <w:pStyle w:val="929"/>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rPr>
          <w:color w:val="auto"/>
          <w:highlight w:val="none"/>
        </w:rPr>
      </w:r>
    </w:p>
    <w:p>
      <w:pPr>
        <w:pStyle w:val="929"/>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rPr>
          <w:color w:val="auto"/>
          <w:highlight w:val="none"/>
        </w:rPr>
      </w:r>
    </w:p>
    <w:p>
      <w:pPr>
        <w:pStyle w:val="929"/>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rPr>
        <w:t xml:space="preserve">项目咨询联系人：</w:t>
      </w:r>
      <w:r>
        <w:rPr>
          <w:rFonts w:hint="eastAsia" w:ascii="宋体" w:hAnsi="宋体" w:cs="宋体"/>
          <w:color w:val="auto"/>
          <w:sz w:val="24"/>
          <w:szCs w:val="24"/>
          <w:highlight w:val="none"/>
        </w:rPr>
        <w:t xml:space="preserve">杨磊</w:t>
      </w:r>
      <w:r>
        <w:rPr>
          <w:rFonts w:hint="eastAsia" w:ascii="宋体" w:hAnsi="宋体" w:cs="宋体"/>
          <w:color w:val="auto"/>
          <w:sz w:val="24"/>
          <w:szCs w:val="24"/>
          <w:highlight w:val="none"/>
        </w:rPr>
        <w:t xml:space="preserve">；电话：0510-</w:t>
      </w:r>
      <w:r>
        <w:rPr>
          <w:rFonts w:ascii="宋体" w:hAnsi="宋体" w:cs="宋体"/>
          <w:color w:val="auto"/>
          <w:sz w:val="24"/>
          <w:szCs w:val="24"/>
          <w:highlight w:val="none"/>
        </w:rPr>
        <w:t xml:space="preserve">81199036</w:t>
      </w:r>
      <w:r>
        <w:rPr>
          <w:rFonts w:hint="eastAsia" w:ascii="宋体" w:hAnsi="宋体" w:cs="宋体"/>
          <w:color w:val="auto"/>
          <w:sz w:val="24"/>
          <w:szCs w:val="24"/>
          <w:highlight w:val="none"/>
        </w:rPr>
      </w:r>
      <w:r>
        <w:rPr>
          <w:color w:val="auto"/>
          <w:highlight w:val="none"/>
        </w:rPr>
      </w:r>
    </w:p>
    <w:p>
      <w:pPr>
        <w:pStyle w:val="929"/>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w:t>
      </w:r>
      <w:r>
        <w:rPr>
          <w:rFonts w:hint="eastAsia" w:ascii="宋体" w:hAnsi="宋体" w:cs="宋体"/>
          <w:color w:val="auto"/>
          <w:sz w:val="24"/>
          <w:szCs w:val="24"/>
          <w:highlight w:val="none"/>
        </w:rPr>
        <w:t xml:space="preserve">杨磊；电话：0510-</w:t>
      </w:r>
      <w:r>
        <w:rPr>
          <w:rFonts w:ascii="宋体" w:hAnsi="宋体" w:cs="宋体"/>
          <w:color w:val="auto"/>
          <w:sz w:val="24"/>
          <w:szCs w:val="24"/>
          <w:highlight w:val="none"/>
        </w:rPr>
        <w:t xml:space="preserve">81199036</w:t>
      </w:r>
      <w:r>
        <w:rPr>
          <w:rFonts w:hint="eastAsia" w:ascii="宋体" w:hAnsi="宋体" w:cs="宋体"/>
          <w:color w:val="auto"/>
          <w:sz w:val="24"/>
          <w:szCs w:val="24"/>
          <w:highlight w:val="none"/>
        </w:rPr>
      </w:r>
      <w:r>
        <w:rPr>
          <w:color w:val="auto"/>
          <w:highlight w:val="none"/>
        </w:rPr>
      </w:r>
    </w:p>
    <w:p>
      <w:pPr>
        <w:pStyle w:val="929"/>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交易中心项目</w:t>
      </w: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rPr>
        <w:t xml:space="preserve">李洋</w:t>
      </w:r>
      <w:r>
        <w:rPr>
          <w:rFonts w:hint="eastAsia" w:ascii="宋体" w:hAnsi="宋体" w:cs="宋体"/>
          <w:color w:val="auto"/>
          <w:sz w:val="24"/>
          <w:szCs w:val="24"/>
          <w:highlight w:val="none"/>
        </w:rPr>
        <w:t xml:space="preserve">；电话：0510-</w:t>
      </w:r>
      <w:r>
        <w:rPr>
          <w:rFonts w:hint="eastAsia" w:ascii="宋体" w:hAnsi="宋体" w:cs="宋体"/>
          <w:color w:val="auto"/>
          <w:sz w:val="24"/>
          <w:szCs w:val="24"/>
          <w:highlight w:val="none"/>
        </w:rPr>
        <w:t xml:space="preserve">81827759</w:t>
      </w:r>
      <w:r>
        <w:rPr>
          <w:rFonts w:hint="eastAsia" w:ascii="宋体" w:hAnsi="宋体" w:cs="宋体"/>
          <w:color w:val="auto"/>
          <w:sz w:val="24"/>
          <w:szCs w:val="24"/>
          <w:highlight w:val="none"/>
        </w:rPr>
      </w:r>
      <w:r>
        <w:rPr>
          <w:color w:val="auto"/>
          <w:highlight w:val="none"/>
        </w:rPr>
      </w:r>
    </w:p>
    <w:p>
      <w:pPr>
        <w:pStyle w:val="932"/>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rPr>
          <w:color w:val="auto"/>
          <w:sz w:val="30"/>
          <w:szCs w:val="30"/>
          <w:highlight w:val="none"/>
        </w:rPr>
      </w:r>
      <w:r>
        <w:rPr>
          <w:color w:val="auto"/>
          <w:highlight w:val="none"/>
        </w:rPr>
      </w:r>
    </w:p>
    <w:p>
      <w:pPr>
        <w:pStyle w:val="929"/>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rPr>
          <w:rFonts w:ascii="宋体" w:hAnsi="宋体" w:cs="宋体"/>
          <w:color w:val="auto"/>
          <w:sz w:val="24"/>
          <w:szCs w:val="24"/>
          <w:highlight w:val="none"/>
        </w:rPr>
      </w:r>
      <w:r>
        <w:rPr>
          <w:color w:val="auto"/>
          <w:highlight w:val="none"/>
        </w:rPr>
      </w:r>
    </w:p>
    <w:p>
      <w:pPr>
        <w:pStyle w:val="929"/>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rPr>
          <w:color w:val="auto"/>
          <w:highlight w:val="none"/>
        </w:rPr>
      </w:r>
    </w:p>
    <w:p>
      <w:pPr>
        <w:pStyle w:val="929"/>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rPr>
          <w:rFonts w:ascii="宋体" w:hAnsi="宋体"/>
          <w:color w:val="auto"/>
          <w:sz w:val="24"/>
          <w:szCs w:val="24"/>
          <w:highlight w:val="none"/>
        </w:rPr>
      </w:r>
      <w:r>
        <w:rPr>
          <w:color w:val="auto"/>
          <w:highlight w:val="none"/>
        </w:rPr>
      </w:r>
    </w:p>
    <w:p>
      <w:pPr>
        <w:pStyle w:val="929"/>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rPr>
          <w:color w:val="auto"/>
          <w:highlight w:val="none"/>
        </w:rPr>
      </w:r>
    </w:p>
    <w:p>
      <w:pPr>
        <w:pStyle w:val="929"/>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rPr>
          <w:color w:val="auto"/>
          <w:highlight w:val="none"/>
        </w:rPr>
      </w:r>
    </w:p>
    <w:p>
      <w:pPr>
        <w:pStyle w:val="929"/>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w:t>
      </w:r>
      <w:r>
        <w:rPr>
          <w:rFonts w:ascii="宋体" w:hAnsi="宋体"/>
          <w:color w:val="auto"/>
          <w:sz w:val="24"/>
          <w:szCs w:val="24"/>
          <w:highlight w:val="none"/>
        </w:rPr>
        <w:t xml:space="preserve">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rPr>
          <w:color w:val="auto"/>
          <w:highlight w:val="none"/>
        </w:rPr>
      </w:r>
    </w:p>
    <w:p>
      <w:pPr>
        <w:pStyle w:val="929"/>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rPr>
          <w:color w:val="auto"/>
          <w:highlight w:val="none"/>
        </w:rPr>
      </w:r>
    </w:p>
    <w:p>
      <w:pPr>
        <w:pStyle w:val="929"/>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rPr>
          <w:color w:val="auto"/>
          <w:highlight w:val="none"/>
        </w:rPr>
      </w:r>
    </w:p>
    <w:p>
      <w:pPr>
        <w:pStyle w:val="929"/>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rPr>
          <w:color w:val="auto"/>
          <w:highlight w:val="none"/>
        </w:rPr>
      </w:r>
    </w:p>
    <w:p>
      <w:pPr>
        <w:pStyle w:val="929"/>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w:t>
      </w:r>
      <w:r>
        <w:rPr>
          <w:rFonts w:ascii="宋体" w:hAnsi="宋体"/>
          <w:color w:val="auto"/>
          <w:sz w:val="24"/>
          <w:szCs w:val="24"/>
          <w:highlight w:val="none"/>
        </w:rPr>
        <w:t xml:space="preserve">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w:t>
      </w:r>
      <w:r>
        <w:rPr>
          <w:rFonts w:ascii="宋体" w:hAnsi="宋体"/>
          <w:color w:val="auto"/>
          <w:sz w:val="24"/>
          <w:szCs w:val="24"/>
          <w:highlight w:val="none"/>
        </w:rPr>
        <w:t xml:space="preserve">址：无锡市政府采购网——资料下载——</w:t>
      </w:r>
      <w:r>
        <w:rPr>
          <w:rFonts w:hint="eastAsia" w:ascii="宋体" w:hAnsi="宋体"/>
          <w:color w:val="auto"/>
          <w:sz w:val="24"/>
          <w:szCs w:val="24"/>
          <w:highlight w:val="none"/>
        </w:rPr>
        <w:t xml:space="preserve">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w:t>
      </w:r>
      <w:r>
        <w:rPr>
          <w:rFonts w:ascii="宋体" w:hAnsi="宋体"/>
          <w:color w:val="auto"/>
          <w:sz w:val="24"/>
          <w:szCs w:val="24"/>
          <w:highlight w:val="none"/>
        </w:rPr>
      </w:r>
      <w:r>
        <w:rPr>
          <w:color w:val="auto"/>
          <w:highlight w:val="none"/>
        </w:rPr>
      </w:r>
    </w:p>
    <w:p>
      <w:pPr>
        <w:pStyle w:val="929"/>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rPr>
          <w:rFonts w:ascii="宋体" w:hAnsi="宋体"/>
          <w:color w:val="auto"/>
          <w:sz w:val="24"/>
          <w:szCs w:val="24"/>
          <w:highlight w:val="none"/>
        </w:rPr>
      </w:r>
      <w:r>
        <w:rPr>
          <w:color w:val="auto"/>
          <w:highlight w:val="none"/>
        </w:rPr>
      </w:r>
    </w:p>
    <w:p>
      <w:pPr>
        <w:pStyle w:val="929"/>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rPr>
          <w:rFonts w:ascii="宋体" w:hAnsi="宋体" w:cs="宋体"/>
          <w:color w:val="auto"/>
          <w:sz w:val="24"/>
          <w:szCs w:val="24"/>
          <w:highlight w:val="none"/>
        </w:rPr>
      </w:r>
      <w:r>
        <w:rPr>
          <w:color w:val="auto"/>
          <w:highlight w:val="none"/>
        </w:rPr>
      </w:r>
    </w:p>
    <w:p>
      <w:pPr>
        <w:pStyle w:val="929"/>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w:t>
      </w:r>
      <w:r>
        <w:rPr>
          <w:rFonts w:ascii="宋体" w:hAnsi="宋体"/>
          <w:color w:val="auto"/>
          <w:sz w:val="24"/>
          <w:szCs w:val="24"/>
          <w:highlight w:val="none"/>
        </w:rPr>
        <w:t xml:space="preserve">如确</w:t>
      </w:r>
      <w:r>
        <w:rPr>
          <w:rFonts w:ascii="宋体" w:hAnsi="宋体"/>
          <w:color w:val="auto"/>
          <w:sz w:val="24"/>
          <w:szCs w:val="24"/>
          <w:highlight w:val="none"/>
        </w:rPr>
        <w:t xml:space="preserve">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w:t>
      </w:r>
      <w:r>
        <w:rPr>
          <w:rFonts w:hint="eastAsia" w:ascii="宋体" w:hAnsi="宋体"/>
          <w:color w:val="auto"/>
          <w:sz w:val="24"/>
          <w:szCs w:val="24"/>
          <w:highlight w:val="none"/>
        </w:rPr>
        <w:t xml:space="preserve">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rPr>
          <w:color w:val="auto"/>
          <w:highlight w:val="none"/>
        </w:rPr>
      </w:r>
    </w:p>
    <w:p>
      <w:pPr>
        <w:pStyle w:val="929"/>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（三）有关本次采购的事项若存在变动或修改，敬请及时关注无锡市公共资源交易中心在“无锡政府采购网”“江苏政府采购网”发布的更正公告。</w:t>
      </w:r>
      <w:r>
        <w:rPr>
          <w:color w:val="auto"/>
          <w:highlight w:val="none"/>
        </w:rPr>
      </w:r>
    </w:p>
    <w:p>
      <w:pPr>
        <w:pStyle w:val="929"/>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rPr>
          <w:rFonts w:hint="eastAsia" w:ascii="宋体" w:hAnsi="宋体"/>
          <w:bCs/>
          <w:color w:val="auto"/>
          <w:sz w:val="24"/>
          <w:szCs w:val="24"/>
          <w:highlight w:val="none"/>
          <w:shd w:val="clear" w:color="ffffff" w:fill="d9d9d9"/>
        </w:rPr>
      </w:r>
      <w:r>
        <w:rPr>
          <w:color w:val="auto"/>
          <w:highlight w:val="none"/>
        </w:rPr>
      </w:r>
    </w:p>
    <w:p>
      <w:pPr>
        <w:pStyle w:val="929"/>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rPr>
          <w:color w:val="auto"/>
          <w:highlight w:val="none"/>
        </w:rPr>
      </w:r>
      <w:bookmarkEnd w:id="2"/>
      <w:r>
        <w:rPr>
          <w:color w:val="auto"/>
          <w:highlight w:val="none"/>
        </w:rPr>
      </w:r>
      <w:bookmarkEnd w:id="3"/>
      <w:r>
        <w:rPr>
          <w:color w:val="auto"/>
          <w:highlight w:val="none"/>
        </w:rPr>
      </w:r>
      <w:bookmarkEnd w:id="4"/>
      <w:r>
        <w:rPr>
          <w:color w:val="auto"/>
          <w:highlight w:val="none"/>
        </w:rPr>
      </w:r>
      <w:bookmarkEnd w:id="5"/>
      <w:r>
        <w:rPr>
          <w:color w:val="auto"/>
          <w:highlight w:val="none"/>
        </w:rPr>
      </w:r>
      <w:bookmarkEnd w:id="42"/>
      <w:r>
        <w:rPr>
          <w:color w:val="auto"/>
          <w:highlight w:val="none"/>
        </w:rPr>
      </w:r>
      <w:bookmarkStart w:id="43" w:name="_Toc16938518"/>
      <w:r>
        <w:rPr>
          <w:color w:val="auto"/>
          <w:highlight w:val="none"/>
        </w:rPr>
      </w:r>
      <w:bookmarkStart w:id="44" w:name="_Toc20823274"/>
      <w:r>
        <w:rPr>
          <w:color w:val="auto"/>
          <w:highlight w:val="none"/>
        </w:rPr>
      </w:r>
      <w:bookmarkStart w:id="45" w:name="_Toc513029202"/>
      <w:r>
        <w:rPr>
          <w:color w:val="auto"/>
          <w:highlight w:val="none"/>
        </w:rPr>
      </w:r>
      <w:bookmarkStart w:id="46" w:name="_Toc120614213"/>
      <w:r>
        <w:rPr>
          <w:rFonts w:hint="eastAsia" w:ascii="黑体" w:hAnsi="黑体" w:eastAsia="黑体"/>
          <w:color w:val="auto"/>
          <w:sz w:val="36"/>
          <w:szCs w:val="36"/>
          <w:highlight w:val="none"/>
        </w:rPr>
        <w:t xml:space="preserve">投标人须知</w:t>
      </w:r>
      <w:bookmarkEnd w:id="43"/>
      <w:r>
        <w:rPr>
          <w:color w:val="auto"/>
          <w:highlight w:val="none"/>
        </w:rPr>
      </w:r>
      <w:bookmarkEnd w:id="44"/>
      <w:r>
        <w:rPr>
          <w:color w:val="auto"/>
          <w:highlight w:val="none"/>
        </w:rPr>
      </w:r>
      <w:bookmarkEnd w:id="45"/>
      <w:r>
        <w:rPr>
          <w:color w:val="auto"/>
          <w:highlight w:val="none"/>
        </w:rPr>
      </w:r>
      <w:bookmarkEnd w:id="46"/>
      <w:r>
        <w:rPr>
          <w:rFonts w:hint="eastAsia" w:ascii="黑体" w:hAnsi="黑体" w:eastAsia="黑体"/>
          <w:color w:val="auto"/>
          <w:sz w:val="36"/>
          <w:szCs w:val="36"/>
          <w:highlight w:val="none"/>
        </w:rPr>
      </w:r>
      <w:r>
        <w:rPr>
          <w:color w:val="auto"/>
          <w:highlight w:val="none"/>
        </w:rPr>
      </w:r>
    </w:p>
    <w:p>
      <w:pPr>
        <w:pStyle w:val="932"/>
        <w:ind w:firstLine="452"/>
        <w:keepLines w:val="0"/>
        <w:keepNext w:val="0"/>
        <w:spacing w:before="0" w:after="0" w:line="500" w:lineRule="exact"/>
        <w:rPr>
          <w:rFonts w:hint="eastAsia"/>
          <w:color w:val="auto"/>
          <w:sz w:val="30"/>
          <w:szCs w:val="30"/>
          <w:highlight w:val="none"/>
        </w:rPr>
      </w:pPr>
      <w:r>
        <w:rPr>
          <w:color w:val="auto"/>
          <w:highlight w:val="none"/>
        </w:rPr>
      </w:r>
      <w:bookmarkStart w:id="47" w:name="_Toc513029203"/>
      <w:r>
        <w:rPr>
          <w:color w:val="auto"/>
          <w:highlight w:val="none"/>
        </w:rPr>
      </w:r>
      <w:bookmarkStart w:id="48" w:name="_Toc120614214"/>
      <w:r>
        <w:rPr>
          <w:color w:val="auto"/>
          <w:highlight w:val="none"/>
        </w:rPr>
      </w:r>
      <w:bookmarkStart w:id="49" w:name="_Toc20823275"/>
      <w:r>
        <w:rPr>
          <w:color w:val="auto"/>
          <w:highlight w:val="none"/>
        </w:rPr>
      </w:r>
      <w:bookmarkStart w:id="50" w:name="_Toc16938519"/>
      <w:r>
        <w:rPr>
          <w:rFonts w:hint="eastAsia"/>
          <w:color w:val="auto"/>
          <w:sz w:val="30"/>
          <w:szCs w:val="30"/>
          <w:highlight w:val="none"/>
        </w:rPr>
        <w:t xml:space="preserve">一、总则</w:t>
      </w:r>
      <w:bookmarkEnd w:id="47"/>
      <w:r>
        <w:rPr>
          <w:color w:val="auto"/>
          <w:highlight w:val="none"/>
        </w:rPr>
      </w:r>
      <w:bookmarkEnd w:id="48"/>
      <w:r>
        <w:rPr>
          <w:color w:val="auto"/>
          <w:highlight w:val="none"/>
        </w:rPr>
      </w:r>
      <w:bookmarkEnd w:id="49"/>
      <w:r>
        <w:rPr>
          <w:color w:val="auto"/>
          <w:highlight w:val="none"/>
        </w:rPr>
      </w:r>
      <w:bookmarkEnd w:id="50"/>
      <w:r>
        <w:rPr>
          <w:rFonts w:hint="eastAsia"/>
          <w:color w:val="auto"/>
          <w:sz w:val="30"/>
          <w:szCs w:val="30"/>
          <w:highlight w:val="none"/>
        </w:rPr>
      </w:r>
      <w:r>
        <w:rPr>
          <w:color w:val="auto"/>
          <w:highlight w:val="none"/>
        </w:rPr>
      </w:r>
    </w:p>
    <w:p>
      <w:pPr>
        <w:pStyle w:val="933"/>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51" w:name="_Hlt16619475"/>
      <w:r>
        <w:rPr>
          <w:color w:val="auto"/>
          <w:highlight w:val="none"/>
        </w:rPr>
      </w:r>
      <w:bookmarkEnd w:id="51"/>
      <w:r>
        <w:rPr>
          <w:color w:val="auto"/>
          <w:highlight w:val="none"/>
        </w:rPr>
      </w:r>
      <w:bookmarkStart w:id="52" w:name="_Toc16938520"/>
      <w:r>
        <w:rPr>
          <w:color w:val="auto"/>
          <w:highlight w:val="none"/>
        </w:rPr>
      </w:r>
      <w:bookmarkStart w:id="53" w:name="_Toc513029204"/>
      <w:r>
        <w:rPr>
          <w:color w:val="auto"/>
          <w:highlight w:val="none"/>
        </w:rPr>
      </w:r>
      <w:bookmarkStart w:id="54" w:name="_Toc20823276"/>
      <w:r>
        <w:rPr>
          <w:rFonts w:hint="eastAsia" w:ascii="宋体" w:hAnsi="宋体" w:eastAsia="宋体"/>
          <w:bCs w:val="0"/>
          <w:color w:val="auto"/>
          <w:highlight w:val="none"/>
        </w:rPr>
        <w:t xml:space="preserve">1.招标方式</w:t>
      </w:r>
      <w:bookmarkEnd w:id="52"/>
      <w:r>
        <w:rPr>
          <w:color w:val="auto"/>
          <w:highlight w:val="none"/>
        </w:rPr>
      </w:r>
      <w:bookmarkEnd w:id="53"/>
      <w:r>
        <w:rPr>
          <w:color w:val="auto"/>
          <w:highlight w:val="none"/>
        </w:rPr>
      </w:r>
      <w:bookmarkEnd w:id="54"/>
      <w:r>
        <w:rPr>
          <w:rFonts w:hint="eastAsia" w:ascii="宋体" w:hAnsi="宋体" w:eastAsia="宋体"/>
          <w:bCs w:val="0"/>
          <w:color w:val="auto"/>
          <w:highlight w:val="none"/>
        </w:rPr>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rPr>
          <w:color w:val="auto"/>
          <w:highlight w:val="none"/>
        </w:rPr>
      </w:r>
    </w:p>
    <w:p>
      <w:pPr>
        <w:pStyle w:val="933"/>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55" w:name="_Toc16938521"/>
      <w:r>
        <w:rPr>
          <w:color w:val="auto"/>
          <w:highlight w:val="none"/>
        </w:rPr>
      </w:r>
      <w:bookmarkStart w:id="56" w:name="_Toc20823277"/>
      <w:r>
        <w:rPr>
          <w:color w:val="auto"/>
          <w:highlight w:val="none"/>
        </w:rPr>
      </w:r>
      <w:bookmarkStart w:id="57" w:name="_Toc513029205"/>
      <w:r>
        <w:rPr>
          <w:rFonts w:hint="eastAsia" w:ascii="宋体" w:hAnsi="宋体" w:eastAsia="宋体"/>
          <w:bCs w:val="0"/>
          <w:color w:val="auto"/>
          <w:highlight w:val="none"/>
        </w:rPr>
        <w:t xml:space="preserve">2.</w:t>
      </w:r>
      <w:bookmarkEnd w:id="55"/>
      <w:r>
        <w:rPr>
          <w:color w:val="auto"/>
          <w:highlight w:val="none"/>
        </w:rPr>
      </w:r>
      <w:bookmarkEnd w:id="56"/>
      <w:r>
        <w:rPr>
          <w:color w:val="auto"/>
          <w:highlight w:val="none"/>
        </w:rPr>
      </w:r>
      <w:bookmarkEnd w:id="57"/>
      <w:r>
        <w:rPr>
          <w:rFonts w:hint="eastAsia" w:ascii="宋体" w:hAnsi="宋体" w:eastAsia="宋体"/>
          <w:bCs w:val="0"/>
          <w:color w:val="auto"/>
          <w:highlight w:val="none"/>
        </w:rPr>
        <w:t xml:space="preserve">采购人、采购代理机构、投标人、联合体</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rPr>
          <w:color w:val="auto"/>
          <w:highlight w:val="none"/>
        </w:rPr>
      </w:r>
    </w:p>
    <w:p>
      <w:pPr>
        <w:pStyle w:val="929"/>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auto"/>
          <w:sz w:val="24"/>
          <w:szCs w:val="24"/>
          <w:highlight w:val="none"/>
        </w:rPr>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color w:val="auto"/>
          <w:highlight w:val="none"/>
        </w:rPr>
      </w:r>
    </w:p>
    <w:p>
      <w:pPr>
        <w:pStyle w:val="933"/>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58" w:name="_Toc513029206"/>
      <w:r>
        <w:rPr>
          <w:color w:val="auto"/>
          <w:highlight w:val="none"/>
        </w:rPr>
      </w:r>
      <w:bookmarkStart w:id="59" w:name="_Toc16938522"/>
      <w:r>
        <w:rPr>
          <w:color w:val="auto"/>
          <w:highlight w:val="none"/>
        </w:rPr>
      </w:r>
      <w:bookmarkStart w:id="60" w:name="_Toc20823278"/>
      <w:r>
        <w:rPr>
          <w:rFonts w:hint="eastAsia" w:ascii="宋体" w:hAnsi="宋体" w:eastAsia="宋体"/>
          <w:bCs w:val="0"/>
          <w:color w:val="auto"/>
          <w:highlight w:val="none"/>
        </w:rPr>
        <w:t xml:space="preserve">3.适用法律</w:t>
      </w:r>
      <w:bookmarkEnd w:id="58"/>
      <w:r>
        <w:rPr>
          <w:color w:val="auto"/>
          <w:highlight w:val="none"/>
        </w:rPr>
      </w:r>
      <w:bookmarkEnd w:id="59"/>
      <w:r>
        <w:rPr>
          <w:color w:val="auto"/>
          <w:highlight w:val="none"/>
        </w:rPr>
      </w:r>
      <w:bookmarkEnd w:id="60"/>
      <w:r>
        <w:rPr>
          <w:rFonts w:hint="eastAsia" w:ascii="宋体" w:hAnsi="宋体" w:eastAsia="宋体"/>
          <w:bCs w:val="0"/>
          <w:color w:val="auto"/>
          <w:highlight w:val="none"/>
        </w:rPr>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w:t>
      </w:r>
      <w:r>
        <w:rPr>
          <w:rFonts w:hint="eastAsia" w:ascii="宋体" w:hAnsi="宋体"/>
          <w:color w:val="auto"/>
          <w:sz w:val="24"/>
          <w:highlight w:val="none"/>
        </w:rPr>
        <w:t xml:space="preserve">本次招标及由此产生的合同受中华人民共和国法律的制约和保护。</w:t>
      </w:r>
      <w:r>
        <w:rPr>
          <w:rFonts w:hint="eastAsia" w:ascii="宋体" w:hAnsi="宋体"/>
          <w:color w:val="auto"/>
          <w:sz w:val="24"/>
          <w:highlight w:val="none"/>
        </w:rPr>
      </w:r>
      <w:r>
        <w:rPr>
          <w:color w:val="auto"/>
          <w:highlight w:val="none"/>
        </w:rPr>
      </w:r>
    </w:p>
    <w:p>
      <w:pPr>
        <w:pStyle w:val="933"/>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61" w:name="_Toc20823279"/>
      <w:r>
        <w:rPr>
          <w:color w:val="auto"/>
          <w:highlight w:val="none"/>
        </w:rPr>
      </w:r>
      <w:bookmarkStart w:id="62" w:name="_Toc513029207"/>
      <w:r>
        <w:rPr>
          <w:color w:val="auto"/>
          <w:highlight w:val="none"/>
        </w:rPr>
      </w:r>
      <w:bookmarkStart w:id="63" w:name="_Toc462564067"/>
      <w:r>
        <w:rPr>
          <w:color w:val="auto"/>
          <w:highlight w:val="none"/>
        </w:rPr>
      </w:r>
      <w:bookmarkStart w:id="64" w:name="_Toc16938523"/>
      <w:r>
        <w:rPr>
          <w:rFonts w:hint="eastAsia" w:ascii="宋体" w:hAnsi="宋体" w:eastAsia="宋体"/>
          <w:bCs w:val="0"/>
          <w:color w:val="auto"/>
          <w:highlight w:val="none"/>
        </w:rPr>
        <w:t xml:space="preserve">4.投标费用</w:t>
      </w:r>
      <w:bookmarkEnd w:id="61"/>
      <w:r>
        <w:rPr>
          <w:color w:val="auto"/>
          <w:highlight w:val="none"/>
        </w:rPr>
      </w:r>
      <w:bookmarkEnd w:id="62"/>
      <w:r>
        <w:rPr>
          <w:color w:val="auto"/>
          <w:highlight w:val="none"/>
        </w:rPr>
      </w:r>
      <w:bookmarkEnd w:id="63"/>
      <w:r>
        <w:rPr>
          <w:color w:val="auto"/>
          <w:highlight w:val="none"/>
        </w:rPr>
      </w:r>
      <w:bookmarkEnd w:id="64"/>
      <w:r>
        <w:rPr>
          <w:rFonts w:hint="eastAsia" w:ascii="宋体" w:hAnsi="宋体" w:eastAsia="宋体"/>
          <w:bCs w:val="0"/>
          <w:color w:val="auto"/>
          <w:highlight w:val="none"/>
        </w:rPr>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投标人应自行承担所有与参加投标有关的费用，无论投标过程中的做法和结果如何，无锡市公共资源交易中心（以下简称交易中心）在任何情况下均无义务和责任承担这些费用。</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4.2本次招标标书工本费</w:t>
      </w:r>
      <w:r>
        <w:rPr>
          <w:rFonts w:hint="eastAsia" w:ascii="宋体" w:hAnsi="宋体"/>
          <w:color w:val="auto"/>
          <w:sz w:val="24"/>
          <w:highlight w:val="none"/>
        </w:rPr>
        <w:t xml:space="preserve">、</w:t>
      </w:r>
      <w:r>
        <w:rPr>
          <w:rFonts w:hint="eastAsia" w:ascii="宋体" w:hAnsi="宋体"/>
          <w:color w:val="auto"/>
          <w:sz w:val="24"/>
          <w:highlight w:val="none"/>
        </w:rPr>
        <w:t xml:space="preserve">中标服务费</w:t>
      </w:r>
      <w:r>
        <w:rPr>
          <w:rFonts w:hint="eastAsia" w:ascii="宋体" w:hAnsi="宋体"/>
          <w:color w:val="auto"/>
          <w:sz w:val="24"/>
          <w:highlight w:val="none"/>
        </w:rPr>
        <w:t xml:space="preserve">、招标文件均免费</w:t>
      </w:r>
      <w:r>
        <w:rPr>
          <w:rFonts w:hint="eastAsia" w:ascii="宋体" w:hAnsi="宋体"/>
          <w:color w:val="auto"/>
          <w:sz w:val="24"/>
          <w:highlight w:val="none"/>
        </w:rPr>
        <w:t xml:space="preserve">。</w:t>
      </w:r>
      <w:r>
        <w:rPr>
          <w:color w:val="auto"/>
          <w:highlight w:val="none"/>
        </w:rPr>
      </w:r>
    </w:p>
    <w:p>
      <w:pPr>
        <w:pStyle w:val="933"/>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5.招标文件的约束力</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rPr>
          <w:color w:val="auto"/>
          <w:highlight w:val="none"/>
        </w:rPr>
      </w:r>
    </w:p>
    <w:p>
      <w:pPr>
        <w:pStyle w:val="932"/>
        <w:ind w:firstLine="452"/>
        <w:keepLines w:val="0"/>
        <w:keepNext w:val="0"/>
        <w:spacing w:before="0" w:after="0" w:line="500" w:lineRule="exact"/>
        <w:rPr>
          <w:rFonts w:hint="eastAsia"/>
          <w:color w:val="auto"/>
          <w:sz w:val="30"/>
          <w:szCs w:val="30"/>
          <w:highlight w:val="none"/>
        </w:rPr>
      </w:pPr>
      <w:r>
        <w:rPr>
          <w:color w:val="auto"/>
          <w:highlight w:val="none"/>
        </w:rPr>
      </w:r>
      <w:bookmarkStart w:id="65" w:name="_Toc16938525"/>
      <w:r>
        <w:rPr>
          <w:color w:val="auto"/>
          <w:highlight w:val="none"/>
        </w:rPr>
      </w:r>
      <w:bookmarkStart w:id="66" w:name="_Toc513029209"/>
      <w:r>
        <w:rPr>
          <w:color w:val="auto"/>
          <w:highlight w:val="none"/>
        </w:rPr>
      </w:r>
      <w:bookmarkStart w:id="67" w:name="_Toc120614215"/>
      <w:r>
        <w:rPr>
          <w:color w:val="auto"/>
          <w:highlight w:val="none"/>
        </w:rPr>
      </w:r>
      <w:bookmarkStart w:id="68" w:name="_Toc20823281"/>
      <w:r>
        <w:rPr>
          <w:rFonts w:hint="eastAsia"/>
          <w:color w:val="auto"/>
          <w:sz w:val="30"/>
          <w:szCs w:val="30"/>
          <w:highlight w:val="none"/>
        </w:rPr>
        <w:t xml:space="preserve">二、招标文件</w:t>
      </w:r>
      <w:bookmarkEnd w:id="65"/>
      <w:r>
        <w:rPr>
          <w:color w:val="auto"/>
          <w:highlight w:val="none"/>
        </w:rPr>
      </w:r>
      <w:bookmarkEnd w:id="66"/>
      <w:r>
        <w:rPr>
          <w:color w:val="auto"/>
          <w:highlight w:val="none"/>
        </w:rPr>
      </w:r>
      <w:bookmarkEnd w:id="67"/>
      <w:r>
        <w:rPr>
          <w:color w:val="auto"/>
          <w:highlight w:val="none"/>
        </w:rPr>
      </w:r>
      <w:bookmarkEnd w:id="68"/>
      <w:r>
        <w:rPr>
          <w:rFonts w:hint="eastAsia"/>
          <w:color w:val="auto"/>
          <w:sz w:val="30"/>
          <w:szCs w:val="30"/>
          <w:highlight w:val="none"/>
        </w:rPr>
      </w:r>
      <w:r>
        <w:rPr>
          <w:color w:val="auto"/>
          <w:highlight w:val="none"/>
        </w:rPr>
      </w:r>
    </w:p>
    <w:p>
      <w:pPr>
        <w:pStyle w:val="933"/>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69" w:name="_Toc20823282"/>
      <w:r>
        <w:rPr>
          <w:color w:val="auto"/>
          <w:highlight w:val="none"/>
        </w:rPr>
      </w:r>
      <w:bookmarkStart w:id="70" w:name="_Toc513029210"/>
      <w:r>
        <w:rPr>
          <w:color w:val="auto"/>
          <w:highlight w:val="none"/>
        </w:rPr>
      </w:r>
      <w:bookmarkStart w:id="71" w:name="_Toc16938526"/>
      <w:r>
        <w:rPr>
          <w:rFonts w:hint="eastAsia" w:ascii="宋体" w:hAnsi="宋体" w:eastAsia="宋体"/>
          <w:bCs w:val="0"/>
          <w:color w:val="auto"/>
          <w:highlight w:val="none"/>
        </w:rPr>
        <w:t xml:space="preserve">6.招标文件构成</w:t>
      </w:r>
      <w:bookmarkEnd w:id="69"/>
      <w:r>
        <w:rPr>
          <w:color w:val="auto"/>
          <w:highlight w:val="none"/>
        </w:rPr>
      </w:r>
      <w:bookmarkEnd w:id="70"/>
      <w:r>
        <w:rPr>
          <w:color w:val="auto"/>
          <w:highlight w:val="none"/>
        </w:rPr>
      </w:r>
      <w:bookmarkEnd w:id="71"/>
      <w:r>
        <w:rPr>
          <w:rFonts w:hint="eastAsia" w:ascii="宋体" w:hAnsi="宋体" w:eastAsia="宋体"/>
          <w:bCs w:val="0"/>
          <w:color w:val="auto"/>
          <w:highlight w:val="none"/>
        </w:rPr>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rPr>
          <w:rFonts w:hint="eastAsia" w:ascii="宋体" w:hAnsi="宋体"/>
          <w:color w:val="auto"/>
          <w:sz w:val="24"/>
          <w:szCs w:val="24"/>
          <w:highlight w:val="none"/>
        </w:rPr>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rPr>
          <w:color w:val="auto"/>
          <w:highlight w:val="none"/>
        </w:rPr>
      </w:r>
    </w:p>
    <w:p>
      <w:pPr>
        <w:pStyle w:val="929"/>
        <w:ind w:firstLine="480"/>
        <w:spacing w:line="500" w:lineRule="exact"/>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rPr>
          <w:rFonts w:hint="eastAsia"/>
          <w:color w:val="auto"/>
          <w:sz w:val="24"/>
          <w:szCs w:val="24"/>
          <w:highlight w:val="none"/>
        </w:rPr>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（6）投标文件内容与格式</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请仔细检查招标文件是否齐全，如有缺漏请立即与交易中心联系解决。</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auto"/>
          <w:highlight w:val="none"/>
        </w:rPr>
      </w:r>
    </w:p>
    <w:p>
      <w:pPr>
        <w:pStyle w:val="933"/>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72" w:name="_Toc16938527"/>
      <w:r>
        <w:rPr>
          <w:color w:val="auto"/>
          <w:highlight w:val="none"/>
        </w:rPr>
      </w:r>
      <w:bookmarkStart w:id="73" w:name="_Toc20823283"/>
      <w:r>
        <w:rPr>
          <w:color w:val="auto"/>
          <w:highlight w:val="none"/>
        </w:rPr>
      </w:r>
      <w:bookmarkStart w:id="74" w:name="_Toc462564070"/>
      <w:r>
        <w:rPr>
          <w:color w:val="auto"/>
          <w:highlight w:val="none"/>
        </w:rPr>
      </w:r>
      <w:bookmarkStart w:id="75" w:name="_Toc513029211"/>
      <w:r>
        <w:rPr>
          <w:rFonts w:hint="eastAsia" w:ascii="宋体" w:hAnsi="宋体" w:eastAsia="宋体"/>
          <w:bCs w:val="0"/>
          <w:color w:val="auto"/>
          <w:highlight w:val="none"/>
        </w:rPr>
        <w:t xml:space="preserve">7.招标文件的澄清</w:t>
      </w:r>
      <w:bookmarkEnd w:id="72"/>
      <w:r>
        <w:rPr>
          <w:color w:val="auto"/>
          <w:highlight w:val="none"/>
        </w:rPr>
      </w:r>
      <w:bookmarkEnd w:id="73"/>
      <w:r>
        <w:rPr>
          <w:color w:val="auto"/>
          <w:highlight w:val="none"/>
        </w:rPr>
      </w:r>
      <w:bookmarkEnd w:id="74"/>
      <w:r>
        <w:rPr>
          <w:color w:val="auto"/>
          <w:highlight w:val="none"/>
        </w:rPr>
      </w:r>
      <w:bookmarkEnd w:id="75"/>
      <w:r>
        <w:rPr>
          <w:rFonts w:hint="eastAsia" w:ascii="宋体" w:hAnsi="宋体" w:eastAsia="宋体"/>
          <w:bCs w:val="0"/>
          <w:color w:val="auto"/>
          <w:highlight w:val="none"/>
        </w:rPr>
      </w:r>
      <w:r>
        <w:rPr>
          <w:color w:val="auto"/>
          <w:highlight w:val="none"/>
        </w:rPr>
      </w:r>
    </w:p>
    <w:p>
      <w:pPr>
        <w:pStyle w:val="929"/>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w:t>
      </w:r>
      <w:r>
        <w:rPr>
          <w:rFonts w:hint="eastAsia" w:ascii="宋体" w:hAnsi="宋体"/>
          <w:bCs/>
          <w:color w:val="auto"/>
          <w:sz w:val="24"/>
          <w:highlight w:val="none"/>
        </w:rPr>
        <w:t xml:space="preserve">参照</w:t>
      </w:r>
      <w:r>
        <w:rPr>
          <w:rFonts w:hint="eastAsia" w:ascii="宋体" w:hAnsi="宋体"/>
          <w:bCs/>
          <w:color w:val="auto"/>
          <w:sz w:val="24"/>
          <w:highlight w:val="none"/>
        </w:rPr>
        <w:t xml:space="preserve">本章</w:t>
      </w:r>
      <w:r>
        <w:rPr>
          <w:rFonts w:hint="eastAsia" w:ascii="宋体" w:hAnsi="宋体"/>
          <w:bCs/>
          <w:color w:val="auto"/>
          <w:sz w:val="24"/>
          <w:highlight w:val="none"/>
        </w:rPr>
        <w:t xml:space="preserve">下述28.4条款的规定向采购人或交易中心以书面形式提出。</w:t>
      </w:r>
      <w:r>
        <w:rPr>
          <w:rFonts w:hint="eastAsia" w:ascii="宋体" w:hAnsi="宋体"/>
          <w:bCs/>
          <w:color w:val="auto"/>
          <w:sz w:val="24"/>
          <w:highlight w:val="none"/>
        </w:rPr>
      </w:r>
      <w:r>
        <w:rPr>
          <w:color w:val="auto"/>
          <w:highlight w:val="none"/>
        </w:rPr>
      </w:r>
    </w:p>
    <w:p>
      <w:pPr>
        <w:pStyle w:val="933"/>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76" w:name="_Toc20823284"/>
      <w:r>
        <w:rPr>
          <w:color w:val="auto"/>
          <w:highlight w:val="none"/>
        </w:rPr>
      </w:r>
      <w:bookmarkStart w:id="77" w:name="_Toc462564071"/>
      <w:r>
        <w:rPr>
          <w:color w:val="auto"/>
          <w:highlight w:val="none"/>
        </w:rPr>
      </w:r>
      <w:bookmarkStart w:id="78" w:name="_Toc16938528"/>
      <w:r>
        <w:rPr>
          <w:color w:val="auto"/>
          <w:highlight w:val="none"/>
        </w:rPr>
      </w:r>
      <w:bookmarkStart w:id="79" w:name="_Toc513029212"/>
      <w:r>
        <w:rPr>
          <w:rFonts w:hint="eastAsia" w:ascii="宋体" w:hAnsi="宋体" w:eastAsia="宋体"/>
          <w:bCs w:val="0"/>
          <w:color w:val="auto"/>
          <w:highlight w:val="none"/>
        </w:rPr>
        <w:t xml:space="preserve">8.招标文件的修改</w:t>
      </w:r>
      <w:bookmarkEnd w:id="76"/>
      <w:r>
        <w:rPr>
          <w:color w:val="auto"/>
          <w:highlight w:val="none"/>
        </w:rPr>
      </w:r>
      <w:bookmarkEnd w:id="77"/>
      <w:r>
        <w:rPr>
          <w:color w:val="auto"/>
          <w:highlight w:val="none"/>
        </w:rPr>
      </w:r>
      <w:bookmarkEnd w:id="78"/>
      <w:r>
        <w:rPr>
          <w:color w:val="auto"/>
          <w:highlight w:val="none"/>
        </w:rPr>
      </w:r>
      <w:bookmarkEnd w:id="79"/>
      <w:r>
        <w:rPr>
          <w:rFonts w:hint="eastAsia" w:ascii="宋体" w:hAnsi="宋体" w:eastAsia="宋体"/>
          <w:bCs w:val="0"/>
          <w:color w:val="auto"/>
          <w:highlight w:val="none"/>
        </w:rPr>
      </w:r>
      <w:r>
        <w:rPr>
          <w:color w:val="auto"/>
          <w:highlight w:val="none"/>
        </w:rPr>
      </w:r>
    </w:p>
    <w:p>
      <w:pPr>
        <w:pStyle w:val="929"/>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8.1交易中心可在投标截止时间十五日前对招标文件进行必要的澄清或者修改，不足十五日的，将顺延提交投标文件的截止时间和开标日期。</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color w:val="auto"/>
          <w:sz w:val="24"/>
          <w:highlight w:val="none"/>
        </w:rPr>
      </w:r>
      <w:r>
        <w:rPr>
          <w:color w:val="auto"/>
          <w:highlight w:val="none"/>
        </w:rPr>
      </w:r>
    </w:p>
    <w:p>
      <w:pPr>
        <w:pStyle w:val="932"/>
        <w:ind w:firstLine="452"/>
        <w:keepLines w:val="0"/>
        <w:keepNext w:val="0"/>
        <w:spacing w:before="0" w:after="0" w:line="500" w:lineRule="exact"/>
        <w:rPr>
          <w:rFonts w:hint="eastAsia"/>
          <w:color w:val="auto"/>
          <w:sz w:val="30"/>
          <w:szCs w:val="30"/>
          <w:highlight w:val="none"/>
        </w:rPr>
      </w:pPr>
      <w:r>
        <w:rPr>
          <w:color w:val="auto"/>
          <w:highlight w:val="none"/>
        </w:rPr>
      </w:r>
      <w:bookmarkStart w:id="80" w:name="_Toc120614216"/>
      <w:r>
        <w:rPr>
          <w:color w:val="auto"/>
          <w:highlight w:val="none"/>
        </w:rPr>
      </w:r>
      <w:bookmarkStart w:id="81" w:name="_Toc462564072"/>
      <w:r>
        <w:rPr>
          <w:color w:val="auto"/>
          <w:highlight w:val="none"/>
        </w:rPr>
      </w:r>
      <w:bookmarkStart w:id="82" w:name="_Toc20823285"/>
      <w:r>
        <w:rPr>
          <w:color w:val="auto"/>
          <w:highlight w:val="none"/>
        </w:rPr>
      </w:r>
      <w:bookmarkStart w:id="83" w:name="_Toc16938529"/>
      <w:r>
        <w:rPr>
          <w:color w:val="auto"/>
          <w:highlight w:val="none"/>
        </w:rPr>
      </w:r>
      <w:bookmarkStart w:id="84" w:name="_Toc513029213"/>
      <w:r>
        <w:rPr>
          <w:rFonts w:hint="eastAsia"/>
          <w:color w:val="auto"/>
          <w:sz w:val="30"/>
          <w:szCs w:val="30"/>
          <w:highlight w:val="none"/>
        </w:rPr>
        <w:t xml:space="preserve">三、投标文件的编制</w:t>
      </w:r>
      <w:bookmarkEnd w:id="80"/>
      <w:r>
        <w:rPr>
          <w:color w:val="auto"/>
          <w:highlight w:val="none"/>
        </w:rPr>
      </w:r>
      <w:bookmarkEnd w:id="81"/>
      <w:r>
        <w:rPr>
          <w:color w:val="auto"/>
          <w:highlight w:val="none"/>
        </w:rPr>
      </w:r>
      <w:bookmarkEnd w:id="82"/>
      <w:r>
        <w:rPr>
          <w:color w:val="auto"/>
          <w:highlight w:val="none"/>
        </w:rPr>
      </w:r>
      <w:bookmarkEnd w:id="83"/>
      <w:r>
        <w:rPr>
          <w:color w:val="auto"/>
          <w:highlight w:val="none"/>
        </w:rPr>
      </w:r>
      <w:bookmarkEnd w:id="84"/>
      <w:r>
        <w:rPr>
          <w:rFonts w:hint="eastAsia"/>
          <w:color w:val="auto"/>
          <w:sz w:val="30"/>
          <w:szCs w:val="30"/>
          <w:highlight w:val="none"/>
        </w:rPr>
      </w:r>
      <w:r>
        <w:rPr>
          <w:color w:val="auto"/>
          <w:highlight w:val="none"/>
        </w:rPr>
      </w:r>
    </w:p>
    <w:p>
      <w:pPr>
        <w:pStyle w:val="933"/>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85" w:name="_Toc462564073"/>
      <w:r>
        <w:rPr>
          <w:color w:val="auto"/>
          <w:highlight w:val="none"/>
        </w:rPr>
      </w:r>
      <w:bookmarkStart w:id="86" w:name="_Toc513029214"/>
      <w:r>
        <w:rPr>
          <w:color w:val="auto"/>
          <w:highlight w:val="none"/>
        </w:rPr>
      </w:r>
      <w:bookmarkStart w:id="87" w:name="_Toc20823286"/>
      <w:r>
        <w:rPr>
          <w:color w:val="auto"/>
          <w:highlight w:val="none"/>
        </w:rPr>
      </w:r>
      <w:bookmarkStart w:id="88" w:name="_Toc16938530"/>
      <w:r>
        <w:rPr>
          <w:rFonts w:hint="eastAsia" w:ascii="宋体" w:hAnsi="宋体" w:eastAsia="宋体"/>
          <w:bCs w:val="0"/>
          <w:color w:val="auto"/>
          <w:highlight w:val="none"/>
        </w:rPr>
        <w:t xml:space="preserve">9.投标文件的语言及度量衡单位</w:t>
      </w:r>
      <w:bookmarkEnd w:id="85"/>
      <w:r>
        <w:rPr>
          <w:color w:val="auto"/>
          <w:highlight w:val="none"/>
        </w:rPr>
      </w:r>
      <w:bookmarkEnd w:id="86"/>
      <w:r>
        <w:rPr>
          <w:color w:val="auto"/>
          <w:highlight w:val="none"/>
        </w:rPr>
      </w:r>
      <w:bookmarkEnd w:id="87"/>
      <w:r>
        <w:rPr>
          <w:color w:val="auto"/>
          <w:highlight w:val="none"/>
        </w:rPr>
      </w:r>
      <w:bookmarkEnd w:id="88"/>
      <w:r>
        <w:rPr>
          <w:rFonts w:hint="eastAsia" w:ascii="宋体" w:hAnsi="宋体" w:eastAsia="宋体"/>
          <w:bCs w:val="0"/>
          <w:color w:val="auto"/>
          <w:highlight w:val="none"/>
        </w:rPr>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投标人提交的投标文件以及投标人与交易中心就有关投标的所有来往通知、函</w:t>
      </w:r>
      <w:r>
        <w:rPr>
          <w:rFonts w:hint="eastAsia" w:ascii="宋体" w:hAnsi="宋体"/>
          <w:color w:val="auto"/>
          <w:sz w:val="24"/>
          <w:highlight w:val="none"/>
        </w:rPr>
        <w:t xml:space="preserve">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rPr>
          <w:color w:val="auto"/>
          <w:highlight w:val="none"/>
        </w:rPr>
      </w:r>
    </w:p>
    <w:p>
      <w:pPr>
        <w:pStyle w:val="933"/>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89" w:name="_Toc462564074"/>
      <w:r>
        <w:rPr>
          <w:color w:val="auto"/>
          <w:highlight w:val="none"/>
        </w:rPr>
      </w:r>
      <w:bookmarkStart w:id="90" w:name="_Toc16938531"/>
      <w:r>
        <w:rPr>
          <w:color w:val="auto"/>
          <w:highlight w:val="none"/>
        </w:rPr>
      </w:r>
      <w:bookmarkStart w:id="91" w:name="_Toc20823287"/>
      <w:r>
        <w:rPr>
          <w:color w:val="auto"/>
          <w:highlight w:val="none"/>
        </w:rPr>
      </w:r>
      <w:bookmarkStart w:id="92" w:name="_Toc513029215"/>
      <w:r>
        <w:rPr>
          <w:rFonts w:hint="eastAsia" w:ascii="宋体" w:hAnsi="宋体" w:eastAsia="宋体"/>
          <w:bCs w:val="0"/>
          <w:color w:val="auto"/>
          <w:highlight w:val="none"/>
        </w:rPr>
        <w:t xml:space="preserve">10.投标文件构成</w:t>
      </w:r>
      <w:bookmarkEnd w:id="89"/>
      <w:r>
        <w:rPr>
          <w:color w:val="auto"/>
          <w:highlight w:val="none"/>
        </w:rPr>
      </w:r>
      <w:bookmarkEnd w:id="90"/>
      <w:r>
        <w:rPr>
          <w:color w:val="auto"/>
          <w:highlight w:val="none"/>
        </w:rPr>
      </w:r>
      <w:bookmarkEnd w:id="91"/>
      <w:r>
        <w:rPr>
          <w:color w:val="auto"/>
          <w:highlight w:val="none"/>
        </w:rPr>
      </w:r>
      <w:bookmarkEnd w:id="92"/>
      <w:r>
        <w:rPr>
          <w:rFonts w:hint="eastAsia" w:ascii="宋体" w:hAnsi="宋体" w:eastAsia="宋体"/>
          <w:bCs w:val="0"/>
          <w:color w:val="auto"/>
          <w:highlight w:val="none"/>
        </w:rPr>
      </w:r>
      <w:r>
        <w:rPr>
          <w:color w:val="auto"/>
          <w:highlight w:val="none"/>
        </w:rPr>
      </w:r>
    </w:p>
    <w:p>
      <w:pPr>
        <w:pStyle w:val="929"/>
        <w:ind w:firstLine="480"/>
        <w:spacing w:line="500" w:lineRule="exact"/>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auto"/>
          <w:sz w:val="24"/>
          <w:highlight w:val="none"/>
        </w:rPr>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rPr>
          <w:color w:val="auto"/>
          <w:highlight w:val="none"/>
        </w:rPr>
      </w:r>
    </w:p>
    <w:p>
      <w:pPr>
        <w:pStyle w:val="933"/>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93" w:name="_Hlt26670360"/>
      <w:r>
        <w:rPr>
          <w:color w:val="auto"/>
          <w:highlight w:val="none"/>
        </w:rPr>
      </w:r>
      <w:bookmarkEnd w:id="93"/>
      <w:r>
        <w:rPr>
          <w:color w:val="auto"/>
          <w:highlight w:val="none"/>
        </w:rPr>
      </w:r>
      <w:bookmarkStart w:id="94" w:name="_Hlt26668975"/>
      <w:r>
        <w:rPr>
          <w:color w:val="auto"/>
          <w:highlight w:val="none"/>
        </w:rPr>
      </w:r>
      <w:bookmarkEnd w:id="94"/>
      <w:r>
        <w:rPr>
          <w:color w:val="auto"/>
          <w:highlight w:val="none"/>
        </w:rPr>
      </w:r>
      <w:bookmarkStart w:id="95" w:name="_Hlt26954838"/>
      <w:r>
        <w:rPr>
          <w:color w:val="auto"/>
          <w:highlight w:val="none"/>
        </w:rPr>
      </w:r>
      <w:bookmarkEnd w:id="95"/>
      <w:r>
        <w:rPr>
          <w:color w:val="auto"/>
          <w:highlight w:val="none"/>
        </w:rPr>
      </w:r>
      <w:bookmarkStart w:id="96" w:name="_Toc49090509"/>
      <w:r>
        <w:rPr>
          <w:color w:val="auto"/>
          <w:highlight w:val="none"/>
        </w:rPr>
      </w:r>
      <w:bookmarkStart w:id="97" w:name="_Toc513029219"/>
      <w:r>
        <w:rPr>
          <w:color w:val="auto"/>
          <w:highlight w:val="none"/>
        </w:rPr>
      </w:r>
      <w:bookmarkStart w:id="98" w:name="_Toc14577357"/>
      <w:r>
        <w:rPr>
          <w:color w:val="auto"/>
          <w:highlight w:val="none"/>
        </w:rPr>
      </w:r>
      <w:bookmarkStart w:id="99" w:name="_Toc513029216"/>
      <w:r>
        <w:rPr>
          <w:color w:val="auto"/>
          <w:highlight w:val="none"/>
        </w:rPr>
      </w:r>
      <w:bookmarkStart w:id="100" w:name="_Toc49090507"/>
      <w:r>
        <w:rPr>
          <w:color w:val="auto"/>
          <w:highlight w:val="none"/>
        </w:rPr>
      </w:r>
      <w:bookmarkStart w:id="101" w:name="_Toc14577354"/>
      <w:r>
        <w:rPr>
          <w:rFonts w:hint="eastAsia" w:ascii="宋体" w:hAnsi="宋体" w:eastAsia="宋体"/>
          <w:bCs w:val="0"/>
          <w:color w:val="auto"/>
          <w:highlight w:val="none"/>
        </w:rPr>
        <w:t xml:space="preserve">11.证明投标人及投标标的符合招标文件规定的文件</w:t>
      </w:r>
      <w:bookmarkEnd w:id="96"/>
      <w:r>
        <w:rPr>
          <w:color w:val="auto"/>
          <w:highlight w:val="none"/>
        </w:rPr>
      </w:r>
      <w:bookmarkEnd w:id="97"/>
      <w:r>
        <w:rPr>
          <w:color w:val="auto"/>
          <w:highlight w:val="none"/>
        </w:rPr>
      </w:r>
      <w:bookmarkEnd w:id="98"/>
      <w:r>
        <w:rPr>
          <w:rFonts w:hint="eastAsia" w:ascii="宋体" w:hAnsi="宋体" w:eastAsia="宋体"/>
          <w:bCs w:val="0"/>
          <w:color w:val="auto"/>
          <w:highlight w:val="none"/>
        </w:rPr>
      </w:r>
      <w:r>
        <w:rPr>
          <w:color w:val="auto"/>
          <w:highlight w:val="none"/>
        </w:rPr>
      </w:r>
    </w:p>
    <w:p>
      <w:pPr>
        <w:pStyle w:val="929"/>
        <w:ind w:firstLine="480"/>
        <w:spacing w:line="500" w:lineRule="exact"/>
        <w:rPr>
          <w:rFonts w:hint="eastAsia" w:ascii="宋体" w:hAnsi="宋体"/>
          <w:bCs/>
          <w:color w:val="auto"/>
          <w:sz w:val="24"/>
          <w:highlight w:val="none"/>
        </w:rPr>
      </w:pPr>
      <w:r>
        <w:rPr>
          <w:color w:val="auto"/>
          <w:highlight w:val="none"/>
        </w:rPr>
      </w:r>
      <w:bookmarkEnd w:id="99"/>
      <w:r>
        <w:rPr>
          <w:color w:val="auto"/>
          <w:highlight w:val="none"/>
        </w:rPr>
      </w:r>
      <w:bookmarkEnd w:id="100"/>
      <w:r>
        <w:rPr>
          <w:color w:val="auto"/>
          <w:highlight w:val="none"/>
        </w:rPr>
      </w:r>
      <w:bookmarkEnd w:id="101"/>
      <w:r>
        <w:rPr>
          <w:color w:val="auto"/>
          <w:highlight w:val="none"/>
        </w:rPr>
      </w:r>
      <w:bookmarkStart w:id="102" w:name="_Toc14577355"/>
      <w:r>
        <w:rPr>
          <w:color w:val="auto"/>
          <w:highlight w:val="none"/>
        </w:rPr>
      </w:r>
      <w:bookmarkStart w:id="103"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11.1投标人应按照法律、法规、规章和规范性文件以及招标文件要求提交证明文件，证明其及投标标的符合招标文件规定。</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rPr>
          <w:color w:val="auto"/>
          <w:highlight w:val="none"/>
        </w:rPr>
      </w:r>
    </w:p>
    <w:p>
      <w:pPr>
        <w:pStyle w:val="933"/>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04" w:name="_Toc14577359"/>
      <w:r>
        <w:rPr>
          <w:color w:val="auto"/>
          <w:highlight w:val="none"/>
        </w:rPr>
      </w:r>
      <w:bookmarkStart w:id="105" w:name="_Toc49090510"/>
      <w:r>
        <w:rPr>
          <w:rFonts w:hint="eastAsia" w:ascii="宋体" w:hAnsi="宋体" w:eastAsia="宋体"/>
          <w:bCs w:val="0"/>
          <w:color w:val="auto"/>
          <w:highlight w:val="none"/>
        </w:rPr>
        <w:t xml:space="preserve">12.投标函、承诺书和开标一览表</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rPr>
          <w:color w:val="auto"/>
          <w:highlight w:val="none"/>
        </w:rPr>
      </w:r>
    </w:p>
    <w:p>
      <w:pPr>
        <w:pStyle w:val="929"/>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auto"/>
          <w:sz w:val="24"/>
          <w:highlight w:val="none"/>
        </w:rPr>
      </w:r>
      <w:r>
        <w:rPr>
          <w:color w:val="auto"/>
          <w:highlight w:val="none"/>
        </w:rPr>
      </w:r>
    </w:p>
    <w:p>
      <w:pPr>
        <w:pStyle w:val="933"/>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End w:id="104"/>
      <w:r>
        <w:rPr>
          <w:color w:val="auto"/>
          <w:highlight w:val="none"/>
        </w:rPr>
      </w:r>
      <w:bookmarkEnd w:id="105"/>
      <w:r>
        <w:rPr>
          <w:rFonts w:hint="eastAsia" w:ascii="宋体" w:hAnsi="宋体" w:eastAsia="宋体"/>
          <w:bCs w:val="0"/>
          <w:color w:val="auto"/>
          <w:highlight w:val="none"/>
        </w:rPr>
        <w:t xml:space="preserve">13.</w:t>
      </w:r>
      <w:bookmarkEnd w:id="102"/>
      <w:r>
        <w:rPr>
          <w:color w:val="auto"/>
          <w:highlight w:val="none"/>
        </w:rPr>
      </w:r>
      <w:bookmarkEnd w:id="103"/>
      <w:r>
        <w:rPr>
          <w:rFonts w:hint="eastAsia" w:ascii="宋体" w:hAnsi="宋体" w:eastAsia="宋体"/>
          <w:bCs w:val="0"/>
          <w:color w:val="auto"/>
          <w:highlight w:val="none"/>
        </w:rPr>
        <w:t xml:space="preserve">分项报价表</w:t>
      </w:r>
      <w:r>
        <w:rPr>
          <w:color w:val="auto"/>
          <w:highlight w:val="none"/>
        </w:rPr>
      </w:r>
    </w:p>
    <w:p>
      <w:pPr>
        <w:pStyle w:val="929"/>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rPr>
          <w:color w:val="auto"/>
          <w:highlight w:val="none"/>
        </w:rPr>
      </w:r>
      <w:bookmarkEnd w:id="106"/>
      <w:r>
        <w:rPr>
          <w:rFonts w:hint="eastAsia" w:ascii="宋体" w:hAnsi="宋体"/>
          <w:color w:val="auto"/>
          <w:sz w:val="24"/>
          <w:highlight w:val="none"/>
        </w:rPr>
        <w:t xml:space="preserve">标人应按照招标文件规定格式填报</w:t>
      </w:r>
      <w:bookmarkStart w:id="107" w:name="_Hlt26670399"/>
      <w:r>
        <w:rPr>
          <w:color w:val="auto"/>
          <w:highlight w:val="none"/>
        </w:rPr>
      </w:r>
      <w:bookmarkEnd w:id="107"/>
      <w:r>
        <w:rPr>
          <w:rFonts w:hint="eastAsia" w:ascii="宋体" w:hAnsi="宋体"/>
          <w:color w:val="auto"/>
          <w:sz w:val="24"/>
          <w:highlight w:val="none"/>
        </w:rPr>
        <w:t xml:space="preserve">分项报价表。</w:t>
      </w:r>
      <w:r>
        <w:rPr>
          <w:rFonts w:hint="eastAsia" w:ascii="宋体" w:hAnsi="宋体"/>
          <w:bCs/>
          <w:color w:val="auto"/>
          <w:sz w:val="24"/>
          <w:highlight w:val="none"/>
        </w:rPr>
      </w:r>
      <w:r>
        <w:rPr>
          <w:color w:val="auto"/>
          <w:highlight w:val="none"/>
        </w:rPr>
      </w:r>
    </w:p>
    <w:p>
      <w:pPr>
        <w:pStyle w:val="929"/>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rPr>
          <w:rFonts w:hint="eastAsia" w:ascii="宋体" w:hAnsi="宋体"/>
          <w:bCs/>
          <w:color w:val="auto"/>
          <w:sz w:val="24"/>
          <w:highlight w:val="none"/>
        </w:rPr>
      </w:r>
      <w:r>
        <w:rPr>
          <w:color w:val="auto"/>
          <w:highlight w:val="none"/>
        </w:rPr>
      </w:r>
    </w:p>
    <w:p>
      <w:pPr>
        <w:pStyle w:val="933"/>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08" w:name="_Hlt26954848"/>
      <w:r>
        <w:rPr>
          <w:color w:val="auto"/>
          <w:highlight w:val="none"/>
        </w:rPr>
      </w:r>
      <w:bookmarkEnd w:id="108"/>
      <w:r>
        <w:rPr>
          <w:color w:val="auto"/>
          <w:highlight w:val="none"/>
        </w:rPr>
      </w:r>
      <w:bookmarkStart w:id="109" w:name="_Hlt26670425"/>
      <w:r>
        <w:rPr>
          <w:color w:val="auto"/>
          <w:highlight w:val="none"/>
        </w:rPr>
      </w:r>
      <w:bookmarkEnd w:id="109"/>
      <w:r>
        <w:rPr>
          <w:color w:val="auto"/>
          <w:highlight w:val="none"/>
        </w:rPr>
      </w:r>
      <w:bookmarkStart w:id="110" w:name="_Hlt26670403"/>
      <w:r>
        <w:rPr>
          <w:color w:val="auto"/>
          <w:highlight w:val="none"/>
        </w:rPr>
      </w:r>
      <w:bookmarkEnd w:id="110"/>
      <w:r>
        <w:rPr>
          <w:color w:val="auto"/>
          <w:highlight w:val="none"/>
        </w:rPr>
      </w:r>
      <w:bookmarkStart w:id="111" w:name="_Hlt26954846"/>
      <w:r>
        <w:rPr>
          <w:color w:val="auto"/>
          <w:highlight w:val="none"/>
        </w:rPr>
      </w:r>
      <w:bookmarkEnd w:id="111"/>
      <w:r>
        <w:rPr>
          <w:color w:val="auto"/>
          <w:highlight w:val="none"/>
        </w:rPr>
      </w:r>
      <w:bookmarkStart w:id="112" w:name="_Hlt26668983"/>
      <w:r>
        <w:rPr>
          <w:color w:val="auto"/>
          <w:highlight w:val="none"/>
        </w:rPr>
      </w:r>
      <w:bookmarkEnd w:id="112"/>
      <w:r>
        <w:rPr>
          <w:color w:val="auto"/>
          <w:highlight w:val="none"/>
        </w:rPr>
      </w:r>
      <w:bookmarkStart w:id="113" w:name="_Hlt26954731"/>
      <w:r>
        <w:rPr>
          <w:color w:val="auto"/>
          <w:highlight w:val="none"/>
        </w:rPr>
      </w:r>
      <w:bookmarkEnd w:id="113"/>
      <w:r>
        <w:rPr>
          <w:color w:val="auto"/>
          <w:highlight w:val="none"/>
        </w:rPr>
      </w:r>
      <w:bookmarkStart w:id="114" w:name="_Hlt26670486"/>
      <w:r>
        <w:rPr>
          <w:color w:val="auto"/>
          <w:highlight w:val="none"/>
        </w:rPr>
      </w:r>
      <w:bookmarkEnd w:id="114"/>
      <w:r>
        <w:rPr>
          <w:color w:val="auto"/>
          <w:highlight w:val="none"/>
        </w:rPr>
      </w:r>
      <w:bookmarkStart w:id="115" w:name="_Hlt26954842"/>
      <w:r>
        <w:rPr>
          <w:color w:val="auto"/>
          <w:highlight w:val="none"/>
        </w:rPr>
      </w:r>
      <w:bookmarkEnd w:id="115"/>
      <w:r>
        <w:rPr>
          <w:color w:val="auto"/>
          <w:highlight w:val="none"/>
        </w:rPr>
      </w:r>
      <w:bookmarkStart w:id="116" w:name="_Hlt26954844"/>
      <w:r>
        <w:rPr>
          <w:color w:val="auto"/>
          <w:highlight w:val="none"/>
        </w:rPr>
      </w:r>
      <w:bookmarkEnd w:id="116"/>
      <w:r>
        <w:rPr>
          <w:color w:val="auto"/>
          <w:highlight w:val="none"/>
        </w:rPr>
      </w:r>
      <w:bookmarkStart w:id="117" w:name="_Hlt26670482"/>
      <w:r>
        <w:rPr>
          <w:color w:val="auto"/>
          <w:highlight w:val="none"/>
        </w:rPr>
      </w:r>
      <w:bookmarkEnd w:id="117"/>
      <w:r>
        <w:rPr>
          <w:rFonts w:hint="eastAsia" w:ascii="宋体" w:hAnsi="宋体" w:eastAsia="宋体"/>
          <w:bCs w:val="0"/>
          <w:color w:val="auto"/>
          <w:highlight w:val="none"/>
        </w:rPr>
        <w:t xml:space="preserve">14.投标偏离表</w:t>
      </w:r>
      <w:r>
        <w:rPr>
          <w:color w:val="auto"/>
          <w:highlight w:val="none"/>
        </w:rPr>
      </w:r>
    </w:p>
    <w:p>
      <w:pPr>
        <w:pStyle w:val="929"/>
        <w:ind w:firstLine="480"/>
        <w:spacing w:line="500" w:lineRule="exact"/>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rPr>
          <w:rFonts w:ascii="宋体" w:hAnsi="Arial" w:cs="宋体"/>
          <w:color w:val="auto"/>
          <w:sz w:val="24"/>
          <w:highlight w:val="none"/>
          <w:lang w:val="zh-CN"/>
        </w:rPr>
      </w:r>
      <w:r>
        <w:rPr>
          <w:color w:val="auto"/>
          <w:highlight w:val="none"/>
        </w:rPr>
      </w:r>
    </w:p>
    <w:p>
      <w:pPr>
        <w:pStyle w:val="933"/>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18" w:name="_Hlt26954734"/>
      <w:r>
        <w:rPr>
          <w:color w:val="auto"/>
          <w:highlight w:val="none"/>
        </w:rPr>
      </w:r>
      <w:bookmarkEnd w:id="118"/>
      <w:r>
        <w:rPr>
          <w:color w:val="auto"/>
          <w:highlight w:val="none"/>
        </w:rPr>
      </w:r>
      <w:bookmarkStart w:id="119" w:name="_Hlt26670489"/>
      <w:r>
        <w:rPr>
          <w:color w:val="auto"/>
          <w:highlight w:val="none"/>
        </w:rPr>
      </w:r>
      <w:bookmarkEnd w:id="119"/>
      <w:r>
        <w:rPr>
          <w:color w:val="auto"/>
          <w:highlight w:val="none"/>
        </w:rPr>
      </w:r>
      <w:bookmarkStart w:id="120" w:name="_Hlt26954850"/>
      <w:r>
        <w:rPr>
          <w:color w:val="auto"/>
          <w:highlight w:val="none"/>
        </w:rPr>
      </w:r>
      <w:bookmarkEnd w:id="120"/>
      <w:r>
        <w:rPr>
          <w:color w:val="auto"/>
          <w:highlight w:val="none"/>
        </w:rPr>
      </w:r>
      <w:bookmarkStart w:id="121" w:name="_Toc49090511"/>
      <w:r>
        <w:rPr>
          <w:color w:val="auto"/>
          <w:highlight w:val="none"/>
        </w:rPr>
      </w:r>
      <w:bookmarkStart w:id="122" w:name="_Toc14577360"/>
      <w:r>
        <w:rPr>
          <w:rFonts w:hint="eastAsia" w:ascii="宋体" w:hAnsi="宋体" w:eastAsia="宋体"/>
          <w:bCs w:val="0"/>
          <w:color w:val="auto"/>
          <w:highlight w:val="none"/>
        </w:rPr>
        <w:t xml:space="preserve">15.投标有效期</w:t>
      </w:r>
      <w:bookmarkEnd w:id="121"/>
      <w:r>
        <w:rPr>
          <w:color w:val="auto"/>
          <w:highlight w:val="none"/>
        </w:rPr>
      </w:r>
      <w:bookmarkEnd w:id="122"/>
      <w:r>
        <w:rPr>
          <w:rFonts w:hint="eastAsia" w:ascii="宋体" w:hAnsi="宋体" w:eastAsia="宋体"/>
          <w:bCs w:val="0"/>
          <w:color w:val="auto"/>
          <w:highlight w:val="none"/>
        </w:rPr>
      </w:r>
      <w:r>
        <w:rPr>
          <w:color w:val="auto"/>
          <w:highlight w:val="none"/>
        </w:rPr>
      </w:r>
    </w:p>
    <w:p>
      <w:pPr>
        <w:pStyle w:val="929"/>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rPr>
          <w:color w:val="auto"/>
          <w:highlight w:val="none"/>
        </w:rPr>
      </w:r>
    </w:p>
    <w:p>
      <w:pPr>
        <w:pStyle w:val="933"/>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16.投标有效期的延长</w:t>
      </w:r>
      <w:r>
        <w:rPr>
          <w:color w:val="auto"/>
          <w:highlight w:val="none"/>
        </w:rPr>
      </w:r>
    </w:p>
    <w:p>
      <w:pPr>
        <w:pStyle w:val="929"/>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rPr>
          <w:color w:val="auto"/>
          <w:highlight w:val="none"/>
        </w:rPr>
      </w:r>
    </w:p>
    <w:p>
      <w:pPr>
        <w:pStyle w:val="932"/>
        <w:ind w:firstLine="452"/>
        <w:keepLines w:val="0"/>
        <w:keepNext w:val="0"/>
        <w:spacing w:before="0" w:after="0" w:line="500" w:lineRule="exact"/>
        <w:rPr>
          <w:rFonts w:hint="eastAsia"/>
          <w:color w:val="auto"/>
          <w:sz w:val="30"/>
          <w:szCs w:val="30"/>
          <w:highlight w:val="none"/>
        </w:rPr>
      </w:pPr>
      <w:r>
        <w:rPr>
          <w:color w:val="auto"/>
          <w:highlight w:val="none"/>
        </w:rPr>
      </w:r>
      <w:bookmarkStart w:id="123" w:name="_Hlt26954852"/>
      <w:r>
        <w:rPr>
          <w:color w:val="auto"/>
          <w:highlight w:val="none"/>
        </w:rPr>
      </w:r>
      <w:bookmarkEnd w:id="123"/>
      <w:r>
        <w:rPr>
          <w:color w:val="auto"/>
          <w:highlight w:val="none"/>
        </w:rPr>
      </w:r>
      <w:bookmarkStart w:id="124" w:name="_Hlt26954739"/>
      <w:r>
        <w:rPr>
          <w:color w:val="auto"/>
          <w:highlight w:val="none"/>
        </w:rPr>
      </w:r>
      <w:bookmarkEnd w:id="124"/>
      <w:r>
        <w:rPr>
          <w:color w:val="auto"/>
          <w:highlight w:val="none"/>
        </w:rPr>
      </w:r>
      <w:bookmarkStart w:id="125" w:name="_Toc16938540"/>
      <w:r>
        <w:rPr>
          <w:color w:val="auto"/>
          <w:highlight w:val="none"/>
        </w:rPr>
      </w:r>
      <w:bookmarkStart w:id="126" w:name="_Toc20823296"/>
      <w:r>
        <w:rPr>
          <w:color w:val="auto"/>
          <w:highlight w:val="none"/>
        </w:rPr>
      </w:r>
      <w:bookmarkStart w:id="127" w:name="_Toc120614217"/>
      <w:r>
        <w:rPr>
          <w:color w:val="auto"/>
          <w:highlight w:val="none"/>
        </w:rPr>
      </w:r>
      <w:bookmarkStart w:id="128" w:name="_Toc513029224"/>
      <w:r>
        <w:rPr>
          <w:rFonts w:hint="eastAsia"/>
          <w:color w:val="auto"/>
          <w:sz w:val="30"/>
          <w:szCs w:val="30"/>
          <w:highlight w:val="none"/>
        </w:rPr>
        <w:t xml:space="preserve">四、投标文件的递交</w:t>
      </w:r>
      <w:bookmarkEnd w:id="125"/>
      <w:r>
        <w:rPr>
          <w:color w:val="auto"/>
          <w:highlight w:val="none"/>
        </w:rPr>
      </w:r>
      <w:bookmarkEnd w:id="126"/>
      <w:r>
        <w:rPr>
          <w:color w:val="auto"/>
          <w:highlight w:val="none"/>
        </w:rPr>
      </w:r>
      <w:bookmarkEnd w:id="127"/>
      <w:r>
        <w:rPr>
          <w:color w:val="auto"/>
          <w:highlight w:val="none"/>
        </w:rPr>
      </w:r>
      <w:bookmarkEnd w:id="128"/>
      <w:r>
        <w:rPr>
          <w:rFonts w:hint="eastAsia"/>
          <w:color w:val="auto"/>
          <w:sz w:val="30"/>
          <w:szCs w:val="30"/>
          <w:highlight w:val="none"/>
        </w:rPr>
      </w:r>
      <w:r>
        <w:rPr>
          <w:color w:val="auto"/>
          <w:highlight w:val="none"/>
        </w:rPr>
      </w:r>
    </w:p>
    <w:p>
      <w:pPr>
        <w:pStyle w:val="933"/>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29" w:name="_Toc16938541"/>
      <w:r>
        <w:rPr>
          <w:color w:val="auto"/>
          <w:highlight w:val="none"/>
        </w:rPr>
      </w:r>
      <w:bookmarkStart w:id="130" w:name="_Toc462564084"/>
      <w:r>
        <w:rPr>
          <w:color w:val="auto"/>
          <w:highlight w:val="none"/>
        </w:rPr>
      </w:r>
      <w:bookmarkStart w:id="131" w:name="_Toc20823297"/>
      <w:r>
        <w:rPr>
          <w:color w:val="auto"/>
          <w:highlight w:val="none"/>
        </w:rPr>
      </w:r>
      <w:bookmarkStart w:id="132" w:name="_Toc513029225"/>
      <w:r>
        <w:rPr>
          <w:rFonts w:hint="eastAsia" w:ascii="宋体" w:hAnsi="宋体" w:eastAsia="宋体"/>
          <w:bCs w:val="0"/>
          <w:color w:val="auto"/>
          <w:highlight w:val="none"/>
        </w:rPr>
        <w:t xml:space="preserve">17.投标文件</w:t>
      </w:r>
      <w:bookmarkEnd w:id="129"/>
      <w:r>
        <w:rPr>
          <w:color w:val="auto"/>
          <w:highlight w:val="none"/>
        </w:rPr>
      </w:r>
      <w:bookmarkEnd w:id="130"/>
      <w:r>
        <w:rPr>
          <w:color w:val="auto"/>
          <w:highlight w:val="none"/>
        </w:rPr>
      </w:r>
      <w:bookmarkEnd w:id="131"/>
      <w:r>
        <w:rPr>
          <w:color w:val="auto"/>
          <w:highlight w:val="none"/>
        </w:rPr>
      </w:r>
      <w:bookmarkEnd w:id="132"/>
      <w:r>
        <w:rPr>
          <w:rFonts w:hint="eastAsia" w:ascii="宋体" w:hAnsi="宋体" w:eastAsia="宋体"/>
          <w:bCs w:val="0"/>
          <w:color w:val="auto"/>
          <w:highlight w:val="none"/>
        </w:rPr>
        <w:t xml:space="preserve">的递交</w:t>
      </w:r>
      <w:r>
        <w:rPr>
          <w:color w:val="auto"/>
          <w:highlight w:val="none"/>
        </w:rPr>
      </w:r>
    </w:p>
    <w:p>
      <w:pPr>
        <w:pStyle w:val="929"/>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rPr>
          <w:color w:val="auto"/>
          <w:highlight w:val="none"/>
        </w:rPr>
      </w:r>
    </w:p>
    <w:p>
      <w:pPr>
        <w:pStyle w:val="1042"/>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513029226"/>
      <w:r>
        <w:rPr>
          <w:color w:val="auto"/>
          <w:highlight w:val="none"/>
        </w:rPr>
      </w:r>
      <w:bookmarkStart w:id="134" w:name="_Toc20823298"/>
      <w:r>
        <w:rPr>
          <w:color w:val="auto"/>
          <w:highlight w:val="none"/>
        </w:rPr>
      </w:r>
      <w:bookmarkStart w:id="135" w:name="_Toc16938542"/>
      <w:r>
        <w:rPr>
          <w:rFonts w:hint="eastAsia" w:ascii="宋体" w:hAnsi="宋体"/>
          <w:bCs/>
          <w:color w:val="auto"/>
          <w:sz w:val="24"/>
          <w:highlight w:val="none"/>
        </w:rPr>
      </w:r>
      <w:r>
        <w:rPr>
          <w:color w:val="auto"/>
          <w:highlight w:val="none"/>
        </w:rPr>
      </w:r>
    </w:p>
    <w:p>
      <w:pPr>
        <w:pStyle w:val="933"/>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18.投标截止</w:t>
      </w:r>
      <w:bookmarkEnd w:id="133"/>
      <w:r>
        <w:rPr>
          <w:color w:val="auto"/>
          <w:highlight w:val="none"/>
        </w:rPr>
      </w:r>
      <w:bookmarkEnd w:id="134"/>
      <w:r>
        <w:rPr>
          <w:color w:val="auto"/>
          <w:highlight w:val="none"/>
        </w:rPr>
      </w:r>
      <w:bookmarkEnd w:id="135"/>
      <w:r>
        <w:rPr>
          <w:rFonts w:hint="eastAsia" w:ascii="宋体" w:hAnsi="宋体" w:eastAsia="宋体"/>
          <w:bCs w:val="0"/>
          <w:color w:val="auto"/>
          <w:highlight w:val="none"/>
        </w:rPr>
        <w:t xml:space="preserve">时间</w:t>
      </w:r>
      <w:r>
        <w:rPr>
          <w:color w:val="auto"/>
          <w:highlight w:val="none"/>
        </w:rPr>
      </w:r>
    </w:p>
    <w:p>
      <w:pPr>
        <w:pStyle w:val="929"/>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rPr>
          <w:color w:val="auto"/>
          <w:highlight w:val="none"/>
        </w:rPr>
      </w:r>
    </w:p>
    <w:p>
      <w:pPr>
        <w:pStyle w:val="929"/>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color w:val="auto"/>
          <w:highlight w:val="none"/>
        </w:rPr>
      </w:r>
    </w:p>
    <w:p>
      <w:pPr>
        <w:pStyle w:val="929"/>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交易中心可以按照规定，通过更正公告修改投标截止时间，投标人的所有权利和义务以及投标人受制的截止时间均应以延长后新的截止时间为准。</w:t>
      </w:r>
      <w:r>
        <w:rPr>
          <w:color w:val="auto"/>
          <w:highlight w:val="none"/>
        </w:rPr>
      </w:r>
    </w:p>
    <w:p>
      <w:pPr>
        <w:pStyle w:val="933"/>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36" w:name="_Toc20823299"/>
      <w:r>
        <w:rPr>
          <w:color w:val="auto"/>
          <w:highlight w:val="none"/>
        </w:rPr>
      </w:r>
      <w:bookmarkStart w:id="137" w:name="_Toc16938543"/>
      <w:r>
        <w:rPr>
          <w:color w:val="auto"/>
          <w:highlight w:val="none"/>
        </w:rPr>
      </w:r>
      <w:bookmarkStart w:id="138" w:name="_Toc513029227"/>
      <w:r>
        <w:rPr>
          <w:rFonts w:hint="eastAsia" w:ascii="宋体" w:hAnsi="宋体" w:eastAsia="宋体"/>
          <w:bCs w:val="0"/>
          <w:color w:val="auto"/>
          <w:highlight w:val="none"/>
        </w:rPr>
        <w:t xml:space="preserve">19.投标文件</w:t>
      </w:r>
      <w:bookmarkEnd w:id="136"/>
      <w:r>
        <w:rPr>
          <w:color w:val="auto"/>
          <w:highlight w:val="none"/>
        </w:rPr>
      </w:r>
      <w:bookmarkEnd w:id="137"/>
      <w:r>
        <w:rPr>
          <w:color w:val="auto"/>
          <w:highlight w:val="none"/>
        </w:rPr>
      </w:r>
      <w:bookmarkEnd w:id="138"/>
      <w:r>
        <w:rPr>
          <w:rFonts w:hint="eastAsia" w:ascii="宋体" w:hAnsi="宋体" w:eastAsia="宋体"/>
          <w:bCs w:val="0"/>
          <w:color w:val="auto"/>
          <w:highlight w:val="none"/>
        </w:rPr>
        <w:t xml:space="preserve">的拒收</w:t>
      </w:r>
      <w:r>
        <w:rPr>
          <w:color w:val="auto"/>
          <w:highlight w:val="none"/>
        </w:rPr>
      </w:r>
    </w:p>
    <w:p>
      <w:pPr>
        <w:pStyle w:val="929"/>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交易中心拒绝接收在其规定的投标截止时间后上传的任何投标文件。</w:t>
      </w:r>
      <w:r>
        <w:rPr>
          <w:color w:val="auto"/>
          <w:highlight w:val="none"/>
        </w:rPr>
      </w:r>
    </w:p>
    <w:p>
      <w:pPr>
        <w:pStyle w:val="933"/>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39" w:name="_Toc16938544"/>
      <w:r>
        <w:rPr>
          <w:color w:val="auto"/>
          <w:highlight w:val="none"/>
        </w:rPr>
      </w:r>
      <w:bookmarkStart w:id="140" w:name="_Toc513029228"/>
      <w:r>
        <w:rPr>
          <w:color w:val="auto"/>
          <w:highlight w:val="none"/>
        </w:rPr>
      </w:r>
      <w:bookmarkStart w:id="141" w:name="_Toc20823300"/>
      <w:r>
        <w:rPr>
          <w:rFonts w:hint="eastAsia" w:ascii="宋体" w:hAnsi="宋体" w:eastAsia="宋体"/>
          <w:bCs w:val="0"/>
          <w:color w:val="auto"/>
          <w:highlight w:val="none"/>
        </w:rPr>
        <w:t xml:space="preserve">20.投标文件的撤回和修改</w:t>
      </w:r>
      <w:bookmarkEnd w:id="139"/>
      <w:r>
        <w:rPr>
          <w:color w:val="auto"/>
          <w:highlight w:val="none"/>
        </w:rPr>
      </w:r>
      <w:bookmarkEnd w:id="140"/>
      <w:r>
        <w:rPr>
          <w:color w:val="auto"/>
          <w:highlight w:val="none"/>
        </w:rPr>
      </w:r>
      <w:bookmarkEnd w:id="141"/>
      <w:r>
        <w:rPr>
          <w:rFonts w:hint="eastAsia" w:ascii="宋体" w:hAnsi="宋体" w:eastAsia="宋体"/>
          <w:bCs w:val="0"/>
          <w:color w:val="auto"/>
          <w:highlight w:val="none"/>
        </w:rPr>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20.1投标文件的撤回</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21.1.1电子投标文件的撤回</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20.2投标文件的修改</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rPr>
          <w:color w:val="auto"/>
          <w:highlight w:val="none"/>
        </w:rPr>
      </w:r>
    </w:p>
    <w:p>
      <w:pPr>
        <w:pStyle w:val="929"/>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rPr>
          <w:color w:val="auto"/>
          <w:highlight w:val="none"/>
        </w:rPr>
      </w:r>
    </w:p>
    <w:p>
      <w:pPr>
        <w:pStyle w:val="929"/>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rPr>
          <w:color w:val="auto"/>
          <w:highlight w:val="none"/>
        </w:rPr>
      </w:r>
    </w:p>
    <w:p>
      <w:pPr>
        <w:pStyle w:val="932"/>
        <w:ind w:firstLine="452"/>
        <w:keepLines w:val="0"/>
        <w:keepNext w:val="0"/>
        <w:spacing w:before="0" w:after="0" w:line="500" w:lineRule="exact"/>
        <w:rPr>
          <w:rFonts w:hint="eastAsia"/>
          <w:color w:val="auto"/>
          <w:sz w:val="30"/>
          <w:szCs w:val="30"/>
          <w:highlight w:val="none"/>
        </w:rPr>
      </w:pPr>
      <w:r>
        <w:rPr>
          <w:color w:val="auto"/>
          <w:highlight w:val="none"/>
        </w:rPr>
      </w:r>
      <w:bookmarkStart w:id="142" w:name="_Toc16938545"/>
      <w:r>
        <w:rPr>
          <w:color w:val="auto"/>
          <w:highlight w:val="none"/>
        </w:rPr>
      </w:r>
      <w:bookmarkStart w:id="143" w:name="_Toc120614218"/>
      <w:r>
        <w:rPr>
          <w:color w:val="auto"/>
          <w:highlight w:val="none"/>
        </w:rPr>
      </w:r>
      <w:bookmarkStart w:id="144" w:name="_Toc20823301"/>
      <w:r>
        <w:rPr>
          <w:color w:val="auto"/>
          <w:highlight w:val="none"/>
        </w:rPr>
      </w:r>
      <w:bookmarkStart w:id="145" w:name="_Toc513029229"/>
      <w:r>
        <w:rPr>
          <w:rFonts w:hint="eastAsia"/>
          <w:color w:val="auto"/>
          <w:sz w:val="30"/>
          <w:szCs w:val="30"/>
          <w:highlight w:val="none"/>
        </w:rPr>
        <w:t xml:space="preserve">五、开标与评标</w:t>
      </w:r>
      <w:bookmarkEnd w:id="142"/>
      <w:r>
        <w:rPr>
          <w:color w:val="auto"/>
          <w:highlight w:val="none"/>
        </w:rPr>
      </w:r>
      <w:bookmarkEnd w:id="143"/>
      <w:r>
        <w:rPr>
          <w:color w:val="auto"/>
          <w:highlight w:val="none"/>
        </w:rPr>
      </w:r>
      <w:bookmarkEnd w:id="144"/>
      <w:r>
        <w:rPr>
          <w:color w:val="auto"/>
          <w:highlight w:val="none"/>
        </w:rPr>
      </w:r>
      <w:bookmarkEnd w:id="145"/>
      <w:r>
        <w:rPr>
          <w:rFonts w:hint="eastAsia"/>
          <w:color w:val="auto"/>
          <w:sz w:val="30"/>
          <w:szCs w:val="30"/>
          <w:highlight w:val="none"/>
        </w:rPr>
      </w:r>
      <w:r>
        <w:rPr>
          <w:color w:val="auto"/>
          <w:highlight w:val="none"/>
        </w:rPr>
      </w:r>
    </w:p>
    <w:p>
      <w:pPr>
        <w:pStyle w:val="933"/>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46" w:name="_Toc16938546"/>
      <w:r>
        <w:rPr>
          <w:color w:val="auto"/>
          <w:highlight w:val="none"/>
        </w:rPr>
      </w:r>
      <w:bookmarkStart w:id="147" w:name="_Toc513029230"/>
      <w:r>
        <w:rPr>
          <w:color w:val="auto"/>
          <w:highlight w:val="none"/>
        </w:rPr>
      </w:r>
      <w:bookmarkStart w:id="148" w:name="_Toc20823302"/>
      <w:r>
        <w:rPr>
          <w:rFonts w:hint="eastAsia" w:ascii="宋体" w:hAnsi="宋体" w:eastAsia="宋体"/>
          <w:bCs w:val="0"/>
          <w:color w:val="auto"/>
          <w:highlight w:val="none"/>
        </w:rPr>
        <w:t xml:space="preserve">21.开标</w:t>
      </w:r>
      <w:bookmarkEnd w:id="146"/>
      <w:r>
        <w:rPr>
          <w:color w:val="auto"/>
          <w:highlight w:val="none"/>
        </w:rPr>
      </w:r>
      <w:bookmarkEnd w:id="147"/>
      <w:r>
        <w:rPr>
          <w:color w:val="auto"/>
          <w:highlight w:val="none"/>
        </w:rPr>
      </w:r>
      <w:bookmarkEnd w:id="148"/>
      <w:r>
        <w:rPr>
          <w:rFonts w:hint="eastAsia" w:ascii="宋体" w:hAnsi="宋体" w:eastAsia="宋体"/>
          <w:bCs w:val="0"/>
          <w:color w:val="auto"/>
          <w:highlight w:val="none"/>
        </w:rPr>
      </w:r>
      <w:r>
        <w:rPr>
          <w:color w:val="auto"/>
          <w:highlight w:val="none"/>
        </w:rPr>
      </w:r>
    </w:p>
    <w:p>
      <w:pPr>
        <w:pStyle w:val="929"/>
        <w:ind w:firstLine="480"/>
        <w:spacing w:line="500" w:lineRule="exact"/>
        <w:rPr>
          <w:rFonts w:hint="eastAsia"/>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交易中心将在招标公告中规定的时间和地点组织公开开标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rPr>
          <w:rFonts w:hint="eastAsia"/>
          <w:color w:val="auto"/>
          <w:highlight w:val="none"/>
        </w:rPr>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21.2开标仪式由交易中心组织。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21.3投标人在开标过程中</w:t>
      </w:r>
      <w:r>
        <w:rPr>
          <w:rFonts w:hint="eastAsia" w:ascii="宋体" w:hAnsi="宋体"/>
          <w:color w:val="auto"/>
          <w:sz w:val="24"/>
          <w:highlight w:val="none"/>
        </w:rPr>
        <w:t xml:space="preserve">涉及</w:t>
      </w:r>
      <w:r>
        <w:rPr>
          <w:rFonts w:hint="eastAsia" w:ascii="宋体" w:hAnsi="宋体"/>
          <w:color w:val="auto"/>
          <w:sz w:val="24"/>
          <w:highlight w:val="none"/>
        </w:rPr>
        <w:t xml:space="preserve">的投标文件解密、开标结果确认等工作，应按照《操作手册》规定执行。</w:t>
      </w:r>
      <w:r>
        <w:rPr>
          <w:color w:val="auto"/>
          <w:highlight w:val="none"/>
        </w:rPr>
      </w:r>
    </w:p>
    <w:p>
      <w:pPr>
        <w:pStyle w:val="929"/>
        <w:ind w:firstLine="480"/>
        <w:spacing w:line="500" w:lineRule="exact"/>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rPr>
          <w:rFonts w:ascii="宋体" w:hAnsi="宋体"/>
          <w:color w:val="auto"/>
          <w:sz w:val="24"/>
          <w:highlight w:val="none"/>
        </w:rPr>
      </w:r>
      <w:r>
        <w:rPr>
          <w:color w:val="auto"/>
          <w:highlight w:val="none"/>
        </w:rPr>
      </w:r>
    </w:p>
    <w:p>
      <w:pPr>
        <w:pStyle w:val="933"/>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49" w:name="_Toc20823303"/>
      <w:r>
        <w:rPr>
          <w:color w:val="auto"/>
          <w:highlight w:val="none"/>
        </w:rPr>
      </w:r>
      <w:bookmarkStart w:id="150" w:name="_Toc513029231"/>
      <w:r>
        <w:rPr>
          <w:color w:val="auto"/>
          <w:highlight w:val="none"/>
        </w:rPr>
      </w:r>
      <w:bookmarkStart w:id="151" w:name="_Toc16938547"/>
      <w:r>
        <w:rPr>
          <w:rFonts w:hint="eastAsia" w:ascii="宋体" w:hAnsi="宋体" w:eastAsia="宋体"/>
          <w:bCs w:val="0"/>
          <w:color w:val="auto"/>
          <w:highlight w:val="none"/>
        </w:rPr>
        <w:t xml:space="preserve">22.评标委员会</w:t>
      </w:r>
      <w:r>
        <w:rPr>
          <w:color w:val="auto"/>
          <w:highlight w:val="none"/>
        </w:rPr>
      </w:r>
    </w:p>
    <w:p>
      <w:pPr>
        <w:pStyle w:val="929"/>
        <w:ind w:firstLine="480"/>
        <w:spacing w:line="50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22.1开标后，交易中心将立即组织评标委员会（以下简称评委会）进行评标。</w:t>
      </w:r>
      <w:r>
        <w:rPr>
          <w:rFonts w:hint="eastAsia" w:ascii="宋体" w:hAnsi="宋体"/>
          <w:b/>
          <w:color w:val="auto"/>
          <w:sz w:val="24"/>
          <w:szCs w:val="24"/>
          <w:highlight w:val="none"/>
        </w:rPr>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w:t>
      </w:r>
      <w:r>
        <w:rPr>
          <w:rFonts w:hint="eastAsia" w:ascii="宋体" w:hAnsi="宋体"/>
          <w:color w:val="auto"/>
          <w:sz w:val="24"/>
          <w:szCs w:val="24"/>
          <w:highlight w:val="none"/>
        </w:rPr>
        <w:t xml:space="preserve">候</w:t>
      </w:r>
      <w:r>
        <w:rPr>
          <w:rFonts w:hint="eastAsia" w:ascii="宋体" w:hAnsi="宋体"/>
          <w:color w:val="auto"/>
          <w:sz w:val="24"/>
          <w:szCs w:val="24"/>
          <w:highlight w:val="none"/>
        </w:rPr>
        <w:t xml:space="preserve">选人</w:t>
      </w:r>
      <w:r>
        <w:rPr>
          <w:rFonts w:hint="eastAsia" w:ascii="宋体" w:hAnsi="宋体"/>
          <w:color w:val="auto"/>
          <w:sz w:val="24"/>
          <w:szCs w:val="24"/>
          <w:highlight w:val="none"/>
        </w:rPr>
        <w:t xml:space="preserve">。</w:t>
      </w:r>
      <w:r>
        <w:rPr>
          <w:color w:val="auto"/>
          <w:highlight w:val="none"/>
        </w:rPr>
      </w:r>
    </w:p>
    <w:p>
      <w:pPr>
        <w:pStyle w:val="933"/>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23.评标过程的保密与公正</w:t>
      </w:r>
      <w:r>
        <w:rPr>
          <w:color w:val="auto"/>
          <w:highlight w:val="none"/>
        </w:rPr>
      </w:r>
    </w:p>
    <w:p>
      <w:pPr>
        <w:pStyle w:val="929"/>
        <w:ind w:firstLine="480"/>
        <w:spacing w:line="500" w:lineRule="exact"/>
        <w:rPr>
          <w:rFonts w:hint="eastAsia" w:ascii="宋体" w:hAnsi="宋体"/>
          <w:bCs/>
          <w:color w:val="auto"/>
          <w:sz w:val="24"/>
          <w:highlight w:val="none"/>
        </w:rPr>
      </w:pPr>
      <w:r>
        <w:rPr>
          <w:color w:val="auto"/>
          <w:highlight w:val="none"/>
        </w:rPr>
      </w:r>
      <w:bookmarkEnd w:id="149"/>
      <w:r>
        <w:rPr>
          <w:color w:val="auto"/>
          <w:highlight w:val="none"/>
        </w:rPr>
      </w:r>
      <w:bookmarkEnd w:id="150"/>
      <w:r>
        <w:rPr>
          <w:color w:val="auto"/>
          <w:highlight w:val="none"/>
        </w:rPr>
      </w:r>
      <w:bookmarkEnd w:id="151"/>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凡是与审查、澄清、评价和比较投标的有关资料以及授标建议等，采购人、评委、交易中心均不得向投标人或与评标无关的其他人员透露。</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交易中心和评标委员会不向未中标的投标人解释未中标原因，也不公布评标过程中的相关细节。</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rPr>
          <w:rFonts w:hint="eastAsia" w:ascii="宋体" w:hAnsi="宋体"/>
          <w:color w:val="auto"/>
          <w:sz w:val="24"/>
          <w:szCs w:val="24"/>
          <w:highlight w:val="none"/>
        </w:rPr>
      </w:r>
      <w:r>
        <w:rPr>
          <w:color w:val="auto"/>
          <w:highlight w:val="none"/>
        </w:rPr>
      </w:r>
    </w:p>
    <w:p>
      <w:pPr>
        <w:pStyle w:val="933"/>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52" w:name="_Toc513029232"/>
      <w:r>
        <w:rPr>
          <w:color w:val="auto"/>
          <w:highlight w:val="none"/>
        </w:rPr>
      </w:r>
      <w:bookmarkStart w:id="153" w:name="_Toc16938548"/>
      <w:r>
        <w:rPr>
          <w:color w:val="auto"/>
          <w:highlight w:val="none"/>
        </w:rPr>
      </w:r>
      <w:bookmarkStart w:id="154" w:name="_Toc20823304"/>
      <w:r>
        <w:rPr>
          <w:rFonts w:hint="eastAsia" w:ascii="宋体" w:hAnsi="宋体" w:eastAsia="宋体"/>
          <w:bCs w:val="0"/>
          <w:color w:val="auto"/>
          <w:highlight w:val="none"/>
        </w:rPr>
        <w:t xml:space="preserve">24.投标文件的澄清</w:t>
      </w:r>
      <w:bookmarkEnd w:id="152"/>
      <w:r>
        <w:rPr>
          <w:color w:val="auto"/>
          <w:highlight w:val="none"/>
        </w:rPr>
      </w:r>
      <w:bookmarkEnd w:id="153"/>
      <w:r>
        <w:rPr>
          <w:color w:val="auto"/>
          <w:highlight w:val="none"/>
        </w:rPr>
      </w:r>
      <w:bookmarkEnd w:id="154"/>
      <w:r>
        <w:rPr>
          <w:rFonts w:hint="eastAsia" w:ascii="宋体" w:hAnsi="宋体" w:eastAsia="宋体"/>
          <w:bCs w:val="0"/>
          <w:color w:val="auto"/>
          <w:highlight w:val="none"/>
        </w:rPr>
      </w:r>
      <w:r>
        <w:rPr>
          <w:color w:val="auto"/>
          <w:highlight w:val="none"/>
        </w:rPr>
      </w:r>
    </w:p>
    <w:p>
      <w:pPr>
        <w:pStyle w:val="929"/>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auto"/>
          <w:sz w:val="24"/>
          <w:szCs w:val="24"/>
          <w:highlight w:val="none"/>
        </w:rPr>
      </w:r>
      <w:r>
        <w:rPr>
          <w:color w:val="auto"/>
          <w:highlight w:val="none"/>
        </w:rPr>
      </w:r>
    </w:p>
    <w:p>
      <w:pPr>
        <w:pStyle w:val="929"/>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rPr>
          <w:rFonts w:ascii="宋体" w:hAnsi="宋体"/>
          <w:color w:val="auto"/>
          <w:sz w:val="24"/>
          <w:szCs w:val="24"/>
          <w:highlight w:val="none"/>
        </w:rPr>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w:t>
      </w:r>
      <w:r>
        <w:rPr>
          <w:rFonts w:hint="eastAsia" w:ascii="宋体" w:hAnsi="宋体"/>
          <w:color w:val="auto"/>
          <w:sz w:val="24"/>
          <w:szCs w:val="24"/>
          <w:highlight w:val="none"/>
        </w:rPr>
        <w:t xml:space="preserve">及时</w:t>
      </w:r>
      <w:r>
        <w:rPr>
          <w:rFonts w:hint="eastAsia" w:ascii="宋体" w:hAnsi="宋体"/>
          <w:color w:val="auto"/>
          <w:sz w:val="24"/>
          <w:szCs w:val="24"/>
          <w:highlight w:val="none"/>
        </w:rPr>
        <w:t xml:space="preserve">做出澄清、说明和补正，其风险由投标人自行承担。</w:t>
      </w:r>
      <w:r>
        <w:rPr>
          <w:color w:val="auto"/>
          <w:highlight w:val="none"/>
        </w:rPr>
      </w:r>
    </w:p>
    <w:p>
      <w:pPr>
        <w:pStyle w:val="933"/>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55" w:name="_Toc513029233"/>
      <w:r>
        <w:rPr>
          <w:color w:val="auto"/>
          <w:highlight w:val="none"/>
        </w:rPr>
      </w:r>
      <w:bookmarkStart w:id="156" w:name="_Toc20823305"/>
      <w:r>
        <w:rPr>
          <w:color w:val="auto"/>
          <w:highlight w:val="none"/>
        </w:rPr>
      </w:r>
      <w:bookmarkStart w:id="157" w:name="_Toc16938549"/>
      <w:r>
        <w:rPr>
          <w:rFonts w:hint="eastAsia" w:ascii="宋体" w:hAnsi="宋体" w:eastAsia="宋体"/>
          <w:bCs w:val="0"/>
          <w:color w:val="auto"/>
          <w:highlight w:val="none"/>
        </w:rPr>
        <w:t xml:space="preserve">25.对投标文件的初审</w:t>
      </w:r>
      <w:bookmarkEnd w:id="155"/>
      <w:r>
        <w:rPr>
          <w:color w:val="auto"/>
          <w:highlight w:val="none"/>
        </w:rPr>
      </w:r>
      <w:bookmarkEnd w:id="156"/>
      <w:r>
        <w:rPr>
          <w:color w:val="auto"/>
          <w:highlight w:val="none"/>
        </w:rPr>
      </w:r>
      <w:bookmarkEnd w:id="157"/>
      <w:r>
        <w:rPr>
          <w:rFonts w:hint="eastAsia" w:ascii="宋体" w:hAnsi="宋体" w:eastAsia="宋体"/>
          <w:bCs w:val="0"/>
          <w:color w:val="auto"/>
          <w:highlight w:val="none"/>
        </w:rPr>
      </w:r>
      <w:r>
        <w:rPr>
          <w:color w:val="auto"/>
          <w:highlight w:val="none"/>
        </w:rPr>
      </w:r>
    </w:p>
    <w:p>
      <w:pPr>
        <w:pStyle w:val="929"/>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rPr>
          <w:color w:val="auto"/>
          <w:highlight w:val="none"/>
        </w:rPr>
      </w:r>
    </w:p>
    <w:p>
      <w:pPr>
        <w:pStyle w:val="929"/>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rPr>
          <w:color w:val="auto"/>
          <w:highlight w:val="none"/>
        </w:rPr>
      </w:r>
    </w:p>
    <w:p>
      <w:pPr>
        <w:pStyle w:val="929"/>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rPr>
          <w:rFonts w:hint="eastAsia" w:ascii="宋体" w:hAnsi="宋体" w:cs="宋体"/>
          <w:bCs/>
          <w:color w:val="auto"/>
          <w:sz w:val="24"/>
          <w:highlight w:val="none"/>
        </w:rPr>
      </w:r>
      <w:r>
        <w:rPr>
          <w:color w:val="auto"/>
          <w:highlight w:val="none"/>
        </w:rPr>
      </w:r>
    </w:p>
    <w:p>
      <w:pPr>
        <w:pStyle w:val="929"/>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w:t>
      </w:r>
      <w:r>
        <w:rPr>
          <w:rFonts w:hint="eastAsia" w:ascii="宋体" w:hAnsi="宋体"/>
          <w:bCs/>
          <w:color w:val="auto"/>
          <w:sz w:val="24"/>
          <w:highlight w:val="none"/>
        </w:rPr>
        <w:t xml:space="preserve">不良信用</w:t>
      </w:r>
      <w:r>
        <w:rPr>
          <w:rFonts w:hint="eastAsia" w:ascii="宋体" w:hAnsi="宋体"/>
          <w:bCs/>
          <w:color w:val="auto"/>
          <w:sz w:val="24"/>
          <w:highlight w:val="none"/>
        </w:rPr>
        <w:t xml:space="preserve">记录。</w:t>
      </w:r>
      <w:r>
        <w:rPr>
          <w:color w:val="auto"/>
          <w:highlight w:val="none"/>
        </w:rPr>
      </w:r>
    </w:p>
    <w:p>
      <w:pPr>
        <w:pStyle w:val="929"/>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rPr>
          <w:color w:val="auto"/>
          <w:highlight w:val="none"/>
        </w:rPr>
      </w:r>
    </w:p>
    <w:p>
      <w:pPr>
        <w:pStyle w:val="929"/>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rPr>
          <w:rFonts w:hint="eastAsia" w:ascii="宋体" w:hAnsi="宋体"/>
          <w:bCs/>
          <w:color w:val="auto"/>
          <w:sz w:val="24"/>
          <w:highlight w:val="none"/>
        </w:rPr>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auto"/>
          <w:highlight w:val="none"/>
        </w:rPr>
      </w:r>
    </w:p>
    <w:p>
      <w:pPr>
        <w:pStyle w:val="929"/>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auto"/>
          <w:sz w:val="24"/>
          <w:highlight w:val="none"/>
        </w:rPr>
      </w:r>
      <w:r>
        <w:rPr>
          <w:color w:val="auto"/>
          <w:highlight w:val="none"/>
        </w:rPr>
      </w:r>
    </w:p>
    <w:p>
      <w:pPr>
        <w:pStyle w:val="929"/>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rPr>
          <w:color w:val="auto"/>
          <w:highlight w:val="none"/>
        </w:rPr>
      </w:r>
    </w:p>
    <w:p>
      <w:pPr>
        <w:pStyle w:val="929"/>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rPr>
          <w:rFonts w:ascii="宋体" w:hAnsi="宋体"/>
          <w:bCs/>
          <w:color w:val="auto"/>
          <w:sz w:val="24"/>
          <w:highlight w:val="none"/>
        </w:rPr>
      </w:r>
      <w:r>
        <w:rPr>
          <w:color w:val="auto"/>
          <w:highlight w:val="none"/>
        </w:rPr>
      </w:r>
    </w:p>
    <w:p>
      <w:pPr>
        <w:pStyle w:val="929"/>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rPr>
          <w:rFonts w:ascii="宋体" w:hAnsi="宋体"/>
          <w:bCs/>
          <w:color w:val="auto"/>
          <w:sz w:val="24"/>
          <w:highlight w:val="none"/>
        </w:rPr>
      </w:r>
      <w:r>
        <w:rPr>
          <w:color w:val="auto"/>
          <w:highlight w:val="none"/>
        </w:rPr>
      </w:r>
    </w:p>
    <w:p>
      <w:pPr>
        <w:pStyle w:val="929"/>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rPr>
          <w:rFonts w:ascii="宋体" w:hAnsi="宋体"/>
          <w:bCs/>
          <w:color w:val="auto"/>
          <w:sz w:val="24"/>
          <w:highlight w:val="none"/>
        </w:rPr>
      </w:r>
      <w:r>
        <w:rPr>
          <w:color w:val="auto"/>
          <w:highlight w:val="none"/>
        </w:rPr>
      </w:r>
    </w:p>
    <w:p>
      <w:pPr>
        <w:pStyle w:val="929"/>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rPr>
          <w:color w:val="auto"/>
          <w:highlight w:val="none"/>
        </w:rPr>
      </w:r>
    </w:p>
    <w:p>
      <w:pPr>
        <w:pStyle w:val="929"/>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rPr>
          <w:color w:val="auto"/>
          <w:highlight w:val="none"/>
        </w:rPr>
      </w:r>
    </w:p>
    <w:p>
      <w:pPr>
        <w:pStyle w:val="929"/>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rPr>
          <w:rFonts w:ascii="宋体" w:hAnsi="宋体"/>
          <w:bCs/>
          <w:color w:val="auto"/>
          <w:sz w:val="24"/>
          <w:highlight w:val="none"/>
        </w:rPr>
      </w:r>
      <w:r>
        <w:rPr>
          <w:color w:val="auto"/>
          <w:highlight w:val="none"/>
        </w:rPr>
      </w:r>
    </w:p>
    <w:p>
      <w:pPr>
        <w:pStyle w:val="929"/>
        <w:ind w:firstLine="420"/>
        <w:spacing w:line="500" w:lineRule="exact"/>
        <w:rPr>
          <w:rFonts w:hint="eastAsia" w:ascii="宋体" w:hAnsi="宋体"/>
          <w:color w:val="auto"/>
          <w:sz w:val="24"/>
          <w:highlight w:val="none"/>
        </w:rPr>
      </w:pPr>
      <w:r>
        <w:rPr>
          <w:color w:val="auto"/>
          <w:highlight w:val="none"/>
        </w:rPr>
      </w:r>
      <w:bookmarkStart w:id="158" w:name="_Toc16938550"/>
      <w:r>
        <w:rPr>
          <w:color w:val="auto"/>
          <w:highlight w:val="none"/>
        </w:rPr>
      </w:r>
      <w:bookmarkStart w:id="159" w:name="_Toc513029234"/>
      <w:r>
        <w:rPr>
          <w:color w:val="auto"/>
          <w:highlight w:val="none"/>
        </w:rPr>
      </w:r>
      <w:bookmarkStart w:id="160" w:name="_Toc20823306"/>
      <w:r>
        <w:rPr>
          <w:rFonts w:hint="eastAsia" w:ascii="宋体" w:hAnsi="宋体"/>
          <w:color w:val="auto"/>
          <w:sz w:val="24"/>
          <w:highlight w:val="none"/>
        </w:rPr>
        <w:t xml:space="preserve">25.6投标人在开、评标全过程中应保持通讯畅通，及时登录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rPr>
          <w:color w:val="auto"/>
          <w:highlight w:val="none"/>
        </w:rPr>
      </w:r>
    </w:p>
    <w:p>
      <w:pPr>
        <w:pStyle w:val="933"/>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26</w:t>
      </w:r>
      <w:bookmarkEnd w:id="158"/>
      <w:r>
        <w:rPr>
          <w:color w:val="auto"/>
          <w:highlight w:val="none"/>
        </w:rPr>
      </w:r>
      <w:bookmarkEnd w:id="159"/>
      <w:r>
        <w:rPr>
          <w:color w:val="auto"/>
          <w:highlight w:val="none"/>
        </w:rPr>
      </w:r>
      <w:bookmarkEnd w:id="160"/>
      <w:r>
        <w:rPr>
          <w:rFonts w:hint="eastAsia" w:ascii="宋体" w:hAnsi="宋体" w:eastAsia="宋体"/>
          <w:bCs w:val="0"/>
          <w:color w:val="auto"/>
          <w:highlight w:val="none"/>
        </w:rPr>
        <w:t xml:space="preserve">.无效投标条款和废标条款</w:t>
      </w:r>
      <w:r>
        <w:rPr>
          <w:color w:val="auto"/>
          <w:highlight w:val="none"/>
        </w:rPr>
      </w:r>
    </w:p>
    <w:p>
      <w:pPr>
        <w:pStyle w:val="929"/>
        <w:ind w:left="479"/>
        <w:spacing w:line="500" w:lineRule="exact"/>
        <w:rPr>
          <w:rFonts w:hint="eastAsia" w:ascii="宋体" w:hAnsi="宋体"/>
          <w:bCs/>
          <w:color w:val="auto"/>
          <w:sz w:val="24"/>
          <w:highlight w:val="none"/>
        </w:rPr>
      </w:pPr>
      <w:r>
        <w:rPr>
          <w:color w:val="auto"/>
          <w:highlight w:val="none"/>
        </w:rPr>
      </w:r>
      <w:bookmarkStart w:id="161" w:name="_Toc20823307"/>
      <w:r>
        <w:rPr>
          <w:color w:val="auto"/>
          <w:highlight w:val="none"/>
        </w:rPr>
      </w:r>
      <w:bookmarkStart w:id="162" w:name="_Toc513029235"/>
      <w:r>
        <w:rPr>
          <w:color w:val="auto"/>
          <w:highlight w:val="none"/>
        </w:rPr>
      </w:r>
      <w:bookmarkStart w:id="163" w:name="_Toc16938551"/>
      <w:r>
        <w:rPr>
          <w:rFonts w:hint="eastAsia" w:ascii="宋体" w:hAnsi="宋体"/>
          <w:bCs/>
          <w:color w:val="auto"/>
          <w:sz w:val="24"/>
          <w:highlight w:val="none"/>
        </w:rPr>
        <w:t xml:space="preserve">26.1无效投标条款</w:t>
      </w:r>
      <w:r>
        <w:rPr>
          <w:color w:val="auto"/>
          <w:highlight w:val="none"/>
        </w:rPr>
      </w:r>
    </w:p>
    <w:p>
      <w:pPr>
        <w:pStyle w:val="929"/>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rPr>
          <w:rFonts w:hint="eastAsia" w:ascii="宋体" w:hAnsi="宋体"/>
          <w:bCs/>
          <w:color w:val="auto"/>
          <w:sz w:val="24"/>
          <w:szCs w:val="24"/>
          <w:highlight w:val="none"/>
        </w:rPr>
      </w:r>
      <w:r>
        <w:rPr>
          <w:color w:val="auto"/>
          <w:highlight w:val="none"/>
        </w:rPr>
      </w:r>
    </w:p>
    <w:p>
      <w:pPr>
        <w:pStyle w:val="929"/>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26.1.2投标人在</w:t>
      </w:r>
      <w:r>
        <w:rPr>
          <w:rFonts w:hint="eastAsia" w:ascii="宋体" w:hAnsi="宋体"/>
          <w:bCs/>
          <w:color w:val="auto"/>
          <w:sz w:val="24"/>
          <w:szCs w:val="24"/>
          <w:highlight w:val="none"/>
        </w:rPr>
        <w:t xml:space="preserve">“苏采云”系统</w:t>
      </w:r>
      <w:r>
        <w:rPr>
          <w:rFonts w:hint="eastAsia" w:ascii="宋体" w:hAnsi="宋体"/>
          <w:bCs/>
          <w:color w:val="auto"/>
          <w:sz w:val="24"/>
          <w:szCs w:val="24"/>
          <w:highlight w:val="none"/>
        </w:rPr>
        <w:t xml:space="preserve">规定的时间内未成功解密电子投标文件的。</w:t>
      </w:r>
      <w:r>
        <w:rPr>
          <w:color w:val="auto"/>
          <w:highlight w:val="none"/>
        </w:rPr>
      </w:r>
    </w:p>
    <w:p>
      <w:pPr>
        <w:pStyle w:val="929"/>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rPr>
          <w:color w:val="auto"/>
          <w:highlight w:val="none"/>
        </w:rPr>
      </w:r>
    </w:p>
    <w:p>
      <w:pPr>
        <w:pStyle w:val="929"/>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rPr>
          <w:color w:val="auto"/>
          <w:highlight w:val="none"/>
        </w:rPr>
      </w:r>
    </w:p>
    <w:p>
      <w:pPr>
        <w:pStyle w:val="929"/>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rPr>
          <w:color w:val="auto"/>
          <w:highlight w:val="none"/>
        </w:rPr>
      </w:r>
    </w:p>
    <w:p>
      <w:pPr>
        <w:pStyle w:val="929"/>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rPr>
          <w:color w:val="auto"/>
          <w:highlight w:val="none"/>
        </w:rPr>
      </w:r>
    </w:p>
    <w:p>
      <w:pPr>
        <w:pStyle w:val="929"/>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w:t>
      </w:r>
      <w:r>
        <w:rPr>
          <w:rFonts w:hint="eastAsia" w:ascii="宋体" w:hAnsi="宋体"/>
          <w:bCs/>
          <w:color w:val="auto"/>
          <w:sz w:val="24"/>
          <w:highlight w:val="none"/>
        </w:rPr>
        <w:t xml:space="preserve">种</w:t>
      </w:r>
      <w:r>
        <w:rPr>
          <w:rFonts w:hint="eastAsia" w:ascii="宋体" w:hAnsi="宋体"/>
          <w:bCs/>
          <w:color w:val="auto"/>
          <w:sz w:val="24"/>
          <w:highlight w:val="none"/>
        </w:rPr>
        <w:t xml:space="preserve">（含两</w:t>
      </w:r>
      <w:r>
        <w:rPr>
          <w:rFonts w:hint="eastAsia" w:ascii="宋体" w:hAnsi="宋体"/>
          <w:bCs/>
          <w:color w:val="auto"/>
          <w:sz w:val="24"/>
          <w:highlight w:val="none"/>
        </w:rPr>
        <w:t xml:space="preserve">种</w:t>
      </w:r>
      <w:r>
        <w:rPr>
          <w:rFonts w:hint="eastAsia" w:ascii="宋体" w:hAnsi="宋体"/>
          <w:bCs/>
          <w:color w:val="auto"/>
          <w:sz w:val="24"/>
          <w:highlight w:val="none"/>
        </w:rPr>
        <w:t xml:space="preserve">）以上不同的投标报价的。</w:t>
      </w:r>
      <w:r>
        <w:rPr>
          <w:rFonts w:hint="eastAsia" w:ascii="宋体" w:hAnsi="宋体"/>
          <w:bCs/>
          <w:color w:val="auto"/>
          <w:sz w:val="24"/>
          <w:szCs w:val="24"/>
          <w:highlight w:val="none"/>
        </w:rPr>
      </w:r>
      <w:r>
        <w:rPr>
          <w:color w:val="auto"/>
          <w:highlight w:val="none"/>
        </w:rPr>
      </w:r>
    </w:p>
    <w:p>
      <w:pPr>
        <w:pStyle w:val="929"/>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w:t>
      </w:r>
      <w:r>
        <w:rPr>
          <w:rFonts w:hint="eastAsia" w:ascii="宋体" w:hAnsi="宋体"/>
          <w:color w:val="auto"/>
          <w:sz w:val="24"/>
          <w:szCs w:val="24"/>
          <w:highlight w:val="none"/>
        </w:rPr>
        <w:t xml:space="preserve">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rPr>
          <w:rFonts w:hint="eastAsia" w:ascii="宋体" w:hAnsi="宋体"/>
          <w:bCs/>
          <w:color w:val="auto"/>
          <w:sz w:val="24"/>
          <w:szCs w:val="24"/>
          <w:highlight w:val="none"/>
        </w:rPr>
      </w:r>
      <w:r>
        <w:rPr>
          <w:color w:val="auto"/>
          <w:highlight w:val="none"/>
        </w:rPr>
      </w:r>
    </w:p>
    <w:p>
      <w:pPr>
        <w:pStyle w:val="929"/>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rPr>
          <w:color w:val="auto"/>
          <w:highlight w:val="none"/>
        </w:rPr>
      </w:r>
    </w:p>
    <w:p>
      <w:pPr>
        <w:pStyle w:val="929"/>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w:t>
      </w:r>
      <w:r>
        <w:rPr>
          <w:rFonts w:hint="eastAsia" w:ascii="宋体" w:hAnsi="宋体"/>
          <w:bCs/>
          <w:color w:val="auto"/>
          <w:sz w:val="24"/>
          <w:szCs w:val="24"/>
          <w:highlight w:val="none"/>
        </w:rPr>
        <w:t xml:space="preserve">采购包、</w:t>
      </w:r>
      <w:r>
        <w:rPr>
          <w:rFonts w:hint="eastAsia" w:ascii="宋体" w:hAnsi="宋体"/>
          <w:bCs/>
          <w:color w:val="auto"/>
          <w:sz w:val="24"/>
          <w:szCs w:val="24"/>
          <w:highlight w:val="none"/>
        </w:rPr>
        <w:t xml:space="preserve">标项、</w:t>
      </w:r>
      <w:r>
        <w:rPr>
          <w:rFonts w:hint="eastAsia" w:ascii="宋体" w:hAnsi="宋体"/>
          <w:bCs/>
          <w:color w:val="auto"/>
          <w:sz w:val="24"/>
          <w:szCs w:val="24"/>
          <w:highlight w:val="none"/>
        </w:rPr>
        <w:t xml:space="preserve">标段）投标总价超过本项目（</w:t>
      </w:r>
      <w:r>
        <w:rPr>
          <w:rFonts w:hint="eastAsia" w:ascii="宋体" w:hAnsi="宋体"/>
          <w:bCs/>
          <w:color w:val="auto"/>
          <w:sz w:val="24"/>
          <w:szCs w:val="24"/>
          <w:highlight w:val="none"/>
        </w:rPr>
        <w:t xml:space="preserve">本采购包、本</w:t>
      </w:r>
      <w:r>
        <w:rPr>
          <w:rFonts w:hint="eastAsia" w:ascii="宋体" w:hAnsi="宋体"/>
          <w:bCs/>
          <w:color w:val="auto"/>
          <w:sz w:val="24"/>
          <w:szCs w:val="24"/>
          <w:highlight w:val="none"/>
        </w:rPr>
        <w:t xml:space="preserve">标项、</w:t>
      </w:r>
      <w:r>
        <w:rPr>
          <w:rFonts w:hint="eastAsia" w:ascii="宋体" w:hAnsi="宋体"/>
          <w:bCs/>
          <w:color w:val="auto"/>
          <w:sz w:val="24"/>
          <w:szCs w:val="24"/>
          <w:highlight w:val="none"/>
        </w:rPr>
        <w:t xml:space="preserve">本</w:t>
      </w:r>
      <w:r>
        <w:rPr>
          <w:rFonts w:hint="eastAsia" w:ascii="宋体" w:hAnsi="宋体"/>
          <w:bCs/>
          <w:color w:val="auto"/>
          <w:sz w:val="24"/>
          <w:szCs w:val="24"/>
          <w:highlight w:val="none"/>
        </w:rPr>
        <w:t xml:space="preserve">标段）预算或最高限价的。</w:t>
      </w:r>
      <w:r>
        <w:rPr>
          <w:color w:val="auto"/>
          <w:highlight w:val="none"/>
        </w:rPr>
      </w:r>
    </w:p>
    <w:p>
      <w:pPr>
        <w:pStyle w:val="929"/>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rPr>
          <w:color w:val="auto"/>
          <w:highlight w:val="none"/>
        </w:rPr>
      </w:r>
    </w:p>
    <w:p>
      <w:pPr>
        <w:pStyle w:val="929"/>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rPr>
          <w:color w:val="auto"/>
          <w:highlight w:val="none"/>
        </w:rPr>
      </w:r>
    </w:p>
    <w:p>
      <w:pPr>
        <w:pStyle w:val="929"/>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rPr>
          <w:color w:val="auto"/>
          <w:highlight w:val="none"/>
        </w:rPr>
      </w:r>
    </w:p>
    <w:p>
      <w:pPr>
        <w:pStyle w:val="929"/>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rPr>
          <w:color w:val="auto"/>
          <w:highlight w:val="none"/>
        </w:rPr>
      </w:r>
    </w:p>
    <w:p>
      <w:pPr>
        <w:pStyle w:val="929"/>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rPr>
          <w:color w:val="auto"/>
          <w:highlight w:val="none"/>
        </w:rPr>
      </w:r>
    </w:p>
    <w:p>
      <w:pPr>
        <w:pStyle w:val="929"/>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rPr>
          <w:rFonts w:hint="eastAsia" w:ascii="宋体" w:hAnsi="宋体"/>
          <w:bCs/>
          <w:color w:val="auto"/>
          <w:sz w:val="24"/>
          <w:highlight w:val="none"/>
        </w:rPr>
      </w:r>
      <w:r>
        <w:rPr>
          <w:color w:val="auto"/>
          <w:highlight w:val="none"/>
        </w:rPr>
      </w:r>
    </w:p>
    <w:p>
      <w:pPr>
        <w:pStyle w:val="929"/>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rPr>
          <w:color w:val="auto"/>
          <w:highlight w:val="none"/>
        </w:rPr>
      </w:r>
    </w:p>
    <w:p>
      <w:pPr>
        <w:pStyle w:val="929"/>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color w:val="auto"/>
          <w:highlight w:val="none"/>
        </w:rPr>
      </w:r>
    </w:p>
    <w:p>
      <w:pPr>
        <w:pStyle w:val="929"/>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color w:val="auto"/>
          <w:highlight w:val="none"/>
        </w:rPr>
      </w:r>
    </w:p>
    <w:p>
      <w:pPr>
        <w:pStyle w:val="929"/>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rPr>
          <w:rFonts w:hint="eastAsia" w:ascii="宋体" w:hAnsi="宋体"/>
          <w:bCs/>
          <w:color w:val="auto"/>
          <w:sz w:val="24"/>
          <w:highlight w:val="none"/>
        </w:rPr>
      </w:r>
      <w:r>
        <w:rPr>
          <w:color w:val="auto"/>
          <w:highlight w:val="none"/>
        </w:rPr>
      </w:r>
    </w:p>
    <w:p>
      <w:pPr>
        <w:pStyle w:val="929"/>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rPr>
          <w:rFonts w:hint="eastAsia" w:ascii="宋体" w:hAnsi="宋体"/>
          <w:bCs/>
          <w:color w:val="auto"/>
          <w:sz w:val="24"/>
          <w:highlight w:val="none"/>
        </w:rPr>
      </w:r>
      <w:r>
        <w:rPr>
          <w:color w:val="auto"/>
          <w:highlight w:val="none"/>
        </w:rPr>
      </w:r>
    </w:p>
    <w:p>
      <w:pPr>
        <w:pStyle w:val="929"/>
        <w:ind w:firstLine="480"/>
        <w:spacing w:line="500" w:lineRule="exact"/>
        <w:rPr>
          <w:rFonts w:hint="eastAsia" w:ascii="宋体" w:hAnsi="宋体"/>
          <w:bCs/>
          <w:color w:val="auto"/>
          <w:sz w:val="24"/>
          <w:highlight w:val="none"/>
          <w:shd w:val="clear" w:color="ffffff" w:fill="d9d9d9"/>
        </w:rPr>
      </w:pPr>
      <w:r>
        <w:rPr>
          <w:rFonts w:hint="eastAsia" w:ascii="宋体" w:hAnsi="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在评标现场</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在给定的</w:t>
      </w:r>
      <w:r>
        <w:rPr>
          <w:rFonts w:hint="eastAsia" w:ascii="宋体" w:hAnsi="宋体"/>
          <w:bCs/>
          <w:color w:val="auto"/>
          <w:sz w:val="24"/>
          <w:szCs w:val="24"/>
          <w:highlight w:val="none"/>
        </w:rPr>
        <w:t xml:space="preserve">合理时间内提供说明（必要时评标委员会可要求投标人提交相关证明材料）证明其报价合理性的</w:t>
      </w:r>
      <w:r>
        <w:rPr>
          <w:rFonts w:hint="eastAsia" w:ascii="宋体" w:hAnsi="宋体"/>
          <w:bCs/>
          <w:color w:val="auto"/>
          <w:sz w:val="24"/>
          <w:highlight w:val="none"/>
        </w:rPr>
        <w:t xml:space="preserve">，评标委员会应当将其作为无效投标处理。</w:t>
      </w:r>
      <w:r>
        <w:rPr>
          <w:rFonts w:hint="eastAsia" w:ascii="宋体" w:hAnsi="宋体"/>
          <w:bCs/>
          <w:color w:val="auto"/>
          <w:sz w:val="24"/>
          <w:highlight w:val="none"/>
          <w:shd w:val="clear" w:color="ffffff" w:fill="d9d9d9"/>
        </w:rPr>
      </w:r>
      <w:r>
        <w:rPr>
          <w:color w:val="auto"/>
          <w:highlight w:val="none"/>
        </w:rPr>
      </w:r>
    </w:p>
    <w:p>
      <w:pPr>
        <w:pStyle w:val="929"/>
        <w:ind w:firstLine="480"/>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w:t>
      </w:r>
      <w:r>
        <w:rPr>
          <w:rFonts w:hint="eastAsia" w:ascii="宋体" w:hAnsi="宋体"/>
          <w:bCs/>
          <w:color w:val="auto"/>
          <w:sz w:val="24"/>
          <w:szCs w:val="24"/>
          <w:highlight w:val="none"/>
        </w:rPr>
        <w:t xml:space="preserve">其他实质性</w:t>
      </w:r>
      <w:r>
        <w:rPr>
          <w:rFonts w:hint="eastAsia" w:ascii="宋体" w:hAnsi="宋体"/>
          <w:bCs/>
          <w:color w:val="auto"/>
          <w:sz w:val="24"/>
          <w:szCs w:val="24"/>
          <w:highlight w:val="none"/>
        </w:rPr>
        <w:t xml:space="preserve">要求和条件的</w:t>
      </w:r>
      <w:r>
        <w:rPr>
          <w:rFonts w:hint="eastAsia" w:ascii="宋体" w:hAnsi="宋体"/>
          <w:bCs/>
          <w:color w:val="auto"/>
          <w:sz w:val="24"/>
          <w:highlight w:val="none"/>
        </w:rPr>
      </w:r>
      <w:r>
        <w:rPr>
          <w:color w:val="auto"/>
          <w:highlight w:val="none"/>
        </w:rPr>
      </w:r>
    </w:p>
    <w:p>
      <w:pPr>
        <w:pStyle w:val="929"/>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26.1.24其他法律、法规及本招标文件规定的属无效投标的情形。</w:t>
      </w:r>
      <w:r>
        <w:rPr>
          <w:color w:val="auto"/>
          <w:highlight w:val="none"/>
        </w:rPr>
      </w:r>
    </w:p>
    <w:p>
      <w:pPr>
        <w:pStyle w:val="929"/>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26.2废标条款</w:t>
      </w:r>
      <w:r>
        <w:rPr>
          <w:color w:val="auto"/>
          <w:highlight w:val="none"/>
        </w:rPr>
      </w:r>
    </w:p>
    <w:p>
      <w:pPr>
        <w:pStyle w:val="929"/>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26.2.1符合专业条件的供应商或者对招标文件作实质响应的供应商不足三家的。26.2.2出现影响采购公正的违法、违规行为的。</w:t>
      </w:r>
      <w:r>
        <w:rPr>
          <w:color w:val="auto"/>
          <w:highlight w:val="none"/>
        </w:rPr>
      </w:r>
    </w:p>
    <w:p>
      <w:pPr>
        <w:pStyle w:val="929"/>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rPr>
          <w:color w:val="auto"/>
          <w:highlight w:val="none"/>
        </w:rPr>
      </w:r>
    </w:p>
    <w:p>
      <w:pPr>
        <w:pStyle w:val="929"/>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rPr>
          <w:rFonts w:ascii="宋体" w:hAnsi="宋体"/>
          <w:bCs/>
          <w:color w:val="auto"/>
          <w:sz w:val="24"/>
          <w:highlight w:val="none"/>
        </w:rPr>
      </w:r>
      <w:r>
        <w:rPr>
          <w:color w:val="auto"/>
          <w:highlight w:val="none"/>
        </w:rPr>
      </w:r>
    </w:p>
    <w:p>
      <w:pPr>
        <w:pStyle w:val="929"/>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rPr>
          <w:color w:val="auto"/>
          <w:highlight w:val="none"/>
        </w:rPr>
      </w:r>
    </w:p>
    <w:p>
      <w:pPr>
        <w:pStyle w:val="929"/>
        <w:ind w:left="479"/>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rPr>
          <w:rFonts w:hint="eastAsia" w:ascii="宋体" w:hAnsi="宋体"/>
          <w:bCs/>
          <w:color w:val="auto"/>
          <w:sz w:val="24"/>
          <w:highlight w:val="none"/>
        </w:rPr>
      </w:r>
      <w:r>
        <w:rPr>
          <w:color w:val="auto"/>
          <w:highlight w:val="none"/>
        </w:rPr>
      </w:r>
    </w:p>
    <w:p>
      <w:pPr>
        <w:pStyle w:val="929"/>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rPr>
          <w:color w:val="auto"/>
          <w:highlight w:val="none"/>
        </w:rPr>
      </w:r>
    </w:p>
    <w:p>
      <w:pPr>
        <w:pStyle w:val="929"/>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rPr>
          <w:color w:val="auto"/>
          <w:highlight w:val="none"/>
        </w:rPr>
      </w:r>
    </w:p>
    <w:p>
      <w:pPr>
        <w:pStyle w:val="932"/>
        <w:ind w:firstLine="452"/>
        <w:keepLines w:val="0"/>
        <w:keepNext w:val="0"/>
        <w:spacing w:before="0" w:after="0" w:line="500" w:lineRule="exact"/>
        <w:rPr>
          <w:rFonts w:hint="eastAsia"/>
          <w:color w:val="auto"/>
          <w:sz w:val="30"/>
          <w:szCs w:val="30"/>
          <w:highlight w:val="none"/>
        </w:rPr>
      </w:pPr>
      <w:r>
        <w:rPr>
          <w:color w:val="auto"/>
          <w:highlight w:val="none"/>
        </w:rPr>
      </w:r>
      <w:bookmarkStart w:id="164" w:name="_Toc120614219"/>
      <w:r>
        <w:rPr>
          <w:rFonts w:hint="eastAsia"/>
          <w:color w:val="auto"/>
          <w:sz w:val="30"/>
          <w:szCs w:val="30"/>
          <w:highlight w:val="none"/>
        </w:rPr>
        <w:t xml:space="preserve">六、</w:t>
      </w:r>
      <w:bookmarkEnd w:id="161"/>
      <w:r>
        <w:rPr>
          <w:color w:val="auto"/>
          <w:highlight w:val="none"/>
        </w:rPr>
      </w:r>
      <w:bookmarkEnd w:id="162"/>
      <w:r>
        <w:rPr>
          <w:color w:val="auto"/>
          <w:highlight w:val="none"/>
        </w:rPr>
      </w:r>
      <w:bookmarkEnd w:id="163"/>
      <w:r>
        <w:rPr>
          <w:rFonts w:hint="eastAsia"/>
          <w:color w:val="auto"/>
          <w:sz w:val="30"/>
          <w:szCs w:val="30"/>
          <w:highlight w:val="none"/>
        </w:rPr>
        <w:t xml:space="preserve">定标</w:t>
      </w:r>
      <w:bookmarkEnd w:id="164"/>
      <w:r>
        <w:rPr>
          <w:rFonts w:hint="eastAsia"/>
          <w:color w:val="auto"/>
          <w:sz w:val="30"/>
          <w:szCs w:val="30"/>
          <w:highlight w:val="none"/>
        </w:rPr>
      </w:r>
      <w:r>
        <w:rPr>
          <w:color w:val="auto"/>
          <w:highlight w:val="none"/>
        </w:rPr>
      </w:r>
    </w:p>
    <w:p>
      <w:pPr>
        <w:pStyle w:val="933"/>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65" w:name="_Toc513029238"/>
      <w:r>
        <w:rPr>
          <w:color w:val="auto"/>
          <w:highlight w:val="none"/>
        </w:rPr>
      </w:r>
      <w:bookmarkStart w:id="166" w:name="_Toc20823310"/>
      <w:r>
        <w:rPr>
          <w:color w:val="auto"/>
          <w:highlight w:val="none"/>
        </w:rPr>
      </w:r>
      <w:bookmarkStart w:id="167" w:name="_Toc16938554"/>
      <w:r>
        <w:rPr>
          <w:rFonts w:hint="eastAsia" w:ascii="宋体" w:hAnsi="宋体" w:eastAsia="宋体"/>
          <w:bCs w:val="0"/>
          <w:color w:val="auto"/>
          <w:highlight w:val="none"/>
        </w:rPr>
        <w:t xml:space="preserve">27</w:t>
      </w:r>
      <w:bookmarkEnd w:id="165"/>
      <w:r>
        <w:rPr>
          <w:rFonts w:hint="eastAsia" w:ascii="宋体" w:hAnsi="宋体" w:eastAsia="宋体"/>
          <w:bCs w:val="0"/>
          <w:color w:val="auto"/>
          <w:highlight w:val="none"/>
          <w:lang w:eastAsia="zh-CN"/>
        </w:rPr>
        <w:t xml:space="preserve">.</w:t>
      </w:r>
      <w:r>
        <w:rPr>
          <w:rFonts w:hint="eastAsia" w:ascii="宋体" w:hAnsi="宋体" w:eastAsia="宋体"/>
          <w:bCs w:val="0"/>
          <w:color w:val="auto"/>
          <w:highlight w:val="none"/>
        </w:rPr>
        <w:t xml:space="preserve">确定</w:t>
      </w:r>
      <w:bookmarkEnd w:id="166"/>
      <w:r>
        <w:rPr>
          <w:color w:val="auto"/>
          <w:highlight w:val="none"/>
        </w:rPr>
      </w:r>
      <w:bookmarkEnd w:id="167"/>
      <w:r>
        <w:rPr>
          <w:rFonts w:hint="eastAsia" w:ascii="宋体" w:hAnsi="宋体" w:eastAsia="宋体"/>
          <w:bCs w:val="0"/>
          <w:color w:val="auto"/>
          <w:highlight w:val="none"/>
        </w:rPr>
        <w:t xml:space="preserve">中标单位</w:t>
      </w:r>
      <w:r>
        <w:rPr>
          <w:color w:val="auto"/>
          <w:highlight w:val="none"/>
        </w:rPr>
      </w:r>
    </w:p>
    <w:p>
      <w:pPr>
        <w:pStyle w:val="929"/>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rPr>
          <w:color w:val="auto"/>
          <w:highlight w:val="none"/>
        </w:rPr>
      </w:r>
    </w:p>
    <w:p>
      <w:pPr>
        <w:pStyle w:val="929"/>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27.2采购人应根据评委会推荐的中标候选人</w:t>
      </w:r>
      <w:r>
        <w:rPr>
          <w:rFonts w:hint="eastAsia" w:ascii="宋体" w:hAnsi="宋体"/>
          <w:bCs/>
          <w:color w:val="auto"/>
          <w:sz w:val="24"/>
          <w:highlight w:val="none"/>
        </w:rPr>
        <w:t xml:space="preserve">名单中按</w:t>
      </w:r>
      <w:r>
        <w:rPr>
          <w:rFonts w:hint="eastAsia" w:ascii="宋体" w:hAnsi="宋体"/>
          <w:bCs/>
          <w:color w:val="auto"/>
          <w:sz w:val="24"/>
          <w:highlight w:val="none"/>
        </w:rPr>
        <w:t xml:space="preserve">排名先后</w:t>
      </w:r>
      <w:r>
        <w:rPr>
          <w:rFonts w:hint="eastAsia" w:ascii="宋体" w:hAnsi="宋体"/>
          <w:bCs/>
          <w:color w:val="auto"/>
          <w:sz w:val="24"/>
          <w:highlight w:val="none"/>
        </w:rPr>
        <w:t xml:space="preserve">顺序</w:t>
      </w:r>
      <w:r>
        <w:rPr>
          <w:rFonts w:hint="eastAsia" w:ascii="宋体" w:hAnsi="宋体"/>
          <w:bCs/>
          <w:color w:val="auto"/>
          <w:sz w:val="24"/>
          <w:highlight w:val="none"/>
        </w:rPr>
        <w:t xml:space="preserve">确定一个投标人</w:t>
      </w:r>
      <w:r>
        <w:rPr>
          <w:rFonts w:hint="eastAsia" w:ascii="宋体" w:hAnsi="宋体"/>
          <w:bCs/>
          <w:color w:val="auto"/>
          <w:sz w:val="24"/>
          <w:highlight w:val="none"/>
        </w:rPr>
        <w:t xml:space="preserve">为</w:t>
      </w:r>
      <w:r>
        <w:rPr>
          <w:rFonts w:hint="eastAsia" w:ascii="宋体" w:hAnsi="宋体"/>
          <w:bCs/>
          <w:color w:val="auto"/>
          <w:sz w:val="24"/>
          <w:highlight w:val="none"/>
        </w:rPr>
        <w:t xml:space="preserve">中标</w:t>
      </w:r>
      <w:r>
        <w:rPr>
          <w:rFonts w:hint="eastAsia" w:ascii="宋体" w:hAnsi="宋体"/>
          <w:bCs/>
          <w:color w:val="auto"/>
          <w:sz w:val="24"/>
          <w:highlight w:val="none"/>
        </w:rPr>
        <w:t xml:space="preserve">单位</w:t>
      </w:r>
      <w:r>
        <w:rPr>
          <w:rFonts w:hint="eastAsia" w:ascii="宋体" w:hAnsi="宋体"/>
          <w:bCs/>
          <w:color w:val="auto"/>
          <w:sz w:val="24"/>
          <w:highlight w:val="none"/>
        </w:rPr>
        <w:t xml:space="preserve">。联合体中标的，联合体各方应当共同与采购人签订合同，就中标项目向采购人承担连带责任。</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交易中心将在“无锡政府采购网”“江苏政府采购网”发布中标公告，公告期限为1个工作日。</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27.4中标无效的确认</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27.4.2向采购人、交易中心行贿或者提供其他不正当利益的。</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rPr>
          <w:color w:val="auto"/>
          <w:highlight w:val="none"/>
        </w:rPr>
      </w:r>
    </w:p>
    <w:p>
      <w:pPr>
        <w:pStyle w:val="929"/>
        <w:ind w:firstLine="480"/>
        <w:spacing w:line="500" w:lineRule="exact"/>
        <w:rPr>
          <w:rFonts w:hint="eastAsia" w:ascii="宋体" w:hAnsi="宋体"/>
          <w:color w:val="auto"/>
          <w:sz w:val="24"/>
          <w:szCs w:val="24"/>
          <w:highlight w:val="none"/>
        </w:rPr>
      </w:pPr>
      <w:r>
        <w:rPr>
          <w:color w:val="auto"/>
          <w:highlight w:val="none"/>
        </w:r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auto"/>
          <w:sz w:val="24"/>
          <w:szCs w:val="24"/>
          <w:highlight w:val="none"/>
        </w:rPr>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rPr>
          <w:rFonts w:hint="eastAsia" w:ascii="宋体" w:hAnsi="宋体"/>
          <w:color w:val="auto"/>
          <w:sz w:val="24"/>
          <w:szCs w:val="24"/>
          <w:highlight w:val="none"/>
        </w:rPr>
      </w:r>
      <w:r>
        <w:rPr>
          <w:color w:val="auto"/>
          <w:highlight w:val="none"/>
        </w:rPr>
      </w:r>
    </w:p>
    <w:p>
      <w:pPr>
        <w:pStyle w:val="929"/>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rPr>
          <w:rFonts w:ascii="宋体" w:hAnsi="宋体"/>
          <w:color w:val="auto"/>
          <w:sz w:val="24"/>
          <w:szCs w:val="24"/>
          <w:highlight w:val="none"/>
        </w:rPr>
      </w:r>
      <w:r>
        <w:rPr>
          <w:color w:val="auto"/>
          <w:highlight w:val="none"/>
        </w:rPr>
      </w:r>
    </w:p>
    <w:p>
      <w:pPr>
        <w:pStyle w:val="929"/>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rPr>
          <w:rFonts w:ascii="宋体" w:hAnsi="宋体"/>
          <w:color w:val="auto"/>
          <w:sz w:val="24"/>
          <w:szCs w:val="24"/>
          <w:highlight w:val="none"/>
        </w:rPr>
      </w:r>
      <w:r>
        <w:rPr>
          <w:color w:val="auto"/>
          <w:highlight w:val="none"/>
        </w:rPr>
      </w:r>
    </w:p>
    <w:p>
      <w:pPr>
        <w:pStyle w:val="929"/>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rPr>
          <w:rFonts w:ascii="宋体" w:hAnsi="宋体"/>
          <w:color w:val="auto"/>
          <w:sz w:val="24"/>
          <w:szCs w:val="24"/>
          <w:highlight w:val="none"/>
        </w:rPr>
      </w:r>
      <w:r>
        <w:rPr>
          <w:color w:val="auto"/>
          <w:highlight w:val="none"/>
        </w:rPr>
      </w:r>
    </w:p>
    <w:p>
      <w:pPr>
        <w:pStyle w:val="929"/>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rPr>
          <w:rFonts w:ascii="宋体" w:hAnsi="宋体"/>
          <w:color w:val="auto"/>
          <w:sz w:val="24"/>
          <w:szCs w:val="24"/>
          <w:highlight w:val="none"/>
        </w:rPr>
      </w:r>
      <w:r>
        <w:rPr>
          <w:color w:val="auto"/>
          <w:highlight w:val="none"/>
        </w:rPr>
      </w:r>
    </w:p>
    <w:p>
      <w:pPr>
        <w:pStyle w:val="929"/>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rPr>
          <w:rFonts w:ascii="宋体" w:hAnsi="宋体"/>
          <w:color w:val="auto"/>
          <w:sz w:val="24"/>
          <w:szCs w:val="24"/>
          <w:highlight w:val="none"/>
        </w:rPr>
      </w:r>
      <w:r>
        <w:rPr>
          <w:color w:val="auto"/>
          <w:highlight w:val="none"/>
        </w:rPr>
      </w:r>
    </w:p>
    <w:p>
      <w:pPr>
        <w:pStyle w:val="933"/>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28.质疑处理</w:t>
      </w:r>
      <w:bookmarkEnd w:id="168"/>
      <w:r>
        <w:rPr>
          <w:rFonts w:hint="eastAsia" w:ascii="宋体" w:hAnsi="宋体" w:eastAsia="宋体"/>
          <w:bCs w:val="0"/>
          <w:color w:val="auto"/>
          <w:highlight w:val="none"/>
        </w:rPr>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w:t>
      </w:r>
      <w:r>
        <w:rPr>
          <w:rFonts w:hint="eastAsia" w:ascii="宋体" w:hAnsi="宋体"/>
          <w:color w:val="auto"/>
          <w:sz w:val="24"/>
          <w:szCs w:val="24"/>
          <w:highlight w:val="none"/>
        </w:rPr>
        <w:t xml:space="preserve">法获取其可质疑的采购文件的，可以对采购文件提出质疑。</w:t>
      </w:r>
      <w:r>
        <w:rPr>
          <w:rFonts w:hint="eastAsia" w:ascii="宋体" w:hAnsi="宋体"/>
          <w:color w:val="auto"/>
          <w:sz w:val="24"/>
          <w:szCs w:val="24"/>
          <w:highlight w:val="none"/>
        </w:rPr>
        <w:t xml:space="preserve">供应商</w:t>
      </w:r>
      <w:r>
        <w:rPr>
          <w:rFonts w:hint="eastAsia" w:ascii="宋体" w:hAnsi="宋体"/>
          <w:color w:val="auto"/>
          <w:sz w:val="24"/>
          <w:szCs w:val="24"/>
          <w:highlight w:val="none"/>
        </w:rPr>
        <w:t xml:space="preserve">针对采购文件</w:t>
      </w:r>
      <w:r>
        <w:rPr>
          <w:rFonts w:hint="eastAsia" w:ascii="宋体" w:hAnsi="宋体"/>
          <w:color w:val="auto"/>
          <w:sz w:val="24"/>
          <w:szCs w:val="24"/>
          <w:highlight w:val="none"/>
        </w:rPr>
        <w:t xml:space="preserve">提出书面质疑的，须同时</w:t>
      </w:r>
      <w:r>
        <w:rPr>
          <w:rFonts w:hint="eastAsia" w:ascii="宋体" w:hAnsi="宋体"/>
          <w:color w:val="auto"/>
          <w:sz w:val="24"/>
          <w:szCs w:val="24"/>
          <w:highlight w:val="none"/>
        </w:rPr>
        <w:t xml:space="preserve">提供</w:t>
      </w:r>
      <w:r>
        <w:rPr>
          <w:rFonts w:hint="eastAsia" w:ascii="宋体" w:hAnsi="宋体"/>
          <w:color w:val="auto"/>
          <w:sz w:val="24"/>
          <w:szCs w:val="24"/>
          <w:highlight w:val="none"/>
        </w:rPr>
        <w:t xml:space="preserve">对可质疑的采购文件已进行依法获取的证明，</w:t>
      </w:r>
      <w:r>
        <w:rPr>
          <w:rFonts w:hint="eastAsia" w:ascii="宋体" w:hAnsi="宋体"/>
          <w:color w:val="auto"/>
          <w:sz w:val="24"/>
          <w:szCs w:val="24"/>
          <w:highlight w:val="none"/>
        </w:rPr>
        <w:t xml:space="preserve">且</w:t>
      </w:r>
      <w:r>
        <w:rPr>
          <w:rFonts w:hint="eastAsia" w:ascii="宋体" w:hAnsi="宋体"/>
          <w:color w:val="auto"/>
          <w:sz w:val="24"/>
          <w:szCs w:val="24"/>
          <w:highlight w:val="none"/>
        </w:rPr>
        <w:t xml:space="preserve">采购人或交易中心有权向“苏采云”系统平台方进行核实。供应商对可质疑的采购文件已进行依法获取的证明是指：本项目的</w:t>
      </w:r>
      <w:r>
        <w:rPr>
          <w:rFonts w:hint="eastAsia" w:ascii="宋体" w:hAnsi="宋体"/>
          <w:color w:val="auto"/>
          <w:sz w:val="24"/>
          <w:szCs w:val="24"/>
          <w:highlight w:val="none"/>
        </w:rPr>
        <w:t xml:space="preserve">《投标供应商确认函》</w:t>
      </w:r>
      <w:r>
        <w:rPr>
          <w:rFonts w:hint="eastAsia" w:ascii="宋体" w:hAnsi="宋体"/>
          <w:color w:val="auto"/>
          <w:sz w:val="24"/>
          <w:szCs w:val="24"/>
          <w:highlight w:val="none"/>
        </w:rPr>
        <w:t xml:space="preserve">和已在“苏采云”系统中对本项目采购文件进行有效获取的</w:t>
      </w:r>
      <w:r>
        <w:rPr>
          <w:rFonts w:hint="eastAsia" w:ascii="宋体" w:hAnsi="宋体"/>
          <w:color w:val="auto"/>
          <w:sz w:val="24"/>
          <w:szCs w:val="24"/>
          <w:highlight w:val="none"/>
        </w:rPr>
        <w:t xml:space="preserve">界面</w:t>
      </w:r>
      <w:r>
        <w:rPr>
          <w:rFonts w:hint="eastAsia" w:ascii="宋体" w:hAnsi="宋体"/>
          <w:color w:val="auto"/>
          <w:sz w:val="24"/>
          <w:szCs w:val="24"/>
          <w:highlight w:val="none"/>
        </w:rPr>
        <w:t xml:space="preserve">截图（</w:t>
      </w:r>
      <w:r>
        <w:rPr>
          <w:rFonts w:hint="eastAsia" w:ascii="宋体" w:hAnsi="宋体"/>
          <w:color w:val="auto"/>
          <w:sz w:val="24"/>
          <w:szCs w:val="24"/>
          <w:highlight w:val="none"/>
        </w:rPr>
        <w:t xml:space="preserve">截图上显示供应商名称以及</w:t>
      </w:r>
      <w:r>
        <w:rPr>
          <w:rFonts w:hint="eastAsia" w:ascii="宋体" w:hAnsi="宋体"/>
          <w:color w:val="auto"/>
          <w:sz w:val="24"/>
          <w:szCs w:val="24"/>
          <w:highlight w:val="none"/>
        </w:rPr>
        <w:t xml:space="preserve">在供应商的</w:t>
      </w:r>
      <w:r>
        <w:rPr>
          <w:rFonts w:hint="eastAsia" w:ascii="宋体" w:hAnsi="宋体"/>
          <w:color w:val="auto"/>
          <w:sz w:val="24"/>
          <w:szCs w:val="24"/>
          <w:highlight w:val="none"/>
        </w:rPr>
        <w:t xml:space="preserve">界面操作</w:t>
      </w:r>
      <w:r>
        <w:rPr>
          <w:rFonts w:hint="eastAsia" w:ascii="宋体" w:hAnsi="宋体"/>
          <w:color w:val="auto"/>
          <w:sz w:val="24"/>
          <w:szCs w:val="24"/>
          <w:highlight w:val="none"/>
        </w:rPr>
        <w:t xml:space="preserve">一栏处</w:t>
      </w:r>
      <w:r>
        <w:rPr>
          <w:rFonts w:hint="eastAsia" w:ascii="宋体" w:hAnsi="宋体"/>
          <w:color w:val="auto"/>
          <w:sz w:val="24"/>
          <w:szCs w:val="24"/>
          <w:highlight w:val="none"/>
        </w:rPr>
        <w:t xml:space="preserve">能够显示“上传文件”按钮的，代表该供应商在</w:t>
      </w:r>
      <w:r>
        <w:rPr>
          <w:rFonts w:hint="eastAsia" w:ascii="宋体" w:hAnsi="宋体"/>
          <w:color w:val="auto"/>
          <w:sz w:val="24"/>
          <w:szCs w:val="24"/>
          <w:highlight w:val="none"/>
        </w:rPr>
        <w:t xml:space="preserve">本文件</w:t>
      </w:r>
      <w:r>
        <w:rPr>
          <w:rFonts w:hint="eastAsia" w:ascii="宋体" w:hAnsi="宋体"/>
          <w:color w:val="auto"/>
          <w:sz w:val="24"/>
          <w:szCs w:val="24"/>
          <w:highlight w:val="none"/>
        </w:rPr>
        <w:t xml:space="preserve">有效获取期限内已从“苏采云”系统</w:t>
      </w:r>
      <w:r>
        <w:rPr>
          <w:rFonts w:hint="eastAsia" w:ascii="宋体" w:hAnsi="宋体"/>
          <w:color w:val="auto"/>
          <w:sz w:val="24"/>
          <w:szCs w:val="24"/>
          <w:highlight w:val="none"/>
        </w:rPr>
        <w:t xml:space="preserve">中</w:t>
      </w:r>
      <w:r>
        <w:rPr>
          <w:rFonts w:hint="eastAsia" w:ascii="宋体" w:hAnsi="宋体"/>
          <w:color w:val="auto"/>
          <w:sz w:val="24"/>
          <w:szCs w:val="24"/>
          <w:highlight w:val="none"/>
        </w:rPr>
        <w:t xml:space="preserve">进行了获取）</w:t>
      </w:r>
      <w:r>
        <w:rPr>
          <w:rFonts w:hint="eastAsia" w:ascii="宋体" w:hAnsi="宋体"/>
          <w:color w:val="auto"/>
          <w:sz w:val="24"/>
          <w:szCs w:val="24"/>
          <w:highlight w:val="none"/>
        </w:rPr>
        <w:t xml:space="preserve">。</w:t>
      </w:r>
      <w:r>
        <w:rPr>
          <w:rFonts w:hint="eastAsia" w:ascii="宋体" w:hAnsi="宋体"/>
          <w:color w:val="auto"/>
          <w:sz w:val="24"/>
          <w:szCs w:val="24"/>
          <w:highlight w:val="none"/>
        </w:rPr>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w:t>
      </w:r>
      <w:r>
        <w:rPr>
          <w:rFonts w:ascii="宋体" w:hAnsi="宋体"/>
          <w:color w:val="auto"/>
          <w:sz w:val="24"/>
          <w:szCs w:val="24"/>
          <w:highlight w:val="none"/>
        </w:rPr>
        <w:t xml:space="preserve">告期限届满之日；</w:t>
      </w:r>
      <w:r>
        <w:rPr>
          <w:rFonts w:hint="eastAsia" w:ascii="宋体" w:hAnsi="宋体"/>
          <w:color w:val="auto"/>
          <w:sz w:val="24"/>
          <w:szCs w:val="24"/>
          <w:highlight w:val="none"/>
        </w:rPr>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rPr>
          <w:rFonts w:hint="eastAsia" w:ascii="宋体" w:hAnsi="宋体"/>
          <w:color w:val="auto"/>
          <w:sz w:val="24"/>
          <w:szCs w:val="24"/>
          <w:highlight w:val="none"/>
        </w:rPr>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rPr>
          <w:rFonts w:hint="eastAsia" w:ascii="宋体" w:hAnsi="宋体"/>
          <w:color w:val="auto"/>
          <w:sz w:val="24"/>
          <w:szCs w:val="24"/>
          <w:highlight w:val="none"/>
        </w:rPr>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rPr>
          <w:color w:val="auto"/>
          <w:highlight w:val="none"/>
        </w:rPr>
      </w:r>
    </w:p>
    <w:p>
      <w:pPr>
        <w:pStyle w:val="929"/>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auto"/>
          <w:sz w:val="24"/>
          <w:szCs w:val="24"/>
          <w:highlight w:val="none"/>
          <w:shd w:val="clear" w:color="ffffff" w:fill="d9d9d9"/>
        </w:rPr>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采购人、交易中心只接收以纸质原件形式送达的质疑,质疑供应商可通过面交或邮寄方式送达（采购人和交易中心不接受未填写快递运单的快件）。</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采购人、交易中心联系人、联系方式、通信地址见招标文件第一章。</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rPr>
          <w:color w:val="auto"/>
          <w:highlight w:val="none"/>
        </w:rPr>
      </w:r>
    </w:p>
    <w:p>
      <w:pPr>
        <w:pStyle w:val="929"/>
        <w:ind w:firstLine="468"/>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一经查实，交易中心有权依据政府采购的有关规定，报请政府采购监管部门对该供应商进行相应的行政处罚和记录该供应商的失信信息。</w:t>
      </w:r>
      <w:r>
        <w:rPr>
          <w:color w:val="auto"/>
          <w:highlight w:val="none"/>
        </w:rPr>
      </w:r>
    </w:p>
    <w:p>
      <w:pPr>
        <w:pStyle w:val="933"/>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29.中标通知书</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color w:val="auto"/>
          <w:highlight w:val="none"/>
        </w:rPr>
      </w:r>
    </w:p>
    <w:p>
      <w:pPr>
        <w:pStyle w:val="932"/>
        <w:ind w:firstLine="452"/>
        <w:keepLines w:val="0"/>
        <w:keepNext w:val="0"/>
        <w:spacing w:before="0" w:after="0" w:line="500" w:lineRule="exact"/>
        <w:rPr>
          <w:rFonts w:hint="eastAsia"/>
          <w:color w:val="auto"/>
          <w:sz w:val="30"/>
          <w:szCs w:val="30"/>
          <w:highlight w:val="none"/>
        </w:rPr>
      </w:pPr>
      <w:r>
        <w:rPr>
          <w:color w:val="auto"/>
          <w:highlight w:val="none"/>
        </w:rPr>
      </w:r>
      <w:bookmarkStart w:id="169" w:name="_Toc120614220"/>
      <w:r>
        <w:rPr>
          <w:color w:val="auto"/>
          <w:highlight w:val="none"/>
        </w:rPr>
      </w:r>
      <w:bookmarkStart w:id="170" w:name="_Toc20823308"/>
      <w:r>
        <w:rPr>
          <w:color w:val="auto"/>
          <w:highlight w:val="none"/>
        </w:rPr>
      </w:r>
      <w:bookmarkStart w:id="171" w:name="_Toc16938552"/>
      <w:r>
        <w:rPr>
          <w:color w:val="auto"/>
          <w:highlight w:val="none"/>
        </w:rPr>
      </w:r>
      <w:bookmarkStart w:id="172" w:name="_Toc513029236"/>
      <w:r>
        <w:rPr>
          <w:rFonts w:hint="eastAsia"/>
          <w:color w:val="auto"/>
          <w:sz w:val="30"/>
          <w:szCs w:val="30"/>
          <w:highlight w:val="none"/>
        </w:rPr>
        <w:t xml:space="preserve">七、授予合同</w:t>
      </w:r>
      <w:bookmarkEnd w:id="169"/>
      <w:r>
        <w:rPr>
          <w:rFonts w:hint="eastAsia"/>
          <w:color w:val="auto"/>
          <w:sz w:val="30"/>
          <w:szCs w:val="30"/>
          <w:highlight w:val="none"/>
        </w:rPr>
      </w:r>
      <w:r>
        <w:rPr>
          <w:color w:val="auto"/>
          <w:highlight w:val="none"/>
        </w:rPr>
      </w:r>
    </w:p>
    <w:p>
      <w:pPr>
        <w:pStyle w:val="933"/>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End w:id="170"/>
      <w:r>
        <w:rPr>
          <w:color w:val="auto"/>
          <w:highlight w:val="none"/>
        </w:rPr>
      </w:r>
      <w:bookmarkEnd w:id="171"/>
      <w:r>
        <w:rPr>
          <w:color w:val="auto"/>
          <w:highlight w:val="none"/>
        </w:rPr>
      </w:r>
      <w:bookmarkEnd w:id="172"/>
      <w:r>
        <w:rPr>
          <w:color w:val="auto"/>
          <w:highlight w:val="none"/>
        </w:rPr>
      </w:r>
      <w:bookmarkStart w:id="173" w:name="_Toc16938553"/>
      <w:r>
        <w:rPr>
          <w:color w:val="auto"/>
          <w:highlight w:val="none"/>
        </w:rPr>
      </w:r>
      <w:bookmarkStart w:id="174" w:name="_Toc513029237"/>
      <w:r>
        <w:rPr>
          <w:color w:val="auto"/>
          <w:highlight w:val="none"/>
        </w:rPr>
      </w:r>
      <w:bookmarkStart w:id="175" w:name="_Toc20823309"/>
      <w:r>
        <w:rPr>
          <w:rFonts w:hint="eastAsia" w:ascii="宋体" w:hAnsi="宋体" w:eastAsia="宋体"/>
          <w:bCs w:val="0"/>
          <w:color w:val="auto"/>
          <w:highlight w:val="none"/>
        </w:rPr>
        <w:t xml:space="preserve">30.签订合同</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30.2中标人非因不可抗力未履行招、投标文件和合同规定的义务，一经查实，交易中心将根据具体情况提请政府采购管理部门作出相应处理。</w:t>
      </w:r>
      <w:r>
        <w:rPr>
          <w:color w:val="auto"/>
          <w:highlight w:val="none"/>
        </w:rPr>
      </w:r>
    </w:p>
    <w:p>
      <w:pPr>
        <w:pStyle w:val="929"/>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auto"/>
          <w:sz w:val="24"/>
          <w:szCs w:val="24"/>
          <w:highlight w:val="none"/>
        </w:rPr>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color w:val="auto"/>
          <w:highlight w:val="none"/>
        </w:rPr>
      </w:r>
    </w:p>
    <w:p>
      <w:pPr>
        <w:pStyle w:val="933"/>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31.服务（包含与服务相关的货物）的追加</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color w:val="auto"/>
          <w:highlight w:val="none"/>
        </w:rPr>
      </w:r>
    </w:p>
    <w:p>
      <w:pPr>
        <w:pStyle w:val="944"/>
        <w:jc w:val="center"/>
        <w:spacing w:line="500" w:lineRule="exact"/>
        <w:rPr>
          <w:rFonts w:hint="eastAsia" w:ascii="黑体" w:eastAsia="黑体"/>
          <w:bCs/>
          <w:color w:val="auto"/>
          <w:sz w:val="36"/>
          <w:szCs w:val="36"/>
          <w:highlight w:val="none"/>
        </w:rPr>
      </w:pPr>
      <w:r>
        <w:rPr>
          <w:color w:val="auto"/>
          <w:highlight w:val="none"/>
        </w:rPr>
      </w:r>
      <w:bookmarkEnd w:id="173"/>
      <w:r>
        <w:rPr>
          <w:color w:val="auto"/>
          <w:highlight w:val="none"/>
        </w:rPr>
      </w:r>
      <w:bookmarkEnd w:id="174"/>
      <w:r>
        <w:rPr>
          <w:color w:val="auto"/>
          <w:highlight w:val="none"/>
        </w:rPr>
      </w:r>
      <w:bookmarkEnd w:id="175"/>
      <w:r>
        <w:rPr>
          <w:color w:val="auto"/>
          <w:highlight w:val="none"/>
        </w:rPr>
      </w:r>
      <w:bookmarkStart w:id="176" w:name="_Toc479757207"/>
      <w:r>
        <w:rPr>
          <w:color w:val="auto"/>
          <w:highlight w:val="none"/>
        </w:rPr>
      </w:r>
      <w:bookmarkStart w:id="177" w:name="_Toc20823314"/>
      <w:r>
        <w:rPr>
          <w:color w:val="auto"/>
          <w:highlight w:val="none"/>
        </w:rPr>
      </w:r>
      <w:bookmarkStart w:id="178" w:name="_Toc120614221"/>
      <w:r>
        <w:rPr>
          <w:color w:val="auto"/>
          <w:highlight w:val="none"/>
        </w:rPr>
      </w:r>
      <w:bookmarkStart w:id="179" w:name="_Toc16938558"/>
      <w:r>
        <w:rPr>
          <w:color w:val="auto"/>
          <w:highlight w:val="none"/>
        </w:rPr>
      </w:r>
      <w:bookmarkStart w:id="180" w:name="_Toc513029242"/>
      <w:r>
        <w:rPr>
          <w:rFonts w:ascii="宋体" w:hAnsi="宋体"/>
          <w:bCs/>
          <w:color w:val="auto"/>
          <w:sz w:val="24"/>
          <w:highlight w:val="none"/>
          <w:shd w:val="clear" w:color="ffffff" w:fill="d9d9d9"/>
        </w:rPr>
        <w:br w:type="page" w:clear="all"/>
      </w:r>
      <w:r>
        <w:rPr>
          <w:rFonts w:hint="eastAsia" w:ascii="黑体" w:eastAsia="黑体"/>
          <w:bCs/>
          <w:color w:val="auto"/>
          <w:sz w:val="36"/>
          <w:szCs w:val="36"/>
          <w:highlight w:val="none"/>
        </w:rPr>
        <w:t xml:space="preserve">第三章  合同</w:t>
      </w:r>
      <w:bookmarkEnd w:id="176"/>
      <w:r>
        <w:rPr>
          <w:color w:val="auto"/>
          <w:highlight w:val="none"/>
        </w:rPr>
      </w:r>
      <w:bookmarkEnd w:id="177"/>
      <w:r>
        <w:rPr>
          <w:color w:val="auto"/>
          <w:highlight w:val="none"/>
        </w:rPr>
      </w:r>
      <w:bookmarkEnd w:id="178"/>
      <w:r>
        <w:rPr>
          <w:color w:val="auto"/>
          <w:highlight w:val="none"/>
        </w:rPr>
      </w:r>
      <w:bookmarkEnd w:id="179"/>
      <w:r>
        <w:rPr>
          <w:color w:val="auto"/>
          <w:highlight w:val="none"/>
        </w:rPr>
      </w:r>
      <w:bookmarkEnd w:id="180"/>
      <w:r>
        <w:rPr>
          <w:rFonts w:hint="eastAsia" w:ascii="黑体" w:eastAsia="黑体"/>
          <w:bCs/>
          <w:color w:val="auto"/>
          <w:sz w:val="36"/>
          <w:szCs w:val="36"/>
          <w:highlight w:val="none"/>
        </w:rPr>
        <w:t xml:space="preserve">文本</w:t>
      </w:r>
      <w:r>
        <w:rPr>
          <w:color w:val="auto"/>
          <w:highlight w:val="none"/>
        </w:rPr>
      </w:r>
    </w:p>
    <w:p>
      <w:pPr>
        <w:pStyle w:val="929"/>
        <w:ind w:firstLine="480"/>
        <w:spacing w:line="400" w:lineRule="exact"/>
        <w:rPr>
          <w:rFonts w:hint="eastAsia" w:ascii="宋体" w:hAnsi="宋体"/>
          <w:bCs/>
          <w:color w:val="auto"/>
          <w:sz w:val="24"/>
          <w:highlight w:val="none"/>
        </w:rPr>
      </w:pPr>
      <w:r>
        <w:rPr>
          <w:color w:val="auto"/>
          <w:highlight w:val="none"/>
        </w:rPr>
      </w:r>
      <w:bookmarkStart w:id="181" w:name="_Toc20823315"/>
      <w:r>
        <w:rPr>
          <w:color w:val="auto"/>
          <w:highlight w:val="none"/>
        </w:rPr>
      </w:r>
      <w:bookmarkStart w:id="182" w:name="_Toc16938559"/>
      <w:r>
        <w:rPr>
          <w:color w:val="auto"/>
          <w:highlight w:val="none"/>
        </w:rPr>
      </w:r>
      <w:bookmarkStart w:id="183" w:name="_Toc513029243"/>
      <w:r>
        <w:rPr>
          <w:rFonts w:hint="eastAsia" w:ascii="宋体" w:hAnsi="宋体"/>
          <w:bCs/>
          <w:color w:val="auto"/>
          <w:sz w:val="24"/>
          <w:highlight w:val="none"/>
        </w:rPr>
        <w:t xml:space="preserve">以下为中标后</w:t>
      </w:r>
      <w:r>
        <w:rPr>
          <w:rFonts w:hint="eastAsia" w:ascii="宋体" w:hAnsi="宋体"/>
          <w:bCs/>
          <w:color w:val="auto"/>
          <w:sz w:val="24"/>
          <w:highlight w:val="none"/>
        </w:rPr>
        <w:t xml:space="preserve">签订</w:t>
      </w:r>
      <w:r>
        <w:rPr>
          <w:rFonts w:hint="eastAsia" w:ascii="宋体" w:hAnsi="宋体"/>
          <w:bCs/>
          <w:color w:val="auto"/>
          <w:sz w:val="24"/>
          <w:highlight w:val="none"/>
        </w:rPr>
        <w:t xml:space="preserve">本项目合同的通用条款，中标人不得提出实质性的修改。</w:t>
      </w:r>
      <w:r>
        <w:rPr>
          <w:color w:val="auto"/>
          <w:highlight w:val="none"/>
        </w:rPr>
      </w:r>
    </w:p>
    <w:p>
      <w:pPr>
        <w:pStyle w:val="929"/>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rPr>
          <w:rFonts w:ascii="宋体" w:hAnsi="宋体"/>
          <w:b/>
          <w:bCs/>
          <w:color w:val="auto"/>
          <w:sz w:val="30"/>
          <w:szCs w:val="20"/>
          <w:highlight w:val="none"/>
        </w:rPr>
      </w:r>
      <w:r>
        <w:rPr>
          <w:color w:val="auto"/>
          <w:highlight w:val="none"/>
        </w:rPr>
      </w:r>
    </w:p>
    <w:p>
      <w:pPr>
        <w:pStyle w:val="968"/>
        <w:spacing w:line="400" w:lineRule="exact"/>
        <w:rPr>
          <w:rFonts w:hAnsi="宋体"/>
          <w:color w:val="auto"/>
          <w:sz w:val="24"/>
          <w:szCs w:val="24"/>
          <w:highlight w:val="none"/>
        </w:rPr>
      </w:pPr>
      <w:r>
        <w:rPr>
          <w:rFonts w:hAnsi="宋体"/>
          <w:color w:val="auto"/>
          <w:sz w:val="24"/>
          <w:szCs w:val="24"/>
          <w:highlight w:val="none"/>
        </w:rPr>
        <w:t xml:space="preserve">项目名称：                                       项目编号：</w:t>
      </w:r>
      <w:r>
        <w:rPr>
          <w:color w:val="auto"/>
          <w:highlight w:val="none"/>
        </w:rPr>
      </w:r>
    </w:p>
    <w:p>
      <w:pPr>
        <w:pStyle w:val="968"/>
        <w:spacing w:line="400" w:lineRule="exact"/>
        <w:rPr>
          <w:rFonts w:hAnsi="宋体"/>
          <w:color w:val="auto"/>
          <w:sz w:val="24"/>
          <w:szCs w:val="24"/>
          <w:highlight w:val="none"/>
        </w:rPr>
      </w:pPr>
      <w:r>
        <w:rPr>
          <w:rFonts w:hAnsi="宋体"/>
          <w:color w:val="auto"/>
          <w:sz w:val="24"/>
          <w:szCs w:val="24"/>
          <w:highlight w:val="none"/>
        </w:rPr>
        <w:t xml:space="preserve">甲方：（买方</w:t>
      </w:r>
      <w:r>
        <w:rPr>
          <w:rFonts w:hAnsi="宋体"/>
          <w:color w:val="auto"/>
          <w:sz w:val="24"/>
          <w:szCs w:val="24"/>
          <w:highlight w:val="none"/>
        </w:rPr>
        <w:t xml:space="preserve">、</w:t>
      </w:r>
      <w:r>
        <w:rPr>
          <w:rFonts w:hAnsi="宋体"/>
          <w:color w:val="auto"/>
          <w:sz w:val="24"/>
          <w:szCs w:val="24"/>
          <w:highlight w:val="none"/>
        </w:rPr>
        <w:t xml:space="preserve">需方、</w:t>
      </w:r>
      <w:r>
        <w:rPr>
          <w:rFonts w:hAnsi="宋体"/>
          <w:color w:val="auto"/>
          <w:sz w:val="24"/>
          <w:szCs w:val="24"/>
          <w:highlight w:val="none"/>
        </w:rPr>
        <w:t xml:space="preserve">采购人</w:t>
      </w:r>
      <w:r>
        <w:rPr>
          <w:rFonts w:hAnsi="宋体"/>
          <w:color w:val="auto"/>
          <w:sz w:val="24"/>
          <w:szCs w:val="24"/>
          <w:highlight w:val="none"/>
        </w:rPr>
        <w:t xml:space="preserve">）_________</w:t>
      </w:r>
      <w:r>
        <w:rPr>
          <w:color w:val="auto"/>
          <w:highlight w:val="none"/>
        </w:rPr>
      </w:r>
    </w:p>
    <w:p>
      <w:pPr>
        <w:pStyle w:val="968"/>
        <w:spacing w:line="400" w:lineRule="exact"/>
        <w:rPr>
          <w:rFonts w:hint="eastAsia" w:hAnsi="宋体"/>
          <w:color w:val="auto"/>
          <w:sz w:val="24"/>
          <w:szCs w:val="24"/>
          <w:highlight w:val="none"/>
        </w:rPr>
      </w:pPr>
      <w:r>
        <w:rPr>
          <w:rFonts w:hAnsi="宋体"/>
          <w:color w:val="auto"/>
          <w:sz w:val="24"/>
          <w:szCs w:val="24"/>
          <w:highlight w:val="none"/>
        </w:rPr>
        <w:t xml:space="preserve">乙方：（卖方</w:t>
      </w:r>
      <w:r>
        <w:rPr>
          <w:rFonts w:hAnsi="宋体"/>
          <w:color w:val="auto"/>
          <w:sz w:val="24"/>
          <w:szCs w:val="24"/>
          <w:highlight w:val="none"/>
        </w:rPr>
        <w:t xml:space="preserve">、</w:t>
      </w:r>
      <w:r>
        <w:rPr>
          <w:rFonts w:hAnsi="宋体"/>
          <w:color w:val="auto"/>
          <w:sz w:val="24"/>
          <w:szCs w:val="24"/>
          <w:highlight w:val="none"/>
        </w:rPr>
        <w:t xml:space="preserve">供方、</w:t>
      </w:r>
      <w:r>
        <w:rPr>
          <w:rFonts w:hAnsi="宋体"/>
          <w:color w:val="auto"/>
          <w:sz w:val="24"/>
          <w:szCs w:val="24"/>
          <w:highlight w:val="none"/>
        </w:rPr>
        <w:t xml:space="preserve">供应商</w:t>
      </w:r>
      <w:r>
        <w:rPr>
          <w:rFonts w:hAnsi="宋体"/>
          <w:color w:val="auto"/>
          <w:sz w:val="24"/>
          <w:szCs w:val="24"/>
          <w:highlight w:val="none"/>
        </w:rPr>
        <w:t xml:space="preserve">）_________</w:t>
      </w:r>
      <w:r>
        <w:rPr>
          <w:rFonts w:hint="eastAsia" w:hAnsi="宋体"/>
          <w:color w:val="auto"/>
          <w:sz w:val="24"/>
          <w:szCs w:val="24"/>
          <w:highlight w:val="none"/>
        </w:rPr>
      </w:r>
      <w:r>
        <w:rPr>
          <w:color w:val="auto"/>
          <w:highlight w:val="none"/>
        </w:rPr>
      </w:r>
    </w:p>
    <w:p>
      <w:pPr>
        <w:pStyle w:val="968"/>
        <w:ind w:firstLine="480"/>
        <w:spacing w:line="400" w:lineRule="exact"/>
        <w:rPr>
          <w:rFonts w:hAnsi="宋体"/>
          <w:b/>
          <w:color w:val="auto"/>
          <w:sz w:val="24"/>
          <w:szCs w:val="24"/>
          <w:highlight w:val="none"/>
        </w:rPr>
      </w:pPr>
      <w:r>
        <w:rPr>
          <w:rFonts w:hAnsi="宋体"/>
          <w:color w:val="auto"/>
          <w:sz w:val="24"/>
          <w:szCs w:val="24"/>
          <w:highlight w:val="none"/>
        </w:rPr>
        <w:t xml:space="preserve">甲、乙双方根据</w:t>
      </w:r>
      <w:r>
        <w:rPr>
          <w:rFonts w:hint="eastAsia" w:hAnsi="宋体"/>
          <w:color w:val="auto"/>
          <w:sz w:val="24"/>
          <w:szCs w:val="24"/>
          <w:highlight w:val="none"/>
        </w:rPr>
        <w:t xml:space="preserve">无锡市公共资源交易中心</w:t>
      </w:r>
      <w:r>
        <w:rPr>
          <w:rFonts w:hint="eastAsia" w:hAnsi="宋体"/>
          <w:color w:val="auto"/>
          <w:sz w:val="24"/>
          <w:szCs w:val="24"/>
          <w:highlight w:val="none"/>
          <w:u w:val="single"/>
        </w:rPr>
        <w:t xml:space="preserve">    </w:t>
      </w:r>
      <w:r>
        <w:rPr>
          <w:rFonts w:hAnsi="宋体"/>
          <w:color w:val="auto"/>
          <w:sz w:val="24"/>
          <w:szCs w:val="24"/>
          <w:highlight w:val="none"/>
        </w:rPr>
        <w:t xml:space="preserve">项目公开招标的结果，签署本合同。</w:t>
      </w:r>
      <w:r>
        <w:rPr>
          <w:rFonts w:hAnsi="宋体"/>
          <w:b/>
          <w:color w:val="auto"/>
          <w:sz w:val="24"/>
          <w:szCs w:val="24"/>
          <w:highlight w:val="none"/>
        </w:rPr>
      </w:r>
      <w:r>
        <w:rPr>
          <w:color w:val="auto"/>
          <w:highlight w:val="none"/>
        </w:rPr>
      </w:r>
    </w:p>
    <w:p>
      <w:pPr>
        <w:pStyle w:val="968"/>
        <w:ind w:firstLine="482"/>
        <w:spacing w:line="400" w:lineRule="exact"/>
        <w:rPr>
          <w:rFonts w:hAnsi="宋体"/>
          <w:b/>
          <w:color w:val="auto"/>
          <w:sz w:val="24"/>
          <w:szCs w:val="24"/>
          <w:highlight w:val="none"/>
        </w:rPr>
      </w:pPr>
      <w:r>
        <w:rPr>
          <w:rFonts w:hAnsi="宋体"/>
          <w:b/>
          <w:color w:val="auto"/>
          <w:sz w:val="24"/>
          <w:szCs w:val="24"/>
          <w:highlight w:val="none"/>
        </w:rPr>
        <w:t xml:space="preserve">一、</w:t>
      </w:r>
      <w:r>
        <w:rPr>
          <w:rFonts w:hint="eastAsia" w:hAnsi="宋体"/>
          <w:b/>
          <w:color w:val="auto"/>
          <w:sz w:val="24"/>
          <w:szCs w:val="24"/>
          <w:highlight w:val="none"/>
        </w:rPr>
        <w:t xml:space="preserve">合同</w:t>
      </w:r>
      <w:r>
        <w:rPr>
          <w:rFonts w:hAnsi="宋体"/>
          <w:b/>
          <w:color w:val="auto"/>
          <w:sz w:val="24"/>
          <w:szCs w:val="24"/>
          <w:highlight w:val="none"/>
        </w:rPr>
        <w:t xml:space="preserve">内容</w:t>
      </w:r>
      <w:r>
        <w:rPr>
          <w:color w:val="auto"/>
          <w:highlight w:val="none"/>
        </w:rPr>
      </w:r>
    </w:p>
    <w:p>
      <w:pPr>
        <w:pStyle w:val="968"/>
        <w:ind w:firstLine="480"/>
        <w:spacing w:line="400" w:lineRule="exact"/>
        <w:rPr>
          <w:rFonts w:hAnsi="宋体"/>
          <w:color w:val="auto"/>
          <w:sz w:val="24"/>
          <w:szCs w:val="24"/>
          <w:highlight w:val="none"/>
        </w:rPr>
      </w:pPr>
      <w:r>
        <w:rPr>
          <w:rFonts w:hAnsi="宋体"/>
          <w:color w:val="auto"/>
          <w:sz w:val="24"/>
          <w:szCs w:val="24"/>
          <w:highlight w:val="none"/>
        </w:rPr>
        <w:t xml:space="preserve">1.1 </w:t>
      </w:r>
      <w:r>
        <w:rPr>
          <w:rFonts w:hint="eastAsia" w:hAnsi="宋体"/>
          <w:color w:val="auto"/>
          <w:sz w:val="24"/>
          <w:szCs w:val="24"/>
          <w:highlight w:val="none"/>
        </w:rPr>
        <w:t xml:space="preserve">标的</w:t>
      </w:r>
      <w:r>
        <w:rPr>
          <w:rFonts w:hAnsi="宋体"/>
          <w:color w:val="auto"/>
          <w:sz w:val="24"/>
          <w:szCs w:val="24"/>
          <w:highlight w:val="none"/>
        </w:rPr>
        <w:t xml:space="preserve">名称：</w:t>
      </w:r>
      <w:r>
        <w:rPr>
          <w:color w:val="auto"/>
          <w:highlight w:val="none"/>
        </w:rPr>
      </w:r>
    </w:p>
    <w:p>
      <w:pPr>
        <w:pStyle w:val="968"/>
        <w:ind w:firstLine="480"/>
        <w:spacing w:line="400" w:lineRule="exact"/>
        <w:rPr>
          <w:rFonts w:hint="eastAsia" w:hAnsi="宋体"/>
          <w:color w:val="auto"/>
          <w:sz w:val="24"/>
          <w:szCs w:val="24"/>
          <w:highlight w:val="none"/>
        </w:rPr>
      </w:pPr>
      <w:r>
        <w:rPr>
          <w:rFonts w:hAnsi="宋体"/>
          <w:color w:val="auto"/>
          <w:sz w:val="24"/>
          <w:szCs w:val="24"/>
          <w:highlight w:val="none"/>
        </w:rPr>
        <w:t xml:space="preserve">1.2</w:t>
      </w:r>
      <w:r>
        <w:rPr>
          <w:rFonts w:hint="eastAsia" w:hAnsi="宋体"/>
          <w:color w:val="auto"/>
          <w:sz w:val="24"/>
          <w:szCs w:val="24"/>
          <w:highlight w:val="none"/>
        </w:rPr>
        <w:t xml:space="preserve">标的质量：</w:t>
      </w:r>
      <w:r>
        <w:rPr>
          <w:color w:val="auto"/>
          <w:highlight w:val="none"/>
        </w:rPr>
      </w:r>
    </w:p>
    <w:p>
      <w:pPr>
        <w:pStyle w:val="968"/>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1.3 标的数量（规模）：</w:t>
      </w:r>
      <w:r>
        <w:rPr>
          <w:color w:val="auto"/>
          <w:highlight w:val="none"/>
        </w:rPr>
      </w:r>
    </w:p>
    <w:p>
      <w:pPr>
        <w:pStyle w:val="968"/>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1.4 履行时间（期限）：</w:t>
      </w:r>
      <w:r>
        <w:rPr>
          <w:color w:val="auto"/>
          <w:highlight w:val="none"/>
        </w:rPr>
      </w:r>
    </w:p>
    <w:p>
      <w:pPr>
        <w:pStyle w:val="968"/>
        <w:ind w:firstLine="480"/>
        <w:spacing w:line="400" w:lineRule="exact"/>
        <w:rPr>
          <w:rFonts w:hAnsi="宋体"/>
          <w:color w:val="auto"/>
          <w:sz w:val="24"/>
          <w:szCs w:val="24"/>
          <w:highlight w:val="none"/>
        </w:rPr>
      </w:pPr>
      <w:r>
        <w:rPr>
          <w:rFonts w:hint="eastAsia" w:hAnsi="宋体"/>
          <w:color w:val="auto"/>
          <w:sz w:val="24"/>
          <w:szCs w:val="24"/>
          <w:highlight w:val="none"/>
        </w:rPr>
        <w:t xml:space="preserve">1.5 履行地点：</w:t>
      </w:r>
      <w:r>
        <w:rPr>
          <w:rFonts w:hAnsi="宋体"/>
          <w:color w:val="auto"/>
          <w:sz w:val="24"/>
          <w:szCs w:val="24"/>
          <w:highlight w:val="none"/>
        </w:rPr>
      </w:r>
      <w:r>
        <w:rPr>
          <w:color w:val="auto"/>
          <w:highlight w:val="none"/>
        </w:rPr>
      </w:r>
    </w:p>
    <w:p>
      <w:pPr>
        <w:pStyle w:val="968"/>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6履行方式：</w:t>
      </w:r>
      <w:r>
        <w:rPr>
          <w:rFonts w:hAnsi="宋体"/>
          <w:color w:val="auto"/>
          <w:sz w:val="24"/>
          <w:szCs w:val="24"/>
          <w:highlight w:val="none"/>
        </w:rPr>
      </w:r>
      <w:r>
        <w:rPr>
          <w:color w:val="auto"/>
          <w:highlight w:val="none"/>
        </w:rPr>
      </w:r>
    </w:p>
    <w:p>
      <w:pPr>
        <w:pStyle w:val="968"/>
        <w:ind w:firstLine="482"/>
        <w:spacing w:line="400" w:lineRule="exact"/>
        <w:rPr>
          <w:rFonts w:hAnsi="宋体"/>
          <w:b/>
          <w:color w:val="auto"/>
          <w:sz w:val="24"/>
          <w:szCs w:val="24"/>
          <w:highlight w:val="none"/>
        </w:rPr>
      </w:pPr>
      <w:r>
        <w:rPr>
          <w:rFonts w:hAnsi="宋体"/>
          <w:b/>
          <w:color w:val="auto"/>
          <w:sz w:val="24"/>
          <w:szCs w:val="24"/>
          <w:highlight w:val="none"/>
        </w:rPr>
        <w:t xml:space="preserve">二、合同金额</w:t>
      </w:r>
      <w:r>
        <w:rPr>
          <w:color w:val="auto"/>
          <w:highlight w:val="none"/>
        </w:rPr>
      </w:r>
    </w:p>
    <w:p>
      <w:pPr>
        <w:pStyle w:val="968"/>
        <w:ind w:firstLine="480"/>
        <w:spacing w:line="400" w:lineRule="exact"/>
        <w:rPr>
          <w:rFonts w:hAnsi="宋体"/>
          <w:color w:val="auto"/>
          <w:sz w:val="24"/>
          <w:szCs w:val="24"/>
          <w:highlight w:val="none"/>
        </w:rPr>
      </w:pPr>
      <w:r>
        <w:rPr>
          <w:rFonts w:hAnsi="宋体"/>
          <w:color w:val="auto"/>
          <w:sz w:val="24"/>
          <w:szCs w:val="24"/>
          <w:highlight w:val="none"/>
        </w:rPr>
        <w:t xml:space="preserve">2.1 本合同金额为（大写）：</w:t>
      </w:r>
      <w:r>
        <w:rPr>
          <w:rFonts w:hAnsi="宋体"/>
          <w:color w:val="auto"/>
          <w:sz w:val="24"/>
          <w:szCs w:val="24"/>
          <w:highlight w:val="none"/>
        </w:rPr>
        <w:t xml:space="preserve"> </w:t>
      </w:r>
      <w:r>
        <w:rPr>
          <w:rFonts w:hAnsi="宋体"/>
          <w:color w:val="auto"/>
          <w:sz w:val="24"/>
          <w:szCs w:val="24"/>
          <w:highlight w:val="none"/>
        </w:rPr>
        <w:t xml:space="preserve">____________</w:t>
      </w:r>
      <w:r>
        <w:rPr>
          <w:rFonts w:hint="eastAsia" w:hAnsi="宋体"/>
          <w:color w:val="auto"/>
          <w:sz w:val="24"/>
          <w:szCs w:val="24"/>
          <w:highlight w:val="none"/>
        </w:rPr>
        <w:t xml:space="preserve">圆</w:t>
      </w:r>
      <w:r>
        <w:rPr>
          <w:rFonts w:hAnsi="宋体"/>
          <w:color w:val="auto"/>
          <w:sz w:val="24"/>
          <w:szCs w:val="24"/>
          <w:highlight w:val="none"/>
        </w:rPr>
        <w:t xml:space="preserve">（______元）人民币</w:t>
      </w:r>
      <w:r>
        <w:rPr>
          <w:rFonts w:hint="eastAsia" w:hAnsi="宋体"/>
          <w:color w:val="auto"/>
          <w:sz w:val="24"/>
          <w:szCs w:val="24"/>
          <w:highlight w:val="none"/>
        </w:rPr>
        <w:t xml:space="preserve">或其他币种</w:t>
      </w:r>
      <w:r>
        <w:rPr>
          <w:rFonts w:hAnsi="宋体"/>
          <w:color w:val="auto"/>
          <w:sz w:val="24"/>
          <w:szCs w:val="24"/>
          <w:highlight w:val="none"/>
        </w:rPr>
        <w:t xml:space="preserve">。</w:t>
      </w:r>
      <w:r>
        <w:rPr>
          <w:color w:val="auto"/>
          <w:highlight w:val="none"/>
        </w:rPr>
      </w:r>
    </w:p>
    <w:p>
      <w:pPr>
        <w:pStyle w:val="968"/>
        <w:ind w:firstLine="482"/>
        <w:spacing w:line="400" w:lineRule="exact"/>
        <w:rPr>
          <w:rFonts w:hAnsi="宋体"/>
          <w:b/>
          <w:color w:val="auto"/>
          <w:sz w:val="24"/>
          <w:szCs w:val="24"/>
          <w:highlight w:val="none"/>
        </w:rPr>
      </w:pPr>
      <w:r>
        <w:rPr>
          <w:rFonts w:hAnsi="宋体"/>
          <w:b/>
          <w:color w:val="auto"/>
          <w:sz w:val="24"/>
          <w:szCs w:val="24"/>
          <w:highlight w:val="none"/>
        </w:rPr>
        <w:t xml:space="preserve">三、技术资料</w:t>
      </w:r>
      <w:r>
        <w:rPr>
          <w:color w:val="auto"/>
          <w:highlight w:val="none"/>
        </w:rPr>
      </w:r>
    </w:p>
    <w:p>
      <w:pPr>
        <w:pStyle w:val="968"/>
        <w:ind w:firstLine="480"/>
        <w:spacing w:line="400" w:lineRule="exact"/>
        <w:rPr>
          <w:rFonts w:hint="eastAsia" w:hAnsi="宋体"/>
          <w:color w:val="auto"/>
          <w:sz w:val="24"/>
          <w:szCs w:val="24"/>
          <w:highlight w:val="none"/>
        </w:rPr>
      </w:pPr>
      <w:r>
        <w:rPr>
          <w:rFonts w:hAnsi="宋体"/>
          <w:color w:val="auto"/>
          <w:sz w:val="24"/>
          <w:szCs w:val="24"/>
          <w:highlight w:val="none"/>
        </w:rPr>
        <w:t xml:space="preserve">3.1乙方应按招标文件规定的时间向甲方提供服务</w:t>
      </w:r>
      <w:r>
        <w:rPr>
          <w:rFonts w:hint="eastAsia" w:hAnsi="宋体"/>
          <w:color w:val="auto"/>
          <w:sz w:val="24"/>
          <w:szCs w:val="24"/>
          <w:highlight w:val="none"/>
        </w:rPr>
        <w:t xml:space="preserve">（包含与服务相关的货物）</w:t>
      </w:r>
      <w:r>
        <w:rPr>
          <w:rFonts w:hAnsi="宋体"/>
          <w:color w:val="auto"/>
          <w:sz w:val="24"/>
          <w:szCs w:val="24"/>
          <w:highlight w:val="none"/>
        </w:rPr>
        <w:t xml:space="preserve">的有关技术资料。</w:t>
      </w:r>
      <w:r>
        <w:rPr>
          <w:rFonts w:hint="eastAsia" w:hAnsi="宋体"/>
          <w:color w:val="auto"/>
          <w:sz w:val="24"/>
          <w:szCs w:val="24"/>
          <w:highlight w:val="none"/>
        </w:rPr>
      </w:r>
      <w:r>
        <w:rPr>
          <w:color w:val="auto"/>
          <w:highlight w:val="none"/>
        </w:rPr>
      </w:r>
    </w:p>
    <w:p>
      <w:pPr>
        <w:pStyle w:val="968"/>
        <w:ind w:firstLine="480"/>
        <w:spacing w:line="400" w:lineRule="exact"/>
        <w:rPr>
          <w:rFonts w:hAnsi="宋体"/>
          <w:color w:val="auto"/>
          <w:sz w:val="24"/>
          <w:szCs w:val="24"/>
          <w:highlight w:val="none"/>
        </w:rPr>
      </w:pPr>
      <w:r>
        <w:rPr>
          <w:rFonts w:hAnsi="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auto"/>
          <w:highlight w:val="none"/>
        </w:rPr>
      </w:r>
    </w:p>
    <w:p>
      <w:pPr>
        <w:pStyle w:val="968"/>
        <w:ind w:firstLine="482"/>
        <w:spacing w:line="400" w:lineRule="exact"/>
        <w:rPr>
          <w:rFonts w:hAnsi="宋体"/>
          <w:b/>
          <w:color w:val="auto"/>
          <w:sz w:val="24"/>
          <w:szCs w:val="24"/>
          <w:highlight w:val="none"/>
        </w:rPr>
      </w:pPr>
      <w:r>
        <w:rPr>
          <w:rFonts w:hAnsi="宋体"/>
          <w:b/>
          <w:color w:val="auto"/>
          <w:sz w:val="24"/>
          <w:szCs w:val="24"/>
          <w:highlight w:val="none"/>
        </w:rPr>
        <w:t xml:space="preserve">四、知识产权</w:t>
      </w:r>
      <w:r>
        <w:rPr>
          <w:color w:val="auto"/>
          <w:highlight w:val="none"/>
        </w:rPr>
      </w:r>
    </w:p>
    <w:p>
      <w:pPr>
        <w:pStyle w:val="968"/>
        <w:ind w:firstLine="480"/>
        <w:spacing w:line="400" w:lineRule="exact"/>
        <w:rPr>
          <w:rFonts w:hint="eastAsia" w:hAnsi="宋体"/>
          <w:color w:val="auto"/>
          <w:sz w:val="24"/>
          <w:szCs w:val="24"/>
          <w:highlight w:val="none"/>
        </w:rPr>
      </w:pPr>
      <w:r>
        <w:rPr>
          <w:rFonts w:hAnsi="宋体"/>
          <w:color w:val="auto"/>
          <w:sz w:val="24"/>
          <w:szCs w:val="24"/>
          <w:highlight w:val="none"/>
        </w:rPr>
        <w:t xml:space="preserve">4.1乙</w:t>
      </w:r>
      <w:r>
        <w:rPr>
          <w:rFonts w:hint="eastAsia" w:hAnsi="宋体"/>
          <w:color w:val="auto"/>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color w:val="auto"/>
          <w:highlight w:val="none"/>
        </w:rPr>
      </w:r>
    </w:p>
    <w:p>
      <w:pPr>
        <w:pStyle w:val="968"/>
        <w:spacing w:line="400" w:lineRule="exact"/>
        <w:rPr>
          <w:rFonts w:hint="eastAsia" w:hAnsi="宋体"/>
          <w:color w:val="auto"/>
          <w:sz w:val="24"/>
          <w:szCs w:val="24"/>
          <w:highlight w:val="none"/>
        </w:rPr>
      </w:pPr>
      <w:r>
        <w:rPr>
          <w:rFonts w:hint="eastAsia" w:hAnsi="宋体"/>
          <w:color w:val="auto"/>
          <w:sz w:val="24"/>
          <w:szCs w:val="24"/>
          <w:highlight w:val="none"/>
        </w:rPr>
        <w:t xml:space="preserve">（</w:t>
      </w:r>
      <w:r>
        <w:rPr>
          <w:rFonts w:hint="eastAsia" w:hAnsi="宋体"/>
          <w:color w:val="auto"/>
          <w:sz w:val="24"/>
          <w:szCs w:val="24"/>
          <w:highlight w:val="none"/>
        </w:rPr>
        <w:t xml:space="preserve">注：采购项目</w:t>
      </w:r>
      <w:r>
        <w:rPr>
          <w:rFonts w:hint="eastAsia" w:hAnsi="宋体"/>
          <w:color w:val="auto"/>
          <w:sz w:val="24"/>
          <w:szCs w:val="24"/>
          <w:highlight w:val="none"/>
        </w:rPr>
        <w:t xml:space="preserve">如</w:t>
      </w:r>
      <w:r>
        <w:rPr>
          <w:rFonts w:hint="eastAsia" w:hAnsi="宋体"/>
          <w:color w:val="auto"/>
          <w:sz w:val="24"/>
          <w:szCs w:val="24"/>
          <w:highlight w:val="none"/>
        </w:rPr>
        <w:t xml:space="preserve">涉及采购标的</w:t>
      </w:r>
      <w:r>
        <w:rPr>
          <w:rFonts w:hint="eastAsia" w:hAnsi="宋体"/>
          <w:color w:val="auto"/>
          <w:sz w:val="24"/>
          <w:szCs w:val="24"/>
          <w:highlight w:val="none"/>
        </w:rPr>
        <w:t xml:space="preserve">知识产权归属、处理的，如订购、设计、定制开发的信息化建设项目等，应当约定知识产权的归属和处理方式）</w:t>
      </w:r>
      <w:r>
        <w:rPr>
          <w:rFonts w:hint="eastAsia" w:hAnsi="宋体"/>
          <w:color w:val="auto"/>
          <w:sz w:val="24"/>
          <w:szCs w:val="24"/>
          <w:highlight w:val="none"/>
        </w:rPr>
      </w:r>
      <w:r>
        <w:rPr>
          <w:color w:val="auto"/>
          <w:highlight w:val="none"/>
        </w:rPr>
      </w:r>
    </w:p>
    <w:p>
      <w:pPr>
        <w:pStyle w:val="968"/>
        <w:ind w:firstLine="482"/>
        <w:spacing w:line="400" w:lineRule="exact"/>
        <w:rPr>
          <w:rFonts w:hAnsi="宋体"/>
          <w:color w:val="auto"/>
          <w:sz w:val="24"/>
          <w:szCs w:val="24"/>
          <w:highlight w:val="none"/>
          <w:u w:val="single"/>
        </w:rPr>
      </w:pPr>
      <w:r>
        <w:rPr>
          <w:rFonts w:hAnsi="宋体"/>
          <w:b/>
          <w:color w:val="auto"/>
          <w:sz w:val="24"/>
          <w:szCs w:val="24"/>
          <w:highlight w:val="none"/>
        </w:rPr>
        <w:t xml:space="preserve">五、产权担保</w:t>
      </w:r>
      <w:r>
        <w:rPr>
          <w:rFonts w:hAnsi="宋体"/>
          <w:color w:val="auto"/>
          <w:sz w:val="24"/>
          <w:szCs w:val="24"/>
          <w:highlight w:val="none"/>
          <w:u w:val="single"/>
        </w:rPr>
      </w:r>
      <w:r>
        <w:rPr>
          <w:color w:val="auto"/>
          <w:highlight w:val="none"/>
        </w:rPr>
      </w:r>
    </w:p>
    <w:p>
      <w:pPr>
        <w:pStyle w:val="968"/>
        <w:ind w:firstLine="480"/>
        <w:spacing w:line="400" w:lineRule="exact"/>
        <w:rPr>
          <w:rFonts w:hAnsi="宋体"/>
          <w:color w:val="auto"/>
          <w:sz w:val="24"/>
          <w:szCs w:val="24"/>
          <w:highlight w:val="none"/>
          <w:u w:val="single"/>
        </w:rPr>
      </w:pPr>
      <w:r>
        <w:rPr>
          <w:rFonts w:hAnsi="宋体"/>
          <w:color w:val="auto"/>
          <w:sz w:val="24"/>
          <w:szCs w:val="24"/>
          <w:highlight w:val="none"/>
        </w:rPr>
        <w:t xml:space="preserve">5.1 乙方保证所交付的</w:t>
      </w:r>
      <w:r>
        <w:rPr>
          <w:rFonts w:hint="eastAsia" w:hAnsi="宋体"/>
          <w:color w:val="auto"/>
          <w:sz w:val="24"/>
          <w:szCs w:val="24"/>
          <w:highlight w:val="none"/>
        </w:rPr>
        <w:t xml:space="preserve">服务（包含与服务相关的货物）</w:t>
      </w:r>
      <w:r>
        <w:rPr>
          <w:rFonts w:hAnsi="宋体"/>
          <w:color w:val="auto"/>
          <w:sz w:val="24"/>
          <w:szCs w:val="24"/>
          <w:highlight w:val="none"/>
        </w:rPr>
        <w:t xml:space="preserve">的所有权完全属于乙方且无任何抵押、查封等产权瑕疵。</w:t>
      </w:r>
      <w:r>
        <w:rPr>
          <w:rFonts w:hAnsi="宋体"/>
          <w:color w:val="auto"/>
          <w:sz w:val="24"/>
          <w:szCs w:val="24"/>
          <w:highlight w:val="none"/>
          <w:u w:val="single"/>
        </w:rPr>
      </w:r>
      <w:r>
        <w:rPr>
          <w:color w:val="auto"/>
          <w:highlight w:val="none"/>
        </w:rPr>
      </w:r>
    </w:p>
    <w:p>
      <w:pPr>
        <w:pStyle w:val="968"/>
        <w:ind w:firstLine="482"/>
        <w:spacing w:line="400" w:lineRule="exact"/>
        <w:rPr>
          <w:rFonts w:hAnsi="宋体"/>
          <w:b/>
          <w:color w:val="auto"/>
          <w:sz w:val="24"/>
          <w:szCs w:val="24"/>
          <w:highlight w:val="none"/>
        </w:rPr>
      </w:pPr>
      <w:r>
        <w:rPr>
          <w:rFonts w:hAnsi="宋体"/>
          <w:b/>
          <w:color w:val="auto"/>
          <w:sz w:val="24"/>
          <w:szCs w:val="24"/>
          <w:highlight w:val="none"/>
        </w:rPr>
        <w:t xml:space="preserve">六、履约保证金</w:t>
      </w:r>
      <w:r>
        <w:rPr>
          <w:color w:val="auto"/>
          <w:highlight w:val="none"/>
        </w:rPr>
      </w:r>
    </w:p>
    <w:p>
      <w:pPr>
        <w:pStyle w:val="968"/>
        <w:ind w:firstLine="480"/>
        <w:spacing w:line="400" w:lineRule="exact"/>
        <w:rPr>
          <w:rFonts w:hint="eastAsia" w:hAnsi="宋体"/>
          <w:color w:val="auto"/>
          <w:sz w:val="24"/>
          <w:szCs w:val="24"/>
          <w:highlight w:val="none"/>
        </w:rPr>
      </w:pPr>
      <w:r>
        <w:rPr>
          <w:rFonts w:hAnsi="宋体"/>
          <w:color w:val="auto"/>
          <w:sz w:val="24"/>
          <w:szCs w:val="24"/>
          <w:highlight w:val="none"/>
        </w:rPr>
        <w:t xml:space="preserve">6.1 乙方交纳人民币__元作为本合同的履约保证金。</w:t>
      </w:r>
      <w:r>
        <w:rPr>
          <w:rFonts w:hint="eastAsia" w:hAnsi="宋体"/>
          <w:color w:val="auto"/>
          <w:sz w:val="24"/>
          <w:szCs w:val="24"/>
          <w:highlight w:val="none"/>
        </w:rPr>
        <w:t xml:space="preserve">（不得超过合同金额的10%）</w:t>
      </w:r>
      <w:r>
        <w:rPr>
          <w:color w:val="auto"/>
          <w:highlight w:val="none"/>
        </w:rPr>
      </w:r>
    </w:p>
    <w:p>
      <w:pPr>
        <w:pStyle w:val="968"/>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6.2合同履行结束后，甲方应及时退还交纳的履约保证金。</w:t>
      </w:r>
      <w:r>
        <w:rPr>
          <w:color w:val="auto"/>
          <w:highlight w:val="none"/>
        </w:rPr>
      </w:r>
    </w:p>
    <w:p>
      <w:pPr>
        <w:pStyle w:val="968"/>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6.2.1履约保证金退还方式：</w:t>
      </w:r>
      <w:r>
        <w:rPr>
          <w:color w:val="auto"/>
          <w:highlight w:val="none"/>
        </w:rPr>
      </w:r>
    </w:p>
    <w:p>
      <w:pPr>
        <w:pStyle w:val="968"/>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6.2.2履约保证金退还时间：</w:t>
      </w:r>
      <w:r>
        <w:rPr>
          <w:color w:val="auto"/>
          <w:highlight w:val="none"/>
        </w:rPr>
      </w:r>
    </w:p>
    <w:p>
      <w:pPr>
        <w:pStyle w:val="968"/>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6.2.3履约保证金退还条件：</w:t>
      </w:r>
      <w:r>
        <w:rPr>
          <w:color w:val="auto"/>
          <w:highlight w:val="none"/>
        </w:rPr>
      </w:r>
    </w:p>
    <w:p>
      <w:pPr>
        <w:pStyle w:val="968"/>
        <w:ind w:firstLine="480"/>
        <w:spacing w:line="400" w:lineRule="exact"/>
        <w:rPr>
          <w:rFonts w:hAnsi="宋体"/>
          <w:color w:val="auto"/>
          <w:sz w:val="24"/>
          <w:szCs w:val="24"/>
          <w:highlight w:val="none"/>
        </w:rPr>
      </w:pPr>
      <w:r>
        <w:rPr>
          <w:rFonts w:hint="eastAsia" w:hAnsi="宋体"/>
          <w:color w:val="auto"/>
          <w:sz w:val="24"/>
          <w:szCs w:val="24"/>
          <w:highlight w:val="none"/>
        </w:rPr>
        <w:t xml:space="preserve">6.2.4履约保证金不予退还的情形：</w:t>
      </w:r>
      <w:r>
        <w:rPr>
          <w:rFonts w:hAnsi="宋体"/>
          <w:color w:val="auto"/>
          <w:sz w:val="24"/>
          <w:szCs w:val="24"/>
          <w:highlight w:val="none"/>
        </w:rPr>
      </w:r>
      <w:r>
        <w:rPr>
          <w:color w:val="auto"/>
          <w:highlight w:val="none"/>
        </w:rPr>
      </w:r>
    </w:p>
    <w:p>
      <w:pPr>
        <w:pStyle w:val="929"/>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七、合同转包或分包</w:t>
      </w:r>
      <w:r>
        <w:rPr>
          <w:rFonts w:ascii="宋体" w:hAnsi="宋体" w:eastAsia="仿宋_GB2312"/>
          <w:b/>
          <w:color w:val="auto"/>
          <w:sz w:val="24"/>
          <w:szCs w:val="24"/>
          <w:highlight w:val="none"/>
        </w:rPr>
      </w:r>
      <w:r>
        <w:rPr>
          <w:color w:val="auto"/>
          <w:highlight w:val="none"/>
        </w:rPr>
      </w:r>
    </w:p>
    <w:p>
      <w:pPr>
        <w:pStyle w:val="929"/>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7.1乙方不得将合同标的转包给他人履行。</w:t>
      </w:r>
      <w:r>
        <w:rPr>
          <w:color w:val="auto"/>
          <w:highlight w:val="none"/>
        </w:rPr>
      </w:r>
    </w:p>
    <w:p>
      <w:pPr>
        <w:pStyle w:val="929"/>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7.2乙方</w:t>
      </w:r>
      <w:r>
        <w:rPr>
          <w:rFonts w:hint="eastAsia" w:ascii="宋体" w:hAnsi="宋体"/>
          <w:color w:val="auto"/>
          <w:sz w:val="24"/>
          <w:szCs w:val="24"/>
          <w:highlight w:val="none"/>
        </w:rPr>
        <w:t xml:space="preserve">应按招标文件要求</w:t>
      </w:r>
      <w:r>
        <w:rPr>
          <w:rFonts w:hint="eastAsia" w:ascii="宋体" w:hAnsi="宋体"/>
          <w:color w:val="auto"/>
          <w:sz w:val="24"/>
          <w:szCs w:val="24"/>
          <w:highlight w:val="none"/>
        </w:rPr>
        <w:t xml:space="preserve">，如项目不允许分包的，乙方</w:t>
      </w:r>
      <w:r>
        <w:rPr>
          <w:rFonts w:hint="eastAsia" w:ascii="宋体" w:hAnsi="宋体"/>
          <w:color w:val="auto"/>
          <w:sz w:val="24"/>
          <w:szCs w:val="24"/>
          <w:highlight w:val="none"/>
        </w:rPr>
        <w:t xml:space="preserve">不得将合同标的分包给他人履行</w:t>
      </w:r>
      <w:r>
        <w:rPr>
          <w:rFonts w:hint="eastAsia" w:ascii="宋体" w:hAnsi="宋体"/>
          <w:color w:val="auto"/>
          <w:sz w:val="24"/>
          <w:szCs w:val="24"/>
          <w:highlight w:val="none"/>
        </w:rPr>
        <w:t xml:space="preserve">；如项目允许分包的，乙方</w:t>
      </w:r>
      <w:r>
        <w:rPr>
          <w:rFonts w:hint="eastAsia" w:ascii="宋体" w:hAnsi="宋体"/>
          <w:color w:val="auto"/>
          <w:sz w:val="24"/>
          <w:szCs w:val="24"/>
          <w:highlight w:val="none"/>
        </w:rPr>
        <w:t xml:space="preserve">应当按照投标文件中提供的分包意向协议履行合同。</w:t>
      </w:r>
      <w:r>
        <w:rPr>
          <w:rFonts w:hint="eastAsia" w:ascii="宋体" w:hAnsi="宋体"/>
          <w:color w:val="auto"/>
          <w:sz w:val="24"/>
          <w:szCs w:val="24"/>
          <w:highlight w:val="none"/>
        </w:rPr>
      </w:r>
      <w:r>
        <w:rPr>
          <w:color w:val="auto"/>
          <w:highlight w:val="none"/>
        </w:rPr>
      </w:r>
    </w:p>
    <w:p>
      <w:pPr>
        <w:pStyle w:val="929"/>
        <w:ind w:firstLine="480"/>
        <w:spacing w:line="400" w:lineRule="exact"/>
        <w:rPr>
          <w:rFonts w:ascii="宋体" w:hAnsi="宋体" w:eastAsia="仿宋_GB2312"/>
          <w:color w:val="auto"/>
          <w:sz w:val="24"/>
          <w:szCs w:val="24"/>
          <w:highlight w:val="none"/>
        </w:rPr>
      </w:pPr>
      <w:r>
        <w:rPr>
          <w:rFonts w:ascii="宋体" w:hAnsi="宋体"/>
          <w:color w:val="auto"/>
          <w:sz w:val="24"/>
          <w:szCs w:val="24"/>
          <w:highlight w:val="none"/>
        </w:rPr>
        <w:t xml:space="preserve">7.3</w:t>
      </w:r>
      <w:r>
        <w:rPr>
          <w:rFonts w:hint="eastAsia" w:ascii="宋体" w:hAnsi="宋体"/>
          <w:color w:val="auto"/>
          <w:sz w:val="24"/>
          <w:szCs w:val="24"/>
          <w:highlight w:val="none"/>
        </w:rPr>
        <w:t xml:space="preserve">乙方如有转包或未经甲方同意的分包行为，甲方有权解除合同。</w:t>
      </w:r>
      <w:r>
        <w:rPr>
          <w:rFonts w:ascii="宋体" w:hAnsi="宋体" w:eastAsia="仿宋_GB2312"/>
          <w:color w:val="auto"/>
          <w:sz w:val="24"/>
          <w:szCs w:val="24"/>
          <w:highlight w:val="none"/>
        </w:rPr>
      </w:r>
      <w:r>
        <w:rPr>
          <w:color w:val="auto"/>
          <w:highlight w:val="none"/>
        </w:rPr>
      </w:r>
    </w:p>
    <w:p>
      <w:pPr>
        <w:pStyle w:val="968"/>
        <w:ind w:firstLine="482"/>
        <w:spacing w:line="400" w:lineRule="exact"/>
        <w:rPr>
          <w:rFonts w:hAnsi="宋体"/>
          <w:b/>
          <w:color w:val="auto"/>
          <w:sz w:val="24"/>
          <w:szCs w:val="24"/>
          <w:highlight w:val="none"/>
        </w:rPr>
      </w:pPr>
      <w:r>
        <w:rPr>
          <w:rFonts w:hint="eastAsia" w:hAnsi="宋体"/>
          <w:b/>
          <w:color w:val="auto"/>
          <w:sz w:val="24"/>
          <w:szCs w:val="24"/>
          <w:highlight w:val="none"/>
        </w:rPr>
        <w:t xml:space="preserve">八</w:t>
      </w:r>
      <w:r>
        <w:rPr>
          <w:rFonts w:hAnsi="宋体"/>
          <w:b/>
          <w:color w:val="auto"/>
          <w:sz w:val="24"/>
          <w:szCs w:val="24"/>
          <w:highlight w:val="none"/>
        </w:rPr>
        <w:t xml:space="preserve">、</w:t>
      </w:r>
      <w:r>
        <w:rPr>
          <w:rFonts w:hint="eastAsia" w:hAnsi="宋体"/>
          <w:b/>
          <w:color w:val="auto"/>
          <w:sz w:val="24"/>
          <w:szCs w:val="24"/>
          <w:highlight w:val="none"/>
        </w:rPr>
        <w:t xml:space="preserve">合同款项</w:t>
      </w:r>
      <w:r>
        <w:rPr>
          <w:rFonts w:hAnsi="宋体"/>
          <w:b/>
          <w:color w:val="auto"/>
          <w:sz w:val="24"/>
          <w:szCs w:val="24"/>
          <w:highlight w:val="none"/>
        </w:rPr>
        <w:t xml:space="preserve">支付</w:t>
      </w:r>
      <w:r>
        <w:rPr>
          <w:color w:val="auto"/>
          <w:highlight w:val="none"/>
        </w:rPr>
      </w:r>
    </w:p>
    <w:p>
      <w:pPr>
        <w:pStyle w:val="968"/>
        <w:ind w:firstLine="480"/>
        <w:spacing w:line="400" w:lineRule="exact"/>
        <w:rPr>
          <w:rFonts w:hint="eastAsia" w:hAnsi="宋体"/>
          <w:bCs/>
          <w:color w:val="auto"/>
          <w:sz w:val="24"/>
          <w:szCs w:val="24"/>
          <w:highlight w:val="none"/>
        </w:rPr>
      </w:pPr>
      <w:r>
        <w:rPr>
          <w:rFonts w:hint="eastAsia" w:hAnsi="宋体"/>
          <w:bCs/>
          <w:color w:val="auto"/>
          <w:sz w:val="24"/>
          <w:szCs w:val="24"/>
          <w:highlight w:val="none"/>
        </w:rPr>
        <w:t xml:space="preserve">8</w:t>
      </w:r>
      <w:r>
        <w:rPr>
          <w:rFonts w:hAnsi="宋体"/>
          <w:bCs/>
          <w:color w:val="auto"/>
          <w:sz w:val="24"/>
          <w:szCs w:val="24"/>
          <w:highlight w:val="none"/>
        </w:rPr>
        <w:t xml:space="preserve">.1</w:t>
      </w:r>
      <w:r>
        <w:rPr>
          <w:rFonts w:hint="eastAsia" w:hAnsi="宋体"/>
          <w:bCs/>
          <w:color w:val="auto"/>
          <w:sz w:val="24"/>
          <w:szCs w:val="24"/>
          <w:highlight w:val="none"/>
        </w:rPr>
        <w:t xml:space="preserve">合同款项的支付方式及进度安排</w:t>
      </w:r>
      <w:r>
        <w:rPr>
          <w:color w:val="auto"/>
          <w:highlight w:val="none"/>
        </w:rPr>
      </w:r>
    </w:p>
    <w:p>
      <w:pPr>
        <w:pStyle w:val="968"/>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8.1.1 预付款支付时间：合同签订后</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日内，预付款支付比例：合同金额的</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w:t>
      </w:r>
      <w:r>
        <w:rPr>
          <w:color w:val="auto"/>
          <w:highlight w:val="none"/>
        </w:rPr>
      </w:r>
    </w:p>
    <w:p>
      <w:pPr>
        <w:pStyle w:val="968"/>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8.1.2 尾款支付时间：服务结束并验收合格,采购人收到发票后</w:t>
      </w:r>
      <w:r>
        <w:rPr>
          <w:rFonts w:hint="eastAsia" w:hAnsi="宋体"/>
          <w:color w:val="auto"/>
          <w:sz w:val="24"/>
          <w:szCs w:val="24"/>
          <w:highlight w:val="none"/>
          <w:lang w:eastAsia="zh-CN"/>
        </w:rPr>
        <w:t xml:space="preserve">10个工作日</w:t>
      </w:r>
      <w:r>
        <w:rPr>
          <w:rFonts w:hint="eastAsia" w:hAnsi="宋体"/>
          <w:color w:val="auto"/>
          <w:sz w:val="24"/>
          <w:szCs w:val="24"/>
          <w:highlight w:val="none"/>
        </w:rPr>
        <w:t xml:space="preserve">内，尾款支付比例：合同金额的</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w:t>
      </w:r>
      <w:r>
        <w:rPr>
          <w:color w:val="auto"/>
          <w:highlight w:val="none"/>
        </w:rPr>
      </w:r>
    </w:p>
    <w:p>
      <w:pPr>
        <w:pStyle w:val="968"/>
        <w:spacing w:line="400" w:lineRule="exact"/>
        <w:rPr>
          <w:rFonts w:hint="eastAsia" w:hAnsi="宋体"/>
          <w:bCs/>
          <w:color w:val="auto"/>
          <w:sz w:val="24"/>
          <w:szCs w:val="24"/>
          <w:highlight w:val="none"/>
        </w:rPr>
      </w:pPr>
      <w:r>
        <w:rPr>
          <w:rFonts w:hint="eastAsia" w:hAnsi="宋体"/>
          <w:bCs/>
          <w:color w:val="auto"/>
          <w:sz w:val="24"/>
          <w:szCs w:val="24"/>
          <w:highlight w:val="none"/>
        </w:rPr>
        <w:t xml:space="preserve">（</w:t>
      </w:r>
      <w:r>
        <w:rPr>
          <w:rFonts w:hint="eastAsia" w:hAnsi="宋体"/>
          <w:bCs/>
          <w:color w:val="auto"/>
          <w:sz w:val="24"/>
          <w:szCs w:val="24"/>
          <w:highlight w:val="none"/>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w:t>
      </w:r>
      <w:r>
        <w:rPr>
          <w:rFonts w:hint="eastAsia" w:hAnsi="宋体"/>
          <w:bCs/>
          <w:color w:val="auto"/>
          <w:sz w:val="24"/>
          <w:szCs w:val="24"/>
          <w:highlight w:val="none"/>
        </w:rPr>
        <w:t xml:space="preserve">如</w:t>
      </w:r>
      <w:r>
        <w:rPr>
          <w:rFonts w:hint="eastAsia" w:hAnsi="宋体"/>
          <w:bCs/>
          <w:color w:val="auto"/>
          <w:sz w:val="24"/>
          <w:szCs w:val="24"/>
          <w:highlight w:val="none"/>
        </w:rPr>
        <w:t xml:space="preserve">供应商明确表示无需预付款或者主动要求降低预付款比例的，采购人可不适用前述规定。）</w:t>
      </w:r>
      <w:r>
        <w:rPr>
          <w:rFonts w:hint="eastAsia" w:hAnsi="宋体"/>
          <w:bCs/>
          <w:color w:val="auto"/>
          <w:sz w:val="24"/>
          <w:szCs w:val="24"/>
          <w:highlight w:val="none"/>
        </w:rPr>
      </w:r>
      <w:r>
        <w:rPr>
          <w:color w:val="auto"/>
          <w:highlight w:val="none"/>
        </w:rPr>
      </w:r>
    </w:p>
    <w:p>
      <w:pPr>
        <w:pStyle w:val="929"/>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九、税费</w:t>
      </w:r>
      <w:r>
        <w:rPr>
          <w:rFonts w:ascii="宋体" w:hAnsi="宋体" w:eastAsia="仿宋_GB2312"/>
          <w:b/>
          <w:color w:val="auto"/>
          <w:sz w:val="24"/>
          <w:szCs w:val="24"/>
          <w:highlight w:val="none"/>
        </w:rPr>
      </w:r>
      <w:r>
        <w:rPr>
          <w:color w:val="auto"/>
          <w:highlight w:val="none"/>
        </w:rPr>
      </w:r>
    </w:p>
    <w:p>
      <w:pPr>
        <w:pStyle w:val="929"/>
        <w:ind w:firstLine="480"/>
        <w:spacing w:line="400" w:lineRule="exact"/>
        <w:rPr>
          <w:rFonts w:ascii="宋体" w:hAnsi="宋体" w:eastAsia="仿宋_GB2312"/>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本合同执行中相关的一切税费均由乙方负担。</w:t>
      </w:r>
      <w:r>
        <w:rPr>
          <w:rFonts w:ascii="宋体" w:hAnsi="宋体" w:eastAsia="仿宋_GB2312"/>
          <w:color w:val="auto"/>
          <w:sz w:val="24"/>
          <w:szCs w:val="24"/>
          <w:highlight w:val="none"/>
        </w:rPr>
      </w:r>
      <w:r>
        <w:rPr>
          <w:color w:val="auto"/>
          <w:highlight w:val="none"/>
        </w:rPr>
      </w:r>
    </w:p>
    <w:p>
      <w:pPr>
        <w:pStyle w:val="968"/>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项目</w:t>
      </w:r>
      <w:r>
        <w:rPr>
          <w:rFonts w:hAnsi="宋体"/>
          <w:b/>
          <w:color w:val="auto"/>
          <w:sz w:val="24"/>
          <w:szCs w:val="24"/>
          <w:highlight w:val="none"/>
        </w:rPr>
        <w:t xml:space="preserve">验收</w:t>
      </w:r>
      <w:r>
        <w:rPr>
          <w:color w:val="auto"/>
          <w:highlight w:val="none"/>
        </w:rPr>
      </w:r>
    </w:p>
    <w:p>
      <w:pPr>
        <w:pStyle w:val="968"/>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10.1 甲方依法组织履约验收工作。</w:t>
      </w:r>
      <w:r>
        <w:rPr>
          <w:color w:val="auto"/>
          <w:highlight w:val="none"/>
        </w:rPr>
      </w:r>
    </w:p>
    <w:p>
      <w:pPr>
        <w:pStyle w:val="968"/>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auto"/>
          <w:highlight w:val="none"/>
        </w:rPr>
      </w:r>
    </w:p>
    <w:p>
      <w:pPr>
        <w:pStyle w:val="968"/>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10.3 对于实际使用人和甲方分离的项目，甲方邀请实际使用人参与验收。</w:t>
      </w:r>
      <w:r>
        <w:rPr>
          <w:color w:val="auto"/>
          <w:highlight w:val="none"/>
        </w:rPr>
      </w:r>
    </w:p>
    <w:p>
      <w:pPr>
        <w:pStyle w:val="968"/>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10.4 如有必要，甲方邀请参加本项目的其他供应商或第三方专业机构及专家参与验收，相关意见将作为验收书的参考资料。</w:t>
      </w:r>
      <w:r>
        <w:rPr>
          <w:color w:val="auto"/>
          <w:highlight w:val="none"/>
        </w:rPr>
      </w:r>
    </w:p>
    <w:p>
      <w:pPr>
        <w:pStyle w:val="968"/>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color w:val="auto"/>
          <w:highlight w:val="none"/>
        </w:rPr>
      </w:r>
    </w:p>
    <w:p>
      <w:pPr>
        <w:pStyle w:val="968"/>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hAnsi="宋体"/>
          <w:color w:val="auto"/>
          <w:sz w:val="24"/>
          <w:szCs w:val="24"/>
          <w:highlight w:val="none"/>
        </w:rPr>
        <w:t xml:space="preserve">中华人民共和国民法典</w:t>
      </w:r>
      <w:r>
        <w:rPr>
          <w:rFonts w:hint="eastAsia" w:hAnsi="宋体"/>
          <w:color w:val="auto"/>
          <w:sz w:val="24"/>
          <w:szCs w:val="24"/>
          <w:highlight w:val="none"/>
        </w:rPr>
        <w:t xml:space="preserve">》。乙方在履约过程中有政府采购法律法规规定的违法违规情形的,甲方将及时报告本级财政部门。</w:t>
      </w:r>
      <w:r>
        <w:rPr>
          <w:color w:val="auto"/>
          <w:highlight w:val="none"/>
        </w:rPr>
      </w:r>
    </w:p>
    <w:p>
      <w:pPr>
        <w:pStyle w:val="968"/>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一</w:t>
      </w:r>
      <w:r>
        <w:rPr>
          <w:rFonts w:hAnsi="宋体"/>
          <w:b/>
          <w:color w:val="auto"/>
          <w:sz w:val="24"/>
          <w:szCs w:val="24"/>
          <w:highlight w:val="none"/>
        </w:rPr>
        <w:t xml:space="preserve">、违约责任</w:t>
      </w:r>
      <w:r>
        <w:rPr>
          <w:color w:val="auto"/>
          <w:highlight w:val="none"/>
        </w:rPr>
      </w:r>
    </w:p>
    <w:p>
      <w:pPr>
        <w:pStyle w:val="968"/>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.1 甲方无正当理由</w:t>
      </w:r>
      <w:r>
        <w:rPr>
          <w:rFonts w:hint="eastAsia" w:hAnsi="宋体"/>
          <w:color w:val="auto"/>
          <w:sz w:val="24"/>
          <w:szCs w:val="24"/>
          <w:highlight w:val="none"/>
        </w:rPr>
        <w:t xml:space="preserve">拒绝接受乙方提供服务</w:t>
      </w:r>
      <w:r>
        <w:rPr>
          <w:rFonts w:hAnsi="宋体"/>
          <w:color w:val="auto"/>
          <w:sz w:val="24"/>
          <w:szCs w:val="24"/>
          <w:highlight w:val="none"/>
        </w:rPr>
        <w:t xml:space="preserve">的，甲方向乙方偿付</w:t>
      </w:r>
      <w:r>
        <w:rPr>
          <w:rFonts w:hint="eastAsia" w:hAnsi="宋体"/>
          <w:color w:val="auto"/>
          <w:sz w:val="24"/>
          <w:szCs w:val="24"/>
          <w:highlight w:val="none"/>
        </w:rPr>
        <w:t xml:space="preserve">拒绝接受服务合同价款</w:t>
      </w:r>
      <w:r>
        <w:rPr>
          <w:rFonts w:hAnsi="宋体"/>
          <w:color w:val="auto"/>
          <w:sz w:val="24"/>
          <w:szCs w:val="24"/>
          <w:highlight w:val="none"/>
        </w:rPr>
        <w:t xml:space="preserve">总值</w:t>
      </w:r>
      <w:r>
        <w:rPr>
          <w:rFonts w:hint="eastAsia" w:hAnsi="宋体"/>
          <w:color w:val="auto"/>
          <w:sz w:val="24"/>
          <w:szCs w:val="24"/>
          <w:highlight w:val="none"/>
          <w:u w:val="single"/>
        </w:rPr>
        <w:t xml:space="preserve">    </w:t>
      </w:r>
      <w:r>
        <w:rPr>
          <w:rFonts w:hAnsi="宋体"/>
          <w:color w:val="auto"/>
          <w:sz w:val="24"/>
          <w:szCs w:val="24"/>
          <w:highlight w:val="none"/>
        </w:rPr>
        <w:t xml:space="preserve">的违约金。</w:t>
      </w:r>
      <w:r>
        <w:rPr>
          <w:color w:val="auto"/>
          <w:highlight w:val="none"/>
        </w:rPr>
      </w:r>
    </w:p>
    <w:p>
      <w:pPr>
        <w:pStyle w:val="968"/>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.2 甲方无故逾期验收和办理</w:t>
      </w:r>
      <w:r>
        <w:rPr>
          <w:rFonts w:hint="eastAsia" w:hAnsi="宋体"/>
          <w:color w:val="auto"/>
          <w:sz w:val="24"/>
          <w:szCs w:val="24"/>
          <w:highlight w:val="none"/>
        </w:rPr>
        <w:t xml:space="preserve">合同款项</w:t>
      </w:r>
      <w:r>
        <w:rPr>
          <w:rFonts w:hAnsi="宋体"/>
          <w:color w:val="auto"/>
          <w:sz w:val="24"/>
          <w:szCs w:val="24"/>
          <w:highlight w:val="none"/>
        </w:rPr>
        <w:t xml:space="preserve">支付手续的,甲方应按逾期付款总额</w:t>
      </w:r>
      <w:r>
        <w:rPr>
          <w:rFonts w:hint="eastAsia" w:hAnsi="宋体"/>
          <w:color w:val="auto"/>
          <w:sz w:val="24"/>
          <w:szCs w:val="24"/>
          <w:highlight w:val="none"/>
          <w:u w:val="single"/>
        </w:rPr>
        <w:t xml:space="preserve">    </w:t>
      </w:r>
      <w:r>
        <w:rPr>
          <w:rFonts w:hAnsi="宋体"/>
          <w:color w:val="auto"/>
          <w:sz w:val="24"/>
          <w:szCs w:val="24"/>
          <w:highlight w:val="none"/>
        </w:rPr>
        <w:t xml:space="preserve">每日向乙方支付违约金。</w:t>
      </w:r>
      <w:r>
        <w:rPr>
          <w:color w:val="auto"/>
          <w:highlight w:val="none"/>
        </w:rPr>
      </w:r>
    </w:p>
    <w:p>
      <w:pPr>
        <w:pStyle w:val="968"/>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.3 乙方逾期</w:t>
      </w:r>
      <w:r>
        <w:rPr>
          <w:rFonts w:hint="eastAsia" w:hAnsi="宋体"/>
          <w:color w:val="auto"/>
          <w:sz w:val="24"/>
          <w:szCs w:val="24"/>
          <w:highlight w:val="none"/>
        </w:rPr>
        <w:t xml:space="preserve">提供服务</w:t>
      </w:r>
      <w:r>
        <w:rPr>
          <w:rFonts w:hAnsi="宋体"/>
          <w:color w:val="auto"/>
          <w:sz w:val="24"/>
          <w:szCs w:val="24"/>
          <w:highlight w:val="none"/>
        </w:rPr>
        <w:t xml:space="preserve">的，乙方应按逾期</w:t>
      </w:r>
      <w:r>
        <w:rPr>
          <w:rFonts w:hint="eastAsia" w:hAnsi="宋体"/>
          <w:color w:val="auto"/>
          <w:sz w:val="24"/>
          <w:szCs w:val="24"/>
          <w:highlight w:val="none"/>
        </w:rPr>
        <w:t xml:space="preserve">提供服务合同</w:t>
      </w:r>
      <w:r>
        <w:rPr>
          <w:rFonts w:hAnsi="宋体"/>
          <w:color w:val="auto"/>
          <w:sz w:val="24"/>
          <w:szCs w:val="24"/>
          <w:highlight w:val="none"/>
        </w:rPr>
        <w:t xml:space="preserve">总额每日千分之六向甲方支付违约金，由甲方从待付</w:t>
      </w:r>
      <w:r>
        <w:rPr>
          <w:rFonts w:hint="eastAsia" w:hAnsi="宋体"/>
          <w:color w:val="auto"/>
          <w:sz w:val="24"/>
          <w:szCs w:val="24"/>
          <w:highlight w:val="none"/>
        </w:rPr>
        <w:t xml:space="preserve">合同款项</w:t>
      </w:r>
      <w:r>
        <w:rPr>
          <w:rFonts w:hAnsi="宋体"/>
          <w:color w:val="auto"/>
          <w:sz w:val="24"/>
          <w:szCs w:val="24"/>
          <w:highlight w:val="none"/>
        </w:rPr>
        <w:t xml:space="preserve">中扣除。逾期超过约定日期10个工作日不能</w:t>
      </w:r>
      <w:r>
        <w:rPr>
          <w:rFonts w:hint="eastAsia" w:hAnsi="宋体"/>
          <w:color w:val="auto"/>
          <w:sz w:val="24"/>
          <w:szCs w:val="24"/>
          <w:highlight w:val="none"/>
        </w:rPr>
        <w:t xml:space="preserve">提供服务</w:t>
      </w:r>
      <w:r>
        <w:rPr>
          <w:rFonts w:hAnsi="宋体"/>
          <w:color w:val="auto"/>
          <w:sz w:val="24"/>
          <w:szCs w:val="24"/>
          <w:highlight w:val="none"/>
        </w:rPr>
        <w:t xml:space="preserve">的，甲方可解除本合同。乙方因逾期</w:t>
      </w:r>
      <w:r>
        <w:rPr>
          <w:rFonts w:hint="eastAsia" w:hAnsi="宋体"/>
          <w:color w:val="auto"/>
          <w:sz w:val="24"/>
          <w:szCs w:val="24"/>
          <w:highlight w:val="none"/>
        </w:rPr>
        <w:t xml:space="preserve">提供服务</w:t>
      </w:r>
      <w:r>
        <w:rPr>
          <w:rFonts w:hAnsi="宋体"/>
          <w:color w:val="auto"/>
          <w:sz w:val="24"/>
          <w:szCs w:val="24"/>
          <w:highlight w:val="none"/>
        </w:rPr>
        <w:t xml:space="preserve">或因其他违约行为导致甲方解除合同的，乙方应向甲方支付合同</w:t>
      </w:r>
      <w:r>
        <w:rPr>
          <w:rFonts w:hint="eastAsia" w:hAnsi="宋体"/>
          <w:color w:val="auto"/>
          <w:sz w:val="24"/>
          <w:szCs w:val="24"/>
          <w:highlight w:val="none"/>
        </w:rPr>
        <w:t xml:space="preserve">价款总额</w:t>
      </w:r>
      <w:r>
        <w:rPr>
          <w:rFonts w:hint="eastAsia" w:hAnsi="宋体"/>
          <w:color w:val="auto"/>
          <w:sz w:val="24"/>
          <w:szCs w:val="24"/>
          <w:highlight w:val="none"/>
          <w:u w:val="single"/>
        </w:rPr>
        <w:t xml:space="preserve">     </w:t>
      </w:r>
      <w:r>
        <w:rPr>
          <w:rFonts w:hAnsi="宋体"/>
          <w:color w:val="auto"/>
          <w:sz w:val="24"/>
          <w:szCs w:val="24"/>
          <w:highlight w:val="none"/>
        </w:rPr>
        <w:t xml:space="preserve">的违约金，如造成甲方损失超过违约金的，超出部分由乙方继续承担赔偿责任。 </w:t>
      </w:r>
      <w:r>
        <w:rPr>
          <w:color w:val="auto"/>
          <w:highlight w:val="none"/>
        </w:rPr>
      </w:r>
    </w:p>
    <w:p>
      <w:pPr>
        <w:pStyle w:val="968"/>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.4 乙方</w:t>
      </w:r>
      <w:r>
        <w:rPr>
          <w:rFonts w:hint="eastAsia" w:hAnsi="宋体"/>
          <w:color w:val="auto"/>
          <w:sz w:val="24"/>
          <w:szCs w:val="24"/>
          <w:highlight w:val="none"/>
        </w:rPr>
        <w:t xml:space="preserve">所提供服务的标准</w:t>
      </w:r>
      <w:r>
        <w:rPr>
          <w:rFonts w:hAnsi="宋体"/>
          <w:color w:val="auto"/>
          <w:sz w:val="24"/>
          <w:szCs w:val="24"/>
          <w:highlight w:val="none"/>
        </w:rPr>
        <w:t xml:space="preserve">不符合合同规定及招标文件规定标准的，甲方有权</w:t>
      </w:r>
      <w:r>
        <w:rPr>
          <w:rFonts w:hint="eastAsia" w:hAnsi="宋体"/>
          <w:color w:val="auto"/>
          <w:sz w:val="24"/>
          <w:szCs w:val="24"/>
          <w:highlight w:val="none"/>
        </w:rPr>
        <w:t xml:space="preserve">拒绝接受服务</w:t>
      </w:r>
      <w:r>
        <w:rPr>
          <w:rFonts w:hAnsi="宋体"/>
          <w:color w:val="auto"/>
          <w:sz w:val="24"/>
          <w:szCs w:val="24"/>
          <w:highlight w:val="none"/>
        </w:rPr>
        <w:t xml:space="preserve">，</w:t>
      </w:r>
      <w:r>
        <w:rPr>
          <w:rFonts w:hint="eastAsia" w:hAnsi="宋体"/>
          <w:color w:val="auto"/>
          <w:sz w:val="24"/>
          <w:szCs w:val="24"/>
          <w:highlight w:val="none"/>
        </w:rPr>
        <w:t xml:space="preserve">并</w:t>
      </w:r>
      <w:r>
        <w:rPr>
          <w:rFonts w:hAnsi="宋体"/>
          <w:color w:val="auto"/>
          <w:sz w:val="24"/>
          <w:szCs w:val="24"/>
          <w:highlight w:val="none"/>
        </w:rPr>
        <w:t xml:space="preserve">可单方面解除合同。</w:t>
      </w:r>
      <w:r>
        <w:rPr>
          <w:color w:val="auto"/>
          <w:highlight w:val="none"/>
        </w:rPr>
      </w:r>
    </w:p>
    <w:p>
      <w:pPr>
        <w:pStyle w:val="968"/>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二</w:t>
      </w:r>
      <w:r>
        <w:rPr>
          <w:rFonts w:hAnsi="宋体"/>
          <w:b/>
          <w:color w:val="auto"/>
          <w:sz w:val="24"/>
          <w:szCs w:val="24"/>
          <w:highlight w:val="none"/>
        </w:rPr>
        <w:t xml:space="preserve">、不可抗力事件处理</w:t>
      </w:r>
      <w:r>
        <w:rPr>
          <w:color w:val="auto"/>
          <w:highlight w:val="none"/>
        </w:rPr>
      </w:r>
    </w:p>
    <w:p>
      <w:pPr>
        <w:pStyle w:val="968"/>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.1 在合同有效期内，任何一方因不可抗力事件导致不能履行合同，则合同履行期可延长，其延长期与不可抗力影响</w:t>
      </w:r>
      <w:r>
        <w:rPr>
          <w:rFonts w:hint="eastAsia" w:hAnsi="宋体"/>
          <w:color w:val="auto"/>
          <w:sz w:val="24"/>
          <w:szCs w:val="24"/>
          <w:highlight w:val="none"/>
        </w:rPr>
        <w:t xml:space="preserve"> </w:t>
      </w:r>
      <w:r>
        <w:rPr>
          <w:rFonts w:hAnsi="宋体"/>
          <w:color w:val="auto"/>
          <w:sz w:val="24"/>
          <w:szCs w:val="24"/>
          <w:highlight w:val="none"/>
        </w:rPr>
        <w:t xml:space="preserve">期相同。</w:t>
      </w:r>
      <w:r>
        <w:rPr>
          <w:color w:val="auto"/>
          <w:highlight w:val="none"/>
        </w:rPr>
      </w:r>
    </w:p>
    <w:p>
      <w:pPr>
        <w:pStyle w:val="968"/>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.2 不可抗力事件发生后，应立即通知对方，并寄送有关权威机构出具的证明。</w:t>
      </w:r>
      <w:r>
        <w:rPr>
          <w:color w:val="auto"/>
          <w:highlight w:val="none"/>
        </w:rPr>
      </w:r>
    </w:p>
    <w:p>
      <w:pPr>
        <w:pStyle w:val="968"/>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.3 不可抗力事件延续120天以上，双方应通过友好协商，确定是否继续履行合同。</w:t>
      </w:r>
      <w:r>
        <w:rPr>
          <w:color w:val="auto"/>
          <w:highlight w:val="none"/>
        </w:rPr>
      </w:r>
    </w:p>
    <w:p>
      <w:pPr>
        <w:pStyle w:val="968"/>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三</w:t>
      </w:r>
      <w:r>
        <w:rPr>
          <w:rFonts w:hAnsi="宋体"/>
          <w:b/>
          <w:color w:val="auto"/>
          <w:sz w:val="24"/>
          <w:szCs w:val="24"/>
          <w:highlight w:val="none"/>
        </w:rPr>
        <w:t xml:space="preserve">、</w:t>
      </w:r>
      <w:r>
        <w:rPr>
          <w:rFonts w:hint="eastAsia" w:hAnsi="宋体"/>
          <w:b/>
          <w:color w:val="auto"/>
          <w:sz w:val="24"/>
          <w:szCs w:val="24"/>
          <w:highlight w:val="none"/>
        </w:rPr>
        <w:t xml:space="preserve">解决争议的方法</w:t>
      </w:r>
      <w:r>
        <w:rPr>
          <w:rFonts w:hAnsi="宋体"/>
          <w:b/>
          <w:color w:val="auto"/>
          <w:sz w:val="24"/>
          <w:szCs w:val="24"/>
          <w:highlight w:val="none"/>
        </w:rPr>
      </w:r>
      <w:r>
        <w:rPr>
          <w:color w:val="auto"/>
          <w:highlight w:val="none"/>
        </w:rPr>
      </w:r>
    </w:p>
    <w:p>
      <w:pPr>
        <w:pStyle w:val="968"/>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13.1双方在签订、履行合同中所发生的一切争议，应通过友好协商解决。如协商不成，由甲方住所地人民法院管辖。</w:t>
      </w:r>
      <w:r>
        <w:rPr>
          <w:color w:val="auto"/>
          <w:highlight w:val="none"/>
        </w:rPr>
      </w:r>
    </w:p>
    <w:p>
      <w:pPr>
        <w:pStyle w:val="968"/>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四</w:t>
      </w:r>
      <w:r>
        <w:rPr>
          <w:rFonts w:hAnsi="宋体"/>
          <w:b/>
          <w:color w:val="auto"/>
          <w:sz w:val="24"/>
          <w:szCs w:val="24"/>
          <w:highlight w:val="none"/>
        </w:rPr>
        <w:t xml:space="preserve">、合同生效及其它</w:t>
      </w:r>
      <w:r>
        <w:rPr>
          <w:color w:val="auto"/>
          <w:highlight w:val="none"/>
        </w:rPr>
      </w:r>
    </w:p>
    <w:p>
      <w:pPr>
        <w:pStyle w:val="968"/>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.1 合同经双方法定代表人或授权委托代</w:t>
      </w:r>
      <w:r>
        <w:rPr>
          <w:rFonts w:hint="eastAsia" w:hAnsi="宋体"/>
          <w:color w:val="auto"/>
          <w:sz w:val="24"/>
          <w:szCs w:val="24"/>
          <w:highlight w:val="none"/>
        </w:rPr>
        <w:t xml:space="preserve">表</w:t>
      </w:r>
      <w:r>
        <w:rPr>
          <w:rFonts w:hAnsi="宋体"/>
          <w:color w:val="auto"/>
          <w:sz w:val="24"/>
          <w:szCs w:val="24"/>
          <w:highlight w:val="none"/>
        </w:rPr>
        <w:t xml:space="preserve">人签字并加盖单位公章后生效。</w:t>
      </w:r>
      <w:r>
        <w:rPr>
          <w:color w:val="auto"/>
          <w:highlight w:val="none"/>
        </w:rPr>
      </w:r>
    </w:p>
    <w:p>
      <w:pPr>
        <w:pStyle w:val="968"/>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.2本合同未尽事宜，遵照</w:t>
      </w:r>
      <w:r>
        <w:rPr>
          <w:rFonts w:hint="eastAsia" w:hAnsi="宋体"/>
          <w:color w:val="auto"/>
          <w:sz w:val="24"/>
          <w:szCs w:val="24"/>
          <w:highlight w:val="none"/>
        </w:rPr>
        <w:t xml:space="preserve">《</w:t>
      </w:r>
      <w:r>
        <w:rPr>
          <w:rFonts w:hint="eastAsia" w:hAnsi="宋体"/>
          <w:color w:val="auto"/>
          <w:sz w:val="24"/>
          <w:szCs w:val="24"/>
          <w:highlight w:val="none"/>
        </w:rPr>
        <w:t xml:space="preserve">中华人民共和国民法典</w:t>
      </w:r>
      <w:r>
        <w:rPr>
          <w:rFonts w:hint="eastAsia" w:hAnsi="宋体"/>
          <w:color w:val="auto"/>
          <w:sz w:val="24"/>
          <w:szCs w:val="24"/>
          <w:highlight w:val="none"/>
        </w:rPr>
        <w:t xml:space="preserve">》、</w:t>
      </w:r>
      <w:r>
        <w:rPr>
          <w:rFonts w:hint="eastAsia" w:hAnsi="宋体"/>
          <w:color w:val="auto"/>
          <w:sz w:val="24"/>
          <w:szCs w:val="24"/>
          <w:highlight w:val="none"/>
        </w:rPr>
        <w:t xml:space="preserve">《中华人民共和国政府采购法》</w:t>
      </w:r>
      <w:r>
        <w:rPr>
          <w:rFonts w:hAnsi="宋体"/>
          <w:color w:val="auto"/>
          <w:sz w:val="24"/>
          <w:szCs w:val="24"/>
          <w:highlight w:val="none"/>
        </w:rPr>
        <w:t xml:space="preserve">有关条文执行。</w:t>
      </w:r>
      <w:r>
        <w:rPr>
          <w:color w:val="auto"/>
          <w:highlight w:val="none"/>
        </w:rPr>
      </w:r>
    </w:p>
    <w:p>
      <w:pPr>
        <w:pStyle w:val="968"/>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w:t>
      </w:r>
      <w:r>
        <w:rPr>
          <w:rFonts w:hint="eastAsia" w:hAnsi="宋体"/>
          <w:color w:val="auto"/>
          <w:sz w:val="24"/>
          <w:szCs w:val="24"/>
          <w:highlight w:val="none"/>
        </w:rPr>
        <w:t xml:space="preserve">3</w:t>
      </w:r>
      <w:r>
        <w:rPr>
          <w:rFonts w:hAnsi="宋体"/>
          <w:color w:val="auto"/>
          <w:sz w:val="24"/>
          <w:szCs w:val="24"/>
          <w:highlight w:val="none"/>
        </w:rPr>
        <w:t xml:space="preserve"> 本合同正本一式</w:t>
      </w:r>
      <w:r>
        <w:rPr>
          <w:rFonts w:hint="eastAsia" w:hAnsi="宋体"/>
          <w:color w:val="auto"/>
          <w:sz w:val="24"/>
          <w:szCs w:val="24"/>
          <w:highlight w:val="none"/>
        </w:rPr>
        <w:t xml:space="preserve">两</w:t>
      </w:r>
      <w:r>
        <w:rPr>
          <w:rFonts w:hAnsi="宋体"/>
          <w:color w:val="auto"/>
          <w:sz w:val="24"/>
          <w:szCs w:val="24"/>
          <w:highlight w:val="none"/>
        </w:rPr>
        <w:t xml:space="preserve">份，具有同等法律效力，甲</w:t>
      </w:r>
      <w:r>
        <w:rPr>
          <w:rFonts w:hint="eastAsia" w:hAnsi="宋体"/>
          <w:color w:val="auto"/>
          <w:sz w:val="24"/>
          <w:szCs w:val="24"/>
          <w:highlight w:val="none"/>
        </w:rPr>
        <w:t xml:space="preserve">方、</w:t>
      </w:r>
      <w:r>
        <w:rPr>
          <w:rFonts w:hAnsi="宋体"/>
          <w:color w:val="auto"/>
          <w:sz w:val="24"/>
          <w:szCs w:val="24"/>
          <w:highlight w:val="none"/>
        </w:rPr>
        <w:t xml:space="preserve">乙方各执一份。</w:t>
      </w:r>
      <w:r>
        <w:rPr>
          <w:color w:val="auto"/>
          <w:highlight w:val="none"/>
        </w:rPr>
      </w:r>
    </w:p>
    <w:p>
      <w:pPr>
        <w:pStyle w:val="968"/>
        <w:ind w:left="480" w:hanging="480"/>
        <w:spacing w:line="400" w:lineRule="exact"/>
        <w:rPr>
          <w:rFonts w:hAnsi="宋体"/>
          <w:color w:val="auto"/>
          <w:sz w:val="24"/>
          <w:szCs w:val="24"/>
          <w:highlight w:val="none"/>
        </w:rPr>
      </w:pPr>
      <w:r>
        <w:rPr>
          <w:rFonts w:hAnsi="宋体"/>
          <w:color w:val="auto"/>
          <w:sz w:val="24"/>
          <w:szCs w:val="24"/>
          <w:highlight w:val="none"/>
        </w:rPr>
        <w:t xml:space="preserve">  甲方：                        乙方： </w:t>
      </w:r>
      <w:r>
        <w:rPr>
          <w:color w:val="auto"/>
          <w:highlight w:val="none"/>
        </w:rPr>
      </w:r>
    </w:p>
    <w:p>
      <w:pPr>
        <w:pStyle w:val="968"/>
        <w:spacing w:line="400" w:lineRule="exact"/>
        <w:rPr>
          <w:rFonts w:hAnsi="宋体"/>
          <w:color w:val="auto"/>
          <w:sz w:val="24"/>
          <w:szCs w:val="24"/>
          <w:highlight w:val="none"/>
        </w:rPr>
      </w:pPr>
      <w:r>
        <w:rPr>
          <w:rFonts w:hAnsi="宋体"/>
          <w:color w:val="auto"/>
          <w:sz w:val="24"/>
          <w:szCs w:val="24"/>
          <w:highlight w:val="none"/>
        </w:rPr>
        <w:t xml:space="preserve">  地址：                       </w:t>
      </w:r>
      <w:r>
        <w:rPr>
          <w:rFonts w:hint="eastAsia" w:hAnsi="宋体"/>
          <w:color w:val="auto"/>
          <w:sz w:val="24"/>
          <w:szCs w:val="24"/>
          <w:highlight w:val="none"/>
        </w:rPr>
        <w:t xml:space="preserve"> </w:t>
      </w:r>
      <w:r>
        <w:rPr>
          <w:rFonts w:hAnsi="宋体"/>
          <w:color w:val="auto"/>
          <w:sz w:val="24"/>
          <w:szCs w:val="24"/>
          <w:highlight w:val="none"/>
        </w:rPr>
        <w:t xml:space="preserve">地址： </w:t>
      </w:r>
      <w:r>
        <w:rPr>
          <w:color w:val="auto"/>
          <w:highlight w:val="none"/>
        </w:rPr>
      </w:r>
    </w:p>
    <w:p>
      <w:pPr>
        <w:pStyle w:val="968"/>
        <w:spacing w:line="400" w:lineRule="exact"/>
        <w:rPr>
          <w:rFonts w:hAnsi="宋体"/>
          <w:color w:val="auto"/>
          <w:sz w:val="24"/>
          <w:szCs w:val="24"/>
          <w:highlight w:val="none"/>
        </w:rPr>
      </w:pP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w:t>
      </w:r>
      <w:r>
        <w:rPr>
          <w:color w:val="auto"/>
          <w:highlight w:val="none"/>
        </w:rPr>
      </w:r>
    </w:p>
    <w:p>
      <w:pPr>
        <w:pStyle w:val="968"/>
        <w:ind w:firstLine="240"/>
        <w:spacing w:line="400" w:lineRule="exact"/>
        <w:rPr>
          <w:rFonts w:hint="eastAsia"/>
          <w:color w:val="auto"/>
          <w:highlight w:val="none"/>
        </w:rPr>
      </w:pPr>
      <w:r>
        <w:rPr>
          <w:rFonts w:hint="eastAsia" w:hAnsi="宋体"/>
          <w:color w:val="auto"/>
          <w:sz w:val="24"/>
          <w:szCs w:val="24"/>
          <w:highlight w:val="none"/>
        </w:rPr>
        <w:t xml:space="preserve">联系电话：                    联系电话：          </w:t>
      </w:r>
      <w:r>
        <w:rPr>
          <w:rFonts w:hint="eastAsia"/>
          <w:color w:val="auto"/>
          <w:highlight w:val="none"/>
        </w:rPr>
      </w:r>
      <w:r>
        <w:rPr>
          <w:color w:val="auto"/>
          <w:highlight w:val="none"/>
        </w:rPr>
      </w:r>
    </w:p>
    <w:p>
      <w:pPr>
        <w:pStyle w:val="929"/>
        <w:ind w:firstLine="480"/>
        <w:spacing w:line="400" w:lineRule="exact"/>
        <w:rPr>
          <w:color w:val="auto"/>
          <w:sz w:val="24"/>
          <w:szCs w:val="24"/>
          <w:highlight w:val="none"/>
        </w:rPr>
      </w:pPr>
      <w:r>
        <w:rPr>
          <w:rFonts w:hint="eastAsia"/>
          <w:color w:val="auto"/>
          <w:sz w:val="24"/>
          <w:szCs w:val="24"/>
          <w:highlight w:val="none"/>
        </w:rPr>
        <w:t xml:space="preserve">                                </w:t>
      </w:r>
      <w:r>
        <w:rPr>
          <w:color w:val="auto"/>
          <w:sz w:val="24"/>
          <w:szCs w:val="24"/>
          <w:highlight w:val="none"/>
        </w:rPr>
        <w:t xml:space="preserve">签订日期：      年  </w:t>
      </w:r>
      <w:r>
        <w:rPr>
          <w:rFonts w:hint="eastAsia"/>
          <w:color w:val="auto"/>
          <w:sz w:val="24"/>
          <w:szCs w:val="24"/>
          <w:highlight w:val="none"/>
        </w:rPr>
        <w:t xml:space="preserve">  </w:t>
      </w:r>
      <w:r>
        <w:rPr>
          <w:color w:val="auto"/>
          <w:sz w:val="24"/>
          <w:szCs w:val="24"/>
          <w:highlight w:val="none"/>
        </w:rPr>
        <w:t xml:space="preserve">月  </w:t>
      </w:r>
      <w:r>
        <w:rPr>
          <w:rFonts w:hint="eastAsia"/>
          <w:color w:val="auto"/>
          <w:sz w:val="24"/>
          <w:szCs w:val="24"/>
          <w:highlight w:val="none"/>
        </w:rPr>
        <w:t xml:space="preserve"> </w:t>
      </w:r>
      <w:r>
        <w:rPr>
          <w:color w:val="auto"/>
          <w:sz w:val="24"/>
          <w:szCs w:val="24"/>
          <w:highlight w:val="none"/>
        </w:rPr>
        <w:t xml:space="preserve">日</w:t>
      </w:r>
      <w:r>
        <w:rPr>
          <w:color w:val="auto"/>
          <w:sz w:val="24"/>
          <w:szCs w:val="24"/>
          <w:highlight w:val="none"/>
        </w:rPr>
      </w:r>
      <w:r>
        <w:rPr>
          <w:color w:val="auto"/>
          <w:highlight w:val="none"/>
        </w:rPr>
      </w:r>
    </w:p>
    <w:p>
      <w:pPr>
        <w:pStyle w:val="929"/>
        <w:ind w:firstLine="480"/>
        <w:jc w:val="center"/>
        <w:spacing w:line="400" w:lineRule="exact"/>
        <w:rPr>
          <w:rFonts w:hint="eastAsia" w:hAnsi="宋体"/>
          <w:color w:val="auto"/>
          <w:sz w:val="36"/>
          <w:szCs w:val="36"/>
          <w:highlight w:val="none"/>
        </w:rPr>
      </w:pPr>
      <w:r>
        <w:rPr>
          <w:color w:val="auto"/>
          <w:sz w:val="24"/>
          <w:szCs w:val="24"/>
          <w:highlight w:val="none"/>
        </w:rPr>
        <w:br w:type="page" w:clear="all"/>
      </w:r>
      <w:bookmarkEnd w:id="181"/>
      <w:r>
        <w:rPr>
          <w:color w:val="auto"/>
          <w:highlight w:val="none"/>
        </w:rPr>
      </w:r>
      <w:bookmarkEnd w:id="182"/>
      <w:r>
        <w:rPr>
          <w:color w:val="auto"/>
          <w:highlight w:val="none"/>
        </w:rPr>
      </w:r>
      <w:bookmarkEnd w:id="183"/>
      <w:r>
        <w:rPr>
          <w:color w:val="auto"/>
          <w:highlight w:val="none"/>
        </w:rPr>
      </w:r>
      <w:bookmarkStart w:id="184" w:name="_Hlt16619369"/>
      <w:r>
        <w:rPr>
          <w:color w:val="auto"/>
          <w:highlight w:val="none"/>
        </w:rPr>
      </w:r>
      <w:bookmarkEnd w:id="184"/>
      <w:r>
        <w:rPr>
          <w:color w:val="auto"/>
          <w:highlight w:val="none"/>
        </w:rPr>
      </w:r>
      <w:bookmarkStart w:id="185" w:name="_Hlt16619350"/>
      <w:r>
        <w:rPr>
          <w:color w:val="auto"/>
          <w:highlight w:val="none"/>
        </w:rPr>
      </w:r>
      <w:bookmarkStart w:id="186" w:name="_Toc20823346"/>
      <w:r>
        <w:rPr>
          <w:color w:val="auto"/>
          <w:highlight w:val="none"/>
        </w:rPr>
      </w:r>
      <w:bookmarkStart w:id="187" w:name="_Toc16938590"/>
      <w:r>
        <w:rPr>
          <w:color w:val="auto"/>
          <w:highlight w:val="none"/>
        </w:rPr>
      </w:r>
      <w:bookmarkStart w:id="188" w:name="_Toc120614244"/>
      <w:r>
        <w:rPr>
          <w:color w:val="auto"/>
          <w:highlight w:val="none"/>
        </w:rPr>
      </w:r>
      <w:bookmarkStart w:id="189" w:name="_Toc479757211"/>
      <w:r>
        <w:rPr>
          <w:color w:val="auto"/>
          <w:highlight w:val="none"/>
        </w:rPr>
      </w:r>
      <w:bookmarkStart w:id="190" w:name="_Toc462564139"/>
      <w:r>
        <w:rPr>
          <w:rFonts w:hint="eastAsia" w:ascii="黑体" w:eastAsia="黑体"/>
          <w:bCs/>
          <w:color w:val="auto"/>
          <w:sz w:val="36"/>
          <w:szCs w:val="36"/>
          <w:highlight w:val="none"/>
        </w:rPr>
        <w:t xml:space="preserve">第</w:t>
      </w:r>
      <w:bookmarkEnd w:id="185"/>
      <w:r>
        <w:rPr>
          <w:rFonts w:hint="eastAsia" w:ascii="黑体" w:eastAsia="黑体"/>
          <w:bCs/>
          <w:color w:val="auto"/>
          <w:sz w:val="36"/>
          <w:szCs w:val="36"/>
          <w:highlight w:val="none"/>
        </w:rPr>
        <w:t xml:space="preserve">四章 采购需求</w:t>
      </w:r>
      <w:bookmarkEnd w:id="186"/>
      <w:r>
        <w:rPr>
          <w:color w:val="auto"/>
          <w:highlight w:val="none"/>
        </w:rPr>
      </w:r>
      <w:bookmarkEnd w:id="187"/>
      <w:r>
        <w:rPr>
          <w:color w:val="auto"/>
          <w:highlight w:val="none"/>
        </w:rPr>
      </w:r>
      <w:bookmarkEnd w:id="188"/>
      <w:r>
        <w:rPr>
          <w:rFonts w:hint="eastAsia" w:hAnsi="宋体"/>
          <w:color w:val="auto"/>
          <w:sz w:val="36"/>
          <w:szCs w:val="36"/>
          <w:highlight w:val="none"/>
        </w:rPr>
      </w:r>
      <w:r>
        <w:rPr>
          <w:color w:val="auto"/>
          <w:highlight w:val="none"/>
        </w:rPr>
      </w:r>
    </w:p>
    <w:p>
      <w:pPr>
        <w:pStyle w:val="929"/>
        <w:ind w:firstLine="600"/>
        <w:jc w:val="left"/>
        <w:spacing w:line="360" w:lineRule="auto"/>
        <w:rPr>
          <w:rFonts w:hint="eastAsia" w:ascii="黑体" w:hAnsi="黑体" w:eastAsia="黑体"/>
          <w:color w:val="auto"/>
          <w:sz w:val="30"/>
          <w:szCs w:val="30"/>
          <w:highlight w:val="none"/>
        </w:rPr>
      </w:pPr>
      <w:r>
        <w:rPr>
          <w:color w:val="auto"/>
          <w:highlight w:val="none"/>
        </w:rPr>
      </w:r>
      <w:bookmarkStart w:id="191" w:name="_Toc49090575"/>
      <w:r>
        <w:rPr>
          <w:color w:val="auto"/>
          <w:highlight w:val="none"/>
        </w:rPr>
      </w:r>
      <w:bookmarkStart w:id="192" w:name="_Toc26554093"/>
      <w:r>
        <w:rPr>
          <w:rFonts w:hint="eastAsia" w:ascii="黑体" w:hAnsi="黑体" w:eastAsia="黑体"/>
          <w:color w:val="auto"/>
          <w:sz w:val="30"/>
          <w:szCs w:val="30"/>
          <w:highlight w:val="none"/>
        </w:rPr>
        <w:t xml:space="preserve">本项目属性：服务类项目</w:t>
      </w:r>
      <w:r>
        <w:rPr>
          <w:color w:val="auto"/>
          <w:highlight w:val="none"/>
        </w:rPr>
      </w:r>
    </w:p>
    <w:p>
      <w:pPr>
        <w:pStyle w:val="929"/>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投标人所投内容必须满足以下要求，不得有负偏离。</w:t>
      </w:r>
      <w:r>
        <w:rPr>
          <w:color w:val="auto"/>
          <w:highlight w:val="none"/>
        </w:rPr>
      </w:r>
    </w:p>
    <w:p>
      <w:pPr>
        <w:pStyle w:val="929"/>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本项目标的物所属行业：软件和信息技术服务业</w:t>
      </w:r>
      <w:r>
        <w:rPr>
          <w:color w:val="auto"/>
          <w:highlight w:val="none"/>
        </w:rPr>
      </w:r>
    </w:p>
    <w:p>
      <w:pPr>
        <w:pStyle w:val="929"/>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本项目中的</w:t>
      </w:r>
      <w:r>
        <w:rPr>
          <w:rFonts w:hint="eastAsia" w:ascii="宋体" w:hAnsi="宋体"/>
          <w:color w:val="auto"/>
          <w:sz w:val="24"/>
          <w:szCs w:val="24"/>
          <w:highlight w:val="none"/>
        </w:rPr>
        <w:t xml:space="preserve">统一身份认证平台系统</w:t>
      </w:r>
      <w:r>
        <w:rPr>
          <w:rFonts w:hint="eastAsia" w:ascii="宋体" w:hAnsi="宋体"/>
          <w:color w:val="auto"/>
          <w:sz w:val="24"/>
          <w:szCs w:val="24"/>
          <w:highlight w:val="none"/>
        </w:rPr>
        <w:t xml:space="preserve">为核心产品。</w:t>
      </w:r>
      <w:r>
        <w:rPr>
          <w:rFonts w:ascii="宋体" w:hAnsi="宋体"/>
          <w:color w:val="auto"/>
          <w:sz w:val="24"/>
          <w:szCs w:val="24"/>
          <w:highlight w:val="none"/>
        </w:rPr>
      </w:r>
      <w:r>
        <w:rPr>
          <w:color w:val="auto"/>
          <w:highlight w:val="none"/>
        </w:rPr>
      </w:r>
    </w:p>
    <w:p>
      <w:pPr>
        <w:pStyle w:val="929"/>
        <w:ind w:firstLine="602"/>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第一部分  项目技术要求</w:t>
      </w:r>
      <w:r>
        <w:rPr>
          <w:color w:val="auto"/>
          <w:highlight w:val="none"/>
        </w:rPr>
      </w:r>
    </w:p>
    <w:p>
      <w:pPr>
        <w:pStyle w:val="929"/>
        <w:ind w:left="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一、</w:t>
      </w:r>
      <w:r>
        <w:rPr>
          <w:rFonts w:ascii="宋体" w:hAnsi="宋体"/>
          <w:b/>
          <w:bCs/>
          <w:color w:val="auto"/>
          <w:sz w:val="24"/>
          <w:szCs w:val="24"/>
          <w:highlight w:val="none"/>
        </w:rPr>
        <w:t xml:space="preserve">本期建设需求</w:t>
      </w:r>
      <w:r>
        <w:rPr>
          <w:color w:val="auto"/>
          <w:highlight w:val="none"/>
        </w:rPr>
      </w:r>
    </w:p>
    <w:p>
      <w:pPr>
        <w:pStyle w:val="929"/>
        <w:ind w:left="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ascii="宋体" w:hAnsi="宋体"/>
          <w:b/>
          <w:bCs/>
          <w:color w:val="auto"/>
          <w:sz w:val="24"/>
          <w:szCs w:val="24"/>
          <w:highlight w:val="none"/>
        </w:rPr>
        <w:t xml:space="preserve">身份认证</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  </w:t>
      </w:r>
      <w:r>
        <w:rPr>
          <w:rFonts w:ascii="宋体" w:hAnsi="宋体"/>
          <w:bCs/>
          <w:color w:val="auto"/>
          <w:sz w:val="24"/>
          <w:szCs w:val="24"/>
          <w:highlight w:val="none"/>
        </w:rPr>
        <w:t xml:space="preserve">系统配置</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1.1.1  </w:t>
      </w:r>
      <w:r>
        <w:rPr>
          <w:rFonts w:ascii="宋体" w:hAnsi="宋体"/>
          <w:bCs/>
          <w:color w:val="auto"/>
          <w:sz w:val="24"/>
          <w:szCs w:val="24"/>
          <w:highlight w:val="none"/>
        </w:rPr>
        <w:t xml:space="preserve">公共配置</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消息模板</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需支持配置短信模板，支持通过变量替换实现个性短信定制。</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敏感词管理</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平台需预置的敏感词内容入库，且内容可被删除修改。</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1.1.2  </w:t>
      </w:r>
      <w:r>
        <w:rPr>
          <w:rFonts w:ascii="宋体" w:hAnsi="宋体"/>
          <w:bCs/>
          <w:color w:val="auto"/>
          <w:sz w:val="24"/>
          <w:szCs w:val="24"/>
          <w:highlight w:val="none"/>
        </w:rPr>
        <w:t xml:space="preserve">高级配置</w:t>
      </w:r>
      <w:r>
        <w:rPr>
          <w:color w:val="auto"/>
          <w:highlight w:val="none"/>
        </w:rPr>
      </w:r>
    </w:p>
    <w:p>
      <w:pPr>
        <w:pStyle w:val="929"/>
        <w:ind w:left="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）管控台授权</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通过管控台授权，超级管理员可以基于用户管理、应用管理、组织管理、安全性管理等管控台的大部分功能按照需求分配给二级管理角色。需支持对敏感信息配置查看权限。</w:t>
      </w:r>
      <w:r>
        <w:rPr>
          <w:color w:val="auto"/>
          <w:highlight w:val="none"/>
        </w:rPr>
      </w:r>
    </w:p>
    <w:p>
      <w:pPr>
        <w:pStyle w:val="929"/>
        <w:ind w:left="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）域管理</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“域”用于定义二级管理的范围，管理员可在此创建或者编辑所需要用于二级管理的域。</w:t>
      </w:r>
      <w:r>
        <w:rPr>
          <w:color w:val="auto"/>
          <w:highlight w:val="none"/>
        </w:rPr>
      </w:r>
    </w:p>
    <w:p>
      <w:pPr>
        <w:pStyle w:val="929"/>
        <w:ind w:left="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）其他</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用户与组织</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需支持查看机构数据和用户数据下记录保留类型、人工确认阈值。</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多语言支持</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需可在该选项卡设置系统支持的语言，默认语言为中文且不可修改，管理员可以在这里控制是否开启多语言切换。</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校内机构数据</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需支持查看校内机构当前版本、草稿版本、历史版本的数量，允许管理员清空机构数据，快捷查看机构数据版本。</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系统任务管理</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需支持查看系统任务列表，包括任务名称、任务处理类、上次/下次执行时间和任务状态，支持立即执行任务。</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电子签章</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需与我校江西金格电子签章程序进行集成。</w:t>
      </w:r>
      <w:r>
        <w:rPr>
          <w:color w:val="auto"/>
          <w:highlight w:val="none"/>
        </w:rPr>
      </w:r>
    </w:p>
    <w:p>
      <w:pPr>
        <w:pStyle w:val="929"/>
        <w:ind w:left="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）产品版本管理</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需支持用户查看已安装产品的当前运行版本、最新版本和发布时间，可查看历史版本列表和产品服务信息。</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多语言翻译管理</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用于可视化管理翻译内容，需支持按照不同模块配置对应功能类型翻译内容。</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浏览器兼容</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PC端和移动端均支持兼容主流版本的Trident、blink、WebKit内核浏览器。</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国产化兼容</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项目需支持部署于龙芯、兆芯、华为鲲鹏等目前市场主流国产CPU服务器；需支持采用华为欧拉、统信OS、麒麟OS、龙蜥OS等国产化操作系统；需支持人大金仓、武汉达梦、海量等国产数据库及中间件，需适配国产化浏览器。</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  </w:t>
      </w:r>
      <w:r>
        <w:rPr>
          <w:rFonts w:ascii="宋体" w:hAnsi="宋体"/>
          <w:bCs/>
          <w:color w:val="auto"/>
          <w:sz w:val="24"/>
          <w:szCs w:val="24"/>
          <w:highlight w:val="none"/>
        </w:rPr>
        <w:t xml:space="preserve">管理工具</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1.2.1  </w:t>
      </w:r>
      <w:r>
        <w:rPr>
          <w:rFonts w:ascii="宋体" w:hAnsi="宋体"/>
          <w:bCs/>
          <w:color w:val="auto"/>
          <w:sz w:val="24"/>
          <w:szCs w:val="24"/>
          <w:highlight w:val="none"/>
        </w:rPr>
        <w:t xml:space="preserve">用户与组织</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用户组管理</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系统需支持在各业务域下设置不同的用户组及成员，用以作为授权或二级管理权限下发。</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需支持管理人员通过可视化界面自行通过身份分类、生命周期、性别、性别、入校年份、组织机构分组组合形成用户组。</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需支持用户组共享功能，当前域管理员可以共享自己设置的用户组给其他域管理员使用。</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校内机构数据管理</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支持针对不同用户类型生成不同的组织机构树。组织机构树由用户信息自动生成。</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用户与机构数据同步</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平台应提供用户与机构数据的同步功能，应包含外部数据同步和手工数据处理两种方式。</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1.2.2  </w:t>
      </w:r>
      <w:r>
        <w:rPr>
          <w:rFonts w:ascii="宋体" w:hAnsi="宋体"/>
          <w:bCs/>
          <w:color w:val="auto"/>
          <w:sz w:val="24"/>
          <w:szCs w:val="24"/>
          <w:highlight w:val="none"/>
        </w:rPr>
        <w:t xml:space="preserve">日志与审计</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需支持查看用户操作日志，支持搜索用户日志。</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需支持查看管理员操作日志，支持搜索和查看管理员日志详情。</w:t>
      </w:r>
      <w:r>
        <w:rPr>
          <w:color w:val="auto"/>
          <w:highlight w:val="none"/>
        </w:rPr>
      </w:r>
    </w:p>
    <w:p>
      <w:pPr>
        <w:pStyle w:val="929"/>
        <w:ind w:left="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需支持接口调用日志，支持搜索接口调用日志。</w:t>
      </w:r>
      <w:r>
        <w:rPr>
          <w:rFonts w:hint="eastAsia" w:ascii="宋体" w:hAnsi="宋体"/>
          <w:bCs/>
          <w:color w:val="auto"/>
          <w:sz w:val="24"/>
          <w:szCs w:val="24"/>
          <w:highlight w:val="none"/>
        </w:rPr>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1.3  </w:t>
      </w:r>
      <w:r>
        <w:rPr>
          <w:rFonts w:ascii="宋体" w:hAnsi="宋体"/>
          <w:bCs/>
          <w:color w:val="auto"/>
          <w:sz w:val="24"/>
          <w:szCs w:val="24"/>
          <w:highlight w:val="none"/>
        </w:rPr>
        <w:t xml:space="preserve">电子身份管理台</w:t>
      </w:r>
      <w:r>
        <w:rPr>
          <w:color w:val="auto"/>
          <w:highlight w:val="none"/>
        </w:rPr>
      </w:r>
    </w:p>
    <w:p>
      <w:pPr>
        <w:pStyle w:val="929"/>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1.3.1  </w:t>
      </w:r>
      <w:r>
        <w:rPr>
          <w:rFonts w:ascii="宋体" w:hAnsi="宋体"/>
          <w:bCs/>
          <w:color w:val="auto"/>
          <w:sz w:val="24"/>
          <w:szCs w:val="24"/>
          <w:highlight w:val="none"/>
        </w:rPr>
        <w:t xml:space="preserve">用户数据模型</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需支持按照学校特点和应用现状设计用户、组、权限等模型，并按照模型设计完成数据存储。</w:t>
      </w:r>
      <w:r>
        <w:rPr>
          <w:color w:val="auto"/>
          <w:highlight w:val="none"/>
        </w:rPr>
      </w:r>
    </w:p>
    <w:p>
      <w:pPr>
        <w:pStyle w:val="929"/>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1.3.2  </w:t>
      </w:r>
      <w:r>
        <w:rPr>
          <w:rFonts w:ascii="宋体" w:hAnsi="宋体"/>
          <w:bCs/>
          <w:color w:val="auto"/>
          <w:sz w:val="24"/>
          <w:szCs w:val="24"/>
          <w:highlight w:val="none"/>
        </w:rPr>
        <w:t xml:space="preserve">用户管理</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平台需提供完善的用户管理模块，支持对全校身份</w:t>
      </w:r>
      <w:r>
        <w:rPr>
          <w:rFonts w:ascii="宋体" w:hAnsi="宋体"/>
          <w:bCs/>
          <w:color w:val="auto"/>
          <w:sz w:val="24"/>
          <w:szCs w:val="24"/>
          <w:highlight w:val="none"/>
        </w:rPr>
        <w:t xml:space="preserve">账号</w:t>
      </w:r>
      <w:r>
        <w:rPr>
          <w:rFonts w:ascii="宋体" w:hAnsi="宋体"/>
          <w:bCs/>
          <w:color w:val="auto"/>
          <w:sz w:val="24"/>
          <w:szCs w:val="24"/>
          <w:highlight w:val="none"/>
        </w:rPr>
        <w:t xml:space="preserve">数据的增加、删除、修改、过期设置、变更生命周期以及锁定/解锁等操作。</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需提供基于角色的访问控制技术，实现对用户集中、灵活授权和访问控制管理。</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需支持管理人员对用户详细信息进行查阅与修改，包含：查看用户信息、编辑用户信息、重置密码、查看用户组信息、关联用户组、移除用户组、查看关联账号、查看授权信息、查看认证记录。</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需支持管理人员手工增加组织机构节点，并可以对手工节点进行编辑手工节点、删除节点、禁用全部用户、添加已有用户以及移除机构操作。</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需支持管理员对全校用户身份</w:t>
      </w:r>
      <w:r>
        <w:rPr>
          <w:rFonts w:ascii="宋体" w:hAnsi="宋体"/>
          <w:bCs/>
          <w:color w:val="auto"/>
          <w:sz w:val="24"/>
          <w:szCs w:val="24"/>
          <w:highlight w:val="none"/>
        </w:rPr>
        <w:t xml:space="preserve">账号</w:t>
      </w:r>
      <w:r>
        <w:rPr>
          <w:rFonts w:ascii="宋体" w:hAnsi="宋体"/>
          <w:bCs/>
          <w:color w:val="auto"/>
          <w:sz w:val="24"/>
          <w:szCs w:val="24"/>
          <w:highlight w:val="none"/>
        </w:rPr>
        <w:t xml:space="preserve">数据的增加、删除、修改、过期设置、锁定、解锁等操作。在进行导入用户操作时，可实现拥有多账号的用户自动绑定，无需管理员手工干预，系统自动判定导入账号是否归属同一人，若为同一人不同阶段账号，则系统自动创建自然人，同时完成账号绑定。</w:t>
      </w:r>
      <w:r>
        <w:rPr>
          <w:color w:val="auto"/>
          <w:highlight w:val="none"/>
        </w:rPr>
      </w:r>
    </w:p>
    <w:p>
      <w:pPr>
        <w:pStyle w:val="929"/>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1.3.3  </w:t>
      </w:r>
      <w:r>
        <w:rPr>
          <w:rFonts w:ascii="宋体" w:hAnsi="宋体"/>
          <w:bCs/>
          <w:color w:val="auto"/>
          <w:sz w:val="24"/>
          <w:szCs w:val="24"/>
          <w:highlight w:val="none"/>
        </w:rPr>
        <w:t xml:space="preserve">应用管理</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应用管理作为校内服务应用的权威发布中心，负责为校内应用提供信息维护、发布注册、授权使用、统一协议配置、消息待办预集成、应用内接口授权、应用下服务配置、应用访问日志等功能，统一发布管理，并打通PC门户、移动H5门户。</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应用接入</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需支持手工创建和快捷创建2种方式完成应用的接入；需支持当用户授权为多个用户组时，可配置打开服务时是否需选择对应用户组。</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应用详情</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系统需提供应用详情页用于展示和应用关联的详情界面，包含应用的基本信息、应用的相关操作以及应用配置菜单列表。</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需提供多种授权维度和授权颗粒度，支持根据组织机构、域及用户组、用户三种进行授权，同时，也可以对各维度的各级节点或单独人员进行独立授权。</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需支持针对每个应用维护相关的认证协议，需可在应用详情页面直观查询并手动启停。</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需支持在应用下添加多个不同的服务，服务类型包括：手工、接入、集成接入。手工接入应用，需支持服务查看详情、配置授权和编辑服务；集成接入服务，仅支持服务查看详情。</w:t>
      </w:r>
      <w:r>
        <w:rPr>
          <w:color w:val="auto"/>
          <w:highlight w:val="none"/>
        </w:rPr>
      </w:r>
    </w:p>
    <w:p>
      <w:pPr>
        <w:pStyle w:val="929"/>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需支持平台调用第三方系统接口达到数据通知的功能。需支持HTTPS协议，同时检验证书的有效性；需支持国密和非国密的算法进行加密。</w:t>
      </w:r>
      <w:r>
        <w:rPr>
          <w:rFonts w:hint="eastAsia" w:ascii="宋体" w:hAnsi="宋体"/>
          <w:bCs/>
          <w:color w:val="auto"/>
          <w:sz w:val="24"/>
          <w:szCs w:val="24"/>
          <w:highlight w:val="none"/>
        </w:rPr>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1.4  </w:t>
      </w:r>
      <w:r>
        <w:rPr>
          <w:rFonts w:ascii="宋体" w:hAnsi="宋体"/>
          <w:bCs/>
          <w:color w:val="auto"/>
          <w:sz w:val="24"/>
          <w:szCs w:val="24"/>
          <w:highlight w:val="none"/>
        </w:rPr>
        <w:t xml:space="preserve">统一认证服务</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需提供常见认证协议支持、基于Nginx的反向代理集成方式，集成接入方式简单，接入系统可以直接从标准的Header中获取登录人员的相关信息，适用不同的开发语言。</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需提供系统级缓存，允许平台调用，加快平台访问速度，同时提供DBLESS能力，在系统遭遇数据库停机时，依然可向用户提供基础认证及鉴权能力，避免因数据库停机造成身份认证不可用。</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  </w:t>
      </w:r>
      <w:r>
        <w:rPr>
          <w:rFonts w:ascii="宋体" w:hAnsi="宋体"/>
          <w:bCs/>
          <w:color w:val="auto"/>
          <w:sz w:val="24"/>
          <w:szCs w:val="24"/>
          <w:highlight w:val="none"/>
        </w:rPr>
        <w:t xml:space="preserve">个人自助服务</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个人自助服务需满足用户对自己</w:t>
      </w:r>
      <w:r>
        <w:rPr>
          <w:rFonts w:ascii="宋体" w:hAnsi="宋体"/>
          <w:bCs/>
          <w:color w:val="auto"/>
          <w:sz w:val="24"/>
          <w:szCs w:val="24"/>
          <w:highlight w:val="none"/>
        </w:rPr>
        <w:t xml:space="preserve">账号</w:t>
      </w:r>
      <w:r>
        <w:rPr>
          <w:rFonts w:ascii="宋体" w:hAnsi="宋体"/>
          <w:bCs/>
          <w:color w:val="auto"/>
          <w:sz w:val="24"/>
          <w:szCs w:val="24"/>
          <w:highlight w:val="none"/>
        </w:rPr>
        <w:t xml:space="preserve">信息和密码信息的维护需求。要求系统在PC端、移动端提供个人自助服务功能。</w:t>
      </w:r>
      <w:r>
        <w:rPr>
          <w:color w:val="auto"/>
          <w:highlight w:val="none"/>
        </w:rPr>
      </w:r>
    </w:p>
    <w:p>
      <w:pPr>
        <w:pStyle w:val="929"/>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需至少支持：</w:t>
      </w:r>
      <w:r>
        <w:rPr>
          <w:rFonts w:hint="eastAsia" w:ascii="宋体" w:hAnsi="宋体"/>
          <w:bCs/>
          <w:color w:val="auto"/>
          <w:sz w:val="24"/>
          <w:szCs w:val="24"/>
          <w:highlight w:val="none"/>
        </w:rPr>
      </w:r>
      <w:r>
        <w:rPr>
          <w:color w:val="auto"/>
          <w:highlight w:val="none"/>
        </w:rPr>
      </w:r>
    </w:p>
    <w:p>
      <w:pPr>
        <w:pStyle w:val="929"/>
        <w:numPr>
          <w:ilvl w:val="0"/>
          <w:numId w:val="30"/>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需提供身份认证基础服务，实现SSO单点登录功能。需提供密码变动短信通知功能。</w:t>
      </w:r>
      <w:r>
        <w:rPr>
          <w:color w:val="auto"/>
          <w:highlight w:val="none"/>
        </w:rPr>
      </w:r>
    </w:p>
    <w:p>
      <w:pPr>
        <w:pStyle w:val="929"/>
        <w:numPr>
          <w:ilvl w:val="0"/>
          <w:numId w:val="30"/>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需支持用户自助账号激活功能，激活包括信息校验、绑定手机号、绑定邮箱以及设置密码功能。信息校验需要用户输入学工号、录用通知书号以及身份证号码进行身份验证。系统提供两种</w:t>
      </w:r>
      <w:r>
        <w:rPr>
          <w:rFonts w:ascii="宋体" w:hAnsi="宋体"/>
          <w:bCs/>
          <w:color w:val="auto"/>
          <w:sz w:val="24"/>
          <w:szCs w:val="24"/>
          <w:highlight w:val="none"/>
        </w:rPr>
        <w:t xml:space="preserve">账号</w:t>
      </w:r>
      <w:r>
        <w:rPr>
          <w:rFonts w:ascii="宋体" w:hAnsi="宋体"/>
          <w:bCs/>
          <w:color w:val="auto"/>
          <w:sz w:val="24"/>
          <w:szCs w:val="24"/>
          <w:highlight w:val="none"/>
        </w:rPr>
        <w:t xml:space="preserve">发放的方式，分别为设置默认密码和密码激活方式。管理员可以根据使用需求选择启用何种方式进行</w:t>
      </w:r>
      <w:r>
        <w:rPr>
          <w:rFonts w:ascii="宋体" w:hAnsi="宋体"/>
          <w:bCs/>
          <w:color w:val="auto"/>
          <w:sz w:val="24"/>
          <w:szCs w:val="24"/>
          <w:highlight w:val="none"/>
        </w:rPr>
        <w:t xml:space="preserve">账号</w:t>
      </w:r>
      <w:r>
        <w:rPr>
          <w:rFonts w:ascii="宋体" w:hAnsi="宋体"/>
          <w:bCs/>
          <w:color w:val="auto"/>
          <w:sz w:val="24"/>
          <w:szCs w:val="24"/>
          <w:highlight w:val="none"/>
        </w:rPr>
        <w:t xml:space="preserve">发放。</w:t>
      </w:r>
      <w:r>
        <w:rPr>
          <w:color w:val="auto"/>
          <w:highlight w:val="none"/>
        </w:rPr>
      </w:r>
    </w:p>
    <w:p>
      <w:pPr>
        <w:pStyle w:val="929"/>
        <w:numPr>
          <w:ilvl w:val="0"/>
          <w:numId w:val="30"/>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需支持密码找回功能，需支持用户通过手机号、邮箱、安全问题、QQ、微信五类验证方式找回密码</w:t>
      </w:r>
      <w:r>
        <w:rPr>
          <w:color w:val="auto"/>
          <w:highlight w:val="none"/>
        </w:rPr>
      </w:r>
    </w:p>
    <w:p>
      <w:pPr>
        <w:pStyle w:val="929"/>
        <w:numPr>
          <w:ilvl w:val="0"/>
          <w:numId w:val="30"/>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需支持账号申诉功能，当用户常规的找回密码方式均不能用时应可通过账号申诉的方式找回。</w:t>
      </w:r>
      <w:r>
        <w:rPr>
          <w:color w:val="auto"/>
          <w:highlight w:val="none"/>
        </w:rPr>
      </w:r>
    </w:p>
    <w:p>
      <w:pPr>
        <w:pStyle w:val="929"/>
        <w:numPr>
          <w:ilvl w:val="0"/>
          <w:numId w:val="30"/>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需支持用户查看并点击访问具有自己访问权限的应用，并可以通过应用名称进行应用搜索。</w:t>
      </w:r>
      <w:r>
        <w:rPr>
          <w:color w:val="auto"/>
          <w:highlight w:val="none"/>
        </w:rPr>
      </w:r>
    </w:p>
    <w:p>
      <w:pPr>
        <w:pStyle w:val="929"/>
        <w:numPr>
          <w:ilvl w:val="0"/>
          <w:numId w:val="30"/>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需支持用户主动设置账号的相关信息，包含更换密码、设置安全问题以及绑定手机号码。</w:t>
      </w:r>
      <w:r>
        <w:rPr>
          <w:color w:val="auto"/>
          <w:highlight w:val="none"/>
        </w:rPr>
      </w:r>
    </w:p>
    <w:p>
      <w:pPr>
        <w:pStyle w:val="929"/>
        <w:numPr>
          <w:ilvl w:val="0"/>
          <w:numId w:val="30"/>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需支持用户主动绑定第三方账号信息，包括微信、腾讯QQ以及微博账号。</w:t>
      </w:r>
      <w:r>
        <w:rPr>
          <w:color w:val="auto"/>
          <w:highlight w:val="none"/>
        </w:rPr>
      </w:r>
    </w:p>
    <w:p>
      <w:pPr>
        <w:pStyle w:val="929"/>
        <w:numPr>
          <w:ilvl w:val="0"/>
          <w:numId w:val="30"/>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需支持用户查看关联账号及设置常用账号。</w:t>
      </w:r>
      <w:r>
        <w:rPr>
          <w:color w:val="auto"/>
          <w:highlight w:val="none"/>
        </w:rPr>
      </w:r>
    </w:p>
    <w:p>
      <w:pPr>
        <w:pStyle w:val="929"/>
        <w:numPr>
          <w:ilvl w:val="0"/>
          <w:numId w:val="30"/>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需支持可信设备生物识别技术，支持用户绑定PC端和移动端可信设备。</w:t>
      </w:r>
      <w:r>
        <w:rPr>
          <w:color w:val="auto"/>
          <w:highlight w:val="none"/>
        </w:rPr>
      </w:r>
    </w:p>
    <w:p>
      <w:pPr>
        <w:pStyle w:val="929"/>
        <w:numPr>
          <w:ilvl w:val="0"/>
          <w:numId w:val="30"/>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需支持用户查阅自己的相关操作，包括：当前登录记录、账号认证记录、密码维护记录、账号维护记录以及应用访问记录。</w:t>
      </w:r>
      <w:r>
        <w:rPr>
          <w:color w:val="auto"/>
          <w:highlight w:val="none"/>
        </w:rPr>
      </w:r>
    </w:p>
    <w:p>
      <w:pPr>
        <w:pStyle w:val="929"/>
        <w:numPr>
          <w:ilvl w:val="0"/>
          <w:numId w:val="30"/>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需支持使用者设置自己的个人资料以及维护偏好设置，支持中英文切换功能。</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  </w:t>
      </w:r>
      <w:r>
        <w:rPr>
          <w:rFonts w:ascii="宋体" w:hAnsi="宋体"/>
          <w:bCs/>
          <w:color w:val="auto"/>
          <w:sz w:val="24"/>
          <w:szCs w:val="24"/>
          <w:highlight w:val="none"/>
        </w:rPr>
        <w:t xml:space="preserve">身份认证配置</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1.6.1  </w:t>
      </w:r>
      <w:r>
        <w:rPr>
          <w:rFonts w:ascii="宋体" w:hAnsi="宋体"/>
          <w:bCs/>
          <w:color w:val="auto"/>
          <w:sz w:val="24"/>
          <w:szCs w:val="24"/>
          <w:highlight w:val="none"/>
        </w:rPr>
        <w:t xml:space="preserve">认证服务配置</w:t>
      </w:r>
      <w:r>
        <w:rPr>
          <w:color w:val="auto"/>
          <w:highlight w:val="none"/>
        </w:rPr>
      </w:r>
    </w:p>
    <w:p>
      <w:pPr>
        <w:pStyle w:val="929"/>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需支持用户账号激活和完善资料的相关配置；需支持启/停用户信息防遗忘，提醒用户对个人信息内容（安全问题、手机号）进行确认；需支持启/停别名校验，启用后可禁止用户使用对应的别名；需支持启/停用户人脸照片上传；</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需支持登录界面功能配置，包括启/停扫码登录、动态码登录、七天免登录和在线帮助。在线帮助启用后，用于认证登录界面的帮助文档链接跳转，用于引导用户和提供帮助说明；需支持单处登录配置，用于配置是否允许用户在多个客户端登录，管理员可强制用户配置单处登录，也支持让用户自主配置；需支持校外登录配置，用于区分师生登录地为校内还是校外，同时支持认证日志的审计和师生校外登录的提醒；</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1.6.2  </w:t>
      </w:r>
      <w:r>
        <w:rPr>
          <w:rFonts w:ascii="宋体" w:hAnsi="宋体"/>
          <w:bCs/>
          <w:color w:val="auto"/>
          <w:sz w:val="24"/>
          <w:szCs w:val="24"/>
          <w:highlight w:val="none"/>
        </w:rPr>
        <w:t xml:space="preserve">账号申诉管理</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需支持查询和审批用户的账号申诉信息，并配置申诉内容。</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1.6.3  </w:t>
      </w:r>
      <w:r>
        <w:rPr>
          <w:rFonts w:ascii="宋体" w:hAnsi="宋体"/>
          <w:bCs/>
          <w:color w:val="auto"/>
          <w:sz w:val="24"/>
          <w:szCs w:val="24"/>
          <w:highlight w:val="none"/>
        </w:rPr>
        <w:t xml:space="preserve">登录主题配置</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需支持配置和切换登录主题，个性化定制身份认证登录页面样式。</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1.6.4  </w:t>
      </w:r>
      <w:r>
        <w:rPr>
          <w:rFonts w:ascii="宋体" w:hAnsi="宋体"/>
          <w:bCs/>
          <w:color w:val="auto"/>
          <w:sz w:val="24"/>
          <w:szCs w:val="24"/>
          <w:highlight w:val="none"/>
        </w:rPr>
        <w:t xml:space="preserve">用户提示语管理</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需支持自定义对应错误类型的提示语，包括信息格式提示、动态码登录、可信设备登录、完善资料-密码符合规则、</w:t>
      </w:r>
      <w:r>
        <w:rPr>
          <w:rFonts w:ascii="宋体" w:hAnsi="宋体"/>
          <w:bCs/>
          <w:color w:val="auto"/>
          <w:sz w:val="24"/>
          <w:szCs w:val="24"/>
          <w:highlight w:val="none"/>
        </w:rPr>
        <w:t xml:space="preserve">账号</w:t>
      </w:r>
      <w:r>
        <w:rPr>
          <w:rFonts w:ascii="宋体" w:hAnsi="宋体"/>
          <w:bCs/>
          <w:color w:val="auto"/>
          <w:sz w:val="24"/>
          <w:szCs w:val="24"/>
          <w:highlight w:val="none"/>
        </w:rPr>
        <w:t xml:space="preserve">异常、</w:t>
      </w:r>
      <w:r>
        <w:rPr>
          <w:rFonts w:ascii="宋体" w:hAnsi="宋体"/>
          <w:bCs/>
          <w:color w:val="auto"/>
          <w:sz w:val="24"/>
          <w:szCs w:val="24"/>
          <w:highlight w:val="none"/>
        </w:rPr>
        <w:t xml:space="preserve">账号</w:t>
      </w:r>
      <w:r>
        <w:rPr>
          <w:rFonts w:ascii="宋体" w:hAnsi="宋体"/>
          <w:bCs/>
          <w:color w:val="auto"/>
          <w:sz w:val="24"/>
          <w:szCs w:val="24"/>
          <w:highlight w:val="none"/>
        </w:rPr>
        <w:t xml:space="preserve">登录、找回密码-输入</w:t>
      </w:r>
      <w:r>
        <w:rPr>
          <w:rFonts w:ascii="宋体" w:hAnsi="宋体"/>
          <w:bCs/>
          <w:color w:val="auto"/>
          <w:sz w:val="24"/>
          <w:szCs w:val="24"/>
          <w:highlight w:val="none"/>
        </w:rPr>
        <w:t xml:space="preserve">账号</w:t>
      </w:r>
      <w:r>
        <w:rPr>
          <w:rFonts w:ascii="宋体" w:hAnsi="宋体"/>
          <w:bCs/>
          <w:color w:val="auto"/>
          <w:sz w:val="24"/>
          <w:szCs w:val="24"/>
          <w:highlight w:val="none"/>
        </w:rPr>
        <w:t xml:space="preserve">、激活页-信息校验。</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1.6.5  </w:t>
      </w:r>
      <w:r>
        <w:rPr>
          <w:rFonts w:ascii="宋体" w:hAnsi="宋体"/>
          <w:bCs/>
          <w:color w:val="auto"/>
          <w:sz w:val="24"/>
          <w:szCs w:val="24"/>
          <w:highlight w:val="none"/>
        </w:rPr>
        <w:t xml:space="preserve">短信、邮箱内容模板管理</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需支持自定义配置需要发送的短信、邮箱以及消息内容模板。</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1.6.6  </w:t>
      </w:r>
      <w:r>
        <w:rPr>
          <w:rFonts w:ascii="宋体" w:hAnsi="宋体"/>
          <w:bCs/>
          <w:color w:val="auto"/>
          <w:sz w:val="24"/>
          <w:szCs w:val="24"/>
          <w:highlight w:val="none"/>
        </w:rPr>
        <w:t xml:space="preserve">内网IP段管理</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需支持内网IP子网掩码，方便校外登</w:t>
      </w:r>
      <w:r>
        <w:rPr>
          <w:rFonts w:ascii="宋体" w:hAnsi="宋体"/>
          <w:bCs/>
          <w:color w:val="auto"/>
          <w:sz w:val="24"/>
          <w:szCs w:val="24"/>
          <w:highlight w:val="none"/>
        </w:rPr>
        <w:t xml:space="preserve">录</w:t>
      </w:r>
      <w:r>
        <w:rPr>
          <w:rFonts w:ascii="宋体" w:hAnsi="宋体"/>
          <w:bCs/>
          <w:color w:val="auto"/>
          <w:sz w:val="24"/>
          <w:szCs w:val="24"/>
          <w:highlight w:val="none"/>
        </w:rPr>
        <w:t xml:space="preserve">时使用；</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1.6.7  </w:t>
      </w:r>
      <w:r>
        <w:rPr>
          <w:rFonts w:ascii="宋体" w:hAnsi="宋体"/>
          <w:bCs/>
          <w:color w:val="auto"/>
          <w:sz w:val="24"/>
          <w:szCs w:val="24"/>
          <w:highlight w:val="none"/>
        </w:rPr>
        <w:t xml:space="preserve">账号安全拓展包</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需支持</w:t>
      </w:r>
      <w:r>
        <w:rPr>
          <w:rFonts w:ascii="宋体" w:hAnsi="宋体"/>
          <w:bCs/>
          <w:color w:val="auto"/>
          <w:sz w:val="24"/>
          <w:szCs w:val="24"/>
          <w:highlight w:val="none"/>
        </w:rPr>
        <w:t xml:space="preserve">账号</w:t>
      </w:r>
      <w:r>
        <w:rPr>
          <w:rFonts w:ascii="宋体" w:hAnsi="宋体"/>
          <w:bCs/>
          <w:color w:val="auto"/>
          <w:sz w:val="24"/>
          <w:szCs w:val="24"/>
          <w:highlight w:val="none"/>
        </w:rPr>
        <w:t xml:space="preserve">安全管理需求，系统应提供主动防御功能，对于常见的恶意登录或暴力破解，可自动冻结账号直至解冻。需提供异常会话管理、休眠账号管理、恶意登录管理、冻结</w:t>
      </w:r>
      <w:r>
        <w:rPr>
          <w:rFonts w:ascii="宋体" w:hAnsi="宋体"/>
          <w:bCs/>
          <w:color w:val="auto"/>
          <w:sz w:val="24"/>
          <w:szCs w:val="24"/>
          <w:highlight w:val="none"/>
        </w:rPr>
        <w:t xml:space="preserve">账号</w:t>
      </w:r>
      <w:r>
        <w:rPr>
          <w:rFonts w:ascii="宋体" w:hAnsi="宋体"/>
          <w:bCs/>
          <w:color w:val="auto"/>
          <w:sz w:val="24"/>
          <w:szCs w:val="24"/>
          <w:highlight w:val="none"/>
        </w:rPr>
        <w:t xml:space="preserve">管理、异常应用管理等相关功能。需至少支持</w:t>
      </w:r>
      <w:r>
        <w:rPr>
          <w:rFonts w:ascii="宋体" w:hAnsi="宋体"/>
          <w:bCs/>
          <w:color w:val="auto"/>
          <w:sz w:val="24"/>
          <w:szCs w:val="24"/>
          <w:highlight w:val="none"/>
        </w:rPr>
        <w:t xml:space="preserve">账号</w:t>
      </w:r>
      <w:r>
        <w:rPr>
          <w:rFonts w:ascii="宋体" w:hAnsi="宋体"/>
          <w:bCs/>
          <w:color w:val="auto"/>
          <w:sz w:val="24"/>
          <w:szCs w:val="24"/>
          <w:highlight w:val="none"/>
        </w:rPr>
        <w:t xml:space="preserve">冻结机制、冻结白名单管理、异常应用管理、恶意登录管理、安全配置、密码规则配置等功能。</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1.6.8  </w:t>
      </w:r>
      <w:r>
        <w:rPr>
          <w:rFonts w:ascii="宋体" w:hAnsi="宋体"/>
          <w:bCs/>
          <w:color w:val="auto"/>
          <w:sz w:val="24"/>
          <w:szCs w:val="24"/>
          <w:highlight w:val="none"/>
        </w:rPr>
        <w:t xml:space="preserve">认证协议拓展包</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支持OAuth、SAML 2.0、Restful、FIDO认证协议，用于对接校方VPN、微信小程序、OFFICE 365的统一认证以及支持生物识别（人脸、指纹）的可信设备统一认证；需支持配置第三方实人认证方式，打通支付宝人脸识别插件。</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支持用户通过把校内身份与其个人微信号、新浪微博、QQ号、钉钉等第三方系统绑定后通过其个人账号进行登录。</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1.6.9  </w:t>
      </w:r>
      <w:r>
        <w:rPr>
          <w:rFonts w:ascii="宋体" w:hAnsi="宋体"/>
          <w:bCs/>
          <w:color w:val="auto"/>
          <w:sz w:val="24"/>
          <w:szCs w:val="24"/>
          <w:highlight w:val="none"/>
        </w:rPr>
        <w:t xml:space="preserve">外部联合登陆拓展包</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需支持数字证书CA认证，支持通过采用UKey作为数字证书载体，存储用户的密钥及数字证书，并通过签名验签服务器和USBKey证书校验用户身份合法性，实现对用户身份的认证。</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需支持以小程序为媒介的安全令牌OTP模式。</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1.6.10  </w:t>
      </w:r>
      <w:r>
        <w:rPr>
          <w:rFonts w:ascii="宋体" w:hAnsi="宋体"/>
          <w:bCs/>
          <w:color w:val="auto"/>
          <w:sz w:val="24"/>
          <w:szCs w:val="24"/>
          <w:highlight w:val="none"/>
        </w:rPr>
        <w:t xml:space="preserve">临时人员</w:t>
      </w:r>
      <w:r>
        <w:rPr>
          <w:rFonts w:ascii="宋体" w:hAnsi="宋体"/>
          <w:bCs/>
          <w:color w:val="auto"/>
          <w:sz w:val="24"/>
          <w:szCs w:val="24"/>
          <w:highlight w:val="none"/>
        </w:rPr>
        <w:t xml:space="preserve">账号</w:t>
      </w:r>
      <w:r>
        <w:rPr>
          <w:rFonts w:ascii="宋体" w:hAnsi="宋体"/>
          <w:bCs/>
          <w:color w:val="auto"/>
          <w:sz w:val="24"/>
          <w:szCs w:val="24"/>
          <w:highlight w:val="none"/>
        </w:rPr>
        <w:t xml:space="preserve">使用管理</w:t>
      </w:r>
      <w:r>
        <w:rPr>
          <w:color w:val="auto"/>
          <w:highlight w:val="none"/>
        </w:rPr>
      </w:r>
    </w:p>
    <w:p>
      <w:pPr>
        <w:pStyle w:val="929"/>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需支持针对校外人员实现独立的校外人员库，并支持和校内用户不一致的账号过期机制，支持手工调整。需支持集成的校外用户申请审核流程及管理员手动新建校外用户。</w:t>
      </w:r>
      <w:r>
        <w:rPr>
          <w:rFonts w:hint="eastAsia" w:ascii="宋体" w:hAnsi="宋体"/>
          <w:bCs/>
          <w:color w:val="auto"/>
          <w:sz w:val="24"/>
          <w:szCs w:val="24"/>
          <w:highlight w:val="none"/>
        </w:rPr>
      </w:r>
      <w:r>
        <w:rPr>
          <w:color w:val="auto"/>
          <w:highlight w:val="none"/>
        </w:rPr>
      </w:r>
    </w:p>
    <w:p>
      <w:pPr>
        <w:pStyle w:val="929"/>
        <w:ind w:left="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办公自动化系统</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2.1  </w:t>
      </w:r>
      <w:r>
        <w:rPr>
          <w:rFonts w:ascii="宋体" w:hAnsi="宋体"/>
          <w:bCs/>
          <w:color w:val="auto"/>
          <w:sz w:val="24"/>
          <w:szCs w:val="24"/>
          <w:highlight w:val="none"/>
        </w:rPr>
        <w:t xml:space="preserve">基础服务</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2.1.1  </w:t>
      </w:r>
      <w:r>
        <w:rPr>
          <w:rFonts w:ascii="宋体" w:hAnsi="宋体"/>
          <w:bCs/>
          <w:color w:val="auto"/>
          <w:sz w:val="24"/>
          <w:szCs w:val="24"/>
          <w:highlight w:val="none"/>
        </w:rPr>
        <w:t xml:space="preserve">基础设置</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支持党政办公的人员、人员任职信息、组织机构、群组、数据字典等信息的管理及设定完成系统基础数据的维护。</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具体功能如下：</w:t>
      </w:r>
      <w:r>
        <w:rPr>
          <w:color w:val="auto"/>
          <w:highlight w:val="none"/>
        </w:rPr>
      </w:r>
    </w:p>
    <w:p>
      <w:pPr>
        <w:pStyle w:val="929"/>
        <w:ind w:left="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）组织机构管理</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组织机构的新增、修改、删除、查看等操作；支持组织机构EXCEL快速导入，包括组织人员的任职信息初始化导入（如：分管领导，部门正职，部门副职，部门秘书信息等）。支持一人身兼多职。</w:t>
      </w:r>
      <w:r>
        <w:rPr>
          <w:color w:val="auto"/>
          <w:highlight w:val="none"/>
        </w:rPr>
      </w:r>
    </w:p>
    <w:p>
      <w:pPr>
        <w:pStyle w:val="929"/>
        <w:ind w:left="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）任职信息维护</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提供高校特点的任职信息（如：分管领导，部门正职，部门副职，部门秘书等）；支持自定义新增符合学校特点的其他任职信息及信息相关联的部门设定，自定义任职信息需能够进行是否计入部门人员的设定； </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用户管理</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支持用户的新增、修改、删除、上传个人签名图片等基本功能；支持EXCEL批量导入用户信息、批量更新用户信息；支持用户待办文件数查看。</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操作日志</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记录针对组织机构下的部门、用户、任职的新增、修改，删除的操作日志。</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  </w:t>
      </w:r>
      <w:r>
        <w:rPr>
          <w:rFonts w:ascii="宋体" w:hAnsi="宋体"/>
          <w:bCs/>
          <w:color w:val="auto"/>
          <w:sz w:val="24"/>
          <w:szCs w:val="24"/>
          <w:highlight w:val="none"/>
        </w:rPr>
        <w:t xml:space="preserve">工作代理</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用户在出差、请假等无法参与办公的情况下，可以将需要自己处理的相关流程委托给指定人员代为处理，以确保工作的正常展开；同时可以选择自己是不是还要接收到待办事宜并且可以办理。</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2.3  </w:t>
      </w:r>
      <w:r>
        <w:rPr>
          <w:rFonts w:ascii="宋体" w:hAnsi="宋体"/>
          <w:bCs/>
          <w:color w:val="auto"/>
          <w:sz w:val="24"/>
          <w:szCs w:val="24"/>
          <w:highlight w:val="none"/>
        </w:rPr>
        <w:t xml:space="preserve">首页管理 </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提供可根据学校实际需求对首页布局进行设计调整的功能；可针对不同角色人员关注点不同，设定不同的首页布局及展现内容。</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2.4 </w:t>
      </w:r>
      <w:r>
        <w:rPr>
          <w:rFonts w:ascii="宋体" w:hAnsi="宋体"/>
          <w:bCs/>
          <w:color w:val="auto"/>
          <w:sz w:val="24"/>
          <w:szCs w:val="24"/>
          <w:highlight w:val="none"/>
        </w:rPr>
        <w:t xml:space="preserve">工作委派</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日常工作中领导可以通过系统将满足某些规则的业务流程的某些环节委派给其他人员进行处理，而不影响业务流程的其它文件的流转。</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 </w:t>
      </w:r>
      <w:r>
        <w:rPr>
          <w:rFonts w:ascii="宋体" w:hAnsi="宋体"/>
          <w:bCs/>
          <w:color w:val="auto"/>
          <w:sz w:val="24"/>
          <w:szCs w:val="24"/>
          <w:highlight w:val="none"/>
        </w:rPr>
        <w:t xml:space="preserve">人员同步</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提供系统和外部数据源之间的组织机构，人员，任职信息之间的同步。当人员信息发生变化</w:t>
      </w:r>
      <w:r>
        <w:rPr>
          <w:rFonts w:hint="eastAsia" w:ascii="宋体" w:hAnsi="宋体"/>
          <w:bCs/>
          <w:color w:val="auto"/>
          <w:sz w:val="24"/>
          <w:szCs w:val="24"/>
          <w:highlight w:val="none"/>
        </w:rPr>
        <w:t xml:space="preserve">时</w:t>
      </w:r>
      <w:r>
        <w:rPr>
          <w:rFonts w:ascii="宋体" w:hAnsi="宋体"/>
          <w:bCs/>
          <w:color w:val="auto"/>
          <w:sz w:val="24"/>
          <w:szCs w:val="24"/>
          <w:highlight w:val="none"/>
        </w:rPr>
        <w:t xml:space="preserve">系统提供自动同步及手动干预同步方式两种模式。</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待同步人员</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系统自动比对出信息发生变化的人员，根据管理员设定的同步规则自动执行信息同步或者手动干预执行；当变更人员有需要处理的待办时系统需要进行单独处理强制执行变更或者锁定不人员不同步。</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可以根据工号、姓名及同步类型进行检索，方便快速定位。</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可以批量进行同步执行，也可以单个进行同步，也可转锁定。</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锁定人员</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提供人员同步例外处理，不参与同步对比</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同步记录</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显示所有的同步执行记录，供追溯，并针对不同的同步类型动作进行总记录统计显示。</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  </w:t>
      </w:r>
      <w:r>
        <w:rPr>
          <w:rFonts w:ascii="宋体" w:hAnsi="宋体"/>
          <w:bCs/>
          <w:color w:val="auto"/>
          <w:sz w:val="24"/>
          <w:szCs w:val="24"/>
          <w:highlight w:val="none"/>
        </w:rPr>
        <w:t xml:space="preserve">常用下载</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系统首页提供常用文件的下载功能，并能够进行文件的维护。</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2.7  </w:t>
      </w:r>
      <w:r>
        <w:rPr>
          <w:rFonts w:ascii="宋体" w:hAnsi="宋体"/>
          <w:bCs/>
          <w:color w:val="auto"/>
          <w:sz w:val="24"/>
          <w:szCs w:val="24"/>
          <w:highlight w:val="none"/>
        </w:rPr>
        <w:t xml:space="preserve">个人群组</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系统用户能够进行私有个人群组信息的维护，个人群组里面可以针对群组内人员进行选择显示排序的设定。流程办理中，进行人员选择的时候也可通过地址簿快速新建个人群组。</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2.8  </w:t>
      </w:r>
      <w:r>
        <w:rPr>
          <w:rFonts w:ascii="宋体" w:hAnsi="宋体"/>
          <w:bCs/>
          <w:color w:val="auto"/>
          <w:sz w:val="24"/>
          <w:szCs w:val="24"/>
          <w:highlight w:val="none"/>
        </w:rPr>
        <w:t xml:space="preserve">待办已办</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个人所需处理的事务和已经完成办理的事务集合。</w:t>
      </w:r>
      <w:r>
        <w:rPr>
          <w:color w:val="auto"/>
          <w:highlight w:val="none"/>
        </w:rPr>
      </w:r>
    </w:p>
    <w:p>
      <w:pPr>
        <w:pStyle w:val="929"/>
        <w:ind w:left="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2.9  </w:t>
      </w:r>
      <w:r>
        <w:rPr>
          <w:rFonts w:ascii="宋体" w:hAnsi="宋体"/>
          <w:bCs/>
          <w:color w:val="auto"/>
          <w:sz w:val="24"/>
          <w:szCs w:val="24"/>
          <w:highlight w:val="none"/>
        </w:rPr>
        <w:t xml:space="preserve">流程管理</w:t>
      </w:r>
      <w:r>
        <w:rPr>
          <w:rFonts w:hint="eastAsia" w:ascii="宋体" w:hAnsi="宋体"/>
          <w:bCs/>
          <w:color w:val="auto"/>
          <w:sz w:val="24"/>
          <w:szCs w:val="24"/>
          <w:highlight w:val="none"/>
        </w:rPr>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可进行业务流程的图形化调整设计及流程业务数据的分级管理；并且通过表单样式设计器完成表单样式的设计调整。</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流程设计</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通过图形化的页面零代码实现流程设计，可以设定流程环节的办理人；能够实现环节办理时人员操作权限的分配；能够设置环节办理时的表单字段的权限（编辑、只读、必填、隐藏等）；并且能够以短息、微信、站内信息等方式提示相关人员以及分发/传阅文件给相关人员等；</w:t>
      </w:r>
      <w:r>
        <w:rPr>
          <w:color w:val="auto"/>
          <w:highlight w:val="none"/>
        </w:rPr>
      </w:r>
    </w:p>
    <w:p>
      <w:pPr>
        <w:pStyle w:val="929"/>
        <w:ind w:left="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条件流程</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流程支持依条件判断下一步可选环节和办理人。可根据当前表单中已设置的字段， 作为条件获取环节办理人，支持文本、选择、金额等字段类型。</w:t>
      </w:r>
      <w:r>
        <w:rPr>
          <w:color w:val="auto"/>
          <w:highlight w:val="none"/>
        </w:rPr>
      </w:r>
    </w:p>
    <w:p>
      <w:pPr>
        <w:pStyle w:val="929"/>
        <w:ind w:left="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流程版本</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流程支持多版本，每次调整会生成新版本；新版本流程不影响原有版本的流程数据的运转，方便流程的调整。同时支持旧版本流程的激活、下载、导入等。</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表单设计</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通过表单样式设计器进行表单样式的构建，类似word画布自由定义表格，字体，大小等，并完成内容组件和字段的关系绑定。</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支持从word中复制表格样式直接进行样式设计。</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表单中意见显示顺序支持按时间排序和按人员顺序排序2种。</w:t>
      </w:r>
      <w:r>
        <w:rPr>
          <w:color w:val="auto"/>
          <w:highlight w:val="none"/>
        </w:rPr>
      </w:r>
    </w:p>
    <w:p>
      <w:pPr>
        <w:pStyle w:val="929"/>
        <w:ind w:left="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字体字号</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表单字段名可以按要求进行字体和字号颜色的调整设定。</w:t>
      </w:r>
      <w:r>
        <w:rPr>
          <w:color w:val="auto"/>
          <w:highlight w:val="none"/>
        </w:rPr>
      </w:r>
    </w:p>
    <w:p>
      <w:pPr>
        <w:pStyle w:val="929"/>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2.10  </w:t>
      </w:r>
      <w:r>
        <w:rPr>
          <w:rFonts w:ascii="宋体" w:hAnsi="宋体"/>
          <w:bCs/>
          <w:color w:val="auto"/>
          <w:sz w:val="24"/>
          <w:szCs w:val="24"/>
          <w:highlight w:val="none"/>
        </w:rPr>
        <w:t xml:space="preserve">多级授权管理</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可进行从统一的集中管理，转变为按照学校业务拆分为分级分权式的管理，更加灵活安全。</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所有的流程模块均有管理列表，管理列表会授权给模块业务管理员。管理列表中包含所有状态的模块流程文件，管理员通过管理列表可以进行文件的查看、删除、编辑、流程跳转、意见修改、办结取回等操作。</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查看：通过管理列表可以查看所有文件表单内容和流转状态；</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删除：通过管理列表应用管理员可以对所选择文件进行单个或批量文件进行删除操作；</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编辑：通过管理列表应用管理员可以对所选择文件进行编辑，编辑的内容</w:t>
      </w:r>
      <w:r>
        <w:rPr>
          <w:rFonts w:hint="eastAsia" w:ascii="宋体" w:hAnsi="宋体"/>
          <w:bCs/>
          <w:color w:val="auto"/>
          <w:sz w:val="24"/>
          <w:szCs w:val="24"/>
          <w:highlight w:val="none"/>
        </w:rPr>
        <w:t xml:space="preserve">包括</w:t>
      </w:r>
      <w:r>
        <w:rPr>
          <w:rFonts w:ascii="宋体" w:hAnsi="宋体"/>
          <w:bCs/>
          <w:color w:val="auto"/>
          <w:sz w:val="24"/>
          <w:szCs w:val="24"/>
          <w:highlight w:val="none"/>
        </w:rPr>
        <w:t xml:space="preserve">表单字段、正文、相关意见内容；</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流程跳转：可以通过流程跳转把该文件</w:t>
      </w:r>
      <w:r>
        <w:rPr>
          <w:rFonts w:ascii="宋体" w:hAnsi="宋体"/>
          <w:bCs/>
          <w:color w:val="auto"/>
          <w:sz w:val="24"/>
          <w:szCs w:val="24"/>
          <w:highlight w:val="none"/>
        </w:rPr>
        <w:t xml:space="preserve">跳转到任意一个节点和相关节点的办理人员。</w:t>
      </w:r>
      <w:r>
        <w:rPr>
          <w:color w:val="auto"/>
          <w:highlight w:val="none"/>
        </w:rPr>
      </w:r>
    </w:p>
    <w:p>
      <w:pPr>
        <w:pStyle w:val="929"/>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2.11  </w:t>
      </w:r>
      <w:r>
        <w:rPr>
          <w:rFonts w:ascii="宋体" w:hAnsi="宋体"/>
          <w:bCs/>
          <w:color w:val="auto"/>
          <w:sz w:val="24"/>
          <w:szCs w:val="24"/>
          <w:highlight w:val="none"/>
        </w:rPr>
        <w:t xml:space="preserve">校历</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完成学校的校历维护，显示学期，工作日，双休日，法定节假日，寒暑假。</w:t>
      </w:r>
      <w:r>
        <w:rPr>
          <w:color w:val="auto"/>
          <w:highlight w:val="none"/>
        </w:rPr>
      </w:r>
    </w:p>
    <w:p>
      <w:pPr>
        <w:pStyle w:val="929"/>
        <w:ind w:left="6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校历维护</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支持批量设定学期，寒暑假及周次，校历依照设定自动生成。</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针对每天可以在线手动调整法定节假日。</w:t>
      </w:r>
      <w:r>
        <w:rPr>
          <w:color w:val="auto"/>
          <w:highlight w:val="none"/>
        </w:rPr>
      </w:r>
    </w:p>
    <w:p>
      <w:pPr>
        <w:pStyle w:val="929"/>
        <w:ind w:left="6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校历联动</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会议、值班等和校历时间相关业务使用校历数据作为时间标准。</w:t>
      </w:r>
      <w:r>
        <w:rPr>
          <w:color w:val="auto"/>
          <w:highlight w:val="none"/>
        </w:rPr>
      </w:r>
    </w:p>
    <w:p>
      <w:pPr>
        <w:pStyle w:val="929"/>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2.12  </w:t>
      </w:r>
      <w:r>
        <w:rPr>
          <w:rFonts w:ascii="宋体" w:hAnsi="宋体"/>
          <w:bCs/>
          <w:color w:val="auto"/>
          <w:sz w:val="24"/>
          <w:szCs w:val="24"/>
          <w:highlight w:val="none"/>
        </w:rPr>
        <w:t xml:space="preserve">使用分析</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通过图形化界面实现系统所有业务使用情况的分析统计，以及重要角色的办公习惯分析。</w:t>
      </w:r>
      <w:r>
        <w:rPr>
          <w:color w:val="auto"/>
          <w:highlight w:val="none"/>
        </w:rPr>
      </w:r>
    </w:p>
    <w:p>
      <w:pPr>
        <w:pStyle w:val="929"/>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2.13  </w:t>
      </w:r>
      <w:r>
        <w:rPr>
          <w:rFonts w:ascii="宋体" w:hAnsi="宋体"/>
          <w:bCs/>
          <w:color w:val="auto"/>
          <w:sz w:val="24"/>
          <w:szCs w:val="24"/>
          <w:highlight w:val="none"/>
        </w:rPr>
        <w:t xml:space="preserve">全文检索</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在首页提供系统级的查询，可查询跨业务应用级的办结数据、发布信息及相关应用；快速的定位自己想要查询的文件。</w:t>
      </w:r>
      <w:r>
        <w:rPr>
          <w:color w:val="auto"/>
          <w:highlight w:val="none"/>
        </w:rPr>
      </w:r>
    </w:p>
    <w:p>
      <w:pPr>
        <w:pStyle w:val="929"/>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2.14  </w:t>
      </w:r>
      <w:r>
        <w:rPr>
          <w:rFonts w:ascii="宋体" w:hAnsi="宋体"/>
          <w:bCs/>
          <w:color w:val="auto"/>
          <w:sz w:val="24"/>
          <w:szCs w:val="24"/>
          <w:highlight w:val="none"/>
        </w:rPr>
        <w:t xml:space="preserve">站内信</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为系统内人员提供信息发送、回复、转发，实现内部人员信息沟通协作。并且能够接收系统内各应用的消息提醒。</w:t>
      </w:r>
      <w:r>
        <w:rPr>
          <w:color w:val="auto"/>
          <w:highlight w:val="none"/>
        </w:rPr>
      </w:r>
    </w:p>
    <w:p>
      <w:pPr>
        <w:pStyle w:val="929"/>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2.15  </w:t>
      </w:r>
      <w:r>
        <w:rPr>
          <w:rFonts w:ascii="宋体" w:hAnsi="宋体"/>
          <w:bCs/>
          <w:color w:val="auto"/>
          <w:sz w:val="24"/>
          <w:szCs w:val="24"/>
          <w:highlight w:val="none"/>
        </w:rPr>
        <w:t xml:space="preserve">移动</w:t>
      </w:r>
      <w:r>
        <w:rPr>
          <w:color w:val="auto"/>
          <w:highlight w:val="none"/>
        </w:rPr>
      </w:r>
    </w:p>
    <w:p>
      <w:pPr>
        <w:pStyle w:val="929"/>
        <w:ind w:left="6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移动首页管理</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为适应学校不同人员的属性，系统应提供针对不同人员角色移动端配置调整的功能。对校领导，中层领导干部，秘书，一般教职工等类型人员进行移动权限及页面设置。</w:t>
      </w:r>
      <w:r>
        <w:rPr>
          <w:color w:val="auto"/>
          <w:highlight w:val="none"/>
        </w:rPr>
      </w:r>
    </w:p>
    <w:p>
      <w:pPr>
        <w:pStyle w:val="929"/>
        <w:ind w:left="6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移动端功能</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提供一整套HTML5移动端页面，可以对接微信、微信公众号、企业微信、学校自建APP等移动端应用。</w:t>
      </w:r>
      <w:r>
        <w:rPr>
          <w:color w:val="auto"/>
          <w:highlight w:val="none"/>
        </w:rPr>
      </w:r>
    </w:p>
    <w:p>
      <w:pPr>
        <w:pStyle w:val="929"/>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3.公文</w:t>
      </w:r>
      <w:r>
        <w:rPr>
          <w:color w:val="auto"/>
          <w:highlight w:val="none"/>
        </w:rPr>
      </w:r>
    </w:p>
    <w:p>
      <w:pPr>
        <w:pStyle w:val="929"/>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3.1  </w:t>
      </w:r>
      <w:r>
        <w:rPr>
          <w:rFonts w:ascii="宋体" w:hAnsi="宋体"/>
          <w:bCs/>
          <w:color w:val="auto"/>
          <w:sz w:val="24"/>
          <w:szCs w:val="24"/>
          <w:highlight w:val="none"/>
        </w:rPr>
        <w:t xml:space="preserve">学校发文</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实现学校发文的网上拟稿、领导审批、会签、编号、套红、盖电子章、发布、分发、传阅、办结等功能，支持word正文的在线编辑、流程查看。文件审批结束后可按照学校自定义的规则进行发布，支持文件在线预览、查看、文件转移等操作。</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具体重点功能要求如下：</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正文编辑留痕</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正文编辑需要保持和word或者wps 上编辑一样的格式和样式，线上编辑和线下编辑内容、样式、布局一致。对于文件的编辑系统需进行记录，并可以查看。</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文件在线预览</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系统提供正文、附件的在线预览、查看功能，对于未安装正文编辑控件人员也可直接对文件进行预览、查看。</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文件意见回复</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可以通过权限控制，指定人员可以对文件进行分发，收到分发文件的人员可以对文件进行意见批复，管理员可以针对接收人批复的意见进行回复。</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自定义发文字号</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可以自行定义发文字号并指定使用部门，不同的部门在发文拟稿时只可以使用本部门具备权限的发文字号。</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自定义模板</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可以设定发文的起草模板和套红模板。</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模板可以和文件分类、机关</w:t>
      </w:r>
      <w:r>
        <w:rPr>
          <w:rFonts w:hint="eastAsia" w:ascii="宋体" w:hAnsi="宋体"/>
          <w:bCs/>
          <w:color w:val="auto"/>
          <w:sz w:val="24"/>
          <w:szCs w:val="24"/>
          <w:highlight w:val="none"/>
        </w:rPr>
        <w:t xml:space="preserve">代号</w:t>
      </w:r>
      <w:r>
        <w:rPr>
          <w:rFonts w:ascii="宋体" w:hAnsi="宋体"/>
          <w:bCs/>
          <w:color w:val="auto"/>
          <w:sz w:val="24"/>
          <w:szCs w:val="24"/>
          <w:highlight w:val="none"/>
        </w:rPr>
        <w:t xml:space="preserve">或部门进行关联，相关人只可以使用自己拥有使用权限的的模板。</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回复意见附件</w:t>
      </w:r>
      <w:r>
        <w:rPr>
          <w:color w:val="auto"/>
          <w:highlight w:val="none"/>
        </w:rPr>
      </w:r>
    </w:p>
    <w:p>
      <w:pPr>
        <w:pStyle w:val="929"/>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发文审批办理中进行意见批示时可进行意见附件上传。</w:t>
      </w:r>
      <w:r>
        <w:rPr>
          <w:rFonts w:hint="eastAsia" w:ascii="宋体" w:hAnsi="宋体"/>
          <w:bCs/>
          <w:color w:val="auto"/>
          <w:sz w:val="24"/>
          <w:szCs w:val="24"/>
          <w:highlight w:val="none"/>
        </w:rPr>
      </w:r>
      <w:r>
        <w:rPr>
          <w:color w:val="auto"/>
          <w:highlight w:val="none"/>
        </w:rPr>
      </w:r>
    </w:p>
    <w:p>
      <w:pPr>
        <w:pStyle w:val="929"/>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  </w:t>
      </w:r>
      <w:r>
        <w:rPr>
          <w:rFonts w:ascii="宋体" w:hAnsi="宋体"/>
          <w:bCs/>
          <w:color w:val="auto"/>
          <w:sz w:val="24"/>
          <w:szCs w:val="24"/>
          <w:highlight w:val="none"/>
        </w:rPr>
        <w:t xml:space="preserve">校级文件</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管理员可以根据文件分类、机关代字、年份等元素设定学校的发文目录生成规则，文件发布时候系统根据设定好的规则进行文件的存放。</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文件发布时可以对指定人员进行同步分发传阅，并进行消息提醒。</w:t>
      </w:r>
      <w:r>
        <w:rPr>
          <w:color w:val="auto"/>
          <w:highlight w:val="none"/>
        </w:rPr>
      </w:r>
    </w:p>
    <w:p>
      <w:pPr>
        <w:pStyle w:val="929"/>
        <w:ind w:left="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文件管理</w:t>
      </w:r>
      <w:r>
        <w:rPr>
          <w:color w:val="auto"/>
          <w:highlight w:val="none"/>
        </w:rPr>
      </w:r>
    </w:p>
    <w:p>
      <w:pPr>
        <w:pStyle w:val="929"/>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管理员可查看、编辑所有已经发布的发文文件，也可直接通过正文上传，完成发文文件的发布；可以对发布的文件下载方式及权限进行控制。</w:t>
      </w:r>
      <w:r>
        <w:rPr>
          <w:rFonts w:hint="eastAsia" w:ascii="宋体" w:hAnsi="宋体"/>
          <w:bCs/>
          <w:color w:val="auto"/>
          <w:sz w:val="24"/>
          <w:szCs w:val="24"/>
          <w:highlight w:val="none"/>
        </w:rPr>
      </w:r>
      <w:r>
        <w:rPr>
          <w:color w:val="auto"/>
          <w:highlight w:val="none"/>
        </w:rPr>
      </w:r>
    </w:p>
    <w:p>
      <w:pPr>
        <w:pStyle w:val="929"/>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3.3  </w:t>
      </w:r>
      <w:r>
        <w:rPr>
          <w:rFonts w:ascii="宋体" w:hAnsi="宋体"/>
          <w:bCs/>
          <w:color w:val="auto"/>
          <w:sz w:val="24"/>
          <w:szCs w:val="24"/>
          <w:highlight w:val="none"/>
        </w:rPr>
        <w:t xml:space="preserve">学校收文</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可对学校外来的文件进行登记、编号、主任拟办、校领导批示、承办、统计查询等；对收文流程过程进行流程化的管理；并提供收文监控功能，统一管理和查看所有收文办理情况。</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具体重点功能要求如下：</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附件批量上传</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收文登记时，可以批量上传附件，并且附件上传后可以通过拖拽的</w:t>
      </w:r>
      <w:r>
        <w:rPr>
          <w:rFonts w:ascii="宋体" w:hAnsi="宋体"/>
          <w:bCs/>
          <w:color w:val="auto"/>
          <w:sz w:val="24"/>
          <w:szCs w:val="24"/>
          <w:highlight w:val="none"/>
        </w:rPr>
        <w:t xml:space="preserve">形式进行附件的排序。</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文件跟踪</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列表页面上可以同时查看不少于30份文件的办理情况。方便秘书快速文件的办理情况。</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督查督办</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可进行收文的督查督办标记，完成和督查督办的关联。</w:t>
      </w:r>
      <w:r>
        <w:rPr>
          <w:color w:val="auto"/>
          <w:highlight w:val="none"/>
        </w:rPr>
      </w:r>
    </w:p>
    <w:p>
      <w:pPr>
        <w:pStyle w:val="929"/>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  </w:t>
      </w:r>
      <w:r>
        <w:rPr>
          <w:rFonts w:ascii="宋体" w:hAnsi="宋体"/>
          <w:bCs/>
          <w:color w:val="auto"/>
          <w:sz w:val="24"/>
          <w:szCs w:val="24"/>
          <w:highlight w:val="none"/>
        </w:rPr>
        <w:t xml:space="preserve">部门发文</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实现各个部门发文的网上拟稿、领导审批、会签、编号、套红、盖章、发布、分发、传阅、办结等功能，并通过word控件支持正文的在线编辑、留痕、查看。审批完成后按照事先定义的目录规则进行发布，可在线预览查看发布的文件。</w:t>
      </w:r>
      <w:r>
        <w:rPr>
          <w:color w:val="auto"/>
          <w:highlight w:val="none"/>
        </w:rPr>
      </w:r>
    </w:p>
    <w:p>
      <w:pPr>
        <w:pStyle w:val="929"/>
        <w:ind w:left="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部门文件发布</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发布范围可直接选择本部门公开，无需进行人员的选择。</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文件发布时可以对指定人员进行同步分发传阅，并进行消息提醒。</w:t>
      </w:r>
      <w:r>
        <w:rPr>
          <w:color w:val="auto"/>
          <w:highlight w:val="none"/>
        </w:rPr>
      </w:r>
    </w:p>
    <w:p>
      <w:pPr>
        <w:pStyle w:val="929"/>
        <w:ind w:left="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自定义发文字号</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可以设定各个部门所能够使用的发文字号，在部门发文过程中自动过滤出来本部门可使用的发文字号。</w:t>
      </w:r>
      <w:r>
        <w:rPr>
          <w:color w:val="auto"/>
          <w:highlight w:val="none"/>
        </w:rPr>
      </w:r>
    </w:p>
    <w:p>
      <w:pPr>
        <w:pStyle w:val="929"/>
        <w:ind w:left="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自定义模板</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可设定起草格式模板和套红模板。</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模板可以和文件分类或机关代</w:t>
      </w:r>
      <w:r>
        <w:rPr>
          <w:rFonts w:hint="eastAsia" w:ascii="宋体" w:hAnsi="宋体"/>
          <w:bCs/>
          <w:color w:val="auto"/>
          <w:sz w:val="24"/>
          <w:szCs w:val="24"/>
          <w:highlight w:val="none"/>
        </w:rPr>
        <w:t xml:space="preserve">号</w:t>
      </w:r>
      <w:r>
        <w:rPr>
          <w:rFonts w:ascii="宋体" w:hAnsi="宋体"/>
          <w:bCs/>
          <w:color w:val="auto"/>
          <w:sz w:val="24"/>
          <w:szCs w:val="24"/>
          <w:highlight w:val="none"/>
        </w:rPr>
        <w:t xml:space="preserve">或部门进行关联，自动过滤使用。</w:t>
      </w:r>
      <w:r>
        <w:rPr>
          <w:color w:val="auto"/>
          <w:highlight w:val="none"/>
        </w:rPr>
      </w:r>
    </w:p>
    <w:p>
      <w:pPr>
        <w:pStyle w:val="929"/>
        <w:ind w:left="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管理员</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业务管理员可以分配各个部门的管理员，部门的管理员只能够对自己本部门的文件进行管理。</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3.5  </w:t>
      </w:r>
      <w:r>
        <w:rPr>
          <w:rFonts w:ascii="宋体" w:hAnsi="宋体"/>
          <w:bCs/>
          <w:color w:val="auto"/>
          <w:sz w:val="24"/>
          <w:szCs w:val="24"/>
          <w:highlight w:val="none"/>
        </w:rPr>
        <w:t xml:space="preserve">部门收文</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学校发布的文件部门单位可作为内部的收文文件进行精神或者指示的传达，完成内部的批办处理。</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引入文件</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可以直接引用学校发文作为部门收文进行登记。</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阅、办监控</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可以查看文件的分发、传阅的所有处理情况，包含阅读时间，处理时间，处理意见。针对还未处理人员进行删除取消。</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收文管理</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部门收文中应为部门收文管理员提供部门收文的管理页面，无需进入其他应用进行操作，降低操作的复杂性、提供业务使用的整合便利性。</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3.6  </w:t>
      </w:r>
      <w:r>
        <w:rPr>
          <w:rFonts w:ascii="宋体" w:hAnsi="宋体"/>
          <w:bCs/>
          <w:color w:val="auto"/>
          <w:sz w:val="24"/>
          <w:szCs w:val="24"/>
          <w:highlight w:val="none"/>
        </w:rPr>
        <w:t xml:space="preserve">校内请示</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实现部门/单位向学校进行有关人，财，物的请示审批，遵循一文一事的原则。</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实现校内请示的网上起草、部门领导审批、办公室转办、校办主任拟办、校领导批示、相关部门承办、归档、查询等功能。</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正文编辑留痕</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正文编辑需要保持和word或者wps 上编辑一样的格式和样式，线上编辑和线下编辑内容、样式、布局一致。对于文件的编辑系统需做记录，并可以进行查看。</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正文在线预览</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系统提供正文、附件的在线预览查看功能，对于未安装正文编辑控件的用户可直接对文件进行预览查看。</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附件批量上传</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请示起草时，可以批量上传附件，并且附件上传后可以通过拖拽的形式进行附件的排序。</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督查督办</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可请示文件的督查督办标记，完成和督查督办的关联。</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请示管理</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为请示业务管理员提供管理页面，无需反复进入其他应用进行管理，降低操作的复杂性、提供业务使用的整合便利性。</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3.7  </w:t>
      </w:r>
      <w:r>
        <w:rPr>
          <w:rFonts w:ascii="宋体" w:hAnsi="宋体"/>
          <w:bCs/>
          <w:color w:val="auto"/>
          <w:sz w:val="24"/>
          <w:szCs w:val="24"/>
          <w:highlight w:val="none"/>
        </w:rPr>
        <w:t xml:space="preserve">督查督办审批</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保障各项工作的高效落实，进一步提高办事效率和决策，防止并克服积压工作，工作贻误现象。能够实现督查督办事宜的线上起草，领导批示，办理回复，提醒等工作。</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文件来源</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收文、请示等需要督办的事宜能够</w:t>
      </w:r>
      <w:r>
        <w:rPr>
          <w:rFonts w:hint="eastAsia" w:ascii="宋体" w:hAnsi="宋体"/>
          <w:bCs/>
          <w:color w:val="auto"/>
          <w:sz w:val="24"/>
          <w:szCs w:val="24"/>
          <w:highlight w:val="none"/>
        </w:rPr>
        <w:t xml:space="preserve">作为</w:t>
      </w:r>
      <w:r>
        <w:rPr>
          <w:rFonts w:ascii="宋体" w:hAnsi="宋体"/>
          <w:bCs/>
          <w:color w:val="auto"/>
          <w:sz w:val="24"/>
          <w:szCs w:val="24"/>
          <w:highlight w:val="none"/>
        </w:rPr>
        <w:t xml:space="preserve">督办事件来源发起线上督办。</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进度回复</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督办事宜执行部门在回复事情的处理情况时需对事情的处理进度进行回复，包括处理详情及事情完成的百分比等。</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督</w:t>
      </w:r>
      <w:r>
        <w:rPr>
          <w:rFonts w:hint="eastAsia" w:ascii="宋体" w:hAnsi="宋体"/>
          <w:bCs/>
          <w:color w:val="auto"/>
          <w:sz w:val="24"/>
          <w:szCs w:val="24"/>
          <w:highlight w:val="none"/>
        </w:rPr>
        <w:t xml:space="preserve">察</w:t>
      </w:r>
      <w:r>
        <w:rPr>
          <w:rFonts w:ascii="宋体" w:hAnsi="宋体"/>
          <w:bCs/>
          <w:color w:val="auto"/>
          <w:sz w:val="24"/>
          <w:szCs w:val="24"/>
          <w:highlight w:val="none"/>
        </w:rPr>
        <w:t xml:space="preserve">督办管理</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督查督办应为管理员提供管理页面，无需反复进入其他应用进行管理，降低操作的复杂性、提供业务使用的整合便利性。</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对于即将到期及超期未处理的督办任务系统应有明显的标记。</w:t>
      </w:r>
      <w:r>
        <w:rPr>
          <w:color w:val="auto"/>
          <w:highlight w:val="none"/>
        </w:rPr>
      </w:r>
    </w:p>
    <w:p>
      <w:pPr>
        <w:pStyle w:val="929"/>
        <w:ind w:left="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4.</w:t>
      </w:r>
      <w:r>
        <w:rPr>
          <w:rFonts w:ascii="宋体" w:hAnsi="宋体"/>
          <w:b/>
          <w:bCs/>
          <w:color w:val="auto"/>
          <w:sz w:val="24"/>
          <w:szCs w:val="24"/>
          <w:highlight w:val="none"/>
        </w:rPr>
        <w:t xml:space="preserve">会务</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4.1  </w:t>
      </w:r>
      <w:r>
        <w:rPr>
          <w:rFonts w:ascii="宋体" w:hAnsi="宋体"/>
          <w:bCs/>
          <w:color w:val="auto"/>
          <w:sz w:val="24"/>
          <w:szCs w:val="24"/>
          <w:highlight w:val="none"/>
        </w:rPr>
        <w:t xml:space="preserve">会议通知</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在会议准备工作基本就绪后，可通过短信、移动端等多个渠道通知到参会人员，参会人员通过接受到通知可进行参会回复，以便于与会人员提前做好参会准备。</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通知回复</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会议通知发送时需可指定人员进行是否与会回复；也可指定相关人员给各自部门人员进行集中报名后由领导审核确认是参会与否。</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会议通知接收人可进行参会回复；可选择参会、他人代参、不参会。</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4.2  </w:t>
      </w:r>
      <w:r>
        <w:rPr>
          <w:rFonts w:ascii="宋体" w:hAnsi="宋体"/>
          <w:bCs/>
          <w:color w:val="auto"/>
          <w:sz w:val="24"/>
          <w:szCs w:val="24"/>
          <w:highlight w:val="none"/>
        </w:rPr>
        <w:t xml:space="preserve">会议签到</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提供会议签到功能，能够实时统计应到人员、实到人员、未到人员、迟到人员等数据以严肃会议纪律。</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签到来源</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会议签到可以在发起会议时同时发起签到；也可以在签到时新建一个会议签到。</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签到人员来源</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需签到的人员来源于会议通知回复参会的人或者是代替他人参会的人；也可以在签到表中直接维护签到人员。</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依据所使用的会议签到来源获取不同的应参会人员。</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会议签到管理</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提供签到实时统计查看页面，实时刷新显示签到情况；签到负责人可以查看自己负责需签到的会议。</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可提供静态二维码下载打印扫码签到及动态二维码实时刷新扫码签到页面。</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管理员可修改人员签到状态（未签到，正常签到，迟到，缺席，请假）系统可提供修改记录。</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会议签到</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可以通过移动端APP扫描签到（静态二维码及动态二维码）。</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也可以对接集成学校现有一卡通、脸部识别等设备进行签到操作。</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会议签到管理员</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提供签到不同状态（准时签到，迟到，缺席，请假）的显示设置；可设定动态二维码的刷新时间以及扫码冗余容错时间。</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4.3  </w:t>
      </w:r>
      <w:r>
        <w:rPr>
          <w:rFonts w:ascii="宋体" w:hAnsi="宋体"/>
          <w:bCs/>
          <w:color w:val="auto"/>
          <w:sz w:val="24"/>
          <w:szCs w:val="24"/>
          <w:highlight w:val="none"/>
        </w:rPr>
        <w:t xml:space="preserve">会议室维护</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支持对会议室信息进行维护和展示，包括会议室名称、容纳人数、所属校区、所属部门、会议管理员、联系电话、会议室设备、会议室地址、会议室照片等。</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4.4  </w:t>
      </w:r>
      <w:r>
        <w:rPr>
          <w:rFonts w:ascii="宋体" w:hAnsi="宋体"/>
          <w:bCs/>
          <w:color w:val="auto"/>
          <w:sz w:val="24"/>
          <w:szCs w:val="24"/>
          <w:highlight w:val="none"/>
        </w:rPr>
        <w:t xml:space="preserve">会议室预定</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能够实现学校会议室资源的优化使用和管理，方便教职工对会议室的申请使用以及相关负责人的线上审批确认，降低因会议室资源冲突带来的不便。</w:t>
      </w:r>
      <w:r>
        <w:rPr>
          <w:color w:val="auto"/>
          <w:highlight w:val="none"/>
        </w:rPr>
      </w:r>
    </w:p>
    <w:p>
      <w:pPr>
        <w:pStyle w:val="929"/>
        <w:numPr>
          <w:ilvl w:val="0"/>
          <w:numId w:val="31"/>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会议室预定申请</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一个会议可以同时申请多个不同时间不同地点的会议室。</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会议预定申请的时候可以申请临时地点作为开会的会议室；申请通过后，申请人可以针对通过的会议直接给相应人员发送通知。</w:t>
      </w:r>
      <w:r>
        <w:rPr>
          <w:color w:val="auto"/>
          <w:highlight w:val="none"/>
        </w:rPr>
      </w:r>
    </w:p>
    <w:p>
      <w:pPr>
        <w:pStyle w:val="929"/>
        <w:numPr>
          <w:ilvl w:val="0"/>
          <w:numId w:val="31"/>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图形化申请界面</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能够以周为单位，查看一周所有会议室的空闲及使用情况；</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可查看会议室的照片，下载会议室的座位图；</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被占用的会议室需有明显的标记标出，并可明显看出会议室是长期占用还是定期循环被占用或者是人员申请占用。</w:t>
      </w:r>
      <w:r>
        <w:rPr>
          <w:color w:val="auto"/>
          <w:highlight w:val="none"/>
        </w:rPr>
      </w:r>
    </w:p>
    <w:p>
      <w:pPr>
        <w:pStyle w:val="929"/>
        <w:numPr>
          <w:ilvl w:val="0"/>
          <w:numId w:val="31"/>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校领导日程联动</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会议室预定申请时有参会校领导的时候，申请通过时校领导日程中自动同步会议日程信息。</w:t>
      </w:r>
      <w:r>
        <w:rPr>
          <w:color w:val="auto"/>
          <w:highlight w:val="none"/>
        </w:rPr>
      </w:r>
    </w:p>
    <w:p>
      <w:pPr>
        <w:pStyle w:val="929"/>
        <w:numPr>
          <w:ilvl w:val="0"/>
          <w:numId w:val="31"/>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会议修改</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申请人可以对自己申请的已经通过审批的会议室预定信息进行修改；可以查看会议的修改记录；可以取消预定的会议室。</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已经发送会议通知的会议，修改后针对通知人员自动重新通知。</w:t>
      </w:r>
      <w:r>
        <w:rPr>
          <w:color w:val="auto"/>
          <w:highlight w:val="none"/>
        </w:rPr>
      </w:r>
    </w:p>
    <w:p>
      <w:pPr>
        <w:pStyle w:val="929"/>
        <w:numPr>
          <w:ilvl w:val="0"/>
          <w:numId w:val="31"/>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会议服务</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提供会议服务功能，对应的会议服务人员能够查看相关信息以周例的形式进行展现，以便提前做好服务准备。</w:t>
      </w:r>
      <w:r>
        <w:rPr>
          <w:color w:val="auto"/>
          <w:highlight w:val="none"/>
        </w:rPr>
      </w:r>
    </w:p>
    <w:p>
      <w:pPr>
        <w:pStyle w:val="929"/>
        <w:numPr>
          <w:ilvl w:val="0"/>
          <w:numId w:val="31"/>
        </w:numPr>
        <w:ind w:left="0"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会议室预</w:t>
      </w:r>
      <w:r>
        <w:rPr>
          <w:rFonts w:hint="eastAsia" w:ascii="宋体" w:hAnsi="宋体"/>
          <w:bCs/>
          <w:color w:val="auto"/>
          <w:sz w:val="24"/>
          <w:szCs w:val="24"/>
          <w:highlight w:val="none"/>
        </w:rPr>
        <w:t xml:space="preserve">订</w:t>
      </w:r>
      <w:r>
        <w:rPr>
          <w:rFonts w:ascii="宋体" w:hAnsi="宋体"/>
          <w:bCs/>
          <w:color w:val="auto"/>
          <w:sz w:val="24"/>
          <w:szCs w:val="24"/>
          <w:highlight w:val="none"/>
        </w:rPr>
        <w:t xml:space="preserve">管理</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为会议管理员提供会议室预定审批管理页面，无需反复进入其他应用进行管理，降低操作的复杂性、提供业务使用的整合便利性。</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4.5  </w:t>
      </w:r>
      <w:r>
        <w:rPr>
          <w:rFonts w:ascii="宋体" w:hAnsi="宋体"/>
          <w:bCs/>
          <w:color w:val="auto"/>
          <w:sz w:val="24"/>
          <w:szCs w:val="24"/>
          <w:highlight w:val="none"/>
        </w:rPr>
        <w:t xml:space="preserve">周会表</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能够实现学校一周重要活动、会议的安排和发布。让全校教职工知晓学校未来一周的重要安排使其更加有学校事务的参与感。系统能够完成周会表的制作和发布工作。</w:t>
      </w:r>
      <w:r>
        <w:rPr>
          <w:color w:val="auto"/>
          <w:highlight w:val="none"/>
        </w:rPr>
      </w:r>
    </w:p>
    <w:p>
      <w:pPr>
        <w:pStyle w:val="929"/>
        <w:numPr>
          <w:ilvl w:val="0"/>
          <w:numId w:val="33"/>
        </w:numPr>
        <w:spacing w:line="360" w:lineRule="auto"/>
        <w:rPr>
          <w:rFonts w:ascii="宋体" w:hAnsi="宋体"/>
          <w:bCs/>
          <w:color w:val="auto"/>
          <w:sz w:val="24"/>
          <w:szCs w:val="24"/>
          <w:highlight w:val="none"/>
        </w:rPr>
      </w:pPr>
      <w:r>
        <w:rPr>
          <w:rFonts w:ascii="宋体" w:hAnsi="宋体"/>
          <w:bCs/>
          <w:color w:val="auto"/>
          <w:sz w:val="24"/>
          <w:szCs w:val="24"/>
          <w:highlight w:val="none"/>
        </w:rPr>
        <w:t xml:space="preserve">周会表</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已经发布的周会表进行调整后系统需能够标记该周会表进行过修改；并能够自动标记出会表中哪条会议进行过调整（包括新增记录、修改信息以及取消的会议）：</w:t>
      </w:r>
      <w:r>
        <w:rPr>
          <w:color w:val="auto"/>
          <w:highlight w:val="none"/>
        </w:rPr>
      </w:r>
    </w:p>
    <w:p>
      <w:pPr>
        <w:pStyle w:val="929"/>
        <w:numPr>
          <w:ilvl w:val="0"/>
          <w:numId w:val="33"/>
        </w:numPr>
        <w:spacing w:line="360" w:lineRule="auto"/>
        <w:rPr>
          <w:rFonts w:ascii="宋体" w:hAnsi="宋体"/>
          <w:bCs/>
          <w:color w:val="auto"/>
          <w:sz w:val="24"/>
          <w:szCs w:val="24"/>
          <w:highlight w:val="none"/>
        </w:rPr>
      </w:pPr>
      <w:r>
        <w:rPr>
          <w:rFonts w:ascii="宋体" w:hAnsi="宋体"/>
          <w:bCs/>
          <w:color w:val="auto"/>
          <w:sz w:val="24"/>
          <w:szCs w:val="24"/>
          <w:highlight w:val="none"/>
        </w:rPr>
        <w:t xml:space="preserve">周会表审批</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周会表需要领导审批通过后才能发布。</w:t>
      </w:r>
      <w:r>
        <w:rPr>
          <w:color w:val="auto"/>
          <w:highlight w:val="none"/>
        </w:rPr>
      </w:r>
    </w:p>
    <w:p>
      <w:pPr>
        <w:pStyle w:val="929"/>
        <w:numPr>
          <w:ilvl w:val="0"/>
          <w:numId w:val="33"/>
        </w:numPr>
        <w:spacing w:line="360" w:lineRule="auto"/>
        <w:rPr>
          <w:rFonts w:ascii="宋体" w:hAnsi="宋体"/>
          <w:bCs/>
          <w:color w:val="auto"/>
          <w:sz w:val="24"/>
          <w:szCs w:val="24"/>
          <w:highlight w:val="none"/>
        </w:rPr>
      </w:pPr>
      <w:r>
        <w:rPr>
          <w:rFonts w:ascii="宋体" w:hAnsi="宋体"/>
          <w:bCs/>
          <w:color w:val="auto"/>
          <w:sz w:val="24"/>
          <w:szCs w:val="24"/>
          <w:highlight w:val="none"/>
        </w:rPr>
        <w:t xml:space="preserve">会表会议信息</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周会表管理员在进行会表制作时可以拉取会议室预定审批通过且需要上会表的会议或者是手动新增会议进行会表中会议信息的添加。</w:t>
      </w:r>
      <w:r>
        <w:rPr>
          <w:color w:val="auto"/>
          <w:highlight w:val="none"/>
        </w:rPr>
      </w:r>
    </w:p>
    <w:p>
      <w:pPr>
        <w:pStyle w:val="929"/>
        <w:numPr>
          <w:ilvl w:val="0"/>
          <w:numId w:val="33"/>
        </w:numPr>
        <w:spacing w:line="360" w:lineRule="auto"/>
        <w:rPr>
          <w:rFonts w:ascii="宋体" w:hAnsi="宋体"/>
          <w:bCs/>
          <w:color w:val="auto"/>
          <w:sz w:val="24"/>
          <w:szCs w:val="24"/>
          <w:highlight w:val="none"/>
        </w:rPr>
      </w:pPr>
      <w:r>
        <w:rPr>
          <w:rFonts w:ascii="宋体" w:hAnsi="宋体"/>
          <w:bCs/>
          <w:color w:val="auto"/>
          <w:sz w:val="24"/>
          <w:szCs w:val="24"/>
          <w:highlight w:val="none"/>
        </w:rPr>
        <w:t xml:space="preserve">周会表查看权限</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会表的列信息可以指定有权限的人员可见；会表中的会议可以设定人员的查看权限只有有权限的人员才查看会表中的会议信息。</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4.6  </w:t>
      </w:r>
      <w:r>
        <w:rPr>
          <w:rFonts w:ascii="宋体" w:hAnsi="宋体"/>
          <w:bCs/>
          <w:color w:val="auto"/>
          <w:sz w:val="24"/>
          <w:szCs w:val="24"/>
          <w:highlight w:val="none"/>
        </w:rPr>
        <w:t xml:space="preserve">议题管理 </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能够实现部门议题的线上提报、汇总上会审批、上会材料审批、上会结果反馈等整个议题的生命周期管理。</w:t>
      </w:r>
      <w:r>
        <w:rPr>
          <w:color w:val="auto"/>
          <w:highlight w:val="none"/>
        </w:rPr>
      </w:r>
    </w:p>
    <w:p>
      <w:pPr>
        <w:pStyle w:val="929"/>
        <w:numPr>
          <w:ilvl w:val="0"/>
          <w:numId w:val="34"/>
        </w:numPr>
        <w:spacing w:line="360" w:lineRule="auto"/>
        <w:rPr>
          <w:rFonts w:ascii="宋体" w:hAnsi="宋体"/>
          <w:bCs/>
          <w:color w:val="auto"/>
          <w:sz w:val="24"/>
          <w:szCs w:val="24"/>
          <w:highlight w:val="none"/>
        </w:rPr>
      </w:pPr>
      <w:r>
        <w:rPr>
          <w:rFonts w:ascii="宋体" w:hAnsi="宋体"/>
          <w:bCs/>
          <w:color w:val="auto"/>
          <w:sz w:val="24"/>
          <w:szCs w:val="24"/>
          <w:highlight w:val="none"/>
        </w:rPr>
        <w:t xml:space="preserve">部门议题库</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部门通过线上完成议题的上报，完成审批后议题进入部门议题库；</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部门领导可查看所有本部门上报的议题；包括待上会、已审议、上会未讨论的议题。</w:t>
      </w:r>
      <w:r>
        <w:rPr>
          <w:color w:val="auto"/>
          <w:highlight w:val="none"/>
        </w:rPr>
      </w:r>
    </w:p>
    <w:p>
      <w:pPr>
        <w:pStyle w:val="929"/>
        <w:numPr>
          <w:ilvl w:val="0"/>
          <w:numId w:val="34"/>
        </w:numPr>
        <w:spacing w:line="360" w:lineRule="auto"/>
        <w:rPr>
          <w:rFonts w:ascii="宋体" w:hAnsi="宋体"/>
          <w:bCs/>
          <w:color w:val="auto"/>
          <w:sz w:val="24"/>
          <w:szCs w:val="24"/>
          <w:highlight w:val="none"/>
        </w:rPr>
      </w:pPr>
      <w:r>
        <w:rPr>
          <w:rFonts w:ascii="宋体" w:hAnsi="宋体"/>
          <w:bCs/>
          <w:color w:val="auto"/>
          <w:sz w:val="24"/>
          <w:szCs w:val="24"/>
          <w:highlight w:val="none"/>
        </w:rPr>
        <w:t xml:space="preserve">议题会议审批</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议程审批中可针对议题进行取消、调整顺序。</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取消的议题由校领导做标记，最终由秘书进行执行。</w:t>
      </w:r>
      <w:r>
        <w:rPr>
          <w:color w:val="auto"/>
          <w:highlight w:val="none"/>
        </w:rPr>
      </w:r>
    </w:p>
    <w:p>
      <w:pPr>
        <w:pStyle w:val="929"/>
        <w:ind w:left="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5.</w:t>
      </w:r>
      <w:r>
        <w:rPr>
          <w:rFonts w:ascii="宋体" w:hAnsi="宋体"/>
          <w:b/>
          <w:bCs/>
          <w:color w:val="auto"/>
          <w:sz w:val="24"/>
          <w:szCs w:val="24"/>
          <w:highlight w:val="none"/>
        </w:rPr>
        <w:t xml:space="preserve">假期值班 </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能够完成学校法定节假日的值班信息收集及统一发布，方便全校教职工在节假日查询各部门的值班信息及值班人员的假期安排。在值班期间值班人员能够在系统中进行值班情况的登记，从而实现部门人员之间值班信息共享。</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5.1  </w:t>
      </w:r>
      <w:r>
        <w:rPr>
          <w:rFonts w:ascii="宋体" w:hAnsi="宋体"/>
          <w:bCs/>
          <w:color w:val="auto"/>
          <w:sz w:val="24"/>
          <w:szCs w:val="24"/>
          <w:highlight w:val="none"/>
        </w:rPr>
        <w:t xml:space="preserve">值班计划</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值班管理员通过系统可制定值班计划，包括值班时间（开始时间、结束时间）设定、部门的上报时间（开始时间、结束时间），可将计划发送给相关部门并可以给特定人员发送通知，相关部门可根据计划进行值班信息的上报。</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5.2  </w:t>
      </w:r>
      <w:r>
        <w:rPr>
          <w:rFonts w:ascii="宋体" w:hAnsi="宋体"/>
          <w:bCs/>
          <w:color w:val="auto"/>
          <w:sz w:val="24"/>
          <w:szCs w:val="24"/>
          <w:highlight w:val="none"/>
        </w:rPr>
        <w:t xml:space="preserve">权限设置</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值班表中人员的手机号可授权指定人员查看。</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5.3  </w:t>
      </w:r>
      <w:r>
        <w:rPr>
          <w:rFonts w:ascii="宋体" w:hAnsi="宋体"/>
          <w:bCs/>
          <w:color w:val="auto"/>
          <w:sz w:val="24"/>
          <w:szCs w:val="24"/>
          <w:highlight w:val="none"/>
        </w:rPr>
        <w:t xml:space="preserve">值班上报</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相关部门收到值班计划可通过Excel模板批量导入本部门的值班信息，系统能够自动对日期及安排情况进行校验如果有遗漏需给出提示；也可通过手动新增的方式进行值班信息的录入。</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5.4  </w:t>
      </w:r>
      <w:r>
        <w:rPr>
          <w:rFonts w:ascii="宋体" w:hAnsi="宋体"/>
          <w:bCs/>
          <w:color w:val="auto"/>
          <w:sz w:val="24"/>
          <w:szCs w:val="24"/>
          <w:highlight w:val="none"/>
        </w:rPr>
        <w:t xml:space="preserve">值班提醒</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系统自动提前一天对第二天有值班任务的老师进行消息提醒。</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5.5  </w:t>
      </w:r>
      <w:r>
        <w:rPr>
          <w:rFonts w:ascii="宋体" w:hAnsi="宋体"/>
          <w:bCs/>
          <w:color w:val="auto"/>
          <w:sz w:val="24"/>
          <w:szCs w:val="24"/>
          <w:highlight w:val="none"/>
        </w:rPr>
        <w:t xml:space="preserve">值班信息登记及查看</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值班人员可以在值班日历上每天登记值班情况，登记的值班情况部门内部人员可见，以方便值班工作的衔接。</w:t>
      </w:r>
      <w:r>
        <w:rPr>
          <w:color w:val="auto"/>
          <w:highlight w:val="none"/>
        </w:rPr>
      </w:r>
    </w:p>
    <w:p>
      <w:pPr>
        <w:pStyle w:val="929"/>
        <w:ind w:left="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6.</w:t>
      </w:r>
      <w:r>
        <w:rPr>
          <w:rFonts w:ascii="宋体" w:hAnsi="宋体"/>
          <w:b/>
          <w:bCs/>
          <w:color w:val="auto"/>
          <w:sz w:val="24"/>
          <w:szCs w:val="24"/>
          <w:highlight w:val="none"/>
        </w:rPr>
        <w:t xml:space="preserve">校领导日程 </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能够实现学校校领导日程的管理，区别于个人日程。校领导的日程和其对应的秘书可共享，秘书也可对自己的领导的日程进行新增、编辑、删除等操作。做到日程信息在保密安全的条件下，最小范围内实现信息的共享。</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6.1  </w:t>
      </w:r>
      <w:r>
        <w:rPr>
          <w:rFonts w:ascii="宋体" w:hAnsi="宋体"/>
          <w:bCs/>
          <w:color w:val="auto"/>
          <w:sz w:val="24"/>
          <w:szCs w:val="24"/>
          <w:highlight w:val="none"/>
        </w:rPr>
        <w:t xml:space="preserve">校领导日程查看</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可查看所有公开的校领导日程信息；支持周历和月历2种查看模式；</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校领导查看日程时，领导个人的日程需置顶突出显示。</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6.2  </w:t>
      </w:r>
      <w:r>
        <w:rPr>
          <w:rFonts w:ascii="宋体" w:hAnsi="宋体"/>
          <w:bCs/>
          <w:color w:val="auto"/>
          <w:sz w:val="24"/>
          <w:szCs w:val="24"/>
          <w:highlight w:val="none"/>
        </w:rPr>
        <w:t xml:space="preserve">校领导日程新增</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有权限的秘书可新增相应领导的日程信息，可批量添加多个领导相同日程信息。相关日程可进行全部公开、对特定人员公开、不公开处理，并可通过消息提醒领导相关的日程安排。</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校领导可以自己增加个人的日程；</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6.3  </w:t>
      </w:r>
      <w:r>
        <w:rPr>
          <w:rFonts w:ascii="宋体" w:hAnsi="宋体"/>
          <w:bCs/>
          <w:color w:val="auto"/>
          <w:sz w:val="24"/>
          <w:szCs w:val="24"/>
          <w:highlight w:val="none"/>
        </w:rPr>
        <w:t xml:space="preserve">校领导日程同步</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会议室预定中选中参会校领导审批通过后，系统会自动将相关会议安排信息添加到参会领导的日程信息中。</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6.4  </w:t>
      </w:r>
      <w:r>
        <w:rPr>
          <w:rFonts w:ascii="宋体" w:hAnsi="宋体"/>
          <w:bCs/>
          <w:color w:val="auto"/>
          <w:sz w:val="24"/>
          <w:szCs w:val="24"/>
          <w:highlight w:val="none"/>
        </w:rPr>
        <w:t xml:space="preserve">权限</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能够对校领导进行排序并且可授权人员对校领导日程有维护权限。</w:t>
      </w:r>
      <w:r>
        <w:rPr>
          <w:color w:val="auto"/>
          <w:highlight w:val="none"/>
        </w:rPr>
      </w:r>
    </w:p>
    <w:p>
      <w:pPr>
        <w:pStyle w:val="929"/>
        <w:ind w:left="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7.</w:t>
      </w:r>
      <w:r>
        <w:rPr>
          <w:rFonts w:ascii="宋体" w:hAnsi="宋体"/>
          <w:b/>
          <w:bCs/>
          <w:color w:val="auto"/>
          <w:sz w:val="24"/>
          <w:szCs w:val="24"/>
          <w:highlight w:val="none"/>
        </w:rPr>
        <w:t xml:space="preserve">任务反馈 </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针对一些短平快的任务，业务负责人直接能够发起任务给执行人，执行人办理完成后结果自动反馈至源业务单据。保证学校工作任务能够按时高效</w:t>
      </w:r>
      <w:r>
        <w:rPr>
          <w:rFonts w:ascii="宋体" w:hAnsi="宋体"/>
          <w:bCs/>
          <w:color w:val="auto"/>
          <w:sz w:val="24"/>
          <w:szCs w:val="24"/>
          <w:highlight w:val="none"/>
        </w:rPr>
        <w:t xml:space="preserve">地</w:t>
      </w:r>
      <w:r>
        <w:rPr>
          <w:rFonts w:ascii="宋体" w:hAnsi="宋体"/>
          <w:bCs/>
          <w:color w:val="auto"/>
          <w:sz w:val="24"/>
          <w:szCs w:val="24"/>
          <w:highlight w:val="none"/>
        </w:rPr>
        <w:t xml:space="preserve">完成，实现业务的闭环。</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7.1  </w:t>
      </w:r>
      <w:r>
        <w:rPr>
          <w:rFonts w:ascii="宋体" w:hAnsi="宋体"/>
          <w:bCs/>
          <w:color w:val="auto"/>
          <w:sz w:val="24"/>
          <w:szCs w:val="24"/>
          <w:highlight w:val="none"/>
        </w:rPr>
        <w:t xml:space="preserve">任务接收</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发送人发送任务后接收人会收到相应的任务并在自己的代签收任务中。</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任务签收后可以进行任务转发，记录发送人、接收人、发送时间等信息。</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接收到的任务可查看任务来源单据信息。</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7.2  </w:t>
      </w:r>
      <w:r>
        <w:rPr>
          <w:rFonts w:ascii="宋体" w:hAnsi="宋体"/>
          <w:bCs/>
          <w:color w:val="auto"/>
          <w:sz w:val="24"/>
          <w:szCs w:val="24"/>
          <w:highlight w:val="none"/>
        </w:rPr>
        <w:t xml:space="preserve">预警规则维护</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提供任务执行提醒功能，可按照当天、提前一天、提前三天、提前一周、提前一月、超期等方式进行提醒，并可根据规则设定不同的提醒内容和提醒时间。</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7.3  </w:t>
      </w:r>
      <w:r>
        <w:rPr>
          <w:rFonts w:ascii="宋体" w:hAnsi="宋体"/>
          <w:bCs/>
          <w:color w:val="auto"/>
          <w:sz w:val="24"/>
          <w:szCs w:val="24"/>
          <w:highlight w:val="none"/>
        </w:rPr>
        <w:t xml:space="preserve">统计</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能够按照人员和部门两种不同的维度统计任务的数量、未完成率、按时完成率、超期未完成率、超期完成率等信息。</w:t>
      </w:r>
      <w:r>
        <w:rPr>
          <w:color w:val="auto"/>
          <w:highlight w:val="none"/>
        </w:rPr>
      </w:r>
    </w:p>
    <w:p>
      <w:pPr>
        <w:pStyle w:val="929"/>
        <w:ind w:left="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8.</w:t>
      </w:r>
      <w:r>
        <w:rPr>
          <w:rFonts w:ascii="宋体" w:hAnsi="宋体"/>
          <w:b/>
          <w:bCs/>
          <w:color w:val="auto"/>
          <w:sz w:val="24"/>
          <w:szCs w:val="24"/>
          <w:highlight w:val="none"/>
        </w:rPr>
        <w:t xml:space="preserve">公共通讯录 </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能够提供线上通讯录功能，以解决传统的实体通讯录造成信息无法及时更新、浪费资源等问题；线上的通讯录需支持信息及时更新、移动端号码拨打，安全可控的信息管控，提高了通讯录使用的安全性。</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8.1  </w:t>
      </w:r>
      <w:r>
        <w:rPr>
          <w:rFonts w:ascii="宋体" w:hAnsi="宋体"/>
          <w:bCs/>
          <w:color w:val="auto"/>
          <w:sz w:val="24"/>
          <w:szCs w:val="24"/>
          <w:highlight w:val="none"/>
        </w:rPr>
        <w:t xml:space="preserve">通讯录查看</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提供平铺式的部门布局展现用户所具备权限查看的部门通讯录。</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用户有权编辑的部门通讯录需为用户提供明显的标识，用户需能进行部门通讯录相关的信息维护。</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8.2  </w:t>
      </w:r>
      <w:r>
        <w:rPr>
          <w:rFonts w:ascii="宋体" w:hAnsi="宋体"/>
          <w:bCs/>
          <w:color w:val="auto"/>
          <w:sz w:val="24"/>
          <w:szCs w:val="24"/>
          <w:highlight w:val="none"/>
        </w:rPr>
        <w:t xml:space="preserve">通讯录管理</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管理员可以批量维护各个部门的科室信息、部门/单位领导信息和教职工信息。</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8.3  </w:t>
      </w:r>
      <w:r>
        <w:rPr>
          <w:rFonts w:ascii="宋体" w:hAnsi="宋体"/>
          <w:bCs/>
          <w:color w:val="auto"/>
          <w:sz w:val="24"/>
          <w:szCs w:val="24"/>
          <w:highlight w:val="none"/>
        </w:rPr>
        <w:t xml:space="preserve">查看权限</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系统能够授权相应人员可看各个部门/单位的领导及教职工的手机号信息。</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管理员可设定个人是否允许修改自己的相关信息。</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8.4  </w:t>
      </w:r>
      <w:r>
        <w:rPr>
          <w:rFonts w:ascii="宋体" w:hAnsi="宋体"/>
          <w:bCs/>
          <w:color w:val="auto"/>
          <w:sz w:val="24"/>
          <w:szCs w:val="24"/>
          <w:highlight w:val="none"/>
        </w:rPr>
        <w:t xml:space="preserve">权限管理</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可设定各个部门通讯录管理员，管理员拥有部门的相关通讯录信息的编辑权限。</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8.5  </w:t>
      </w:r>
      <w:r>
        <w:rPr>
          <w:rFonts w:ascii="宋体" w:hAnsi="宋体"/>
          <w:bCs/>
          <w:color w:val="auto"/>
          <w:sz w:val="24"/>
          <w:szCs w:val="24"/>
          <w:highlight w:val="none"/>
        </w:rPr>
        <w:t xml:space="preserve">机构管理</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各个部门的通讯录都可设定是否在全校通讯录中显示。</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8.6  </w:t>
      </w:r>
      <w:r>
        <w:rPr>
          <w:rFonts w:ascii="宋体" w:hAnsi="宋体"/>
          <w:bCs/>
          <w:color w:val="auto"/>
          <w:sz w:val="24"/>
          <w:szCs w:val="24"/>
          <w:highlight w:val="none"/>
        </w:rPr>
        <w:t xml:space="preserve">操作日志</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需能够记录通讯录的所有修改日志。（包括：操作人、被修改人姓名、工号、操作字段、原始值、修改值、操作时间等）。</w:t>
      </w:r>
      <w:r>
        <w:rPr>
          <w:color w:val="auto"/>
          <w:highlight w:val="none"/>
        </w:rPr>
      </w:r>
    </w:p>
    <w:p>
      <w:pPr>
        <w:pStyle w:val="929"/>
        <w:ind w:left="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9.</w:t>
      </w:r>
      <w:r>
        <w:rPr>
          <w:rFonts w:ascii="宋体" w:hAnsi="宋体"/>
          <w:b/>
          <w:bCs/>
          <w:color w:val="auto"/>
          <w:sz w:val="24"/>
          <w:szCs w:val="24"/>
          <w:highlight w:val="none"/>
        </w:rPr>
        <w:t xml:space="preserve">交办协办 </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上级向下级交代任务或者是部门之间需协调办公时，系统能够提供按要求灵活地选择任意人发送任务并可以同时发送给多个人办理。任务的主办人收到任务后可以将任务进行下发或发送给他人办理；任务抄办人收到任务后可对任务办理情况及进度进行回复。任务发送人在任务提交时可以要求回复人是否必须上传附件。</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9.1  </w:t>
      </w:r>
      <w:r>
        <w:rPr>
          <w:rFonts w:ascii="宋体" w:hAnsi="宋体"/>
          <w:bCs/>
          <w:color w:val="auto"/>
          <w:sz w:val="24"/>
          <w:szCs w:val="24"/>
          <w:highlight w:val="none"/>
        </w:rPr>
        <w:t xml:space="preserve">任务发送</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能够展现所有自己发送的任务信息（需包含发送人、接收类型、收件人、阅读时间、处理时间、处理意见等信息）；未处理的任务可进行收回；对未处理的任务可对处理人进行批量消息提醒。</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9.2  </w:t>
      </w:r>
      <w:r>
        <w:rPr>
          <w:rFonts w:ascii="宋体" w:hAnsi="宋体"/>
          <w:bCs/>
          <w:color w:val="auto"/>
          <w:sz w:val="24"/>
          <w:szCs w:val="24"/>
          <w:highlight w:val="none"/>
        </w:rPr>
        <w:t xml:space="preserve">交办办协办起草</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可指定回复人是否必须上传附件。</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可指定主办人、抄（协）办人，顺签还是并签。</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9.3  </w:t>
      </w:r>
      <w:r>
        <w:rPr>
          <w:rFonts w:ascii="宋体" w:hAnsi="宋体"/>
          <w:bCs/>
          <w:color w:val="auto"/>
          <w:sz w:val="24"/>
          <w:szCs w:val="24"/>
          <w:highlight w:val="none"/>
        </w:rPr>
        <w:t xml:space="preserve">交办协办管理</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业务管理员可以查看所有的交办协办单；可以对所有的交办协办单进行编辑、删除，编辑内容包括交办协办单上所有的内容以及办理转办记录中的意见和时间。</w:t>
      </w:r>
      <w:r>
        <w:rPr>
          <w:color w:val="auto"/>
          <w:highlight w:val="none"/>
        </w:rPr>
      </w:r>
    </w:p>
    <w:p>
      <w:pPr>
        <w:pStyle w:val="929"/>
        <w:ind w:left="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10.</w:t>
      </w:r>
      <w:r>
        <w:rPr>
          <w:rFonts w:ascii="宋体" w:hAnsi="宋体"/>
          <w:b/>
          <w:bCs/>
          <w:color w:val="auto"/>
          <w:sz w:val="24"/>
          <w:szCs w:val="24"/>
          <w:highlight w:val="none"/>
        </w:rPr>
        <w:t xml:space="preserve">信息发布 </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提供通过线上信息编辑和授权发布完成信息的对外展示，发布的信息应履行严格的审核程序，各个栏目的信息由对应的负责人负责，通过统一窗口展示。</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依据“程序规范、集中管理、统一发布、讲求时效”的原则，确保信息发布的及时性、真实性和权威性，对校内外展现学校的良好形象。</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10.1  </w:t>
      </w:r>
      <w:r>
        <w:rPr>
          <w:rFonts w:ascii="宋体" w:hAnsi="宋体"/>
          <w:bCs/>
          <w:color w:val="auto"/>
          <w:sz w:val="24"/>
          <w:szCs w:val="24"/>
          <w:highlight w:val="none"/>
        </w:rPr>
        <w:t xml:space="preserve">信息发布格式</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能够提供2种及以上的信息格式：</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10.2  </w:t>
      </w:r>
      <w:r>
        <w:rPr>
          <w:rFonts w:ascii="宋体" w:hAnsi="宋体"/>
          <w:bCs/>
          <w:color w:val="auto"/>
          <w:sz w:val="24"/>
          <w:szCs w:val="24"/>
          <w:highlight w:val="none"/>
        </w:rPr>
        <w:t xml:space="preserve">富文本编辑器进行在线内容编辑，发布后是静态页面，不可下载；</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10.3  </w:t>
      </w:r>
      <w:r>
        <w:rPr>
          <w:rFonts w:ascii="宋体" w:hAnsi="宋体"/>
          <w:bCs/>
          <w:color w:val="auto"/>
          <w:sz w:val="24"/>
          <w:szCs w:val="24"/>
          <w:highlight w:val="none"/>
        </w:rPr>
        <w:t xml:space="preserve">在线内容编辑，发布PDF格式信息，可下载。</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10.4  </w:t>
      </w:r>
      <w:r>
        <w:rPr>
          <w:rFonts w:ascii="宋体" w:hAnsi="宋体"/>
          <w:bCs/>
          <w:color w:val="auto"/>
          <w:sz w:val="24"/>
          <w:szCs w:val="24"/>
          <w:highlight w:val="none"/>
        </w:rPr>
        <w:t xml:space="preserve">信息发布申请</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信息发布时可指定发布的信息是否需要置顶显示以及置顶结束时间；可设定公示结束时间、发布范围（全部公开、部分公开）；同时可进行信息的分发、传阅将信息发送给指定人员并进行提醒。</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信息发布人可对自己发布的信息进行编辑，删除。</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10.5  </w:t>
      </w:r>
      <w:r>
        <w:rPr>
          <w:rFonts w:ascii="宋体" w:hAnsi="宋体"/>
          <w:bCs/>
          <w:color w:val="auto"/>
          <w:sz w:val="24"/>
          <w:szCs w:val="24"/>
          <w:highlight w:val="none"/>
        </w:rPr>
        <w:t xml:space="preserve">流程审批</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不同类型的信息能够按照事先设定好的流程进行文件发布前的审批，审批通过后的信息才可进行最终的信息发布。</w:t>
      </w:r>
      <w:r>
        <w:rPr>
          <w:color w:val="auto"/>
          <w:highlight w:val="none"/>
        </w:rPr>
      </w:r>
    </w:p>
    <w:p>
      <w:pPr>
        <w:pStyle w:val="929"/>
        <w:ind w:left="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11.</w:t>
      </w:r>
      <w:r>
        <w:rPr>
          <w:rFonts w:ascii="宋体" w:hAnsi="宋体"/>
          <w:b/>
          <w:bCs/>
          <w:color w:val="auto"/>
          <w:sz w:val="24"/>
          <w:szCs w:val="24"/>
          <w:highlight w:val="none"/>
        </w:rPr>
        <w:t xml:space="preserve">物品领用 </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学校各单位部门可以通过线上申请领取物品；提供库存预警，线下扫码，提升办公效率，让物品的领用资源规划更加合理，降低库存风险。</w:t>
      </w:r>
      <w:r>
        <w:rPr>
          <w:color w:val="auto"/>
          <w:highlight w:val="none"/>
        </w:rPr>
      </w:r>
    </w:p>
    <w:p>
      <w:pPr>
        <w:pStyle w:val="929"/>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11.1  </w:t>
      </w:r>
      <w:r>
        <w:rPr>
          <w:rFonts w:ascii="宋体" w:hAnsi="宋体"/>
          <w:bCs/>
          <w:color w:val="auto"/>
          <w:sz w:val="24"/>
          <w:szCs w:val="24"/>
          <w:highlight w:val="none"/>
        </w:rPr>
        <w:t xml:space="preserve">物品维护</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提供物品的维护功能，以便对物品信息进行录入（包括物品名称、种类、单位、单价、数量等信息）。</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可查看每个物品的领用总数及领用明细。</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管理员在进行物品领用审核时可查看每个物品的库存数量，以及在途申请数量。</w:t>
      </w:r>
      <w:r>
        <w:rPr>
          <w:color w:val="auto"/>
          <w:highlight w:val="none"/>
        </w:rPr>
      </w:r>
    </w:p>
    <w:p>
      <w:pPr>
        <w:pStyle w:val="929"/>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11.2  </w:t>
      </w:r>
      <w:r>
        <w:rPr>
          <w:rFonts w:ascii="宋体" w:hAnsi="宋体"/>
          <w:bCs/>
          <w:color w:val="auto"/>
          <w:sz w:val="24"/>
          <w:szCs w:val="24"/>
          <w:highlight w:val="none"/>
        </w:rPr>
        <w:t xml:space="preserve">物品领用</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管理员通过领用单上的二维码拉取领用物品的清单，快速完成领用操作。</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管理员可以通过申请单上的物品领用操作选取物品进行领用。</w:t>
      </w:r>
      <w:r>
        <w:rPr>
          <w:color w:val="auto"/>
          <w:highlight w:val="none"/>
        </w:rPr>
      </w:r>
    </w:p>
    <w:p>
      <w:pPr>
        <w:pStyle w:val="929"/>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11.3  </w:t>
      </w:r>
      <w:r>
        <w:rPr>
          <w:rFonts w:ascii="宋体" w:hAnsi="宋体"/>
          <w:bCs/>
          <w:color w:val="auto"/>
          <w:sz w:val="24"/>
          <w:szCs w:val="24"/>
          <w:highlight w:val="none"/>
        </w:rPr>
        <w:t xml:space="preserve">领用审批管理</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管理员可以查看所有的物品领用申请。</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管理员可以对物品领用进行编辑，删除，新增。</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管理员可针对任意文件进行流程跳转，催办，意见修改（包含他人意见内容、签署时间等），办结取回操作。</w:t>
      </w:r>
      <w:r>
        <w:rPr>
          <w:color w:val="auto"/>
          <w:highlight w:val="none"/>
        </w:rPr>
      </w:r>
    </w:p>
    <w:p>
      <w:pPr>
        <w:pStyle w:val="929"/>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11.4  </w:t>
      </w:r>
      <w:r>
        <w:rPr>
          <w:rFonts w:ascii="宋体" w:hAnsi="宋体"/>
          <w:bCs/>
          <w:color w:val="auto"/>
          <w:sz w:val="24"/>
          <w:szCs w:val="24"/>
          <w:highlight w:val="none"/>
        </w:rPr>
        <w:t xml:space="preserve">领用日志</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以物品为对象，显示物品的库存变化记录日志。</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包含信息有，操作人、操作时间、入库时间、出库时间。</w:t>
      </w:r>
      <w:r>
        <w:rPr>
          <w:color w:val="auto"/>
          <w:highlight w:val="none"/>
        </w:rPr>
      </w:r>
    </w:p>
    <w:p>
      <w:pPr>
        <w:pStyle w:val="929"/>
        <w:ind w:left="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12.</w:t>
      </w:r>
      <w:r>
        <w:rPr>
          <w:rFonts w:ascii="宋体" w:hAnsi="宋体"/>
          <w:b/>
          <w:bCs/>
          <w:color w:val="auto"/>
          <w:sz w:val="24"/>
          <w:szCs w:val="24"/>
          <w:highlight w:val="none"/>
        </w:rPr>
        <w:t xml:space="preserve">正文在线编辑 </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12.1  </w:t>
      </w:r>
      <w:r>
        <w:rPr>
          <w:rFonts w:ascii="宋体" w:hAnsi="宋体"/>
          <w:bCs/>
          <w:color w:val="auto"/>
          <w:sz w:val="24"/>
          <w:szCs w:val="24"/>
          <w:highlight w:val="none"/>
        </w:rPr>
        <w:t xml:space="preserve">在线编辑</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能够实现发文正文PC端的在线编辑，支持多种浏览器。</w:t>
      </w:r>
      <w:r>
        <w:rPr>
          <w:color w:val="auto"/>
          <w:highlight w:val="none"/>
        </w:rPr>
      </w:r>
    </w:p>
    <w:p>
      <w:pPr>
        <w:pStyle w:val="929"/>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12.2  </w:t>
      </w:r>
      <w:r>
        <w:rPr>
          <w:rFonts w:ascii="宋体" w:hAnsi="宋体"/>
          <w:bCs/>
          <w:color w:val="auto"/>
          <w:sz w:val="24"/>
          <w:szCs w:val="24"/>
          <w:highlight w:val="none"/>
        </w:rPr>
        <w:t xml:space="preserve">附件在线预览</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支持PC和移动端不需要安装任何插件就可以在线查看Word,Excel,ppt,ofd,rar,zip,pdf,rtf,wps 等格式文件,并且确保其格式布局的准确性。</w:t>
      </w:r>
      <w:r>
        <w:rPr>
          <w:color w:val="auto"/>
          <w:highlight w:val="none"/>
        </w:rPr>
      </w:r>
    </w:p>
    <w:p>
      <w:pPr>
        <w:pStyle w:val="929"/>
        <w:ind w:left="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13.</w:t>
      </w:r>
      <w:r>
        <w:rPr>
          <w:rFonts w:ascii="宋体" w:hAnsi="宋体"/>
          <w:b/>
          <w:bCs/>
          <w:color w:val="auto"/>
          <w:sz w:val="24"/>
          <w:szCs w:val="24"/>
          <w:highlight w:val="none"/>
        </w:rPr>
        <w:t xml:space="preserve">移动办公</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提供一整套HTML5移动端页面，可以对接微信、微信公众号、企业微信、学校自建APP等移动端应用。</w:t>
      </w:r>
      <w:r>
        <w:rPr>
          <w:color w:val="auto"/>
          <w:highlight w:val="none"/>
        </w:rPr>
      </w:r>
    </w:p>
    <w:p>
      <w:pPr>
        <w:pStyle w:val="929"/>
        <w:ind w:left="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14.</w:t>
      </w:r>
      <w:r>
        <w:rPr>
          <w:rFonts w:ascii="宋体" w:hAnsi="宋体"/>
          <w:b/>
          <w:bCs/>
          <w:color w:val="auto"/>
          <w:sz w:val="24"/>
          <w:szCs w:val="24"/>
          <w:highlight w:val="none"/>
        </w:rPr>
        <w:t xml:space="preserve">系统集成</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要求与校内智慧校园基础平台、办事大厅、移动校园进行对接，具体实现从数据、身份、门户、移动服务、消息、任务接入层面的集成。</w:t>
      </w:r>
      <w:r>
        <w:rPr>
          <w:color w:val="auto"/>
          <w:highlight w:val="none"/>
        </w:rPr>
      </w:r>
    </w:p>
    <w:p>
      <w:pPr>
        <w:pStyle w:val="929"/>
        <w:ind w:left="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15.</w:t>
      </w:r>
      <w:r>
        <w:rPr>
          <w:rFonts w:ascii="宋体" w:hAnsi="宋体"/>
          <w:b/>
          <w:bCs/>
          <w:color w:val="auto"/>
          <w:sz w:val="24"/>
          <w:szCs w:val="24"/>
          <w:highlight w:val="none"/>
        </w:rPr>
        <w:t xml:space="preserve">数据迁移</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要求支持对现有办公系统的各类文档（包括：学校发文，学校收文，发文文件，相关下载，材料呈报），以及原系统历史文件和数据进行备份和迁移，包括流转记录，正文文件，附件，审批表单。</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在新系统中对应的模块中可以正常的搜索查看，并且保证数据的安全性和准确性。</w:t>
      </w:r>
      <w:r>
        <w:rPr>
          <w:color w:val="auto"/>
          <w:highlight w:val="none"/>
        </w:rPr>
      </w:r>
    </w:p>
    <w:p>
      <w:pPr>
        <w:pStyle w:val="929"/>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实现新旧系统的平滑过度。</w:t>
      </w:r>
      <w:r>
        <w:rPr>
          <w:rFonts w:hint="eastAsia" w:ascii="宋体" w:hAnsi="宋体"/>
          <w:bCs/>
          <w:color w:val="auto"/>
          <w:sz w:val="24"/>
          <w:szCs w:val="24"/>
          <w:highlight w:val="none"/>
        </w:rPr>
      </w:r>
      <w:r>
        <w:rPr>
          <w:color w:val="auto"/>
          <w:highlight w:val="none"/>
        </w:rPr>
      </w:r>
    </w:p>
    <w:p>
      <w:pPr>
        <w:pStyle w:val="929"/>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highlight w:val="none"/>
        </w:rPr>
      </w:r>
    </w:p>
    <w:p>
      <w:pPr>
        <w:pStyle w:val="929"/>
        <w:ind w:firstLine="480"/>
        <w:spacing w:line="360" w:lineRule="auto"/>
        <w:rPr>
          <w:rFonts w:ascii="宋体" w:hAnsi="宋体"/>
          <w:b/>
          <w:color w:val="auto"/>
          <w:sz w:val="30"/>
          <w:szCs w:val="30"/>
          <w:highlight w:val="none"/>
        </w:rPr>
      </w:pPr>
      <w:r>
        <w:rPr>
          <w:rFonts w:ascii="宋体" w:hAnsi="宋体"/>
          <w:bCs/>
          <w:color w:val="auto"/>
          <w:sz w:val="24"/>
          <w:szCs w:val="24"/>
          <w:highlight w:val="none"/>
        </w:rPr>
        <w:br w:type="page" w:clear="all"/>
      </w:r>
      <w:r>
        <w:rPr>
          <w:rFonts w:hint="eastAsia" w:ascii="宋体" w:hAnsi="宋体"/>
          <w:b/>
          <w:color w:val="auto"/>
          <w:sz w:val="30"/>
          <w:szCs w:val="30"/>
          <w:highlight w:val="none"/>
        </w:rPr>
        <w:t xml:space="preserve">第二部分  有关说明</w:t>
      </w:r>
      <w:r>
        <w:rPr>
          <w:rFonts w:ascii="宋体" w:hAnsi="宋体"/>
          <w:b/>
          <w:color w:val="auto"/>
          <w:sz w:val="30"/>
          <w:szCs w:val="30"/>
          <w:highlight w:val="none"/>
        </w:rPr>
      </w:r>
      <w:r>
        <w:rPr>
          <w:color w:val="auto"/>
          <w:highlight w:val="none"/>
        </w:rPr>
      </w:r>
    </w:p>
    <w:p>
      <w:pPr>
        <w:pStyle w:val="929"/>
        <w:numPr>
          <w:ilvl w:val="1"/>
          <w:numId w:val="7"/>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投标总报价包括满足本项目服务要求的从项目中标起到项目正式交付以及服务期内所发生的一切费用。</w:t>
      </w:r>
      <w:r>
        <w:rPr>
          <w:rFonts w:ascii="宋体"/>
          <w:bCs/>
          <w:color w:val="auto"/>
          <w:sz w:val="24"/>
          <w:szCs w:val="24"/>
          <w:highlight w:val="none"/>
        </w:rPr>
      </w:r>
      <w:r>
        <w:rPr>
          <w:color w:val="auto"/>
          <w:highlight w:val="none"/>
        </w:rPr>
      </w:r>
    </w:p>
    <w:p>
      <w:pPr>
        <w:pStyle w:val="929"/>
        <w:numPr>
          <w:ilvl w:val="1"/>
          <w:numId w:val="7"/>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通过中国海关报关验放进入中国境内且产自中国境外的产品不在本项目的报价范围。</w:t>
      </w:r>
      <w:r>
        <w:rPr>
          <w:rFonts w:ascii="宋体"/>
          <w:bCs/>
          <w:color w:val="auto"/>
          <w:sz w:val="24"/>
          <w:szCs w:val="24"/>
          <w:highlight w:val="none"/>
        </w:rPr>
      </w:r>
      <w:r>
        <w:rPr>
          <w:color w:val="auto"/>
          <w:highlight w:val="none"/>
        </w:rPr>
      </w:r>
    </w:p>
    <w:p>
      <w:pPr>
        <w:pStyle w:val="929"/>
        <w:numPr>
          <w:ilvl w:val="1"/>
          <w:numId w:val="7"/>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auto"/>
          <w:sz w:val="24"/>
          <w:szCs w:val="24"/>
          <w:highlight w:val="none"/>
        </w:rPr>
      </w:r>
      <w:r>
        <w:rPr>
          <w:color w:val="auto"/>
          <w:highlight w:val="none"/>
        </w:rPr>
      </w:r>
    </w:p>
    <w:p>
      <w:pPr>
        <w:pStyle w:val="929"/>
        <w:numPr>
          <w:ilvl w:val="1"/>
          <w:numId w:val="7"/>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投标人必须在满足招标文件要求的基础上进行报价，如有技术偏离请于投标偏离表中说明。</w:t>
      </w:r>
      <w:r>
        <w:rPr>
          <w:rFonts w:ascii="宋体"/>
          <w:bCs/>
          <w:color w:val="auto"/>
          <w:sz w:val="24"/>
          <w:szCs w:val="24"/>
          <w:highlight w:val="none"/>
        </w:rPr>
      </w:r>
      <w:r>
        <w:rPr>
          <w:color w:val="auto"/>
          <w:highlight w:val="none"/>
        </w:rPr>
      </w:r>
    </w:p>
    <w:p>
      <w:pPr>
        <w:pStyle w:val="929"/>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完工期：</w:t>
      </w:r>
      <w:r>
        <w:rPr>
          <w:rFonts w:hint="eastAsia" w:ascii="宋体" w:hAnsi="宋体"/>
          <w:bCs/>
          <w:color w:val="auto"/>
          <w:sz w:val="24"/>
          <w:szCs w:val="24"/>
          <w:highlight w:val="none"/>
        </w:rPr>
        <w:t xml:space="preserve">合同签订生效后三个月后完工并完成初验，2024年12月前完成整体</w:t>
      </w:r>
      <w:r>
        <w:rPr>
          <w:rFonts w:hint="eastAsia" w:ascii="宋体" w:hAnsi="宋体"/>
          <w:bCs/>
          <w:color w:val="auto"/>
          <w:sz w:val="24"/>
          <w:szCs w:val="24"/>
          <w:highlight w:val="none"/>
        </w:rPr>
        <w:t xml:space="preserve">验收。</w:t>
      </w:r>
      <w:r>
        <w:rPr>
          <w:rFonts w:ascii="宋体"/>
          <w:bCs/>
          <w:color w:val="auto"/>
          <w:sz w:val="24"/>
          <w:szCs w:val="24"/>
          <w:highlight w:val="none"/>
        </w:rPr>
      </w:r>
      <w:r>
        <w:rPr>
          <w:color w:val="auto"/>
          <w:highlight w:val="none"/>
        </w:rPr>
      </w:r>
    </w:p>
    <w:p>
      <w:pPr>
        <w:pStyle w:val="929"/>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项目整体质保期：</w:t>
      </w:r>
      <w:r>
        <w:rPr>
          <w:rFonts w:hint="eastAsia" w:ascii="宋体"/>
          <w:bCs/>
          <w:color w:val="auto"/>
          <w:sz w:val="24"/>
          <w:szCs w:val="24"/>
          <w:highlight w:val="none"/>
        </w:rPr>
        <w:t xml:space="preserve">自安装调试验收合格之日起质保期3年</w:t>
      </w:r>
      <w:r>
        <w:rPr>
          <w:rFonts w:hint="eastAsia" w:ascii="宋体"/>
          <w:bCs/>
          <w:color w:val="auto"/>
          <w:sz w:val="24"/>
          <w:szCs w:val="24"/>
          <w:highlight w:val="none"/>
        </w:rPr>
        <w:t xml:space="preserve">。</w:t>
      </w:r>
      <w:r>
        <w:rPr>
          <w:rFonts w:hint="eastAsia" w:ascii="宋体"/>
          <w:bCs/>
          <w:color w:val="auto"/>
          <w:sz w:val="24"/>
          <w:szCs w:val="24"/>
          <w:highlight w:val="none"/>
        </w:rPr>
        <w:t xml:space="preserve">在项目质保期内，因为软件系统本身原因导致系统不可用，</w:t>
      </w:r>
      <w:r>
        <w:rPr>
          <w:rFonts w:hint="eastAsia" w:ascii="宋体"/>
          <w:bCs/>
          <w:color w:val="auto"/>
          <w:sz w:val="24"/>
          <w:szCs w:val="24"/>
          <w:highlight w:val="none"/>
        </w:rPr>
        <w:t xml:space="preserve">中标人</w:t>
      </w:r>
      <w:r>
        <w:rPr>
          <w:rFonts w:hint="eastAsia" w:ascii="宋体"/>
          <w:bCs/>
          <w:color w:val="auto"/>
          <w:sz w:val="24"/>
          <w:szCs w:val="24"/>
          <w:highlight w:val="none"/>
        </w:rPr>
        <w:t xml:space="preserve">应全程跟踪解决，确保问题快速解决，因为操作系统、服务器、网络设备及其他硬件设备导致系统不可用时，</w:t>
      </w:r>
      <w:r>
        <w:rPr>
          <w:rFonts w:hint="eastAsia" w:ascii="宋体"/>
          <w:bCs/>
          <w:color w:val="auto"/>
          <w:sz w:val="24"/>
          <w:szCs w:val="24"/>
          <w:highlight w:val="none"/>
        </w:rPr>
        <w:t xml:space="preserve">中标人</w:t>
      </w:r>
      <w:r>
        <w:rPr>
          <w:rFonts w:hint="eastAsia" w:ascii="宋体"/>
          <w:bCs/>
          <w:color w:val="auto"/>
          <w:sz w:val="24"/>
          <w:szCs w:val="24"/>
          <w:highlight w:val="none"/>
        </w:rPr>
        <w:t xml:space="preserve">应配合</w:t>
      </w:r>
      <w:r>
        <w:rPr>
          <w:rFonts w:hint="eastAsia" w:ascii="宋体"/>
          <w:bCs/>
          <w:color w:val="auto"/>
          <w:sz w:val="24"/>
          <w:szCs w:val="24"/>
          <w:highlight w:val="none"/>
        </w:rPr>
        <w:t xml:space="preserve">采购</w:t>
      </w:r>
      <w:r>
        <w:rPr>
          <w:rFonts w:hint="eastAsia" w:ascii="宋体"/>
          <w:bCs/>
          <w:color w:val="auto"/>
          <w:sz w:val="24"/>
          <w:szCs w:val="24"/>
          <w:highlight w:val="none"/>
        </w:rPr>
        <w:t xml:space="preserve">人排查故障，提供解决方法供</w:t>
      </w:r>
      <w:r>
        <w:rPr>
          <w:rFonts w:hint="eastAsia" w:ascii="宋体"/>
          <w:bCs/>
          <w:color w:val="auto"/>
          <w:sz w:val="24"/>
          <w:szCs w:val="24"/>
          <w:highlight w:val="none"/>
        </w:rPr>
        <w:t xml:space="preserve">采购</w:t>
      </w:r>
      <w:r>
        <w:rPr>
          <w:rFonts w:hint="eastAsia" w:ascii="宋体"/>
          <w:bCs/>
          <w:color w:val="auto"/>
          <w:sz w:val="24"/>
          <w:szCs w:val="24"/>
          <w:highlight w:val="none"/>
        </w:rPr>
        <w:t xml:space="preserve">人选择，配合</w:t>
      </w:r>
      <w:r>
        <w:rPr>
          <w:rFonts w:hint="eastAsia" w:ascii="宋体"/>
          <w:bCs/>
          <w:color w:val="auto"/>
          <w:sz w:val="24"/>
          <w:szCs w:val="24"/>
          <w:highlight w:val="none"/>
        </w:rPr>
        <w:t xml:space="preserve">采购</w:t>
      </w:r>
      <w:r>
        <w:rPr>
          <w:rFonts w:hint="eastAsia" w:ascii="宋体"/>
          <w:bCs/>
          <w:color w:val="auto"/>
          <w:sz w:val="24"/>
          <w:szCs w:val="24"/>
          <w:highlight w:val="none"/>
        </w:rPr>
        <w:t xml:space="preserve">人解决问题。</w:t>
      </w:r>
      <w:r>
        <w:rPr>
          <w:rFonts w:ascii="宋体"/>
          <w:bCs/>
          <w:color w:val="auto"/>
          <w:sz w:val="24"/>
          <w:szCs w:val="24"/>
          <w:highlight w:val="none"/>
        </w:rPr>
      </w:r>
      <w:r>
        <w:rPr>
          <w:color w:val="auto"/>
          <w:highlight w:val="none"/>
        </w:rPr>
      </w:r>
    </w:p>
    <w:p>
      <w:pPr>
        <w:pStyle w:val="929"/>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付款方式：</w:t>
      </w:r>
      <w:r>
        <w:rPr>
          <w:rFonts w:hint="eastAsia" w:ascii="宋体" w:hAnsi="宋体"/>
          <w:bCs/>
          <w:color w:val="auto"/>
          <w:sz w:val="24"/>
          <w:szCs w:val="24"/>
          <w:highlight w:val="none"/>
        </w:rPr>
        <w:t xml:space="preserve">2024年12月支付项目款90%，剩余10%在项目验收完成后支付。</w:t>
      </w:r>
      <w:r>
        <w:rPr>
          <w:rFonts w:ascii="宋体"/>
          <w:bCs/>
          <w:color w:val="auto"/>
          <w:sz w:val="24"/>
          <w:szCs w:val="24"/>
          <w:highlight w:val="none"/>
        </w:rPr>
      </w:r>
      <w:r>
        <w:rPr>
          <w:color w:val="auto"/>
          <w:highlight w:val="none"/>
        </w:rPr>
      </w:r>
    </w:p>
    <w:p>
      <w:pPr>
        <w:pStyle w:val="929"/>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color w:val="auto"/>
          <w:sz w:val="24"/>
          <w:szCs w:val="24"/>
          <w:highlight w:val="none"/>
        </w:rPr>
        <w:t xml:space="preserve">担。政府向社会公众提供的公共服务项目，验收时应当邀请服务对象参与并出具意见，验收结果应当向社会公告。</w:t>
      </w:r>
      <w:r>
        <w:rPr>
          <w:rFonts w:hint="eastAsia"/>
          <w:color w:val="auto"/>
          <w:sz w:val="24"/>
          <w:szCs w:val="24"/>
          <w:highlight w:val="none"/>
        </w:rPr>
        <w:t xml:space="preserve">如有</w:t>
      </w:r>
      <w:r>
        <w:rPr>
          <w:rFonts w:hint="eastAsia"/>
          <w:color w:val="auto"/>
          <w:sz w:val="24"/>
          <w:szCs w:val="24"/>
          <w:highlight w:val="none"/>
        </w:rPr>
        <w:t xml:space="preserve">涉及</w:t>
      </w:r>
      <w:r>
        <w:rPr>
          <w:rFonts w:hint="eastAsia"/>
          <w:color w:val="auto"/>
          <w:sz w:val="24"/>
          <w:szCs w:val="24"/>
          <w:highlight w:val="none"/>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auto"/>
          <w:sz w:val="24"/>
          <w:szCs w:val="24"/>
          <w:highlight w:val="none"/>
        </w:rPr>
      </w:r>
      <w:r>
        <w:rPr>
          <w:color w:val="auto"/>
          <w:highlight w:val="none"/>
        </w:rPr>
      </w:r>
    </w:p>
    <w:p>
      <w:pPr>
        <w:pStyle w:val="929"/>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auto"/>
          <w:sz w:val="24"/>
          <w:highlight w:val="none"/>
        </w:rPr>
        <w:t xml:space="preserve">《中华人民共和国政府采购法》</w:t>
      </w:r>
      <w:r>
        <w:rPr>
          <w:rFonts w:hint="eastAsia" w:ascii="宋体" w:hAnsi="宋体"/>
          <w:bCs/>
          <w:color w:val="auto"/>
          <w:sz w:val="24"/>
          <w:highlight w:val="none"/>
        </w:rPr>
        <w:t xml:space="preserve">第七十七条第一款的规定追究法律责任。</w:t>
      </w:r>
      <w:r>
        <w:rPr>
          <w:rFonts w:hint="eastAsia" w:ascii="宋体"/>
          <w:bCs/>
          <w:color w:val="auto"/>
          <w:sz w:val="24"/>
          <w:szCs w:val="24"/>
          <w:highlight w:val="none"/>
        </w:rPr>
      </w:r>
      <w:r>
        <w:rPr>
          <w:color w:val="auto"/>
          <w:highlight w:val="none"/>
        </w:rPr>
      </w:r>
    </w:p>
    <w:p>
      <w:pPr>
        <w:pStyle w:val="929"/>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color w:val="auto"/>
          <w:highlight w:val="none"/>
        </w:rPr>
      </w:r>
    </w:p>
    <w:p>
      <w:pPr>
        <w:pStyle w:val="929"/>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auto"/>
          <w:sz w:val="24"/>
          <w:highlight w:val="none"/>
        </w:rPr>
      </w:r>
      <w:r>
        <w:rPr>
          <w:color w:val="auto"/>
          <w:highlight w:val="none"/>
        </w:rPr>
      </w:r>
    </w:p>
    <w:p>
      <w:pPr>
        <w:pStyle w:val="929"/>
        <w:ind w:firstLine="480"/>
        <w:spacing w:line="360" w:lineRule="auto"/>
        <w:rPr>
          <w:rFonts w:hint="eastAsia" w:ascii="宋体" w:hAnsi="宋体"/>
          <w:b/>
          <w:bCs/>
          <w:color w:val="auto"/>
          <w:sz w:val="30"/>
          <w:szCs w:val="30"/>
          <w:highlight w:val="none"/>
        </w:rPr>
      </w:pPr>
      <w:r>
        <w:rPr>
          <w:rFonts w:ascii="宋体" w:hAnsi="宋体"/>
          <w:bCs/>
          <w:color w:val="auto"/>
          <w:sz w:val="24"/>
          <w:highlight w:val="none"/>
        </w:rPr>
        <w:br w:type="page" w:clear="all"/>
      </w:r>
      <w:r>
        <w:rPr>
          <w:rFonts w:hint="eastAsia" w:ascii="宋体" w:hAnsi="宋体"/>
          <w:b/>
          <w:color w:val="auto"/>
          <w:sz w:val="30"/>
          <w:szCs w:val="30"/>
          <w:highlight w:val="none"/>
        </w:rPr>
        <w:t xml:space="preserve">第三部分  政府采购政策（包括但不限于下列具体政策要求）</w:t>
      </w:r>
      <w:r>
        <w:rPr>
          <w:rFonts w:hint="eastAsia" w:ascii="宋体" w:hAnsi="宋体"/>
          <w:b/>
          <w:bCs/>
          <w:color w:val="auto"/>
          <w:sz w:val="30"/>
          <w:szCs w:val="30"/>
          <w:highlight w:val="none"/>
        </w:rPr>
      </w:r>
      <w:r>
        <w:rPr>
          <w:color w:val="auto"/>
          <w:highlight w:val="none"/>
        </w:rPr>
      </w:r>
    </w:p>
    <w:p>
      <w:pPr>
        <w:pStyle w:val="929"/>
        <w:numPr>
          <w:ilvl w:val="1"/>
          <w:numId w:val="8"/>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w:t>
      </w:r>
      <w:r>
        <w:rPr>
          <w:rFonts w:hint="eastAsia" w:ascii="宋体"/>
          <w:bCs/>
          <w:color w:val="auto"/>
          <w:sz w:val="24"/>
          <w:szCs w:val="24"/>
          <w:highlight w:val="none"/>
        </w:rPr>
        <w:t xml:space="preserve">涉及</w:t>
      </w:r>
      <w:r>
        <w:rPr>
          <w:rFonts w:hint="eastAsia" w:ascii="宋体"/>
          <w:bCs/>
          <w:color w:val="auto"/>
          <w:sz w:val="24"/>
          <w:szCs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color w:val="auto"/>
          <w:highlight w:val="none"/>
        </w:rPr>
      </w:r>
    </w:p>
    <w:p>
      <w:pPr>
        <w:pStyle w:val="929"/>
        <w:numPr>
          <w:ilvl w:val="1"/>
          <w:numId w:val="8"/>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color w:val="auto"/>
          <w:highlight w:val="none"/>
        </w:rPr>
      </w:r>
    </w:p>
    <w:p>
      <w:pPr>
        <w:pStyle w:val="92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color w:val="auto"/>
          <w:highlight w:val="none"/>
        </w:rPr>
      </w:r>
    </w:p>
    <w:p>
      <w:pPr>
        <w:pStyle w:val="92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rPr>
          <w:color w:val="auto"/>
          <w:highlight w:val="none"/>
        </w:rPr>
      </w:r>
    </w:p>
    <w:p>
      <w:pPr>
        <w:pStyle w:val="929"/>
        <w:numPr>
          <w:ilvl w:val="1"/>
          <w:numId w:val="8"/>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color w:val="auto"/>
          <w:sz w:val="24"/>
          <w:szCs w:val="24"/>
          <w:highlight w:val="none"/>
        </w:rPr>
        <w:t xml:space="preserve">本项目中如有</w:t>
      </w:r>
      <w:r>
        <w:rPr>
          <w:rFonts w:hint="eastAsia"/>
          <w:color w:val="auto"/>
          <w:sz w:val="24"/>
          <w:szCs w:val="24"/>
          <w:highlight w:val="none"/>
        </w:rPr>
        <w:t xml:space="preserve">涉及</w:t>
      </w:r>
      <w:r>
        <w:rPr>
          <w:rFonts w:hint="eastAsia"/>
          <w:color w:val="auto"/>
          <w:sz w:val="24"/>
          <w:szCs w:val="24"/>
          <w:highlight w:val="none"/>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auto"/>
          <w:sz w:val="24"/>
          <w:szCs w:val="24"/>
          <w:highlight w:val="none"/>
        </w:rPr>
      </w:r>
      <w:r>
        <w:rPr>
          <w:color w:val="auto"/>
          <w:highlight w:val="none"/>
        </w:rPr>
      </w:r>
    </w:p>
    <w:p>
      <w:pPr>
        <w:pStyle w:val="929"/>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rPr>
          <w:rFonts w:hint="eastAsia" w:ascii="宋体" w:hAnsi="宋体" w:cs="宋体"/>
          <w:color w:val="auto"/>
          <w:sz w:val="24"/>
          <w:szCs w:val="24"/>
          <w:highlight w:val="none"/>
        </w:rPr>
      </w:r>
      <w:r>
        <w:rPr>
          <w:color w:val="auto"/>
          <w:highlight w:val="none"/>
        </w:rPr>
      </w:r>
    </w:p>
    <w:p>
      <w:pPr>
        <w:pStyle w:val="929"/>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中标、成交供应商可采用合同融资形式，中标人可凭政府采购合同办理融资贷款，详见政府采购网“政采贷”专栏。</w:t>
      </w:r>
      <w:r>
        <w:rPr>
          <w:rFonts w:hint="eastAsia" w:ascii="宋体" w:hAnsi="宋体" w:cs="宋体"/>
          <w:color w:val="auto"/>
          <w:sz w:val="24"/>
          <w:szCs w:val="24"/>
          <w:highlight w:val="none"/>
        </w:rPr>
      </w:r>
      <w:r>
        <w:rPr>
          <w:color w:val="auto"/>
          <w:highlight w:val="none"/>
        </w:rPr>
      </w:r>
    </w:p>
    <w:p>
      <w:pPr>
        <w:pStyle w:val="929"/>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auto"/>
          <w:sz w:val="24"/>
          <w:szCs w:val="24"/>
          <w:highlight w:val="none"/>
        </w:rPr>
      </w:r>
      <w:r>
        <w:rPr>
          <w:color w:val="auto"/>
          <w:highlight w:val="none"/>
        </w:rPr>
      </w:r>
    </w:p>
    <w:p>
      <w:pPr>
        <w:pStyle w:val="92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中标、成交供应商可以采用电子履约保函形式，具体操作可</w:t>
      </w:r>
      <w:r>
        <w:rPr>
          <w:rFonts w:hint="eastAsia" w:ascii="宋体"/>
          <w:bCs/>
          <w:color w:val="auto"/>
          <w:sz w:val="24"/>
          <w:szCs w:val="24"/>
          <w:highlight w:val="none"/>
        </w:rPr>
        <w:t xml:space="preserve">登录</w:t>
      </w:r>
      <w:r>
        <w:rPr>
          <w:rFonts w:hint="eastAsia" w:ascii="宋体"/>
          <w:bCs/>
          <w:color w:val="auto"/>
          <w:sz w:val="24"/>
          <w:szCs w:val="24"/>
          <w:highlight w:val="none"/>
        </w:rPr>
        <w:t xml:space="preserve">江苏政府采购网的保险保函模块进行办理。</w:t>
      </w:r>
      <w:r>
        <w:rPr>
          <w:color w:val="auto"/>
          <w:highlight w:val="none"/>
        </w:rPr>
      </w:r>
    </w:p>
    <w:p>
      <w:pPr>
        <w:pStyle w:val="929"/>
        <w:numPr>
          <w:ilvl w:val="1"/>
          <w:numId w:val="8"/>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hAnsi="宋体" w:cs="宋体"/>
          <w:color w:val="auto"/>
          <w:sz w:val="24"/>
          <w:szCs w:val="24"/>
          <w:highlight w:val="none"/>
        </w:rPr>
        <w:t xml:space="preserve">本项目中如有</w:t>
      </w:r>
      <w:r>
        <w:rPr>
          <w:rFonts w:hint="eastAsia" w:ascii="宋体" w:hAnsi="宋体" w:cs="宋体"/>
          <w:color w:val="auto"/>
          <w:sz w:val="24"/>
          <w:szCs w:val="24"/>
          <w:highlight w:val="none"/>
        </w:rPr>
        <w:t xml:space="preserve">涉及</w:t>
      </w:r>
      <w:r>
        <w:rPr>
          <w:rFonts w:hint="eastAsia" w:ascii="宋体" w:hAnsi="宋体" w:cs="宋体"/>
          <w:color w:val="auto"/>
          <w:sz w:val="24"/>
          <w:szCs w:val="24"/>
          <w:highlight w:val="none"/>
        </w:rPr>
        <w:t xml:space="preserve">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color w:val="auto"/>
          <w:sz w:val="24"/>
          <w:szCs w:val="24"/>
          <w:highlight w:val="none"/>
        </w:rPr>
        <w:t xml:space="preserve">《需求标准》详见财库〔2023〕29号、30号、31号、32号、33号、34号、35号。</w:t>
      </w:r>
      <w:r>
        <w:rPr>
          <w:rFonts w:hint="eastAsia" w:ascii="宋体" w:hAnsi="宋体" w:cs="宋体"/>
          <w:color w:val="auto"/>
          <w:sz w:val="24"/>
          <w:szCs w:val="24"/>
          <w:highlight w:val="none"/>
        </w:rPr>
        <w:t xml:space="preserve">在满足《需求标准》的</w:t>
      </w:r>
      <w:r>
        <w:rPr>
          <w:rFonts w:hint="eastAsia" w:ascii="宋体" w:hAnsi="宋体" w:cs="宋体"/>
          <w:color w:val="auto"/>
          <w:sz w:val="24"/>
          <w:szCs w:val="24"/>
          <w:highlight w:val="none"/>
        </w:rPr>
        <w:t xml:space="preserve">前提</w:t>
      </w:r>
      <w:r>
        <w:rPr>
          <w:rFonts w:hint="eastAsia" w:ascii="宋体" w:hAnsi="宋体" w:cs="宋体"/>
          <w:color w:val="auto"/>
          <w:sz w:val="24"/>
          <w:szCs w:val="24"/>
          <w:highlight w:val="none"/>
        </w:rPr>
        <w:t xml:space="preserve">下，如招标文件中有其他要求的，投标人应</w:t>
      </w:r>
      <w:r>
        <w:rPr>
          <w:rFonts w:hint="eastAsia" w:ascii="宋体" w:hAnsi="宋体" w:cs="宋体"/>
          <w:color w:val="auto"/>
          <w:sz w:val="24"/>
          <w:szCs w:val="24"/>
          <w:highlight w:val="none"/>
        </w:rPr>
        <w:t xml:space="preserve">满足</w:t>
      </w:r>
      <w:r>
        <w:rPr>
          <w:rFonts w:hint="eastAsia" w:ascii="宋体" w:hAnsi="宋体" w:cs="宋体"/>
          <w:color w:val="auto"/>
          <w:sz w:val="24"/>
          <w:szCs w:val="24"/>
          <w:highlight w:val="none"/>
        </w:rPr>
        <w:t xml:space="preserve">招标文件要求。</w:t>
      </w:r>
      <w:r>
        <w:rPr>
          <w:rFonts w:hint="eastAsia" w:ascii="宋体"/>
          <w:bCs/>
          <w:color w:val="auto"/>
          <w:sz w:val="24"/>
          <w:szCs w:val="24"/>
          <w:highlight w:val="none"/>
        </w:rPr>
        <w:t xml:space="preserve">采购人可在合同中约定</w:t>
      </w:r>
      <w:r>
        <w:rPr>
          <w:rFonts w:hint="eastAsia" w:ascii="宋体"/>
          <w:bCs/>
          <w:color w:val="auto"/>
          <w:sz w:val="24"/>
          <w:szCs w:val="24"/>
          <w:highlight w:val="none"/>
        </w:rPr>
        <w:t xml:space="preserve">，</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w:t>
      </w:r>
      <w:r>
        <w:rPr>
          <w:rFonts w:hint="eastAsia" w:ascii="宋体"/>
          <w:bCs/>
          <w:color w:val="auto"/>
          <w:sz w:val="24"/>
          <w:szCs w:val="24"/>
          <w:highlight w:val="none"/>
        </w:rPr>
        <w:t xml:space="preserve">可</w:t>
      </w:r>
      <w:r>
        <w:rPr>
          <w:rFonts w:hint="eastAsia" w:ascii="宋体"/>
          <w:bCs/>
          <w:color w:val="auto"/>
          <w:sz w:val="24"/>
          <w:szCs w:val="24"/>
          <w:highlight w:val="none"/>
        </w:rPr>
        <w:t xml:space="preserve">对所提供的七种软硬件进行验收，必要时</w:t>
      </w:r>
      <w:r>
        <w:rPr>
          <w:rFonts w:hint="eastAsia" w:ascii="宋体"/>
          <w:bCs/>
          <w:color w:val="auto"/>
          <w:sz w:val="24"/>
          <w:szCs w:val="24"/>
          <w:highlight w:val="none"/>
        </w:rPr>
        <w:t xml:space="preserve">可以</w:t>
      </w:r>
      <w:r>
        <w:rPr>
          <w:rFonts w:hint="eastAsia" w:ascii="宋体"/>
          <w:bCs/>
          <w:color w:val="auto"/>
          <w:sz w:val="24"/>
          <w:szCs w:val="24"/>
          <w:highlight w:val="none"/>
        </w:rPr>
        <w:t xml:space="preserve">委托依法取得检测、认证资质的机构进行检测、认证。</w:t>
      </w:r>
      <w:r>
        <w:rPr>
          <w:rFonts w:hint="eastAsia" w:ascii="宋体"/>
          <w:bCs/>
          <w:color w:val="auto"/>
          <w:sz w:val="24"/>
          <w:szCs w:val="24"/>
          <w:highlight w:val="none"/>
        </w:rPr>
      </w:r>
      <w:r>
        <w:rPr>
          <w:color w:val="auto"/>
          <w:highlight w:val="none"/>
        </w:rPr>
      </w:r>
    </w:p>
    <w:p>
      <w:pPr>
        <w:pStyle w:val="929"/>
        <w:numPr>
          <w:ilvl w:val="1"/>
          <w:numId w:val="8"/>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w:t>
      </w:r>
      <w:r>
        <w:rPr>
          <w:rFonts w:hint="eastAsia" w:ascii="宋体"/>
          <w:bCs/>
          <w:color w:val="auto"/>
          <w:sz w:val="24"/>
          <w:szCs w:val="24"/>
          <w:highlight w:val="none"/>
        </w:rPr>
        <w:t xml:space="preserve">苏财办购〔2024〕1号</w:t>
      </w:r>
      <w:r>
        <w:rPr>
          <w:rFonts w:hint="eastAsia" w:ascii="宋体"/>
          <w:bCs/>
          <w:color w:val="auto"/>
          <w:sz w:val="24"/>
          <w:szCs w:val="24"/>
          <w:highlight w:val="none"/>
        </w:rPr>
        <w:t xml:space="preserve">相关</w:t>
      </w:r>
      <w:r>
        <w:rPr>
          <w:rFonts w:hint="eastAsia" w:ascii="宋体"/>
          <w:bCs/>
          <w:color w:val="auto"/>
          <w:sz w:val="24"/>
          <w:szCs w:val="24"/>
          <w:highlight w:val="none"/>
        </w:rPr>
        <w:t xml:space="preserve">要求</w:t>
      </w:r>
      <w:r>
        <w:rPr>
          <w:rFonts w:hint="eastAsia" w:ascii="宋体"/>
          <w:bCs/>
          <w:color w:val="auto"/>
          <w:sz w:val="24"/>
          <w:szCs w:val="24"/>
          <w:highlight w:val="none"/>
        </w:rPr>
        <w:t xml:space="preserve">，采购人应当严格按照政府采购法有关规定，在中标、成交通知书发出之日起30日内，按照采购文件确定的事项与中标、成交供应商签订政府采购合同</w:t>
      </w:r>
      <w:r>
        <w:rPr>
          <w:rFonts w:hint="eastAsia" w:ascii="宋体"/>
          <w:bCs/>
          <w:color w:val="auto"/>
          <w:sz w:val="24"/>
          <w:szCs w:val="24"/>
          <w:highlight w:val="none"/>
        </w:rPr>
        <w:t xml:space="preserve">。采购人因不可抗力原因迟延签订合同的，应当自不可抗力事由消除之日起7日内完成合同签订事宜。</w:t>
      </w:r>
      <w:r>
        <w:rPr>
          <w:rFonts w:hint="eastAsia" w:ascii="宋体"/>
          <w:bCs/>
          <w:color w:val="auto"/>
          <w:sz w:val="24"/>
          <w:szCs w:val="24"/>
          <w:highlight w:val="none"/>
        </w:rPr>
      </w:r>
      <w:r>
        <w:rPr>
          <w:color w:val="auto"/>
          <w:highlight w:val="none"/>
        </w:rPr>
      </w:r>
    </w:p>
    <w:p>
      <w:pPr>
        <w:pStyle w:val="92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auto"/>
          <w:sz w:val="24"/>
          <w:szCs w:val="24"/>
          <w:highlight w:val="none"/>
          <w:lang w:val="en"/>
        </w:rPr>
      </w:r>
      <w:r>
        <w:rPr>
          <w:color w:val="auto"/>
          <w:highlight w:val="none"/>
        </w:rPr>
      </w:r>
    </w:p>
    <w:p>
      <w:pPr>
        <w:pStyle w:val="92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采购人原则上应当自收到发票后10</w:t>
      </w:r>
      <w:r>
        <w:rPr>
          <w:rFonts w:hint="eastAsia" w:ascii="宋体"/>
          <w:bCs/>
          <w:color w:val="auto"/>
          <w:sz w:val="24"/>
          <w:szCs w:val="24"/>
          <w:highlight w:val="none"/>
          <w:lang w:val="en"/>
        </w:rPr>
        <w:t xml:space="preserve">个工作日内将资金支付到合同约定的供应商账户</w:t>
      </w:r>
      <w:r>
        <w:rPr>
          <w:rFonts w:hint="eastAsia" w:ascii="宋体"/>
          <w:bCs/>
          <w:color w:val="auto"/>
          <w:sz w:val="24"/>
          <w:szCs w:val="24"/>
          <w:highlight w:val="none"/>
          <w:lang w:val="en"/>
        </w:rPr>
        <w:t xml:space="preserve">。</w:t>
      </w:r>
      <w:r>
        <w:rPr>
          <w:rFonts w:hint="eastAsia" w:ascii="宋体"/>
          <w:bCs/>
          <w:color w:val="auto"/>
          <w:sz w:val="24"/>
          <w:szCs w:val="24"/>
          <w:highlight w:val="none"/>
          <w:lang w:val="en"/>
        </w:rPr>
      </w:r>
      <w:r>
        <w:rPr>
          <w:color w:val="auto"/>
          <w:highlight w:val="none"/>
        </w:rPr>
      </w:r>
    </w:p>
    <w:p>
      <w:pPr>
        <w:pStyle w:val="929"/>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ascii="宋体"/>
          <w:bCs/>
          <w:color w:val="auto"/>
          <w:sz w:val="24"/>
          <w:szCs w:val="24"/>
          <w:highlight w:val="none"/>
        </w:rPr>
        <w:br w:type="page" w:clear="all"/>
      </w:r>
      <w:bookmarkStart w:id="193" w:name="_Toc120614281"/>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rPr>
          <w:rFonts w:hint="eastAsia" w:ascii="黑体" w:hAnsi="黑体" w:eastAsia="黑体"/>
          <w:bCs/>
          <w:color w:val="auto"/>
          <w:sz w:val="36"/>
          <w:szCs w:val="36"/>
          <w:highlight w:val="none"/>
        </w:rPr>
      </w:r>
      <w:r>
        <w:rPr>
          <w:color w:val="auto"/>
          <w:highlight w:val="none"/>
        </w:rPr>
      </w:r>
    </w:p>
    <w:p>
      <w:pPr>
        <w:pStyle w:val="1017"/>
        <w:ind w:firstLine="602"/>
        <w:spacing w:before="0" w:after="0" w:line="500" w:lineRule="exact"/>
        <w:rPr>
          <w:rFonts w:hint="eastAsia" w:cs="Arial"/>
          <w:b/>
          <w:color w:val="auto"/>
          <w:sz w:val="30"/>
          <w:szCs w:val="30"/>
          <w:highlight w:val="none"/>
        </w:rPr>
      </w:pPr>
      <w:r>
        <w:rPr>
          <w:rFonts w:hint="eastAsia" w:cs="Arial"/>
          <w:b/>
          <w:color w:val="auto"/>
          <w:sz w:val="30"/>
          <w:szCs w:val="30"/>
          <w:highlight w:val="none"/>
        </w:rPr>
        <w:t xml:space="preserve">第一部分  评标方法</w:t>
      </w:r>
      <w:r>
        <w:rPr>
          <w:color w:val="auto"/>
          <w:highlight w:val="none"/>
        </w:rPr>
      </w:r>
    </w:p>
    <w:p>
      <w:pPr>
        <w:pStyle w:val="1017"/>
        <w:spacing w:before="0" w:after="0" w:line="500" w:lineRule="exact"/>
        <w:rPr>
          <w:rFonts w:hint="eastAsia" w:cs="Arial"/>
          <w:color w:val="auto"/>
          <w:highlight w:val="none"/>
        </w:rPr>
      </w:pPr>
      <w:r>
        <w:rPr>
          <w:rFonts w:hint="eastAsia" w:cs="Arial"/>
          <w:color w:val="auto"/>
          <w:highlight w:val="none"/>
        </w:rPr>
        <w:t xml:space="preserve">投标人通过初审的，方可进入比较与评价程序。</w:t>
      </w:r>
      <w:r>
        <w:rPr>
          <w:color w:val="auto"/>
          <w:highlight w:val="none"/>
        </w:rPr>
      </w:r>
    </w:p>
    <w:p>
      <w:pPr>
        <w:pStyle w:val="1017"/>
        <w:spacing w:before="0" w:after="0" w:line="500" w:lineRule="exact"/>
        <w:rPr>
          <w:rFonts w:hint="eastAsia" w:cs="Arial"/>
          <w:color w:val="auto"/>
          <w:highlight w:val="none"/>
        </w:rPr>
      </w:pPr>
      <w:r>
        <w:rPr>
          <w:rFonts w:hint="eastAsia" w:cs="Arial"/>
          <w:color w:val="auto"/>
          <w:highlight w:val="none"/>
        </w:rPr>
        <w:t xml:space="preserve">比较与评价采用综合评分法。</w:t>
      </w:r>
      <w:r>
        <w:rPr>
          <w:color w:val="auto"/>
          <w:highlight w:val="none"/>
        </w:rPr>
      </w:r>
    </w:p>
    <w:p>
      <w:pPr>
        <w:pStyle w:val="1017"/>
        <w:spacing w:before="0" w:after="0" w:line="500" w:lineRule="exact"/>
        <w:rPr>
          <w:rFonts w:hint="eastAsia"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color w:val="auto"/>
          <w:highlight w:val="none"/>
        </w:rPr>
        <w:t xml:space="preserve">得分相同且投标</w:t>
      </w:r>
      <w:r>
        <w:rPr>
          <w:rFonts w:hint="eastAsia" w:ascii="宋体" w:hAnsi="宋体"/>
          <w:bCs/>
          <w:color w:val="auto"/>
          <w:highlight w:val="none"/>
        </w:rPr>
        <w:t xml:space="preserve">报价相同的并列。投标文件满足招标文件全部实质性要求，且按照评审因素的量化指标评审得分最高的投标人排名第</w:t>
      </w:r>
      <w:r>
        <w:rPr>
          <w:rFonts w:hint="eastAsia" w:ascii="宋体" w:hAnsi="宋体"/>
          <w:bCs/>
          <w:color w:val="auto"/>
          <w:highlight w:val="none"/>
        </w:rPr>
        <w:t xml:space="preserve">一，以此类推，按排名先后顺序选取3名中标候选人。</w:t>
      </w:r>
      <w:r>
        <w:rPr>
          <w:rFonts w:hint="eastAsia" w:ascii="宋体" w:hAnsi="宋体"/>
          <w:bCs/>
          <w:color w:val="auto"/>
          <w:highlight w:val="none"/>
        </w:rPr>
      </w:r>
      <w:r>
        <w:rPr>
          <w:color w:val="auto"/>
          <w:highlight w:val="none"/>
        </w:rPr>
      </w:r>
    </w:p>
    <w:p>
      <w:pPr>
        <w:pStyle w:val="1017"/>
        <w:spacing w:before="0" w:after="0" w:line="500" w:lineRule="exact"/>
        <w:rPr>
          <w:rFonts w:hint="eastAsia"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color w:val="auto"/>
          <w:highlight w:val="none"/>
        </w:rPr>
      </w:r>
    </w:p>
    <w:p>
      <w:pPr>
        <w:pStyle w:val="1017"/>
        <w:spacing w:before="0" w:after="0" w:line="500" w:lineRule="exact"/>
        <w:rPr>
          <w:rFonts w:hint="eastAsia" w:cs="Arial"/>
          <w:b/>
          <w:color w:val="auto"/>
          <w:sz w:val="30"/>
          <w:szCs w:val="30"/>
          <w:highlight w:val="none"/>
        </w:rPr>
      </w:pPr>
      <w:r>
        <w:rPr>
          <w:rFonts w:cs="Arial"/>
          <w:color w:val="auto"/>
          <w:highlight w:val="none"/>
          <w:shd w:val="clear" w:color="ffffff" w:fill="d9d9d9"/>
        </w:rPr>
        <w:br w:type="page" w:clear="all"/>
      </w:r>
      <w:r>
        <w:rPr>
          <w:rFonts w:hint="eastAsia" w:cs="Arial"/>
          <w:b/>
          <w:color w:val="auto"/>
          <w:sz w:val="30"/>
          <w:szCs w:val="30"/>
          <w:highlight w:val="none"/>
        </w:rPr>
        <w:t xml:space="preserve">第二部分  评标标准</w:t>
      </w:r>
      <w:r>
        <w:rPr>
          <w:color w:val="auto"/>
          <w:highlight w:val="none"/>
        </w:rPr>
      </w:r>
    </w:p>
    <w:p>
      <w:pPr>
        <w:pStyle w:val="1017"/>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rPr>
          <w:color w:val="auto"/>
          <w:highlight w:val="none"/>
        </w:rPr>
      </w:r>
    </w:p>
    <w:p>
      <w:pPr>
        <w:pStyle w:val="929"/>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rPr>
          <w:color w:val="auto"/>
          <w:highlight w:val="none"/>
        </w:rPr>
      </w:r>
    </w:p>
    <w:p>
      <w:pPr>
        <w:pStyle w:val="929"/>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rPr>
          <w:rFonts w:ascii="宋体" w:hAnsi="宋体"/>
          <w:bCs/>
          <w:color w:val="auto"/>
          <w:sz w:val="24"/>
          <w:szCs w:val="24"/>
          <w:highlight w:val="none"/>
        </w:rPr>
      </w:r>
      <w:r>
        <w:rPr>
          <w:color w:val="auto"/>
          <w:highlight w:val="none"/>
        </w:rPr>
      </w:r>
    </w:p>
    <w:p>
      <w:pPr>
        <w:pStyle w:val="929"/>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auto"/>
          <w:sz w:val="24"/>
          <w:szCs w:val="24"/>
          <w:highlight w:val="none"/>
        </w:rPr>
      </w:r>
      <w:r>
        <w:rPr>
          <w:color w:val="auto"/>
          <w:highlight w:val="none"/>
        </w:rPr>
      </w:r>
    </w:p>
    <w:p>
      <w:pPr>
        <w:pStyle w:val="929"/>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auto"/>
          <w:sz w:val="24"/>
          <w:szCs w:val="24"/>
          <w:highlight w:val="none"/>
        </w:rPr>
      </w:r>
      <w:r>
        <w:rPr>
          <w:color w:val="auto"/>
          <w:highlight w:val="none"/>
        </w:rPr>
      </w:r>
    </w:p>
    <w:p>
      <w:pPr>
        <w:pStyle w:val="929"/>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rPr>
          <w:color w:val="auto"/>
          <w:highlight w:val="none"/>
        </w:rPr>
      </w:r>
    </w:p>
    <w:p>
      <w:pPr>
        <w:pStyle w:val="929"/>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rPr>
          <w:rFonts w:ascii="宋体" w:hAnsi="宋体"/>
          <w:bCs/>
          <w:color w:val="auto"/>
          <w:sz w:val="24"/>
          <w:szCs w:val="24"/>
          <w:highlight w:val="none"/>
        </w:rPr>
      </w:r>
      <w:r>
        <w:rPr>
          <w:color w:val="auto"/>
          <w:highlight w:val="none"/>
        </w:rPr>
      </w:r>
    </w:p>
    <w:p>
      <w:pPr>
        <w:pStyle w:val="929"/>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rPr>
          <w:rFonts w:ascii="宋体" w:hAnsi="宋体"/>
          <w:bCs/>
          <w:color w:val="auto"/>
          <w:sz w:val="24"/>
          <w:szCs w:val="24"/>
          <w:highlight w:val="none"/>
        </w:rPr>
      </w:r>
      <w:r>
        <w:rPr>
          <w:color w:val="auto"/>
          <w:highlight w:val="none"/>
        </w:rPr>
      </w:r>
    </w:p>
    <w:p>
      <w:pPr>
        <w:pStyle w:val="929"/>
        <w:ind w:firstLine="480"/>
        <w:jc w:val="left"/>
        <w:spacing w:line="500" w:lineRule="exact"/>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rPr>
          <w:color w:val="auto"/>
          <w:highlight w:val="none"/>
        </w:rPr>
      </w:r>
    </w:p>
    <w:p>
      <w:pPr>
        <w:pStyle w:val="1017"/>
        <w:ind w:firstLine="360"/>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 xml:space="preserve">二、评分标准</w:t>
      </w:r>
      <w:r>
        <w:rPr>
          <w:rFonts w:hint="eastAsia" w:ascii="宋体" w:hAnsi="宋体"/>
          <w:color w:val="auto"/>
          <w:highlight w:val="none"/>
          <w:shd w:val="clear" w:color="ffffff" w:fill="d9d9d9"/>
        </w:rPr>
      </w:r>
      <w:r>
        <w:rPr>
          <w:color w:val="auto"/>
          <w:highlight w:val="none"/>
        </w:rPr>
      </w:r>
    </w:p>
    <w:p>
      <w:pPr>
        <w:pStyle w:val="929"/>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价格（</w:t>
      </w:r>
      <w:r>
        <w:rPr>
          <w:rFonts w:hint="eastAsia" w:ascii="宋体" w:hAnsi="宋体"/>
          <w:b/>
          <w:bCs/>
          <w:color w:val="auto"/>
          <w:sz w:val="24"/>
          <w:szCs w:val="24"/>
          <w:highlight w:val="none"/>
        </w:rPr>
        <w:t xml:space="preserve">20</w:t>
      </w:r>
      <w:r>
        <w:rPr>
          <w:rFonts w:hint="eastAsia" w:ascii="宋体" w:hAnsi="宋体"/>
          <w:b/>
          <w:bCs/>
          <w:color w:val="auto"/>
          <w:sz w:val="24"/>
          <w:szCs w:val="24"/>
          <w:highlight w:val="none"/>
        </w:rPr>
        <w:t xml:space="preserve">分）：</w:t>
      </w:r>
      <w:r>
        <w:rPr>
          <w:rFonts w:ascii="宋体" w:hAnsi="宋体"/>
          <w:b/>
          <w:bCs/>
          <w:color w:val="auto"/>
          <w:sz w:val="24"/>
          <w:szCs w:val="24"/>
          <w:highlight w:val="none"/>
        </w:rPr>
      </w:r>
      <w:r>
        <w:rPr>
          <w:color w:val="auto"/>
          <w:highlight w:val="none"/>
        </w:rPr>
      </w:r>
    </w:p>
    <w:p>
      <w:pPr>
        <w:pStyle w:val="929"/>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rPr>
          <w:rFonts w:ascii="宋体"/>
          <w:bCs/>
          <w:color w:val="auto"/>
          <w:sz w:val="24"/>
          <w:szCs w:val="24"/>
          <w:highlight w:val="none"/>
        </w:rPr>
      </w:r>
      <w:r>
        <w:rPr>
          <w:color w:val="auto"/>
          <w:highlight w:val="none"/>
        </w:rPr>
      </w:r>
    </w:p>
    <w:p>
      <w:pPr>
        <w:pStyle w:val="929"/>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投标报价得分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评标基准价／投标报价</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×价格权值×</w:t>
      </w:r>
      <w:r>
        <w:rPr>
          <w:rFonts w:ascii="宋体" w:hAnsi="宋体"/>
          <w:bCs/>
          <w:color w:val="auto"/>
          <w:sz w:val="24"/>
          <w:szCs w:val="24"/>
          <w:highlight w:val="none"/>
        </w:rPr>
        <w:t xml:space="preserve">100</w:t>
      </w:r>
      <w:r>
        <w:rPr>
          <w:rFonts w:hint="eastAsia" w:ascii="宋体" w:hAnsi="宋体"/>
          <w:bCs/>
          <w:color w:val="auto"/>
          <w:sz w:val="24"/>
          <w:szCs w:val="24"/>
          <w:highlight w:val="none"/>
        </w:rPr>
        <w:t xml:space="preserve">。</w:t>
      </w:r>
      <w:r>
        <w:rPr>
          <w:rFonts w:ascii="宋体"/>
          <w:bCs/>
          <w:color w:val="auto"/>
          <w:sz w:val="24"/>
          <w:szCs w:val="24"/>
          <w:highlight w:val="none"/>
        </w:rPr>
      </w:r>
      <w:r>
        <w:rPr>
          <w:color w:val="auto"/>
          <w:highlight w:val="none"/>
        </w:rPr>
      </w:r>
    </w:p>
    <w:p>
      <w:pPr>
        <w:pStyle w:val="929"/>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rPr>
          <w:rFonts w:hint="eastAsia" w:ascii="宋体" w:hAnsi="宋体"/>
          <w:bCs/>
          <w:color w:val="auto"/>
          <w:sz w:val="24"/>
          <w:szCs w:val="24"/>
          <w:highlight w:val="none"/>
        </w:rPr>
      </w:r>
      <w:r>
        <w:rPr>
          <w:color w:val="auto"/>
          <w:highlight w:val="none"/>
        </w:rPr>
      </w:r>
    </w:p>
    <w:p>
      <w:pPr>
        <w:pStyle w:val="929"/>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项目人员配置情况（</w:t>
      </w:r>
      <w:r>
        <w:rPr>
          <w:rFonts w:hint="eastAsia" w:ascii="宋体" w:hAnsi="宋体"/>
          <w:b/>
          <w:bCs/>
          <w:color w:val="auto"/>
          <w:sz w:val="24"/>
          <w:szCs w:val="24"/>
          <w:highlight w:val="none"/>
        </w:rPr>
        <w:t xml:space="preserve">3</w:t>
      </w:r>
      <w:r>
        <w:rPr>
          <w:rFonts w:hint="eastAsia" w:ascii="宋体" w:hAnsi="宋体"/>
          <w:b/>
          <w:bCs/>
          <w:color w:val="auto"/>
          <w:sz w:val="24"/>
          <w:szCs w:val="24"/>
          <w:highlight w:val="none"/>
        </w:rPr>
        <w:t xml:space="preserve">分）：</w:t>
      </w:r>
      <w:r>
        <w:rPr>
          <w:rFonts w:hint="eastAsia" w:ascii="宋体" w:hAnsi="宋体"/>
          <w:bCs/>
          <w:color w:val="auto"/>
          <w:sz w:val="24"/>
          <w:szCs w:val="24"/>
          <w:highlight w:val="none"/>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auto"/>
          <w:sz w:val="24"/>
          <w:szCs w:val="24"/>
          <w:highlight w:val="none"/>
        </w:rPr>
      </w:r>
      <w:r>
        <w:rPr>
          <w:color w:val="auto"/>
          <w:highlight w:val="none"/>
        </w:rPr>
      </w:r>
    </w:p>
    <w:p>
      <w:pPr>
        <w:pStyle w:val="929"/>
        <w:ind w:firstLine="480"/>
        <w:spacing w:line="500" w:lineRule="exact"/>
        <w:rPr>
          <w:rFonts w:ascii="宋体" w:hAnsi="宋体"/>
          <w:color w:val="auto"/>
          <w:sz w:val="24"/>
          <w:highlight w:val="none"/>
        </w:rPr>
      </w:pPr>
      <w:r>
        <w:rPr>
          <w:rFonts w:hint="eastAsia" w:ascii="宋体" w:hAnsi="宋体"/>
          <w:color w:val="auto"/>
          <w:sz w:val="24"/>
          <w:highlight w:val="none"/>
        </w:rPr>
        <w:t xml:space="preserve">2.1  </w:t>
      </w:r>
      <w:r>
        <w:rPr>
          <w:rFonts w:hint="eastAsia" w:ascii="宋体" w:hAnsi="宋体"/>
          <w:color w:val="auto"/>
          <w:sz w:val="24"/>
          <w:highlight w:val="none"/>
        </w:rPr>
        <w:t xml:space="preserve">项目经理（</w:t>
      </w:r>
      <w:r>
        <w:rPr>
          <w:rFonts w:hint="eastAsia" w:ascii="宋体" w:hAnsi="宋体"/>
          <w:color w:val="auto"/>
          <w:sz w:val="24"/>
          <w:highlight w:val="none"/>
        </w:rPr>
        <w:t xml:space="preserve">3</w:t>
      </w:r>
      <w:r>
        <w:rPr>
          <w:rFonts w:hint="eastAsia" w:ascii="宋体" w:hAnsi="宋体"/>
          <w:color w:val="auto"/>
          <w:sz w:val="24"/>
          <w:highlight w:val="none"/>
        </w:rPr>
        <w:t xml:space="preserve">分）：项目经理具有5年以上工作经验的得1分</w:t>
      </w:r>
      <w:r>
        <w:rPr>
          <w:rFonts w:hint="eastAsia" w:ascii="宋体" w:hAnsi="宋体"/>
          <w:color w:val="auto"/>
          <w:sz w:val="24"/>
          <w:highlight w:val="none"/>
        </w:rPr>
        <w:t xml:space="preserve">；</w:t>
      </w:r>
      <w:r>
        <w:rPr>
          <w:rFonts w:hint="eastAsia" w:ascii="宋体" w:hAnsi="宋体"/>
          <w:color w:val="auto"/>
          <w:sz w:val="24"/>
          <w:highlight w:val="none"/>
        </w:rPr>
        <w:t xml:space="preserve">须提供工作经验证明材料</w:t>
      </w:r>
      <w:r>
        <w:rPr>
          <w:rFonts w:hint="eastAsia" w:ascii="宋体" w:hAnsi="宋体"/>
          <w:color w:val="auto"/>
          <w:sz w:val="24"/>
          <w:highlight w:val="none"/>
        </w:rPr>
        <w:t xml:space="preserve">。该项目经理</w:t>
      </w:r>
      <w:r>
        <w:rPr>
          <w:rFonts w:hint="eastAsia" w:ascii="宋体" w:hAnsi="宋体"/>
          <w:color w:val="auto"/>
          <w:sz w:val="24"/>
          <w:highlight w:val="none"/>
        </w:rPr>
        <w:t xml:space="preserve">具有高级信息系统项目管理师证书的得1分</w:t>
      </w:r>
      <w:r>
        <w:rPr>
          <w:rFonts w:hint="eastAsia" w:ascii="宋体" w:hAnsi="宋体"/>
          <w:color w:val="auto"/>
          <w:sz w:val="24"/>
          <w:highlight w:val="none"/>
        </w:rPr>
        <w:t xml:space="preserve">、中级及以上系统集成项目管理工程师的得1分；</w:t>
      </w:r>
      <w:r>
        <w:rPr>
          <w:rFonts w:hint="eastAsia" w:ascii="宋体" w:hAnsi="宋体"/>
          <w:color w:val="auto"/>
          <w:sz w:val="24"/>
          <w:highlight w:val="none"/>
        </w:rPr>
        <w:t xml:space="preserve">须提供人员</w:t>
      </w:r>
      <w:r>
        <w:rPr>
          <w:rFonts w:hint="eastAsia" w:ascii="宋体" w:hAnsi="宋体"/>
          <w:color w:val="auto"/>
          <w:sz w:val="24"/>
          <w:highlight w:val="none"/>
        </w:rPr>
        <w:t xml:space="preserve">相应</w:t>
      </w:r>
      <w:r>
        <w:rPr>
          <w:rFonts w:hint="eastAsia" w:ascii="宋体" w:hAnsi="宋体"/>
          <w:color w:val="auto"/>
          <w:sz w:val="24"/>
          <w:highlight w:val="none"/>
        </w:rPr>
        <w:t xml:space="preserve">证书证明材料。</w:t>
      </w:r>
      <w:r>
        <w:rPr>
          <w:rFonts w:ascii="宋体" w:hAnsi="宋体"/>
          <w:color w:val="auto"/>
          <w:sz w:val="24"/>
          <w:highlight w:val="none"/>
        </w:rPr>
      </w:r>
      <w:r>
        <w:rPr>
          <w:color w:val="auto"/>
          <w:highlight w:val="none"/>
        </w:rPr>
      </w:r>
    </w:p>
    <w:p>
      <w:pPr>
        <w:pStyle w:val="929"/>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投标人综合情况（</w:t>
      </w:r>
      <w:r>
        <w:rPr>
          <w:rFonts w:hint="eastAsia" w:ascii="宋体" w:hAnsi="宋体"/>
          <w:b/>
          <w:bCs/>
          <w:color w:val="auto"/>
          <w:sz w:val="24"/>
          <w:szCs w:val="24"/>
          <w:highlight w:val="none"/>
        </w:rPr>
        <w:t xml:space="preserve">6</w:t>
      </w:r>
      <w:r>
        <w:rPr>
          <w:rFonts w:hint="eastAsia" w:ascii="宋体" w:hAnsi="宋体"/>
          <w:b/>
          <w:bCs/>
          <w:color w:val="auto"/>
          <w:sz w:val="24"/>
          <w:szCs w:val="24"/>
          <w:highlight w:val="none"/>
        </w:rPr>
        <w:t xml:space="preserve">分）：</w:t>
      </w:r>
      <w:r>
        <w:rPr>
          <w:rFonts w:ascii="宋体" w:hAnsi="宋体"/>
          <w:b/>
          <w:bCs/>
          <w:color w:val="auto"/>
          <w:sz w:val="24"/>
          <w:szCs w:val="24"/>
          <w:highlight w:val="none"/>
        </w:rPr>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  </w:t>
      </w:r>
      <w:r>
        <w:rPr>
          <w:rFonts w:hint="eastAsia" w:ascii="宋体" w:hAnsi="宋体"/>
          <w:color w:val="auto"/>
          <w:sz w:val="24"/>
          <w:highlight w:val="none"/>
        </w:rPr>
        <w:t xml:space="preserve">体系认证（</w:t>
      </w:r>
      <w:r>
        <w:rPr>
          <w:rFonts w:hint="eastAsia" w:ascii="宋体" w:hAnsi="宋体"/>
          <w:color w:val="auto"/>
          <w:sz w:val="24"/>
          <w:highlight w:val="none"/>
        </w:rPr>
        <w:t xml:space="preserve">2</w:t>
      </w:r>
      <w:r>
        <w:rPr>
          <w:rFonts w:hint="eastAsia" w:ascii="宋体" w:hAnsi="宋体"/>
          <w:color w:val="auto"/>
          <w:sz w:val="24"/>
          <w:highlight w:val="none"/>
        </w:rPr>
        <w:t xml:space="preserve">分）：投标人具有有效内的：</w:t>
      </w:r>
      <w:r>
        <w:rPr>
          <w:rFonts w:hint="eastAsia" w:ascii="宋体" w:hAnsi="宋体"/>
          <w:color w:val="auto"/>
          <w:sz w:val="24"/>
          <w:highlight w:val="none"/>
        </w:rPr>
        <w:t xml:space="preserve">质量管理体系认证证书的得1分、知识产权管理体系认证证书的得1分</w:t>
      </w:r>
      <w:r>
        <w:rPr>
          <w:rFonts w:hint="eastAsia" w:ascii="宋体" w:hAnsi="宋体"/>
          <w:color w:val="auto"/>
          <w:sz w:val="24"/>
          <w:highlight w:val="none"/>
        </w:rPr>
        <w:t xml:space="preserve">；须提供相应有效体系认证证书扫描件，同时还须提供该证书在“国家市场监督管理总局-全国认证认可信息公共服务平台”网站查询到的有效认证截图并加盖投标人公章。</w:t>
      </w:r>
      <w:r>
        <w:rPr>
          <w:rFonts w:hint="eastAsia" w:ascii="宋体" w:hAnsi="宋体"/>
          <w:color w:val="auto"/>
          <w:sz w:val="24"/>
          <w:highlight w:val="none"/>
        </w:rPr>
      </w:r>
      <w:r>
        <w:rPr>
          <w:color w:val="auto"/>
          <w:highlight w:val="none"/>
        </w:rPr>
      </w:r>
    </w:p>
    <w:p>
      <w:pPr>
        <w:pStyle w:val="929"/>
        <w:ind w:firstLine="480"/>
        <w:spacing w:line="500" w:lineRule="exact"/>
        <w:rPr>
          <w:rFonts w:ascii="宋体" w:hAnsi="宋体"/>
          <w:color w:val="auto"/>
          <w:sz w:val="24"/>
          <w:highlight w:val="none"/>
        </w:rPr>
      </w:pPr>
      <w:r>
        <w:rPr>
          <w:rFonts w:hint="eastAsia" w:ascii="宋体" w:hAnsi="宋体"/>
          <w:color w:val="auto"/>
          <w:sz w:val="24"/>
          <w:highlight w:val="none"/>
        </w:rPr>
        <w:t xml:space="preserve">3.2  数据集成要求（</w:t>
      </w:r>
      <w:r>
        <w:rPr>
          <w:rFonts w:hint="eastAsia" w:ascii="宋体" w:hAnsi="宋体"/>
          <w:color w:val="auto"/>
          <w:sz w:val="24"/>
          <w:highlight w:val="none"/>
        </w:rPr>
        <w:t xml:space="preserve">4</w:t>
      </w:r>
      <w:r>
        <w:rPr>
          <w:rFonts w:hint="eastAsia" w:ascii="宋体" w:hAnsi="宋体"/>
          <w:color w:val="auto"/>
          <w:sz w:val="24"/>
          <w:highlight w:val="none"/>
        </w:rPr>
        <w:t xml:space="preserve">分）：本次建设内容须与学校原有身份认证系统、OA系统进行数据与权限对接，完成数据迁移，</w:t>
      </w:r>
      <w:r>
        <w:rPr>
          <w:rFonts w:hint="eastAsia" w:ascii="宋体" w:hAnsi="宋体"/>
          <w:color w:val="auto"/>
          <w:sz w:val="24"/>
          <w:highlight w:val="none"/>
        </w:rPr>
        <w:t xml:space="preserve">投标人</w:t>
      </w:r>
      <w:r>
        <w:rPr>
          <w:rFonts w:hint="eastAsia" w:ascii="宋体" w:hAnsi="宋体"/>
          <w:color w:val="auto"/>
          <w:sz w:val="24"/>
          <w:highlight w:val="none"/>
        </w:rPr>
        <w:t xml:space="preserve">自行承担对接接口开发及实施等一切费用</w:t>
      </w:r>
      <w:r>
        <w:rPr>
          <w:rFonts w:hint="eastAsia" w:ascii="宋体" w:hAnsi="宋体"/>
          <w:color w:val="auto"/>
          <w:sz w:val="24"/>
          <w:highlight w:val="none"/>
        </w:rPr>
        <w:t xml:space="preserve">；投标人</w:t>
      </w:r>
      <w:r>
        <w:rPr>
          <w:rFonts w:hint="eastAsia" w:ascii="宋体" w:hAnsi="宋体"/>
          <w:color w:val="auto"/>
          <w:sz w:val="24"/>
          <w:highlight w:val="none"/>
        </w:rPr>
        <w:t xml:space="preserve">提供</w:t>
      </w:r>
      <w:r>
        <w:rPr>
          <w:rFonts w:hint="eastAsia" w:ascii="宋体" w:hAnsi="宋体"/>
          <w:color w:val="auto"/>
          <w:sz w:val="24"/>
          <w:highlight w:val="none"/>
        </w:rPr>
        <w:t xml:space="preserve">满足上述要求的对接</w:t>
      </w:r>
      <w:r>
        <w:rPr>
          <w:rFonts w:hint="eastAsia" w:ascii="宋体" w:hAnsi="宋体"/>
          <w:color w:val="auto"/>
          <w:sz w:val="24"/>
          <w:highlight w:val="none"/>
        </w:rPr>
        <w:t xml:space="preserve">承诺函</w:t>
      </w:r>
      <w:r>
        <w:rPr>
          <w:rFonts w:hint="eastAsia" w:ascii="宋体" w:hAnsi="宋体"/>
          <w:color w:val="auto"/>
          <w:sz w:val="24"/>
          <w:highlight w:val="none"/>
        </w:rPr>
        <w:t xml:space="preserve">并加盖投标人公章</w:t>
      </w:r>
      <w:r>
        <w:rPr>
          <w:rFonts w:hint="eastAsia" w:ascii="宋体" w:hAnsi="宋体"/>
          <w:color w:val="auto"/>
          <w:sz w:val="24"/>
          <w:highlight w:val="none"/>
        </w:rPr>
        <w:t xml:space="preserve">的</w:t>
      </w:r>
      <w:r>
        <w:rPr>
          <w:rFonts w:hint="eastAsia" w:ascii="宋体" w:hAnsi="宋体"/>
          <w:color w:val="auto"/>
          <w:sz w:val="24"/>
          <w:highlight w:val="none"/>
        </w:rPr>
        <w:t xml:space="preserve">得</w:t>
      </w:r>
      <w:r>
        <w:rPr>
          <w:rFonts w:hint="eastAsia" w:ascii="宋体" w:hAnsi="宋体"/>
          <w:color w:val="auto"/>
          <w:sz w:val="24"/>
          <w:highlight w:val="none"/>
        </w:rPr>
        <w:t xml:space="preserve">4</w:t>
      </w:r>
      <w:r>
        <w:rPr>
          <w:rFonts w:hint="eastAsia" w:ascii="宋体" w:hAnsi="宋体"/>
          <w:color w:val="auto"/>
          <w:sz w:val="24"/>
          <w:highlight w:val="none"/>
        </w:rPr>
        <w:t xml:space="preserve">分，否则不得分。</w:t>
      </w:r>
      <w:r>
        <w:rPr>
          <w:rFonts w:ascii="宋体" w:hAnsi="宋体"/>
          <w:color w:val="auto"/>
          <w:sz w:val="24"/>
          <w:highlight w:val="none"/>
        </w:rPr>
      </w:r>
      <w:r>
        <w:rPr>
          <w:color w:val="auto"/>
          <w:highlight w:val="none"/>
        </w:rPr>
      </w:r>
    </w:p>
    <w:p>
      <w:pPr>
        <w:pStyle w:val="929"/>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产品技术</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rPr>
        <w:t xml:space="preserve">16</w:t>
      </w:r>
      <w:r>
        <w:rPr>
          <w:rFonts w:hint="eastAsia" w:ascii="宋体" w:hAnsi="宋体"/>
          <w:b/>
          <w:bCs/>
          <w:color w:val="auto"/>
          <w:sz w:val="24"/>
          <w:szCs w:val="24"/>
          <w:highlight w:val="none"/>
        </w:rPr>
        <w:t xml:space="preserve">分）</w:t>
      </w:r>
      <w:r>
        <w:rPr>
          <w:rFonts w:hint="eastAsia" w:ascii="宋体" w:hAnsi="宋体"/>
          <w:b/>
          <w:bCs/>
          <w:color w:val="auto"/>
          <w:sz w:val="24"/>
          <w:szCs w:val="24"/>
          <w:highlight w:val="none"/>
        </w:rPr>
        <w:t xml:space="preserve">：</w:t>
      </w:r>
      <w:r>
        <w:rPr>
          <w:rFonts w:ascii="宋体" w:hAnsi="宋体"/>
          <w:b/>
          <w:bCs/>
          <w:color w:val="auto"/>
          <w:sz w:val="24"/>
          <w:szCs w:val="24"/>
          <w:highlight w:val="none"/>
        </w:rPr>
      </w:r>
      <w:r>
        <w:rPr>
          <w:color w:val="auto"/>
          <w:highlight w:val="none"/>
        </w:rPr>
      </w:r>
    </w:p>
    <w:p>
      <w:pPr>
        <w:pStyle w:val="929"/>
        <w:ind w:firstLine="480"/>
        <w:spacing w:line="500" w:lineRule="exact"/>
        <w:rPr>
          <w:rFonts w:ascii="宋体" w:hAnsi="宋体"/>
          <w:color w:val="auto"/>
          <w:sz w:val="24"/>
          <w:highlight w:val="none"/>
        </w:rPr>
      </w:pPr>
      <w:r>
        <w:rPr>
          <w:rFonts w:hint="eastAsia" w:ascii="宋体" w:hAnsi="宋体"/>
          <w:color w:val="auto"/>
          <w:sz w:val="24"/>
          <w:highlight w:val="none"/>
        </w:rPr>
        <w:t xml:space="preserve">4.1  </w:t>
      </w:r>
      <w:r>
        <w:rPr>
          <w:rFonts w:hint="eastAsia" w:ascii="宋体" w:hAnsi="宋体"/>
          <w:color w:val="auto"/>
          <w:sz w:val="24"/>
          <w:highlight w:val="none"/>
        </w:rPr>
        <w:t xml:space="preserve">身份认证系统</w:t>
      </w:r>
      <w:r>
        <w:rPr>
          <w:rFonts w:hint="eastAsia" w:ascii="宋体" w:hAnsi="宋体"/>
          <w:color w:val="auto"/>
          <w:sz w:val="24"/>
          <w:highlight w:val="none"/>
        </w:rPr>
        <w:t xml:space="preserve">-</w:t>
      </w:r>
      <w:r>
        <w:rPr>
          <w:rFonts w:hint="eastAsia" w:ascii="宋体" w:hAnsi="宋体"/>
          <w:color w:val="auto"/>
          <w:sz w:val="24"/>
          <w:highlight w:val="none"/>
        </w:rPr>
        <w:t xml:space="preserve">身份分类管理功能</w:t>
      </w:r>
      <w:r>
        <w:rPr>
          <w:rFonts w:hint="eastAsia" w:ascii="宋体" w:hAnsi="宋体"/>
          <w:color w:val="auto"/>
          <w:sz w:val="24"/>
          <w:highlight w:val="none"/>
        </w:rPr>
        <w:t xml:space="preserve">（1分）：所投</w:t>
      </w:r>
      <w:r>
        <w:rPr>
          <w:rFonts w:hint="eastAsia" w:ascii="宋体" w:hAnsi="宋体"/>
          <w:color w:val="auto"/>
          <w:sz w:val="24"/>
          <w:highlight w:val="none"/>
        </w:rPr>
        <w:t xml:space="preserve">身份认证系统具备身份分类管理功能</w:t>
      </w:r>
      <w:r>
        <w:rPr>
          <w:rFonts w:hint="eastAsia" w:ascii="宋体" w:hAnsi="宋体"/>
          <w:color w:val="auto"/>
          <w:sz w:val="24"/>
          <w:highlight w:val="none"/>
        </w:rPr>
        <w:t xml:space="preserve">，</w:t>
      </w:r>
      <w:r>
        <w:rPr>
          <w:rFonts w:hint="eastAsia" w:ascii="宋体" w:hAnsi="宋体"/>
          <w:color w:val="auto"/>
          <w:sz w:val="24"/>
          <w:highlight w:val="none"/>
        </w:rPr>
        <w:t xml:space="preserve">系统支持允许针对不同的用户来源创建至少三种生命周期，包括未入校、在校、离校三个状态</w:t>
      </w:r>
      <w:r>
        <w:rPr>
          <w:rFonts w:hint="eastAsia" w:ascii="宋体" w:hAnsi="宋体"/>
          <w:color w:val="auto"/>
          <w:sz w:val="24"/>
          <w:highlight w:val="none"/>
        </w:rPr>
        <w:t xml:space="preserve">；</w:t>
      </w:r>
      <w:r>
        <w:rPr>
          <w:rFonts w:hint="eastAsia" w:ascii="宋体" w:hAnsi="宋体"/>
          <w:color w:val="auto"/>
          <w:sz w:val="24"/>
          <w:highlight w:val="none"/>
        </w:rPr>
        <w:t xml:space="preserve">身份认证系统应能自动创建对应生命周期的用户组</w:t>
      </w:r>
      <w:r>
        <w:rPr>
          <w:rFonts w:hint="eastAsia" w:ascii="宋体" w:hAnsi="宋体"/>
          <w:color w:val="auto"/>
          <w:sz w:val="24"/>
          <w:highlight w:val="none"/>
        </w:rPr>
        <w:t xml:space="preserve">；</w:t>
      </w:r>
      <w:r>
        <w:rPr>
          <w:rFonts w:hint="eastAsia" w:ascii="宋体" w:hAnsi="宋体"/>
          <w:color w:val="auto"/>
          <w:sz w:val="24"/>
          <w:highlight w:val="none"/>
        </w:rPr>
        <w:t xml:space="preserve">同时应能对生命周期设置有效期，在有效期到期后，自动转换生命周期状态。</w:t>
      </w:r>
      <w:r>
        <w:rPr>
          <w:rFonts w:hint="eastAsia" w:ascii="宋体" w:hAnsi="宋体"/>
          <w:color w:val="auto"/>
          <w:sz w:val="24"/>
          <w:highlight w:val="none"/>
        </w:rPr>
        <w:t xml:space="preserve">能够完全满足上述功能的得1分；须提供系统功能截图。</w:t>
      </w:r>
      <w:r>
        <w:rPr>
          <w:rFonts w:ascii="宋体" w:hAnsi="宋体"/>
          <w:color w:val="auto"/>
          <w:sz w:val="24"/>
          <w:highlight w:val="none"/>
        </w:rPr>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4.2  </w:t>
      </w:r>
      <w:r>
        <w:rPr>
          <w:rFonts w:hint="eastAsia" w:ascii="宋体" w:hAnsi="宋体"/>
          <w:color w:val="auto"/>
          <w:sz w:val="24"/>
          <w:highlight w:val="none"/>
        </w:rPr>
        <w:t xml:space="preserve">身份认证系统</w:t>
      </w:r>
      <w:r>
        <w:rPr>
          <w:rFonts w:hint="eastAsia" w:ascii="宋体" w:hAnsi="宋体"/>
          <w:color w:val="auto"/>
          <w:sz w:val="24"/>
          <w:highlight w:val="none"/>
        </w:rPr>
        <w:t xml:space="preserve">-</w:t>
      </w:r>
      <w:r>
        <w:rPr>
          <w:rFonts w:hint="eastAsia" w:ascii="宋体" w:hAnsi="宋体"/>
          <w:color w:val="auto"/>
          <w:sz w:val="24"/>
          <w:highlight w:val="none"/>
        </w:rPr>
        <w:t xml:space="preserve">移动端适配功能</w:t>
      </w:r>
      <w:r>
        <w:rPr>
          <w:rFonts w:hint="eastAsia" w:ascii="宋体" w:hAnsi="宋体"/>
          <w:color w:val="auto"/>
          <w:sz w:val="24"/>
          <w:highlight w:val="none"/>
        </w:rPr>
        <w:t xml:space="preserve">（1分）：所投</w:t>
      </w:r>
      <w:r>
        <w:rPr>
          <w:rFonts w:hint="eastAsia" w:ascii="宋体" w:hAnsi="宋体"/>
          <w:color w:val="auto"/>
          <w:sz w:val="24"/>
          <w:highlight w:val="none"/>
        </w:rPr>
        <w:t xml:space="preserve">身份认证系统具备支持移动端适配功能</w:t>
      </w:r>
      <w:r>
        <w:rPr>
          <w:rFonts w:hint="eastAsia" w:ascii="宋体" w:hAnsi="宋体"/>
          <w:color w:val="auto"/>
          <w:sz w:val="24"/>
          <w:highlight w:val="none"/>
        </w:rPr>
        <w:t xml:space="preserve">，</w:t>
      </w:r>
      <w:r>
        <w:rPr>
          <w:rFonts w:hint="eastAsia" w:ascii="宋体" w:hAnsi="宋体"/>
          <w:color w:val="auto"/>
          <w:sz w:val="24"/>
          <w:highlight w:val="none"/>
        </w:rPr>
        <w:t xml:space="preserve">系统支持将身份认证系统内的通讯录数据自动同步到企业微信/钉钉</w:t>
      </w:r>
      <w:r>
        <w:rPr>
          <w:rFonts w:hint="eastAsia" w:ascii="宋体" w:hAnsi="宋体"/>
          <w:color w:val="auto"/>
          <w:sz w:val="24"/>
          <w:highlight w:val="none"/>
        </w:rPr>
        <w:t xml:space="preserve">；</w:t>
      </w:r>
      <w:r>
        <w:rPr>
          <w:rFonts w:hint="eastAsia" w:ascii="宋体" w:hAnsi="宋体"/>
          <w:color w:val="auto"/>
          <w:sz w:val="24"/>
          <w:highlight w:val="none"/>
        </w:rPr>
        <w:t xml:space="preserve">并支持数据的同步更新，系统需提供配置功能方便管理员新建多个同步任务。</w:t>
      </w:r>
      <w:r>
        <w:rPr>
          <w:rFonts w:hint="eastAsia" w:ascii="宋体" w:hAnsi="宋体"/>
          <w:color w:val="auto"/>
          <w:sz w:val="24"/>
          <w:highlight w:val="none"/>
        </w:rPr>
        <w:t xml:space="preserve">能够完全满足上述功能的得1分；须提供系统功能截图。</w:t>
      </w:r>
      <w:r>
        <w:rPr>
          <w:rFonts w:hint="eastAsia" w:ascii="宋体" w:hAnsi="宋体"/>
          <w:color w:val="auto"/>
          <w:sz w:val="24"/>
          <w:highlight w:val="none"/>
        </w:rPr>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4.3  </w:t>
      </w:r>
      <w:r>
        <w:rPr>
          <w:rFonts w:hint="eastAsia" w:ascii="宋体" w:hAnsi="宋体"/>
          <w:color w:val="auto"/>
          <w:sz w:val="24"/>
          <w:highlight w:val="none"/>
        </w:rPr>
        <w:t xml:space="preserve">身份认证系统</w:t>
      </w:r>
      <w:r>
        <w:rPr>
          <w:rFonts w:hint="eastAsia" w:ascii="宋体" w:hAnsi="宋体"/>
          <w:color w:val="auto"/>
          <w:sz w:val="24"/>
          <w:highlight w:val="none"/>
        </w:rPr>
        <w:t xml:space="preserve">-</w:t>
      </w:r>
      <w:r>
        <w:rPr>
          <w:rFonts w:hint="eastAsia" w:ascii="宋体" w:hAnsi="宋体"/>
          <w:color w:val="auto"/>
          <w:sz w:val="24"/>
          <w:highlight w:val="none"/>
        </w:rPr>
        <w:t xml:space="preserve">用户管理功能</w:t>
      </w:r>
      <w:r>
        <w:rPr>
          <w:rFonts w:hint="eastAsia" w:ascii="宋体" w:hAnsi="宋体"/>
          <w:color w:val="auto"/>
          <w:sz w:val="24"/>
          <w:highlight w:val="none"/>
        </w:rPr>
        <w:t xml:space="preserve">（1分）：所投</w:t>
      </w:r>
      <w:r>
        <w:rPr>
          <w:rFonts w:hint="eastAsia" w:ascii="宋体" w:hAnsi="宋体"/>
          <w:color w:val="auto"/>
          <w:sz w:val="24"/>
          <w:highlight w:val="none"/>
        </w:rPr>
        <w:t xml:space="preserve">身份认证系统具备用户管理功能</w:t>
      </w:r>
      <w:r>
        <w:rPr>
          <w:rFonts w:hint="eastAsia" w:ascii="宋体" w:hAnsi="宋体"/>
          <w:color w:val="auto"/>
          <w:sz w:val="24"/>
          <w:highlight w:val="none"/>
        </w:rPr>
        <w:t xml:space="preserve">，</w:t>
      </w:r>
      <w:r>
        <w:rPr>
          <w:rFonts w:hint="eastAsia" w:ascii="宋体" w:hAnsi="宋体"/>
          <w:color w:val="auto"/>
          <w:sz w:val="24"/>
          <w:highlight w:val="none"/>
        </w:rPr>
        <w:t xml:space="preserve">系统支持管理员对全校用户身份</w:t>
      </w:r>
      <w:r>
        <w:rPr>
          <w:rFonts w:hint="eastAsia" w:ascii="宋体" w:hAnsi="宋体"/>
          <w:color w:val="auto"/>
          <w:sz w:val="24"/>
          <w:highlight w:val="none"/>
        </w:rPr>
        <w:t xml:space="preserve">账号</w:t>
      </w:r>
      <w:r>
        <w:rPr>
          <w:rFonts w:hint="eastAsia" w:ascii="宋体" w:hAnsi="宋体"/>
          <w:color w:val="auto"/>
          <w:sz w:val="24"/>
          <w:highlight w:val="none"/>
        </w:rPr>
        <w:t xml:space="preserve">数据的增加、删除、修改、过期设置、锁定、解锁等操作</w:t>
      </w:r>
      <w:r>
        <w:rPr>
          <w:rFonts w:hint="eastAsia" w:ascii="宋体" w:hAnsi="宋体"/>
          <w:color w:val="auto"/>
          <w:sz w:val="24"/>
          <w:highlight w:val="none"/>
        </w:rPr>
        <w:t xml:space="preserve">；</w:t>
      </w:r>
      <w:r>
        <w:rPr>
          <w:rFonts w:hint="eastAsia" w:ascii="宋体" w:hAnsi="宋体"/>
          <w:color w:val="auto"/>
          <w:sz w:val="24"/>
          <w:highlight w:val="none"/>
        </w:rPr>
        <w:t xml:space="preserve">在进行导入用户操作时，可实现拥有多账号的用户自动绑定，无需管理员手工干预，系统自动判定导入账号是否归属同一人，若为同一人不同阶段账号，则系统自动创建自然人，同时完成账号绑定。</w:t>
      </w:r>
      <w:r>
        <w:rPr>
          <w:rFonts w:hint="eastAsia" w:ascii="宋体" w:hAnsi="宋体"/>
          <w:color w:val="auto"/>
          <w:sz w:val="24"/>
          <w:highlight w:val="none"/>
        </w:rPr>
        <w:t xml:space="preserve">能够完全满足上述功能的得1分；须提供系统功能截图。</w:t>
      </w:r>
      <w:r>
        <w:rPr>
          <w:rFonts w:hint="eastAsia" w:ascii="宋体" w:hAnsi="宋体"/>
          <w:color w:val="auto"/>
          <w:sz w:val="24"/>
          <w:highlight w:val="none"/>
        </w:rPr>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4.4  </w:t>
      </w:r>
      <w:r>
        <w:rPr>
          <w:rFonts w:hint="eastAsia" w:ascii="宋体" w:hAnsi="宋体"/>
          <w:color w:val="auto"/>
          <w:sz w:val="24"/>
          <w:highlight w:val="none"/>
        </w:rPr>
        <w:t xml:space="preserve">身份认证系统</w:t>
      </w:r>
      <w:r>
        <w:rPr>
          <w:rFonts w:hint="eastAsia" w:ascii="宋体" w:hAnsi="宋体"/>
          <w:color w:val="auto"/>
          <w:sz w:val="24"/>
          <w:highlight w:val="none"/>
        </w:rPr>
        <w:t xml:space="preserve">-</w:t>
      </w:r>
      <w:r>
        <w:rPr>
          <w:rFonts w:hint="eastAsia" w:ascii="宋体" w:hAnsi="宋体"/>
          <w:color w:val="auto"/>
          <w:sz w:val="24"/>
          <w:highlight w:val="none"/>
        </w:rPr>
        <w:t xml:space="preserve">账号安全拓展包功能</w:t>
      </w:r>
      <w:r>
        <w:rPr>
          <w:rFonts w:hint="eastAsia" w:ascii="宋体" w:hAnsi="宋体"/>
          <w:color w:val="auto"/>
          <w:sz w:val="24"/>
          <w:highlight w:val="none"/>
        </w:rPr>
        <w:t xml:space="preserve">（</w:t>
      </w:r>
      <w:r>
        <w:rPr>
          <w:rFonts w:hint="eastAsia" w:ascii="宋体" w:hAnsi="宋体"/>
          <w:color w:val="auto"/>
          <w:sz w:val="24"/>
          <w:highlight w:val="none"/>
        </w:rPr>
        <w:t xml:space="preserve">1分</w:t>
      </w:r>
      <w:r>
        <w:rPr>
          <w:rFonts w:hint="eastAsia" w:ascii="宋体" w:hAnsi="宋体"/>
          <w:color w:val="auto"/>
          <w:sz w:val="24"/>
          <w:highlight w:val="none"/>
        </w:rPr>
        <w:t xml:space="preserve">）：所投</w:t>
      </w:r>
      <w:r>
        <w:rPr>
          <w:rFonts w:hint="eastAsia" w:ascii="宋体" w:hAnsi="宋体"/>
          <w:color w:val="auto"/>
          <w:sz w:val="24"/>
          <w:highlight w:val="none"/>
        </w:rPr>
        <w:t xml:space="preserve">身份认证系统具备账号安全拓展包功能</w:t>
      </w:r>
      <w:r>
        <w:rPr>
          <w:rFonts w:hint="eastAsia" w:ascii="宋体" w:hAnsi="宋体"/>
          <w:color w:val="auto"/>
          <w:sz w:val="24"/>
          <w:highlight w:val="none"/>
        </w:rPr>
        <w:t xml:space="preserve">，</w:t>
      </w:r>
      <w:r>
        <w:rPr>
          <w:rFonts w:hint="eastAsia" w:ascii="宋体" w:hAnsi="宋体"/>
          <w:color w:val="auto"/>
          <w:sz w:val="24"/>
          <w:highlight w:val="none"/>
        </w:rPr>
        <w:t xml:space="preserve">系统支持</w:t>
      </w:r>
      <w:r>
        <w:rPr>
          <w:rFonts w:hint="eastAsia" w:ascii="宋体" w:hAnsi="宋体"/>
          <w:color w:val="auto"/>
          <w:sz w:val="24"/>
          <w:highlight w:val="none"/>
        </w:rPr>
        <w:t xml:space="preserve">账号</w:t>
      </w:r>
      <w:r>
        <w:rPr>
          <w:rFonts w:hint="eastAsia" w:ascii="宋体" w:hAnsi="宋体"/>
          <w:color w:val="auto"/>
          <w:sz w:val="24"/>
          <w:highlight w:val="none"/>
        </w:rPr>
        <w:t xml:space="preserve">元数据管理，支持扩展字段满足学校人员信息管理要求</w:t>
      </w:r>
      <w:r>
        <w:rPr>
          <w:rFonts w:hint="eastAsia" w:ascii="宋体" w:hAnsi="宋体"/>
          <w:color w:val="auto"/>
          <w:sz w:val="24"/>
          <w:highlight w:val="none"/>
        </w:rPr>
        <w:t xml:space="preserve">；</w:t>
      </w:r>
      <w:r>
        <w:rPr>
          <w:rFonts w:hint="eastAsia" w:ascii="宋体" w:hAnsi="宋体"/>
          <w:color w:val="auto"/>
          <w:sz w:val="24"/>
          <w:highlight w:val="none"/>
        </w:rPr>
        <w:t xml:space="preserve">新增自定义字段信息需包括属性名称、LDAP属性名称、显示名称、属性值类型，属性描述，支持设置是否必填、是否显示；支持管理员配置系统预置元数据的展示/隐藏属性。</w:t>
      </w:r>
      <w:r>
        <w:rPr>
          <w:rFonts w:hint="eastAsia" w:ascii="宋体" w:hAnsi="宋体"/>
          <w:color w:val="auto"/>
          <w:sz w:val="24"/>
          <w:highlight w:val="none"/>
        </w:rPr>
        <w:t xml:space="preserve">能够完全满足上述功能的得1分；须提供系统功能截图。</w:t>
      </w:r>
      <w:r>
        <w:rPr>
          <w:rFonts w:hint="eastAsia" w:ascii="宋体" w:hAnsi="宋体"/>
          <w:color w:val="auto"/>
          <w:sz w:val="24"/>
          <w:highlight w:val="none"/>
        </w:rPr>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4.5  </w:t>
      </w:r>
      <w:r>
        <w:rPr>
          <w:rFonts w:hint="eastAsia" w:ascii="宋体" w:hAnsi="宋体"/>
          <w:color w:val="auto"/>
          <w:sz w:val="24"/>
          <w:highlight w:val="none"/>
        </w:rPr>
        <w:t xml:space="preserve">身份认证系统</w:t>
      </w:r>
      <w:r>
        <w:rPr>
          <w:rFonts w:hint="eastAsia" w:ascii="宋体" w:hAnsi="宋体"/>
          <w:color w:val="auto"/>
          <w:sz w:val="24"/>
          <w:highlight w:val="none"/>
        </w:rPr>
        <w:t xml:space="preserve">-</w:t>
      </w:r>
      <w:r>
        <w:rPr>
          <w:rFonts w:hint="eastAsia" w:ascii="宋体" w:hAnsi="宋体"/>
          <w:color w:val="auto"/>
          <w:sz w:val="24"/>
          <w:highlight w:val="none"/>
        </w:rPr>
        <w:t xml:space="preserve">账号安全拓展包功能</w:t>
      </w:r>
      <w:r>
        <w:rPr>
          <w:rFonts w:hint="eastAsia" w:ascii="宋体" w:hAnsi="宋体"/>
          <w:color w:val="auto"/>
          <w:sz w:val="24"/>
          <w:highlight w:val="none"/>
        </w:rPr>
        <w:t xml:space="preserve">（</w:t>
      </w:r>
      <w:r>
        <w:rPr>
          <w:rFonts w:hint="eastAsia" w:ascii="宋体" w:hAnsi="宋体"/>
          <w:color w:val="auto"/>
          <w:sz w:val="24"/>
          <w:highlight w:val="none"/>
        </w:rPr>
        <w:t xml:space="preserve">1分</w:t>
      </w:r>
      <w:r>
        <w:rPr>
          <w:rFonts w:hint="eastAsia" w:ascii="宋体" w:hAnsi="宋体"/>
          <w:color w:val="auto"/>
          <w:sz w:val="24"/>
          <w:highlight w:val="none"/>
        </w:rPr>
        <w:t xml:space="preserve">）：</w:t>
      </w:r>
      <w:r>
        <w:rPr>
          <w:rFonts w:hint="eastAsia" w:ascii="宋体" w:hAnsi="宋体"/>
          <w:color w:val="auto"/>
          <w:sz w:val="24"/>
          <w:highlight w:val="none"/>
        </w:rPr>
        <w:t xml:space="preserve">所投</w:t>
      </w:r>
      <w:r>
        <w:rPr>
          <w:rFonts w:hint="eastAsia" w:ascii="宋体" w:hAnsi="宋体"/>
          <w:color w:val="auto"/>
          <w:sz w:val="24"/>
          <w:highlight w:val="none"/>
        </w:rPr>
        <w:t xml:space="preserve">身份认证系统具备账号安全拓展包功能</w:t>
      </w:r>
      <w:r>
        <w:rPr>
          <w:rFonts w:hint="eastAsia" w:ascii="宋体" w:hAnsi="宋体"/>
          <w:color w:val="auto"/>
          <w:sz w:val="24"/>
          <w:highlight w:val="none"/>
        </w:rPr>
        <w:t xml:space="preserve">，</w:t>
      </w:r>
      <w:r>
        <w:rPr>
          <w:rFonts w:hint="eastAsia" w:ascii="宋体" w:hAnsi="宋体"/>
          <w:color w:val="auto"/>
          <w:sz w:val="24"/>
          <w:highlight w:val="none"/>
        </w:rPr>
        <w:t xml:space="preserve">系统为满足用户安全访问系统的需求，支持提供二次认证、多因子登录的功能</w:t>
      </w:r>
      <w:r>
        <w:rPr>
          <w:rFonts w:hint="eastAsia" w:ascii="宋体" w:hAnsi="宋体"/>
          <w:color w:val="auto"/>
          <w:sz w:val="24"/>
          <w:highlight w:val="none"/>
        </w:rPr>
        <w:t xml:space="preserve">；</w:t>
      </w:r>
      <w:r>
        <w:rPr>
          <w:rFonts w:hint="eastAsia" w:ascii="宋体" w:hAnsi="宋体"/>
          <w:color w:val="auto"/>
          <w:sz w:val="24"/>
          <w:highlight w:val="none"/>
        </w:rPr>
        <w:t xml:space="preserve">系统需支持管理与配置二次认证/多因子认证方式及使用顺序，需支持管理员通过手动拖拽方式维护不同认证的顺序，系统可按照可用性及顺序智能选择当前最适合的认证方式。</w:t>
      </w:r>
      <w:r>
        <w:rPr>
          <w:rFonts w:hint="eastAsia" w:ascii="宋体" w:hAnsi="宋体"/>
          <w:color w:val="auto"/>
          <w:sz w:val="24"/>
          <w:highlight w:val="none"/>
        </w:rPr>
        <w:t xml:space="preserve">能够完全满足上述功能的得1分；须提供系统功能截图。</w:t>
      </w:r>
      <w:r>
        <w:rPr>
          <w:rFonts w:hint="eastAsia" w:ascii="宋体" w:hAnsi="宋体"/>
          <w:color w:val="auto"/>
          <w:sz w:val="24"/>
          <w:highlight w:val="none"/>
        </w:rPr>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4.6  </w:t>
      </w:r>
      <w:r>
        <w:rPr>
          <w:rFonts w:hint="eastAsia" w:ascii="宋体" w:hAnsi="宋体"/>
          <w:color w:val="auto"/>
          <w:sz w:val="24"/>
          <w:highlight w:val="none"/>
        </w:rPr>
        <w:t xml:space="preserve">身份认证系统</w:t>
      </w:r>
      <w:r>
        <w:rPr>
          <w:rFonts w:hint="eastAsia" w:ascii="宋体" w:hAnsi="宋体"/>
          <w:color w:val="auto"/>
          <w:sz w:val="24"/>
          <w:highlight w:val="none"/>
        </w:rPr>
        <w:t xml:space="preserve">-</w:t>
      </w:r>
      <w:r>
        <w:rPr>
          <w:rFonts w:hint="eastAsia" w:ascii="宋体" w:hAnsi="宋体"/>
          <w:color w:val="auto"/>
          <w:sz w:val="24"/>
          <w:highlight w:val="none"/>
        </w:rPr>
        <w:t xml:space="preserve">提供密码黑名单功能</w:t>
      </w:r>
      <w:r>
        <w:rPr>
          <w:rFonts w:hint="eastAsia" w:ascii="宋体" w:hAnsi="宋体"/>
          <w:color w:val="auto"/>
          <w:sz w:val="24"/>
          <w:highlight w:val="none"/>
        </w:rPr>
        <w:t xml:space="preserve">（1分）：所投</w:t>
      </w:r>
      <w:r>
        <w:rPr>
          <w:rFonts w:hint="eastAsia" w:ascii="宋体" w:hAnsi="宋体"/>
          <w:color w:val="auto"/>
          <w:sz w:val="24"/>
          <w:highlight w:val="none"/>
        </w:rPr>
        <w:t xml:space="preserve">身份认证系统具备提供密码黑名单功能</w:t>
      </w:r>
      <w:r>
        <w:rPr>
          <w:rFonts w:hint="eastAsia" w:ascii="宋体" w:hAnsi="宋体"/>
          <w:color w:val="auto"/>
          <w:sz w:val="24"/>
          <w:highlight w:val="none"/>
        </w:rPr>
        <w:t xml:space="preserve">，</w:t>
      </w:r>
      <w:r>
        <w:rPr>
          <w:rFonts w:hint="eastAsia" w:ascii="宋体" w:hAnsi="宋体"/>
          <w:color w:val="auto"/>
          <w:sz w:val="24"/>
          <w:highlight w:val="none"/>
        </w:rPr>
        <w:t xml:space="preserve">系统支持通过勾选的方式指定密码中不可包含的字符类型，至少包含：用户账号、用户邮箱、用户手机号、居民身份证号码以及自定义字符，其中自定义字符应可以支持手工新增和批量导入两种方式，批量导入时平台提供标准模板方便导入。</w:t>
      </w:r>
      <w:r>
        <w:rPr>
          <w:rFonts w:hint="eastAsia" w:ascii="宋体" w:hAnsi="宋体"/>
          <w:color w:val="auto"/>
          <w:sz w:val="24"/>
          <w:highlight w:val="none"/>
        </w:rPr>
        <w:t xml:space="preserve">能够完全满足上述功能的得1分；须提供系统功能截图。</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4.7  </w:t>
      </w:r>
      <w:r>
        <w:rPr>
          <w:rFonts w:hint="eastAsia" w:ascii="宋体" w:hAnsi="宋体"/>
          <w:color w:val="auto"/>
          <w:sz w:val="24"/>
          <w:highlight w:val="none"/>
        </w:rPr>
        <w:t xml:space="preserve">办公自动化系统</w:t>
      </w:r>
      <w:r>
        <w:rPr>
          <w:rFonts w:hint="eastAsia" w:ascii="宋体" w:hAnsi="宋体"/>
          <w:color w:val="auto"/>
          <w:sz w:val="24"/>
          <w:highlight w:val="none"/>
        </w:rPr>
        <w:t xml:space="preserve">-</w:t>
      </w:r>
      <w:r>
        <w:rPr>
          <w:rFonts w:hint="eastAsia" w:ascii="宋体" w:hAnsi="宋体"/>
          <w:color w:val="auto"/>
          <w:sz w:val="24"/>
          <w:highlight w:val="none"/>
        </w:rPr>
        <w:t xml:space="preserve">分发权限控制功能</w:t>
      </w:r>
      <w:r>
        <w:rPr>
          <w:rFonts w:hint="eastAsia" w:ascii="宋体" w:hAnsi="宋体"/>
          <w:color w:val="auto"/>
          <w:sz w:val="24"/>
          <w:highlight w:val="none"/>
        </w:rPr>
        <w:t xml:space="preserve">（1分）：所投</w:t>
      </w:r>
      <w:r>
        <w:rPr>
          <w:rFonts w:hint="eastAsia" w:ascii="宋体" w:hAnsi="宋体"/>
          <w:color w:val="auto"/>
          <w:sz w:val="24"/>
          <w:highlight w:val="none"/>
        </w:rPr>
        <w:t xml:space="preserve">办公自动化系统具备系统分发权限控制功能</w:t>
      </w:r>
      <w:r>
        <w:rPr>
          <w:rFonts w:hint="eastAsia" w:ascii="宋体" w:hAnsi="宋体"/>
          <w:color w:val="auto"/>
          <w:sz w:val="24"/>
          <w:highlight w:val="none"/>
        </w:rPr>
        <w:t xml:space="preserve">，</w:t>
      </w:r>
      <w:r>
        <w:rPr>
          <w:rFonts w:hint="eastAsia" w:ascii="宋体" w:hAnsi="宋体"/>
          <w:color w:val="auto"/>
          <w:sz w:val="24"/>
          <w:highlight w:val="none"/>
        </w:rPr>
        <w:t xml:space="preserve">系统支持针对不同的业务应用进行分发传阅规则的设定，并且设定分发意见在不同节点下不同类型的人员的办理意见和指定的意见字段进行绑定。</w:t>
      </w:r>
      <w:r>
        <w:rPr>
          <w:rFonts w:hint="eastAsia" w:ascii="宋体" w:hAnsi="宋体"/>
          <w:color w:val="auto"/>
          <w:sz w:val="24"/>
          <w:highlight w:val="none"/>
        </w:rPr>
        <w:t xml:space="preserve">能够完全满足上述功能的得1分；须提供系统功能截图。</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4.8  </w:t>
      </w:r>
      <w:r>
        <w:rPr>
          <w:rFonts w:hint="eastAsia" w:ascii="宋体" w:hAnsi="宋体"/>
          <w:color w:val="auto"/>
          <w:sz w:val="24"/>
          <w:highlight w:val="none"/>
        </w:rPr>
        <w:t xml:space="preserve">办公自动化系统</w:t>
      </w:r>
      <w:r>
        <w:rPr>
          <w:rFonts w:hint="eastAsia" w:ascii="宋体" w:hAnsi="宋体"/>
          <w:color w:val="auto"/>
          <w:sz w:val="24"/>
          <w:highlight w:val="none"/>
        </w:rPr>
        <w:t xml:space="preserve">-</w:t>
      </w:r>
      <w:r>
        <w:rPr>
          <w:rFonts w:hint="eastAsia" w:ascii="宋体" w:hAnsi="宋体"/>
          <w:color w:val="auto"/>
          <w:sz w:val="24"/>
          <w:highlight w:val="none"/>
        </w:rPr>
        <w:t xml:space="preserve">工作交接功能</w:t>
      </w:r>
      <w:r>
        <w:rPr>
          <w:rFonts w:hint="eastAsia" w:ascii="宋体" w:hAnsi="宋体"/>
          <w:color w:val="auto"/>
          <w:sz w:val="24"/>
          <w:highlight w:val="none"/>
        </w:rPr>
        <w:t xml:space="preserve">（1分）：所投</w:t>
      </w:r>
      <w:r>
        <w:rPr>
          <w:rFonts w:hint="eastAsia" w:ascii="宋体" w:hAnsi="宋体"/>
          <w:color w:val="auto"/>
          <w:sz w:val="24"/>
          <w:highlight w:val="none"/>
        </w:rPr>
        <w:t xml:space="preserve">办公自动化系统具备工作交接功能</w:t>
      </w:r>
      <w:r>
        <w:rPr>
          <w:rFonts w:hint="eastAsia" w:ascii="宋体" w:hAnsi="宋体"/>
          <w:color w:val="auto"/>
          <w:sz w:val="24"/>
          <w:highlight w:val="none"/>
        </w:rPr>
        <w:t xml:space="preserve">，</w:t>
      </w:r>
      <w:r>
        <w:rPr>
          <w:rFonts w:hint="eastAsia" w:ascii="宋体" w:hAnsi="宋体"/>
          <w:color w:val="auto"/>
          <w:sz w:val="24"/>
          <w:highlight w:val="none"/>
        </w:rPr>
        <w:t xml:space="preserve">系统支持学校干部换届或者人员变动的时候，能够将相关岗位人员权限移交给该岗位新的人员（包括当下需要处理的文件、在岗时处理过的文件及在岗时有权查看的文件）。系统可以指定交接业务管理员；设定部门管理员（可为所在部门的人员进行交接操作）；对于学校要求个人必须要交接的业务数据管理员需要能够进行灵活设定；管理员也可赋权个人交接权限，拥有权限的个人可自行进行权限的交接操作。</w:t>
      </w:r>
      <w:r>
        <w:rPr>
          <w:rFonts w:hint="eastAsia" w:ascii="宋体" w:hAnsi="宋体"/>
          <w:color w:val="auto"/>
          <w:sz w:val="24"/>
          <w:highlight w:val="none"/>
        </w:rPr>
        <w:t xml:space="preserve">能够完全满足上述功能的得1分；须提供系统功能截图。</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4.9  </w:t>
      </w:r>
      <w:r>
        <w:rPr>
          <w:rFonts w:hint="eastAsia" w:ascii="宋体" w:hAnsi="宋体"/>
          <w:color w:val="auto"/>
          <w:sz w:val="24"/>
          <w:highlight w:val="none"/>
        </w:rPr>
        <w:t xml:space="preserve">办公自动化系统</w:t>
      </w:r>
      <w:r>
        <w:rPr>
          <w:rFonts w:hint="eastAsia" w:ascii="宋体" w:hAnsi="宋体"/>
          <w:color w:val="auto"/>
          <w:sz w:val="24"/>
          <w:highlight w:val="none"/>
        </w:rPr>
        <w:t xml:space="preserve">-</w:t>
      </w:r>
      <w:r>
        <w:rPr>
          <w:rFonts w:hint="eastAsia" w:ascii="宋体" w:hAnsi="宋体"/>
          <w:color w:val="auto"/>
          <w:sz w:val="24"/>
          <w:highlight w:val="none"/>
        </w:rPr>
        <w:t xml:space="preserve">人员同步功能</w:t>
      </w:r>
      <w:r>
        <w:rPr>
          <w:rFonts w:hint="eastAsia" w:ascii="宋体" w:hAnsi="宋体"/>
          <w:color w:val="auto"/>
          <w:sz w:val="24"/>
          <w:highlight w:val="none"/>
        </w:rPr>
        <w:t xml:space="preserve">（1分）：所投</w:t>
      </w:r>
      <w:r>
        <w:rPr>
          <w:rFonts w:hint="eastAsia" w:ascii="宋体" w:hAnsi="宋体"/>
          <w:color w:val="auto"/>
          <w:sz w:val="24"/>
          <w:highlight w:val="none"/>
        </w:rPr>
        <w:t xml:space="preserve">办公自动化系统具备人员同步功能</w:t>
      </w:r>
      <w:r>
        <w:rPr>
          <w:rFonts w:hint="eastAsia" w:ascii="宋体" w:hAnsi="宋体"/>
          <w:color w:val="auto"/>
          <w:sz w:val="24"/>
          <w:highlight w:val="none"/>
        </w:rPr>
        <w:t xml:space="preserve">，</w:t>
      </w:r>
      <w:r>
        <w:rPr>
          <w:rFonts w:hint="eastAsia" w:ascii="宋体" w:hAnsi="宋体"/>
          <w:color w:val="auto"/>
          <w:sz w:val="24"/>
          <w:highlight w:val="none"/>
        </w:rPr>
        <w:t xml:space="preserve">系统支持管理员可以设定人员的同步规则，包括人员、所属部门、任职发生变化时系统是否自动执行同步或人为干预后同步</w:t>
      </w:r>
      <w:r>
        <w:rPr>
          <w:rFonts w:hint="eastAsia" w:ascii="宋体" w:hAnsi="宋体"/>
          <w:color w:val="auto"/>
          <w:sz w:val="24"/>
          <w:highlight w:val="none"/>
        </w:rPr>
        <w:t xml:space="preserve">；</w:t>
      </w:r>
      <w:r>
        <w:rPr>
          <w:rFonts w:hint="eastAsia" w:ascii="宋体" w:hAnsi="宋体"/>
          <w:color w:val="auto"/>
          <w:sz w:val="24"/>
          <w:highlight w:val="none"/>
        </w:rPr>
        <w:t xml:space="preserve">可设置针对管理员的同步提醒，以及提醒频率。</w:t>
      </w:r>
      <w:r>
        <w:rPr>
          <w:rFonts w:hint="eastAsia" w:ascii="宋体" w:hAnsi="宋体"/>
          <w:color w:val="auto"/>
          <w:sz w:val="24"/>
          <w:highlight w:val="none"/>
        </w:rPr>
        <w:t xml:space="preserve">能够完全满足上述功能的得1分；须提供系统功能截图。</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4.10  </w:t>
      </w:r>
      <w:r>
        <w:rPr>
          <w:rFonts w:hint="eastAsia" w:ascii="宋体" w:hAnsi="宋体"/>
          <w:color w:val="auto"/>
          <w:sz w:val="24"/>
          <w:highlight w:val="none"/>
        </w:rPr>
        <w:t xml:space="preserve">办公自动化系统</w:t>
      </w:r>
      <w:r>
        <w:rPr>
          <w:rFonts w:hint="eastAsia" w:ascii="宋体" w:hAnsi="宋体"/>
          <w:color w:val="auto"/>
          <w:sz w:val="24"/>
          <w:highlight w:val="none"/>
        </w:rPr>
        <w:t xml:space="preserve">-</w:t>
      </w:r>
      <w:r>
        <w:rPr>
          <w:rFonts w:hint="eastAsia" w:ascii="宋体" w:hAnsi="宋体"/>
          <w:color w:val="auto"/>
          <w:sz w:val="24"/>
          <w:highlight w:val="none"/>
        </w:rPr>
        <w:t xml:space="preserve">流程管理功能</w:t>
      </w:r>
      <w:r>
        <w:rPr>
          <w:rFonts w:hint="eastAsia" w:ascii="宋体" w:hAnsi="宋体"/>
          <w:color w:val="auto"/>
          <w:sz w:val="24"/>
          <w:highlight w:val="none"/>
        </w:rPr>
        <w:t xml:space="preserve">（1分）：所投</w:t>
      </w:r>
      <w:r>
        <w:rPr>
          <w:rFonts w:hint="eastAsia" w:ascii="宋体" w:hAnsi="宋体"/>
          <w:color w:val="auto"/>
          <w:sz w:val="24"/>
          <w:highlight w:val="none"/>
        </w:rPr>
        <w:t xml:space="preserve">办公自动化系统具备流程管理功能</w:t>
      </w:r>
      <w:r>
        <w:rPr>
          <w:rFonts w:hint="eastAsia" w:ascii="宋体" w:hAnsi="宋体"/>
          <w:color w:val="auto"/>
          <w:sz w:val="24"/>
          <w:highlight w:val="none"/>
        </w:rPr>
        <w:t xml:space="preserve">，</w:t>
      </w:r>
      <w:r>
        <w:rPr>
          <w:rFonts w:hint="eastAsia" w:ascii="宋体" w:hAnsi="宋体"/>
          <w:color w:val="auto"/>
          <w:sz w:val="24"/>
          <w:highlight w:val="none"/>
        </w:rPr>
        <w:t xml:space="preserve">系统支持表单支持多个版本，确保表单样式、字段发生变化后，历史数据的表单样式和字段不受影响。</w:t>
      </w:r>
      <w:r>
        <w:rPr>
          <w:rFonts w:hint="eastAsia" w:ascii="宋体" w:hAnsi="宋体"/>
          <w:color w:val="auto"/>
          <w:sz w:val="24"/>
          <w:highlight w:val="none"/>
        </w:rPr>
        <w:t xml:space="preserve">能够完全满足上述功能的得1分；须提供系统功能截图。</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4.11  </w:t>
      </w:r>
      <w:r>
        <w:rPr>
          <w:rFonts w:hint="eastAsia" w:ascii="宋体" w:hAnsi="宋体"/>
          <w:color w:val="auto"/>
          <w:sz w:val="24"/>
          <w:highlight w:val="none"/>
        </w:rPr>
        <w:t xml:space="preserve">办公自动化系统</w:t>
      </w:r>
      <w:r>
        <w:rPr>
          <w:rFonts w:hint="eastAsia" w:ascii="宋体" w:hAnsi="宋体"/>
          <w:color w:val="auto"/>
          <w:sz w:val="24"/>
          <w:highlight w:val="none"/>
        </w:rPr>
        <w:t xml:space="preserve">-</w:t>
      </w:r>
      <w:r>
        <w:rPr>
          <w:rFonts w:hint="eastAsia" w:ascii="宋体" w:hAnsi="宋体"/>
          <w:color w:val="auto"/>
          <w:sz w:val="24"/>
          <w:highlight w:val="none"/>
        </w:rPr>
        <w:t xml:space="preserve">学校收文的阅、办监控功能</w:t>
      </w:r>
      <w:r>
        <w:rPr>
          <w:rFonts w:hint="eastAsia" w:ascii="宋体" w:hAnsi="宋体"/>
          <w:color w:val="auto"/>
          <w:sz w:val="24"/>
          <w:highlight w:val="none"/>
        </w:rPr>
        <w:t xml:space="preserve">（1分）：所投办公自动化系统</w:t>
      </w:r>
      <w:r>
        <w:rPr>
          <w:rFonts w:hint="eastAsia" w:ascii="宋体" w:hAnsi="宋体"/>
          <w:color w:val="auto"/>
          <w:sz w:val="24"/>
          <w:highlight w:val="none"/>
        </w:rPr>
        <w:t xml:space="preserve">具备学校收文的阅、办监控功能</w:t>
      </w:r>
      <w:r>
        <w:rPr>
          <w:rFonts w:hint="eastAsia" w:ascii="宋体" w:hAnsi="宋体"/>
          <w:color w:val="auto"/>
          <w:sz w:val="24"/>
          <w:highlight w:val="none"/>
        </w:rPr>
        <w:t xml:space="preserve">，</w:t>
      </w:r>
      <w:r>
        <w:rPr>
          <w:rFonts w:hint="eastAsia" w:ascii="宋体" w:hAnsi="宋体"/>
          <w:color w:val="auto"/>
          <w:sz w:val="24"/>
          <w:highlight w:val="none"/>
        </w:rPr>
        <w:t xml:space="preserve">系统支持查看收文的分发、传阅的所有处理情况，包含阅读时间、处理时间、处理意见</w:t>
      </w:r>
      <w:r>
        <w:rPr>
          <w:rFonts w:hint="eastAsia" w:ascii="宋体" w:hAnsi="宋体"/>
          <w:color w:val="auto"/>
          <w:sz w:val="24"/>
          <w:highlight w:val="none"/>
        </w:rPr>
        <w:t xml:space="preserve">；</w:t>
      </w:r>
      <w:r>
        <w:rPr>
          <w:rFonts w:hint="eastAsia" w:ascii="宋体" w:hAnsi="宋体"/>
          <w:color w:val="auto"/>
          <w:sz w:val="24"/>
          <w:highlight w:val="none"/>
        </w:rPr>
        <w:t xml:space="preserve">针对还未处理人员可发送提醒且可以删除。</w:t>
      </w:r>
      <w:r>
        <w:rPr>
          <w:rFonts w:hint="eastAsia" w:ascii="宋体" w:hAnsi="宋体"/>
          <w:color w:val="auto"/>
          <w:sz w:val="24"/>
          <w:highlight w:val="none"/>
        </w:rPr>
        <w:t xml:space="preserve">能够完全满足上述功能的得1分；须提供系统功能截图。</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4.12  办公自动化系统-会议通知的通知发送功能（1分）：所投</w:t>
      </w:r>
      <w:r>
        <w:rPr>
          <w:rFonts w:hint="eastAsia" w:ascii="宋体" w:hAnsi="宋体"/>
          <w:color w:val="auto"/>
          <w:sz w:val="24"/>
          <w:highlight w:val="none"/>
        </w:rPr>
        <w:t xml:space="preserve">办公自动化系统需具备会议通知的通知发送功能</w:t>
      </w:r>
      <w:r>
        <w:rPr>
          <w:rFonts w:hint="eastAsia" w:ascii="宋体" w:hAnsi="宋体"/>
          <w:color w:val="auto"/>
          <w:sz w:val="24"/>
          <w:highlight w:val="none"/>
        </w:rPr>
        <w:t xml:space="preserve">，</w:t>
      </w:r>
      <w:r>
        <w:rPr>
          <w:rFonts w:hint="eastAsia" w:ascii="宋体" w:hAnsi="宋体"/>
          <w:color w:val="auto"/>
          <w:sz w:val="24"/>
          <w:highlight w:val="none"/>
        </w:rPr>
        <w:t xml:space="preserve">系统支持按照会议或场次（一个会议多场次）进行会议通知的发送；通知中议题只有相关权限的人员才能进行查看；通知发送时需明确是否需要相关人员回复是否参会；通知发送时可同时生成签到数据供开会时人员签到。</w:t>
      </w:r>
      <w:r>
        <w:rPr>
          <w:rFonts w:hint="eastAsia" w:ascii="宋体" w:hAnsi="宋体"/>
          <w:color w:val="auto"/>
          <w:sz w:val="24"/>
          <w:highlight w:val="none"/>
        </w:rPr>
        <w:t xml:space="preserve">能够完全满足上述功能的得1分；须提供系统功能截图。</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4.13  </w:t>
      </w:r>
      <w:r>
        <w:rPr>
          <w:rFonts w:hint="eastAsia" w:ascii="宋体" w:hAnsi="宋体"/>
          <w:color w:val="auto"/>
          <w:sz w:val="24"/>
          <w:highlight w:val="none"/>
        </w:rPr>
        <w:t xml:space="preserve">办公自动化系统</w:t>
      </w:r>
      <w:r>
        <w:rPr>
          <w:rFonts w:hint="eastAsia" w:ascii="宋体" w:hAnsi="宋体"/>
          <w:color w:val="auto"/>
          <w:sz w:val="24"/>
          <w:highlight w:val="none"/>
        </w:rPr>
        <w:t xml:space="preserve">-</w:t>
      </w:r>
      <w:r>
        <w:rPr>
          <w:rFonts w:hint="eastAsia" w:ascii="宋体" w:hAnsi="宋体"/>
          <w:color w:val="auto"/>
          <w:sz w:val="24"/>
          <w:highlight w:val="none"/>
        </w:rPr>
        <w:t xml:space="preserve">校议题库功能</w:t>
      </w:r>
      <w:r>
        <w:rPr>
          <w:rFonts w:hint="eastAsia" w:ascii="宋体" w:hAnsi="宋体"/>
          <w:color w:val="auto"/>
          <w:sz w:val="24"/>
          <w:highlight w:val="none"/>
        </w:rPr>
        <w:t xml:space="preserve">（1分）：所投</w:t>
      </w:r>
      <w:r>
        <w:rPr>
          <w:rFonts w:hint="eastAsia" w:ascii="宋体" w:hAnsi="宋体"/>
          <w:color w:val="auto"/>
          <w:sz w:val="24"/>
          <w:highlight w:val="none"/>
        </w:rPr>
        <w:t xml:space="preserve">办公自动化系统具备校议题库功能</w:t>
      </w:r>
      <w:r>
        <w:rPr>
          <w:rFonts w:hint="eastAsia" w:ascii="宋体" w:hAnsi="宋体"/>
          <w:color w:val="auto"/>
          <w:sz w:val="24"/>
          <w:highlight w:val="none"/>
        </w:rPr>
        <w:t xml:space="preserve">，</w:t>
      </w:r>
      <w:r>
        <w:rPr>
          <w:rFonts w:hint="eastAsia" w:ascii="宋体" w:hAnsi="宋体"/>
          <w:color w:val="auto"/>
          <w:sz w:val="24"/>
          <w:highlight w:val="none"/>
        </w:rPr>
        <w:t xml:space="preserve">系统支持所有部门上报的议题审批通过后同时也会进入校议题库，然后由相关秘书选择相应的议题进行议题会议的申请；会议审批通过后议题即可进行上会讨论</w:t>
      </w:r>
      <w:r>
        <w:rPr>
          <w:rFonts w:hint="eastAsia" w:ascii="宋体" w:hAnsi="宋体"/>
          <w:color w:val="auto"/>
          <w:sz w:val="24"/>
          <w:highlight w:val="none"/>
        </w:rPr>
        <w:t xml:space="preserve">；</w:t>
      </w:r>
      <w:r>
        <w:rPr>
          <w:rFonts w:hint="eastAsia" w:ascii="宋体" w:hAnsi="宋体"/>
          <w:color w:val="auto"/>
          <w:sz w:val="24"/>
          <w:highlight w:val="none"/>
        </w:rPr>
        <w:t xml:space="preserve">会议确定后能够发起会议通知，并且可对通知中的议题进行人员授权。</w:t>
      </w:r>
      <w:r>
        <w:rPr>
          <w:rFonts w:hint="eastAsia" w:ascii="宋体" w:hAnsi="宋体"/>
          <w:color w:val="auto"/>
          <w:sz w:val="24"/>
          <w:highlight w:val="none"/>
        </w:rPr>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校议题库中的议题有以下几种状态：</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待上会议题：部门审批通过的还未上会讨论的议题（可自由选择多个议题，并定义会议时间，参会人员），对会议材料进行打回。</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待审议议题：议题会议（议程）申请通过后对于议程中议题最终讨论结果的标识。</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打回议题：以打回部门进行调整的议题。</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能够完全满足上述功能的得1分；须提供系统功能截图。</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4.14  </w:t>
      </w:r>
      <w:r>
        <w:rPr>
          <w:rFonts w:hint="eastAsia" w:ascii="宋体" w:hAnsi="宋体"/>
          <w:color w:val="auto"/>
          <w:sz w:val="24"/>
          <w:highlight w:val="none"/>
        </w:rPr>
        <w:t xml:space="preserve">办公自动化系统</w:t>
      </w:r>
      <w:r>
        <w:rPr>
          <w:rFonts w:hint="eastAsia" w:ascii="宋体" w:hAnsi="宋体"/>
          <w:color w:val="auto"/>
          <w:sz w:val="24"/>
          <w:highlight w:val="none"/>
        </w:rPr>
        <w:t xml:space="preserve">-</w:t>
      </w:r>
      <w:r>
        <w:rPr>
          <w:rFonts w:hint="eastAsia" w:ascii="宋体" w:hAnsi="宋体"/>
          <w:color w:val="auto"/>
          <w:sz w:val="24"/>
          <w:highlight w:val="none"/>
        </w:rPr>
        <w:t xml:space="preserve">会议室预定功能</w:t>
      </w:r>
      <w:r>
        <w:rPr>
          <w:rFonts w:hint="eastAsia" w:ascii="宋体" w:hAnsi="宋体"/>
          <w:color w:val="auto"/>
          <w:sz w:val="24"/>
          <w:highlight w:val="none"/>
        </w:rPr>
        <w:t xml:space="preserve">（1分）：</w:t>
      </w:r>
      <w:r>
        <w:rPr>
          <w:rFonts w:hint="eastAsia" w:ascii="宋体" w:hAnsi="宋体"/>
          <w:color w:val="auto"/>
          <w:sz w:val="24"/>
          <w:highlight w:val="none"/>
        </w:rPr>
        <w:t xml:space="preserve">所投</w:t>
      </w:r>
      <w:r>
        <w:rPr>
          <w:rFonts w:hint="eastAsia" w:ascii="宋体" w:hAnsi="宋体"/>
          <w:color w:val="auto"/>
          <w:sz w:val="24"/>
          <w:highlight w:val="none"/>
        </w:rPr>
        <w:t xml:space="preserve">办公自动化系统具备会议室预定功能</w:t>
      </w:r>
      <w:r>
        <w:rPr>
          <w:rFonts w:hint="eastAsia" w:ascii="宋体" w:hAnsi="宋体"/>
          <w:color w:val="auto"/>
          <w:sz w:val="24"/>
          <w:highlight w:val="none"/>
        </w:rPr>
        <w:t xml:space="preserve">，</w:t>
      </w:r>
      <w:r>
        <w:rPr>
          <w:rFonts w:hint="eastAsia" w:ascii="宋体" w:hAnsi="宋体"/>
          <w:color w:val="auto"/>
          <w:sz w:val="24"/>
          <w:highlight w:val="none"/>
        </w:rPr>
        <w:t xml:space="preserve">系统支持提供会议服务功能，对应的会议服务人员能够查看相关信息以周例的形式进行展现，以便提前做好服务准备。</w:t>
      </w:r>
      <w:r>
        <w:rPr>
          <w:rFonts w:hint="eastAsia" w:ascii="宋体" w:hAnsi="宋体"/>
          <w:color w:val="auto"/>
          <w:sz w:val="24"/>
          <w:highlight w:val="none"/>
        </w:rPr>
        <w:t xml:space="preserve">能够完全满足上述功能的得1分；须提供系统功能截图。</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4.15  </w:t>
      </w:r>
      <w:r>
        <w:rPr>
          <w:rFonts w:hint="eastAsia" w:ascii="宋体" w:hAnsi="宋体"/>
          <w:color w:val="auto"/>
          <w:sz w:val="24"/>
          <w:highlight w:val="none"/>
        </w:rPr>
        <w:t xml:space="preserve">办公自动化系统</w:t>
      </w:r>
      <w:r>
        <w:rPr>
          <w:rFonts w:hint="eastAsia" w:ascii="宋体" w:hAnsi="宋体"/>
          <w:color w:val="auto"/>
          <w:sz w:val="24"/>
          <w:highlight w:val="none"/>
        </w:rPr>
        <w:t xml:space="preserve">-</w:t>
      </w:r>
      <w:r>
        <w:rPr>
          <w:rFonts w:hint="eastAsia" w:ascii="宋体" w:hAnsi="宋体"/>
          <w:color w:val="auto"/>
          <w:sz w:val="24"/>
          <w:highlight w:val="none"/>
        </w:rPr>
        <w:t xml:space="preserve">值班信息查看功能</w:t>
      </w:r>
      <w:r>
        <w:rPr>
          <w:rFonts w:hint="eastAsia" w:ascii="宋体" w:hAnsi="宋体"/>
          <w:color w:val="auto"/>
          <w:sz w:val="24"/>
          <w:highlight w:val="none"/>
        </w:rPr>
        <w:t xml:space="preserve">（1分）：所投</w:t>
      </w:r>
      <w:r>
        <w:rPr>
          <w:rFonts w:hint="eastAsia" w:ascii="宋体" w:hAnsi="宋体"/>
          <w:color w:val="auto"/>
          <w:sz w:val="24"/>
          <w:highlight w:val="none"/>
        </w:rPr>
        <w:t xml:space="preserve">办公自动化系统具备值班信息查看功能</w:t>
      </w:r>
      <w:r>
        <w:rPr>
          <w:rFonts w:hint="eastAsia" w:ascii="宋体" w:hAnsi="宋体"/>
          <w:color w:val="auto"/>
          <w:sz w:val="24"/>
          <w:highlight w:val="none"/>
        </w:rPr>
        <w:t xml:space="preserve">，</w:t>
      </w:r>
      <w:r>
        <w:rPr>
          <w:rFonts w:hint="eastAsia" w:ascii="宋体" w:hAnsi="宋体"/>
          <w:color w:val="auto"/>
          <w:sz w:val="24"/>
          <w:highlight w:val="none"/>
        </w:rPr>
        <w:t xml:space="preserve">系统支持值班信息提供2中展现方式：（1）针对来校办事教职工的日历模式；（2）针对值班老师的传统值班信息汇总模式。</w:t>
      </w:r>
      <w:r>
        <w:rPr>
          <w:rFonts w:hint="eastAsia" w:ascii="宋体" w:hAnsi="宋体"/>
          <w:color w:val="auto"/>
          <w:sz w:val="24"/>
          <w:highlight w:val="none"/>
        </w:rPr>
        <w:t xml:space="preserve">能够完全满足上述功能的得1分；须提供系统功能截图。</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4.16  办公自动化系统-任务反馈功能（1分）：所投</w:t>
      </w:r>
      <w:r>
        <w:rPr>
          <w:rFonts w:hint="eastAsia" w:ascii="宋体" w:hAnsi="宋体"/>
          <w:color w:val="auto"/>
          <w:sz w:val="24"/>
          <w:highlight w:val="none"/>
        </w:rPr>
        <w:t xml:space="preserve">办公自动化系统具备任务反馈功能</w:t>
      </w:r>
      <w:r>
        <w:rPr>
          <w:rFonts w:hint="eastAsia" w:ascii="宋体" w:hAnsi="宋体"/>
          <w:color w:val="auto"/>
          <w:sz w:val="24"/>
          <w:highlight w:val="none"/>
        </w:rPr>
        <w:t xml:space="preserve">，</w:t>
      </w:r>
      <w:r>
        <w:rPr>
          <w:rFonts w:hint="eastAsia" w:ascii="宋体" w:hAnsi="宋体"/>
          <w:color w:val="auto"/>
          <w:sz w:val="24"/>
          <w:highlight w:val="none"/>
        </w:rPr>
        <w:t xml:space="preserve">系统支持反馈信息显示</w:t>
      </w:r>
      <w:r>
        <w:rPr>
          <w:rFonts w:hint="eastAsia" w:ascii="宋体" w:hAnsi="宋体"/>
          <w:color w:val="auto"/>
          <w:sz w:val="24"/>
          <w:highlight w:val="none"/>
        </w:rPr>
        <w:t xml:space="preserve">；</w:t>
      </w:r>
      <w:r>
        <w:rPr>
          <w:rFonts w:hint="eastAsia" w:ascii="宋体" w:hAnsi="宋体"/>
          <w:color w:val="auto"/>
          <w:sz w:val="24"/>
          <w:highlight w:val="none"/>
        </w:rPr>
        <w:t xml:space="preserve">需要相关人员进行事务办理反馈的收文、请示，在任务完成后会自动将办理情况追加到对应的业务单据上以作为反馈详情。</w:t>
      </w:r>
      <w:r>
        <w:rPr>
          <w:rFonts w:hint="eastAsia" w:ascii="宋体" w:hAnsi="宋体"/>
          <w:color w:val="auto"/>
          <w:sz w:val="24"/>
          <w:highlight w:val="none"/>
        </w:rPr>
        <w:t xml:space="preserve">能够完全满足上述功能的得1分；须提供系统功能截图。</w:t>
      </w:r>
      <w:r>
        <w:rPr>
          <w:color w:val="auto"/>
          <w:highlight w:val="none"/>
        </w:rPr>
      </w:r>
    </w:p>
    <w:p>
      <w:pPr>
        <w:pStyle w:val="929"/>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项目方案</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rPr>
        <w:t xml:space="preserve">55</w:t>
      </w:r>
      <w:r>
        <w:rPr>
          <w:rFonts w:hint="eastAsia" w:ascii="宋体" w:hAnsi="宋体"/>
          <w:b/>
          <w:bCs/>
          <w:color w:val="auto"/>
          <w:sz w:val="24"/>
          <w:szCs w:val="24"/>
          <w:highlight w:val="none"/>
        </w:rPr>
        <w:t xml:space="preserve">分）：</w:t>
      </w:r>
      <w:r>
        <w:rPr>
          <w:rFonts w:hint="eastAsia" w:ascii="宋体" w:hAnsi="宋体"/>
          <w:b/>
          <w:bCs/>
          <w:color w:val="auto"/>
          <w:sz w:val="24"/>
          <w:szCs w:val="24"/>
          <w:highlight w:val="none"/>
        </w:rPr>
        <w:t xml:space="preserve">无方案不得分。</w:t>
      </w:r>
      <w:r>
        <w:rPr>
          <w:rFonts w:ascii="宋体" w:hAnsi="宋体"/>
          <w:b/>
          <w:bCs/>
          <w:color w:val="auto"/>
          <w:sz w:val="24"/>
          <w:szCs w:val="24"/>
          <w:highlight w:val="none"/>
        </w:rPr>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5.1  </w:t>
      </w:r>
      <w:r>
        <w:rPr>
          <w:rFonts w:hint="eastAsia" w:ascii="宋体" w:hAnsi="宋体"/>
          <w:color w:val="auto"/>
          <w:sz w:val="24"/>
          <w:highlight w:val="none"/>
        </w:rPr>
        <w:t xml:space="preserve">项目实施方案（</w:t>
      </w:r>
      <w:r>
        <w:rPr>
          <w:rFonts w:hint="eastAsia" w:ascii="宋体" w:hAnsi="宋体"/>
          <w:color w:val="auto"/>
          <w:sz w:val="24"/>
          <w:highlight w:val="none"/>
        </w:rPr>
        <w:t xml:space="preserve">16</w:t>
      </w:r>
      <w:r>
        <w:rPr>
          <w:rFonts w:hint="eastAsia" w:ascii="宋体" w:hAnsi="宋体"/>
          <w:color w:val="auto"/>
          <w:sz w:val="24"/>
          <w:highlight w:val="none"/>
        </w:rPr>
        <w:t xml:space="preserve">分）：投标人针对本项目的需求制定实施方案（包括：项</w:t>
      </w:r>
      <w:r>
        <w:rPr>
          <w:rFonts w:hint="eastAsia" w:ascii="宋体" w:hAnsi="宋体"/>
          <w:color w:val="auto"/>
          <w:sz w:val="24"/>
          <w:highlight w:val="none"/>
        </w:rPr>
        <w:t xml:space="preserve">目时间进度、项目实施组织架构、实施阶段划分、项目管理方案、实施过程管控工具）</w:t>
      </w:r>
      <w:r>
        <w:rPr>
          <w:rFonts w:hint="eastAsia" w:ascii="宋体" w:hAnsi="宋体"/>
          <w:color w:val="auto"/>
          <w:sz w:val="24"/>
          <w:highlight w:val="none"/>
        </w:rPr>
        <w:t xml:space="preserve">，根据方案</w:t>
      </w:r>
      <w:r>
        <w:rPr>
          <w:rFonts w:hint="eastAsia" w:ascii="宋体" w:hAnsi="宋体"/>
          <w:color w:val="auto"/>
          <w:sz w:val="24"/>
          <w:highlight w:val="none"/>
        </w:rPr>
        <w:t xml:space="preserve">的全面性、内容是否具体、针对性内容科学合理性进行评审。</w:t>
      </w:r>
      <w:r>
        <w:rPr>
          <w:rFonts w:hint="eastAsia" w:ascii="宋体" w:hAnsi="宋体"/>
          <w:color w:val="auto"/>
          <w:sz w:val="24"/>
          <w:highlight w:val="none"/>
        </w:rPr>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方案清晰、合理、详细、全面、针对性强、可行性强，且</w:t>
      </w:r>
      <w:r>
        <w:rPr>
          <w:rFonts w:hint="eastAsia" w:ascii="宋体" w:hAnsi="宋体"/>
          <w:color w:val="auto"/>
          <w:sz w:val="24"/>
          <w:highlight w:val="none"/>
        </w:rPr>
        <w:t xml:space="preserve">5</w:t>
      </w:r>
      <w:r>
        <w:rPr>
          <w:rFonts w:hint="eastAsia" w:ascii="宋体" w:hAnsi="宋体"/>
          <w:color w:val="auto"/>
          <w:sz w:val="24"/>
          <w:highlight w:val="none"/>
        </w:rPr>
        <w:t xml:space="preserve">项内容方案均齐全的，得</w:t>
      </w:r>
      <w:r>
        <w:rPr>
          <w:rFonts w:hint="eastAsia" w:ascii="宋体" w:hAnsi="宋体"/>
          <w:color w:val="auto"/>
          <w:sz w:val="24"/>
          <w:highlight w:val="none"/>
        </w:rPr>
        <w:t xml:space="preserve">16</w:t>
      </w:r>
      <w:r>
        <w:rPr>
          <w:rFonts w:hint="eastAsia" w:ascii="宋体" w:hAnsi="宋体"/>
          <w:color w:val="auto"/>
          <w:sz w:val="24"/>
          <w:highlight w:val="none"/>
        </w:rPr>
        <w:t xml:space="preserve">分；</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方案较清晰、较合理、较详细、较全面、针对性较强、可行性较强，能够提供</w:t>
      </w:r>
      <w:r>
        <w:rPr>
          <w:rFonts w:hint="eastAsia" w:ascii="宋体" w:hAnsi="宋体"/>
          <w:color w:val="auto"/>
          <w:sz w:val="24"/>
          <w:highlight w:val="none"/>
        </w:rPr>
        <w:t xml:space="preserve">3-5</w:t>
      </w:r>
      <w:r>
        <w:rPr>
          <w:rFonts w:hint="eastAsia" w:ascii="宋体" w:hAnsi="宋体"/>
          <w:color w:val="auto"/>
          <w:sz w:val="24"/>
          <w:highlight w:val="none"/>
        </w:rPr>
        <w:t xml:space="preserve">项内容方案的，得</w:t>
      </w:r>
      <w:r>
        <w:rPr>
          <w:rFonts w:hint="eastAsia" w:ascii="宋体" w:hAnsi="宋体"/>
          <w:color w:val="auto"/>
          <w:sz w:val="24"/>
          <w:highlight w:val="none"/>
        </w:rPr>
        <w:t xml:space="preserve">13</w:t>
      </w:r>
      <w:r>
        <w:rPr>
          <w:rFonts w:hint="eastAsia" w:ascii="宋体" w:hAnsi="宋体"/>
          <w:color w:val="auto"/>
          <w:sz w:val="24"/>
          <w:highlight w:val="none"/>
        </w:rPr>
        <w:t xml:space="preserve">分；</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方案清晰度一般、合理性一般、详细性一般、全面性一般、针对性一般、可行性一般，能够提供</w:t>
      </w:r>
      <w:r>
        <w:rPr>
          <w:rFonts w:hint="eastAsia" w:ascii="宋体" w:hAnsi="宋体"/>
          <w:color w:val="auto"/>
          <w:sz w:val="24"/>
          <w:highlight w:val="none"/>
        </w:rPr>
        <w:t xml:space="preserve">2-5</w:t>
      </w:r>
      <w:r>
        <w:rPr>
          <w:rFonts w:hint="eastAsia" w:ascii="宋体" w:hAnsi="宋体"/>
          <w:color w:val="auto"/>
          <w:sz w:val="24"/>
          <w:highlight w:val="none"/>
        </w:rPr>
        <w:t xml:space="preserve">项内容方案的，得</w:t>
      </w:r>
      <w:r>
        <w:rPr>
          <w:rFonts w:hint="eastAsia" w:ascii="宋体" w:hAnsi="宋体"/>
          <w:color w:val="auto"/>
          <w:sz w:val="24"/>
          <w:highlight w:val="none"/>
        </w:rPr>
        <w:t xml:space="preserve">10</w:t>
      </w:r>
      <w:r>
        <w:rPr>
          <w:rFonts w:hint="eastAsia" w:ascii="宋体" w:hAnsi="宋体"/>
          <w:color w:val="auto"/>
          <w:sz w:val="24"/>
          <w:highlight w:val="none"/>
        </w:rPr>
        <w:t xml:space="preserve">分；</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方案内容基本满足要求，没有明确各项内容方案的，得</w:t>
      </w:r>
      <w:r>
        <w:rPr>
          <w:rFonts w:hint="eastAsia" w:ascii="宋体" w:hAnsi="宋体"/>
          <w:color w:val="auto"/>
          <w:sz w:val="24"/>
          <w:highlight w:val="none"/>
        </w:rPr>
        <w:t xml:space="preserve">7</w:t>
      </w:r>
      <w:r>
        <w:rPr>
          <w:rFonts w:hint="eastAsia" w:ascii="宋体" w:hAnsi="宋体"/>
          <w:color w:val="auto"/>
          <w:sz w:val="24"/>
          <w:highlight w:val="none"/>
        </w:rPr>
        <w:t xml:space="preserve">分。</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5.2  </w:t>
      </w:r>
      <w:r>
        <w:rPr>
          <w:rFonts w:hint="eastAsia" w:ascii="宋体" w:hAnsi="宋体"/>
          <w:color w:val="auto"/>
          <w:sz w:val="24"/>
          <w:highlight w:val="none"/>
        </w:rPr>
        <w:t xml:space="preserve">售后服务方案（</w:t>
      </w:r>
      <w:r>
        <w:rPr>
          <w:rFonts w:hint="eastAsia" w:ascii="宋体" w:hAnsi="宋体"/>
          <w:color w:val="auto"/>
          <w:sz w:val="24"/>
          <w:highlight w:val="none"/>
        </w:rPr>
        <w:t xml:space="preserve">11</w:t>
      </w:r>
      <w:r>
        <w:rPr>
          <w:rFonts w:hint="eastAsia" w:ascii="宋体" w:hAnsi="宋体"/>
          <w:color w:val="auto"/>
          <w:sz w:val="24"/>
          <w:highlight w:val="none"/>
        </w:rPr>
        <w:t xml:space="preserve">分）：投标人针对本项目提供完整售后服务方案（包括但</w:t>
      </w:r>
      <w:r>
        <w:rPr>
          <w:rFonts w:hint="eastAsia" w:ascii="宋体" w:hAnsi="宋体"/>
          <w:color w:val="auto"/>
          <w:sz w:val="24"/>
          <w:highlight w:val="none"/>
        </w:rPr>
        <w:t xml:space="preserve">不限于</w:t>
      </w:r>
      <w:r>
        <w:rPr>
          <w:rFonts w:hint="eastAsia" w:ascii="宋体" w:hAnsi="宋体"/>
          <w:color w:val="auto"/>
          <w:sz w:val="24"/>
          <w:highlight w:val="none"/>
        </w:rPr>
        <w:t xml:space="preserve">：</w:t>
      </w:r>
      <w:r>
        <w:rPr>
          <w:rFonts w:hint="eastAsia" w:ascii="宋体" w:hAnsi="宋体"/>
          <w:color w:val="auto"/>
          <w:sz w:val="24"/>
          <w:highlight w:val="none"/>
        </w:rPr>
        <w:t xml:space="preserve">服务期限、服务响应和故障排除、日常维护及保养措施、应急措施</w:t>
      </w:r>
      <w:r>
        <w:rPr>
          <w:rFonts w:hint="eastAsia" w:ascii="宋体" w:hAnsi="宋体"/>
          <w:color w:val="auto"/>
          <w:sz w:val="24"/>
          <w:highlight w:val="none"/>
        </w:rPr>
        <w:t xml:space="preserve">、</w:t>
      </w:r>
      <w:r>
        <w:rPr>
          <w:rFonts w:hint="eastAsia" w:ascii="宋体" w:hAnsi="宋体"/>
          <w:color w:val="auto"/>
          <w:sz w:val="24"/>
          <w:highlight w:val="none"/>
        </w:rPr>
        <w:t xml:space="preserve">售后服务时间等），</w:t>
      </w:r>
      <w:r>
        <w:rPr>
          <w:rFonts w:hint="eastAsia" w:ascii="宋体" w:hAnsi="宋体"/>
          <w:color w:val="auto"/>
          <w:sz w:val="24"/>
          <w:highlight w:val="none"/>
        </w:rPr>
        <w:t xml:space="preserve">根据方案进行打分</w:t>
      </w:r>
      <w:r>
        <w:rPr>
          <w:rFonts w:hint="eastAsia" w:ascii="宋体" w:hAnsi="宋体"/>
          <w:color w:val="auto"/>
          <w:sz w:val="24"/>
          <w:highlight w:val="none"/>
        </w:rPr>
        <w:t xml:space="preserve">。</w:t>
      </w:r>
      <w:r>
        <w:rPr>
          <w:rFonts w:hint="eastAsia" w:ascii="宋体" w:hAnsi="宋体"/>
          <w:color w:val="auto"/>
          <w:sz w:val="24"/>
          <w:highlight w:val="none"/>
        </w:rPr>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方案清晰、合理、详细、全面、针对性强、可行性强，且</w:t>
      </w:r>
      <w:r>
        <w:rPr>
          <w:rFonts w:hint="eastAsia" w:ascii="宋体" w:hAnsi="宋体"/>
          <w:color w:val="auto"/>
          <w:sz w:val="24"/>
          <w:highlight w:val="none"/>
        </w:rPr>
        <w:t xml:space="preserve">5</w:t>
      </w:r>
      <w:r>
        <w:rPr>
          <w:rFonts w:hint="eastAsia" w:ascii="宋体" w:hAnsi="宋体"/>
          <w:color w:val="auto"/>
          <w:sz w:val="24"/>
          <w:highlight w:val="none"/>
        </w:rPr>
        <w:t xml:space="preserve">项内容方案均齐全的，得</w:t>
      </w:r>
      <w:r>
        <w:rPr>
          <w:rFonts w:hint="eastAsia" w:ascii="宋体" w:hAnsi="宋体"/>
          <w:color w:val="auto"/>
          <w:sz w:val="24"/>
          <w:highlight w:val="none"/>
        </w:rPr>
        <w:t xml:space="preserve">11</w:t>
      </w:r>
      <w:r>
        <w:rPr>
          <w:rFonts w:hint="eastAsia" w:ascii="宋体" w:hAnsi="宋体"/>
          <w:color w:val="auto"/>
          <w:sz w:val="24"/>
          <w:highlight w:val="none"/>
        </w:rPr>
        <w:t xml:space="preserve">分；</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方案较清晰、较合理、较详细、较全面、针对性较强、可行性较强，能够提供</w:t>
      </w:r>
      <w:r>
        <w:rPr>
          <w:rFonts w:hint="eastAsia" w:ascii="宋体" w:hAnsi="宋体"/>
          <w:color w:val="auto"/>
          <w:sz w:val="24"/>
          <w:highlight w:val="none"/>
        </w:rPr>
        <w:t xml:space="preserve">3-5</w:t>
      </w:r>
      <w:r>
        <w:rPr>
          <w:rFonts w:hint="eastAsia" w:ascii="宋体" w:hAnsi="宋体"/>
          <w:color w:val="auto"/>
          <w:sz w:val="24"/>
          <w:highlight w:val="none"/>
        </w:rPr>
        <w:t xml:space="preserve">项内容方案的，得</w:t>
      </w:r>
      <w:r>
        <w:rPr>
          <w:rFonts w:hint="eastAsia" w:ascii="宋体" w:hAnsi="宋体"/>
          <w:color w:val="auto"/>
          <w:sz w:val="24"/>
          <w:highlight w:val="none"/>
        </w:rPr>
        <w:t xml:space="preserve">9</w:t>
      </w:r>
      <w:r>
        <w:rPr>
          <w:rFonts w:hint="eastAsia" w:ascii="宋体" w:hAnsi="宋体"/>
          <w:color w:val="auto"/>
          <w:sz w:val="24"/>
          <w:highlight w:val="none"/>
        </w:rPr>
        <w:t xml:space="preserve">分；</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方案清晰度一般、合理性一般、详细性一般、全面性一般、针对性一般、可行性一般，能够提供</w:t>
      </w:r>
      <w:r>
        <w:rPr>
          <w:rFonts w:hint="eastAsia" w:ascii="宋体" w:hAnsi="宋体"/>
          <w:color w:val="auto"/>
          <w:sz w:val="24"/>
          <w:highlight w:val="none"/>
        </w:rPr>
        <w:t xml:space="preserve">2-5</w:t>
      </w:r>
      <w:r>
        <w:rPr>
          <w:rFonts w:hint="eastAsia" w:ascii="宋体" w:hAnsi="宋体"/>
          <w:color w:val="auto"/>
          <w:sz w:val="24"/>
          <w:highlight w:val="none"/>
        </w:rPr>
        <w:t xml:space="preserve">项内容方案的，得</w:t>
      </w:r>
      <w:r>
        <w:rPr>
          <w:rFonts w:hint="eastAsia" w:ascii="宋体" w:hAnsi="宋体"/>
          <w:color w:val="auto"/>
          <w:sz w:val="24"/>
          <w:highlight w:val="none"/>
        </w:rPr>
        <w:t xml:space="preserve">7</w:t>
      </w:r>
      <w:r>
        <w:rPr>
          <w:rFonts w:hint="eastAsia" w:ascii="宋体" w:hAnsi="宋体"/>
          <w:color w:val="auto"/>
          <w:sz w:val="24"/>
          <w:highlight w:val="none"/>
        </w:rPr>
        <w:t xml:space="preserve">分；</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方案内容基本满足要求，没有明确各项内容方案的，得</w:t>
      </w:r>
      <w:r>
        <w:rPr>
          <w:rFonts w:hint="eastAsia" w:ascii="宋体" w:hAnsi="宋体"/>
          <w:color w:val="auto"/>
          <w:sz w:val="24"/>
          <w:highlight w:val="none"/>
        </w:rPr>
        <w:t xml:space="preserve">5</w:t>
      </w:r>
      <w:r>
        <w:rPr>
          <w:rFonts w:hint="eastAsia" w:ascii="宋体" w:hAnsi="宋体"/>
          <w:color w:val="auto"/>
          <w:sz w:val="24"/>
          <w:highlight w:val="none"/>
        </w:rPr>
        <w:t xml:space="preserve">分。</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5.3针对本项目的理解（10分）：根据报价人提供的对项目情况、项目实施目标、项目建设内容的理解，以及对于项目重难点的分析等进行评分。</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方案清晰、合理、详细、全面、针对性强、可行性强，且3项内容方案均齐全的，得10分；</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方案较清晰、较合理、较详细、较全面、针对性较强、可行性较强，能够提供2-3项内容方案的，得8分；</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方案清晰度一般、合理性一般、详细性一般、全面性一般、针对性一般、可行性一般，能够提供1-3项内容方案的，得6分；</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方案内容基本满足要求，没有明确各项内容方案的，得4分。</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5.4数据对接与迁移方案（10分）：综合考虑对原有投资的保护，兼容原有的系统，保护已有投资，照顾用户已有的使用习惯，保护并利用这些系统已积累的宝贵数据；投标人针对本项目提供完整数据对接和迁移方案。</w:t>
      </w:r>
      <w:r>
        <w:rPr>
          <w:rFonts w:hint="eastAsia" w:ascii="宋体" w:hAnsi="宋体"/>
          <w:color w:val="auto"/>
          <w:sz w:val="24"/>
          <w:highlight w:val="none"/>
        </w:rPr>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方案清晰、合理、详细、全面、针对性强、可行性强的，得10分；</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方案较清晰、较合理、较详细、较全面、针对性较强、可行性较强的</w:t>
      </w:r>
      <w:r>
        <w:rPr>
          <w:rFonts w:hint="eastAsia" w:ascii="宋体" w:hAnsi="宋体"/>
          <w:color w:val="auto"/>
          <w:sz w:val="24"/>
          <w:highlight w:val="none"/>
        </w:rPr>
        <w:t xml:space="preserve">，得8分</w:t>
      </w:r>
      <w:r>
        <w:rPr>
          <w:rFonts w:hint="eastAsia" w:ascii="宋体" w:hAnsi="宋体"/>
          <w:color w:val="auto"/>
          <w:sz w:val="24"/>
          <w:highlight w:val="none"/>
        </w:rPr>
        <w:t xml:space="preserve">；</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方案清晰度、合理性、详细性、全面性、针对性、可行性</w:t>
      </w:r>
      <w:r>
        <w:rPr>
          <w:rFonts w:hint="eastAsia" w:ascii="宋体" w:hAnsi="宋体"/>
          <w:color w:val="auto"/>
          <w:sz w:val="24"/>
          <w:highlight w:val="none"/>
        </w:rPr>
        <w:t xml:space="preserve">均一般</w:t>
      </w:r>
      <w:r>
        <w:rPr>
          <w:rFonts w:hint="eastAsia" w:ascii="宋体" w:hAnsi="宋体"/>
          <w:color w:val="auto"/>
          <w:sz w:val="24"/>
          <w:highlight w:val="none"/>
        </w:rPr>
        <w:t xml:space="preserve">的</w:t>
      </w:r>
      <w:r>
        <w:rPr>
          <w:rFonts w:hint="eastAsia" w:ascii="宋体" w:hAnsi="宋体"/>
          <w:color w:val="auto"/>
          <w:sz w:val="24"/>
          <w:highlight w:val="none"/>
        </w:rPr>
        <w:t xml:space="preserve">，得6分</w:t>
      </w:r>
      <w:r>
        <w:rPr>
          <w:rFonts w:hint="eastAsia" w:ascii="宋体" w:hAnsi="宋体"/>
          <w:color w:val="auto"/>
          <w:sz w:val="24"/>
          <w:highlight w:val="none"/>
        </w:rPr>
        <w:t xml:space="preserve">；</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方案内容基本满足要求</w:t>
      </w:r>
      <w:r>
        <w:rPr>
          <w:rFonts w:hint="eastAsia" w:ascii="宋体" w:hAnsi="宋体"/>
          <w:color w:val="auto"/>
          <w:sz w:val="24"/>
          <w:highlight w:val="none"/>
        </w:rPr>
        <w:t xml:space="preserve">的，得4分</w:t>
      </w:r>
      <w:r>
        <w:rPr>
          <w:rFonts w:hint="eastAsia" w:ascii="宋体" w:hAnsi="宋体"/>
          <w:color w:val="auto"/>
          <w:sz w:val="24"/>
          <w:highlight w:val="none"/>
        </w:rPr>
        <w:t xml:space="preserve">。</w:t>
      </w:r>
      <w:r>
        <w:rPr>
          <w:rFonts w:hint="eastAsia" w:ascii="宋体" w:hAnsi="宋体"/>
          <w:color w:val="auto"/>
          <w:sz w:val="24"/>
          <w:highlight w:val="none"/>
        </w:rPr>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5.5培训方案（8分）：根据各投标人培训方案的培训大纲、培训时间及方式进行综合评分。</w:t>
      </w:r>
      <w:r>
        <w:rPr>
          <w:rFonts w:hint="eastAsia" w:ascii="宋体" w:hAnsi="宋体"/>
          <w:color w:val="auto"/>
          <w:sz w:val="24"/>
          <w:highlight w:val="none"/>
        </w:rPr>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方案清晰、合理、详细、全面、针对性强、可行性强，且</w:t>
      </w:r>
      <w:r>
        <w:rPr>
          <w:rFonts w:hint="eastAsia" w:ascii="宋体" w:hAnsi="宋体"/>
          <w:color w:val="auto"/>
          <w:sz w:val="24"/>
          <w:highlight w:val="none"/>
        </w:rPr>
        <w:t xml:space="preserve">2</w:t>
      </w:r>
      <w:r>
        <w:rPr>
          <w:rFonts w:hint="eastAsia" w:ascii="宋体" w:hAnsi="宋体"/>
          <w:color w:val="auto"/>
          <w:sz w:val="24"/>
          <w:highlight w:val="none"/>
        </w:rPr>
        <w:t xml:space="preserve">项内容方案均齐全的，得</w:t>
      </w:r>
      <w:r>
        <w:rPr>
          <w:rFonts w:hint="eastAsia" w:ascii="宋体" w:hAnsi="宋体"/>
          <w:color w:val="auto"/>
          <w:sz w:val="24"/>
          <w:highlight w:val="none"/>
        </w:rPr>
        <w:t xml:space="preserve">8</w:t>
      </w:r>
      <w:r>
        <w:rPr>
          <w:rFonts w:hint="eastAsia" w:ascii="宋体" w:hAnsi="宋体"/>
          <w:color w:val="auto"/>
          <w:sz w:val="24"/>
          <w:highlight w:val="none"/>
        </w:rPr>
        <w:t xml:space="preserve">分；</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方案较清晰、较合理、较详细、较全面、针对性较强、可行性较强，能够提供</w:t>
      </w:r>
      <w:r>
        <w:rPr>
          <w:rFonts w:hint="eastAsia" w:ascii="宋体" w:hAnsi="宋体"/>
          <w:color w:val="auto"/>
          <w:sz w:val="24"/>
          <w:highlight w:val="none"/>
        </w:rPr>
        <w:t xml:space="preserve">1-2</w:t>
      </w:r>
      <w:r>
        <w:rPr>
          <w:rFonts w:hint="eastAsia" w:ascii="宋体" w:hAnsi="宋体"/>
          <w:color w:val="auto"/>
          <w:sz w:val="24"/>
          <w:highlight w:val="none"/>
        </w:rPr>
        <w:t xml:space="preserve">项内容方案的，得</w:t>
      </w:r>
      <w:r>
        <w:rPr>
          <w:rFonts w:hint="eastAsia" w:ascii="宋体" w:hAnsi="宋体"/>
          <w:color w:val="auto"/>
          <w:sz w:val="24"/>
          <w:highlight w:val="none"/>
        </w:rPr>
        <w:t xml:space="preserve">7</w:t>
      </w:r>
      <w:r>
        <w:rPr>
          <w:rFonts w:hint="eastAsia" w:ascii="宋体" w:hAnsi="宋体"/>
          <w:color w:val="auto"/>
          <w:sz w:val="24"/>
          <w:highlight w:val="none"/>
        </w:rPr>
        <w:t xml:space="preserve">分；</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方案清晰度一般、合理性一般、详细性一般、全面性一般、针对性一般、可行性一般，能够提供</w:t>
      </w:r>
      <w:r>
        <w:rPr>
          <w:rFonts w:hint="eastAsia" w:ascii="宋体" w:hAnsi="宋体"/>
          <w:color w:val="auto"/>
          <w:sz w:val="24"/>
          <w:highlight w:val="none"/>
        </w:rPr>
        <w:t xml:space="preserve">1-2</w:t>
      </w:r>
      <w:r>
        <w:rPr>
          <w:rFonts w:hint="eastAsia" w:ascii="宋体" w:hAnsi="宋体"/>
          <w:color w:val="auto"/>
          <w:sz w:val="24"/>
          <w:highlight w:val="none"/>
        </w:rPr>
        <w:t xml:space="preserve">项内容方案的，得</w:t>
      </w:r>
      <w:r>
        <w:rPr>
          <w:rFonts w:hint="eastAsia" w:ascii="宋体" w:hAnsi="宋体"/>
          <w:color w:val="auto"/>
          <w:sz w:val="24"/>
          <w:highlight w:val="none"/>
        </w:rPr>
        <w:t xml:space="preserve">6</w:t>
      </w:r>
      <w:r>
        <w:rPr>
          <w:rFonts w:hint="eastAsia" w:ascii="宋体" w:hAnsi="宋体"/>
          <w:color w:val="auto"/>
          <w:sz w:val="24"/>
          <w:highlight w:val="none"/>
        </w:rPr>
        <w:t xml:space="preserve">分；</w:t>
      </w:r>
      <w:r>
        <w:rPr>
          <w:color w:val="auto"/>
          <w:highlight w:val="none"/>
        </w:rPr>
      </w:r>
    </w:p>
    <w:p>
      <w:pPr>
        <w:pStyle w:val="929"/>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方案内容基本满足要求，没有明确各项内容方案的，得</w:t>
      </w:r>
      <w:r>
        <w:rPr>
          <w:rFonts w:hint="eastAsia" w:ascii="宋体" w:hAnsi="宋体"/>
          <w:color w:val="auto"/>
          <w:sz w:val="24"/>
          <w:highlight w:val="none"/>
        </w:rPr>
        <w:t xml:space="preserve">5</w:t>
      </w:r>
      <w:r>
        <w:rPr>
          <w:rFonts w:hint="eastAsia" w:ascii="宋体" w:hAnsi="宋体"/>
          <w:color w:val="auto"/>
          <w:sz w:val="24"/>
          <w:highlight w:val="none"/>
        </w:rPr>
        <w:t xml:space="preserve">分。</w:t>
      </w:r>
      <w:r>
        <w:rPr>
          <w:rFonts w:hint="eastAsia" w:ascii="宋体" w:hAnsi="宋体"/>
          <w:color w:val="auto"/>
          <w:sz w:val="24"/>
          <w:highlight w:val="none"/>
        </w:rPr>
      </w:r>
      <w:r>
        <w:rPr>
          <w:color w:val="auto"/>
          <w:highlight w:val="none"/>
        </w:rPr>
      </w:r>
    </w:p>
    <w:p>
      <w:pPr>
        <w:pStyle w:val="929"/>
        <w:ind w:firstLine="480"/>
        <w:spacing w:line="500" w:lineRule="exact"/>
        <w:rPr>
          <w:rFonts w:ascii="宋体" w:hAnsi="宋体"/>
          <w:color w:val="auto"/>
          <w:sz w:val="24"/>
          <w:highlight w:val="none"/>
        </w:rPr>
      </w:pPr>
      <w:r>
        <w:rPr>
          <w:rFonts w:ascii="宋体" w:hAnsi="宋体"/>
          <w:color w:val="auto"/>
          <w:sz w:val="24"/>
          <w:highlight w:val="none"/>
        </w:rPr>
      </w:r>
      <w:r>
        <w:rPr>
          <w:color w:val="auto"/>
          <w:highlight w:val="none"/>
        </w:rPr>
      </w:r>
    </w:p>
    <w:p>
      <w:pPr>
        <w:pStyle w:val="1017"/>
        <w:jc w:val="center"/>
        <w:spacing w:before="0" w:after="0" w:line="500" w:lineRule="exact"/>
        <w:rPr>
          <w:rFonts w:hint="eastAsia" w:ascii="黑体" w:eastAsia="黑体"/>
          <w:bCs/>
          <w:color w:val="auto"/>
          <w:sz w:val="36"/>
          <w:szCs w:val="36"/>
          <w:highlight w:val="none"/>
        </w:rPr>
      </w:pPr>
      <w:r>
        <w:rPr>
          <w:rFonts w:ascii="宋体" w:hAnsi="宋体"/>
          <w:color w:val="auto"/>
          <w:highlight w:val="none"/>
        </w:rPr>
        <w:br w:type="page" w:clear="all"/>
      </w:r>
      <w:r>
        <w:rPr>
          <w:rFonts w:hint="eastAsia" w:ascii="黑体" w:eastAsia="黑体"/>
          <w:bCs/>
          <w:color w:val="auto"/>
          <w:sz w:val="36"/>
          <w:szCs w:val="36"/>
          <w:highlight w:val="none"/>
        </w:rPr>
        <w:t xml:space="preserve">第六章  </w:t>
      </w:r>
      <w:bookmarkEnd w:id="191"/>
      <w:r>
        <w:rPr>
          <w:color w:val="auto"/>
          <w:highlight w:val="none"/>
        </w:rPr>
      </w:r>
      <w:bookmarkEnd w:id="192"/>
      <w:r>
        <w:rPr>
          <w:color w:val="auto"/>
          <w:highlight w:val="none"/>
        </w:rPr>
      </w:r>
      <w:bookmarkEnd w:id="193"/>
      <w:r>
        <w:rPr>
          <w:rFonts w:hint="eastAsia" w:ascii="黑体" w:eastAsia="黑体"/>
          <w:bCs/>
          <w:color w:val="auto"/>
          <w:sz w:val="36"/>
          <w:szCs w:val="36"/>
          <w:highlight w:val="none"/>
        </w:rPr>
        <w:t xml:space="preserve">投标文件内容与格式</w:t>
      </w:r>
      <w:r>
        <w:rPr>
          <w:color w:val="auto"/>
          <w:highlight w:val="none"/>
        </w:rPr>
      </w:r>
    </w:p>
    <w:p>
      <w:pPr>
        <w:pStyle w:val="1017"/>
        <w:ind w:firstLine="602"/>
        <w:spacing w:before="0" w:after="0" w:line="500" w:lineRule="exact"/>
        <w:rPr>
          <w:rFonts w:hint="eastAsia" w:cs="Arial"/>
          <w:b/>
          <w:color w:val="auto"/>
          <w:sz w:val="30"/>
          <w:szCs w:val="30"/>
          <w:highlight w:val="none"/>
        </w:rPr>
      </w:pPr>
      <w:r>
        <w:rPr>
          <w:color w:val="auto"/>
          <w:highlight w:val="none"/>
        </w:rPr>
      </w:r>
      <w:bookmarkStart w:id="194" w:name="_Hlt26955039"/>
      <w:r>
        <w:rPr>
          <w:color w:val="auto"/>
          <w:highlight w:val="none"/>
        </w:rPr>
      </w:r>
      <w:bookmarkEnd w:id="194"/>
      <w:r>
        <w:rPr>
          <w:color w:val="auto"/>
          <w:highlight w:val="none"/>
        </w:rPr>
      </w:r>
      <w:bookmarkStart w:id="195" w:name="_Toc49090576"/>
      <w:r>
        <w:rPr>
          <w:color w:val="auto"/>
          <w:highlight w:val="none"/>
        </w:rPr>
      </w:r>
      <w:bookmarkStart w:id="196" w:name="_Toc120614282"/>
      <w:r>
        <w:rPr>
          <w:color w:val="auto"/>
          <w:highlight w:val="none"/>
        </w:rPr>
      </w:r>
      <w:bookmarkStart w:id="197" w:name="_Toc26554094"/>
      <w:r>
        <w:rPr>
          <w:color w:val="auto"/>
          <w:highlight w:val="none"/>
        </w:rPr>
      </w:r>
      <w:bookmarkStart w:id="198" w:name="_Hlt26671244"/>
      <w:r>
        <w:rPr>
          <w:color w:val="auto"/>
          <w:highlight w:val="none"/>
        </w:rPr>
      </w:r>
      <w:bookmarkEnd w:id="198"/>
      <w:r>
        <w:rPr>
          <w:rFonts w:hint="eastAsia" w:cs="Arial"/>
          <w:b/>
          <w:color w:val="auto"/>
          <w:sz w:val="30"/>
          <w:szCs w:val="30"/>
          <w:highlight w:val="none"/>
        </w:rPr>
        <w:t xml:space="preserve">第一部分  投标文件内容</w:t>
      </w:r>
      <w:r>
        <w:rPr>
          <w:color w:val="auto"/>
          <w:highlight w:val="none"/>
        </w:rPr>
      </w:r>
    </w:p>
    <w:p>
      <w:pPr>
        <w:pStyle w:val="1017"/>
        <w:ind w:firstLine="0"/>
        <w:spacing w:before="0" w:after="0" w:line="500" w:lineRule="exact"/>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rPr>
          <w:rFonts w:hint="eastAsia" w:cs="Arial"/>
          <w:b/>
          <w:color w:val="auto"/>
          <w:sz w:val="28"/>
          <w:szCs w:val="28"/>
          <w:highlight w:val="none"/>
        </w:rPr>
      </w:r>
      <w:r>
        <w:rPr>
          <w:color w:val="auto"/>
          <w:highlight w:val="none"/>
        </w:rP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017"/>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rPr>
                <w:color w:val="auto"/>
                <w:highlight w:val="none"/>
              </w:rPr>
            </w:r>
          </w:p>
        </w:tc>
        <w:tc>
          <w:tcPr>
            <w:tcW w:w="6104" w:type="dxa"/>
            <w:vAlign w:val="center"/>
            <w:textDirection w:val="lrTb"/>
            <w:noWrap w:val="false"/>
          </w:tcPr>
          <w:p>
            <w:pPr>
              <w:pStyle w:val="1017"/>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评审项目及评审</w:t>
            </w:r>
            <w:r>
              <w:rPr>
                <w:rFonts w:hint="eastAsia" w:ascii="宋体" w:hAnsi="宋体" w:cs="宋体"/>
                <w:b/>
                <w:color w:val="auto"/>
                <w:highlight w:val="none"/>
              </w:rPr>
              <w:t xml:space="preserve">要求</w:t>
            </w:r>
            <w:r>
              <w:rPr>
                <w:color w:val="auto"/>
                <w:highlight w:val="none"/>
              </w:rPr>
            </w:r>
          </w:p>
        </w:tc>
        <w:tc>
          <w:tcPr>
            <w:tcW w:w="2449" w:type="dxa"/>
            <w:vAlign w:val="center"/>
            <w:textDirection w:val="lrTb"/>
            <w:noWrap w:val="false"/>
          </w:tcPr>
          <w:p>
            <w:pPr>
              <w:pStyle w:val="1017"/>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rPr>
                <w:color w:val="auto"/>
                <w:highlight w:val="none"/>
              </w:rPr>
            </w:r>
          </w:p>
        </w:tc>
      </w:tr>
      <w:tr>
        <w:trPr>
          <w:cantSplit/>
          <w:trHeight w:val="1335"/>
        </w:trPr>
        <w:tc>
          <w:tcPr>
            <w:tcW w:w="719" w:type="dxa"/>
            <w:vAlign w:val="center"/>
            <w:textDirection w:val="lrTb"/>
            <w:noWrap w:val="false"/>
          </w:tcPr>
          <w:p>
            <w:pPr>
              <w:pStyle w:val="1017"/>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rPr>
                <w:color w:val="auto"/>
                <w:highlight w:val="none"/>
              </w:rPr>
            </w:r>
          </w:p>
        </w:tc>
        <w:tc>
          <w:tcPr>
            <w:tcW w:w="6104" w:type="dxa"/>
            <w:vAlign w:val="center"/>
            <w:textDirection w:val="lrTb"/>
            <w:noWrap w:val="false"/>
          </w:tcPr>
          <w:p>
            <w:pPr>
              <w:pStyle w:val="1017"/>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color w:val="auto"/>
                <w:highlight w:val="none"/>
              </w:rPr>
            </w:r>
          </w:p>
        </w:tc>
        <w:tc>
          <w:tcPr>
            <w:tcW w:w="2449" w:type="dxa"/>
            <w:vAlign w:val="center"/>
            <w:vMerge w:val="restart"/>
            <w:textDirection w:val="lrTb"/>
            <w:noWrap w:val="false"/>
          </w:tcPr>
          <w:p>
            <w:pPr>
              <w:pStyle w:val="1017"/>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rPr>
                <w:rFonts w:hint="eastAsia" w:ascii="宋体" w:hAnsi="宋体" w:cs="宋体"/>
                <w:color w:val="auto"/>
                <w:highlight w:val="none"/>
              </w:rPr>
            </w:r>
            <w:r>
              <w:rPr>
                <w:color w:val="auto"/>
                <w:highlight w:val="none"/>
              </w:rPr>
            </w:r>
          </w:p>
        </w:tc>
      </w:tr>
      <w:tr>
        <w:trPr>
          <w:cantSplit/>
          <w:trHeight w:val="812"/>
        </w:trPr>
        <w:tc>
          <w:tcPr>
            <w:tcW w:w="719" w:type="dxa"/>
            <w:vAlign w:val="center"/>
            <w:textDirection w:val="lrTb"/>
            <w:noWrap w:val="false"/>
          </w:tcPr>
          <w:p>
            <w:pPr>
              <w:pStyle w:val="1017"/>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rPr>
                <w:color w:val="auto"/>
                <w:highlight w:val="none"/>
              </w:rPr>
            </w:r>
          </w:p>
        </w:tc>
        <w:tc>
          <w:tcPr>
            <w:tcW w:w="6104" w:type="dxa"/>
            <w:vAlign w:val="center"/>
            <w:textDirection w:val="lrTb"/>
            <w:noWrap w:val="false"/>
          </w:tcPr>
          <w:p>
            <w:pPr>
              <w:pStyle w:val="1017"/>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rPr>
                <w:color w:val="auto"/>
                <w:highlight w:val="none"/>
              </w:rPr>
            </w:r>
          </w:p>
        </w:tc>
        <w:tc>
          <w:tcPr>
            <w:tcW w:w="2449" w:type="dxa"/>
            <w:vAlign w:val="center"/>
            <w:vMerge w:val="continue"/>
            <w:textDirection w:val="lrTb"/>
            <w:noWrap w:val="false"/>
          </w:tcPr>
          <w:p>
            <w:pPr>
              <w:pStyle w:val="1017"/>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1017"/>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rPr>
                <w:color w:val="auto"/>
                <w:highlight w:val="none"/>
              </w:rPr>
            </w:r>
          </w:p>
        </w:tc>
        <w:tc>
          <w:tcPr>
            <w:tcW w:w="6104" w:type="dxa"/>
            <w:vAlign w:val="center"/>
            <w:textDirection w:val="lrTb"/>
            <w:noWrap w:val="false"/>
          </w:tcPr>
          <w:p>
            <w:pPr>
              <w:pStyle w:val="1017"/>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06"/>
                <w:rFonts w:hint="eastAsia" w:ascii="宋体" w:hAnsi="宋体" w:cs="宋体"/>
                <w:color w:val="auto"/>
                <w:sz w:val="24"/>
                <w:szCs w:val="24"/>
                <w:highlight w:val="none"/>
              </w:rPr>
              <w:t xml:space="preserve">。</w:t>
            </w:r>
            <w:r>
              <w:rPr>
                <w:rFonts w:hint="eastAsia" w:ascii="宋体" w:hAnsi="宋体" w:cs="宋体"/>
                <w:color w:val="auto"/>
                <w:highlight w:val="none"/>
              </w:rPr>
            </w:r>
            <w:r>
              <w:rPr>
                <w:color w:val="auto"/>
                <w:highlight w:val="none"/>
              </w:rPr>
            </w:r>
          </w:p>
        </w:tc>
        <w:tc>
          <w:tcPr>
            <w:tcW w:w="2449" w:type="dxa"/>
            <w:vAlign w:val="center"/>
            <w:vMerge w:val="continue"/>
            <w:textDirection w:val="lrTb"/>
            <w:noWrap w:val="false"/>
          </w:tcPr>
          <w:p>
            <w:pPr>
              <w:pStyle w:val="1017"/>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1017"/>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rPr>
                <w:color w:val="auto"/>
                <w:highlight w:val="none"/>
              </w:rPr>
            </w:r>
          </w:p>
        </w:tc>
        <w:tc>
          <w:tcPr>
            <w:tcW w:w="6104" w:type="dxa"/>
            <w:vAlign w:val="center"/>
            <w:textDirection w:val="lrTb"/>
            <w:noWrap w:val="false"/>
          </w:tcPr>
          <w:p>
            <w:pPr>
              <w:pStyle w:val="1017"/>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rPr>
                <w:color w:val="auto"/>
                <w:highlight w:val="none"/>
              </w:rPr>
            </w:r>
          </w:p>
        </w:tc>
        <w:tc>
          <w:tcPr>
            <w:tcW w:w="2449" w:type="dxa"/>
            <w:vAlign w:val="center"/>
            <w:vMerge w:val="continue"/>
            <w:textDirection w:val="lrTb"/>
            <w:noWrap w:val="false"/>
          </w:tcPr>
          <w:p>
            <w:pPr>
              <w:pStyle w:val="1017"/>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1017"/>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rPr>
                <w:color w:val="auto"/>
                <w:highlight w:val="none"/>
              </w:rPr>
            </w:r>
          </w:p>
        </w:tc>
        <w:tc>
          <w:tcPr>
            <w:tcW w:w="6104" w:type="dxa"/>
            <w:vAlign w:val="center"/>
            <w:textDirection w:val="lrTb"/>
            <w:noWrap w:val="false"/>
          </w:tcPr>
          <w:p>
            <w:pPr>
              <w:pStyle w:val="1017"/>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rPr>
                <w:color w:val="auto"/>
                <w:highlight w:val="none"/>
              </w:rPr>
            </w:r>
          </w:p>
        </w:tc>
        <w:tc>
          <w:tcPr>
            <w:tcW w:w="2449" w:type="dxa"/>
            <w:vAlign w:val="center"/>
            <w:vMerge w:val="continue"/>
            <w:textDirection w:val="lrTb"/>
            <w:noWrap w:val="false"/>
          </w:tcPr>
          <w:p>
            <w:pPr>
              <w:pStyle w:val="1017"/>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1017"/>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rPr>
                <w:color w:val="auto"/>
                <w:highlight w:val="none"/>
              </w:rPr>
            </w:r>
          </w:p>
        </w:tc>
        <w:tc>
          <w:tcPr>
            <w:tcBorders>
              <w:bottom w:val="single" w:color="000000" w:sz="4" w:space="0"/>
            </w:tcBorders>
            <w:tcW w:w="6104" w:type="dxa"/>
            <w:vAlign w:val="center"/>
            <w:textDirection w:val="lrTb"/>
            <w:noWrap w:val="false"/>
          </w:tcPr>
          <w:p>
            <w:pPr>
              <w:pStyle w:val="1017"/>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rPr>
                <w:color w:val="auto"/>
                <w:highlight w:val="none"/>
              </w:rPr>
            </w:r>
          </w:p>
        </w:tc>
        <w:tc>
          <w:tcPr>
            <w:tcW w:w="2449" w:type="dxa"/>
            <w:vAlign w:val="center"/>
            <w:vMerge w:val="continue"/>
            <w:textDirection w:val="lrTb"/>
            <w:noWrap w:val="false"/>
          </w:tcPr>
          <w:p>
            <w:pPr>
              <w:pStyle w:val="1017"/>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1017"/>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7</w:t>
            </w:r>
            <w:r>
              <w:rPr>
                <w:color w:val="auto"/>
                <w:highlight w:val="none"/>
              </w:rPr>
            </w:r>
          </w:p>
        </w:tc>
        <w:tc>
          <w:tcPr>
            <w:tcW w:w="6104" w:type="dxa"/>
            <w:vAlign w:val="center"/>
            <w:textDirection w:val="lrTb"/>
            <w:noWrap w:val="false"/>
          </w:tcPr>
          <w:p>
            <w:pPr>
              <w:pStyle w:val="1017"/>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w:t>
            </w:r>
            <w:r>
              <w:rPr>
                <w:rFonts w:hint="eastAsia" w:ascii="宋体" w:hAnsi="宋体" w:cs="宋体"/>
                <w:color w:val="auto"/>
                <w:highlight w:val="none"/>
              </w:rPr>
              <w:t xml:space="preserve">中小企业政策</w:t>
            </w:r>
            <w:r>
              <w:rPr>
                <w:rFonts w:hint="eastAsia" w:ascii="宋体" w:hAnsi="宋体" w:cs="宋体"/>
                <w:color w:val="auto"/>
                <w:highlight w:val="none"/>
              </w:rPr>
              <w:t xml:space="preserve">的</w:t>
            </w:r>
            <w:r>
              <w:rPr>
                <w:rFonts w:hint="eastAsia" w:ascii="宋体" w:hAnsi="宋体" w:cs="宋体"/>
                <w:color w:val="auto"/>
                <w:highlight w:val="none"/>
              </w:rPr>
              <w:t xml:space="preserve">证明文件</w:t>
            </w:r>
            <w:r>
              <w:rPr>
                <w:rFonts w:hint="eastAsia" w:ascii="宋体" w:hAnsi="宋体" w:cs="宋体"/>
                <w:color w:val="auto"/>
                <w:highlight w:val="none"/>
              </w:rPr>
              <w:t xml:space="preserve">（如有</w:t>
            </w:r>
            <w:r>
              <w:rPr>
                <w:rFonts w:hint="eastAsia" w:ascii="宋体" w:hAnsi="宋体" w:cs="宋体"/>
                <w:color w:val="auto"/>
                <w:highlight w:val="none"/>
              </w:rPr>
              <w:t xml:space="preserve">中小企业政策</w:t>
            </w:r>
            <w:r>
              <w:rPr>
                <w:rFonts w:hint="eastAsia" w:ascii="宋体" w:hAnsi="宋体" w:cs="宋体"/>
                <w:color w:val="auto"/>
                <w:highlight w:val="none"/>
              </w:rPr>
              <w:t xml:space="preserve">要求</w:t>
            </w:r>
            <w:r>
              <w:rPr>
                <w:rFonts w:hint="eastAsia" w:ascii="宋体" w:hAnsi="宋体" w:cs="宋体"/>
                <w:color w:val="auto"/>
                <w:highlight w:val="none"/>
              </w:rPr>
              <w:t xml:space="preserve">的</w:t>
            </w:r>
            <w:r>
              <w:rPr>
                <w:rFonts w:hint="eastAsia" w:ascii="宋体" w:hAnsi="宋体" w:cs="宋体"/>
                <w:color w:val="auto"/>
                <w:highlight w:val="none"/>
              </w:rPr>
              <w:t xml:space="preserve">）</w:t>
            </w:r>
            <w:r>
              <w:rPr>
                <w:rFonts w:hint="eastAsia" w:ascii="宋体" w:hAnsi="宋体" w:cs="宋体"/>
                <w:color w:val="auto"/>
                <w:highlight w:val="none"/>
              </w:rPr>
              <w:t xml:space="preserve">。</w:t>
            </w:r>
            <w:r>
              <w:rPr>
                <w:rFonts w:hint="eastAsia" w:ascii="宋体" w:hAnsi="宋体" w:cs="宋体"/>
                <w:color w:val="auto"/>
                <w:highlight w:val="none"/>
              </w:rPr>
            </w:r>
            <w:r>
              <w:rPr>
                <w:color w:val="auto"/>
                <w:highlight w:val="none"/>
              </w:rPr>
            </w:r>
          </w:p>
        </w:tc>
        <w:tc>
          <w:tcPr>
            <w:tcW w:w="2449" w:type="dxa"/>
            <w:vAlign w:val="center"/>
            <w:textDirection w:val="lrTb"/>
            <w:noWrap w:val="false"/>
          </w:tcPr>
          <w:p>
            <w:pPr>
              <w:pStyle w:val="1017"/>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rPr>
                <w:rFonts w:ascii="宋体" w:hAnsi="宋体" w:cs="宋体"/>
                <w:color w:val="auto"/>
                <w:highlight w:val="none"/>
              </w:rPr>
            </w:r>
            <w:r>
              <w:rPr>
                <w:color w:val="auto"/>
                <w:highlight w:val="none"/>
              </w:rPr>
            </w:r>
          </w:p>
        </w:tc>
      </w:tr>
      <w:tr>
        <w:trPr>
          <w:trHeight w:val="726"/>
        </w:trPr>
        <w:tc>
          <w:tcPr>
            <w:tcW w:w="719" w:type="dxa"/>
            <w:vAlign w:val="center"/>
            <w:textDirection w:val="lrTb"/>
            <w:noWrap w:val="false"/>
          </w:tcPr>
          <w:p>
            <w:pPr>
              <w:pStyle w:val="1017"/>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rPr>
                <w:rFonts w:hint="eastAsia" w:ascii="宋体" w:hAnsi="宋体" w:cs="宋体"/>
                <w:bCs/>
                <w:color w:val="auto"/>
                <w:highlight w:val="none"/>
              </w:rPr>
            </w:r>
            <w:r>
              <w:rPr>
                <w:color w:val="auto"/>
                <w:highlight w:val="none"/>
              </w:rPr>
            </w:r>
          </w:p>
        </w:tc>
        <w:tc>
          <w:tcPr>
            <w:tcW w:w="6104" w:type="dxa"/>
            <w:vAlign w:val="center"/>
            <w:textDirection w:val="lrTb"/>
            <w:noWrap w:val="false"/>
          </w:tcPr>
          <w:p>
            <w:pPr>
              <w:pStyle w:val="1017"/>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特定资格要求的</w:t>
            </w:r>
            <w:r>
              <w:rPr>
                <w:rFonts w:hint="eastAsia" w:ascii="宋体" w:hAnsi="宋体" w:cs="宋体"/>
                <w:color w:val="auto"/>
                <w:highlight w:val="none"/>
              </w:rPr>
              <w:t xml:space="preserve">）</w:t>
            </w:r>
            <w:r>
              <w:rPr>
                <w:rFonts w:hint="eastAsia" w:ascii="宋体" w:hAnsi="宋体" w:cs="宋体"/>
                <w:color w:val="auto"/>
                <w:highlight w:val="none"/>
              </w:rPr>
              <w:t xml:space="preserve">。</w:t>
            </w:r>
            <w:r>
              <w:rPr>
                <w:rFonts w:hint="eastAsia" w:ascii="宋体" w:hAnsi="宋体" w:cs="宋体"/>
                <w:bCs/>
                <w:color w:val="auto"/>
                <w:highlight w:val="none"/>
              </w:rPr>
            </w:r>
            <w:r>
              <w:rPr>
                <w:color w:val="auto"/>
                <w:highlight w:val="none"/>
              </w:rPr>
            </w:r>
          </w:p>
        </w:tc>
        <w:tc>
          <w:tcPr>
            <w:tcW w:w="2449" w:type="dxa"/>
            <w:vAlign w:val="center"/>
            <w:textDirection w:val="lrTb"/>
            <w:noWrap w:val="false"/>
          </w:tcPr>
          <w:p>
            <w:pPr>
              <w:pStyle w:val="1017"/>
              <w:ind w:firstLine="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w:t>
            </w:r>
            <w:r>
              <w:rPr>
                <w:rFonts w:hint="eastAsia" w:ascii="宋体" w:hAnsi="宋体" w:cs="宋体"/>
                <w:color w:val="auto"/>
                <w:highlight w:val="none"/>
              </w:rPr>
              <w:t xml:space="preserve">，</w:t>
            </w:r>
            <w:r>
              <w:rPr>
                <w:rFonts w:hint="eastAsia" w:ascii="宋体" w:hAnsi="宋体" w:cs="宋体"/>
                <w:color w:val="auto"/>
                <w:highlight w:val="none"/>
              </w:rPr>
              <w:t xml:space="preserve">详见第一章《投标邀请》</w:t>
            </w:r>
            <w:r>
              <w:rPr>
                <w:rFonts w:hint="eastAsia" w:ascii="宋体" w:hAnsi="宋体" w:cs="宋体"/>
                <w:bCs/>
                <w:color w:val="auto"/>
                <w:highlight w:val="none"/>
              </w:rPr>
            </w:r>
            <w:r>
              <w:rPr>
                <w:color w:val="auto"/>
                <w:highlight w:val="none"/>
              </w:rPr>
            </w:r>
          </w:p>
        </w:tc>
      </w:tr>
      <w:tr>
        <w:trPr>
          <w:trHeight w:val="632"/>
        </w:trPr>
        <w:tc>
          <w:tcPr>
            <w:tcW w:w="719" w:type="dxa"/>
            <w:vAlign w:val="center"/>
            <w:textDirection w:val="lrTb"/>
            <w:noWrap w:val="false"/>
          </w:tcPr>
          <w:p>
            <w:pPr>
              <w:pStyle w:val="1017"/>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rPr>
                <w:color w:val="auto"/>
                <w:highlight w:val="none"/>
              </w:rPr>
            </w:r>
          </w:p>
        </w:tc>
        <w:tc>
          <w:tcPr>
            <w:gridSpan w:val="2"/>
            <w:tcW w:w="8553" w:type="dxa"/>
            <w:vAlign w:val="center"/>
            <w:textDirection w:val="lrTb"/>
            <w:noWrap w:val="false"/>
          </w:tcPr>
          <w:p>
            <w:pPr>
              <w:pStyle w:val="1017"/>
              <w:ind w:firstLine="0"/>
              <w:spacing w:before="0" w:after="0" w:line="240" w:lineRule="auto"/>
              <w:rPr>
                <w:rFonts w:hint="eastAsia"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rPr>
                <w:rFonts w:hint="eastAsia" w:ascii="宋体" w:hAnsi="宋体" w:cs="宋体"/>
                <w:color w:val="auto"/>
                <w:highlight w:val="none"/>
              </w:rPr>
            </w:r>
            <w:r>
              <w:rPr>
                <w:color w:val="auto"/>
                <w:highlight w:val="none"/>
              </w:rPr>
            </w:r>
          </w:p>
        </w:tc>
      </w:tr>
    </w:tbl>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rPr>
          <w:color w:val="auto"/>
          <w:highlight w:val="none"/>
        </w:rPr>
      </w:r>
    </w:p>
    <w:p>
      <w:pPr>
        <w:pStyle w:val="929"/>
        <w:numPr>
          <w:ilvl w:val="0"/>
          <w:numId w:val="10"/>
        </w:num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rPr>
          <w:rFonts w:hint="eastAsia" w:ascii="宋体" w:hAnsi="宋体"/>
          <w:color w:val="auto"/>
          <w:sz w:val="24"/>
          <w:szCs w:val="24"/>
          <w:highlight w:val="none"/>
        </w:rPr>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color w:val="auto"/>
          <w:highlight w:val="none"/>
        </w:rPr>
      </w:r>
    </w:p>
    <w:p>
      <w:pPr>
        <w:pStyle w:val="929"/>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w:t>
      </w:r>
      <w:r>
        <w:rPr>
          <w:rFonts w:hint="eastAsia" w:ascii="宋体" w:hAnsi="宋体"/>
          <w:color w:val="auto"/>
          <w:sz w:val="24"/>
          <w:szCs w:val="24"/>
          <w:highlight w:val="none"/>
        </w:rPr>
        <w:t xml:space="preserve">落实政府采购政策需满足的资格要求中</w:t>
      </w:r>
      <w:r>
        <w:rPr>
          <w:rFonts w:hint="eastAsia" w:ascii="宋体" w:hAnsi="宋体"/>
          <w:color w:val="auto"/>
          <w:sz w:val="24"/>
          <w:szCs w:val="24"/>
          <w:highlight w:val="none"/>
        </w:rPr>
        <w:t xml:space="preserve">有</w:t>
      </w:r>
      <w:r>
        <w:rPr>
          <w:rFonts w:hint="eastAsia" w:ascii="宋体" w:hAnsi="宋体"/>
          <w:color w:val="auto"/>
          <w:sz w:val="24"/>
          <w:szCs w:val="24"/>
          <w:highlight w:val="none"/>
        </w:rPr>
        <w:t xml:space="preserve">中小企业政策</w:t>
      </w:r>
      <w:r>
        <w:rPr>
          <w:rFonts w:hint="eastAsia" w:ascii="宋体" w:hAnsi="宋体"/>
          <w:color w:val="auto"/>
          <w:sz w:val="24"/>
          <w:szCs w:val="24"/>
          <w:highlight w:val="none"/>
        </w:rPr>
        <w:t xml:space="preserve">要求</w:t>
      </w:r>
      <w:r>
        <w:rPr>
          <w:rFonts w:hint="eastAsia" w:ascii="宋体" w:hAnsi="宋体"/>
          <w:color w:val="auto"/>
          <w:sz w:val="24"/>
          <w:szCs w:val="24"/>
          <w:highlight w:val="none"/>
        </w:rPr>
        <w:t xml:space="preserve">的（详见第一章《投标邀请》），必须提供相应证明文件，否则投标文件无效。</w:t>
      </w:r>
      <w:r>
        <w:rPr>
          <w:color w:val="auto"/>
          <w:highlight w:val="none"/>
        </w:rPr>
      </w:r>
    </w:p>
    <w:p>
      <w:pPr>
        <w:pStyle w:val="929"/>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w:t>
      </w:r>
      <w:r>
        <w:rPr>
          <w:rFonts w:hint="eastAsia" w:ascii="宋体" w:hAnsi="宋体"/>
          <w:color w:val="auto"/>
          <w:sz w:val="24"/>
          <w:szCs w:val="24"/>
          <w:highlight w:val="none"/>
        </w:rPr>
        <w:t xml:space="preserve">是指</w:t>
      </w:r>
      <w:r>
        <w:rPr>
          <w:rFonts w:hint="eastAsia" w:ascii="宋体" w:hAnsi="宋体"/>
          <w:color w:val="auto"/>
          <w:sz w:val="24"/>
          <w:szCs w:val="24"/>
          <w:highlight w:val="none"/>
        </w:rPr>
        <w:t xml:space="preserve">专门面向</w:t>
      </w:r>
      <w:r>
        <w:rPr>
          <w:rFonts w:hint="eastAsia" w:ascii="宋体" w:hAnsi="宋体"/>
          <w:color w:val="auto"/>
          <w:sz w:val="24"/>
          <w:szCs w:val="24"/>
          <w:highlight w:val="none"/>
        </w:rPr>
        <w:t xml:space="preserve">中</w:t>
      </w:r>
      <w:r>
        <w:rPr>
          <w:rFonts w:hint="eastAsia" w:ascii="宋体" w:hAnsi="宋体"/>
          <w:color w:val="auto"/>
          <w:sz w:val="24"/>
          <w:szCs w:val="24"/>
          <w:highlight w:val="none"/>
        </w:rPr>
        <w:t xml:space="preserve">型、</w:t>
      </w:r>
      <w:r>
        <w:rPr>
          <w:rFonts w:hint="eastAsia" w:ascii="宋体" w:hAnsi="宋体"/>
          <w:color w:val="auto"/>
          <w:sz w:val="24"/>
          <w:szCs w:val="24"/>
          <w:highlight w:val="none"/>
        </w:rPr>
        <w:t xml:space="preserve">小</w:t>
      </w:r>
      <w:r>
        <w:rPr>
          <w:rFonts w:hint="eastAsia" w:ascii="宋体" w:hAnsi="宋体"/>
          <w:color w:val="auto"/>
          <w:sz w:val="24"/>
          <w:szCs w:val="24"/>
          <w:highlight w:val="none"/>
        </w:rPr>
        <w:t xml:space="preserve">型、</w:t>
      </w:r>
      <w:r>
        <w:rPr>
          <w:rFonts w:hint="eastAsia" w:ascii="宋体" w:hAnsi="宋体"/>
          <w:color w:val="auto"/>
          <w:sz w:val="24"/>
          <w:szCs w:val="24"/>
          <w:highlight w:val="none"/>
        </w:rPr>
        <w:t xml:space="preserve">微</w:t>
      </w:r>
      <w:r>
        <w:rPr>
          <w:rFonts w:hint="eastAsia" w:ascii="宋体" w:hAnsi="宋体"/>
          <w:color w:val="auto"/>
          <w:sz w:val="24"/>
          <w:szCs w:val="24"/>
          <w:highlight w:val="none"/>
        </w:rPr>
        <w:t xml:space="preserve">型</w:t>
      </w:r>
      <w:r>
        <w:rPr>
          <w:rFonts w:hint="eastAsia" w:ascii="宋体" w:hAnsi="宋体"/>
          <w:color w:val="auto"/>
          <w:sz w:val="24"/>
          <w:szCs w:val="24"/>
          <w:highlight w:val="none"/>
        </w:rPr>
        <w:t xml:space="preserve">企业、监狱企业或残疾人福利性单位；专门面向小微企业，</w:t>
      </w:r>
      <w:r>
        <w:rPr>
          <w:rFonts w:hint="eastAsia" w:ascii="宋体" w:hAnsi="宋体"/>
          <w:color w:val="auto"/>
          <w:sz w:val="24"/>
          <w:szCs w:val="24"/>
          <w:highlight w:val="none"/>
        </w:rPr>
        <w:t xml:space="preserve">是指</w:t>
      </w:r>
      <w:r>
        <w:rPr>
          <w:rFonts w:hint="eastAsia" w:ascii="宋体" w:hAnsi="宋体"/>
          <w:color w:val="auto"/>
          <w:sz w:val="24"/>
          <w:szCs w:val="24"/>
          <w:highlight w:val="none"/>
        </w:rPr>
        <w:t xml:space="preserve">专门面向小型、微型企业</w:t>
      </w:r>
      <w:r>
        <w:rPr>
          <w:rFonts w:hint="eastAsia" w:ascii="宋体" w:hAnsi="宋体"/>
          <w:color w:val="auto"/>
          <w:sz w:val="24"/>
          <w:szCs w:val="24"/>
          <w:highlight w:val="none"/>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auto"/>
          <w:sz w:val="24"/>
          <w:szCs w:val="24"/>
          <w:highlight w:val="none"/>
        </w:rPr>
      </w:r>
      <w:r>
        <w:rPr>
          <w:color w:val="auto"/>
          <w:highlight w:val="none"/>
        </w:rPr>
      </w:r>
    </w:p>
    <w:p>
      <w:pPr>
        <w:pStyle w:val="929"/>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w:t>
      </w:r>
      <w:r>
        <w:rPr>
          <w:rFonts w:hint="eastAsia" w:ascii="宋体" w:hAnsi="宋体"/>
          <w:color w:val="auto"/>
          <w:sz w:val="24"/>
          <w:szCs w:val="24"/>
          <w:highlight w:val="none"/>
        </w:rPr>
        <w:t xml:space="preserve">项，如本项目有特定资格要求的（详见第一章《投标邀请》），须提供相应的特定资格证明文件。</w:t>
      </w:r>
      <w:r>
        <w:rPr>
          <w:color w:val="auto"/>
          <w:highlight w:val="none"/>
        </w:rPr>
      </w:r>
    </w:p>
    <w:p>
      <w:pPr>
        <w:pStyle w:val="929"/>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color w:val="auto"/>
          <w:highlight w:val="none"/>
        </w:rPr>
      </w:r>
    </w:p>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w:t>
      </w:r>
      <w:r>
        <w:rPr>
          <w:rFonts w:hint="eastAsia" w:ascii="宋体" w:hAnsi="宋体"/>
          <w:color w:val="auto"/>
          <w:sz w:val="24"/>
          <w:szCs w:val="24"/>
          <w:highlight w:val="none"/>
        </w:rPr>
        <w:t xml:space="preserve">7</w:t>
      </w:r>
      <w:r>
        <w:rPr>
          <w:rFonts w:hint="eastAsia" w:ascii="宋体" w:hAnsi="宋体"/>
          <w:color w:val="auto"/>
          <w:sz w:val="24"/>
          <w:szCs w:val="24"/>
          <w:highlight w:val="none"/>
        </w:rPr>
        <w:t xml:space="preserve">（如有</w:t>
      </w:r>
      <w:r>
        <w:rPr>
          <w:rFonts w:hint="eastAsia" w:ascii="宋体" w:hAnsi="宋体"/>
          <w:color w:val="auto"/>
          <w:sz w:val="24"/>
          <w:szCs w:val="24"/>
          <w:highlight w:val="none"/>
        </w:rPr>
        <w:t xml:space="preserve">要求</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8</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如有要求</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项，联合体各方均须提供。</w:t>
      </w:r>
      <w:r>
        <w:rPr>
          <w:rFonts w:hint="eastAsia" w:ascii="宋体" w:hAnsi="宋体"/>
          <w:color w:val="auto"/>
          <w:sz w:val="24"/>
          <w:szCs w:val="24"/>
          <w:highlight w:val="none"/>
        </w:rPr>
      </w:r>
      <w:r>
        <w:rPr>
          <w:color w:val="auto"/>
          <w:highlight w:val="none"/>
        </w:rPr>
      </w:r>
    </w:p>
    <w:p>
      <w:pPr>
        <w:pStyle w:val="929"/>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w:t>
      </w:r>
      <w:r>
        <w:rPr>
          <w:rFonts w:hint="eastAsia"/>
          <w:b/>
          <w:color w:val="auto"/>
          <w:sz w:val="28"/>
          <w:szCs w:val="28"/>
          <w:highlight w:val="none"/>
        </w:rPr>
        <w:t xml:space="preserve">及其他证明文件</w:t>
      </w:r>
      <w:r>
        <w:rPr>
          <w:rFonts w:hint="eastAsia"/>
          <w:b/>
          <w:color w:val="auto"/>
          <w:sz w:val="28"/>
          <w:szCs w:val="28"/>
          <w:highlight w:val="none"/>
        </w:rPr>
      </w:r>
      <w:r>
        <w:rPr>
          <w:color w:val="auto"/>
          <w:highlight w:val="none"/>
        </w:rPr>
      </w:r>
    </w:p>
    <w:p>
      <w:pPr>
        <w:pStyle w:val="929"/>
        <w:rPr>
          <w:b/>
          <w:color w:val="auto"/>
          <w:sz w:val="28"/>
          <w:szCs w:val="28"/>
          <w:highlight w:val="none"/>
        </w:rPr>
      </w:pPr>
      <w:r>
        <w:rPr>
          <w:rFonts w:hint="eastAsia"/>
          <w:b/>
          <w:color w:val="auto"/>
          <w:sz w:val="28"/>
          <w:szCs w:val="28"/>
          <w:highlight w:val="none"/>
        </w:rPr>
        <w:t xml:space="preserve">（一）符合性证明文件</w:t>
      </w:r>
      <w:r>
        <w:rPr>
          <w:b/>
          <w:color w:val="auto"/>
          <w:sz w:val="28"/>
          <w:szCs w:val="28"/>
          <w:highlight w:val="none"/>
        </w:rPr>
      </w:r>
      <w:r>
        <w:rPr>
          <w:color w:val="auto"/>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017"/>
              <w:ind w:firstLine="0"/>
              <w:jc w:val="center"/>
              <w:spacing w:before="0" w:after="0" w:line="240" w:lineRule="auto"/>
              <w:rPr>
                <w:rFonts w:hint="eastAsia" w:cs="Arial"/>
                <w:b/>
                <w:color w:val="auto"/>
                <w:highlight w:val="none"/>
              </w:rPr>
            </w:pPr>
            <w:r>
              <w:rPr>
                <w:rFonts w:hint="eastAsia" w:cs="Arial"/>
                <w:b/>
                <w:color w:val="auto"/>
                <w:highlight w:val="none"/>
              </w:rPr>
              <w:t xml:space="preserve">序号</w:t>
            </w:r>
            <w:r>
              <w:rPr>
                <w:color w:val="auto"/>
                <w:highlight w:val="none"/>
              </w:rPr>
            </w:r>
          </w:p>
        </w:tc>
        <w:tc>
          <w:tcPr>
            <w:tcW w:w="6095" w:type="dxa"/>
            <w:vAlign w:val="center"/>
            <w:textDirection w:val="lrTb"/>
            <w:noWrap w:val="false"/>
          </w:tcPr>
          <w:p>
            <w:pPr>
              <w:pStyle w:val="1017"/>
              <w:ind w:firstLine="0"/>
              <w:jc w:val="center"/>
              <w:spacing w:before="0" w:after="0" w:line="240" w:lineRule="auto"/>
              <w:rPr>
                <w:rFonts w:hint="eastAsia" w:cs="Arial"/>
                <w:b/>
                <w:color w:val="auto"/>
                <w:highlight w:val="none"/>
              </w:rPr>
            </w:pPr>
            <w:r>
              <w:rPr>
                <w:rFonts w:hint="eastAsia" w:ascii="宋体" w:hAnsi="宋体" w:cs="宋体"/>
                <w:b/>
                <w:color w:val="auto"/>
                <w:highlight w:val="none"/>
              </w:rPr>
              <w:t xml:space="preserve">评审项目及评审</w:t>
            </w:r>
            <w:r>
              <w:rPr>
                <w:rFonts w:hint="eastAsia" w:ascii="宋体" w:hAnsi="宋体" w:cs="宋体"/>
                <w:b/>
                <w:color w:val="auto"/>
                <w:highlight w:val="none"/>
              </w:rPr>
              <w:t xml:space="preserve">要求</w:t>
            </w:r>
            <w:r>
              <w:rPr>
                <w:rFonts w:hint="eastAsia" w:cs="Arial"/>
                <w:b/>
                <w:color w:val="auto"/>
                <w:highlight w:val="none"/>
              </w:rPr>
            </w:r>
            <w:r>
              <w:rPr>
                <w:color w:val="auto"/>
                <w:highlight w:val="none"/>
              </w:rPr>
            </w:r>
          </w:p>
        </w:tc>
        <w:tc>
          <w:tcPr>
            <w:tcW w:w="1979" w:type="dxa"/>
            <w:vAlign w:val="center"/>
            <w:textDirection w:val="lrTb"/>
            <w:noWrap w:val="false"/>
          </w:tcPr>
          <w:p>
            <w:pPr>
              <w:pStyle w:val="1017"/>
              <w:ind w:firstLine="0"/>
              <w:jc w:val="center"/>
              <w:spacing w:before="0" w:after="0" w:line="240" w:lineRule="auto"/>
              <w:rPr>
                <w:rFonts w:hint="eastAsia" w:cs="Arial"/>
                <w:b/>
                <w:color w:val="auto"/>
                <w:highlight w:val="none"/>
              </w:rPr>
            </w:pPr>
            <w:r>
              <w:rPr>
                <w:rFonts w:hint="eastAsia" w:cs="Arial"/>
                <w:b/>
                <w:color w:val="auto"/>
                <w:highlight w:val="none"/>
              </w:rPr>
              <w:t xml:space="preserve">审查因素</w:t>
            </w:r>
            <w:r>
              <w:rPr>
                <w:color w:val="auto"/>
                <w:highlight w:val="none"/>
              </w:rPr>
            </w:r>
          </w:p>
        </w:tc>
      </w:tr>
      <w:tr>
        <w:trPr>
          <w:cantSplit/>
          <w:trHeight w:val="567"/>
        </w:trPr>
        <w:tc>
          <w:tcPr>
            <w:tcW w:w="823" w:type="dxa"/>
            <w:vAlign w:val="center"/>
            <w:textDirection w:val="lrTb"/>
            <w:noWrap w:val="false"/>
          </w:tcPr>
          <w:p>
            <w:pPr>
              <w:pStyle w:val="1017"/>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1</w:t>
            </w:r>
            <w:r>
              <w:rPr>
                <w:color w:val="auto"/>
                <w:highlight w:val="none"/>
              </w:rPr>
            </w:r>
          </w:p>
        </w:tc>
        <w:tc>
          <w:tcPr>
            <w:tcW w:w="6095" w:type="dxa"/>
            <w:vAlign w:val="center"/>
            <w:textDirection w:val="lrTb"/>
            <w:noWrap w:val="false"/>
          </w:tcPr>
          <w:p>
            <w:pPr>
              <w:pStyle w:val="1017"/>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投标函（给定格式）</w:t>
            </w:r>
            <w:r>
              <w:rPr>
                <w:color w:val="auto"/>
                <w:highlight w:val="none"/>
              </w:rPr>
            </w:r>
          </w:p>
        </w:tc>
        <w:tc>
          <w:tcPr>
            <w:tcW w:w="1979" w:type="dxa"/>
            <w:vAlign w:val="center"/>
            <w:vMerge w:val="restart"/>
            <w:textDirection w:val="lrTb"/>
            <w:noWrap w:val="false"/>
          </w:tcPr>
          <w:p>
            <w:pPr>
              <w:pStyle w:val="1017"/>
              <w:ind w:firstLine="0"/>
              <w:jc w:val="center"/>
              <w:spacing w:before="0" w:after="0" w:line="240" w:lineRule="auto"/>
              <w:rPr>
                <w:rFonts w:hint="eastAsia" w:cs="Arial"/>
                <w:color w:val="auto"/>
                <w:highlight w:val="none"/>
              </w:rPr>
            </w:pPr>
            <w:r>
              <w:rPr>
                <w:rFonts w:hint="eastAsia" w:cs="Arial"/>
                <w:color w:val="auto"/>
                <w:highlight w:val="none"/>
              </w:rPr>
              <w:t xml:space="preserve">商务符合性</w:t>
            </w:r>
            <w:r>
              <w:rPr>
                <w:color w:val="auto"/>
                <w:highlight w:val="none"/>
              </w:rPr>
            </w:r>
          </w:p>
        </w:tc>
      </w:tr>
      <w:tr>
        <w:trPr>
          <w:cantSplit/>
          <w:trHeight w:val="567"/>
        </w:trPr>
        <w:tc>
          <w:tcPr>
            <w:tcW w:w="823" w:type="dxa"/>
            <w:vAlign w:val="center"/>
            <w:textDirection w:val="lrTb"/>
            <w:noWrap w:val="false"/>
          </w:tcPr>
          <w:p>
            <w:pPr>
              <w:pStyle w:val="1017"/>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2</w:t>
            </w:r>
            <w:r>
              <w:rPr>
                <w:color w:val="auto"/>
                <w:highlight w:val="none"/>
              </w:rPr>
            </w:r>
          </w:p>
        </w:tc>
        <w:tc>
          <w:tcPr>
            <w:tcW w:w="6095" w:type="dxa"/>
            <w:vAlign w:val="center"/>
            <w:textDirection w:val="lrTb"/>
            <w:noWrap w:val="false"/>
          </w:tcPr>
          <w:p>
            <w:pPr>
              <w:pStyle w:val="1017"/>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承诺书（给定格式）</w:t>
            </w:r>
            <w:r>
              <w:rPr>
                <w:color w:val="auto"/>
                <w:highlight w:val="none"/>
              </w:rPr>
            </w:r>
          </w:p>
        </w:tc>
        <w:tc>
          <w:tcPr>
            <w:tcW w:w="1979" w:type="dxa"/>
            <w:vAlign w:val="center"/>
            <w:vMerge w:val="continue"/>
            <w:textDirection w:val="lrTb"/>
            <w:noWrap w:val="false"/>
          </w:tcPr>
          <w:p>
            <w:pPr>
              <w:pStyle w:val="1017"/>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1017"/>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3</w:t>
            </w:r>
            <w:r>
              <w:rPr>
                <w:color w:val="auto"/>
                <w:highlight w:val="none"/>
              </w:rPr>
            </w:r>
          </w:p>
        </w:tc>
        <w:tc>
          <w:tcPr>
            <w:tcW w:w="6095" w:type="dxa"/>
            <w:vAlign w:val="center"/>
            <w:textDirection w:val="lrTb"/>
            <w:noWrap w:val="false"/>
          </w:tcPr>
          <w:p>
            <w:pPr>
              <w:pStyle w:val="1017"/>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开标一览表（给定格式）</w:t>
            </w:r>
            <w:r>
              <w:rPr>
                <w:rFonts w:hint="eastAsia" w:ascii="宋体" w:hAnsi="宋体" w:cs="Arial"/>
                <w:color w:val="auto"/>
                <w:highlight w:val="none"/>
              </w:rPr>
            </w:r>
            <w:r>
              <w:rPr>
                <w:color w:val="auto"/>
                <w:highlight w:val="none"/>
              </w:rPr>
            </w:r>
          </w:p>
        </w:tc>
        <w:tc>
          <w:tcPr>
            <w:tcW w:w="1979" w:type="dxa"/>
            <w:vAlign w:val="center"/>
            <w:vMerge w:val="restart"/>
            <w:textDirection w:val="lrTb"/>
            <w:noWrap w:val="false"/>
          </w:tcPr>
          <w:p>
            <w:pPr>
              <w:pStyle w:val="1017"/>
              <w:ind w:firstLine="0"/>
              <w:jc w:val="center"/>
              <w:spacing w:before="0" w:after="0" w:line="240" w:lineRule="auto"/>
              <w:rPr>
                <w:rFonts w:hint="eastAsia" w:cs="Arial"/>
                <w:color w:val="auto"/>
                <w:highlight w:val="none"/>
              </w:rPr>
            </w:pPr>
            <w:r>
              <w:rPr>
                <w:rFonts w:hint="eastAsia" w:cs="Arial"/>
                <w:color w:val="auto"/>
                <w:highlight w:val="none"/>
              </w:rPr>
              <w:t xml:space="preserve">报价符合性</w:t>
            </w:r>
            <w:r>
              <w:rPr>
                <w:color w:val="auto"/>
                <w:highlight w:val="none"/>
              </w:rPr>
            </w:r>
          </w:p>
        </w:tc>
      </w:tr>
      <w:tr>
        <w:trPr>
          <w:cantSplit/>
          <w:trHeight w:val="567"/>
        </w:trPr>
        <w:tc>
          <w:tcPr>
            <w:tcW w:w="823" w:type="dxa"/>
            <w:vAlign w:val="center"/>
            <w:textDirection w:val="lrTb"/>
            <w:noWrap w:val="false"/>
          </w:tcPr>
          <w:p>
            <w:pPr>
              <w:pStyle w:val="1017"/>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4</w:t>
            </w:r>
            <w:r>
              <w:rPr>
                <w:color w:val="auto"/>
                <w:highlight w:val="none"/>
              </w:rPr>
            </w:r>
          </w:p>
        </w:tc>
        <w:tc>
          <w:tcPr>
            <w:tcW w:w="6095" w:type="dxa"/>
            <w:vAlign w:val="center"/>
            <w:textDirection w:val="lrTb"/>
            <w:noWrap w:val="false"/>
          </w:tcPr>
          <w:p>
            <w:pPr>
              <w:pStyle w:val="1017"/>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分项报价表（给定格式）</w:t>
            </w:r>
            <w:r>
              <w:rPr>
                <w:rFonts w:hint="eastAsia" w:ascii="宋体" w:hAnsi="宋体" w:cs="Arial"/>
                <w:color w:val="auto"/>
                <w:highlight w:val="none"/>
              </w:rPr>
            </w:r>
            <w:r>
              <w:rPr>
                <w:color w:val="auto"/>
                <w:highlight w:val="none"/>
              </w:rPr>
            </w:r>
          </w:p>
        </w:tc>
        <w:tc>
          <w:tcPr>
            <w:tcW w:w="1979" w:type="dxa"/>
            <w:vAlign w:val="center"/>
            <w:vMerge w:val="continue"/>
            <w:textDirection w:val="lrTb"/>
            <w:noWrap w:val="false"/>
          </w:tcPr>
          <w:p>
            <w:pPr>
              <w:pStyle w:val="1017"/>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1017"/>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5</w:t>
            </w:r>
            <w:r>
              <w:rPr>
                <w:color w:val="auto"/>
                <w:highlight w:val="none"/>
              </w:rPr>
            </w:r>
          </w:p>
        </w:tc>
        <w:tc>
          <w:tcPr>
            <w:tcW w:w="6095" w:type="dxa"/>
            <w:vAlign w:val="center"/>
            <w:textDirection w:val="lrTb"/>
            <w:noWrap w:val="false"/>
          </w:tcPr>
          <w:p>
            <w:pPr>
              <w:pStyle w:val="1017"/>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rPr>
                <w:rFonts w:ascii="宋体" w:hAnsi="宋体" w:cs="Arial"/>
                <w:color w:val="auto"/>
                <w:highlight w:val="none"/>
              </w:rPr>
            </w:r>
            <w:r>
              <w:rPr>
                <w:color w:val="auto"/>
                <w:highlight w:val="none"/>
              </w:rPr>
            </w:r>
          </w:p>
        </w:tc>
        <w:tc>
          <w:tcPr>
            <w:tcW w:w="1979" w:type="dxa"/>
            <w:vAlign w:val="center"/>
            <w:vMerge w:val="restart"/>
            <w:textDirection w:val="lrTb"/>
            <w:noWrap w:val="false"/>
          </w:tcPr>
          <w:p>
            <w:pPr>
              <w:pStyle w:val="1017"/>
              <w:ind w:firstLine="0"/>
              <w:jc w:val="center"/>
              <w:spacing w:before="0" w:after="0" w:line="240" w:lineRule="auto"/>
              <w:rPr>
                <w:rFonts w:hint="eastAsia" w:cs="Arial"/>
                <w:color w:val="auto"/>
                <w:highlight w:val="none"/>
              </w:rPr>
            </w:pPr>
            <w:r>
              <w:rPr>
                <w:rFonts w:hint="eastAsia" w:cs="Arial"/>
                <w:color w:val="auto"/>
                <w:highlight w:val="none"/>
              </w:rPr>
              <w:t xml:space="preserve">技术符合性</w:t>
            </w:r>
            <w:r>
              <w:rPr>
                <w:color w:val="auto"/>
                <w:highlight w:val="none"/>
              </w:rPr>
            </w:r>
          </w:p>
        </w:tc>
      </w:tr>
      <w:tr>
        <w:trPr>
          <w:cantSplit/>
          <w:trHeight w:val="567"/>
        </w:trPr>
        <w:tc>
          <w:tcPr>
            <w:tcW w:w="823" w:type="dxa"/>
            <w:vAlign w:val="center"/>
            <w:textDirection w:val="lrTb"/>
            <w:noWrap w:val="false"/>
          </w:tcPr>
          <w:p>
            <w:pPr>
              <w:pStyle w:val="1017"/>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6</w:t>
            </w:r>
            <w:r>
              <w:rPr>
                <w:color w:val="auto"/>
                <w:highlight w:val="none"/>
              </w:rPr>
            </w:r>
          </w:p>
        </w:tc>
        <w:tc>
          <w:tcPr>
            <w:tcW w:w="6095" w:type="dxa"/>
            <w:vAlign w:val="center"/>
            <w:textDirection w:val="lrTb"/>
            <w:noWrap w:val="false"/>
          </w:tcPr>
          <w:p>
            <w:pPr>
              <w:pStyle w:val="1017"/>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《采购需求》中要求提供的证明材料（如有）</w:t>
            </w:r>
            <w:r>
              <w:rPr>
                <w:color w:val="auto"/>
                <w:highlight w:val="none"/>
              </w:rPr>
            </w:r>
          </w:p>
        </w:tc>
        <w:tc>
          <w:tcPr>
            <w:tcW w:w="1979" w:type="dxa"/>
            <w:vAlign w:val="center"/>
            <w:vMerge w:val="continue"/>
            <w:textDirection w:val="lrTb"/>
            <w:noWrap w:val="false"/>
          </w:tcPr>
          <w:p>
            <w:pPr>
              <w:pStyle w:val="1017"/>
              <w:ind w:firstLine="0"/>
              <w:jc w:val="center"/>
              <w:spacing w:before="0" w:after="0" w:line="240" w:lineRule="auto"/>
              <w:rPr>
                <w:rFonts w:hint="eastAsia" w:cs="Arial"/>
              </w:rPr>
            </w:pPr>
            <w:r>
              <w:rPr>
                <w:rFonts w:hint="eastAsia" w:cs="Arial"/>
              </w:rPr>
            </w:r>
            <w:r/>
          </w:p>
        </w:tc>
      </w:tr>
    </w:tbl>
    <w:p>
      <w:pPr>
        <w:pStyle w:val="929"/>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rPr>
          <w:color w:val="auto"/>
          <w:highlight w:val="none"/>
        </w:rPr>
      </w:r>
    </w:p>
    <w:p>
      <w:pPr>
        <w:pStyle w:val="929"/>
        <w:numPr>
          <w:ilvl w:val="0"/>
          <w:numId w:val="11"/>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w:t>
      </w:r>
      <w:r>
        <w:rPr>
          <w:rFonts w:hint="eastAsia" w:cs="Arial"/>
          <w:color w:val="auto"/>
          <w:sz w:val="24"/>
          <w:szCs w:val="24"/>
          <w:highlight w:val="none"/>
        </w:rPr>
        <w:t xml:space="preserve">第</w:t>
      </w:r>
      <w:r>
        <w:rPr>
          <w:rFonts w:hint="eastAsia" w:ascii="宋体" w:hAnsi="宋体"/>
          <w:color w:val="auto"/>
          <w:sz w:val="24"/>
          <w:szCs w:val="24"/>
          <w:highlight w:val="none"/>
        </w:rPr>
        <w:t xml:space="preserve">1～</w:t>
      </w:r>
      <w:r>
        <w:rPr>
          <w:rFonts w:hint="eastAsia" w:ascii="宋体" w:hAnsi="宋体"/>
          <w:color w:val="auto"/>
          <w:sz w:val="24"/>
          <w:szCs w:val="24"/>
          <w:highlight w:val="none"/>
        </w:rPr>
        <w:t xml:space="preserve">5</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rPr>
          <w:color w:val="auto"/>
          <w:highlight w:val="none"/>
        </w:rPr>
      </w:r>
    </w:p>
    <w:p>
      <w:pPr>
        <w:pStyle w:val="929"/>
        <w:numPr>
          <w:ilvl w:val="0"/>
          <w:numId w:val="11"/>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符合性证明文件第6项，《采购需求》中如有要求提供证明材料</w:t>
      </w:r>
      <w:r>
        <w:rPr>
          <w:rFonts w:hint="eastAsia" w:ascii="宋体" w:hAnsi="宋体" w:cs="Arial"/>
          <w:color w:val="auto"/>
          <w:sz w:val="24"/>
          <w:szCs w:val="24"/>
          <w:highlight w:val="none"/>
        </w:rPr>
        <w:t xml:space="preserve">的</w:t>
      </w:r>
      <w:r>
        <w:rPr>
          <w:rFonts w:hint="eastAsia" w:ascii="宋体" w:hAnsi="宋体" w:cs="Arial"/>
          <w:color w:val="auto"/>
          <w:sz w:val="24"/>
          <w:szCs w:val="24"/>
          <w:highlight w:val="none"/>
        </w:rPr>
        <w:t xml:space="preserve">，须按要求提供，否则投标文件无效。</w:t>
      </w:r>
      <w:r>
        <w:rPr>
          <w:rFonts w:hint="eastAsia" w:ascii="宋体" w:hAnsi="宋体"/>
          <w:color w:val="auto"/>
          <w:sz w:val="24"/>
          <w:szCs w:val="24"/>
          <w:highlight w:val="none"/>
        </w:rPr>
      </w:r>
      <w:r>
        <w:rPr>
          <w:color w:val="auto"/>
          <w:highlight w:val="none"/>
        </w:rPr>
      </w:r>
    </w:p>
    <w:p>
      <w:pPr>
        <w:pStyle w:val="929"/>
        <w:numPr>
          <w:ilvl w:val="0"/>
          <w:numId w:val="11"/>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w:t>
      </w:r>
      <w:r>
        <w:rPr>
          <w:rFonts w:hint="eastAsia" w:ascii="宋体" w:hAnsi="宋体" w:cs="宋体"/>
          <w:color w:val="auto"/>
          <w:sz w:val="24"/>
          <w:szCs w:val="24"/>
          <w:highlight w:val="none"/>
        </w:rPr>
        <w:t xml:space="preserve">第6项按《采购需求》中的相应要求</w:t>
      </w:r>
      <w:r>
        <w:rPr>
          <w:rFonts w:hint="eastAsia" w:ascii="宋体" w:hAnsi="宋体" w:cs="宋体"/>
          <w:color w:val="auto"/>
          <w:sz w:val="24"/>
          <w:szCs w:val="24"/>
          <w:highlight w:val="none"/>
        </w:rPr>
        <w:t xml:space="preserve">（如有）进行</w:t>
      </w:r>
      <w:r>
        <w:rPr>
          <w:rFonts w:hint="eastAsia" w:ascii="宋体" w:hAnsi="宋体" w:cs="宋体"/>
          <w:color w:val="auto"/>
          <w:sz w:val="24"/>
          <w:szCs w:val="24"/>
          <w:highlight w:val="none"/>
        </w:rPr>
        <w:t xml:space="preserve">提供。</w:t>
      </w:r>
      <w:r>
        <w:rPr>
          <w:rFonts w:hint="eastAsia" w:ascii="宋体" w:hAnsi="宋体" w:cs="宋体"/>
          <w:color w:val="auto"/>
          <w:sz w:val="24"/>
          <w:szCs w:val="24"/>
          <w:highlight w:val="none"/>
        </w:rPr>
      </w:r>
      <w:r>
        <w:rPr>
          <w:color w:val="auto"/>
          <w:highlight w:val="none"/>
        </w:rPr>
      </w:r>
    </w:p>
    <w:p>
      <w:pPr>
        <w:pStyle w:val="929"/>
        <w:rPr>
          <w:rFonts w:hint="eastAsia"/>
          <w:b/>
          <w:color w:val="auto"/>
          <w:sz w:val="28"/>
          <w:szCs w:val="28"/>
          <w:highlight w:val="none"/>
        </w:rPr>
      </w:pPr>
      <w:r>
        <w:rPr>
          <w:rFonts w:hint="eastAsia"/>
          <w:b/>
          <w:color w:val="auto"/>
          <w:sz w:val="28"/>
          <w:szCs w:val="28"/>
          <w:highlight w:val="none"/>
        </w:rPr>
      </w:r>
      <w:r>
        <w:rPr>
          <w:color w:val="auto"/>
          <w:highlight w:val="none"/>
        </w:rPr>
      </w:r>
    </w:p>
    <w:p>
      <w:pPr>
        <w:pStyle w:val="929"/>
        <w:rPr>
          <w:rFonts w:hint="eastAsia"/>
          <w:b/>
          <w:color w:val="auto"/>
          <w:sz w:val="28"/>
          <w:szCs w:val="28"/>
          <w:highlight w:val="none"/>
        </w:rPr>
      </w:pPr>
      <w:r>
        <w:rPr>
          <w:rFonts w:hint="eastAsia"/>
          <w:b/>
          <w:color w:val="auto"/>
          <w:sz w:val="28"/>
          <w:szCs w:val="28"/>
          <w:highlight w:val="none"/>
        </w:rPr>
        <w:t xml:space="preserve">（二）其他证明文件</w:t>
      </w:r>
      <w:r>
        <w:rPr>
          <w:rFonts w:hint="eastAsia"/>
          <w:b/>
          <w:color w:val="auto"/>
          <w:sz w:val="28"/>
          <w:szCs w:val="28"/>
          <w:highlight w:val="none"/>
        </w:rPr>
      </w:r>
      <w:r>
        <w:rPr>
          <w:color w:val="auto"/>
          <w:highlight w:val="none"/>
        </w:rPr>
      </w:r>
    </w:p>
    <w:p>
      <w:pPr>
        <w:pStyle w:val="929"/>
        <w:ind w:left="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rPr>
          <w:color w:val="auto"/>
          <w:highlight w:val="none"/>
        </w:rPr>
      </w:r>
    </w:p>
    <w:p>
      <w:pPr>
        <w:pStyle w:val="929"/>
        <w:ind w:left="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rPr>
          <w:color w:val="auto"/>
          <w:highlight w:val="none"/>
        </w:rPr>
      </w:r>
    </w:p>
    <w:p>
      <w:pPr>
        <w:pStyle w:val="929"/>
        <w:rPr>
          <w:rFonts w:hint="eastAsia"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rPr>
          <w:color w:val="auto"/>
          <w:highlight w:val="none"/>
        </w:rPr>
      </w:r>
    </w:p>
    <w:p>
      <w:pPr>
        <w:pStyle w:val="1017"/>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w:t>
      </w:r>
      <w:r>
        <w:rPr>
          <w:rFonts w:hint="eastAsia" w:cs="Arial"/>
          <w:b/>
          <w:color w:val="auto"/>
          <w:sz w:val="28"/>
          <w:szCs w:val="28"/>
          <w:highlight w:val="none"/>
        </w:rPr>
        <w:t xml:space="preserve">（参考格式）</w:t>
      </w:r>
      <w:r>
        <w:rPr>
          <w:rFonts w:hint="eastAsia" w:cs="Arial"/>
          <w:b/>
          <w:color w:val="auto"/>
          <w:sz w:val="28"/>
          <w:szCs w:val="28"/>
          <w:highlight w:val="none"/>
        </w:rPr>
        <w:t xml:space="preserve">：</w:t>
      </w:r>
      <w:r>
        <w:rPr>
          <w:rFonts w:cs="Arial"/>
          <w:b/>
          <w:color w:val="auto"/>
          <w:sz w:val="28"/>
          <w:szCs w:val="28"/>
          <w:highlight w:val="none"/>
        </w:rPr>
      </w:r>
      <w:r>
        <w:rPr>
          <w:color w:val="auto"/>
          <w:highlight w:val="none"/>
        </w:rPr>
      </w:r>
    </w:p>
    <w:p>
      <w:pPr>
        <w:pStyle w:val="929"/>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29"/>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29"/>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rPr>
          <w:color w:val="auto"/>
          <w:highlight w:val="none"/>
        </w:rPr>
      </w:r>
    </w:p>
    <w:p>
      <w:pPr>
        <w:pStyle w:val="929"/>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29"/>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29"/>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29"/>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29"/>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rPr>
        <w:t xml:space="preserve">JSZC-320200-JZCG-G2024-0135</w:t>
      </w:r>
      <w:r>
        <w:rPr>
          <w:rFonts w:ascii="黑体" w:hAnsi="华文中宋" w:eastAsia="黑体"/>
          <w:bCs/>
          <w:color w:val="auto"/>
          <w:sz w:val="30"/>
          <w:szCs w:val="30"/>
          <w:highlight w:val="none"/>
        </w:rPr>
      </w:r>
      <w:r>
        <w:rPr>
          <w:color w:val="auto"/>
          <w:highlight w:val="none"/>
        </w:rPr>
      </w:r>
    </w:p>
    <w:p>
      <w:pPr>
        <w:pStyle w:val="929"/>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rPr>
        <w:t xml:space="preserve">数字化校园管理提升项目</w:t>
      </w:r>
      <w:r>
        <w:rPr>
          <w:rFonts w:hint="eastAsia" w:ascii="黑体" w:hAnsi="华文中宋" w:eastAsia="黑体"/>
          <w:bCs/>
          <w:color w:val="auto"/>
          <w:sz w:val="30"/>
          <w:szCs w:val="30"/>
          <w:highlight w:val="none"/>
        </w:rPr>
      </w:r>
      <w:r>
        <w:rPr>
          <w:color w:val="auto"/>
          <w:highlight w:val="none"/>
        </w:rPr>
      </w:r>
    </w:p>
    <w:p>
      <w:pPr>
        <w:pStyle w:val="929"/>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rPr>
          <w:color w:val="auto"/>
          <w:highlight w:val="none"/>
        </w:rPr>
      </w:r>
    </w:p>
    <w:p>
      <w:pPr>
        <w:pStyle w:val="929"/>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rPr>
          <w:rFonts w:ascii="黑体" w:hAnsi="华文中宋" w:eastAsia="黑体"/>
          <w:bCs/>
          <w:color w:val="auto"/>
          <w:sz w:val="30"/>
          <w:szCs w:val="30"/>
          <w:highlight w:val="none"/>
        </w:rPr>
      </w:r>
      <w:r>
        <w:rPr>
          <w:color w:val="auto"/>
          <w:highlight w:val="none"/>
        </w:rPr>
      </w:r>
    </w:p>
    <w:p>
      <w:pPr>
        <w:pStyle w:val="929"/>
        <w:spacing w:line="440" w:lineRule="exact"/>
        <w:rPr>
          <w:rFonts w:hint="eastAsia"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rPr>
          <w:rFonts w:hint="eastAsia" w:ascii="Arial" w:hAnsi="Arial"/>
          <w:b/>
          <w:color w:val="auto"/>
          <w:sz w:val="28"/>
          <w:szCs w:val="28"/>
          <w:highlight w:val="none"/>
        </w:rPr>
      </w:r>
      <w:r>
        <w:rPr>
          <w:color w:val="auto"/>
          <w:highlight w:val="none"/>
        </w:rPr>
      </w:r>
    </w:p>
    <w:p>
      <w:pPr>
        <w:pStyle w:val="929"/>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rPr>
          <w:rFonts w:ascii="宋体" w:hAnsi="宋体"/>
          <w:color w:val="auto"/>
          <w:sz w:val="24"/>
          <w:highlight w:val="none"/>
          <w:shd w:val="clear" w:color="ffffff" w:fill="d9d9d9"/>
        </w:rPr>
      </w:r>
      <w:r>
        <w:rPr>
          <w:color w:val="auto"/>
          <w:highlight w:val="none"/>
        </w:rPr>
      </w:r>
    </w:p>
    <w:p>
      <w:pPr>
        <w:pStyle w:val="1015"/>
        <w:ind w:firstLine="480"/>
        <w:rPr>
          <w:rFonts w:hint="eastAsia"/>
          <w:color w:val="auto"/>
          <w:sz w:val="24"/>
          <w:szCs w:val="24"/>
          <w:highlight w:val="none"/>
        </w:rPr>
      </w:pPr>
      <w:r>
        <w:rPr>
          <w:rFonts w:hint="eastAsia"/>
          <w:color w:val="auto"/>
          <w:sz w:val="24"/>
          <w:szCs w:val="24"/>
          <w:highlight w:val="none"/>
        </w:rPr>
        <w:t xml:space="preserve">我公司（单位</w:t>
      </w:r>
      <w:r>
        <w:rPr>
          <w:rFonts w:hint="eastAsia"/>
          <w:color w:val="auto"/>
          <w:sz w:val="24"/>
          <w:szCs w:val="24"/>
          <w:highlight w:val="none"/>
        </w:rPr>
        <w:t xml:space="preserve">、联合体</w:t>
      </w:r>
      <w:r>
        <w:rPr>
          <w:rFonts w:hint="eastAsia"/>
          <w:color w:val="auto"/>
          <w:sz w:val="24"/>
          <w:szCs w:val="24"/>
          <w:highlight w:val="none"/>
        </w:rPr>
        <w:t xml:space="preserve">）针对</w:t>
      </w:r>
      <w:r>
        <w:rPr>
          <w:rFonts w:hint="eastAsia" w:ascii="宋体" w:hAnsi="宋体"/>
          <w:bCs/>
          <w:color w:val="auto"/>
          <w:sz w:val="24"/>
          <w:szCs w:val="24"/>
          <w:highlight w:val="none"/>
        </w:rPr>
        <w:t xml:space="preserve">JSZC-320200-JZCG-G2024-0135</w:t>
      </w:r>
      <w:r>
        <w:rPr>
          <w:rFonts w:hint="eastAsia" w:ascii="宋体" w:hAnsi="宋体"/>
          <w:bCs/>
          <w:color w:val="auto"/>
          <w:sz w:val="24"/>
          <w:szCs w:val="24"/>
          <w:highlight w:val="none"/>
        </w:rPr>
        <w:t xml:space="preserve">项目，兹授权：</w:t>
      </w:r>
      <w:r>
        <w:rPr>
          <w:rFonts w:hint="eastAsia"/>
          <w:color w:val="auto"/>
          <w:sz w:val="24"/>
          <w:szCs w:val="24"/>
          <w:highlight w:val="none"/>
        </w:rPr>
      </w:r>
      <w:r>
        <w:rPr>
          <w:color w:val="auto"/>
          <w:highlight w:val="none"/>
        </w:rPr>
      </w:r>
    </w:p>
    <w:p>
      <w:pPr>
        <w:pStyle w:val="1015"/>
        <w:ind w:firstLine="480"/>
        <w:rPr>
          <w:rFonts w:hint="eastAsia"/>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rPr>
          <w:color w:val="auto"/>
          <w:highlight w:val="none"/>
        </w:rPr>
      </w:r>
    </w:p>
    <w:p>
      <w:pPr>
        <w:pStyle w:val="1015"/>
        <w:ind w:firstLine="480"/>
        <w:rPr>
          <w:rFonts w:hint="eastAsia"/>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rPr>
          <w:color w:val="auto"/>
          <w:highlight w:val="none"/>
        </w:rPr>
      </w:r>
    </w:p>
    <w:p>
      <w:pPr>
        <w:pStyle w:val="1015"/>
        <w:ind w:firstLine="480"/>
        <w:rPr>
          <w:rFonts w:hint="eastAsia"/>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rPr>
          <w:color w:val="auto"/>
          <w:highlight w:val="none"/>
        </w:rPr>
      </w:r>
    </w:p>
    <w:p>
      <w:pPr>
        <w:pStyle w:val="1015"/>
        <w:ind w:firstLine="480"/>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rPr>
          <w:color w:val="auto"/>
          <w:highlight w:val="none"/>
        </w:rPr>
      </w:r>
    </w:p>
    <w:p>
      <w:pPr>
        <w:pStyle w:val="1015"/>
        <w:ind w:firstLine="480"/>
        <w:rPr>
          <w:rFonts w:hint="eastAsia"/>
          <w:color w:val="auto"/>
          <w:sz w:val="24"/>
          <w:szCs w:val="24"/>
          <w:highlight w:val="none"/>
        </w:rPr>
      </w:pPr>
      <w:r>
        <w:rPr>
          <w:rFonts w:hint="eastAsia"/>
          <w:color w:val="auto"/>
          <w:sz w:val="24"/>
          <w:szCs w:val="24"/>
          <w:highlight w:val="none"/>
        </w:rPr>
        <w:t xml:space="preserve">特此授权委托。</w:t>
      </w:r>
      <w:r>
        <w:rPr>
          <w:color w:val="auto"/>
          <w:highlight w:val="none"/>
        </w:rPr>
      </w:r>
    </w:p>
    <w:p>
      <w:pPr>
        <w:pStyle w:val="1015"/>
        <w:ind w:firstLine="0"/>
        <w:rPr>
          <w:rFonts w:hint="eastAsia"/>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rPr>
          <w:rFonts w:hint="eastAsia"/>
          <w:color w:val="auto"/>
          <w:sz w:val="24"/>
          <w:szCs w:val="24"/>
          <w:highlight w:val="none"/>
          <w:u w:val="single"/>
        </w:rPr>
      </w:r>
      <w:r>
        <w:rPr>
          <w:color w:val="auto"/>
          <w:highlight w:val="none"/>
        </w:rPr>
      </w:r>
    </w:p>
    <w:p>
      <w:pPr>
        <w:pStyle w:val="1015"/>
        <w:ind w:firstLine="0"/>
        <w:rPr>
          <w:rFonts w:hint="eastAsia"/>
          <w:color w:val="auto"/>
          <w:sz w:val="24"/>
          <w:szCs w:val="24"/>
          <w:highlight w:val="none"/>
        </w:rPr>
      </w:pPr>
      <w:r>
        <w:rPr>
          <w:rFonts w:hint="eastAsia"/>
          <w:color w:val="auto"/>
          <w:sz w:val="24"/>
          <w:szCs w:val="24"/>
          <w:highlight w:val="none"/>
        </w:rPr>
        <w:t xml:space="preserve">法定代表人签字</w:t>
      </w:r>
      <w:r>
        <w:rPr>
          <w:rFonts w:hint="eastAsia"/>
          <w:color w:val="auto"/>
          <w:sz w:val="24"/>
          <w:szCs w:val="24"/>
          <w:highlight w:val="none"/>
        </w:rPr>
        <w:t xml:space="preserve">或盖章</w:t>
      </w:r>
      <w:r>
        <w:rPr>
          <w:rFonts w:hint="eastAsia"/>
          <w:color w:val="auto"/>
          <w:sz w:val="24"/>
          <w:szCs w:val="24"/>
          <w:highlight w:val="none"/>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rPr>
        <w:t xml:space="preserve">或盖章</w:t>
      </w:r>
      <w:r>
        <w:rPr>
          <w:rFonts w:hint="eastAsia"/>
          <w:color w:val="auto"/>
          <w:sz w:val="24"/>
          <w:szCs w:val="24"/>
          <w:highlight w:val="none"/>
        </w:rPr>
        <w:t xml:space="preserve">：</w:t>
      </w:r>
      <w:r>
        <w:rPr>
          <w:rFonts w:hint="eastAsia"/>
          <w:color w:val="auto"/>
          <w:sz w:val="24"/>
          <w:szCs w:val="24"/>
          <w:highlight w:val="none"/>
          <w:u w:val="single"/>
        </w:rPr>
        <w:t xml:space="preserve">        </w:t>
      </w:r>
      <w:r>
        <w:rPr>
          <w:rFonts w:hint="eastAsia"/>
          <w:color w:val="auto"/>
          <w:sz w:val="24"/>
          <w:szCs w:val="24"/>
          <w:highlight w:val="none"/>
        </w:rPr>
      </w:r>
      <w:r>
        <w:rPr>
          <w:color w:val="auto"/>
          <w:highlight w:val="none"/>
        </w:rPr>
      </w:r>
    </w:p>
    <w:p>
      <w:pPr>
        <w:pStyle w:val="1015"/>
        <w:ind w:firstLine="0"/>
        <w:rPr>
          <w:rFonts w:hint="eastAsia"/>
          <w:color w:val="auto"/>
          <w:sz w:val="24"/>
          <w:szCs w:val="24"/>
          <w:highlight w:val="none"/>
        </w:rPr>
      </w:pPr>
      <w:r>
        <w:rPr>
          <w:rFonts w:hint="eastAsia" w:ascii="宋体" w:hAnsi="宋体" w:cs="宋体"/>
          <w:b/>
          <w:color w:val="auto"/>
          <w:sz w:val="30"/>
          <w:highlight w:val="none"/>
        </w:rPr>
        <w:t xml:space="preserve">(被授权人身份证原件扫描件附后)</w:t>
      </w:r>
      <w:r>
        <w:rPr>
          <w:rFonts w:hint="eastAsia"/>
          <w:color w:val="auto"/>
          <w:sz w:val="24"/>
          <w:szCs w:val="24"/>
          <w:highlight w:val="none"/>
        </w:rPr>
      </w:r>
      <w:r>
        <w:rPr>
          <w:color w:val="auto"/>
          <w:highlight w:val="none"/>
        </w:rPr>
      </w:r>
    </w:p>
    <w:p>
      <w:pPr>
        <w:pStyle w:val="1015"/>
        <w:ind w:firstLine="0"/>
        <w:rPr>
          <w:rFonts w:hint="eastAsia"/>
          <w:color w:val="auto"/>
          <w:sz w:val="24"/>
          <w:szCs w:val="24"/>
          <w:highlight w:val="none"/>
        </w:rPr>
      </w:pPr>
      <w:r>
        <w:rPr>
          <w:rFonts w:hint="eastAsia"/>
          <w:color w:val="auto"/>
          <w:sz w:val="24"/>
          <w:szCs w:val="24"/>
          <w:highlight w:val="none"/>
        </w:rPr>
        <w:t xml:space="preserve">说明：</w:t>
      </w:r>
      <w:r>
        <w:rPr>
          <w:color w:val="auto"/>
          <w:highlight w:val="none"/>
        </w:rPr>
      </w:r>
    </w:p>
    <w:p>
      <w:pPr>
        <w:pStyle w:val="1015"/>
        <w:numPr>
          <w:ilvl w:val="0"/>
          <w:numId w:val="12"/>
        </w:numPr>
        <w:ind w:firstLine="480"/>
        <w:rPr>
          <w:rFonts w:hint="eastAsia" w:ascii="宋体" w:hAnsi="宋体"/>
          <w:color w:val="auto"/>
          <w:sz w:val="24"/>
          <w:szCs w:val="20"/>
          <w:highlight w:val="none"/>
        </w:rPr>
      </w:pP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rPr>
          <w:color w:val="auto"/>
          <w:highlight w:val="none"/>
        </w:rPr>
      </w:r>
    </w:p>
    <w:p>
      <w:pPr>
        <w:pStyle w:val="1015"/>
        <w:numPr>
          <w:ilvl w:val="0"/>
          <w:numId w:val="12"/>
        </w:numPr>
        <w:ind w:firstLine="480"/>
        <w:rPr>
          <w:rFonts w:hint="eastAsia" w:ascii="宋体" w:hAnsi="宋体"/>
          <w:color w:val="auto"/>
          <w:sz w:val="24"/>
          <w:szCs w:val="20"/>
          <w:highlight w:val="none"/>
        </w:rPr>
      </w:pPr>
      <w:r>
        <w:rPr>
          <w:rFonts w:hint="eastAsia" w:ascii="宋体" w:hAnsi="宋体"/>
          <w:color w:val="auto"/>
          <w:sz w:val="24"/>
          <w:szCs w:val="20"/>
          <w:highlight w:val="none"/>
        </w:rPr>
        <w:t xml:space="preserve">当被授权人为法定代表人（或上述情况的单位负责人）时，只需在</w:t>
      </w:r>
      <w:r>
        <w:rPr>
          <w:rFonts w:ascii="宋体" w:hAnsi="宋体"/>
          <w:color w:val="auto"/>
          <w:sz w:val="24"/>
          <w:szCs w:val="20"/>
          <w:highlight w:val="none"/>
        </w:rPr>
        <w:t xml:space="preserve">法定代表人</w:t>
      </w:r>
      <w:r>
        <w:rPr>
          <w:rFonts w:hint="eastAsia" w:ascii="宋体" w:hAnsi="宋体"/>
          <w:color w:val="auto"/>
          <w:sz w:val="24"/>
          <w:szCs w:val="20"/>
          <w:highlight w:val="none"/>
        </w:rPr>
        <w:t xml:space="preserve">处签字</w:t>
      </w:r>
      <w:r>
        <w:rPr>
          <w:rFonts w:hint="eastAsia"/>
          <w:color w:val="auto"/>
          <w:sz w:val="24"/>
          <w:szCs w:val="24"/>
          <w:highlight w:val="none"/>
        </w:rPr>
        <w:t xml:space="preserve">或盖章</w:t>
      </w:r>
      <w:r>
        <w:rPr>
          <w:rFonts w:hint="eastAsia" w:ascii="宋体" w:hAnsi="宋体"/>
          <w:color w:val="auto"/>
          <w:sz w:val="24"/>
          <w:szCs w:val="20"/>
          <w:highlight w:val="none"/>
        </w:rPr>
        <w:t xml:space="preserve">即可。</w:t>
      </w:r>
      <w:r>
        <w:rPr>
          <w:color w:val="auto"/>
          <w:highlight w:val="none"/>
        </w:rPr>
      </w:r>
    </w:p>
    <w:p>
      <w:pPr>
        <w:pStyle w:val="1015"/>
        <w:numPr>
          <w:ilvl w:val="0"/>
          <w:numId w:val="12"/>
        </w:numPr>
        <w:ind w:firstLine="480"/>
        <w:rPr>
          <w:rFonts w:hint="eastAsia" w:ascii="宋体" w:hAnsi="宋体"/>
          <w:color w:val="auto"/>
          <w:sz w:val="24"/>
          <w:szCs w:val="20"/>
          <w:highlight w:val="none"/>
        </w:rPr>
      </w:pP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rPr>
          <w:color w:val="auto"/>
          <w:highlight w:val="none"/>
        </w:rPr>
      </w:r>
    </w:p>
    <w:p>
      <w:pPr>
        <w:pStyle w:val="1015"/>
        <w:numPr>
          <w:ilvl w:val="0"/>
          <w:numId w:val="12"/>
        </w:numPr>
        <w:ind w:firstLine="480"/>
        <w:rPr>
          <w:rFonts w:hint="eastAsia" w:ascii="宋体" w:hAnsi="宋体"/>
          <w:color w:val="auto"/>
          <w:sz w:val="24"/>
          <w:szCs w:val="20"/>
          <w:highlight w:val="none"/>
        </w:rPr>
      </w:pP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auto"/>
          <w:sz w:val="24"/>
          <w:szCs w:val="20"/>
          <w:highlight w:val="none"/>
        </w:rPr>
      </w:r>
      <w:r>
        <w:rPr>
          <w:color w:val="auto"/>
          <w:highlight w:val="none"/>
        </w:rPr>
      </w:r>
    </w:p>
    <w:p>
      <w:pPr>
        <w:pStyle w:val="1015"/>
        <w:ind w:firstLine="0"/>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rPr>
          <w:color w:val="auto"/>
          <w:highlight w:val="none"/>
        </w:rPr>
      </w:r>
    </w:p>
    <w:p>
      <w:pPr>
        <w:pStyle w:val="929"/>
        <w:jc w:val="center"/>
        <w:rPr>
          <w:rFonts w:ascii="黑体" w:eastAsia="黑体"/>
          <w:bCs/>
          <w:color w:val="auto"/>
          <w:sz w:val="28"/>
          <w:szCs w:val="28"/>
          <w:highlight w:val="none"/>
        </w:rPr>
        <w:outlineLvl w:val="0"/>
      </w:pPr>
      <w:r>
        <w:rPr>
          <w:color w:val="auto"/>
          <w:highlight w:val="none"/>
        </w:rPr>
      </w:r>
      <w:bookmarkStart w:id="199" w:name="报价方关于资格的声明函（格式）"/>
      <w:r>
        <w:rPr>
          <w:color w:val="auto"/>
          <w:highlight w:val="none"/>
        </w:rPr>
      </w:r>
      <w:bookmarkEnd w:id="199"/>
      <w:r>
        <w:rPr>
          <w:rFonts w:hint="eastAsia" w:ascii="黑体" w:eastAsia="黑体"/>
          <w:bCs/>
          <w:color w:val="auto"/>
          <w:sz w:val="28"/>
          <w:szCs w:val="28"/>
          <w:highlight w:val="none"/>
        </w:rPr>
        <w:t xml:space="preserve">资格声明函</w:t>
      </w:r>
      <w:r>
        <w:rPr>
          <w:rFonts w:ascii="黑体" w:eastAsia="黑体"/>
          <w:bCs/>
          <w:color w:val="auto"/>
          <w:sz w:val="28"/>
          <w:szCs w:val="28"/>
          <w:highlight w:val="none"/>
        </w:rPr>
      </w:r>
      <w:r>
        <w:rPr>
          <w:color w:val="auto"/>
          <w:highlight w:val="none"/>
        </w:rPr>
      </w:r>
    </w:p>
    <w:p>
      <w:pPr>
        <w:pStyle w:val="929"/>
        <w:jc w:val="center"/>
        <w:spacing w:line="480" w:lineRule="auto"/>
        <w:rPr>
          <w:rFonts w:ascii="宋体"/>
          <w:bCs/>
          <w:color w:val="auto"/>
          <w:sz w:val="24"/>
          <w:szCs w:val="24"/>
          <w:highlight w:val="none"/>
        </w:rPr>
      </w:pPr>
      <w:r>
        <w:rPr>
          <w:rFonts w:ascii="宋体"/>
          <w:bCs/>
          <w:color w:val="auto"/>
          <w:sz w:val="24"/>
          <w:szCs w:val="24"/>
          <w:highlight w:val="none"/>
        </w:rPr>
      </w:r>
      <w:r>
        <w:rPr>
          <w:color w:val="auto"/>
          <w:highlight w:val="none"/>
        </w:rPr>
      </w:r>
    </w:p>
    <w:p>
      <w:pPr>
        <w:pStyle w:val="929"/>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无锡市公共资源交易中心：</w:t>
      </w:r>
      <w:r>
        <w:rPr>
          <w:rFonts w:ascii="宋体"/>
          <w:bCs/>
          <w:color w:val="auto"/>
          <w:sz w:val="24"/>
          <w:szCs w:val="24"/>
          <w:highlight w:val="none"/>
        </w:rPr>
      </w:r>
      <w:r>
        <w:rPr>
          <w:color w:val="auto"/>
          <w:highlight w:val="none"/>
        </w:rPr>
      </w:r>
    </w:p>
    <w:p>
      <w:pPr>
        <w:pStyle w:val="929"/>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）针对本次项目</w:t>
      </w:r>
      <w:r>
        <w:rPr>
          <w:rFonts w:hint="eastAsia" w:ascii="宋体" w:hAnsi="宋体"/>
          <w:bCs/>
          <w:color w:val="auto"/>
          <w:sz w:val="24"/>
          <w:szCs w:val="24"/>
          <w:highlight w:val="none"/>
        </w:rPr>
        <w:t xml:space="preserve">JSZC-320200-JZCG-G2024-0135</w:t>
      </w:r>
      <w:r>
        <w:rPr>
          <w:rFonts w:hint="eastAsia" w:ascii="宋体" w:hAnsi="宋体"/>
          <w:bCs/>
          <w:color w:val="auto"/>
          <w:sz w:val="24"/>
          <w:szCs w:val="24"/>
          <w:highlight w:val="none"/>
        </w:rPr>
        <w:t xml:space="preserve">进行投标，</w:t>
      </w:r>
      <w:r>
        <w:rPr>
          <w:rFonts w:hint="eastAsia" w:ascii="宋体" w:hAnsi="宋体"/>
          <w:bCs/>
          <w:color w:val="auto"/>
          <w:sz w:val="24"/>
          <w:szCs w:val="24"/>
          <w:highlight w:val="none"/>
        </w:rPr>
        <w:t xml:space="preserve">并</w:t>
      </w:r>
      <w:r>
        <w:rPr>
          <w:rFonts w:hint="eastAsia" w:ascii="宋体" w:hAnsi="宋体"/>
          <w:bCs/>
          <w:color w:val="auto"/>
          <w:sz w:val="24"/>
          <w:szCs w:val="24"/>
          <w:highlight w:val="none"/>
        </w:rPr>
        <w:t xml:space="preserve">作如下声明</w:t>
      </w:r>
      <w:r>
        <w:rPr>
          <w:rFonts w:ascii="宋体" w:hAnsi="宋体"/>
          <w:bCs/>
          <w:color w:val="auto"/>
          <w:sz w:val="24"/>
          <w:szCs w:val="24"/>
          <w:highlight w:val="none"/>
        </w:rPr>
      </w:r>
      <w:r>
        <w:rPr>
          <w:color w:val="auto"/>
          <w:highlight w:val="none"/>
        </w:rPr>
      </w:r>
    </w:p>
    <w:p>
      <w:pPr>
        <w:pStyle w:val="929"/>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）参加本次项目政府采购活动前三年内，在经营活动中没有重大违法（因违法经营受到刑事处罚或者责令停产停业、吊销许可证或者执照、较大数额罚款等行政处罚）记录。</w:t>
      </w:r>
      <w:r>
        <w:rPr>
          <w:color w:val="auto"/>
          <w:highlight w:val="none"/>
        </w:rPr>
      </w:r>
    </w:p>
    <w:p>
      <w:pPr>
        <w:pStyle w:val="929"/>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）具备本次项目履行合同所必需的设备和专业技术能力。</w:t>
      </w:r>
      <w:r>
        <w:rPr>
          <w:color w:val="auto"/>
          <w:highlight w:val="none"/>
        </w:rPr>
      </w:r>
    </w:p>
    <w:p>
      <w:pPr>
        <w:pStyle w:val="929"/>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color w:val="auto"/>
          <w:highlight w:val="none"/>
        </w:rPr>
      </w:r>
    </w:p>
    <w:p>
      <w:pPr>
        <w:pStyle w:val="929"/>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）针对本次项目的上述声明以及投标文件中所有关于投标资格的文件、证明、陈述均是真实的、准确的。若有违背，我公司（单位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）愿意承担由此而产生的一切后果。</w:t>
      </w:r>
      <w:r>
        <w:rPr>
          <w:rFonts w:ascii="宋体"/>
          <w:bCs/>
          <w:color w:val="auto"/>
          <w:sz w:val="24"/>
          <w:szCs w:val="24"/>
          <w:highlight w:val="none"/>
        </w:rPr>
      </w:r>
      <w:r>
        <w:rPr>
          <w:color w:val="auto"/>
          <w:highlight w:val="none"/>
        </w:rPr>
      </w:r>
    </w:p>
    <w:p>
      <w:pPr>
        <w:pStyle w:val="929"/>
        <w:spacing w:line="480" w:lineRule="auto"/>
        <w:rPr>
          <w:rFonts w:ascii="宋体"/>
          <w:bCs/>
          <w:color w:val="auto"/>
          <w:sz w:val="24"/>
          <w:szCs w:val="24"/>
          <w:highlight w:val="none"/>
        </w:rPr>
      </w:pPr>
      <w:r>
        <w:rPr>
          <w:rFonts w:ascii="宋体"/>
          <w:bCs/>
          <w:color w:val="auto"/>
          <w:sz w:val="24"/>
          <w:szCs w:val="24"/>
          <w:highlight w:val="none"/>
        </w:rPr>
      </w:r>
      <w:r>
        <w:rPr>
          <w:color w:val="auto"/>
          <w:highlight w:val="none"/>
        </w:rPr>
      </w:r>
    </w:p>
    <w:p>
      <w:pPr>
        <w:pStyle w:val="929"/>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rPr>
          <w:rFonts w:ascii="宋体"/>
          <w:bCs/>
          <w:color w:val="auto"/>
          <w:sz w:val="24"/>
          <w:szCs w:val="24"/>
          <w:highlight w:val="none"/>
        </w:rPr>
      </w:r>
      <w:r>
        <w:rPr>
          <w:color w:val="auto"/>
          <w:highlight w:val="none"/>
        </w:rPr>
      </w:r>
    </w:p>
    <w:p>
      <w:pPr>
        <w:pStyle w:val="929"/>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rPr>
          <w:color w:val="auto"/>
          <w:highlight w:val="none"/>
        </w:rPr>
      </w:r>
    </w:p>
    <w:p>
      <w:pPr>
        <w:pStyle w:val="929"/>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rPr>
          <w:color w:val="auto"/>
          <w:highlight w:val="none"/>
        </w:rPr>
      </w:r>
    </w:p>
    <w:p>
      <w:pPr>
        <w:pStyle w:val="929"/>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rPr>
          <w:color w:val="auto"/>
          <w:highlight w:val="none"/>
        </w:rPr>
      </w:r>
    </w:p>
    <w:p>
      <w:pPr>
        <w:pStyle w:val="929"/>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color w:val="auto"/>
          <w:highlight w:val="none"/>
        </w:rPr>
      </w:r>
    </w:p>
    <w:p>
      <w:pPr>
        <w:pStyle w:val="929"/>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rPr>
          <w:rFonts w:ascii="宋体" w:hAnsi="宋体"/>
          <w:bCs/>
          <w:color w:val="auto"/>
          <w:sz w:val="24"/>
          <w:szCs w:val="24"/>
          <w:highlight w:val="none"/>
        </w:rPr>
      </w:r>
      <w:r>
        <w:rPr>
          <w:color w:val="auto"/>
          <w:highlight w:val="none"/>
        </w:rPr>
      </w:r>
    </w:p>
    <w:p>
      <w:pPr>
        <w:pStyle w:val="929"/>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rPr>
          <w:rFonts w:ascii="宋体" w:hAnsi="宋体"/>
          <w:bCs/>
          <w:color w:val="auto"/>
          <w:sz w:val="24"/>
          <w:szCs w:val="24"/>
          <w:highlight w:val="none"/>
        </w:rPr>
      </w:r>
      <w:r>
        <w:rPr>
          <w:color w:val="auto"/>
          <w:highlight w:val="none"/>
        </w:rPr>
      </w:r>
    </w:p>
    <w:p>
      <w:pPr>
        <w:pStyle w:val="929"/>
        <w:ind w:firstLine="420"/>
        <w:spacing w:line="360" w:lineRule="auto"/>
        <w:rPr>
          <w:rFonts w:hint="eastAsia"/>
          <w:color w:val="auto"/>
          <w:highlight w:val="none"/>
        </w:rPr>
      </w:pPr>
      <w:r>
        <w:rPr>
          <w:rFonts w:hint="eastAsia"/>
          <w:color w:val="auto"/>
          <w:highlight w:val="none"/>
        </w:rPr>
      </w:r>
      <w:r>
        <w:rPr>
          <w:color w:val="auto"/>
          <w:highlight w:val="none"/>
        </w:rPr>
      </w:r>
    </w:p>
    <w:p>
      <w:pPr>
        <w:pStyle w:val="929"/>
        <w:ind w:firstLine="420"/>
        <w:spacing w:line="360" w:lineRule="auto"/>
        <w:rPr>
          <w:rFonts w:hint="eastAsia"/>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color w:val="auto"/>
          <w:highlight w:val="none"/>
        </w:rPr>
      </w:r>
    </w:p>
    <w:p>
      <w:pPr>
        <w:pStyle w:val="929"/>
        <w:ind w:firstLine="420"/>
        <w:spacing w:line="360" w:lineRule="auto"/>
        <w:rPr>
          <w:color w:val="auto"/>
          <w:highlight w:val="none"/>
        </w:rPr>
      </w:pPr>
      <w:r>
        <w:rPr>
          <w:rFonts w:hint="eastAsia"/>
          <w:color w:val="auto"/>
          <w:highlight w:val="none"/>
        </w:rPr>
        <w:t xml:space="preserve">（2）</w:t>
      </w:r>
      <w:r>
        <w:rPr>
          <w:color w:val="auto"/>
          <w:highlight w:val="none"/>
        </w:rPr>
        <w:t xml:space="preserve">从业人员、营业收入、资产总额填报上一年度数据，无上一年度数据的新成立企业可不填报。</w:t>
      </w:r>
      <w:r>
        <w:rPr>
          <w:color w:val="auto"/>
          <w:highlight w:val="none"/>
        </w:rPr>
      </w:r>
    </w:p>
    <w:p>
      <w:pPr>
        <w:pStyle w:val="929"/>
        <w:ind w:firstLine="420"/>
        <w:spacing w:line="360" w:lineRule="auto"/>
        <w:rPr>
          <w:rFonts w:hint="eastAsia"/>
          <w:color w:val="auto"/>
          <w:highlight w:val="none"/>
        </w:rPr>
      </w:pPr>
      <w:r>
        <w:rPr>
          <w:rFonts w:hint="eastAsia"/>
          <w:color w:val="auto"/>
          <w:highlight w:val="none"/>
        </w:rPr>
        <w:t xml:space="preserve">（3）中标供应商的《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auto"/>
          <w:highlight w:val="none"/>
        </w:rPr>
      </w:r>
    </w:p>
    <w:p>
      <w:pPr>
        <w:pStyle w:val="929"/>
        <w:spacing w:line="360" w:lineRule="auto"/>
        <w:rPr>
          <w:rFonts w:hint="eastAsia" w:ascii="宋体" w:hAnsi="宋体" w:cs="宋体"/>
          <w:b/>
          <w:color w:val="auto"/>
          <w:sz w:val="28"/>
          <w:szCs w:val="28"/>
          <w:highlight w:val="none"/>
        </w:rPr>
      </w:pPr>
      <w:r>
        <w:rPr>
          <w:rFonts w:hint="eastAsia"/>
          <w:color w:val="auto"/>
          <w:highlight w:val="none"/>
        </w:rPr>
        <w:br w:type="page" w:clear="all"/>
      </w: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rPr>
          <w:color w:val="auto"/>
          <w:highlight w:val="none"/>
        </w:rPr>
      </w:r>
    </w:p>
    <w:p>
      <w:pPr>
        <w:pStyle w:val="929"/>
        <w:ind w:firstLine="482"/>
        <w:spacing w:line="440" w:lineRule="exact"/>
        <w:rPr>
          <w:rFonts w:ascii="Arial" w:hAnsi="Arial"/>
          <w:b/>
          <w:color w:val="auto"/>
          <w:sz w:val="24"/>
          <w:highlight w:val="none"/>
        </w:rPr>
      </w:pPr>
      <w:r>
        <w:rPr>
          <w:rFonts w:ascii="Arial" w:hAnsi="Arial"/>
          <w:b/>
          <w:color w:val="auto"/>
          <w:sz w:val="24"/>
          <w:highlight w:val="none"/>
        </w:rPr>
      </w:r>
      <w:r>
        <w:rPr>
          <w:color w:val="auto"/>
          <w:highlight w:val="none"/>
        </w:rPr>
      </w:r>
    </w:p>
    <w:p>
      <w:pPr>
        <w:pStyle w:val="929"/>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rPr>
          <w:rFonts w:ascii="黑体" w:eastAsia="黑体"/>
          <w:bCs/>
          <w:color w:val="auto"/>
          <w:sz w:val="28"/>
          <w:szCs w:val="28"/>
          <w:highlight w:val="none"/>
        </w:rPr>
      </w:r>
      <w:r>
        <w:rPr>
          <w:color w:val="auto"/>
          <w:highlight w:val="none"/>
        </w:rPr>
      </w:r>
    </w:p>
    <w:p>
      <w:pPr>
        <w:pStyle w:val="929"/>
        <w:jc w:val="center"/>
        <w:rPr>
          <w:rFonts w:ascii="黑体" w:eastAsia="黑体"/>
          <w:bCs/>
          <w:color w:val="auto"/>
          <w:sz w:val="28"/>
          <w:szCs w:val="28"/>
          <w:highlight w:val="none"/>
        </w:rPr>
      </w:pPr>
      <w:r>
        <w:rPr>
          <w:rFonts w:ascii="黑体" w:eastAsia="黑体"/>
          <w:bCs/>
          <w:color w:val="auto"/>
          <w:sz w:val="28"/>
          <w:szCs w:val="28"/>
          <w:highlight w:val="none"/>
        </w:rPr>
      </w:r>
      <w:r>
        <w:rPr>
          <w:color w:val="auto"/>
          <w:highlight w:val="none"/>
        </w:rPr>
      </w:r>
    </w:p>
    <w:p>
      <w:pPr>
        <w:pStyle w:val="929"/>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auto"/>
          <w:sz w:val="24"/>
          <w:szCs w:val="24"/>
          <w:highlight w:val="none"/>
        </w:rPr>
      </w:r>
      <w:r>
        <w:rPr>
          <w:color w:val="auto"/>
          <w:highlight w:val="none"/>
        </w:rPr>
      </w:r>
    </w:p>
    <w:p>
      <w:pPr>
        <w:pStyle w:val="929"/>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rPr>
          <w:rFonts w:ascii="宋体" w:hAnsi="宋体"/>
          <w:bCs/>
          <w:color w:val="auto"/>
          <w:sz w:val="24"/>
          <w:szCs w:val="24"/>
          <w:highlight w:val="none"/>
        </w:rPr>
      </w:r>
      <w:r>
        <w:rPr>
          <w:color w:val="auto"/>
          <w:highlight w:val="none"/>
        </w:rPr>
      </w:r>
    </w:p>
    <w:p>
      <w:pPr>
        <w:pStyle w:val="929"/>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rPr>
          <w:color w:val="auto"/>
          <w:highlight w:val="none"/>
        </w:rPr>
      </w:r>
    </w:p>
    <w:p>
      <w:pPr>
        <w:pStyle w:val="929"/>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rPr>
          <w:color w:val="auto"/>
          <w:highlight w:val="none"/>
        </w:rPr>
      </w:r>
    </w:p>
    <w:p>
      <w:pPr>
        <w:pStyle w:val="929"/>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rPr>
          <w:rFonts w:ascii="宋体" w:hAnsi="宋体"/>
          <w:bCs/>
          <w:color w:val="auto"/>
          <w:sz w:val="24"/>
          <w:szCs w:val="24"/>
          <w:highlight w:val="none"/>
        </w:rPr>
      </w:r>
      <w:r>
        <w:rPr>
          <w:color w:val="auto"/>
          <w:highlight w:val="none"/>
        </w:rPr>
      </w:r>
    </w:p>
    <w:p>
      <w:pPr>
        <w:pStyle w:val="929"/>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rPr>
          <w:rFonts w:ascii="宋体" w:hAnsi="宋体"/>
          <w:bCs/>
          <w:color w:val="auto"/>
          <w:sz w:val="24"/>
          <w:szCs w:val="24"/>
          <w:highlight w:val="none"/>
        </w:rPr>
      </w:r>
      <w:r>
        <w:rPr>
          <w:color w:val="auto"/>
          <w:highlight w:val="none"/>
        </w:rPr>
      </w:r>
    </w:p>
    <w:p>
      <w:pPr>
        <w:pStyle w:val="929"/>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rPr>
          <w:color w:val="auto"/>
          <w:highlight w:val="none"/>
        </w:rPr>
      </w:r>
    </w:p>
    <w:p>
      <w:pPr>
        <w:pStyle w:val="929"/>
        <w:spacing w:line="360" w:lineRule="auto"/>
        <w:rPr>
          <w:rFonts w:hint="eastAsia"/>
          <w:b/>
          <w:color w:val="auto"/>
          <w:sz w:val="30"/>
          <w:szCs w:val="30"/>
          <w:highlight w:val="none"/>
        </w:rPr>
      </w:pPr>
      <w:r>
        <w:rPr>
          <w:rFonts w:hint="eastAsia"/>
          <w:b/>
          <w:color w:val="auto"/>
          <w:sz w:val="30"/>
          <w:szCs w:val="30"/>
          <w:highlight w:val="none"/>
        </w:rPr>
      </w:r>
      <w:r>
        <w:rPr>
          <w:color w:val="auto"/>
          <w:highlight w:val="none"/>
        </w:rPr>
      </w:r>
    </w:p>
    <w:p>
      <w:pPr>
        <w:pStyle w:val="929"/>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rPr>
          <w:rFonts w:ascii="宋体"/>
          <w:bCs/>
          <w:color w:val="auto"/>
          <w:sz w:val="24"/>
          <w:szCs w:val="24"/>
          <w:highlight w:val="none"/>
        </w:rPr>
      </w:r>
      <w:r>
        <w:rPr>
          <w:color w:val="auto"/>
          <w:highlight w:val="none"/>
        </w:rPr>
      </w:r>
    </w:p>
    <w:p>
      <w:pPr>
        <w:pStyle w:val="929"/>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致无锡市公共资源交易中心：</w:t>
      </w:r>
      <w:r>
        <w:rPr>
          <w:rFonts w:ascii="宋体"/>
          <w:bCs/>
          <w:color w:val="auto"/>
          <w:sz w:val="24"/>
          <w:szCs w:val="24"/>
          <w:highlight w:val="none"/>
        </w:rPr>
      </w:r>
      <w:r>
        <w:rPr>
          <w:color w:val="auto"/>
          <w:highlight w:val="none"/>
        </w:rPr>
      </w:r>
    </w:p>
    <w:p>
      <w:pPr>
        <w:pStyle w:val="929"/>
        <w:ind w:firstLine="480"/>
        <w:spacing w:line="400" w:lineRule="exact"/>
        <w:rPr>
          <w:rFonts w:ascii="宋体"/>
          <w:bCs/>
          <w:color w:val="auto"/>
          <w:sz w:val="24"/>
          <w:szCs w:val="24"/>
          <w:highlight w:val="none"/>
        </w:rPr>
      </w:pPr>
      <w:r>
        <w:rPr>
          <w:rFonts w:ascii="宋体"/>
          <w:bCs/>
          <w:color w:val="auto"/>
          <w:sz w:val="24"/>
          <w:szCs w:val="24"/>
          <w:highlight w:val="none"/>
        </w:rPr>
      </w:r>
      <w:r>
        <w:rPr>
          <w:color w:val="auto"/>
          <w:highlight w:val="none"/>
        </w:rPr>
      </w:r>
    </w:p>
    <w:p>
      <w:pPr>
        <w:pStyle w:val="929"/>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rPr>
        <w:t xml:space="preserve">JSZC-320200-JZCG-G2024-0135</w:t>
      </w:r>
      <w:r>
        <w:rPr>
          <w:rFonts w:hint="eastAsia" w:ascii="宋体" w:hAnsi="宋体"/>
          <w:bCs/>
          <w:color w:val="auto"/>
          <w:sz w:val="24"/>
          <w:szCs w:val="24"/>
          <w:highlight w:val="none"/>
        </w:rPr>
        <w:t xml:space="preserve">招标文件，经仔细阅读和研究，我</w:t>
      </w:r>
      <w:r>
        <w:rPr>
          <w:rFonts w:hint="eastAsia" w:ascii="宋体" w:hAnsi="宋体"/>
          <w:bCs/>
          <w:color w:val="auto"/>
          <w:sz w:val="24"/>
          <w:szCs w:val="24"/>
          <w:highlight w:val="none"/>
        </w:rPr>
        <w:t xml:space="preserve">方决定参加此项目的投标。</w:t>
      </w:r>
      <w:r>
        <w:rPr>
          <w:rFonts w:ascii="宋体"/>
          <w:bCs/>
          <w:color w:val="auto"/>
          <w:sz w:val="24"/>
          <w:szCs w:val="24"/>
          <w:highlight w:val="none"/>
        </w:rPr>
      </w:r>
      <w:r>
        <w:rPr>
          <w:color w:val="auto"/>
          <w:highlight w:val="none"/>
        </w:rPr>
      </w:r>
    </w:p>
    <w:p>
      <w:pPr>
        <w:pStyle w:val="929"/>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rPr>
          <w:rFonts w:ascii="宋体"/>
          <w:bCs/>
          <w:color w:val="auto"/>
          <w:sz w:val="24"/>
          <w:szCs w:val="24"/>
          <w:highlight w:val="none"/>
        </w:rPr>
      </w:r>
      <w:r>
        <w:rPr>
          <w:color w:val="auto"/>
          <w:highlight w:val="none"/>
        </w:rPr>
      </w:r>
    </w:p>
    <w:p>
      <w:pPr>
        <w:pStyle w:val="929"/>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04"/>
          <w:bCs/>
          <w:color w:val="auto"/>
          <w:highlight w:val="none"/>
        </w:rPr>
      </w:pPr>
      <w:r>
        <w:rPr>
          <w:rFonts w:hint="eastAsia" w:ascii="宋体" w:hAnsi="宋体"/>
          <w:bCs/>
          <w:color w:val="auto"/>
          <w:sz w:val="24"/>
          <w:szCs w:val="24"/>
          <w:highlight w:val="none"/>
        </w:rPr>
        <w:t xml:space="preserve">我方愿意提供无锡市公共资源交易中心在招标文件中要求的文件、资料。</w:t>
      </w:r>
      <w:r>
        <w:rPr>
          <w:rStyle w:val="1004"/>
          <w:bCs/>
          <w:color w:val="auto"/>
          <w:highlight w:val="none"/>
        </w:rPr>
      </w:r>
      <w:r>
        <w:rPr>
          <w:color w:val="auto"/>
          <w:highlight w:val="none"/>
        </w:rPr>
      </w:r>
    </w:p>
    <w:p>
      <w:pPr>
        <w:pStyle w:val="929"/>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我方同意按招标文件中的规定，从规定的开标日期起遵循本投标文件，并在规定的投标有效期期满之前均具有约束力。</w:t>
      </w:r>
      <w:r>
        <w:rPr>
          <w:rFonts w:ascii="宋体"/>
          <w:bCs/>
          <w:color w:val="auto"/>
          <w:sz w:val="24"/>
          <w:szCs w:val="24"/>
          <w:highlight w:val="none"/>
        </w:rPr>
      </w:r>
      <w:r>
        <w:rPr>
          <w:color w:val="auto"/>
          <w:highlight w:val="none"/>
        </w:rPr>
      </w:r>
    </w:p>
    <w:p>
      <w:pPr>
        <w:pStyle w:val="929"/>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rPr>
          <w:rFonts w:ascii="宋体"/>
          <w:bCs/>
          <w:color w:val="auto"/>
          <w:sz w:val="24"/>
          <w:szCs w:val="24"/>
          <w:highlight w:val="none"/>
        </w:rPr>
      </w:r>
      <w:r>
        <w:rPr>
          <w:color w:val="auto"/>
          <w:highlight w:val="none"/>
        </w:rPr>
      </w:r>
    </w:p>
    <w:p>
      <w:pPr>
        <w:pStyle w:val="929"/>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rPr>
          <w:rFonts w:ascii="宋体"/>
          <w:bCs/>
          <w:color w:val="auto"/>
          <w:sz w:val="24"/>
          <w:szCs w:val="24"/>
          <w:highlight w:val="none"/>
        </w:rPr>
      </w:r>
      <w:r>
        <w:rPr>
          <w:color w:val="auto"/>
          <w:highlight w:val="none"/>
        </w:rPr>
      </w:r>
    </w:p>
    <w:p>
      <w:pPr>
        <w:pStyle w:val="929"/>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bCs/>
          <w:color w:val="auto"/>
          <w:sz w:val="24"/>
          <w:szCs w:val="24"/>
          <w:highlight w:val="none"/>
        </w:rPr>
        <w:t xml:space="preserve">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rPr>
          <w:rFonts w:ascii="宋体"/>
          <w:bCs/>
          <w:color w:val="auto"/>
          <w:sz w:val="24"/>
          <w:szCs w:val="24"/>
          <w:highlight w:val="none"/>
        </w:rPr>
      </w:r>
      <w:r>
        <w:rPr>
          <w:color w:val="auto"/>
          <w:highlight w:val="none"/>
        </w:rPr>
      </w:r>
    </w:p>
    <w:p>
      <w:pPr>
        <w:pStyle w:val="929"/>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w:t>
      </w:r>
      <w:r>
        <w:rPr>
          <w:rFonts w:hint="eastAsia" w:ascii="宋体" w:hAnsi="宋体"/>
          <w:bCs/>
          <w:color w:val="auto"/>
          <w:sz w:val="24"/>
          <w:szCs w:val="24"/>
          <w:highlight w:val="none"/>
        </w:rPr>
        <w:t xml:space="preserve">方</w:t>
      </w:r>
      <w:r>
        <w:rPr>
          <w:rFonts w:hint="eastAsia" w:ascii="宋体" w:hAnsi="宋体"/>
          <w:bCs/>
          <w:color w:val="auto"/>
          <w:sz w:val="24"/>
          <w:szCs w:val="24"/>
          <w:highlight w:val="none"/>
        </w:rPr>
        <w:t xml:space="preserve">已详细审核全部招标文件及其有效补充文件，我们知道必须放弃提出含糊不清或误解问题的权利。</w:t>
      </w:r>
      <w:r>
        <w:rPr>
          <w:rFonts w:ascii="宋体"/>
          <w:bCs/>
          <w:color w:val="auto"/>
          <w:sz w:val="24"/>
          <w:szCs w:val="24"/>
          <w:highlight w:val="none"/>
        </w:rPr>
      </w:r>
      <w:r>
        <w:rPr>
          <w:color w:val="auto"/>
          <w:highlight w:val="none"/>
        </w:rPr>
      </w:r>
    </w:p>
    <w:p>
      <w:pPr>
        <w:pStyle w:val="929"/>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auto"/>
          <w:sz w:val="24"/>
          <w:szCs w:val="24"/>
          <w:highlight w:val="none"/>
        </w:rPr>
      </w:r>
      <w:r>
        <w:rPr>
          <w:color w:val="auto"/>
          <w:highlight w:val="none"/>
        </w:rPr>
      </w:r>
    </w:p>
    <w:p>
      <w:pPr>
        <w:pStyle w:val="929"/>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bCs/>
          <w:color w:val="auto"/>
          <w:sz w:val="24"/>
          <w:szCs w:val="24"/>
          <w:highlight w:val="none"/>
        </w:rPr>
        <w:t xml:space="preserve">按采购人要求</w:t>
      </w:r>
      <w:r>
        <w:rPr>
          <w:rFonts w:hint="eastAsia" w:ascii="宋体" w:hAnsi="宋体"/>
          <w:bCs/>
          <w:color w:val="auto"/>
          <w:sz w:val="24"/>
          <w:szCs w:val="24"/>
          <w:highlight w:val="none"/>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auto"/>
          <w:sz w:val="24"/>
          <w:szCs w:val="24"/>
          <w:highlight w:val="none"/>
        </w:rPr>
      </w:r>
      <w:r>
        <w:rPr>
          <w:color w:val="auto"/>
          <w:highlight w:val="none"/>
        </w:rPr>
      </w:r>
    </w:p>
    <w:p>
      <w:pPr>
        <w:pStyle w:val="929"/>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auto"/>
          <w:sz w:val="24"/>
          <w:szCs w:val="24"/>
          <w:highlight w:val="none"/>
        </w:rPr>
      </w:r>
      <w:r>
        <w:rPr>
          <w:color w:val="auto"/>
          <w:highlight w:val="none"/>
        </w:rPr>
      </w:r>
    </w:p>
    <w:p>
      <w:pPr>
        <w:pStyle w:val="929"/>
        <w:ind w:firstLine="720"/>
        <w:spacing w:line="400" w:lineRule="exact"/>
        <w:rPr>
          <w:rFonts w:ascii="宋体"/>
          <w:bCs/>
          <w:color w:val="auto"/>
          <w:sz w:val="24"/>
          <w:szCs w:val="24"/>
          <w:highlight w:val="none"/>
        </w:rPr>
      </w:pPr>
      <w:r>
        <w:rPr>
          <w:rFonts w:ascii="宋体"/>
          <w:bCs/>
          <w:color w:val="auto"/>
          <w:sz w:val="24"/>
          <w:szCs w:val="24"/>
          <w:highlight w:val="none"/>
        </w:rPr>
      </w:r>
      <w:r>
        <w:rPr>
          <w:color w:val="auto"/>
          <w:highlight w:val="none"/>
        </w:rPr>
      </w:r>
    </w:p>
    <w:p>
      <w:pPr>
        <w:pStyle w:val="929"/>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rPr>
          <w:rFonts w:ascii="宋体"/>
          <w:bCs/>
          <w:color w:val="auto"/>
          <w:sz w:val="24"/>
          <w:szCs w:val="24"/>
          <w:highlight w:val="none"/>
        </w:rPr>
      </w:r>
      <w:r>
        <w:rPr>
          <w:color w:val="auto"/>
          <w:highlight w:val="none"/>
        </w:rPr>
      </w:r>
    </w:p>
    <w:p>
      <w:pPr>
        <w:pStyle w:val="929"/>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rPr>
          <w:color w:val="auto"/>
          <w:highlight w:val="none"/>
        </w:rPr>
      </w:r>
    </w:p>
    <w:p>
      <w:pPr>
        <w:pStyle w:val="929"/>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rPr>
          <w:color w:val="auto"/>
          <w:highlight w:val="none"/>
        </w:rPr>
      </w:r>
    </w:p>
    <w:p>
      <w:pPr>
        <w:pStyle w:val="929"/>
        <w:spacing w:line="360" w:lineRule="auto"/>
        <w:rPr>
          <w:rFonts w:hint="eastAsia"/>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 xml:space="preserve">七、承诺书（给定格式）：</w:t>
      </w:r>
      <w:r>
        <w:rPr>
          <w:color w:val="auto"/>
          <w:highlight w:val="none"/>
        </w:rPr>
      </w:r>
    </w:p>
    <w:p>
      <w:pPr>
        <w:pStyle w:val="929"/>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承诺书</w:t>
      </w:r>
      <w:r>
        <w:rPr>
          <w:color w:val="auto"/>
          <w:highlight w:val="none"/>
        </w:rPr>
      </w:r>
    </w:p>
    <w:p>
      <w:pPr>
        <w:pStyle w:val="929"/>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rPr>
        <w:t xml:space="preserve">针对本项目</w:t>
      </w:r>
      <w:r>
        <w:rPr>
          <w:rFonts w:hint="eastAsia" w:ascii="宋体" w:hAnsi="宋体"/>
          <w:bCs/>
          <w:color w:val="auto"/>
          <w:sz w:val="24"/>
          <w:szCs w:val="24"/>
          <w:highlight w:val="none"/>
        </w:rPr>
        <w:t xml:space="preserve">JSZC-320200-JZCG-G2024-0135</w:t>
      </w:r>
      <w:r>
        <w:rPr>
          <w:rFonts w:hint="eastAsia" w:ascii="宋体" w:hAnsi="宋体"/>
          <w:color w:val="auto"/>
          <w:sz w:val="24"/>
          <w:szCs w:val="24"/>
          <w:highlight w:val="none"/>
        </w:rPr>
        <w:t xml:space="preserve">在此承诺：</w:t>
      </w:r>
      <w:r>
        <w:rPr>
          <w:rFonts w:ascii="宋体" w:hAnsi="宋体"/>
          <w:color w:val="auto"/>
          <w:sz w:val="24"/>
          <w:szCs w:val="24"/>
          <w:highlight w:val="none"/>
        </w:rPr>
      </w:r>
      <w:r>
        <w:rPr>
          <w:color w:val="auto"/>
          <w:highlight w:val="none"/>
        </w:rPr>
      </w:r>
    </w:p>
    <w:p>
      <w:pPr>
        <w:pStyle w:val="929"/>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rPr>
        <w:t xml:space="preserve">所提供的货物均为原厂全新合格品，提供的服务符合招标文件要求。</w:t>
      </w:r>
      <w:r>
        <w:rPr>
          <w:rFonts w:ascii="宋体" w:hAnsi="宋体"/>
          <w:bCs/>
          <w:color w:val="auto"/>
          <w:sz w:val="24"/>
          <w:szCs w:val="24"/>
          <w:highlight w:val="none"/>
        </w:rPr>
      </w:r>
      <w:r>
        <w:rPr>
          <w:color w:val="auto"/>
          <w:highlight w:val="none"/>
        </w:rPr>
      </w:r>
    </w:p>
    <w:p>
      <w:pPr>
        <w:pStyle w:val="929"/>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2.本项目中如有</w:t>
      </w:r>
      <w:r>
        <w:rPr>
          <w:rFonts w:hint="eastAsia" w:ascii="宋体"/>
          <w:bCs/>
          <w:color w:val="auto"/>
          <w:sz w:val="24"/>
          <w:szCs w:val="24"/>
          <w:highlight w:val="none"/>
        </w:rPr>
        <w:t xml:space="preserve">涉及</w:t>
      </w:r>
      <w:r>
        <w:rPr>
          <w:rFonts w:hint="eastAsia" w:ascii="宋体"/>
          <w:bCs/>
          <w:color w:val="auto"/>
          <w:sz w:val="24"/>
          <w:szCs w:val="24"/>
          <w:highlight w:val="none"/>
        </w:rPr>
        <w:t xml:space="preserve">商品包装、快递包装要求的，本公司（单位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）对于中标产品的包装将严格按《关于印发〈商品包装政府采购需求标准（试行）〉、〈快递包装政府采购需求标准（试行）〉的通知》（财办库〔2020〕123号）文件执行。</w:t>
      </w:r>
      <w:r>
        <w:rPr>
          <w:color w:val="auto"/>
          <w:highlight w:val="none"/>
        </w:rPr>
      </w:r>
    </w:p>
    <w:p>
      <w:pPr>
        <w:pStyle w:val="929"/>
        <w:ind w:firstLine="480"/>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color w:val="auto"/>
          <w:highlight w:val="none"/>
        </w:rPr>
      </w:r>
    </w:p>
    <w:p>
      <w:pPr>
        <w:pStyle w:val="929"/>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将按规定执行国家和我省VOCs含量限制标准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w:t>
      </w:r>
      <w:r>
        <w:rPr>
          <w:rFonts w:hint="eastAsia" w:ascii="宋体" w:hAnsi="宋体"/>
          <w:bCs/>
          <w:color w:val="auto"/>
          <w:sz w:val="24"/>
          <w:szCs w:val="24"/>
          <w:highlight w:val="none"/>
        </w:rPr>
        <w:t xml:space="preserve">优先</w:t>
      </w:r>
      <w:r>
        <w:rPr>
          <w:rFonts w:hint="eastAsia" w:ascii="宋体" w:hAnsi="宋体"/>
          <w:bCs/>
          <w:color w:val="auto"/>
          <w:sz w:val="24"/>
          <w:szCs w:val="24"/>
          <w:highlight w:val="none"/>
        </w:rPr>
        <w:t xml:space="preserve">提供符合推荐性标准的涂料、胶黏剂、油墨、清洗剂等挥发性有机物产品或者在通用类货物、家具、印刷、公务车辆维修等采购项目中优先使用低挥发性原辅材料。</w:t>
      </w:r>
      <w:r>
        <w:rPr>
          <w:rFonts w:ascii="宋体" w:hAnsi="宋体"/>
          <w:bCs/>
          <w:color w:val="auto"/>
          <w:sz w:val="24"/>
          <w:szCs w:val="24"/>
          <w:highlight w:val="none"/>
        </w:rPr>
      </w:r>
      <w:r>
        <w:rPr>
          <w:color w:val="auto"/>
          <w:highlight w:val="none"/>
        </w:rPr>
      </w:r>
    </w:p>
    <w:p>
      <w:pPr>
        <w:pStyle w:val="929"/>
        <w:ind w:firstLine="480"/>
        <w:spacing w:line="480" w:lineRule="auto"/>
        <w:rPr>
          <w:rFonts w:hint="eastAsia"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bCs/>
          <w:color w:val="auto"/>
          <w:sz w:val="24"/>
          <w:szCs w:val="24"/>
          <w:highlight w:val="none"/>
        </w:rPr>
        <w:t xml:space="preserve">.</w:t>
      </w:r>
      <w:r>
        <w:rPr>
          <w:rFonts w:hint="eastAsia" w:ascii="宋体" w:hAnsi="宋体" w:cs="宋体"/>
          <w:color w:val="auto"/>
          <w:sz w:val="24"/>
          <w:szCs w:val="24"/>
          <w:highlight w:val="none"/>
        </w:rPr>
        <w:t xml:space="preserve">根据财库〔2023〕29号、30号、31号、32号、33号、34号、35号</w:t>
      </w:r>
      <w:r>
        <w:rPr>
          <w:rFonts w:hint="eastAsia" w:ascii="宋体" w:hAnsi="宋体" w:cs="宋体"/>
          <w:color w:val="auto"/>
          <w:sz w:val="24"/>
          <w:szCs w:val="24"/>
          <w:highlight w:val="none"/>
        </w:rPr>
        <w:t xml:space="preserve">（简称《需求标准》）</w:t>
      </w:r>
      <w:r>
        <w:rPr>
          <w:rFonts w:hint="eastAsia" w:ascii="宋体" w:hAnsi="宋体" w:cs="宋体"/>
          <w:color w:val="auto"/>
          <w:sz w:val="24"/>
          <w:szCs w:val="24"/>
          <w:highlight w:val="none"/>
        </w:rPr>
        <w:t xml:space="preserve">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w:t>
      </w:r>
      <w:r>
        <w:rPr>
          <w:rFonts w:hint="eastAsia" w:ascii="宋体"/>
          <w:bCs/>
          <w:color w:val="auto"/>
          <w:sz w:val="24"/>
          <w:szCs w:val="24"/>
          <w:highlight w:val="none"/>
        </w:rPr>
        <w:t xml:space="preserve">，</w:t>
      </w:r>
      <w:r>
        <w:rPr>
          <w:rFonts w:hint="eastAsia" w:ascii="宋体"/>
          <w:bCs/>
          <w:color w:val="auto"/>
          <w:sz w:val="24"/>
          <w:szCs w:val="24"/>
          <w:highlight w:val="none"/>
        </w:rPr>
        <w:t xml:space="preserve">且必要时将委托依法取得检测、认证资质的机构进行检测、认证的，本公司（单位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）将予以配合。</w:t>
      </w:r>
      <w:r>
        <w:rPr>
          <w:rFonts w:hint="eastAsia" w:ascii="宋体" w:hAnsi="宋体" w:cs="宋体"/>
          <w:color w:val="auto"/>
          <w:sz w:val="24"/>
          <w:szCs w:val="24"/>
          <w:highlight w:val="none"/>
        </w:rPr>
      </w:r>
      <w:r>
        <w:rPr>
          <w:color w:val="auto"/>
          <w:highlight w:val="none"/>
        </w:rPr>
      </w:r>
    </w:p>
    <w:p>
      <w:pPr>
        <w:pStyle w:val="929"/>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rPr>
          <w:color w:val="auto"/>
          <w:highlight w:val="none"/>
        </w:rPr>
      </w:r>
    </w:p>
    <w:p>
      <w:pPr>
        <w:pStyle w:val="929"/>
        <w:ind w:firstLine="480"/>
        <w:spacing w:line="480" w:lineRule="auto"/>
        <w:rPr>
          <w:rFonts w:hint="eastAsia"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w:t>
      </w:r>
      <w:r>
        <w:rPr>
          <w:rFonts w:hint="eastAsia" w:ascii="宋体"/>
          <w:bCs/>
          <w:color w:val="auto"/>
          <w:sz w:val="24"/>
          <w:szCs w:val="24"/>
          <w:highlight w:val="none"/>
        </w:rPr>
        <w:t xml:space="preserve">如</w:t>
      </w:r>
      <w:r>
        <w:rPr>
          <w:rFonts w:hint="eastAsia" w:ascii="宋体"/>
          <w:bCs/>
          <w:color w:val="auto"/>
          <w:sz w:val="24"/>
          <w:szCs w:val="24"/>
          <w:highlight w:val="none"/>
        </w:rPr>
        <w:t xml:space="preserve">有其他承诺的可在此处添加）</w:t>
      </w:r>
      <w:r>
        <w:rPr>
          <w:rFonts w:hint="eastAsia" w:ascii="宋体"/>
          <w:bCs/>
          <w:color w:val="auto"/>
          <w:sz w:val="24"/>
          <w:szCs w:val="24"/>
          <w:highlight w:val="none"/>
        </w:rPr>
      </w:r>
      <w:r>
        <w:rPr>
          <w:color w:val="auto"/>
          <w:highlight w:val="none"/>
        </w:rPr>
      </w:r>
    </w:p>
    <w:p>
      <w:pPr>
        <w:pStyle w:val="929"/>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rPr>
          <w:color w:val="auto"/>
          <w:highlight w:val="none"/>
        </w:rPr>
      </w:r>
    </w:p>
    <w:p>
      <w:pPr>
        <w:pStyle w:val="929"/>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rPr>
          <w:rFonts w:ascii="宋体" w:hAnsi="宋体"/>
          <w:color w:val="auto"/>
          <w:sz w:val="24"/>
          <w:szCs w:val="20"/>
          <w:highlight w:val="none"/>
        </w:rPr>
      </w:r>
      <w:r>
        <w:rPr>
          <w:color w:val="auto"/>
          <w:highlight w:val="none"/>
        </w:rPr>
      </w:r>
    </w:p>
    <w:p>
      <w:pPr>
        <w:pStyle w:val="929"/>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rPr>
          <w:color w:val="auto"/>
          <w:highlight w:val="none"/>
        </w:rPr>
      </w:r>
    </w:p>
    <w:p>
      <w:pPr>
        <w:pStyle w:val="929"/>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rPr>
          <w:rFonts w:ascii="宋体" w:hAnsi="宋体"/>
          <w:bCs/>
          <w:color w:val="auto"/>
          <w:sz w:val="24"/>
          <w:szCs w:val="24"/>
          <w:highlight w:val="none"/>
        </w:rPr>
      </w:r>
      <w:r>
        <w:rPr>
          <w:color w:val="auto"/>
          <w:highlight w:val="none"/>
        </w:rPr>
      </w:r>
    </w:p>
    <w:p>
      <w:pPr>
        <w:pStyle w:val="929"/>
        <w:rPr>
          <w:rFonts w:hint="eastAsia"/>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八、开标一览表（给定格式）：</w:t>
      </w:r>
      <w:r>
        <w:rPr>
          <w:color w:val="auto"/>
          <w:highlight w:val="none"/>
        </w:rPr>
      </w:r>
    </w:p>
    <w:p>
      <w:pPr>
        <w:pStyle w:val="929"/>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rPr>
          <w:color w:val="auto"/>
          <w:highlight w:val="none"/>
        </w:rPr>
      </w:r>
    </w:p>
    <w:p>
      <w:pPr>
        <w:pStyle w:val="929"/>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rPr>
          <w:rFonts w:ascii="黑体" w:eastAsia="黑体"/>
          <w:bCs/>
          <w:color w:val="auto"/>
          <w:sz w:val="28"/>
          <w:szCs w:val="28"/>
          <w:highlight w:val="none"/>
        </w:rPr>
      </w:r>
      <w:r>
        <w:rPr>
          <w:color w:val="auto"/>
          <w:highlight w:val="none"/>
        </w:rPr>
      </w:r>
    </w:p>
    <w:p>
      <w:pPr>
        <w:pStyle w:val="929"/>
        <w:jc w:val="center"/>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p>
    <w:p>
      <w:pPr>
        <w:pStyle w:val="929"/>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rPr>
        <w:t xml:space="preserve">JSZC-320200-JZCG-G2024-0135</w:t>
      </w:r>
      <w:r>
        <w:rPr>
          <w:rFonts w:ascii="黑体" w:eastAsia="黑体"/>
          <w:bCs/>
          <w:color w:val="auto"/>
          <w:sz w:val="24"/>
          <w:szCs w:val="24"/>
          <w:highlight w:val="none"/>
        </w:rPr>
      </w:r>
      <w:r>
        <w:rPr>
          <w:color w:val="auto"/>
          <w:highlight w:val="none"/>
        </w:rP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29"/>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rPr>
                <w:rFonts w:ascii="宋体"/>
                <w:b/>
                <w:bCs/>
                <w:color w:val="auto"/>
                <w:sz w:val="24"/>
                <w:szCs w:val="24"/>
                <w:highlight w:val="none"/>
              </w:rPr>
            </w:r>
            <w:r>
              <w:rPr>
                <w:color w:val="auto"/>
                <w:highlight w:val="none"/>
              </w:rPr>
            </w:r>
          </w:p>
        </w:tc>
        <w:tc>
          <w:tcPr>
            <w:tcW w:w="3188" w:type="dxa"/>
            <w:vAlign w:val="center"/>
            <w:textDirection w:val="lrTb"/>
            <w:noWrap w:val="false"/>
          </w:tcPr>
          <w:p>
            <w:pPr>
              <w:pStyle w:val="929"/>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rPr>
                <w:rFonts w:ascii="宋体"/>
                <w:b/>
                <w:bCs/>
                <w:color w:val="auto"/>
                <w:sz w:val="24"/>
                <w:szCs w:val="24"/>
                <w:highlight w:val="none"/>
              </w:rPr>
            </w:r>
            <w:r>
              <w:rPr>
                <w:color w:val="auto"/>
                <w:highlight w:val="none"/>
              </w:rPr>
            </w:r>
          </w:p>
        </w:tc>
      </w:tr>
      <w:tr>
        <w:trPr>
          <w:cantSplit/>
          <w:trHeight w:val="1630"/>
        </w:trPr>
        <w:tc>
          <w:tcPr>
            <w:tcW w:w="5697" w:type="dxa"/>
            <w:vAlign w:val="center"/>
            <w:textDirection w:val="lrTb"/>
            <w:noWrap w:val="false"/>
          </w:tcPr>
          <w:p>
            <w:pPr>
              <w:pStyle w:val="1043"/>
              <w:jc w:val="center"/>
              <w:spacing w:line="400" w:lineRule="exact"/>
              <w:rPr>
                <w:rFonts w:hAnsi="宋体"/>
                <w:bCs/>
                <w:color w:val="auto"/>
                <w:szCs w:val="24"/>
                <w:highlight w:val="none"/>
              </w:rPr>
            </w:pPr>
            <w:r>
              <w:rPr>
                <w:rFonts w:hint="eastAsia" w:hAnsi="宋体"/>
                <w:bCs/>
                <w:color w:val="auto"/>
                <w:szCs w:val="24"/>
                <w:highlight w:val="none"/>
              </w:rPr>
              <w:t xml:space="preserve">数字化校园管理提升项目</w:t>
            </w:r>
            <w:r>
              <w:rPr>
                <w:rFonts w:hAnsi="宋体"/>
                <w:bCs/>
                <w:color w:val="auto"/>
                <w:szCs w:val="24"/>
                <w:highlight w:val="none"/>
              </w:rPr>
            </w:r>
            <w:r>
              <w:rPr>
                <w:color w:val="auto"/>
                <w:highlight w:val="none"/>
              </w:rPr>
            </w:r>
          </w:p>
        </w:tc>
        <w:tc>
          <w:tcPr>
            <w:tcW w:w="3188" w:type="dxa"/>
            <w:vAlign w:val="center"/>
            <w:textDirection w:val="lrTb"/>
            <w:noWrap w:val="false"/>
          </w:tcPr>
          <w:p>
            <w:pPr>
              <w:pStyle w:val="1043"/>
              <w:rPr>
                <w:rFonts w:hAnsi="宋体"/>
                <w:b/>
                <w:color w:val="auto"/>
                <w:szCs w:val="24"/>
                <w:highlight w:val="none"/>
              </w:rPr>
            </w:pPr>
            <w:r>
              <w:rPr>
                <w:rFonts w:hAnsi="宋体"/>
                <w:b/>
                <w:color w:val="auto"/>
                <w:szCs w:val="24"/>
                <w:highlight w:val="none"/>
              </w:rPr>
            </w:r>
            <w:r>
              <w:rPr>
                <w:color w:val="auto"/>
                <w:highlight w:val="none"/>
              </w:rPr>
            </w:r>
          </w:p>
        </w:tc>
      </w:tr>
      <w:tr>
        <w:trPr>
          <w:cantSplit/>
          <w:trHeight w:val="780"/>
        </w:trPr>
        <w:tc>
          <w:tcPr>
            <w:gridSpan w:val="2"/>
            <w:tcW w:w="8885" w:type="dxa"/>
            <w:vAlign w:val="center"/>
            <w:textDirection w:val="lrTb"/>
            <w:noWrap w:val="false"/>
          </w:tcPr>
          <w:p>
            <w:pPr>
              <w:pStyle w:val="929"/>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rPr>
                <w:rFonts w:ascii="宋体"/>
                <w:bCs/>
                <w:color w:val="auto"/>
                <w:sz w:val="24"/>
                <w:szCs w:val="24"/>
                <w:highlight w:val="none"/>
              </w:rPr>
            </w:r>
            <w:r>
              <w:rPr>
                <w:color w:val="auto"/>
                <w:highlight w:val="none"/>
              </w:rPr>
            </w:r>
          </w:p>
        </w:tc>
      </w:tr>
    </w:tbl>
    <w:p>
      <w:pPr>
        <w:pStyle w:val="929"/>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rPr>
          <w:color w:val="auto"/>
          <w:highlight w:val="none"/>
        </w:rPr>
      </w:r>
    </w:p>
    <w:p>
      <w:pPr>
        <w:pStyle w:val="929"/>
        <w:spacing w:line="360" w:lineRule="auto"/>
        <w:rPr>
          <w:rFonts w:hint="eastAsia"/>
          <w:b/>
          <w:color w:val="auto"/>
          <w:sz w:val="28"/>
          <w:szCs w:val="28"/>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r>
        <w:rPr>
          <w:color w:val="auto"/>
          <w:highlight w:val="none"/>
        </w:rPr>
      </w:r>
    </w:p>
    <w:p>
      <w:pPr>
        <w:pStyle w:val="929"/>
        <w:spacing w:line="360" w:lineRule="auto"/>
        <w:rPr>
          <w:rFonts w:hint="eastAsia"/>
          <w:b/>
          <w:color w:val="auto"/>
          <w:sz w:val="30"/>
          <w:szCs w:val="30"/>
          <w:highlight w:val="none"/>
        </w:rPr>
      </w:pPr>
      <w:r>
        <w:rPr>
          <w:rFonts w:hint="eastAsia"/>
          <w:b/>
          <w:color w:val="auto"/>
          <w:sz w:val="30"/>
          <w:szCs w:val="30"/>
          <w:highlight w:val="none"/>
        </w:rPr>
      </w:r>
      <w:r>
        <w:rPr>
          <w:color w:val="auto"/>
          <w:highlight w:val="none"/>
        </w:rPr>
      </w:r>
    </w:p>
    <w:p>
      <w:pPr>
        <w:pStyle w:val="929"/>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分项报价表</w:t>
      </w:r>
      <w:r>
        <w:rPr>
          <w:rFonts w:ascii="黑体" w:eastAsia="黑体"/>
          <w:bCs/>
          <w:color w:val="auto"/>
          <w:sz w:val="28"/>
          <w:szCs w:val="28"/>
          <w:highlight w:val="none"/>
        </w:rPr>
      </w:r>
      <w:r>
        <w:rPr>
          <w:color w:val="auto"/>
          <w:highlight w:val="none"/>
        </w:rPr>
      </w:r>
    </w:p>
    <w:p>
      <w:pPr>
        <w:pStyle w:val="929"/>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rPr>
        <w:t xml:space="preserve">JSZC-320200-JZCG-G2024-0135</w:t>
      </w:r>
      <w:r>
        <w:rPr>
          <w:rFonts w:ascii="黑体" w:eastAsia="黑体"/>
          <w:bCs/>
          <w:color w:val="auto"/>
          <w:sz w:val="24"/>
          <w:szCs w:val="24"/>
          <w:highlight w:val="none"/>
        </w:rPr>
      </w:r>
      <w:r>
        <w:rPr>
          <w:color w:val="auto"/>
          <w:highlight w:val="none"/>
        </w:rPr>
      </w:r>
    </w:p>
    <w:tbl>
      <w:tblPr>
        <w:tblW w:w="94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929"/>
              <w:jc w:val="center"/>
              <w:spacing w:before="5"/>
              <w:rPr>
                <w:color w:val="auto"/>
                <w:sz w:val="18"/>
                <w:highlight w:val="none"/>
              </w:rPr>
            </w:pPr>
            <w:r>
              <w:rPr>
                <w:rFonts w:hint="eastAsia"/>
                <w:color w:val="auto"/>
                <w:sz w:val="18"/>
                <w:highlight w:val="none"/>
              </w:rPr>
              <w:t xml:space="preserve">序号</w:t>
            </w:r>
            <w:r>
              <w:rPr>
                <w:color w:val="auto"/>
                <w:sz w:val="18"/>
                <w:highlight w:val="none"/>
              </w:rPr>
            </w:r>
            <w:r>
              <w:rPr>
                <w:color w:val="auto"/>
                <w:highlight w:val="none"/>
              </w:rPr>
            </w:r>
          </w:p>
        </w:tc>
        <w:tc>
          <w:tcPr>
            <w:tcMar>
              <w:left w:w="15" w:type="dxa"/>
              <w:top w:w="15" w:type="dxa"/>
              <w:right w:w="15" w:type="dxa"/>
              <w:bottom w:w="0" w:type="dxa"/>
            </w:tcMar>
            <w:tcW w:w="4930" w:type="dxa"/>
            <w:vAlign w:val="center"/>
            <w:textDirection w:val="lrTb"/>
            <w:noWrap/>
          </w:tcPr>
          <w:p>
            <w:pPr>
              <w:pStyle w:val="929"/>
              <w:jc w:val="center"/>
              <w:spacing w:before="5"/>
              <w:rPr>
                <w:color w:val="auto"/>
                <w:sz w:val="18"/>
                <w:highlight w:val="none"/>
              </w:rPr>
            </w:pPr>
            <w:r>
              <w:rPr>
                <w:color w:val="auto"/>
                <w:sz w:val="18"/>
                <w:highlight w:val="none"/>
              </w:rPr>
              <w:t xml:space="preserve">服务内容</w:t>
            </w:r>
            <w:r>
              <w:rPr>
                <w:color w:val="auto"/>
                <w:highlight w:val="none"/>
              </w:rPr>
            </w:r>
          </w:p>
        </w:tc>
        <w:tc>
          <w:tcPr>
            <w:tcW w:w="851" w:type="dxa"/>
            <w:vAlign w:val="center"/>
            <w:textDirection w:val="lrTb"/>
            <w:noWrap w:val="false"/>
          </w:tcPr>
          <w:p>
            <w:pPr>
              <w:pStyle w:val="929"/>
              <w:jc w:val="center"/>
              <w:spacing w:before="5"/>
              <w:rPr>
                <w:color w:val="auto"/>
                <w:sz w:val="18"/>
                <w:highlight w:val="none"/>
              </w:rPr>
            </w:pPr>
            <w:r>
              <w:rPr>
                <w:rFonts w:hint="eastAsia"/>
                <w:color w:val="auto"/>
                <w:sz w:val="18"/>
                <w:highlight w:val="none"/>
              </w:rPr>
              <w:t xml:space="preserve">数量</w:t>
            </w:r>
            <w:r>
              <w:rPr>
                <w:color w:val="auto"/>
                <w:sz w:val="18"/>
                <w:highlight w:val="none"/>
              </w:rPr>
            </w:r>
            <w:r>
              <w:rPr>
                <w:color w:val="auto"/>
                <w:highlight w:val="none"/>
              </w:rPr>
            </w:r>
          </w:p>
        </w:tc>
        <w:tc>
          <w:tcPr>
            <w:tcMar>
              <w:left w:w="15" w:type="dxa"/>
              <w:top w:w="15" w:type="dxa"/>
              <w:right w:w="15" w:type="dxa"/>
              <w:bottom w:w="0" w:type="dxa"/>
            </w:tcMar>
            <w:tcW w:w="850" w:type="dxa"/>
            <w:vAlign w:val="center"/>
            <w:textDirection w:val="lrTb"/>
            <w:noWrap/>
          </w:tcPr>
          <w:p>
            <w:pPr>
              <w:pStyle w:val="929"/>
              <w:jc w:val="center"/>
              <w:spacing w:before="5"/>
              <w:rPr>
                <w:color w:val="auto"/>
                <w:sz w:val="18"/>
                <w:highlight w:val="none"/>
              </w:rPr>
            </w:pPr>
            <w:r>
              <w:rPr>
                <w:rFonts w:hint="eastAsia"/>
                <w:color w:val="auto"/>
                <w:sz w:val="18"/>
                <w:highlight w:val="none"/>
              </w:rPr>
              <w:t xml:space="preserve">单位</w:t>
            </w:r>
            <w:r>
              <w:rPr>
                <w:color w:val="auto"/>
                <w:sz w:val="18"/>
                <w:highlight w:val="none"/>
              </w:rPr>
            </w:r>
            <w:r>
              <w:rPr>
                <w:color w:val="auto"/>
                <w:highlight w:val="none"/>
              </w:rPr>
            </w:r>
          </w:p>
        </w:tc>
        <w:tc>
          <w:tcPr>
            <w:tcW w:w="1134" w:type="dxa"/>
            <w:vAlign w:val="center"/>
            <w:textDirection w:val="lrTb"/>
            <w:noWrap w:val="false"/>
          </w:tcPr>
          <w:p>
            <w:pPr>
              <w:pStyle w:val="929"/>
              <w:jc w:val="center"/>
              <w:spacing w:before="5"/>
              <w:rPr>
                <w:color w:val="auto"/>
                <w:sz w:val="18"/>
                <w:highlight w:val="none"/>
              </w:rPr>
            </w:pPr>
            <w:r>
              <w:rPr>
                <w:rFonts w:hint="eastAsia"/>
                <w:color w:val="auto"/>
                <w:sz w:val="18"/>
                <w:highlight w:val="none"/>
              </w:rPr>
              <w:t xml:space="preserve">单报价</w:t>
            </w:r>
            <w:r>
              <w:rPr>
                <w:color w:val="auto"/>
                <w:sz w:val="18"/>
                <w:highlight w:val="none"/>
              </w:rPr>
            </w:r>
            <w:r>
              <w:rPr>
                <w:color w:val="auto"/>
                <w:highlight w:val="none"/>
              </w:rPr>
            </w:r>
          </w:p>
        </w:tc>
        <w:tc>
          <w:tcPr>
            <w:tcW w:w="1276" w:type="dxa"/>
            <w:vAlign w:val="center"/>
            <w:textDirection w:val="lrTb"/>
            <w:noWrap w:val="false"/>
          </w:tcPr>
          <w:p>
            <w:pPr>
              <w:pStyle w:val="929"/>
              <w:jc w:val="center"/>
              <w:spacing w:before="5"/>
              <w:rPr>
                <w:color w:val="auto"/>
                <w:sz w:val="18"/>
                <w:highlight w:val="none"/>
              </w:rPr>
            </w:pPr>
            <w:r>
              <w:rPr>
                <w:rFonts w:hint="eastAsia"/>
                <w:color w:val="auto"/>
                <w:sz w:val="18"/>
                <w:highlight w:val="none"/>
              </w:rPr>
              <w:t xml:space="preserve">分项总报价</w:t>
            </w:r>
            <w:r>
              <w:rPr>
                <w:color w:val="auto"/>
                <w:sz w:val="18"/>
                <w:highlight w:val="none"/>
              </w:rPr>
            </w:r>
            <w:r>
              <w:rPr>
                <w:color w:val="auto"/>
                <w:highlight w:val="none"/>
              </w:rPr>
            </w:r>
          </w:p>
        </w:tc>
      </w:tr>
      <w:tr>
        <w:trPr>
          <w:cantSplit/>
          <w:trHeight w:val="717"/>
        </w:trPr>
        <w:tc>
          <w:tcPr>
            <w:tcMar>
              <w:left w:w="15" w:type="dxa"/>
              <w:top w:w="15" w:type="dxa"/>
              <w:right w:w="15" w:type="dxa"/>
              <w:bottom w:w="0" w:type="dxa"/>
            </w:tcMar>
            <w:tcW w:w="420" w:type="dxa"/>
            <w:vAlign w:val="center"/>
            <w:textDirection w:val="lrTb"/>
            <w:noWrap/>
          </w:tcPr>
          <w:p>
            <w:pPr>
              <w:pStyle w:val="979"/>
              <w:spacing w:before="5"/>
              <w:tabs>
                <w:tab w:val="clear" w:pos="4153" w:leader="none"/>
                <w:tab w:val="clear" w:pos="8306" w:leader="none"/>
              </w:tabs>
              <w:rPr>
                <w:rFonts w:ascii="宋体"/>
                <w:color w:val="auto"/>
                <w:highlight w:val="none"/>
              </w:rPr>
              <w:pBdr>
                <w:bottom w:val="none" w:color="000000" w:sz="0" w:space="0"/>
              </w:pBdr>
            </w:pPr>
            <w:r>
              <w:rPr>
                <w:rFonts w:hint="eastAsia" w:ascii="宋体"/>
                <w:color w:val="auto"/>
                <w:highlight w:val="none"/>
                <w:lang w:val="en-US" w:eastAsia="zh-CN"/>
              </w:rPr>
              <w:t xml:space="preserve">1</w:t>
            </w:r>
            <w:r>
              <w:rPr>
                <w:rFonts w:ascii="宋体"/>
                <w:color w:val="auto"/>
                <w:highlight w:val="none"/>
                <w:lang w:val="en-US" w:eastAsia="zh-CN"/>
              </w:rPr>
            </w:r>
            <w:r>
              <w:rPr>
                <w:color w:val="auto"/>
                <w:highlight w:val="none"/>
              </w:rPr>
            </w:r>
          </w:p>
        </w:tc>
        <w:tc>
          <w:tcPr>
            <w:tcMar>
              <w:left w:w="15" w:type="dxa"/>
              <w:top w:w="15" w:type="dxa"/>
              <w:right w:w="15" w:type="dxa"/>
              <w:bottom w:w="0" w:type="dxa"/>
            </w:tcMar>
            <w:tcW w:w="4930" w:type="dxa"/>
            <w:vAlign w:val="center"/>
            <w:textDirection w:val="lrTb"/>
            <w:noWrap/>
          </w:tcPr>
          <w:p>
            <w:pPr>
              <w:pStyle w:val="929"/>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rFonts w:ascii="黑体" w:hAnsi="宋体" w:eastAsia="黑体"/>
                <w:b/>
                <w:bCs/>
                <w:color w:val="auto"/>
                <w:sz w:val="24"/>
                <w:szCs w:val="24"/>
                <w:highlight w:val="none"/>
              </w:rPr>
            </w:r>
            <w:r>
              <w:rPr>
                <w:color w:val="auto"/>
                <w:highlight w:val="none"/>
              </w:rPr>
            </w:r>
          </w:p>
        </w:tc>
        <w:tc>
          <w:tcPr>
            <w:tcW w:w="851" w:type="dxa"/>
            <w:vAlign w:val="center"/>
            <w:textDirection w:val="lrTb"/>
            <w:noWrap w:val="false"/>
          </w:tcPr>
          <w:p>
            <w:pPr>
              <w:pStyle w:val="929"/>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Mar>
              <w:left w:w="15" w:type="dxa"/>
              <w:top w:w="15" w:type="dxa"/>
              <w:right w:w="15" w:type="dxa"/>
              <w:bottom w:w="0" w:type="dxa"/>
            </w:tcMar>
            <w:tcW w:w="850" w:type="dxa"/>
            <w:vAlign w:val="center"/>
            <w:textDirection w:val="lrTb"/>
            <w:noWrap/>
          </w:tcPr>
          <w:p>
            <w:pPr>
              <w:pStyle w:val="929"/>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rFonts w:ascii="黑体" w:hAnsi="宋体" w:eastAsia="黑体"/>
                <w:b/>
                <w:bCs/>
                <w:color w:val="auto"/>
                <w:sz w:val="24"/>
                <w:szCs w:val="24"/>
                <w:highlight w:val="none"/>
              </w:rPr>
            </w:r>
            <w:r>
              <w:rPr>
                <w:color w:val="auto"/>
                <w:highlight w:val="none"/>
              </w:rPr>
            </w:r>
          </w:p>
        </w:tc>
        <w:tc>
          <w:tcPr>
            <w:tcW w:w="1134" w:type="dxa"/>
            <w:vAlign w:val="center"/>
            <w:textDirection w:val="lrTb"/>
            <w:noWrap w:val="false"/>
          </w:tcPr>
          <w:p>
            <w:pPr>
              <w:pStyle w:val="929"/>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W w:w="1276" w:type="dxa"/>
            <w:vAlign w:val="center"/>
            <w:textDirection w:val="lrTb"/>
            <w:noWrap w:val="false"/>
          </w:tcPr>
          <w:p>
            <w:pPr>
              <w:pStyle w:val="929"/>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r>
      <w:tr>
        <w:trPr>
          <w:cantSplit/>
          <w:trHeight w:val="898"/>
        </w:trPr>
        <w:tc>
          <w:tcPr>
            <w:tcMar>
              <w:left w:w="15" w:type="dxa"/>
              <w:top w:w="15" w:type="dxa"/>
              <w:right w:w="15" w:type="dxa"/>
              <w:bottom w:w="0" w:type="dxa"/>
            </w:tcMar>
            <w:tcW w:w="420" w:type="dxa"/>
            <w:vAlign w:val="center"/>
            <w:textDirection w:val="lrTb"/>
            <w:noWrap/>
          </w:tcPr>
          <w:p>
            <w:pPr>
              <w:pStyle w:val="929"/>
              <w:jc w:val="center"/>
              <w:rPr>
                <w:rFonts w:ascii="宋体"/>
                <w:color w:val="auto"/>
                <w:sz w:val="18"/>
                <w:highlight w:val="none"/>
              </w:rPr>
            </w:pPr>
            <w:r>
              <w:rPr>
                <w:rFonts w:hint="eastAsia" w:ascii="宋体"/>
                <w:color w:val="auto"/>
                <w:sz w:val="18"/>
                <w:highlight w:val="none"/>
              </w:rPr>
              <w:t xml:space="preserve">2</w:t>
            </w:r>
            <w:r>
              <w:rPr>
                <w:rFonts w:ascii="宋体"/>
                <w:color w:val="auto"/>
                <w:sz w:val="18"/>
                <w:highlight w:val="none"/>
              </w:rPr>
            </w:r>
            <w:r>
              <w:rPr>
                <w:color w:val="auto"/>
                <w:highlight w:val="none"/>
              </w:rPr>
            </w:r>
          </w:p>
        </w:tc>
        <w:tc>
          <w:tcPr>
            <w:tcMar>
              <w:left w:w="15" w:type="dxa"/>
              <w:top w:w="15" w:type="dxa"/>
              <w:right w:w="15" w:type="dxa"/>
              <w:bottom w:w="0" w:type="dxa"/>
            </w:tcMar>
            <w:tcW w:w="4930" w:type="dxa"/>
            <w:vAlign w:val="center"/>
            <w:textDirection w:val="lrTb"/>
            <w:noWrap/>
          </w:tcPr>
          <w:p>
            <w:pPr>
              <w:pStyle w:val="929"/>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rFonts w:ascii="黑体" w:hAnsi="宋体" w:eastAsia="黑体"/>
                <w:b/>
                <w:bCs/>
                <w:color w:val="auto"/>
                <w:sz w:val="24"/>
                <w:szCs w:val="24"/>
                <w:highlight w:val="none"/>
              </w:rPr>
            </w:r>
            <w:r>
              <w:rPr>
                <w:color w:val="auto"/>
                <w:highlight w:val="none"/>
              </w:rPr>
            </w:r>
          </w:p>
        </w:tc>
        <w:tc>
          <w:tcPr>
            <w:tcW w:w="851" w:type="dxa"/>
            <w:vAlign w:val="center"/>
            <w:textDirection w:val="lrTb"/>
            <w:noWrap w:val="false"/>
          </w:tcPr>
          <w:p>
            <w:pPr>
              <w:pStyle w:val="929"/>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Mar>
              <w:left w:w="15" w:type="dxa"/>
              <w:top w:w="15" w:type="dxa"/>
              <w:right w:w="15" w:type="dxa"/>
              <w:bottom w:w="0" w:type="dxa"/>
            </w:tcMar>
            <w:tcW w:w="850" w:type="dxa"/>
            <w:vAlign w:val="center"/>
            <w:textDirection w:val="lrTb"/>
            <w:noWrap/>
          </w:tcPr>
          <w:p>
            <w:pPr>
              <w:pStyle w:val="929"/>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rFonts w:ascii="黑体" w:hAnsi="宋体" w:eastAsia="黑体"/>
                <w:b/>
                <w:bCs/>
                <w:color w:val="auto"/>
                <w:sz w:val="24"/>
                <w:szCs w:val="24"/>
                <w:highlight w:val="none"/>
              </w:rPr>
            </w:r>
            <w:r>
              <w:rPr>
                <w:color w:val="auto"/>
                <w:highlight w:val="none"/>
              </w:rPr>
            </w:r>
          </w:p>
        </w:tc>
        <w:tc>
          <w:tcPr>
            <w:tcW w:w="1134" w:type="dxa"/>
            <w:vAlign w:val="center"/>
            <w:textDirection w:val="lrTb"/>
            <w:noWrap w:val="false"/>
          </w:tcPr>
          <w:p>
            <w:pPr>
              <w:pStyle w:val="929"/>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W w:w="1276" w:type="dxa"/>
            <w:vAlign w:val="center"/>
            <w:textDirection w:val="lrTb"/>
            <w:noWrap w:val="false"/>
          </w:tcPr>
          <w:p>
            <w:pPr>
              <w:pStyle w:val="929"/>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r>
      <w:tr>
        <w:trPr>
          <w:cantSplit/>
          <w:trHeight w:val="898"/>
        </w:trPr>
        <w:tc>
          <w:tcPr>
            <w:tcMar>
              <w:left w:w="15" w:type="dxa"/>
              <w:top w:w="15" w:type="dxa"/>
              <w:right w:w="15" w:type="dxa"/>
              <w:bottom w:w="0" w:type="dxa"/>
            </w:tcMar>
            <w:tcW w:w="420" w:type="dxa"/>
            <w:vAlign w:val="center"/>
            <w:textDirection w:val="lrTb"/>
            <w:noWrap/>
          </w:tcPr>
          <w:p>
            <w:pPr>
              <w:pStyle w:val="929"/>
              <w:jc w:val="center"/>
              <w:rPr>
                <w:rFonts w:ascii="宋体"/>
                <w:color w:val="auto"/>
                <w:sz w:val="18"/>
                <w:highlight w:val="none"/>
              </w:rPr>
            </w:pPr>
            <w:r>
              <w:rPr>
                <w:rFonts w:ascii="宋体"/>
                <w:color w:val="auto"/>
                <w:sz w:val="18"/>
                <w:highlight w:val="none"/>
              </w:rPr>
            </w:r>
            <w:r>
              <w:rPr>
                <w:color w:val="auto"/>
                <w:highlight w:val="none"/>
              </w:rPr>
            </w:r>
          </w:p>
        </w:tc>
        <w:tc>
          <w:tcPr>
            <w:tcMar>
              <w:left w:w="15" w:type="dxa"/>
              <w:top w:w="15" w:type="dxa"/>
              <w:right w:w="15" w:type="dxa"/>
              <w:bottom w:w="0" w:type="dxa"/>
            </w:tcMar>
            <w:tcW w:w="4930" w:type="dxa"/>
            <w:vAlign w:val="center"/>
            <w:textDirection w:val="lrTb"/>
            <w:noWrap/>
          </w:tcPr>
          <w:p>
            <w:pPr>
              <w:pStyle w:val="929"/>
              <w:jc w:val="center"/>
              <w:rPr>
                <w:rFonts w:hint="eastAsia" w:ascii="黑体" w:eastAsia="黑体"/>
                <w:b/>
                <w:bCs/>
                <w:color w:val="auto"/>
                <w:highlight w:val="none"/>
              </w:rPr>
            </w:pPr>
            <w:r>
              <w:rPr>
                <w:rFonts w:ascii="黑体" w:eastAsia="黑体"/>
                <w:b/>
                <w:bCs/>
                <w:color w:val="auto"/>
                <w:highlight w:val="none"/>
              </w:rPr>
              <w:t xml:space="preserve">……</w:t>
            </w:r>
            <w:r>
              <w:rPr>
                <w:rFonts w:hint="eastAsia" w:ascii="黑体" w:eastAsia="黑体"/>
                <w:b/>
                <w:bCs/>
                <w:color w:val="auto"/>
                <w:highlight w:val="none"/>
              </w:rPr>
            </w:r>
            <w:r>
              <w:rPr>
                <w:color w:val="auto"/>
                <w:highlight w:val="none"/>
              </w:rPr>
            </w:r>
          </w:p>
        </w:tc>
        <w:tc>
          <w:tcPr>
            <w:tcW w:w="851" w:type="dxa"/>
            <w:vAlign w:val="center"/>
            <w:textDirection w:val="lrTb"/>
            <w:noWrap w:val="false"/>
          </w:tcPr>
          <w:p>
            <w:pPr>
              <w:pStyle w:val="929"/>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Mar>
              <w:left w:w="15" w:type="dxa"/>
              <w:top w:w="15" w:type="dxa"/>
              <w:right w:w="15" w:type="dxa"/>
              <w:bottom w:w="0" w:type="dxa"/>
            </w:tcMar>
            <w:tcW w:w="850" w:type="dxa"/>
            <w:vAlign w:val="center"/>
            <w:textDirection w:val="lrTb"/>
            <w:noWrap/>
          </w:tcPr>
          <w:p>
            <w:pPr>
              <w:pStyle w:val="929"/>
              <w:jc w:val="center"/>
              <w:rPr>
                <w:rFonts w:hint="eastAsia" w:ascii="黑体" w:eastAsia="黑体"/>
                <w:b/>
                <w:bCs/>
                <w:color w:val="auto"/>
                <w:highlight w:val="none"/>
              </w:rPr>
            </w:pPr>
            <w:r>
              <w:rPr>
                <w:rFonts w:hint="eastAsia" w:ascii="黑体" w:eastAsia="黑体"/>
                <w:b/>
                <w:bCs/>
                <w:color w:val="auto"/>
                <w:highlight w:val="none"/>
              </w:rPr>
            </w:r>
            <w:r>
              <w:rPr>
                <w:color w:val="auto"/>
                <w:highlight w:val="none"/>
              </w:rPr>
            </w:r>
          </w:p>
        </w:tc>
        <w:tc>
          <w:tcPr>
            <w:tcW w:w="1134" w:type="dxa"/>
            <w:vAlign w:val="center"/>
            <w:textDirection w:val="lrTb"/>
            <w:noWrap w:val="false"/>
          </w:tcPr>
          <w:p>
            <w:pPr>
              <w:pStyle w:val="929"/>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W w:w="1276" w:type="dxa"/>
            <w:vAlign w:val="center"/>
            <w:textDirection w:val="lrTb"/>
            <w:noWrap w:val="false"/>
          </w:tcPr>
          <w:p>
            <w:pPr>
              <w:pStyle w:val="929"/>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r>
    </w:tbl>
    <w:p>
      <w:pPr>
        <w:pStyle w:val="929"/>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rPr>
          <w:b/>
          <w:bCs/>
          <w:color w:val="auto"/>
          <w:sz w:val="24"/>
          <w:szCs w:val="24"/>
          <w:highlight w:val="none"/>
        </w:rPr>
      </w:r>
      <w:r>
        <w:rPr>
          <w:color w:val="auto"/>
          <w:highlight w:val="none"/>
        </w:rPr>
      </w:r>
    </w:p>
    <w:p>
      <w:pPr>
        <w:pStyle w:val="929"/>
        <w:spacing w:line="400" w:lineRule="exact"/>
        <w:rPr>
          <w:rFonts w:hint="eastAsia" w:ascii="宋体" w:hAnsi="宋体"/>
          <w:b/>
          <w:color w:val="auto"/>
          <w:highlight w:val="none"/>
        </w:rPr>
        <w:outlineLvl w:val="0"/>
      </w:pPr>
      <w:r>
        <w:rPr>
          <w:rFonts w:hint="eastAsia" w:ascii="宋体" w:hAnsi="宋体"/>
          <w:b/>
          <w:color w:val="auto"/>
          <w:highlight w:val="none"/>
        </w:rPr>
      </w:r>
      <w:r>
        <w:rPr>
          <w:color w:val="auto"/>
          <w:highlight w:val="none"/>
        </w:rPr>
      </w:r>
    </w:p>
    <w:p>
      <w:pPr>
        <w:pStyle w:val="929"/>
        <w:spacing w:line="400" w:lineRule="exact"/>
        <w:rPr>
          <w:rFonts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auto"/>
          <w:highlight w:val="none"/>
        </w:rPr>
      </w:r>
      <w:r>
        <w:rPr>
          <w:color w:val="auto"/>
          <w:highlight w:val="none"/>
        </w:rPr>
      </w:r>
    </w:p>
    <w:p>
      <w:pPr>
        <w:pStyle w:val="929"/>
        <w:ind w:firstLine="315"/>
        <w:spacing w:line="400" w:lineRule="exact"/>
        <w:rPr>
          <w:rFonts w:asci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）投标人应当根据“</w:t>
      </w:r>
      <w:r>
        <w:rPr>
          <w:rFonts w:hint="eastAsia" w:ascii="宋体" w:hAnsi="宋体"/>
          <w:bCs/>
          <w:color w:val="auto"/>
          <w:highlight w:val="none"/>
        </w:rPr>
        <w:t xml:space="preserve">采购需求</w:t>
      </w:r>
      <w:r>
        <w:rPr>
          <w:rFonts w:hint="eastAsia" w:ascii="宋体" w:hAnsi="宋体"/>
          <w:bCs/>
          <w:color w:val="auto"/>
          <w:highlight w:val="none"/>
        </w:rPr>
        <w:t xml:space="preserve">”的内容在上表中详细填写；</w:t>
      </w:r>
      <w:r>
        <w:rPr>
          <w:rFonts w:ascii="宋体"/>
          <w:bCs/>
          <w:color w:val="auto"/>
          <w:highlight w:val="none"/>
        </w:rPr>
      </w:r>
      <w:r>
        <w:rPr>
          <w:color w:val="auto"/>
          <w:highlight w:val="none"/>
        </w:rPr>
      </w:r>
    </w:p>
    <w:p>
      <w:pPr>
        <w:pStyle w:val="929"/>
        <w:ind w:firstLine="315"/>
        <w:spacing w:line="400" w:lineRule="exact"/>
        <w:rPr>
          <w:rFonts w:ascii="宋体" w:hAns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3</w:t>
      </w:r>
      <w:r>
        <w:rPr>
          <w:rFonts w:hint="eastAsia" w:ascii="宋体" w:hAnsi="宋体"/>
          <w:bCs/>
          <w:color w:val="auto"/>
          <w:highlight w:val="none"/>
        </w:rPr>
        <w:t xml:space="preserve">）表格不够可自行延长。</w:t>
      </w:r>
      <w:r>
        <w:rPr>
          <w:rFonts w:ascii="宋体" w:hAnsi="宋体"/>
          <w:bCs/>
          <w:color w:val="auto"/>
          <w:highlight w:val="none"/>
        </w:rPr>
      </w:r>
      <w:r>
        <w:rPr>
          <w:color w:val="auto"/>
          <w:highlight w:val="none"/>
        </w:rPr>
      </w:r>
    </w:p>
    <w:p>
      <w:pPr>
        <w:pStyle w:val="929"/>
        <w:spacing w:line="400" w:lineRule="exact"/>
        <w:rPr>
          <w:rFonts w:hint="eastAsia"/>
          <w:b/>
          <w:color w:val="auto"/>
          <w:sz w:val="28"/>
          <w:szCs w:val="28"/>
          <w:highlight w:val="none"/>
        </w:rPr>
        <w:outlineLvl w:val="0"/>
      </w:pPr>
      <w:r>
        <w:rPr>
          <w:rFonts w:ascii="宋体" w:hAnsi="宋体"/>
          <w:bCs/>
          <w:color w:val="auto"/>
          <w:highlight w:val="none"/>
        </w:rPr>
        <w:br w:type="page" w:clear="all"/>
      </w:r>
      <w:bookmarkEnd w:id="195"/>
      <w:r>
        <w:rPr>
          <w:color w:val="auto"/>
          <w:highlight w:val="none"/>
        </w:rPr>
      </w:r>
      <w:bookmarkEnd w:id="196"/>
      <w:r>
        <w:rPr>
          <w:color w:val="auto"/>
          <w:highlight w:val="none"/>
        </w:rPr>
      </w:r>
      <w:bookmarkEnd w:id="197"/>
      <w:r>
        <w:rPr>
          <w:color w:val="auto"/>
          <w:highlight w:val="none"/>
        </w:rPr>
      </w:r>
      <w:bookmarkStart w:id="200" w:name="_Toc120614284"/>
      <w:r>
        <w:rPr>
          <w:rFonts w:hint="eastAsia"/>
          <w:b/>
          <w:color w:val="auto"/>
          <w:sz w:val="28"/>
          <w:szCs w:val="28"/>
          <w:highlight w:val="none"/>
        </w:rPr>
        <w:t xml:space="preserve">十</w:t>
      </w:r>
      <w:r>
        <w:rPr>
          <w:b/>
          <w:color w:val="auto"/>
          <w:sz w:val="28"/>
          <w:szCs w:val="28"/>
          <w:highlight w:val="none"/>
        </w:rPr>
        <w:t xml:space="preserve">、</w:t>
      </w:r>
      <w:r>
        <w:rPr>
          <w:rFonts w:hint="eastAsia"/>
          <w:b/>
          <w:color w:val="auto"/>
          <w:sz w:val="28"/>
          <w:szCs w:val="28"/>
          <w:highlight w:val="none"/>
        </w:rPr>
        <w:t xml:space="preserve">投标偏离表（给定格式）：</w:t>
      </w:r>
      <w:r>
        <w:rPr>
          <w:color w:val="auto"/>
          <w:highlight w:val="none"/>
        </w:rPr>
      </w:r>
    </w:p>
    <w:p>
      <w:pPr>
        <w:pStyle w:val="929"/>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p>
    <w:p>
      <w:pPr>
        <w:pStyle w:val="929"/>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rPr>
          <w:rFonts w:ascii="黑体" w:eastAsia="黑体"/>
          <w:bCs/>
          <w:color w:val="auto"/>
          <w:sz w:val="28"/>
          <w:szCs w:val="28"/>
          <w:highlight w:val="none"/>
        </w:rPr>
      </w:r>
      <w:r>
        <w:rPr>
          <w:color w:val="auto"/>
          <w:highlight w:val="none"/>
        </w:rPr>
      </w:r>
    </w:p>
    <w:p>
      <w:pPr>
        <w:pStyle w:val="929"/>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p>
    <w:p>
      <w:pPr>
        <w:pStyle w:val="929"/>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p>
    <w:p>
      <w:pPr>
        <w:pStyle w:val="929"/>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rPr>
        <w:t xml:space="preserve">JSZC-320200-JZCG-G2024-0135</w:t>
      </w:r>
      <w:r>
        <w:rPr>
          <w:rFonts w:ascii="黑体" w:eastAsia="黑体"/>
          <w:bCs/>
          <w:color w:val="auto"/>
          <w:sz w:val="24"/>
          <w:szCs w:val="24"/>
          <w:highlight w:val="none"/>
        </w:rPr>
      </w:r>
      <w:r>
        <w:rPr>
          <w:color w:val="auto"/>
          <w:highlight w:val="none"/>
        </w:rP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29"/>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rPr>
                <w:rFonts w:ascii="宋体"/>
                <w:b/>
                <w:bCs/>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29"/>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rPr>
                <w:rFonts w:ascii="宋体"/>
                <w:b/>
                <w:bCs/>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29"/>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rPr>
                <w:rFonts w:ascii="宋体"/>
                <w:b/>
                <w:bCs/>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29"/>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rPr>
                <w:rFonts w:ascii="宋体"/>
                <w:b/>
                <w:bCs/>
                <w:color w:val="auto"/>
                <w:sz w:val="24"/>
                <w:szCs w:val="24"/>
                <w:highlight w:val="none"/>
              </w:rPr>
            </w:r>
            <w:r>
              <w:rPr>
                <w:color w:val="auto"/>
                <w:highlight w:val="none"/>
              </w:rP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29"/>
              <w:jc w:val="center"/>
              <w:rPr>
                <w:rFonts w:ascii="宋体"/>
                <w:bCs/>
                <w:color w:val="auto"/>
                <w:highlight w:val="none"/>
              </w:rPr>
            </w:pPr>
            <w:r>
              <w:rPr>
                <w:rFonts w:ascii="宋体"/>
                <w:bCs/>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29"/>
              <w:rPr>
                <w:rFonts w:ascii="宋体"/>
                <w:bCs/>
                <w:color w:val="auto"/>
                <w:highlight w:val="none"/>
              </w:rPr>
            </w:pPr>
            <w:r>
              <w:rPr>
                <w:rFonts w:ascii="宋体"/>
                <w:bCs/>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29"/>
              <w:jc w:val="center"/>
              <w:rPr>
                <w:rFonts w:ascii="宋体"/>
                <w:bCs/>
                <w:color w:val="auto"/>
                <w:highlight w:val="none"/>
              </w:rPr>
            </w:pPr>
            <w:r>
              <w:rPr>
                <w:rFonts w:ascii="宋体"/>
                <w:bCs/>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29"/>
              <w:jc w:val="center"/>
              <w:rPr>
                <w:rFonts w:ascii="宋体"/>
                <w:bCs/>
                <w:color w:val="auto"/>
                <w:highlight w:val="none"/>
              </w:rPr>
            </w:pPr>
            <w:r>
              <w:rPr>
                <w:rFonts w:ascii="宋体"/>
                <w:bCs/>
                <w:color w:val="auto"/>
                <w:highlight w:val="none"/>
              </w:rPr>
            </w:r>
            <w:r>
              <w:rPr>
                <w:color w:val="auto"/>
                <w:highlight w:val="none"/>
              </w:rPr>
            </w:r>
          </w:p>
        </w:tc>
      </w:tr>
    </w:tbl>
    <w:p>
      <w:pPr>
        <w:pStyle w:val="929"/>
        <w:rPr>
          <w:rFonts w:hint="eastAsia"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rPr>
          <w:rFonts w:hint="eastAsia" w:ascii="宋体" w:eastAsia="黑体"/>
          <w:b/>
          <w:color w:val="auto"/>
          <w:sz w:val="24"/>
          <w:szCs w:val="24"/>
          <w:highlight w:val="none"/>
        </w:rPr>
      </w:r>
      <w:r>
        <w:rPr>
          <w:color w:val="auto"/>
          <w:highlight w:val="none"/>
        </w:rPr>
      </w:r>
    </w:p>
    <w:p>
      <w:pPr>
        <w:pStyle w:val="929"/>
        <w:rPr>
          <w:rFonts w:ascii="宋体"/>
          <w:bCs/>
          <w:color w:val="auto"/>
          <w:sz w:val="30"/>
          <w:highlight w:val="none"/>
        </w:rPr>
      </w:pPr>
      <w:r>
        <w:rPr>
          <w:rFonts w:ascii="宋体"/>
          <w:bCs/>
          <w:color w:val="auto"/>
          <w:sz w:val="30"/>
          <w:highlight w:val="none"/>
        </w:rPr>
      </w:r>
      <w:r>
        <w:rPr>
          <w:color w:val="auto"/>
          <w:highlight w:val="none"/>
        </w:rPr>
      </w:r>
    </w:p>
    <w:p>
      <w:pPr>
        <w:pStyle w:val="929"/>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rPr>
          <w:rFonts w:ascii="宋体" w:hAnsi="宋体"/>
          <w:bCs/>
          <w:color w:val="auto"/>
          <w:sz w:val="24"/>
          <w:szCs w:val="24"/>
          <w:highlight w:val="none"/>
        </w:rPr>
      </w:r>
      <w:r>
        <w:rPr>
          <w:color w:val="auto"/>
          <w:highlight w:val="none"/>
        </w:rPr>
      </w:r>
    </w:p>
    <w:p>
      <w:pPr>
        <w:pStyle w:val="929"/>
        <w:ind w:firstLine="420"/>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 “偏离说明”中注明“无偏离”；</w:t>
      </w:r>
      <w:r>
        <w:rPr>
          <w:rFonts w:ascii="宋体" w:hAnsi="宋体"/>
          <w:bCs/>
          <w:color w:val="auto"/>
          <w:sz w:val="24"/>
          <w:szCs w:val="24"/>
          <w:highlight w:val="none"/>
        </w:rPr>
      </w:r>
      <w:r>
        <w:rPr>
          <w:color w:val="auto"/>
          <w:highlight w:val="none"/>
        </w:rPr>
      </w:r>
    </w:p>
    <w:p>
      <w:pPr>
        <w:pStyle w:val="929"/>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   （3）如有技术偏离项，请于本表中列明偏离内容，如需要可自行延长，其余无偏离内容不须赘述。</w:t>
      </w:r>
      <w:bookmarkEnd w:id="189"/>
      <w:r>
        <w:rPr>
          <w:color w:val="auto"/>
          <w:highlight w:val="none"/>
        </w:rPr>
      </w:r>
      <w:bookmarkEnd w:id="190"/>
      <w:r>
        <w:rPr>
          <w:color w:val="auto"/>
          <w:highlight w:val="none"/>
        </w:rPr>
      </w:r>
      <w:bookmarkEnd w:id="200"/>
      <w:r>
        <w:rPr>
          <w:color w:val="auto"/>
          <w:highlight w:val="none"/>
        </w:rPr>
      </w:r>
      <w:bookmarkStart w:id="201" w:name="_Hlt26671374"/>
      <w:r>
        <w:rPr>
          <w:color w:val="auto"/>
          <w:highlight w:val="none"/>
        </w:rPr>
      </w:r>
      <w:bookmarkEnd w:id="201"/>
      <w:r>
        <w:rPr>
          <w:color w:val="auto"/>
          <w:highlight w:val="none"/>
        </w:rPr>
      </w:r>
      <w:bookmarkStart w:id="202" w:name="_格式2__法定代表人授权书"/>
      <w:r>
        <w:rPr>
          <w:color w:val="auto"/>
          <w:highlight w:val="none"/>
        </w:rPr>
      </w:r>
      <w:bookmarkEnd w:id="202"/>
      <w:r>
        <w:rPr>
          <w:color w:val="auto"/>
          <w:highlight w:val="none"/>
        </w:rPr>
      </w:r>
      <w:bookmarkStart w:id="203" w:name="_Hlt26955066"/>
      <w:r>
        <w:rPr>
          <w:color w:val="auto"/>
          <w:highlight w:val="none"/>
        </w:rPr>
      </w:r>
      <w:bookmarkEnd w:id="203"/>
      <w:r>
        <w:rPr>
          <w:color w:val="auto"/>
          <w:highlight w:val="none"/>
        </w:rPr>
      </w:r>
      <w:bookmarkStart w:id="204" w:name="_Hlt26609389"/>
      <w:r>
        <w:rPr>
          <w:color w:val="auto"/>
          <w:highlight w:val="none"/>
        </w:rPr>
      </w:r>
      <w:bookmarkEnd w:id="204"/>
      <w:r>
        <w:rPr>
          <w:rFonts w:hint="eastAsia" w:ascii="宋体" w:hAnsi="宋体"/>
          <w:bCs/>
          <w:color w:val="auto"/>
          <w:sz w:val="24"/>
          <w:szCs w:val="24"/>
          <w:highlight w:val="none"/>
        </w:rPr>
      </w:r>
      <w:r>
        <w:rPr>
          <w:color w:val="auto"/>
          <w:highlight w:val="none"/>
        </w:rPr>
      </w:r>
    </w:p>
    <w:p>
      <w:pPr>
        <w:pStyle w:val="929"/>
        <w:ind w:firstLine="420"/>
        <w:rPr>
          <w:rFonts w:ascii="宋体" w:hAnsi="宋体"/>
          <w:bCs/>
          <w:color w:val="auto"/>
          <w:sz w:val="24"/>
          <w:szCs w:val="24"/>
          <w:highlight w:val="none"/>
        </w:rPr>
        <w:outlineLvl w:val="0"/>
      </w:pPr>
      <w:r>
        <w:rPr>
          <w:rFonts w:ascii="宋体" w:hAnsi="宋体"/>
          <w:bCs/>
          <w:color w:val="auto"/>
          <w:sz w:val="24"/>
          <w:szCs w:val="24"/>
          <w:highlight w:val="none"/>
        </w:rPr>
      </w:r>
      <w:r>
        <w:rPr>
          <w:color w:val="auto"/>
          <w:highlight w:val="none"/>
        </w:rPr>
      </w:r>
    </w:p>
    <w:p>
      <w:pPr>
        <w:pStyle w:val="929"/>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十一</w:t>
      </w:r>
      <w:r>
        <w:rPr>
          <w:rFonts w:hint="eastAsia"/>
          <w:b/>
          <w:color w:val="auto"/>
          <w:sz w:val="28"/>
          <w:szCs w:val="28"/>
          <w:highlight w:val="none"/>
        </w:rPr>
        <w:t xml:space="preserve">、</w:t>
      </w:r>
      <w:r>
        <w:rPr>
          <w:rFonts w:hint="eastAsia"/>
          <w:b/>
          <w:color w:val="auto"/>
          <w:sz w:val="28"/>
          <w:szCs w:val="28"/>
          <w:highlight w:val="none"/>
        </w:rPr>
        <w:t xml:space="preserve">项目人员配置清单（格式）</w:t>
      </w:r>
      <w:r>
        <w:rPr>
          <w:b/>
          <w:color w:val="auto"/>
          <w:sz w:val="28"/>
          <w:szCs w:val="28"/>
          <w:highlight w:val="none"/>
        </w:rPr>
      </w:r>
      <w:r>
        <w:rPr>
          <w:color w:val="auto"/>
          <w:highlight w:val="none"/>
        </w:rPr>
      </w:r>
    </w:p>
    <w:p>
      <w:pPr>
        <w:pStyle w:val="929"/>
        <w:spacing w:line="400" w:lineRule="exact"/>
        <w:rPr>
          <w:rFonts w:ascii="黑体" w:eastAsia="黑体"/>
          <w:bCs/>
          <w:color w:val="auto"/>
          <w:sz w:val="28"/>
          <w:szCs w:val="28"/>
          <w:highlight w:val="none"/>
        </w:rPr>
      </w:pPr>
      <w:r>
        <w:rPr>
          <w:rFonts w:ascii="黑体" w:eastAsia="黑体"/>
          <w:bCs/>
          <w:color w:val="auto"/>
          <w:sz w:val="28"/>
          <w:szCs w:val="28"/>
          <w:highlight w:val="none"/>
        </w:rPr>
      </w:r>
      <w:r>
        <w:rPr>
          <w:color w:val="auto"/>
          <w:highlight w:val="none"/>
        </w:rPr>
      </w:r>
    </w:p>
    <w:p>
      <w:pPr>
        <w:pStyle w:val="929"/>
        <w:jc w:val="center"/>
        <w:spacing w:line="400" w:lineRule="exact"/>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rPr>
          <w:color w:val="auto"/>
          <w:highlight w:val="none"/>
        </w:rPr>
      </w:r>
    </w:p>
    <w:p>
      <w:pPr>
        <w:pStyle w:val="929"/>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rPr>
          <w:color w:val="auto"/>
          <w:highlight w:val="none"/>
        </w:rPr>
      </w:r>
    </w:p>
    <w:p>
      <w:pPr>
        <w:pStyle w:val="929"/>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rPr>
        <w:t xml:space="preserve">JSZC-320200-JZCG-G2024-0135</w:t>
      </w:r>
      <w:r>
        <w:rPr>
          <w:rFonts w:ascii="黑体" w:eastAsia="黑体"/>
          <w:bCs/>
          <w:color w:val="auto"/>
          <w:sz w:val="24"/>
          <w:szCs w:val="24"/>
          <w:highlight w:val="none"/>
        </w:rPr>
      </w:r>
      <w:r>
        <w:rPr>
          <w:color w:val="auto"/>
          <w:highlight w:val="none"/>
        </w:rPr>
      </w:r>
    </w:p>
    <w:tbl>
      <w:tblPr>
        <w:tblW w:w="979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1852"/>
        <w:gridCol w:w="2522"/>
      </w:tblGrid>
      <w:tr>
        <w:trPr>
          <w:trHeight w:val="865"/>
        </w:trPr>
        <w:tc>
          <w:tcPr>
            <w:tcW w:w="704" w:type="dxa"/>
            <w:vAlign w:val="center"/>
            <w:textDirection w:val="lrTb"/>
            <w:noWrap w:val="false"/>
          </w:tcPr>
          <w:p>
            <w:pPr>
              <w:pStyle w:val="929"/>
              <w:jc w:val="center"/>
              <w:rPr>
                <w:b/>
                <w:color w:val="auto"/>
                <w:sz w:val="24"/>
                <w:highlight w:val="none"/>
              </w:rPr>
            </w:pPr>
            <w:r>
              <w:rPr>
                <w:rFonts w:hint="eastAsia"/>
                <w:b/>
                <w:color w:val="auto"/>
                <w:sz w:val="24"/>
                <w:highlight w:val="none"/>
              </w:rPr>
              <w:t xml:space="preserve">序号</w:t>
            </w:r>
            <w:r>
              <w:rPr>
                <w:b/>
                <w:color w:val="auto"/>
                <w:sz w:val="24"/>
                <w:highlight w:val="none"/>
              </w:rPr>
            </w:r>
            <w:r>
              <w:rPr>
                <w:color w:val="auto"/>
                <w:highlight w:val="none"/>
              </w:rPr>
            </w:r>
          </w:p>
        </w:tc>
        <w:tc>
          <w:tcPr>
            <w:tcW w:w="1476" w:type="dxa"/>
            <w:vAlign w:val="center"/>
            <w:textDirection w:val="lrTb"/>
            <w:noWrap w:val="false"/>
          </w:tcPr>
          <w:p>
            <w:pPr>
              <w:pStyle w:val="929"/>
              <w:jc w:val="center"/>
              <w:rPr>
                <w:b/>
                <w:color w:val="auto"/>
                <w:sz w:val="24"/>
                <w:highlight w:val="none"/>
              </w:rPr>
            </w:pPr>
            <w:r>
              <w:rPr>
                <w:rFonts w:hint="eastAsia"/>
                <w:b/>
                <w:color w:val="auto"/>
                <w:sz w:val="24"/>
                <w:highlight w:val="none"/>
              </w:rPr>
              <w:t xml:space="preserve">姓名</w:t>
            </w:r>
            <w:r>
              <w:rPr>
                <w:b/>
                <w:color w:val="auto"/>
                <w:sz w:val="24"/>
                <w:highlight w:val="none"/>
              </w:rPr>
            </w:r>
            <w:r>
              <w:rPr>
                <w:color w:val="auto"/>
                <w:highlight w:val="none"/>
              </w:rPr>
            </w:r>
          </w:p>
        </w:tc>
        <w:tc>
          <w:tcPr>
            <w:tcW w:w="720" w:type="dxa"/>
            <w:vAlign w:val="center"/>
            <w:textDirection w:val="lrTb"/>
            <w:noWrap w:val="false"/>
          </w:tcPr>
          <w:p>
            <w:pPr>
              <w:pStyle w:val="929"/>
              <w:jc w:val="center"/>
              <w:rPr>
                <w:b/>
                <w:color w:val="auto"/>
                <w:sz w:val="24"/>
                <w:highlight w:val="none"/>
              </w:rPr>
            </w:pPr>
            <w:r>
              <w:rPr>
                <w:rFonts w:hint="eastAsia"/>
                <w:b/>
                <w:color w:val="auto"/>
                <w:sz w:val="24"/>
                <w:highlight w:val="none"/>
              </w:rPr>
              <w:t xml:space="preserve">年龄</w:t>
            </w:r>
            <w:r>
              <w:rPr>
                <w:b/>
                <w:color w:val="auto"/>
                <w:sz w:val="24"/>
                <w:highlight w:val="none"/>
              </w:rPr>
            </w:r>
            <w:r>
              <w:rPr>
                <w:color w:val="auto"/>
                <w:highlight w:val="none"/>
              </w:rPr>
            </w:r>
          </w:p>
        </w:tc>
        <w:tc>
          <w:tcPr>
            <w:tcW w:w="2520" w:type="dxa"/>
            <w:vAlign w:val="center"/>
            <w:textDirection w:val="lrTb"/>
            <w:noWrap w:val="false"/>
          </w:tcPr>
          <w:p>
            <w:pPr>
              <w:pStyle w:val="929"/>
              <w:jc w:val="center"/>
              <w:rPr>
                <w:b/>
                <w:color w:val="auto"/>
                <w:sz w:val="24"/>
                <w:highlight w:val="none"/>
              </w:rPr>
            </w:pPr>
            <w:r>
              <w:rPr>
                <w:rFonts w:hint="eastAsia"/>
                <w:b/>
                <w:color w:val="auto"/>
                <w:sz w:val="24"/>
                <w:highlight w:val="none"/>
              </w:rPr>
              <w:t xml:space="preserve">本项目职责</w:t>
            </w:r>
            <w:r>
              <w:rPr>
                <w:b/>
                <w:color w:val="auto"/>
                <w:sz w:val="24"/>
                <w:highlight w:val="none"/>
              </w:rPr>
            </w:r>
            <w:r>
              <w:rPr>
                <w:color w:val="auto"/>
                <w:highlight w:val="none"/>
              </w:rPr>
            </w:r>
          </w:p>
        </w:tc>
        <w:tc>
          <w:tcPr>
            <w:tcW w:w="1852" w:type="dxa"/>
            <w:vAlign w:val="center"/>
            <w:textDirection w:val="lrTb"/>
            <w:noWrap w:val="false"/>
          </w:tcPr>
          <w:p>
            <w:pPr>
              <w:pStyle w:val="929"/>
              <w:jc w:val="center"/>
              <w:rPr>
                <w:b/>
                <w:color w:val="auto"/>
                <w:sz w:val="24"/>
                <w:highlight w:val="none"/>
              </w:rPr>
            </w:pPr>
            <w:r>
              <w:rPr>
                <w:rFonts w:hint="eastAsia"/>
                <w:b/>
                <w:color w:val="auto"/>
                <w:sz w:val="24"/>
                <w:highlight w:val="none"/>
              </w:rPr>
              <w:t xml:space="preserve">人员证书名称</w:t>
            </w:r>
            <w:r>
              <w:rPr>
                <w:b/>
                <w:color w:val="auto"/>
                <w:sz w:val="24"/>
                <w:highlight w:val="none"/>
              </w:rPr>
            </w:r>
            <w:r>
              <w:rPr>
                <w:color w:val="auto"/>
                <w:highlight w:val="none"/>
              </w:rPr>
            </w:r>
          </w:p>
        </w:tc>
        <w:tc>
          <w:tcPr>
            <w:tcW w:w="2522" w:type="dxa"/>
            <w:vAlign w:val="center"/>
            <w:textDirection w:val="lrTb"/>
            <w:noWrap w:val="false"/>
          </w:tcPr>
          <w:p>
            <w:pPr>
              <w:pStyle w:val="929"/>
              <w:jc w:val="center"/>
              <w:rPr>
                <w:b/>
                <w:color w:val="auto"/>
                <w:sz w:val="24"/>
                <w:highlight w:val="none"/>
              </w:rPr>
            </w:pPr>
            <w:r>
              <w:rPr>
                <w:b/>
                <w:color w:val="auto"/>
                <w:sz w:val="24"/>
                <w:highlight w:val="none"/>
              </w:rPr>
              <w:t xml:space="preserve">人员经验描述</w:t>
            </w:r>
            <w:r>
              <w:rPr>
                <w:color w:val="auto"/>
                <w:highlight w:val="none"/>
              </w:rPr>
            </w:r>
          </w:p>
        </w:tc>
      </w:tr>
      <w:tr>
        <w:trPr>
          <w:trHeight w:val="680"/>
        </w:trPr>
        <w:tc>
          <w:tcPr>
            <w:tcW w:w="704" w:type="dxa"/>
            <w:vAlign w:val="top"/>
            <w:textDirection w:val="lrTb"/>
            <w:noWrap w:val="false"/>
          </w:tcPr>
          <w:p>
            <w:pPr>
              <w:pStyle w:val="929"/>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476" w:type="dxa"/>
            <w:vAlign w:val="top"/>
            <w:textDirection w:val="lrTb"/>
            <w:noWrap w:val="false"/>
          </w:tcPr>
          <w:p>
            <w:pPr>
              <w:pStyle w:val="929"/>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720" w:type="dxa"/>
            <w:vAlign w:val="top"/>
            <w:textDirection w:val="lrTb"/>
            <w:noWrap w:val="false"/>
          </w:tcPr>
          <w:p>
            <w:pPr>
              <w:pStyle w:val="929"/>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0" w:type="dxa"/>
            <w:vAlign w:val="top"/>
            <w:textDirection w:val="lrTb"/>
            <w:noWrap w:val="false"/>
          </w:tcPr>
          <w:p>
            <w:pPr>
              <w:pStyle w:val="929"/>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852" w:type="dxa"/>
            <w:vAlign w:val="top"/>
            <w:textDirection w:val="lrTb"/>
            <w:noWrap w:val="false"/>
          </w:tcPr>
          <w:p>
            <w:pPr>
              <w:pStyle w:val="929"/>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2" w:type="dxa"/>
            <w:vAlign w:val="top"/>
            <w:textDirection w:val="lrTb"/>
            <w:noWrap w:val="false"/>
          </w:tcPr>
          <w:p>
            <w:pPr>
              <w:pStyle w:val="929"/>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r>
      <w:tr>
        <w:trPr>
          <w:trHeight w:val="680"/>
        </w:trPr>
        <w:tc>
          <w:tcPr>
            <w:tcW w:w="704" w:type="dxa"/>
            <w:vAlign w:val="top"/>
            <w:textDirection w:val="lrTb"/>
            <w:noWrap w:val="false"/>
          </w:tcPr>
          <w:p>
            <w:pPr>
              <w:pStyle w:val="929"/>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476" w:type="dxa"/>
            <w:vAlign w:val="top"/>
            <w:textDirection w:val="lrTb"/>
            <w:noWrap w:val="false"/>
          </w:tcPr>
          <w:p>
            <w:pPr>
              <w:pStyle w:val="929"/>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720" w:type="dxa"/>
            <w:vAlign w:val="top"/>
            <w:textDirection w:val="lrTb"/>
            <w:noWrap w:val="false"/>
          </w:tcPr>
          <w:p>
            <w:pPr>
              <w:pStyle w:val="929"/>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0" w:type="dxa"/>
            <w:vAlign w:val="top"/>
            <w:textDirection w:val="lrTb"/>
            <w:noWrap w:val="false"/>
          </w:tcPr>
          <w:p>
            <w:pPr>
              <w:pStyle w:val="929"/>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852" w:type="dxa"/>
            <w:vAlign w:val="top"/>
            <w:textDirection w:val="lrTb"/>
            <w:noWrap w:val="false"/>
          </w:tcPr>
          <w:p>
            <w:pPr>
              <w:pStyle w:val="929"/>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2" w:type="dxa"/>
            <w:vAlign w:val="top"/>
            <w:textDirection w:val="lrTb"/>
            <w:noWrap w:val="false"/>
          </w:tcPr>
          <w:p>
            <w:pPr>
              <w:pStyle w:val="929"/>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r>
      <w:tr>
        <w:trPr>
          <w:trHeight w:val="680"/>
        </w:trPr>
        <w:tc>
          <w:tcPr>
            <w:tcW w:w="704" w:type="dxa"/>
            <w:vAlign w:val="top"/>
            <w:textDirection w:val="lrTb"/>
            <w:noWrap w:val="false"/>
          </w:tcPr>
          <w:p>
            <w:pPr>
              <w:pStyle w:val="929"/>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476" w:type="dxa"/>
            <w:vAlign w:val="top"/>
            <w:textDirection w:val="lrTb"/>
            <w:noWrap w:val="false"/>
          </w:tcPr>
          <w:p>
            <w:pPr>
              <w:pStyle w:val="929"/>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720" w:type="dxa"/>
            <w:vAlign w:val="top"/>
            <w:textDirection w:val="lrTb"/>
            <w:noWrap w:val="false"/>
          </w:tcPr>
          <w:p>
            <w:pPr>
              <w:pStyle w:val="929"/>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0" w:type="dxa"/>
            <w:vAlign w:val="top"/>
            <w:textDirection w:val="lrTb"/>
            <w:noWrap w:val="false"/>
          </w:tcPr>
          <w:p>
            <w:pPr>
              <w:pStyle w:val="929"/>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852" w:type="dxa"/>
            <w:vAlign w:val="top"/>
            <w:textDirection w:val="lrTb"/>
            <w:noWrap w:val="false"/>
          </w:tcPr>
          <w:p>
            <w:pPr>
              <w:pStyle w:val="929"/>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2" w:type="dxa"/>
            <w:vAlign w:val="top"/>
            <w:textDirection w:val="lrTb"/>
            <w:noWrap w:val="false"/>
          </w:tcPr>
          <w:p>
            <w:pPr>
              <w:pStyle w:val="929"/>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r>
      <w:tr>
        <w:trPr>
          <w:trHeight w:val="680"/>
        </w:trPr>
        <w:tc>
          <w:tcPr>
            <w:tcW w:w="704" w:type="dxa"/>
            <w:vAlign w:val="top"/>
            <w:textDirection w:val="lrTb"/>
            <w:noWrap w:val="false"/>
          </w:tcPr>
          <w:p>
            <w:pPr>
              <w:pStyle w:val="929"/>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476" w:type="dxa"/>
            <w:vAlign w:val="top"/>
            <w:textDirection w:val="lrTb"/>
            <w:noWrap w:val="false"/>
          </w:tcPr>
          <w:p>
            <w:pPr>
              <w:pStyle w:val="929"/>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720" w:type="dxa"/>
            <w:vAlign w:val="top"/>
            <w:textDirection w:val="lrTb"/>
            <w:noWrap w:val="false"/>
          </w:tcPr>
          <w:p>
            <w:pPr>
              <w:pStyle w:val="929"/>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0" w:type="dxa"/>
            <w:vAlign w:val="top"/>
            <w:textDirection w:val="lrTb"/>
            <w:noWrap w:val="false"/>
          </w:tcPr>
          <w:p>
            <w:pPr>
              <w:pStyle w:val="929"/>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852" w:type="dxa"/>
            <w:vAlign w:val="top"/>
            <w:textDirection w:val="lrTb"/>
            <w:noWrap w:val="false"/>
          </w:tcPr>
          <w:p>
            <w:pPr>
              <w:pStyle w:val="929"/>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2" w:type="dxa"/>
            <w:vAlign w:val="top"/>
            <w:textDirection w:val="lrTb"/>
            <w:noWrap w:val="false"/>
          </w:tcPr>
          <w:p>
            <w:pPr>
              <w:pStyle w:val="929"/>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r>
      <w:tr>
        <w:trPr>
          <w:trHeight w:val="680"/>
        </w:trPr>
        <w:tc>
          <w:tcPr>
            <w:tcW w:w="704" w:type="dxa"/>
            <w:vAlign w:val="top"/>
            <w:textDirection w:val="lrTb"/>
            <w:noWrap w:val="false"/>
          </w:tcPr>
          <w:p>
            <w:pPr>
              <w:pStyle w:val="929"/>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476" w:type="dxa"/>
            <w:vAlign w:val="top"/>
            <w:textDirection w:val="lrTb"/>
            <w:noWrap w:val="false"/>
          </w:tcPr>
          <w:p>
            <w:pPr>
              <w:pStyle w:val="929"/>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720" w:type="dxa"/>
            <w:vAlign w:val="top"/>
            <w:textDirection w:val="lrTb"/>
            <w:noWrap w:val="false"/>
          </w:tcPr>
          <w:p>
            <w:pPr>
              <w:pStyle w:val="929"/>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0" w:type="dxa"/>
            <w:vAlign w:val="top"/>
            <w:textDirection w:val="lrTb"/>
            <w:noWrap w:val="false"/>
          </w:tcPr>
          <w:p>
            <w:pPr>
              <w:pStyle w:val="929"/>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852" w:type="dxa"/>
            <w:vAlign w:val="top"/>
            <w:textDirection w:val="lrTb"/>
            <w:noWrap w:val="false"/>
          </w:tcPr>
          <w:p>
            <w:pPr>
              <w:pStyle w:val="929"/>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2" w:type="dxa"/>
            <w:vAlign w:val="top"/>
            <w:textDirection w:val="lrTb"/>
            <w:noWrap w:val="false"/>
          </w:tcPr>
          <w:p>
            <w:pPr>
              <w:pStyle w:val="929"/>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r>
    </w:tbl>
    <w:p>
      <w:pPr>
        <w:pStyle w:val="929"/>
        <w:rPr>
          <w:b/>
          <w:bCs/>
          <w:color w:val="auto"/>
          <w:sz w:val="24"/>
          <w:szCs w:val="24"/>
          <w:highlight w:val="none"/>
        </w:rPr>
      </w:pPr>
      <w:r>
        <w:rPr>
          <w:rFonts w:hint="eastAsia" w:ascii="黑体" w:eastAsia="黑体"/>
          <w:bCs/>
          <w:color w:val="auto"/>
          <w:sz w:val="24"/>
          <w:szCs w:val="24"/>
          <w:highlight w:val="none"/>
        </w:rPr>
        <w:t xml:space="preserve">投标人名称（盖章）</w:t>
      </w:r>
      <w:r>
        <w:rPr>
          <w:b/>
          <w:bCs/>
          <w:color w:val="auto"/>
          <w:sz w:val="24"/>
          <w:szCs w:val="24"/>
          <w:highlight w:val="none"/>
        </w:rPr>
      </w:r>
      <w:r>
        <w:rPr>
          <w:color w:val="auto"/>
          <w:highlight w:val="none"/>
        </w:rPr>
      </w:r>
    </w:p>
    <w:p>
      <w:pPr>
        <w:pStyle w:val="929"/>
        <w:rPr>
          <w:rFonts w:hint="eastAsia" w:ascii="宋体" w:hAnsi="宋体"/>
          <w:bCs/>
          <w:color w:val="auto"/>
          <w:highlight w:val="none"/>
        </w:rPr>
      </w:pPr>
      <w:r>
        <w:rPr>
          <w:rFonts w:hint="eastAsia" w:ascii="宋体" w:hAnsi="宋体"/>
          <w:bCs/>
          <w:color w:val="auto"/>
          <w:highlight w:val="none"/>
        </w:rPr>
      </w:r>
      <w:r>
        <w:rPr>
          <w:color w:val="auto"/>
          <w:highlight w:val="none"/>
        </w:rPr>
      </w:r>
    </w:p>
    <w:p>
      <w:pPr>
        <w:pStyle w:val="929"/>
        <w:rPr>
          <w:rFonts w:ascii="宋体" w:hAnsi="宋体"/>
          <w:bCs/>
          <w:color w:val="auto"/>
          <w:highlight w:val="none"/>
        </w:rPr>
      </w:pPr>
      <w:r>
        <w:rPr>
          <w:rFonts w:hint="eastAsia" w:ascii="宋体" w:hAnsi="宋体"/>
          <w:bCs/>
          <w:color w:val="auto"/>
          <w:highlight w:val="none"/>
        </w:rPr>
        <w:t xml:space="preserve">注：1. 表格不够可自行延长。</w:t>
      </w:r>
      <w:r>
        <w:rPr>
          <w:rFonts w:ascii="宋体" w:hAnsi="宋体"/>
          <w:bCs/>
          <w:color w:val="auto"/>
          <w:highlight w:val="none"/>
        </w:rPr>
      </w:r>
      <w:r>
        <w:rPr>
          <w:color w:val="auto"/>
          <w:highlight w:val="none"/>
        </w:rPr>
      </w:r>
    </w:p>
    <w:p>
      <w:pPr>
        <w:pStyle w:val="929"/>
        <w:ind w:firstLine="420"/>
        <w:rPr>
          <w:rFonts w:hint="eastAsia" w:ascii="宋体" w:hAnsi="宋体"/>
          <w:bCs/>
          <w:color w:val="auto"/>
          <w:highlight w:val="none"/>
        </w:rPr>
      </w:pPr>
      <w:r>
        <w:rPr>
          <w:rFonts w:hint="eastAsia" w:ascii="宋体" w:hAnsi="宋体"/>
          <w:bCs/>
          <w:color w:val="auto"/>
          <w:highlight w:val="none"/>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auto"/>
          <w:highlight w:val="none"/>
        </w:rP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1002"/>
        <w:rFonts w:ascii="宋体" w:hAnsi="宋体"/>
      </w:rPr>
      <w:framePr w:wrap="around" w:vAnchor="text" w:hAnchor="margin" w:xAlign="center" w:y="1"/>
    </w:pPr>
    <w:r>
      <w:rPr>
        <w:rFonts w:ascii="宋体" w:hAnsi="宋体"/>
      </w:rPr>
      <w:fldChar w:fldCharType="begin"/>
    </w:r>
    <w:r>
      <w:rPr>
        <w:rStyle w:val="1002"/>
        <w:rFonts w:ascii="宋体" w:hAnsi="宋体"/>
      </w:rPr>
      <w:instrText xml:space="preserve">PAGE  </w:instrText>
    </w:r>
    <w:r>
      <w:rPr>
        <w:rFonts w:ascii="宋体" w:hAnsi="宋体"/>
      </w:rPr>
      <w:fldChar w:fldCharType="separate"/>
    </w:r>
    <w:r>
      <w:rPr>
        <w:rStyle w:val="1002"/>
        <w:rFonts w:ascii="宋体" w:hAnsi="宋体"/>
      </w:rPr>
      <w:t xml:space="preserve">５０</w:t>
    </w:r>
    <w:r>
      <w:rPr>
        <w:rFonts w:ascii="宋体" w:hAnsi="宋体"/>
      </w:rPr>
      <w:fldChar w:fldCharType="end"/>
    </w:r>
    <w:r>
      <w:rPr>
        <w:rStyle w:val="1002"/>
        <w:rFonts w:ascii="宋体" w:hAnsi="宋体"/>
      </w:rPr>
    </w:r>
    <w:r/>
  </w:p>
  <w:p>
    <w:pPr>
      <w:pStyle w:val="977"/>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1002"/>
      </w:rPr>
      <w:framePr w:wrap="around" w:vAnchor="text" w:hAnchor="margin" w:xAlign="center" w:y="1"/>
    </w:pPr>
    <w:r>
      <w:fldChar w:fldCharType="begin"/>
    </w:r>
    <w:r>
      <w:rPr>
        <w:rStyle w:val="1002"/>
      </w:rPr>
      <w:instrText xml:space="preserve">PAGE  </w:instrText>
    </w:r>
    <w:r>
      <w:fldChar w:fldCharType="separate"/>
    </w:r>
    <w:r>
      <w:rPr>
        <w:rStyle w:val="1002"/>
      </w:rPr>
      <w:t xml:space="preserve">1</w:t>
    </w:r>
    <w:r>
      <w:fldChar w:fldCharType="end"/>
    </w:r>
    <w:r>
      <w:rPr>
        <w:rStyle w:val="1002"/>
      </w:rPr>
    </w:r>
    <w:r/>
  </w:p>
  <w:p>
    <w:pPr>
      <w:pStyle w:val="9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29"/>
        <w:ind w:left="1080" w:hanging="1080"/>
        <w:tabs>
          <w:tab w:val="num" w:pos="1080" w:leader="none"/>
        </w:tabs>
      </w:pPr>
      <w:rPr>
        <w:rFonts w:hint="eastAsia" w:cs="Times New Roman"/>
      </w:rPr>
    </w:lvl>
    <w:lvl w:ilvl="1">
      <w:start w:val="1"/>
      <w:numFmt w:val="decimal"/>
      <w:isLgl w:val="false"/>
      <w:suff w:val="tab"/>
      <w:lvlText w:val="%2."/>
      <w:lvlJc w:val="left"/>
      <w:pPr>
        <w:pStyle w:val="929"/>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29"/>
        <w:ind w:left="1260" w:hanging="420"/>
        <w:tabs>
          <w:tab w:val="num" w:pos="1260" w:leader="none"/>
        </w:tabs>
      </w:pPr>
      <w:rPr>
        <w:rFonts w:cs="Times New Roman"/>
      </w:rPr>
    </w:lvl>
    <w:lvl w:ilvl="3">
      <w:start w:val="1"/>
      <w:numFmt w:val="decimal"/>
      <w:isLgl w:val="false"/>
      <w:suff w:val="tab"/>
      <w:lvlText w:val="%4."/>
      <w:lvlJc w:val="left"/>
      <w:pPr>
        <w:pStyle w:val="929"/>
        <w:ind w:left="1680" w:hanging="420"/>
        <w:tabs>
          <w:tab w:val="num" w:pos="1680" w:leader="none"/>
        </w:tabs>
      </w:pPr>
      <w:rPr>
        <w:rFonts w:cs="Times New Roman"/>
      </w:rPr>
    </w:lvl>
    <w:lvl w:ilvl="4">
      <w:start w:val="1"/>
      <w:numFmt w:val="lowerLetter"/>
      <w:isLgl w:val="false"/>
      <w:suff w:val="tab"/>
      <w:lvlText w:val="%5)"/>
      <w:lvlJc w:val="left"/>
      <w:pPr>
        <w:pStyle w:val="929"/>
        <w:ind w:left="2100" w:hanging="420"/>
        <w:tabs>
          <w:tab w:val="num" w:pos="2100" w:leader="none"/>
        </w:tabs>
      </w:pPr>
      <w:rPr>
        <w:rFonts w:cs="Times New Roman"/>
      </w:rPr>
    </w:lvl>
    <w:lvl w:ilvl="5">
      <w:start w:val="1"/>
      <w:numFmt w:val="lowerRoman"/>
      <w:isLgl w:val="false"/>
      <w:suff w:val="tab"/>
      <w:lvlText w:val="%6."/>
      <w:lvlJc w:val="right"/>
      <w:pPr>
        <w:pStyle w:val="929"/>
        <w:ind w:left="2520" w:hanging="420"/>
        <w:tabs>
          <w:tab w:val="num" w:pos="2520" w:leader="none"/>
        </w:tabs>
      </w:pPr>
      <w:rPr>
        <w:rFonts w:cs="Times New Roman"/>
      </w:rPr>
    </w:lvl>
    <w:lvl w:ilvl="6">
      <w:start w:val="1"/>
      <w:numFmt w:val="decimal"/>
      <w:isLgl w:val="false"/>
      <w:suff w:val="tab"/>
      <w:lvlText w:val="%7."/>
      <w:lvlJc w:val="left"/>
      <w:pPr>
        <w:pStyle w:val="929"/>
        <w:ind w:left="2940" w:hanging="420"/>
        <w:tabs>
          <w:tab w:val="num" w:pos="2940" w:leader="none"/>
        </w:tabs>
      </w:pPr>
      <w:rPr>
        <w:rFonts w:cs="Times New Roman"/>
      </w:rPr>
    </w:lvl>
    <w:lvl w:ilvl="7">
      <w:start w:val="1"/>
      <w:numFmt w:val="lowerLetter"/>
      <w:isLgl w:val="false"/>
      <w:suff w:val="tab"/>
      <w:lvlText w:val="%8)"/>
      <w:lvlJc w:val="left"/>
      <w:pPr>
        <w:pStyle w:val="929"/>
        <w:ind w:left="3360" w:hanging="420"/>
        <w:tabs>
          <w:tab w:val="num" w:pos="3360" w:leader="none"/>
        </w:tabs>
      </w:pPr>
      <w:rPr>
        <w:rFonts w:cs="Times New Roman"/>
      </w:rPr>
    </w:lvl>
    <w:lvl w:ilvl="8">
      <w:start w:val="1"/>
      <w:numFmt w:val="lowerRoman"/>
      <w:isLgl w:val="false"/>
      <w:suff w:val="tab"/>
      <w:lvlText w:val="%9."/>
      <w:lvlJc w:val="right"/>
      <w:pPr>
        <w:pStyle w:val="929"/>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9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09"/>
      <w:isLgl w:val="false"/>
      <w:suff w:val="tab"/>
      <w:lvlText w:val="附录%1."/>
      <w:lvlJc w:val="left"/>
      <w:pPr>
        <w:pStyle w:val="92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929"/>
        <w:ind w:left="1080" w:hanging="1080"/>
        <w:tabs>
          <w:tab w:val="num" w:pos="1080" w:leader="none"/>
        </w:tabs>
      </w:pPr>
      <w:rPr>
        <w:rFonts w:hint="eastAsia" w:cs="Times New Roman"/>
      </w:rPr>
    </w:lvl>
    <w:lvl w:ilvl="1">
      <w:start w:val="1"/>
      <w:numFmt w:val="decimal"/>
      <w:isLgl w:val="false"/>
      <w:suff w:val="tab"/>
      <w:lvlText w:val="%2."/>
      <w:lvlJc w:val="left"/>
      <w:pPr>
        <w:pStyle w:val="929"/>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29"/>
        <w:ind w:left="1260" w:hanging="420"/>
        <w:tabs>
          <w:tab w:val="num" w:pos="1260" w:leader="none"/>
        </w:tabs>
      </w:pPr>
      <w:rPr>
        <w:rFonts w:cs="Times New Roman"/>
      </w:rPr>
    </w:lvl>
    <w:lvl w:ilvl="3">
      <w:start w:val="1"/>
      <w:numFmt w:val="decimal"/>
      <w:isLgl w:val="false"/>
      <w:suff w:val="tab"/>
      <w:lvlText w:val="%4."/>
      <w:lvlJc w:val="left"/>
      <w:pPr>
        <w:pStyle w:val="929"/>
        <w:ind w:left="1680" w:hanging="420"/>
        <w:tabs>
          <w:tab w:val="num" w:pos="1680" w:leader="none"/>
        </w:tabs>
      </w:pPr>
      <w:rPr>
        <w:rFonts w:cs="Times New Roman"/>
      </w:rPr>
    </w:lvl>
    <w:lvl w:ilvl="4">
      <w:start w:val="1"/>
      <w:numFmt w:val="lowerLetter"/>
      <w:isLgl w:val="false"/>
      <w:suff w:val="tab"/>
      <w:lvlText w:val="%5)"/>
      <w:lvlJc w:val="left"/>
      <w:pPr>
        <w:pStyle w:val="929"/>
        <w:ind w:left="2100" w:hanging="420"/>
        <w:tabs>
          <w:tab w:val="num" w:pos="2100" w:leader="none"/>
        </w:tabs>
      </w:pPr>
      <w:rPr>
        <w:rFonts w:cs="Times New Roman"/>
      </w:rPr>
    </w:lvl>
    <w:lvl w:ilvl="5">
      <w:start w:val="1"/>
      <w:numFmt w:val="lowerRoman"/>
      <w:isLgl w:val="false"/>
      <w:suff w:val="tab"/>
      <w:lvlText w:val="%6."/>
      <w:lvlJc w:val="right"/>
      <w:pPr>
        <w:pStyle w:val="929"/>
        <w:ind w:left="2520" w:hanging="420"/>
        <w:tabs>
          <w:tab w:val="num" w:pos="2520" w:leader="none"/>
        </w:tabs>
      </w:pPr>
      <w:rPr>
        <w:rFonts w:cs="Times New Roman"/>
      </w:rPr>
    </w:lvl>
    <w:lvl w:ilvl="6">
      <w:start w:val="1"/>
      <w:numFmt w:val="decimal"/>
      <w:isLgl w:val="false"/>
      <w:suff w:val="tab"/>
      <w:lvlText w:val="%7."/>
      <w:lvlJc w:val="left"/>
      <w:pPr>
        <w:pStyle w:val="929"/>
        <w:ind w:left="2940" w:hanging="420"/>
        <w:tabs>
          <w:tab w:val="num" w:pos="2940" w:leader="none"/>
        </w:tabs>
      </w:pPr>
      <w:rPr>
        <w:rFonts w:cs="Times New Roman"/>
      </w:rPr>
    </w:lvl>
    <w:lvl w:ilvl="7">
      <w:start w:val="1"/>
      <w:numFmt w:val="lowerLetter"/>
      <w:isLgl w:val="false"/>
      <w:suff w:val="tab"/>
      <w:lvlText w:val="%8)"/>
      <w:lvlJc w:val="left"/>
      <w:pPr>
        <w:pStyle w:val="929"/>
        <w:ind w:left="3360" w:hanging="420"/>
        <w:tabs>
          <w:tab w:val="num" w:pos="3360" w:leader="none"/>
        </w:tabs>
      </w:pPr>
      <w:rPr>
        <w:rFonts w:cs="Times New Roman"/>
      </w:rPr>
    </w:lvl>
    <w:lvl w:ilvl="8">
      <w:start w:val="1"/>
      <w:numFmt w:val="lowerRoman"/>
      <w:isLgl w:val="false"/>
      <w:suff w:val="tab"/>
      <w:lvlText w:val="%9."/>
      <w:lvlJc w:val="right"/>
      <w:pPr>
        <w:pStyle w:val="929"/>
        <w:ind w:left="3780" w:hanging="420"/>
        <w:tabs>
          <w:tab w:val="num" w:pos="3780" w:leader="none"/>
        </w:tabs>
      </w:pPr>
      <w:rPr>
        <w:rFonts w:cs="Times New Roman"/>
      </w:rPr>
    </w:lvl>
  </w:abstractNum>
  <w:abstractNum w:abstractNumId="5">
    <w:multiLevelType w:val="hybridMultilevel"/>
    <w:lvl w:ilvl="0">
      <w:start w:val="1"/>
      <w:numFmt w:val="decimal"/>
      <w:isLgl w:val="false"/>
      <w:suff w:val="tab"/>
      <w:lvlText w:val="（%1）"/>
      <w:lvlJc w:val="left"/>
      <w:pPr>
        <w:pStyle w:val="929"/>
        <w:ind w:left="900" w:hanging="420"/>
      </w:pPr>
    </w:lvl>
    <w:lvl w:ilvl="1">
      <w:start w:val="1"/>
      <w:numFmt w:val="lowerLetter"/>
      <w:isLgl w:val="false"/>
      <w:suff w:val="tab"/>
      <w:lvlText w:val="%2)"/>
      <w:lvlJc w:val="left"/>
      <w:pPr>
        <w:pStyle w:val="929"/>
        <w:ind w:left="1320" w:hanging="420"/>
      </w:pPr>
    </w:lvl>
    <w:lvl w:ilvl="2">
      <w:start w:val="1"/>
      <w:numFmt w:val="lowerRoman"/>
      <w:isLgl w:val="false"/>
      <w:suff w:val="tab"/>
      <w:lvlText w:val="%3."/>
      <w:lvlJc w:val="right"/>
      <w:pPr>
        <w:pStyle w:val="929"/>
        <w:ind w:left="1740" w:hanging="420"/>
      </w:pPr>
    </w:lvl>
    <w:lvl w:ilvl="3">
      <w:start w:val="1"/>
      <w:numFmt w:val="decimal"/>
      <w:isLgl w:val="false"/>
      <w:suff w:val="tab"/>
      <w:lvlText w:val="%4."/>
      <w:lvlJc w:val="left"/>
      <w:pPr>
        <w:pStyle w:val="929"/>
        <w:ind w:left="2160" w:hanging="420"/>
      </w:pPr>
    </w:lvl>
    <w:lvl w:ilvl="4">
      <w:start w:val="1"/>
      <w:numFmt w:val="lowerLetter"/>
      <w:isLgl w:val="false"/>
      <w:suff w:val="tab"/>
      <w:lvlText w:val="%5)"/>
      <w:lvlJc w:val="left"/>
      <w:pPr>
        <w:pStyle w:val="929"/>
        <w:ind w:left="2580" w:hanging="420"/>
      </w:pPr>
    </w:lvl>
    <w:lvl w:ilvl="5">
      <w:start w:val="1"/>
      <w:numFmt w:val="lowerRoman"/>
      <w:isLgl w:val="false"/>
      <w:suff w:val="tab"/>
      <w:lvlText w:val="%6."/>
      <w:lvlJc w:val="right"/>
      <w:pPr>
        <w:pStyle w:val="929"/>
        <w:ind w:left="3000" w:hanging="420"/>
      </w:pPr>
    </w:lvl>
    <w:lvl w:ilvl="6">
      <w:start w:val="1"/>
      <w:numFmt w:val="decimal"/>
      <w:isLgl w:val="false"/>
      <w:suff w:val="tab"/>
      <w:lvlText w:val="%7."/>
      <w:lvlJc w:val="left"/>
      <w:pPr>
        <w:pStyle w:val="929"/>
        <w:ind w:left="3420" w:hanging="420"/>
      </w:pPr>
    </w:lvl>
    <w:lvl w:ilvl="7">
      <w:start w:val="1"/>
      <w:numFmt w:val="lowerLetter"/>
      <w:isLgl w:val="false"/>
      <w:suff w:val="tab"/>
      <w:lvlText w:val="%8)"/>
      <w:lvlJc w:val="left"/>
      <w:pPr>
        <w:pStyle w:val="929"/>
        <w:ind w:left="3840" w:hanging="420"/>
      </w:pPr>
    </w:lvl>
    <w:lvl w:ilvl="8">
      <w:start w:val="1"/>
      <w:numFmt w:val="lowerRoman"/>
      <w:isLgl w:val="false"/>
      <w:suff w:val="tab"/>
      <w:lvlText w:val="%9."/>
      <w:lvlJc w:val="right"/>
      <w:pPr>
        <w:pStyle w:val="929"/>
        <w:ind w:left="4260" w:hanging="420"/>
      </w:pPr>
    </w:lvl>
  </w:abstractNum>
  <w:abstractNum w:abstractNumId="6">
    <w:multiLevelType w:val="hybridMultilevel"/>
    <w:lvl w:ilvl="0">
      <w:start w:val="1"/>
      <w:numFmt w:val="decimal"/>
      <w:isLgl w:val="false"/>
      <w:suff w:val="tab"/>
      <w:lvlText w:val="%1."/>
      <w:lvlJc w:val="left"/>
      <w:pPr>
        <w:pStyle w:val="929"/>
        <w:ind w:left="510" w:hanging="360"/>
        <w:tabs>
          <w:tab w:val="num" w:pos="510" w:leader="none"/>
        </w:tabs>
      </w:pPr>
      <w:rPr>
        <w:rFonts w:hint="eastAsia" w:cs="Times New Roman"/>
      </w:rPr>
    </w:lvl>
    <w:lvl w:ilvl="1">
      <w:start w:val="1"/>
      <w:numFmt w:val="decimal"/>
      <w:isLgl w:val="false"/>
      <w:suff w:val="tab"/>
      <w:lvlText w:val="%2．"/>
      <w:lvlJc w:val="left"/>
      <w:pPr>
        <w:pStyle w:val="929"/>
        <w:ind w:left="1290" w:hanging="720"/>
        <w:tabs>
          <w:tab w:val="num" w:pos="1290" w:leader="none"/>
        </w:tabs>
      </w:pPr>
      <w:rPr>
        <w:rFonts w:hint="eastAsia" w:cs="Times New Roman"/>
      </w:rPr>
    </w:lvl>
    <w:lvl w:ilvl="2">
      <w:start w:val="3"/>
      <w:numFmt w:val="decimal"/>
      <w:isLgl w:val="false"/>
      <w:suff w:val="tab"/>
      <w:lvlText w:val="（%3）"/>
      <w:lvlJc w:val="left"/>
      <w:pPr>
        <w:pStyle w:val="929"/>
        <w:ind w:left="1140" w:hanging="720"/>
        <w:tabs>
          <w:tab w:val="num" w:pos="1140" w:leader="none"/>
        </w:tabs>
      </w:pPr>
      <w:rPr>
        <w:rFonts w:hint="eastAsia" w:cs="Times New Roman"/>
      </w:rPr>
    </w:lvl>
    <w:lvl w:ilvl="3">
      <w:start w:val="1"/>
      <w:numFmt w:val="decimal"/>
      <w:isLgl w:val="false"/>
      <w:suff w:val="tab"/>
      <w:lvlText w:val="（%4）"/>
      <w:lvlJc w:val="left"/>
      <w:pPr>
        <w:pStyle w:val="92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9"/>
        <w:ind w:left="2250" w:hanging="420"/>
        <w:tabs>
          <w:tab w:val="num" w:pos="2250" w:leader="none"/>
        </w:tabs>
      </w:pPr>
      <w:rPr>
        <w:rFonts w:hint="eastAsia"/>
        <w:b/>
        <w:lang w:val="en-US"/>
      </w:rPr>
    </w:lvl>
    <w:lvl w:ilvl="5">
      <w:start w:val="10"/>
      <w:numFmt w:val="japaneseCounting"/>
      <w:isLgl w:val="false"/>
      <w:suff w:val="tab"/>
      <w:lvlText w:val="（%6）"/>
      <w:lvlJc w:val="left"/>
      <w:pPr>
        <w:pStyle w:val="929"/>
        <w:ind w:left="2970" w:hanging="720"/>
      </w:pPr>
      <w:rPr>
        <w:rFonts w:cs="Times New Roman"/>
      </w:rPr>
    </w:lvl>
    <w:lvl w:ilvl="6">
      <w:start w:val="1"/>
      <w:numFmt w:val="decimal"/>
      <w:isLgl w:val="false"/>
      <w:suff w:val="tab"/>
      <w:lvlText w:val="（%7）"/>
      <w:lvlJc w:val="left"/>
      <w:pPr>
        <w:pStyle w:val="92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9"/>
        <w:ind w:left="3510" w:hanging="420"/>
        <w:tabs>
          <w:tab w:val="num" w:pos="3510" w:leader="none"/>
        </w:tabs>
      </w:pPr>
      <w:rPr>
        <w:rFonts w:cs="Times New Roman"/>
      </w:rPr>
    </w:lvl>
    <w:lvl w:ilvl="8">
      <w:start w:val="1"/>
      <w:numFmt w:val="lowerRoman"/>
      <w:isLgl w:val="false"/>
      <w:suff w:val="tab"/>
      <w:lvlText w:val="%9."/>
      <w:lvlJc w:val="right"/>
      <w:pPr>
        <w:pStyle w:val="929"/>
        <w:ind w:left="3930" w:hanging="420"/>
        <w:tabs>
          <w:tab w:val="num" w:pos="3930" w:leader="none"/>
        </w:tabs>
      </w:pPr>
      <w:rPr>
        <w:rFonts w:cs="Times New Roman"/>
      </w:rPr>
    </w:lvl>
  </w:abstractNum>
  <w:abstractNum w:abstractNumId="7">
    <w:multiLevelType w:val="hybridMultilevel"/>
    <w:lvl w:ilvl="0">
      <w:start w:val="1"/>
      <w:numFmt w:val="decimal"/>
      <w:isLgl w:val="false"/>
      <w:suff w:val="tab"/>
      <w:lvlText w:val="%1）"/>
      <w:lvlJc w:val="left"/>
      <w:pPr>
        <w:pStyle w:val="929"/>
        <w:ind w:left="840" w:hanging="360"/>
      </w:pPr>
    </w:lvl>
    <w:lvl w:ilvl="1">
      <w:start w:val="1"/>
      <w:numFmt w:val="decimal"/>
      <w:isLgl w:val="false"/>
      <w:suff w:val="tab"/>
      <w:lvlText w:val="%2、"/>
      <w:lvlJc w:val="left"/>
      <w:pPr>
        <w:pStyle w:val="929"/>
        <w:ind w:left="1280" w:hanging="360"/>
      </w:pPr>
    </w:lvl>
    <w:lvl w:ilvl="2">
      <w:start w:val="1"/>
      <w:numFmt w:val="lowerRoman"/>
      <w:isLgl w:val="false"/>
      <w:suff w:val="tab"/>
      <w:lvlText w:val="%3."/>
      <w:lvlJc w:val="right"/>
      <w:pPr>
        <w:pStyle w:val="929"/>
        <w:ind w:left="1800" w:hanging="440"/>
      </w:pPr>
    </w:lvl>
    <w:lvl w:ilvl="3">
      <w:start w:val="1"/>
      <w:numFmt w:val="decimal"/>
      <w:isLgl w:val="false"/>
      <w:suff w:val="tab"/>
      <w:lvlText w:val="%4."/>
      <w:lvlJc w:val="left"/>
      <w:pPr>
        <w:pStyle w:val="929"/>
        <w:ind w:left="2240" w:hanging="440"/>
      </w:pPr>
    </w:lvl>
    <w:lvl w:ilvl="4">
      <w:start w:val="1"/>
      <w:numFmt w:val="lowerLetter"/>
      <w:isLgl w:val="false"/>
      <w:suff w:val="tab"/>
      <w:lvlText w:val="%5)"/>
      <w:lvlJc w:val="left"/>
      <w:pPr>
        <w:pStyle w:val="929"/>
        <w:ind w:left="2680" w:hanging="440"/>
      </w:pPr>
    </w:lvl>
    <w:lvl w:ilvl="5">
      <w:start w:val="1"/>
      <w:numFmt w:val="lowerRoman"/>
      <w:isLgl w:val="false"/>
      <w:suff w:val="tab"/>
      <w:lvlText w:val="%6."/>
      <w:lvlJc w:val="right"/>
      <w:pPr>
        <w:pStyle w:val="929"/>
        <w:ind w:left="3120" w:hanging="440"/>
      </w:pPr>
    </w:lvl>
    <w:lvl w:ilvl="6">
      <w:start w:val="1"/>
      <w:numFmt w:val="decimal"/>
      <w:isLgl w:val="false"/>
      <w:suff w:val="tab"/>
      <w:lvlText w:val="%7."/>
      <w:lvlJc w:val="left"/>
      <w:pPr>
        <w:pStyle w:val="929"/>
        <w:ind w:left="3560" w:hanging="440"/>
      </w:pPr>
    </w:lvl>
    <w:lvl w:ilvl="7">
      <w:start w:val="1"/>
      <w:numFmt w:val="lowerLetter"/>
      <w:isLgl w:val="false"/>
      <w:suff w:val="tab"/>
      <w:lvlText w:val="%8)"/>
      <w:lvlJc w:val="left"/>
      <w:pPr>
        <w:pStyle w:val="929"/>
        <w:ind w:left="4000" w:hanging="440"/>
      </w:pPr>
    </w:lvl>
    <w:lvl w:ilvl="8">
      <w:start w:val="1"/>
      <w:numFmt w:val="lowerRoman"/>
      <w:isLgl w:val="false"/>
      <w:suff w:val="tab"/>
      <w:lvlText w:val="%9."/>
      <w:lvlJc w:val="right"/>
      <w:pPr>
        <w:pStyle w:val="929"/>
        <w:ind w:left="4440" w:hanging="440"/>
      </w:pPr>
    </w:lvl>
  </w:abstractNum>
  <w:abstractNum w:abstractNumId="8">
    <w:multiLevelType w:val="hybridMultilevel"/>
    <w:lvl w:ilvl="0">
      <w:start w:val="1"/>
      <w:numFmt w:val="decimal"/>
      <w:isLgl w:val="false"/>
      <w:suff w:val="tab"/>
      <w:lvlText w:val="（%1）"/>
      <w:lvlJc w:val="left"/>
      <w:pPr>
        <w:pStyle w:val="929"/>
        <w:ind w:left="900" w:hanging="420"/>
      </w:pPr>
    </w:lvl>
    <w:lvl w:ilvl="1">
      <w:start w:val="1"/>
      <w:numFmt w:val="lowerLetter"/>
      <w:isLgl w:val="false"/>
      <w:suff w:val="tab"/>
      <w:lvlText w:val="%2)"/>
      <w:lvlJc w:val="left"/>
      <w:pPr>
        <w:pStyle w:val="929"/>
        <w:ind w:left="1320" w:hanging="420"/>
      </w:pPr>
    </w:lvl>
    <w:lvl w:ilvl="2">
      <w:start w:val="1"/>
      <w:numFmt w:val="lowerRoman"/>
      <w:isLgl w:val="false"/>
      <w:suff w:val="tab"/>
      <w:lvlText w:val="%3."/>
      <w:lvlJc w:val="right"/>
      <w:pPr>
        <w:pStyle w:val="929"/>
        <w:ind w:left="1740" w:hanging="420"/>
      </w:pPr>
    </w:lvl>
    <w:lvl w:ilvl="3">
      <w:start w:val="1"/>
      <w:numFmt w:val="decimal"/>
      <w:isLgl w:val="false"/>
      <w:suff w:val="tab"/>
      <w:lvlText w:val="%4."/>
      <w:lvlJc w:val="left"/>
      <w:pPr>
        <w:pStyle w:val="929"/>
        <w:ind w:left="2160" w:hanging="420"/>
      </w:pPr>
    </w:lvl>
    <w:lvl w:ilvl="4">
      <w:start w:val="1"/>
      <w:numFmt w:val="lowerLetter"/>
      <w:isLgl w:val="false"/>
      <w:suff w:val="tab"/>
      <w:lvlText w:val="%5)"/>
      <w:lvlJc w:val="left"/>
      <w:pPr>
        <w:pStyle w:val="929"/>
        <w:ind w:left="2580" w:hanging="420"/>
      </w:pPr>
    </w:lvl>
    <w:lvl w:ilvl="5">
      <w:start w:val="1"/>
      <w:numFmt w:val="lowerRoman"/>
      <w:isLgl w:val="false"/>
      <w:suff w:val="tab"/>
      <w:lvlText w:val="%6."/>
      <w:lvlJc w:val="right"/>
      <w:pPr>
        <w:pStyle w:val="929"/>
        <w:ind w:left="3000" w:hanging="420"/>
      </w:pPr>
    </w:lvl>
    <w:lvl w:ilvl="6">
      <w:start w:val="1"/>
      <w:numFmt w:val="decimal"/>
      <w:isLgl w:val="false"/>
      <w:suff w:val="tab"/>
      <w:lvlText w:val="%7."/>
      <w:lvlJc w:val="left"/>
      <w:pPr>
        <w:pStyle w:val="929"/>
        <w:ind w:left="3420" w:hanging="420"/>
      </w:pPr>
    </w:lvl>
    <w:lvl w:ilvl="7">
      <w:start w:val="1"/>
      <w:numFmt w:val="lowerLetter"/>
      <w:isLgl w:val="false"/>
      <w:suff w:val="tab"/>
      <w:lvlText w:val="%8)"/>
      <w:lvlJc w:val="left"/>
      <w:pPr>
        <w:pStyle w:val="929"/>
        <w:ind w:left="3840" w:hanging="420"/>
      </w:pPr>
    </w:lvl>
    <w:lvl w:ilvl="8">
      <w:start w:val="1"/>
      <w:numFmt w:val="lowerRoman"/>
      <w:isLgl w:val="false"/>
      <w:suff w:val="tab"/>
      <w:lvlText w:val="%9."/>
      <w:lvlJc w:val="right"/>
      <w:pPr>
        <w:pStyle w:val="929"/>
        <w:ind w:left="4260" w:hanging="420"/>
      </w:pPr>
    </w:lvl>
  </w:abstractNum>
  <w:abstractNum w:abstractNumId="9">
    <w:multiLevelType w:val="hybridMultilevel"/>
    <w:lvl w:ilvl="0">
      <w:start w:val="6"/>
      <w:numFmt w:val="decimal"/>
      <w:isLgl w:val="false"/>
      <w:suff w:val="tab"/>
      <w:lvlText w:val="%1、"/>
      <w:lvlJc w:val="left"/>
      <w:pPr>
        <w:pStyle w:val="929"/>
        <w:ind w:left="0" w:firstLine="0"/>
      </w:pPr>
    </w:lvl>
    <w:lvl w:ilvl="1">
      <w:start w:val="1"/>
      <w:numFmt w:val="bullet"/>
      <w:isLgl w:val="false"/>
      <w:suff w:val="tab"/>
      <w:lvlText w:val="o"/>
      <w:lvlJc w:val="left"/>
      <w:pPr>
        <w:pStyle w:val="929"/>
        <w:ind w:left="1440" w:hanging="360"/>
      </w:pPr>
      <w:rPr>
        <w:rFonts w:ascii="Courier New" w:hAnsi="Courier New" w:eastAsia="Courier New" w:cs="Courier New"/>
      </w:rPr>
    </w:lvl>
    <w:lvl w:ilvl="2">
      <w:start w:val="1"/>
      <w:numFmt w:val="bullet"/>
      <w:isLgl w:val="false"/>
      <w:suff w:val="tab"/>
      <w:lvlText w:val="§"/>
      <w:lvlJc w:val="left"/>
      <w:pPr>
        <w:pStyle w:val="929"/>
        <w:ind w:left="2160" w:hanging="360"/>
      </w:pPr>
      <w:rPr>
        <w:rFonts w:ascii="Wingdings" w:hAnsi="Wingdings" w:eastAsia="Wingdings" w:cs="Wingdings"/>
      </w:rPr>
    </w:lvl>
    <w:lvl w:ilvl="3">
      <w:start w:val="1"/>
      <w:numFmt w:val="bullet"/>
      <w:isLgl w:val="false"/>
      <w:suff w:val="tab"/>
      <w:lvlText w:val="·"/>
      <w:lvlJc w:val="left"/>
      <w:pPr>
        <w:pStyle w:val="929"/>
        <w:ind w:left="2880" w:hanging="360"/>
      </w:pPr>
      <w:rPr>
        <w:rFonts w:ascii="Symbol" w:hAnsi="Symbol" w:eastAsia="Symbol" w:cs="Symbol"/>
      </w:rPr>
    </w:lvl>
    <w:lvl w:ilvl="4">
      <w:start w:val="1"/>
      <w:numFmt w:val="bullet"/>
      <w:isLgl w:val="false"/>
      <w:suff w:val="tab"/>
      <w:lvlText w:val="o"/>
      <w:lvlJc w:val="left"/>
      <w:pPr>
        <w:pStyle w:val="929"/>
        <w:ind w:left="3600" w:hanging="360"/>
      </w:pPr>
      <w:rPr>
        <w:rFonts w:ascii="Courier New" w:hAnsi="Courier New" w:eastAsia="Courier New" w:cs="Courier New"/>
      </w:rPr>
    </w:lvl>
    <w:lvl w:ilvl="5">
      <w:start w:val="1"/>
      <w:numFmt w:val="bullet"/>
      <w:isLgl w:val="false"/>
      <w:suff w:val="tab"/>
      <w:lvlText w:val="§"/>
      <w:lvlJc w:val="left"/>
      <w:pPr>
        <w:pStyle w:val="929"/>
        <w:ind w:left="4320" w:hanging="360"/>
      </w:pPr>
      <w:rPr>
        <w:rFonts w:ascii="Wingdings" w:hAnsi="Wingdings" w:eastAsia="Wingdings" w:cs="Wingdings"/>
      </w:rPr>
    </w:lvl>
    <w:lvl w:ilvl="6">
      <w:start w:val="1"/>
      <w:numFmt w:val="bullet"/>
      <w:isLgl w:val="false"/>
      <w:suff w:val="tab"/>
      <w:lvlText w:val="·"/>
      <w:lvlJc w:val="left"/>
      <w:pPr>
        <w:pStyle w:val="929"/>
        <w:ind w:left="5040" w:hanging="360"/>
      </w:pPr>
      <w:rPr>
        <w:rFonts w:ascii="Symbol" w:hAnsi="Symbol" w:eastAsia="Symbol" w:cs="Symbol"/>
      </w:rPr>
    </w:lvl>
    <w:lvl w:ilvl="7">
      <w:start w:val="1"/>
      <w:numFmt w:val="bullet"/>
      <w:isLgl w:val="false"/>
      <w:suff w:val="tab"/>
      <w:lvlText w:val="o"/>
      <w:lvlJc w:val="left"/>
      <w:pPr>
        <w:pStyle w:val="929"/>
        <w:ind w:left="5760" w:hanging="360"/>
      </w:pPr>
      <w:rPr>
        <w:rFonts w:ascii="Courier New" w:hAnsi="Courier New" w:eastAsia="Courier New" w:cs="Courier New"/>
      </w:rPr>
    </w:lvl>
    <w:lvl w:ilvl="8">
      <w:start w:val="1"/>
      <w:numFmt w:val="bullet"/>
      <w:isLgl w:val="false"/>
      <w:suff w:val="tab"/>
      <w:lvlText w:val="§"/>
      <w:lvlJc w:val="left"/>
      <w:pPr>
        <w:pStyle w:val="929"/>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pStyle w:val="929"/>
        <w:ind w:left="840" w:hanging="360"/>
      </w:pPr>
    </w:lvl>
    <w:lvl w:ilvl="1">
      <w:start w:val="1"/>
      <w:numFmt w:val="lowerLetter"/>
      <w:isLgl w:val="false"/>
      <w:suff w:val="tab"/>
      <w:lvlText w:val="%2)"/>
      <w:lvlJc w:val="left"/>
      <w:pPr>
        <w:pStyle w:val="929"/>
        <w:ind w:left="1360" w:hanging="440"/>
      </w:pPr>
    </w:lvl>
    <w:lvl w:ilvl="2">
      <w:start w:val="1"/>
      <w:numFmt w:val="lowerRoman"/>
      <w:isLgl w:val="false"/>
      <w:suff w:val="tab"/>
      <w:lvlText w:val="%3."/>
      <w:lvlJc w:val="right"/>
      <w:pPr>
        <w:pStyle w:val="929"/>
        <w:ind w:left="1800" w:hanging="440"/>
      </w:pPr>
    </w:lvl>
    <w:lvl w:ilvl="3">
      <w:start w:val="1"/>
      <w:numFmt w:val="decimal"/>
      <w:isLgl w:val="false"/>
      <w:suff w:val="tab"/>
      <w:lvlText w:val="%4."/>
      <w:lvlJc w:val="left"/>
      <w:pPr>
        <w:pStyle w:val="929"/>
        <w:ind w:left="2240" w:hanging="440"/>
      </w:pPr>
    </w:lvl>
    <w:lvl w:ilvl="4">
      <w:start w:val="1"/>
      <w:numFmt w:val="lowerLetter"/>
      <w:isLgl w:val="false"/>
      <w:suff w:val="tab"/>
      <w:lvlText w:val="%5)"/>
      <w:lvlJc w:val="left"/>
      <w:pPr>
        <w:pStyle w:val="929"/>
        <w:ind w:left="2680" w:hanging="440"/>
      </w:pPr>
    </w:lvl>
    <w:lvl w:ilvl="5">
      <w:start w:val="1"/>
      <w:numFmt w:val="lowerRoman"/>
      <w:isLgl w:val="false"/>
      <w:suff w:val="tab"/>
      <w:lvlText w:val="%6."/>
      <w:lvlJc w:val="right"/>
      <w:pPr>
        <w:pStyle w:val="929"/>
        <w:ind w:left="3120" w:hanging="440"/>
      </w:pPr>
    </w:lvl>
    <w:lvl w:ilvl="6">
      <w:start w:val="1"/>
      <w:numFmt w:val="decimal"/>
      <w:isLgl w:val="false"/>
      <w:suff w:val="tab"/>
      <w:lvlText w:val="%7."/>
      <w:lvlJc w:val="left"/>
      <w:pPr>
        <w:pStyle w:val="929"/>
        <w:ind w:left="3560" w:hanging="440"/>
      </w:pPr>
    </w:lvl>
    <w:lvl w:ilvl="7">
      <w:start w:val="1"/>
      <w:numFmt w:val="lowerLetter"/>
      <w:isLgl w:val="false"/>
      <w:suff w:val="tab"/>
      <w:lvlText w:val="%8)"/>
      <w:lvlJc w:val="left"/>
      <w:pPr>
        <w:pStyle w:val="929"/>
        <w:ind w:left="4000" w:hanging="440"/>
      </w:pPr>
    </w:lvl>
    <w:lvl w:ilvl="8">
      <w:start w:val="1"/>
      <w:numFmt w:val="lowerRoman"/>
      <w:isLgl w:val="false"/>
      <w:suff w:val="tab"/>
      <w:lvlText w:val="%9."/>
      <w:lvlJc w:val="right"/>
      <w:pPr>
        <w:pStyle w:val="929"/>
        <w:ind w:left="4440" w:hanging="440"/>
      </w:pPr>
    </w:lvl>
  </w:abstractNum>
  <w:abstractNum w:abstractNumId="11">
    <w:multiLevelType w:val="hybridMultilevel"/>
    <w:lvl w:ilvl="0">
      <w:start w:val="1"/>
      <w:numFmt w:val="decimal"/>
      <w:isLgl w:val="false"/>
      <w:suff w:val="tab"/>
      <w:lvlText w:val="%1."/>
      <w:lvlJc w:val="left"/>
      <w:pPr>
        <w:pStyle w:val="929"/>
        <w:ind w:left="510" w:hanging="360"/>
        <w:tabs>
          <w:tab w:val="num" w:pos="510" w:leader="none"/>
        </w:tabs>
      </w:pPr>
      <w:rPr>
        <w:rFonts w:hint="eastAsia" w:cs="Times New Roman"/>
      </w:rPr>
    </w:lvl>
    <w:lvl w:ilvl="1">
      <w:start w:val="1"/>
      <w:numFmt w:val="decimal"/>
      <w:isLgl w:val="false"/>
      <w:suff w:val="tab"/>
      <w:lvlText w:val="%2．"/>
      <w:lvlJc w:val="left"/>
      <w:pPr>
        <w:pStyle w:val="929"/>
        <w:ind w:left="1290" w:hanging="720"/>
        <w:tabs>
          <w:tab w:val="num" w:pos="1290" w:leader="none"/>
        </w:tabs>
      </w:pPr>
      <w:rPr>
        <w:rFonts w:hint="eastAsia" w:cs="Times New Roman"/>
      </w:rPr>
    </w:lvl>
    <w:lvl w:ilvl="2">
      <w:start w:val="3"/>
      <w:numFmt w:val="decimal"/>
      <w:isLgl w:val="false"/>
      <w:suff w:val="tab"/>
      <w:lvlText w:val="（%3）"/>
      <w:lvlJc w:val="left"/>
      <w:pPr>
        <w:pStyle w:val="929"/>
        <w:ind w:left="1140" w:hanging="720"/>
        <w:tabs>
          <w:tab w:val="num" w:pos="1140" w:leader="none"/>
        </w:tabs>
      </w:pPr>
      <w:rPr>
        <w:rFonts w:hint="eastAsia" w:cs="Times New Roman"/>
      </w:rPr>
    </w:lvl>
    <w:lvl w:ilvl="3">
      <w:start w:val="1"/>
      <w:numFmt w:val="decimal"/>
      <w:isLgl w:val="false"/>
      <w:suff w:val="tab"/>
      <w:lvlText w:val="（%4）"/>
      <w:lvlJc w:val="left"/>
      <w:pPr>
        <w:pStyle w:val="92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9"/>
        <w:ind w:left="2250" w:hanging="420"/>
        <w:tabs>
          <w:tab w:val="num" w:pos="2250" w:leader="none"/>
        </w:tabs>
      </w:pPr>
      <w:rPr>
        <w:rFonts w:hint="eastAsia"/>
        <w:b/>
        <w:lang w:val="en-US"/>
      </w:rPr>
    </w:lvl>
    <w:lvl w:ilvl="5">
      <w:start w:val="10"/>
      <w:numFmt w:val="japaneseCounting"/>
      <w:isLgl w:val="false"/>
      <w:suff w:val="tab"/>
      <w:lvlText w:val="（%6）"/>
      <w:lvlJc w:val="left"/>
      <w:pPr>
        <w:pStyle w:val="929"/>
        <w:ind w:left="2970" w:hanging="720"/>
      </w:pPr>
      <w:rPr>
        <w:rFonts w:cs="Times New Roman"/>
      </w:rPr>
    </w:lvl>
    <w:lvl w:ilvl="6">
      <w:start w:val="1"/>
      <w:numFmt w:val="decimal"/>
      <w:isLgl w:val="false"/>
      <w:suff w:val="tab"/>
      <w:lvlText w:val="（%7）"/>
      <w:lvlJc w:val="left"/>
      <w:pPr>
        <w:pStyle w:val="92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9"/>
        <w:ind w:left="3510" w:hanging="420"/>
        <w:tabs>
          <w:tab w:val="num" w:pos="3510" w:leader="none"/>
        </w:tabs>
      </w:pPr>
      <w:rPr>
        <w:rFonts w:cs="Times New Roman"/>
      </w:rPr>
    </w:lvl>
    <w:lvl w:ilvl="8">
      <w:start w:val="1"/>
      <w:numFmt w:val="lowerRoman"/>
      <w:isLgl w:val="false"/>
      <w:suff w:val="tab"/>
      <w:lvlText w:val="%9."/>
      <w:lvlJc w:val="right"/>
      <w:pPr>
        <w:pStyle w:val="929"/>
        <w:ind w:left="3930" w:hanging="420"/>
        <w:tabs>
          <w:tab w:val="num" w:pos="3930" w:leader="none"/>
        </w:tabs>
      </w:pPr>
      <w:rPr>
        <w:rFonts w:cs="Times New Roman"/>
      </w:rPr>
    </w:lvl>
  </w:abstractNum>
  <w:abstractNum w:abstractNumId="12">
    <w:multiLevelType w:val="hybridMultilevel"/>
    <w:lvl w:ilvl="0">
      <w:start w:val="1"/>
      <w:numFmt w:val="japaneseCounting"/>
      <w:isLgl w:val="false"/>
      <w:suff w:val="tab"/>
      <w:lvlText w:val="第%1条"/>
      <w:lvlJc w:val="left"/>
      <w:pPr>
        <w:pStyle w:val="929"/>
        <w:ind w:left="1505" w:hanging="945"/>
        <w:tabs>
          <w:tab w:val="num" w:pos="1505" w:leader="none"/>
        </w:tabs>
      </w:pPr>
      <w:rPr>
        <w:rFonts w:hint="eastAsia"/>
      </w:rPr>
    </w:lvl>
    <w:lvl w:ilvl="1">
      <w:start w:val="1"/>
      <w:numFmt w:val="decimal"/>
      <w:isLgl w:val="false"/>
      <w:suff w:val="tab"/>
      <w:lvlText w:val="%2、"/>
      <w:lvlJc w:val="left"/>
      <w:pPr>
        <w:pStyle w:val="929"/>
        <w:ind w:left="1340" w:hanging="360"/>
        <w:tabs>
          <w:tab w:val="num" w:pos="1340" w:leader="none"/>
        </w:tabs>
      </w:pPr>
      <w:rPr>
        <w:rFonts w:hint="eastAsia"/>
      </w:rPr>
    </w:lvl>
    <w:lvl w:ilvl="2">
      <w:start w:val="1"/>
      <w:numFmt w:val="japaneseCounting"/>
      <w:isLgl w:val="false"/>
      <w:suff w:val="tab"/>
      <w:lvlText w:val="%3、"/>
      <w:lvlJc w:val="left"/>
      <w:pPr>
        <w:pStyle w:val="929"/>
        <w:ind w:left="1820" w:hanging="420"/>
        <w:tabs>
          <w:tab w:val="num" w:pos="1820" w:leader="none"/>
        </w:tabs>
      </w:pPr>
      <w:rPr>
        <w:rFonts w:hint="eastAsia"/>
      </w:rPr>
    </w:lvl>
    <w:lvl w:ilvl="3">
      <w:start w:val="1"/>
      <w:numFmt w:val="decimal"/>
      <w:isLgl w:val="false"/>
      <w:suff w:val="tab"/>
      <w:lvlText w:val="%4."/>
      <w:lvlJc w:val="left"/>
      <w:pPr>
        <w:pStyle w:val="929"/>
        <w:ind w:left="2240" w:hanging="420"/>
        <w:tabs>
          <w:tab w:val="num" w:pos="2240" w:leader="none"/>
        </w:tabs>
      </w:pPr>
    </w:lvl>
    <w:lvl w:ilvl="4">
      <w:start w:val="1"/>
      <w:numFmt w:val="lowerLetter"/>
      <w:isLgl w:val="false"/>
      <w:suff w:val="tab"/>
      <w:lvlText w:val="%5)"/>
      <w:lvlJc w:val="left"/>
      <w:pPr>
        <w:pStyle w:val="929"/>
        <w:ind w:left="2660" w:hanging="420"/>
        <w:tabs>
          <w:tab w:val="num" w:pos="2660" w:leader="none"/>
        </w:tabs>
      </w:pPr>
    </w:lvl>
    <w:lvl w:ilvl="5">
      <w:start w:val="1"/>
      <w:numFmt w:val="lowerRoman"/>
      <w:isLgl w:val="false"/>
      <w:suff w:val="tab"/>
      <w:lvlText w:val="%6."/>
      <w:lvlJc w:val="right"/>
      <w:pPr>
        <w:pStyle w:val="929"/>
        <w:ind w:left="3080" w:hanging="420"/>
        <w:tabs>
          <w:tab w:val="num" w:pos="3080" w:leader="none"/>
        </w:tabs>
      </w:pPr>
    </w:lvl>
    <w:lvl w:ilvl="6">
      <w:start w:val="1"/>
      <w:numFmt w:val="decimal"/>
      <w:isLgl w:val="false"/>
      <w:suff w:val="tab"/>
      <w:lvlText w:val="%7."/>
      <w:lvlJc w:val="left"/>
      <w:pPr>
        <w:pStyle w:val="929"/>
        <w:ind w:left="3500" w:hanging="420"/>
        <w:tabs>
          <w:tab w:val="num" w:pos="3500" w:leader="none"/>
        </w:tabs>
      </w:pPr>
    </w:lvl>
    <w:lvl w:ilvl="7">
      <w:start w:val="1"/>
      <w:numFmt w:val="lowerLetter"/>
      <w:isLgl w:val="false"/>
      <w:suff w:val="tab"/>
      <w:lvlText w:val="%8)"/>
      <w:lvlJc w:val="left"/>
      <w:pPr>
        <w:pStyle w:val="929"/>
        <w:ind w:left="3920" w:hanging="420"/>
        <w:tabs>
          <w:tab w:val="num" w:pos="3920" w:leader="none"/>
        </w:tabs>
      </w:pPr>
    </w:lvl>
    <w:lvl w:ilvl="8">
      <w:start w:val="1"/>
      <w:numFmt w:val="lowerRoman"/>
      <w:isLgl w:val="false"/>
      <w:suff w:val="tab"/>
      <w:lvlText w:val="%9."/>
      <w:lvlJc w:val="right"/>
      <w:pPr>
        <w:pStyle w:val="929"/>
        <w:ind w:left="4340" w:hanging="420"/>
        <w:tabs>
          <w:tab w:val="num" w:pos="4340" w:leader="none"/>
        </w:tabs>
      </w:pPr>
    </w:lvl>
  </w:abstractNum>
  <w:abstractNum w:abstractNumId="13">
    <w:multiLevelType w:val="hybridMultilevel"/>
    <w:lvl w:ilvl="0">
      <w:start w:val="1"/>
      <w:numFmt w:val="decimal"/>
      <w:isLgl w:val="false"/>
      <w:suff w:val="tab"/>
      <w:lvlText w:val="%1."/>
      <w:lvlJc w:val="left"/>
      <w:pPr>
        <w:pStyle w:val="929"/>
        <w:ind w:left="510" w:hanging="360"/>
        <w:tabs>
          <w:tab w:val="num" w:pos="510" w:leader="none"/>
        </w:tabs>
      </w:pPr>
      <w:rPr>
        <w:rFonts w:hint="eastAsia" w:cs="Times New Roman"/>
      </w:rPr>
    </w:lvl>
    <w:lvl w:ilvl="1">
      <w:start w:val="1"/>
      <w:numFmt w:val="decimal"/>
      <w:isLgl w:val="false"/>
      <w:suff w:val="tab"/>
      <w:lvlText w:val="%2．"/>
      <w:lvlJc w:val="left"/>
      <w:pPr>
        <w:pStyle w:val="929"/>
        <w:ind w:left="1290" w:hanging="720"/>
        <w:tabs>
          <w:tab w:val="num" w:pos="1290" w:leader="none"/>
        </w:tabs>
      </w:pPr>
      <w:rPr>
        <w:rFonts w:hint="eastAsia" w:cs="Times New Roman"/>
      </w:rPr>
    </w:lvl>
    <w:lvl w:ilvl="2">
      <w:start w:val="3"/>
      <w:numFmt w:val="decimal"/>
      <w:isLgl w:val="false"/>
      <w:suff w:val="tab"/>
      <w:lvlText w:val="（%3）"/>
      <w:lvlJc w:val="left"/>
      <w:pPr>
        <w:pStyle w:val="929"/>
        <w:ind w:left="1140" w:hanging="720"/>
        <w:tabs>
          <w:tab w:val="num" w:pos="1140" w:leader="none"/>
        </w:tabs>
      </w:pPr>
      <w:rPr>
        <w:rFonts w:hint="eastAsia" w:cs="Times New Roman"/>
      </w:rPr>
    </w:lvl>
    <w:lvl w:ilvl="3">
      <w:start w:val="1"/>
      <w:numFmt w:val="decimal"/>
      <w:isLgl w:val="false"/>
      <w:suff w:val="tab"/>
      <w:lvlText w:val="（%4）"/>
      <w:lvlJc w:val="left"/>
      <w:pPr>
        <w:pStyle w:val="92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9"/>
        <w:ind w:left="2250" w:hanging="420"/>
        <w:tabs>
          <w:tab w:val="num" w:pos="2250" w:leader="none"/>
        </w:tabs>
      </w:pPr>
      <w:rPr>
        <w:rFonts w:hint="eastAsia"/>
        <w:b/>
        <w:lang w:val="en-US"/>
      </w:rPr>
    </w:lvl>
    <w:lvl w:ilvl="5">
      <w:start w:val="10"/>
      <w:numFmt w:val="japaneseCounting"/>
      <w:isLgl w:val="false"/>
      <w:suff w:val="tab"/>
      <w:lvlText w:val="（%6）"/>
      <w:lvlJc w:val="left"/>
      <w:pPr>
        <w:pStyle w:val="929"/>
        <w:ind w:left="2970" w:hanging="720"/>
      </w:pPr>
      <w:rPr>
        <w:rFonts w:cs="Times New Roman"/>
      </w:rPr>
    </w:lvl>
    <w:lvl w:ilvl="6">
      <w:start w:val="1"/>
      <w:numFmt w:val="decimal"/>
      <w:isLgl w:val="false"/>
      <w:suff w:val="tab"/>
      <w:lvlText w:val="（%7）"/>
      <w:lvlJc w:val="left"/>
      <w:pPr>
        <w:pStyle w:val="92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9"/>
        <w:ind w:left="3510" w:hanging="420"/>
        <w:tabs>
          <w:tab w:val="num" w:pos="3510" w:leader="none"/>
        </w:tabs>
      </w:pPr>
      <w:rPr>
        <w:rFonts w:cs="Times New Roman"/>
      </w:rPr>
    </w:lvl>
    <w:lvl w:ilvl="8">
      <w:start w:val="1"/>
      <w:numFmt w:val="lowerRoman"/>
      <w:isLgl w:val="false"/>
      <w:suff w:val="tab"/>
      <w:lvlText w:val="%9."/>
      <w:lvlJc w:val="right"/>
      <w:pPr>
        <w:pStyle w:val="929"/>
        <w:ind w:left="3930" w:hanging="420"/>
        <w:tabs>
          <w:tab w:val="num" w:pos="3930" w:leader="none"/>
        </w:tabs>
      </w:pPr>
      <w:rPr>
        <w:rFonts w:cs="Times New Roman"/>
      </w:rPr>
    </w:lvl>
  </w:abstractNum>
  <w:abstractNum w:abstractNumId="14">
    <w:multiLevelType w:val="hybridMultilevel"/>
    <w:lvl w:ilvl="0">
      <w:start w:val="1"/>
      <w:numFmt w:val="decimal"/>
      <w:isLgl w:val="false"/>
      <w:suff w:val="tab"/>
      <w:lvlText w:val="%1、"/>
      <w:lvlJc w:val="left"/>
      <w:pPr>
        <w:pStyle w:val="929"/>
        <w:ind w:left="840" w:hanging="360"/>
      </w:pPr>
    </w:lvl>
    <w:lvl w:ilvl="1">
      <w:start w:val="1"/>
      <w:numFmt w:val="lowerLetter"/>
      <w:isLgl w:val="false"/>
      <w:suff w:val="tab"/>
      <w:lvlText w:val="%2)"/>
      <w:lvlJc w:val="left"/>
      <w:pPr>
        <w:pStyle w:val="929"/>
        <w:ind w:left="1360" w:hanging="440"/>
      </w:pPr>
    </w:lvl>
    <w:lvl w:ilvl="2">
      <w:start w:val="1"/>
      <w:numFmt w:val="lowerRoman"/>
      <w:isLgl w:val="false"/>
      <w:suff w:val="tab"/>
      <w:lvlText w:val="%3."/>
      <w:lvlJc w:val="right"/>
      <w:pPr>
        <w:pStyle w:val="929"/>
        <w:ind w:left="1800" w:hanging="440"/>
      </w:pPr>
    </w:lvl>
    <w:lvl w:ilvl="3">
      <w:start w:val="1"/>
      <w:numFmt w:val="decimal"/>
      <w:isLgl w:val="false"/>
      <w:suff w:val="tab"/>
      <w:lvlText w:val="%4."/>
      <w:lvlJc w:val="left"/>
      <w:pPr>
        <w:pStyle w:val="929"/>
        <w:ind w:left="2240" w:hanging="440"/>
      </w:pPr>
    </w:lvl>
    <w:lvl w:ilvl="4">
      <w:start w:val="1"/>
      <w:numFmt w:val="lowerLetter"/>
      <w:isLgl w:val="false"/>
      <w:suff w:val="tab"/>
      <w:lvlText w:val="%5)"/>
      <w:lvlJc w:val="left"/>
      <w:pPr>
        <w:pStyle w:val="929"/>
        <w:ind w:left="2680" w:hanging="440"/>
      </w:pPr>
    </w:lvl>
    <w:lvl w:ilvl="5">
      <w:start w:val="1"/>
      <w:numFmt w:val="lowerRoman"/>
      <w:isLgl w:val="false"/>
      <w:suff w:val="tab"/>
      <w:lvlText w:val="%6."/>
      <w:lvlJc w:val="right"/>
      <w:pPr>
        <w:pStyle w:val="929"/>
        <w:ind w:left="3120" w:hanging="440"/>
      </w:pPr>
    </w:lvl>
    <w:lvl w:ilvl="6">
      <w:start w:val="1"/>
      <w:numFmt w:val="decimal"/>
      <w:isLgl w:val="false"/>
      <w:suff w:val="tab"/>
      <w:lvlText w:val="%7."/>
      <w:lvlJc w:val="left"/>
      <w:pPr>
        <w:pStyle w:val="929"/>
        <w:ind w:left="3560" w:hanging="440"/>
      </w:pPr>
    </w:lvl>
    <w:lvl w:ilvl="7">
      <w:start w:val="1"/>
      <w:numFmt w:val="lowerLetter"/>
      <w:isLgl w:val="false"/>
      <w:suff w:val="tab"/>
      <w:lvlText w:val="%8)"/>
      <w:lvlJc w:val="left"/>
      <w:pPr>
        <w:pStyle w:val="929"/>
        <w:ind w:left="4000" w:hanging="440"/>
      </w:pPr>
    </w:lvl>
    <w:lvl w:ilvl="8">
      <w:start w:val="1"/>
      <w:numFmt w:val="lowerRoman"/>
      <w:isLgl w:val="false"/>
      <w:suff w:val="tab"/>
      <w:lvlText w:val="%9."/>
      <w:lvlJc w:val="right"/>
      <w:pPr>
        <w:pStyle w:val="929"/>
        <w:ind w:left="4440" w:hanging="440"/>
      </w:pPr>
    </w:lvl>
  </w:abstractNum>
  <w:abstractNum w:abstractNumId="15">
    <w:multiLevelType w:val="hybridMultilevel"/>
    <w:lvl w:ilvl="0">
      <w:start w:val="8"/>
      <w:numFmt w:val="japaneseCounting"/>
      <w:isLgl w:val="false"/>
      <w:suff w:val="tab"/>
      <w:lvlText w:val="（%1）"/>
      <w:lvlJc w:val="left"/>
      <w:pPr>
        <w:pStyle w:val="929"/>
        <w:ind w:left="1239" w:hanging="720"/>
      </w:pPr>
      <w:rPr>
        <w:rFonts w:hAnsi="宋体"/>
      </w:rPr>
    </w:lvl>
    <w:lvl w:ilvl="1">
      <w:start w:val="1"/>
      <w:numFmt w:val="lowerLetter"/>
      <w:isLgl w:val="false"/>
      <w:suff w:val="tab"/>
      <w:lvlText w:val="%2)"/>
      <w:lvlJc w:val="left"/>
      <w:pPr>
        <w:pStyle w:val="929"/>
        <w:ind w:left="1359" w:hanging="420"/>
      </w:pPr>
    </w:lvl>
    <w:lvl w:ilvl="2">
      <w:start w:val="1"/>
      <w:numFmt w:val="lowerRoman"/>
      <w:isLgl w:val="false"/>
      <w:suff w:val="tab"/>
      <w:lvlText w:val="%3."/>
      <w:lvlJc w:val="right"/>
      <w:pPr>
        <w:pStyle w:val="929"/>
        <w:ind w:left="1779" w:hanging="420"/>
      </w:pPr>
    </w:lvl>
    <w:lvl w:ilvl="3">
      <w:start w:val="1"/>
      <w:numFmt w:val="decimal"/>
      <w:isLgl w:val="false"/>
      <w:suff w:val="tab"/>
      <w:lvlText w:val="%4."/>
      <w:lvlJc w:val="left"/>
      <w:pPr>
        <w:pStyle w:val="929"/>
        <w:ind w:left="2199" w:hanging="420"/>
      </w:pPr>
    </w:lvl>
    <w:lvl w:ilvl="4">
      <w:start w:val="1"/>
      <w:numFmt w:val="lowerLetter"/>
      <w:isLgl w:val="false"/>
      <w:suff w:val="tab"/>
      <w:lvlText w:val="%5)"/>
      <w:lvlJc w:val="left"/>
      <w:pPr>
        <w:pStyle w:val="929"/>
        <w:ind w:left="2619" w:hanging="420"/>
      </w:pPr>
    </w:lvl>
    <w:lvl w:ilvl="5">
      <w:start w:val="1"/>
      <w:numFmt w:val="lowerRoman"/>
      <w:isLgl w:val="false"/>
      <w:suff w:val="tab"/>
      <w:lvlText w:val="%6."/>
      <w:lvlJc w:val="right"/>
      <w:pPr>
        <w:pStyle w:val="929"/>
        <w:ind w:left="3039" w:hanging="420"/>
      </w:pPr>
    </w:lvl>
    <w:lvl w:ilvl="6">
      <w:start w:val="1"/>
      <w:numFmt w:val="decimal"/>
      <w:isLgl w:val="false"/>
      <w:suff w:val="tab"/>
      <w:lvlText w:val="%7."/>
      <w:lvlJc w:val="left"/>
      <w:pPr>
        <w:pStyle w:val="929"/>
        <w:ind w:left="3459" w:hanging="420"/>
      </w:pPr>
    </w:lvl>
    <w:lvl w:ilvl="7">
      <w:start w:val="1"/>
      <w:numFmt w:val="lowerLetter"/>
      <w:isLgl w:val="false"/>
      <w:suff w:val="tab"/>
      <w:lvlText w:val="%8)"/>
      <w:lvlJc w:val="left"/>
      <w:pPr>
        <w:pStyle w:val="929"/>
        <w:ind w:left="3879" w:hanging="420"/>
      </w:pPr>
    </w:lvl>
    <w:lvl w:ilvl="8">
      <w:start w:val="1"/>
      <w:numFmt w:val="lowerRoman"/>
      <w:isLgl w:val="false"/>
      <w:suff w:val="tab"/>
      <w:lvlText w:val="%9."/>
      <w:lvlJc w:val="right"/>
      <w:pPr>
        <w:pStyle w:val="929"/>
        <w:ind w:left="4299" w:hanging="420"/>
      </w:pPr>
    </w:lvl>
  </w:abstractNum>
  <w:abstractNum w:abstractNumId="16">
    <w:multiLevelType w:val="hybridMultilevel"/>
    <w:lvl w:ilvl="0">
      <w:start w:val="1"/>
      <w:numFmt w:val="decimal"/>
      <w:isLgl w:val="false"/>
      <w:suff w:val="tab"/>
      <w:lvlText w:val="（%1）"/>
      <w:lvlJc w:val="left"/>
      <w:pPr>
        <w:pStyle w:val="929"/>
        <w:ind w:left="900" w:hanging="420"/>
      </w:pPr>
    </w:lvl>
    <w:lvl w:ilvl="1">
      <w:start w:val="1"/>
      <w:numFmt w:val="lowerLetter"/>
      <w:isLgl w:val="false"/>
      <w:suff w:val="tab"/>
      <w:lvlText w:val="%2)"/>
      <w:lvlJc w:val="left"/>
      <w:pPr>
        <w:pStyle w:val="929"/>
        <w:ind w:left="1320" w:hanging="420"/>
      </w:pPr>
    </w:lvl>
    <w:lvl w:ilvl="2">
      <w:start w:val="1"/>
      <w:numFmt w:val="lowerRoman"/>
      <w:isLgl w:val="false"/>
      <w:suff w:val="tab"/>
      <w:lvlText w:val="%3."/>
      <w:lvlJc w:val="right"/>
      <w:pPr>
        <w:pStyle w:val="929"/>
        <w:ind w:left="1740" w:hanging="420"/>
      </w:pPr>
    </w:lvl>
    <w:lvl w:ilvl="3">
      <w:start w:val="1"/>
      <w:numFmt w:val="decimal"/>
      <w:isLgl w:val="false"/>
      <w:suff w:val="tab"/>
      <w:lvlText w:val="%4."/>
      <w:lvlJc w:val="left"/>
      <w:pPr>
        <w:pStyle w:val="929"/>
        <w:ind w:left="2160" w:hanging="420"/>
      </w:pPr>
    </w:lvl>
    <w:lvl w:ilvl="4">
      <w:start w:val="1"/>
      <w:numFmt w:val="lowerLetter"/>
      <w:isLgl w:val="false"/>
      <w:suff w:val="tab"/>
      <w:lvlText w:val="%5)"/>
      <w:lvlJc w:val="left"/>
      <w:pPr>
        <w:pStyle w:val="929"/>
        <w:ind w:left="2580" w:hanging="420"/>
      </w:pPr>
    </w:lvl>
    <w:lvl w:ilvl="5">
      <w:start w:val="1"/>
      <w:numFmt w:val="lowerRoman"/>
      <w:isLgl w:val="false"/>
      <w:suff w:val="tab"/>
      <w:lvlText w:val="%6."/>
      <w:lvlJc w:val="right"/>
      <w:pPr>
        <w:pStyle w:val="929"/>
        <w:ind w:left="3000" w:hanging="420"/>
      </w:pPr>
    </w:lvl>
    <w:lvl w:ilvl="6">
      <w:start w:val="1"/>
      <w:numFmt w:val="decimal"/>
      <w:isLgl w:val="false"/>
      <w:suff w:val="tab"/>
      <w:lvlText w:val="%7."/>
      <w:lvlJc w:val="left"/>
      <w:pPr>
        <w:pStyle w:val="929"/>
        <w:ind w:left="3420" w:hanging="420"/>
      </w:pPr>
    </w:lvl>
    <w:lvl w:ilvl="7">
      <w:start w:val="1"/>
      <w:numFmt w:val="lowerLetter"/>
      <w:isLgl w:val="false"/>
      <w:suff w:val="tab"/>
      <w:lvlText w:val="%8)"/>
      <w:lvlJc w:val="left"/>
      <w:pPr>
        <w:pStyle w:val="929"/>
        <w:ind w:left="3840" w:hanging="420"/>
      </w:pPr>
    </w:lvl>
    <w:lvl w:ilvl="8">
      <w:start w:val="1"/>
      <w:numFmt w:val="lowerRoman"/>
      <w:isLgl w:val="false"/>
      <w:suff w:val="tab"/>
      <w:lvlText w:val="%9."/>
      <w:lvlJc w:val="right"/>
      <w:pPr>
        <w:pStyle w:val="929"/>
        <w:ind w:left="4260" w:hanging="420"/>
      </w:pPr>
    </w:lvl>
  </w:abstractNum>
  <w:abstractNum w:abstractNumId="17">
    <w:multiLevelType w:val="hybridMultilevel"/>
    <w:lvl w:ilvl="0">
      <w:start w:val="1"/>
      <w:numFmt w:val="decimal"/>
      <w:pStyle w:val="1026"/>
      <w:isLgl w:val="false"/>
      <w:suff w:val="tab"/>
      <w:lvlText w:val="%1."/>
      <w:lvlJc w:val="left"/>
      <w:pPr>
        <w:pStyle w:val="929"/>
        <w:ind w:left="709" w:hanging="709"/>
        <w:tabs>
          <w:tab w:val="num" w:pos="709" w:leader="none"/>
        </w:tabs>
      </w:pPr>
      <w:rPr>
        <w:rFonts w:hint="eastAsia"/>
      </w:rPr>
    </w:lvl>
    <w:lvl w:ilvl="1">
      <w:start w:val="1"/>
      <w:numFmt w:val="decimal"/>
      <w:isLgl w:val="false"/>
      <w:suff w:val="tab"/>
      <w:lvlText w:val="%1.%2"/>
      <w:lvlJc w:val="left"/>
      <w:pPr>
        <w:pStyle w:val="929"/>
        <w:ind w:left="709" w:hanging="709"/>
        <w:tabs>
          <w:tab w:val="num" w:pos="709" w:leader="none"/>
        </w:tabs>
      </w:pPr>
      <w:rPr>
        <w:rFonts w:hint="eastAsia"/>
      </w:rPr>
    </w:lvl>
    <w:lvl w:ilvl="2">
      <w:start w:val="1"/>
      <w:numFmt w:val="decimal"/>
      <w:isLgl w:val="false"/>
      <w:suff w:val="tab"/>
      <w:lvlText w:val="%1.%2.%3."/>
      <w:lvlJc w:val="left"/>
      <w:pPr>
        <w:pStyle w:val="929"/>
        <w:ind w:left="425" w:hanging="425"/>
        <w:tabs>
          <w:tab w:val="num" w:pos="425" w:leader="none"/>
        </w:tabs>
      </w:pPr>
      <w:rPr>
        <w:rFonts w:hint="eastAsia"/>
      </w:rPr>
    </w:lvl>
    <w:lvl w:ilvl="3">
      <w:start w:val="1"/>
      <w:numFmt w:val="decimal"/>
      <w:isLgl w:val="false"/>
      <w:suff w:val="tab"/>
      <w:lvlText w:val="%1.%2.%3.%4."/>
      <w:lvlJc w:val="left"/>
      <w:pPr>
        <w:pStyle w:val="929"/>
        <w:ind w:left="851" w:hanging="851"/>
        <w:tabs>
          <w:tab w:val="num" w:pos="851" w:leader="none"/>
        </w:tabs>
      </w:pPr>
      <w:rPr>
        <w:rFonts w:hint="eastAsia"/>
      </w:rPr>
    </w:lvl>
    <w:lvl w:ilvl="4">
      <w:start w:val="1"/>
      <w:numFmt w:val="decimal"/>
      <w:isLgl w:val="false"/>
      <w:suff w:val="tab"/>
      <w:lvlText w:val="%1.%2.%3.%4.%5."/>
      <w:lvlJc w:val="left"/>
      <w:pPr>
        <w:pStyle w:val="929"/>
        <w:ind w:left="992" w:hanging="992"/>
        <w:tabs>
          <w:tab w:val="num" w:pos="992" w:leader="none"/>
        </w:tabs>
      </w:pPr>
      <w:rPr>
        <w:rFonts w:hint="eastAsia"/>
      </w:rPr>
    </w:lvl>
    <w:lvl w:ilvl="5">
      <w:start w:val="1"/>
      <w:numFmt w:val="decimal"/>
      <w:isLgl w:val="false"/>
      <w:suff w:val="tab"/>
      <w:lvlText w:val="%1.%2.%3.%4.%5.%6."/>
      <w:lvlJc w:val="left"/>
      <w:pPr>
        <w:pStyle w:val="929"/>
        <w:ind w:left="1134" w:hanging="1134"/>
        <w:tabs>
          <w:tab w:val="num" w:pos="1134" w:leader="none"/>
        </w:tabs>
      </w:pPr>
      <w:rPr>
        <w:rFonts w:hint="eastAsia"/>
      </w:rPr>
    </w:lvl>
    <w:lvl w:ilvl="6">
      <w:start w:val="1"/>
      <w:numFmt w:val="decimal"/>
      <w:isLgl w:val="false"/>
      <w:suff w:val="tab"/>
      <w:lvlText w:val="%1.%2.%3.%4.%5.%6.%7."/>
      <w:lvlJc w:val="left"/>
      <w:pPr>
        <w:pStyle w:val="929"/>
        <w:ind w:left="1276" w:hanging="1276"/>
        <w:tabs>
          <w:tab w:val="num" w:pos="1276" w:leader="none"/>
        </w:tabs>
      </w:pPr>
      <w:rPr>
        <w:rFonts w:hint="eastAsia"/>
      </w:rPr>
    </w:lvl>
    <w:lvl w:ilvl="7">
      <w:start w:val="1"/>
      <w:numFmt w:val="decimal"/>
      <w:isLgl w:val="false"/>
      <w:suff w:val="tab"/>
      <w:lvlText w:val="%1.%2.%3.%4.%5.%6.%7.%8."/>
      <w:lvlJc w:val="left"/>
      <w:pPr>
        <w:pStyle w:val="929"/>
        <w:ind w:left="1418" w:hanging="1418"/>
        <w:tabs>
          <w:tab w:val="num" w:pos="1418" w:leader="none"/>
        </w:tabs>
      </w:pPr>
      <w:rPr>
        <w:rFonts w:hint="eastAsia"/>
      </w:rPr>
    </w:lvl>
    <w:lvl w:ilvl="8">
      <w:start w:val="1"/>
      <w:numFmt w:val="decimal"/>
      <w:isLgl w:val="false"/>
      <w:suff w:val="tab"/>
      <w:lvlText w:val="%1.%2.%3.%4.%5.%6.%7.%8.%9."/>
      <w:lvlJc w:val="left"/>
      <w:pPr>
        <w:pStyle w:val="929"/>
        <w:ind w:left="1559" w:hanging="1559"/>
        <w:tabs>
          <w:tab w:val="num" w:pos="1559" w:leader="none"/>
        </w:tabs>
      </w:pPr>
      <w:rPr>
        <w:rFonts w:hint="eastAsia"/>
      </w:rPr>
    </w:lvl>
  </w:abstractNum>
  <w:abstractNum w:abstractNumId="18">
    <w:multiLevelType w:val="hybridMultilevel"/>
    <w:lvl w:ilvl="0">
      <w:start w:val="1"/>
      <w:numFmt w:val="decimal"/>
      <w:isLgl w:val="false"/>
      <w:suff w:val="tab"/>
      <w:lvlText w:val="（%1）"/>
      <w:lvlJc w:val="left"/>
      <w:pPr>
        <w:pStyle w:val="929"/>
        <w:ind w:left="1200" w:hanging="720"/>
      </w:pPr>
    </w:lvl>
    <w:lvl w:ilvl="1">
      <w:start w:val="1"/>
      <w:numFmt w:val="lowerLetter"/>
      <w:isLgl w:val="false"/>
      <w:suff w:val="tab"/>
      <w:lvlText w:val="%2)"/>
      <w:lvlJc w:val="left"/>
      <w:pPr>
        <w:pStyle w:val="929"/>
        <w:ind w:left="1320" w:hanging="420"/>
      </w:pPr>
    </w:lvl>
    <w:lvl w:ilvl="2">
      <w:start w:val="1"/>
      <w:numFmt w:val="lowerRoman"/>
      <w:isLgl w:val="false"/>
      <w:suff w:val="tab"/>
      <w:lvlText w:val="%3."/>
      <w:lvlJc w:val="right"/>
      <w:pPr>
        <w:pStyle w:val="929"/>
        <w:ind w:left="1740" w:hanging="420"/>
      </w:pPr>
    </w:lvl>
    <w:lvl w:ilvl="3">
      <w:start w:val="1"/>
      <w:numFmt w:val="decimal"/>
      <w:isLgl w:val="false"/>
      <w:suff w:val="tab"/>
      <w:lvlText w:val="%4."/>
      <w:lvlJc w:val="left"/>
      <w:pPr>
        <w:pStyle w:val="929"/>
        <w:ind w:left="2160" w:hanging="420"/>
      </w:pPr>
    </w:lvl>
    <w:lvl w:ilvl="4">
      <w:start w:val="1"/>
      <w:numFmt w:val="lowerLetter"/>
      <w:isLgl w:val="false"/>
      <w:suff w:val="tab"/>
      <w:lvlText w:val="%5)"/>
      <w:lvlJc w:val="left"/>
      <w:pPr>
        <w:pStyle w:val="929"/>
        <w:ind w:left="2580" w:hanging="420"/>
      </w:pPr>
    </w:lvl>
    <w:lvl w:ilvl="5">
      <w:start w:val="1"/>
      <w:numFmt w:val="lowerRoman"/>
      <w:isLgl w:val="false"/>
      <w:suff w:val="tab"/>
      <w:lvlText w:val="%6."/>
      <w:lvlJc w:val="right"/>
      <w:pPr>
        <w:pStyle w:val="929"/>
        <w:ind w:left="3000" w:hanging="420"/>
      </w:pPr>
    </w:lvl>
    <w:lvl w:ilvl="6">
      <w:start w:val="1"/>
      <w:numFmt w:val="decimal"/>
      <w:isLgl w:val="false"/>
      <w:suff w:val="tab"/>
      <w:lvlText w:val="%7."/>
      <w:lvlJc w:val="left"/>
      <w:pPr>
        <w:pStyle w:val="929"/>
        <w:ind w:left="3420" w:hanging="420"/>
      </w:pPr>
    </w:lvl>
    <w:lvl w:ilvl="7">
      <w:start w:val="1"/>
      <w:numFmt w:val="lowerLetter"/>
      <w:isLgl w:val="false"/>
      <w:suff w:val="tab"/>
      <w:lvlText w:val="%8)"/>
      <w:lvlJc w:val="left"/>
      <w:pPr>
        <w:pStyle w:val="929"/>
        <w:ind w:left="3840" w:hanging="420"/>
      </w:pPr>
    </w:lvl>
    <w:lvl w:ilvl="8">
      <w:start w:val="1"/>
      <w:numFmt w:val="lowerRoman"/>
      <w:isLgl w:val="false"/>
      <w:suff w:val="tab"/>
      <w:lvlText w:val="%9."/>
      <w:lvlJc w:val="right"/>
      <w:pPr>
        <w:pStyle w:val="929"/>
        <w:ind w:left="4260" w:hanging="420"/>
      </w:pPr>
    </w:lvl>
  </w:abstractNum>
  <w:abstractNum w:abstractNumId="19">
    <w:multiLevelType w:val="hybridMultilevel"/>
    <w:lvl w:ilvl="0">
      <w:start w:val="1"/>
      <w:numFmt w:val="decimal"/>
      <w:isLgl w:val="false"/>
      <w:suff w:val="tab"/>
      <w:lvlText w:val="%1"/>
      <w:lvlJc w:val="left"/>
      <w:pPr>
        <w:pStyle w:val="929"/>
        <w:ind w:left="432" w:hanging="432"/>
      </w:pPr>
    </w:lvl>
    <w:lvl w:ilvl="1">
      <w:start w:val="1"/>
      <w:numFmt w:val="decimal"/>
      <w:isLgl w:val="false"/>
      <w:suff w:val="tab"/>
      <w:lvlText w:val="%1.%2"/>
      <w:lvlJc w:val="left"/>
      <w:pPr>
        <w:pStyle w:val="929"/>
        <w:ind w:left="576" w:hanging="576"/>
      </w:pPr>
    </w:lvl>
    <w:lvl w:ilvl="2">
      <w:start w:val="1"/>
      <w:numFmt w:val="decimal"/>
      <w:isLgl w:val="false"/>
      <w:suff w:val="tab"/>
      <w:lvlText w:val="%1.%2.%3"/>
      <w:lvlJc w:val="left"/>
      <w:pPr>
        <w:pStyle w:val="929"/>
        <w:ind w:left="720" w:hanging="720"/>
      </w:pPr>
    </w:lvl>
    <w:lvl w:ilvl="3">
      <w:start w:val="1"/>
      <w:numFmt w:val="decimal"/>
      <w:isLgl w:val="false"/>
      <w:suff w:val="tab"/>
      <w:lvlText w:val="%1.%2.%3.%4"/>
      <w:lvlJc w:val="left"/>
      <w:pPr>
        <w:pStyle w:val="929"/>
        <w:ind w:left="864" w:hanging="864"/>
      </w:pPr>
    </w:lvl>
    <w:lvl w:ilvl="4">
      <w:start w:val="1"/>
      <w:numFmt w:val="decimal"/>
      <w:isLgl w:val="false"/>
      <w:suff w:val="tab"/>
      <w:lvlText w:val="%1.%2.%3.%4.%5"/>
      <w:lvlJc w:val="left"/>
      <w:pPr>
        <w:pStyle w:val="929"/>
        <w:ind w:left="1008" w:hanging="1008"/>
      </w:pPr>
    </w:lvl>
    <w:lvl w:ilvl="5">
      <w:start w:val="1"/>
      <w:numFmt w:val="decimal"/>
      <w:isLgl w:val="false"/>
      <w:suff w:val="tab"/>
      <w:lvlText w:val="%1.%2.%3.%4.%5.%6"/>
      <w:lvlJc w:val="left"/>
      <w:pPr>
        <w:pStyle w:val="929"/>
        <w:ind w:left="1152" w:hanging="1152"/>
      </w:pPr>
    </w:lvl>
    <w:lvl w:ilvl="6">
      <w:start w:val="1"/>
      <w:numFmt w:val="decimal"/>
      <w:isLgl w:val="false"/>
      <w:suff w:val="tab"/>
      <w:lvlText w:val="%1.%2.%3.%4.%5.%6.%7"/>
      <w:lvlJc w:val="left"/>
      <w:pPr>
        <w:pStyle w:val="929"/>
        <w:ind w:left="1296" w:hanging="1296"/>
      </w:pPr>
    </w:lvl>
    <w:lvl w:ilvl="7">
      <w:start w:val="1"/>
      <w:numFmt w:val="decimal"/>
      <w:isLgl w:val="false"/>
      <w:suff w:val="tab"/>
      <w:lvlText w:val="%1.%2.%3.%4.%5.%6.%7.%8"/>
      <w:lvlJc w:val="left"/>
      <w:pPr>
        <w:pStyle w:val="929"/>
        <w:ind w:left="1440" w:hanging="1440"/>
      </w:pPr>
    </w:lvl>
    <w:lvl w:ilvl="8">
      <w:start w:val="1"/>
      <w:numFmt w:val="decimal"/>
      <w:isLgl w:val="false"/>
      <w:suff w:val="tab"/>
      <w:lvlText w:val="%1.%2.%3.%4.%5.%6.%7.%8.%9"/>
      <w:lvlJc w:val="left"/>
      <w:pPr>
        <w:pStyle w:val="929"/>
        <w:ind w:left="1584" w:hanging="1584"/>
      </w:pPr>
    </w:lvl>
  </w:abstractNum>
  <w:abstractNum w:abstractNumId="20">
    <w:multiLevelType w:val="hybridMultilevel"/>
    <w:lvl w:ilvl="0">
      <w:start w:val="1"/>
      <w:numFmt w:val="decimal"/>
      <w:isLgl w:val="false"/>
      <w:suff w:val="tab"/>
      <w:lvlText w:val="%1."/>
      <w:lvlJc w:val="left"/>
      <w:pPr>
        <w:pStyle w:val="929"/>
        <w:ind w:left="510" w:hanging="360"/>
        <w:tabs>
          <w:tab w:val="num" w:pos="510" w:leader="none"/>
        </w:tabs>
      </w:pPr>
      <w:rPr>
        <w:rFonts w:hint="eastAsia" w:cs="Times New Roman"/>
      </w:rPr>
    </w:lvl>
    <w:lvl w:ilvl="1">
      <w:start w:val="1"/>
      <w:numFmt w:val="decimal"/>
      <w:isLgl w:val="false"/>
      <w:suff w:val="tab"/>
      <w:lvlText w:val="%2．"/>
      <w:lvlJc w:val="left"/>
      <w:pPr>
        <w:pStyle w:val="929"/>
        <w:ind w:left="1290" w:hanging="720"/>
        <w:tabs>
          <w:tab w:val="num" w:pos="1290" w:leader="none"/>
        </w:tabs>
      </w:pPr>
      <w:rPr>
        <w:rFonts w:hint="eastAsia" w:cs="Times New Roman"/>
      </w:rPr>
    </w:lvl>
    <w:lvl w:ilvl="2">
      <w:start w:val="3"/>
      <w:numFmt w:val="decimal"/>
      <w:isLgl w:val="false"/>
      <w:suff w:val="tab"/>
      <w:lvlText w:val="（%3）"/>
      <w:lvlJc w:val="left"/>
      <w:pPr>
        <w:pStyle w:val="929"/>
        <w:ind w:left="1140" w:hanging="720"/>
        <w:tabs>
          <w:tab w:val="num" w:pos="1140" w:leader="none"/>
        </w:tabs>
      </w:pPr>
      <w:rPr>
        <w:rFonts w:hint="eastAsia" w:cs="Times New Roman"/>
      </w:rPr>
    </w:lvl>
    <w:lvl w:ilvl="3">
      <w:start w:val="1"/>
      <w:numFmt w:val="decimal"/>
      <w:isLgl w:val="false"/>
      <w:suff w:val="tab"/>
      <w:lvlText w:val="（%4）"/>
      <w:lvlJc w:val="left"/>
      <w:pPr>
        <w:pStyle w:val="92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9"/>
        <w:ind w:left="2250" w:hanging="420"/>
        <w:tabs>
          <w:tab w:val="num" w:pos="2250" w:leader="none"/>
        </w:tabs>
      </w:pPr>
      <w:rPr>
        <w:rFonts w:hint="eastAsia"/>
        <w:b/>
        <w:lang w:val="en-US"/>
      </w:rPr>
    </w:lvl>
    <w:lvl w:ilvl="5">
      <w:start w:val="10"/>
      <w:numFmt w:val="japaneseCounting"/>
      <w:isLgl w:val="false"/>
      <w:suff w:val="tab"/>
      <w:lvlText w:val="（%6）"/>
      <w:lvlJc w:val="left"/>
      <w:pPr>
        <w:pStyle w:val="929"/>
        <w:ind w:left="2970" w:hanging="720"/>
      </w:pPr>
      <w:rPr>
        <w:rFonts w:cs="Times New Roman"/>
      </w:rPr>
    </w:lvl>
    <w:lvl w:ilvl="6">
      <w:start w:val="1"/>
      <w:numFmt w:val="decimal"/>
      <w:isLgl w:val="false"/>
      <w:suff w:val="tab"/>
      <w:lvlText w:val="（%7）"/>
      <w:lvlJc w:val="left"/>
      <w:pPr>
        <w:pStyle w:val="92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9"/>
        <w:ind w:left="3510" w:hanging="420"/>
        <w:tabs>
          <w:tab w:val="num" w:pos="3510" w:leader="none"/>
        </w:tabs>
      </w:pPr>
      <w:rPr>
        <w:rFonts w:cs="Times New Roman"/>
      </w:rPr>
    </w:lvl>
    <w:lvl w:ilvl="8">
      <w:start w:val="1"/>
      <w:numFmt w:val="lowerRoman"/>
      <w:isLgl w:val="false"/>
      <w:suff w:val="tab"/>
      <w:lvlText w:val="%9."/>
      <w:lvlJc w:val="right"/>
      <w:pPr>
        <w:pStyle w:val="929"/>
        <w:ind w:left="3930" w:hanging="420"/>
        <w:tabs>
          <w:tab w:val="num" w:pos="3930" w:leader="none"/>
        </w:tabs>
      </w:pPr>
      <w:rPr>
        <w:rFonts w:cs="Times New Roman"/>
      </w:rPr>
    </w:lvl>
  </w:abstractNum>
  <w:abstractNum w:abstractNumId="21">
    <w:multiLevelType w:val="hybridMultilevel"/>
    <w:lvl w:ilvl="0">
      <w:start w:val="1"/>
      <w:numFmt w:val="japaneseCounting"/>
      <w:isLgl w:val="false"/>
      <w:suff w:val="tab"/>
      <w:lvlText w:val="（%1）"/>
      <w:lvlJc w:val="left"/>
      <w:pPr>
        <w:pStyle w:val="929"/>
        <w:ind w:left="1080" w:hanging="1080"/>
        <w:tabs>
          <w:tab w:val="num" w:pos="1080" w:leader="none"/>
        </w:tabs>
      </w:pPr>
      <w:rPr>
        <w:rFonts w:hint="eastAsia" w:cs="Times New Roman"/>
      </w:rPr>
    </w:lvl>
    <w:lvl w:ilvl="1">
      <w:start w:val="1"/>
      <w:numFmt w:val="decimal"/>
      <w:isLgl w:val="false"/>
      <w:suff w:val="tab"/>
      <w:lvlText w:val="%2."/>
      <w:lvlJc w:val="left"/>
      <w:pPr>
        <w:pStyle w:val="929"/>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29"/>
        <w:ind w:left="1260" w:hanging="420"/>
        <w:tabs>
          <w:tab w:val="num" w:pos="1260" w:leader="none"/>
        </w:tabs>
      </w:pPr>
      <w:rPr>
        <w:rFonts w:cs="Times New Roman"/>
      </w:rPr>
    </w:lvl>
    <w:lvl w:ilvl="3">
      <w:start w:val="1"/>
      <w:numFmt w:val="decimal"/>
      <w:isLgl w:val="false"/>
      <w:suff w:val="tab"/>
      <w:lvlText w:val="%4."/>
      <w:lvlJc w:val="left"/>
      <w:pPr>
        <w:pStyle w:val="929"/>
        <w:ind w:left="1680" w:hanging="420"/>
        <w:tabs>
          <w:tab w:val="num" w:pos="1680" w:leader="none"/>
        </w:tabs>
      </w:pPr>
      <w:rPr>
        <w:rFonts w:cs="Times New Roman"/>
      </w:rPr>
    </w:lvl>
    <w:lvl w:ilvl="4">
      <w:start w:val="1"/>
      <w:numFmt w:val="lowerLetter"/>
      <w:isLgl w:val="false"/>
      <w:suff w:val="tab"/>
      <w:lvlText w:val="%5)"/>
      <w:lvlJc w:val="left"/>
      <w:pPr>
        <w:pStyle w:val="929"/>
        <w:ind w:left="2100" w:hanging="420"/>
        <w:tabs>
          <w:tab w:val="num" w:pos="2100" w:leader="none"/>
        </w:tabs>
      </w:pPr>
      <w:rPr>
        <w:rFonts w:cs="Times New Roman"/>
      </w:rPr>
    </w:lvl>
    <w:lvl w:ilvl="5">
      <w:start w:val="1"/>
      <w:numFmt w:val="lowerRoman"/>
      <w:isLgl w:val="false"/>
      <w:suff w:val="tab"/>
      <w:lvlText w:val="%6."/>
      <w:lvlJc w:val="right"/>
      <w:pPr>
        <w:pStyle w:val="929"/>
        <w:ind w:left="2520" w:hanging="420"/>
        <w:tabs>
          <w:tab w:val="num" w:pos="2520" w:leader="none"/>
        </w:tabs>
      </w:pPr>
      <w:rPr>
        <w:rFonts w:cs="Times New Roman"/>
      </w:rPr>
    </w:lvl>
    <w:lvl w:ilvl="6">
      <w:start w:val="1"/>
      <w:numFmt w:val="decimal"/>
      <w:isLgl w:val="false"/>
      <w:suff w:val="tab"/>
      <w:lvlText w:val="%7."/>
      <w:lvlJc w:val="left"/>
      <w:pPr>
        <w:pStyle w:val="929"/>
        <w:ind w:left="2940" w:hanging="420"/>
        <w:tabs>
          <w:tab w:val="num" w:pos="2940" w:leader="none"/>
        </w:tabs>
      </w:pPr>
      <w:rPr>
        <w:rFonts w:cs="Times New Roman"/>
      </w:rPr>
    </w:lvl>
    <w:lvl w:ilvl="7">
      <w:start w:val="1"/>
      <w:numFmt w:val="lowerLetter"/>
      <w:isLgl w:val="false"/>
      <w:suff w:val="tab"/>
      <w:lvlText w:val="%8)"/>
      <w:lvlJc w:val="left"/>
      <w:pPr>
        <w:pStyle w:val="929"/>
        <w:ind w:left="3360" w:hanging="420"/>
        <w:tabs>
          <w:tab w:val="num" w:pos="3360" w:leader="none"/>
        </w:tabs>
      </w:pPr>
      <w:rPr>
        <w:rFonts w:cs="Times New Roman"/>
      </w:rPr>
    </w:lvl>
    <w:lvl w:ilvl="8">
      <w:start w:val="1"/>
      <w:numFmt w:val="lowerRoman"/>
      <w:isLgl w:val="false"/>
      <w:suff w:val="tab"/>
      <w:lvlText w:val="%9."/>
      <w:lvlJc w:val="right"/>
      <w:pPr>
        <w:pStyle w:val="929"/>
        <w:ind w:left="3780" w:hanging="420"/>
        <w:tabs>
          <w:tab w:val="num" w:pos="3780" w:leader="none"/>
        </w:tabs>
      </w:pPr>
      <w:rPr>
        <w:rFonts w:cs="Times New Roman"/>
      </w:rPr>
    </w:lvl>
  </w:abstractNum>
  <w:abstractNum w:abstractNumId="22">
    <w:multiLevelType w:val="hybridMultilevel"/>
    <w:lvl w:ilvl="0">
      <w:start w:val="1"/>
      <w:numFmt w:val="chineseCountingThousand"/>
      <w:isLgl w:val="false"/>
      <w:suff w:val="nothing"/>
      <w:lvlText w:val="第%1章 "/>
      <w:lvlJc w:val="left"/>
      <w:pPr>
        <w:pStyle w:val="929"/>
        <w:ind w:left="0" w:firstLine="0"/>
      </w:pPr>
      <w:rPr>
        <w:rFonts w:hint="eastAsia"/>
      </w:rPr>
    </w:lvl>
    <w:lvl w:ilvl="1">
      <w:start w:val="1"/>
      <w:numFmt w:val="decimal"/>
      <w:isLgl w:val="false"/>
      <w:suff w:val="nothing"/>
      <w:lvlText w:val="%2、"/>
      <w:lvlJc w:val="left"/>
      <w:pPr>
        <w:pStyle w:val="929"/>
        <w:ind w:left="0" w:firstLine="0"/>
      </w:pPr>
      <w:rPr>
        <w:rFonts w:hint="eastAsia"/>
      </w:rPr>
    </w:lvl>
    <w:lvl w:ilvl="2">
      <w:start w:val="1"/>
      <w:numFmt w:val="decimal"/>
      <w:isLgl w:val="false"/>
      <w:suff w:val="nothing"/>
      <w:lvlText w:val="%2.%3 "/>
      <w:lvlJc w:val="left"/>
      <w:pPr>
        <w:pStyle w:val="929"/>
        <w:ind w:left="0" w:firstLine="0"/>
      </w:pPr>
      <w:rPr>
        <w:rFonts w:hint="eastAsia"/>
      </w:rPr>
    </w:lvl>
    <w:lvl w:ilvl="3">
      <w:start w:val="1"/>
      <w:numFmt w:val="decimal"/>
      <w:isLgl w:val="false"/>
      <w:suff w:val="nothing"/>
      <w:lvlText w:val="%2.%3.%4 "/>
      <w:lvlJc w:val="left"/>
      <w:pPr>
        <w:pStyle w:val="929"/>
        <w:ind w:left="0" w:firstLine="0"/>
      </w:pPr>
      <w:rPr>
        <w:rFonts w:hint="eastAsia"/>
      </w:rPr>
    </w:lvl>
    <w:lvl w:ilvl="4">
      <w:start w:val="1"/>
      <w:numFmt w:val="decimal"/>
      <w:isLgl w:val="false"/>
      <w:suff w:val="nothing"/>
      <w:lvlText w:val="%2.%3.%4.%5 "/>
      <w:lvlJc w:val="left"/>
      <w:pPr>
        <w:pStyle w:val="929"/>
        <w:ind w:left="0" w:firstLine="0"/>
      </w:pPr>
      <w:rPr>
        <w:rFonts w:hint="eastAsia"/>
      </w:rPr>
    </w:lvl>
    <w:lvl w:ilvl="5">
      <w:start w:val="1"/>
      <w:numFmt w:val="decimal"/>
      <w:pStyle w:val="935"/>
      <w:isLgl w:val="false"/>
      <w:suff w:val="nothing"/>
      <w:lvlText w:val=""/>
      <w:lvlJc w:val="left"/>
      <w:pPr>
        <w:pStyle w:val="929"/>
        <w:ind w:left="0" w:firstLine="0"/>
      </w:pPr>
      <w:rPr>
        <w:rFonts w:hint="eastAsia"/>
      </w:rPr>
    </w:lvl>
    <w:lvl w:ilvl="6">
      <w:start w:val="1"/>
      <w:numFmt w:val="decimal"/>
      <w:pStyle w:val="936"/>
      <w:isLgl w:val="false"/>
      <w:suff w:val="nothing"/>
      <w:lvlText w:val=""/>
      <w:lvlJc w:val="left"/>
      <w:pPr>
        <w:pStyle w:val="929"/>
        <w:ind w:left="0" w:firstLine="0"/>
      </w:pPr>
      <w:rPr>
        <w:rFonts w:hint="eastAsia"/>
      </w:rPr>
    </w:lvl>
    <w:lvl w:ilvl="7">
      <w:start w:val="1"/>
      <w:numFmt w:val="decimal"/>
      <w:pStyle w:val="937"/>
      <w:isLgl w:val="false"/>
      <w:suff w:val="nothing"/>
      <w:lvlText w:val=""/>
      <w:lvlJc w:val="left"/>
      <w:pPr>
        <w:pStyle w:val="929"/>
        <w:ind w:left="0" w:firstLine="0"/>
      </w:pPr>
      <w:rPr>
        <w:rFonts w:hint="eastAsia"/>
      </w:rPr>
    </w:lvl>
    <w:lvl w:ilvl="8">
      <w:start w:val="1"/>
      <w:numFmt w:val="decimal"/>
      <w:pStyle w:val="938"/>
      <w:isLgl w:val="false"/>
      <w:suff w:val="nothing"/>
      <w:lvlText w:val=""/>
      <w:lvlJc w:val="left"/>
      <w:pPr>
        <w:pStyle w:val="929"/>
        <w:ind w:left="0" w:firstLine="0"/>
      </w:pPr>
      <w:rPr>
        <w:rFonts w:hint="eastAsia"/>
      </w:rPr>
    </w:lvl>
  </w:abstractNum>
  <w:abstractNum w:abstractNumId="23">
    <w:multiLevelType w:val="hybridMultilevel"/>
    <w:lvl w:ilvl="0">
      <w:start w:val="1"/>
      <w:numFmt w:val="decimal"/>
      <w:isLgl w:val="false"/>
      <w:suff w:val="tab"/>
      <w:lvlText w:val="%1."/>
      <w:lvlJc w:val="left"/>
      <w:pPr>
        <w:pStyle w:val="929"/>
        <w:ind w:left="510" w:hanging="360"/>
        <w:tabs>
          <w:tab w:val="num" w:pos="510" w:leader="none"/>
        </w:tabs>
      </w:pPr>
      <w:rPr>
        <w:rFonts w:hint="eastAsia" w:cs="Times New Roman"/>
      </w:rPr>
    </w:lvl>
    <w:lvl w:ilvl="1">
      <w:start w:val="1"/>
      <w:numFmt w:val="decimal"/>
      <w:isLgl w:val="false"/>
      <w:suff w:val="tab"/>
      <w:lvlText w:val="%2．"/>
      <w:lvlJc w:val="left"/>
      <w:pPr>
        <w:pStyle w:val="929"/>
        <w:ind w:left="1290" w:hanging="720"/>
        <w:tabs>
          <w:tab w:val="num" w:pos="1290" w:leader="none"/>
        </w:tabs>
      </w:pPr>
      <w:rPr>
        <w:rFonts w:hint="eastAsia" w:cs="Times New Roman"/>
      </w:rPr>
    </w:lvl>
    <w:lvl w:ilvl="2">
      <w:start w:val="3"/>
      <w:numFmt w:val="decimal"/>
      <w:isLgl w:val="false"/>
      <w:suff w:val="tab"/>
      <w:lvlText w:val="（%3）"/>
      <w:lvlJc w:val="left"/>
      <w:pPr>
        <w:pStyle w:val="929"/>
        <w:ind w:left="1140" w:hanging="720"/>
        <w:tabs>
          <w:tab w:val="num" w:pos="1140" w:leader="none"/>
        </w:tabs>
      </w:pPr>
      <w:rPr>
        <w:rFonts w:hint="eastAsia" w:cs="Times New Roman"/>
      </w:rPr>
    </w:lvl>
    <w:lvl w:ilvl="3">
      <w:start w:val="1"/>
      <w:numFmt w:val="decimal"/>
      <w:isLgl w:val="false"/>
      <w:suff w:val="tab"/>
      <w:lvlText w:val="（%4）"/>
      <w:lvlJc w:val="left"/>
      <w:pPr>
        <w:pStyle w:val="92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9"/>
        <w:ind w:left="2250" w:hanging="420"/>
        <w:tabs>
          <w:tab w:val="num" w:pos="2250" w:leader="none"/>
        </w:tabs>
      </w:pPr>
      <w:rPr>
        <w:rFonts w:hint="eastAsia"/>
        <w:b/>
        <w:lang w:val="en-US"/>
      </w:rPr>
    </w:lvl>
    <w:lvl w:ilvl="5">
      <w:start w:val="10"/>
      <w:numFmt w:val="japaneseCounting"/>
      <w:isLgl w:val="false"/>
      <w:suff w:val="tab"/>
      <w:lvlText w:val="（%6）"/>
      <w:lvlJc w:val="left"/>
      <w:pPr>
        <w:pStyle w:val="929"/>
        <w:ind w:left="2970" w:hanging="720"/>
      </w:pPr>
      <w:rPr>
        <w:rFonts w:cs="Times New Roman"/>
      </w:rPr>
    </w:lvl>
    <w:lvl w:ilvl="6">
      <w:start w:val="1"/>
      <w:numFmt w:val="decimal"/>
      <w:isLgl w:val="false"/>
      <w:suff w:val="tab"/>
      <w:lvlText w:val="（%7）"/>
      <w:lvlJc w:val="left"/>
      <w:pPr>
        <w:pStyle w:val="92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9"/>
        <w:ind w:left="3510" w:hanging="420"/>
        <w:tabs>
          <w:tab w:val="num" w:pos="3510" w:leader="none"/>
        </w:tabs>
      </w:pPr>
      <w:rPr>
        <w:rFonts w:cs="Times New Roman"/>
      </w:rPr>
    </w:lvl>
    <w:lvl w:ilvl="8">
      <w:start w:val="1"/>
      <w:numFmt w:val="lowerRoman"/>
      <w:isLgl w:val="false"/>
      <w:suff w:val="tab"/>
      <w:lvlText w:val="%9."/>
      <w:lvlJc w:val="right"/>
      <w:pPr>
        <w:pStyle w:val="929"/>
        <w:ind w:left="3930" w:hanging="420"/>
        <w:tabs>
          <w:tab w:val="num" w:pos="3930" w:leader="none"/>
        </w:tabs>
      </w:pPr>
      <w:rPr>
        <w:rFonts w:cs="Times New Roman"/>
      </w:rPr>
    </w:lvl>
  </w:abstractNum>
  <w:abstractNum w:abstractNumId="24">
    <w:multiLevelType w:val="hybridMultilevel"/>
    <w:lvl w:ilvl="0">
      <w:start w:val="1"/>
      <w:numFmt w:val="japaneseCounting"/>
      <w:isLgl w:val="false"/>
      <w:suff w:val="tab"/>
      <w:lvlText w:val="%1、"/>
      <w:lvlJc w:val="left"/>
      <w:pPr>
        <w:pStyle w:val="929"/>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29"/>
        <w:ind w:left="840" w:hanging="420"/>
        <w:tabs>
          <w:tab w:val="num" w:pos="840" w:leader="none"/>
        </w:tabs>
      </w:pPr>
      <w:rPr>
        <w:rFonts w:cs="Times New Roman"/>
      </w:rPr>
    </w:lvl>
    <w:lvl w:ilvl="2">
      <w:start w:val="10"/>
      <w:numFmt w:val="decimal"/>
      <w:isLgl w:val="false"/>
      <w:suff w:val="tab"/>
      <w:lvlText w:val="%3."/>
      <w:lvlJc w:val="left"/>
      <w:pPr>
        <w:pStyle w:val="929"/>
        <w:ind w:left="1200" w:hanging="360"/>
        <w:tabs>
          <w:tab w:val="num" w:pos="1200" w:leader="none"/>
        </w:tabs>
      </w:pPr>
      <w:rPr>
        <w:rFonts w:cs="Times New Roman"/>
      </w:rPr>
    </w:lvl>
    <w:lvl w:ilvl="3">
      <w:start w:val="1"/>
      <w:numFmt w:val="decimal"/>
      <w:isLgl w:val="false"/>
      <w:suff w:val="tab"/>
      <w:lvlText w:val="%4."/>
      <w:lvlJc w:val="left"/>
      <w:pPr>
        <w:pStyle w:val="929"/>
        <w:ind w:left="1680" w:hanging="420"/>
        <w:tabs>
          <w:tab w:val="num" w:pos="1680" w:leader="none"/>
        </w:tabs>
      </w:pPr>
      <w:rPr>
        <w:rFonts w:cs="Times New Roman"/>
      </w:rPr>
    </w:lvl>
    <w:lvl w:ilvl="4">
      <w:start w:val="1"/>
      <w:numFmt w:val="lowerLetter"/>
      <w:isLgl w:val="false"/>
      <w:suff w:val="tab"/>
      <w:lvlText w:val="%5)"/>
      <w:lvlJc w:val="left"/>
      <w:pPr>
        <w:pStyle w:val="929"/>
        <w:ind w:left="2100" w:hanging="420"/>
        <w:tabs>
          <w:tab w:val="num" w:pos="2100" w:leader="none"/>
        </w:tabs>
      </w:pPr>
      <w:rPr>
        <w:rFonts w:cs="Times New Roman"/>
      </w:rPr>
    </w:lvl>
    <w:lvl w:ilvl="5">
      <w:start w:val="1"/>
      <w:numFmt w:val="lowerRoman"/>
      <w:isLgl w:val="false"/>
      <w:suff w:val="tab"/>
      <w:lvlText w:val="%6."/>
      <w:lvlJc w:val="right"/>
      <w:pPr>
        <w:pStyle w:val="929"/>
        <w:ind w:left="2520" w:hanging="420"/>
        <w:tabs>
          <w:tab w:val="num" w:pos="2520" w:leader="none"/>
        </w:tabs>
      </w:pPr>
      <w:rPr>
        <w:rFonts w:cs="Times New Roman"/>
      </w:rPr>
    </w:lvl>
    <w:lvl w:ilvl="6">
      <w:start w:val="1"/>
      <w:numFmt w:val="decimal"/>
      <w:isLgl w:val="false"/>
      <w:suff w:val="tab"/>
      <w:lvlText w:val="%7."/>
      <w:lvlJc w:val="left"/>
      <w:pPr>
        <w:pStyle w:val="929"/>
        <w:ind w:left="2940" w:hanging="420"/>
        <w:tabs>
          <w:tab w:val="num" w:pos="2940" w:leader="none"/>
        </w:tabs>
      </w:pPr>
      <w:rPr>
        <w:rFonts w:cs="Times New Roman"/>
      </w:rPr>
    </w:lvl>
    <w:lvl w:ilvl="7">
      <w:start w:val="1"/>
      <w:numFmt w:val="lowerLetter"/>
      <w:isLgl w:val="false"/>
      <w:suff w:val="tab"/>
      <w:lvlText w:val="%8)"/>
      <w:lvlJc w:val="left"/>
      <w:pPr>
        <w:pStyle w:val="929"/>
        <w:ind w:left="3360" w:hanging="420"/>
        <w:tabs>
          <w:tab w:val="num" w:pos="3360" w:leader="none"/>
        </w:tabs>
      </w:pPr>
      <w:rPr>
        <w:rFonts w:cs="Times New Roman"/>
      </w:rPr>
    </w:lvl>
    <w:lvl w:ilvl="8">
      <w:start w:val="1"/>
      <w:numFmt w:val="lowerRoman"/>
      <w:isLgl w:val="false"/>
      <w:suff w:val="tab"/>
      <w:lvlText w:val="%9."/>
      <w:lvlJc w:val="right"/>
      <w:pPr>
        <w:pStyle w:val="929"/>
        <w:ind w:left="3780" w:hanging="420"/>
        <w:tabs>
          <w:tab w:val="num" w:pos="3780" w:leader="none"/>
        </w:tabs>
      </w:pPr>
      <w:rPr>
        <w:rFonts w:cs="Times New Roman"/>
      </w:rPr>
    </w:lvl>
  </w:abstractNum>
  <w:abstractNum w:abstractNumId="25">
    <w:multiLevelType w:val="hybridMultilevel"/>
    <w:lvl w:ilvl="0">
      <w:start w:val="1"/>
      <w:numFmt w:val="decimal"/>
      <w:isLgl w:val="false"/>
      <w:suff w:val="tab"/>
      <w:lvlText w:val="（%1）"/>
      <w:lvlJc w:val="left"/>
      <w:pPr>
        <w:pStyle w:val="929"/>
        <w:ind w:left="720" w:hanging="720"/>
        <w:tabs>
          <w:tab w:val="num" w:pos="720" w:leader="none"/>
        </w:tabs>
      </w:pPr>
      <w:rPr>
        <w:rFonts w:hint="eastAsia" w:cs="Times New Roman"/>
      </w:rPr>
    </w:lvl>
    <w:lvl w:ilvl="1">
      <w:start w:val="2"/>
      <w:numFmt w:val="decimal"/>
      <w:isLgl w:val="false"/>
      <w:suff w:val="tab"/>
      <w:lvlText w:val="%2."/>
      <w:lvlJc w:val="left"/>
      <w:pPr>
        <w:pStyle w:val="929"/>
        <w:ind w:left="1770" w:hanging="360"/>
        <w:tabs>
          <w:tab w:val="num" w:pos="1770" w:leader="none"/>
        </w:tabs>
      </w:pPr>
      <w:rPr>
        <w:rFonts w:cs="Times New Roman"/>
      </w:rPr>
    </w:lvl>
    <w:lvl w:ilvl="2">
      <w:start w:val="1"/>
      <w:numFmt w:val="lowerRoman"/>
      <w:isLgl w:val="false"/>
      <w:suff w:val="tab"/>
      <w:lvlText w:val="%3."/>
      <w:lvlJc w:val="right"/>
      <w:pPr>
        <w:pStyle w:val="929"/>
        <w:ind w:left="2250" w:hanging="420"/>
        <w:tabs>
          <w:tab w:val="num" w:pos="2250" w:leader="none"/>
        </w:tabs>
      </w:pPr>
      <w:rPr>
        <w:rFonts w:cs="Times New Roman"/>
      </w:rPr>
    </w:lvl>
    <w:lvl w:ilvl="3">
      <w:start w:val="1"/>
      <w:numFmt w:val="decimal"/>
      <w:isLgl w:val="false"/>
      <w:suff w:val="tab"/>
      <w:lvlText w:val="%4."/>
      <w:lvlJc w:val="left"/>
      <w:pPr>
        <w:pStyle w:val="929"/>
        <w:ind w:left="2670" w:hanging="420"/>
        <w:tabs>
          <w:tab w:val="num" w:pos="2670" w:leader="none"/>
        </w:tabs>
      </w:pPr>
      <w:rPr>
        <w:rFonts w:cs="Times New Roman"/>
      </w:rPr>
    </w:lvl>
    <w:lvl w:ilvl="4">
      <w:start w:val="1"/>
      <w:numFmt w:val="lowerLetter"/>
      <w:isLgl w:val="false"/>
      <w:suff w:val="tab"/>
      <w:lvlText w:val="%5)"/>
      <w:lvlJc w:val="left"/>
      <w:pPr>
        <w:pStyle w:val="929"/>
        <w:ind w:left="3090" w:hanging="420"/>
        <w:tabs>
          <w:tab w:val="num" w:pos="3090" w:leader="none"/>
        </w:tabs>
      </w:pPr>
      <w:rPr>
        <w:rFonts w:cs="Times New Roman"/>
      </w:rPr>
    </w:lvl>
    <w:lvl w:ilvl="5">
      <w:start w:val="1"/>
      <w:numFmt w:val="lowerRoman"/>
      <w:isLgl w:val="false"/>
      <w:suff w:val="tab"/>
      <w:lvlText w:val="%6."/>
      <w:lvlJc w:val="right"/>
      <w:pPr>
        <w:pStyle w:val="929"/>
        <w:ind w:left="3510" w:hanging="420"/>
        <w:tabs>
          <w:tab w:val="num" w:pos="3510" w:leader="none"/>
        </w:tabs>
      </w:pPr>
      <w:rPr>
        <w:rFonts w:cs="Times New Roman"/>
      </w:rPr>
    </w:lvl>
    <w:lvl w:ilvl="6">
      <w:start w:val="1"/>
      <w:numFmt w:val="decimal"/>
      <w:isLgl w:val="false"/>
      <w:suff w:val="tab"/>
      <w:lvlText w:val="%7."/>
      <w:lvlJc w:val="left"/>
      <w:pPr>
        <w:pStyle w:val="929"/>
        <w:ind w:left="3930" w:hanging="420"/>
        <w:tabs>
          <w:tab w:val="num" w:pos="3930" w:leader="none"/>
        </w:tabs>
      </w:pPr>
      <w:rPr>
        <w:rFonts w:cs="Times New Roman"/>
      </w:rPr>
    </w:lvl>
    <w:lvl w:ilvl="7">
      <w:start w:val="1"/>
      <w:numFmt w:val="lowerLetter"/>
      <w:isLgl w:val="false"/>
      <w:suff w:val="tab"/>
      <w:lvlText w:val="%8)"/>
      <w:lvlJc w:val="left"/>
      <w:pPr>
        <w:pStyle w:val="929"/>
        <w:ind w:left="4350" w:hanging="420"/>
        <w:tabs>
          <w:tab w:val="num" w:pos="4350" w:leader="none"/>
        </w:tabs>
      </w:pPr>
      <w:rPr>
        <w:rFonts w:cs="Times New Roman"/>
      </w:rPr>
    </w:lvl>
    <w:lvl w:ilvl="8">
      <w:start w:val="1"/>
      <w:numFmt w:val="lowerRoman"/>
      <w:isLgl w:val="false"/>
      <w:suff w:val="tab"/>
      <w:lvlText w:val="%9."/>
      <w:lvlJc w:val="right"/>
      <w:pPr>
        <w:pStyle w:val="929"/>
        <w:ind w:left="4770" w:hanging="420"/>
        <w:tabs>
          <w:tab w:val="num" w:pos="4770" w:leader="none"/>
        </w:tabs>
      </w:pPr>
      <w:rPr>
        <w:rFonts w:cs="Times New Roman"/>
      </w:rPr>
    </w:lvl>
  </w:abstractNum>
  <w:abstractNum w:abstractNumId="26">
    <w:multiLevelType w:val="hybridMultilevel"/>
    <w:lvl w:ilvl="0">
      <w:start w:val="1"/>
      <w:numFmt w:val="decimal"/>
      <w:isLgl w:val="false"/>
      <w:suff w:val="tab"/>
      <w:lvlText w:val="%1."/>
      <w:lvlJc w:val="left"/>
      <w:pPr>
        <w:pStyle w:val="929"/>
        <w:ind w:left="510" w:hanging="360"/>
        <w:tabs>
          <w:tab w:val="num" w:pos="510" w:leader="none"/>
        </w:tabs>
      </w:pPr>
      <w:rPr>
        <w:rFonts w:hint="eastAsia" w:cs="Times New Roman"/>
      </w:rPr>
    </w:lvl>
    <w:lvl w:ilvl="1">
      <w:start w:val="1"/>
      <w:numFmt w:val="decimal"/>
      <w:isLgl w:val="false"/>
      <w:suff w:val="tab"/>
      <w:lvlText w:val="%2．"/>
      <w:lvlJc w:val="left"/>
      <w:pPr>
        <w:pStyle w:val="929"/>
        <w:ind w:left="1290" w:hanging="720"/>
        <w:tabs>
          <w:tab w:val="num" w:pos="1290" w:leader="none"/>
        </w:tabs>
      </w:pPr>
      <w:rPr>
        <w:rFonts w:hint="eastAsia" w:cs="Times New Roman"/>
      </w:rPr>
    </w:lvl>
    <w:lvl w:ilvl="2">
      <w:start w:val="3"/>
      <w:numFmt w:val="decimal"/>
      <w:isLgl w:val="false"/>
      <w:suff w:val="tab"/>
      <w:lvlText w:val="（%3）"/>
      <w:lvlJc w:val="left"/>
      <w:pPr>
        <w:pStyle w:val="929"/>
        <w:ind w:left="1140" w:hanging="720"/>
        <w:tabs>
          <w:tab w:val="num" w:pos="1140" w:leader="none"/>
        </w:tabs>
      </w:pPr>
      <w:rPr>
        <w:rFonts w:hint="eastAsia" w:cs="Times New Roman"/>
      </w:rPr>
    </w:lvl>
    <w:lvl w:ilvl="3">
      <w:start w:val="1"/>
      <w:numFmt w:val="decimal"/>
      <w:isLgl w:val="false"/>
      <w:suff w:val="tab"/>
      <w:lvlText w:val="（%4）"/>
      <w:lvlJc w:val="left"/>
      <w:pPr>
        <w:pStyle w:val="92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9"/>
        <w:ind w:left="2250" w:hanging="420"/>
        <w:tabs>
          <w:tab w:val="num" w:pos="2250" w:leader="none"/>
        </w:tabs>
      </w:pPr>
      <w:rPr>
        <w:rFonts w:hint="eastAsia"/>
        <w:b/>
        <w:lang w:val="en-US"/>
      </w:rPr>
    </w:lvl>
    <w:lvl w:ilvl="5">
      <w:start w:val="10"/>
      <w:numFmt w:val="japaneseCounting"/>
      <w:isLgl w:val="false"/>
      <w:suff w:val="tab"/>
      <w:lvlText w:val="（%6）"/>
      <w:lvlJc w:val="left"/>
      <w:pPr>
        <w:pStyle w:val="929"/>
        <w:ind w:left="2970" w:hanging="720"/>
      </w:pPr>
      <w:rPr>
        <w:rFonts w:cs="Times New Roman"/>
      </w:rPr>
    </w:lvl>
    <w:lvl w:ilvl="6">
      <w:start w:val="1"/>
      <w:numFmt w:val="decimal"/>
      <w:isLgl w:val="false"/>
      <w:suff w:val="tab"/>
      <w:lvlText w:val="（%7）"/>
      <w:lvlJc w:val="left"/>
      <w:pPr>
        <w:pStyle w:val="92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9"/>
        <w:ind w:left="3510" w:hanging="420"/>
        <w:tabs>
          <w:tab w:val="num" w:pos="3510" w:leader="none"/>
        </w:tabs>
      </w:pPr>
      <w:rPr>
        <w:rFonts w:cs="Times New Roman"/>
      </w:rPr>
    </w:lvl>
    <w:lvl w:ilvl="8">
      <w:start w:val="1"/>
      <w:numFmt w:val="lowerRoman"/>
      <w:isLgl w:val="false"/>
      <w:suff w:val="tab"/>
      <w:lvlText w:val="%9."/>
      <w:lvlJc w:val="right"/>
      <w:pPr>
        <w:pStyle w:val="929"/>
        <w:ind w:left="3930" w:hanging="420"/>
        <w:tabs>
          <w:tab w:val="num" w:pos="3930" w:leader="none"/>
        </w:tabs>
      </w:pPr>
      <w:rPr>
        <w:rFonts w:cs="Times New Roman"/>
      </w:rPr>
    </w:lvl>
  </w:abstractNum>
  <w:abstractNum w:abstractNumId="27">
    <w:multiLevelType w:val="hybridMultilevel"/>
    <w:lvl w:ilvl="0">
      <w:start w:val="1"/>
      <w:numFmt w:val="decimal"/>
      <w:isLgl w:val="false"/>
      <w:suff w:val="nothing"/>
      <w:lvlText w:val="（%1）"/>
      <w:lvlJc w:val="left"/>
      <w:pPr>
        <w:pStyle w:val="9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bullet"/>
      <w:isLgl w:val="false"/>
      <w:suff w:val="tab"/>
      <w:lvlText w:val=""/>
      <w:lvlJc w:val="left"/>
      <w:pPr>
        <w:pStyle w:val="929"/>
        <w:ind w:left="902" w:hanging="420"/>
      </w:pPr>
      <w:rPr>
        <w:rFonts w:ascii="Wingdings" w:hAnsi="Wingdings" w:eastAsia="Wingdings" w:cs="Wingdings"/>
      </w:rPr>
    </w:lvl>
    <w:lvl w:ilvl="1">
      <w:start w:val="1"/>
      <w:numFmt w:val="bullet"/>
      <w:isLgl w:val="false"/>
      <w:suff w:val="tab"/>
      <w:lvlText w:val=""/>
      <w:lvlJc w:val="left"/>
      <w:pPr>
        <w:pStyle w:val="929"/>
        <w:ind w:left="1322" w:hanging="420"/>
      </w:pPr>
      <w:rPr>
        <w:rFonts w:ascii="Symbol" w:hAnsi="Symbol" w:eastAsia="Symbol" w:cs="Symbol"/>
      </w:rPr>
    </w:lvl>
    <w:lvl w:ilvl="2">
      <w:start w:val="1"/>
      <w:numFmt w:val="bullet"/>
      <w:isLgl w:val="false"/>
      <w:suff w:val="tab"/>
      <w:lvlText w:val=""/>
      <w:lvlJc w:val="left"/>
      <w:pPr>
        <w:pStyle w:val="929"/>
        <w:ind w:left="1742" w:hanging="420"/>
      </w:pPr>
      <w:rPr>
        <w:rFonts w:ascii="Symbol" w:hAnsi="Symbol" w:eastAsia="Symbol" w:cs="Symbol"/>
      </w:rPr>
    </w:lvl>
    <w:lvl w:ilvl="3">
      <w:start w:val="1"/>
      <w:numFmt w:val="bullet"/>
      <w:isLgl w:val="false"/>
      <w:suff w:val="tab"/>
      <w:lvlText w:val=""/>
      <w:lvlJc w:val="left"/>
      <w:pPr>
        <w:pStyle w:val="929"/>
        <w:ind w:left="2162" w:hanging="420"/>
      </w:pPr>
      <w:rPr>
        <w:rFonts w:ascii="Symbol" w:hAnsi="Symbol" w:eastAsia="Symbol" w:cs="Symbol"/>
      </w:rPr>
    </w:lvl>
    <w:lvl w:ilvl="4">
      <w:start w:val="1"/>
      <w:numFmt w:val="bullet"/>
      <w:isLgl w:val="false"/>
      <w:suff w:val="tab"/>
      <w:lvlText w:val=""/>
      <w:lvlJc w:val="left"/>
      <w:pPr>
        <w:pStyle w:val="929"/>
        <w:ind w:left="2582" w:hanging="420"/>
      </w:pPr>
      <w:rPr>
        <w:rFonts w:ascii="Symbol" w:hAnsi="Symbol" w:eastAsia="Symbol" w:cs="Symbol"/>
      </w:rPr>
    </w:lvl>
    <w:lvl w:ilvl="5">
      <w:start w:val="1"/>
      <w:numFmt w:val="bullet"/>
      <w:isLgl w:val="false"/>
      <w:suff w:val="tab"/>
      <w:lvlText w:val=""/>
      <w:lvlJc w:val="left"/>
      <w:pPr>
        <w:pStyle w:val="929"/>
        <w:ind w:left="3002" w:hanging="420"/>
      </w:pPr>
      <w:rPr>
        <w:rFonts w:ascii="Symbol" w:hAnsi="Symbol" w:eastAsia="Symbol" w:cs="Symbol"/>
      </w:rPr>
    </w:lvl>
    <w:lvl w:ilvl="6">
      <w:start w:val="1"/>
      <w:numFmt w:val="bullet"/>
      <w:isLgl w:val="false"/>
      <w:suff w:val="tab"/>
      <w:lvlText w:val=""/>
      <w:lvlJc w:val="left"/>
      <w:pPr>
        <w:pStyle w:val="929"/>
        <w:ind w:left="3422" w:hanging="420"/>
      </w:pPr>
      <w:rPr>
        <w:rFonts w:ascii="Symbol" w:hAnsi="Symbol" w:eastAsia="Symbol" w:cs="Symbol"/>
      </w:rPr>
    </w:lvl>
    <w:lvl w:ilvl="7">
      <w:start w:val="1"/>
      <w:numFmt w:val="bullet"/>
      <w:isLgl w:val="false"/>
      <w:suff w:val="tab"/>
      <w:lvlText w:val=""/>
      <w:lvlJc w:val="left"/>
      <w:pPr>
        <w:pStyle w:val="929"/>
        <w:ind w:left="3842" w:hanging="420"/>
      </w:pPr>
      <w:rPr>
        <w:rFonts w:ascii="Symbol" w:hAnsi="Symbol" w:eastAsia="Symbol" w:cs="Symbol"/>
      </w:rPr>
    </w:lvl>
    <w:lvl w:ilvl="8">
      <w:start w:val="1"/>
      <w:numFmt w:val="bullet"/>
      <w:isLgl w:val="false"/>
      <w:suff w:val="tab"/>
      <w:lvlText w:val=""/>
      <w:lvlJc w:val="left"/>
      <w:pPr>
        <w:pStyle w:val="929"/>
        <w:ind w:left="4262" w:hanging="420"/>
      </w:pPr>
      <w:rPr>
        <w:rFonts w:ascii="Symbol" w:hAnsi="Symbol" w:eastAsia="Symbol" w:cs="Symbol"/>
      </w:rPr>
    </w:lvl>
  </w:abstractNum>
  <w:abstractNum w:abstractNumId="29">
    <w:multiLevelType w:val="hybridMultilevel"/>
    <w:lvl w:ilvl="0">
      <w:start w:val="1"/>
      <w:numFmt w:val="decimal"/>
      <w:isLgl w:val="false"/>
      <w:suff w:val="tab"/>
      <w:lvlText w:val="（%1）"/>
      <w:lvlJc w:val="left"/>
      <w:pPr>
        <w:pStyle w:val="929"/>
        <w:ind w:left="900" w:hanging="420"/>
      </w:pPr>
    </w:lvl>
    <w:lvl w:ilvl="1">
      <w:start w:val="1"/>
      <w:numFmt w:val="lowerLetter"/>
      <w:isLgl w:val="false"/>
      <w:suff w:val="tab"/>
      <w:lvlText w:val="%2)"/>
      <w:lvlJc w:val="left"/>
      <w:pPr>
        <w:pStyle w:val="929"/>
        <w:ind w:left="1320" w:hanging="420"/>
      </w:pPr>
    </w:lvl>
    <w:lvl w:ilvl="2">
      <w:start w:val="1"/>
      <w:numFmt w:val="lowerRoman"/>
      <w:isLgl w:val="false"/>
      <w:suff w:val="tab"/>
      <w:lvlText w:val="%3."/>
      <w:lvlJc w:val="right"/>
      <w:pPr>
        <w:pStyle w:val="929"/>
        <w:ind w:left="1740" w:hanging="420"/>
      </w:pPr>
    </w:lvl>
    <w:lvl w:ilvl="3">
      <w:start w:val="1"/>
      <w:numFmt w:val="decimal"/>
      <w:isLgl w:val="false"/>
      <w:suff w:val="tab"/>
      <w:lvlText w:val="%4."/>
      <w:lvlJc w:val="left"/>
      <w:pPr>
        <w:pStyle w:val="929"/>
        <w:ind w:left="2160" w:hanging="420"/>
      </w:pPr>
    </w:lvl>
    <w:lvl w:ilvl="4">
      <w:start w:val="1"/>
      <w:numFmt w:val="lowerLetter"/>
      <w:isLgl w:val="false"/>
      <w:suff w:val="tab"/>
      <w:lvlText w:val="%5)"/>
      <w:lvlJc w:val="left"/>
      <w:pPr>
        <w:pStyle w:val="929"/>
        <w:ind w:left="2580" w:hanging="420"/>
      </w:pPr>
    </w:lvl>
    <w:lvl w:ilvl="5">
      <w:start w:val="1"/>
      <w:numFmt w:val="lowerRoman"/>
      <w:isLgl w:val="false"/>
      <w:suff w:val="tab"/>
      <w:lvlText w:val="%6."/>
      <w:lvlJc w:val="right"/>
      <w:pPr>
        <w:pStyle w:val="929"/>
        <w:ind w:left="3000" w:hanging="420"/>
      </w:pPr>
    </w:lvl>
    <w:lvl w:ilvl="6">
      <w:start w:val="1"/>
      <w:numFmt w:val="decimal"/>
      <w:isLgl w:val="false"/>
      <w:suff w:val="tab"/>
      <w:lvlText w:val="%7."/>
      <w:lvlJc w:val="left"/>
      <w:pPr>
        <w:pStyle w:val="929"/>
        <w:ind w:left="3420" w:hanging="420"/>
      </w:pPr>
    </w:lvl>
    <w:lvl w:ilvl="7">
      <w:start w:val="1"/>
      <w:numFmt w:val="lowerLetter"/>
      <w:isLgl w:val="false"/>
      <w:suff w:val="tab"/>
      <w:lvlText w:val="%8)"/>
      <w:lvlJc w:val="left"/>
      <w:pPr>
        <w:pStyle w:val="929"/>
        <w:ind w:left="3840" w:hanging="420"/>
      </w:pPr>
    </w:lvl>
    <w:lvl w:ilvl="8">
      <w:start w:val="1"/>
      <w:numFmt w:val="lowerRoman"/>
      <w:isLgl w:val="false"/>
      <w:suff w:val="tab"/>
      <w:lvlText w:val="%9."/>
      <w:lvlJc w:val="right"/>
      <w:pPr>
        <w:pStyle w:val="929"/>
        <w:ind w:left="4260" w:hanging="420"/>
      </w:pPr>
    </w:lvl>
  </w:abstractNum>
  <w:abstractNum w:abstractNumId="30">
    <w:multiLevelType w:val="hybridMultilevel"/>
    <w:lvl w:ilvl="0">
      <w:start w:val="1"/>
      <w:numFmt w:val="japaneseCounting"/>
      <w:isLgl w:val="false"/>
      <w:suff w:val="tab"/>
      <w:lvlText w:val="第%1章"/>
      <w:lvlJc w:val="left"/>
      <w:pPr>
        <w:pStyle w:val="929"/>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bullet"/>
      <w:isLgl w:val="false"/>
      <w:suff w:val="tab"/>
      <w:lvlText w:val=""/>
      <w:lvlJc w:val="left"/>
      <w:pPr>
        <w:pStyle w:val="929"/>
        <w:ind w:left="200" w:firstLine="0"/>
      </w:pPr>
      <w:rPr>
        <w:rFonts w:ascii="Wingdings" w:hAnsi="Wingdings" w:eastAsia="Wingdings" w:cs="Wingdings"/>
      </w:rPr>
    </w:lvl>
    <w:lvl w:ilvl="1">
      <w:start w:val="1"/>
      <w:numFmt w:val="bullet"/>
      <w:isLgl w:val="false"/>
      <w:suff w:val="tab"/>
      <w:lvlText w:val=""/>
      <w:lvlJc w:val="left"/>
      <w:pPr>
        <w:pStyle w:val="929"/>
        <w:ind w:left="1260" w:hanging="420"/>
      </w:pPr>
      <w:rPr>
        <w:rFonts w:ascii="Wingdings" w:hAnsi="Wingdings" w:eastAsia="Wingdings" w:cs="Wingdings"/>
      </w:rPr>
    </w:lvl>
    <w:lvl w:ilvl="2">
      <w:start w:val="1"/>
      <w:numFmt w:val="bullet"/>
      <w:isLgl w:val="false"/>
      <w:suff w:val="tab"/>
      <w:lvlText w:val=""/>
      <w:lvlJc w:val="left"/>
      <w:pPr>
        <w:pStyle w:val="929"/>
        <w:ind w:left="1680" w:hanging="420"/>
      </w:pPr>
      <w:rPr>
        <w:rFonts w:ascii="Wingdings" w:hAnsi="Wingdings" w:eastAsia="Wingdings" w:cs="Wingdings"/>
      </w:rPr>
    </w:lvl>
    <w:lvl w:ilvl="3">
      <w:start w:val="1"/>
      <w:numFmt w:val="bullet"/>
      <w:isLgl w:val="false"/>
      <w:suff w:val="tab"/>
      <w:lvlText w:val=""/>
      <w:lvlJc w:val="left"/>
      <w:pPr>
        <w:pStyle w:val="929"/>
        <w:ind w:left="2100" w:hanging="420"/>
      </w:pPr>
      <w:rPr>
        <w:rFonts w:ascii="Wingdings" w:hAnsi="Wingdings" w:eastAsia="Wingdings" w:cs="Wingdings"/>
      </w:rPr>
    </w:lvl>
    <w:lvl w:ilvl="4">
      <w:start w:val="1"/>
      <w:numFmt w:val="bullet"/>
      <w:isLgl w:val="false"/>
      <w:suff w:val="tab"/>
      <w:lvlText w:val=""/>
      <w:lvlJc w:val="left"/>
      <w:pPr>
        <w:pStyle w:val="929"/>
        <w:ind w:left="2520" w:hanging="420"/>
      </w:pPr>
      <w:rPr>
        <w:rFonts w:ascii="Wingdings" w:hAnsi="Wingdings" w:eastAsia="Wingdings" w:cs="Wingdings"/>
      </w:rPr>
    </w:lvl>
    <w:lvl w:ilvl="5">
      <w:start w:val="1"/>
      <w:numFmt w:val="bullet"/>
      <w:isLgl w:val="false"/>
      <w:suff w:val="tab"/>
      <w:lvlText w:val=""/>
      <w:lvlJc w:val="left"/>
      <w:pPr>
        <w:pStyle w:val="929"/>
        <w:ind w:left="2940" w:hanging="420"/>
      </w:pPr>
      <w:rPr>
        <w:rFonts w:ascii="Wingdings" w:hAnsi="Wingdings" w:eastAsia="Wingdings" w:cs="Wingdings"/>
      </w:rPr>
    </w:lvl>
    <w:lvl w:ilvl="6">
      <w:start w:val="1"/>
      <w:numFmt w:val="bullet"/>
      <w:isLgl w:val="false"/>
      <w:suff w:val="tab"/>
      <w:lvlText w:val=""/>
      <w:lvlJc w:val="left"/>
      <w:pPr>
        <w:pStyle w:val="929"/>
        <w:ind w:left="3360" w:hanging="420"/>
      </w:pPr>
      <w:rPr>
        <w:rFonts w:ascii="Wingdings" w:hAnsi="Wingdings" w:eastAsia="Wingdings" w:cs="Wingdings"/>
      </w:rPr>
    </w:lvl>
    <w:lvl w:ilvl="7">
      <w:start w:val="1"/>
      <w:numFmt w:val="bullet"/>
      <w:isLgl w:val="false"/>
      <w:suff w:val="tab"/>
      <w:lvlText w:val=""/>
      <w:lvlJc w:val="left"/>
      <w:pPr>
        <w:pStyle w:val="929"/>
        <w:ind w:left="3780" w:hanging="420"/>
      </w:pPr>
      <w:rPr>
        <w:rFonts w:ascii="Wingdings" w:hAnsi="Wingdings" w:eastAsia="Wingdings" w:cs="Wingdings"/>
      </w:rPr>
    </w:lvl>
    <w:lvl w:ilvl="8">
      <w:start w:val="1"/>
      <w:numFmt w:val="bullet"/>
      <w:isLgl w:val="false"/>
      <w:suff w:val="tab"/>
      <w:lvlText w:val=""/>
      <w:lvlJc w:val="left"/>
      <w:pPr>
        <w:pStyle w:val="929"/>
        <w:ind w:left="4200" w:hanging="420"/>
      </w:pPr>
      <w:rPr>
        <w:rFonts w:ascii="Wingdings" w:hAnsi="Wingdings" w:eastAsia="Wingdings" w:cs="Wingdings"/>
      </w:rPr>
    </w:lvl>
  </w:abstractNum>
  <w:abstractNum w:abstractNumId="32">
    <w:multiLevelType w:val="hybridMultilevel"/>
    <w:lvl w:ilvl="0">
      <w:start w:val="1"/>
      <w:numFmt w:val="bullet"/>
      <w:isLgl w:val="false"/>
      <w:suff w:val="tab"/>
      <w:lvlText w:val=""/>
      <w:lvlJc w:val="left"/>
      <w:pPr>
        <w:pStyle w:val="929"/>
        <w:ind w:left="920" w:hanging="440"/>
      </w:pPr>
      <w:rPr>
        <w:rFonts w:ascii="Wingdings" w:hAnsi="Wingdings" w:eastAsia="Wingdings" w:cs="Wingdings"/>
      </w:rPr>
    </w:lvl>
    <w:lvl w:ilvl="1">
      <w:start w:val="1"/>
      <w:numFmt w:val="bullet"/>
      <w:isLgl w:val="false"/>
      <w:suff w:val="tab"/>
      <w:lvlText w:val=""/>
      <w:lvlJc w:val="left"/>
      <w:pPr>
        <w:pStyle w:val="929"/>
        <w:ind w:left="1360" w:hanging="440"/>
      </w:pPr>
      <w:rPr>
        <w:rFonts w:ascii="Wingdings" w:hAnsi="Wingdings" w:eastAsia="Wingdings" w:cs="Wingdings"/>
      </w:rPr>
    </w:lvl>
    <w:lvl w:ilvl="2">
      <w:start w:val="1"/>
      <w:numFmt w:val="bullet"/>
      <w:isLgl w:val="false"/>
      <w:suff w:val="tab"/>
      <w:lvlText w:val=""/>
      <w:lvlJc w:val="left"/>
      <w:pPr>
        <w:pStyle w:val="929"/>
        <w:ind w:left="1800" w:hanging="440"/>
      </w:pPr>
      <w:rPr>
        <w:rFonts w:ascii="Wingdings" w:hAnsi="Wingdings" w:eastAsia="Wingdings" w:cs="Wingdings"/>
      </w:rPr>
    </w:lvl>
    <w:lvl w:ilvl="3">
      <w:start w:val="1"/>
      <w:numFmt w:val="bullet"/>
      <w:isLgl w:val="false"/>
      <w:suff w:val="tab"/>
      <w:lvlText w:val=""/>
      <w:lvlJc w:val="left"/>
      <w:pPr>
        <w:pStyle w:val="929"/>
        <w:ind w:left="2240" w:hanging="440"/>
      </w:pPr>
      <w:rPr>
        <w:rFonts w:ascii="Wingdings" w:hAnsi="Wingdings" w:eastAsia="Wingdings" w:cs="Wingdings"/>
      </w:rPr>
    </w:lvl>
    <w:lvl w:ilvl="4">
      <w:start w:val="1"/>
      <w:numFmt w:val="bullet"/>
      <w:isLgl w:val="false"/>
      <w:suff w:val="tab"/>
      <w:lvlText w:val=""/>
      <w:lvlJc w:val="left"/>
      <w:pPr>
        <w:pStyle w:val="929"/>
        <w:ind w:left="2680" w:hanging="440"/>
      </w:pPr>
      <w:rPr>
        <w:rFonts w:ascii="Wingdings" w:hAnsi="Wingdings" w:eastAsia="Wingdings" w:cs="Wingdings"/>
      </w:rPr>
    </w:lvl>
    <w:lvl w:ilvl="5">
      <w:start w:val="1"/>
      <w:numFmt w:val="bullet"/>
      <w:isLgl w:val="false"/>
      <w:suff w:val="tab"/>
      <w:lvlText w:val=""/>
      <w:lvlJc w:val="left"/>
      <w:pPr>
        <w:pStyle w:val="929"/>
        <w:ind w:left="3120" w:hanging="440"/>
      </w:pPr>
      <w:rPr>
        <w:rFonts w:ascii="Wingdings" w:hAnsi="Wingdings" w:eastAsia="Wingdings" w:cs="Wingdings"/>
      </w:rPr>
    </w:lvl>
    <w:lvl w:ilvl="6">
      <w:start w:val="1"/>
      <w:numFmt w:val="bullet"/>
      <w:isLgl w:val="false"/>
      <w:suff w:val="tab"/>
      <w:lvlText w:val=""/>
      <w:lvlJc w:val="left"/>
      <w:pPr>
        <w:pStyle w:val="929"/>
        <w:ind w:left="3560" w:hanging="440"/>
      </w:pPr>
      <w:rPr>
        <w:rFonts w:ascii="Wingdings" w:hAnsi="Wingdings" w:eastAsia="Wingdings" w:cs="Wingdings"/>
      </w:rPr>
    </w:lvl>
    <w:lvl w:ilvl="7">
      <w:start w:val="1"/>
      <w:numFmt w:val="bullet"/>
      <w:isLgl w:val="false"/>
      <w:suff w:val="tab"/>
      <w:lvlText w:val=""/>
      <w:lvlJc w:val="left"/>
      <w:pPr>
        <w:pStyle w:val="929"/>
        <w:ind w:left="4000" w:hanging="440"/>
      </w:pPr>
      <w:rPr>
        <w:rFonts w:ascii="Wingdings" w:hAnsi="Wingdings" w:eastAsia="Wingdings" w:cs="Wingdings"/>
      </w:rPr>
    </w:lvl>
    <w:lvl w:ilvl="8">
      <w:start w:val="1"/>
      <w:numFmt w:val="bullet"/>
      <w:isLgl w:val="false"/>
      <w:suff w:val="tab"/>
      <w:lvlText w:val=""/>
      <w:lvlJc w:val="left"/>
      <w:pPr>
        <w:pStyle w:val="929"/>
        <w:ind w:left="4440" w:hanging="440"/>
      </w:pPr>
      <w:rPr>
        <w:rFonts w:ascii="Wingdings" w:hAnsi="Wingdings" w:eastAsia="Wingdings" w:cs="Wingdings"/>
      </w:rPr>
    </w:lvl>
  </w:abstractNum>
  <w:abstractNum w:abstractNumId="33">
    <w:multiLevelType w:val="hybridMultilevel"/>
    <w:lvl w:ilvl="0">
      <w:start w:val="1"/>
      <w:numFmt w:val="bullet"/>
      <w:isLgl w:val="false"/>
      <w:suff w:val="tab"/>
      <w:lvlText w:val=""/>
      <w:lvlJc w:val="left"/>
      <w:pPr>
        <w:pStyle w:val="929"/>
        <w:ind w:left="920" w:hanging="440"/>
      </w:pPr>
      <w:rPr>
        <w:rFonts w:ascii="Wingdings" w:hAnsi="Wingdings" w:eastAsia="Wingdings" w:cs="Wingdings"/>
      </w:rPr>
    </w:lvl>
    <w:lvl w:ilvl="1">
      <w:start w:val="1"/>
      <w:numFmt w:val="bullet"/>
      <w:isLgl w:val="false"/>
      <w:suff w:val="tab"/>
      <w:lvlText w:val=""/>
      <w:lvlJc w:val="left"/>
      <w:pPr>
        <w:pStyle w:val="929"/>
        <w:ind w:left="1360" w:hanging="440"/>
      </w:pPr>
      <w:rPr>
        <w:rFonts w:ascii="Wingdings" w:hAnsi="Wingdings" w:eastAsia="Wingdings" w:cs="Wingdings"/>
      </w:rPr>
    </w:lvl>
    <w:lvl w:ilvl="2">
      <w:start w:val="1"/>
      <w:numFmt w:val="bullet"/>
      <w:isLgl w:val="false"/>
      <w:suff w:val="tab"/>
      <w:lvlText w:val=""/>
      <w:lvlJc w:val="left"/>
      <w:pPr>
        <w:pStyle w:val="929"/>
        <w:ind w:left="1800" w:hanging="440"/>
      </w:pPr>
      <w:rPr>
        <w:rFonts w:ascii="Wingdings" w:hAnsi="Wingdings" w:eastAsia="Wingdings" w:cs="Wingdings"/>
      </w:rPr>
    </w:lvl>
    <w:lvl w:ilvl="3">
      <w:start w:val="1"/>
      <w:numFmt w:val="bullet"/>
      <w:isLgl w:val="false"/>
      <w:suff w:val="tab"/>
      <w:lvlText w:val=""/>
      <w:lvlJc w:val="left"/>
      <w:pPr>
        <w:pStyle w:val="929"/>
        <w:ind w:left="2240" w:hanging="440"/>
      </w:pPr>
      <w:rPr>
        <w:rFonts w:ascii="Wingdings" w:hAnsi="Wingdings" w:eastAsia="Wingdings" w:cs="Wingdings"/>
      </w:rPr>
    </w:lvl>
    <w:lvl w:ilvl="4">
      <w:start w:val="1"/>
      <w:numFmt w:val="bullet"/>
      <w:isLgl w:val="false"/>
      <w:suff w:val="tab"/>
      <w:lvlText w:val=""/>
      <w:lvlJc w:val="left"/>
      <w:pPr>
        <w:pStyle w:val="929"/>
        <w:ind w:left="2680" w:hanging="440"/>
      </w:pPr>
      <w:rPr>
        <w:rFonts w:ascii="Wingdings" w:hAnsi="Wingdings" w:eastAsia="Wingdings" w:cs="Wingdings"/>
      </w:rPr>
    </w:lvl>
    <w:lvl w:ilvl="5">
      <w:start w:val="1"/>
      <w:numFmt w:val="bullet"/>
      <w:isLgl w:val="false"/>
      <w:suff w:val="tab"/>
      <w:lvlText w:val=""/>
      <w:lvlJc w:val="left"/>
      <w:pPr>
        <w:pStyle w:val="929"/>
        <w:ind w:left="3120" w:hanging="440"/>
      </w:pPr>
      <w:rPr>
        <w:rFonts w:ascii="Wingdings" w:hAnsi="Wingdings" w:eastAsia="Wingdings" w:cs="Wingdings"/>
      </w:rPr>
    </w:lvl>
    <w:lvl w:ilvl="6">
      <w:start w:val="1"/>
      <w:numFmt w:val="bullet"/>
      <w:isLgl w:val="false"/>
      <w:suff w:val="tab"/>
      <w:lvlText w:val=""/>
      <w:lvlJc w:val="left"/>
      <w:pPr>
        <w:pStyle w:val="929"/>
        <w:ind w:left="3560" w:hanging="440"/>
      </w:pPr>
      <w:rPr>
        <w:rFonts w:ascii="Wingdings" w:hAnsi="Wingdings" w:eastAsia="Wingdings" w:cs="Wingdings"/>
      </w:rPr>
    </w:lvl>
    <w:lvl w:ilvl="7">
      <w:start w:val="1"/>
      <w:numFmt w:val="bullet"/>
      <w:isLgl w:val="false"/>
      <w:suff w:val="tab"/>
      <w:lvlText w:val=""/>
      <w:lvlJc w:val="left"/>
      <w:pPr>
        <w:pStyle w:val="929"/>
        <w:ind w:left="4000" w:hanging="440"/>
      </w:pPr>
      <w:rPr>
        <w:rFonts w:ascii="Wingdings" w:hAnsi="Wingdings" w:eastAsia="Wingdings" w:cs="Wingdings"/>
      </w:rPr>
    </w:lvl>
    <w:lvl w:ilvl="8">
      <w:start w:val="1"/>
      <w:numFmt w:val="bullet"/>
      <w:isLgl w:val="false"/>
      <w:suff w:val="tab"/>
      <w:lvlText w:val=""/>
      <w:lvlJc w:val="left"/>
      <w:pPr>
        <w:pStyle w:val="929"/>
        <w:ind w:left="4440" w:hanging="440"/>
      </w:pPr>
      <w:rPr>
        <w:rFonts w:ascii="Wingdings" w:hAnsi="Wingdings" w:eastAsia="Wingdings" w:cs="Wingdings"/>
      </w:rPr>
    </w:lvl>
  </w:abstractNum>
  <w:num w:numId="1">
    <w:abstractNumId w:val="22"/>
  </w:num>
  <w:num w:numId="2">
    <w:abstractNumId w:val="3"/>
  </w:num>
  <w:num w:numId="3">
    <w:abstractNumId w:val="17"/>
  </w:num>
  <w:num w:numId="4">
    <w:abstractNumId w:val="30"/>
  </w:num>
  <w:num w:numId="5">
    <w:abstractNumId w:val="25"/>
  </w:num>
  <w:num w:numId="6">
    <w:abstractNumId w:val="15"/>
  </w:num>
  <w:num w:numId="7">
    <w:abstractNumId w:val="4"/>
  </w:num>
  <w:num w:numId="8">
    <w:abstractNumId w:val="1"/>
  </w:num>
  <w:num w:numId="9">
    <w:abstractNumId w:val="23"/>
  </w:num>
  <w:num w:numId="10">
    <w:abstractNumId w:val="2"/>
  </w:num>
  <w:num w:numId="11">
    <w:abstractNumId w:val="27"/>
  </w:num>
  <w:num w:numId="12">
    <w:abstractNumId w:val="0"/>
  </w:num>
  <w:num w:numId="13">
    <w:abstractNumId w:val="24"/>
  </w:num>
  <w:num w:numId="14">
    <w:abstractNumId w:val="12"/>
  </w:num>
  <w:num w:numId="15">
    <w:abstractNumId w:val="21"/>
  </w:num>
  <w:num w:numId="16">
    <w:abstractNumId w:val="6"/>
  </w:num>
  <w:num w:numId="17">
    <w:abstractNumId w:val="11"/>
  </w:num>
  <w:num w:numId="18">
    <w:abstractNumId w:val="13"/>
  </w:num>
  <w:num w:numId="19">
    <w:abstractNumId w:val="26"/>
  </w:num>
  <w:num w:numId="20">
    <w:abstractNumId w:val="20"/>
  </w:num>
  <w:num w:numId="21">
    <w:abstractNumId w:val="19"/>
  </w:num>
  <w:num w:numId="22">
    <w:abstractNumId w:val="10"/>
  </w:num>
  <w:num w:numId="23">
    <w:abstractNumId w:val="32"/>
  </w:num>
  <w:num w:numId="24">
    <w:abstractNumId w:val="28"/>
  </w:num>
  <w:num w:numId="25">
    <w:abstractNumId w:val="9"/>
  </w:num>
  <w:num w:numId="26">
    <w:abstractNumId w:val="7"/>
  </w:num>
  <w:num w:numId="27">
    <w:abstractNumId w:val="33"/>
  </w:num>
  <w:num w:numId="28">
    <w:abstractNumId w:val="14"/>
  </w:num>
  <w:num w:numId="29">
    <w:abstractNumId w:val="31"/>
  </w:num>
  <w:num w:numId="30">
    <w:abstractNumId w:val="8"/>
  </w:num>
  <w:num w:numId="31">
    <w:abstractNumId w:val="29"/>
  </w:num>
  <w:num w:numId="32">
    <w:abstractNumId w:val="18"/>
  </w:num>
  <w:num w:numId="33">
    <w:abstractNumId w:val="5"/>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name w:val="Heading 1"/>
    <w:basedOn w:val="929"/>
    <w:next w:val="929"/>
    <w:link w:val="752"/>
    <w:uiPriority w:val="9"/>
    <w:qFormat/>
    <w:pPr>
      <w:keepLines/>
      <w:keepNext/>
      <w:spacing w:before="480" w:after="200"/>
      <w:outlineLvl w:val="0"/>
    </w:pPr>
    <w:rPr>
      <w:rFonts w:ascii="Arial" w:hAnsi="Arial" w:eastAsia="Arial" w:cs="Arial"/>
      <w:sz w:val="40"/>
      <w:szCs w:val="40"/>
    </w:rPr>
  </w:style>
  <w:style w:type="character" w:styleId="752">
    <w:name w:val="Heading 1 Char"/>
    <w:link w:val="751"/>
    <w:uiPriority w:val="9"/>
    <w:rPr>
      <w:rFonts w:ascii="Arial" w:hAnsi="Arial" w:eastAsia="Arial" w:cs="Arial"/>
      <w:sz w:val="40"/>
      <w:szCs w:val="40"/>
    </w:rPr>
  </w:style>
  <w:style w:type="paragraph" w:styleId="753">
    <w:name w:val="Heading 2"/>
    <w:basedOn w:val="929"/>
    <w:next w:val="929"/>
    <w:link w:val="754"/>
    <w:uiPriority w:val="9"/>
    <w:unhideWhenUsed/>
    <w:qFormat/>
    <w:pPr>
      <w:keepLines/>
      <w:keepNext/>
      <w:spacing w:before="360" w:after="200"/>
      <w:outlineLvl w:val="1"/>
    </w:pPr>
    <w:rPr>
      <w:rFonts w:ascii="Arial" w:hAnsi="Arial" w:eastAsia="Arial" w:cs="Arial"/>
      <w:sz w:val="34"/>
    </w:rPr>
  </w:style>
  <w:style w:type="character" w:styleId="754">
    <w:name w:val="Heading 2 Char"/>
    <w:link w:val="753"/>
    <w:uiPriority w:val="9"/>
    <w:rPr>
      <w:rFonts w:ascii="Arial" w:hAnsi="Arial" w:eastAsia="Arial" w:cs="Arial"/>
      <w:sz w:val="34"/>
    </w:rPr>
  </w:style>
  <w:style w:type="paragraph" w:styleId="755">
    <w:name w:val="Heading 3"/>
    <w:basedOn w:val="929"/>
    <w:next w:val="929"/>
    <w:link w:val="756"/>
    <w:uiPriority w:val="9"/>
    <w:unhideWhenUsed/>
    <w:qFormat/>
    <w:pPr>
      <w:keepLines/>
      <w:keepNext/>
      <w:spacing w:before="320" w:after="200"/>
      <w:outlineLvl w:val="2"/>
    </w:pPr>
    <w:rPr>
      <w:rFonts w:ascii="Arial" w:hAnsi="Arial" w:eastAsia="Arial" w:cs="Arial"/>
      <w:sz w:val="30"/>
      <w:szCs w:val="30"/>
    </w:rPr>
  </w:style>
  <w:style w:type="character" w:styleId="756">
    <w:name w:val="Heading 3 Char"/>
    <w:link w:val="755"/>
    <w:uiPriority w:val="9"/>
    <w:rPr>
      <w:rFonts w:ascii="Arial" w:hAnsi="Arial" w:eastAsia="Arial" w:cs="Arial"/>
      <w:sz w:val="30"/>
      <w:szCs w:val="30"/>
    </w:rPr>
  </w:style>
  <w:style w:type="paragraph" w:styleId="757">
    <w:name w:val="Heading 4"/>
    <w:basedOn w:val="929"/>
    <w:next w:val="929"/>
    <w:link w:val="758"/>
    <w:uiPriority w:val="9"/>
    <w:unhideWhenUsed/>
    <w:qFormat/>
    <w:pPr>
      <w:keepLines/>
      <w:keepNext/>
      <w:spacing w:before="320" w:after="200"/>
      <w:outlineLvl w:val="3"/>
    </w:pPr>
    <w:rPr>
      <w:rFonts w:ascii="Arial" w:hAnsi="Arial" w:eastAsia="Arial" w:cs="Arial"/>
      <w:b/>
      <w:bCs/>
      <w:sz w:val="26"/>
      <w:szCs w:val="26"/>
    </w:rPr>
  </w:style>
  <w:style w:type="character" w:styleId="758">
    <w:name w:val="Heading 4 Char"/>
    <w:link w:val="757"/>
    <w:uiPriority w:val="9"/>
    <w:rPr>
      <w:rFonts w:ascii="Arial" w:hAnsi="Arial" w:eastAsia="Arial" w:cs="Arial"/>
      <w:b/>
      <w:bCs/>
      <w:sz w:val="26"/>
      <w:szCs w:val="26"/>
    </w:rPr>
  </w:style>
  <w:style w:type="paragraph" w:styleId="759">
    <w:name w:val="Heading 5"/>
    <w:basedOn w:val="929"/>
    <w:next w:val="929"/>
    <w:link w:val="760"/>
    <w:uiPriority w:val="9"/>
    <w:unhideWhenUsed/>
    <w:qFormat/>
    <w:pPr>
      <w:keepLines/>
      <w:keepNext/>
      <w:spacing w:before="320" w:after="200"/>
      <w:outlineLvl w:val="4"/>
    </w:pPr>
    <w:rPr>
      <w:rFonts w:ascii="Arial" w:hAnsi="Arial" w:eastAsia="Arial" w:cs="Arial"/>
      <w:b/>
      <w:bCs/>
      <w:sz w:val="24"/>
      <w:szCs w:val="24"/>
    </w:rPr>
  </w:style>
  <w:style w:type="character" w:styleId="760">
    <w:name w:val="Heading 5 Char"/>
    <w:link w:val="759"/>
    <w:uiPriority w:val="9"/>
    <w:rPr>
      <w:rFonts w:ascii="Arial" w:hAnsi="Arial" w:eastAsia="Arial" w:cs="Arial"/>
      <w:b/>
      <w:bCs/>
      <w:sz w:val="24"/>
      <w:szCs w:val="24"/>
    </w:rPr>
  </w:style>
  <w:style w:type="paragraph" w:styleId="761">
    <w:name w:val="Heading 6"/>
    <w:basedOn w:val="929"/>
    <w:next w:val="929"/>
    <w:link w:val="762"/>
    <w:uiPriority w:val="9"/>
    <w:unhideWhenUsed/>
    <w:qFormat/>
    <w:pPr>
      <w:keepLines/>
      <w:keepNext/>
      <w:spacing w:before="320" w:after="200"/>
      <w:outlineLvl w:val="5"/>
    </w:pPr>
    <w:rPr>
      <w:rFonts w:ascii="Arial" w:hAnsi="Arial" w:eastAsia="Arial" w:cs="Arial"/>
      <w:b/>
      <w:bCs/>
      <w:sz w:val="22"/>
      <w:szCs w:val="22"/>
    </w:rPr>
  </w:style>
  <w:style w:type="character" w:styleId="762">
    <w:name w:val="Heading 6 Char"/>
    <w:link w:val="761"/>
    <w:uiPriority w:val="9"/>
    <w:rPr>
      <w:rFonts w:ascii="Arial" w:hAnsi="Arial" w:eastAsia="Arial" w:cs="Arial"/>
      <w:b/>
      <w:bCs/>
      <w:sz w:val="22"/>
      <w:szCs w:val="22"/>
    </w:rPr>
  </w:style>
  <w:style w:type="paragraph" w:styleId="763">
    <w:name w:val="Heading 7"/>
    <w:basedOn w:val="929"/>
    <w:next w:val="929"/>
    <w:link w:val="764"/>
    <w:uiPriority w:val="9"/>
    <w:unhideWhenUsed/>
    <w:qFormat/>
    <w:pPr>
      <w:keepLines/>
      <w:keepNext/>
      <w:spacing w:before="320" w:after="200"/>
      <w:outlineLvl w:val="6"/>
    </w:pPr>
    <w:rPr>
      <w:rFonts w:ascii="Arial" w:hAnsi="Arial" w:eastAsia="Arial" w:cs="Arial"/>
      <w:b/>
      <w:bCs/>
      <w:i/>
      <w:iCs/>
      <w:sz w:val="22"/>
      <w:szCs w:val="22"/>
    </w:rPr>
  </w:style>
  <w:style w:type="character" w:styleId="764">
    <w:name w:val="Heading 7 Char"/>
    <w:link w:val="763"/>
    <w:uiPriority w:val="9"/>
    <w:rPr>
      <w:rFonts w:ascii="Arial" w:hAnsi="Arial" w:eastAsia="Arial" w:cs="Arial"/>
      <w:b/>
      <w:bCs/>
      <w:i/>
      <w:iCs/>
      <w:sz w:val="22"/>
      <w:szCs w:val="22"/>
    </w:rPr>
  </w:style>
  <w:style w:type="paragraph" w:styleId="765">
    <w:name w:val="Heading 8"/>
    <w:basedOn w:val="929"/>
    <w:next w:val="929"/>
    <w:link w:val="766"/>
    <w:uiPriority w:val="9"/>
    <w:unhideWhenUsed/>
    <w:qFormat/>
    <w:pPr>
      <w:keepLines/>
      <w:keepNext/>
      <w:spacing w:before="320" w:after="200"/>
      <w:outlineLvl w:val="7"/>
    </w:pPr>
    <w:rPr>
      <w:rFonts w:ascii="Arial" w:hAnsi="Arial" w:eastAsia="Arial" w:cs="Arial"/>
      <w:i/>
      <w:iCs/>
      <w:sz w:val="22"/>
      <w:szCs w:val="22"/>
    </w:rPr>
  </w:style>
  <w:style w:type="character" w:styleId="766">
    <w:name w:val="Heading 8 Char"/>
    <w:link w:val="765"/>
    <w:uiPriority w:val="9"/>
    <w:rPr>
      <w:rFonts w:ascii="Arial" w:hAnsi="Arial" w:eastAsia="Arial" w:cs="Arial"/>
      <w:i/>
      <w:iCs/>
      <w:sz w:val="22"/>
      <w:szCs w:val="22"/>
    </w:rPr>
  </w:style>
  <w:style w:type="paragraph" w:styleId="767">
    <w:name w:val="Heading 9"/>
    <w:basedOn w:val="929"/>
    <w:next w:val="929"/>
    <w:link w:val="768"/>
    <w:uiPriority w:val="9"/>
    <w:unhideWhenUsed/>
    <w:qFormat/>
    <w:pPr>
      <w:keepLines/>
      <w:keepNext/>
      <w:spacing w:before="320" w:after="200"/>
      <w:outlineLvl w:val="8"/>
    </w:pPr>
    <w:rPr>
      <w:rFonts w:ascii="Arial" w:hAnsi="Arial" w:eastAsia="Arial" w:cs="Arial"/>
      <w:i/>
      <w:iCs/>
      <w:sz w:val="21"/>
      <w:szCs w:val="21"/>
    </w:rPr>
  </w:style>
  <w:style w:type="character" w:styleId="768">
    <w:name w:val="Heading 9 Char"/>
    <w:link w:val="767"/>
    <w:uiPriority w:val="9"/>
    <w:rPr>
      <w:rFonts w:ascii="Arial" w:hAnsi="Arial" w:eastAsia="Arial" w:cs="Arial"/>
      <w:i/>
      <w:iCs/>
      <w:sz w:val="21"/>
      <w:szCs w:val="21"/>
    </w:rPr>
  </w:style>
  <w:style w:type="paragraph" w:styleId="769">
    <w:name w:val="List Paragraph"/>
    <w:basedOn w:val="929"/>
    <w:uiPriority w:val="34"/>
    <w:qFormat/>
    <w:pPr>
      <w:contextualSpacing/>
      <w:ind w:left="720"/>
    </w:pPr>
  </w:style>
  <w:style w:type="paragraph" w:styleId="770">
    <w:name w:val="No Spacing"/>
    <w:uiPriority w:val="1"/>
    <w:qFormat/>
    <w:pPr>
      <w:spacing w:before="0" w:after="0" w:line="240" w:lineRule="auto"/>
    </w:pPr>
  </w:style>
  <w:style w:type="paragraph" w:styleId="771">
    <w:name w:val="Title"/>
    <w:basedOn w:val="929"/>
    <w:next w:val="929"/>
    <w:link w:val="772"/>
    <w:uiPriority w:val="10"/>
    <w:qFormat/>
    <w:pPr>
      <w:contextualSpacing/>
      <w:spacing w:before="300" w:after="200"/>
    </w:pPr>
    <w:rPr>
      <w:sz w:val="48"/>
      <w:szCs w:val="48"/>
    </w:rPr>
  </w:style>
  <w:style w:type="character" w:styleId="772">
    <w:name w:val="Title Char"/>
    <w:link w:val="771"/>
    <w:uiPriority w:val="10"/>
    <w:rPr>
      <w:sz w:val="48"/>
      <w:szCs w:val="48"/>
    </w:rPr>
  </w:style>
  <w:style w:type="paragraph" w:styleId="773">
    <w:name w:val="Subtitle"/>
    <w:basedOn w:val="929"/>
    <w:next w:val="929"/>
    <w:link w:val="774"/>
    <w:uiPriority w:val="11"/>
    <w:qFormat/>
    <w:pPr>
      <w:spacing w:before="200" w:after="200"/>
    </w:pPr>
    <w:rPr>
      <w:sz w:val="24"/>
      <w:szCs w:val="24"/>
    </w:rPr>
  </w:style>
  <w:style w:type="character" w:styleId="774">
    <w:name w:val="Subtitle Char"/>
    <w:link w:val="773"/>
    <w:uiPriority w:val="11"/>
    <w:rPr>
      <w:sz w:val="24"/>
      <w:szCs w:val="24"/>
    </w:rPr>
  </w:style>
  <w:style w:type="paragraph" w:styleId="775">
    <w:name w:val="Quote"/>
    <w:basedOn w:val="929"/>
    <w:next w:val="929"/>
    <w:link w:val="776"/>
    <w:uiPriority w:val="29"/>
    <w:qFormat/>
    <w:pPr>
      <w:ind w:left="720" w:right="720"/>
    </w:pPr>
    <w:rPr>
      <w:i/>
    </w:rPr>
  </w:style>
  <w:style w:type="character" w:styleId="776">
    <w:name w:val="Quote Char"/>
    <w:link w:val="775"/>
    <w:uiPriority w:val="29"/>
    <w:rPr>
      <w:i/>
    </w:rPr>
  </w:style>
  <w:style w:type="paragraph" w:styleId="777">
    <w:name w:val="Intense Quote"/>
    <w:basedOn w:val="929"/>
    <w:next w:val="929"/>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name w:val="Intense Quote Char"/>
    <w:link w:val="777"/>
    <w:uiPriority w:val="30"/>
    <w:rPr>
      <w:i/>
    </w:rPr>
  </w:style>
  <w:style w:type="paragraph" w:styleId="779">
    <w:name w:val="Header"/>
    <w:basedOn w:val="929"/>
    <w:link w:val="780"/>
    <w:uiPriority w:val="99"/>
    <w:unhideWhenUsed/>
    <w:pPr>
      <w:spacing w:after="0" w:line="240" w:lineRule="auto"/>
      <w:tabs>
        <w:tab w:val="center" w:pos="7143" w:leader="none"/>
        <w:tab w:val="right" w:pos="14287" w:leader="none"/>
      </w:tabs>
    </w:pPr>
  </w:style>
  <w:style w:type="character" w:styleId="780">
    <w:name w:val="Header Char"/>
    <w:link w:val="779"/>
    <w:uiPriority w:val="99"/>
  </w:style>
  <w:style w:type="paragraph" w:styleId="781">
    <w:name w:val="Footer"/>
    <w:basedOn w:val="929"/>
    <w:link w:val="784"/>
    <w:uiPriority w:val="99"/>
    <w:unhideWhenUsed/>
    <w:pPr>
      <w:spacing w:after="0" w:line="240" w:lineRule="auto"/>
      <w:tabs>
        <w:tab w:val="center" w:pos="7143" w:leader="none"/>
        <w:tab w:val="right" w:pos="14287" w:leader="none"/>
      </w:tabs>
    </w:pPr>
  </w:style>
  <w:style w:type="character" w:styleId="782">
    <w:name w:val="Footer Char"/>
    <w:link w:val="781"/>
    <w:uiPriority w:val="99"/>
  </w:style>
  <w:style w:type="paragraph" w:styleId="783">
    <w:name w:val="Caption"/>
    <w:basedOn w:val="929"/>
    <w:next w:val="929"/>
    <w:uiPriority w:val="35"/>
    <w:semiHidden/>
    <w:unhideWhenUsed/>
    <w:qFormat/>
    <w:pPr>
      <w:spacing w:line="276" w:lineRule="auto"/>
    </w:pPr>
    <w:rPr>
      <w:b/>
      <w:bCs/>
      <w:color w:val="4f81bd" w:themeColor="accent1"/>
      <w:sz w:val="18"/>
      <w:szCs w:val="18"/>
    </w:rPr>
  </w:style>
  <w:style w:type="character" w:styleId="784">
    <w:name w:val="Caption Char"/>
    <w:basedOn w:val="783"/>
    <w:link w:val="781"/>
    <w:uiPriority w:val="99"/>
  </w:style>
  <w:style w:type="table" w:styleId="78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1">
    <w:name w:val="Hyperlink"/>
    <w:uiPriority w:val="99"/>
    <w:unhideWhenUsed/>
    <w:rPr>
      <w:color w:val="0000ff" w:themeColor="hyperlink"/>
      <w:u w:val="single"/>
    </w:rPr>
  </w:style>
  <w:style w:type="paragraph" w:styleId="912">
    <w:name w:val="footnote text"/>
    <w:basedOn w:val="929"/>
    <w:link w:val="913"/>
    <w:uiPriority w:val="99"/>
    <w:semiHidden/>
    <w:unhideWhenUsed/>
    <w:pPr>
      <w:spacing w:after="40" w:line="240" w:lineRule="auto"/>
    </w:pPr>
    <w:rPr>
      <w:sz w:val="18"/>
    </w:rPr>
  </w:style>
  <w:style w:type="character" w:styleId="913">
    <w:name w:val="Footnote Text Char"/>
    <w:link w:val="912"/>
    <w:uiPriority w:val="99"/>
    <w:rPr>
      <w:sz w:val="18"/>
    </w:rPr>
  </w:style>
  <w:style w:type="character" w:styleId="914">
    <w:name w:val="footnote reference"/>
    <w:uiPriority w:val="99"/>
    <w:unhideWhenUsed/>
    <w:rPr>
      <w:vertAlign w:val="superscript"/>
    </w:rPr>
  </w:style>
  <w:style w:type="paragraph" w:styleId="915">
    <w:name w:val="endnote text"/>
    <w:basedOn w:val="929"/>
    <w:link w:val="916"/>
    <w:uiPriority w:val="99"/>
    <w:semiHidden/>
    <w:unhideWhenUsed/>
    <w:pPr>
      <w:spacing w:after="0" w:line="240" w:lineRule="auto"/>
    </w:pPr>
    <w:rPr>
      <w:sz w:val="20"/>
    </w:rPr>
  </w:style>
  <w:style w:type="character" w:styleId="916">
    <w:name w:val="Endnote Text Char"/>
    <w:link w:val="915"/>
    <w:uiPriority w:val="99"/>
    <w:rPr>
      <w:sz w:val="20"/>
    </w:rPr>
  </w:style>
  <w:style w:type="character" w:styleId="917">
    <w:name w:val="endnote reference"/>
    <w:uiPriority w:val="99"/>
    <w:semiHidden/>
    <w:unhideWhenUsed/>
    <w:rPr>
      <w:vertAlign w:val="superscript"/>
    </w:rPr>
  </w:style>
  <w:style w:type="paragraph" w:styleId="918">
    <w:name w:val="toc 1"/>
    <w:basedOn w:val="929"/>
    <w:next w:val="929"/>
    <w:uiPriority w:val="39"/>
    <w:unhideWhenUsed/>
    <w:pPr>
      <w:ind w:left="0" w:right="0" w:firstLine="0"/>
      <w:spacing w:after="57"/>
    </w:pPr>
  </w:style>
  <w:style w:type="paragraph" w:styleId="919">
    <w:name w:val="toc 2"/>
    <w:basedOn w:val="929"/>
    <w:next w:val="929"/>
    <w:uiPriority w:val="39"/>
    <w:unhideWhenUsed/>
    <w:pPr>
      <w:ind w:left="283" w:right="0" w:firstLine="0"/>
      <w:spacing w:after="57"/>
    </w:pPr>
  </w:style>
  <w:style w:type="paragraph" w:styleId="920">
    <w:name w:val="toc 3"/>
    <w:basedOn w:val="929"/>
    <w:next w:val="929"/>
    <w:uiPriority w:val="39"/>
    <w:unhideWhenUsed/>
    <w:pPr>
      <w:ind w:left="567" w:right="0" w:firstLine="0"/>
      <w:spacing w:after="57"/>
    </w:pPr>
  </w:style>
  <w:style w:type="paragraph" w:styleId="921">
    <w:name w:val="toc 4"/>
    <w:basedOn w:val="929"/>
    <w:next w:val="929"/>
    <w:uiPriority w:val="39"/>
    <w:unhideWhenUsed/>
    <w:pPr>
      <w:ind w:left="850" w:right="0" w:firstLine="0"/>
      <w:spacing w:after="57"/>
    </w:pPr>
  </w:style>
  <w:style w:type="paragraph" w:styleId="922">
    <w:name w:val="toc 5"/>
    <w:basedOn w:val="929"/>
    <w:next w:val="929"/>
    <w:uiPriority w:val="39"/>
    <w:unhideWhenUsed/>
    <w:pPr>
      <w:ind w:left="1134" w:right="0" w:firstLine="0"/>
      <w:spacing w:after="57"/>
    </w:pPr>
  </w:style>
  <w:style w:type="paragraph" w:styleId="923">
    <w:name w:val="toc 6"/>
    <w:basedOn w:val="929"/>
    <w:next w:val="929"/>
    <w:uiPriority w:val="39"/>
    <w:unhideWhenUsed/>
    <w:pPr>
      <w:ind w:left="1417" w:right="0" w:firstLine="0"/>
      <w:spacing w:after="57"/>
    </w:pPr>
  </w:style>
  <w:style w:type="paragraph" w:styleId="924">
    <w:name w:val="toc 7"/>
    <w:basedOn w:val="929"/>
    <w:next w:val="929"/>
    <w:uiPriority w:val="39"/>
    <w:unhideWhenUsed/>
    <w:pPr>
      <w:ind w:left="1701" w:right="0" w:firstLine="0"/>
      <w:spacing w:after="57"/>
    </w:pPr>
  </w:style>
  <w:style w:type="paragraph" w:styleId="925">
    <w:name w:val="toc 8"/>
    <w:basedOn w:val="929"/>
    <w:next w:val="929"/>
    <w:uiPriority w:val="39"/>
    <w:unhideWhenUsed/>
    <w:pPr>
      <w:ind w:left="1984" w:right="0" w:firstLine="0"/>
      <w:spacing w:after="57"/>
    </w:pPr>
  </w:style>
  <w:style w:type="paragraph" w:styleId="926">
    <w:name w:val="toc 9"/>
    <w:basedOn w:val="929"/>
    <w:next w:val="929"/>
    <w:uiPriority w:val="39"/>
    <w:unhideWhenUsed/>
    <w:pPr>
      <w:ind w:left="2268" w:right="0" w:firstLine="0"/>
      <w:spacing w:after="57"/>
    </w:pPr>
  </w:style>
  <w:style w:type="paragraph" w:styleId="927">
    <w:name w:val="TOC Heading"/>
    <w:uiPriority w:val="39"/>
    <w:unhideWhenUsed/>
  </w:style>
  <w:style w:type="paragraph" w:styleId="928">
    <w:name w:val="table of figures"/>
    <w:basedOn w:val="929"/>
    <w:next w:val="929"/>
    <w:uiPriority w:val="99"/>
    <w:unhideWhenUsed/>
    <w:pPr>
      <w:spacing w:after="0" w:afterAutospacing="0"/>
    </w:pPr>
  </w:style>
  <w:style w:type="paragraph" w:styleId="929" w:default="1">
    <w:name w:val="Normal"/>
    <w:next w:val="929"/>
    <w:link w:val="929"/>
    <w:qFormat/>
    <w:pPr>
      <w:jc w:val="both"/>
      <w:widowControl w:val="off"/>
    </w:pPr>
    <w:rPr>
      <w:rFonts w:ascii="Times New Roman" w:hAnsi="Times New Roman"/>
      <w:sz w:val="21"/>
      <w:szCs w:val="21"/>
      <w:lang w:val="en-US" w:eastAsia="zh-CN" w:bidi="ar-SA"/>
    </w:rPr>
  </w:style>
  <w:style w:type="paragraph" w:styleId="930">
    <w:name w:val="标题 1"/>
    <w:basedOn w:val="929"/>
    <w:next w:val="929"/>
    <w:link w:val="942"/>
    <w:qFormat/>
    <w:pPr>
      <w:jc w:val="center"/>
      <w:keepNext/>
      <w:outlineLvl w:val="0"/>
    </w:pPr>
    <w:rPr>
      <w:rFonts w:ascii="楷体_GB2312" w:eastAsia="楷体_GB2312"/>
      <w:sz w:val="28"/>
      <w:szCs w:val="28"/>
      <w:lang w:val="en-US" w:eastAsia="en-US"/>
    </w:rPr>
  </w:style>
  <w:style w:type="paragraph" w:styleId="931">
    <w:name w:val="标题 2"/>
    <w:basedOn w:val="929"/>
    <w:next w:val="944"/>
    <w:link w:val="943"/>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32">
    <w:name w:val="标题 3"/>
    <w:basedOn w:val="929"/>
    <w:next w:val="944"/>
    <w:link w:val="946"/>
    <w:qFormat/>
    <w:pPr>
      <w:keepLines/>
      <w:keepNext/>
      <w:spacing w:before="260" w:after="260" w:line="416" w:lineRule="auto"/>
      <w:outlineLvl w:val="2"/>
    </w:pPr>
    <w:rPr>
      <w:b/>
      <w:bCs/>
      <w:sz w:val="32"/>
      <w:szCs w:val="32"/>
      <w:lang w:val="en-US" w:eastAsia="en-US"/>
    </w:rPr>
  </w:style>
  <w:style w:type="paragraph" w:styleId="933">
    <w:name w:val="标题 4"/>
    <w:basedOn w:val="929"/>
    <w:next w:val="944"/>
    <w:link w:val="947"/>
    <w:qFormat/>
    <w:pPr>
      <w:keepLines/>
      <w:keepNext/>
      <w:spacing w:before="280" w:after="290" w:line="376" w:lineRule="auto"/>
      <w:outlineLvl w:val="3"/>
    </w:pPr>
    <w:rPr>
      <w:rFonts w:ascii="Arial" w:hAnsi="Arial" w:eastAsia="黑体"/>
      <w:b/>
      <w:bCs/>
      <w:sz w:val="28"/>
      <w:szCs w:val="28"/>
      <w:lang w:val="en-US" w:eastAsia="en-US"/>
    </w:rPr>
  </w:style>
  <w:style w:type="paragraph" w:styleId="934">
    <w:name w:val="标题 5"/>
    <w:basedOn w:val="929"/>
    <w:next w:val="944"/>
    <w:link w:val="948"/>
    <w:qFormat/>
    <w:pPr>
      <w:keepNext/>
      <w:outlineLvl w:val="4"/>
    </w:pPr>
    <w:rPr>
      <w:rFonts w:ascii="宋体"/>
      <w:color w:val="000000"/>
      <w:sz w:val="28"/>
      <w:szCs w:val="28"/>
      <w:lang w:val="en-US" w:eastAsia="en-US"/>
    </w:rPr>
  </w:style>
  <w:style w:type="paragraph" w:styleId="935">
    <w:name w:val="标题 6"/>
    <w:basedOn w:val="929"/>
    <w:next w:val="929"/>
    <w:link w:val="949"/>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36">
    <w:name w:val="标题 7"/>
    <w:basedOn w:val="929"/>
    <w:next w:val="929"/>
    <w:link w:val="950"/>
    <w:qFormat/>
    <w:pPr>
      <w:numPr>
        <w:ilvl w:val="6"/>
        <w:numId w:val="1"/>
      </w:numPr>
      <w:keepLines/>
      <w:keepNext/>
      <w:spacing w:before="240" w:after="64" w:line="320" w:lineRule="auto"/>
      <w:outlineLvl w:val="6"/>
    </w:pPr>
    <w:rPr>
      <w:b/>
      <w:bCs/>
      <w:sz w:val="24"/>
      <w:szCs w:val="24"/>
      <w:lang w:val="en-US" w:eastAsia="en-US"/>
    </w:rPr>
  </w:style>
  <w:style w:type="paragraph" w:styleId="937">
    <w:name w:val="标题 8"/>
    <w:basedOn w:val="929"/>
    <w:next w:val="929"/>
    <w:link w:val="951"/>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38">
    <w:name w:val="标题 9"/>
    <w:basedOn w:val="929"/>
    <w:next w:val="929"/>
    <w:link w:val="952"/>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39">
    <w:name w:val="默认段落字体"/>
    <w:next w:val="939"/>
    <w:link w:val="929"/>
    <w:uiPriority w:val="1"/>
    <w:unhideWhenUsed/>
  </w:style>
  <w:style w:type="table" w:styleId="940">
    <w:name w:val="普通表格"/>
    <w:next w:val="940"/>
    <w:link w:val="929"/>
    <w:uiPriority w:val="99"/>
    <w:unhideWhenUsed/>
    <w:tblPr/>
  </w:style>
  <w:style w:type="numbering" w:styleId="941">
    <w:name w:val="无列表"/>
    <w:next w:val="941"/>
    <w:link w:val="929"/>
    <w:uiPriority w:val="99"/>
    <w:semiHidden/>
    <w:unhideWhenUsed/>
  </w:style>
  <w:style w:type="character" w:styleId="942">
    <w:name w:val="标题 1 Char"/>
    <w:next w:val="942"/>
    <w:link w:val="930"/>
    <w:rPr>
      <w:rFonts w:ascii="楷体_GB2312" w:hAnsi="Times New Roman" w:eastAsia="楷体_GB2312" w:cs="Times New Roman"/>
      <w:sz w:val="28"/>
      <w:szCs w:val="28"/>
    </w:rPr>
  </w:style>
  <w:style w:type="character" w:styleId="943">
    <w:name w:val="标题 2 Char"/>
    <w:next w:val="943"/>
    <w:link w:val="931"/>
    <w:rPr>
      <w:rFonts w:ascii="Arial" w:hAnsi="Arial" w:eastAsia="幼圆" w:cs="Arial"/>
      <w:b/>
      <w:bCs/>
      <w:sz w:val="44"/>
      <w:szCs w:val="44"/>
    </w:rPr>
  </w:style>
  <w:style w:type="paragraph" w:styleId="944">
    <w:name w:val="正文缩进"/>
    <w:basedOn w:val="929"/>
    <w:next w:val="944"/>
    <w:link w:val="945"/>
    <w:pPr>
      <w:ind w:firstLine="420"/>
    </w:pPr>
    <w:rPr>
      <w:sz w:val="20"/>
      <w:lang w:val="en-US" w:eastAsia="en-US"/>
    </w:rPr>
  </w:style>
  <w:style w:type="character" w:styleId="945">
    <w:name w:val="正文缩进 Char"/>
    <w:next w:val="945"/>
    <w:link w:val="944"/>
    <w:rPr>
      <w:rFonts w:ascii="Times New Roman" w:hAnsi="Times New Roman" w:eastAsia="宋体" w:cs="Times New Roman"/>
      <w:szCs w:val="21"/>
    </w:rPr>
  </w:style>
  <w:style w:type="character" w:styleId="946">
    <w:name w:val="标题 3 Char"/>
    <w:next w:val="946"/>
    <w:link w:val="932"/>
    <w:rPr>
      <w:rFonts w:ascii="Times New Roman" w:hAnsi="Times New Roman" w:eastAsia="宋体" w:cs="Times New Roman"/>
      <w:b/>
      <w:bCs/>
      <w:sz w:val="32"/>
      <w:szCs w:val="32"/>
    </w:rPr>
  </w:style>
  <w:style w:type="character" w:styleId="947">
    <w:name w:val="标题 4 Char"/>
    <w:next w:val="947"/>
    <w:link w:val="933"/>
    <w:rPr>
      <w:rFonts w:ascii="Arial" w:hAnsi="Arial" w:eastAsia="黑体" w:cs="Arial"/>
      <w:b/>
      <w:bCs/>
      <w:sz w:val="28"/>
      <w:szCs w:val="28"/>
    </w:rPr>
  </w:style>
  <w:style w:type="character" w:styleId="948">
    <w:name w:val="标题 5 Char"/>
    <w:next w:val="948"/>
    <w:link w:val="934"/>
    <w:rPr>
      <w:rFonts w:ascii="宋体" w:hAnsi="Times New Roman" w:eastAsia="宋体" w:cs="Times New Roman"/>
      <w:color w:val="000000"/>
      <w:sz w:val="28"/>
      <w:szCs w:val="28"/>
    </w:rPr>
  </w:style>
  <w:style w:type="character" w:styleId="949">
    <w:name w:val="标题 6 Char"/>
    <w:next w:val="949"/>
    <w:link w:val="935"/>
    <w:rPr>
      <w:rFonts w:ascii="Arial" w:hAnsi="Arial" w:eastAsia="黑体" w:cs="Times New Roman"/>
      <w:b/>
      <w:bCs/>
      <w:sz w:val="24"/>
      <w:szCs w:val="24"/>
    </w:rPr>
  </w:style>
  <w:style w:type="character" w:styleId="950">
    <w:name w:val="标题 7 Char"/>
    <w:next w:val="950"/>
    <w:link w:val="936"/>
    <w:rPr>
      <w:rFonts w:ascii="Times New Roman" w:hAnsi="Times New Roman" w:eastAsia="宋体" w:cs="Times New Roman"/>
      <w:b/>
      <w:bCs/>
      <w:sz w:val="24"/>
      <w:szCs w:val="24"/>
    </w:rPr>
  </w:style>
  <w:style w:type="character" w:styleId="951">
    <w:name w:val="标题 8 Char"/>
    <w:next w:val="951"/>
    <w:link w:val="937"/>
    <w:rPr>
      <w:rFonts w:ascii="Arial" w:hAnsi="Arial" w:eastAsia="黑体" w:cs="Times New Roman"/>
      <w:sz w:val="24"/>
      <w:szCs w:val="24"/>
    </w:rPr>
  </w:style>
  <w:style w:type="character" w:styleId="952">
    <w:name w:val="标题 9 Char"/>
    <w:next w:val="952"/>
    <w:link w:val="938"/>
    <w:rPr>
      <w:rFonts w:ascii="Arial" w:hAnsi="Arial" w:eastAsia="黑体" w:cs="Times New Roman"/>
      <w:szCs w:val="21"/>
    </w:rPr>
  </w:style>
  <w:style w:type="paragraph" w:styleId="953">
    <w:name w:val="列表 3"/>
    <w:basedOn w:val="929"/>
    <w:next w:val="953"/>
    <w:link w:val="929"/>
    <w:pPr>
      <w:ind w:left="100" w:hanging="200"/>
    </w:pPr>
  </w:style>
  <w:style w:type="paragraph" w:styleId="954">
    <w:name w:val="目录 7"/>
    <w:basedOn w:val="929"/>
    <w:next w:val="929"/>
    <w:link w:val="929"/>
    <w:semiHidden/>
    <w:pPr>
      <w:ind w:left="1260"/>
      <w:jc w:val="left"/>
    </w:pPr>
  </w:style>
  <w:style w:type="paragraph" w:styleId="955">
    <w:name w:val="文档结构图"/>
    <w:basedOn w:val="929"/>
    <w:next w:val="955"/>
    <w:link w:val="956"/>
    <w:semiHidden/>
    <w:pPr>
      <w:shd w:val="clear" w:color="auto" w:fill="000080"/>
    </w:pPr>
    <w:rPr>
      <w:sz w:val="20"/>
      <w:lang w:val="en-US" w:eastAsia="en-US"/>
    </w:rPr>
  </w:style>
  <w:style w:type="character" w:styleId="956">
    <w:name w:val="文档结构图 Char"/>
    <w:next w:val="956"/>
    <w:link w:val="955"/>
    <w:semiHidden/>
    <w:rPr>
      <w:rFonts w:ascii="Times New Roman" w:hAnsi="Times New Roman" w:eastAsia="宋体" w:cs="Times New Roman"/>
      <w:szCs w:val="21"/>
      <w:shd w:val="clear" w:color="auto" w:fill="000080"/>
    </w:rPr>
  </w:style>
  <w:style w:type="paragraph" w:styleId="957">
    <w:name w:val="批注文字"/>
    <w:basedOn w:val="929"/>
    <w:next w:val="957"/>
    <w:link w:val="958"/>
    <w:semiHidden/>
    <w:pPr>
      <w:jc w:val="left"/>
    </w:pPr>
    <w:rPr>
      <w:sz w:val="20"/>
      <w:lang w:val="en-US" w:eastAsia="en-US"/>
    </w:rPr>
  </w:style>
  <w:style w:type="character" w:styleId="958">
    <w:name w:val="批注文字 Char"/>
    <w:next w:val="958"/>
    <w:link w:val="957"/>
    <w:semiHidden/>
    <w:rPr>
      <w:rFonts w:ascii="Times New Roman" w:hAnsi="Times New Roman" w:eastAsia="宋体" w:cs="Times New Roman"/>
      <w:szCs w:val="21"/>
    </w:rPr>
  </w:style>
  <w:style w:type="paragraph" w:styleId="959">
    <w:name w:val="正文文本 3"/>
    <w:basedOn w:val="929"/>
    <w:next w:val="959"/>
    <w:link w:val="960"/>
    <w:rPr>
      <w:rFonts w:ascii="仿宋_GB2312" w:hAnsi="Arial" w:eastAsia="仿宋_GB2312"/>
      <w:sz w:val="32"/>
      <w:szCs w:val="32"/>
      <w:lang w:val="en-US" w:eastAsia="en-US"/>
    </w:rPr>
  </w:style>
  <w:style w:type="character" w:styleId="960">
    <w:name w:val="正文文本 3 Char"/>
    <w:next w:val="960"/>
    <w:link w:val="959"/>
    <w:rPr>
      <w:rFonts w:ascii="仿宋_GB2312" w:hAnsi="Arial" w:eastAsia="仿宋_GB2312" w:cs="Times New Roman"/>
      <w:sz w:val="32"/>
      <w:szCs w:val="32"/>
    </w:rPr>
  </w:style>
  <w:style w:type="paragraph" w:styleId="961">
    <w:name w:val="正文文本"/>
    <w:basedOn w:val="929"/>
    <w:next w:val="961"/>
    <w:link w:val="962"/>
    <w:rPr>
      <w:rFonts w:ascii="楷体_GB2312" w:hAnsi="Arial" w:eastAsia="楷体_GB2312"/>
      <w:sz w:val="28"/>
      <w:szCs w:val="28"/>
      <w:lang w:val="en-US" w:eastAsia="en-US"/>
    </w:rPr>
  </w:style>
  <w:style w:type="character" w:styleId="962">
    <w:name w:val="正文文本 Char"/>
    <w:next w:val="962"/>
    <w:link w:val="961"/>
    <w:rPr>
      <w:rFonts w:ascii="楷体_GB2312" w:hAnsi="Arial" w:eastAsia="楷体_GB2312" w:cs="Times New Roman"/>
      <w:sz w:val="28"/>
      <w:szCs w:val="28"/>
    </w:rPr>
  </w:style>
  <w:style w:type="paragraph" w:styleId="963">
    <w:name w:val="正文文本缩进"/>
    <w:basedOn w:val="929"/>
    <w:next w:val="963"/>
    <w:link w:val="964"/>
    <w:pPr>
      <w:ind w:firstLine="645"/>
    </w:pPr>
    <w:rPr>
      <w:rFonts w:ascii="楷体_GB2312" w:eastAsia="楷体_GB2312"/>
      <w:sz w:val="32"/>
      <w:szCs w:val="32"/>
      <w:lang w:val="en-US" w:eastAsia="en-US"/>
    </w:rPr>
  </w:style>
  <w:style w:type="character" w:styleId="964">
    <w:name w:val="正文文本缩进 Char"/>
    <w:next w:val="964"/>
    <w:link w:val="963"/>
    <w:rPr>
      <w:rFonts w:ascii="楷体_GB2312" w:hAnsi="Times New Roman" w:eastAsia="楷体_GB2312" w:cs="Times New Roman"/>
      <w:sz w:val="32"/>
      <w:szCs w:val="32"/>
    </w:rPr>
  </w:style>
  <w:style w:type="paragraph" w:styleId="965">
    <w:name w:val="列表 2"/>
    <w:basedOn w:val="929"/>
    <w:next w:val="965"/>
    <w:link w:val="929"/>
    <w:pPr>
      <w:ind w:left="100" w:hanging="200"/>
    </w:pPr>
  </w:style>
  <w:style w:type="paragraph" w:styleId="966">
    <w:name w:val="目录 5"/>
    <w:basedOn w:val="929"/>
    <w:next w:val="929"/>
    <w:link w:val="929"/>
    <w:semiHidden/>
    <w:pPr>
      <w:ind w:left="840"/>
      <w:jc w:val="left"/>
    </w:pPr>
  </w:style>
  <w:style w:type="paragraph" w:styleId="967">
    <w:name w:val="目录 3"/>
    <w:basedOn w:val="929"/>
    <w:next w:val="929"/>
    <w:link w:val="929"/>
    <w:semiHidden/>
    <w:pPr>
      <w:ind w:left="420"/>
      <w:jc w:val="left"/>
    </w:pPr>
    <w:rPr>
      <w:i/>
      <w:iCs/>
      <w:szCs w:val="24"/>
    </w:rPr>
  </w:style>
  <w:style w:type="paragraph" w:styleId="968">
    <w:name w:val="纯文本"/>
    <w:basedOn w:val="929"/>
    <w:next w:val="968"/>
    <w:link w:val="969"/>
    <w:rPr>
      <w:rFonts w:ascii="宋体" w:hAnsi="Courier New"/>
      <w:sz w:val="20"/>
      <w:lang w:val="en-US" w:eastAsia="en-US"/>
    </w:rPr>
  </w:style>
  <w:style w:type="character" w:styleId="969">
    <w:name w:val="纯文本 Char"/>
    <w:next w:val="969"/>
    <w:link w:val="968"/>
    <w:rPr>
      <w:rFonts w:ascii="宋体" w:hAnsi="Courier New" w:eastAsia="宋体" w:cs="Courier New"/>
      <w:szCs w:val="21"/>
    </w:rPr>
  </w:style>
  <w:style w:type="paragraph" w:styleId="970">
    <w:name w:val="目录 8"/>
    <w:basedOn w:val="929"/>
    <w:next w:val="929"/>
    <w:link w:val="929"/>
    <w:semiHidden/>
    <w:pPr>
      <w:ind w:left="1470"/>
      <w:jc w:val="left"/>
    </w:pPr>
  </w:style>
  <w:style w:type="paragraph" w:styleId="971">
    <w:name w:val="日期"/>
    <w:basedOn w:val="929"/>
    <w:next w:val="929"/>
    <w:link w:val="972"/>
    <w:rPr>
      <w:sz w:val="24"/>
      <w:szCs w:val="24"/>
      <w:lang w:val="en-US" w:eastAsia="en-US"/>
    </w:rPr>
  </w:style>
  <w:style w:type="character" w:styleId="972">
    <w:name w:val="日期 Char"/>
    <w:next w:val="972"/>
    <w:link w:val="971"/>
    <w:rPr>
      <w:rFonts w:ascii="Times New Roman" w:hAnsi="Times New Roman" w:eastAsia="宋体" w:cs="Times New Roman"/>
      <w:sz w:val="24"/>
      <w:szCs w:val="24"/>
    </w:rPr>
  </w:style>
  <w:style w:type="paragraph" w:styleId="973">
    <w:name w:val="正文文本缩进 2"/>
    <w:basedOn w:val="929"/>
    <w:next w:val="973"/>
    <w:link w:val="974"/>
    <w:pPr>
      <w:ind w:left="630" w:firstLine="645"/>
    </w:pPr>
    <w:rPr>
      <w:rFonts w:ascii="Arial" w:hAnsi="Arial" w:eastAsia="仿宋_GB2312"/>
      <w:sz w:val="32"/>
      <w:szCs w:val="32"/>
      <w:lang w:val="en-US" w:eastAsia="en-US"/>
    </w:rPr>
  </w:style>
  <w:style w:type="character" w:styleId="974">
    <w:name w:val="正文文本缩进 2 Char"/>
    <w:next w:val="974"/>
    <w:link w:val="973"/>
    <w:rPr>
      <w:rFonts w:ascii="Arial" w:hAnsi="Arial" w:eastAsia="仿宋_GB2312" w:cs="Arial"/>
      <w:sz w:val="32"/>
      <w:szCs w:val="32"/>
    </w:rPr>
  </w:style>
  <w:style w:type="paragraph" w:styleId="975">
    <w:name w:val="批注框文本"/>
    <w:basedOn w:val="929"/>
    <w:next w:val="975"/>
    <w:link w:val="976"/>
    <w:semiHidden/>
    <w:rPr>
      <w:sz w:val="18"/>
      <w:szCs w:val="18"/>
      <w:lang w:val="en-US" w:eastAsia="en-US"/>
    </w:rPr>
  </w:style>
  <w:style w:type="character" w:styleId="976">
    <w:name w:val="批注框文本 Char"/>
    <w:next w:val="976"/>
    <w:link w:val="975"/>
    <w:semiHidden/>
    <w:rPr>
      <w:rFonts w:ascii="Times New Roman" w:hAnsi="Times New Roman" w:eastAsia="宋体" w:cs="Times New Roman"/>
      <w:sz w:val="18"/>
      <w:szCs w:val="18"/>
    </w:rPr>
  </w:style>
  <w:style w:type="paragraph" w:styleId="977">
    <w:name w:val="页脚"/>
    <w:basedOn w:val="929"/>
    <w:next w:val="977"/>
    <w:link w:val="978"/>
    <w:pPr>
      <w:jc w:val="left"/>
      <w:tabs>
        <w:tab w:val="center" w:pos="4153" w:leader="none"/>
        <w:tab w:val="right" w:pos="8306" w:leader="none"/>
      </w:tabs>
    </w:pPr>
    <w:rPr>
      <w:sz w:val="18"/>
      <w:szCs w:val="18"/>
      <w:lang w:val="en-US" w:eastAsia="en-US"/>
    </w:rPr>
  </w:style>
  <w:style w:type="character" w:styleId="978">
    <w:name w:val="页脚 Char"/>
    <w:next w:val="978"/>
    <w:link w:val="977"/>
    <w:rPr>
      <w:rFonts w:ascii="Times New Roman" w:hAnsi="Times New Roman" w:eastAsia="宋体" w:cs="Times New Roman"/>
      <w:sz w:val="18"/>
      <w:szCs w:val="18"/>
    </w:rPr>
  </w:style>
  <w:style w:type="paragraph" w:styleId="979">
    <w:name w:val="页眉"/>
    <w:basedOn w:val="929"/>
    <w:next w:val="979"/>
    <w:link w:val="980"/>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80">
    <w:name w:val="页眉 Char"/>
    <w:next w:val="980"/>
    <w:link w:val="979"/>
    <w:uiPriority w:val="99"/>
    <w:qFormat/>
    <w:rPr>
      <w:rFonts w:ascii="Times New Roman" w:hAnsi="Times New Roman" w:eastAsia="宋体" w:cs="Times New Roman"/>
      <w:sz w:val="18"/>
      <w:szCs w:val="18"/>
    </w:rPr>
  </w:style>
  <w:style w:type="paragraph" w:styleId="981">
    <w:name w:val="目录 1"/>
    <w:basedOn w:val="929"/>
    <w:next w:val="929"/>
    <w:link w:val="929"/>
    <w:semiHidden/>
    <w:pPr>
      <w:jc w:val="left"/>
      <w:spacing w:before="120" w:after="120" w:line="400" w:lineRule="exact"/>
      <w:tabs>
        <w:tab w:val="right" w:pos="8720" w:leader="dot"/>
      </w:tabs>
    </w:pPr>
    <w:rPr>
      <w:rFonts w:ascii="宋体" w:hAnsi="宋体"/>
      <w:caps/>
      <w:sz w:val="24"/>
      <w:szCs w:val="24"/>
    </w:rPr>
  </w:style>
  <w:style w:type="paragraph" w:styleId="982">
    <w:name w:val="目录 4"/>
    <w:basedOn w:val="929"/>
    <w:next w:val="929"/>
    <w:link w:val="929"/>
    <w:semiHidden/>
    <w:pPr>
      <w:ind w:left="630"/>
      <w:jc w:val="left"/>
    </w:pPr>
  </w:style>
  <w:style w:type="paragraph" w:styleId="983">
    <w:name w:val="列表"/>
    <w:basedOn w:val="929"/>
    <w:next w:val="983"/>
    <w:link w:val="929"/>
    <w:pPr>
      <w:ind w:left="200" w:hanging="200"/>
    </w:pPr>
  </w:style>
  <w:style w:type="paragraph" w:styleId="984">
    <w:name w:val="目录 6"/>
    <w:basedOn w:val="929"/>
    <w:next w:val="929"/>
    <w:link w:val="929"/>
    <w:semiHidden/>
    <w:pPr>
      <w:ind w:left="1050"/>
      <w:jc w:val="left"/>
    </w:pPr>
  </w:style>
  <w:style w:type="paragraph" w:styleId="985">
    <w:name w:val="正文文本缩进 3"/>
    <w:basedOn w:val="929"/>
    <w:next w:val="985"/>
    <w:link w:val="986"/>
    <w:pPr>
      <w:ind w:left="645" w:firstLine="645"/>
    </w:pPr>
    <w:rPr>
      <w:rFonts w:ascii="Arial" w:hAnsi="Arial" w:eastAsia="仿宋_GB2312"/>
      <w:color w:val="ffff00"/>
      <w:sz w:val="32"/>
      <w:szCs w:val="32"/>
      <w:lang w:val="en-US" w:eastAsia="en-US"/>
    </w:rPr>
  </w:style>
  <w:style w:type="character" w:styleId="986">
    <w:name w:val="正文文本缩进 3 Char"/>
    <w:next w:val="986"/>
    <w:link w:val="985"/>
    <w:rPr>
      <w:rFonts w:ascii="Arial" w:hAnsi="Arial" w:eastAsia="仿宋_GB2312" w:cs="Arial"/>
      <w:color w:val="ffff00"/>
      <w:sz w:val="32"/>
      <w:szCs w:val="32"/>
    </w:rPr>
  </w:style>
  <w:style w:type="paragraph" w:styleId="987">
    <w:name w:val="图表目录"/>
    <w:basedOn w:val="929"/>
    <w:next w:val="929"/>
    <w:link w:val="929"/>
    <w:semiHidden/>
    <w:pPr>
      <w:ind w:left="840" w:hanging="420"/>
    </w:pPr>
  </w:style>
  <w:style w:type="paragraph" w:styleId="988">
    <w:name w:val="目录 2"/>
    <w:basedOn w:val="929"/>
    <w:next w:val="929"/>
    <w:link w:val="929"/>
    <w:semiHidden/>
    <w:pPr>
      <w:ind w:left="210"/>
      <w:jc w:val="left"/>
    </w:pPr>
    <w:rPr>
      <w:smallCaps/>
      <w:szCs w:val="24"/>
    </w:rPr>
  </w:style>
  <w:style w:type="paragraph" w:styleId="989">
    <w:name w:val="目录 9"/>
    <w:basedOn w:val="929"/>
    <w:next w:val="929"/>
    <w:link w:val="929"/>
    <w:semiHidden/>
    <w:pPr>
      <w:ind w:left="1680"/>
      <w:jc w:val="left"/>
    </w:pPr>
  </w:style>
  <w:style w:type="paragraph" w:styleId="990">
    <w:name w:val="正文文本 2"/>
    <w:basedOn w:val="929"/>
    <w:next w:val="990"/>
    <w:link w:val="991"/>
    <w:pPr>
      <w:jc w:val="center"/>
      <w:widowControl/>
    </w:pPr>
    <w:rPr>
      <w:rFonts w:ascii="楷体_GB2312" w:eastAsia="楷体_GB2312"/>
      <w:sz w:val="28"/>
      <w:szCs w:val="28"/>
      <w:lang w:val="en-US" w:eastAsia="en-US"/>
    </w:rPr>
  </w:style>
  <w:style w:type="character" w:styleId="991">
    <w:name w:val="正文文本 2 Char"/>
    <w:next w:val="991"/>
    <w:link w:val="990"/>
    <w:rPr>
      <w:rFonts w:ascii="楷体_GB2312" w:hAnsi="Times New Roman" w:eastAsia="楷体_GB2312" w:cs="Times New Roman"/>
      <w:sz w:val="28"/>
      <w:szCs w:val="28"/>
    </w:rPr>
  </w:style>
  <w:style w:type="paragraph" w:styleId="992">
    <w:name w:val="普通(网站)"/>
    <w:basedOn w:val="929"/>
    <w:next w:val="992"/>
    <w:link w:val="929"/>
    <w:uiPriority w:val="99"/>
    <w:pPr>
      <w:jc w:val="left"/>
      <w:spacing w:before="100" w:beforeAutospacing="1" w:after="100" w:afterAutospacing="1"/>
      <w:widowControl/>
    </w:pPr>
    <w:rPr>
      <w:rFonts w:ascii="宋体" w:hAnsi="宋体" w:cs="宋体"/>
      <w:sz w:val="24"/>
      <w:szCs w:val="24"/>
    </w:rPr>
  </w:style>
  <w:style w:type="paragraph" w:styleId="993">
    <w:name w:val="索引 1"/>
    <w:basedOn w:val="929"/>
    <w:next w:val="929"/>
    <w:link w:val="929"/>
    <w:semiHidden/>
    <w:pPr>
      <w:spacing w:line="240" w:lineRule="atLeast"/>
    </w:pPr>
    <w:rPr>
      <w:b/>
      <w:bCs/>
    </w:rPr>
  </w:style>
  <w:style w:type="paragraph" w:styleId="994">
    <w:name w:val="批注主题"/>
    <w:basedOn w:val="957"/>
    <w:next w:val="957"/>
    <w:link w:val="995"/>
    <w:semiHidden/>
    <w:rPr>
      <w:b/>
      <w:bCs/>
    </w:rPr>
  </w:style>
  <w:style w:type="character" w:styleId="995">
    <w:name w:val="批注主题 Char"/>
    <w:next w:val="995"/>
    <w:link w:val="994"/>
    <w:semiHidden/>
    <w:rPr>
      <w:rFonts w:ascii="Times New Roman" w:hAnsi="Times New Roman" w:eastAsia="宋体" w:cs="Times New Roman"/>
      <w:b/>
      <w:bCs/>
      <w:szCs w:val="21"/>
    </w:rPr>
  </w:style>
  <w:style w:type="paragraph" w:styleId="996">
    <w:name w:val="正文首行缩进"/>
    <w:basedOn w:val="929"/>
    <w:next w:val="996"/>
    <w:link w:val="997"/>
    <w:pPr>
      <w:ind w:firstLine="200"/>
      <w:spacing w:line="360" w:lineRule="auto"/>
    </w:pPr>
    <w:rPr>
      <w:rFonts w:ascii="仿宋_GB2312" w:eastAsia="仿宋_GB2312"/>
      <w:sz w:val="30"/>
      <w:szCs w:val="30"/>
      <w:lang w:val="en-US" w:eastAsia="en-US"/>
    </w:rPr>
  </w:style>
  <w:style w:type="character" w:styleId="997">
    <w:name w:val="正文首行缩进 Char"/>
    <w:next w:val="997"/>
    <w:link w:val="996"/>
    <w:rPr>
      <w:rFonts w:ascii="仿宋_GB2312" w:hAnsi="Times New Roman" w:eastAsia="仿宋_GB2312" w:cs="Times New Roman"/>
      <w:sz w:val="30"/>
      <w:szCs w:val="30"/>
    </w:rPr>
  </w:style>
  <w:style w:type="paragraph" w:styleId="998">
    <w:name w:val="正文首行缩进 2"/>
    <w:basedOn w:val="963"/>
    <w:next w:val="998"/>
    <w:link w:val="999"/>
    <w:pPr>
      <w:ind w:firstLine="420"/>
      <w:spacing w:line="360" w:lineRule="auto"/>
    </w:pPr>
    <w:rPr>
      <w:rFonts w:ascii="宋体" w:hAnsi="宋体" w:eastAsia="宋体"/>
      <w:szCs w:val="20"/>
    </w:rPr>
  </w:style>
  <w:style w:type="character" w:styleId="999">
    <w:name w:val="正文首行缩进 2 Char"/>
    <w:next w:val="999"/>
    <w:link w:val="998"/>
    <w:rPr>
      <w:rFonts w:ascii="宋体" w:hAnsi="宋体" w:eastAsia="宋体" w:cs="Times New Roman"/>
      <w:sz w:val="32"/>
      <w:szCs w:val="20"/>
    </w:rPr>
  </w:style>
  <w:style w:type="table" w:styleId="1000">
    <w:name w:val="网格型"/>
    <w:basedOn w:val="940"/>
    <w:next w:val="1000"/>
    <w:link w:val="929"/>
    <w:pPr>
      <w:jc w:val="both"/>
      <w:widowControl w:val="off"/>
    </w:pPr>
    <w:rPr>
      <w:rFonts w:ascii="Times New Roman" w:hAnsi="Times New Roman" w:eastAsia="宋体" w:cs="Times New Roman"/>
      <w:sz w:val="20"/>
      <w:szCs w:val="20"/>
    </w:rPr>
    <w:tblPr/>
  </w:style>
  <w:style w:type="character" w:styleId="1001">
    <w:name w:val="要点"/>
    <w:next w:val="1001"/>
    <w:link w:val="929"/>
    <w:qFormat/>
    <w:rPr>
      <w:b/>
      <w:bCs/>
    </w:rPr>
  </w:style>
  <w:style w:type="character" w:styleId="1002">
    <w:name w:val="页码"/>
    <w:next w:val="1002"/>
    <w:link w:val="929"/>
  </w:style>
  <w:style w:type="character" w:styleId="1003">
    <w:name w:val="已访问的超链接"/>
    <w:next w:val="1003"/>
    <w:link w:val="929"/>
    <w:rPr>
      <w:color w:val="800080"/>
      <w:u w:val="single"/>
    </w:rPr>
  </w:style>
  <w:style w:type="character" w:styleId="1004">
    <w:name w:val="HTML 打字机"/>
    <w:next w:val="1004"/>
    <w:link w:val="929"/>
    <w:uiPriority w:val="99"/>
    <w:rPr>
      <w:rFonts w:ascii="宋体" w:hAnsi="宋体" w:eastAsia="宋体" w:cs="宋体"/>
      <w:sz w:val="24"/>
      <w:szCs w:val="24"/>
    </w:rPr>
  </w:style>
  <w:style w:type="character" w:styleId="1005">
    <w:name w:val="超链接"/>
    <w:next w:val="1005"/>
    <w:link w:val="929"/>
    <w:rPr>
      <w:color w:val="0000ff"/>
      <w:u w:val="single"/>
    </w:rPr>
  </w:style>
  <w:style w:type="character" w:styleId="1006">
    <w:name w:val="批注引用"/>
    <w:next w:val="1006"/>
    <w:link w:val="929"/>
    <w:semiHidden/>
    <w:rPr>
      <w:sz w:val="21"/>
      <w:szCs w:val="21"/>
    </w:rPr>
  </w:style>
  <w:style w:type="character" w:styleId="1007">
    <w:name w:val="font5 Char"/>
    <w:next w:val="1007"/>
    <w:link w:val="929"/>
    <w:rPr>
      <w:rFonts w:ascii="宋体" w:hAnsi="宋体" w:eastAsia="宋体"/>
      <w:sz w:val="28"/>
      <w:szCs w:val="28"/>
      <w:lang w:val="en-US" w:eastAsia="zh-CN" w:bidi="ar-SA"/>
    </w:rPr>
  </w:style>
  <w:style w:type="character" w:styleId="1008">
    <w:name w:val="二级目录 Char"/>
    <w:next w:val="1008"/>
    <w:link w:val="1009"/>
    <w:rPr>
      <w:b/>
      <w:sz w:val="30"/>
      <w:szCs w:val="28"/>
      <w:lang w:val="en-US" w:eastAsia="zh-CN" w:bidi="ar-SA"/>
    </w:rPr>
  </w:style>
  <w:style w:type="paragraph" w:styleId="1009">
    <w:name w:val="二级目录"/>
    <w:next w:val="929"/>
    <w:link w:val="1008"/>
    <w:pPr>
      <w:numPr>
        <w:ilvl w:val="0"/>
        <w:numId w:val="2"/>
      </w:numPr>
      <w:tabs>
        <w:tab w:val="left" w:pos="907" w:leader="none"/>
        <w:tab w:val="left" w:pos="1145" w:leader="none"/>
      </w:tabs>
      <w:outlineLvl w:val="1"/>
    </w:pPr>
    <w:rPr>
      <w:b/>
      <w:sz w:val="30"/>
      <w:szCs w:val="28"/>
      <w:lang w:val="en-US" w:eastAsia="zh-CN" w:bidi="ar-SA"/>
    </w:rPr>
  </w:style>
  <w:style w:type="character" w:styleId="1010">
    <w:name w:val="列出段落 Char,Bullet List Char,numbered Char,FooterText Char,List Paragraph1 Char,Paragraphe de liste1 Char"/>
    <w:next w:val="1010"/>
    <w:link w:val="1011"/>
    <w:rPr>
      <w:rFonts w:ascii="Calibri" w:hAnsi="Calibri"/>
      <w:sz w:val="24"/>
      <w:szCs w:val="24"/>
      <w:lang w:eastAsia="en-US" w:bidi="en-US"/>
    </w:rPr>
  </w:style>
  <w:style w:type="paragraph" w:styleId="1011">
    <w:name w:val="列出段落1"/>
    <w:basedOn w:val="929"/>
    <w:next w:val="1011"/>
    <w:link w:val="1010"/>
    <w:qFormat/>
    <w:pPr>
      <w:contextualSpacing/>
      <w:ind w:left="720"/>
      <w:jc w:val="left"/>
      <w:widowControl/>
    </w:pPr>
    <w:rPr>
      <w:rFonts w:ascii="Calibri" w:hAnsi="Calibri"/>
      <w:sz w:val="24"/>
      <w:szCs w:val="24"/>
      <w:lang w:val="en-US" w:eastAsia="en-US" w:bidi="en-US"/>
    </w:rPr>
  </w:style>
  <w:style w:type="paragraph" w:styleId="1012">
    <w:name w:val="Body Text(ch)"/>
    <w:basedOn w:val="929"/>
    <w:next w:val="961"/>
    <w:link w:val="929"/>
    <w:pPr>
      <w:spacing w:after="120"/>
    </w:pPr>
    <w:rPr>
      <w:rFonts w:ascii="宋体" w:hAnsi="Arial"/>
      <w:bCs/>
      <w:iCs/>
      <w:szCs w:val="24"/>
    </w:rPr>
  </w:style>
  <w:style w:type="paragraph" w:styleId="1013">
    <w:name w:val="xl27"/>
    <w:basedOn w:val="929"/>
    <w:next w:val="1013"/>
    <w:link w:val="92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4">
    <w:name w:val="xl26"/>
    <w:basedOn w:val="929"/>
    <w:next w:val="1014"/>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5">
    <w:name w:val="Char"/>
    <w:basedOn w:val="929"/>
    <w:next w:val="1015"/>
    <w:link w:val="929"/>
    <w:pPr>
      <w:ind w:firstLine="200"/>
      <w:tabs>
        <w:tab w:val="left" w:pos="360" w:leader="none"/>
      </w:tabs>
    </w:pPr>
    <w:rPr>
      <w:sz w:val="28"/>
      <w:szCs w:val="30"/>
    </w:rPr>
  </w:style>
  <w:style w:type="paragraph" w:styleId="1016">
    <w:name w:val=" Char"/>
    <w:basedOn w:val="955"/>
    <w:next w:val="1016"/>
    <w:link w:val="929"/>
    <w:rPr>
      <w:rFonts w:ascii="Tahoma" w:hAnsi="Tahoma"/>
      <w:sz w:val="24"/>
      <w:szCs w:val="24"/>
    </w:rPr>
  </w:style>
  <w:style w:type="paragraph" w:styleId="1017">
    <w:name w:val="普通正文"/>
    <w:basedOn w:val="929"/>
    <w:next w:val="1017"/>
    <w:link w:val="929"/>
    <w:pPr>
      <w:ind w:firstLine="480"/>
      <w:jc w:val="left"/>
      <w:spacing w:before="120" w:after="120" w:line="360" w:lineRule="auto"/>
    </w:pPr>
    <w:rPr>
      <w:rFonts w:ascii="Arial" w:hAnsi="Arial"/>
      <w:sz w:val="24"/>
      <w:szCs w:val="24"/>
    </w:rPr>
  </w:style>
  <w:style w:type="paragraph" w:styleId="1018">
    <w:name w:val="table_lines"/>
    <w:basedOn w:val="929"/>
    <w:next w:val="1018"/>
    <w:link w:val="929"/>
    <w:pPr>
      <w:jc w:val="left"/>
      <w:widowControl/>
    </w:pPr>
    <w:rPr>
      <w:sz w:val="20"/>
      <w:szCs w:val="20"/>
      <w:lang w:val="de-DE" w:eastAsia="de-DE"/>
    </w:rPr>
  </w:style>
  <w:style w:type="paragraph" w:styleId="1019">
    <w:name w:val="附录1"/>
    <w:next w:val="1019"/>
    <w:link w:val="92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20">
    <w:name w:val="font7"/>
    <w:basedOn w:val="929"/>
    <w:next w:val="1020"/>
    <w:link w:val="929"/>
    <w:pPr>
      <w:jc w:val="left"/>
      <w:spacing w:before="100" w:beforeAutospacing="1" w:after="100" w:afterAutospacing="1"/>
      <w:widowControl/>
    </w:pPr>
    <w:rPr>
      <w:rFonts w:hint="eastAsia" w:ascii="宋体" w:hAnsi="宋体"/>
      <w:sz w:val="18"/>
      <w:szCs w:val="18"/>
    </w:rPr>
  </w:style>
  <w:style w:type="paragraph" w:styleId="1021">
    <w:name w:val=" Char Char Char Char"/>
    <w:basedOn w:val="955"/>
    <w:next w:val="1021"/>
    <w:link w:val="929"/>
    <w:pPr>
      <w:spacing w:line="360" w:lineRule="auto"/>
    </w:pPr>
    <w:rPr>
      <w:rFonts w:ascii="Tahoma" w:hAnsi="Tahoma"/>
      <w:sz w:val="24"/>
      <w:szCs w:val="24"/>
    </w:rPr>
  </w:style>
  <w:style w:type="paragraph" w:styleId="1022">
    <w:name w:val="列出段落"/>
    <w:basedOn w:val="929"/>
    <w:next w:val="1022"/>
    <w:link w:val="929"/>
    <w:uiPriority w:val="99"/>
    <w:qFormat/>
    <w:pPr>
      <w:contextualSpacing/>
      <w:ind w:left="720"/>
      <w:jc w:val="left"/>
      <w:widowControl/>
    </w:pPr>
    <w:rPr>
      <w:rFonts w:ascii="Calibri" w:hAnsi="Calibri"/>
      <w:sz w:val="24"/>
      <w:szCs w:val="24"/>
      <w:lang w:eastAsia="en-US" w:bidi="en-US"/>
    </w:rPr>
  </w:style>
  <w:style w:type="paragraph" w:styleId="1023">
    <w:name w:val="4"/>
    <w:basedOn w:val="929"/>
    <w:next w:val="985"/>
    <w:link w:val="929"/>
    <w:pPr>
      <w:ind w:firstLine="420"/>
      <w:spacing w:line="360" w:lineRule="auto"/>
    </w:pPr>
    <w:rPr>
      <w:color w:val="ff0000"/>
      <w:sz w:val="24"/>
      <w:szCs w:val="24"/>
    </w:rPr>
  </w:style>
  <w:style w:type="paragraph" w:styleId="1024">
    <w:name w:val="普通 (Web)"/>
    <w:basedOn w:val="929"/>
    <w:next w:val="1024"/>
    <w:link w:val="929"/>
    <w:pPr>
      <w:jc w:val="left"/>
      <w:spacing w:before="100" w:beforeAutospacing="1" w:after="100" w:afterAutospacing="1"/>
      <w:widowControl/>
    </w:pPr>
    <w:rPr>
      <w:rFonts w:ascii="宋体" w:hAnsi="宋体"/>
      <w:sz w:val="24"/>
      <w:szCs w:val="24"/>
    </w:rPr>
  </w:style>
  <w:style w:type="paragraph" w:styleId="1025">
    <w:name w:val=" Char Char Char Char Char Char Char Char Char Char"/>
    <w:basedOn w:val="929"/>
    <w:next w:val="1025"/>
    <w:link w:val="929"/>
    <w:pPr>
      <w:spacing w:line="360" w:lineRule="auto"/>
    </w:pPr>
    <w:rPr>
      <w:sz w:val="24"/>
      <w:szCs w:val="20"/>
    </w:rPr>
  </w:style>
  <w:style w:type="paragraph" w:styleId="1026">
    <w:name w:val="样式1"/>
    <w:basedOn w:val="929"/>
    <w:next w:val="1026"/>
    <w:link w:val="929"/>
    <w:pPr>
      <w:numPr>
        <w:ilvl w:val="0"/>
        <w:numId w:val="3"/>
      </w:numPr>
      <w:tabs>
        <w:tab w:val="left" w:pos="709" w:leader="none"/>
      </w:tabs>
    </w:pPr>
    <w:rPr>
      <w:rFonts w:ascii="宋体" w:hAnsi="宋体"/>
    </w:rPr>
  </w:style>
  <w:style w:type="paragraph" w:styleId="1027">
    <w:name w:val="font6"/>
    <w:basedOn w:val="929"/>
    <w:next w:val="1027"/>
    <w:link w:val="929"/>
    <w:pPr>
      <w:jc w:val="left"/>
      <w:spacing w:before="100" w:beforeAutospacing="1" w:after="100" w:afterAutospacing="1"/>
      <w:widowControl/>
    </w:pPr>
    <w:rPr>
      <w:rFonts w:hint="eastAsia" w:ascii="宋体" w:hAnsi="宋体"/>
      <w:sz w:val="28"/>
      <w:szCs w:val="28"/>
      <w:u w:val="single"/>
    </w:rPr>
  </w:style>
  <w:style w:type="paragraph" w:styleId="1028">
    <w:name w:val="xl25"/>
    <w:basedOn w:val="929"/>
    <w:next w:val="1028"/>
    <w:link w:val="92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9">
    <w:name w:val="图标"/>
    <w:basedOn w:val="929"/>
    <w:next w:val="929"/>
    <w:link w:val="92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0">
    <w:name w:val="标题3"/>
    <w:basedOn w:val="929"/>
    <w:next w:val="929"/>
    <w:link w:val="929"/>
    <w:pPr>
      <w:ind w:firstLine="624"/>
      <w:spacing w:line="590" w:lineRule="atLeast"/>
    </w:pPr>
    <w:rPr>
      <w:rFonts w:ascii="方正黑体_GBK" w:eastAsia="方正黑体_GBK"/>
      <w:sz w:val="32"/>
      <w:szCs w:val="32"/>
    </w:rPr>
  </w:style>
  <w:style w:type="paragraph" w:styleId="1031">
    <w:name w:val="xl24"/>
    <w:basedOn w:val="929"/>
    <w:next w:val="1031"/>
    <w:link w:val="92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2">
    <w:name w:val="xl29"/>
    <w:basedOn w:val="929"/>
    <w:next w:val="1032"/>
    <w:link w:val="92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3">
    <w:name w:val="Char Char Char Char Char Char Char Char"/>
    <w:basedOn w:val="929"/>
    <w:next w:val="1033"/>
    <w:link w:val="929"/>
    <w:pPr>
      <w:jc w:val="left"/>
      <w:spacing w:after="160" w:line="240" w:lineRule="exact"/>
      <w:widowControl/>
    </w:pPr>
    <w:rPr>
      <w:rFonts w:ascii="Verdana" w:hAnsi="Verdana"/>
      <w:sz w:val="20"/>
      <w:szCs w:val="20"/>
      <w:lang w:eastAsia="en-US"/>
    </w:rPr>
  </w:style>
  <w:style w:type="paragraph" w:styleId="1034">
    <w:name w:val="xl28"/>
    <w:basedOn w:val="929"/>
    <w:next w:val="1034"/>
    <w:link w:val="92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5">
    <w:name w:val=" Char Char Char Char Char Char Char Char"/>
    <w:basedOn w:val="929"/>
    <w:next w:val="1035"/>
    <w:link w:val="929"/>
    <w:pPr>
      <w:jc w:val="left"/>
      <w:spacing w:after="160" w:line="240" w:lineRule="exact"/>
      <w:widowControl/>
    </w:pPr>
    <w:rPr>
      <w:rFonts w:ascii="Verdana" w:hAnsi="Verdana"/>
      <w:sz w:val="20"/>
      <w:szCs w:val="20"/>
      <w:lang w:eastAsia="en-US"/>
    </w:rPr>
  </w:style>
  <w:style w:type="paragraph" w:styleId="1036">
    <w:name w:val="xl30"/>
    <w:basedOn w:val="929"/>
    <w:next w:val="1036"/>
    <w:link w:val="929"/>
    <w:pPr>
      <w:jc w:val="center"/>
      <w:spacing w:before="100" w:beforeAutospacing="1" w:after="100" w:afterAutospacing="1"/>
      <w:widowControl/>
    </w:pPr>
    <w:rPr>
      <w:rFonts w:ascii="宋体" w:hAnsi="宋体"/>
      <w:b/>
      <w:bCs/>
      <w:sz w:val="36"/>
      <w:szCs w:val="36"/>
    </w:rPr>
  </w:style>
  <w:style w:type="paragraph" w:styleId="1037">
    <w:name w:val="Char Char Char Char"/>
    <w:basedOn w:val="955"/>
    <w:next w:val="1037"/>
    <w:link w:val="929"/>
    <w:pPr>
      <w:spacing w:line="360" w:lineRule="auto"/>
    </w:pPr>
    <w:rPr>
      <w:rFonts w:ascii="Tahoma" w:hAnsi="Tahoma"/>
      <w:sz w:val="24"/>
      <w:szCs w:val="24"/>
    </w:rPr>
  </w:style>
  <w:style w:type="paragraph" w:styleId="1038">
    <w:name w:val="table_1stline"/>
    <w:basedOn w:val="929"/>
    <w:next w:val="1038"/>
    <w:link w:val="929"/>
    <w:pPr>
      <w:jc w:val="left"/>
      <w:spacing w:before="120"/>
      <w:widowControl/>
    </w:pPr>
    <w:rPr>
      <w:bCs/>
      <w:sz w:val="20"/>
      <w:szCs w:val="20"/>
      <w:lang w:val="de-DE" w:eastAsia="de-DE"/>
    </w:rPr>
  </w:style>
  <w:style w:type="paragraph" w:styleId="1039">
    <w:name w:val="font5"/>
    <w:basedOn w:val="929"/>
    <w:next w:val="1039"/>
    <w:link w:val="929"/>
    <w:pPr>
      <w:jc w:val="left"/>
      <w:spacing w:before="100" w:beforeAutospacing="1" w:after="100" w:afterAutospacing="1"/>
      <w:widowControl/>
    </w:pPr>
    <w:rPr>
      <w:rFonts w:hint="eastAsia" w:ascii="宋体" w:hAnsi="宋体"/>
      <w:sz w:val="28"/>
      <w:szCs w:val="28"/>
    </w:rPr>
  </w:style>
  <w:style w:type="paragraph" w:styleId="1040">
    <w:name w:val="标题1"/>
    <w:basedOn w:val="929"/>
    <w:next w:val="929"/>
    <w:link w:val="92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1">
    <w:name w:val="修订"/>
    <w:next w:val="1041"/>
    <w:link w:val="929"/>
    <w:uiPriority w:val="99"/>
    <w:semiHidden/>
    <w:rPr>
      <w:rFonts w:ascii="Times New Roman" w:hAnsi="Times New Roman"/>
      <w:sz w:val="21"/>
      <w:szCs w:val="21"/>
      <w:lang w:val="en-US" w:eastAsia="zh-CN" w:bidi="ar-SA"/>
    </w:rPr>
  </w:style>
  <w:style w:type="paragraph" w:styleId="1042">
    <w:name w:val="无间隔"/>
    <w:next w:val="1042"/>
    <w:link w:val="929"/>
    <w:uiPriority w:val="99"/>
    <w:qFormat/>
    <w:pPr>
      <w:jc w:val="both"/>
      <w:widowControl w:val="off"/>
    </w:pPr>
    <w:rPr>
      <w:rFonts w:ascii="Times New Roman" w:hAnsi="Times New Roman"/>
      <w:sz w:val="21"/>
      <w:szCs w:val="21"/>
      <w:lang w:val="en-US" w:eastAsia="zh-CN" w:bidi="ar-SA"/>
    </w:rPr>
  </w:style>
  <w:style w:type="paragraph" w:styleId="1043">
    <w:name w:val="普通文字"/>
    <w:basedOn w:val="929"/>
    <w:next w:val="929"/>
    <w:link w:val="929"/>
    <w:uiPriority w:val="99"/>
    <w:rPr>
      <w:rFonts w:ascii="宋体" w:hAnsi="Times New Roman" w:eastAsia="宋体" w:cs="Times New Roman"/>
      <w:sz w:val="24"/>
      <w:szCs w:val="20"/>
      <w:u w:val="none"/>
    </w:rPr>
  </w:style>
  <w:style w:type="paragraph" w:styleId="1044">
    <w:name w:val="目录 111"/>
    <w:basedOn w:val="929"/>
    <w:next w:val="929"/>
    <w:link w:val="929"/>
    <w:uiPriority w:val="39"/>
    <w:unhideWhenUsed/>
    <w:qFormat/>
    <w:pPr>
      <w:jc w:val="left"/>
      <w:spacing w:after="100" w:line="259" w:lineRule="auto"/>
      <w:widowControl/>
    </w:pPr>
    <w:rPr>
      <w:rFonts w:ascii="Calibri" w:hAnsi="Calibri" w:eastAsia="宋体"/>
      <w:sz w:val="22"/>
      <w:szCs w:val="22"/>
    </w:rPr>
  </w:style>
  <w:style w:type="character" w:styleId="1045" w:default="1">
    <w:name w:val="Default Paragraph Font"/>
    <w:uiPriority w:val="1"/>
    <w:semiHidden/>
    <w:unhideWhenUsed/>
  </w:style>
  <w:style w:type="numbering" w:styleId="1046" w:default="1">
    <w:name w:val="No List"/>
    <w:uiPriority w:val="99"/>
    <w:semiHidden/>
    <w:unhideWhenUsed/>
  </w:style>
  <w:style w:type="table" w:styleId="10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李洋</cp:lastModifiedBy>
  <cp:revision>637</cp:revision>
  <dcterms:created xsi:type="dcterms:W3CDTF">2023-03-16T02:16:00Z</dcterms:created>
  <dcterms:modified xsi:type="dcterms:W3CDTF">2024-07-18T06:21:40Z</dcterms:modified>
  <cp:version>786432</cp:version>
</cp:coreProperties>
</file>