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color w:val="auto"/>
          <w:highlight w:val="none"/>
        </w:rPr>
      </w:pPr>
      <w:r>
        <w:rPr>
          <w:rFonts w:hint="eastAsia" w:ascii="仿宋" w:hAnsi="仿宋" w:eastAsia="仿宋" w:cs="仿宋"/>
          <w:color w:val="auto"/>
          <w:highlight w:val="none"/>
        </w:rPr>
        <w:t xml:space="preserve">  </w:t>
      </w:r>
      <w:r/>
    </w:p>
    <w:p>
      <w:pPr>
        <w:jc w:val="both"/>
        <w:rPr>
          <w:rFonts w:hint="eastAsia" w:ascii="仿宋" w:hAnsi="仿宋" w:eastAsia="仿宋" w:cs="仿宋"/>
          <w:color w:val="auto"/>
          <w:highlight w:val="none"/>
        </w:rPr>
      </w:pPr>
      <w:r>
        <w:rPr>
          <w:rFonts w:hint="eastAsia" w:ascii="仿宋" w:hAnsi="仿宋" w:eastAsia="仿宋" w:cs="仿宋"/>
          <w:color w:val="auto"/>
          <w:sz w:val="32"/>
          <w:highlight w:val="none"/>
        </w:rPr>
        <w:t xml:space="preserve">           </w:t>
      </w:r>
      <w:r/>
    </w:p>
    <w:p>
      <w:pPr>
        <w:jc w:val="center"/>
        <w:rPr>
          <w:rFonts w:hint="eastAsia" w:ascii="仿宋" w:hAnsi="仿宋" w:eastAsia="仿宋" w:cs="仿宋"/>
          <w:color w:val="auto"/>
          <w:spacing w:val="76"/>
          <w:sz w:val="144"/>
          <w:highlight w:val="none"/>
        </w:rPr>
      </w:pPr>
      <w:r>
        <w:rPr>
          <w:rFonts w:hint="eastAsia" w:ascii="仿宋" w:hAnsi="仿宋" w:eastAsia="仿宋" w:cs="仿宋"/>
          <w:color w:val="auto"/>
          <w:spacing w:val="76"/>
          <w:sz w:val="144"/>
          <w:highlight w:val="none"/>
        </w:rPr>
      </w:r>
      <w:r/>
    </w:p>
    <w:p>
      <w:pPr>
        <w:jc w:val="center"/>
        <w:rPr>
          <w:rFonts w:hint="eastAsia" w:ascii="仿宋" w:hAnsi="仿宋" w:eastAsia="仿宋" w:cs="仿宋"/>
          <w:b/>
          <w:color w:val="auto"/>
          <w:spacing w:val="76"/>
          <w:sz w:val="96"/>
          <w:szCs w:val="22"/>
          <w:highlight w:val="none"/>
        </w:rPr>
      </w:pPr>
      <w:r>
        <w:rPr>
          <w:rFonts w:hint="eastAsia" w:ascii="仿宋" w:hAnsi="仿宋" w:eastAsia="仿宋" w:cs="仿宋"/>
          <w:color w:val="auto"/>
          <w:spacing w:val="76"/>
          <w:sz w:val="144"/>
          <w:highlight w:val="none"/>
        </w:rPr>
        <w:t xml:space="preserve">招标文件</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2"/>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2"/>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2"/>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ind w:left="2401" w:hanging="1506"/>
        <w:spacing w:line="500" w:lineRule="exact"/>
        <w:rPr>
          <w:rFonts w:hint="eastAsia" w:ascii="仿宋" w:hAnsi="仿宋" w:eastAsia="仿宋" w:cs="仿宋"/>
          <w:b/>
          <w:bCs/>
          <w:color w:val="auto"/>
          <w:sz w:val="30"/>
          <w:szCs w:val="30"/>
          <w:highlight w:val="none"/>
          <w:lang w:eastAsia="zh-CN"/>
        </w:rPr>
      </w:pPr>
      <w:r>
        <w:rPr>
          <w:rFonts w:hint="eastAsia" w:ascii="仿宋" w:hAnsi="仿宋" w:eastAsia="仿宋" w:cs="仿宋"/>
          <w:b/>
          <w:bCs/>
          <w:color w:val="auto"/>
          <w:sz w:val="30"/>
          <w:szCs w:val="30"/>
          <w:highlight w:val="none"/>
        </w:rPr>
        <w:t xml:space="preserve">项目名称：</w:t>
      </w:r>
      <w:r>
        <w:rPr>
          <w:rFonts w:hint="eastAsia" w:ascii="仿宋" w:hAnsi="仿宋" w:eastAsia="仿宋" w:cs="仿宋"/>
          <w:b/>
          <w:bCs/>
          <w:color w:val="auto"/>
          <w:sz w:val="30"/>
          <w:szCs w:val="30"/>
          <w:highlight w:val="none"/>
          <w:lang w:eastAsia="zh-CN"/>
        </w:rPr>
        <w:t xml:space="preserve">高作镇镇区公厕管护、主次干道清扫保洁、游园绿化服务项目</w:t>
      </w:r>
      <w:r/>
    </w:p>
    <w:p>
      <w:pPr>
        <w:ind w:firstLine="904"/>
        <w:spacing w:line="500" w:lineRule="exact"/>
        <w:rPr>
          <w:rFonts w:hint="eastAsia" w:ascii="仿宋" w:hAnsi="仿宋" w:eastAsia="仿宋" w:cs="仿宋"/>
          <w:b/>
          <w:bCs/>
          <w:color w:val="auto"/>
          <w:sz w:val="30"/>
          <w:szCs w:val="30"/>
          <w:highlight w:val="none"/>
          <w:lang w:eastAsia="zh-CN"/>
        </w:rPr>
      </w:pPr>
      <w:r>
        <w:rPr>
          <w:rFonts w:hint="eastAsia" w:ascii="仿宋" w:hAnsi="仿宋" w:eastAsia="仿宋" w:cs="仿宋"/>
          <w:b/>
          <w:bCs/>
          <w:color w:val="auto"/>
          <w:sz w:val="30"/>
          <w:szCs w:val="30"/>
          <w:highlight w:val="none"/>
        </w:rPr>
        <w:t xml:space="preserve">项目编号：</w:t>
      </w:r>
      <w:r>
        <w:rPr>
          <w:rFonts w:hint="eastAsia" w:ascii="仿宋" w:hAnsi="仿宋" w:eastAsia="仿宋" w:cs="仿宋"/>
          <w:b/>
          <w:bCs/>
          <w:color w:val="auto"/>
          <w:sz w:val="30"/>
          <w:szCs w:val="30"/>
          <w:highlight w:val="none"/>
          <w:lang w:eastAsia="zh-CN"/>
        </w:rPr>
        <w:t xml:space="preserve">JSZC-320324-XZSS-G2025-0002</w:t>
      </w:r>
      <w:r/>
    </w:p>
    <w:p>
      <w:pPr>
        <w:ind w:firstLine="904"/>
        <w:spacing w:line="500" w:lineRule="exact"/>
        <w:rPr>
          <w:rFonts w:hint="eastAsia" w:ascii="仿宋" w:hAnsi="仿宋" w:eastAsia="仿宋" w:cs="仿宋"/>
          <w:b/>
          <w:bCs/>
          <w:color w:val="auto"/>
          <w:sz w:val="30"/>
          <w:szCs w:val="30"/>
          <w:highlight w:val="none"/>
          <w:lang w:eastAsia="zh-CN"/>
        </w:rPr>
      </w:pPr>
      <w:r>
        <w:rPr>
          <w:rFonts w:hint="eastAsia" w:ascii="仿宋" w:hAnsi="仿宋" w:eastAsia="仿宋" w:cs="仿宋"/>
          <w:b/>
          <w:bCs/>
          <w:color w:val="auto"/>
          <w:sz w:val="30"/>
          <w:szCs w:val="30"/>
          <w:highlight w:val="none"/>
          <w:lang w:val="en-US" w:eastAsia="zh-CN"/>
        </w:rPr>
        <w:t xml:space="preserve">招 标 人</w:t>
      </w:r>
      <w:r>
        <w:rPr>
          <w:rFonts w:hint="eastAsia" w:ascii="仿宋" w:hAnsi="仿宋" w:eastAsia="仿宋" w:cs="仿宋"/>
          <w:b/>
          <w:bCs/>
          <w:color w:val="auto"/>
          <w:sz w:val="30"/>
          <w:szCs w:val="30"/>
          <w:highlight w:val="none"/>
        </w:rPr>
        <w:t xml:space="preserve">：</w:t>
      </w:r>
      <w:r>
        <w:rPr>
          <w:rFonts w:hint="eastAsia" w:ascii="仿宋" w:hAnsi="仿宋" w:eastAsia="仿宋" w:cs="仿宋"/>
          <w:b/>
          <w:bCs/>
          <w:color w:val="auto"/>
          <w:sz w:val="30"/>
          <w:szCs w:val="30"/>
          <w:highlight w:val="none"/>
          <w:lang w:eastAsia="zh-CN"/>
        </w:rPr>
        <w:t xml:space="preserve">睢宁县高作镇人民政府</w:t>
      </w:r>
      <w:r/>
    </w:p>
    <w:p>
      <w:pPr>
        <w:pStyle w:val="764"/>
        <w:ind w:left="0" w:right="147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64"/>
        <w:ind w:left="0" w:right="147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64"/>
        <w:ind w:left="0" w:right="147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64"/>
        <w:ind w:left="0" w:right="147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64"/>
        <w:ind w:left="0" w:right="147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64"/>
        <w:ind w:left="0" w:right="1470" w:firstLine="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64"/>
        <w:ind w:left="0" w:right="1470" w:firstLine="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64"/>
        <w:ind w:left="0" w:right="1470" w:firstLine="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1205"/>
        <w:spacing w:line="500" w:lineRule="exact"/>
        <w:rPr>
          <w:rFonts w:hint="eastAsia" w:ascii="仿宋" w:hAnsi="仿宋" w:eastAsia="仿宋" w:cs="仿宋"/>
          <w:b/>
          <w:bCs/>
          <w:color w:val="auto"/>
          <w:sz w:val="30"/>
          <w:szCs w:val="30"/>
          <w:highlight w:val="none"/>
          <w:lang w:eastAsia="zh-CN"/>
        </w:rPr>
      </w:pPr>
      <w:r>
        <w:rPr>
          <w:rFonts w:hint="eastAsia" w:ascii="仿宋" w:hAnsi="仿宋" w:eastAsia="仿宋" w:cs="仿宋"/>
          <w:b/>
          <w:bCs/>
          <w:color w:val="auto"/>
          <w:sz w:val="30"/>
          <w:szCs w:val="30"/>
          <w:highlight w:val="none"/>
          <w:lang w:val="en-US" w:eastAsia="zh-CN"/>
        </w:rPr>
        <w:t xml:space="preserve">招标</w:t>
      </w:r>
      <w:r>
        <w:rPr>
          <w:rFonts w:hint="eastAsia" w:ascii="仿宋" w:hAnsi="仿宋" w:eastAsia="仿宋" w:cs="仿宋"/>
          <w:b/>
          <w:bCs/>
          <w:color w:val="auto"/>
          <w:sz w:val="30"/>
          <w:szCs w:val="30"/>
          <w:highlight w:val="none"/>
        </w:rPr>
        <w:t xml:space="preserve">代理机构：</w:t>
      </w:r>
      <w:r>
        <w:rPr>
          <w:rFonts w:hint="eastAsia" w:ascii="仿宋" w:hAnsi="仿宋" w:eastAsia="仿宋" w:cs="仿宋"/>
          <w:b/>
          <w:bCs/>
          <w:color w:val="auto"/>
          <w:sz w:val="30"/>
          <w:szCs w:val="30"/>
          <w:highlight w:val="none"/>
          <w:lang w:eastAsia="zh-CN"/>
        </w:rPr>
        <w:t xml:space="preserve">徐州三尚工程项目管理有限公司</w:t>
      </w:r>
      <w:r/>
    </w:p>
    <w:p>
      <w:pPr>
        <w:pStyle w:val="751"/>
        <w:ind w:firstLine="0"/>
        <w:jc w:val="center"/>
        <w:spacing w:line="500" w:lineRule="exact"/>
        <w:rPr>
          <w:rFonts w:hint="eastAsia" w:ascii="仿宋" w:hAnsi="仿宋" w:eastAsia="仿宋" w:cs="仿宋"/>
          <w:b/>
          <w:color w:val="auto"/>
          <w:sz w:val="44"/>
          <w:highlight w:val="none"/>
        </w:rPr>
      </w:pPr>
      <w:r>
        <w:rPr>
          <w:rFonts w:hint="eastAsia" w:ascii="仿宋" w:hAnsi="仿宋" w:eastAsia="仿宋" w:cs="仿宋"/>
          <w:b/>
          <w:bCs/>
          <w:color w:val="auto"/>
          <w:sz w:val="30"/>
          <w:szCs w:val="30"/>
          <w:highlight w:val="none"/>
        </w:rPr>
        <w:t xml:space="preserve">二〇二</w:t>
      </w:r>
      <w:r>
        <w:rPr>
          <w:rFonts w:hint="eastAsia" w:ascii="仿宋" w:hAnsi="仿宋" w:eastAsia="仿宋" w:cs="仿宋"/>
          <w:b/>
          <w:bCs/>
          <w:color w:val="auto"/>
          <w:sz w:val="30"/>
          <w:szCs w:val="30"/>
          <w:highlight w:val="none"/>
          <w:lang w:eastAsia="zh-CN"/>
        </w:rPr>
        <w:t xml:space="preserve">五</w:t>
      </w:r>
      <w:r>
        <w:rPr>
          <w:rFonts w:hint="eastAsia" w:ascii="仿宋" w:hAnsi="仿宋" w:eastAsia="仿宋" w:cs="仿宋"/>
          <w:b/>
          <w:bCs/>
          <w:color w:val="auto"/>
          <w:sz w:val="30"/>
          <w:szCs w:val="30"/>
          <w:highlight w:val="none"/>
        </w:rPr>
        <w:t xml:space="preserve">年</w:t>
      </w:r>
      <w:r>
        <w:rPr>
          <w:rFonts w:hint="eastAsia" w:ascii="仿宋" w:hAnsi="仿宋" w:eastAsia="仿宋" w:cs="仿宋"/>
          <w:b/>
          <w:bCs/>
          <w:color w:val="auto"/>
          <w:sz w:val="30"/>
          <w:szCs w:val="30"/>
          <w:highlight w:val="none"/>
          <w:lang w:val="en-US" w:eastAsia="zh-CN"/>
        </w:rPr>
        <w:t xml:space="preserve">十一</w:t>
      </w:r>
      <w:r>
        <w:rPr>
          <w:rFonts w:hint="eastAsia" w:ascii="仿宋" w:hAnsi="仿宋" w:eastAsia="仿宋" w:cs="仿宋"/>
          <w:b/>
          <w:bCs/>
          <w:color w:val="auto"/>
          <w:sz w:val="30"/>
          <w:szCs w:val="30"/>
          <w:highlight w:val="none"/>
        </w:rPr>
        <w:t xml:space="preserve">月</w:t>
      </w:r>
      <w:r/>
    </w:p>
    <w:p>
      <w:pPr>
        <w:pStyle w:val="751"/>
        <w:ind w:firstLine="0"/>
        <w:jc w:val="center"/>
        <w:rPr>
          <w:rFonts w:hint="eastAsia" w:ascii="仿宋" w:hAnsi="仿宋" w:eastAsia="仿宋" w:cs="仿宋"/>
          <w:b/>
          <w:color w:val="auto"/>
          <w:sz w:val="44"/>
          <w:highlight w:val="none"/>
        </w:rPr>
        <w:sectPr>
          <w:headerReference w:type="default" r:id="rId9"/>
          <w:footerReference w:type="default" r:id="rId12"/>
          <w:footerReference w:type="even" r:id="rId13"/>
          <w:footnotePr/>
          <w:endnotePr/>
          <w:type w:val="nextPage"/>
          <w:pgSz w:w="11906" w:h="16838" w:orient="portrait"/>
          <w:pgMar w:top="1474" w:right="1474" w:bottom="1474" w:left="1474" w:header="851" w:footer="992" w:gutter="0"/>
          <w:pgNumType w:start="1"/>
          <w:cols w:num="1" w:sep="0" w:space="1701" w:equalWidth="1"/>
          <w:docGrid w:linePitch="360"/>
        </w:sectPr>
      </w:pPr>
      <w:r>
        <w:rPr>
          <w:rFonts w:hint="eastAsia" w:ascii="仿宋" w:hAnsi="仿宋" w:eastAsia="仿宋" w:cs="仿宋"/>
          <w:b/>
          <w:color w:val="auto"/>
          <w:sz w:val="44"/>
          <w:highlight w:val="none"/>
        </w:rPr>
      </w:r>
      <w:r/>
    </w:p>
    <w:p>
      <w:pPr>
        <w:pStyle w:val="751"/>
        <w:ind w:firstLine="0"/>
        <w:jc w:val="center"/>
        <w:rPr>
          <w:rFonts w:hint="eastAsia" w:ascii="仿宋" w:hAnsi="仿宋" w:eastAsia="仿宋" w:cs="仿宋"/>
          <w:color w:val="auto"/>
          <w:sz w:val="44"/>
          <w:highlight w:val="none"/>
        </w:rPr>
      </w:pPr>
      <w:r>
        <w:rPr>
          <w:rFonts w:hint="eastAsia" w:ascii="仿宋" w:hAnsi="仿宋" w:eastAsia="仿宋" w:cs="仿宋"/>
          <w:color w:val="auto"/>
          <w:sz w:val="44"/>
          <w:highlight w:val="none"/>
        </w:rPr>
        <w:t xml:space="preserve">总目录</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第一章 投标邀请</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第二章 </w:t>
      </w:r>
      <w:r>
        <w:rPr>
          <w:rFonts w:hint="eastAsia" w:ascii="仿宋" w:hAnsi="仿宋" w:eastAsia="仿宋" w:cs="仿宋"/>
          <w:color w:val="auto"/>
          <w:sz w:val="30"/>
          <w:szCs w:val="30"/>
          <w:highlight w:val="none"/>
          <w:lang w:eastAsia="zh-CN"/>
        </w:rPr>
        <w:t xml:space="preserve">供应商</w:t>
      </w:r>
      <w:r>
        <w:rPr>
          <w:rFonts w:hint="eastAsia" w:ascii="仿宋" w:hAnsi="仿宋" w:eastAsia="仿宋" w:cs="仿宋"/>
          <w:color w:val="auto"/>
          <w:sz w:val="30"/>
          <w:szCs w:val="30"/>
          <w:highlight w:val="none"/>
        </w:rPr>
        <w:t xml:space="preserve">须知</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第三章 投标资料表</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第四章 评标标准</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第五章 拟签订的合同文本</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第六章 采购需求</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第七章 投标文件相关格式</w:t>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jc w:val="left"/>
        <w:widowControl/>
        <w:rPr>
          <w:rFonts w:hint="eastAsia" w:ascii="仿宋" w:hAnsi="仿宋" w:eastAsia="仿宋" w:cs="仿宋"/>
          <w:color w:val="auto"/>
          <w:sz w:val="28"/>
          <w:szCs w:val="28"/>
          <w:highlight w:val="none"/>
        </w:rPr>
        <w:sectPr>
          <w:headerReference w:type="default" r:id="rId10"/>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仿宋" w:hAnsi="仿宋" w:eastAsia="仿宋" w:cs="仿宋"/>
          <w:color w:val="auto"/>
          <w:sz w:val="28"/>
          <w:szCs w:val="28"/>
          <w:highlight w:val="none"/>
        </w:rPr>
      </w:r>
      <w:r/>
    </w:p>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30"/>
          <w:szCs w:val="30"/>
          <w:highlight w:val="none"/>
        </w:rPr>
        <w:t xml:space="preserve">第一章  投标邀请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bl>
      <w:tblPr>
        <w:tblStyle w:val="7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0"/>
      </w:tblGrid>
      <w:tr>
        <w:trPr>
          <w:trHeight w:val="194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0" w:type="dxa"/>
            <w:vAlign w:val="center"/>
            <w:textDirection w:val="lrTb"/>
            <w:noWrap w:val="false"/>
          </w:tcPr>
          <w:p>
            <w:pPr>
              <w:ind w:right="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项目概况</w:t>
            </w:r>
            <w:r/>
          </w:p>
          <w:p>
            <w:pPr>
              <w:ind w:left="0" w:right="0" w:firstLine="48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zh-CN"/>
              </w:rPr>
              <w:t xml:space="preserve">高作镇镇区公厕管护、主次干道清扫保洁、游园绿化服务项目JSZC-320324-XZSS-G2025-0002</w:t>
            </w:r>
            <w:r>
              <w:rPr>
                <w:rFonts w:hint="eastAsia" w:ascii="仿宋" w:hAnsi="仿宋" w:eastAsia="仿宋" w:cs="仿宋"/>
                <w:color w:val="000000"/>
                <w:sz w:val="24"/>
              </w:rPr>
              <w:t xml:space="preserve">招标项目的潜在投标人应在苏采云系统获取招标文件，并于</w:t>
            </w:r>
            <w:r>
              <w:rPr>
                <w:rFonts w:ascii="FangSong" w:hAnsi="FangSong" w:eastAsia="FangSong" w:cs="FangSong"/>
                <w:color w:val="000000"/>
                <w:sz w:val="24"/>
              </w:rPr>
              <w:t xml:space="preserve">2025-11-27 09:10</w:t>
            </w:r>
            <w:r>
              <w:rPr>
                <w:rFonts w:hint="eastAsia" w:ascii="仿宋" w:hAnsi="仿宋" w:eastAsia="仿宋" w:cs="仿宋"/>
                <w:color w:val="000000"/>
                <w:sz w:val="24"/>
              </w:rPr>
              <w:t xml:space="preserve">（北京时间）</w:t>
            </w:r>
            <w:r>
              <w:rPr>
                <w:rFonts w:hint="eastAsia" w:ascii="仿宋" w:hAnsi="仿宋" w:eastAsia="仿宋" w:cs="仿宋"/>
                <w:color w:val="000000"/>
                <w:sz w:val="24"/>
              </w:rPr>
              <w:t xml:space="preserve">前递交投标文件。</w:t>
            </w:r>
            <w:r/>
          </w:p>
        </w:tc>
      </w:tr>
    </w:tbl>
    <w:p>
      <w:pPr>
        <w:ind w:left="0" w:right="0" w:firstLine="48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一、项目基本情况</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项目编号：</w:t>
      </w:r>
      <w:r>
        <w:rPr>
          <w:rFonts w:hint="eastAsia" w:ascii="仿宋" w:hAnsi="仿宋" w:eastAsia="仿宋" w:cs="仿宋"/>
          <w:color w:val="000000"/>
          <w:sz w:val="24"/>
          <w:lang w:eastAsia="zh-CN"/>
        </w:rPr>
        <w:t xml:space="preserve">JSZC-320324-XZSS-G2025-0002</w:t>
      </w:r>
      <w:r>
        <w:rPr>
          <w:rFonts w:hint="eastAsia" w:ascii="仿宋" w:hAnsi="仿宋" w:eastAsia="仿宋" w:cs="仿宋"/>
          <w:color w:val="000000"/>
          <w:sz w:val="24"/>
        </w:rPr>
        <w:t xml:space="preserve"> </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项目名称：</w:t>
      </w:r>
      <w:r>
        <w:rPr>
          <w:rFonts w:hint="eastAsia" w:ascii="仿宋" w:hAnsi="仿宋" w:eastAsia="仿宋" w:cs="仿宋"/>
          <w:color w:val="000000"/>
          <w:sz w:val="24"/>
          <w:lang w:eastAsia="zh-CN"/>
        </w:rPr>
        <w:t xml:space="preserve">高作镇镇区公厕管护、主次干道清扫保洁、游园绿化服务项目</w:t>
      </w:r>
      <w:r>
        <w:rPr>
          <w:rFonts w:hint="eastAsia" w:ascii="仿宋" w:hAnsi="仿宋" w:eastAsia="仿宋" w:cs="仿宋"/>
          <w:color w:val="000000"/>
          <w:sz w:val="24"/>
        </w:rPr>
        <w:t xml:space="preserve"> </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预算金额：</w:t>
      </w:r>
      <w:r>
        <w:rPr>
          <w:rFonts w:hint="eastAsia" w:ascii="仿宋" w:hAnsi="仿宋" w:eastAsia="仿宋" w:cs="仿宋"/>
          <w:color w:val="000000"/>
          <w:sz w:val="24"/>
          <w:lang w:val="en-US" w:eastAsia="zh-CN"/>
        </w:rPr>
        <w:t xml:space="preserve">296</w:t>
      </w:r>
      <w:r>
        <w:rPr>
          <w:rFonts w:hint="eastAsia" w:ascii="仿宋" w:hAnsi="仿宋" w:eastAsia="仿宋" w:cs="仿宋"/>
          <w:color w:val="000000"/>
          <w:sz w:val="24"/>
        </w:rPr>
        <w:t xml:space="preserve">万元 </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最高限价（如有）：</w:t>
      </w:r>
      <w:r>
        <w:rPr>
          <w:rFonts w:hint="eastAsia" w:ascii="仿宋" w:hAnsi="仿宋" w:eastAsia="仿宋" w:cs="仿宋"/>
          <w:color w:val="000000"/>
          <w:sz w:val="24"/>
          <w:lang w:val="en-US" w:eastAsia="zh-CN"/>
        </w:rPr>
        <w:t xml:space="preserve">296</w:t>
      </w:r>
      <w:r>
        <w:rPr>
          <w:rFonts w:hint="eastAsia" w:ascii="仿宋" w:hAnsi="仿宋" w:eastAsia="仿宋" w:cs="仿宋"/>
          <w:color w:val="000000"/>
          <w:sz w:val="24"/>
        </w:rPr>
        <w:t xml:space="preserve">万元  </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采购需求：</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val="en-US" w:eastAsia="zh-CN"/>
        </w:rPr>
        <w:t xml:space="preserve">对睢宁县</w:t>
      </w:r>
      <w:r>
        <w:rPr>
          <w:rFonts w:hint="eastAsia" w:ascii="仿宋" w:hAnsi="仿宋" w:eastAsia="仿宋" w:cs="仿宋"/>
          <w:color w:val="000000"/>
          <w:sz w:val="24"/>
          <w:lang w:eastAsia="zh-CN"/>
        </w:rPr>
        <w:t xml:space="preserve">高作镇</w:t>
      </w:r>
      <w:r>
        <w:rPr>
          <w:rFonts w:hint="eastAsia" w:ascii="仿宋" w:hAnsi="仿宋" w:eastAsia="仿宋" w:cs="仿宋"/>
          <w:color w:val="000000"/>
          <w:sz w:val="24"/>
          <w:lang w:val="en-US" w:eastAsia="zh-CN"/>
        </w:rPr>
        <w:t xml:space="preserve">指定</w:t>
      </w:r>
      <w:r>
        <w:rPr>
          <w:rFonts w:hint="eastAsia" w:ascii="仿宋" w:hAnsi="仿宋" w:eastAsia="仿宋" w:cs="仿宋"/>
          <w:color w:val="000000"/>
          <w:sz w:val="24"/>
          <w:lang w:eastAsia="zh-CN"/>
        </w:rPr>
        <w:t xml:space="preserve">镇区公厕管护、主次干道清扫保洁、游园绿化服务项目</w:t>
      </w:r>
      <w:r>
        <w:rPr>
          <w:rFonts w:hint="eastAsia" w:ascii="仿宋" w:hAnsi="仿宋" w:eastAsia="仿宋" w:cs="仿宋"/>
          <w:color w:val="000000"/>
          <w:sz w:val="24"/>
        </w:rPr>
        <w:t xml:space="preserve">。</w:t>
      </w:r>
      <w:r>
        <w:rPr>
          <w:rFonts w:hint="eastAsia" w:ascii="仿宋" w:hAnsi="仿宋" w:eastAsia="仿宋" w:cs="仿宋"/>
          <w:color w:val="000000"/>
          <w:sz w:val="24"/>
          <w:lang w:val="en-US" w:eastAsia="zh-CN"/>
        </w:rPr>
        <w:t xml:space="preserve">具体</w:t>
      </w:r>
      <w:r>
        <w:rPr>
          <w:rFonts w:hint="eastAsia" w:ascii="仿宋" w:hAnsi="仿宋" w:eastAsia="仿宋" w:cs="仿宋"/>
          <w:color w:val="000000"/>
          <w:sz w:val="24"/>
        </w:rPr>
        <w:t xml:space="preserve">详见</w:t>
      </w:r>
      <w:r>
        <w:rPr>
          <w:rFonts w:hint="eastAsia" w:ascii="仿宋" w:hAnsi="仿宋" w:eastAsia="仿宋" w:cs="仿宋"/>
          <w:color w:val="000000"/>
          <w:sz w:val="24"/>
          <w:lang w:val="en-US" w:eastAsia="zh-CN"/>
        </w:rPr>
        <w:t xml:space="preserve">第六章</w:t>
      </w:r>
      <w:r>
        <w:rPr>
          <w:rFonts w:hint="eastAsia" w:ascii="仿宋" w:hAnsi="仿宋" w:eastAsia="仿宋" w:cs="仿宋"/>
          <w:color w:val="000000"/>
          <w:sz w:val="24"/>
        </w:rPr>
        <w:t xml:space="preserve">《采购需求》。</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合同履行期限：3年。</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本项目（是/否）接受联合体投标：否</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二、申请人的资格要求：</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（一）满足《中华人民共和国政府采购法》第二十二条规定：</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1.投标人合法有效的法人或者其他组织的营业执照等证明文件，自然人的身份证明。以上证明文件提供扫描件。</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2.财务状况报告，至少提供：（1）投标人的本项目开标时间前6个月内</w:t>
      </w:r>
      <w:r>
        <w:rPr>
          <w:rFonts w:hint="eastAsia" w:ascii="仿宋" w:hAnsi="仿宋" w:eastAsia="仿宋" w:cs="仿宋"/>
          <w:color w:val="000000"/>
          <w:sz w:val="24"/>
          <w:lang w:val="en-US" w:eastAsia="zh-CN"/>
        </w:rPr>
        <w:t xml:space="preserve">任何1月</w:t>
      </w:r>
      <w:r>
        <w:rPr>
          <w:rFonts w:hint="eastAsia" w:ascii="仿宋" w:hAnsi="仿宋" w:eastAsia="仿宋" w:cs="仿宋"/>
          <w:color w:val="000000"/>
          <w:sz w:val="24"/>
        </w:rPr>
        <w:t xml:space="preserve">（不含开标当月）的资产负债表的扫描件1份；（2）投标人的本项目开标时间前6个月内任何1月（不含开标当月）利润表月报表的扫描件1份。</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3.投标人依法缴纳税收和社会保障资金的记录：（1）本项目开标时间前6个月内任何1月的依法缴纳税收的相关材料的扫描件；（2）本项目开标时间前6个月内任何1月的依法缴纳社会保障资金的相关材料的扫描件。</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4.具备履行合同所必需的设备和专业技术能力的证明材料，即投标文件中提供《具备履行合同所必需的设备和专业技术能力的书面声明》（加盖电子签章，格式见招标文件第七章《投标文件相关格式》）。</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5.投标人参加政府采购活动前3年内在经营活动中没有重大违法记录的书面声明（加盖电子签章，格式见招标文件第七章《投标文件相关格式》）。</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7、未被“信用中国”网站（www.creditchina.gov.cn）列入失信被执行人、重大税收违法案件当事人名单、政府采购严重失信行为记录名单。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rPr>
        <w:t xml:space="preserve">    （二）落实政府采购政策需满足的资格要求：</w:t>
      </w:r>
      <w:r>
        <w:rPr>
          <w:rFonts w:ascii="FangSong" w:hAnsi="FangSong" w:eastAsia="FangSong" w:cs="FangSong"/>
          <w:color w:val="000000"/>
          <w:sz w:val="24"/>
        </w:rPr>
        <w:t xml:space="preserve">本项目专门面向中小企业采购的项目，供应商应为中小微企业、监狱企业、残疾人福利性单位</w:t>
      </w:r>
      <w:r>
        <w:rPr>
          <w:rFonts w:hint="eastAsia" w:ascii="仿宋" w:hAnsi="仿宋" w:eastAsia="仿宋" w:cs="仿宋"/>
          <w:color w:val="000000"/>
          <w:sz w:val="24"/>
        </w:rPr>
        <w:t xml:space="preserve">。</w:t>
      </w:r>
      <w:r>
        <w:rPr>
          <w:sz w:val="21"/>
        </w:rPr>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（三）本项目的特定资格要求：无。</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三、获取招标文件</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时间：自招标文件公告发布之日起5个工作日 </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地点：“苏采云”系统（网址：http://jszfcg.jsczt.cn/） </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方式：投标人应在招标文件提供的时间内，通过“苏采云”系统（网址： http://jszfcg.jsczt.cn/），使用CA锁进入系统从“项目参与”--“采购项目”菜单中，找到本项目获取采购文件（后缀名为“.kedt”）。 </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售价：0.00元 </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四、提交投标文件截止时间、开标时间和地点</w:t>
      </w:r>
      <w:r/>
    </w:p>
    <w:p>
      <w:pPr>
        <w:ind w:left="0" w:right="0" w:firstLine="482"/>
        <w:keepLines w:val="0"/>
        <w:keepNext w:val="0"/>
        <w:pageBreakBefore w:val="0"/>
        <w:spacing w:before="0" w:after="0" w:line="360" w:lineRule="auto"/>
        <w:widowControl w:val="off"/>
        <w:rPr>
          <w:rFonts w:hint="eastAsia" w:ascii="仿宋" w:hAnsi="仿宋" w:eastAsia="仿宋" w:cs="仿宋"/>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yellow"/>
        </w:rPr>
      </w:r>
      <w:r>
        <w:rPr>
          <w:rFonts w:ascii="FangSong" w:hAnsi="FangSong" w:eastAsia="FangSong" w:cs="FangSong"/>
          <w:color w:val="000000"/>
          <w:sz w:val="24"/>
        </w:rPr>
        <w:t xml:space="preserve">2025-11-27 09:10</w:t>
      </w:r>
      <w:r>
        <w:rPr>
          <w:rFonts w:hint="eastAsia" w:ascii="仿宋" w:hAnsi="仿宋" w:eastAsia="仿宋" w:cs="仿宋"/>
          <w:color w:val="000000"/>
          <w:sz w:val="24"/>
          <w:highlight w:val="white"/>
        </w:rPr>
        <w:t xml:space="preserve"> （北京时间）</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地点：“苏采云”政府采购交易系统网上开标大厅。 </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五、公告期限</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自本公告发布之日起5个工作日。</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六、其他补充事宜</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（一）获取招标文件说明</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招标文件提供期限届满后仍可以下载，期限届满后下载的招标文件，视为非有效方式且不作为供应商权益受到损害的证明材料和依据。</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（二）投标文件的提交与接收：</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1.线上提交投标文件截止时间</w:t>
      </w:r>
      <w:r>
        <w:rPr>
          <w:rFonts w:hint="eastAsia" w:ascii="仿宋" w:hAnsi="仿宋" w:eastAsia="仿宋" w:cs="仿宋"/>
          <w:color w:val="000000"/>
          <w:sz w:val="24"/>
          <w:highlight w:val="white"/>
        </w:rPr>
        <w:t xml:space="preserve">（2025年</w:t>
      </w:r>
      <w:r>
        <w:rPr>
          <w:rFonts w:hint="eastAsia" w:ascii="仿宋" w:hAnsi="仿宋" w:eastAsia="仿宋" w:cs="仿宋"/>
          <w:color w:val="000000"/>
          <w:sz w:val="24"/>
          <w:highlight w:val="white"/>
          <w:lang w:val="en-US" w:eastAsia="zh-CN"/>
        </w:rPr>
        <w:t xml:space="preserve">11</w:t>
      </w:r>
      <w:r>
        <w:rPr>
          <w:rFonts w:hint="eastAsia" w:ascii="仿宋" w:hAnsi="仿宋" w:eastAsia="仿宋" w:cs="仿宋"/>
          <w:color w:val="000000"/>
          <w:sz w:val="24"/>
          <w:highlight w:val="white"/>
        </w:rPr>
        <w:t xml:space="preserve">月27</w:t>
      </w:r>
      <w:r>
        <w:rPr>
          <w:rFonts w:hint="eastAsia" w:ascii="仿宋" w:hAnsi="仿宋" w:eastAsia="仿宋" w:cs="仿宋"/>
          <w:color w:val="000000"/>
          <w:sz w:val="24"/>
          <w:highlight w:val="white"/>
        </w:rPr>
        <w:t xml:space="preserve">日09:10）</w:t>
      </w:r>
      <w:r>
        <w:rPr>
          <w:rFonts w:hint="eastAsia" w:ascii="仿宋" w:hAnsi="仿宋" w:eastAsia="仿宋" w:cs="仿宋"/>
          <w:color w:val="000000"/>
          <w:sz w:val="24"/>
        </w:rPr>
        <w:t xml:space="preserve">前。</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2.投标文件提交与接收地点：苏采云系统（详见招标文件）。</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七、对本次招标提出询问，请按以下方式联系。</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1.采购人信息 </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单位名称：睢宁县</w:t>
      </w:r>
      <w:r>
        <w:rPr>
          <w:rFonts w:hint="eastAsia" w:ascii="仿宋" w:hAnsi="仿宋" w:eastAsia="仿宋" w:cs="仿宋"/>
          <w:color w:val="000000"/>
          <w:sz w:val="24"/>
          <w:lang w:eastAsia="zh-CN"/>
        </w:rPr>
        <w:t xml:space="preserve">高作</w:t>
      </w:r>
      <w:r>
        <w:rPr>
          <w:rFonts w:hint="eastAsia" w:ascii="仿宋" w:hAnsi="仿宋" w:eastAsia="仿宋" w:cs="仿宋"/>
          <w:color w:val="000000"/>
          <w:sz w:val="24"/>
        </w:rPr>
        <w:t xml:space="preserve">镇人民政府</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单位地址：徐州市睢宁县</w:t>
      </w:r>
      <w:r>
        <w:rPr>
          <w:rFonts w:hint="eastAsia" w:ascii="仿宋" w:hAnsi="仿宋" w:eastAsia="仿宋" w:cs="仿宋"/>
          <w:color w:val="000000"/>
          <w:sz w:val="24"/>
          <w:lang w:eastAsia="zh-CN"/>
        </w:rPr>
        <w:t xml:space="preserve">高作</w:t>
      </w:r>
      <w:r>
        <w:rPr>
          <w:rFonts w:hint="eastAsia" w:ascii="仿宋" w:hAnsi="仿宋" w:eastAsia="仿宋" w:cs="仿宋"/>
          <w:color w:val="000000"/>
          <w:sz w:val="24"/>
        </w:rPr>
        <w:t xml:space="preserve">镇</w:t>
      </w:r>
      <w:r/>
    </w:p>
    <w:p>
      <w:pPr>
        <w:ind w:left="0" w:right="0" w:firstLine="482"/>
        <w:keepLines w:val="0"/>
        <w:keepNext w:val="0"/>
        <w:pageBreakBefore w:val="0"/>
        <w:spacing w:before="0" w:after="0" w:line="360" w:lineRule="auto"/>
        <w:widowControl w:val="off"/>
        <w:rPr>
          <w:rFonts w:hint="eastAsia" w:ascii="仿宋" w:hAnsi="仿宋" w:eastAsia="仿宋" w:cs="仿宋"/>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联系人：</w:t>
      </w:r>
      <w:r>
        <w:rPr>
          <w:rFonts w:hint="eastAsia" w:ascii="仿宋" w:hAnsi="仿宋" w:eastAsia="仿宋" w:cs="仿宋"/>
          <w:color w:val="000000"/>
          <w:sz w:val="24"/>
          <w:lang w:val="en-US" w:eastAsia="zh-CN"/>
        </w:rPr>
        <w:t xml:space="preserve">刘坤</w:t>
      </w:r>
      <w:r/>
    </w:p>
    <w:p>
      <w:pPr>
        <w:ind w:left="0" w:right="0" w:firstLine="482"/>
        <w:keepLines w:val="0"/>
        <w:keepNext w:val="0"/>
        <w:pageBreakBefore w:val="0"/>
        <w:spacing w:before="0" w:after="0" w:line="360" w:lineRule="auto"/>
        <w:widowControl w:val="off"/>
        <w:rPr>
          <w:rFonts w:hint="eastAsia" w:ascii="仿宋" w:hAnsi="仿宋" w:eastAsia="仿宋" w:cs="仿宋"/>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联系电话：1</w:t>
      </w:r>
      <w:r>
        <w:rPr>
          <w:rFonts w:hint="eastAsia" w:ascii="仿宋" w:hAnsi="仿宋" w:eastAsia="仿宋" w:cs="仿宋"/>
          <w:color w:val="000000"/>
          <w:sz w:val="24"/>
          <w:lang w:val="en-US" w:eastAsia="zh-CN"/>
        </w:rPr>
        <w:t xml:space="preserve">3505223528</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2.采购代理机构信息（如有）</w:t>
      </w:r>
      <w:r/>
    </w:p>
    <w:p>
      <w:pPr>
        <w:ind w:left="0" w:right="0" w:firstLine="482"/>
        <w:keepLines w:val="0"/>
        <w:keepNext w:val="0"/>
        <w:pageBreakBefore w:val="0"/>
        <w:spacing w:before="0" w:after="0" w:line="360" w:lineRule="auto"/>
        <w:widowControl w:val="off"/>
        <w:rPr>
          <w:rFonts w:hint="eastAsia"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单位名称：</w:t>
      </w:r>
      <w:r>
        <w:rPr>
          <w:rFonts w:hint="eastAsia" w:ascii="仿宋" w:hAnsi="仿宋" w:eastAsia="仿宋" w:cs="仿宋"/>
          <w:color w:val="000000"/>
          <w:sz w:val="24"/>
          <w:lang w:eastAsia="zh-CN"/>
        </w:rPr>
        <w:t xml:space="preserve">徐州三尚工程项目管理有限公司</w:t>
      </w:r>
      <w:r/>
    </w:p>
    <w:p>
      <w:pPr>
        <w:ind w:left="0" w:right="0" w:firstLine="482"/>
        <w:keepLines w:val="0"/>
        <w:keepNext w:val="0"/>
        <w:pageBreakBefore w:val="0"/>
        <w:spacing w:before="0" w:after="0" w:line="360" w:lineRule="auto"/>
        <w:widowControl w:val="off"/>
        <w:rPr>
          <w:rFonts w:hint="eastAsia" w:ascii="仿宋" w:hAnsi="仿宋" w:eastAsia="仿宋" w:cs="仿宋"/>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单位地址：</w:t>
      </w:r>
      <w:r>
        <w:rPr>
          <w:rFonts w:hint="eastAsia" w:ascii="仿宋" w:hAnsi="仿宋" w:eastAsia="仿宋" w:cs="仿宋"/>
          <w:color w:val="000000"/>
          <w:sz w:val="24"/>
          <w:lang w:val="en-US" w:eastAsia="zh-CN"/>
        </w:rPr>
        <w:t xml:space="preserve">睢宁县亚琦万茂中心D区21幢3楼</w:t>
      </w:r>
      <w:r/>
    </w:p>
    <w:p>
      <w:pPr>
        <w:ind w:left="0" w:right="0" w:firstLine="482"/>
        <w:keepLines w:val="0"/>
        <w:keepNext w:val="0"/>
        <w:pageBreakBefore w:val="0"/>
        <w:spacing w:before="0" w:after="0" w:line="360" w:lineRule="auto"/>
        <w:widowControl w:val="off"/>
        <w:rPr>
          <w:rFonts w:hint="eastAsia"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联系人：</w:t>
      </w:r>
      <w:r>
        <w:rPr>
          <w:rFonts w:hint="eastAsia" w:ascii="仿宋" w:hAnsi="仿宋" w:eastAsia="仿宋" w:cs="仿宋"/>
          <w:color w:val="000000"/>
          <w:sz w:val="24"/>
          <w:lang w:val="en-US" w:eastAsia="zh-CN"/>
        </w:rPr>
        <w:t xml:space="preserve">戴冠楠</w:t>
      </w:r>
      <w:r/>
    </w:p>
    <w:p>
      <w:pPr>
        <w:ind w:left="0" w:right="0" w:firstLine="482"/>
        <w:keepLines w:val="0"/>
        <w:keepNext w:val="0"/>
        <w:pageBreakBefore w:val="0"/>
        <w:spacing w:before="0" w:after="0" w:line="360" w:lineRule="auto"/>
        <w:widowControl w:val="off"/>
        <w:rPr>
          <w:rFonts w:hint="eastAsia" w:ascii="仿宋" w:hAnsi="仿宋" w:eastAsia="仿宋" w:cs="仿宋"/>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联系电话：</w:t>
      </w:r>
      <w:r>
        <w:rPr>
          <w:rFonts w:hint="eastAsia" w:ascii="仿宋" w:hAnsi="仿宋" w:eastAsia="仿宋" w:cs="仿宋"/>
          <w:color w:val="000000"/>
          <w:sz w:val="24"/>
          <w:lang w:val="en-US" w:eastAsia="zh-CN"/>
        </w:rPr>
        <w:t xml:space="preserve">13912023500</w:t>
      </w:r>
      <w:r/>
    </w:p>
    <w:p>
      <w:pPr>
        <w:ind w:left="0" w:right="0" w:firstLine="48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3.项目联系方式</w:t>
      </w:r>
      <w:r/>
    </w:p>
    <w:p>
      <w:pPr>
        <w:ind w:left="0" w:right="0" w:firstLine="482"/>
        <w:keepLines w:val="0"/>
        <w:keepNext w:val="0"/>
        <w:pageBreakBefore w:val="0"/>
        <w:spacing w:before="0" w:after="0" w:line="360" w:lineRule="auto"/>
        <w:widowControl w:val="off"/>
        <w:rPr>
          <w:rFonts w:hint="eastAsia"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项目联系人：</w:t>
      </w:r>
      <w:r>
        <w:rPr>
          <w:rFonts w:hint="eastAsia" w:ascii="仿宋" w:hAnsi="仿宋" w:eastAsia="仿宋" w:cs="仿宋"/>
          <w:color w:val="000000"/>
          <w:sz w:val="24"/>
          <w:lang w:val="en-US" w:eastAsia="zh-CN"/>
        </w:rPr>
        <w:t xml:space="preserve">戴冠楠</w:t>
      </w:r>
      <w:r/>
    </w:p>
    <w:p>
      <w:pPr>
        <w:ind w:left="0" w:right="0" w:firstLine="482"/>
        <w:keepLines w:val="0"/>
        <w:keepNext w:val="0"/>
        <w:pageBreakBefore w:val="0"/>
        <w:spacing w:before="0" w:after="0" w:line="360" w:lineRule="auto"/>
        <w:widowControl w:val="off"/>
        <w:rPr>
          <w:rFonts w:hint="eastAsia" w:ascii="仿宋" w:hAnsi="仿宋" w:eastAsia="仿宋" w:cs="仿宋"/>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电话：13</w:t>
      </w:r>
      <w:r>
        <w:rPr>
          <w:rFonts w:hint="eastAsia" w:ascii="仿宋" w:hAnsi="仿宋" w:eastAsia="仿宋" w:cs="仿宋"/>
          <w:color w:val="000000"/>
          <w:sz w:val="24"/>
          <w:lang w:val="en-US" w:eastAsia="zh-CN"/>
        </w:rPr>
        <w:t xml:space="preserve">912023500</w:t>
      </w:r>
      <w:r/>
    </w:p>
    <w:p>
      <w:pPr>
        <w:ind w:firstLine="480"/>
        <w:jc w:val="left"/>
        <w:spacing w:line="360" w:lineRule="auto"/>
        <w:widowControl/>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rPr>
          <w:rFonts w:hint="eastAsia" w:ascii="仿宋" w:hAnsi="仿宋" w:eastAsia="仿宋" w:cs="仿宋"/>
          <w:color w:val="auto"/>
        </w:rPr>
      </w:pPr>
      <w:r>
        <w:rPr>
          <w:rFonts w:hint="eastAsia" w:ascii="仿宋" w:hAnsi="仿宋" w:eastAsia="仿宋" w:cs="仿宋"/>
          <w:color w:val="auto"/>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p>
      <w:pPr>
        <w:jc w:val="center"/>
        <w:spacing w:line="400" w:lineRule="exact"/>
        <w:rPr>
          <w:rFonts w:hint="eastAsia" w:ascii="仿宋" w:hAnsi="仿宋" w:eastAsia="仿宋" w:cs="仿宋"/>
          <w:color w:val="auto"/>
          <w:sz w:val="30"/>
          <w:szCs w:val="30"/>
          <w:highlight w:val="none"/>
        </w:rPr>
      </w:pPr>
      <w:r>
        <w:rPr>
          <w:rFonts w:hint="eastAsia" w:ascii="仿宋" w:hAnsi="仿宋" w:eastAsia="仿宋" w:cs="仿宋"/>
          <w:color w:val="auto"/>
          <w:sz w:val="24"/>
          <w:highlight w:val="none"/>
        </w:rPr>
        <w:br w:type="page" w:clear="all"/>
      </w:r>
      <w:r>
        <w:rPr>
          <w:rFonts w:hint="eastAsia" w:ascii="仿宋" w:hAnsi="仿宋" w:eastAsia="仿宋" w:cs="仿宋"/>
          <w:b/>
          <w:bCs/>
          <w:color w:val="auto"/>
          <w:sz w:val="30"/>
          <w:szCs w:val="30"/>
          <w:highlight w:val="none"/>
        </w:rPr>
        <w:t xml:space="preserve">第二章  </w:t>
      </w:r>
      <w:r>
        <w:rPr>
          <w:rFonts w:hint="eastAsia" w:ascii="仿宋" w:hAnsi="仿宋" w:eastAsia="仿宋" w:cs="仿宋"/>
          <w:b/>
          <w:bCs/>
          <w:color w:val="auto"/>
          <w:sz w:val="30"/>
          <w:szCs w:val="30"/>
          <w:highlight w:val="none"/>
          <w:lang w:eastAsia="zh-CN"/>
        </w:rPr>
        <w:t xml:space="preserve">供应商</w:t>
      </w:r>
      <w:r>
        <w:rPr>
          <w:rFonts w:hint="eastAsia" w:ascii="仿宋" w:hAnsi="仿宋" w:eastAsia="仿宋" w:cs="仿宋"/>
          <w:b/>
          <w:bCs/>
          <w:color w:val="auto"/>
          <w:sz w:val="30"/>
          <w:szCs w:val="30"/>
          <w:highlight w:val="none"/>
        </w:rPr>
        <w:t xml:space="preserve">须知</w:t>
      </w:r>
      <w:r/>
    </w:p>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目录</w:t>
      </w:r>
      <w:r/>
    </w:p>
    <w:p>
      <w:pPr>
        <w:ind w:left="420"/>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一、总则</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二、招标</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三、投标</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四、开标、评标</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五、中标和合同</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六、询问和质疑</w:t>
      </w:r>
      <w:r/>
    </w:p>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color w:val="auto"/>
          <w:sz w:val="30"/>
          <w:szCs w:val="30"/>
          <w:highlight w:val="none"/>
        </w:rPr>
        <w:t xml:space="preserve">一、总则</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 采购人</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1.1采购人是指依法进行政府采购的国家机关、事业单位、团体组织。本项目采购人：见招标文件第三章《投标资料表》。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 政府采购方式</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2.1政府采购货物和服务（以下简称货物服务）招标分为公开招标和邀请招标。本次采购采用的政府采购方式：见招标文件第三章《投标资料表》。</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 采购人应当在货物服务招标投标活动中落实节约能源、保护环境、扶持不发达地区和少数民族地区、促进中小企业发展等政府采购政策。</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 采购人委托采购代理机构代理招标的，采购代理机构应当在采购人委托的范围内依法开展采购活动。本项目采购代理机构：见招标文件第三章《投标资料表》。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 投标费用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 </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应承担所有与准备和参加投标有关的费用，无论投标的结果如何，采购人和采购代理机构对上述费用不承担任何责任和义务。</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二、招标</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 招标文件的内容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7.1招标文件包括以下内容：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第一章 投标邀请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第二章 </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须知</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第三章 投标资料表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第四章 评标标准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第五章 拟签订的合同文本</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第六章 采购需求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第七章 投标文件相关格式</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 采购需求：见招标文件第六章《采购需求》。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 采购项目预算金额、最高限价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9.1 采购项目预算金额：见招标文件第三章《投标资料表》。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 样品</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10.1本项目对样品的要求：见招标文件第三章《投标资料表》。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 投标有效期</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11.1投标有效期从提交投标文件的截止之日起算。</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11.2投标有效期： 见招标文件第三章《投标资料表》。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 招标文件售价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12.1招标文件售价：见招标文件第三章《投标资料表》。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 采购代理机构代理费用的收取标准和方式</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13.1 采购代理机构代理费用的收取标准和方式：见招标文件第三章《投标资料表》。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 现场考察或者开标前答疑会</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14.1 在招标文件提供期限截止后。</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14.2 现场考察：见招标文件第三章《投标资料表》。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14.3 开标前答疑会：见招标文件第三章《投标资料表》。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 招标文件的澄清或者修改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15.2澄清或者修改的内容可能影响投标文件编制的，采购人或者采购代理机构应当在投标截止时间至少15日前，以书面形式通知所有获取招标文件的潜在</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；不足15日的，采购人或者采购代理机构应当顺延提交投标文件的截止时间。具体规定：见招标文件第三章《投标资料表》。</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 终止招标</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16.1终止招标的，采购人或者采购代理机构应当及时在原公告发布媒体上发布终止公告，以书面形式通知已经获取招标文件的潜在</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，并将项目实施情况和采购任务取消原因报告本级财政部门。具体规定：见招标文件第三章《投标资料表》。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 </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信用信息查询渠道及截止时点、信用信息查询记录和证据留存的具体方式、信用信息的使用规则等：见招标文件第三章《投标资料表》。</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三、投标</w:t>
      </w:r>
      <w:r/>
    </w:p>
    <w:p>
      <w:pPr>
        <w:jc w:val="left"/>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    18. </w:t>
      </w:r>
      <w:r>
        <w:rPr>
          <w:rFonts w:hint="eastAsia" w:ascii="仿宋" w:hAnsi="仿宋" w:eastAsia="仿宋" w:cs="仿宋"/>
          <w:color w:val="auto"/>
          <w:sz w:val="24"/>
          <w:highlight w:val="none"/>
          <w:lang w:eastAsia="zh-CN"/>
        </w:rPr>
        <w:t xml:space="preserve">供应商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18.1 </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，是指响应招标、参加投标竞争的法人、其他组织或者自然人。</w:t>
      </w:r>
      <w:r/>
    </w:p>
    <w:p>
      <w:pPr>
        <w:ind w:firstLine="465"/>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18.2 </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应当遵循公平竞争的原则，不得恶意串通，不得妨碍其他</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的竞争行为，不得损害采购人或者其他</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的合法权益。</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18.3 </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的资格要求：见招标文件第三章《投标资料表》。</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 投标文件</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19.1 </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应当按照招标文件的要求编制投标文件。投标文件应当对招标文件提出的要求和条件作出明确响应。</w:t>
      </w:r>
      <w:r/>
    </w:p>
    <w:p>
      <w:pPr>
        <w:ind w:firstLine="24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19.2 投标文件编制要求：见招标文件第三章《投标资料表》。</w:t>
      </w:r>
      <w:r/>
    </w:p>
    <w:p>
      <w:pPr>
        <w:pStyle w:val="764"/>
        <w:ind w:left="0"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19.3电子投标文件其他要求</w:t>
      </w:r>
      <w:r/>
    </w:p>
    <w:p>
      <w:pPr>
        <w:pStyle w:val="764"/>
        <w:ind w:left="0"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（1）电子招标投标交易平台（即“苏采云”系统）相关要求是本招标文件的组成部分。</w:t>
      </w:r>
      <w:r/>
    </w:p>
    <w:p>
      <w:pPr>
        <w:pStyle w:val="764"/>
        <w:ind w:left="0"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应对CA证书妥善保管，如被他人盗用投标，因此带来的结果均由</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自行承担。</w:t>
      </w:r>
      <w:r/>
    </w:p>
    <w:p>
      <w:pPr>
        <w:pStyle w:val="764"/>
        <w:ind w:left="0"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应当对招标文件提出的实质性要求和条件作出实质性响应，并在电子投标系统逐条应答。</w:t>
      </w:r>
      <w:r/>
    </w:p>
    <w:p>
      <w:pPr>
        <w:pStyle w:val="764"/>
        <w:ind w:left="0"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应对要求提供的资格证明文件（如资质证书、资格证书）、技术资料（如白皮书、彩页、手册、检测报告等）扫描上传至投标系统。</w:t>
      </w:r>
      <w:r/>
    </w:p>
    <w:p>
      <w:pPr>
        <w:ind w:firstLine="24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19.4 投标文件的份数：见招标文件第三章《投标资料表》。</w:t>
      </w:r>
      <w:r/>
    </w:p>
    <w:p>
      <w:pPr>
        <w:ind w:firstLine="24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19.5 投标文件的退还：见招标文件第三章《投标资料表》。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19.6 投标文件的密封、签署、盖章要求：见招标文件第三章《投标资料表》。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19.7投标文件中承诺的投标有效期应当不少于招标文件中载明的投标有效期。</w:t>
      </w: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19.8 </w:t>
      </w:r>
      <w:r>
        <w:rPr>
          <w:rFonts w:hint="eastAsia" w:ascii="仿宋" w:hAnsi="仿宋" w:eastAsia="仿宋" w:cs="仿宋"/>
          <w:b/>
          <w:bCs/>
          <w:color w:val="auto"/>
          <w:sz w:val="24"/>
          <w:highlight w:val="none"/>
          <w:lang w:eastAsia="zh-CN"/>
        </w:rPr>
        <w:t xml:space="preserve">供应商</w:t>
      </w:r>
      <w:r>
        <w:rPr>
          <w:rFonts w:hint="eastAsia" w:ascii="仿宋" w:hAnsi="仿宋" w:eastAsia="仿宋" w:cs="仿宋"/>
          <w:b/>
          <w:bCs/>
          <w:color w:val="auto"/>
          <w:sz w:val="24"/>
          <w:highlight w:val="none"/>
        </w:rPr>
        <w:t xml:space="preserve">应当在招标文件要求提交投标文件的截止时间前，将投标文件提交至“苏采云”系统，逾期提交的投标文件，“苏采云”系统将自动拒收。各</w:t>
      </w:r>
      <w:r>
        <w:rPr>
          <w:rFonts w:hint="eastAsia" w:ascii="仿宋" w:hAnsi="仿宋" w:eastAsia="仿宋" w:cs="仿宋"/>
          <w:b/>
          <w:bCs/>
          <w:color w:val="auto"/>
          <w:sz w:val="24"/>
          <w:highlight w:val="none"/>
          <w:lang w:eastAsia="zh-CN"/>
        </w:rPr>
        <w:t xml:space="preserve">供应商</w:t>
      </w:r>
      <w:r>
        <w:rPr>
          <w:rFonts w:hint="eastAsia" w:ascii="仿宋" w:hAnsi="仿宋" w:eastAsia="仿宋" w:cs="仿宋"/>
          <w:b/>
          <w:bCs/>
          <w:color w:val="auto"/>
          <w:sz w:val="24"/>
          <w:highlight w:val="none"/>
        </w:rPr>
        <w:t xml:space="preserve">应在规定时间内凭CA证书进行网上解密。</w:t>
      </w:r>
      <w:r/>
    </w:p>
    <w:p>
      <w:pPr>
        <w:ind w:firstLine="482"/>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19.9 </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在投标截止时间前，可以对所提交的投标文件进行补充、修改或者撤回。</w:t>
      </w:r>
      <w:r/>
    </w:p>
    <w:p>
      <w:pPr>
        <w:ind w:firstLine="3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20. 投标报价要求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20.1 </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应按照招标文件的要求报出分项价格和总价。</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20.2 </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应按照招标文件的要求进行报价，如有偏离，应在《偏离表》中列出。</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20.3 </w:t>
      </w:r>
      <w:r>
        <w:rPr>
          <w:rFonts w:hint="eastAsia" w:ascii="仿宋" w:hAnsi="仿宋" w:eastAsia="仿宋" w:cs="仿宋"/>
          <w:bCs/>
          <w:color w:val="auto"/>
          <w:sz w:val="24"/>
          <w:highlight w:val="none"/>
        </w:rPr>
        <w:t xml:space="preserve">采购人不支付报价以外的任何费用。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20.4 </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的投标报价在合同执行过程中是固定的，不得以任何理由予以变更。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20.5</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只能提交一个投标报价，提交2个以上投标报价的投标文件在符合性审查时按照投标无效处理。</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20.6 </w:t>
      </w:r>
      <w:r>
        <w:rPr>
          <w:rFonts w:hint="eastAsia" w:ascii="仿宋" w:hAnsi="仿宋" w:eastAsia="仿宋" w:cs="仿宋"/>
          <w:bCs/>
          <w:color w:val="auto"/>
          <w:sz w:val="24"/>
          <w:highlight w:val="none"/>
        </w:rPr>
        <w:t xml:space="preserve">不接受超过采购项目预算金额的投标报价。具体</w:t>
      </w:r>
      <w:r>
        <w:rPr>
          <w:rFonts w:hint="eastAsia" w:ascii="仿宋" w:hAnsi="仿宋" w:eastAsia="仿宋" w:cs="仿宋"/>
          <w:color w:val="auto"/>
          <w:sz w:val="24"/>
          <w:highlight w:val="none"/>
        </w:rPr>
        <w:t xml:space="preserve">见招标文件第三章《投标资料表》</w:t>
      </w:r>
      <w:r>
        <w:rPr>
          <w:rFonts w:hint="eastAsia" w:ascii="仿宋" w:hAnsi="仿宋" w:eastAsia="仿宋" w:cs="仿宋"/>
          <w:bCs/>
          <w:color w:val="auto"/>
          <w:sz w:val="24"/>
          <w:highlight w:val="none"/>
        </w:rPr>
        <w:t xml:space="preserve">。</w:t>
      </w:r>
      <w:r/>
    </w:p>
    <w:p>
      <w:pPr>
        <w:ind w:firstLine="482"/>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21.</w:t>
      </w:r>
      <w:r>
        <w:rPr>
          <w:rFonts w:hint="eastAsia" w:ascii="仿宋" w:hAnsi="仿宋" w:eastAsia="仿宋" w:cs="仿宋"/>
          <w:b/>
          <w:bCs/>
          <w:color w:val="auto"/>
          <w:sz w:val="24"/>
          <w:highlight w:val="none"/>
          <w:lang w:eastAsia="zh-CN"/>
        </w:rPr>
        <w:t xml:space="preserve">供应商</w:t>
      </w:r>
      <w:r>
        <w:rPr>
          <w:rFonts w:hint="eastAsia" w:ascii="仿宋" w:hAnsi="仿宋" w:eastAsia="仿宋" w:cs="仿宋"/>
          <w:b/>
          <w:bCs/>
          <w:color w:val="auto"/>
          <w:sz w:val="24"/>
          <w:highlight w:val="none"/>
        </w:rPr>
        <w:t xml:space="preserve">不需缴纳投标保证金。</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22.投标截止时间、投标文件开始接收时间、投标文件接收截止时间、投标文件的接收地点：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22.1投标截止时间：见招标文件第三章《投标资料表》。</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22.2投标文件开始接收时间、投标文件接收截止时间、投标文件的接收地点：见招标文件第三章《投标资料表》。</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 本项目不允许分包。</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 相同品牌产品投标</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24.1采用最低评标价法的采购项目，提供相同品牌产品的不同</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参加同一合同项下投标的，以其中通过资格审查、符合性审查且报价最低的参加评标；报价相同的，由采购人或者采购人委托评标委员会按照招标文件规定的方式确定一个参加评标的</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，招标文件未规定的采取随机抽取方式确定，其他投标无效。报价相同的，招标文件规定的确定一个</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参加评标的方式：见招标文件第三章《投标资料表》。</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24.2 使用综合评分法的采购项目，提供相同品牌产品且通过资格审查、符合性审查的不同</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参加同一合同项下投标的，按一家</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计算，评审后得分最高的同品牌</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获得中标人推荐资格；评审得分相同的，由采购人或者采购人委托评标委员会按照招标文件规定的方式确定一个</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获得中标人推荐资格，招标文件未规定的采取随机抽取方式确定，其他同品牌</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不作为中标候选人。评审得分相同的，招标文件规定的确定一个</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获得中标人推荐资格的方式：见招标文件第三章《投标资料表》。</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24.3 非单一产品采购项目，采购人应当根据采购项目技术构成、产品价格比重等合理确定核心产品，并在招标文件中载明。多家</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提供的核心产品品牌相同的，按前24.1、24.2条规定处理。采购人根据采购项目技术构成、产品价格比重等确定核心产品：见招标文件第三章《投标资料表》。</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 有下列情形之一的，视为</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串通投标，其投标无效：</w:t>
      </w:r>
      <w:r/>
    </w:p>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（一）不同</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的投标文件由同一单位或者个人编制；</w:t>
      </w:r>
      <w:r/>
    </w:p>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（二）不同</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委托同一单位或者个人办理投标事宜；</w:t>
      </w:r>
      <w:r/>
    </w:p>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（三）不同</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的投标文件载明的项目管理成员或者联系人员为同一人；</w:t>
      </w:r>
      <w:r/>
    </w:p>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（四）不同</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的投标文件异常一致或者投标报价呈规律性差异；</w:t>
      </w:r>
      <w:r/>
    </w:p>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（五）不同</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的投标文件相互混装。</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四、开标、评标</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 开标</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26.2 开标由采购人或者采购代理机构主持，邀请</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参加。</w:t>
      </w:r>
      <w:r/>
    </w:p>
    <w:p>
      <w:pPr>
        <w:ind w:firstLine="480"/>
        <w:jc w:val="left"/>
        <w:spacing w:line="360" w:lineRule="auto"/>
        <w:widowControl/>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26.3所有投标单位凭CA证书在到达开标时间时，解密各自投标文件，由工作人员操作系统进行开标、并宣读各</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的《开标一览表》；招标文件规定的需要宣布的内容：见招标文件第三章《投标资料表》。</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不足3家的，不得开标。</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26.4开标过程应当由采购人或者采购代理机构负责记录，由参加开标的各</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代表和相关工作人员签字确认后随采购文件一并存档。</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代表对开标过程和开标记录有疑义，以及认为采购人、采购代理机构相关工作人员有需要回避的情形的，应当场提出询问或者回避申请。采购人、采购代理机构对</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代表提出的询问或者回避申请应当及时处理。</w:t>
      </w:r>
      <w:r/>
    </w:p>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未参加开标的，视同认可开标结果。</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27.评标</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27.1 公开招标采购项目开标结束后，采购人依法对</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的资格进行审查。</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合格</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不足3家的，不得评标。</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27.2 评标工作由采购代理机构负责组织，并履行下列职责：</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（一）核对评审专家身份和采购人代表授权函，对评审专家在政府采购活动中的职责履行情况予以记录，并及时将有关违法违规行为向财政部门报告；</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（二）宣布评标纪律；</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（三）公布</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名单，告知评审专家应当回避的情形；</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（四）组织评标委员会推选评标组长，采购人代表不得担任组长；</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（五）在评标期间采取必要的通讯管理措施，保证评标活动不受外界干扰；</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（六）根据评标委员会的要求介绍政府采购相关政策法规、招标文件；</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（七）维护评标秩序，监督评标委员会依照招标文件规定的评标程序、方法和标准进行独立评审，及时制止和纠正采购人代表、评审专家的倾向性言论或者违法违规行为；</w:t>
      </w:r>
      <w:r/>
    </w:p>
    <w:p>
      <w:pPr>
        <w:ind w:firstLine="3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（八）核对评标结果，有《</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"http://www.caigou2003.com/"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highlight w:val="none"/>
        </w:rPr>
        <w:t xml:space="preserve">政府采购</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货物和服务招标投标管理办法》第六十四条规定情形的，要求评标委员会复核或者书面说明理由，评标委员会拒绝的，应予记录并向本级财政部门报告；</w:t>
      </w:r>
      <w:r/>
    </w:p>
    <w:p>
      <w:pPr>
        <w:ind w:firstLine="3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（九）评审工作完成后，按照规定向评审专家支付劳务报酬和异地评审差旅费，不得向评审专家以外的其他人员支付评审劳务报酬；</w:t>
      </w:r>
      <w:r/>
    </w:p>
    <w:p>
      <w:pPr>
        <w:ind w:firstLine="3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（十）处理与评标有关的其他事项。</w:t>
      </w:r>
      <w:r/>
    </w:p>
    <w:p>
      <w:pPr>
        <w:ind w:firstLine="3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采购人可以在评标前说明项目背景和采购需求，说明内容不得含有歧视性、倾向性意见，不得超出招标文件所述范围。说明应当提交书面材料，并随采购文件一并存档。</w:t>
      </w:r>
      <w:r/>
    </w:p>
    <w:p>
      <w:pPr>
        <w:ind w:firstLine="3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27.3 评标委员会负责具体评标事务，并独立履行下列职责：</w:t>
      </w:r>
      <w:r/>
    </w:p>
    <w:p>
      <w:pPr>
        <w:ind w:firstLine="3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（一）审查、评价投标文件是否符合招标文件的商务、技术等实质性要求；</w:t>
      </w:r>
      <w:r/>
    </w:p>
    <w:p>
      <w:pPr>
        <w:ind w:firstLine="3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（二）要求</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对投标文件有关事项作出澄清或者说明；</w:t>
      </w:r>
      <w:r/>
    </w:p>
    <w:p>
      <w:pPr>
        <w:ind w:firstLine="3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（三）对投标文件进行比较和评价；</w:t>
      </w:r>
      <w:r/>
    </w:p>
    <w:p>
      <w:pPr>
        <w:ind w:firstLine="3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（四）确定中标候选人名单，以及根据采购人委托直接确定中标人；</w:t>
      </w:r>
      <w:r/>
    </w:p>
    <w:p>
      <w:pPr>
        <w:ind w:firstLine="36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（五）向采购人、采购代理机构或者有关部门报告评标中发现的违法行为。</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 评标委员会应当对符合资格的</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的投标文件进行符合性审查，以确定其是否满足招标文件的实质性要求。</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 对于投标文件中含义不明确、同类问题表述不一致或者有明显文字和计算错误的内容，评标委员会应当以书面形式要求</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作出必要的澄清、说明或者补正。</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的澄清、说明或者补正应当采用书面形式，并加盖公章（电子签章），或者由法定代表人或其授权的代表签字。</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的澄清、说明或者补正不得超出投标文件的范围或者改变投标文件的实质性内容。</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 评标委员会应当按照招标文件中规定的评标方法和标准，对符合性审查合格的投标文件进行商务和技术评估，综合比较与评价。</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 评标方法、评标标准。 </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31.1 评标方法分为最低评标价法和综合评分法。本项目的评标方法：见招标文件第三章《投标资料表》。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31.2 本项目的评标标准：见招标文件第四章《评标标准》。</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 投标文件报价出现前后不一致的，除招标文件另有规定外，按照下列规定修正：</w:t>
      </w:r>
      <w:r/>
    </w:p>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（一）投标文件中开标一览表（报价表）内容与投标文件中相应内容不一致的，以开标一览表（报价表）为准；</w:t>
      </w:r>
      <w:r/>
    </w:p>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（二）大写金额和小写金额不一致的，以大写金额为准；</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（三）单价金额小数点或者百分比有明显错位的，以开标一览表的总价为准，并修改单价；</w:t>
      </w:r>
      <w:r/>
    </w:p>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（四）总价金额与按单价汇总金额不一致的，以单价金额计算结果为准。</w:t>
      </w:r>
      <w:r/>
    </w:p>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同时出现两种以上不一致的，按照前款规定的顺序修正。修正后的报价按照第29条第二款的规定经</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确认后产生约束力，</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不确认的，其投标无效。</w:t>
      </w:r>
      <w:r/>
    </w:p>
    <w:p>
      <w:pPr>
        <w:ind w:firstLine="480"/>
        <w:jc w:val="left"/>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33. 评标委员会认为</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的报价明显低于其他通过符合性审查的</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的报价，有可能影响产品质量或者不能诚信履约的，应当要求其在评标现场合理的时间内提供书面说明，必要时提交相关证明材料；</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不能证明其报价合理性的，评标委员会应当将其作为无效投标处理。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 </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存在下列情况之一的，投标无效：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（一）投标文件未按招标文件要求签署、盖章的；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（二）不具备招标文件中规定的资格要求的；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（三）报价超过招标文件中规定的预算金额或者最高限价的；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（四）投标文件含有采购人不能接受的附加条件的；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未在规定时间内解密电子投标文件的；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（六）投标文件未按招标文件规定的内容和要求填写的；没有在投标系统指定位置上传对应文件、材料的；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（七）不同</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投标文件内容存在非正常一致、项目组成员出现同一人、投标文件中错误（ 或异常）一致或雷同、电子文档信息一致或雷同的、投标报价呈规律性差异的；</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（八）法律法规和招标文件规定的其他无效情形。</w:t>
      </w:r>
      <w:r/>
    </w:p>
    <w:p>
      <w:pPr>
        <w:ind w:firstLine="480"/>
        <w:jc w:val="left"/>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36.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37.废标条款。</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出现下列情形之一的，应予废标：</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（一）符合专业条件的</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或者对招标文件作实质响应的</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不足三家的；</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（二）出现影响采购公正的违法、违规行为的；</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的报价均超过了采购预算，采购人不能支付的；</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（四）因重大变故，采购任务取消的。</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五、中标和合同</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38. 确定中标人</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38.1 采购代理机构应当在评标结束后2个工作日内将评标报告送采购人。</w:t>
      </w:r>
      <w:r/>
    </w:p>
    <w:p>
      <w:pPr>
        <w:ind w:firstLine="465"/>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38.2 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39. 在公告中标结果的同时，采购人或者采购代理机构应当向中标人发出中标通知书；对未通过资格审查的</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，应当告知其未通过的原因；采用综合评分法评审的，还应当告知未中标人本人的评审得分与排序。</w:t>
      </w:r>
      <w:r/>
    </w:p>
    <w:p>
      <w:pPr>
        <w:numPr>
          <w:ilvl w:val="0"/>
          <w:numId w:val="2"/>
        </w:num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中标通知书发出后，采购人不得违法改变中标结果，中标人无正当理由不得放弃中标。</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41.签订政府采购合同</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41.1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采购人不得向中标人提出任何不合理的要求作为签订合同的条件。</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41.2中标或者成交</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拒绝与采购人签订合同的，采购人可以按照评审报告推荐的中标或者成交候选人名单排序，确定下一候选人为中标或者成交</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，也可以重新开展政府采购活动。</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41.3 政府采购合同应当包括采购人与中标人的名称和住所、标的、数量、质量、价款或者报酬、履行期限及地点和方式、验收要求、违约责任、解决争议的方法等内</w:t>
      </w:r>
      <w:r>
        <w:rPr>
          <w:rFonts w:hint="eastAsia" w:ascii="仿宋" w:hAnsi="仿宋" w:eastAsia="仿宋" w:cs="仿宋"/>
          <w:color w:val="auto"/>
          <w:highlight w:val="none"/>
        </w:rPr>
        <w:t xml:space="preserve">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 采购人与中标人应当根据合同的约定依法履行合同义务。</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政府采购合同的履行、违约责任和解决争议的方法等适用《中华人民共和国民法典》。</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420"/>
        <w:jc w:val="cente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六、询问和质疑</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24"/>
          <w:highlight w:val="none"/>
        </w:rPr>
        <w:t xml:space="preserve">  43. 询问和质疑</w:t>
      </w:r>
      <w:r/>
    </w:p>
    <w:p>
      <w:pPr>
        <w:ind w:firstLine="480"/>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24"/>
          <w:highlight w:val="none"/>
        </w:rPr>
        <w:t xml:space="preserve">供应商对政府采购活动实现有疑问的，向采购代理机构提出询问；供应商认为采购文件、采购过程和中标、成交结果使自己的权益受到损害的，可以在知道或者应知其权益受到损害之日起七个工作日内，以书面形式向采购代理机构提出质疑。</w:t>
      </w:r>
      <w:r>
        <w:rPr>
          <w:rFonts w:hint="eastAsia" w:ascii="仿宋" w:hAnsi="仿宋" w:eastAsia="仿宋" w:cs="仿宋"/>
          <w:color w:val="auto"/>
          <w:sz w:val="24"/>
          <w:szCs w:val="32"/>
          <w:highlight w:val="none"/>
        </w:rPr>
        <w:t xml:space="preserve">供应商对同一采购程序环节的质疑应在质疑期内一次性提出，</w:t>
      </w:r>
      <w:r>
        <w:rPr>
          <w:rFonts w:hint="eastAsia" w:ascii="仿宋" w:hAnsi="仿宋" w:eastAsia="仿宋" w:cs="仿宋"/>
          <w:color w:val="auto"/>
          <w:sz w:val="24"/>
          <w:highlight w:val="none"/>
        </w:rPr>
        <w:t xml:space="preserve">询问和质疑由采购代理机构依法处理。</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第三章  投标资料表</w:t>
      </w:r>
      <w:r/>
    </w:p>
    <w:p>
      <w:pPr>
        <w:pStyle w:val="901"/>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该资料表的条款项号是与《</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须知》中条款项号对应的，或增加的条款，是对《</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须知》的补充、修改和完善，如果有矛盾的话，应以本资料表为准。</w:t>
      </w:r>
      <w:r/>
    </w:p>
    <w:p>
      <w:pPr>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725"/>
        <w:tblW w:w="89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542"/>
      </w:tblGrid>
      <w:tr>
        <w:trPr>
          <w:jc w:val="center"/>
        </w:trPr>
        <w:tc>
          <w:tcPr>
            <w:tcW w:w="1368" w:type="dxa"/>
            <w:vAlign w:val="top"/>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条款项号</w:t>
            </w:r>
            <w:r/>
          </w:p>
        </w:tc>
        <w:tc>
          <w:tcPr>
            <w:tcW w:w="7542" w:type="dxa"/>
            <w:vAlign w:val="top"/>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内容</w:t>
            </w:r>
            <w:r/>
          </w:p>
        </w:tc>
      </w:tr>
      <w:tr>
        <w:trPr>
          <w:jc w:val="center"/>
        </w:trPr>
        <w:tc>
          <w:tcPr>
            <w:tcW w:w="1368" w:type="dxa"/>
            <w:vAlign w:val="top"/>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42" w:type="dxa"/>
            <w:vAlign w:val="top"/>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一、总则</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w:t>
            </w:r>
            <w:r/>
          </w:p>
        </w:tc>
        <w:tc>
          <w:tcPr>
            <w:tcW w:w="7542" w:type="dxa"/>
            <w:vAlign w:val="top"/>
            <w:textDirection w:val="lrTb"/>
            <w:noWrap w:val="false"/>
          </w:tcPr>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本项目采购人：</w:t>
            </w:r>
            <w:r>
              <w:rPr>
                <w:rFonts w:hint="eastAsia" w:ascii="仿宋" w:hAnsi="仿宋" w:eastAsia="仿宋" w:cs="仿宋"/>
                <w:color w:val="auto"/>
                <w:sz w:val="24"/>
                <w:highlight w:val="none"/>
                <w:lang w:eastAsia="zh-CN"/>
              </w:rPr>
              <w:t xml:space="preserve">睢宁县高作镇人民政府</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w:t>
            </w:r>
            <w:r/>
          </w:p>
        </w:tc>
        <w:tc>
          <w:tcPr>
            <w:tcW w:w="7542" w:type="dxa"/>
            <w:vAlign w:val="top"/>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本次采购采用的政府采购方式：公开招标。</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7542" w:type="dxa"/>
            <w:vAlign w:val="top"/>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采购人确定的采购项目属性：服务 </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7542" w:type="dxa"/>
            <w:vAlign w:val="top"/>
            <w:textDirection w:val="lrTb"/>
            <w:noWrap w:val="false"/>
          </w:tcPr>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本项目采购代理机构：</w:t>
            </w:r>
            <w:r>
              <w:rPr>
                <w:rFonts w:hint="eastAsia" w:ascii="仿宋" w:hAnsi="仿宋" w:eastAsia="仿宋" w:cs="仿宋"/>
                <w:color w:val="auto"/>
                <w:sz w:val="24"/>
                <w:highlight w:val="none"/>
                <w:lang w:eastAsia="zh-CN"/>
              </w:rPr>
              <w:t xml:space="preserve">徐州三尚工程项目管理有限公司</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42" w:type="dxa"/>
            <w:vAlign w:val="top"/>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二、招标</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9.1</w:t>
            </w:r>
            <w:r/>
          </w:p>
        </w:tc>
        <w:tc>
          <w:tcPr>
            <w:tcW w:w="7542" w:type="dxa"/>
            <w:vAlign w:val="top"/>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采购项目预算金额：</w:t>
            </w:r>
            <w:r>
              <w:rPr>
                <w:rFonts w:hint="eastAsia" w:ascii="仿宋" w:hAnsi="仿宋" w:eastAsia="仿宋" w:cs="仿宋"/>
                <w:color w:val="auto"/>
                <w:sz w:val="24"/>
                <w:highlight w:val="none"/>
                <w:lang w:val="en-US" w:eastAsia="zh-CN"/>
              </w:rPr>
              <w:t xml:space="preserve">296万元</w:t>
            </w:r>
            <w:r>
              <w:rPr>
                <w:rFonts w:hint="eastAsia" w:ascii="仿宋" w:hAnsi="仿宋" w:eastAsia="仿宋" w:cs="仿宋"/>
                <w:b/>
                <w:bCs/>
                <w:color w:val="auto"/>
                <w:sz w:val="24"/>
                <w:highlight w:val="none"/>
                <w:lang w:val="en-US" w:eastAsia="zh-CN"/>
              </w:rPr>
              <w:t xml:space="preserve">。</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w:t>
            </w:r>
            <w:r/>
          </w:p>
        </w:tc>
        <w:tc>
          <w:tcPr>
            <w:tcW w:w="7542" w:type="dxa"/>
            <w:vAlign w:val="top"/>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本项目对样品的要求：无。</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11.2</w:t>
            </w:r>
            <w:r/>
          </w:p>
        </w:tc>
        <w:tc>
          <w:tcPr>
            <w:tcW w:w="7542" w:type="dxa"/>
            <w:vAlign w:val="top"/>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投标有效期：90天。</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12.1</w:t>
            </w:r>
            <w:r/>
          </w:p>
        </w:tc>
        <w:tc>
          <w:tcPr>
            <w:tcW w:w="7542" w:type="dxa"/>
            <w:vAlign w:val="top"/>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招标文件售价：免费。</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13.1</w:t>
            </w:r>
            <w:r/>
          </w:p>
        </w:tc>
        <w:tc>
          <w:tcPr>
            <w:tcW w:w="7542" w:type="dxa"/>
            <w:vAlign w:val="top"/>
            <w:textDirection w:val="lrTb"/>
            <w:noWrap w:val="false"/>
          </w:tcPr>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采购代理机构代理费用的收取标准和方式：招标代理服务费由中标人支付，标准见《招标代理服务收费标准》（见附件）。</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14.2</w:t>
            </w:r>
            <w:r/>
          </w:p>
        </w:tc>
        <w:tc>
          <w:tcPr>
            <w:tcW w:w="7542" w:type="dxa"/>
            <w:vAlign w:val="top"/>
            <w:textDirection w:val="lrTb"/>
            <w:noWrap w:val="false"/>
          </w:tcPr>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现场考察：不组织现场考察。</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14.3</w:t>
            </w:r>
            <w:r/>
          </w:p>
        </w:tc>
        <w:tc>
          <w:tcPr>
            <w:tcW w:w="7542" w:type="dxa"/>
            <w:vAlign w:val="top"/>
            <w:textDirection w:val="lrTb"/>
            <w:noWrap w:val="false"/>
          </w:tcPr>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开标前答疑会：不召开开标前答疑会。</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15.1</w:t>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15.2</w:t>
            </w:r>
            <w:r/>
          </w:p>
        </w:tc>
        <w:tc>
          <w:tcPr>
            <w:tcW w:w="7542" w:type="dxa"/>
            <w:vAlign w:val="top"/>
            <w:textDirection w:val="lrTb"/>
            <w:noWrap w:val="false"/>
          </w:tcPr>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。发布本项目的“更正（澄清）公告”后采购代理机构已尽通知义务。敬请各潜在</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关注本项目的“更正（澄清）公告”，并通过“苏采云”系统重新下载更正（澄清）后的采购文件（后缀名为“.kedt”），离线编制投标文件，否则，将自行承担相应的风险。</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w:t>
            </w:r>
            <w:r/>
          </w:p>
        </w:tc>
        <w:tc>
          <w:tcPr>
            <w:tcW w:w="7542" w:type="dxa"/>
            <w:vAlign w:val="top"/>
            <w:textDirection w:val="lrTb"/>
            <w:noWrap w:val="false"/>
          </w:tcPr>
          <w:p>
            <w:pPr>
              <w:jc w:val="left"/>
              <w:spacing w:line="360" w:lineRule="auto"/>
              <w:widowControl/>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终止招标的，采购代理机构应当及时在原公告发布媒体上发布终止公告，以“终止公告”的形式通知已经获取招标文件的潜在</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w:t>
            </w:r>
            <w:r>
              <w:rPr>
                <w:rFonts w:hint="eastAsia" w:ascii="仿宋" w:hAnsi="仿宋" w:eastAsia="仿宋" w:cs="仿宋"/>
                <w:bCs/>
                <w:color w:val="auto"/>
                <w:sz w:val="24"/>
                <w:highlight w:val="none"/>
              </w:rPr>
              <w:t xml:space="preserve">发布本项目的“</w:t>
            </w:r>
            <w:r>
              <w:rPr>
                <w:rFonts w:hint="eastAsia" w:ascii="仿宋" w:hAnsi="仿宋" w:eastAsia="仿宋" w:cs="仿宋"/>
                <w:color w:val="auto"/>
                <w:sz w:val="24"/>
                <w:highlight w:val="none"/>
              </w:rPr>
              <w:t xml:space="preserve">终止公告</w:t>
            </w:r>
            <w:r>
              <w:rPr>
                <w:rFonts w:hint="eastAsia" w:ascii="仿宋" w:hAnsi="仿宋" w:eastAsia="仿宋" w:cs="仿宋"/>
                <w:bCs/>
                <w:color w:val="auto"/>
                <w:sz w:val="24"/>
                <w:highlight w:val="none"/>
              </w:rPr>
              <w:t xml:space="preserve">”后采购代理机构已尽通知义务。敬请各潜在</w:t>
            </w:r>
            <w:r>
              <w:rPr>
                <w:rFonts w:hint="eastAsia" w:ascii="仿宋" w:hAnsi="仿宋" w:eastAsia="仿宋" w:cs="仿宋"/>
                <w:bCs/>
                <w:color w:val="auto"/>
                <w:sz w:val="24"/>
                <w:highlight w:val="none"/>
                <w:lang w:eastAsia="zh-CN"/>
              </w:rPr>
              <w:t xml:space="preserve">供应商</w:t>
            </w:r>
            <w:r>
              <w:rPr>
                <w:rFonts w:hint="eastAsia" w:ascii="仿宋" w:hAnsi="仿宋" w:eastAsia="仿宋" w:cs="仿宋"/>
                <w:bCs/>
                <w:color w:val="auto"/>
                <w:sz w:val="24"/>
                <w:highlight w:val="none"/>
              </w:rPr>
              <w:t xml:space="preserve">关注本项目的“</w:t>
            </w:r>
            <w:r>
              <w:rPr>
                <w:rFonts w:hint="eastAsia" w:ascii="仿宋" w:hAnsi="仿宋" w:eastAsia="仿宋" w:cs="仿宋"/>
                <w:color w:val="auto"/>
                <w:sz w:val="24"/>
                <w:highlight w:val="none"/>
              </w:rPr>
              <w:t xml:space="preserve">终止公告</w:t>
            </w:r>
            <w:r>
              <w:rPr>
                <w:rFonts w:hint="eastAsia" w:ascii="仿宋" w:hAnsi="仿宋" w:eastAsia="仿宋" w:cs="仿宋"/>
                <w:bCs/>
                <w:color w:val="auto"/>
                <w:sz w:val="24"/>
                <w:highlight w:val="none"/>
              </w:rPr>
              <w:t xml:space="preserve">”，否则，将自行承担相应的风险。</w:t>
            </w:r>
            <w:r/>
          </w:p>
        </w:tc>
      </w:tr>
      <w:tr>
        <w:trPr>
          <w:jc w:val="center"/>
          <w:trHeight w:val="283"/>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w:t>
            </w:r>
            <w:r/>
          </w:p>
        </w:tc>
        <w:tc>
          <w:tcPr>
            <w:tcW w:w="7542" w:type="dxa"/>
            <w:vAlign w:val="top"/>
            <w:textDirection w:val="lrTb"/>
            <w:noWrap w:val="false"/>
          </w:tcPr>
          <w:p>
            <w:pPr>
              <w:jc w:val="left"/>
              <w:spacing w:line="360" w:lineRule="auto"/>
              <w:rPr>
                <w:rFonts w:hint="eastAsia" w:ascii="仿宋" w:hAnsi="仿宋" w:eastAsia="仿宋" w:cs="仿宋"/>
                <w:bCs/>
                <w:color w:val="auto"/>
                <w:sz w:val="24"/>
                <w:highlight w:val="none"/>
              </w:rPr>
            </w:pP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信用信息查询渠道及截止时点、信用信息查询记录和证据留存的具体方式、信用信息的使用规则等：</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一、</w:t>
            </w:r>
            <w:r>
              <w:rPr>
                <w:rFonts w:hint="eastAsia" w:ascii="仿宋" w:hAnsi="仿宋" w:eastAsia="仿宋" w:cs="仿宋"/>
                <w:color w:val="auto"/>
                <w:sz w:val="24"/>
                <w:highlight w:val="none"/>
              </w:rPr>
              <w:t xml:space="preserve">由采购人查询信用信息。</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二、查询渠道：</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1、“信用中国”网（www.creditchina.gov.cn）；</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2、“中国政府采购”网（www.ccgp.gov.cn）；</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3、“信用江苏”网（http://credit.jiangsu.gov.cn）；</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4、“信用中国（江苏徐州）”网（www.xuzhoucredit.gov.cn）；</w:t>
            </w:r>
            <w:r/>
          </w:p>
          <w:p>
            <w:pPr>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三、截止时点（查询环节）：资格审查结束前。</w:t>
            </w:r>
            <w:r/>
          </w:p>
          <w:p>
            <w:pPr>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四、信用信息查询记录和证据留存的具体方式：</w:t>
            </w:r>
            <w:r/>
          </w:p>
          <w:p>
            <w:pPr>
              <w:jc w:val="left"/>
              <w:spacing w:line="360" w:lineRule="auto"/>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网页截屏打印，与其他采购文件一并保存。</w:t>
            </w:r>
            <w:r/>
          </w:p>
          <w:p>
            <w:pPr>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五、信用信息的使用规则：</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68" w:type="dxa"/>
            <w:vAlign w:val="top"/>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42" w:type="dxa"/>
            <w:vAlign w:val="top"/>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三、投标</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18.3</w:t>
            </w:r>
            <w:r/>
          </w:p>
        </w:tc>
        <w:tc>
          <w:tcPr>
            <w:tcW w:w="7542" w:type="dxa"/>
            <w:vAlign w:val="top"/>
            <w:textDirection w:val="lrTb"/>
            <w:noWrap w:val="false"/>
          </w:tcPr>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供应商</w:t>
            </w:r>
            <w:r>
              <w:rPr>
                <w:rFonts w:hint="eastAsia" w:ascii="仿宋" w:hAnsi="仿宋" w:eastAsia="仿宋" w:cs="仿宋"/>
                <w:bCs/>
                <w:color w:val="auto"/>
                <w:sz w:val="24"/>
                <w:highlight w:val="none"/>
              </w:rPr>
              <w:t xml:space="preserve">的资格要求：</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bCs/>
                <w:color w:val="auto"/>
                <w:sz w:val="24"/>
                <w:highlight w:val="none"/>
              </w:rPr>
              <w:t xml:space="preserve">符合</w:t>
            </w:r>
            <w:r>
              <w:rPr>
                <w:rFonts w:hint="eastAsia" w:ascii="仿宋" w:hAnsi="仿宋" w:eastAsia="仿宋" w:cs="仿宋"/>
                <w:color w:val="auto"/>
                <w:sz w:val="24"/>
                <w:highlight w:val="none"/>
              </w:rPr>
              <w:t xml:space="preserve">《中华人民共和国政府采购法》第二十二条规定；</w:t>
            </w:r>
            <w:r/>
          </w:p>
          <w:p>
            <w:pPr>
              <w:spacing w:line="360" w:lineRule="auto"/>
              <w:rPr>
                <w:rFonts w:hint="eastAsia" w:ascii="仿宋" w:hAnsi="仿宋" w:eastAsia="仿宋" w:cs="仿宋"/>
                <w:bCs/>
                <w:color w:val="auto"/>
                <w:sz w:val="24"/>
                <w:highlight w:val="none"/>
                <w:lang w:eastAsia="zh-CN"/>
              </w:rPr>
            </w:pPr>
            <w:r>
              <w:rPr>
                <w:rFonts w:hint="eastAsia" w:ascii="仿宋" w:hAnsi="仿宋" w:eastAsia="仿宋" w:cs="仿宋"/>
                <w:color w:val="auto"/>
                <w:sz w:val="24"/>
                <w:highlight w:val="none"/>
              </w:rPr>
              <w:t xml:space="preserve">2、落实政府采购政策需满足的资格要求：</w:t>
            </w:r>
            <w:r>
              <w:rPr>
                <w:rFonts w:hint="eastAsia" w:ascii="仿宋" w:hAnsi="仿宋" w:eastAsia="仿宋" w:cs="仿宋"/>
                <w:color w:val="auto"/>
                <w:sz w:val="24"/>
                <w:highlight w:val="none"/>
                <w:lang w:val="en-US" w:eastAsia="zh-CN"/>
              </w:rPr>
              <w:t xml:space="preserve">无</w:t>
            </w:r>
            <w:r>
              <w:rPr>
                <w:rFonts w:hint="eastAsia" w:ascii="仿宋" w:hAnsi="仿宋" w:eastAsia="仿宋" w:cs="仿宋"/>
                <w:b w:val="0"/>
                <w:bCs w:val="0"/>
                <w:color w:val="auto"/>
                <w:sz w:val="24"/>
                <w:szCs w:val="24"/>
                <w:highlight w:val="none"/>
                <w:lang w:eastAsia="zh-CN"/>
              </w:rPr>
              <w:t xml:space="preserve">；</w:t>
            </w:r>
            <w:r/>
          </w:p>
          <w:p>
            <w:pPr>
              <w:jc w:val="left"/>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3、本项目的特定资格要求：</w:t>
            </w:r>
            <w:r>
              <w:rPr>
                <w:rFonts w:hint="eastAsia" w:ascii="仿宋" w:hAnsi="仿宋" w:eastAsia="仿宋" w:cs="仿宋"/>
                <w:color w:val="auto"/>
                <w:sz w:val="24"/>
                <w:highlight w:val="none"/>
                <w:lang w:val="en-US" w:eastAsia="zh-CN"/>
              </w:rPr>
              <w:t xml:space="preserve">无。</w:t>
            </w:r>
            <w:r/>
          </w:p>
          <w:p>
            <w:pPr>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说明：</w:t>
            </w:r>
            <w:r/>
          </w:p>
          <w:p>
            <w:pPr>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1、本项目不接受联合体参与投标。</w:t>
            </w:r>
            <w:r/>
          </w:p>
          <w:p>
            <w:pPr>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2、单位负责人为同一人或者存在直接控股、管理关系的不同供应商，不得参加同一合同项下的政府采购活动。</w:t>
            </w:r>
            <w:r/>
          </w:p>
          <w:p>
            <w:pPr>
              <w:jc w:val="left"/>
              <w:spacing w:line="360" w:lineRule="auto"/>
              <w:rPr>
                <w:rFonts w:hint="eastAsia" w:ascii="仿宋" w:hAnsi="仿宋" w:eastAsia="仿宋" w:cs="仿宋"/>
                <w:color w:val="auto"/>
                <w:highlight w:val="none"/>
              </w:rPr>
            </w:pPr>
            <w:r>
              <w:rPr>
                <w:rFonts w:hint="eastAsia" w:ascii="仿宋" w:hAnsi="仿宋" w:eastAsia="仿宋" w:cs="仿宋"/>
                <w:bCs/>
                <w:color w:val="auto"/>
                <w:sz w:val="24"/>
                <w:highlight w:val="none"/>
              </w:rPr>
              <w:t xml:space="preserve">3、为本采购项目提供整体设计、规范编制或者项目管理、监理、检测等服务的</w:t>
            </w:r>
            <w:r>
              <w:rPr>
                <w:rFonts w:hint="eastAsia" w:ascii="仿宋" w:hAnsi="仿宋" w:eastAsia="仿宋" w:cs="仿宋"/>
                <w:bCs/>
                <w:color w:val="auto"/>
                <w:sz w:val="24"/>
                <w:highlight w:val="none"/>
                <w:lang w:eastAsia="zh-CN"/>
              </w:rPr>
              <w:t xml:space="preserve">供应商</w:t>
            </w:r>
            <w:r>
              <w:rPr>
                <w:rFonts w:hint="eastAsia" w:ascii="仿宋" w:hAnsi="仿宋" w:eastAsia="仿宋" w:cs="仿宋"/>
                <w:bCs/>
                <w:color w:val="auto"/>
                <w:sz w:val="24"/>
                <w:highlight w:val="none"/>
              </w:rPr>
              <w:t xml:space="preserve">，不得再参加本采购项目的采购活动。</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19.1</w:t>
            </w:r>
            <w:r/>
          </w:p>
        </w:tc>
        <w:tc>
          <w:tcPr>
            <w:tcW w:w="7542" w:type="dxa"/>
            <w:vAlign w:val="top"/>
            <w:textDirection w:val="lrTb"/>
            <w:noWrap w:val="false"/>
          </w:tcPr>
          <w:p>
            <w:pPr>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供应商</w:t>
            </w:r>
            <w:r>
              <w:rPr>
                <w:rFonts w:hint="eastAsia" w:ascii="仿宋" w:hAnsi="仿宋" w:eastAsia="仿宋" w:cs="仿宋"/>
                <w:bCs/>
                <w:color w:val="auto"/>
                <w:sz w:val="24"/>
                <w:highlight w:val="none"/>
              </w:rPr>
              <w:t xml:space="preserve">须用政府采购客户端工具导入“苏采云”系统下载的招标文件后，离线编制投标文件。招标文件、供应商操作手册及政府采购客户端工具可通过“苏采云”系统（网址：</w:t>
            </w:r>
            <w:r>
              <w:rPr>
                <w:rFonts w:hint="eastAsia" w:ascii="仿宋" w:hAnsi="仿宋" w:eastAsia="仿宋" w:cs="仿宋"/>
                <w:bCs/>
                <w:color w:val="auto"/>
                <w:sz w:val="24"/>
                <w:highlight w:val="none"/>
              </w:rPr>
              <w:fldChar w:fldCharType="begin"/>
            </w:r>
            <w:r>
              <w:rPr>
                <w:rFonts w:hint="eastAsia" w:ascii="仿宋" w:hAnsi="仿宋" w:eastAsia="仿宋" w:cs="仿宋"/>
                <w:bCs/>
                <w:color w:val="auto"/>
                <w:sz w:val="24"/>
                <w:highlight w:val="none"/>
              </w:rPr>
              <w:instrText xml:space="preserve">HYPERLINK "http://jszfcg.jsczt.cn/"</w:instrText>
            </w:r>
            <w:r>
              <w:rPr>
                <w:rFonts w:hint="eastAsia" w:ascii="仿宋" w:hAnsi="仿宋" w:eastAsia="仿宋" w:cs="仿宋"/>
                <w:bCs/>
                <w:color w:val="auto"/>
                <w:sz w:val="24"/>
                <w:highlight w:val="none"/>
              </w:rPr>
              <w:fldChar w:fldCharType="separate"/>
            </w:r>
            <w:r>
              <w:rPr>
                <w:rFonts w:hint="eastAsia" w:ascii="仿宋" w:hAnsi="仿宋" w:eastAsia="仿宋" w:cs="仿宋"/>
                <w:bCs/>
                <w:color w:val="auto"/>
                <w:sz w:val="24"/>
                <w:highlight w:val="none"/>
              </w:rPr>
              <w:t xml:space="preserve">http://jszfcg.jsc</w:t>
            </w:r>
            <w:bookmarkStart w:id="0" w:name="_Hlt91509263"/>
            <w:r/>
            <w:bookmarkStart w:id="1" w:name="_Hlt91509264"/>
            <w:r>
              <w:rPr>
                <w:rFonts w:hint="eastAsia" w:ascii="仿宋" w:hAnsi="仿宋" w:eastAsia="仿宋" w:cs="仿宋"/>
                <w:bCs/>
                <w:color w:val="auto"/>
                <w:sz w:val="24"/>
                <w:highlight w:val="none"/>
              </w:rPr>
              <w:t xml:space="preserve">z</w:t>
            </w:r>
            <w:bookmarkEnd w:id="0"/>
            <w:r/>
            <w:bookmarkEnd w:id="1"/>
            <w:r>
              <w:rPr>
                <w:rFonts w:hint="eastAsia" w:ascii="仿宋" w:hAnsi="仿宋" w:eastAsia="仿宋" w:cs="仿宋"/>
                <w:bCs/>
                <w:color w:val="auto"/>
                <w:sz w:val="24"/>
                <w:highlight w:val="none"/>
              </w:rPr>
              <w:t xml:space="preserve">t.cn/</w:t>
            </w:r>
            <w:r>
              <w:rPr>
                <w:rFonts w:hint="eastAsia" w:ascii="仿宋" w:hAnsi="仿宋" w:eastAsia="仿宋" w:cs="仿宋"/>
                <w:bCs/>
                <w:color w:val="auto"/>
                <w:sz w:val="24"/>
                <w:highlight w:val="none"/>
              </w:rPr>
              <w:fldChar w:fldCharType="end"/>
            </w:r>
            <w:r>
              <w:rPr>
                <w:rFonts w:hint="eastAsia" w:ascii="仿宋" w:hAnsi="仿宋" w:eastAsia="仿宋" w:cs="仿宋"/>
                <w:bCs/>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特别说明：政府采购客户端工具需要导出加密的投标文件（后缀名为zip）。投标文件不得超过150M！（以系统为准）</w:t>
            </w:r>
            <w:r/>
          </w:p>
        </w:tc>
      </w:tr>
      <w:tr>
        <w:trPr>
          <w:jc w:val="center"/>
          <w:trHeight w:val="90"/>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19.2</w:t>
            </w:r>
            <w:r/>
          </w:p>
        </w:tc>
        <w:tc>
          <w:tcPr>
            <w:tcW w:w="7542" w:type="dxa"/>
            <w:vAlign w:val="center"/>
            <w:textDirection w:val="lrTb"/>
            <w:noWrap w:val="false"/>
          </w:tcPr>
          <w:p>
            <w:pPr>
              <w:ind w:firstLine="0"/>
              <w:jc w:val="both"/>
              <w:spacing w:line="400" w:lineRule="exact"/>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投标文件编制要求：</w:t>
            </w:r>
            <w:r/>
          </w:p>
          <w:p>
            <w:pPr>
              <w:ind w:firstLine="0"/>
              <w:jc w:val="both"/>
              <w:spacing w:line="40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请按照以下要求（包括但不限于以下要求）制作：</w:t>
            </w:r>
            <w:r/>
          </w:p>
          <w:p>
            <w:pPr>
              <w:ind w:firstLine="0"/>
              <w:jc w:val="both"/>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一、基本目录</w:t>
            </w:r>
            <w:r/>
          </w:p>
          <w:p>
            <w:pPr>
              <w:ind w:left="0" w:firstLine="0"/>
              <w:jc w:val="both"/>
              <w:spacing w:line="400" w:lineRule="atLeas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1、《开标一览表》（加盖电子签章，政府采购客户端工具输入报价自动生成）；</w:t>
            </w:r>
            <w:r/>
          </w:p>
          <w:p>
            <w:pPr>
              <w:ind w:left="0" w:firstLine="0"/>
              <w:jc w:val="both"/>
              <w:spacing w:line="400" w:lineRule="atLeas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2、投标人认为需要提供的其他资料（如有）</w:t>
            </w:r>
            <w:r/>
          </w:p>
          <w:p>
            <w:pPr>
              <w:ind w:firstLine="0"/>
              <w:jc w:val="both"/>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二、资格条件（必须提供，否则投标无效）</w:t>
            </w:r>
            <w:r/>
          </w:p>
          <w:p>
            <w:pPr>
              <w:ind w:firstLine="0"/>
              <w:spacing w:line="360" w:lineRule="auto"/>
              <w:widowControl/>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1.投标人合法有效的法人或者其他组织的营业执照等证明文件，自然人的身份证明。以上证明文件提供扫描件。</w:t>
            </w:r>
            <w:r/>
          </w:p>
          <w:p>
            <w:pPr>
              <w:ind w:firstLine="0"/>
              <w:spacing w:line="360" w:lineRule="auto"/>
              <w:widowControl/>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2.财务状况报告，至少提供：（1）投标人的本项目开标时间前6个月内的资产负债表的扫描件1份；（2）投标人的本项目开标时间前6个月内任何1月（不含开标当月）利润表月报表的扫描件1份。</w:t>
            </w:r>
            <w:r/>
          </w:p>
          <w:p>
            <w:pPr>
              <w:ind w:firstLine="0"/>
              <w:spacing w:line="360" w:lineRule="auto"/>
              <w:widowControl/>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3.投标人依法缴纳税收和社会保障资金的记录：（1）本项目开标时间前6个月内任何1月的依法缴纳税收的相关材料的扫描件；（2）本项目开标时间前6个月内任何1月的依法缴纳社会保障资金的相关材料的扫描件。</w:t>
            </w:r>
            <w:r/>
          </w:p>
          <w:p>
            <w:pPr>
              <w:ind w:firstLine="0"/>
              <w:spacing w:line="360" w:lineRule="auto"/>
              <w:widowControl/>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4.具备履行合同所必需的设备和专业技术能力的证明材料，即投标文件中提供《具备履行合同所必需的设备和专业技术能力的书面声明》（加盖电子签章，格式见招标文件第七章《投标文件相关格式》）。</w:t>
            </w:r>
            <w:r/>
          </w:p>
          <w:p>
            <w:pPr>
              <w:ind w:firstLine="0"/>
              <w:spacing w:line="360" w:lineRule="auto"/>
              <w:widowControl/>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5.投标人参加政府采购活动前3年内在经营活动中没有重大违法记录的书面声明（加盖电子签章，格式见招标文件第七章《投标文件相关格式》）。</w:t>
            </w:r>
            <w:r/>
          </w:p>
          <w:p>
            <w:pPr>
              <w:ind w:firstLine="0"/>
              <w:spacing w:line="360" w:lineRule="auto"/>
              <w:widowControl/>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firstLine="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法律、行政法规规定的其他条件</w:t>
            </w:r>
            <w:r>
              <w:rPr>
                <w:rFonts w:hint="eastAsia" w:ascii="仿宋" w:hAnsi="仿宋" w:eastAsia="仿宋" w:cs="仿宋"/>
                <w:color w:val="auto"/>
                <w:sz w:val="24"/>
                <w:highlight w:val="none"/>
                <w:lang w:eastAsia="zh-CN"/>
              </w:rPr>
              <w:t xml:space="preserve">；</w:t>
            </w:r>
            <w:r/>
          </w:p>
          <w:p>
            <w:pPr>
              <w:ind w:firstLine="0"/>
              <w:spacing w:line="360" w:lineRule="auto"/>
              <w:widowControl/>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、本项目的特定资格要求：</w:t>
            </w:r>
            <w:r>
              <w:rPr>
                <w:rFonts w:hint="eastAsia" w:ascii="仿宋" w:hAnsi="仿宋" w:eastAsia="仿宋" w:cs="仿宋"/>
                <w:color w:val="auto"/>
                <w:sz w:val="24"/>
                <w:szCs w:val="24"/>
                <w:highlight w:val="none"/>
                <w:lang w:val="en-US" w:eastAsia="zh-CN"/>
              </w:rPr>
              <w:t xml:space="preserve">无。</w:t>
            </w:r>
            <w:r/>
          </w:p>
          <w:p>
            <w:pPr>
              <w:ind w:firstLine="0"/>
              <w:jc w:val="both"/>
              <w:spacing w:line="400" w:lineRule="exact"/>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三、符合条件（必须提供，否则投标无效）</w:t>
            </w:r>
            <w:r/>
          </w:p>
          <w:p>
            <w:pPr>
              <w:ind w:firstLine="0"/>
              <w:jc w:val="both"/>
              <w:spacing w:line="40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（一）报价</w:t>
            </w:r>
            <w:r/>
          </w:p>
          <w:p>
            <w:pPr>
              <w:ind w:firstLine="0"/>
              <w:jc w:val="both"/>
              <w:spacing w:line="40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1.《开标一览表》。要求加盖电子签章，格式见本文件第七章《投标文件相关格式》</w:t>
            </w:r>
            <w:r>
              <w:rPr>
                <w:rFonts w:hint="eastAsia" w:ascii="仿宋" w:hAnsi="仿宋" w:eastAsia="仿宋" w:cs="仿宋"/>
                <w:b/>
                <w:bCs w:val="0"/>
                <w:color w:val="auto"/>
                <w:sz w:val="24"/>
                <w:szCs w:val="24"/>
                <w:highlight w:val="none"/>
                <w:lang w:val="en-US" w:eastAsia="zh-CN" w:bidi="ar-SA"/>
              </w:rPr>
              <w:t xml:space="preserve">，</w:t>
            </w:r>
            <w:r>
              <w:rPr>
                <w:rFonts w:hint="eastAsia" w:ascii="仿宋" w:hAnsi="仿宋" w:eastAsia="仿宋" w:cs="仿宋"/>
                <w:b/>
                <w:bCs w:val="0"/>
                <w:color w:val="auto"/>
                <w:sz w:val="24"/>
                <w:highlight w:val="none"/>
              </w:rPr>
              <w:t xml:space="preserve">招标文件格式与客户端格式不同，以《招标文件》附件为准</w:t>
            </w:r>
            <w:r>
              <w:rPr>
                <w:rFonts w:hint="eastAsia" w:ascii="仿宋" w:hAnsi="仿宋" w:eastAsia="仿宋" w:cs="仿宋"/>
                <w:bCs/>
                <w:color w:val="auto"/>
                <w:sz w:val="24"/>
                <w:szCs w:val="24"/>
                <w:highlight w:val="none"/>
                <w:lang w:val="en-US" w:eastAsia="zh-CN" w:bidi="ar-SA"/>
              </w:rPr>
              <w:t xml:space="preserve">。</w:t>
            </w:r>
            <w:r/>
          </w:p>
          <w:p>
            <w:pPr>
              <w:ind w:firstLine="0"/>
              <w:jc w:val="both"/>
              <w:spacing w:line="40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2.《分项价格表》（加盖电子签章，格式见招标文件第七章《投标文件相关格式》。）</w:t>
            </w:r>
            <w:r/>
          </w:p>
          <w:p>
            <w:pPr>
              <w:ind w:firstLine="0"/>
              <w:jc w:val="both"/>
              <w:spacing w:line="40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（二）商务资信</w:t>
            </w:r>
            <w:r/>
          </w:p>
          <w:p>
            <w:pPr>
              <w:ind w:firstLine="0"/>
              <w:jc w:val="both"/>
              <w:spacing w:line="40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1.《投标函》（加盖电子签章，格式见招标文件第七章《投标文件相关格式》。）</w:t>
            </w:r>
            <w:r/>
          </w:p>
          <w:p>
            <w:pPr>
              <w:ind w:firstLine="0"/>
              <w:jc w:val="both"/>
              <w:spacing w:line="312"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2.《法定代表人授权书》（加盖电子签章，格式见招标文件第七章《投标文件相关格式》。如为法定代表人本人参加投标活动，则提供《法定代表人身份证明书》。）</w:t>
            </w:r>
            <w:r/>
          </w:p>
          <w:p>
            <w:pPr>
              <w:ind w:firstLine="0"/>
              <w:jc w:val="both"/>
              <w:spacing w:line="40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（三）技术响应</w:t>
            </w:r>
            <w:r/>
          </w:p>
          <w:p>
            <w:pPr>
              <w:ind w:firstLine="0"/>
              <w:jc w:val="both"/>
              <w:spacing w:line="40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1.《偏离表》（加盖电子签章，格式见招标文件第七章《投标文件相关格式》。）</w:t>
            </w:r>
            <w:r/>
          </w:p>
          <w:p>
            <w:pPr>
              <w:ind w:firstLine="0"/>
              <w:jc w:val="both"/>
              <w:spacing w:line="40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2.投标人对“作业人员配备要求 ”的承诺（加盖电子签章，格式见招标文件第七章《投标文件相关格式》。）</w:t>
            </w:r>
            <w:r/>
          </w:p>
          <w:p>
            <w:pPr>
              <w:ind w:left="0" w:firstLine="0"/>
              <w:jc w:val="left"/>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3.投标人对“设备、车辆配备要求 ”的承诺（加盖电子签章，格式见招标文件第七章《投标文件相关格式》。）</w:t>
            </w:r>
            <w:r/>
          </w:p>
          <w:p>
            <w:pPr>
              <w:ind w:left="0" w:firstLine="0"/>
              <w:jc w:val="left"/>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四、综合评审评分项</w:t>
            </w:r>
            <w:r/>
          </w:p>
          <w:p>
            <w:pPr>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1、技术部分</w:t>
            </w:r>
            <w:r/>
          </w:p>
          <w:p>
            <w:pPr>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(1)《项目实施方案》。（要求见招标文件第六章《采购需求》及第四章《评标标准》）；</w:t>
            </w:r>
            <w:r/>
          </w:p>
          <w:p>
            <w:pPr>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(2)《作业方案及工作流程》。（要求见招标文件第六章《采购需求》及第四章《评标标准》）；</w:t>
            </w:r>
            <w:r/>
          </w:p>
          <w:p>
            <w:pPr>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(3)《服务方案》。（要求见招标文件第六章《采购需求》及第四章《评标标准》）；</w:t>
            </w:r>
            <w:r/>
          </w:p>
          <w:p>
            <w:pPr>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(4)《安全措施方案》（要求见招标文件第六章《采购需求》及第四章《评标标准》）；</w:t>
            </w:r>
            <w:r/>
          </w:p>
          <w:p>
            <w:pPr>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(5)《应急预案及突发事件处理》（要求见招标文件第六章《采购需求》及第四章《评标标准》）；</w:t>
            </w:r>
            <w:r/>
          </w:p>
          <w:p>
            <w:pPr>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(6)《培训及奖惩措施》（要求见招标文件第六章《采购需求》及第四章《评标标准》）；</w:t>
            </w:r>
            <w:r/>
          </w:p>
          <w:p>
            <w:pPr>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(7)《内部管理制度》（要求见招标文件第六章《采购需求》及第四章《评标标准》）。</w:t>
            </w:r>
            <w:r/>
          </w:p>
          <w:p>
            <w:pPr>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2、商务部分</w:t>
            </w:r>
            <w:r/>
          </w:p>
          <w:p>
            <w:pPr>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(1)《供应商业绩》。（要求见招标文件第六章《采购需求》及第四章《评标标准》）；</w:t>
            </w:r>
            <w:r/>
          </w:p>
          <w:p>
            <w:pPr>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(2)《供应商评价》。（要求见招标文件第六章《采购需求》及第四章《评标标准》）。</w:t>
            </w:r>
            <w:r/>
          </w:p>
          <w:p>
            <w:pPr>
              <w:ind w:firstLine="0"/>
              <w:jc w:val="both"/>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五、价格折扣文件格式（如有）</w:t>
            </w:r>
            <w:r/>
          </w:p>
          <w:p>
            <w:pPr>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（一）企业报价折扣证明：</w:t>
            </w:r>
            <w:r/>
          </w:p>
          <w:p>
            <w:pPr>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1.投标人提供的服务全部由符合政策要求的中小企业承接的，提供《中小企业声明函》（加盖电子签章，格式见招标文件第七章《投标文件相关格式》）。</w:t>
            </w:r>
            <w:r/>
          </w:p>
          <w:p>
            <w:pPr>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注：具体以《政府采购促进中小企业发展管理办法》（财库[2020]46号）和《关于印发中小企业划型标准规定的通知》（工信部联企业[2011]300号）的规定为准。</w:t>
            </w:r>
            <w:r/>
          </w:p>
          <w:p>
            <w:pPr>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2.投标人为监狱企业的，提供省级以上监狱管理局、戒毒管理局（含新疆生产建设兵团）出具的属于监狱企业的证明文件原件的扫描件。</w:t>
            </w:r>
            <w:r/>
          </w:p>
          <w:p>
            <w:pPr>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注：具体以《财政部 司法部关于政府采购支持监狱企业发展有关问题的通知》（财库〔2014〕68号）的规定为准。</w:t>
            </w:r>
            <w:r/>
          </w:p>
          <w:p>
            <w:pPr>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3.投标人为享受政府采购支持政策的残疾人福利性单位的，提供《残疾人福利性单位声明函》（加盖电子签章，格式见招标文件第七章《投标文件相关格式》）。</w:t>
            </w:r>
            <w:r/>
          </w:p>
          <w:p>
            <w:pPr>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享受政府采购支持政策的残疾人福利性单位应当同时满足以下条件：</w:t>
            </w:r>
            <w:r/>
          </w:p>
          <w:p>
            <w:pPr>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　　①安置的残疾人占本单位在职职工人数的比例不低于25%（含25%），并且安置的残疾人人数不少于10人（含10人）；</w:t>
            </w:r>
            <w:r/>
          </w:p>
          <w:p>
            <w:pPr>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　　②依法与安置的每位残疾人签订了一年以上（含一年）的劳动合同或服务协议；</w:t>
            </w:r>
            <w:r/>
          </w:p>
          <w:p>
            <w:pPr>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　　③为安置的每位残疾人按月足额缴纳了基本养老保险、基本医疗保险、失业保险、工伤保险和生育保险等社会保险费；</w:t>
            </w:r>
            <w:r/>
          </w:p>
          <w:p>
            <w:pPr>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　　④通过银行等金融机构向安置的每位残疾人，按月支付了不低于单位所在区县适用的经省级人民政府批准的月最低工资标准的工资；</w:t>
            </w:r>
            <w:r/>
          </w:p>
          <w:p>
            <w:pPr>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　　⑤提供本单位制造的货物、承担的工程或者服务（以下简称产品），或者提供其他残疾人福利性单位制造的货物（不包括使用非残疾人福利性单位注册商标的货物）。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   具体以《三部门联合发布关于促进残疾人就业政府采购政策的通知》（财库〔2017〕141号）规定为准。</w:t>
            </w:r>
            <w:r/>
          </w:p>
          <w:p>
            <w:pPr>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注：</w:t>
            </w:r>
            <w:r/>
          </w:p>
          <w:p>
            <w:pPr>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1.投标人应对以上文件的合法性、真实性负责。</w:t>
            </w:r>
            <w:r/>
          </w:p>
          <w:p>
            <w:pPr>
              <w:spacing w:line="360" w:lineRule="auto"/>
              <w:rPr>
                <w:rFonts w:hint="eastAsia" w:ascii="仿宋" w:hAnsi="仿宋" w:eastAsia="仿宋" w:cs="仿宋"/>
                <w:color w:val="auto"/>
                <w:sz w:val="24"/>
                <w:highlight w:val="none"/>
              </w:rPr>
            </w:pPr>
            <w:r>
              <w:rPr>
                <w:rFonts w:hint="eastAsia" w:ascii="仿宋" w:hAnsi="仿宋" w:eastAsia="仿宋" w:cs="仿宋"/>
                <w:bCs/>
                <w:color w:val="auto"/>
                <w:sz w:val="24"/>
                <w:szCs w:val="24"/>
                <w:highlight w:val="none"/>
                <w:lang w:val="en-US" w:eastAsia="zh-CN" w:bidi="ar-SA"/>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19.4</w:t>
            </w:r>
            <w:r/>
          </w:p>
        </w:tc>
        <w:tc>
          <w:tcPr>
            <w:tcW w:w="7542" w:type="dxa"/>
            <w:vAlign w:val="top"/>
            <w:textDirection w:val="lrTb"/>
            <w:noWrap w:val="false"/>
          </w:tcPr>
          <w:p>
            <w:pPr>
              <w:jc w:val="left"/>
              <w:spacing w:line="360" w:lineRule="auto"/>
              <w:widowControl/>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投标人应当通过“苏采云”系统提交数据电文形式的投标文件（即电子投标）。</w:t>
            </w:r>
            <w:r/>
          </w:p>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特别说明：通过“苏采云”系统提交政府采购客户端工具导出加密的投标文件（后缀名为zip）。投标文件不得超过</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50M！</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19.5</w:t>
            </w:r>
            <w:r/>
          </w:p>
        </w:tc>
        <w:tc>
          <w:tcPr>
            <w:tcW w:w="7542" w:type="dxa"/>
            <w:vAlign w:val="top"/>
            <w:textDirection w:val="lrTb"/>
            <w:noWrap w:val="false"/>
          </w:tcPr>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投标文件的退还：投标文件不退还</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，若采购人索取中标人的数据电文形式的投标文件，须在双方签订政府采购合同后，由采购代理机构提供给采购人。</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19.6</w:t>
            </w:r>
            <w:r/>
          </w:p>
        </w:tc>
        <w:tc>
          <w:tcPr>
            <w:tcW w:w="7542" w:type="dxa"/>
            <w:vAlign w:val="top"/>
            <w:textDirection w:val="lrTb"/>
            <w:noWrap w:val="false"/>
          </w:tcPr>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投标文件的密封、签署、盖章要求：</w:t>
            </w:r>
            <w:r/>
          </w:p>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一、投标文件的密封（加密）要求：</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应当按照招标文件和“苏采云”系统的要求编制并加密投标文件。本项目</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须通过“苏采云”系统提供的政府采购客户端工具（使用“CA数字证书”）对其数据电文形式的投标文件加密。</w:t>
            </w:r>
            <w:r/>
          </w:p>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二、投标文件的签署要求：见招标文件第七章《投标文件相关格式》。</w:t>
            </w:r>
            <w:r/>
          </w:p>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三、投标文件的盖章要求：见招标文件第三章《投标资料表》19.2和招标文件第七章《投标文件相关格式》。</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须通过“苏采云”系统提供的政府采购客户端工具（使用“CA数字证书”）加盖电子签章。</w:t>
            </w:r>
            <w:r/>
          </w:p>
        </w:tc>
      </w:tr>
      <w:tr>
        <w:trPr>
          <w:jc w:val="center"/>
          <w:trHeight w:val="274"/>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19.8</w:t>
            </w:r>
            <w:r/>
          </w:p>
        </w:tc>
        <w:tc>
          <w:tcPr>
            <w:tcW w:w="7542" w:type="dxa"/>
            <w:vAlign w:val="top"/>
            <w:textDirection w:val="lrTb"/>
            <w:noWrap w:val="false"/>
          </w:tcPr>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未按规定加密的投标文件，“苏采云”系统应当拒收并提示。</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19.9</w:t>
            </w:r>
            <w:r/>
          </w:p>
        </w:tc>
        <w:tc>
          <w:tcPr>
            <w:tcW w:w="7542" w:type="dxa"/>
            <w:vAlign w:val="top"/>
            <w:textDirection w:val="lrTb"/>
            <w:noWrap w:val="false"/>
          </w:tcPr>
          <w:p>
            <w:pPr>
              <w:jc w:val="left"/>
              <w:spacing w:line="360" w:lineRule="auto"/>
              <w:widowControl/>
              <w:rPr>
                <w:rFonts w:hint="eastAsia" w:ascii="仿宋" w:hAnsi="仿宋" w:eastAsia="仿宋" w:cs="仿宋"/>
                <w:b/>
                <w:bCs/>
                <w:color w:val="auto"/>
                <w:sz w:val="24"/>
                <w:highlight w:val="none"/>
              </w:rPr>
            </w:pP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送达的投标文件，即时向</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发出确认回执通知，并妥善保存投标文件。在投标截止时间前，除</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补充、修改或者撤回投标文件外，任何单位和个人不得解密、提取投标文件。</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20.6</w:t>
            </w:r>
            <w:r/>
          </w:p>
        </w:tc>
        <w:tc>
          <w:tcPr>
            <w:tcW w:w="7542" w:type="dxa"/>
            <w:vAlign w:val="top"/>
            <w:textDirection w:val="lrTb"/>
            <w:noWrap w:val="false"/>
          </w:tcPr>
          <w:p>
            <w:pPr>
              <w:keepLines w:val="0"/>
              <w:keepNext w:val="0"/>
              <w:pageBreakBefore w:val="0"/>
              <w:spacing w:line="360" w:lineRule="auto"/>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eastAsia="zh-CN"/>
              </w:rPr>
              <w:t xml:space="preserve">本项目</w:t>
            </w:r>
            <w:r>
              <w:rPr>
                <w:rFonts w:hint="eastAsia" w:ascii="仿宋" w:hAnsi="仿宋" w:eastAsia="仿宋" w:cs="仿宋"/>
                <w:b/>
                <w:bCs/>
                <w:color w:val="auto"/>
                <w:sz w:val="24"/>
                <w:highlight w:val="none"/>
              </w:rPr>
              <w:t xml:space="preserve">采购预算为</w:t>
            </w:r>
            <w:r>
              <w:rPr>
                <w:rFonts w:hint="eastAsia" w:ascii="仿宋" w:hAnsi="仿宋" w:eastAsia="仿宋" w:cs="仿宋"/>
                <w:b/>
                <w:color w:val="auto"/>
                <w:sz w:val="24"/>
                <w:highlight w:val="none"/>
                <w:lang w:val="en-US" w:eastAsia="zh-CN"/>
              </w:rPr>
              <w:t xml:space="preserve">296万元</w:t>
            </w:r>
            <w:r>
              <w:rPr>
                <w:rFonts w:hint="eastAsia" w:ascii="仿宋" w:hAnsi="仿宋" w:eastAsia="仿宋" w:cs="仿宋"/>
                <w:b/>
                <w:bCs/>
                <w:color w:val="auto"/>
                <w:sz w:val="24"/>
                <w:highlight w:val="none"/>
                <w:lang w:val="en-US" w:eastAsia="zh-CN"/>
              </w:rPr>
              <w:t xml:space="preserve">。</w:t>
            </w:r>
            <w:bookmarkStart w:id="2" w:name="OLE_LINK2"/>
            <w:r>
              <w:rPr>
                <w:rFonts w:hint="eastAsia" w:ascii="仿宋" w:hAnsi="仿宋" w:eastAsia="仿宋" w:cs="仿宋"/>
                <w:b/>
                <w:bCs/>
                <w:color w:val="auto"/>
                <w:sz w:val="24"/>
                <w:highlight w:val="none"/>
              </w:rPr>
              <w:t xml:space="preserve">本项目不接受超过采购预算的报价。</w:t>
            </w:r>
            <w:bookmarkEnd w:id="2"/>
            <w:r/>
            <w:r/>
          </w:p>
          <w:p>
            <w:pP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各</w:t>
            </w:r>
            <w:r>
              <w:rPr>
                <w:rFonts w:hint="eastAsia" w:ascii="仿宋" w:hAnsi="仿宋" w:eastAsia="仿宋" w:cs="仿宋"/>
                <w:color w:val="auto"/>
                <w:sz w:val="24"/>
                <w:highlight w:val="none"/>
                <w:lang w:val="en-US" w:eastAsia="zh-CN"/>
              </w:rPr>
              <w:t xml:space="preserve">采购包</w:t>
            </w:r>
            <w:r>
              <w:rPr>
                <w:rFonts w:hint="eastAsia" w:ascii="仿宋" w:hAnsi="仿宋" w:eastAsia="仿宋" w:cs="仿宋"/>
                <w:color w:val="auto"/>
                <w:sz w:val="24"/>
                <w:highlight w:val="none"/>
              </w:rPr>
              <w:t xml:space="preserve">投标报价应包含完成本项目所需的全部费用，包括但不限于人工费、资料费、服装、清扫工具、耗材、相关税金、合理利润以及投标人认为完成本项目所需要的其他费用等。采购人不再支付报价以外的任何费用。</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w:t>
            </w:r>
            <w:r/>
          </w:p>
        </w:tc>
        <w:tc>
          <w:tcPr>
            <w:tcW w:w="7542" w:type="dxa"/>
            <w:vAlign w:val="top"/>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eastAsia="zh-CN"/>
              </w:rPr>
              <w:t xml:space="preserve">供应商</w:t>
            </w:r>
            <w:r>
              <w:rPr>
                <w:rFonts w:hint="eastAsia" w:ascii="仿宋" w:hAnsi="仿宋" w:eastAsia="仿宋" w:cs="仿宋"/>
                <w:b/>
                <w:bCs/>
                <w:color w:val="auto"/>
                <w:sz w:val="24"/>
                <w:highlight w:val="none"/>
              </w:rPr>
              <w:t xml:space="preserve">不需缴纳投标保证金。</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22.1</w:t>
            </w:r>
            <w:r/>
          </w:p>
        </w:tc>
        <w:tc>
          <w:tcPr>
            <w:tcW w:w="7542" w:type="dxa"/>
            <w:vAlign w:val="top"/>
            <w:textDirection w:val="lrTb"/>
            <w:noWrap w:val="false"/>
          </w:tcPr>
          <w:p>
            <w:pPr>
              <w:jc w:val="left"/>
              <w:spacing w:line="360" w:lineRule="auto"/>
              <w:widowControl/>
              <w:rPr>
                <w:rFonts w:hint="eastAsia" w:ascii="仿宋" w:hAnsi="仿宋" w:eastAsia="仿宋" w:cs="仿宋"/>
                <w:color w:val="auto"/>
                <w:sz w:val="24"/>
                <w:highlight w:val="none"/>
                <w:lang w:val="en-US" w:eastAsia="zh-CN"/>
              </w:rPr>
            </w:pPr>
            <w:r>
              <w:rPr>
                <w:rFonts w:hint="eastAsia" w:ascii="仿宋" w:hAnsi="仿宋" w:eastAsia="仿宋" w:cs="仿宋"/>
                <w:b/>
                <w:bCs/>
                <w:color w:val="auto"/>
                <w:sz w:val="24"/>
                <w:highlight w:val="none"/>
              </w:rPr>
              <w:t xml:space="preserve">投标截止时间：</w:t>
            </w:r>
            <w:r>
              <w:rPr>
                <w:rFonts w:hint="eastAsia" w:ascii="仿宋" w:hAnsi="仿宋" w:eastAsia="仿宋" w:cs="仿宋"/>
                <w:b/>
                <w:bCs/>
                <w:color w:val="auto"/>
                <w:sz w:val="24"/>
                <w:highlight w:val="white"/>
                <w:lang w:eastAsia="zh-CN"/>
              </w:rPr>
              <w:t xml:space="preserve">2025年</w:t>
            </w:r>
            <w:r>
              <w:rPr>
                <w:rFonts w:hint="eastAsia" w:ascii="仿宋" w:hAnsi="仿宋" w:eastAsia="仿宋" w:cs="仿宋"/>
                <w:b/>
                <w:bCs/>
                <w:color w:val="auto"/>
                <w:sz w:val="24"/>
                <w:highlight w:val="white"/>
                <w:lang w:val="en-US" w:eastAsia="zh-CN"/>
              </w:rPr>
              <w:t xml:space="preserve">11</w:t>
            </w:r>
            <w:r>
              <w:rPr>
                <w:rFonts w:hint="eastAsia" w:ascii="仿宋" w:hAnsi="仿宋" w:eastAsia="仿宋" w:cs="仿宋"/>
                <w:b/>
                <w:bCs/>
                <w:color w:val="auto"/>
                <w:sz w:val="24"/>
                <w:highlight w:val="white"/>
                <w:lang w:eastAsia="zh-CN"/>
              </w:rPr>
              <w:t xml:space="preserve">月</w:t>
            </w:r>
            <w:r>
              <w:rPr>
                <w:rFonts w:hint="eastAsia" w:ascii="仿宋" w:hAnsi="仿宋" w:eastAsia="仿宋" w:cs="仿宋"/>
                <w:b/>
                <w:bCs/>
                <w:color w:val="auto"/>
                <w:sz w:val="24"/>
                <w:highlight w:val="white"/>
                <w:shd w:val="clear" w:color="auto"/>
                <w:lang w:val="en-US" w:eastAsia="zh-CN"/>
              </w:rPr>
              <w:t xml:space="preserve">27</w:t>
            </w:r>
            <w:r>
              <w:rPr>
                <w:rFonts w:hint="eastAsia" w:ascii="仿宋" w:hAnsi="仿宋" w:eastAsia="仿宋" w:cs="仿宋"/>
                <w:b/>
                <w:bCs/>
                <w:color w:val="auto"/>
                <w:sz w:val="24"/>
                <w:highlight w:val="white"/>
              </w:rPr>
              <w:t xml:space="preserve">日</w:t>
            </w:r>
            <w:r>
              <w:rPr>
                <w:rFonts w:hint="eastAsia" w:ascii="仿宋" w:hAnsi="仿宋" w:eastAsia="仿宋" w:cs="仿宋"/>
                <w:b/>
                <w:bCs/>
                <w:color w:val="auto"/>
                <w:sz w:val="24"/>
                <w:highlight w:val="none"/>
              </w:rPr>
              <w:t xml:space="preserve">北京时间09:</w:t>
            </w:r>
            <w:r>
              <w:rPr>
                <w:rFonts w:hint="eastAsia" w:ascii="仿宋" w:hAnsi="仿宋" w:eastAsia="仿宋" w:cs="仿宋"/>
                <w:b/>
                <w:bCs/>
                <w:color w:val="auto"/>
                <w:sz w:val="24"/>
                <w:highlight w:val="none"/>
                <w:lang w:val="en-US" w:eastAsia="zh-CN"/>
              </w:rPr>
              <w:t xml:space="preserve">10</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22.2</w:t>
            </w:r>
            <w:r/>
          </w:p>
        </w:tc>
        <w:tc>
          <w:tcPr>
            <w:tcW w:w="7542" w:type="dxa"/>
            <w:vAlign w:val="top"/>
            <w:textDirection w:val="lrTb"/>
            <w:noWrap w:val="false"/>
          </w:tcPr>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投标文件的提交与接收：</w:t>
            </w:r>
            <w:r/>
          </w:p>
          <w:p>
            <w:pPr>
              <w:ind w:left="1024" w:hanging="1024"/>
              <w:jc w:val="left"/>
              <w:spacing w:line="360" w:lineRule="auto"/>
              <w:widowControl/>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1、投标文件提交与接收时间</w:t>
            </w:r>
            <w:r>
              <w:rPr>
                <w:rFonts w:hint="eastAsia" w:ascii="仿宋" w:hAnsi="仿宋" w:eastAsia="仿宋" w:cs="仿宋"/>
                <w:b/>
                <w:bCs/>
                <w:color w:val="auto"/>
                <w:sz w:val="24"/>
                <w:highlight w:val="none"/>
              </w:rPr>
              <w:t xml:space="preserve">：提交投标文件截止时间（</w:t>
            </w:r>
            <w:r>
              <w:rPr>
                <w:rFonts w:hint="eastAsia" w:ascii="仿宋" w:hAnsi="仿宋" w:eastAsia="仿宋" w:cs="仿宋"/>
                <w:b/>
                <w:bCs/>
                <w:color w:val="auto"/>
                <w:sz w:val="24"/>
                <w:highlight w:val="white"/>
                <w:lang w:eastAsia="zh-CN"/>
              </w:rPr>
              <w:t xml:space="preserve">2025年</w:t>
            </w:r>
            <w:r>
              <w:rPr>
                <w:rFonts w:hint="eastAsia" w:ascii="仿宋" w:hAnsi="仿宋" w:eastAsia="仿宋" w:cs="仿宋"/>
                <w:b/>
                <w:bCs/>
                <w:color w:val="auto"/>
                <w:sz w:val="24"/>
                <w:highlight w:val="white"/>
                <w:lang w:val="en-US" w:eastAsia="zh-CN"/>
              </w:rPr>
              <w:t xml:space="preserve">11</w:t>
            </w:r>
            <w:r>
              <w:rPr>
                <w:rFonts w:hint="eastAsia" w:ascii="仿宋" w:hAnsi="仿宋" w:eastAsia="仿宋" w:cs="仿宋"/>
                <w:b/>
                <w:bCs/>
                <w:color w:val="auto"/>
                <w:sz w:val="24"/>
                <w:highlight w:val="white"/>
                <w:lang w:eastAsia="zh-CN"/>
              </w:rPr>
              <w:t xml:space="preserve">月</w:t>
            </w:r>
            <w:r>
              <w:rPr>
                <w:rFonts w:hint="eastAsia" w:ascii="仿宋" w:hAnsi="仿宋" w:eastAsia="仿宋" w:cs="仿宋"/>
                <w:b/>
                <w:bCs/>
                <w:color w:val="auto"/>
                <w:sz w:val="24"/>
                <w:highlight w:val="white"/>
                <w:lang w:val="en-US" w:eastAsia="zh-CN"/>
              </w:rPr>
              <w:t xml:space="preserve"> 27</w:t>
            </w:r>
            <w:r>
              <w:rPr>
                <w:rFonts w:hint="eastAsia" w:ascii="仿宋" w:hAnsi="仿宋" w:eastAsia="仿宋" w:cs="仿宋"/>
                <w:b/>
                <w:bCs/>
                <w:color w:val="auto"/>
                <w:sz w:val="24"/>
                <w:highlight w:val="white"/>
              </w:rPr>
              <w:t xml:space="preserve">日</w:t>
            </w:r>
            <w:r>
              <w:rPr>
                <w:rFonts w:hint="eastAsia" w:ascii="仿宋" w:hAnsi="仿宋" w:eastAsia="仿宋" w:cs="仿宋"/>
                <w:b/>
                <w:bCs/>
                <w:color w:val="auto"/>
                <w:sz w:val="24"/>
                <w:highlight w:val="none"/>
              </w:rPr>
              <w:t xml:space="preserve">北京时间09:</w:t>
            </w:r>
            <w:r>
              <w:rPr>
                <w:rFonts w:hint="eastAsia" w:ascii="仿宋" w:hAnsi="仿宋" w:eastAsia="仿宋" w:cs="仿宋"/>
                <w:b/>
                <w:bCs/>
                <w:color w:val="auto"/>
                <w:sz w:val="24"/>
                <w:highlight w:val="none"/>
                <w:lang w:val="en-US" w:eastAsia="zh-CN"/>
              </w:rPr>
              <w:t xml:space="preserve">10</w:t>
            </w:r>
            <w:r>
              <w:rPr>
                <w:rFonts w:hint="eastAsia" w:ascii="仿宋" w:hAnsi="仿宋" w:eastAsia="仿宋" w:cs="仿宋"/>
                <w:b/>
                <w:bCs/>
                <w:color w:val="auto"/>
                <w:sz w:val="24"/>
                <w:highlight w:val="none"/>
              </w:rPr>
              <w:t xml:space="preserve">）前。</w:t>
            </w:r>
            <w:r/>
          </w:p>
          <w:p>
            <w:pPr>
              <w:jc w:val="left"/>
              <w:spacing w:line="360" w:lineRule="auto"/>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w:t>
            </w:r>
            <w:r>
              <w:rPr>
                <w:rFonts w:hint="eastAsia" w:ascii="仿宋" w:hAnsi="仿宋" w:eastAsia="仿宋" w:cs="仿宋"/>
                <w:color w:val="auto"/>
                <w:sz w:val="24"/>
                <w:highlight w:val="none"/>
              </w:rPr>
              <w:t xml:space="preserve">投标文件提交与接收地点：</w:t>
            </w:r>
            <w:r>
              <w:rPr>
                <w:rFonts w:hint="eastAsia" w:ascii="仿宋" w:hAnsi="仿宋" w:eastAsia="仿宋" w:cs="仿宋"/>
                <w:b/>
                <w:bCs/>
                <w:color w:val="auto"/>
                <w:sz w:val="24"/>
                <w:highlight w:val="none"/>
                <w:lang w:eastAsia="zh-CN"/>
              </w:rPr>
              <w:t xml:space="preserve">供应商</w:t>
            </w:r>
            <w:r>
              <w:rPr>
                <w:rFonts w:hint="eastAsia" w:ascii="仿宋" w:hAnsi="仿宋" w:eastAsia="仿宋" w:cs="仿宋"/>
                <w:b/>
                <w:bCs/>
                <w:color w:val="auto"/>
                <w:sz w:val="24"/>
                <w:highlight w:val="none"/>
              </w:rPr>
              <w:t xml:space="preserve">应当通过“苏采云”系统提交数据电文形式的投标文件（即电子投标），“苏采云”系统自动接收，在达到开标时间后，使用CA数字证书解密各自投标文件。</w:t>
            </w:r>
            <w:r/>
          </w:p>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3、特别说明：政府采购客户端工具需要导出加密的投标文件（后缀名为zip）。投标文件不得超过150M！（以系统为准）名为“.kedt”）后，离线编制投标文件。采购文件（后缀名为“.kedt”）。</w:t>
            </w:r>
            <w:r/>
          </w:p>
        </w:tc>
      </w:tr>
      <w:tr>
        <w:trPr>
          <w:jc w:val="center"/>
          <w:trHeight w:val="582"/>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23.2</w:t>
            </w:r>
            <w:r/>
          </w:p>
        </w:tc>
        <w:tc>
          <w:tcPr>
            <w:tcW w:w="7542" w:type="dxa"/>
            <w:vAlign w:val="top"/>
            <w:textDirection w:val="lrTb"/>
            <w:noWrap w:val="false"/>
          </w:tcPr>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招标文件对本项目分包的规定：采购人不允许采用分包方式履行合同。</w:t>
            </w:r>
            <w:r/>
          </w:p>
        </w:tc>
      </w:tr>
      <w:tr>
        <w:trPr>
          <w:jc w:val="center"/>
        </w:trPr>
        <w:tc>
          <w:tcPr>
            <w:tcW w:w="1368" w:type="dxa"/>
            <w:vAlign w:val="top"/>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42" w:type="dxa"/>
            <w:vAlign w:val="top"/>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四、开标、评标</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26.1</w:t>
            </w:r>
            <w:r/>
          </w:p>
        </w:tc>
        <w:tc>
          <w:tcPr>
            <w:tcW w:w="7542" w:type="dxa"/>
            <w:vAlign w:val="top"/>
            <w:textDirection w:val="lrTb"/>
            <w:noWrap w:val="false"/>
          </w:tcPr>
          <w:p>
            <w:pPr>
              <w:jc w:val="left"/>
              <w:spacing w:line="360" w:lineRule="auto"/>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开标时间及地点：</w:t>
            </w:r>
            <w:r/>
          </w:p>
          <w:p>
            <w:pPr>
              <w:pStyle w:val="763"/>
              <w:jc w:val="left"/>
              <w:spacing w:line="360" w:lineRule="auto"/>
              <w:widowControl/>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 xml:space="preserve">1、开标时间：</w:t>
            </w:r>
            <w:r>
              <w:rPr>
                <w:rFonts w:hint="eastAsia" w:ascii="仿宋" w:hAnsi="仿宋" w:eastAsia="仿宋" w:cs="仿宋"/>
                <w:b/>
                <w:bCs/>
                <w:color w:val="auto"/>
                <w:sz w:val="24"/>
                <w:highlight w:val="white"/>
                <w:lang w:eastAsia="zh-CN"/>
              </w:rPr>
              <w:t xml:space="preserve">2025年</w:t>
            </w:r>
            <w:r>
              <w:rPr>
                <w:rFonts w:hint="eastAsia" w:ascii="仿宋" w:hAnsi="仿宋" w:eastAsia="仿宋" w:cs="仿宋"/>
                <w:b/>
                <w:bCs/>
                <w:color w:val="auto"/>
                <w:sz w:val="24"/>
                <w:highlight w:val="white"/>
                <w:lang w:val="en-US" w:eastAsia="zh-CN"/>
              </w:rPr>
              <w:t xml:space="preserve">11</w:t>
            </w:r>
            <w:r>
              <w:rPr>
                <w:rFonts w:hint="eastAsia" w:ascii="仿宋" w:hAnsi="仿宋" w:eastAsia="仿宋" w:cs="仿宋"/>
                <w:b/>
                <w:bCs/>
                <w:color w:val="auto"/>
                <w:sz w:val="24"/>
                <w:highlight w:val="white"/>
                <w:lang w:eastAsia="zh-CN"/>
              </w:rPr>
              <w:t xml:space="preserve">月</w:t>
            </w:r>
            <w:r>
              <w:rPr>
                <w:rFonts w:hint="eastAsia" w:ascii="仿宋" w:hAnsi="仿宋" w:eastAsia="仿宋" w:cs="仿宋"/>
                <w:b/>
                <w:bCs/>
                <w:color w:val="auto"/>
                <w:sz w:val="24"/>
                <w:highlight w:val="white"/>
                <w:lang w:val="en-US" w:eastAsia="zh-CN"/>
              </w:rPr>
              <w:t xml:space="preserve">27</w:t>
            </w:r>
            <w:r>
              <w:rPr>
                <w:rFonts w:hint="eastAsia" w:ascii="仿宋" w:hAnsi="仿宋" w:eastAsia="仿宋" w:cs="仿宋"/>
                <w:b/>
                <w:bCs/>
                <w:color w:val="auto"/>
                <w:sz w:val="24"/>
                <w:highlight w:val="white"/>
              </w:rPr>
              <w:t xml:space="preserve">日</w:t>
            </w:r>
            <w:r>
              <w:rPr>
                <w:rFonts w:hint="eastAsia" w:ascii="仿宋" w:hAnsi="仿宋" w:eastAsia="仿宋" w:cs="仿宋"/>
                <w:b/>
                <w:bCs/>
                <w:color w:val="auto"/>
                <w:sz w:val="24"/>
                <w:highlight w:val="none"/>
              </w:rPr>
              <w:t xml:space="preserve">北京时间09:</w:t>
            </w:r>
            <w:r>
              <w:rPr>
                <w:rFonts w:hint="eastAsia" w:ascii="仿宋" w:hAnsi="仿宋" w:eastAsia="仿宋" w:cs="仿宋"/>
                <w:b/>
                <w:bCs/>
                <w:color w:val="auto"/>
                <w:sz w:val="24"/>
                <w:highlight w:val="none"/>
                <w:lang w:val="en-US" w:eastAsia="zh-CN"/>
              </w:rPr>
              <w:t xml:space="preserve">10</w:t>
            </w:r>
            <w:r/>
          </w:p>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2、开标地点：“苏采云”系统（网址： http://jszfcg.jsczt.cn/）“开标大厅”或进入徐州政府采购网（网址：http://czj.xz.gov.cn/Home/HomeIndex）--业务工作--用户登录，点击“苏采云”进入系统“开标大厅”。</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27</w:t>
            </w:r>
            <w:r/>
          </w:p>
        </w:tc>
        <w:tc>
          <w:tcPr>
            <w:tcW w:w="7542" w:type="dxa"/>
            <w:vAlign w:val="top"/>
            <w:textDirection w:val="lrTb"/>
            <w:noWrap w:val="false"/>
          </w:tcPr>
          <w:p>
            <w:pPr>
              <w:jc w:val="left"/>
              <w:spacing w:line="360" w:lineRule="auto"/>
              <w:widowControl/>
              <w:rPr>
                <w:rFonts w:hint="eastAsia" w:ascii="仿宋" w:hAnsi="仿宋" w:eastAsia="仿宋" w:cs="仿宋"/>
                <w:b/>
                <w:bCs/>
                <w:color w:val="auto"/>
                <w:sz w:val="24"/>
                <w:highlight w:val="none"/>
                <w:lang w:val="en-US" w:eastAsia="zh-CN"/>
              </w:rPr>
            </w:pPr>
            <w:r>
              <w:rPr>
                <w:rFonts w:hint="eastAsia" w:ascii="仿宋" w:hAnsi="仿宋" w:eastAsia="仿宋" w:cs="仿宋"/>
                <w:color w:val="auto"/>
                <w:sz w:val="24"/>
                <w:highlight w:val="none"/>
                <w:lang w:val="en-US" w:eastAsia="zh-CN"/>
              </w:rPr>
              <w:t xml:space="preserve">1.评标中需要投标人对投标文件澄清或者说明的，应当通过“苏采云”系统交换数据电文。</w:t>
            </w:r>
            <w:r>
              <w:rPr>
                <w:rFonts w:hint="eastAsia" w:ascii="仿宋" w:hAnsi="仿宋" w:eastAsia="仿宋" w:cs="仿宋"/>
                <w:b/>
                <w:bCs/>
                <w:color w:val="auto"/>
                <w:sz w:val="24"/>
                <w:highlight w:val="none"/>
                <w:lang w:val="en-US" w:eastAsia="zh-CN"/>
              </w:rPr>
              <w:t xml:space="preserve">在评标期间，请投标人保持在线。</w:t>
            </w:r>
            <w:r/>
          </w:p>
          <w:p>
            <w:pPr>
              <w:jc w:val="left"/>
              <w:spacing w:line="360" w:lineRule="auto"/>
              <w:widowControl/>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left"/>
              <w:spacing w:line="360" w:lineRule="auto"/>
              <w:widowControl/>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spacing w:line="360" w:lineRule="auto"/>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26.3</w:t>
            </w:r>
            <w:r/>
          </w:p>
        </w:tc>
        <w:tc>
          <w:tcPr>
            <w:tcW w:w="7542" w:type="dxa"/>
            <w:vAlign w:val="top"/>
            <w:textDirection w:val="lrTb"/>
            <w:noWrap w:val="false"/>
          </w:tcPr>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线上开标时，“苏采云”系统自动提取所有投标文件，</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按招标文件规定方式按时在线解密。本项目招标文件规定的</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按时在线解密方式：开标时间后30分钟内，通过“苏采云”系统（使用“CA数字证书”）解密。</w:t>
            </w:r>
            <w:r/>
          </w:p>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所有</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解密（或解密时间）结束后，“苏采云”系统生成开标记录并向社会公众公布，但依法应当保密的除外。</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31.1</w:t>
            </w:r>
            <w:r/>
          </w:p>
        </w:tc>
        <w:tc>
          <w:tcPr>
            <w:tcW w:w="7542" w:type="dxa"/>
            <w:vAlign w:val="top"/>
            <w:textDirection w:val="lrTb"/>
            <w:noWrap w:val="false"/>
          </w:tcPr>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本项目的评标方法：综合评分法。</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42" w:type="dxa"/>
            <w:vAlign w:val="top"/>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五、中标和合同</w:t>
            </w:r>
            <w:r/>
          </w:p>
        </w:tc>
      </w:tr>
      <w:tr>
        <w:trPr>
          <w:jc w:val="center"/>
          <w:trHeight w:val="299"/>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38.2</w:t>
            </w:r>
            <w:r/>
          </w:p>
        </w:tc>
        <w:tc>
          <w:tcPr>
            <w:tcW w:w="7542" w:type="dxa"/>
            <w:vAlign w:val="top"/>
            <w:textDirection w:val="lrTb"/>
            <w:noWrap w:val="false"/>
          </w:tcPr>
          <w:p>
            <w:pPr>
              <w:ind w:left="480" w:hanging="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一、推荐中标候选供应商名单。中标候选供应商数量应当根据采购需要确定，但必须按顺序排列中标候选供应商。</w:t>
            </w:r>
            <w:r/>
          </w:p>
          <w:p>
            <w:pPr>
              <w:jc w:val="left"/>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二、采用综合评分法的，按评审后得分由高到低顺序排列。得分相同的，按投标报价由低到高顺序排列。得分且投标报价相同的，按</w:t>
            </w:r>
            <w:r>
              <w:rPr>
                <w:rFonts w:hint="eastAsia" w:ascii="仿宋" w:hAnsi="仿宋" w:eastAsia="仿宋" w:cs="仿宋"/>
                <w:b/>
                <w:bCs/>
                <w:color w:val="auto"/>
                <w:sz w:val="24"/>
                <w:highlight w:val="none"/>
              </w:rPr>
              <w:t xml:space="preserve">作业方案及工作流程</w:t>
            </w:r>
            <w:r>
              <w:rPr>
                <w:rFonts w:hint="eastAsia" w:ascii="仿宋" w:hAnsi="仿宋" w:eastAsia="仿宋" w:cs="仿宋"/>
                <w:color w:val="auto"/>
                <w:sz w:val="24"/>
                <w:highlight w:val="none"/>
                <w:lang w:eastAsia="zh-CN"/>
              </w:rPr>
              <w:t xml:space="preserve">优劣</w:t>
            </w:r>
            <w:r>
              <w:rPr>
                <w:rFonts w:hint="eastAsia" w:ascii="仿宋" w:hAnsi="仿宋" w:eastAsia="仿宋" w:cs="仿宋"/>
                <w:color w:val="auto"/>
                <w:sz w:val="24"/>
                <w:highlight w:val="none"/>
              </w:rPr>
              <w:t xml:space="preserve">顺序排列。</w:t>
            </w:r>
            <w:r/>
          </w:p>
        </w:tc>
      </w:tr>
      <w:tr>
        <w:trPr>
          <w:jc w:val="center"/>
          <w:trHeight w:val="1708"/>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40</w:t>
            </w:r>
            <w:r/>
          </w:p>
        </w:tc>
        <w:tc>
          <w:tcPr>
            <w:tcW w:w="7542" w:type="dxa"/>
            <w:vAlign w:val="top"/>
            <w:textDirection w:val="lrTb"/>
            <w:noWrap w:val="false"/>
          </w:tcPr>
          <w:p>
            <w:pPr>
              <w:jc w:val="left"/>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特别说明：按照《中华人民共和国政府采购法》及其实施条例以及相关规定，中标或者成交后无正当理由拒不与采购人签订政府采购合同的，在一至三年内禁止参加政府采购活动，列入政府采购严重违法失信行为记录名单。</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42" w:type="dxa"/>
            <w:vAlign w:val="top"/>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六、询问和质疑</w:t>
            </w:r>
            <w:r/>
          </w:p>
        </w:tc>
      </w:tr>
      <w:tr>
        <w:trPr>
          <w:jc w:val="center"/>
        </w:trPr>
        <w:tc>
          <w:tcPr>
            <w:tcW w:w="136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43</w:t>
            </w:r>
            <w:r/>
          </w:p>
        </w:tc>
        <w:tc>
          <w:tcPr>
            <w:tcW w:w="7542" w:type="dxa"/>
            <w:vAlign w:val="top"/>
            <w:textDirection w:val="lrTb"/>
            <w:noWrap w:val="false"/>
          </w:tcPr>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2、供应商在法定质疑期内一次性提出针对同一采购程序环节的质疑。</w:t>
            </w:r>
            <w:r/>
          </w:p>
          <w:p>
            <w:pPr>
              <w:jc w:val="left"/>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质疑接收人：</w:t>
            </w:r>
            <w:r>
              <w:rPr>
                <w:rFonts w:hint="eastAsia" w:ascii="仿宋" w:hAnsi="仿宋" w:eastAsia="仿宋" w:cs="仿宋"/>
                <w:color w:val="auto"/>
                <w:sz w:val="24"/>
                <w:highlight w:val="none"/>
                <w:lang w:val="en-US" w:eastAsia="zh-CN"/>
              </w:rPr>
              <w:t xml:space="preserve">戴冠楠</w:t>
            </w:r>
            <w:r>
              <w:rPr>
                <w:rFonts w:hint="eastAsia" w:ascii="仿宋" w:hAnsi="仿宋" w:eastAsia="仿宋" w:cs="仿宋"/>
                <w:color w:val="auto"/>
                <w:sz w:val="24"/>
                <w:highlight w:val="none"/>
              </w:rPr>
              <w:t xml:space="preserve">  联系电话：</w:t>
            </w:r>
            <w:r>
              <w:rPr>
                <w:rFonts w:hint="eastAsia" w:ascii="仿宋" w:hAnsi="仿宋" w:eastAsia="仿宋" w:cs="仿宋"/>
                <w:color w:val="auto"/>
                <w:sz w:val="24"/>
                <w:highlight w:val="none"/>
                <w:lang w:val="en-US" w:eastAsia="zh-CN"/>
              </w:rPr>
              <w:t xml:space="preserve">13912023500</w:t>
            </w:r>
            <w:r/>
          </w:p>
          <w:p>
            <w:pPr>
              <w:jc w:val="left"/>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lang w:val="en-US" w:eastAsia="zh-CN"/>
              </w:rPr>
              <w:t xml:space="preserve">睢宁县亚琦万茂中心D区21幢3楼</w:t>
            </w:r>
            <w:r/>
          </w:p>
        </w:tc>
      </w:tr>
      <w:tr>
        <w:trPr>
          <w:jc w:val="center"/>
        </w:trPr>
        <w:tc>
          <w:tcPr>
            <w:tcW w:w="1368" w:type="dxa"/>
            <w:vAlign w:val="top"/>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附加说明</w:t>
            </w:r>
            <w:r/>
          </w:p>
        </w:tc>
        <w:tc>
          <w:tcPr>
            <w:tcW w:w="7542" w:type="dxa"/>
            <w:vAlign w:val="top"/>
            <w:textDirection w:val="lrTb"/>
            <w:noWrap w:val="false"/>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中标人在收到中标通知书时，须向采购代理机构提交《开标一览表》和《分项价格表》的数据文件（WORD格式）。</w:t>
            </w:r>
            <w:r/>
          </w:p>
        </w:tc>
      </w:tr>
    </w:tbl>
    <w:p>
      <w:pPr>
        <w:pStyle w:val="788"/>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24"/>
          <w:highlight w:val="none"/>
        </w:rPr>
        <w:t xml:space="preserve">附件本章附件：</w:t>
      </w:r>
      <w:r>
        <w:rPr>
          <w:rFonts w:hint="eastAsia" w:ascii="仿宋" w:hAnsi="仿宋" w:eastAsia="仿宋" w:cs="仿宋"/>
          <w:b/>
          <w:color w:val="auto"/>
          <w:sz w:val="24"/>
          <w:highlight w:val="none"/>
        </w:rPr>
        <w:t xml:space="preserve">招标代理服务收费标准</w:t>
      </w:r>
      <w:r/>
    </w:p>
    <w:tbl>
      <w:tblPr>
        <w:tblStyle w:val="725"/>
        <w:tblW w:w="7517"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9"/>
        <w:gridCol w:w="2868"/>
      </w:tblGrid>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ind w:firstLine="480"/>
              <w:jc w:val="center"/>
              <w:spacing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中标金额</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费率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ind w:firstLine="480"/>
              <w:jc w:val="center"/>
              <w:spacing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50万以下（含50万）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50-400万元（含400万）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400-1000万元（含1000万）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1000-5000万元（含5000万）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0.8%</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5000-1亿元（含1亿元）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0.25%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1-10亿元</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含10亿元</w:t>
            </w:r>
            <w:r>
              <w:rPr>
                <w:rFonts w:hint="eastAsia" w:ascii="仿宋" w:hAnsi="仿宋" w:eastAsia="仿宋" w:cs="仿宋"/>
                <w:color w:val="auto"/>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0.05%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10-50亿元（含50亿元）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0.01%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widowControl/>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50亿元以上</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0.005%</w:t>
            </w:r>
            <w:r/>
          </w:p>
        </w:tc>
      </w:tr>
    </w:tbl>
    <w:p>
      <w:pPr>
        <w:ind w:left="0" w:right="0" w:firstLine="0"/>
        <w:jc w:val="both"/>
        <w:spacing w:before="0" w:after="0"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说明：</w:t>
      </w:r>
      <w:r/>
    </w:p>
    <w:p>
      <w:pPr>
        <w:ind w:left="0" w:right="0" w:firstLine="0"/>
        <w:jc w:val="both"/>
        <w:spacing w:before="0" w:after="0"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1.按上表计算的收费为代理服务全过程的收费金额。各社会代理机构不另外收取采购文件制作售卖费用。</w:t>
      </w:r>
      <w:r/>
    </w:p>
    <w:p>
      <w:pPr>
        <w:ind w:left="0" w:right="0" w:firstLine="0"/>
        <w:jc w:val="both"/>
        <w:spacing w:before="0" w:after="0"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2.代理服务费按差额定率累进法计算。</w:t>
      </w:r>
      <w:r/>
    </w:p>
    <w:p>
      <w:pPr>
        <w:ind w:left="0" w:right="0" w:firstLine="0"/>
        <w:jc w:val="both"/>
        <w:spacing w:before="0" w:after="0"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3.代理服务费基准金额（按差额定率累进法计算的）=中标金额（按差额定率累进法计算的）*费率（%）。</w:t>
      </w:r>
      <w:r/>
    </w:p>
    <w:p>
      <w:pPr>
        <w:ind w:left="0" w:right="0" w:firstLine="0"/>
        <w:jc w:val="both"/>
        <w:spacing w:before="0" w:after="0"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4.代理服务费应收取金额=代理服务费基准金额（按差额定率累进法计算的）的合计数。</w:t>
      </w:r>
      <w:r/>
    </w:p>
    <w:p>
      <w:pPr>
        <w:ind w:left="0" w:right="0" w:firstLine="0"/>
        <w:jc w:val="both"/>
        <w:spacing w:before="0" w:after="0"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5.定点类等无金额或事先不能计算出价格总额的项目，按中标（成交）金额100万元计算服务费。</w:t>
      </w:r>
      <w:r/>
    </w:p>
    <w:p>
      <w:pPr>
        <w:ind w:left="0" w:right="0" w:firstLine="0"/>
        <w:jc w:val="both"/>
        <w:spacing w:before="0" w:after="0"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6.有分包（分标段）的按一个项目计算。</w:t>
      </w:r>
      <w:r/>
    </w:p>
    <w:p>
      <w:pPr>
        <w:ind w:left="0" w:right="0" w:firstLine="0"/>
        <w:jc w:val="both"/>
        <w:spacing w:before="0" w:after="0" w:line="400" w:lineRule="atLeast"/>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7.以上价格为协会指导价，双方可根据项目难易程度和优质优价原则协商确定。</w:t>
      </w:r>
      <w:r/>
    </w:p>
    <w:p>
      <w:pPr>
        <w:jc w:val="left"/>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rPr>
          <w:rFonts w:hint="eastAsia" w:ascii="仿宋" w:hAnsi="仿宋" w:eastAsia="仿宋" w:cs="仿宋"/>
          <w:b/>
          <w:bCs/>
          <w:color w:val="auto"/>
          <w:sz w:val="30"/>
          <w:szCs w:val="30"/>
          <w:lang w:val="en-US" w:eastAsia="zh-CN" w:bidi="ar-SA"/>
        </w:rPr>
      </w:pPr>
      <w:r>
        <w:rPr>
          <w:rFonts w:hint="eastAsia" w:ascii="仿宋" w:hAnsi="仿宋" w:eastAsia="仿宋" w:cs="仿宋"/>
          <w:b/>
          <w:bCs/>
          <w:color w:val="auto"/>
          <w:sz w:val="30"/>
          <w:szCs w:val="30"/>
          <w:lang w:val="en-US" w:eastAsia="zh-CN" w:bidi="ar-SA"/>
        </w:rPr>
        <w:br w:type="page" w:clear="all"/>
      </w:r>
      <w:r/>
    </w:p>
    <w:p>
      <w:pPr>
        <w:numPr>
          <w:ilvl w:val="0"/>
          <w:numId w:val="0"/>
        </w:numPr>
        <w:jc w:val="center"/>
        <w:widowControl/>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lang w:val="en-US" w:eastAsia="zh-CN" w:bidi="ar-SA"/>
        </w:rPr>
        <w:t xml:space="preserve">第四章  </w:t>
      </w:r>
      <w:r>
        <w:rPr>
          <w:rFonts w:hint="eastAsia" w:ascii="仿宋" w:hAnsi="仿宋" w:eastAsia="仿宋" w:cs="仿宋"/>
          <w:b/>
          <w:bCs/>
          <w:color w:val="auto"/>
          <w:sz w:val="30"/>
          <w:szCs w:val="30"/>
          <w:highlight w:val="none"/>
        </w:rPr>
        <w:t xml:space="preserve">评标标准</w:t>
      </w:r>
      <w:r/>
    </w:p>
    <w:tbl>
      <w:tblPr>
        <w:tblStyle w:val="725"/>
        <w:tblW w:w="9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1187"/>
        <w:gridCol w:w="7809"/>
      </w:tblGrid>
      <w:tr>
        <w:trPr>
          <w:jc w:val="center"/>
          <w:trHeight w:val="0"/>
        </w:trPr>
        <w:tc>
          <w:tcPr>
            <w:gridSpan w:val="2"/>
            <w:tcW w:w="1830" w:type="dxa"/>
            <w:vAlign w:val="center"/>
            <w:textDirection w:val="lrTb"/>
            <w:noWrap w:val="false"/>
          </w:tcPr>
          <w:p>
            <w:pPr>
              <w:pStyle w:val="763"/>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评审因素</w:t>
            </w:r>
            <w:r/>
          </w:p>
        </w:tc>
        <w:tc>
          <w:tcPr>
            <w:tcW w:w="7809" w:type="dxa"/>
            <w:vAlign w:val="center"/>
            <w:textDirection w:val="lrTb"/>
            <w:noWrap w:val="false"/>
          </w:tcPr>
          <w:p>
            <w:pPr>
              <w:pStyle w:val="763"/>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评审因素细化和量化</w:t>
            </w:r>
            <w:r/>
          </w:p>
        </w:tc>
      </w:tr>
      <w:tr>
        <w:trPr>
          <w:jc w:val="center"/>
          <w:trHeight w:val="0"/>
        </w:trPr>
        <w:tc>
          <w:tcPr>
            <w:tcW w:w="643" w:type="dxa"/>
            <w:vAlign w:val="center"/>
            <w:textDirection w:val="lrTb"/>
            <w:noWrap w:val="false"/>
          </w:tcPr>
          <w:p>
            <w:pPr>
              <w:pStyle w:val="763"/>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价格</w:t>
            </w:r>
            <w:r/>
          </w:p>
          <w:p>
            <w:pPr>
              <w:pStyle w:val="763"/>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部分</w:t>
            </w:r>
            <w:r/>
          </w:p>
          <w:p>
            <w:pPr>
              <w:pStyle w:val="763"/>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187" w:type="dxa"/>
            <w:vAlign w:val="center"/>
            <w:textDirection w:val="lrTb"/>
            <w:noWrap w:val="false"/>
          </w:tcPr>
          <w:p>
            <w:pPr>
              <w:pStyle w:val="763"/>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价格</w:t>
            </w:r>
            <w:r/>
          </w:p>
          <w:p>
            <w:pPr>
              <w:pStyle w:val="763"/>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p>
        </w:tc>
        <w:tc>
          <w:tcPr>
            <w:tcW w:w="7809" w:type="dxa"/>
            <w:vAlign w:val="center"/>
            <w:textDirection w:val="lrTb"/>
            <w:noWrap w:val="false"/>
          </w:tcPr>
          <w:p>
            <w:pPr>
              <w:pStyle w:val="763"/>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采用低价优先法计算，即满足招标文件要求且投标价格最低的投标报价为评标基准价，其价格分为满分。其他投标人的价格分统一按照下列公式计算：</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投标报价得分=(评标基准价/投标报价)×</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（分值计算结果保留两位小数）</w:t>
            </w:r>
            <w:r/>
          </w:p>
        </w:tc>
      </w:tr>
      <w:tr>
        <w:trPr>
          <w:jc w:val="center"/>
          <w:trHeight w:val="0"/>
        </w:trPr>
        <w:tc>
          <w:tcPr>
            <w:tcW w:w="643" w:type="dxa"/>
            <w:vAlign w:val="center"/>
            <w:vMerge w:val="restart"/>
            <w:textDirection w:val="lrTb"/>
            <w:noWrap w:val="false"/>
          </w:tcPr>
          <w:p>
            <w:pPr>
              <w:pStyle w:val="763"/>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商务</w:t>
            </w:r>
            <w:r/>
          </w:p>
          <w:p>
            <w:pPr>
              <w:pStyle w:val="763"/>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部分</w:t>
            </w:r>
            <w:r/>
          </w:p>
          <w:p>
            <w:pPr>
              <w:pStyle w:val="763"/>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187" w:type="dxa"/>
            <w:vAlign w:val="center"/>
            <w:textDirection w:val="lrTb"/>
            <w:noWrap w:val="false"/>
          </w:tcPr>
          <w:p>
            <w:pPr>
              <w:pStyle w:val="763"/>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投标人</w:t>
            </w:r>
            <w:r>
              <w:rPr>
                <w:rFonts w:hint="eastAsia" w:ascii="仿宋" w:hAnsi="仿宋" w:eastAsia="仿宋" w:cs="仿宋"/>
                <w:color w:val="auto"/>
                <w:sz w:val="22"/>
                <w:szCs w:val="22"/>
                <w:highlight w:val="none"/>
              </w:rPr>
              <w:t xml:space="preserve">业绩</w:t>
            </w:r>
            <w:r/>
          </w:p>
          <w:p>
            <w:pPr>
              <w:pStyle w:val="763"/>
              <w:jc w:val="center"/>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p>
        </w:tc>
        <w:tc>
          <w:tcPr>
            <w:tcW w:w="7809"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b w:val="0"/>
                <w:bCs w:val="0"/>
                <w:i w:val="0"/>
                <w:iCs w:val="0"/>
                <w:color w:val="auto"/>
                <w:sz w:val="22"/>
                <w:szCs w:val="22"/>
                <w:highlight w:val="none"/>
                <w:u w:val="none"/>
                <w:lang w:val="en-US" w:eastAsia="zh-CN" w:bidi="ar"/>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2022年1月1日以来参与的类似项目业绩并成功履行的，每份项目业绩得3分，本项最高得分为6分。</w:t>
            </w:r>
            <w:r/>
          </w:p>
          <w:p>
            <w:pPr>
              <w:pStyle w:val="764"/>
              <w:ind w:left="0" w:right="0" w:firstLine="0"/>
              <w:jc w:val="left"/>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bidi="hi-IN"/>
              </w:rPr>
            </w:pPr>
            <w:r>
              <w:rPr>
                <w:rFonts w:hint="eastAsia" w:ascii="仿宋" w:hAnsi="仿宋" w:eastAsia="仿宋" w:cs="仿宋"/>
                <w:b w:val="0"/>
                <w:bCs w:val="0"/>
                <w:i w:val="0"/>
                <w:iCs w:val="0"/>
                <w:color w:val="auto"/>
                <w:sz w:val="22"/>
                <w:szCs w:val="22"/>
                <w:highlight w:val="none"/>
                <w:u w:val="none"/>
                <w:lang w:val="en-US" w:eastAsia="zh-CN" w:bidi="ar"/>
              </w:rPr>
              <w:t xml:space="preserve">注：投标文件中须提供中标（成交）通知书、中标合同原件扫描件，否则不得分。</w:t>
            </w:r>
            <w:r/>
          </w:p>
        </w:tc>
      </w:tr>
      <w:tr>
        <w:trPr>
          <w:jc w:val="center"/>
          <w:trHeight w:val="0"/>
        </w:trPr>
        <w:tc>
          <w:tcPr>
            <w:tcW w:w="643" w:type="dxa"/>
            <w:vAlign w:val="center"/>
            <w:vMerge w:val="continue"/>
            <w:textDirection w:val="lrTb"/>
            <w:noWrap w:val="false"/>
          </w:tcPr>
          <w:p>
            <w:pPr>
              <w:pStyle w:val="763"/>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187" w:type="dxa"/>
            <w:vAlign w:val="center"/>
            <w:textDirection w:val="lrTb"/>
            <w:noWrap w:val="false"/>
          </w:tcPr>
          <w:p>
            <w:pPr>
              <w:pStyle w:val="763"/>
              <w:jc w:val="center"/>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投标人实力</w:t>
            </w: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p>
        </w:tc>
        <w:tc>
          <w:tcPr>
            <w:tcW w:w="7809" w:type="dxa"/>
            <w:vAlign w:val="center"/>
            <w:textDirection w:val="lrTb"/>
            <w:noWrap w:val="false"/>
          </w:tcPr>
          <w:p>
            <w:pPr>
              <w:pStyle w:val="764"/>
              <w:ind w:left="0" w:right="0" w:firstLine="0"/>
              <w:jc w:val="left"/>
              <w:keepLines w:val="0"/>
              <w:keepNext w:val="0"/>
              <w:pageBreakBefore w:val="0"/>
              <w:spacing w:line="360" w:lineRule="auto"/>
              <w:widowControl w:val="off"/>
              <w:rPr>
                <w:rFonts w:hint="eastAsia" w:ascii="仿宋" w:hAnsi="仿宋" w:eastAsia="仿宋" w:cs="仿宋"/>
                <w:b w:val="0"/>
                <w:bCs w:val="0"/>
                <w:color w:val="auto"/>
                <w:sz w:val="22"/>
                <w:szCs w:val="22"/>
                <w:highlight w:val="none"/>
                <w:lang w:eastAsia="zh-CN"/>
              </w:rPr>
            </w:pPr>
            <w:r>
              <w:rPr>
                <w:rFonts w:hint="eastAsia" w:ascii="仿宋" w:hAnsi="仿宋" w:eastAsia="仿宋" w:cs="仿宋"/>
                <w:b w:val="0"/>
                <w:bCs w:val="0"/>
                <w:color w:val="auto"/>
                <w:sz w:val="22"/>
                <w:szCs w:val="22"/>
                <w:highlight w:val="none"/>
                <w:lang w:val="en-US" w:eastAsia="zh-CN"/>
              </w:rPr>
              <w:t xml:space="preserve">投标人合法有效的</w:t>
            </w:r>
            <w:r>
              <w:rPr>
                <w:rFonts w:hint="eastAsia" w:ascii="仿宋" w:hAnsi="仿宋" w:eastAsia="仿宋" w:cs="仿宋"/>
                <w:b w:val="0"/>
                <w:bCs w:val="0"/>
                <w:color w:val="auto"/>
                <w:sz w:val="22"/>
                <w:szCs w:val="22"/>
                <w:highlight w:val="none"/>
                <w:lang w:eastAsia="zh-CN"/>
              </w:rPr>
              <w:t xml:space="preserve">ISO9001</w:t>
            </w:r>
            <w:r>
              <w:rPr>
                <w:rFonts w:hint="eastAsia" w:ascii="仿宋" w:hAnsi="仿宋" w:eastAsia="仿宋" w:cs="仿宋"/>
                <w:b w:val="0"/>
                <w:bCs w:val="0"/>
                <w:color w:val="auto"/>
                <w:sz w:val="22"/>
                <w:szCs w:val="22"/>
                <w:highlight w:val="none"/>
                <w:lang w:val="en-US" w:eastAsia="zh-CN"/>
              </w:rPr>
              <w:t xml:space="preserve">质量体系认证证书、</w:t>
            </w:r>
            <w:r>
              <w:rPr>
                <w:rFonts w:hint="eastAsia" w:ascii="仿宋" w:hAnsi="仿宋" w:eastAsia="仿宋" w:cs="仿宋"/>
                <w:b w:val="0"/>
                <w:bCs w:val="0"/>
                <w:color w:val="auto"/>
                <w:sz w:val="22"/>
                <w:szCs w:val="22"/>
                <w:highlight w:val="none"/>
                <w:lang w:eastAsia="zh-CN"/>
              </w:rPr>
              <w:t xml:space="preserve">ISO14001</w:t>
            </w:r>
            <w:r>
              <w:rPr>
                <w:rFonts w:hint="eastAsia" w:ascii="仿宋" w:hAnsi="仿宋" w:eastAsia="仿宋" w:cs="仿宋"/>
                <w:b w:val="0"/>
                <w:bCs w:val="0"/>
                <w:color w:val="auto"/>
                <w:sz w:val="22"/>
                <w:szCs w:val="22"/>
                <w:highlight w:val="none"/>
                <w:lang w:val="en-US" w:eastAsia="zh-CN"/>
              </w:rPr>
              <w:t xml:space="preserve">环境体系认证证书、</w:t>
            </w:r>
            <w:r>
              <w:rPr>
                <w:rFonts w:hint="eastAsia" w:ascii="仿宋" w:hAnsi="仿宋" w:eastAsia="仿宋" w:cs="仿宋"/>
                <w:b w:val="0"/>
                <w:bCs w:val="0"/>
                <w:color w:val="auto"/>
                <w:sz w:val="22"/>
                <w:szCs w:val="22"/>
                <w:highlight w:val="none"/>
                <w:lang w:eastAsia="zh-CN"/>
              </w:rPr>
              <w:t xml:space="preserve">GB/T28001</w:t>
            </w:r>
            <w:r>
              <w:rPr>
                <w:rFonts w:hint="eastAsia" w:ascii="仿宋" w:hAnsi="仿宋" w:cs="仿宋"/>
                <w:b w:val="0"/>
                <w:bCs w:val="0"/>
                <w:color w:val="auto"/>
                <w:sz w:val="22"/>
                <w:szCs w:val="22"/>
                <w:highlight w:val="none"/>
                <w:lang w:val="en-US" w:eastAsia="zh-CN"/>
              </w:rPr>
              <w:t xml:space="preserve">或ISO45001</w:t>
            </w:r>
            <w:r>
              <w:rPr>
                <w:rFonts w:hint="eastAsia" w:ascii="仿宋" w:hAnsi="仿宋" w:eastAsia="仿宋" w:cs="仿宋"/>
                <w:b w:val="0"/>
                <w:bCs w:val="0"/>
                <w:color w:val="auto"/>
                <w:sz w:val="22"/>
                <w:szCs w:val="22"/>
                <w:highlight w:val="none"/>
                <w:lang w:val="en-US" w:eastAsia="zh-CN"/>
              </w:rPr>
              <w:t xml:space="preserve">职业健康体系认证证书。</w:t>
            </w:r>
            <w:r>
              <w:rPr>
                <w:rFonts w:hint="eastAsia" w:ascii="仿宋" w:hAnsi="仿宋" w:eastAsia="仿宋" w:cs="仿宋"/>
                <w:b w:val="0"/>
                <w:bCs w:val="0"/>
                <w:color w:val="auto"/>
                <w:sz w:val="22"/>
                <w:szCs w:val="22"/>
                <w:highlight w:val="none"/>
                <w:lang w:eastAsia="zh-CN"/>
              </w:rPr>
              <w:t xml:space="preserve">每提供一份得</w:t>
            </w:r>
            <w:r>
              <w:rPr>
                <w:rFonts w:hint="eastAsia" w:ascii="仿宋" w:hAnsi="仿宋" w:eastAsia="仿宋" w:cs="仿宋"/>
                <w:b w:val="0"/>
                <w:bCs w:val="0"/>
                <w:color w:val="auto"/>
                <w:sz w:val="22"/>
                <w:szCs w:val="22"/>
                <w:highlight w:val="none"/>
                <w:lang w:val="en-US" w:eastAsia="zh-CN"/>
              </w:rPr>
              <w:t xml:space="preserve">2</w:t>
            </w:r>
            <w:r>
              <w:rPr>
                <w:rFonts w:hint="eastAsia" w:ascii="仿宋" w:hAnsi="仿宋" w:eastAsia="仿宋" w:cs="仿宋"/>
                <w:b w:val="0"/>
                <w:bCs w:val="0"/>
                <w:color w:val="auto"/>
                <w:sz w:val="22"/>
                <w:szCs w:val="22"/>
                <w:highlight w:val="none"/>
                <w:lang w:eastAsia="zh-CN"/>
              </w:rPr>
              <w:t xml:space="preserve">分，最高得</w:t>
            </w:r>
            <w:r>
              <w:rPr>
                <w:rFonts w:hint="eastAsia" w:ascii="仿宋" w:hAnsi="仿宋" w:eastAsia="仿宋" w:cs="仿宋"/>
                <w:b w:val="0"/>
                <w:bCs w:val="0"/>
                <w:color w:val="auto"/>
                <w:sz w:val="22"/>
                <w:szCs w:val="22"/>
                <w:highlight w:val="none"/>
                <w:lang w:val="en-US" w:eastAsia="zh-CN"/>
              </w:rPr>
              <w:t xml:space="preserve">6</w:t>
            </w:r>
            <w:r>
              <w:rPr>
                <w:rFonts w:hint="eastAsia" w:ascii="仿宋" w:hAnsi="仿宋" w:eastAsia="仿宋" w:cs="仿宋"/>
                <w:b w:val="0"/>
                <w:bCs w:val="0"/>
                <w:color w:val="auto"/>
                <w:sz w:val="22"/>
                <w:szCs w:val="22"/>
                <w:highlight w:val="none"/>
                <w:lang w:eastAsia="zh-CN"/>
              </w:rPr>
              <w:t xml:space="preserve">分，未提供不得分。</w:t>
            </w:r>
            <w:r/>
          </w:p>
          <w:p>
            <w:pPr>
              <w:pStyle w:val="764"/>
              <w:ind w:left="0" w:right="0" w:firstLine="0"/>
              <w:jc w:val="left"/>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bidi="hi-IN"/>
              </w:rPr>
            </w:pPr>
            <w:r>
              <w:rPr>
                <w:rFonts w:hint="eastAsia" w:ascii="仿宋" w:hAnsi="仿宋" w:eastAsia="仿宋" w:cs="仿宋"/>
                <w:b w:val="0"/>
                <w:bCs w:val="0"/>
                <w:color w:val="auto"/>
                <w:sz w:val="22"/>
                <w:szCs w:val="22"/>
                <w:highlight w:val="none"/>
                <w:lang w:val="en-US" w:eastAsia="zh-CN"/>
              </w:rPr>
              <w:t xml:space="preserve">注：</w:t>
            </w:r>
            <w:r>
              <w:rPr>
                <w:rFonts w:hint="eastAsia" w:ascii="仿宋" w:hAnsi="仿宋" w:eastAsia="仿宋" w:cs="仿宋"/>
                <w:b w:val="0"/>
                <w:bCs w:val="0"/>
                <w:color w:val="auto"/>
                <w:sz w:val="22"/>
                <w:szCs w:val="22"/>
                <w:highlight w:val="none"/>
                <w:lang w:eastAsia="zh-CN"/>
              </w:rPr>
              <w:t xml:space="preserve">投标文件中须提供有效的认证证书</w:t>
            </w:r>
            <w:r>
              <w:rPr>
                <w:rFonts w:hint="eastAsia" w:ascii="仿宋" w:hAnsi="仿宋" w:eastAsia="仿宋" w:cs="仿宋"/>
                <w:b w:val="0"/>
                <w:bCs w:val="0"/>
                <w:color w:val="auto"/>
                <w:sz w:val="22"/>
                <w:szCs w:val="22"/>
                <w:highlight w:val="none"/>
                <w:lang w:val="en-US" w:eastAsia="zh-CN"/>
              </w:rPr>
              <w:t xml:space="preserve">扫描件</w:t>
            </w:r>
            <w:r>
              <w:rPr>
                <w:rFonts w:hint="eastAsia" w:ascii="仿宋" w:hAnsi="仿宋" w:eastAsia="仿宋" w:cs="仿宋"/>
                <w:b w:val="0"/>
                <w:bCs w:val="0"/>
                <w:color w:val="auto"/>
                <w:sz w:val="22"/>
                <w:szCs w:val="22"/>
                <w:highlight w:val="none"/>
                <w:lang w:eastAsia="zh-CN"/>
              </w:rPr>
              <w:t xml:space="preserve">及全国认证认可的信息公共服务平台（http://cx.cnca.cn/CertECloud/index/index/page）查询截图并加盖公章扫描上传，已失效或撤销的不得分。</w:t>
            </w:r>
            <w:r/>
          </w:p>
        </w:tc>
      </w:tr>
      <w:tr>
        <w:trPr>
          <w:jc w:val="center"/>
          <w:trHeight w:val="0"/>
        </w:trPr>
        <w:tc>
          <w:tcPr>
            <w:tcBorders>
              <w:top w:val="single" w:color="auto" w:sz="4" w:space="0"/>
            </w:tcBorders>
            <w:tcW w:w="643" w:type="dxa"/>
            <w:vAlign w:val="center"/>
            <w:vMerge w:val="restart"/>
            <w:textDirection w:val="lrTb"/>
            <w:noWrap w:val="false"/>
          </w:tcPr>
          <w:p>
            <w:pPr>
              <w:pStyle w:val="763"/>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技术</w:t>
            </w:r>
            <w:r/>
          </w:p>
          <w:p>
            <w:pPr>
              <w:pStyle w:val="763"/>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部分</w:t>
            </w:r>
            <w:r/>
          </w:p>
          <w:p>
            <w:pPr>
              <w:pStyle w:val="763"/>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pStyle w:val="763"/>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18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项目实施方案</w:t>
            </w:r>
            <w:r/>
          </w:p>
          <w:p>
            <w:pPr>
              <w:jc w:val="center"/>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15</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tc>
        <w:tc>
          <w:tcPr>
            <w:tcW w:w="7809" w:type="dxa"/>
            <w:vAlign w:val="center"/>
            <w:textDirection w:val="lrTb"/>
            <w:noWrap w:val="false"/>
          </w:tcPr>
          <w:p>
            <w:pPr>
              <w:pStyle w:val="732"/>
              <w:ind w:left="0" w:right="6" w:firstLine="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对各投标文件提供工作目标、计划及总体服务设想，提供项目总体服务方案编写的内容进行综合评分：</w:t>
            </w:r>
            <w:r/>
          </w:p>
          <w:p>
            <w:pPr>
              <w:pStyle w:val="732"/>
              <w:ind w:left="0" w:right="6" w:firstLine="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完全满足项目需求，且方案完整全面得15分；</w:t>
            </w:r>
            <w:r/>
          </w:p>
          <w:p>
            <w:pPr>
              <w:pStyle w:val="732"/>
              <w:ind w:left="0" w:right="6" w:firstLine="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符合项目需求，方案较完整得10分；</w:t>
            </w:r>
            <w:r/>
          </w:p>
          <w:p>
            <w:pPr>
              <w:pStyle w:val="732"/>
              <w:ind w:left="0" w:right="6" w:firstLine="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方案基本满足项目要求，方案一般得7分；</w:t>
            </w:r>
            <w:r/>
          </w:p>
          <w:p>
            <w:pPr>
              <w:pStyle w:val="732"/>
              <w:ind w:left="0" w:right="6" w:firstLine="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方案简略得3分；</w:t>
            </w:r>
            <w:r/>
          </w:p>
          <w:p>
            <w:pPr>
              <w:pStyle w:val="732"/>
              <w:ind w:left="0" w:right="6" w:firstLine="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不符合或未提供不得分。</w:t>
            </w:r>
            <w:r/>
          </w:p>
          <w:p>
            <w:pPr>
              <w:pStyle w:val="732"/>
              <w:ind w:left="0" w:right="6" w:firstLine="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本项最高得15分，最低得0分。</w:t>
            </w:r>
            <w:r/>
          </w:p>
        </w:tc>
      </w:tr>
      <w:tr>
        <w:trPr>
          <w:jc w:val="center"/>
          <w:trHeight w:val="0"/>
        </w:trPr>
        <w:tc>
          <w:tcPr>
            <w:tcW w:w="643" w:type="dxa"/>
            <w:vAlign w:val="center"/>
            <w:vMerge w:val="continue"/>
            <w:textDirection w:val="lrTb"/>
            <w:noWrap w:val="false"/>
          </w:tcPr>
          <w:p>
            <w:pPr>
              <w:pStyle w:val="763"/>
              <w:jc w:val="center"/>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tc>
        <w:tc>
          <w:tcPr>
            <w:tcW w:w="118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作业</w:t>
            </w:r>
            <w:r>
              <w:rPr>
                <w:rFonts w:hint="eastAsia" w:ascii="仿宋" w:hAnsi="仿宋" w:eastAsia="仿宋" w:cs="仿宋"/>
                <w:color w:val="auto"/>
                <w:sz w:val="22"/>
                <w:szCs w:val="22"/>
                <w:highlight w:val="none"/>
              </w:rPr>
              <w:t xml:space="preserve">方案</w:t>
            </w:r>
            <w:r>
              <w:rPr>
                <w:rFonts w:hint="eastAsia" w:ascii="仿宋" w:hAnsi="仿宋" w:eastAsia="仿宋" w:cs="仿宋"/>
                <w:color w:val="auto"/>
                <w:sz w:val="22"/>
                <w:szCs w:val="22"/>
                <w:highlight w:val="none"/>
                <w:lang w:val="en-US" w:eastAsia="zh-CN"/>
              </w:rPr>
              <w:t xml:space="preserve">及工作流程</w:t>
            </w:r>
            <w:r/>
          </w:p>
          <w:p>
            <w:pPr>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15</w:t>
            </w:r>
            <w:r>
              <w:rPr>
                <w:rFonts w:hint="eastAsia" w:ascii="仿宋" w:hAnsi="仿宋" w:eastAsia="仿宋" w:cs="仿宋"/>
                <w:color w:val="auto"/>
                <w:sz w:val="22"/>
                <w:szCs w:val="22"/>
                <w:highlight w:val="none"/>
              </w:rPr>
              <w:t xml:space="preserve">分）</w:t>
            </w:r>
            <w:r/>
          </w:p>
        </w:tc>
        <w:tc>
          <w:tcPr>
            <w:tcW w:w="7809"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w:t>
            </w:r>
            <w:r>
              <w:rPr>
                <w:rFonts w:hint="eastAsia" w:ascii="仿宋" w:hAnsi="仿宋" w:eastAsia="仿宋" w:cs="仿宋"/>
                <w:color w:val="auto"/>
                <w:sz w:val="22"/>
                <w:szCs w:val="22"/>
                <w:highlight w:val="none"/>
                <w:lang w:val="en-US" w:eastAsia="zh-CN"/>
              </w:rPr>
              <w:t xml:space="preserve">投标人</w:t>
            </w:r>
            <w:r>
              <w:rPr>
                <w:rFonts w:hint="eastAsia" w:ascii="仿宋" w:hAnsi="仿宋" w:eastAsia="仿宋" w:cs="仿宋"/>
                <w:color w:val="auto"/>
                <w:sz w:val="22"/>
                <w:szCs w:val="22"/>
                <w:highlight w:val="none"/>
              </w:rPr>
              <w:t xml:space="preserve">提供的作业方案</w:t>
            </w:r>
            <w:r>
              <w:rPr>
                <w:rFonts w:hint="eastAsia" w:ascii="仿宋" w:hAnsi="仿宋" w:eastAsia="仿宋" w:cs="仿宋"/>
                <w:color w:val="auto"/>
                <w:sz w:val="22"/>
                <w:szCs w:val="22"/>
                <w:highlight w:val="none"/>
                <w:lang w:val="en-US" w:eastAsia="zh-CN"/>
              </w:rPr>
              <w:t xml:space="preserve">及工作流程</w:t>
            </w:r>
            <w:r>
              <w:rPr>
                <w:rFonts w:hint="eastAsia" w:ascii="仿宋" w:hAnsi="仿宋" w:eastAsia="仿宋" w:cs="仿宋"/>
                <w:color w:val="auto"/>
                <w:sz w:val="22"/>
                <w:szCs w:val="22"/>
                <w:highlight w:val="none"/>
              </w:rPr>
              <w:t xml:space="preserve">。包括人员、工具、设备、车辆的投入与配备等进行</w:t>
            </w:r>
            <w:r>
              <w:rPr>
                <w:rFonts w:hint="eastAsia" w:ascii="仿宋" w:hAnsi="仿宋" w:eastAsia="仿宋" w:cs="仿宋"/>
                <w:color w:val="auto"/>
                <w:sz w:val="22"/>
                <w:szCs w:val="22"/>
                <w:highlight w:val="none"/>
                <w:lang w:val="en-US" w:eastAsia="zh-CN"/>
              </w:rPr>
              <w:t xml:space="preserve">综合</w:t>
            </w:r>
            <w:r>
              <w:rPr>
                <w:rFonts w:hint="eastAsia" w:ascii="仿宋" w:hAnsi="仿宋" w:eastAsia="仿宋" w:cs="仿宋"/>
                <w:color w:val="auto"/>
                <w:sz w:val="22"/>
                <w:szCs w:val="22"/>
                <w:highlight w:val="none"/>
              </w:rPr>
              <w:t xml:space="preserve">评分：</w:t>
            </w:r>
            <w:r/>
          </w:p>
          <w:p>
            <w:pP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b w:val="0"/>
                <w:bCs w:val="0"/>
                <w:color w:val="auto"/>
                <w:sz w:val="22"/>
                <w:szCs w:val="22"/>
                <w:highlight w:val="none"/>
                <w:lang w:val="en-US" w:eastAsia="zh-CN"/>
              </w:rPr>
              <w:t xml:space="preserve">1、人</w:t>
            </w:r>
            <w:r>
              <w:rPr>
                <w:rFonts w:hint="eastAsia" w:ascii="仿宋" w:hAnsi="仿宋" w:eastAsia="仿宋" w:cs="仿宋"/>
                <w:color w:val="auto"/>
                <w:sz w:val="22"/>
                <w:szCs w:val="22"/>
                <w:highlight w:val="none"/>
              </w:rPr>
              <w:t xml:space="preserve">员、工具、设备、车辆的投入与配备</w:t>
            </w:r>
            <w:r>
              <w:rPr>
                <w:rFonts w:hint="eastAsia" w:ascii="仿宋" w:hAnsi="仿宋" w:eastAsia="仿宋" w:cs="仿宋"/>
                <w:color w:val="auto"/>
                <w:sz w:val="22"/>
                <w:szCs w:val="22"/>
                <w:highlight w:val="none"/>
                <w:lang w:val="en-US" w:eastAsia="zh-CN"/>
              </w:rPr>
              <w:t xml:space="preserve">等</w:t>
            </w:r>
            <w:r>
              <w:rPr>
                <w:rFonts w:hint="eastAsia" w:ascii="仿宋" w:hAnsi="仿宋" w:eastAsia="仿宋" w:cs="仿宋"/>
                <w:color w:val="auto"/>
                <w:sz w:val="22"/>
                <w:szCs w:val="22"/>
                <w:highlight w:val="none"/>
              </w:rPr>
              <w:t xml:space="preserve">方案完整详细合理，规格档次高，</w:t>
            </w:r>
            <w:r>
              <w:rPr>
                <w:rFonts w:hint="eastAsia" w:ascii="仿宋" w:hAnsi="仿宋" w:eastAsia="仿宋" w:cs="仿宋"/>
                <w:color w:val="auto"/>
                <w:sz w:val="22"/>
                <w:szCs w:val="22"/>
                <w:highlight w:val="none"/>
                <w:lang w:val="en-US" w:eastAsia="zh-CN"/>
              </w:rPr>
              <w:t xml:space="preserve">工作流程</w:t>
            </w:r>
            <w:r>
              <w:rPr>
                <w:rFonts w:hint="eastAsia" w:ascii="仿宋" w:hAnsi="仿宋" w:eastAsia="仿宋" w:cs="仿宋"/>
                <w:color w:val="auto"/>
                <w:sz w:val="22"/>
                <w:szCs w:val="22"/>
                <w:highlight w:val="none"/>
              </w:rPr>
              <w:t xml:space="preserve">合理合规</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得</w:t>
            </w:r>
            <w:r>
              <w:rPr>
                <w:rFonts w:hint="eastAsia" w:ascii="仿宋" w:hAnsi="仿宋" w:eastAsia="仿宋" w:cs="仿宋"/>
                <w:color w:val="auto"/>
                <w:sz w:val="22"/>
                <w:szCs w:val="22"/>
                <w:highlight w:val="none"/>
                <w:lang w:val="en-US" w:eastAsia="zh-CN"/>
              </w:rPr>
              <w:t xml:space="preserve">15</w:t>
            </w:r>
            <w:r>
              <w:rPr>
                <w:rFonts w:hint="eastAsia" w:ascii="仿宋" w:hAnsi="仿宋" w:eastAsia="仿宋" w:cs="仿宋"/>
                <w:color w:val="auto"/>
                <w:sz w:val="22"/>
                <w:szCs w:val="22"/>
                <w:highlight w:val="none"/>
              </w:rPr>
              <w:t xml:space="preserve">分；</w:t>
            </w:r>
            <w:r/>
          </w:p>
          <w:p>
            <w:pPr>
              <w:pStyle w:val="732"/>
              <w:ind w:left="0" w:firstLine="0"/>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w:t>
            </w:r>
            <w:r>
              <w:rPr>
                <w:rFonts w:hint="eastAsia" w:ascii="仿宋" w:hAnsi="仿宋" w:eastAsia="仿宋" w:cs="仿宋"/>
                <w:b w:val="0"/>
                <w:bCs w:val="0"/>
                <w:color w:val="auto"/>
                <w:sz w:val="22"/>
                <w:szCs w:val="22"/>
                <w:highlight w:val="none"/>
                <w:lang w:val="en-US" w:eastAsia="zh-CN"/>
              </w:rPr>
              <w:t xml:space="preserve">人</w:t>
            </w:r>
            <w:r>
              <w:rPr>
                <w:rFonts w:hint="eastAsia" w:ascii="仿宋" w:hAnsi="仿宋" w:eastAsia="仿宋" w:cs="仿宋"/>
                <w:color w:val="auto"/>
                <w:sz w:val="22"/>
                <w:szCs w:val="22"/>
                <w:highlight w:val="none"/>
              </w:rPr>
              <w:t xml:space="preserve">员、工具、设备、车辆的投入与配备</w:t>
            </w:r>
            <w:r>
              <w:rPr>
                <w:rFonts w:hint="eastAsia" w:ascii="仿宋" w:hAnsi="仿宋" w:eastAsia="仿宋" w:cs="仿宋"/>
                <w:color w:val="auto"/>
                <w:sz w:val="22"/>
                <w:szCs w:val="22"/>
                <w:highlight w:val="none"/>
                <w:lang w:val="en-US" w:eastAsia="zh-CN"/>
              </w:rPr>
              <w:t xml:space="preserve">等</w:t>
            </w:r>
            <w:r>
              <w:rPr>
                <w:rFonts w:hint="eastAsia" w:ascii="仿宋" w:hAnsi="仿宋" w:eastAsia="仿宋" w:cs="仿宋"/>
                <w:color w:val="auto"/>
                <w:sz w:val="22"/>
                <w:szCs w:val="22"/>
                <w:highlight w:val="none"/>
                <w:lang w:val="en-US" w:eastAsia="zh-CN" w:bidi="ar-SA"/>
              </w:rPr>
              <w:t xml:space="preserve">方案相对较完整，规格档次较高，工作流程较合理合规得10分；</w:t>
            </w:r>
            <w:r/>
          </w:p>
          <w:p>
            <w:pPr>
              <w:pStyle w:val="732"/>
              <w:ind w:left="0" w:firstLine="0"/>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w:t>
            </w:r>
            <w:r>
              <w:rPr>
                <w:rFonts w:hint="eastAsia" w:ascii="仿宋" w:hAnsi="仿宋" w:eastAsia="仿宋" w:cs="仿宋"/>
                <w:b w:val="0"/>
                <w:bCs w:val="0"/>
                <w:color w:val="auto"/>
                <w:sz w:val="22"/>
                <w:szCs w:val="22"/>
                <w:highlight w:val="none"/>
                <w:lang w:val="en-US" w:eastAsia="zh-CN"/>
              </w:rPr>
              <w:t xml:space="preserve">人</w:t>
            </w:r>
            <w:r>
              <w:rPr>
                <w:rFonts w:hint="eastAsia" w:ascii="仿宋" w:hAnsi="仿宋" w:eastAsia="仿宋" w:cs="仿宋"/>
                <w:color w:val="auto"/>
                <w:sz w:val="22"/>
                <w:szCs w:val="22"/>
                <w:highlight w:val="none"/>
              </w:rPr>
              <w:t xml:space="preserve">员、工具、设备、车辆的投入与配备</w:t>
            </w:r>
            <w:r>
              <w:rPr>
                <w:rFonts w:hint="eastAsia" w:ascii="仿宋" w:hAnsi="仿宋" w:eastAsia="仿宋" w:cs="仿宋"/>
                <w:color w:val="auto"/>
                <w:sz w:val="22"/>
                <w:szCs w:val="22"/>
                <w:highlight w:val="none"/>
                <w:lang w:val="en-US" w:eastAsia="zh-CN"/>
              </w:rPr>
              <w:t xml:space="preserve">等</w:t>
            </w:r>
            <w:r>
              <w:rPr>
                <w:rFonts w:hint="eastAsia" w:ascii="仿宋" w:hAnsi="仿宋" w:eastAsia="仿宋" w:cs="仿宋"/>
                <w:color w:val="auto"/>
                <w:sz w:val="22"/>
                <w:szCs w:val="22"/>
                <w:highlight w:val="none"/>
                <w:lang w:val="en-US" w:eastAsia="zh-CN" w:bidi="ar-SA"/>
              </w:rPr>
              <w:t xml:space="preserve">方案一般，规格档次一般，工作流程合理性一般，得7分；</w:t>
            </w:r>
            <w:r/>
          </w:p>
          <w:p>
            <w:pPr>
              <w:pStyle w:val="732"/>
              <w:ind w:left="0" w:firstLine="0"/>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w:t>
            </w:r>
            <w:r>
              <w:rPr>
                <w:rFonts w:hint="eastAsia" w:ascii="仿宋" w:hAnsi="仿宋" w:eastAsia="仿宋" w:cs="仿宋"/>
                <w:b w:val="0"/>
                <w:bCs w:val="0"/>
                <w:color w:val="auto"/>
                <w:sz w:val="22"/>
                <w:szCs w:val="22"/>
                <w:highlight w:val="none"/>
                <w:lang w:val="en-US" w:eastAsia="zh-CN"/>
              </w:rPr>
              <w:t xml:space="preserve">人</w:t>
            </w:r>
            <w:r>
              <w:rPr>
                <w:rFonts w:hint="eastAsia" w:ascii="仿宋" w:hAnsi="仿宋" w:eastAsia="仿宋" w:cs="仿宋"/>
                <w:color w:val="auto"/>
                <w:sz w:val="22"/>
                <w:szCs w:val="22"/>
                <w:highlight w:val="none"/>
              </w:rPr>
              <w:t xml:space="preserve">员、工具、设备、车辆的投入与配备</w:t>
            </w:r>
            <w:r>
              <w:rPr>
                <w:rFonts w:hint="eastAsia" w:ascii="仿宋" w:hAnsi="仿宋" w:eastAsia="仿宋" w:cs="仿宋"/>
                <w:color w:val="auto"/>
                <w:sz w:val="22"/>
                <w:szCs w:val="22"/>
                <w:highlight w:val="none"/>
                <w:lang w:val="en-US" w:eastAsia="zh-CN"/>
              </w:rPr>
              <w:t xml:space="preserve">等</w:t>
            </w:r>
            <w:r>
              <w:rPr>
                <w:rFonts w:hint="eastAsia" w:ascii="仿宋" w:hAnsi="仿宋" w:eastAsia="仿宋" w:cs="仿宋"/>
                <w:color w:val="auto"/>
                <w:sz w:val="22"/>
                <w:szCs w:val="22"/>
                <w:highlight w:val="none"/>
                <w:lang w:val="en-US" w:eastAsia="zh-CN" w:bidi="ar-SA"/>
              </w:rPr>
              <w:t xml:space="preserve">方案不完整，工作流程存在不合理的情况，得3分；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en-US"/>
              </w:rPr>
            </w:pP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b w:val="0"/>
                <w:bCs w:val="0"/>
                <w:color w:val="auto"/>
                <w:sz w:val="22"/>
                <w:szCs w:val="22"/>
                <w:highlight w:val="none"/>
                <w:lang w:val="en-US" w:eastAsia="zh-CN"/>
              </w:rPr>
              <w:t xml:space="preserve">人</w:t>
            </w:r>
            <w:r>
              <w:rPr>
                <w:rFonts w:hint="eastAsia" w:ascii="仿宋" w:hAnsi="仿宋" w:eastAsia="仿宋" w:cs="仿宋"/>
                <w:color w:val="auto"/>
                <w:sz w:val="22"/>
                <w:szCs w:val="22"/>
                <w:highlight w:val="none"/>
              </w:rPr>
              <w:t xml:space="preserve">员、工具、设备、车辆的投入与配备</w:t>
            </w:r>
            <w:r>
              <w:rPr>
                <w:rFonts w:hint="eastAsia" w:ascii="仿宋" w:hAnsi="仿宋" w:eastAsia="仿宋" w:cs="仿宋"/>
                <w:color w:val="auto"/>
                <w:sz w:val="22"/>
                <w:szCs w:val="22"/>
                <w:highlight w:val="none"/>
                <w:lang w:val="en-US" w:eastAsia="zh-CN"/>
              </w:rPr>
              <w:t xml:space="preserve">等</w:t>
            </w:r>
            <w:r>
              <w:rPr>
                <w:rFonts w:hint="eastAsia" w:ascii="仿宋" w:hAnsi="仿宋" w:eastAsia="仿宋" w:cs="仿宋"/>
                <w:color w:val="auto"/>
                <w:sz w:val="22"/>
                <w:szCs w:val="22"/>
                <w:highlight w:val="none"/>
                <w:lang w:val="en-US" w:eastAsia="zh-CN" w:bidi="ar-SA"/>
              </w:rPr>
              <w:t xml:space="preserve">方案有缺陷，工作流程存在不合理不合规</w:t>
            </w:r>
            <w:r>
              <w:rPr>
                <w:rFonts w:hint="eastAsia" w:ascii="仿宋" w:hAnsi="仿宋" w:eastAsia="仿宋" w:cs="仿宋"/>
                <w:color w:val="auto"/>
                <w:sz w:val="22"/>
                <w:szCs w:val="22"/>
                <w:highlight w:val="none"/>
                <w:lang w:val="en-US" w:eastAsia="zh-CN"/>
              </w:rPr>
              <w:t xml:space="preserve">的得1分。</w:t>
            </w:r>
            <w:r/>
          </w:p>
          <w:p>
            <w:pPr>
              <w:pStyle w:val="732"/>
              <w:ind w:left="0" w:firstLine="0"/>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6、此项</w:t>
            </w:r>
            <w:r>
              <w:rPr>
                <w:rFonts w:hint="eastAsia" w:ascii="仿宋" w:hAnsi="仿宋" w:eastAsia="仿宋" w:cs="仿宋"/>
                <w:color w:val="auto"/>
                <w:sz w:val="22"/>
                <w:szCs w:val="22"/>
                <w:highlight w:val="none"/>
                <w:lang w:eastAsia="zh-CN"/>
              </w:rPr>
              <w:t xml:space="preserve">无内容的得0分。</w:t>
            </w:r>
            <w:r/>
          </w:p>
          <w:p>
            <w:pPr>
              <w:pStyle w:val="732"/>
              <w:ind w:left="0" w:right="6" w:firstLine="0"/>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本项最高得15分，最低得0分。</w:t>
            </w:r>
            <w:r/>
          </w:p>
        </w:tc>
      </w:tr>
      <w:tr>
        <w:trPr>
          <w:jc w:val="center"/>
          <w:trHeight w:val="0"/>
        </w:trPr>
        <w:tc>
          <w:tcPr>
            <w:tcW w:w="643" w:type="dxa"/>
            <w:vAlign w:val="center"/>
            <w:vMerge w:val="continue"/>
            <w:textDirection w:val="lrTb"/>
            <w:noWrap w:val="false"/>
          </w:tcPr>
          <w:p>
            <w:pPr>
              <w:pStyle w:val="763"/>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18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服务方案</w:t>
            </w:r>
            <w:r/>
          </w:p>
          <w:p>
            <w:pPr>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（10分）</w:t>
            </w:r>
            <w:r/>
          </w:p>
        </w:tc>
        <w:tc>
          <w:tcPr>
            <w:tcW w:w="7809"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en-US"/>
              </w:rPr>
            </w:pPr>
            <w:r>
              <w:rPr>
                <w:rFonts w:hint="eastAsia" w:ascii="仿宋" w:hAnsi="仿宋" w:eastAsia="仿宋" w:cs="仿宋"/>
                <w:color w:val="auto"/>
                <w:sz w:val="22"/>
                <w:szCs w:val="22"/>
                <w:highlight w:val="none"/>
                <w:lang w:val="en-US" w:eastAsia="zh-CN"/>
              </w:rPr>
              <w:t xml:space="preserve">根据供应商提供的项目服务方案内容进行评价。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val="en-US" w:eastAsia="zh-CN" w:bidi="ar-SA"/>
              </w:rPr>
              <w:t xml:space="preserve">提供的服务方案周到全面，服务起点高，定位明确，针对性强，措施科学有效，组织机构及各类机制完善，方案全面细致的，切合实际</w:t>
            </w:r>
            <w:r>
              <w:rPr>
                <w:rFonts w:hint="eastAsia" w:ascii="仿宋" w:hAnsi="仿宋" w:eastAsia="仿宋" w:cs="仿宋"/>
                <w:color w:val="auto"/>
                <w:sz w:val="22"/>
                <w:szCs w:val="22"/>
                <w:highlight w:val="none"/>
                <w:lang w:val="en-US" w:eastAsia="zh-CN"/>
              </w:rPr>
              <w:t xml:space="preserve">，得10分；</w:t>
            </w:r>
            <w:r/>
          </w:p>
          <w:p>
            <w:pPr>
              <w:pStyle w:val="732"/>
              <w:numPr>
                <w:ilvl w:val="0"/>
                <w:numId w:val="0"/>
              </w:numPr>
              <w:ind w:right="6"/>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2、提供的服务方案较全面，有服务设想及服务定位阐述，有项目的创新分析及相应措施，有组织架构及机制针对性较强的，得6分。</w:t>
            </w:r>
            <w:r/>
          </w:p>
          <w:p>
            <w:pPr>
              <w:pStyle w:val="732"/>
              <w:numPr>
                <w:ilvl w:val="0"/>
                <w:numId w:val="0"/>
              </w:numPr>
              <w:ind w:right="6"/>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3、提供的服务方案基本全面，服务设想、服务定位、相应措施不具体或不科学，针对性一般的，基本符合要求，得3分；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val="en-US" w:eastAsia="zh-CN" w:bidi="ar-SA"/>
              </w:rPr>
              <w:t xml:space="preserve">提供的服务方案不全面，服务设想、服务定位、相应措施不具体或不科学，针对性一般的，得1分；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en-US"/>
              </w:rPr>
            </w:pPr>
            <w:r>
              <w:rPr>
                <w:rFonts w:hint="eastAsia" w:ascii="仿宋" w:hAnsi="仿宋" w:eastAsia="仿宋" w:cs="仿宋"/>
                <w:color w:val="auto"/>
                <w:sz w:val="22"/>
                <w:szCs w:val="22"/>
                <w:highlight w:val="none"/>
                <w:lang w:val="en-US" w:eastAsia="zh-CN"/>
              </w:rPr>
              <w:t xml:space="preserve">5、此项</w:t>
            </w:r>
            <w:r>
              <w:rPr>
                <w:rFonts w:hint="eastAsia" w:ascii="仿宋" w:hAnsi="仿宋" w:eastAsia="仿宋" w:cs="仿宋"/>
                <w:color w:val="auto"/>
                <w:sz w:val="22"/>
                <w:szCs w:val="22"/>
                <w:highlight w:val="none"/>
                <w:lang w:eastAsia="zh-CN"/>
              </w:rPr>
              <w:t xml:space="preserve">无内容的得0分</w:t>
            </w:r>
            <w:r>
              <w:rPr>
                <w:rFonts w:hint="eastAsia" w:ascii="仿宋" w:hAnsi="仿宋" w:eastAsia="仿宋" w:cs="仿宋"/>
                <w:color w:val="auto"/>
                <w:sz w:val="22"/>
                <w:szCs w:val="22"/>
                <w:highlight w:val="none"/>
                <w:lang w:val="en-US" w:eastAsia="zh-CN"/>
              </w:rPr>
              <w:t xml:space="preserve">。</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本项最高得10分，最低得0分。</w:t>
            </w:r>
            <w:r/>
          </w:p>
        </w:tc>
      </w:tr>
      <w:tr>
        <w:trPr>
          <w:jc w:val="center"/>
          <w:trHeight w:val="0"/>
        </w:trPr>
        <w:tc>
          <w:tcPr>
            <w:tcW w:w="643" w:type="dxa"/>
            <w:vAlign w:val="center"/>
            <w:vMerge w:val="continue"/>
            <w:textDirection w:val="lrTb"/>
            <w:noWrap w:val="false"/>
          </w:tcPr>
          <w:p>
            <w:pPr>
              <w:pStyle w:val="763"/>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18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安全措施</w:t>
            </w:r>
            <w:r>
              <w:rPr>
                <w:rFonts w:hint="eastAsia" w:ascii="仿宋" w:hAnsi="仿宋" w:eastAsia="仿宋" w:cs="仿宋"/>
                <w:color w:val="auto"/>
                <w:sz w:val="22"/>
                <w:szCs w:val="22"/>
                <w:highlight w:val="none"/>
                <w:lang w:val="en-US" w:eastAsia="zh-CN"/>
              </w:rPr>
              <w:t xml:space="preserve">方案</w:t>
            </w:r>
            <w:r/>
          </w:p>
          <w:p>
            <w:pPr>
              <w:jc w:val="center"/>
              <w:keepLines w:val="0"/>
              <w:keepNext w:val="0"/>
              <w:pageBreakBefore w:val="0"/>
              <w:spacing w:line="360" w:lineRule="auto"/>
              <w:widowControl w:val="off"/>
              <w:rPr>
                <w:rFonts w:hint="eastAsia" w:ascii="仿宋" w:hAnsi="仿宋" w:eastAsia="仿宋" w:cs="仿宋"/>
                <w:color w:val="auto"/>
                <w:sz w:val="22"/>
                <w:szCs w:val="28"/>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10分</w:t>
            </w:r>
            <w:r>
              <w:rPr>
                <w:rFonts w:hint="eastAsia" w:ascii="仿宋" w:hAnsi="仿宋" w:eastAsia="仿宋" w:cs="仿宋"/>
                <w:color w:val="auto"/>
                <w:sz w:val="22"/>
                <w:szCs w:val="22"/>
                <w:highlight w:val="none"/>
                <w:lang w:eastAsia="zh-CN"/>
              </w:rPr>
              <w:t xml:space="preserve">）</w:t>
            </w:r>
            <w:r/>
          </w:p>
        </w:tc>
        <w:tc>
          <w:tcPr>
            <w:tcW w:w="7809" w:type="dxa"/>
            <w:vAlign w:val="center"/>
            <w:textDirection w:val="lrTb"/>
            <w:noWrap w:val="false"/>
          </w:tcPr>
          <w:p>
            <w:pPr>
              <w:jc w:val="left"/>
              <w:keepLines w:val="0"/>
              <w:keepNext w:val="0"/>
              <w:pageBreakBefore w:val="0"/>
              <w:spacing w:line="360" w:lineRule="auto"/>
              <w:shd w:val="clear" w:color="auto"/>
              <w:widowControl w:val="off"/>
              <w:rPr>
                <w:rFonts w:hint="eastAsia" w:ascii="仿宋" w:hAnsi="仿宋" w:eastAsia="仿宋" w:cs="仿宋"/>
                <w:color w:val="auto"/>
                <w:sz w:val="22"/>
                <w:szCs w:val="28"/>
                <w:highlight w:val="none"/>
                <w:lang w:eastAsia="zh-CN"/>
              </w:rPr>
            </w:pPr>
            <w:r>
              <w:rPr>
                <w:rFonts w:hint="eastAsia" w:ascii="仿宋" w:hAnsi="仿宋" w:eastAsia="仿宋" w:cs="仿宋"/>
                <w:color w:val="auto"/>
                <w:sz w:val="22"/>
                <w:szCs w:val="28"/>
                <w:highlight w:val="none"/>
                <w:lang w:val="en-US" w:eastAsia="zh-CN"/>
              </w:rPr>
              <w:t xml:space="preserve">根据投标人提供的安全措施</w:t>
            </w:r>
            <w:r>
              <w:rPr>
                <w:rFonts w:hint="eastAsia" w:ascii="仿宋" w:hAnsi="仿宋" w:eastAsia="仿宋" w:cs="仿宋"/>
                <w:color w:val="auto"/>
                <w:sz w:val="22"/>
                <w:szCs w:val="28"/>
                <w:highlight w:val="none"/>
              </w:rPr>
              <w:t xml:space="preserve">方案</w:t>
            </w:r>
            <w:r>
              <w:rPr>
                <w:rFonts w:hint="eastAsia" w:ascii="仿宋" w:hAnsi="仿宋" w:eastAsia="仿宋" w:cs="仿宋"/>
                <w:color w:val="auto"/>
                <w:sz w:val="22"/>
                <w:szCs w:val="28"/>
                <w:highlight w:val="none"/>
                <w:lang w:val="en-US" w:eastAsia="zh-CN"/>
              </w:rPr>
              <w:t xml:space="preserve">内容进行评价（</w:t>
            </w:r>
            <w:r>
              <w:rPr>
                <w:rFonts w:hint="eastAsia" w:ascii="仿宋" w:hAnsi="仿宋" w:eastAsia="仿宋" w:cs="仿宋"/>
                <w:color w:val="auto"/>
                <w:sz w:val="22"/>
                <w:szCs w:val="28"/>
                <w:highlight w:val="none"/>
              </w:rPr>
              <w:t xml:space="preserve">包括安全预案、安全检查、安全用工、文明作业、事故处置等工作措施</w:t>
            </w:r>
            <w:r>
              <w:rPr>
                <w:rFonts w:hint="eastAsia" w:ascii="仿宋" w:hAnsi="仿宋" w:eastAsia="仿宋" w:cs="仿宋"/>
                <w:color w:val="auto"/>
                <w:sz w:val="22"/>
                <w:szCs w:val="28"/>
                <w:highlight w:val="none"/>
                <w:lang w:eastAsia="zh-CN"/>
              </w:rPr>
              <w:t xml:space="preserve">）。</w:t>
            </w:r>
            <w:r/>
          </w:p>
          <w:p>
            <w:pPr>
              <w:numPr>
                <w:ilvl w:val="0"/>
                <w:numId w:val="0"/>
              </w:numPr>
              <w:jc w:val="left"/>
              <w:keepLines w:val="0"/>
              <w:keepNext w:val="0"/>
              <w:pageBreakBefore w:val="0"/>
              <w:spacing w:line="360" w:lineRule="auto"/>
              <w:shd w:val="clear" w:color="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bidi="ar-SA"/>
              </w:rPr>
              <w:t xml:space="preserve">1、</w:t>
            </w:r>
            <w:r>
              <w:rPr>
                <w:rFonts w:hint="eastAsia" w:ascii="仿宋" w:hAnsi="仿宋" w:eastAsia="仿宋" w:cs="仿宋"/>
                <w:color w:val="auto"/>
                <w:sz w:val="22"/>
                <w:szCs w:val="22"/>
                <w:highlight w:val="none"/>
              </w:rPr>
              <w:t xml:space="preserve">方案整体上完备，全面具体详实</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针对性</w:t>
            </w:r>
            <w:r>
              <w:rPr>
                <w:rFonts w:hint="eastAsia" w:ascii="仿宋" w:hAnsi="仿宋" w:eastAsia="仿宋" w:cs="仿宋"/>
                <w:color w:val="auto"/>
                <w:sz w:val="22"/>
                <w:szCs w:val="22"/>
                <w:highlight w:val="none"/>
                <w:lang w:val="en-US" w:eastAsia="zh-CN"/>
              </w:rPr>
              <w:t xml:space="preserve">强，</w:t>
            </w:r>
            <w:r>
              <w:rPr>
                <w:rFonts w:hint="eastAsia" w:ascii="仿宋" w:hAnsi="仿宋" w:eastAsia="仿宋" w:cs="仿宋"/>
                <w:color w:val="auto"/>
                <w:sz w:val="22"/>
                <w:szCs w:val="22"/>
                <w:highlight w:val="none"/>
              </w:rPr>
              <w:t xml:space="preserve">切合实际</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得10分；</w:t>
            </w:r>
            <w:r/>
          </w:p>
          <w:p>
            <w:pPr>
              <w:numPr>
                <w:ilvl w:val="0"/>
                <w:numId w:val="0"/>
              </w:numPr>
              <w:jc w:val="left"/>
              <w:keepLines w:val="0"/>
              <w:keepNext w:val="0"/>
              <w:pageBreakBefore w:val="0"/>
              <w:spacing w:line="360" w:lineRule="auto"/>
              <w:shd w:val="clear" w:color="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bidi="ar-SA"/>
              </w:rPr>
              <w:t xml:space="preserve">2、</w:t>
            </w:r>
            <w:r>
              <w:rPr>
                <w:rFonts w:hint="eastAsia" w:ascii="仿宋" w:hAnsi="仿宋" w:eastAsia="仿宋" w:cs="仿宋"/>
                <w:color w:val="auto"/>
                <w:sz w:val="22"/>
                <w:szCs w:val="22"/>
                <w:highlight w:val="none"/>
              </w:rPr>
              <w:t xml:space="preserve">方案较完备，</w:t>
            </w:r>
            <w:r>
              <w:rPr>
                <w:rFonts w:hint="eastAsia" w:ascii="仿宋" w:hAnsi="仿宋" w:eastAsia="仿宋" w:cs="仿宋"/>
                <w:color w:val="auto"/>
                <w:sz w:val="22"/>
                <w:szCs w:val="22"/>
                <w:highlight w:val="none"/>
                <w:lang w:val="en-US" w:eastAsia="zh-CN"/>
              </w:rPr>
              <w:t xml:space="preserve">内容较完整、</w:t>
            </w:r>
            <w:r>
              <w:rPr>
                <w:rFonts w:hint="eastAsia" w:ascii="仿宋" w:hAnsi="仿宋" w:eastAsia="仿宋" w:cs="仿宋"/>
                <w:color w:val="auto"/>
                <w:sz w:val="22"/>
                <w:szCs w:val="22"/>
                <w:highlight w:val="none"/>
              </w:rPr>
              <w:t xml:space="preserve">全面具体</w:t>
            </w:r>
            <w:r>
              <w:rPr>
                <w:rFonts w:hint="eastAsia" w:ascii="仿宋" w:hAnsi="仿宋" w:eastAsia="仿宋" w:cs="仿宋"/>
                <w:color w:val="auto"/>
                <w:sz w:val="22"/>
                <w:szCs w:val="22"/>
                <w:highlight w:val="none"/>
                <w:lang w:val="en-US" w:eastAsia="zh-CN"/>
              </w:rPr>
              <w:t xml:space="preserve">较</w:t>
            </w:r>
            <w:r>
              <w:rPr>
                <w:rFonts w:hint="eastAsia" w:ascii="仿宋" w:hAnsi="仿宋" w:eastAsia="仿宋" w:cs="仿宋"/>
                <w:color w:val="auto"/>
                <w:sz w:val="22"/>
                <w:szCs w:val="22"/>
                <w:highlight w:val="none"/>
              </w:rPr>
              <w:t xml:space="preserve">详实</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针对性</w:t>
            </w:r>
            <w:r>
              <w:rPr>
                <w:rFonts w:hint="eastAsia" w:ascii="仿宋" w:hAnsi="仿宋" w:eastAsia="仿宋" w:cs="仿宋"/>
                <w:color w:val="auto"/>
                <w:sz w:val="22"/>
                <w:szCs w:val="22"/>
                <w:highlight w:val="none"/>
                <w:lang w:val="en-US" w:eastAsia="zh-CN"/>
              </w:rPr>
              <w:t xml:space="preserve">较强，</w:t>
            </w:r>
            <w:r>
              <w:rPr>
                <w:rFonts w:hint="eastAsia" w:ascii="仿宋" w:hAnsi="仿宋" w:eastAsia="仿宋" w:cs="仿宋"/>
                <w:color w:val="auto"/>
                <w:sz w:val="22"/>
                <w:szCs w:val="22"/>
                <w:highlight w:val="none"/>
              </w:rPr>
              <w:t xml:space="preserve">符合</w:t>
            </w:r>
            <w:r>
              <w:rPr>
                <w:rFonts w:hint="eastAsia" w:ascii="仿宋" w:hAnsi="仿宋" w:eastAsia="仿宋" w:cs="仿宋"/>
                <w:color w:val="auto"/>
                <w:sz w:val="22"/>
                <w:szCs w:val="22"/>
                <w:highlight w:val="none"/>
                <w:lang w:eastAsia="zh-CN"/>
              </w:rPr>
              <w:t xml:space="preserve">市机关单位</w:t>
            </w:r>
            <w:r>
              <w:rPr>
                <w:rFonts w:hint="eastAsia" w:ascii="仿宋" w:hAnsi="仿宋" w:eastAsia="仿宋" w:cs="仿宋"/>
                <w:color w:val="auto"/>
                <w:sz w:val="22"/>
                <w:szCs w:val="22"/>
                <w:highlight w:val="none"/>
              </w:rPr>
              <w:t xml:space="preserve">要求</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得6分；</w:t>
            </w:r>
            <w:r/>
          </w:p>
          <w:p>
            <w:pPr>
              <w:numPr>
                <w:ilvl w:val="0"/>
                <w:numId w:val="0"/>
              </w:numPr>
              <w:jc w:val="left"/>
              <w:keepLines w:val="0"/>
              <w:keepNext w:val="0"/>
              <w:pageBreakBefore w:val="0"/>
              <w:spacing w:line="360" w:lineRule="auto"/>
              <w:shd w:val="clear" w:color="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bidi="ar-SA"/>
              </w:rPr>
              <w:t xml:space="preserve">3、</w:t>
            </w:r>
            <w:r>
              <w:rPr>
                <w:rFonts w:hint="eastAsia" w:ascii="仿宋" w:hAnsi="仿宋" w:eastAsia="仿宋" w:cs="仿宋"/>
                <w:color w:val="auto"/>
                <w:sz w:val="22"/>
                <w:szCs w:val="22"/>
                <w:highlight w:val="none"/>
              </w:rPr>
              <w:t xml:space="preserve">方案</w:t>
            </w:r>
            <w:r>
              <w:rPr>
                <w:rFonts w:hint="eastAsia" w:ascii="仿宋" w:hAnsi="仿宋" w:eastAsia="仿宋" w:cs="仿宋"/>
                <w:color w:val="auto"/>
                <w:sz w:val="22"/>
                <w:szCs w:val="22"/>
                <w:highlight w:val="none"/>
                <w:lang w:val="en-US" w:eastAsia="zh-CN"/>
              </w:rPr>
              <w:t xml:space="preserve">一般</w:t>
            </w:r>
            <w:r>
              <w:rPr>
                <w:rFonts w:hint="eastAsia" w:ascii="仿宋" w:hAnsi="仿宋" w:eastAsia="仿宋" w:cs="仿宋"/>
                <w:color w:val="auto"/>
                <w:sz w:val="22"/>
                <w:szCs w:val="22"/>
                <w:highlight w:val="none"/>
              </w:rPr>
              <w:t xml:space="preserve">，针对性</w:t>
            </w:r>
            <w:r>
              <w:rPr>
                <w:rFonts w:hint="eastAsia" w:ascii="仿宋" w:hAnsi="仿宋" w:eastAsia="仿宋" w:cs="仿宋"/>
                <w:color w:val="auto"/>
                <w:sz w:val="22"/>
                <w:szCs w:val="22"/>
                <w:highlight w:val="none"/>
                <w:lang w:val="en-US" w:eastAsia="zh-CN"/>
              </w:rPr>
              <w:t xml:space="preserve">不强，基本符合</w:t>
            </w:r>
            <w:r>
              <w:rPr>
                <w:rFonts w:hint="eastAsia" w:ascii="仿宋" w:hAnsi="仿宋" w:eastAsia="仿宋" w:cs="仿宋"/>
                <w:color w:val="auto"/>
                <w:sz w:val="22"/>
                <w:szCs w:val="22"/>
                <w:highlight w:val="none"/>
              </w:rPr>
              <w:t xml:space="preserve">要求</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得3分；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4、方案有缺陷不完备，针对性不明显，不完全符合要求，得1分。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5、不提供得0分。</w:t>
            </w:r>
            <w:r/>
          </w:p>
          <w:p>
            <w:pPr>
              <w:jc w:val="left"/>
              <w:keepLines w:val="0"/>
              <w:keepNext w:val="0"/>
              <w:pageBreakBefore w:val="0"/>
              <w:spacing w:line="360" w:lineRule="auto"/>
              <w:widowControl w:val="off"/>
              <w:rPr>
                <w:rFonts w:hint="eastAsia" w:ascii="仿宋" w:hAnsi="仿宋" w:eastAsia="仿宋" w:cs="仿宋"/>
                <w:color w:val="auto"/>
                <w:sz w:val="22"/>
                <w:szCs w:val="28"/>
                <w:highlight w:val="none"/>
                <w:lang w:val="en-US" w:eastAsia="zh-CN"/>
              </w:rPr>
            </w:pPr>
            <w:r>
              <w:rPr>
                <w:rFonts w:hint="eastAsia" w:ascii="仿宋" w:hAnsi="仿宋" w:eastAsia="仿宋" w:cs="仿宋"/>
                <w:color w:val="auto"/>
                <w:sz w:val="22"/>
                <w:szCs w:val="22"/>
                <w:highlight w:val="none"/>
                <w:lang w:val="en-US" w:eastAsia="zh-CN"/>
              </w:rPr>
              <w:t xml:space="preserve">本项最高得10分，最低得0分。</w:t>
            </w:r>
            <w:r/>
          </w:p>
        </w:tc>
      </w:tr>
      <w:tr>
        <w:trPr>
          <w:jc w:val="center"/>
          <w:trHeight w:val="0"/>
        </w:trPr>
        <w:tc>
          <w:tcPr>
            <w:tcW w:w="643" w:type="dxa"/>
            <w:vAlign w:val="center"/>
            <w:vMerge w:val="continue"/>
            <w:textDirection w:val="lrTb"/>
            <w:noWrap w:val="false"/>
          </w:tcPr>
          <w:p>
            <w:pPr>
              <w:pStyle w:val="763"/>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18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应急预案及突发事件处理</w:t>
            </w:r>
            <w:r/>
          </w:p>
          <w:p>
            <w:pPr>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12</w:t>
            </w:r>
            <w:r>
              <w:rPr>
                <w:rFonts w:hint="eastAsia" w:ascii="仿宋" w:hAnsi="仿宋" w:eastAsia="仿宋" w:cs="仿宋"/>
                <w:color w:val="auto"/>
                <w:sz w:val="22"/>
                <w:szCs w:val="22"/>
                <w:highlight w:val="none"/>
              </w:rPr>
              <w:t xml:space="preserve">分）</w:t>
            </w:r>
            <w:r/>
          </w:p>
        </w:tc>
        <w:tc>
          <w:tcPr>
            <w:tcW w:w="7809"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根据</w:t>
            </w:r>
            <w:r>
              <w:rPr>
                <w:rFonts w:hint="eastAsia" w:ascii="仿宋" w:hAnsi="仿宋" w:eastAsia="仿宋" w:cs="仿宋"/>
                <w:color w:val="auto"/>
                <w:sz w:val="22"/>
                <w:szCs w:val="28"/>
                <w:highlight w:val="none"/>
                <w:lang w:val="en-US" w:eastAsia="zh-CN"/>
              </w:rPr>
              <w:t xml:space="preserve">投标人</w:t>
            </w:r>
            <w:r>
              <w:rPr>
                <w:rFonts w:hint="eastAsia" w:ascii="仿宋" w:hAnsi="仿宋" w:eastAsia="仿宋" w:cs="仿宋"/>
                <w:color w:val="auto"/>
                <w:sz w:val="22"/>
                <w:szCs w:val="22"/>
                <w:highlight w:val="none"/>
              </w:rPr>
              <w:t xml:space="preserve">对包括节假日工作预案、重大检查活动的保障预案、突发事件的处置预案、风险承担预案等进行</w:t>
            </w:r>
            <w:r>
              <w:rPr>
                <w:rFonts w:hint="eastAsia" w:ascii="仿宋" w:hAnsi="仿宋" w:eastAsia="仿宋" w:cs="仿宋"/>
                <w:color w:val="auto"/>
                <w:sz w:val="22"/>
                <w:szCs w:val="22"/>
                <w:highlight w:val="none"/>
                <w:lang w:val="en-US" w:eastAsia="zh-CN"/>
              </w:rPr>
              <w:t xml:space="preserve">综合</w:t>
            </w:r>
            <w:r>
              <w:rPr>
                <w:rFonts w:hint="eastAsia" w:ascii="仿宋" w:hAnsi="仿宋" w:eastAsia="仿宋" w:cs="仿宋"/>
                <w:color w:val="auto"/>
                <w:sz w:val="22"/>
                <w:szCs w:val="22"/>
                <w:highlight w:val="none"/>
              </w:rPr>
              <w:t xml:space="preserve">评价。</w:t>
            </w:r>
            <w:r/>
          </w:p>
          <w:p>
            <w:pPr>
              <w:numPr>
                <w:ilvl w:val="0"/>
                <w:numId w:val="0"/>
              </w:numPr>
              <w:jc w:val="left"/>
              <w:keepLines w:val="0"/>
              <w:keepNext w:val="0"/>
              <w:pageBreakBefore w:val="0"/>
              <w:spacing w:line="360" w:lineRule="auto"/>
              <w:shd w:val="clear" w:color="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bidi="ar-SA"/>
              </w:rPr>
              <w:t xml:space="preserve">1、</w:t>
            </w:r>
            <w:r>
              <w:rPr>
                <w:rFonts w:hint="eastAsia" w:ascii="仿宋" w:hAnsi="仿宋" w:eastAsia="仿宋" w:cs="仿宋"/>
                <w:color w:val="auto"/>
                <w:sz w:val="22"/>
                <w:szCs w:val="22"/>
                <w:highlight w:val="none"/>
              </w:rPr>
              <w:t xml:space="preserve">方案整体上完备，全面具体详实</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针对性</w:t>
            </w:r>
            <w:r>
              <w:rPr>
                <w:rFonts w:hint="eastAsia" w:ascii="仿宋" w:hAnsi="仿宋" w:eastAsia="仿宋" w:cs="仿宋"/>
                <w:color w:val="auto"/>
                <w:sz w:val="22"/>
                <w:szCs w:val="22"/>
                <w:highlight w:val="none"/>
                <w:lang w:val="en-US" w:eastAsia="zh-CN"/>
              </w:rPr>
              <w:t xml:space="preserve">强，</w:t>
            </w:r>
            <w:r>
              <w:rPr>
                <w:rFonts w:hint="eastAsia" w:ascii="仿宋" w:hAnsi="仿宋" w:eastAsia="仿宋" w:cs="仿宋"/>
                <w:color w:val="auto"/>
                <w:sz w:val="22"/>
                <w:szCs w:val="22"/>
                <w:highlight w:val="none"/>
              </w:rPr>
              <w:t xml:space="preserve">切合实际</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得12分；</w:t>
            </w:r>
            <w:r/>
          </w:p>
          <w:p>
            <w:pPr>
              <w:numPr>
                <w:ilvl w:val="0"/>
                <w:numId w:val="0"/>
              </w:numPr>
              <w:jc w:val="left"/>
              <w:keepLines w:val="0"/>
              <w:keepNext w:val="0"/>
              <w:pageBreakBefore w:val="0"/>
              <w:spacing w:line="360" w:lineRule="auto"/>
              <w:shd w:val="clear" w:color="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bidi="ar-SA"/>
              </w:rPr>
              <w:t xml:space="preserve">2、</w:t>
            </w:r>
            <w:r>
              <w:rPr>
                <w:rFonts w:hint="eastAsia" w:ascii="仿宋" w:hAnsi="仿宋" w:eastAsia="仿宋" w:cs="仿宋"/>
                <w:color w:val="auto"/>
                <w:sz w:val="22"/>
                <w:szCs w:val="22"/>
                <w:highlight w:val="none"/>
              </w:rPr>
              <w:t xml:space="preserve">方案较完备，</w:t>
            </w:r>
            <w:r>
              <w:rPr>
                <w:rFonts w:hint="eastAsia" w:ascii="仿宋" w:hAnsi="仿宋" w:eastAsia="仿宋" w:cs="仿宋"/>
                <w:color w:val="auto"/>
                <w:sz w:val="22"/>
                <w:szCs w:val="22"/>
                <w:highlight w:val="none"/>
                <w:lang w:val="en-US" w:eastAsia="zh-CN"/>
              </w:rPr>
              <w:t xml:space="preserve">内容较完整、</w:t>
            </w:r>
            <w:r>
              <w:rPr>
                <w:rFonts w:hint="eastAsia" w:ascii="仿宋" w:hAnsi="仿宋" w:eastAsia="仿宋" w:cs="仿宋"/>
                <w:color w:val="auto"/>
                <w:sz w:val="22"/>
                <w:szCs w:val="22"/>
                <w:highlight w:val="none"/>
              </w:rPr>
              <w:t xml:space="preserve">全面具体</w:t>
            </w:r>
            <w:r>
              <w:rPr>
                <w:rFonts w:hint="eastAsia" w:ascii="仿宋" w:hAnsi="仿宋" w:eastAsia="仿宋" w:cs="仿宋"/>
                <w:color w:val="auto"/>
                <w:sz w:val="22"/>
                <w:szCs w:val="22"/>
                <w:highlight w:val="none"/>
                <w:lang w:val="en-US" w:eastAsia="zh-CN"/>
              </w:rPr>
              <w:t xml:space="preserve">较</w:t>
            </w:r>
            <w:r>
              <w:rPr>
                <w:rFonts w:hint="eastAsia" w:ascii="仿宋" w:hAnsi="仿宋" w:eastAsia="仿宋" w:cs="仿宋"/>
                <w:color w:val="auto"/>
                <w:sz w:val="22"/>
                <w:szCs w:val="22"/>
                <w:highlight w:val="none"/>
              </w:rPr>
              <w:t xml:space="preserve">详实</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针对性</w:t>
            </w:r>
            <w:r>
              <w:rPr>
                <w:rFonts w:hint="eastAsia" w:ascii="仿宋" w:hAnsi="仿宋" w:eastAsia="仿宋" w:cs="仿宋"/>
                <w:color w:val="auto"/>
                <w:sz w:val="22"/>
                <w:szCs w:val="22"/>
                <w:highlight w:val="none"/>
                <w:lang w:val="en-US" w:eastAsia="zh-CN"/>
              </w:rPr>
              <w:t xml:space="preserve">较强，</w:t>
            </w:r>
            <w:r>
              <w:rPr>
                <w:rFonts w:hint="eastAsia" w:ascii="仿宋" w:hAnsi="仿宋" w:eastAsia="仿宋" w:cs="仿宋"/>
                <w:color w:val="auto"/>
                <w:sz w:val="22"/>
                <w:szCs w:val="22"/>
                <w:highlight w:val="none"/>
              </w:rPr>
              <w:t xml:space="preserve">符合</w:t>
            </w:r>
            <w:r>
              <w:rPr>
                <w:rFonts w:hint="eastAsia" w:ascii="仿宋" w:hAnsi="仿宋" w:eastAsia="仿宋" w:cs="仿宋"/>
                <w:color w:val="auto"/>
                <w:sz w:val="22"/>
                <w:szCs w:val="22"/>
                <w:highlight w:val="none"/>
                <w:lang w:val="en-US" w:eastAsia="zh-CN"/>
              </w:rPr>
              <w:t xml:space="preserve">采购</w:t>
            </w:r>
            <w:r>
              <w:rPr>
                <w:rFonts w:hint="eastAsia" w:ascii="仿宋" w:hAnsi="仿宋" w:eastAsia="仿宋" w:cs="仿宋"/>
                <w:color w:val="auto"/>
                <w:sz w:val="22"/>
                <w:szCs w:val="22"/>
                <w:highlight w:val="none"/>
                <w:lang w:eastAsia="zh-CN"/>
              </w:rPr>
              <w:t xml:space="preserve">单位</w:t>
            </w:r>
            <w:r>
              <w:rPr>
                <w:rFonts w:hint="eastAsia" w:ascii="仿宋" w:hAnsi="仿宋" w:eastAsia="仿宋" w:cs="仿宋"/>
                <w:color w:val="auto"/>
                <w:sz w:val="22"/>
                <w:szCs w:val="22"/>
                <w:highlight w:val="none"/>
              </w:rPr>
              <w:t xml:space="preserve">要求</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得8分；</w:t>
            </w:r>
            <w:r/>
          </w:p>
          <w:p>
            <w:pPr>
              <w:numPr>
                <w:ilvl w:val="0"/>
                <w:numId w:val="0"/>
              </w:numPr>
              <w:jc w:val="left"/>
              <w:keepLines w:val="0"/>
              <w:keepNext w:val="0"/>
              <w:pageBreakBefore w:val="0"/>
              <w:spacing w:line="360" w:lineRule="auto"/>
              <w:shd w:val="clear" w:color="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bidi="ar-SA"/>
              </w:rPr>
              <w:t xml:space="preserve">3、</w:t>
            </w:r>
            <w:r>
              <w:rPr>
                <w:rFonts w:hint="eastAsia" w:ascii="仿宋" w:hAnsi="仿宋" w:eastAsia="仿宋" w:cs="仿宋"/>
                <w:color w:val="auto"/>
                <w:sz w:val="22"/>
                <w:szCs w:val="22"/>
                <w:highlight w:val="none"/>
              </w:rPr>
              <w:t xml:space="preserve">方案</w:t>
            </w:r>
            <w:r>
              <w:rPr>
                <w:rFonts w:hint="eastAsia" w:ascii="仿宋" w:hAnsi="仿宋" w:eastAsia="仿宋" w:cs="仿宋"/>
                <w:color w:val="auto"/>
                <w:sz w:val="22"/>
                <w:szCs w:val="22"/>
                <w:highlight w:val="none"/>
                <w:lang w:val="en-US" w:eastAsia="zh-CN"/>
              </w:rPr>
              <w:t xml:space="preserve">一般</w:t>
            </w:r>
            <w:r>
              <w:rPr>
                <w:rFonts w:hint="eastAsia" w:ascii="仿宋" w:hAnsi="仿宋" w:eastAsia="仿宋" w:cs="仿宋"/>
                <w:color w:val="auto"/>
                <w:sz w:val="22"/>
                <w:szCs w:val="22"/>
                <w:highlight w:val="none"/>
              </w:rPr>
              <w:t xml:space="preserve">，针对性</w:t>
            </w:r>
            <w:r>
              <w:rPr>
                <w:rFonts w:hint="eastAsia" w:ascii="仿宋" w:hAnsi="仿宋" w:eastAsia="仿宋" w:cs="仿宋"/>
                <w:color w:val="auto"/>
                <w:sz w:val="22"/>
                <w:szCs w:val="22"/>
                <w:highlight w:val="none"/>
                <w:lang w:val="en-US" w:eastAsia="zh-CN"/>
              </w:rPr>
              <w:t xml:space="preserve">不强，基本符合</w:t>
            </w:r>
            <w:r>
              <w:rPr>
                <w:rFonts w:hint="eastAsia" w:ascii="仿宋" w:hAnsi="仿宋" w:eastAsia="仿宋" w:cs="仿宋"/>
                <w:color w:val="auto"/>
                <w:sz w:val="22"/>
                <w:szCs w:val="22"/>
                <w:highlight w:val="none"/>
              </w:rPr>
              <w:t xml:space="preserve">要求</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得4分；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4、方案有缺陷不完备，针对性不明显，不完全符合要求，得1分。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5、不提供得0分。</w:t>
            </w:r>
            <w:r/>
          </w:p>
          <w:p>
            <w:pPr>
              <w:jc w:val="left"/>
              <w:keepLines w:val="0"/>
              <w:keepNext w:val="0"/>
              <w:pageBreakBefore w:val="0"/>
              <w:spacing w:line="360" w:lineRule="auto"/>
              <w:widowControl w:val="off"/>
              <w:rPr>
                <w:rFonts w:hint="eastAsia" w:ascii="仿宋" w:hAnsi="仿宋" w:eastAsia="仿宋" w:cs="仿宋"/>
                <w:b/>
                <w:bCs/>
                <w:color w:val="auto"/>
                <w:sz w:val="22"/>
                <w:szCs w:val="22"/>
                <w:highlight w:val="none"/>
                <w:lang w:bidi="hi-IN"/>
              </w:rPr>
            </w:pPr>
            <w:r>
              <w:rPr>
                <w:rFonts w:hint="eastAsia" w:ascii="仿宋" w:hAnsi="仿宋" w:eastAsia="仿宋" w:cs="仿宋"/>
                <w:color w:val="auto"/>
                <w:sz w:val="22"/>
                <w:szCs w:val="22"/>
                <w:highlight w:val="none"/>
                <w:lang w:val="en-US" w:eastAsia="zh-CN"/>
              </w:rPr>
              <w:t xml:space="preserve">本项最高得12分，最低得0分。</w:t>
            </w:r>
            <w:r/>
          </w:p>
        </w:tc>
      </w:tr>
      <w:tr>
        <w:trPr>
          <w:jc w:val="center"/>
          <w:trHeight w:val="0"/>
        </w:trPr>
        <w:tc>
          <w:tcPr>
            <w:tcW w:w="643" w:type="dxa"/>
            <w:vAlign w:val="center"/>
            <w:vMerge w:val="continue"/>
            <w:textDirection w:val="lrTb"/>
            <w:noWrap w:val="false"/>
          </w:tcPr>
          <w:p>
            <w:pPr>
              <w:pStyle w:val="763"/>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18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培训及奖惩措施</w:t>
            </w:r>
            <w:r/>
          </w:p>
          <w:p>
            <w:pPr>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p>
        </w:tc>
        <w:tc>
          <w:tcPr>
            <w:tcW w:w="7809"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根据供应商提供的</w:t>
            </w:r>
            <w:r>
              <w:rPr>
                <w:rFonts w:hint="eastAsia" w:ascii="仿宋" w:hAnsi="仿宋" w:eastAsia="仿宋" w:cs="仿宋"/>
                <w:color w:val="auto"/>
                <w:sz w:val="22"/>
                <w:szCs w:val="22"/>
                <w:highlight w:val="none"/>
              </w:rPr>
              <w:t xml:space="preserve">针对本项目人员培训方案及员工奖惩措施等进行</w:t>
            </w:r>
            <w:r>
              <w:rPr>
                <w:rFonts w:hint="eastAsia" w:ascii="仿宋" w:hAnsi="仿宋" w:eastAsia="仿宋" w:cs="仿宋"/>
                <w:color w:val="auto"/>
                <w:sz w:val="22"/>
                <w:szCs w:val="22"/>
                <w:highlight w:val="none"/>
                <w:lang w:val="en-US" w:eastAsia="zh-CN"/>
              </w:rPr>
              <w:t xml:space="preserve">综合</w:t>
            </w:r>
            <w:r>
              <w:rPr>
                <w:rFonts w:hint="eastAsia" w:ascii="仿宋" w:hAnsi="仿宋" w:eastAsia="仿宋" w:cs="仿宋"/>
                <w:color w:val="auto"/>
                <w:sz w:val="22"/>
                <w:szCs w:val="22"/>
                <w:highlight w:val="none"/>
              </w:rPr>
              <w:t xml:space="preserve">评价</w:t>
            </w:r>
            <w:r>
              <w:rPr>
                <w:rFonts w:hint="eastAsia" w:ascii="仿宋" w:hAnsi="仿宋" w:eastAsia="仿宋" w:cs="仿宋"/>
                <w:color w:val="auto"/>
                <w:sz w:val="22"/>
                <w:szCs w:val="22"/>
                <w:highlight w:val="none"/>
                <w:lang w:eastAsia="zh-CN"/>
              </w:rPr>
              <w:t xml:space="preserve">。</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培训</w:t>
            </w:r>
            <w:r>
              <w:rPr>
                <w:rFonts w:hint="eastAsia" w:ascii="仿宋" w:hAnsi="仿宋" w:eastAsia="仿宋" w:cs="仿宋"/>
                <w:color w:val="auto"/>
                <w:sz w:val="22"/>
                <w:szCs w:val="22"/>
                <w:highlight w:val="none"/>
                <w:lang w:val="en-US" w:eastAsia="zh-CN"/>
              </w:rPr>
              <w:t xml:space="preserve">计划</w:t>
            </w:r>
            <w:r>
              <w:rPr>
                <w:rFonts w:hint="eastAsia" w:ascii="仿宋" w:hAnsi="仿宋" w:eastAsia="仿宋" w:cs="仿宋"/>
                <w:color w:val="auto"/>
                <w:sz w:val="22"/>
                <w:szCs w:val="22"/>
                <w:highlight w:val="none"/>
              </w:rPr>
              <w:t xml:space="preserve">及员工奖惩措施全面具体详实</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b w:val="0"/>
                <w:bCs w:val="0"/>
                <w:color w:val="auto"/>
                <w:sz w:val="22"/>
                <w:szCs w:val="22"/>
                <w:highlight w:val="none"/>
              </w:rPr>
              <w:t xml:space="preserve">有针对性的培训方案、</w:t>
            </w:r>
            <w:r>
              <w:rPr>
                <w:rFonts w:hint="eastAsia" w:ascii="仿宋" w:hAnsi="仿宋" w:eastAsia="仿宋" w:cs="仿宋"/>
                <w:color w:val="auto"/>
                <w:sz w:val="22"/>
                <w:szCs w:val="22"/>
                <w:highlight w:val="none"/>
                <w:lang w:val="en-US" w:eastAsia="zh-CN"/>
              </w:rPr>
              <w:t xml:space="preserve">措施科学有效，</w:t>
            </w:r>
            <w:r>
              <w:rPr>
                <w:rFonts w:hint="eastAsia" w:ascii="仿宋" w:hAnsi="仿宋" w:eastAsia="仿宋" w:cs="仿宋"/>
                <w:color w:val="auto"/>
                <w:sz w:val="22"/>
                <w:szCs w:val="22"/>
                <w:highlight w:val="none"/>
              </w:rPr>
              <w:t xml:space="preserve">得</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培训</w:t>
            </w:r>
            <w:r>
              <w:rPr>
                <w:rFonts w:hint="eastAsia" w:ascii="仿宋" w:hAnsi="仿宋" w:eastAsia="仿宋" w:cs="仿宋"/>
                <w:color w:val="auto"/>
                <w:sz w:val="22"/>
                <w:szCs w:val="22"/>
                <w:highlight w:val="none"/>
                <w:lang w:val="en-US" w:eastAsia="zh-CN"/>
              </w:rPr>
              <w:t xml:space="preserve">计划</w:t>
            </w:r>
            <w:r>
              <w:rPr>
                <w:rFonts w:hint="eastAsia" w:ascii="仿宋" w:hAnsi="仿宋" w:eastAsia="仿宋" w:cs="仿宋"/>
                <w:color w:val="auto"/>
                <w:sz w:val="22"/>
                <w:szCs w:val="22"/>
                <w:highlight w:val="none"/>
              </w:rPr>
              <w:t xml:space="preserve">及员工奖惩措施较全面详实</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培训方案针对性有欠缺，</w:t>
            </w:r>
            <w:r>
              <w:rPr>
                <w:rFonts w:hint="eastAsia" w:ascii="仿宋" w:hAnsi="仿宋" w:eastAsia="仿宋" w:cs="仿宋"/>
                <w:color w:val="auto"/>
                <w:sz w:val="22"/>
                <w:szCs w:val="22"/>
                <w:highlight w:val="none"/>
              </w:rPr>
              <w:t xml:space="preserve">得</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培训</w:t>
            </w:r>
            <w:r>
              <w:rPr>
                <w:rFonts w:hint="eastAsia" w:ascii="仿宋" w:hAnsi="仿宋" w:eastAsia="仿宋" w:cs="仿宋"/>
                <w:color w:val="auto"/>
                <w:sz w:val="22"/>
                <w:szCs w:val="22"/>
                <w:highlight w:val="none"/>
                <w:lang w:val="en-US" w:eastAsia="zh-CN"/>
              </w:rPr>
              <w:t xml:space="preserve">计划</w:t>
            </w:r>
            <w:r>
              <w:rPr>
                <w:rFonts w:hint="eastAsia" w:ascii="仿宋" w:hAnsi="仿宋" w:eastAsia="仿宋" w:cs="仿宋"/>
                <w:color w:val="auto"/>
                <w:sz w:val="22"/>
                <w:szCs w:val="22"/>
                <w:highlight w:val="none"/>
              </w:rPr>
              <w:t xml:space="preserve">及员工奖惩措施全面性</w:t>
            </w:r>
            <w:r>
              <w:rPr>
                <w:rFonts w:hint="eastAsia" w:ascii="仿宋" w:hAnsi="仿宋" w:eastAsia="仿宋" w:cs="仿宋"/>
                <w:color w:val="auto"/>
                <w:sz w:val="22"/>
                <w:szCs w:val="22"/>
                <w:highlight w:val="none"/>
                <w:lang w:val="en-US" w:eastAsia="zh-CN"/>
              </w:rPr>
              <w:t xml:space="preserve">一般，对培训方案针对性不够明确，</w:t>
            </w:r>
            <w:r>
              <w:rPr>
                <w:rFonts w:hint="eastAsia" w:ascii="仿宋" w:hAnsi="仿宋" w:eastAsia="仿宋" w:cs="仿宋"/>
                <w:color w:val="auto"/>
                <w:sz w:val="22"/>
                <w:szCs w:val="22"/>
                <w:highlight w:val="none"/>
              </w:rPr>
              <w:t xml:space="preserve">得</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培训</w:t>
            </w:r>
            <w:r>
              <w:rPr>
                <w:rFonts w:hint="eastAsia" w:ascii="仿宋" w:hAnsi="仿宋" w:eastAsia="仿宋" w:cs="仿宋"/>
                <w:color w:val="auto"/>
                <w:sz w:val="22"/>
                <w:szCs w:val="22"/>
                <w:highlight w:val="none"/>
                <w:lang w:val="en-US" w:eastAsia="zh-CN"/>
              </w:rPr>
              <w:t xml:space="preserve">计划方案</w:t>
            </w:r>
            <w:r>
              <w:rPr>
                <w:rFonts w:hint="eastAsia" w:ascii="仿宋" w:hAnsi="仿宋" w:eastAsia="仿宋" w:cs="仿宋"/>
                <w:color w:val="auto"/>
                <w:sz w:val="22"/>
                <w:szCs w:val="22"/>
                <w:highlight w:val="none"/>
              </w:rPr>
              <w:t xml:space="preserve">及员工奖惩措施</w:t>
            </w:r>
            <w:r>
              <w:rPr>
                <w:rFonts w:hint="eastAsia" w:ascii="仿宋" w:hAnsi="仿宋" w:eastAsia="仿宋" w:cs="仿宋"/>
                <w:color w:val="auto"/>
                <w:sz w:val="22"/>
                <w:szCs w:val="22"/>
                <w:highlight w:val="none"/>
                <w:lang w:eastAsia="zh-CN"/>
              </w:rPr>
              <w:t xml:space="preserve">内容</w:t>
            </w:r>
            <w:r>
              <w:rPr>
                <w:rFonts w:hint="eastAsia" w:ascii="仿宋" w:hAnsi="仿宋" w:eastAsia="仿宋" w:cs="仿宋"/>
                <w:color w:val="auto"/>
                <w:sz w:val="22"/>
                <w:szCs w:val="22"/>
                <w:highlight w:val="none"/>
                <w:lang w:val="en-US" w:eastAsia="zh-CN"/>
              </w:rPr>
              <w:t xml:space="preserve">提供，但有</w:t>
            </w:r>
            <w:r>
              <w:rPr>
                <w:rFonts w:hint="eastAsia" w:ascii="仿宋" w:hAnsi="仿宋" w:eastAsia="仿宋" w:cs="仿宋"/>
                <w:color w:val="auto"/>
                <w:sz w:val="22"/>
                <w:szCs w:val="22"/>
                <w:highlight w:val="none"/>
                <w:lang w:eastAsia="zh-CN"/>
              </w:rPr>
              <w:t xml:space="preserve">缺陷的，得</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5、此项</w:t>
            </w:r>
            <w:r>
              <w:rPr>
                <w:rFonts w:hint="eastAsia" w:ascii="仿宋" w:hAnsi="仿宋" w:eastAsia="仿宋" w:cs="仿宋"/>
                <w:color w:val="auto"/>
                <w:sz w:val="22"/>
                <w:szCs w:val="22"/>
                <w:highlight w:val="none"/>
                <w:lang w:eastAsia="zh-CN"/>
              </w:rPr>
              <w:t xml:space="preserve">无内容的得0分。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本项最高得</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最低</w:t>
            </w:r>
            <w:r>
              <w:rPr>
                <w:rFonts w:hint="eastAsia" w:ascii="仿宋" w:hAnsi="仿宋" w:eastAsia="仿宋" w:cs="仿宋"/>
                <w:color w:val="auto"/>
                <w:sz w:val="22"/>
                <w:szCs w:val="22"/>
                <w:highlight w:val="none"/>
                <w:lang w:eastAsia="zh-CN"/>
              </w:rPr>
              <w:t xml:space="preserve">得0分</w:t>
            </w:r>
            <w:r>
              <w:rPr>
                <w:rFonts w:hint="eastAsia" w:ascii="仿宋" w:hAnsi="仿宋" w:eastAsia="仿宋" w:cs="仿宋"/>
                <w:color w:val="auto"/>
                <w:sz w:val="22"/>
                <w:szCs w:val="22"/>
                <w:highlight w:val="none"/>
              </w:rPr>
              <w:t xml:space="preserve">。</w:t>
            </w:r>
            <w:r/>
          </w:p>
        </w:tc>
      </w:tr>
      <w:tr>
        <w:trPr>
          <w:jc w:val="center"/>
          <w:trHeight w:val="0"/>
        </w:trPr>
        <w:tc>
          <w:tcPr>
            <w:tcW w:w="643" w:type="dxa"/>
            <w:vAlign w:val="center"/>
            <w:vMerge w:val="continue"/>
            <w:textDirection w:val="lrTb"/>
            <w:noWrap w:val="false"/>
          </w:tcPr>
          <w:p>
            <w:pPr>
              <w:pStyle w:val="763"/>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18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内部管理</w:t>
            </w:r>
            <w:r/>
          </w:p>
          <w:p>
            <w:pPr>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制度</w:t>
            </w:r>
            <w:r/>
          </w:p>
          <w:p>
            <w:pPr>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p>
        </w:tc>
        <w:tc>
          <w:tcPr>
            <w:tcW w:w="7809"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根据供应商</w:t>
            </w:r>
            <w:r>
              <w:rPr>
                <w:rFonts w:hint="eastAsia" w:ascii="仿宋" w:hAnsi="仿宋" w:eastAsia="仿宋" w:cs="仿宋"/>
                <w:color w:val="auto"/>
                <w:sz w:val="22"/>
                <w:szCs w:val="22"/>
                <w:highlight w:val="none"/>
              </w:rPr>
              <w:t xml:space="preserve">对内部管理制度进行</w:t>
            </w:r>
            <w:r>
              <w:rPr>
                <w:rFonts w:hint="eastAsia" w:ascii="仿宋" w:hAnsi="仿宋" w:eastAsia="仿宋" w:cs="仿宋"/>
                <w:color w:val="auto"/>
                <w:sz w:val="22"/>
                <w:szCs w:val="22"/>
                <w:highlight w:val="none"/>
                <w:lang w:val="en-US" w:eastAsia="zh-CN"/>
              </w:rPr>
              <w:t xml:space="preserve">综合</w:t>
            </w:r>
            <w:r>
              <w:rPr>
                <w:rFonts w:hint="eastAsia" w:ascii="仿宋" w:hAnsi="仿宋" w:eastAsia="仿宋" w:cs="仿宋"/>
                <w:color w:val="auto"/>
                <w:sz w:val="22"/>
                <w:szCs w:val="22"/>
                <w:highlight w:val="none"/>
              </w:rPr>
              <w:t xml:space="preserve">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1、提供的</w:t>
            </w:r>
            <w:r>
              <w:rPr>
                <w:rFonts w:hint="eastAsia" w:ascii="仿宋" w:hAnsi="仿宋" w:eastAsia="仿宋" w:cs="仿宋"/>
                <w:color w:val="auto"/>
                <w:sz w:val="22"/>
                <w:szCs w:val="22"/>
                <w:highlight w:val="none"/>
              </w:rPr>
              <w:t xml:space="preserve">管理制度完备，考核严谨</w:t>
            </w:r>
            <w:r>
              <w:rPr>
                <w:rFonts w:hint="eastAsia" w:ascii="仿宋" w:hAnsi="仿宋" w:eastAsia="仿宋" w:cs="仿宋"/>
                <w:color w:val="auto"/>
                <w:sz w:val="22"/>
                <w:szCs w:val="22"/>
                <w:highlight w:val="none"/>
                <w:lang w:val="en-US" w:eastAsia="zh-CN" w:bidi="ar-SA"/>
              </w:rPr>
              <w:t xml:space="preserve">，针对性强，组织架构齐全，管理措施科学有效，方案全面细致的，得6分；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2、提供的管理制度较齐全，考核严格，有组织架构，管理措施较科学有效，方案较全面细致的，得4分；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bidi="ar-SA"/>
              </w:rPr>
              <w:t xml:space="preserve">3、提供有管理制度，能进行考核，有组织架构，管理措施不全面细致，得3分；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4、提供管理制度、考核，组织架构，管理措施针对性较差的，得1分；</w:t>
            </w:r>
            <w:r/>
          </w:p>
          <w:p>
            <w:pPr>
              <w:pStyle w:val="763"/>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5、此项</w:t>
            </w:r>
            <w:r>
              <w:rPr>
                <w:rFonts w:hint="eastAsia" w:ascii="仿宋" w:hAnsi="仿宋" w:eastAsia="仿宋" w:cs="仿宋"/>
                <w:color w:val="auto"/>
                <w:sz w:val="22"/>
                <w:szCs w:val="22"/>
                <w:highlight w:val="none"/>
                <w:lang w:eastAsia="zh-CN"/>
              </w:rPr>
              <w:t xml:space="preserve">无内容的得0分。</w:t>
            </w:r>
            <w:r/>
          </w:p>
          <w:p>
            <w:pPr>
              <w:pStyle w:val="732"/>
              <w:ind w:left="0" w:firstLine="0"/>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本项最高得</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最低得0分</w:t>
            </w:r>
            <w:r>
              <w:rPr>
                <w:rFonts w:hint="eastAsia" w:ascii="仿宋" w:hAnsi="仿宋" w:eastAsia="仿宋" w:cs="仿宋"/>
                <w:color w:val="auto"/>
                <w:sz w:val="22"/>
                <w:szCs w:val="22"/>
                <w:highlight w:val="none"/>
              </w:rPr>
              <w:t xml:space="preserve">。</w:t>
            </w:r>
            <w:r/>
          </w:p>
        </w:tc>
      </w:tr>
    </w:tbl>
    <w:p>
      <w:pPr>
        <w:jc w:val="left"/>
        <w:widowControl/>
        <w:rPr>
          <w:rFonts w:hint="eastAsia" w:ascii="仿宋" w:hAnsi="仿宋" w:eastAsia="仿宋" w:cs="仿宋"/>
          <w:b/>
          <w:color w:val="auto"/>
          <w:sz w:val="24"/>
          <w:highlight w:val="none"/>
        </w:rPr>
      </w:pPr>
      <w:r>
        <w:rPr>
          <w:rFonts w:hint="eastAsia" w:ascii="仿宋" w:hAnsi="仿宋" w:eastAsia="仿宋" w:cs="仿宋"/>
          <w:color w:val="auto"/>
          <w:sz w:val="24"/>
          <w:szCs w:val="24"/>
          <w:highlight w:val="none"/>
          <w:lang w:eastAsia="zh-CN"/>
        </w:rPr>
        <w:t xml:space="preserve">本章说明：</w:t>
      </w:r>
      <w:r/>
    </w:p>
    <w:p>
      <w:pPr>
        <w:ind w:firstLine="241"/>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1、本项目采用综合评分法。</w:t>
      </w:r>
      <w:r/>
    </w:p>
    <w:p>
      <w:pPr>
        <w:ind w:firstLine="241"/>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2、评分结果精确到小数点后两位。</w:t>
      </w:r>
      <w:r/>
    </w:p>
    <w:p>
      <w:pPr>
        <w:ind w:firstLine="241"/>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241"/>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241"/>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241"/>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241"/>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numPr>
          <w:ilvl w:val="0"/>
          <w:numId w:val="0"/>
        </w:numPr>
        <w:jc w:val="center"/>
        <w:widowControl/>
        <w:rPr>
          <w:rFonts w:hint="default" w:ascii="仿宋" w:hAnsi="仿宋" w:eastAsia="仿宋" w:cs="仿宋"/>
          <w:b/>
          <w:bCs/>
          <w:color w:val="auto"/>
          <w:sz w:val="30"/>
          <w:szCs w:val="30"/>
          <w:lang w:val="en-US" w:eastAsia="zh-CN" w:bidi="ar-SA"/>
        </w:rPr>
      </w:pPr>
      <w:r>
        <w:rPr>
          <w:rFonts w:hint="eastAsia" w:ascii="仿宋" w:hAnsi="仿宋" w:eastAsia="仿宋" w:cs="仿宋"/>
          <w:b/>
          <w:bCs/>
          <w:color w:val="auto"/>
          <w:sz w:val="30"/>
          <w:szCs w:val="30"/>
          <w:lang w:val="en-US" w:eastAsia="zh-CN" w:bidi="ar-SA"/>
        </w:rPr>
        <w:t xml:space="preserve">第五章  采购合同范本</w:t>
      </w:r>
      <w:r/>
    </w:p>
    <w:p>
      <w:pPr>
        <w:ind w:left="0" w:right="6" w:firstLine="0"/>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p>
      <w:pPr>
        <w:ind w:left="0" w:right="6" w:firstLine="0"/>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p>
      <w:pPr>
        <w:jc w:val="center"/>
        <w:spacing w:before="210" w:after="12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highlight w:val="none"/>
        </w:rPr>
        <w:t xml:space="preserve">政</w:t>
      </w:r>
      <w:r/>
    </w:p>
    <w:p>
      <w:pPr>
        <w:jc w:val="center"/>
        <w:spacing w:before="210" w:after="12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highlight w:val="none"/>
        </w:rPr>
        <w:t xml:space="preserve">府</w:t>
      </w:r>
      <w:r/>
    </w:p>
    <w:p>
      <w:pPr>
        <w:jc w:val="center"/>
        <w:spacing w:before="210" w:after="12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highlight w:val="none"/>
        </w:rPr>
        <w:t xml:space="preserve">采</w:t>
      </w:r>
      <w:r/>
    </w:p>
    <w:p>
      <w:pPr>
        <w:jc w:val="center"/>
        <w:spacing w:before="210" w:after="12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highlight w:val="none"/>
        </w:rPr>
        <w:t xml:space="preserve">购</w:t>
      </w:r>
      <w:r/>
    </w:p>
    <w:p>
      <w:pPr>
        <w:jc w:val="center"/>
        <w:spacing w:before="210" w:after="12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highlight w:val="none"/>
        </w:rPr>
        <w:t xml:space="preserve">合</w:t>
      </w:r>
      <w:r/>
    </w:p>
    <w:p>
      <w:pPr>
        <w:jc w:val="center"/>
        <w:spacing w:before="210" w:after="120"/>
        <w:rPr>
          <w:rFonts w:hint="eastAsia" w:ascii="仿宋" w:hAnsi="仿宋" w:eastAsia="仿宋" w:cs="仿宋"/>
          <w:color w:val="auto"/>
          <w:sz w:val="7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highlight w:val="none"/>
        </w:rPr>
        <w:t xml:space="preserve">同</w:t>
      </w:r>
      <w:r/>
    </w:p>
    <w:p>
      <w:pPr>
        <w:spacing w:before="210" w:after="120"/>
        <w:rPr>
          <w:rFonts w:hint="eastAsia" w:ascii="方正仿宋_GB2312" w:hAnsi="方正仿宋_GB2312" w:eastAsia="方正仿宋_GB2312" w:cs="方正仿宋_GB2312"/>
          <w:color w:val="auto"/>
          <w:sz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4"/>
          <w:highlight w:val="none"/>
        </w:rPr>
        <w:t xml:space="preserve">采购人</w:t>
      </w:r>
      <w:r>
        <w:rPr>
          <w:rFonts w:hint="eastAsia" w:ascii="方正仿宋_GB2312" w:hAnsi="方正仿宋_GB2312" w:eastAsia="方正仿宋_GB2312" w:cs="方正仿宋_GB2312"/>
          <w:b/>
          <w:color w:val="auto"/>
          <w:sz w:val="24"/>
          <w:highlight w:val="none"/>
          <w:lang w:eastAsia="zh-CN"/>
        </w:rPr>
        <w:t xml:space="preserve">（甲方）</w:t>
      </w:r>
      <w:r>
        <w:rPr>
          <w:rFonts w:hint="eastAsia" w:ascii="方正仿宋_GB2312" w:hAnsi="方正仿宋_GB2312" w:eastAsia="方正仿宋_GB2312" w:cs="方正仿宋_GB2312"/>
          <w:b/>
          <w:color w:val="auto"/>
          <w:sz w:val="24"/>
          <w:highlight w:val="none"/>
        </w:rPr>
        <w:t xml:space="preserve">：</w:t>
      </w:r>
      <w:r/>
    </w:p>
    <w:p>
      <w:pPr>
        <w:spacing w:before="210" w:after="120"/>
        <w:rPr>
          <w:rFonts w:hint="eastAsia" w:ascii="方正仿宋_GB2312" w:hAnsi="方正仿宋_GB2312" w:eastAsia="方正仿宋_GB2312" w:cs="方正仿宋_GB2312"/>
          <w:color w:val="auto"/>
          <w:sz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4"/>
          <w:highlight w:val="none"/>
        </w:rPr>
        <w:t xml:space="preserve">中标人（乙方）：</w:t>
      </w:r>
      <w:r/>
    </w:p>
    <w:p>
      <w:pPr>
        <w:spacing w:before="210" w:after="120"/>
        <w:rPr>
          <w:rFonts w:hint="eastAsia" w:ascii="方正仿宋_GB2312" w:hAnsi="方正仿宋_GB2312" w:eastAsia="方正仿宋_GB2312" w:cs="方正仿宋_GB2312"/>
          <w:color w:val="auto"/>
          <w:sz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4"/>
          <w:highlight w:val="none"/>
        </w:rPr>
        <w:t xml:space="preserve">合同签订日期：  年  月  日</w:t>
      </w:r>
      <w:r/>
    </w:p>
    <w:p>
      <w:pPr>
        <w:ind w:firstLine="480"/>
        <w:spacing w:line="608"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友情提醒：采购人与中标、成交供应商应当在中标、成交通知书发出之日起三十日内，按照采购文件确定的事项签订政府采购合同。</w:t>
      </w:r>
      <w:r/>
    </w:p>
    <w:p>
      <w:pPr>
        <w:ind w:firstLine="480"/>
        <w:spacing w:line="608" w:lineRule="exact"/>
        <w:rPr>
          <w:rFonts w:hint="eastAsia" w:ascii="仿宋_GB2312" w:hAnsi="仿宋_GB2312" w:eastAsia="仿宋_GB2312" w:cs="仿宋_GB2312"/>
          <w:color w:val="auto"/>
          <w:sz w:val="28"/>
          <w:szCs w:val="36"/>
          <w:highlight w:val="none"/>
        </w:rPr>
      </w:pPr>
      <w:r>
        <w:rPr>
          <w:rFonts w:hint="eastAsia" w:ascii="仿宋" w:hAnsi="仿宋" w:eastAsia="仿宋" w:cs="仿宋"/>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6" w:firstLine="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321"/>
        <w:spacing w:before="0" w:beforeAutospacing="0" w:after="200" w:afterAutospacing="0" w:line="276" w:lineRule="auto"/>
        <w:widowControl/>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r>
      <w:r/>
    </w:p>
    <w:p>
      <w:pPr>
        <w:ind w:firstLine="321"/>
        <w:spacing w:before="0" w:beforeAutospacing="0" w:after="200" w:afterAutospacing="0" w:line="276" w:lineRule="auto"/>
        <w:widowControl/>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32"/>
          <w:szCs w:val="32"/>
          <w:lang w:val="en-US" w:eastAsia="zh-CN" w:bidi="ar-SA"/>
        </w:rPr>
        <w:br w:type="page" w:clear="all"/>
      </w:r>
      <w:r>
        <w:rPr>
          <w:rFonts w:hint="eastAsia" w:ascii="仿宋" w:hAnsi="仿宋" w:eastAsia="仿宋" w:cs="仿宋"/>
          <w:b/>
          <w:bCs/>
          <w:color w:val="auto"/>
          <w:sz w:val="24"/>
          <w:szCs w:val="24"/>
          <w:lang w:val="en-US" w:eastAsia="zh-CN" w:bidi="ar-SA"/>
        </w:rPr>
        <w:t xml:space="preserve">甲方:</w:t>
      </w:r>
      <w:r>
        <w:rPr>
          <w:rFonts w:hint="eastAsia" w:ascii="仿宋" w:hAnsi="仿宋" w:eastAsia="仿宋" w:cs="仿宋"/>
          <w:b/>
          <w:bCs/>
          <w:color w:val="auto"/>
          <w:sz w:val="24"/>
          <w:szCs w:val="24"/>
          <w:u w:val="single"/>
          <w:lang w:val="en-US" w:eastAsia="zh-CN" w:bidi="ar-SA"/>
        </w:rPr>
        <w:t xml:space="preserve">睢宁县高作镇人民政府</w:t>
      </w:r>
      <w:r>
        <w:rPr>
          <w:rFonts w:hint="eastAsia" w:ascii="仿宋" w:hAnsi="仿宋" w:eastAsia="仿宋" w:cs="仿宋"/>
          <w:b/>
          <w:bCs/>
          <w:color w:val="auto"/>
          <w:sz w:val="24"/>
          <w:szCs w:val="24"/>
          <w:lang w:val="en-US" w:eastAsia="zh-CN" w:bidi="ar-SA"/>
        </w:rPr>
        <w:t xml:space="preserve"> </w:t>
      </w:r>
      <w:r/>
    </w:p>
    <w:p>
      <w:pPr>
        <w:ind w:firstLine="321"/>
        <w:spacing w:before="0" w:beforeAutospacing="0" w:after="200" w:afterAutospacing="0" w:line="276" w:lineRule="auto"/>
        <w:widowControl/>
        <w:rPr>
          <w:rFonts w:hint="eastAsia" w:ascii="仿宋" w:hAnsi="仿宋" w:eastAsia="仿宋" w:cs="仿宋"/>
          <w:b/>
          <w:bCs/>
          <w:color w:val="auto"/>
          <w:sz w:val="24"/>
          <w:szCs w:val="24"/>
          <w:u w:val="single"/>
          <w:lang w:val="en-US" w:eastAsia="zh-CN" w:bidi="ar-SA"/>
        </w:rPr>
      </w:pPr>
      <w:r>
        <w:rPr>
          <w:rFonts w:hint="eastAsia" w:ascii="仿宋" w:hAnsi="仿宋" w:eastAsia="仿宋" w:cs="仿宋"/>
          <w:b/>
          <w:bCs/>
          <w:color w:val="auto"/>
          <w:sz w:val="24"/>
          <w:szCs w:val="24"/>
          <w:lang w:val="en-US" w:eastAsia="zh-CN" w:bidi="ar-SA"/>
        </w:rPr>
        <w:t xml:space="preserve">乙方:</w:t>
      </w:r>
      <w:r>
        <w:rPr>
          <w:rFonts w:hint="eastAsia" w:ascii="仿宋" w:hAnsi="仿宋" w:eastAsia="仿宋" w:cs="仿宋"/>
          <w:b/>
          <w:bCs/>
          <w:color w:val="auto"/>
          <w:sz w:val="24"/>
          <w:szCs w:val="24"/>
          <w:u w:val="single"/>
          <w:lang w:val="en-US" w:eastAsia="zh-CN" w:bidi="ar-SA"/>
        </w:rPr>
        <w:t xml:space="preserve">                    </w:t>
      </w:r>
      <w:r/>
    </w:p>
    <w:p>
      <w:pPr>
        <w:ind w:firstLine="640"/>
        <w:keepLines w:val="0"/>
        <w:keepNext w:val="0"/>
        <w:pageBreakBefore w:val="0"/>
        <w:spacing w:before="0" w:beforeAutospacing="0" w:after="20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甲、乙双方根据项目编号</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的</w:t>
      </w:r>
      <w:r>
        <w:rPr>
          <w:rFonts w:hint="eastAsia" w:ascii="仿宋" w:hAnsi="仿宋" w:eastAsia="仿宋" w:cs="仿宋"/>
          <w:color w:val="auto"/>
          <w:sz w:val="24"/>
          <w:szCs w:val="24"/>
          <w:highlight w:val="none"/>
          <w:u w:val="single"/>
          <w:lang w:val="en-US" w:eastAsia="zh-CN" w:bidi="ar-SA"/>
        </w:rPr>
        <w:t xml:space="preserve">   </w:t>
      </w:r>
      <w:bookmarkStart w:id="4" w:name="_GoBack"/>
      <w:r/>
      <w:bookmarkEnd w:id="4"/>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lang w:val="en-US" w:eastAsia="zh-CN" w:bidi="ar-SA"/>
        </w:rPr>
        <w:t xml:space="preserve">采购项目招标采购结果及招标文件的要求，为了推行睢宁县城镇环卫全域市场化运作，甲乙双方依据《中华人民共和国民法典》 、《徐州市容和环境卫生管理条例》《江苏省城市环境卫生作业服务质量标准》等相关文件及有关法律、法规，结合本项目作业区当前道路保洁、村庄保洁、垃圾转运等现状，甲乙双方恪守公平、公正、诚信的原则，经协商一致，达成如下采购合同：双方共同遵守。 </w:t>
      </w:r>
      <w:r/>
    </w:p>
    <w:p>
      <w:pPr>
        <w:keepLines w:val="0"/>
        <w:keepNext w:val="0"/>
        <w:pageBreakBefore w:val="0"/>
        <w:spacing w:before="0" w:beforeAutospacing="0" w:after="20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一、保洁范围及质量标准</w:t>
      </w:r>
      <w:r/>
    </w:p>
    <w:p>
      <w:pPr>
        <w:keepLines w:val="0"/>
        <w:keepNext w:val="0"/>
        <w:pageBreakBefore w:val="0"/>
        <w:spacing w:before="0" w:beforeAutospacing="0" w:after="200" w:afterAutospacing="0"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lang w:val="en-US" w:eastAsia="zh-CN" w:bidi="ar-SA"/>
        </w:rPr>
        <w:t xml:space="preserve">  </w:t>
      </w:r>
      <w:r>
        <w:rPr>
          <w:rFonts w:hint="eastAsia" w:ascii="仿宋" w:hAnsi="仿宋" w:eastAsia="仿宋" w:cs="仿宋"/>
          <w:b/>
          <w:bCs/>
          <w:color w:val="auto"/>
          <w:sz w:val="24"/>
          <w:szCs w:val="24"/>
          <w:lang w:val="en-US" w:eastAsia="zh-CN" w:bidi="ar-SA"/>
        </w:rPr>
        <w:t xml:space="preserve">（一）保洁范围</w:t>
      </w:r>
      <w:r/>
    </w:p>
    <w:p>
      <w:pPr>
        <w:ind w:firstLine="641"/>
        <w:keepLines w:val="0"/>
        <w:keepNext w:val="0"/>
        <w:pageBreakBefore w:val="0"/>
        <w:spacing w:before="0" w:beforeAutospacing="0" w:after="20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对睢宁县高作镇人民政府指定区域的范围进行保洁服务或绿化养护服务。</w:t>
      </w:r>
      <w:r/>
    </w:p>
    <w:p>
      <w:pPr>
        <w:ind w:firstLine="641"/>
        <w:keepLines w:val="0"/>
        <w:keepNext w:val="0"/>
        <w:pageBreakBefore w:val="0"/>
        <w:spacing w:before="0" w:beforeAutospacing="0" w:after="20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（1）托管主次干道约为86826平方米（以实际交付测量面积为准）；</w:t>
      </w:r>
      <w:r/>
    </w:p>
    <w:p>
      <w:pPr>
        <w:ind w:firstLine="641"/>
        <w:keepLines w:val="0"/>
        <w:keepNext w:val="0"/>
        <w:pageBreakBefore w:val="0"/>
        <w:spacing w:before="0" w:beforeAutospacing="0" w:after="20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（2）托管公园、绿化带、树木约为24445平方米（以实际交付测量面积为准）；</w:t>
      </w:r>
      <w:r/>
    </w:p>
    <w:p>
      <w:pPr>
        <w:ind w:firstLine="641"/>
        <w:keepLines w:val="0"/>
        <w:keepNext w:val="0"/>
        <w:pageBreakBefore w:val="0"/>
        <w:spacing w:before="0" w:beforeAutospacing="0" w:after="20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（3）公厕保洁（负责常态化保洁和日常工具及消杀用品、日常维修，共计5个公厕，以实际交付为准）；</w:t>
      </w:r>
      <w:r/>
    </w:p>
    <w:p>
      <w:pPr>
        <w:ind w:firstLine="641"/>
        <w:keepLines w:val="0"/>
        <w:keepNext w:val="0"/>
        <w:pageBreakBefore w:val="0"/>
        <w:spacing w:before="0" w:beforeAutospacing="0" w:after="20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（4）垃圾中转站托管（含人工、电费、保养）。</w:t>
      </w:r>
      <w:r/>
    </w:p>
    <w:p>
      <w:pPr>
        <w:keepLines w:val="0"/>
        <w:keepNext w:val="0"/>
        <w:pageBreakBefore w:val="0"/>
        <w:spacing w:before="0" w:beforeAutospacing="0" w:after="200" w:afterAutospacing="0" w:line="240" w:lineRule="auto"/>
        <w:widowControl/>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（二）质量标准</w:t>
      </w:r>
      <w:r/>
    </w:p>
    <w:p>
      <w:pPr>
        <w:ind w:firstLine="321"/>
        <w:keepLines w:val="0"/>
        <w:keepNext w:val="0"/>
        <w:pageBreakBefore w:val="0"/>
        <w:spacing w:before="0" w:beforeAutospacing="0" w:after="200" w:afterAutospacing="0" w:line="240" w:lineRule="auto"/>
        <w:widowControl/>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1、时间要求</w:t>
      </w:r>
      <w:r/>
    </w:p>
    <w:p>
      <w:pPr>
        <w:ind w:firstLine="640"/>
        <w:keepLines w:val="0"/>
        <w:keepNext w:val="0"/>
        <w:pageBreakBefore w:val="0"/>
        <w:spacing w:before="0" w:beforeAutospacing="0" w:after="200" w:afterAutospacing="0" w:line="240" w:lineRule="auto"/>
        <w:widowControl/>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bidi="ar-SA"/>
        </w:rPr>
        <w:t xml:space="preserve">根据春夏秋冬季节不同，合理安排作业时间，确保满足甲方要求。作业时间内保洁人员统一着反光保洁服，保洁工具齐全、保持干净整洁。</w:t>
      </w:r>
      <w:r>
        <w:rPr>
          <w:highlight w:val="white"/>
        </w:rPr>
      </w:r>
      <w:r/>
    </w:p>
    <w:p>
      <w:pPr>
        <w:ind w:firstLine="321"/>
        <w:keepLines w:val="0"/>
        <w:keepNext w:val="0"/>
        <w:pageBreakBefore w:val="0"/>
        <w:spacing w:before="0" w:beforeAutospacing="0" w:after="200" w:afterAutospacing="0" w:line="240" w:lineRule="auto"/>
        <w:widowControl/>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2、保洁要求</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道路普扫，道路及两侧、公共场所保持无垃圾，无果皮纸屑，侧石无积泥积灰，并确保路面及路肩无杂草树叶、无碎砖乱石；遇雨天，侧石应无积水。路面不得有明显不洁或漏扫垃圾。镇区路面洒水车每天2次洒水和冲洗路面（雨雪、冰冻天气除外）；特殊情况下，雾炮车应对镇区主次干道进行降温、降尘等作业。</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2）未硬化道路、闲置地块（空地）即无垃圾、无卫生死角。 </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3）道路、街巷、街道边沟内无污泥、垃圾、杂草;确保下水道井盖及雨水箅子完整。 </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4）加强道路清扫保洁或巡回保洁的力度，无脱岗偷懒现象，路面无零星垃圾、杂草等。</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5）道路两侧绿化带（池）内围无垃圾、无杂物；电线杆、墙体张贴的纸质小广告及时清理。</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6）严格遵守劳动纪律，准时上下班，不脱岗、不迟到、早退、偷懒、捡垃圾，工作时间不聚众闲谈。作业时，应穿反光背。</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7）文明作业，优质服务，清扫作业时注意不将垃圾、污水溅到行人身上， 不将垃圾扫入或倒入窨井、河道、绿化。</w:t>
      </w:r>
      <w:r/>
    </w:p>
    <w:p>
      <w:pPr>
        <w:ind w:firstLine="321"/>
        <w:keepLines w:val="0"/>
        <w:keepNext w:val="0"/>
        <w:pageBreakBefore w:val="0"/>
        <w:spacing w:before="0" w:beforeAutospacing="0" w:after="200" w:afterAutospacing="0" w:line="240" w:lineRule="auto"/>
        <w:widowControl/>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3、垃圾桶的保洁要求：</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定时对垃圾桶/箱进行擦洗，确保垃圾桶/箱外观整洁、摆放整齐、无垃圾外溢现象，垃圾桶/箱周围无散落垃圾；4-10 月份期间，对托管范围内的垃圾桶/箱进行药物消杀，破损垃圾桶应及时更换。</w:t>
      </w:r>
      <w:r/>
    </w:p>
    <w:p>
      <w:pPr>
        <w:ind w:firstLine="321"/>
        <w:keepLines w:val="0"/>
        <w:keepNext w:val="0"/>
        <w:pageBreakBefore w:val="0"/>
        <w:spacing w:before="0" w:beforeAutospacing="0" w:after="200" w:afterAutospacing="0" w:line="240" w:lineRule="auto"/>
        <w:widowControl/>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4、垃圾清运的要求：</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所有垃圾桶/箱及时清理，做到不溢桶/箱，垃圾日产日清，车走地净；车容整洁，车体外无污物、灰垢，标识清晰，密闭运输，无洒、漏、抛现象；垃圾必须按照规定运输至中转站，不得随意倾倒，每日清运不少于2次。</w:t>
      </w:r>
      <w:r/>
    </w:p>
    <w:p>
      <w:pPr>
        <w:ind w:firstLine="321"/>
        <w:keepLines w:val="0"/>
        <w:keepNext w:val="0"/>
        <w:pageBreakBefore w:val="0"/>
        <w:spacing w:before="0" w:beforeAutospacing="0" w:after="200" w:afterAutospacing="0" w:line="240" w:lineRule="auto"/>
        <w:widowControl/>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5、公厕保洁的要求：</w:t>
      </w:r>
      <w:r/>
    </w:p>
    <w:p>
      <w:pPr>
        <w:ind w:firstLine="640"/>
        <w:keepLines w:val="0"/>
        <w:keepNext w:val="0"/>
        <w:pageBreakBefore w:val="0"/>
        <w:spacing w:before="0" w:beforeAutospacing="0" w:after="20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公厕要求建立健全日常管护机制，有专人管理，内部设施齐全完好，通水通电，标识规范，制度上墙，内外环境干净整洁有序无异味，无野广告和乱贴乱画，在明显位置公示管理、服务信息，化粪池及时清运无外溢。</w:t>
      </w:r>
      <w:r/>
    </w:p>
    <w:p>
      <w:pPr>
        <w:ind w:firstLine="321"/>
        <w:keepLines w:val="0"/>
        <w:keepNext w:val="0"/>
        <w:pageBreakBefore w:val="0"/>
        <w:spacing w:before="0" w:beforeAutospacing="0" w:after="200" w:afterAutospacing="0" w:line="240" w:lineRule="auto"/>
        <w:widowControl/>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6、协调配合工作要求：</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配合采购人切实履行垃圾分类工作乙方应尽义务，协助完成垃圾分类达标创建工作任务。</w:t>
      </w:r>
      <w:r/>
    </w:p>
    <w:p>
      <w:pPr>
        <w:ind w:firstLine="321"/>
        <w:keepLines w:val="0"/>
        <w:keepNext w:val="0"/>
        <w:pageBreakBefore w:val="0"/>
        <w:spacing w:before="0" w:beforeAutospacing="0" w:after="200" w:afterAutospacing="0" w:line="240" w:lineRule="auto"/>
        <w:widowControl/>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7、紧急事件的处理和重大活动的保障工作要求：</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中标人应提前做好可预见性的紧急事件和突发事件的处理预案，如重大活动的环卫保障、冬季积雪清除等，按照采购人规定的时间和要求做好各项环卫保障工作及重大活动的环境卫生保障工作，在遇到大型活动时，应根据工作需要增加人员以及延长保洁时间。</w:t>
      </w:r>
      <w:r/>
    </w:p>
    <w:p>
      <w:pPr>
        <w:keepLines w:val="0"/>
        <w:keepNext w:val="0"/>
        <w:pageBreakBefore w:val="0"/>
        <w:spacing w:before="0" w:beforeAutospacing="0" w:after="200" w:afterAutospacing="0" w:line="240" w:lineRule="auto"/>
        <w:widowControl/>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二、服务酬金</w:t>
      </w:r>
      <w:r/>
    </w:p>
    <w:p>
      <w:pPr>
        <w:ind w:firstLine="480"/>
        <w:keepLines w:val="0"/>
        <w:keepNext w:val="0"/>
        <w:pageBreakBefore w:val="0"/>
        <w:spacing w:before="0" w:beforeAutospacing="0" w:after="200" w:afterAutospacing="0" w:line="240" w:lineRule="auto"/>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lang w:val="zh-CN" w:eastAsia="zh-CN" w:bidi="ar-SA"/>
        </w:rPr>
        <w:t xml:space="preserve">1）保洁服务费用为</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zh-CN" w:eastAsia="zh-CN" w:bidi="ar-SA"/>
        </w:rPr>
        <w:t xml:space="preserve">元/年；</w:t>
      </w:r>
      <w:r/>
    </w:p>
    <w:p>
      <w:pPr>
        <w:ind w:firstLine="480"/>
        <w:keepLines w:val="0"/>
        <w:keepNext w:val="0"/>
        <w:pageBreakBefore w:val="0"/>
        <w:spacing w:before="0" w:beforeAutospacing="0" w:after="200" w:afterAutospacing="0" w:line="240" w:lineRule="auto"/>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eastAsia="zh-CN" w:bidi="ar-SA"/>
        </w:rPr>
        <w:t xml:space="preserve">（2）公厕费用为：</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zh-CN" w:eastAsia="zh-CN" w:bidi="ar-SA"/>
        </w:rPr>
        <w:t xml:space="preserve">元/年；</w:t>
      </w:r>
      <w:r/>
    </w:p>
    <w:p>
      <w:pPr>
        <w:ind w:firstLine="480"/>
        <w:keepLines w:val="0"/>
        <w:keepNext w:val="0"/>
        <w:pageBreakBefore w:val="0"/>
        <w:spacing w:before="0" w:beforeAutospacing="0" w:after="200" w:afterAutospacing="0" w:line="240" w:lineRule="auto"/>
        <w:widowControl/>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 合计保洁服务费用为</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元/年。本合同总金额为人民币大写金额</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元（小写金额： </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元）。</w:t>
      </w:r>
      <w:r/>
    </w:p>
    <w:p>
      <w:pPr>
        <w:keepLines w:val="0"/>
        <w:keepNext w:val="0"/>
        <w:pageBreakBefore w:val="0"/>
        <w:spacing w:before="0" w:beforeAutospacing="0" w:after="200" w:afterAutospacing="0" w:line="240" w:lineRule="auto"/>
        <w:widowControl/>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三、支付方式</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经双方协商一致，付款方式为： </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t xml:space="preserve">合同期内，保洁承包费用按月结算，由镇级月度检查考核后，于次月20日之前完成结算拨付</w:t>
      </w:r>
      <w:r>
        <w:rPr>
          <w:rFonts w:hint="eastAsia" w:ascii="仿宋" w:hAnsi="仿宋" w:eastAsia="仿宋" w:cs="仿宋"/>
          <w:color w:val="auto"/>
          <w:sz w:val="24"/>
          <w:szCs w:val="24"/>
          <w:highlight w:val="none"/>
          <w:lang w:val="en-US" w:eastAsia="zh-CN" w:bidi="ar-SA"/>
        </w:rPr>
        <w:t xml:space="preserve">。甲方收到乙方开具的发票按程序报批后及时向乙方支付服务费用。 </w:t>
      </w:r>
      <w:r/>
    </w:p>
    <w:p>
      <w:pPr>
        <w:keepLines w:val="0"/>
        <w:keepNext w:val="0"/>
        <w:pageBreakBefore w:val="0"/>
        <w:spacing w:before="183" w:beforeAutospacing="0" w:after="200" w:afterAutospacing="0" w:line="240" w:lineRule="auto"/>
        <w:widowControl/>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highlight w:val="none"/>
          <w:lang w:val="en-US" w:eastAsia="zh-CN" w:bidi="ar-SA"/>
        </w:rPr>
        <w:t xml:space="preserve">四、项目服</w:t>
      </w:r>
      <w:r>
        <w:rPr>
          <w:rFonts w:hint="eastAsia" w:ascii="仿宋" w:hAnsi="仿宋" w:eastAsia="仿宋" w:cs="仿宋"/>
          <w:b/>
          <w:bCs/>
          <w:color w:val="auto"/>
          <w:sz w:val="24"/>
          <w:szCs w:val="24"/>
          <w:lang w:val="en-US" w:eastAsia="zh-CN" w:bidi="ar-SA"/>
        </w:rPr>
        <w:t xml:space="preserve">务期限</w:t>
      </w:r>
      <w:r/>
    </w:p>
    <w:p>
      <w:pPr>
        <w:ind w:firstLine="640"/>
        <w:keepLines w:val="0"/>
        <w:keepNext w:val="0"/>
        <w:pageBreakBefore w:val="0"/>
        <w:spacing w:before="0" w:beforeAutospacing="0" w:after="20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本项目服务期限为3年。本次服务期限自    年  月    日起至     年   月   日止。</w:t>
      </w:r>
      <w:r/>
    </w:p>
    <w:p>
      <w:pPr>
        <w:keepLines w:val="0"/>
        <w:keepNext w:val="0"/>
        <w:pageBreakBefore w:val="0"/>
        <w:spacing w:before="0" w:beforeAutospacing="0" w:after="200" w:afterAutospacing="0" w:line="240" w:lineRule="auto"/>
        <w:widowControl/>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五、甲方的权利和义务</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eastAsia="zh-CN" w:bidi="ar-SA"/>
        </w:rPr>
        <w:t xml:space="preserve">1、甲方有权对保洁托管范围内的环卫保洁工作进行监督、检查。</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eastAsia="zh-CN" w:bidi="ar-SA"/>
        </w:rPr>
        <w:t xml:space="preserve">2、甲方按照双方约定的、合理的服务标准检查考核，对于不达标的，按照考核办法进行处罚</w:t>
      </w:r>
      <w:r>
        <w:rPr>
          <w:rFonts w:hint="eastAsia" w:ascii="仿宋" w:hAnsi="仿宋" w:eastAsia="仿宋" w:cs="仿宋"/>
          <w:strike w:val="0"/>
          <w:color w:val="auto"/>
          <w:sz w:val="24"/>
          <w:szCs w:val="24"/>
          <w:lang w:val="zh-CN" w:eastAsia="zh-CN" w:bidi="ar-SA"/>
        </w:rPr>
        <w:t xml:space="preserve">，并</w:t>
      </w:r>
      <w:r>
        <w:rPr>
          <w:rFonts w:hint="eastAsia" w:ascii="仿宋" w:hAnsi="仿宋" w:eastAsia="仿宋" w:cs="仿宋"/>
          <w:strike w:val="0"/>
          <w:color w:val="auto"/>
          <w:sz w:val="24"/>
          <w:szCs w:val="24"/>
        </w:rPr>
        <w:t xml:space="preserve">有权要求乙方返工，直至达到质量标准</w:t>
      </w:r>
      <w:r>
        <w:rPr>
          <w:rFonts w:hint="eastAsia" w:ascii="仿宋" w:hAnsi="仿宋" w:eastAsia="仿宋" w:cs="仿宋"/>
          <w:color w:val="auto"/>
          <w:sz w:val="24"/>
          <w:szCs w:val="24"/>
          <w:lang w:val="zh-CN" w:eastAsia="zh-CN" w:bidi="ar-SA"/>
        </w:rPr>
        <w:t xml:space="preserve">。</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eastAsia="zh-CN" w:bidi="ar-SA"/>
        </w:rPr>
        <w:t xml:space="preserve">3、甲方有权对乙方聘用的人员及购置的设备进行核查，有权监督乙方工资发放，如未按协议足额配置设施、及时发放工资，将按照考核办法进行处理。</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4</w:t>
      </w:r>
      <w:r>
        <w:rPr>
          <w:rFonts w:hint="eastAsia" w:ascii="仿宋" w:hAnsi="仿宋" w:eastAsia="仿宋" w:cs="仿宋"/>
          <w:color w:val="auto"/>
          <w:sz w:val="24"/>
          <w:szCs w:val="24"/>
          <w:lang w:val="zh-CN" w:eastAsia="zh-CN" w:bidi="ar-SA"/>
        </w:rPr>
        <w:t xml:space="preserve">、有权制定相应管理措施、监督检查标准等，以保证乙方按照合同及其双方议定</w:t>
      </w:r>
      <w:r>
        <w:rPr>
          <w:rFonts w:hint="eastAsia" w:ascii="仿宋" w:hAnsi="仿宋" w:eastAsia="仿宋" w:cs="仿宋"/>
          <w:color w:val="auto"/>
          <w:sz w:val="24"/>
          <w:szCs w:val="24"/>
          <w:lang w:val="en-US" w:eastAsia="zh-CN" w:bidi="ar-SA"/>
        </w:rPr>
        <w:t xml:space="preserve">的</w:t>
      </w:r>
      <w:r>
        <w:rPr>
          <w:rFonts w:hint="eastAsia" w:ascii="仿宋" w:hAnsi="仿宋" w:eastAsia="仿宋" w:cs="仿宋"/>
          <w:color w:val="auto"/>
          <w:sz w:val="24"/>
          <w:szCs w:val="24"/>
          <w:lang w:val="zh-CN" w:eastAsia="zh-CN" w:bidi="ar-SA"/>
        </w:rPr>
        <w:t xml:space="preserve">要求运作。</w:t>
      </w:r>
      <w:r>
        <w:rPr>
          <w:rFonts w:hint="eastAsia" w:ascii="仿宋" w:hAnsi="仿宋" w:eastAsia="仿宋" w:cs="仿宋"/>
          <w:color w:val="auto"/>
          <w:sz w:val="24"/>
          <w:szCs w:val="24"/>
          <w:lang w:val="en-US" w:eastAsia="zh-CN" w:bidi="ar-SA"/>
        </w:rPr>
        <w:t xml:space="preserve">   </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en-US" w:eastAsia="zh-CN" w:bidi="ar-SA"/>
        </w:rPr>
        <w:t xml:space="preserve">5</w:t>
      </w:r>
      <w:r>
        <w:rPr>
          <w:rFonts w:hint="eastAsia" w:ascii="仿宋" w:hAnsi="仿宋" w:eastAsia="仿宋" w:cs="仿宋"/>
          <w:color w:val="auto"/>
          <w:sz w:val="24"/>
          <w:szCs w:val="24"/>
          <w:lang w:val="zh-CN" w:eastAsia="zh-CN" w:bidi="ar-SA"/>
        </w:rPr>
        <w:t xml:space="preserve">、甲方负责协助乙方，本着方便居民、便于投放、便于清运的原则，</w:t>
      </w:r>
      <w:r>
        <w:rPr>
          <w:rFonts w:hint="eastAsia" w:ascii="仿宋" w:hAnsi="仿宋" w:eastAsia="仿宋" w:cs="仿宋"/>
          <w:color w:val="auto"/>
          <w:sz w:val="24"/>
          <w:szCs w:val="24"/>
          <w:lang w:val="en-US" w:eastAsia="zh-CN" w:bidi="ar-SA"/>
        </w:rPr>
        <w:t xml:space="preserve">合理安排，集中</w:t>
      </w:r>
      <w:r>
        <w:rPr>
          <w:rFonts w:hint="eastAsia" w:ascii="仿宋" w:hAnsi="仿宋" w:eastAsia="仿宋" w:cs="仿宋"/>
          <w:color w:val="auto"/>
          <w:sz w:val="24"/>
          <w:szCs w:val="24"/>
          <w:lang w:val="zh-CN" w:eastAsia="zh-CN" w:bidi="ar-SA"/>
        </w:rPr>
        <w:t xml:space="preserve">投放。甲方给乙方提供垃圾中转站，保证乙方收运垃圾能顺利进站。</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en-US" w:eastAsia="zh-CN" w:bidi="ar-SA"/>
        </w:rPr>
        <w:t xml:space="preserve">6</w:t>
      </w:r>
      <w:r>
        <w:rPr>
          <w:rFonts w:hint="eastAsia" w:ascii="仿宋" w:hAnsi="仿宋" w:eastAsia="仿宋" w:cs="仿宋"/>
          <w:color w:val="auto"/>
          <w:sz w:val="24"/>
          <w:szCs w:val="24"/>
          <w:lang w:val="zh-CN" w:eastAsia="zh-CN" w:bidi="ar-SA"/>
        </w:rPr>
        <w:t xml:space="preserve">、事业单位的生活垃圾由乙方负责清运，但垃圾产生量较大需另行增加垃圾桶的，由单位自行购置；企业单位生活垃圾（含生产经营性垃圾，不含有毒有害及建筑垃圾）需要乙方点对点清运，甲方负责协调纳入有偿服务范围，具体费用由乙方与企事业单位协商。</w:t>
      </w:r>
      <w:r/>
    </w:p>
    <w:p>
      <w:pPr>
        <w:ind w:firstLine="640"/>
        <w:keepLines w:val="0"/>
        <w:keepNext w:val="0"/>
        <w:pageBreakBefore w:val="0"/>
        <w:spacing w:before="0" w:beforeAutospacing="0" w:afterAutospacing="0" w:line="240" w:lineRule="auto"/>
        <w:widowControl/>
        <w:rPr>
          <w:rFonts w:hint="eastAsia" w:ascii="仿宋" w:hAnsi="仿宋" w:eastAsia="仿宋" w:cs="仿宋"/>
          <w:strike/>
          <w:color w:val="auto"/>
          <w:sz w:val="24"/>
          <w:szCs w:val="24"/>
          <w:highlight w:val="red"/>
          <w:lang w:val="zh-CN" w:eastAsia="zh-CN" w:bidi="ar-SA"/>
        </w:rPr>
      </w:pPr>
      <w:r>
        <w:rPr>
          <w:rFonts w:hint="eastAsia" w:ascii="仿宋" w:hAnsi="仿宋" w:eastAsia="仿宋" w:cs="仿宋"/>
          <w:color w:val="auto"/>
          <w:sz w:val="24"/>
          <w:szCs w:val="24"/>
          <w:lang w:val="en-US" w:eastAsia="zh-CN" w:bidi="ar-SA"/>
        </w:rPr>
        <w:t xml:space="preserve">7</w:t>
      </w:r>
      <w:r>
        <w:rPr>
          <w:rFonts w:hint="eastAsia" w:ascii="仿宋" w:hAnsi="仿宋" w:eastAsia="仿宋" w:cs="仿宋"/>
          <w:color w:val="auto"/>
          <w:sz w:val="24"/>
          <w:szCs w:val="24"/>
          <w:lang w:val="zh-CN" w:eastAsia="zh-CN" w:bidi="ar-SA"/>
        </w:rPr>
        <w:t xml:space="preserve">、甲方负责按照约定的拨款时间及时拨付托管费用。</w:t>
      </w:r>
      <w:r/>
    </w:p>
    <w:p>
      <w:pPr>
        <w:keepLines w:val="0"/>
        <w:keepNext w:val="0"/>
        <w:pageBreakBefore w:val="0"/>
        <w:spacing w:before="0" w:beforeAutospacing="0" w:after="200" w:afterAutospacing="0" w:line="240" w:lineRule="auto"/>
        <w:widowControl/>
        <w:rPr>
          <w:rFonts w:hint="eastAsia" w:ascii="仿宋" w:hAnsi="仿宋" w:eastAsia="仿宋" w:cs="仿宋"/>
          <w:b/>
          <w:bCs/>
          <w:color w:val="auto"/>
          <w:sz w:val="24"/>
          <w:szCs w:val="24"/>
          <w:lang w:val="zh-CN" w:eastAsia="zh-CN" w:bidi="ar-SA"/>
        </w:rPr>
      </w:pPr>
      <w:r>
        <w:rPr>
          <w:rFonts w:hint="eastAsia" w:ascii="仿宋" w:hAnsi="仿宋" w:eastAsia="仿宋" w:cs="仿宋"/>
          <w:b/>
          <w:bCs/>
          <w:color w:val="auto"/>
          <w:sz w:val="24"/>
          <w:szCs w:val="24"/>
          <w:lang w:val="en-US" w:eastAsia="zh-CN" w:bidi="ar-SA"/>
        </w:rPr>
        <w:t xml:space="preserve">六、乙方的权利和义务 </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eastAsia="zh-CN" w:bidi="ar-SA"/>
        </w:rPr>
        <w:t xml:space="preserve">1、乙方全权负责管理员、作业人员的招聘和岗位确定，全权负责对各级管理、作业人员的聘用考核和奖惩解聘。</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highlight w:val="none"/>
          <w:lang w:val="zh-CN" w:eastAsia="zh-CN" w:bidi="ar-SA"/>
        </w:rPr>
        <w:t xml:space="preserve">2、乙</w:t>
      </w:r>
      <w:r>
        <w:rPr>
          <w:rFonts w:hint="eastAsia" w:ascii="仿宋" w:hAnsi="仿宋" w:eastAsia="仿宋" w:cs="仿宋"/>
          <w:color w:val="auto"/>
          <w:sz w:val="24"/>
          <w:szCs w:val="24"/>
          <w:lang w:val="zh-CN" w:eastAsia="zh-CN" w:bidi="ar-SA"/>
        </w:rPr>
        <w:t xml:space="preserve">方负责在镇区建立项目部，派驻管理人员指导开展环境整治工作</w:t>
      </w:r>
      <w:r>
        <w:rPr>
          <w:rFonts w:hint="eastAsia" w:ascii="仿宋" w:hAnsi="仿宋" w:eastAsia="仿宋" w:cs="仿宋"/>
          <w:color w:val="auto"/>
          <w:sz w:val="24"/>
          <w:szCs w:val="24"/>
          <w:lang w:val="zh-CN" w:eastAsia="zh-CN" w:bidi="ar-SA"/>
        </w:rPr>
        <w:t xml:space="preserve">。</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en-US" w:eastAsia="zh-CN" w:bidi="ar-SA"/>
        </w:rPr>
        <w:t xml:space="preserve">3</w:t>
      </w:r>
      <w:r>
        <w:rPr>
          <w:rFonts w:hint="eastAsia" w:ascii="仿宋" w:hAnsi="仿宋" w:eastAsia="仿宋" w:cs="仿宋"/>
          <w:color w:val="auto"/>
          <w:sz w:val="24"/>
          <w:szCs w:val="24"/>
          <w:lang w:val="zh-CN" w:eastAsia="zh-CN" w:bidi="ar-SA"/>
        </w:rPr>
        <w:t xml:space="preserve">、乙方</w:t>
      </w:r>
      <w:r>
        <w:rPr>
          <w:rFonts w:hint="eastAsia" w:ascii="仿宋" w:hAnsi="仿宋" w:eastAsia="仿宋" w:cs="仿宋"/>
          <w:color w:val="auto"/>
          <w:sz w:val="24"/>
          <w:szCs w:val="24"/>
          <w:lang w:val="en-US" w:eastAsia="zh-CN" w:bidi="ar-SA"/>
        </w:rPr>
        <w:t xml:space="preserve">配置</w:t>
      </w:r>
      <w:r>
        <w:rPr>
          <w:rFonts w:hint="eastAsia" w:ascii="仿宋" w:hAnsi="仿宋" w:eastAsia="仿宋" w:cs="仿宋"/>
          <w:color w:val="auto"/>
          <w:sz w:val="24"/>
          <w:szCs w:val="24"/>
          <w:lang w:val="zh-CN" w:eastAsia="zh-CN" w:bidi="ar-SA"/>
        </w:rPr>
        <w:t xml:space="preserve">洒水车（</w:t>
      </w:r>
      <w:r>
        <w:rPr>
          <w:rFonts w:hint="eastAsia" w:ascii="仿宋" w:hAnsi="仿宋" w:eastAsia="仿宋" w:cs="仿宋"/>
          <w:color w:val="auto"/>
          <w:sz w:val="24"/>
          <w:szCs w:val="24"/>
          <w:lang w:val="en-US" w:eastAsia="zh-CN" w:bidi="ar-SA"/>
        </w:rPr>
        <w:t xml:space="preserve">含雾炮</w:t>
      </w:r>
      <w:r>
        <w:rPr>
          <w:rFonts w:hint="eastAsia" w:ascii="仿宋" w:hAnsi="仿宋" w:eastAsia="仿宋" w:cs="仿宋"/>
          <w:color w:val="auto"/>
          <w:sz w:val="24"/>
          <w:szCs w:val="24"/>
          <w:lang w:val="zh-CN" w:eastAsia="zh-CN" w:bidi="ar-SA"/>
        </w:rPr>
        <w:t xml:space="preserve">）一辆，所有费用自理（含油耗、工人工资、保险费用、</w:t>
      </w:r>
      <w:r>
        <w:rPr>
          <w:rFonts w:hint="eastAsia" w:ascii="仿宋" w:hAnsi="仿宋" w:eastAsia="仿宋" w:cs="仿宋"/>
          <w:color w:val="auto"/>
          <w:sz w:val="24"/>
          <w:szCs w:val="24"/>
          <w:lang w:val="en-US" w:eastAsia="zh-CN" w:bidi="ar-SA"/>
        </w:rPr>
        <w:t xml:space="preserve">维修保养、安全责任</w:t>
      </w:r>
      <w:r>
        <w:rPr>
          <w:rFonts w:hint="eastAsia" w:ascii="仿宋" w:hAnsi="仿宋" w:eastAsia="仿宋" w:cs="仿宋"/>
          <w:color w:val="auto"/>
          <w:sz w:val="24"/>
          <w:szCs w:val="24"/>
          <w:lang w:val="zh-CN" w:eastAsia="zh-CN" w:bidi="ar-SA"/>
        </w:rPr>
        <w:t xml:space="preserve">等），为高作镇保洁专用并按指定地点停放。如遇特殊情况，甲方临时在镇区用洒水车，乙方服从安排和调配。</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en-US" w:eastAsia="zh-CN" w:bidi="ar-SA"/>
        </w:rPr>
        <w:t xml:space="preserve">4</w:t>
      </w:r>
      <w:r>
        <w:rPr>
          <w:rFonts w:hint="eastAsia" w:ascii="仿宋" w:hAnsi="仿宋" w:eastAsia="仿宋" w:cs="仿宋"/>
          <w:color w:val="auto"/>
          <w:sz w:val="24"/>
          <w:szCs w:val="24"/>
          <w:lang w:val="zh-CN" w:eastAsia="zh-CN" w:bidi="ar-SA"/>
        </w:rPr>
        <w:t xml:space="preserve">、乙方配置</w:t>
      </w:r>
      <w:r>
        <w:rPr>
          <w:rFonts w:hint="eastAsia" w:ascii="仿宋" w:hAnsi="仿宋" w:eastAsia="仿宋" w:cs="仿宋"/>
          <w:color w:val="auto"/>
          <w:sz w:val="24"/>
          <w:szCs w:val="24"/>
          <w:highlight w:val="none"/>
          <w:lang w:val="zh-CN" w:eastAsia="zh-CN" w:bidi="ar-SA"/>
        </w:rPr>
        <w:t xml:space="preserve">封闭</w:t>
      </w:r>
      <w:r>
        <w:rPr>
          <w:rFonts w:hint="eastAsia" w:ascii="仿宋" w:hAnsi="仿宋" w:eastAsia="仿宋" w:cs="仿宋"/>
          <w:color w:val="auto"/>
          <w:sz w:val="24"/>
          <w:szCs w:val="24"/>
          <w:highlight w:val="none"/>
          <w:lang w:val="en-US" w:eastAsia="zh-CN" w:bidi="ar-SA"/>
        </w:rPr>
        <w:t xml:space="preserve">压缩式</w:t>
      </w:r>
      <w:r>
        <w:rPr>
          <w:rFonts w:hint="eastAsia" w:ascii="仿宋" w:hAnsi="仿宋" w:eastAsia="仿宋" w:cs="仿宋"/>
          <w:color w:val="auto"/>
          <w:sz w:val="24"/>
          <w:szCs w:val="24"/>
          <w:highlight w:val="none"/>
          <w:lang w:val="zh-CN" w:eastAsia="zh-CN" w:bidi="ar-SA"/>
        </w:rPr>
        <w:t xml:space="preserve">式垃圾清运</w:t>
      </w:r>
      <w:r>
        <w:rPr>
          <w:rFonts w:hint="eastAsia" w:ascii="仿宋" w:hAnsi="仿宋" w:eastAsia="仿宋" w:cs="仿宋"/>
          <w:color w:val="auto"/>
          <w:sz w:val="24"/>
          <w:szCs w:val="24"/>
          <w:highlight w:val="none"/>
          <w:lang w:val="en-US" w:eastAsia="zh-CN" w:bidi="ar-SA"/>
        </w:rPr>
        <w:t xml:space="preserve">车1</w:t>
      </w:r>
      <w:r>
        <w:rPr>
          <w:rFonts w:hint="eastAsia" w:ascii="仿宋" w:hAnsi="仿宋" w:eastAsia="仿宋" w:cs="仿宋"/>
          <w:color w:val="auto"/>
          <w:sz w:val="24"/>
          <w:szCs w:val="24"/>
          <w:highlight w:val="none"/>
          <w:lang w:val="zh-CN" w:eastAsia="zh-CN" w:bidi="ar-SA"/>
        </w:rPr>
        <w:t xml:space="preserve">辆（</w:t>
      </w:r>
      <w:r>
        <w:rPr>
          <w:rFonts w:hint="eastAsia" w:ascii="仿宋" w:hAnsi="仿宋" w:eastAsia="仿宋" w:cs="仿宋"/>
          <w:color w:val="auto"/>
          <w:sz w:val="24"/>
          <w:szCs w:val="24"/>
          <w:highlight w:val="none"/>
          <w:lang w:val="en-US" w:eastAsia="zh-CN" w:bidi="ar-SA"/>
        </w:rPr>
        <w:t xml:space="preserve">8立方以上</w:t>
      </w: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车辆需符合国家机动车安全技术标准，取得合法行驶证、营运证，定期通过年检及环保监测；驾驶员需持有与车辆类型匹配的驾驶证，且驾龄满1年以上。</w:t>
      </w:r>
      <w:r>
        <w:rPr>
          <w:rFonts w:hint="eastAsia" w:ascii="仿宋" w:hAnsi="仿宋" w:eastAsia="仿宋" w:cs="仿宋"/>
          <w:color w:val="auto"/>
          <w:sz w:val="24"/>
          <w:szCs w:val="24"/>
          <w:lang w:val="zh-CN" w:eastAsia="zh-CN" w:bidi="ar-SA"/>
        </w:rPr>
        <w:t xml:space="preserve">并按需配齐垃圾桶及保洁员，</w:t>
      </w:r>
      <w:r>
        <w:rPr>
          <w:rFonts w:hint="eastAsia" w:ascii="仿宋" w:hAnsi="仿宋" w:eastAsia="仿宋" w:cs="仿宋"/>
          <w:color w:val="auto"/>
          <w:sz w:val="24"/>
          <w:szCs w:val="24"/>
          <w:lang w:val="en-US" w:eastAsia="zh-CN" w:bidi="ar-SA"/>
        </w:rPr>
        <w:t xml:space="preserve">为保洁员配备打扫工具及人力环卫三轮车</w:t>
      </w:r>
      <w:r>
        <w:rPr>
          <w:rFonts w:hint="eastAsia" w:ascii="仿宋" w:hAnsi="仿宋" w:eastAsia="仿宋" w:cs="仿宋"/>
          <w:color w:val="auto"/>
          <w:sz w:val="24"/>
          <w:szCs w:val="24"/>
          <w:lang w:val="zh-CN" w:eastAsia="zh-CN" w:bidi="ar-SA"/>
        </w:rPr>
        <w:t xml:space="preserve">。</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en-US" w:eastAsia="zh-CN" w:bidi="ar-SA"/>
        </w:rPr>
        <w:t xml:space="preserve">5</w:t>
      </w:r>
      <w:r>
        <w:rPr>
          <w:rFonts w:hint="eastAsia" w:ascii="仿宋" w:hAnsi="仿宋" w:eastAsia="仿宋" w:cs="仿宋"/>
          <w:color w:val="auto"/>
          <w:sz w:val="24"/>
          <w:szCs w:val="24"/>
          <w:lang w:val="zh-CN" w:eastAsia="zh-CN" w:bidi="ar-SA"/>
        </w:rPr>
        <w:t xml:space="preserve">、乙方按照相应的考核标准和管理要求做好镇区道路环卫管理工作。</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highlight w:val="white"/>
        </w:rPr>
      </w:pPr>
      <w:r>
        <w:rPr>
          <w:rFonts w:hint="eastAsia" w:ascii="仿宋" w:hAnsi="仿宋" w:eastAsia="仿宋" w:cs="仿宋"/>
          <w:color w:val="auto"/>
          <w:sz w:val="24"/>
          <w:szCs w:val="24"/>
          <w:lang w:val="en-US" w:eastAsia="zh-CN" w:bidi="ar-SA"/>
        </w:rPr>
        <w:t xml:space="preserve">6</w:t>
      </w:r>
      <w:r>
        <w:rPr>
          <w:rFonts w:hint="eastAsia" w:ascii="仿宋" w:hAnsi="仿宋" w:eastAsia="仿宋" w:cs="仿宋"/>
          <w:color w:val="auto"/>
          <w:sz w:val="24"/>
          <w:szCs w:val="24"/>
          <w:lang w:val="zh-CN" w:eastAsia="zh-CN" w:bidi="ar-SA"/>
        </w:rPr>
        <w:t xml:space="preserve">、</w:t>
      </w:r>
      <w:r>
        <w:rPr>
          <w:rFonts w:hint="eastAsia" w:ascii="仿宋" w:hAnsi="仿宋" w:eastAsia="仿宋" w:cs="仿宋"/>
          <w:color w:val="auto"/>
          <w:sz w:val="24"/>
          <w:szCs w:val="24"/>
          <w:highlight w:val="none"/>
          <w:lang w:val="zh-CN" w:eastAsia="zh-CN" w:bidi="ar-SA"/>
        </w:rPr>
        <w:t xml:space="preserve">负</w:t>
      </w:r>
      <w:r>
        <w:rPr>
          <w:rFonts w:hint="eastAsia" w:ascii="仿宋" w:hAnsi="仿宋" w:eastAsia="仿宋" w:cs="仿宋"/>
          <w:color w:val="auto"/>
          <w:sz w:val="24"/>
          <w:szCs w:val="24"/>
          <w:highlight w:val="white"/>
          <w:lang w:val="zh-CN" w:eastAsia="zh-CN" w:bidi="ar-SA"/>
        </w:rPr>
        <w:t xml:space="preserve">责管理人员、清运人员、保洁员及其他工作人员的工资、劳保福利、工作服及劳动工具的发放，</w:t>
      </w:r>
      <w:r>
        <w:rPr>
          <w:rFonts w:hint="eastAsia" w:ascii="仿宋" w:hAnsi="仿宋" w:eastAsia="仿宋" w:cs="仿宋"/>
          <w:color w:val="auto"/>
          <w:sz w:val="24"/>
          <w:szCs w:val="24"/>
          <w:highlight w:val="white"/>
          <w:lang w:val="en-US" w:eastAsia="zh-CN" w:bidi="ar-SA"/>
        </w:rPr>
        <w:t xml:space="preserve">及时为所有员工购买各类保险，不得拖欠工人工资</w:t>
      </w:r>
      <w:r>
        <w:rPr>
          <w:rFonts w:hint="eastAsia" w:ascii="仿宋" w:hAnsi="仿宋" w:eastAsia="仿宋" w:cs="仿宋"/>
          <w:color w:val="auto"/>
          <w:sz w:val="24"/>
          <w:szCs w:val="24"/>
          <w:highlight w:val="white"/>
          <w:lang w:val="zh-CN" w:eastAsia="zh-CN" w:bidi="ar-SA"/>
        </w:rPr>
        <w:t xml:space="preserve">。</w:t>
      </w:r>
      <w:r>
        <w:rPr>
          <w:highlight w:val="white"/>
        </w:rPr>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en-US" w:eastAsia="zh-CN" w:bidi="ar-SA"/>
        </w:rPr>
        <w:t xml:space="preserve">7</w:t>
      </w:r>
      <w:r>
        <w:rPr>
          <w:rFonts w:hint="eastAsia" w:ascii="仿宋" w:hAnsi="仿宋" w:eastAsia="仿宋" w:cs="仿宋"/>
          <w:color w:val="auto"/>
          <w:sz w:val="24"/>
          <w:szCs w:val="24"/>
          <w:lang w:val="zh-CN" w:eastAsia="zh-CN" w:bidi="ar-SA"/>
        </w:rPr>
        <w:t xml:space="preserve">、负责所有受聘人员的安全教育，出现的安全责任事故由乙方负责。</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en-US" w:eastAsia="zh-CN" w:bidi="ar-SA"/>
        </w:rPr>
        <w:t xml:space="preserve">8</w:t>
      </w:r>
      <w:r>
        <w:rPr>
          <w:rFonts w:hint="eastAsia" w:ascii="仿宋" w:hAnsi="仿宋" w:eastAsia="仿宋" w:cs="仿宋"/>
          <w:color w:val="auto"/>
          <w:sz w:val="24"/>
          <w:szCs w:val="24"/>
          <w:lang w:val="zh-CN" w:eastAsia="zh-CN" w:bidi="ar-SA"/>
        </w:rPr>
        <w:t xml:space="preserve">、负责办公场所租赁、网络、通讯、水、电等费用。</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en-US" w:eastAsia="zh-CN" w:bidi="ar-SA"/>
        </w:rPr>
        <w:t xml:space="preserve">9</w:t>
      </w:r>
      <w:r>
        <w:rPr>
          <w:rFonts w:hint="eastAsia" w:ascii="仿宋" w:hAnsi="仿宋" w:eastAsia="仿宋" w:cs="仿宋"/>
          <w:color w:val="auto"/>
          <w:sz w:val="24"/>
          <w:szCs w:val="24"/>
          <w:lang w:val="zh-CN" w:eastAsia="zh-CN" w:bidi="ar-SA"/>
        </w:rPr>
        <w:t xml:space="preserve">、负责按照国家有关税费要求，向甲方提供税费票据。</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en-US" w:eastAsia="zh-CN" w:bidi="ar-SA"/>
        </w:rPr>
        <w:t xml:space="preserve">10</w:t>
      </w:r>
      <w:r>
        <w:rPr>
          <w:rFonts w:hint="eastAsia" w:ascii="仿宋" w:hAnsi="仿宋" w:eastAsia="仿宋" w:cs="仿宋"/>
          <w:color w:val="auto"/>
          <w:sz w:val="24"/>
          <w:szCs w:val="24"/>
          <w:lang w:val="zh-CN" w:eastAsia="zh-CN" w:bidi="ar-SA"/>
        </w:rPr>
        <w:t xml:space="preserve">、负责建立完善的运营管理体系，根据作业标准制定相关的管理、考核制度和各岗位工作流程。</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en-US" w:eastAsia="zh-CN" w:bidi="ar-SA"/>
        </w:rPr>
        <w:t xml:space="preserve">11</w:t>
      </w:r>
      <w:r>
        <w:rPr>
          <w:rFonts w:hint="eastAsia" w:ascii="仿宋" w:hAnsi="仿宋" w:eastAsia="仿宋" w:cs="仿宋"/>
          <w:color w:val="auto"/>
          <w:sz w:val="24"/>
          <w:szCs w:val="24"/>
          <w:lang w:val="zh-CN" w:eastAsia="zh-CN" w:bidi="ar-SA"/>
        </w:rPr>
        <w:t xml:space="preserve">、乙方负责添置更新必要的管理车辆和相关办公、监管设备设施。</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en-US" w:eastAsia="zh-CN" w:bidi="ar-SA"/>
        </w:rPr>
        <w:t xml:space="preserve">12</w:t>
      </w:r>
      <w:r>
        <w:rPr>
          <w:rFonts w:hint="eastAsia" w:ascii="仿宋" w:hAnsi="仿宋" w:eastAsia="仿宋" w:cs="仿宋"/>
          <w:color w:val="auto"/>
          <w:sz w:val="24"/>
          <w:szCs w:val="24"/>
          <w:lang w:val="zh-CN" w:eastAsia="zh-CN" w:bidi="ar-SA"/>
        </w:rPr>
        <w:t xml:space="preserve">、遇检查验收等特殊情况，乙方会全力配合做好保洁工作（重大</w:t>
      </w:r>
      <w:r>
        <w:rPr>
          <w:rFonts w:hint="eastAsia" w:ascii="仿宋" w:hAnsi="仿宋" w:eastAsia="仿宋" w:cs="仿宋"/>
          <w:color w:val="auto"/>
          <w:sz w:val="24"/>
          <w:szCs w:val="24"/>
          <w:lang w:val="en-US" w:eastAsia="zh-CN" w:bidi="ar-SA"/>
        </w:rPr>
        <w:t xml:space="preserve">活动</w:t>
      </w:r>
      <w:r>
        <w:rPr>
          <w:rFonts w:hint="eastAsia" w:ascii="仿宋" w:hAnsi="仿宋" w:eastAsia="仿宋" w:cs="仿宋"/>
          <w:color w:val="auto"/>
          <w:sz w:val="24"/>
          <w:szCs w:val="24"/>
          <w:lang w:val="zh-CN" w:eastAsia="zh-CN" w:bidi="ar-SA"/>
        </w:rPr>
        <w:t xml:space="preserve">、紧急任务需临时增配人力、物力进行突击任务）。</w:t>
      </w:r>
      <w:r/>
    </w:p>
    <w:p>
      <w:pPr>
        <w:keepLines w:val="0"/>
        <w:keepNext w:val="0"/>
        <w:pageBreakBefore w:val="0"/>
        <w:spacing w:before="0" w:beforeAutospacing="0" w:after="20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七、违约责任</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en-US" w:eastAsia="zh-CN" w:bidi="ar-SA"/>
        </w:rPr>
        <w:t xml:space="preserve">1、甲方每月开展的考核评分，采取日常巡查和月度联合检查的形式，考核办法详见附件。</w:t>
      </w:r>
      <w:r>
        <w:rPr>
          <w:rFonts w:hint="default" w:ascii="仿宋" w:hAnsi="仿宋" w:eastAsia="仿宋" w:cs="仿宋"/>
          <w:color w:val="auto"/>
          <w:sz w:val="24"/>
          <w:szCs w:val="24"/>
          <w:lang w:val="en-US" w:eastAsia="zh-CN" w:bidi="ar-SA"/>
        </w:rPr>
        <w:t xml:space="preserve">如乙方连续2个月现场考评得分低于70分或一年合同期内累计3次现场考评得分低于70分的，甲方有权终止合同，乙方须无条件办理移交、退场手续</w:t>
      </w:r>
      <w:r>
        <w:rPr>
          <w:rFonts w:hint="eastAsia" w:ascii="仿宋" w:hAnsi="仿宋" w:eastAsia="仿宋" w:cs="仿宋"/>
          <w:color w:val="auto"/>
          <w:sz w:val="24"/>
          <w:szCs w:val="24"/>
          <w:lang w:val="en-US" w:eastAsia="zh-CN" w:bidi="ar-SA"/>
        </w:rPr>
        <w:t xml:space="preserve">。</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en-US" w:eastAsia="zh-CN" w:bidi="ar-SA"/>
        </w:rPr>
        <w:t xml:space="preserve">2、</w:t>
      </w:r>
      <w:r>
        <w:rPr>
          <w:rFonts w:hint="eastAsia" w:ascii="仿宋" w:hAnsi="仿宋" w:eastAsia="仿宋" w:cs="仿宋"/>
          <w:color w:val="auto"/>
          <w:sz w:val="24"/>
          <w:szCs w:val="24"/>
          <w:highlight w:val="none"/>
          <w:lang w:val="en-US" w:eastAsia="zh-CN" w:bidi="ar-SA"/>
        </w:rPr>
        <w:t xml:space="preserve">乙方在保洁工作中未达到保洁的质量要求，经甲方两次口头通知，仍未达到要求，将以书面形式通知乙方，并扣除乙方当月保洁服务费的 5%。甲方以书面形式通知乙方整改后，乙方拒不整改和整改不到位的，甲方有权解除合同。</w:t>
      </w:r>
      <w:r>
        <w:rPr>
          <w:rFonts w:hint="eastAsia" w:ascii="仿宋" w:hAnsi="仿宋" w:eastAsia="仿宋" w:cs="仿宋"/>
          <w:color w:val="auto"/>
          <w:sz w:val="24"/>
          <w:szCs w:val="24"/>
          <w:lang w:val="en-US" w:eastAsia="zh-CN" w:bidi="ar-SA"/>
        </w:rPr>
        <w:t xml:space="preserve"> </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highlight w:val="red"/>
          <w:lang w:val="zh-CN" w:eastAsia="zh-CN" w:bidi="ar-SA"/>
        </w:rPr>
      </w:pPr>
      <w:r>
        <w:rPr>
          <w:rFonts w:hint="eastAsia" w:ascii="仿宋" w:hAnsi="仿宋" w:eastAsia="仿宋" w:cs="仿宋"/>
          <w:color w:val="auto"/>
          <w:sz w:val="24"/>
          <w:szCs w:val="24"/>
          <w:lang w:val="en-US" w:eastAsia="zh-CN" w:bidi="ar-SA"/>
        </w:rPr>
        <w:t xml:space="preserve">3、甲方连续六个月未能支付乙方保洁服务费，视为甲方单位单方面违约，乙方有权要求甲方解除合同。期间因甲方未能如期付款而影响乙方开展工作，受资金不到位的影响而未采购到常用保洁用品，导致定期作业难以开展时，由乙方自行承担相关不良后果。</w:t>
      </w:r>
      <w:r/>
    </w:p>
    <w:p>
      <w:pPr>
        <w:keepLines w:val="0"/>
        <w:keepNext w:val="0"/>
        <w:pageBreakBefore w:val="0"/>
        <w:spacing w:before="0" w:beforeAutospacing="0" w:after="200" w:afterAutospacing="0" w:line="240" w:lineRule="auto"/>
        <w:widowControl/>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八、争议解决</w:t>
      </w:r>
      <w:r/>
    </w:p>
    <w:p>
      <w:pPr>
        <w:ind w:firstLine="640"/>
        <w:keepLines w:val="0"/>
        <w:keepNext w:val="0"/>
        <w:pageBreakBefore w:val="0"/>
        <w:spacing w:before="0" w:beforeAutospacing="0" w:after="20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本合同在履行过程中发生的争议，由甲、乙双方协商解决，也可由有关部门调解；协商或调解不成的，任何一方均可向具有管辖权的人民法院提起诉讼。</w:t>
      </w:r>
      <w:r/>
    </w:p>
    <w:p>
      <w:pPr>
        <w:numPr>
          <w:ilvl w:val="0"/>
          <w:numId w:val="0"/>
        </w:numPr>
        <w:keepLines w:val="0"/>
        <w:keepNext w:val="0"/>
        <w:pageBreakBefore w:val="0"/>
        <w:spacing w:before="0" w:beforeAutospacing="0" w:after="200" w:afterAutospacing="0" w:line="240" w:lineRule="auto"/>
        <w:widowControl/>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九、生效</w:t>
      </w:r>
      <w:r/>
    </w:p>
    <w:p>
      <w:pPr>
        <w:numPr>
          <w:ilvl w:val="0"/>
          <w:numId w:val="0"/>
        </w:numPr>
        <w:ind w:firstLine="640"/>
        <w:keepLines w:val="0"/>
        <w:keepNext w:val="0"/>
        <w:pageBreakBefore w:val="0"/>
        <w:spacing w:before="0" w:beforeAutospacing="0" w:after="200" w:afterAutospacing="0" w:line="240" w:lineRule="auto"/>
        <w:widowControl/>
        <w:rPr>
          <w:rFonts w:hint="default"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本合同附件四条件满足后本合同生效。因乙方原因至本合同生效条件不能满足的，乙方应按年合计保洁服务费用的20</w:t>
      </w:r>
      <w:r>
        <w:rPr>
          <w:rFonts w:hint="eastAsia" w:ascii="宋体" w:hAnsi="宋体" w:eastAsia="宋体" w:cs="宋体"/>
          <w:b w:val="0"/>
          <w:bCs w:val="0"/>
          <w:color w:val="auto"/>
          <w:sz w:val="24"/>
          <w:szCs w:val="24"/>
          <w:lang w:val="en-US" w:eastAsia="zh-CN" w:bidi="ar-SA"/>
        </w:rPr>
        <w:t xml:space="preserve">％</w:t>
      </w:r>
      <w:r>
        <w:rPr>
          <w:rFonts w:hint="eastAsia" w:ascii="仿宋" w:hAnsi="仿宋" w:eastAsia="仿宋" w:cs="仿宋"/>
          <w:b w:val="0"/>
          <w:bCs w:val="0"/>
          <w:color w:val="auto"/>
          <w:sz w:val="24"/>
          <w:szCs w:val="24"/>
          <w:lang w:val="en-US" w:eastAsia="zh-CN" w:bidi="ar-SA"/>
        </w:rPr>
        <w:t xml:space="preserve">向甲方承担缔约过失责任。</w:t>
      </w:r>
      <w:r/>
    </w:p>
    <w:p>
      <w:pPr>
        <w:keepLines w:val="0"/>
        <w:keepNext w:val="0"/>
        <w:pageBreakBefore w:val="0"/>
        <w:spacing w:before="0" w:beforeAutospacing="0" w:after="200" w:afterAutospacing="0" w:line="240" w:lineRule="auto"/>
        <w:widowControl/>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十、其他约定</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1、本合同双方需对相关信息保密，不得向合作双方以外的第三方披露或泄漏，如有违反本条规定，给合作双方的另一方造成的损失，泄密一方应承担全部的经济和法律责任。</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2、本合同附件一、二、三、四为本合同有效组成部分，与本合同共同构成完整的合同内容。</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3、未尽事宜，经甲、乙双方协商一致后可另行签订补充协议，补充协议与本合同具有同等法律效力。</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4、本合同一式肆份，甲乙双方各执贰份，具有同等法律效力。</w:t>
      </w:r>
      <w:r/>
    </w:p>
    <w:p>
      <w:pPr>
        <w:ind w:firstLine="640"/>
        <w:keepLines w:val="0"/>
        <w:keepNext w:val="0"/>
        <w:pageBreakBefore w:val="0"/>
        <w:spacing w:before="0" w:beforeAutospacing="0" w:afterAutospacing="0"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5、本合同自双方盖章签字后成立；附件四条件满足后生效。</w:t>
      </w:r>
      <w:r/>
    </w:p>
    <w:p>
      <w:pPr>
        <w:spacing w:before="0" w:beforeAutospacing="0" w:after="200" w:afterAutospacing="0" w:line="276"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p>
      <w:pPr>
        <w:ind w:firstLine="640"/>
        <w:spacing w:before="0" w:beforeAutospacing="0" w:after="200" w:afterAutospacing="0" w:line="276"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甲方（签章）：                       乙方（签章）：</w:t>
      </w:r>
      <w:r/>
    </w:p>
    <w:p>
      <w:pPr>
        <w:ind w:firstLine="640"/>
        <w:spacing w:before="0" w:beforeAutospacing="0" w:after="200" w:afterAutospacing="0" w:line="276"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法人代表：                           法人代表：</w:t>
      </w:r>
      <w:r/>
    </w:p>
    <w:p>
      <w:pPr>
        <w:ind w:firstLine="640"/>
        <w:spacing w:before="0" w:beforeAutospacing="0" w:after="200" w:afterAutospacing="0" w:line="276"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委 托 人：                           委 托 人：</w:t>
      </w:r>
      <w:r/>
    </w:p>
    <w:p>
      <w:pPr>
        <w:ind w:firstLine="640"/>
        <w:spacing w:before="0" w:beforeAutospacing="0" w:after="200" w:afterAutospacing="0" w:line="276"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联系电话：                           联系电话：</w:t>
      </w:r>
      <w:r/>
    </w:p>
    <w:p>
      <w:pPr>
        <w:ind w:firstLine="640"/>
        <w:spacing w:before="0" w:beforeAutospacing="0" w:after="200" w:afterAutospacing="0" w:line="276"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日    期：                           日    期：</w:t>
      </w:r>
      <w:r/>
    </w:p>
    <w:p>
      <w:pPr>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br w:type="page" w:clear="all"/>
      </w:r>
      <w:r/>
    </w:p>
    <w:p>
      <w:pPr>
        <w:jc w:val="center"/>
        <w:spacing w:before="120" w:after="120" w:line="4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第六章  采购需求</w:t>
      </w:r>
      <w:r/>
    </w:p>
    <w:p>
      <w:pPr>
        <w:spacing w:before="0" w:beforeAutospacing="0" w:after="200" w:afterAutospacing="0" w:line="276"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一、项目概况</w:t>
      </w:r>
      <w:r/>
    </w:p>
    <w:p>
      <w:pPr>
        <w:spacing w:before="0" w:beforeAutospacing="0" w:after="200" w:afterAutospacing="0" w:line="276"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   为深入推进睢宁县高作镇环卫一体化工作，改善乡镇人居环境，加快生态文明建设。睢宁县高作镇人民政府决定通过公开招标的方式择优选择一家服务单位，实现睢宁县高作镇规范高效的城乡环卫一体化运营模式。</w:t>
      </w:r>
      <w:r/>
    </w:p>
    <w:p>
      <w:pPr>
        <w:spacing w:before="0" w:beforeAutospacing="0" w:after="200" w:afterAutospacing="0" w:line="276"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二、项目名称</w:t>
      </w:r>
      <w:r/>
    </w:p>
    <w:p>
      <w:pPr>
        <w:spacing w:before="0" w:beforeAutospacing="0" w:after="200" w:afterAutospacing="0" w:line="276"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高作镇镇区公厕管护、主次干道清扫保洁、游园绿化服务项目。</w:t>
      </w:r>
      <w:r/>
    </w:p>
    <w:p>
      <w:pPr>
        <w:spacing w:before="0" w:beforeAutospacing="0" w:after="200" w:afterAutospacing="0" w:line="276"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三、预算金额</w:t>
      </w:r>
      <w:r/>
    </w:p>
    <w:p>
      <w:pPr>
        <w:ind w:firstLine="480"/>
        <w:spacing w:before="0" w:beforeAutospacing="0" w:after="200" w:afterAutospacing="0" w:line="276"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本项目不接受超过（采购项目预算金额）296万元人民币的投标报价。采购人不再支付报价以外的任何费用。</w:t>
      </w:r>
      <w:r/>
    </w:p>
    <w:p>
      <w:pPr>
        <w:spacing w:before="0" w:beforeAutospacing="0" w:after="200" w:afterAutospacing="0" w:line="276"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四、服务期限</w:t>
      </w:r>
      <w:r/>
    </w:p>
    <w:p>
      <w:pPr>
        <w:ind w:firstLine="480"/>
        <w:spacing w:before="0" w:beforeAutospacing="0" w:after="200" w:afterAutospacing="0" w:line="276"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本项目服务周期为3年。</w:t>
      </w:r>
      <w:r/>
    </w:p>
    <w:p>
      <w:pPr>
        <w:spacing w:before="0" w:beforeAutospacing="0" w:after="200" w:afterAutospacing="0" w:line="276"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五、服务范围</w:t>
      </w:r>
      <w:r/>
    </w:p>
    <w:p>
      <w:pPr>
        <w:spacing w:before="0" w:beforeAutospacing="0" w:after="200" w:afterAutospacing="0" w:line="276"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对睢宁县高作镇人民政府指定区域的范围进行保洁服务或绿化养护服务。</w:t>
      </w:r>
      <w:r/>
    </w:p>
    <w:p>
      <w:pPr>
        <w:ind w:firstLine="480"/>
        <w:spacing w:before="0" w:beforeAutospacing="0" w:after="200" w:afterAutospacing="0" w:line="276"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（1）托管主次干道约为86826平方米（以实际交付测量面积为准）；</w:t>
      </w:r>
      <w:r/>
    </w:p>
    <w:p>
      <w:pPr>
        <w:ind w:firstLine="480"/>
        <w:spacing w:before="0" w:beforeAutospacing="0" w:after="200" w:afterAutospacing="0" w:line="276"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（2）托管公园、绿化带、树木约为24445平方米（以实际交付测量面积为准）；</w:t>
      </w:r>
      <w:r/>
    </w:p>
    <w:p>
      <w:pPr>
        <w:ind w:firstLine="480"/>
        <w:spacing w:before="0" w:beforeAutospacing="0" w:after="200" w:afterAutospacing="0" w:line="276"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（3）公厕保洁（负责常态化保洁和日常工具及消杀用品、日常维修，共计5个公厕，以实际交付为准）；</w:t>
      </w:r>
      <w:r/>
    </w:p>
    <w:p>
      <w:pPr>
        <w:ind w:firstLine="480"/>
        <w:spacing w:before="0" w:beforeAutospacing="0" w:after="200" w:afterAutospacing="0" w:line="276"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（4）垃圾中转站托管（含人工、电费、保养）。</w:t>
      </w:r>
      <w:r/>
    </w:p>
    <w:p>
      <w:pPr>
        <w:spacing w:before="0" w:beforeAutospacing="0" w:after="200" w:afterAutospacing="0" w:line="276"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六、服务质量标准和要求</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1、人员配备要求</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1）此项目作业人员配备不少于30人，其中专职项目经理1名（具有环卫管理工作经验及能力，持有物业管理项目经理岗位证书或园林绿化中级或以上技术职称），保洁绿化巡查管理员2人，垃圾运输车驾驶员1名，洒水车驾驶员1名。以上配备人员必须常驻项目服务区。</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（2）保洁绿化巡查管理员、道路、公厕清扫保洁员、绿化养护员配备要求：</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保洁绿化巡查管理员、保洁员为固定在岗配备，乙方应根据各标段道路清扫保洁面积、具体路况及人机作业方式等因素，确定每个路段保洁员定岗具体人数，保洁员严禁打连班，保洁绿化巡查管理员应按区域合理配备，专职从事管理工作，不得兼做清扫保洁员，乙方为更高质量完成服务，应根据道路保洁工作实际情况，科学合理安排人机配合作业，提高机械化作业率及实施快速保洁作业模式。</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绿化养护员在上述配备标准的基础上，根据季节及工作量需要进行调整。</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配备的驾驶员及随车作业人员必须能够满足作业标准和需求，驾驶员及随车作业人员不得作为巡查管理员使用。</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乙方必须遵依法规范用工，全员签订劳动或劳务合同，并经过岗前培训合格之后方可上岗，对于无身份证的人员，不得上岗。</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以上人员配备数量必须符合要求，投标文件中必须提供“人员配备要求”的承诺文件，且所承诺的内容不得低于上述要求（本条为实质性响应指标，如不能满足或低于配备数量则按照无效投标处理）。</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2、机械设备（车辆、机具）及服装配备要求：</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（1）镇区主次干道保洁机械设备：</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洒水车1辆；密封压缩式垃圾运输车1辆（8立方以上）；垃圾桶平均50米/个（根据需要放置）；电瓶式三轮快速保洁车2 辆，其它小型机械化保洁设备或机具组足量。</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（2）园林养护机械设备：</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园林绿化多功能喷药洒水车1辆（可与洒水车共用）；多功能高枝修剪机、油锯各1台，自走推式剪草机1 台，小型打草机2台，吹风机1台，手剪、平剪数量不少于10 把。</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投标服务商为本项目所配备的机械设备（车辆、机具）必须为投标服务商所有，暂无或缺的机械设备（车辆、机具），中标服务商需在合同签订后一个月内配备到位并可投入使用，同时提供车辆及相具购置发票、机动车行驶证等原件核查，如未能到位，合同自行作废，且中标服务商的履约保证金将被没收。为本项目合同服务的机械设备（车辆、机具）不得再为其它合同项目使用。</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为每名保洁人员配备清扫保洁作业工具，包括大扫帚（2把/月）、小扫帚（2把/月）、铁锨、封闭簸箕、垃圾收集袋及捡拾器等低值易耗工具，为保洁人员配备必要的工具和安全防护用具。</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为每名人员（保洁员、绿化养护作业人员）订制服装：马夹（1年2套）、雨具（靴子、雨衣1年1套）。服装带有反光条安全标识，服装式样、颜色、材质及配字符合招标人规定的统一标准和要求，其他劳动保护用品满足作业需要。</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3、服务内容、标准及要求</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——清扫保洁作业内容及要求</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（1）道路快慢车道、人行道及绿地内硬质地面的清扫冲洗和巡回保洁;。</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（2）道路绿化隔离带（池）、人行道绿化带（池）及标段范围内所有岸坡、绿地等的保洁及垃圾、杂物清理、捡拾。</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（3）道路垃圾收集容器（桶、箱）及依附于道路设置的路名牌、公示栏、公交站台等定时、定期擦洗保洁。</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（4）保洁范围内各种垃圾、杂物的及时清除与转运。</w:t>
      </w:r>
      <w:r>
        <w:rPr>
          <w:rFonts w:hint="eastAsia" w:ascii="仿宋" w:hAnsi="仿宋" w:eastAsia="仿宋" w:cs="仿宋"/>
          <w:sz w:val="24"/>
          <w:szCs w:val="24"/>
          <w:highlight w:val="none"/>
          <w:lang w:val="en-US" w:eastAsia="zh-CN"/>
        </w:rPr>
        <w:tab/>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（5）清扫、保洁、清除的垃圾、杂物必须及时运送至指定的场所（或倾倒在指定容器内）。</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（6）沿街门市生活垃圾的上门收集。（已实施垃圾分类收集的试点路段）</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（7）根据季节及路面情况，按规定实施路面冲洗作业，高温季节每天增加洒水、降尘作业频次，并根据大气污染防治工作要求，严格落实好城区道路空气雾化增湿作业，有效提升道路及空气湿度。</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（8）道路两侧树木、杆线、垃圾容器、公交站台、公示栏等公共设施上张贴的低空野广告清理（2米以下）。</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（9）各种重大活动（包括国家、省、市、县检查）及节假日环境卫生保障，加强雨雪等恶劣天气应急保障工作，并有效完成主管部门交办的其他临时性任务。</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（10）突发事件造成道路污染后的及时清理。</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（11）配合城市管理部门做好检查考核工作。</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（12）积极协助城市管理部门对单位和个人违反市容环境卫生行为举报的取证工作。</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（13）其它服务内容（依据招标文件、合同约定及甲方安排落实）。</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——绿化养护作业内容及要求</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（1）清除杂草：为标段内所有绿化范围内杂草及道路红线内未绿化且有杂草的地方。</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2）修剪及病虫害防治：为各标段范围内所有绿化内容，即标段内各条道路行道树、绿化带、绿地内各种乔木（是古树名木的按其规程养护）、小乔木、花灌木、绿篱、地被、草坪等，承包周期内（按12个月计算）花灌木、绿岛、绿篱至少喷施6次农药，其中高大乔木至少2次，施肥灌溉至少2次（特殊情况以甲方通知为准），设施应及时维护，定期（每周一次）对绿化带进行冲洗，干旱季节应连续浇水灌溉，不得干旱。</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（3）树木涂白及防冻：根据季节需要为镇区内的广玉兰、重阳木、乌鸠、香樟、桂花、法桐、紫薇等树木涂白或缠裹草绳越冬。</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（4）承包单位在承包期内（不允许有树木歪斜）对管理区内的歪树和风雨后歪斜的树木及时扶正。</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4、其它要求</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中标服务商必须按照采购人要求，在每月25日前向采购人提供项目运行相关资料，包括人员信息、工资和加班费发放记录、车辆运行情况等，并确保资料的真实性，同时上报工作小结与工作计划。</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投标服务商必须在投标文件中承诺中标后在服务项目所在地设立固定办公场所（非住宅小区类），办公用房面积不小于150平方米，且场地能满足车辆、设备、工具等停放、存储需要。合同签订前，中标服务商须提供自有产权房产证复印件或租赁合同出租方房产证复印件及付款发票复印件（以上原件备查），采购人对中标服务商提供的资料进行核查，如弄虚作假，采购人有权拒绝与中标服务商签订合同，所有责任由中标服务商自行承担。</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说明：投标文件中必须提供“中标后在服务项目所在地设立固定办公场所（非住宅小区类）”的承诺文件，且所承诺的内容不得低于上述要求，否则按照无效投标处理。</w:t>
      </w:r>
      <w:r/>
    </w:p>
    <w:p>
      <w:pPr>
        <w:ind w:firstLine="482"/>
        <w:keepLines w:val="0"/>
        <w:keepNext w:val="0"/>
        <w:pageBreakBefore w:val="0"/>
        <w:spacing w:line="440" w:lineRule="exact"/>
        <w:widowControl w:val="off"/>
        <w:rPr>
          <w:rFonts w:hint="eastAsia" w:ascii="仿宋" w:hAnsi="仿宋" w:eastAsia="仿宋" w:cs="仿宋"/>
          <w:b/>
          <w:bCs/>
          <w:sz w:val="24"/>
          <w:szCs w:val="24"/>
          <w:highlight w:val="none"/>
          <w:lang w:val="en-US" w:eastAsia="zh-CN"/>
        </w:rPr>
        <w:outlineLvl w:val="9"/>
      </w:pPr>
      <w:r>
        <w:rPr>
          <w:rFonts w:hint="eastAsia" w:ascii="仿宋" w:hAnsi="仿宋" w:eastAsia="仿宋" w:cs="仿宋"/>
          <w:b/>
          <w:bCs/>
          <w:sz w:val="24"/>
          <w:szCs w:val="24"/>
          <w:highlight w:val="none"/>
          <w:lang w:val="en-US" w:eastAsia="zh-CN"/>
        </w:rPr>
        <w:t xml:space="preserve">七、考核标准</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（一）睢宁县高作镇镇区保洁服务检查考核实施细则</w:t>
      </w:r>
      <w:r/>
    </w:p>
    <w:p>
      <w:pPr>
        <w:ind w:firstLine="480"/>
        <w:keepLines w:val="0"/>
        <w:keepNext w:val="0"/>
        <w:pageBreakBefore w:val="0"/>
        <w:spacing w:line="440" w:lineRule="exact"/>
        <w:widowControl w:val="off"/>
        <w:rPr>
          <w:rFonts w:hint="eastAsia" w:ascii="仿宋" w:hAnsi="仿宋" w:eastAsia="仿宋" w:cs="仿宋"/>
          <w:b w:val="0"/>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为规范环卫作业过程的质量监管，落实环境卫生全覆盖、精细化和长效管理</w:t>
      </w:r>
      <w:r>
        <w:rPr>
          <w:rFonts w:hint="eastAsia" w:ascii="仿宋" w:hAnsi="仿宋" w:eastAsia="仿宋" w:cs="仿宋"/>
          <w:b w:val="0"/>
          <w:sz w:val="24"/>
          <w:szCs w:val="24"/>
          <w:highlight w:val="none"/>
          <w:lang w:val="en-US" w:eastAsia="zh-CN"/>
        </w:rPr>
        <w:t xml:space="preserve">机制，全面提升环境卫生质量，创造优美、整洁的工作和生活环境，依据《城市环境卫生质量标准》和《江苏省城市环境卫生作业服务质量标准》的规定，制定本试行细则。</w:t>
      </w:r>
      <w:r/>
    </w:p>
    <w:p>
      <w:pPr>
        <w:pStyle w:val="758"/>
        <w:ind w:firstLine="482"/>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1、考核主体及内容</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镇区环境卫生管理机构及社会各界分别组织进行以下几方面内容的检查考核：道路保洁（路面保洁、机械化作业、绿化带保洁、非机动车摆放、野广告清理、护栏清洗、环卫设施管养维护、餐厨垃圾收集容器管养维护、垃圾前端收集运输等），公交站台保洁和立面清洗，作业范围内的除雪、重大活动保障等应急任务，主管部门交办的临时性任务等。</w:t>
      </w:r>
      <w:r/>
    </w:p>
    <w:p>
      <w:pPr>
        <w:pStyle w:val="758"/>
        <w:ind w:firstLine="482"/>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2、考核方式</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2.1、城管局及环卫主管部门考核</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 城管局负责对环境卫生的作业质量进行督查，环境卫生主管部门负责对市场化清扫保洁道路的作业质量进行日常检查考核，并将当月检查考核结果上报城管局。检查方式采取日常巡查和专项检查相结合的方式。</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2.2、社会监督考核</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对道路保洁项目存在的重点、难点问题进行专项监督考核，经市、区两级环卫主管部门核实后，按社会监督考核细则实施（详见附件）。</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2.3、附加项考核</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城管局及环卫主管部门对各作业单位（企业）在工资、津贴、加班工资发放情况、应急处置、重大活动保障及行业基础数据申报、规章制度落实执行情况等方面进行不定期考核。</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2.4、建立环卫检查考核信息反馈和整改制度</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环卫作业质量和管理工作检查考核结果以通知单形式下发到承包方。如发现重大问题以整改通知书的形式通知作业单位，并限期整改，期满进行复查。</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2.5、建立考核检查台帐制度</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制定统一格式的《保洁服务督查情况通知单》，检查人员按照要求做好管理和保洁质量的检查记录，建立台帐。内容包括检查时间、存在问题及处理情况。作业单位应建立自查台帐。</w:t>
      </w:r>
      <w:r/>
    </w:p>
    <w:p>
      <w:pPr>
        <w:pStyle w:val="758"/>
        <w:ind w:firstLine="482"/>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3、奖惩措施</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3.1、奖励</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城管局按年度对环卫作业单位开展评先、评优活动。承包方参加区市容环卫系统先进单位评选。</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承包单位内部要进行先进工作者评选奖励。先进工作者名额由城管局下达至承包单位。因工作表现好被评为年度先进工作者，享受环卫系统对个人的表彰。</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作业单位如承包期间工作业绩特别突出，被政府确定为有功部门，经本单位申请，城管局审核，报政府审批，可在下一轮承包中享有优先权。</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3.2、惩罚</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将作业经费和检查考核评分挂钩。每月考核实行累计扣分制，根据检查情况确定各作业单位每月扣分，检查单位次月5日前将本月检查评分情况书面报区财政局，财政局根据考核扣分情况在考核基数中扣除相应经费后拨付给作业单位。具体做法是：</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乙方当月每扣1分按50元/分标准相应从保洁经费中扣除。</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乙方连续2个月考核扣分超过300分或合同期内累计3次考核扣分超过300分的，甲方有权终止合同并扣除履约保证金，乙方须无条件按甲方要求办理移交、退场手续。</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3.3、信用考核</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作业单位在承包期内发生不良行为，不按作业规范开展各项工作，拖欠人员工资，出现安全事故处理不力，导致上访、集访等不良后果的，除解除合同外，其信用等级将作为以后环卫作业市场化招标评分依据。</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3.4、专项扣款</w:t>
      </w:r>
      <w:r>
        <w:rPr>
          <w:rFonts w:hint="eastAsia" w:ascii="仿宋" w:hAnsi="仿宋" w:eastAsia="仿宋" w:cs="仿宋"/>
          <w:b w:val="0"/>
          <w:sz w:val="24"/>
          <w:szCs w:val="24"/>
          <w:highlight w:val="none"/>
          <w:lang w:val="en-US" w:eastAsia="zh-CN"/>
        </w:rPr>
        <w:tab/>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包含但不限于以下内容：</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（1）社会监督按附件相关要求扣款；</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（2）未按规定发放环卫工人工资、津贴、加班工资等的，经查实的，每次处以5000-20000元罚款；</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（3）突发事件（如灾害性天气）或重大活动期间，不执行指令性任务或未按相关要求、标准完成任务，每次处以1000-10000元罚款；</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3.5、综合评价考核</w:t>
      </w:r>
      <w:r/>
    </w:p>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城管局及环卫主管部门，根据作业单位月度综合表现和成绩，进行月度综合考评，综合考评得分结果与作业单位月度保洁经费挂钩，月度综合考评扣款=（月平均合同金额-日常考核扣款）*（100-月度综合考评得分）/100。</w:t>
      </w:r>
      <w:r/>
    </w:p>
    <w:p>
      <w:pPr>
        <w:pStyle w:val="759"/>
        <w:rPr>
          <w:rFonts w:hint="eastAsia"/>
          <w:lang w:val="en-US" w:eastAsia="zh-CN"/>
        </w:rPr>
      </w:pPr>
      <w:r>
        <w:rPr>
          <w:rFonts w:hint="eastAsia"/>
          <w:lang w:val="en-US" w:eastAsia="zh-CN"/>
        </w:rPr>
      </w:r>
      <w:r/>
    </w:p>
    <w:p>
      <w:pPr>
        <w:pStyle w:val="758"/>
        <w:ind w:firstLine="1296"/>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p>
      <w:pPr>
        <w:pStyle w:val="758"/>
        <w:ind w:left="0" w:firstLine="424"/>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附件： 1.高作镇街区道路保洁区域一览表</w:t>
      </w:r>
      <w:r/>
    </w:p>
    <w:p>
      <w:pPr>
        <w:pStyle w:val="758"/>
        <w:ind w:firstLine="1296"/>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2.人工作业考核细则</w:t>
      </w:r>
      <w:r/>
    </w:p>
    <w:p>
      <w:pPr>
        <w:pStyle w:val="758"/>
        <w:ind w:firstLine="1296"/>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3.机械化作业考核细则</w:t>
      </w:r>
      <w:r/>
    </w:p>
    <w:p>
      <w:pPr>
        <w:pStyle w:val="758"/>
        <w:ind w:firstLine="1296"/>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4.绿化养护管理考核细则</w:t>
      </w:r>
      <w:r/>
    </w:p>
    <w:p>
      <w:pPr>
        <w:numPr>
          <w:ilvl w:val="0"/>
          <w:numId w:val="0"/>
        </w:numPr>
        <w:keepLines w:val="0"/>
        <w:keepNext w:val="0"/>
        <w:pageBreakBefore w:val="0"/>
        <w:spacing w:line="360" w:lineRule="auto"/>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r>
      <w:r/>
    </w:p>
    <w:p>
      <w:pPr>
        <w:numPr>
          <w:ilvl w:val="0"/>
          <w:numId w:val="0"/>
        </w:numPr>
        <w:keepLines w:val="0"/>
        <w:keepNext w:val="0"/>
        <w:pageBreakBefore w:val="0"/>
        <w:spacing w:line="360" w:lineRule="auto"/>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r>
      <w:r/>
    </w:p>
    <w:p>
      <w:pPr>
        <w:numPr>
          <w:ilvl w:val="0"/>
          <w:numId w:val="0"/>
        </w:numPr>
        <w:keepLines w:val="0"/>
        <w:keepNext w:val="0"/>
        <w:pageBreakBefore w:val="0"/>
        <w:spacing w:line="360" w:lineRule="auto"/>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r>
      <w:r/>
    </w:p>
    <w:p>
      <w:pPr>
        <w:numPr>
          <w:ilvl w:val="0"/>
          <w:numId w:val="0"/>
        </w:numPr>
        <w:keepLines w:val="0"/>
        <w:keepNext w:val="0"/>
        <w:pageBreakBefore w:val="0"/>
        <w:spacing w:line="360" w:lineRule="auto"/>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附件1：高作镇街区道路保洁区域一览表</w:t>
      </w:r>
      <w:r/>
    </w:p>
    <w:tbl>
      <w:tblPr>
        <w:tblStyle w:val="725"/>
        <w:tblW w:w="87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12"/>
        <w:gridCol w:w="1305"/>
        <w:gridCol w:w="1305"/>
        <w:gridCol w:w="1305"/>
        <w:gridCol w:w="1305"/>
        <w:gridCol w:w="2130"/>
      </w:tblGrid>
      <w:tr>
        <w:trPr>
          <w:jc w:val="center"/>
          <w:trHeight w:val="818"/>
        </w:trPr>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长/m</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宽/m</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道路面积/㎡</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绿化面积/㎡</w:t>
            </w:r>
            <w:r/>
          </w:p>
        </w:tc>
        <w:tc>
          <w:tcPr>
            <w:shd w:val="clear" w:color="auto" w:fill="auto"/>
            <w:tcBorders>
              <w:top w:val="single" w:color="000000" w:sz="4" w:space="0"/>
              <w:left w:val="single" w:color="000000" w:sz="4" w:space="0"/>
              <w:bottom w:val="single" w:color="000000" w:sz="4" w:space="0"/>
              <w:right w:val="single" w:color="000000" w:sz="4" w:space="0"/>
            </w:tcBorders>
            <w:tcW w:w="2119"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绿化范围</w:t>
            </w:r>
            <w:r/>
          </w:p>
        </w:tc>
      </w:tr>
      <w:tr>
        <w:trPr>
          <w:jc w:val="center"/>
          <w:trHeight w:val="81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兴达路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5625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兴达路路两侧绿化</w:t>
            </w:r>
            <w:r/>
          </w:p>
        </w:tc>
      </w:tr>
      <w:tr>
        <w:trPr>
          <w:jc w:val="center"/>
          <w:trHeight w:val="5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高三线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jc w:val="center"/>
          <w:trHeight w:val="161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工业路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7416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小李庄园东路口、二幼西路口</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、铜牛东南侧、铜牛</w:t>
            </w:r>
            <w:r/>
          </w:p>
        </w:tc>
      </w:tr>
      <w:tr>
        <w:trPr>
          <w:jc w:val="center"/>
          <w:trHeight w:val="144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府前西路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7722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丽馨家园小区门口、袁姐单饼东侧、篮球场北侧</w:t>
            </w:r>
            <w:r/>
          </w:p>
        </w:tc>
      </w:tr>
      <w:tr>
        <w:trPr>
          <w:jc w:val="center"/>
          <w:trHeight w:val="5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府前东路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3402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路两侧绿化</w:t>
            </w:r>
            <w:r/>
          </w:p>
        </w:tc>
      </w:tr>
      <w:tr>
        <w:trPr>
          <w:jc w:val="center"/>
          <w:trHeight w:val="5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富民路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7164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篮球场南侧</w:t>
            </w:r>
            <w:r/>
          </w:p>
        </w:tc>
      </w:tr>
      <w:tr>
        <w:trPr>
          <w:jc w:val="center"/>
          <w:trHeight w:val="5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古镇路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5764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路两侧花坛</w:t>
            </w:r>
            <w:r/>
          </w:p>
        </w:tc>
      </w:tr>
      <w:tr>
        <w:trPr>
          <w:jc w:val="center"/>
          <w:trHeight w:val="81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中山路北路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jc w:val="center"/>
          <w:trHeight w:val="81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中山路南路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4653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jc w:val="center"/>
          <w:trHeight w:val="5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文学路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jc w:val="center"/>
          <w:trHeight w:val="5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徐淮路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jc w:val="center"/>
          <w:trHeight w:val="5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振兴路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路两侧绿化</w:t>
            </w:r>
            <w:r/>
          </w:p>
        </w:tc>
      </w:tr>
      <w:tr>
        <w:trPr>
          <w:jc w:val="center"/>
          <w:trHeight w:val="5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恒丰路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jc w:val="center"/>
          <w:trHeight w:val="81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好人园广场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11059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jc w:val="center"/>
          <w:trHeight w:val="56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86826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24445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bl>
    <w:p>
      <w:pPr>
        <w:numPr>
          <w:ilvl w:val="0"/>
          <w:numId w:val="0"/>
        </w:numPr>
        <w:keepLines w:val="0"/>
        <w:keepNext w:val="0"/>
        <w:pageBreakBefore w:val="0"/>
        <w:spacing w:line="360" w:lineRule="auto"/>
        <w:widowControl w:val="off"/>
        <w:rPr>
          <w:rFonts w:hint="default" w:ascii="仿宋" w:hAnsi="仿宋" w:eastAsia="仿宋" w:cs="仿宋"/>
          <w:b/>
          <w:bCs/>
          <w:color w:val="000000"/>
          <w:sz w:val="24"/>
          <w:szCs w:val="24"/>
          <w:lang w:val="en-US" w:eastAsia="zh-CN" w:bidi="ar-SA"/>
        </w:rPr>
      </w:pPr>
      <w:r>
        <w:rPr>
          <w:rFonts w:hint="default" w:ascii="仿宋" w:hAnsi="仿宋" w:eastAsia="仿宋" w:cs="仿宋"/>
          <w:b/>
          <w:bCs/>
          <w:color w:val="000000"/>
          <w:sz w:val="24"/>
          <w:szCs w:val="24"/>
          <w:lang w:val="en-US" w:eastAsia="zh-CN" w:bidi="ar-SA"/>
        </w:rPr>
      </w:r>
      <w:r/>
    </w:p>
    <w:p>
      <w:pPr>
        <w:pStyle w:val="758"/>
        <w:jc w:val="left"/>
        <w:spacing w:line="480" w:lineRule="auto"/>
        <w:rPr>
          <w:rFonts w:hint="eastAsia" w:ascii="仿宋" w:hAnsi="仿宋" w:eastAsia="仿宋" w:cs="仿宋"/>
          <w:b/>
          <w:bCs/>
          <w:color w:val="000000"/>
          <w:sz w:val="24"/>
        </w:rPr>
      </w:pPr>
      <w:r>
        <w:rPr>
          <w:rFonts w:hint="eastAsia" w:ascii="仿宋" w:hAnsi="仿宋" w:eastAsia="仿宋" w:cs="仿宋"/>
          <w:b/>
          <w:bCs/>
          <w:color w:val="000000"/>
          <w:sz w:val="24"/>
        </w:rPr>
      </w:r>
      <w:r/>
    </w:p>
    <w:p>
      <w:pPr>
        <w:pStyle w:val="758"/>
        <w:jc w:val="left"/>
        <w:spacing w:line="480" w:lineRule="auto"/>
        <w:rPr>
          <w:rFonts w:hint="eastAsia" w:ascii="仿宋" w:hAnsi="仿宋" w:eastAsia="仿宋" w:cs="仿宋"/>
          <w:b/>
          <w:bCs/>
          <w:color w:val="000000"/>
          <w:sz w:val="24"/>
        </w:rPr>
      </w:pPr>
      <w:r>
        <w:rPr>
          <w:rFonts w:hint="eastAsia" w:ascii="仿宋" w:hAnsi="仿宋" w:eastAsia="仿宋" w:cs="仿宋"/>
          <w:b/>
          <w:bCs/>
          <w:color w:val="000000"/>
          <w:sz w:val="24"/>
        </w:rPr>
        <w:t xml:space="preserve">附件</w:t>
      </w:r>
      <w:r>
        <w:rPr>
          <w:rFonts w:hint="eastAsia" w:ascii="仿宋" w:hAnsi="仿宋" w:eastAsia="仿宋" w:cs="仿宋"/>
          <w:b/>
          <w:bCs/>
          <w:color w:val="000000"/>
          <w:sz w:val="24"/>
          <w:lang w:val="en-US" w:eastAsia="zh-CN"/>
        </w:rPr>
        <w:t xml:space="preserve">2</w:t>
      </w:r>
      <w:r>
        <w:rPr>
          <w:rFonts w:hint="eastAsia" w:ascii="仿宋" w:hAnsi="仿宋" w:eastAsia="仿宋" w:cs="仿宋"/>
          <w:b/>
          <w:bCs/>
          <w:color w:val="000000"/>
          <w:sz w:val="24"/>
        </w:rPr>
        <w:t xml:space="preserve">: 人工作业考核细则</w:t>
      </w:r>
      <w:r/>
    </w:p>
    <w:tbl>
      <w:tblPr>
        <w:tblStyle w:val="725"/>
        <w:tblW w:w="103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6"/>
        <w:gridCol w:w="996"/>
        <w:gridCol w:w="3228"/>
        <w:gridCol w:w="5028"/>
      </w:tblGrid>
      <w:tr>
        <w:trPr>
          <w:jc w:val="center"/>
          <w:trHeight w:val="453"/>
        </w:trPr>
        <w:tc>
          <w:tcPr>
            <w:gridSpan w:val="2"/>
            <w:tcW w:w="2082" w:type="dxa"/>
            <w:vAlign w:val="center"/>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考核项目</w:t>
            </w:r>
            <w:r/>
          </w:p>
        </w:tc>
        <w:tc>
          <w:tcPr>
            <w:tcW w:w="3228" w:type="dxa"/>
            <w:vAlign w:val="center"/>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作业要求</w:t>
            </w:r>
            <w:r/>
          </w:p>
        </w:tc>
        <w:tc>
          <w:tcPr>
            <w:tcW w:w="5028" w:type="dxa"/>
            <w:vAlign w:val="center"/>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扣分标准</w:t>
            </w:r>
            <w:r/>
          </w:p>
        </w:tc>
      </w:tr>
      <w:tr>
        <w:trPr>
          <w:jc w:val="center"/>
          <w:trHeight w:val="960"/>
        </w:trPr>
        <w:tc>
          <w:tcPr>
            <w:tcW w:w="1086" w:type="dxa"/>
            <w:vAlign w:val="center"/>
            <w:vMerge w:val="restart"/>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管理标准</w:t>
            </w:r>
            <w:r/>
          </w:p>
        </w:tc>
        <w:tc>
          <w:tcPr>
            <w:tcW w:w="996"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人员管理</w:t>
            </w:r>
            <w:r/>
          </w:p>
        </w:tc>
        <w:tc>
          <w:tcPr>
            <w:tcW w:w="3228"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按照合同规定配备作业人数，保洁员按要求进行作业；统一着装，佩戴上岗证；作业期间内不得脱岗、离岗、聚众闲聊。</w:t>
            </w:r>
            <w:r/>
          </w:p>
        </w:tc>
        <w:tc>
          <w:tcPr>
            <w:tcW w:w="5028"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bookmarkStart w:id="3" w:name="RANGE!D4"/>
            <w:r>
              <w:rPr>
                <w:rFonts w:hint="eastAsia" w:ascii="仿宋" w:hAnsi="仿宋" w:eastAsia="仿宋" w:cs="仿宋"/>
                <w:b w:val="0"/>
                <w:sz w:val="24"/>
                <w:szCs w:val="24"/>
                <w:highlight w:val="none"/>
                <w:lang w:val="en-US" w:eastAsia="zh-CN"/>
              </w:rPr>
              <w:t xml:space="preserve">保洁员未按合同配备的每少1人扣5分；保洁员离岗、脱岗，每例扣2分；保洁员在岗不作为、干私活，每例扣1分；未统一着装、佩戴上岗证，每例扣1分；作业期间内聚众闲聊，每例扣2分；路段管理员未按规定进行巡查的，每例扣3分。</w:t>
            </w:r>
            <w:bookmarkEnd w:id="3"/>
            <w:r/>
            <w:r/>
          </w:p>
        </w:tc>
      </w:tr>
      <w:tr>
        <w:trPr>
          <w:jc w:val="center"/>
          <w:trHeight w:val="720"/>
        </w:trPr>
        <w:tc>
          <w:tcPr>
            <w:tcW w:w="1086"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W w:w="996"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作业工具</w:t>
            </w:r>
            <w:r/>
          </w:p>
        </w:tc>
        <w:tc>
          <w:tcPr>
            <w:tcW w:w="3228" w:type="dxa"/>
            <w:vAlign w:val="center"/>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作业工具规范,符合使用要求。保洁车辆保持完好，车体整洁，停放有序。车身四侧设置反光标志，作业时开启警示灯，安全操作。</w:t>
            </w:r>
            <w:r/>
          </w:p>
        </w:tc>
        <w:tc>
          <w:tcPr>
            <w:tcW w:w="5028"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作业工具不规范，不符合使用要求，每例扣1分；保洁车辆明显损坏、不能正常使用，每例扣1分；车体不洁、有明显污垢，每例扣1分；车辆乱停乱放，每例扣1分。</w:t>
            </w:r>
            <w:r/>
          </w:p>
        </w:tc>
      </w:tr>
      <w:tr>
        <w:trPr>
          <w:jc w:val="center"/>
          <w:trHeight w:val="720"/>
        </w:trPr>
        <w:tc>
          <w:tcPr>
            <w:tcW w:w="1086"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W w:w="996"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业务会议</w:t>
            </w:r>
            <w:r/>
          </w:p>
        </w:tc>
        <w:tc>
          <w:tcPr>
            <w:tcW w:w="3228"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城管局或环卫部门组织业务会议不得缺席，迟到、早退；通讯工具保持畅通，24小时开机。</w:t>
            </w:r>
            <w:r/>
          </w:p>
        </w:tc>
        <w:tc>
          <w:tcPr>
            <w:tcW w:w="5028"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会议无故缺席每次扣10分，迟到早退每次扣2分；通讯工具关机影响工作的，每次扣2分。连续2次或一年内累计三次会议无故缺席则解除合同。</w:t>
            </w:r>
            <w:r/>
          </w:p>
        </w:tc>
      </w:tr>
      <w:tr>
        <w:trPr>
          <w:jc w:val="center"/>
          <w:trHeight w:val="720"/>
        </w:trPr>
        <w:tc>
          <w:tcPr>
            <w:tcW w:w="1086"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W w:w="996"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管理秩序</w:t>
            </w:r>
            <w:r/>
          </w:p>
        </w:tc>
        <w:tc>
          <w:tcPr>
            <w:tcW w:w="3228"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严格内部管理，服从监管，合理表达要求，无被动管理现象，不得将甲方的考核结果转嫁给保洁人员。</w:t>
            </w:r>
            <w:r/>
          </w:p>
        </w:tc>
        <w:tc>
          <w:tcPr>
            <w:tcW w:w="5028"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不服从甲方管理，出现阻挠、顶撞、辱骂、殴打等事件，视情节影响扣1-50分，触犯法律者由司法机关处理。存在被动管理现象，将甲方考核结果转嫁给保洁人员的，发现1人次扣10分。</w:t>
            </w:r>
            <w:r/>
          </w:p>
        </w:tc>
      </w:tr>
      <w:tr>
        <w:trPr>
          <w:jc w:val="center"/>
          <w:trHeight w:val="720"/>
        </w:trPr>
        <w:tc>
          <w:tcPr>
            <w:tcW w:w="1086" w:type="dxa"/>
            <w:vAlign w:val="center"/>
            <w:vMerge w:val="restart"/>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质量标准</w:t>
            </w:r>
            <w:r/>
          </w:p>
        </w:tc>
        <w:tc>
          <w:tcPr>
            <w:tcW w:w="996"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作业时间</w:t>
            </w:r>
            <w:r/>
          </w:p>
        </w:tc>
        <w:tc>
          <w:tcPr>
            <w:tcW w:w="3228"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作业时间详见招标合同；路面废弃物停留时间不超过20分钟。</w:t>
            </w:r>
            <w:r/>
          </w:p>
        </w:tc>
        <w:tc>
          <w:tcPr>
            <w:tcW w:w="5028"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未按规定时间完成作业，每例扣5分； 路面废弃物停留时间超过20分钟的，每例扣2分，保洁人员未按作业时间上下班的，每例扣2分；双班制路段交接班时间必须两人见面，出现空档的，每例扣2分。</w:t>
            </w:r>
            <w:r/>
          </w:p>
        </w:tc>
      </w:tr>
      <w:tr>
        <w:trPr>
          <w:jc w:val="center"/>
          <w:trHeight w:val="720"/>
        </w:trPr>
        <w:tc>
          <w:tcPr>
            <w:tcW w:w="1086"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W w:w="996"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文明作业</w:t>
            </w:r>
            <w:r/>
          </w:p>
        </w:tc>
        <w:tc>
          <w:tcPr>
            <w:tcW w:w="3228"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作业时严禁向窨井内扫垃圾；严禁将垃圾倒入果皮箱和绿化带内；严禁焚烧垃圾及在道路上中转垃圾。</w:t>
            </w:r>
            <w:r/>
          </w:p>
        </w:tc>
        <w:tc>
          <w:tcPr>
            <w:tcW w:w="5028"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作业时向窨井内扫垃圾、将清扫的垃圾倒入果皮箱和绿化带内、在道路上中转垃圾，每例扣5分；焚烧垃圾，每例扣10分。</w:t>
            </w:r>
            <w:r/>
          </w:p>
        </w:tc>
      </w:tr>
      <w:tr>
        <w:trPr>
          <w:jc w:val="center"/>
          <w:trHeight w:val="590"/>
        </w:trPr>
        <w:tc>
          <w:tcPr>
            <w:tcW w:w="1086"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W w:w="996"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路面保洁</w:t>
            </w:r>
            <w:r/>
          </w:p>
        </w:tc>
        <w:tc>
          <w:tcPr>
            <w:tcW w:w="3228"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保洁区域内无果皮、纸屑、塑料袋、烟头和其他杂物。</w:t>
            </w:r>
            <w:r/>
          </w:p>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窨井口周边保持洁净无杂物和污渍；路面无积水(雨天除外)；道路清扫作业后，无陈旧积灰和其他杂物；人行道上无杂草；保洁区域内无积存、暴露垃圾。</w:t>
            </w:r>
            <w:r/>
          </w:p>
        </w:tc>
        <w:tc>
          <w:tcPr>
            <w:tcW w:w="5028"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区域内有果皮、纸屑、塑料袋、烟头和其他杂物，每1000平方米范围内发现1-3片（个）扣1分，每多3片（个）加扣1分。路面有积水（雨天除外），每平方米扣1分。窨井口周边有杂物及污渍，每处扣2分。</w:t>
            </w:r>
            <w:r/>
          </w:p>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积存、暴露垃圾大堆（占地面积1平方米以上），每处扣10分；</w:t>
            </w:r>
            <w:r>
              <w:rPr>
                <w:rFonts w:hint="eastAsia" w:ascii="仿宋" w:hAnsi="仿宋" w:eastAsia="仿宋" w:cs="仿宋"/>
                <w:b w:val="0"/>
                <w:sz w:val="24"/>
                <w:szCs w:val="24"/>
                <w:highlight w:val="none"/>
                <w:lang w:val="en-US" w:eastAsia="zh-CN"/>
              </w:rPr>
              <w:br/>
            </w:r>
            <w:r>
              <w:rPr>
                <w:rFonts w:hint="eastAsia" w:ascii="仿宋" w:hAnsi="仿宋" w:eastAsia="仿宋" w:cs="仿宋"/>
                <w:b w:val="0"/>
                <w:sz w:val="24"/>
                <w:szCs w:val="24"/>
                <w:highlight w:val="none"/>
                <w:lang w:val="en-US" w:eastAsia="zh-CN"/>
              </w:rPr>
              <w:t xml:space="preserve">积存、暴露垃圾中堆（占地面积0.5平方米以上，1平方米（含）以下），每处扣7分；</w:t>
            </w:r>
            <w:r>
              <w:rPr>
                <w:rFonts w:hint="eastAsia" w:ascii="仿宋" w:hAnsi="仿宋" w:eastAsia="仿宋" w:cs="仿宋"/>
                <w:b w:val="0"/>
                <w:sz w:val="24"/>
                <w:szCs w:val="24"/>
                <w:highlight w:val="none"/>
                <w:lang w:val="en-US" w:eastAsia="zh-CN"/>
              </w:rPr>
              <w:br/>
            </w:r>
            <w:r>
              <w:rPr>
                <w:rFonts w:hint="eastAsia" w:ascii="仿宋" w:hAnsi="仿宋" w:eastAsia="仿宋" w:cs="仿宋"/>
                <w:b w:val="0"/>
                <w:sz w:val="24"/>
                <w:szCs w:val="24"/>
                <w:highlight w:val="none"/>
                <w:lang w:val="en-US" w:eastAsia="zh-CN"/>
              </w:rPr>
              <w:t xml:space="preserve">积存、暴露垃圾小堆（占地面积0.5平方米（含）以下），每处扣3分。有杂草视具体情况扣分。</w:t>
            </w:r>
            <w:r/>
          </w:p>
        </w:tc>
      </w:tr>
      <w:tr>
        <w:trPr>
          <w:jc w:val="center"/>
          <w:trHeight w:val="960"/>
        </w:trPr>
        <w:tc>
          <w:tcPr>
            <w:tcW w:w="1086"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W w:w="996"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果皮箱和垃圾收集容器保洁</w:t>
            </w:r>
            <w:r/>
          </w:p>
        </w:tc>
        <w:tc>
          <w:tcPr>
            <w:tcW w:w="3228"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果皮箱和垃圾收集容器保持设施完好、整洁密闭，摆放有序，做到箱体（收集容器）无污迹、无野广告；内部垃圾不得超过容积的1/2,周边环境洁净。</w:t>
            </w:r>
            <w:r/>
          </w:p>
        </w:tc>
        <w:tc>
          <w:tcPr>
            <w:tcW w:w="5028"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果皮箱和垃圾收集容器箱体损坏未及时报告，未密闭（门未关、盖未盖），摆放不整齐，每个扣1分；箱体有污迹及野广告，每个扣1分；内部垃圾超过容积的1/2,每个扣1分；周边环境不洁，每个扣1－5分。</w:t>
            </w:r>
            <w:r/>
          </w:p>
        </w:tc>
      </w:tr>
      <w:tr>
        <w:trPr>
          <w:jc w:val="center"/>
          <w:trHeight w:val="1005"/>
        </w:trPr>
        <w:tc>
          <w:tcPr>
            <w:tcW w:w="1086"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W w:w="996"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绿化带保洁</w:t>
            </w:r>
            <w:r/>
          </w:p>
        </w:tc>
        <w:tc>
          <w:tcPr>
            <w:tcW w:w="3228"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树穴、绿化带、花坛、绿地无果皮、纸屑、塑料袋、烟头和其他杂物，无积存、暴露垃圾。</w:t>
            </w:r>
            <w:r/>
          </w:p>
        </w:tc>
        <w:tc>
          <w:tcPr>
            <w:tcW w:w="5028"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有果皮、纸屑、塑料袋、烟头和其他杂物，每1000平方米范围内发现1-3片（个）扣1分，每多3片（个）加扣1分。</w:t>
            </w:r>
            <w:r/>
          </w:p>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积存、暴露垃圾大堆（占地面积1平方米以上），每处扣10分；</w:t>
            </w:r>
            <w:r>
              <w:rPr>
                <w:rFonts w:hint="eastAsia" w:ascii="仿宋" w:hAnsi="仿宋" w:eastAsia="仿宋" w:cs="仿宋"/>
                <w:b w:val="0"/>
                <w:sz w:val="24"/>
                <w:szCs w:val="24"/>
                <w:highlight w:val="none"/>
                <w:lang w:val="en-US" w:eastAsia="zh-CN"/>
              </w:rPr>
              <w:br/>
            </w:r>
            <w:r>
              <w:rPr>
                <w:rFonts w:hint="eastAsia" w:ascii="仿宋" w:hAnsi="仿宋" w:eastAsia="仿宋" w:cs="仿宋"/>
                <w:b w:val="0"/>
                <w:sz w:val="24"/>
                <w:szCs w:val="24"/>
                <w:highlight w:val="none"/>
                <w:lang w:val="en-US" w:eastAsia="zh-CN"/>
              </w:rPr>
              <w:t xml:space="preserve">积存、暴露垃圾中堆（占地面积0.5平方米以上，1平方米（含）以下），每处扣7分；</w:t>
            </w:r>
            <w:r>
              <w:rPr>
                <w:rFonts w:hint="eastAsia" w:ascii="仿宋" w:hAnsi="仿宋" w:eastAsia="仿宋" w:cs="仿宋"/>
                <w:b w:val="0"/>
                <w:sz w:val="24"/>
                <w:szCs w:val="24"/>
                <w:highlight w:val="none"/>
                <w:lang w:val="en-US" w:eastAsia="zh-CN"/>
              </w:rPr>
              <w:br/>
            </w:r>
            <w:r>
              <w:rPr>
                <w:rFonts w:hint="eastAsia" w:ascii="仿宋" w:hAnsi="仿宋" w:eastAsia="仿宋" w:cs="仿宋"/>
                <w:b w:val="0"/>
                <w:sz w:val="24"/>
                <w:szCs w:val="24"/>
                <w:highlight w:val="none"/>
                <w:lang w:val="en-US" w:eastAsia="zh-CN"/>
              </w:rPr>
              <w:t xml:space="preserve">积存、暴露垃圾小堆（占地面积0.5平方米（含）以下），每处扣3分。</w:t>
            </w:r>
            <w:r/>
          </w:p>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枯枝烂叶清理不及时，每处扣1分。</w:t>
            </w:r>
            <w:r/>
          </w:p>
        </w:tc>
      </w:tr>
      <w:tr>
        <w:trPr>
          <w:jc w:val="center"/>
          <w:trHeight w:val="1200"/>
        </w:trPr>
        <w:tc>
          <w:tcPr>
            <w:tcW w:w="1086"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W w:w="996"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野广告清理</w:t>
            </w:r>
            <w:r/>
          </w:p>
        </w:tc>
        <w:tc>
          <w:tcPr>
            <w:tcW w:w="3228"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清理道路路面和建（构）筑物、树木及各类灯（线）杆或者其他设施立面1.8m以下野广告，做到及时发现及时清理，覆盖严密、清理彻底、不留残余；色差均匀，与周边环境协调一致。</w:t>
            </w:r>
            <w:r/>
          </w:p>
        </w:tc>
        <w:tc>
          <w:tcPr>
            <w:tcW w:w="5028"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野广告未及时清理的，每个扣1分；清理不规范的每个扣0.5分。</w:t>
            </w:r>
            <w:r/>
          </w:p>
        </w:tc>
      </w:tr>
      <w:tr>
        <w:trPr>
          <w:jc w:val="center"/>
          <w:trHeight w:val="480"/>
        </w:trPr>
        <w:tc>
          <w:tcPr>
            <w:tcW w:w="1086"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W w:w="996"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护栏及公交站台保洁</w:t>
            </w:r>
            <w:r/>
          </w:p>
        </w:tc>
        <w:tc>
          <w:tcPr>
            <w:tcW w:w="3228"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交通护栏和底座及公交站台及时清洗，保持干净无灰尘及污渍、无野广告。</w:t>
            </w:r>
            <w:r/>
          </w:p>
        </w:tc>
        <w:tc>
          <w:tcPr>
            <w:tcW w:w="5028"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有灰尘及污渍每处扣1分；野广告每处扣1分。</w:t>
            </w:r>
            <w:r/>
          </w:p>
        </w:tc>
      </w:tr>
      <w:tr>
        <w:trPr>
          <w:jc w:val="center"/>
          <w:trHeight w:val="480"/>
        </w:trPr>
        <w:tc>
          <w:tcPr>
            <w:tcW w:w="1086"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W w:w="996"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非机动车摆放</w:t>
            </w:r>
            <w:r/>
          </w:p>
        </w:tc>
        <w:tc>
          <w:tcPr>
            <w:tcW w:w="3228" w:type="dxa"/>
            <w:vAlign w:val="center"/>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停放整齐，头向一致。</w:t>
            </w:r>
            <w:r/>
          </w:p>
        </w:tc>
        <w:tc>
          <w:tcPr>
            <w:tcW w:w="5028"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每点3辆（含）以上非机动车线外停放，每超1辆扣1分；每点5辆（含）以上非机动车逆向停放，每超一辆扣1分。</w:t>
            </w:r>
            <w:r/>
          </w:p>
        </w:tc>
      </w:tr>
      <w:tr>
        <w:trPr>
          <w:jc w:val="center"/>
          <w:trHeight w:val="1200"/>
        </w:trPr>
        <w:tc>
          <w:tcPr>
            <w:gridSpan w:val="2"/>
            <w:tcW w:w="2082" w:type="dxa"/>
            <w:vAlign w:val="center"/>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社会监督</w:t>
            </w:r>
            <w:r/>
          </w:p>
        </w:tc>
        <w:tc>
          <w:tcPr>
            <w:tcW w:w="3228"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应主动接受社会监督，有责投诉问题应在规定的期限内整改。区级以上检查不失责任分。</w:t>
            </w:r>
            <w:r/>
          </w:p>
        </w:tc>
        <w:tc>
          <w:tcPr>
            <w:tcW w:w="5028"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上级督办和新闻媒体曝光，经确认有责的，每次扣2分。12319和12345电话受理、各信访渠道交办的市民投诉，经确认有责的，每次扣5分。发生有责投诉和有责管理事件后，未在规定的时间内整改到位的扣5分。区级以上检查失分的，每次扣5分。</w:t>
            </w:r>
            <w:r/>
          </w:p>
        </w:tc>
      </w:tr>
    </w:tbl>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br w:type="page" w:clear="all"/>
      </w:r>
      <w:r>
        <w:rPr>
          <w:rFonts w:hint="eastAsia" w:ascii="仿宋" w:hAnsi="仿宋" w:eastAsia="仿宋" w:cs="仿宋"/>
          <w:b/>
          <w:bCs/>
          <w:sz w:val="24"/>
          <w:szCs w:val="24"/>
          <w:highlight w:val="none"/>
          <w:lang w:val="en-US" w:eastAsia="zh-CN"/>
        </w:rPr>
        <w:t xml:space="preserve">附件3：机械化作业考核细则</w:t>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945"/>
        <w:gridCol w:w="727"/>
        <w:gridCol w:w="695"/>
        <w:gridCol w:w="3012"/>
        <w:gridCol w:w="3197"/>
      </w:tblGrid>
      <w:tr>
        <w:trPr>
          <w:jc w:val="center"/>
          <w:trHeight w:val="465"/>
        </w:trPr>
        <w:tc>
          <w:tcPr>
            <w:gridSpan w:val="2"/>
            <w:tcMar>
              <w:left w:w="15" w:type="dxa"/>
              <w:top w:w="15" w:type="dxa"/>
              <w:right w:w="15" w:type="dxa"/>
              <w:bottom w:w="0" w:type="dxa"/>
            </w:tcMar>
            <w:tcW w:w="1950" w:type="dxa"/>
            <w:vAlign w:val="center"/>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考核项目</w:t>
            </w:r>
            <w:r/>
          </w:p>
        </w:tc>
        <w:tc>
          <w:tcPr>
            <w:gridSpan w:val="2"/>
            <w:tcMar>
              <w:left w:w="15" w:type="dxa"/>
              <w:top w:w="15" w:type="dxa"/>
              <w:right w:w="15" w:type="dxa"/>
              <w:bottom w:w="0" w:type="dxa"/>
            </w:tcMar>
            <w:tcW w:w="4470" w:type="dxa"/>
            <w:vAlign w:val="center"/>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作业要求</w:t>
            </w:r>
            <w:r/>
          </w:p>
        </w:tc>
        <w:tc>
          <w:tcPr>
            <w:tcMar>
              <w:left w:w="15" w:type="dxa"/>
              <w:top w:w="15" w:type="dxa"/>
              <w:right w:w="15" w:type="dxa"/>
              <w:bottom w:w="0" w:type="dxa"/>
            </w:tcMar>
            <w:tcW w:w="3960" w:type="dxa"/>
            <w:vAlign w:val="center"/>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扣分标准</w:t>
            </w:r>
            <w:r/>
          </w:p>
        </w:tc>
      </w:tr>
      <w:tr>
        <w:trPr>
          <w:jc w:val="center"/>
          <w:trHeight w:val="465"/>
        </w:trPr>
        <w:tc>
          <w:tcPr>
            <w:gridSpan w:val="2"/>
            <w:tcMar>
              <w:left w:w="15" w:type="dxa"/>
              <w:top w:w="15" w:type="dxa"/>
              <w:right w:w="15" w:type="dxa"/>
              <w:bottom w:w="0" w:type="dxa"/>
            </w:tcMar>
            <w:tcW w:w="1950" w:type="dxa"/>
            <w:vAlign w:val="center"/>
            <w:vMerge w:val="restart"/>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管理标准</w:t>
            </w:r>
            <w:r/>
          </w:p>
        </w:tc>
        <w:tc>
          <w:tcPr>
            <w:gridSpan w:val="2"/>
            <w:tcMar>
              <w:left w:w="15" w:type="dxa"/>
              <w:top w:w="15" w:type="dxa"/>
              <w:right w:w="15" w:type="dxa"/>
              <w:bottom w:w="0" w:type="dxa"/>
            </w:tcMar>
            <w:tcW w:w="447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按规定时间、线路作业。</w:t>
            </w:r>
            <w:r/>
          </w:p>
        </w:tc>
        <w:tc>
          <w:tcPr>
            <w:tcMar>
              <w:left w:w="15" w:type="dxa"/>
              <w:top w:w="15" w:type="dxa"/>
              <w:right w:w="15" w:type="dxa"/>
              <w:bottom w:w="0" w:type="dxa"/>
            </w:tcMar>
            <w:tcW w:w="396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未按时作业的，每次扣1分；未按线路作业，每次扣1分。</w:t>
            </w:r>
            <w:r/>
          </w:p>
        </w:tc>
      </w:tr>
      <w:tr>
        <w:trPr>
          <w:jc w:val="center"/>
          <w:trHeight w:val="675"/>
        </w:trPr>
        <w:tc>
          <w:tcPr>
            <w:gridSpan w:val="2"/>
            <w:tcW w:w="1950"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gridSpan w:val="2"/>
            <w:tcMar>
              <w:left w:w="15" w:type="dxa"/>
              <w:top w:w="15" w:type="dxa"/>
              <w:right w:w="15" w:type="dxa"/>
              <w:bottom w:w="0" w:type="dxa"/>
            </w:tcMar>
            <w:tcW w:w="447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机械化作业车辆、设备正常运行，配备专人对作业情况进行实时监控。</w:t>
            </w:r>
            <w:r/>
          </w:p>
        </w:tc>
        <w:tc>
          <w:tcPr>
            <w:tcMar>
              <w:left w:w="15" w:type="dxa"/>
              <w:top w:w="15" w:type="dxa"/>
              <w:right w:w="15" w:type="dxa"/>
              <w:bottom w:w="0" w:type="dxa"/>
            </w:tcMar>
            <w:tcW w:w="396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机械化作业未按要求运行的，每次扣10分。</w:t>
            </w:r>
            <w:r/>
          </w:p>
        </w:tc>
      </w:tr>
      <w:tr>
        <w:trPr>
          <w:jc w:val="center"/>
          <w:trHeight w:val="930"/>
        </w:trPr>
        <w:tc>
          <w:tcPr>
            <w:gridSpan w:val="2"/>
            <w:tcW w:w="1950"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gridSpan w:val="2"/>
            <w:tcMar>
              <w:left w:w="15" w:type="dxa"/>
              <w:top w:w="15" w:type="dxa"/>
              <w:right w:w="15" w:type="dxa"/>
              <w:bottom w:w="0" w:type="dxa"/>
            </w:tcMar>
            <w:tcW w:w="447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作业过程中必须严格遵守交通法规；避免非作业状态下的滴水、漏水；带水作业时遇人群密集时，应降低车速、减少水量，不干扰行人，工作期间应使用文明用语、不得有与他人争吵、辱骂、斗殴等行为。</w:t>
            </w:r>
            <w:r/>
          </w:p>
        </w:tc>
        <w:tc>
          <w:tcPr>
            <w:tcMar>
              <w:left w:w="15" w:type="dxa"/>
              <w:top w:w="15" w:type="dxa"/>
              <w:right w:w="15" w:type="dxa"/>
              <w:bottom w:w="0" w:type="dxa"/>
            </w:tcMar>
            <w:tcW w:w="396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非作业状态下滴水、漏水，每次扣1分；</w:t>
            </w:r>
            <w:r>
              <w:rPr>
                <w:rFonts w:hint="eastAsia" w:ascii="仿宋" w:hAnsi="仿宋" w:eastAsia="仿宋" w:cs="仿宋"/>
                <w:b w:val="0"/>
                <w:sz w:val="24"/>
                <w:szCs w:val="24"/>
                <w:highlight w:val="none"/>
                <w:lang w:val="en-US" w:eastAsia="zh-CN"/>
              </w:rPr>
              <w:br/>
            </w:r>
            <w:r>
              <w:rPr>
                <w:rFonts w:hint="eastAsia" w:ascii="仿宋" w:hAnsi="仿宋" w:eastAsia="仿宋" w:cs="仿宋"/>
                <w:b w:val="0"/>
                <w:sz w:val="24"/>
                <w:szCs w:val="24"/>
                <w:highlight w:val="none"/>
                <w:lang w:val="en-US" w:eastAsia="zh-CN"/>
              </w:rPr>
              <w:t xml:space="preserve">作业期间有不文明行为的，每次扣2分。</w:t>
            </w:r>
            <w:r/>
          </w:p>
        </w:tc>
      </w:tr>
      <w:tr>
        <w:trPr>
          <w:jc w:val="center"/>
          <w:trHeight w:val="885"/>
        </w:trPr>
        <w:tc>
          <w:tcPr>
            <w:tcMar>
              <w:left w:w="15" w:type="dxa"/>
              <w:top w:w="15" w:type="dxa"/>
              <w:right w:w="15" w:type="dxa"/>
              <w:bottom w:w="0" w:type="dxa"/>
            </w:tcMar>
            <w:tcW w:w="1155" w:type="dxa"/>
            <w:vAlign w:val="center"/>
            <w:vMerge w:val="restart"/>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作业标准</w:t>
            </w:r>
            <w:r/>
          </w:p>
        </w:tc>
        <w:tc>
          <w:tcPr>
            <w:tcMar>
              <w:left w:w="15" w:type="dxa"/>
              <w:top w:w="15" w:type="dxa"/>
              <w:right w:w="15" w:type="dxa"/>
              <w:bottom w:w="0" w:type="dxa"/>
            </w:tcMar>
            <w:tcW w:w="795"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车容</w:t>
            </w:r>
            <w:r/>
          </w:p>
        </w:tc>
        <w:tc>
          <w:tcPr>
            <w:gridSpan w:val="2"/>
            <w:tcMar>
              <w:left w:w="15" w:type="dxa"/>
              <w:top w:w="15" w:type="dxa"/>
              <w:right w:w="15" w:type="dxa"/>
              <w:bottom w:w="0" w:type="dxa"/>
            </w:tcMar>
            <w:tcW w:w="447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作业时保持车容整洁，标志清晰、齐全，车体无破损、无锈蚀、无污物、无灰垢，应杜绝吊挂、抛洒污物，滴漏油液等现象。</w:t>
            </w:r>
            <w:r/>
          </w:p>
        </w:tc>
        <w:tc>
          <w:tcPr>
            <w:tcMar>
              <w:left w:w="15" w:type="dxa"/>
              <w:top w:w="15" w:type="dxa"/>
              <w:right w:w="15" w:type="dxa"/>
              <w:bottom w:w="0" w:type="dxa"/>
            </w:tcMar>
            <w:tcW w:w="396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车容不洁、标志不清每次扣2分。</w:t>
            </w:r>
            <w:r/>
          </w:p>
        </w:tc>
      </w:tr>
      <w:tr>
        <w:trPr>
          <w:jc w:val="center"/>
          <w:trHeight w:val="585"/>
        </w:trPr>
        <w:tc>
          <w:tcPr>
            <w:tcW w:w="1155"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Mar>
              <w:left w:w="15" w:type="dxa"/>
              <w:top w:w="15" w:type="dxa"/>
              <w:right w:w="15" w:type="dxa"/>
              <w:bottom w:w="0" w:type="dxa"/>
            </w:tcMar>
            <w:tcW w:w="795"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警示标志</w:t>
            </w:r>
            <w:r/>
          </w:p>
        </w:tc>
        <w:tc>
          <w:tcPr>
            <w:gridSpan w:val="2"/>
            <w:tcMar>
              <w:left w:w="15" w:type="dxa"/>
              <w:top w:w="15" w:type="dxa"/>
              <w:right w:w="15" w:type="dxa"/>
              <w:bottom w:w="0" w:type="dxa"/>
            </w:tcMar>
            <w:tcW w:w="447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白天作业时应开启提示音乐及警示灯，夜间作业时应开启夜间作业示宽灯。</w:t>
            </w:r>
            <w:r/>
          </w:p>
        </w:tc>
        <w:tc>
          <w:tcPr>
            <w:tcMar>
              <w:left w:w="15" w:type="dxa"/>
              <w:top w:w="15" w:type="dxa"/>
              <w:right w:w="15" w:type="dxa"/>
              <w:bottom w:w="0" w:type="dxa"/>
            </w:tcMar>
            <w:tcW w:w="396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未按规定使用警示标志的，每次扣2分。</w:t>
            </w:r>
            <w:r/>
          </w:p>
        </w:tc>
      </w:tr>
      <w:tr>
        <w:trPr>
          <w:jc w:val="center"/>
          <w:trHeight w:val="480"/>
        </w:trPr>
        <w:tc>
          <w:tcPr>
            <w:tcW w:w="1155"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Mar>
              <w:left w:w="15" w:type="dxa"/>
              <w:top w:w="15" w:type="dxa"/>
              <w:right w:w="15" w:type="dxa"/>
              <w:bottom w:w="0" w:type="dxa"/>
            </w:tcMar>
            <w:tcW w:w="795"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作业人员着装</w:t>
            </w:r>
            <w:r/>
          </w:p>
        </w:tc>
        <w:tc>
          <w:tcPr>
            <w:gridSpan w:val="2"/>
            <w:tcMar>
              <w:left w:w="15" w:type="dxa"/>
              <w:top w:w="15" w:type="dxa"/>
              <w:right w:w="15" w:type="dxa"/>
              <w:bottom w:w="0" w:type="dxa"/>
            </w:tcMar>
            <w:tcW w:w="447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作业时应穿戴统一、有警示标识的工作服，并保持着装整洁。</w:t>
            </w:r>
            <w:r/>
          </w:p>
        </w:tc>
        <w:tc>
          <w:tcPr>
            <w:tcMar>
              <w:left w:w="15" w:type="dxa"/>
              <w:top w:w="15" w:type="dxa"/>
              <w:right w:w="15" w:type="dxa"/>
              <w:bottom w:w="0" w:type="dxa"/>
            </w:tcMar>
            <w:tcW w:w="396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未按规定着装的，每次扣1分。</w:t>
            </w:r>
            <w:r/>
          </w:p>
        </w:tc>
      </w:tr>
      <w:tr>
        <w:trPr>
          <w:jc w:val="center"/>
          <w:trHeight w:val="525"/>
        </w:trPr>
        <w:tc>
          <w:tcPr>
            <w:tcW w:w="1155"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Mar>
              <w:left w:w="15" w:type="dxa"/>
              <w:top w:w="15" w:type="dxa"/>
              <w:right w:w="15" w:type="dxa"/>
              <w:bottom w:w="0" w:type="dxa"/>
            </w:tcMar>
            <w:tcW w:w="795"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作业模式</w:t>
            </w:r>
            <w:r/>
          </w:p>
        </w:tc>
        <w:tc>
          <w:tcPr>
            <w:gridSpan w:val="2"/>
            <w:tcMar>
              <w:left w:w="15" w:type="dxa"/>
              <w:top w:w="15" w:type="dxa"/>
              <w:right w:w="15" w:type="dxa"/>
              <w:bottom w:w="0" w:type="dxa"/>
            </w:tcMar>
            <w:tcW w:w="447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按规定的作业模式进行作业</w:t>
            </w:r>
            <w:r/>
          </w:p>
        </w:tc>
        <w:tc>
          <w:tcPr>
            <w:tcMar>
              <w:left w:w="15" w:type="dxa"/>
              <w:top w:w="15" w:type="dxa"/>
              <w:right w:w="15" w:type="dxa"/>
              <w:bottom w:w="0" w:type="dxa"/>
            </w:tcMar>
            <w:tcW w:w="396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未按模式作业的，每次扣5分。</w:t>
            </w:r>
            <w:r/>
          </w:p>
        </w:tc>
      </w:tr>
      <w:tr>
        <w:trPr>
          <w:jc w:val="center"/>
          <w:trHeight w:val="1575"/>
        </w:trPr>
        <w:tc>
          <w:tcPr>
            <w:tcMar>
              <w:left w:w="15" w:type="dxa"/>
              <w:top w:w="15" w:type="dxa"/>
              <w:right w:w="15" w:type="dxa"/>
              <w:bottom w:w="0" w:type="dxa"/>
            </w:tcMar>
            <w:tcW w:w="1155" w:type="dxa"/>
            <w:vAlign w:val="center"/>
            <w:vMerge w:val="restart"/>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质量控制</w:t>
            </w:r>
            <w:r>
              <w:rPr>
                <w:rFonts w:hint="eastAsia" w:ascii="仿宋" w:hAnsi="仿宋" w:eastAsia="仿宋" w:cs="仿宋"/>
                <w:b w:val="0"/>
                <w:sz w:val="24"/>
                <w:szCs w:val="24"/>
                <w:highlight w:val="none"/>
                <w:lang w:val="en-US" w:eastAsia="zh-CN"/>
              </w:rPr>
              <w:br/>
            </w:r>
            <w:r/>
          </w:p>
        </w:tc>
        <w:tc>
          <w:tcPr>
            <w:tcMar>
              <w:left w:w="15" w:type="dxa"/>
              <w:top w:w="15" w:type="dxa"/>
              <w:right w:w="15" w:type="dxa"/>
              <w:bottom w:w="0" w:type="dxa"/>
            </w:tcMar>
            <w:tcW w:w="795"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速度</w:t>
            </w:r>
            <w:r/>
          </w:p>
        </w:tc>
        <w:tc>
          <w:tcPr>
            <w:gridSpan w:val="2"/>
            <w:tcMar>
              <w:left w:w="15" w:type="dxa"/>
              <w:top w:w="15" w:type="dxa"/>
              <w:right w:w="15" w:type="dxa"/>
              <w:bottom w:w="0" w:type="dxa"/>
            </w:tcMar>
            <w:tcW w:w="447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清扫行驶速度不超过10公里/小时，副发动机转速控制在2000转/分；保洁行驶速度不超过15公里/小时，副发动机转速控制在1800转/分；清洗作业车速不超过8公里/小时，副发动机转速控制在1800转/分（正常档），路面较脏时，副发动机转速控制在2200转/分（强洗档）；冲洗作业时控制车速为5公里/小时～10公里/小时。</w:t>
            </w:r>
            <w:r/>
          </w:p>
        </w:tc>
        <w:tc>
          <w:tcPr>
            <w:tcMar>
              <w:left w:w="15" w:type="dxa"/>
              <w:top w:w="15" w:type="dxa"/>
              <w:right w:w="15" w:type="dxa"/>
              <w:bottom w:w="0" w:type="dxa"/>
            </w:tcMar>
            <w:tcW w:w="396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超速，每次扣5-10分；副发动机转速未达标的，每次扣2分。</w:t>
            </w:r>
            <w:r/>
          </w:p>
        </w:tc>
      </w:tr>
      <w:tr>
        <w:trPr>
          <w:jc w:val="center"/>
          <w:trHeight w:val="660"/>
        </w:trPr>
        <w:tc>
          <w:tcPr>
            <w:tcW w:w="1155"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Mar>
              <w:left w:w="15" w:type="dxa"/>
              <w:top w:w="15" w:type="dxa"/>
              <w:right w:w="15" w:type="dxa"/>
              <w:bottom w:w="0" w:type="dxa"/>
            </w:tcMar>
            <w:tcW w:w="795" w:type="dxa"/>
            <w:vAlign w:val="center"/>
            <w:vMerge w:val="restart"/>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清扫、保洁、清洗</w:t>
            </w:r>
            <w:r>
              <w:rPr>
                <w:rFonts w:hint="eastAsia" w:ascii="仿宋" w:hAnsi="仿宋" w:eastAsia="仿宋" w:cs="仿宋"/>
                <w:b w:val="0"/>
                <w:sz w:val="24"/>
                <w:szCs w:val="24"/>
                <w:highlight w:val="none"/>
                <w:lang w:val="en-US" w:eastAsia="zh-CN"/>
              </w:rPr>
              <w:br/>
            </w:r>
            <w:r/>
          </w:p>
        </w:tc>
        <w:tc>
          <w:tcPr>
            <w:tcMar>
              <w:left w:w="15" w:type="dxa"/>
              <w:top w:w="15" w:type="dxa"/>
              <w:right w:w="15" w:type="dxa"/>
              <w:bottom w:w="0" w:type="dxa"/>
            </w:tcMar>
            <w:tcW w:w="827"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扫刷</w:t>
            </w:r>
            <w:r/>
          </w:p>
        </w:tc>
        <w:tc>
          <w:tcPr>
            <w:tcMar>
              <w:left w:w="15" w:type="dxa"/>
              <w:top w:w="15" w:type="dxa"/>
              <w:right w:w="15" w:type="dxa"/>
              <w:bottom w:w="0" w:type="dxa"/>
            </w:tcMar>
            <w:tcW w:w="3643"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作业前应检查扫刷落地高度，一般降至刷毛稍压地面为合适，作业时禁止扫刷不落地。</w:t>
            </w:r>
            <w:r/>
          </w:p>
        </w:tc>
        <w:tc>
          <w:tcPr>
            <w:tcMar>
              <w:left w:w="15" w:type="dxa"/>
              <w:top w:w="15" w:type="dxa"/>
              <w:right w:w="15" w:type="dxa"/>
              <w:bottom w:w="0" w:type="dxa"/>
            </w:tcMar>
            <w:tcW w:w="396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扫刷未落地，每次扣1分。</w:t>
            </w:r>
            <w:r/>
          </w:p>
        </w:tc>
      </w:tr>
      <w:tr>
        <w:trPr>
          <w:jc w:val="center"/>
          <w:trHeight w:val="675"/>
        </w:trPr>
        <w:tc>
          <w:tcPr>
            <w:tcW w:w="1155"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W w:w="795"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Mar>
              <w:left w:w="15" w:type="dxa"/>
              <w:top w:w="15" w:type="dxa"/>
              <w:right w:w="15" w:type="dxa"/>
              <w:bottom w:w="0" w:type="dxa"/>
            </w:tcMar>
            <w:tcW w:w="827"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吸嘴</w:t>
            </w:r>
            <w:r/>
          </w:p>
        </w:tc>
        <w:tc>
          <w:tcPr>
            <w:tcMar>
              <w:left w:w="15" w:type="dxa"/>
              <w:top w:w="15" w:type="dxa"/>
              <w:right w:w="15" w:type="dxa"/>
              <w:bottom w:w="0" w:type="dxa"/>
            </w:tcMar>
            <w:tcW w:w="3643"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作业时吸嘴调整到无垃圾遗漏为止，禁止吸嘴不落地。</w:t>
            </w:r>
            <w:r/>
          </w:p>
        </w:tc>
        <w:tc>
          <w:tcPr>
            <w:tcMar>
              <w:left w:w="15" w:type="dxa"/>
              <w:top w:w="15" w:type="dxa"/>
              <w:right w:w="15" w:type="dxa"/>
              <w:bottom w:w="0" w:type="dxa"/>
            </w:tcMar>
            <w:tcW w:w="396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吸嘴未落地，每次扣1分。</w:t>
            </w:r>
            <w:r/>
          </w:p>
        </w:tc>
      </w:tr>
      <w:tr>
        <w:trPr>
          <w:jc w:val="center"/>
          <w:trHeight w:val="705"/>
        </w:trPr>
        <w:tc>
          <w:tcPr>
            <w:tcW w:w="1155"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W w:w="795"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Mar>
              <w:left w:w="15" w:type="dxa"/>
              <w:top w:w="15" w:type="dxa"/>
              <w:right w:w="15" w:type="dxa"/>
              <w:bottom w:w="0" w:type="dxa"/>
            </w:tcMar>
            <w:tcW w:w="827"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贴边作业</w:t>
            </w:r>
            <w:r/>
          </w:p>
        </w:tc>
        <w:tc>
          <w:tcPr>
            <w:tcMar>
              <w:left w:w="15" w:type="dxa"/>
              <w:top w:w="15" w:type="dxa"/>
              <w:right w:w="15" w:type="dxa"/>
              <w:bottom w:w="0" w:type="dxa"/>
            </w:tcMar>
            <w:tcW w:w="3643"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作业车辆沿车道两侧边缘平行作业。</w:t>
            </w:r>
            <w:r/>
          </w:p>
        </w:tc>
        <w:tc>
          <w:tcPr>
            <w:tcMar>
              <w:left w:w="15" w:type="dxa"/>
              <w:top w:w="15" w:type="dxa"/>
              <w:right w:w="15" w:type="dxa"/>
              <w:bottom w:w="0" w:type="dxa"/>
            </w:tcMar>
            <w:tcW w:w="396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未沿车道两侧边缘平行作业的，每次扣1分。</w:t>
            </w:r>
            <w:r/>
          </w:p>
        </w:tc>
      </w:tr>
      <w:tr>
        <w:trPr>
          <w:jc w:val="center"/>
          <w:trHeight w:val="720"/>
        </w:trPr>
        <w:tc>
          <w:tcPr>
            <w:tcW w:w="1155"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W w:w="795"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Mar>
              <w:left w:w="15" w:type="dxa"/>
              <w:top w:w="15" w:type="dxa"/>
              <w:right w:w="15" w:type="dxa"/>
              <w:bottom w:w="0" w:type="dxa"/>
            </w:tcMar>
            <w:tcW w:w="827"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扬尘控制</w:t>
            </w:r>
            <w:r/>
          </w:p>
        </w:tc>
        <w:tc>
          <w:tcPr>
            <w:tcMar>
              <w:left w:w="15" w:type="dxa"/>
              <w:top w:w="15" w:type="dxa"/>
              <w:right w:w="15" w:type="dxa"/>
              <w:bottom w:w="0" w:type="dxa"/>
            </w:tcMar>
            <w:tcW w:w="3643"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非特殊气候情况下，机扫作业应放水湿扫，及时清洗、更换空气滤芯（网），避免作业扬尘。</w:t>
            </w:r>
            <w:r/>
          </w:p>
        </w:tc>
        <w:tc>
          <w:tcPr>
            <w:tcMar>
              <w:left w:w="15" w:type="dxa"/>
              <w:top w:w="15" w:type="dxa"/>
              <w:right w:w="15" w:type="dxa"/>
              <w:bottom w:w="0" w:type="dxa"/>
            </w:tcMar>
            <w:tcW w:w="396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作业有扬尘现象的，每次扣1分。</w:t>
            </w:r>
            <w:r/>
          </w:p>
        </w:tc>
      </w:tr>
      <w:tr>
        <w:trPr>
          <w:jc w:val="center"/>
          <w:trHeight w:val="735"/>
        </w:trPr>
        <w:tc>
          <w:tcPr>
            <w:tcW w:w="1155"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W w:w="795"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Mar>
              <w:left w:w="15" w:type="dxa"/>
              <w:top w:w="15" w:type="dxa"/>
              <w:right w:w="15" w:type="dxa"/>
              <w:bottom w:w="0" w:type="dxa"/>
            </w:tcMar>
            <w:tcW w:w="827"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污物排放</w:t>
            </w:r>
            <w:r/>
          </w:p>
        </w:tc>
        <w:tc>
          <w:tcPr>
            <w:tcMar>
              <w:left w:w="15" w:type="dxa"/>
              <w:top w:w="15" w:type="dxa"/>
              <w:right w:w="15" w:type="dxa"/>
              <w:bottom w:w="0" w:type="dxa"/>
            </w:tcMar>
            <w:tcW w:w="3643"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作业时污物箱必须保持密闭，作业过程中无污物拖、挂和污水滴漏现象。作业完毕后应及时到指定场所排放污水和卸清垃圾。</w:t>
            </w:r>
            <w:r/>
          </w:p>
        </w:tc>
        <w:tc>
          <w:tcPr>
            <w:tcMar>
              <w:left w:w="15" w:type="dxa"/>
              <w:top w:w="15" w:type="dxa"/>
              <w:right w:w="15" w:type="dxa"/>
              <w:bottom w:w="0" w:type="dxa"/>
            </w:tcMar>
            <w:tcW w:w="396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有污物拖、挂和污水滴漏现象，每次扣1分；</w:t>
            </w:r>
            <w:r>
              <w:rPr>
                <w:rFonts w:hint="eastAsia" w:ascii="仿宋" w:hAnsi="仿宋" w:eastAsia="仿宋" w:cs="仿宋"/>
                <w:b w:val="0"/>
                <w:sz w:val="24"/>
                <w:szCs w:val="24"/>
                <w:highlight w:val="none"/>
                <w:lang w:val="en-US" w:eastAsia="zh-CN"/>
              </w:rPr>
              <w:br/>
            </w:r>
            <w:r>
              <w:rPr>
                <w:rFonts w:hint="eastAsia" w:ascii="仿宋" w:hAnsi="仿宋" w:eastAsia="仿宋" w:cs="仿宋"/>
                <w:b w:val="0"/>
                <w:sz w:val="24"/>
                <w:szCs w:val="24"/>
                <w:highlight w:val="none"/>
                <w:lang w:val="en-US" w:eastAsia="zh-CN"/>
              </w:rPr>
              <w:t xml:space="preserve">乱排污水、卸垃圾的，每次扣2分。</w:t>
            </w:r>
            <w:r/>
          </w:p>
        </w:tc>
      </w:tr>
      <w:tr>
        <w:trPr>
          <w:jc w:val="center"/>
          <w:trHeight w:val="495"/>
        </w:trPr>
        <w:tc>
          <w:tcPr>
            <w:tcW w:w="1155"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Mar>
              <w:left w:w="15" w:type="dxa"/>
              <w:top w:w="15" w:type="dxa"/>
              <w:right w:w="15" w:type="dxa"/>
              <w:bottom w:w="0" w:type="dxa"/>
            </w:tcMar>
            <w:tcW w:w="795" w:type="dxa"/>
            <w:vAlign w:val="center"/>
            <w:vMerge w:val="restart"/>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精细化作业</w:t>
            </w:r>
            <w:r>
              <w:rPr>
                <w:rFonts w:hint="eastAsia" w:ascii="仿宋" w:hAnsi="仿宋" w:eastAsia="仿宋" w:cs="仿宋"/>
                <w:b w:val="0"/>
                <w:sz w:val="24"/>
                <w:szCs w:val="24"/>
                <w:highlight w:val="none"/>
                <w:lang w:val="en-US" w:eastAsia="zh-CN"/>
              </w:rPr>
              <w:br/>
            </w:r>
            <w:r/>
          </w:p>
        </w:tc>
        <w:tc>
          <w:tcPr>
            <w:tcMar>
              <w:left w:w="15" w:type="dxa"/>
              <w:top w:w="15" w:type="dxa"/>
              <w:right w:w="15" w:type="dxa"/>
              <w:bottom w:w="0" w:type="dxa"/>
            </w:tcMar>
            <w:tcW w:w="827"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规范作业</w:t>
            </w:r>
            <w:r/>
          </w:p>
        </w:tc>
        <w:tc>
          <w:tcPr>
            <w:tcMar>
              <w:left w:w="15" w:type="dxa"/>
              <w:top w:w="15" w:type="dxa"/>
              <w:right w:w="15" w:type="dxa"/>
              <w:bottom w:w="0" w:type="dxa"/>
            </w:tcMar>
            <w:tcW w:w="3643"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人机配合、规范操作。</w:t>
            </w:r>
            <w:r/>
          </w:p>
        </w:tc>
        <w:tc>
          <w:tcPr>
            <w:tcMar>
              <w:left w:w="15" w:type="dxa"/>
              <w:top w:w="15" w:type="dxa"/>
              <w:right w:w="15" w:type="dxa"/>
              <w:bottom w:w="0" w:type="dxa"/>
            </w:tcMar>
            <w:tcW w:w="396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未按规范操作的，每次扣2分。</w:t>
            </w:r>
            <w:r/>
          </w:p>
        </w:tc>
      </w:tr>
      <w:tr>
        <w:trPr>
          <w:jc w:val="center"/>
          <w:trHeight w:val="495"/>
        </w:trPr>
        <w:tc>
          <w:tcPr>
            <w:tcW w:w="1155"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W w:w="795"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Mar>
              <w:left w:w="15" w:type="dxa"/>
              <w:top w:w="15" w:type="dxa"/>
              <w:right w:w="15" w:type="dxa"/>
              <w:bottom w:w="0" w:type="dxa"/>
            </w:tcMar>
            <w:tcW w:w="827"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作业效果</w:t>
            </w:r>
            <w:r/>
          </w:p>
        </w:tc>
        <w:tc>
          <w:tcPr>
            <w:tcMar>
              <w:left w:w="15" w:type="dxa"/>
              <w:top w:w="15" w:type="dxa"/>
              <w:right w:w="15" w:type="dxa"/>
              <w:bottom w:w="0" w:type="dxa"/>
            </w:tcMar>
            <w:tcW w:w="3643"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路面见本色，无油污、无漏洗、无积水。</w:t>
            </w:r>
            <w:r/>
          </w:p>
        </w:tc>
        <w:tc>
          <w:tcPr>
            <w:tcMar>
              <w:left w:w="15" w:type="dxa"/>
              <w:top w:w="15" w:type="dxa"/>
              <w:right w:w="15" w:type="dxa"/>
              <w:bottom w:w="0" w:type="dxa"/>
            </w:tcMar>
            <w:tcW w:w="396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路面有油污的，每例扣2分；有较多积水的，每例扣2分；明显漏洗的，每例扣2分。</w:t>
            </w:r>
            <w:r/>
          </w:p>
        </w:tc>
      </w:tr>
      <w:tr>
        <w:trPr>
          <w:jc w:val="center"/>
          <w:trHeight w:val="405"/>
        </w:trPr>
        <w:tc>
          <w:tcPr>
            <w:tcW w:w="1155"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Mar>
              <w:left w:w="15" w:type="dxa"/>
              <w:top w:w="15" w:type="dxa"/>
              <w:right w:w="15" w:type="dxa"/>
              <w:bottom w:w="0" w:type="dxa"/>
            </w:tcMar>
            <w:tcW w:w="795" w:type="dxa"/>
            <w:vAlign w:val="center"/>
            <w:vMerge w:val="restart"/>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路面洁净度</w:t>
            </w:r>
            <w:r/>
          </w:p>
        </w:tc>
        <w:tc>
          <w:tcPr>
            <w:gridSpan w:val="2"/>
            <w:tcMar>
              <w:left w:w="15" w:type="dxa"/>
              <w:top w:w="15" w:type="dxa"/>
              <w:right w:w="15" w:type="dxa"/>
              <w:bottom w:w="0" w:type="dxa"/>
            </w:tcMar>
            <w:tcW w:w="447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地面道路积存的尘、土、灰、沙等颗粒物应符合质量控制标准：</w:t>
            </w:r>
            <w:r/>
          </w:p>
        </w:tc>
        <w:tc>
          <w:tcPr>
            <w:tcMar>
              <w:left w:w="15" w:type="dxa"/>
              <w:top w:w="15" w:type="dxa"/>
              <w:right w:w="15" w:type="dxa"/>
              <w:bottom w:w="0" w:type="dxa"/>
            </w:tcMar>
            <w:tcW w:w="3960" w:type="dxa"/>
            <w:vAlign w:val="center"/>
            <w:vMerge w:val="restart"/>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每平方米超过标准值，每处扣1分。</w:t>
            </w:r>
            <w:r/>
          </w:p>
        </w:tc>
      </w:tr>
      <w:tr>
        <w:trPr>
          <w:jc w:val="center"/>
          <w:trHeight w:val="540"/>
        </w:trPr>
        <w:tc>
          <w:tcPr>
            <w:tcW w:w="1155"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W w:w="795"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c>
          <w:tcPr>
            <w:tcMar>
              <w:left w:w="15" w:type="dxa"/>
              <w:top w:w="15" w:type="dxa"/>
              <w:right w:w="15" w:type="dxa"/>
              <w:bottom w:w="0" w:type="dxa"/>
            </w:tcMar>
            <w:tcW w:w="827"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标准</w:t>
            </w:r>
            <w:r/>
          </w:p>
        </w:tc>
        <w:tc>
          <w:tcPr>
            <w:tcMar>
              <w:left w:w="15" w:type="dxa"/>
              <w:top w:w="15" w:type="dxa"/>
              <w:right w:w="15" w:type="dxa"/>
              <w:bottom w:w="0" w:type="dxa"/>
            </w:tcMar>
            <w:tcW w:w="3643"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慢车道≤20克/平方米、人行道≤18克/平方米</w:t>
            </w:r>
            <w:r/>
          </w:p>
        </w:tc>
        <w:tc>
          <w:tcPr>
            <w:tcW w:w="3960" w:type="dxa"/>
            <w:vAlign w:val="center"/>
            <w:vMerge w:val="continue"/>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r>
      <w:tr>
        <w:trPr>
          <w:jc w:val="center"/>
          <w:trHeight w:val="1515"/>
        </w:trPr>
        <w:tc>
          <w:tcPr>
            <w:gridSpan w:val="2"/>
            <w:tcMar>
              <w:left w:w="15" w:type="dxa"/>
              <w:top w:w="15" w:type="dxa"/>
              <w:right w:w="15" w:type="dxa"/>
              <w:bottom w:w="0" w:type="dxa"/>
            </w:tcMar>
            <w:tcW w:w="1950" w:type="dxa"/>
            <w:vAlign w:val="center"/>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社会监督</w:t>
            </w:r>
            <w:r/>
          </w:p>
        </w:tc>
        <w:tc>
          <w:tcPr>
            <w:gridSpan w:val="2"/>
            <w:tcMar>
              <w:left w:w="15" w:type="dxa"/>
              <w:top w:w="15" w:type="dxa"/>
              <w:right w:w="15" w:type="dxa"/>
              <w:bottom w:w="0" w:type="dxa"/>
            </w:tcMar>
            <w:tcW w:w="447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应主动接受社会监督，有责投诉问题应在规定的期限内整改。区级以上检查不失责任分。</w:t>
            </w:r>
            <w:r/>
          </w:p>
        </w:tc>
        <w:tc>
          <w:tcPr>
            <w:tcMar>
              <w:left w:w="15" w:type="dxa"/>
              <w:top w:w="15" w:type="dxa"/>
              <w:right w:w="15" w:type="dxa"/>
              <w:bottom w:w="0" w:type="dxa"/>
            </w:tcMar>
            <w:tcW w:w="3960"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上级督办和新闻媒体曝光，经确认有责的，每次扣2分。12319和12345电话受理、各信访渠道交办的市民投诉，经确认有责的，每次扣2分。发生有责投诉和有责管理事件后，未在规定的时间内整改到位的扣5分。区级以上检查失分的，每次扣5分。</w:t>
            </w:r>
            <w:r/>
          </w:p>
        </w:tc>
      </w:tr>
    </w:tbl>
    <w:p>
      <w:pPr>
        <w:pStyle w:val="758"/>
        <w:ind w:firstLine="480"/>
        <w:spacing w:line="360" w:lineRule="auto"/>
        <w:rPr>
          <w:rFonts w:hint="eastAsia" w:ascii="仿宋" w:hAnsi="仿宋" w:eastAsia="仿宋" w:cs="仿宋"/>
          <w:b w:val="0"/>
          <w:sz w:val="24"/>
          <w:szCs w:val="24"/>
          <w:highlight w:val="none"/>
          <w:lang w:val="en-US" w:eastAsia="zh-CN"/>
        </w:rPr>
        <w:sectPr>
          <w:footnotePr/>
          <w:endnotePr/>
          <w:type w:val="nextPage"/>
          <w:pgSz w:w="11906" w:h="16838" w:orient="portrait"/>
          <w:pgMar w:top="1440" w:right="1800" w:bottom="1440" w:left="1560" w:header="851" w:footer="992" w:gutter="0"/>
          <w:cols w:num="1" w:sep="0" w:space="1701" w:equalWidth="1"/>
          <w:docGrid w:linePitch="360"/>
        </w:sectPr>
      </w:pPr>
      <w:r>
        <w:rPr>
          <w:rFonts w:hint="eastAsia" w:ascii="仿宋" w:hAnsi="仿宋" w:eastAsia="仿宋" w:cs="仿宋"/>
          <w:b w:val="0"/>
          <w:sz w:val="24"/>
          <w:szCs w:val="24"/>
          <w:highlight w:val="none"/>
          <w:lang w:val="en-US" w:eastAsia="zh-CN"/>
        </w:rPr>
      </w:r>
      <w:r/>
    </w:p>
    <w:p>
      <w:pPr>
        <w:pStyle w:val="758"/>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附件4：绿化养护管理考核细则</w:t>
      </w:r>
      <w:r/>
    </w:p>
    <w:tbl>
      <w:tblPr>
        <w:tblStyle w:val="725"/>
        <w:tblpPr w:horzAnchor="margin" w:tblpXSpec="left" w:vertAnchor="text" w:tblpY="77" w:leftFromText="180" w:topFromText="0" w:rightFromText="180" w:bottomFromText="0"/>
        <w:tblW w:w="9255" w:type="dxa"/>
        <w:tblInd w:w="0" w:type="dxa"/>
        <w:tblLayout w:type="fixed"/>
        <w:tblCellMar>
          <w:left w:w="108" w:type="dxa"/>
          <w:top w:w="0" w:type="dxa"/>
          <w:right w:w="108" w:type="dxa"/>
          <w:bottom w:w="0" w:type="dxa"/>
        </w:tblCellMar>
        <w:tblLook w:val="04A0" w:firstRow="1" w:lastRow="0" w:firstColumn="1" w:lastColumn="0" w:noHBand="0" w:noVBand="1"/>
      </w:tblPr>
      <w:tblGrid>
        <w:gridCol w:w="488"/>
        <w:gridCol w:w="2191"/>
        <w:gridCol w:w="5628"/>
        <w:gridCol w:w="948"/>
      </w:tblGrid>
      <w:tr>
        <w:trPr>
          <w:trHeight w:val="597"/>
        </w:trPr>
        <w:tc>
          <w:tcPr>
            <w:gridSpan w:val="2"/>
            <w:tcBorders>
              <w:top w:val="single" w:color="auto" w:sz="4" w:space="0"/>
              <w:left w:val="single" w:color="auto" w:sz="4" w:space="0"/>
              <w:bottom w:val="single" w:color="auto" w:sz="4" w:space="0"/>
              <w:right w:val="single" w:color="auto" w:sz="4" w:space="0"/>
            </w:tcBorders>
            <w:tcW w:w="2679" w:type="dxa"/>
            <w:vAlign w:val="center"/>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考核项目</w:t>
            </w:r>
            <w:r/>
          </w:p>
        </w:tc>
        <w:tc>
          <w:tcPr>
            <w:tcBorders>
              <w:top w:val="single" w:color="auto" w:sz="4" w:space="0"/>
              <w:left w:val="none" w:color="000000" w:sz="4" w:space="0"/>
              <w:bottom w:val="single" w:color="auto" w:sz="4" w:space="0"/>
              <w:right w:val="single" w:color="auto" w:sz="4" w:space="0"/>
            </w:tcBorders>
            <w:tcW w:w="5628" w:type="dxa"/>
            <w:vAlign w:val="center"/>
            <w:textDirection w:val="lrTb"/>
            <w:noWrap w:val="false"/>
          </w:tcPr>
          <w:p>
            <w:pPr>
              <w:pStyle w:val="758"/>
              <w:ind w:firstLine="480"/>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考核评分标准</w:t>
            </w:r>
            <w:r/>
          </w:p>
        </w:tc>
        <w:tc>
          <w:tcPr>
            <w:tcBorders>
              <w:top w:val="single" w:color="auto" w:sz="4" w:space="0"/>
              <w:left w:val="none" w:color="000000" w:sz="4" w:space="0"/>
              <w:bottom w:val="single" w:color="auto" w:sz="4" w:space="0"/>
              <w:right w:val="single" w:color="auto" w:sz="4" w:space="0"/>
            </w:tcBorders>
            <w:tcW w:w="948" w:type="dxa"/>
            <w:vAlign w:val="center"/>
            <w:textDirection w:val="lrTb"/>
            <w:noWrap w:val="false"/>
          </w:tcPr>
          <w:p>
            <w:pPr>
              <w:pStyle w:val="758"/>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备注</w:t>
            </w:r>
            <w:r/>
          </w:p>
        </w:tc>
      </w:tr>
      <w:tr>
        <w:trPr>
          <w:trHeight w:val="992"/>
        </w:trPr>
        <w:tc>
          <w:tcPr>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pStyle w:val="758"/>
              <w:ind w:firstLine="480"/>
              <w:jc w:val="center"/>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11</w:t>
            </w:r>
            <w:r/>
          </w:p>
        </w:tc>
        <w:tc>
          <w:tcPr>
            <w:tcBorders>
              <w:top w:val="none" w:color="000000" w:sz="4" w:space="0"/>
              <w:left w:val="none" w:color="000000" w:sz="4" w:space="0"/>
              <w:bottom w:val="single" w:color="auto" w:sz="4" w:space="0"/>
              <w:right w:val="single" w:color="auto" w:sz="4" w:space="0"/>
            </w:tcBorders>
            <w:tcW w:w="2191" w:type="dxa"/>
            <w:vAlign w:val="center"/>
            <w:textDirection w:val="lrTb"/>
            <w:noWrap w:val="false"/>
          </w:tcPr>
          <w:p>
            <w:pPr>
              <w:pStyle w:val="758"/>
              <w:jc w:val="both"/>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乔木、花灌木养护</w:t>
            </w:r>
            <w:r/>
          </w:p>
        </w:tc>
        <w:tc>
          <w:tcPr>
            <w:tcBorders>
              <w:top w:val="none" w:color="000000" w:sz="4" w:space="0"/>
              <w:left w:val="none" w:color="000000" w:sz="4" w:space="0"/>
              <w:bottom w:val="single" w:color="auto" w:sz="4" w:space="0"/>
              <w:right w:val="single" w:color="auto" w:sz="4" w:space="0"/>
            </w:tcBorders>
            <w:tcW w:w="5628" w:type="dxa"/>
            <w:vAlign w:val="center"/>
            <w:textDirection w:val="lrTb"/>
            <w:noWrap w:val="false"/>
          </w:tcPr>
          <w:p>
            <w:pPr>
              <w:pStyle w:val="758"/>
              <w:ind w:firstLine="480"/>
              <w:jc w:val="center"/>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不合格树、死树每1株扣2分，花灌木死1株扣0.5分</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pStyle w:val="758"/>
              <w:ind w:firstLine="480"/>
              <w:jc w:val="center"/>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r>
      <w:tr>
        <w:trPr>
          <w:trHeight w:val="992"/>
        </w:trPr>
        <w:tc>
          <w:tcPr>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pStyle w:val="758"/>
              <w:ind w:firstLine="480"/>
              <w:jc w:val="center"/>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22</w:t>
            </w:r>
            <w:r/>
          </w:p>
        </w:tc>
        <w:tc>
          <w:tcPr>
            <w:tcBorders>
              <w:top w:val="none" w:color="000000" w:sz="4" w:space="0"/>
              <w:left w:val="none" w:color="000000" w:sz="4" w:space="0"/>
              <w:bottom w:val="single" w:color="auto" w:sz="4" w:space="0"/>
              <w:right w:val="single" w:color="auto" w:sz="4" w:space="0"/>
            </w:tcBorders>
            <w:tcW w:w="2191" w:type="dxa"/>
            <w:vAlign w:val="center"/>
            <w:textDirection w:val="lrTb"/>
            <w:noWrap w:val="false"/>
          </w:tcPr>
          <w:p>
            <w:pPr>
              <w:pStyle w:val="758"/>
              <w:jc w:val="both"/>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色块、地被、草坪养护</w:t>
            </w:r>
            <w:r/>
          </w:p>
        </w:tc>
        <w:tc>
          <w:tcPr>
            <w:tcBorders>
              <w:top w:val="none" w:color="000000" w:sz="4" w:space="0"/>
              <w:left w:val="none" w:color="000000" w:sz="4" w:space="0"/>
              <w:bottom w:val="single" w:color="auto" w:sz="4" w:space="0"/>
              <w:right w:val="single" w:color="auto" w:sz="4" w:space="0"/>
            </w:tcBorders>
            <w:tcW w:w="5628" w:type="dxa"/>
            <w:vAlign w:val="center"/>
            <w:textDirection w:val="lrTb"/>
            <w:noWrap w:val="false"/>
          </w:tcPr>
          <w:p>
            <w:pPr>
              <w:pStyle w:val="758"/>
              <w:ind w:firstLine="480"/>
              <w:jc w:val="center"/>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不合格或集中死苗地每1平方米扣0.5分</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pStyle w:val="758"/>
              <w:ind w:firstLine="480"/>
              <w:jc w:val="center"/>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r>
      <w:tr>
        <w:trPr>
          <w:trHeight w:val="992"/>
        </w:trPr>
        <w:tc>
          <w:tcPr>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pStyle w:val="758"/>
              <w:ind w:firstLine="480"/>
              <w:jc w:val="center"/>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33</w:t>
            </w:r>
            <w:r/>
          </w:p>
        </w:tc>
        <w:tc>
          <w:tcPr>
            <w:tcBorders>
              <w:top w:val="none" w:color="000000" w:sz="4" w:space="0"/>
              <w:left w:val="none" w:color="000000" w:sz="4" w:space="0"/>
              <w:bottom w:val="single" w:color="auto" w:sz="4" w:space="0"/>
              <w:right w:val="single" w:color="auto" w:sz="4" w:space="0"/>
            </w:tcBorders>
            <w:tcW w:w="2191" w:type="dxa"/>
            <w:vAlign w:val="center"/>
            <w:textDirection w:val="lrTb"/>
            <w:noWrap w:val="false"/>
          </w:tcPr>
          <w:p>
            <w:pPr>
              <w:pStyle w:val="758"/>
              <w:jc w:val="both"/>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除草</w:t>
            </w:r>
            <w:r/>
          </w:p>
        </w:tc>
        <w:tc>
          <w:tcPr>
            <w:tcBorders>
              <w:top w:val="none" w:color="000000" w:sz="4" w:space="0"/>
              <w:left w:val="none" w:color="000000" w:sz="4" w:space="0"/>
              <w:bottom w:val="single" w:color="auto" w:sz="4" w:space="0"/>
              <w:right w:val="single" w:color="auto" w:sz="4" w:space="0"/>
            </w:tcBorders>
            <w:tcW w:w="5628" w:type="dxa"/>
            <w:vAlign w:val="center"/>
            <w:textDirection w:val="lrTb"/>
            <w:noWrap w:val="false"/>
          </w:tcPr>
          <w:p>
            <w:pPr>
              <w:pStyle w:val="758"/>
              <w:ind w:firstLine="480"/>
              <w:jc w:val="center"/>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严重草荒地每平方米扣0.5分；布置限期任务未完成扣10分</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pStyle w:val="758"/>
              <w:ind w:firstLine="480"/>
              <w:jc w:val="center"/>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r>
      <w:tr>
        <w:trPr>
          <w:trHeight w:val="992"/>
        </w:trPr>
        <w:tc>
          <w:tcPr>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pStyle w:val="758"/>
              <w:ind w:firstLine="480"/>
              <w:jc w:val="center"/>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44</w:t>
            </w:r>
            <w:r/>
          </w:p>
        </w:tc>
        <w:tc>
          <w:tcPr>
            <w:tcBorders>
              <w:top w:val="none" w:color="000000" w:sz="4" w:space="0"/>
              <w:left w:val="none" w:color="000000" w:sz="4" w:space="0"/>
              <w:bottom w:val="single" w:color="auto" w:sz="4" w:space="0"/>
              <w:right w:val="single" w:color="auto" w:sz="4" w:space="0"/>
            </w:tcBorders>
            <w:tcW w:w="2191" w:type="dxa"/>
            <w:vAlign w:val="center"/>
            <w:textDirection w:val="lrTb"/>
            <w:noWrap w:val="false"/>
          </w:tcPr>
          <w:p>
            <w:pPr>
              <w:pStyle w:val="758"/>
              <w:jc w:val="both"/>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修剪、松土、浇水、施肥</w:t>
            </w:r>
            <w:r/>
          </w:p>
        </w:tc>
        <w:tc>
          <w:tcPr>
            <w:tcBorders>
              <w:top w:val="none" w:color="000000" w:sz="4" w:space="0"/>
              <w:left w:val="none" w:color="000000" w:sz="4" w:space="0"/>
              <w:bottom w:val="single" w:color="auto" w:sz="4" w:space="0"/>
              <w:right w:val="single" w:color="auto" w:sz="4" w:space="0"/>
            </w:tcBorders>
            <w:tcW w:w="5628" w:type="dxa"/>
            <w:vAlign w:val="center"/>
            <w:textDirection w:val="lrTb"/>
            <w:noWrap w:val="false"/>
          </w:tcPr>
          <w:p>
            <w:pPr>
              <w:pStyle w:val="758"/>
              <w:ind w:firstLine="480"/>
              <w:jc w:val="center"/>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每一项不及时或未按计划实施扣2分</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pStyle w:val="758"/>
              <w:ind w:firstLine="480"/>
              <w:jc w:val="center"/>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r>
      <w:tr>
        <w:trPr>
          <w:trHeight w:val="1483"/>
        </w:trPr>
        <w:tc>
          <w:tcPr>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pStyle w:val="758"/>
              <w:ind w:firstLine="480"/>
              <w:jc w:val="center"/>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55</w:t>
            </w:r>
            <w:r/>
          </w:p>
        </w:tc>
        <w:tc>
          <w:tcPr>
            <w:tcBorders>
              <w:top w:val="none" w:color="000000" w:sz="4" w:space="0"/>
              <w:left w:val="none" w:color="000000" w:sz="4" w:space="0"/>
              <w:bottom w:val="single" w:color="auto" w:sz="4" w:space="0"/>
              <w:right w:val="single" w:color="auto" w:sz="4" w:space="0"/>
            </w:tcBorders>
            <w:tcW w:w="2191" w:type="dxa"/>
            <w:vAlign w:val="center"/>
            <w:textDirection w:val="lrTb"/>
            <w:noWrap w:val="false"/>
          </w:tcPr>
          <w:p>
            <w:pPr>
              <w:pStyle w:val="758"/>
              <w:ind w:firstLine="480"/>
              <w:jc w:val="both"/>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病虫防治</w:t>
            </w:r>
            <w:r/>
          </w:p>
        </w:tc>
        <w:tc>
          <w:tcPr>
            <w:tcBorders>
              <w:top w:val="none" w:color="000000" w:sz="4" w:space="0"/>
              <w:left w:val="none" w:color="000000" w:sz="4" w:space="0"/>
              <w:bottom w:val="single" w:color="auto" w:sz="4" w:space="0"/>
              <w:right w:val="single" w:color="auto" w:sz="4" w:space="0"/>
            </w:tcBorders>
            <w:tcW w:w="5628" w:type="dxa"/>
            <w:vAlign w:val="center"/>
            <w:textDirection w:val="lrTb"/>
            <w:noWrap w:val="false"/>
          </w:tcPr>
          <w:p>
            <w:pPr>
              <w:pStyle w:val="758"/>
              <w:ind w:firstLine="480"/>
              <w:jc w:val="center"/>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严重为害树木每株扣0.5分；严重为害花灌木、色块、地被、草坪每1平方米扣0.5分</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pStyle w:val="758"/>
              <w:ind w:firstLine="480"/>
              <w:jc w:val="center"/>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r>
      <w:tr>
        <w:trPr>
          <w:trHeight w:val="716"/>
        </w:trPr>
        <w:tc>
          <w:tcPr>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pStyle w:val="758"/>
              <w:ind w:firstLine="480"/>
              <w:jc w:val="center"/>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66</w:t>
            </w:r>
            <w:r/>
          </w:p>
        </w:tc>
        <w:tc>
          <w:tcPr>
            <w:tcBorders>
              <w:top w:val="none" w:color="000000" w:sz="4" w:space="0"/>
              <w:left w:val="none" w:color="000000" w:sz="4" w:space="0"/>
              <w:bottom w:val="single" w:color="auto" w:sz="4" w:space="0"/>
              <w:right w:val="single" w:color="auto" w:sz="4" w:space="0"/>
            </w:tcBorders>
            <w:tcW w:w="2191" w:type="dxa"/>
            <w:vAlign w:val="center"/>
            <w:textDirection w:val="lrTb"/>
            <w:noWrap w:val="false"/>
          </w:tcPr>
          <w:p>
            <w:pPr>
              <w:pStyle w:val="758"/>
              <w:ind w:firstLine="480"/>
              <w:jc w:val="both"/>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绿地保护</w:t>
            </w:r>
            <w:r/>
          </w:p>
        </w:tc>
        <w:tc>
          <w:tcPr>
            <w:tcBorders>
              <w:top w:val="none" w:color="000000" w:sz="4" w:space="0"/>
              <w:left w:val="none" w:color="000000" w:sz="4" w:space="0"/>
              <w:bottom w:val="single" w:color="auto" w:sz="4" w:space="0"/>
              <w:right w:val="single" w:color="auto" w:sz="4" w:space="0"/>
            </w:tcBorders>
            <w:tcW w:w="5628" w:type="dxa"/>
            <w:vAlign w:val="center"/>
            <w:textDirection w:val="lrTb"/>
            <w:noWrap w:val="false"/>
          </w:tcPr>
          <w:p>
            <w:pPr>
              <w:pStyle w:val="758"/>
              <w:ind w:firstLine="480"/>
              <w:jc w:val="center"/>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损坏未及时修复，每1平方米扣0.5分</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pStyle w:val="758"/>
              <w:ind w:firstLine="480"/>
              <w:jc w:val="center"/>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r>
      <w:tr>
        <w:trPr>
          <w:trHeight w:val="1483"/>
        </w:trPr>
        <w:tc>
          <w:tcPr>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pStyle w:val="758"/>
              <w:ind w:firstLine="480"/>
              <w:jc w:val="center"/>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77</w:t>
            </w:r>
            <w:r/>
          </w:p>
        </w:tc>
        <w:tc>
          <w:tcPr>
            <w:tcBorders>
              <w:top w:val="none" w:color="000000" w:sz="4" w:space="0"/>
              <w:left w:val="none" w:color="000000" w:sz="4" w:space="0"/>
              <w:bottom w:val="single" w:color="auto" w:sz="4" w:space="0"/>
              <w:right w:val="single" w:color="auto" w:sz="4" w:space="0"/>
            </w:tcBorders>
            <w:tcW w:w="2191" w:type="dxa"/>
            <w:vAlign w:val="center"/>
            <w:textDirection w:val="lrTb"/>
            <w:noWrap w:val="false"/>
          </w:tcPr>
          <w:p>
            <w:pPr>
              <w:pStyle w:val="758"/>
              <w:ind w:firstLine="480"/>
              <w:jc w:val="both"/>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卫生保洁</w:t>
            </w:r>
            <w:r/>
          </w:p>
        </w:tc>
        <w:tc>
          <w:tcPr>
            <w:tcBorders>
              <w:top w:val="none" w:color="000000" w:sz="4" w:space="0"/>
              <w:left w:val="none" w:color="000000" w:sz="4" w:space="0"/>
              <w:bottom w:val="single" w:color="auto" w:sz="4" w:space="0"/>
              <w:right w:val="single" w:color="auto" w:sz="4" w:space="0"/>
            </w:tcBorders>
            <w:tcW w:w="5628" w:type="dxa"/>
            <w:vAlign w:val="center"/>
            <w:textDirection w:val="lrTb"/>
            <w:noWrap w:val="false"/>
          </w:tcPr>
          <w:p>
            <w:pPr>
              <w:pStyle w:val="758"/>
              <w:ind w:firstLine="480"/>
              <w:jc w:val="center"/>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及时清理生产垃圾、及时清理绿地绿带上的各类废弃物（如纸屑、塑料袋、树枝、树叶、草屑等）、树上无悬挂、做好日常保洁工作,每1平方米或1处不合格扣0.2分</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pStyle w:val="758"/>
              <w:ind w:firstLine="480"/>
              <w:jc w:val="center"/>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r>
      <w:tr>
        <w:trPr>
          <w:trHeight w:val="992"/>
        </w:trPr>
        <w:tc>
          <w:tcPr>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pStyle w:val="758"/>
              <w:ind w:firstLine="480"/>
              <w:jc w:val="center"/>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88</w:t>
            </w:r>
            <w:r/>
          </w:p>
        </w:tc>
        <w:tc>
          <w:tcPr>
            <w:tcBorders>
              <w:top w:val="none" w:color="000000" w:sz="4" w:space="0"/>
              <w:left w:val="none" w:color="000000" w:sz="4" w:space="0"/>
              <w:bottom w:val="single" w:color="auto" w:sz="4" w:space="0"/>
              <w:right w:val="single" w:color="auto" w:sz="4" w:space="0"/>
            </w:tcBorders>
            <w:tcW w:w="2191" w:type="dxa"/>
            <w:vAlign w:val="center"/>
            <w:textDirection w:val="lrTb"/>
            <w:noWrap w:val="false"/>
          </w:tcPr>
          <w:p>
            <w:pPr>
              <w:pStyle w:val="758"/>
              <w:jc w:val="both"/>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绿化养护台帐</w:t>
            </w:r>
            <w:r/>
          </w:p>
        </w:tc>
        <w:tc>
          <w:tcPr>
            <w:tcBorders>
              <w:top w:val="none" w:color="000000" w:sz="4" w:space="0"/>
              <w:left w:val="none" w:color="000000" w:sz="4" w:space="0"/>
              <w:bottom w:val="single" w:color="auto" w:sz="4" w:space="0"/>
              <w:right w:val="single" w:color="auto" w:sz="4" w:space="0"/>
            </w:tcBorders>
            <w:tcW w:w="5628" w:type="dxa"/>
            <w:vAlign w:val="center"/>
            <w:textDirection w:val="lrTb"/>
            <w:noWrap w:val="false"/>
          </w:tcPr>
          <w:p>
            <w:pPr>
              <w:pStyle w:val="758"/>
              <w:ind w:firstLine="480"/>
              <w:jc w:val="center"/>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t xml:space="preserve">资料记录不全，数据缺失，一项扣1分</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pStyle w:val="758"/>
              <w:ind w:firstLine="480"/>
              <w:jc w:val="center"/>
              <w:spacing w:line="360" w:lineRule="auto"/>
              <w:rPr>
                <w:rFonts w:hint="eastAsia" w:ascii="仿宋" w:hAnsi="仿宋" w:eastAsia="仿宋" w:cs="仿宋"/>
                <w:b w:val="0"/>
                <w:sz w:val="24"/>
                <w:szCs w:val="24"/>
                <w:highlight w:val="none"/>
                <w:lang w:val="en-US" w:eastAsia="zh-CN"/>
              </w:rPr>
            </w:pPr>
            <w:r>
              <w:rPr>
                <w:rFonts w:hint="eastAsia" w:ascii="仿宋" w:hAnsi="仿宋" w:eastAsia="仿宋" w:cs="仿宋"/>
                <w:b w:val="0"/>
                <w:sz w:val="24"/>
                <w:szCs w:val="24"/>
                <w:highlight w:val="none"/>
                <w:lang w:val="en-US" w:eastAsia="zh-CN"/>
              </w:rPr>
            </w:r>
            <w:r/>
          </w:p>
        </w:tc>
      </w:tr>
    </w:tbl>
    <w:p>
      <w:pPr>
        <w:pStyle w:val="759"/>
        <w:rPr>
          <w:rFonts w:hint="eastAsia" w:ascii="仿宋" w:hAnsi="仿宋" w:eastAsia="仿宋" w:cs="仿宋"/>
          <w:lang w:val="en-US" w:eastAsia="zh-CN"/>
        </w:rPr>
      </w:pPr>
      <w:r>
        <w:rPr>
          <w:rFonts w:hint="eastAsia" w:ascii="仿宋" w:hAnsi="仿宋" w:eastAsia="仿宋" w:cs="仿宋"/>
          <w:lang w:val="en-US" w:eastAsia="zh-CN"/>
        </w:rPr>
      </w:r>
      <w:r/>
    </w:p>
    <w:p>
      <w:pPr>
        <w:pStyle w:val="764"/>
        <w:ind w:left="0" w:firstLine="0"/>
        <w:rPr>
          <w:rStyle w:val="880"/>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64"/>
        <w:ind w:left="0" w:firstLine="0"/>
        <w:rPr>
          <w:rStyle w:val="880"/>
          <w:rFonts w:hint="eastAsia" w:ascii="仿宋" w:hAnsi="仿宋" w:eastAsia="仿宋" w:cs="仿宋"/>
          <w:b/>
          <w:bCs/>
          <w:sz w:val="24"/>
          <w:szCs w:val="24"/>
          <w:highlight w:val="none"/>
          <w:lang w:val="en-US" w:eastAsia="zh-CN"/>
        </w:rPr>
      </w:pPr>
      <w:r>
        <w:rPr>
          <w:rStyle w:val="880"/>
          <w:rFonts w:hint="eastAsia" w:ascii="仿宋" w:hAnsi="仿宋" w:eastAsia="仿宋" w:cs="仿宋"/>
          <w:b/>
          <w:bCs/>
          <w:sz w:val="24"/>
          <w:szCs w:val="24"/>
          <w:highlight w:val="none"/>
          <w:lang w:eastAsia="zh-CN"/>
        </w:rPr>
        <w:t xml:space="preserve">注：</w:t>
      </w:r>
      <w:r>
        <w:rPr>
          <w:rStyle w:val="880"/>
          <w:rFonts w:hint="eastAsia" w:ascii="仿宋" w:hAnsi="仿宋" w:eastAsia="仿宋" w:cs="仿宋"/>
          <w:b/>
          <w:bCs/>
          <w:sz w:val="24"/>
          <w:szCs w:val="24"/>
          <w:highlight w:val="none"/>
          <w:lang w:val="en-US" w:eastAsia="zh-CN"/>
        </w:rPr>
        <w:t xml:space="preserve">上次须整改项目本次考核发现未及时整改的加倍扣分</w:t>
      </w:r>
      <w:r/>
    </w:p>
    <w:p>
      <w:pPr>
        <w:numPr>
          <w:ilvl w:val="0"/>
          <w:numId w:val="0"/>
        </w:numPr>
        <w:ind w:left="0" w:firstLine="425"/>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numPr>
          <w:ilvl w:val="0"/>
          <w:numId w:val="0"/>
        </w:numPr>
        <w:ind w:left="0" w:firstLine="425"/>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numPr>
          <w:ilvl w:val="0"/>
          <w:numId w:val="0"/>
        </w:numPr>
        <w:ind w:left="0" w:firstLine="425"/>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bCs/>
          <w:i w:val="0"/>
          <w:iCs w:val="0"/>
          <w:color w:val="auto"/>
          <w:sz w:val="28"/>
          <w:szCs w:val="28"/>
          <w:u w:val="none"/>
          <w:lang w:val="en-US" w:eastAsia="zh-CN" w:bidi="ar"/>
        </w:rPr>
      </w:pPr>
      <w:r>
        <w:rPr>
          <w:rFonts w:hint="eastAsia" w:ascii="宋体" w:hAnsi="宋体" w:eastAsia="宋体" w:cs="宋体"/>
          <w:b/>
          <w:bCs/>
          <w:i w:val="0"/>
          <w:iCs w:val="0"/>
          <w:color w:val="auto"/>
          <w:sz w:val="28"/>
          <w:szCs w:val="28"/>
          <w:u w:val="none"/>
          <w:lang w:val="en-US" w:eastAsia="zh-CN" w:bidi="ar"/>
        </w:rPr>
      </w:r>
      <w:r/>
    </w:p>
    <w:p>
      <w:pPr>
        <w:rPr>
          <w:rFonts w:hint="eastAsia" w:ascii="宋体" w:hAnsi="宋体" w:eastAsia="宋体" w:cs="宋体"/>
          <w:b/>
          <w:bCs/>
          <w:i w:val="0"/>
          <w:iCs w:val="0"/>
          <w:color w:val="auto"/>
          <w:sz w:val="28"/>
          <w:szCs w:val="28"/>
          <w:u w:val="none"/>
          <w:lang w:val="en-US" w:eastAsia="zh-CN" w:bidi="ar"/>
        </w:rPr>
      </w:pPr>
      <w:r>
        <w:rPr>
          <w:rFonts w:hint="eastAsia" w:ascii="宋体" w:hAnsi="宋体" w:eastAsia="宋体" w:cs="宋体"/>
          <w:b/>
          <w:bCs/>
          <w:i w:val="0"/>
          <w:iCs w:val="0"/>
          <w:color w:val="auto"/>
          <w:sz w:val="28"/>
          <w:szCs w:val="28"/>
          <w:u w:val="none"/>
          <w:lang w:val="en-US" w:eastAsia="zh-CN" w:bidi="ar"/>
        </w:rPr>
      </w:r>
      <w:r/>
    </w:p>
    <w:p>
      <w:pPr>
        <w:rPr>
          <w:rFonts w:hint="default"/>
          <w:color w:val="auto"/>
          <w:sz w:val="28"/>
          <w:szCs w:val="28"/>
          <w:lang w:val="en-US" w:eastAsia="zh-CN"/>
        </w:rPr>
      </w:pPr>
      <w:r>
        <w:rPr>
          <w:rFonts w:hint="default"/>
          <w:color w:val="auto"/>
          <w:sz w:val="28"/>
          <w:szCs w:val="28"/>
          <w:lang w:val="en-US" w:eastAsia="zh-CN"/>
        </w:rPr>
      </w:r>
      <w:r/>
    </w:p>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第七章  投标文件相关格式</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30"/>
          <w:szCs w:val="30"/>
          <w:highlight w:val="none"/>
        </w:rPr>
        <w:t xml:space="preserve">投标</w:t>
      </w:r>
      <w:r>
        <w:rPr>
          <w:rFonts w:hint="eastAsia" w:ascii="仿宋" w:hAnsi="仿宋" w:eastAsia="仿宋" w:cs="仿宋"/>
          <w:color w:val="auto"/>
          <w:sz w:val="28"/>
          <w:szCs w:val="28"/>
          <w:highlight w:val="none"/>
        </w:rPr>
        <w:t xml:space="preserve">函</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致： </w:t>
      </w:r>
      <w:r>
        <w:rPr>
          <w:rFonts w:hint="eastAsia" w:ascii="仿宋" w:hAnsi="仿宋" w:eastAsia="仿宋" w:cs="仿宋"/>
          <w:color w:val="auto"/>
          <w:sz w:val="24"/>
          <w:highlight w:val="none"/>
          <w:lang w:eastAsia="zh-CN"/>
        </w:rPr>
        <w:t xml:space="preserve">徐州三尚工程项目管理有限公司</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w:t>
      </w:r>
      <w:r>
        <w:rPr>
          <w:rFonts w:hint="eastAsia" w:ascii="仿宋" w:hAnsi="仿宋" w:eastAsia="仿宋" w:cs="仿宋"/>
          <w:color w:val="auto"/>
          <w:szCs w:val="21"/>
          <w:highlight w:val="none"/>
        </w:rPr>
        <w:t xml:space="preserve">______________</w:t>
      </w:r>
      <w:r>
        <w:rPr>
          <w:rFonts w:hint="eastAsia" w:ascii="仿宋" w:hAnsi="仿宋" w:eastAsia="仿宋" w:cs="仿宋"/>
          <w:color w:val="auto"/>
          <w:sz w:val="24"/>
          <w:highlight w:val="none"/>
        </w:rPr>
        <w:t xml:space="preserve">项目[项目编号：</w:t>
      </w:r>
      <w:r>
        <w:rPr>
          <w:rFonts w:hint="eastAsia" w:ascii="仿宋" w:hAnsi="仿宋" w:eastAsia="仿宋" w:cs="仿宋"/>
          <w:color w:val="000000"/>
          <w:sz w:val="24"/>
          <w:lang w:eastAsia="zh-CN"/>
        </w:rPr>
        <w:t xml:space="preserve">JSZC-320324-XZSS-G2025-0002</w:t>
      </w:r>
      <w:r>
        <w:rPr>
          <w:rFonts w:hint="eastAsia" w:ascii="仿宋" w:hAnsi="仿宋" w:eastAsia="仿宋" w:cs="仿宋"/>
          <w:color w:val="auto"/>
          <w:sz w:val="24"/>
          <w:highlight w:val="none"/>
        </w:rPr>
        <w:t xml:space="preserve">]招标文件，</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w:t>
      </w:r>
      <w:r>
        <w:rPr>
          <w:rFonts w:hint="eastAsia" w:ascii="仿宋" w:hAnsi="仿宋" w:eastAsia="仿宋" w:cs="仿宋"/>
          <w:color w:val="auto"/>
          <w:sz w:val="24"/>
          <w:highlight w:val="none"/>
        </w:rPr>
        <w:t xml:space="preserve">姓名）代表我方</w:t>
      </w:r>
      <w:r>
        <w:rPr>
          <w:rFonts w:hint="eastAsia" w:ascii="仿宋" w:hAnsi="仿宋" w:eastAsia="仿宋" w:cs="仿宋"/>
          <w:color w:val="auto"/>
          <w:szCs w:val="21"/>
          <w:highlight w:val="none"/>
        </w:rPr>
        <w:t xml:space="preserve">______________</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的名称）全权处理本次投标的有关事宜。</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据此函，</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承诺并同意如下： </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唯一投标报价见《开标一览表》。</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将按招标文件的规定履行合同责任和义务。</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已详细审查全部招标文件，包括第[插入编号] [补遗书][如果有的话]。</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完全理解并同意放弃对这方面有不明及误解的权力。</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4、投标有效期为90天。</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同意提供按照贵方可能要求的与其投标有关的一切数据或资料，完全理解贵方不一定接受最低价的投标或收到的任何投标。</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6、投标人同意在授予合同后，按照有关规定支付公证费(如有)。</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eastAsia="zh-CN"/>
        </w:rPr>
        <w:t xml:space="preserve">徐州三尚工程项目管理有限公司</w:t>
      </w:r>
      <w:r>
        <w:rPr>
          <w:rFonts w:hint="eastAsia" w:ascii="仿宋" w:hAnsi="仿宋" w:eastAsia="仿宋" w:cs="仿宋"/>
          <w:color w:val="auto"/>
          <w:sz w:val="24"/>
          <w:highlight w:val="none"/>
        </w:rPr>
        <w:t xml:space="preserve">有权将我单位本项目的《开标一览表》和《分项价格表》予以公示，公示的方式由</w:t>
      </w:r>
      <w:r>
        <w:rPr>
          <w:rFonts w:hint="eastAsia" w:ascii="仿宋" w:hAnsi="仿宋" w:eastAsia="仿宋" w:cs="仿宋"/>
          <w:color w:val="auto"/>
          <w:sz w:val="24"/>
          <w:highlight w:val="none"/>
          <w:lang w:eastAsia="zh-CN"/>
        </w:rPr>
        <w:t xml:space="preserve">徐州三尚工程项目管理有限公司</w:t>
      </w:r>
      <w:r>
        <w:rPr>
          <w:rFonts w:hint="eastAsia" w:ascii="仿宋" w:hAnsi="仿宋" w:eastAsia="仿宋" w:cs="仿宋"/>
          <w:color w:val="auto"/>
          <w:sz w:val="24"/>
          <w:highlight w:val="none"/>
        </w:rPr>
        <w:t xml:space="preserve">确定。</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8、采购人有权对</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投标文件的真实性进行核实，如</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9、与本投标有关的一切正式往来信函请寄：</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 </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电话： </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传真： </w:t>
      </w:r>
      <w:r/>
    </w:p>
    <w:p>
      <w:pPr>
        <w:ind w:firstLine="3000"/>
        <w:spacing w:line="30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ind w:firstLine="300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           （盖电子签章）</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ind w:firstLine="312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32"/>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color w:val="auto"/>
          <w:highlight w:val="none"/>
        </w:rPr>
      </w:pPr>
      <w:r>
        <w:rPr>
          <w:rFonts w:hint="eastAsia"/>
          <w:color w:val="auto"/>
          <w:highlight w:val="none"/>
        </w:rPr>
      </w:r>
      <w:r/>
    </w:p>
    <w:p>
      <w:pPr>
        <w:pStyle w:val="759"/>
        <w:rPr>
          <w:color w:val="auto"/>
          <w:highlight w:val="none"/>
        </w:rPr>
      </w:pPr>
      <w:r>
        <w:rPr>
          <w:color w:val="auto"/>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2、法定代表人授权书及法定代表人身份证明书</w:t>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360" w:lineRule="auto"/>
        <w:rPr>
          <w:rFonts w:hint="eastAsia" w:ascii="仿宋" w:hAnsi="仿宋" w:eastAsia="仿宋" w:cs="仿宋"/>
          <w:color w:val="auto"/>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color w:val="auto"/>
          <w:sz w:val="28"/>
          <w:szCs w:val="28"/>
          <w:highlight w:val="none"/>
        </w:rPr>
        <w:t xml:space="preserve">法定代表人授权书</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委托人：</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地  址：</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               职务：</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统一社会信用代码：</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受托人：                   性别：男（女）  </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年龄：  岁                 民族：民   族</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职务：</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身份证号：</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联系方式（手机号）：</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兹委托（       ）全权代表我企业（公司）参与（</w:t>
      </w:r>
      <w:r>
        <w:rPr>
          <w:rFonts w:hint="eastAsia" w:ascii="仿宋" w:hAnsi="仿宋" w:eastAsia="仿宋" w:cs="仿宋"/>
          <w:color w:val="auto"/>
          <w:sz w:val="24"/>
          <w:highlight w:val="none"/>
          <w:lang w:eastAsia="zh-CN"/>
        </w:rPr>
        <w:t xml:space="preserve">高作镇镇区公厕管护、主次干道清扫保洁、游园绿化服务项目</w:t>
      </w:r>
      <w:r>
        <w:rPr>
          <w:rFonts w:hint="eastAsia" w:ascii="仿宋" w:hAnsi="仿宋" w:eastAsia="仿宋" w:cs="仿宋"/>
          <w:bCs/>
          <w:color w:val="auto"/>
          <w:sz w:val="24"/>
          <w:highlight w:val="none"/>
        </w:rPr>
        <w:t xml:space="preserve">）项目（项目编号：</w:t>
      </w:r>
      <w:r>
        <w:rPr>
          <w:rFonts w:hint="eastAsia" w:ascii="仿宋" w:hAnsi="仿宋" w:eastAsia="仿宋" w:cs="仿宋"/>
          <w:color w:val="000000"/>
          <w:sz w:val="24"/>
          <w:lang w:eastAsia="zh-CN"/>
        </w:rPr>
        <w:t xml:space="preserve">JSZC-320324-XZSS-G2025-0002</w:t>
      </w:r>
      <w:r>
        <w:rPr>
          <w:rFonts w:hint="eastAsia" w:ascii="仿宋" w:hAnsi="仿宋" w:eastAsia="仿宋" w:cs="仿宋"/>
          <w:bCs/>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特此授权委托。</w:t>
      </w:r>
      <w:r/>
    </w:p>
    <w:p>
      <w:pPr>
        <w:ind w:firstLine="63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委托人（</w:t>
      </w:r>
      <w:r>
        <w:rPr>
          <w:rFonts w:hint="eastAsia" w:ascii="仿宋" w:hAnsi="仿宋" w:eastAsia="仿宋" w:cs="仿宋"/>
          <w:color w:val="auto"/>
          <w:sz w:val="24"/>
          <w:highlight w:val="none"/>
        </w:rPr>
        <w:t xml:space="preserve">电子签章</w:t>
      </w:r>
      <w:r>
        <w:rPr>
          <w:rFonts w:hint="eastAsia" w:ascii="仿宋" w:hAnsi="仿宋" w:eastAsia="仿宋" w:cs="仿宋"/>
          <w:bCs/>
          <w:color w:val="auto"/>
          <w:sz w:val="24"/>
          <w:highlight w:val="none"/>
        </w:rPr>
        <w:t xml:space="preserve">）：                  受托人（签字或</w:t>
      </w:r>
      <w:r>
        <w:rPr>
          <w:rFonts w:hint="eastAsia" w:ascii="仿宋" w:hAnsi="仿宋" w:eastAsia="仿宋" w:cs="仿宋"/>
          <w:color w:val="auto"/>
          <w:sz w:val="24"/>
          <w:highlight w:val="none"/>
        </w:rPr>
        <w:t xml:space="preserve">签章</w:t>
      </w:r>
      <w:r>
        <w:rPr>
          <w:rFonts w:hint="eastAsia" w:ascii="仿宋" w:hAnsi="仿宋" w:eastAsia="仿宋" w:cs="仿宋"/>
          <w:bCs/>
          <w:color w:val="auto"/>
          <w:sz w:val="24"/>
          <w:highlight w:val="none"/>
        </w:rPr>
        <w:t xml:space="preserve">）：</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法定代表人（签字或</w:t>
      </w:r>
      <w:r>
        <w:rPr>
          <w:rFonts w:hint="eastAsia" w:ascii="仿宋" w:hAnsi="仿宋" w:eastAsia="仿宋" w:cs="仿宋"/>
          <w:color w:val="auto"/>
          <w:sz w:val="24"/>
          <w:highlight w:val="none"/>
        </w:rPr>
        <w:t xml:space="preserve">电子签章</w:t>
      </w:r>
      <w:r>
        <w:rPr>
          <w:rFonts w:hint="eastAsia" w:ascii="仿宋" w:hAnsi="仿宋" w:eastAsia="仿宋" w:cs="仿宋"/>
          <w:bCs/>
          <w:color w:val="auto"/>
          <w:sz w:val="24"/>
          <w:highlight w:val="none"/>
        </w:rPr>
        <w:t xml:space="preserve">）： </w:t>
      </w:r>
      <w:r/>
    </w:p>
    <w:p>
      <w:pPr>
        <w:ind w:firstLine="720"/>
        <w:jc w:val="righ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年   月   日 </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（受托人身份证原件扫描件附后）</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left="0" w:right="0" w:firstLine="0"/>
        <w:jc w:val="center"/>
        <w:keepLines w:val="0"/>
        <w:keepNext w:val="0"/>
        <w:pageBreakBefore w:val="0"/>
        <w:spacing w:before="0" w:beforeAutospacing="0" w:after="0" w:afterAutospacing="0" w:line="460" w:lineRule="exact"/>
        <w:rPr>
          <w:rFonts w:hint="eastAsia" w:ascii="宋体" w:hAnsi="宋体"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i/>
          <w:iCs/>
          <w:color w:val="auto"/>
          <w:sz w:val="24"/>
          <w:szCs w:val="20"/>
          <w:highlight w:val="none"/>
          <w:lang w:val="en-US" w:eastAsia="zh-CN"/>
        </w:rPr>
        <w:t xml:space="preserve">如若法定代表人并未亲自参加本次采购活动，《法定代表人授权书》必须提供。</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（2）</w:t>
      </w:r>
      <w:r>
        <w:rPr>
          <w:rFonts w:hint="eastAsia" w:ascii="仿宋" w:hAnsi="仿宋" w:eastAsia="仿宋" w:cs="仿宋"/>
          <w:color w:val="auto"/>
          <w:sz w:val="28"/>
          <w:szCs w:val="28"/>
          <w:highlight w:val="none"/>
        </w:rPr>
        <w:t xml:space="preserve">法定代表人身份证明书</w:t>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76"/>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spacing w:line="500" w:lineRule="exact"/>
        <w:tabs>
          <w:tab w:val="left" w:pos="720" w:leader="none"/>
          <w:tab w:val="left" w:pos="90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单位名称：</w:t>
      </w:r>
      <w:r/>
    </w:p>
    <w:p>
      <w:pPr>
        <w:ind w:firstLine="480"/>
        <w:spacing w:line="500" w:lineRule="exact"/>
        <w:tabs>
          <w:tab w:val="left" w:pos="720" w:leader="none"/>
          <w:tab w:val="left" w:pos="90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w:t>
      </w:r>
      <w:r/>
    </w:p>
    <w:p>
      <w:pPr>
        <w:ind w:firstLine="480"/>
        <w:spacing w:line="500" w:lineRule="exact"/>
        <w:tabs>
          <w:tab w:val="left" w:pos="720" w:leader="none"/>
          <w:tab w:val="left" w:pos="90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姓名：            性别：    </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身份证号：        职务：          </w:t>
      </w:r>
      <w:r>
        <w:rPr>
          <w:rFonts w:hint="eastAsia" w:ascii="仿宋" w:hAnsi="仿宋" w:eastAsia="仿宋" w:cs="仿宋"/>
          <w:bCs/>
          <w:color w:val="auto"/>
          <w:sz w:val="24"/>
          <w:highlight w:val="none"/>
        </w:rPr>
        <w:t xml:space="preserve">联系方式（手机号）：</w:t>
      </w:r>
      <w:r/>
    </w:p>
    <w:p>
      <w:pPr>
        <w:ind w:firstLine="102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102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系我司的法定代表人。为签署（项目编号：</w:t>
      </w:r>
      <w:r>
        <w:rPr>
          <w:rFonts w:hint="eastAsia" w:ascii="仿宋" w:hAnsi="仿宋" w:eastAsia="仿宋" w:cs="仿宋"/>
          <w:color w:val="auto"/>
          <w:sz w:val="24"/>
          <w:highlight w:val="none"/>
          <w:lang w:eastAsia="zh-CN"/>
        </w:rPr>
        <w:t xml:space="preserve">JSZC-320324-XZSS-G2025-0002</w:t>
      </w: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高作镇镇区公厕管护、主次干道清扫保洁、游园绿化服务项目</w:t>
      </w:r>
      <w:r>
        <w:rPr>
          <w:rFonts w:hint="eastAsia" w:ascii="仿宋" w:hAnsi="仿宋" w:eastAsia="仿宋" w:cs="仿宋"/>
          <w:color w:val="auto"/>
          <w:sz w:val="24"/>
          <w:highlight w:val="none"/>
        </w:rPr>
        <w:t xml:space="preserve">）项目投标文件、进行合同谈判、签署合同和处理与之有关的一切事务。</w:t>
      </w:r>
      <w:r/>
    </w:p>
    <w:p>
      <w:pPr>
        <w:spacing w:line="500" w:lineRule="exact"/>
        <w:tabs>
          <w:tab w:val="left" w:pos="720" w:leader="none"/>
          <w:tab w:val="left" w:pos="90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500" w:lineRule="exact"/>
        <w:tabs>
          <w:tab w:val="left" w:pos="720" w:leader="none"/>
          <w:tab w:val="left" w:pos="90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特此证明。</w:t>
      </w:r>
      <w:r/>
    </w:p>
    <w:p>
      <w:pPr>
        <w:ind w:firstLine="480"/>
        <w:spacing w:line="500" w:lineRule="exact"/>
        <w:tabs>
          <w:tab w:val="left" w:pos="720" w:leader="none"/>
          <w:tab w:val="left" w:pos="90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right"/>
        <w:spacing w:line="360" w:lineRule="auto"/>
        <w:tabs>
          <w:tab w:val="left" w:pos="720" w:leader="none"/>
          <w:tab w:val="left" w:pos="90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55"/>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324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               （盖电子签章）</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           （签字或电子签章）  </w:t>
      </w:r>
      <w:r/>
    </w:p>
    <w:p>
      <w:pPr>
        <w:ind w:firstLine="3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spacing w:line="500" w:lineRule="exact"/>
        <w:tabs>
          <w:tab w:val="left" w:pos="720" w:leader="none"/>
          <w:tab w:val="left" w:pos="90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（法定代表人身份证原件扫描件附后）</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764"/>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764"/>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764"/>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764"/>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764"/>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764"/>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0" w:right="0" w:firstLine="0"/>
        <w:jc w:val="center"/>
        <w:keepLines w:val="0"/>
        <w:keepNext w:val="0"/>
        <w:pageBreakBefore w:val="0"/>
        <w:spacing w:before="0" w:beforeAutospacing="0" w:after="0" w:afterAutospacing="0" w:line="460" w:lineRule="exact"/>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i/>
          <w:iCs/>
          <w:color w:val="auto"/>
          <w:sz w:val="28"/>
          <w:szCs w:val="21"/>
          <w:highlight w:val="none"/>
          <w:lang w:val="en-US" w:eastAsia="zh-CN"/>
        </w:rPr>
        <w:t xml:space="preserve">此项内容为</w:t>
      </w:r>
      <w:r>
        <w:rPr>
          <w:rFonts w:hint="eastAsia" w:ascii="仿宋" w:hAnsi="仿宋" w:eastAsia="仿宋" w:cs="仿宋"/>
          <w:b/>
          <w:i/>
          <w:iCs/>
          <w:color w:val="auto"/>
          <w:sz w:val="28"/>
          <w:szCs w:val="21"/>
          <w:highlight w:val="none"/>
        </w:rPr>
        <w:t xml:space="preserve">法定代表人亲自</w:t>
      </w:r>
      <w:r>
        <w:rPr>
          <w:rFonts w:hint="eastAsia" w:ascii="仿宋" w:hAnsi="仿宋" w:eastAsia="仿宋" w:cs="仿宋"/>
          <w:b/>
          <w:i/>
          <w:iCs/>
          <w:color w:val="auto"/>
          <w:sz w:val="28"/>
          <w:szCs w:val="21"/>
          <w:highlight w:val="none"/>
          <w:lang w:val="en-US" w:eastAsia="zh-CN"/>
        </w:rPr>
        <w:t xml:space="preserve">参加本次采购活动的提供，否则无需提供</w:t>
      </w:r>
      <w:r/>
    </w:p>
    <w:p>
      <w:pPr>
        <w:pStyle w:val="764"/>
        <w:rPr>
          <w:rFonts w:hint="eastAsia" w:ascii="宋体" w:hAnsi="宋体"/>
          <w:bCs/>
          <w:color w:val="auto"/>
          <w:sz w:val="24"/>
          <w:highlight w:val="none"/>
        </w:rPr>
      </w:pPr>
      <w:r>
        <w:rPr>
          <w:rFonts w:hint="eastAsia" w:ascii="宋体" w:hAnsi="宋体"/>
          <w:bCs/>
          <w:color w:val="auto"/>
          <w:sz w:val="24"/>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3、开标一览表</w:t>
      </w:r>
      <w:r/>
    </w:p>
    <w:p>
      <w:pPr>
        <w:pStyle w:val="776"/>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高作镇镇区公厕管护、主次干道清扫保洁、游园绿化服务项目</w:t>
      </w:r>
      <w:r/>
    </w:p>
    <w:p>
      <w:pPr>
        <w:jc w:val="left"/>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000000"/>
          <w:sz w:val="24"/>
          <w:lang w:eastAsia="zh-CN"/>
        </w:rPr>
        <w:t xml:space="preserve">JSZC-320324-XZSS-G2025-0002</w:t>
      </w:r>
      <w:r/>
    </w:p>
    <w:p>
      <w:pPr>
        <w:ind w:firstLine="624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货币单位：人民币元</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bl>
      <w:tblPr>
        <w:tblStyle w:val="725"/>
        <w:tblW w:w="906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673"/>
      </w:tblGrid>
      <w:tr>
        <w:trPr>
          <w:cantSplit/>
          <w:jc w:val="center"/>
          <w:trHeight w:val="873"/>
        </w:trPr>
        <w:tc>
          <w:tcPr>
            <w:tcW w:w="3556" w:type="dxa"/>
            <w:vAlign w:val="center"/>
            <w:textDirection w:val="lrTb"/>
            <w:noWrap w:val="false"/>
          </w:tcPr>
          <w:p>
            <w:pPr>
              <w:ind w:firstLine="0"/>
              <w:jc w:val="center"/>
              <w:spacing w:line="312"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项目名称</w:t>
            </w:r>
            <w:r/>
          </w:p>
        </w:tc>
        <w:tc>
          <w:tcPr>
            <w:tcW w:w="2835" w:type="dxa"/>
            <w:vAlign w:val="center"/>
            <w:textDirection w:val="lrTb"/>
            <w:noWrap w:val="false"/>
          </w:tcPr>
          <w:p>
            <w:pPr>
              <w:ind w:firstLine="0"/>
              <w:jc w:val="center"/>
              <w:spacing w:line="312"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项目内容</w:t>
            </w:r>
            <w:r/>
          </w:p>
        </w:tc>
        <w:tc>
          <w:tcPr>
            <w:tcW w:w="2673" w:type="dxa"/>
            <w:vAlign w:val="center"/>
            <w:textDirection w:val="lrTb"/>
            <w:noWrap w:val="false"/>
          </w:tcPr>
          <w:p>
            <w:pPr>
              <w:ind w:firstLine="0"/>
              <w:jc w:val="center"/>
              <w:spacing w:line="312"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总价（小写）</w:t>
            </w:r>
            <w:r/>
          </w:p>
        </w:tc>
      </w:tr>
      <w:tr>
        <w:trPr>
          <w:cantSplit/>
          <w:jc w:val="center"/>
          <w:trHeight w:val="1214"/>
        </w:trPr>
        <w:tc>
          <w:tcPr>
            <w:tcW w:w="3556" w:type="dxa"/>
            <w:vAlign w:val="center"/>
            <w:textDirection w:val="lrTb"/>
            <w:noWrap w:val="false"/>
          </w:tcPr>
          <w:p>
            <w:pPr>
              <w:ind w:firstLine="0"/>
              <w:jc w:val="center"/>
              <w:spacing w:line="312"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高作镇镇区公厕管护、主次干道清扫保洁、游园绿化服务项目</w:t>
            </w:r>
            <w:r/>
          </w:p>
        </w:tc>
        <w:tc>
          <w:tcPr>
            <w:tcW w:w="2835" w:type="dxa"/>
            <w:vAlign w:val="center"/>
            <w:textDirection w:val="lrTb"/>
            <w:noWrap w:val="false"/>
          </w:tcPr>
          <w:p>
            <w:pPr>
              <w:ind w:firstLine="0"/>
              <w:jc w:val="center"/>
              <w:spacing w:line="312"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详见投标文件</w:t>
            </w:r>
            <w:r/>
          </w:p>
        </w:tc>
        <w:tc>
          <w:tcPr>
            <w:tcW w:w="2673" w:type="dxa"/>
            <w:vAlign w:val="center"/>
            <w:textDirection w:val="lrTb"/>
            <w:noWrap w:val="false"/>
          </w:tcPr>
          <w:p>
            <w:pPr>
              <w:ind w:firstLine="0"/>
              <w:jc w:val="center"/>
              <w:spacing w:line="312"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cantSplit/>
          <w:jc w:val="center"/>
          <w:trHeight w:val="669"/>
        </w:trPr>
        <w:tc>
          <w:tcPr>
            <w:tcW w:w="3556" w:type="dxa"/>
            <w:vAlign w:val="center"/>
            <w:textDirection w:val="lrTb"/>
            <w:noWrap w:val="false"/>
          </w:tcPr>
          <w:p>
            <w:pPr>
              <w:ind w:firstLine="0"/>
              <w:jc w:val="center"/>
              <w:spacing w:line="312"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总价（大写）：</w:t>
            </w:r>
            <w:r/>
          </w:p>
        </w:tc>
        <w:tc>
          <w:tcPr>
            <w:gridSpan w:val="2"/>
            <w:tcW w:w="5508" w:type="dxa"/>
            <w:vAlign w:val="center"/>
            <w:textDirection w:val="lrTb"/>
            <w:noWrap w:val="false"/>
          </w:tcPr>
          <w:p>
            <w:pPr>
              <w:ind w:firstLine="0"/>
              <w:jc w:val="center"/>
              <w:spacing w:line="312"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bl>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2479"/>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（电子签章）</w:t>
      </w:r>
      <w:r/>
    </w:p>
    <w:p>
      <w:pPr>
        <w:ind w:firstLine="2400"/>
        <w:spacing w:line="360" w:lineRule="auto"/>
        <w:widowControl/>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投标人法定代表人或授权代表：（签字或电子签章）</w:t>
      </w:r>
      <w:r/>
    </w:p>
    <w:p>
      <w:pPr>
        <w:ind w:firstLine="240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ind w:firstLine="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 </w:t>
      </w:r>
      <w:r/>
    </w:p>
    <w:p>
      <w:pPr>
        <w:ind w:firstLine="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1、报价包括投标人为本项目提供的所有服务费用及税金。采购人不再支付报价以外的任何费用。</w:t>
      </w:r>
      <w:r/>
    </w:p>
    <w:p>
      <w:pPr>
        <w:ind w:firstLine="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2、报价大小写不一致以大写为准；</w:t>
      </w:r>
      <w:r/>
    </w:p>
    <w:p>
      <w:pPr>
        <w:ind w:firstLine="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3、偏离说明：详见《偏离表》；</w:t>
      </w:r>
      <w:r/>
    </w:p>
    <w:p>
      <w:pPr>
        <w:ind w:right="-1052"/>
        <w:jc w:val="both"/>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4、报价与投标文件中《分项价格表》中的总价一致。</w:t>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仿宋" w:hAnsi="仿宋" w:eastAsia="仿宋" w:cs="仿宋"/>
          <w:color w:val="auto"/>
          <w:sz w:val="24"/>
          <w:highlight w:val="none"/>
        </w:rPr>
      </w:pPr>
      <w:r>
        <w:rPr>
          <w:rFonts w:hint="eastAsia" w:ascii="宋体" w:hAnsi="宋体" w:cs="宋体"/>
          <w:color w:val="auto"/>
          <w:sz w:val="24"/>
          <w:highlight w:val="none"/>
        </w:rPr>
        <w:br w:type="page" w:clear="all"/>
      </w:r>
      <w:r>
        <w:rPr>
          <w:rFonts w:hint="eastAsia" w:ascii="仿宋" w:hAnsi="仿宋" w:eastAsia="仿宋" w:cs="仿宋"/>
          <w:color w:val="auto"/>
          <w:sz w:val="28"/>
          <w:szCs w:val="28"/>
          <w:highlight w:val="none"/>
        </w:rPr>
        <w:t xml:space="preserve">4、分项价格表</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before="0" w:beforeAutospacing="0" w:after="200" w:afterAutospacing="0" w:line="48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lang w:val="en-US" w:eastAsia="en-US" w:bidi="ar-SA"/>
        </w:rPr>
        <w:t xml:space="preserve">项目名称：</w:t>
      </w:r>
      <w:r>
        <w:rPr>
          <w:rFonts w:hint="eastAsia" w:ascii="仿宋" w:hAnsi="仿宋" w:eastAsia="仿宋" w:cs="仿宋"/>
          <w:color w:val="auto"/>
          <w:sz w:val="24"/>
          <w:highlight w:val="none"/>
          <w:lang w:eastAsia="zh-CN"/>
        </w:rPr>
        <w:t xml:space="preserve">高作镇镇区公厕管护、主次干道清扫保洁、游园绿化服务项目</w:t>
      </w:r>
      <w:r/>
    </w:p>
    <w:p>
      <w:pPr>
        <w:ind w:firstLine="480"/>
        <w:spacing w:before="0" w:beforeAutospacing="0" w:after="200" w:afterAutospacing="0" w:line="480" w:lineRule="exact"/>
        <w:rPr>
          <w:rFonts w:hint="eastAsia" w:ascii="仿宋" w:hAnsi="仿宋" w:eastAsia="仿宋" w:cs="仿宋"/>
          <w:b/>
          <w:bCs/>
          <w:color w:val="auto"/>
          <w:spacing w:val="20"/>
          <w:sz w:val="24"/>
          <w:szCs w:val="24"/>
          <w:lang w:val="en-US" w:eastAsia="en-US" w:bidi="ar-SA"/>
        </w:rPr>
      </w:pPr>
      <w:r>
        <w:rPr>
          <w:rFonts w:hint="eastAsia" w:ascii="仿宋" w:hAnsi="仿宋" w:eastAsia="仿宋" w:cs="仿宋"/>
          <w:color w:val="auto"/>
          <w:sz w:val="24"/>
          <w:szCs w:val="24"/>
          <w:lang w:val="en-US" w:eastAsia="en-US" w:bidi="ar-SA"/>
        </w:rPr>
        <w:t xml:space="preserve">项目编号：</w:t>
      </w:r>
      <w:r>
        <w:rPr>
          <w:rFonts w:hint="eastAsia" w:ascii="仿宋" w:hAnsi="仿宋" w:eastAsia="仿宋" w:cs="仿宋"/>
          <w:color w:val="000000"/>
          <w:sz w:val="24"/>
          <w:lang w:eastAsia="zh-CN"/>
        </w:rPr>
        <w:t xml:space="preserve">JSZC-320324-XZSS-G2025-0002</w:t>
      </w:r>
      <w:r>
        <w:rPr>
          <w:rFonts w:hint="eastAsia" w:ascii="仿宋" w:hAnsi="仿宋" w:eastAsia="仿宋" w:cs="仿宋"/>
          <w:color w:val="auto"/>
          <w:sz w:val="24"/>
          <w:szCs w:val="24"/>
          <w:lang w:val="en-US" w:eastAsia="en-US" w:bidi="ar-SA"/>
        </w:rPr>
        <w:t xml:space="preserve">  </w:t>
      </w:r>
      <w:r>
        <w:rPr>
          <w:rFonts w:hint="eastAsia" w:ascii="仿宋" w:hAnsi="仿宋" w:eastAsia="仿宋" w:cs="仿宋"/>
          <w:color w:val="auto"/>
          <w:sz w:val="24"/>
          <w:szCs w:val="24"/>
          <w:lang w:val="en-US" w:eastAsia="zh-CN" w:bidi="ar-SA"/>
        </w:rPr>
        <w:t xml:space="preserve">             </w:t>
      </w:r>
      <w:r>
        <w:rPr>
          <w:rFonts w:hint="eastAsia" w:ascii="仿宋" w:hAnsi="仿宋" w:eastAsia="仿宋" w:cs="仿宋"/>
          <w:color w:val="auto"/>
          <w:sz w:val="24"/>
          <w:szCs w:val="24"/>
          <w:lang w:val="en-US" w:eastAsia="en-US" w:bidi="ar-SA"/>
        </w:rPr>
        <w:t xml:space="preserve">货币单位：人民币元</w:t>
      </w:r>
      <w:r/>
    </w:p>
    <w:tbl>
      <w:tblPr>
        <w:tblStyle w:val="7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5"/>
        <w:gridCol w:w="2696"/>
        <w:gridCol w:w="2284"/>
        <w:gridCol w:w="1906"/>
        <w:gridCol w:w="1290"/>
      </w:tblGrid>
      <w:tr>
        <w:trPr>
          <w:trHeight w:val="641"/>
        </w:trPr>
        <w:tc>
          <w:tcPr>
            <w:tcW w:w="1105" w:type="dxa"/>
            <w:vAlign w:val="center"/>
            <w:textDirection w:val="lrTb"/>
            <w:noWrap w:val="false"/>
          </w:tcPr>
          <w:p>
            <w:pPr>
              <w:jc w:val="center"/>
              <w:spacing w:before="0" w:beforeAutospacing="0" w:after="200" w:afterAutospacing="0" w:line="440" w:lineRule="exact"/>
              <w:rPr>
                <w:rFonts w:hint="eastAsia" w:ascii="仿宋" w:hAnsi="仿宋" w:eastAsia="仿宋" w:cs="仿宋"/>
                <w:color w:val="auto"/>
                <w:sz w:val="24"/>
                <w:szCs w:val="24"/>
                <w:lang w:val="en-US" w:eastAsia="en-US" w:bidi="ar-SA"/>
              </w:rPr>
            </w:pPr>
            <w:r>
              <w:rPr>
                <w:rFonts w:hint="eastAsia" w:ascii="仿宋" w:hAnsi="仿宋" w:eastAsia="仿宋" w:cs="仿宋"/>
                <w:color w:val="auto"/>
                <w:sz w:val="24"/>
                <w:szCs w:val="24"/>
                <w:lang w:val="en-US" w:eastAsia="en-US" w:bidi="ar-SA"/>
              </w:rPr>
              <w:t xml:space="preserve">序号</w:t>
            </w:r>
            <w:r/>
          </w:p>
        </w:tc>
        <w:tc>
          <w:tcPr>
            <w:tcW w:w="2696" w:type="dxa"/>
            <w:vAlign w:val="center"/>
            <w:textDirection w:val="lrTb"/>
            <w:noWrap w:val="false"/>
          </w:tcPr>
          <w:p>
            <w:pPr>
              <w:jc w:val="center"/>
              <w:spacing w:before="0" w:beforeAutospacing="0" w:after="200" w:afterAutospacing="0" w:line="440" w:lineRule="exact"/>
              <w:rPr>
                <w:rFonts w:hint="eastAsia" w:ascii="仿宋" w:hAnsi="仿宋" w:eastAsia="仿宋" w:cs="仿宋"/>
                <w:color w:val="auto"/>
                <w:sz w:val="24"/>
                <w:szCs w:val="24"/>
                <w:lang w:val="en-US" w:eastAsia="en-US" w:bidi="ar-SA"/>
              </w:rPr>
            </w:pPr>
            <w:r>
              <w:rPr>
                <w:rFonts w:hint="eastAsia" w:ascii="仿宋" w:hAnsi="仿宋" w:eastAsia="仿宋" w:cs="仿宋"/>
                <w:color w:val="auto"/>
                <w:sz w:val="24"/>
                <w:szCs w:val="24"/>
                <w:lang w:val="en-US" w:eastAsia="en-US" w:bidi="ar-SA"/>
              </w:rPr>
              <w:t xml:space="preserve">服务（项目）名称</w:t>
            </w:r>
            <w:r/>
          </w:p>
        </w:tc>
        <w:tc>
          <w:tcPr>
            <w:tcW w:w="2284" w:type="dxa"/>
            <w:vAlign w:val="center"/>
            <w:textDirection w:val="lrTb"/>
            <w:noWrap w:val="false"/>
          </w:tcPr>
          <w:p>
            <w:pPr>
              <w:jc w:val="center"/>
              <w:spacing w:before="0" w:beforeAutospacing="0" w:after="200" w:afterAutospacing="0" w:line="440" w:lineRule="exact"/>
              <w:rPr>
                <w:rFonts w:hint="eastAsia" w:ascii="仿宋" w:hAnsi="仿宋" w:eastAsia="仿宋" w:cs="仿宋"/>
                <w:color w:val="auto"/>
                <w:sz w:val="24"/>
                <w:szCs w:val="24"/>
                <w:lang w:val="en-US" w:eastAsia="en-US" w:bidi="ar-SA"/>
              </w:rPr>
            </w:pPr>
            <w:r>
              <w:rPr>
                <w:rFonts w:hint="eastAsia" w:ascii="仿宋" w:hAnsi="仿宋" w:eastAsia="仿宋" w:cs="仿宋"/>
                <w:color w:val="auto"/>
                <w:sz w:val="24"/>
                <w:szCs w:val="24"/>
                <w:lang w:val="en-US" w:eastAsia="en-US" w:bidi="ar-SA"/>
              </w:rPr>
              <w:t xml:space="preserve">费用构成</w:t>
            </w:r>
            <w:r/>
          </w:p>
        </w:tc>
        <w:tc>
          <w:tcPr>
            <w:tcW w:w="1906" w:type="dxa"/>
            <w:vAlign w:val="center"/>
            <w:textDirection w:val="lrTb"/>
            <w:noWrap w:val="false"/>
          </w:tcPr>
          <w:p>
            <w:pPr>
              <w:jc w:val="center"/>
              <w:spacing w:before="0" w:beforeAutospacing="0" w:after="200" w:afterAutospacing="0" w:line="440" w:lineRule="exact"/>
              <w:rPr>
                <w:rFonts w:hint="eastAsia" w:ascii="仿宋" w:hAnsi="仿宋" w:eastAsia="仿宋" w:cs="仿宋"/>
                <w:color w:val="auto"/>
                <w:sz w:val="24"/>
                <w:szCs w:val="24"/>
                <w:lang w:val="en-US" w:eastAsia="en-US" w:bidi="ar-SA"/>
              </w:rPr>
            </w:pPr>
            <w:r>
              <w:rPr>
                <w:rFonts w:hint="eastAsia" w:ascii="仿宋" w:hAnsi="仿宋" w:eastAsia="仿宋" w:cs="仿宋"/>
                <w:color w:val="auto"/>
                <w:sz w:val="24"/>
                <w:szCs w:val="24"/>
                <w:lang w:val="en-US" w:eastAsia="en-US" w:bidi="ar-SA"/>
              </w:rPr>
              <w:t xml:space="preserve">费用</w:t>
            </w:r>
            <w:r/>
          </w:p>
        </w:tc>
        <w:tc>
          <w:tcPr>
            <w:tcW w:w="1290" w:type="dxa"/>
            <w:vAlign w:val="center"/>
            <w:textDirection w:val="lrTb"/>
            <w:noWrap w:val="false"/>
          </w:tcPr>
          <w:p>
            <w:pPr>
              <w:jc w:val="center"/>
              <w:spacing w:before="0" w:beforeAutospacing="0" w:after="200" w:afterAutospacing="0" w:line="440" w:lineRule="exact"/>
              <w:rPr>
                <w:rFonts w:hint="eastAsia" w:ascii="仿宋" w:hAnsi="仿宋" w:eastAsia="仿宋" w:cs="仿宋"/>
                <w:color w:val="auto"/>
                <w:sz w:val="24"/>
                <w:szCs w:val="24"/>
                <w:lang w:val="en-US" w:eastAsia="en-US" w:bidi="ar-SA"/>
              </w:rPr>
            </w:pPr>
            <w:r>
              <w:rPr>
                <w:rFonts w:hint="eastAsia" w:ascii="仿宋" w:hAnsi="仿宋" w:eastAsia="仿宋" w:cs="仿宋"/>
                <w:color w:val="auto"/>
                <w:sz w:val="24"/>
                <w:szCs w:val="24"/>
                <w:lang w:val="en-US" w:eastAsia="en-US" w:bidi="ar-SA"/>
              </w:rPr>
              <w:t xml:space="preserve">备注</w:t>
            </w:r>
            <w:r/>
          </w:p>
        </w:tc>
      </w:tr>
      <w:tr>
        <w:trPr>
          <w:trHeight w:val="641"/>
        </w:trPr>
        <w:tc>
          <w:tcPr>
            <w:tcW w:w="1105" w:type="dxa"/>
            <w:vAlign w:val="center"/>
            <w:textDirection w:val="lrTb"/>
            <w:noWrap w:val="false"/>
          </w:tcPr>
          <w:p>
            <w:pPr>
              <w:ind w:firstLine="235"/>
              <w:spacing w:before="0" w:beforeAutospacing="0" w:after="200" w:afterAutospacing="0" w:line="440" w:lineRule="exact"/>
              <w:rPr>
                <w:rFonts w:hint="eastAsia" w:ascii="仿宋" w:hAnsi="仿宋" w:eastAsia="仿宋" w:cs="仿宋"/>
                <w:color w:val="auto"/>
                <w:sz w:val="24"/>
                <w:szCs w:val="24"/>
                <w:lang w:val="en-US" w:eastAsia="en-US" w:bidi="ar-SA"/>
              </w:rPr>
            </w:pPr>
            <w:r>
              <w:rPr>
                <w:rFonts w:hint="eastAsia" w:ascii="仿宋" w:hAnsi="仿宋" w:eastAsia="仿宋" w:cs="仿宋"/>
                <w:color w:val="auto"/>
                <w:sz w:val="24"/>
                <w:szCs w:val="24"/>
                <w:lang w:val="en-US" w:eastAsia="en-US" w:bidi="ar-SA"/>
              </w:rPr>
              <w:t xml:space="preserve">1</w:t>
            </w:r>
            <w:r/>
          </w:p>
        </w:tc>
        <w:tc>
          <w:tcPr>
            <w:tcW w:w="2696" w:type="dxa"/>
            <w:vAlign w:val="center"/>
            <w:textDirection w:val="lrTb"/>
            <w:noWrap w:val="false"/>
          </w:tcPr>
          <w:p>
            <w:pPr>
              <w:ind w:firstLine="235"/>
              <w:spacing w:before="0" w:beforeAutospacing="0" w:after="200" w:afterAutospacing="0" w:line="440" w:lineRule="exact"/>
              <w:rPr>
                <w:rFonts w:hint="eastAsia" w:ascii="仿宋" w:hAnsi="仿宋" w:eastAsia="仿宋" w:cs="仿宋"/>
                <w:color w:val="auto"/>
                <w:sz w:val="24"/>
                <w:szCs w:val="24"/>
                <w:lang w:val="en-US" w:eastAsia="en-US" w:bidi="ar-SA"/>
              </w:rPr>
            </w:pPr>
            <w:r>
              <w:rPr>
                <w:rFonts w:hint="eastAsia" w:ascii="仿宋" w:hAnsi="仿宋" w:eastAsia="仿宋" w:cs="仿宋"/>
                <w:color w:val="auto"/>
                <w:sz w:val="24"/>
                <w:szCs w:val="24"/>
                <w:lang w:val="en-US" w:eastAsia="en-US" w:bidi="ar-SA"/>
              </w:rPr>
            </w:r>
            <w:r/>
          </w:p>
        </w:tc>
        <w:tc>
          <w:tcPr>
            <w:tcW w:w="2284" w:type="dxa"/>
            <w:vAlign w:val="center"/>
            <w:textDirection w:val="lrTb"/>
            <w:noWrap w:val="false"/>
          </w:tcPr>
          <w:p>
            <w:pPr>
              <w:ind w:firstLine="235"/>
              <w:spacing w:before="0" w:beforeAutospacing="0" w:after="200" w:afterAutospacing="0" w:line="440" w:lineRule="exact"/>
              <w:rPr>
                <w:rFonts w:hint="eastAsia" w:ascii="仿宋" w:hAnsi="仿宋" w:eastAsia="仿宋" w:cs="仿宋"/>
                <w:color w:val="auto"/>
                <w:sz w:val="24"/>
                <w:szCs w:val="24"/>
                <w:lang w:val="en-US" w:eastAsia="en-US" w:bidi="ar-SA"/>
              </w:rPr>
            </w:pPr>
            <w:r>
              <w:rPr>
                <w:rFonts w:hint="eastAsia" w:ascii="仿宋" w:hAnsi="仿宋" w:eastAsia="仿宋" w:cs="仿宋"/>
                <w:color w:val="auto"/>
                <w:sz w:val="24"/>
                <w:szCs w:val="24"/>
                <w:lang w:val="en-US" w:eastAsia="en-US" w:bidi="ar-SA"/>
              </w:rPr>
            </w:r>
            <w:r/>
          </w:p>
        </w:tc>
        <w:tc>
          <w:tcPr>
            <w:tcW w:w="1906" w:type="dxa"/>
            <w:vAlign w:val="center"/>
            <w:textDirection w:val="lrTb"/>
            <w:noWrap w:val="false"/>
          </w:tcPr>
          <w:p>
            <w:pPr>
              <w:ind w:firstLine="235"/>
              <w:spacing w:before="0" w:beforeAutospacing="0" w:after="200" w:afterAutospacing="0" w:line="440" w:lineRule="exact"/>
              <w:rPr>
                <w:rFonts w:hint="eastAsia" w:ascii="仿宋" w:hAnsi="仿宋" w:eastAsia="仿宋" w:cs="仿宋"/>
                <w:color w:val="auto"/>
                <w:sz w:val="24"/>
                <w:szCs w:val="24"/>
                <w:lang w:val="en-US" w:eastAsia="en-US" w:bidi="ar-SA"/>
              </w:rPr>
            </w:pPr>
            <w:r>
              <w:rPr>
                <w:rFonts w:hint="eastAsia" w:ascii="仿宋" w:hAnsi="仿宋" w:eastAsia="仿宋" w:cs="仿宋"/>
                <w:color w:val="auto"/>
                <w:sz w:val="24"/>
                <w:szCs w:val="24"/>
                <w:lang w:val="en-US" w:eastAsia="en-US" w:bidi="ar-SA"/>
              </w:rPr>
            </w:r>
            <w:r/>
          </w:p>
        </w:tc>
        <w:tc>
          <w:tcPr>
            <w:tcW w:w="1290" w:type="dxa"/>
            <w:vAlign w:val="center"/>
            <w:textDirection w:val="lrTb"/>
            <w:noWrap w:val="false"/>
          </w:tcPr>
          <w:p>
            <w:pPr>
              <w:ind w:firstLine="235"/>
              <w:spacing w:before="0" w:beforeAutospacing="0" w:after="200" w:afterAutospacing="0" w:line="440" w:lineRule="exact"/>
              <w:rPr>
                <w:rFonts w:hint="eastAsia" w:ascii="仿宋" w:hAnsi="仿宋" w:eastAsia="仿宋" w:cs="仿宋"/>
                <w:color w:val="auto"/>
                <w:sz w:val="24"/>
                <w:szCs w:val="24"/>
                <w:lang w:val="en-US" w:eastAsia="en-US" w:bidi="ar-SA"/>
              </w:rPr>
            </w:pPr>
            <w:r>
              <w:rPr>
                <w:rFonts w:hint="eastAsia" w:ascii="仿宋" w:hAnsi="仿宋" w:eastAsia="仿宋" w:cs="仿宋"/>
                <w:color w:val="auto"/>
                <w:sz w:val="24"/>
                <w:szCs w:val="24"/>
                <w:lang w:val="en-US" w:eastAsia="en-US" w:bidi="ar-SA"/>
              </w:rPr>
            </w:r>
            <w:r/>
          </w:p>
        </w:tc>
      </w:tr>
      <w:tr>
        <w:trPr>
          <w:trHeight w:val="641"/>
        </w:trPr>
        <w:tc>
          <w:tcPr>
            <w:tcW w:w="1105" w:type="dxa"/>
            <w:vAlign w:val="center"/>
            <w:textDirection w:val="lrTb"/>
            <w:noWrap w:val="false"/>
          </w:tcPr>
          <w:p>
            <w:pPr>
              <w:ind w:firstLine="235"/>
              <w:spacing w:before="0" w:beforeAutospacing="0" w:after="200" w:afterAutospacing="0" w:line="440" w:lineRule="exact"/>
              <w:rPr>
                <w:rFonts w:hint="eastAsia" w:ascii="仿宋" w:hAnsi="仿宋" w:eastAsia="仿宋" w:cs="仿宋"/>
                <w:color w:val="auto"/>
                <w:sz w:val="24"/>
                <w:szCs w:val="24"/>
                <w:lang w:val="en-US" w:eastAsia="en-US" w:bidi="ar-SA"/>
              </w:rPr>
            </w:pPr>
            <w:r>
              <w:rPr>
                <w:rFonts w:hint="eastAsia" w:ascii="仿宋" w:hAnsi="仿宋" w:eastAsia="仿宋" w:cs="仿宋"/>
                <w:color w:val="auto"/>
                <w:sz w:val="24"/>
                <w:szCs w:val="24"/>
                <w:lang w:val="en-US" w:eastAsia="en-US" w:bidi="ar-SA"/>
              </w:rPr>
              <w:t xml:space="preserve">2</w:t>
            </w:r>
            <w:r/>
          </w:p>
        </w:tc>
        <w:tc>
          <w:tcPr>
            <w:tcW w:w="2696" w:type="dxa"/>
            <w:vAlign w:val="center"/>
            <w:textDirection w:val="lrTb"/>
            <w:noWrap w:val="false"/>
          </w:tcPr>
          <w:p>
            <w:pPr>
              <w:ind w:firstLine="235"/>
              <w:spacing w:before="0" w:beforeAutospacing="0" w:after="200" w:afterAutospacing="0" w:line="440" w:lineRule="exact"/>
              <w:rPr>
                <w:rFonts w:hint="eastAsia" w:ascii="仿宋" w:hAnsi="仿宋" w:eastAsia="仿宋" w:cs="仿宋"/>
                <w:color w:val="auto"/>
                <w:sz w:val="24"/>
                <w:szCs w:val="24"/>
                <w:lang w:val="en-US" w:eastAsia="en-US" w:bidi="ar-SA"/>
              </w:rPr>
            </w:pPr>
            <w:r>
              <w:rPr>
                <w:rFonts w:hint="eastAsia" w:ascii="仿宋" w:hAnsi="仿宋" w:eastAsia="仿宋" w:cs="仿宋"/>
                <w:color w:val="auto"/>
                <w:sz w:val="24"/>
                <w:szCs w:val="24"/>
                <w:lang w:val="en-US" w:eastAsia="en-US" w:bidi="ar-SA"/>
              </w:rPr>
            </w:r>
            <w:r/>
          </w:p>
        </w:tc>
        <w:tc>
          <w:tcPr>
            <w:tcW w:w="2284" w:type="dxa"/>
            <w:vAlign w:val="center"/>
            <w:textDirection w:val="lrTb"/>
            <w:noWrap w:val="false"/>
          </w:tcPr>
          <w:p>
            <w:pPr>
              <w:ind w:firstLine="235"/>
              <w:spacing w:before="0" w:beforeAutospacing="0" w:after="200" w:afterAutospacing="0" w:line="440" w:lineRule="exact"/>
              <w:rPr>
                <w:rFonts w:hint="eastAsia" w:ascii="仿宋" w:hAnsi="仿宋" w:eastAsia="仿宋" w:cs="仿宋"/>
                <w:color w:val="auto"/>
                <w:sz w:val="24"/>
                <w:szCs w:val="24"/>
                <w:lang w:val="en-US" w:eastAsia="en-US" w:bidi="ar-SA"/>
              </w:rPr>
            </w:pPr>
            <w:r>
              <w:rPr>
                <w:rFonts w:hint="eastAsia" w:ascii="仿宋" w:hAnsi="仿宋" w:eastAsia="仿宋" w:cs="仿宋"/>
                <w:color w:val="auto"/>
                <w:sz w:val="24"/>
                <w:szCs w:val="24"/>
                <w:lang w:val="en-US" w:eastAsia="en-US" w:bidi="ar-SA"/>
              </w:rPr>
            </w:r>
            <w:r/>
          </w:p>
        </w:tc>
        <w:tc>
          <w:tcPr>
            <w:tcW w:w="1906" w:type="dxa"/>
            <w:vAlign w:val="center"/>
            <w:textDirection w:val="lrTb"/>
            <w:noWrap w:val="false"/>
          </w:tcPr>
          <w:p>
            <w:pPr>
              <w:ind w:firstLine="235"/>
              <w:spacing w:before="0" w:beforeAutospacing="0" w:after="200" w:afterAutospacing="0" w:line="440" w:lineRule="exact"/>
              <w:rPr>
                <w:rFonts w:hint="eastAsia" w:ascii="仿宋" w:hAnsi="仿宋" w:eastAsia="仿宋" w:cs="仿宋"/>
                <w:color w:val="auto"/>
                <w:sz w:val="24"/>
                <w:szCs w:val="24"/>
                <w:lang w:val="en-US" w:eastAsia="en-US" w:bidi="ar-SA"/>
              </w:rPr>
            </w:pPr>
            <w:r>
              <w:rPr>
                <w:rFonts w:hint="eastAsia" w:ascii="仿宋" w:hAnsi="仿宋" w:eastAsia="仿宋" w:cs="仿宋"/>
                <w:color w:val="auto"/>
                <w:sz w:val="24"/>
                <w:szCs w:val="24"/>
                <w:lang w:val="en-US" w:eastAsia="en-US" w:bidi="ar-SA"/>
              </w:rPr>
            </w:r>
            <w:r/>
          </w:p>
        </w:tc>
        <w:tc>
          <w:tcPr>
            <w:tcW w:w="1290" w:type="dxa"/>
            <w:vAlign w:val="center"/>
            <w:textDirection w:val="lrTb"/>
            <w:noWrap w:val="false"/>
          </w:tcPr>
          <w:p>
            <w:pPr>
              <w:ind w:firstLine="235"/>
              <w:spacing w:before="0" w:beforeAutospacing="0" w:after="200" w:afterAutospacing="0" w:line="440" w:lineRule="exact"/>
              <w:rPr>
                <w:rFonts w:hint="eastAsia" w:ascii="仿宋" w:hAnsi="仿宋" w:eastAsia="仿宋" w:cs="仿宋"/>
                <w:color w:val="auto"/>
                <w:sz w:val="24"/>
                <w:szCs w:val="24"/>
                <w:lang w:val="en-US" w:eastAsia="en-US" w:bidi="ar-SA"/>
              </w:rPr>
            </w:pPr>
            <w:r>
              <w:rPr>
                <w:rFonts w:hint="eastAsia" w:ascii="仿宋" w:hAnsi="仿宋" w:eastAsia="仿宋" w:cs="仿宋"/>
                <w:color w:val="auto"/>
                <w:sz w:val="24"/>
                <w:szCs w:val="24"/>
                <w:lang w:val="en-US" w:eastAsia="en-US" w:bidi="ar-SA"/>
              </w:rPr>
            </w:r>
            <w:r/>
          </w:p>
        </w:tc>
      </w:tr>
      <w:tr>
        <w:trPr>
          <w:trHeight w:val="641"/>
        </w:trPr>
        <w:tc>
          <w:tcPr>
            <w:tcW w:w="1105" w:type="dxa"/>
            <w:vAlign w:val="center"/>
            <w:textDirection w:val="lrTb"/>
            <w:noWrap w:val="false"/>
          </w:tcPr>
          <w:p>
            <w:pPr>
              <w:ind w:firstLine="235"/>
              <w:spacing w:before="0" w:beforeAutospacing="0" w:after="200" w:afterAutospacing="0" w:line="440" w:lineRule="exact"/>
              <w:rPr>
                <w:rFonts w:hint="eastAsia" w:ascii="仿宋" w:hAnsi="仿宋" w:eastAsia="仿宋" w:cs="仿宋"/>
                <w:color w:val="auto"/>
                <w:sz w:val="24"/>
                <w:szCs w:val="24"/>
                <w:lang w:val="en-US" w:eastAsia="en-US" w:bidi="ar-SA"/>
              </w:rPr>
            </w:pPr>
            <w:r>
              <w:rPr>
                <w:rFonts w:hint="eastAsia" w:ascii="仿宋" w:hAnsi="仿宋" w:eastAsia="仿宋" w:cs="仿宋"/>
                <w:color w:val="auto"/>
                <w:sz w:val="24"/>
                <w:szCs w:val="24"/>
                <w:lang w:val="en-US" w:eastAsia="en-US" w:bidi="ar-SA"/>
              </w:rPr>
              <w:t xml:space="preserve">……</w:t>
            </w:r>
            <w:r/>
          </w:p>
        </w:tc>
        <w:tc>
          <w:tcPr>
            <w:tcW w:w="2696" w:type="dxa"/>
            <w:vAlign w:val="center"/>
            <w:textDirection w:val="lrTb"/>
            <w:noWrap w:val="false"/>
          </w:tcPr>
          <w:p>
            <w:pPr>
              <w:ind w:firstLine="235"/>
              <w:spacing w:before="0" w:beforeAutospacing="0" w:after="200" w:afterAutospacing="0" w:line="440" w:lineRule="exact"/>
              <w:rPr>
                <w:rFonts w:hint="eastAsia" w:ascii="仿宋" w:hAnsi="仿宋" w:eastAsia="仿宋" w:cs="仿宋"/>
                <w:color w:val="auto"/>
                <w:sz w:val="24"/>
                <w:szCs w:val="24"/>
                <w:lang w:val="en-US" w:eastAsia="en-US" w:bidi="ar-SA"/>
              </w:rPr>
            </w:pPr>
            <w:r>
              <w:rPr>
                <w:rFonts w:hint="eastAsia" w:ascii="仿宋" w:hAnsi="仿宋" w:eastAsia="仿宋" w:cs="仿宋"/>
                <w:color w:val="auto"/>
                <w:sz w:val="24"/>
                <w:szCs w:val="24"/>
                <w:lang w:val="en-US" w:eastAsia="en-US" w:bidi="ar-SA"/>
              </w:rPr>
              <w:t xml:space="preserve">……</w:t>
            </w:r>
            <w:r/>
          </w:p>
        </w:tc>
        <w:tc>
          <w:tcPr>
            <w:tcW w:w="2284" w:type="dxa"/>
            <w:vAlign w:val="center"/>
            <w:textDirection w:val="lrTb"/>
            <w:noWrap w:val="false"/>
          </w:tcPr>
          <w:p>
            <w:pPr>
              <w:ind w:firstLine="235"/>
              <w:spacing w:before="0" w:beforeAutospacing="0" w:after="200" w:afterAutospacing="0" w:line="440" w:lineRule="exact"/>
              <w:rPr>
                <w:rFonts w:hint="eastAsia" w:ascii="仿宋" w:hAnsi="仿宋" w:eastAsia="仿宋" w:cs="仿宋"/>
                <w:color w:val="auto"/>
                <w:sz w:val="24"/>
                <w:szCs w:val="24"/>
                <w:lang w:val="en-US" w:eastAsia="en-US" w:bidi="ar-SA"/>
              </w:rPr>
            </w:pPr>
            <w:r>
              <w:rPr>
                <w:rFonts w:hint="eastAsia" w:ascii="仿宋" w:hAnsi="仿宋" w:eastAsia="仿宋" w:cs="仿宋"/>
                <w:color w:val="auto"/>
                <w:sz w:val="24"/>
                <w:szCs w:val="24"/>
                <w:lang w:val="en-US" w:eastAsia="en-US" w:bidi="ar-SA"/>
              </w:rPr>
            </w:r>
            <w:r/>
          </w:p>
        </w:tc>
        <w:tc>
          <w:tcPr>
            <w:tcW w:w="1906" w:type="dxa"/>
            <w:vAlign w:val="center"/>
            <w:textDirection w:val="lrTb"/>
            <w:noWrap w:val="false"/>
          </w:tcPr>
          <w:p>
            <w:pPr>
              <w:ind w:firstLine="235"/>
              <w:spacing w:before="0" w:beforeAutospacing="0" w:after="200" w:afterAutospacing="0" w:line="440" w:lineRule="exact"/>
              <w:rPr>
                <w:rFonts w:hint="eastAsia" w:ascii="仿宋" w:hAnsi="仿宋" w:eastAsia="仿宋" w:cs="仿宋"/>
                <w:color w:val="auto"/>
                <w:sz w:val="24"/>
                <w:szCs w:val="24"/>
                <w:lang w:val="en-US" w:eastAsia="en-US" w:bidi="ar-SA"/>
              </w:rPr>
            </w:pPr>
            <w:r>
              <w:rPr>
                <w:rFonts w:hint="eastAsia" w:ascii="仿宋" w:hAnsi="仿宋" w:eastAsia="仿宋" w:cs="仿宋"/>
                <w:color w:val="auto"/>
                <w:sz w:val="24"/>
                <w:szCs w:val="24"/>
                <w:lang w:val="en-US" w:eastAsia="en-US" w:bidi="ar-SA"/>
              </w:rPr>
            </w:r>
            <w:r/>
          </w:p>
        </w:tc>
        <w:tc>
          <w:tcPr>
            <w:tcW w:w="1290" w:type="dxa"/>
            <w:vAlign w:val="center"/>
            <w:textDirection w:val="lrTb"/>
            <w:noWrap w:val="false"/>
          </w:tcPr>
          <w:p>
            <w:pPr>
              <w:ind w:firstLine="235"/>
              <w:spacing w:before="0" w:beforeAutospacing="0" w:after="200" w:afterAutospacing="0" w:line="440" w:lineRule="exact"/>
              <w:rPr>
                <w:rFonts w:hint="eastAsia" w:ascii="仿宋" w:hAnsi="仿宋" w:eastAsia="仿宋" w:cs="仿宋"/>
                <w:color w:val="auto"/>
                <w:sz w:val="24"/>
                <w:szCs w:val="24"/>
                <w:lang w:val="en-US" w:eastAsia="en-US" w:bidi="ar-SA"/>
              </w:rPr>
            </w:pPr>
            <w:r>
              <w:rPr>
                <w:rFonts w:hint="eastAsia" w:ascii="仿宋" w:hAnsi="仿宋" w:eastAsia="仿宋" w:cs="仿宋"/>
                <w:color w:val="auto"/>
                <w:sz w:val="24"/>
                <w:szCs w:val="24"/>
                <w:lang w:val="en-US" w:eastAsia="en-US" w:bidi="ar-SA"/>
              </w:rPr>
            </w:r>
            <w:r/>
          </w:p>
        </w:tc>
      </w:tr>
      <w:tr>
        <w:trPr>
          <w:trHeight w:val="641"/>
        </w:trPr>
        <w:tc>
          <w:tcPr>
            <w:gridSpan w:val="3"/>
            <w:tcW w:w="6085" w:type="dxa"/>
            <w:vAlign w:val="center"/>
            <w:textDirection w:val="lrTb"/>
            <w:noWrap w:val="false"/>
          </w:tcPr>
          <w:p>
            <w:pPr>
              <w:jc w:val="center"/>
              <w:spacing w:before="0" w:beforeAutospacing="0" w:after="200" w:afterAutospacing="0" w:line="440" w:lineRule="exact"/>
              <w:rPr>
                <w:rFonts w:hint="eastAsia" w:ascii="仿宋" w:hAnsi="仿宋" w:eastAsia="仿宋" w:cs="仿宋"/>
                <w:color w:val="auto"/>
                <w:sz w:val="24"/>
                <w:szCs w:val="24"/>
                <w:lang w:val="en-US" w:eastAsia="en-US" w:bidi="ar-SA"/>
              </w:rPr>
            </w:pPr>
            <w:r>
              <w:rPr>
                <w:rFonts w:hint="eastAsia" w:ascii="仿宋" w:hAnsi="仿宋" w:eastAsia="仿宋" w:cs="仿宋"/>
                <w:b/>
                <w:bCs/>
                <w:color w:val="auto"/>
                <w:sz w:val="24"/>
                <w:szCs w:val="24"/>
                <w:lang w:val="en-US" w:eastAsia="en-US" w:bidi="ar-SA"/>
              </w:rPr>
              <w:t xml:space="preserve">费用合计</w:t>
            </w:r>
            <w:r/>
          </w:p>
        </w:tc>
        <w:tc>
          <w:tcPr>
            <w:tcW w:w="1906" w:type="dxa"/>
            <w:vAlign w:val="center"/>
            <w:textDirection w:val="lrTb"/>
            <w:noWrap w:val="false"/>
          </w:tcPr>
          <w:p>
            <w:pPr>
              <w:jc w:val="center"/>
              <w:spacing w:before="0" w:beforeAutospacing="0" w:after="200" w:afterAutospacing="0" w:line="440" w:lineRule="exact"/>
              <w:rPr>
                <w:rFonts w:hint="eastAsia" w:ascii="仿宋" w:hAnsi="仿宋" w:eastAsia="仿宋" w:cs="仿宋"/>
                <w:b/>
                <w:bCs/>
                <w:color w:val="auto"/>
                <w:sz w:val="24"/>
                <w:szCs w:val="24"/>
                <w:lang w:val="en-US" w:eastAsia="en-US" w:bidi="ar-SA"/>
              </w:rPr>
            </w:pPr>
            <w:r>
              <w:rPr>
                <w:rFonts w:hint="eastAsia" w:ascii="仿宋" w:hAnsi="仿宋" w:eastAsia="仿宋" w:cs="仿宋"/>
                <w:b/>
                <w:bCs/>
                <w:color w:val="auto"/>
                <w:sz w:val="24"/>
                <w:szCs w:val="24"/>
                <w:lang w:val="en-US" w:eastAsia="en-US" w:bidi="ar-SA"/>
              </w:rPr>
            </w:r>
            <w:r/>
          </w:p>
        </w:tc>
        <w:tc>
          <w:tcPr>
            <w:tcW w:w="1290" w:type="dxa"/>
            <w:vAlign w:val="top"/>
            <w:textDirection w:val="lrTb"/>
            <w:noWrap w:val="false"/>
          </w:tcPr>
          <w:p>
            <w:pPr>
              <w:ind w:firstLine="235"/>
              <w:spacing w:before="0" w:beforeAutospacing="0" w:after="200" w:afterAutospacing="0" w:line="440" w:lineRule="exact"/>
              <w:rPr>
                <w:rFonts w:hint="eastAsia" w:ascii="仿宋" w:hAnsi="仿宋" w:eastAsia="仿宋" w:cs="仿宋"/>
                <w:color w:val="auto"/>
                <w:sz w:val="24"/>
                <w:szCs w:val="24"/>
                <w:lang w:val="en-US" w:eastAsia="en-US" w:bidi="ar-SA"/>
              </w:rPr>
            </w:pPr>
            <w:r>
              <w:rPr>
                <w:rFonts w:hint="eastAsia" w:ascii="仿宋" w:hAnsi="仿宋" w:eastAsia="仿宋" w:cs="仿宋"/>
                <w:color w:val="auto"/>
                <w:sz w:val="24"/>
                <w:szCs w:val="24"/>
                <w:lang w:val="en-US" w:eastAsia="en-US" w:bidi="ar-SA"/>
              </w:rPr>
            </w:r>
            <w:r/>
          </w:p>
        </w:tc>
      </w:tr>
    </w:tbl>
    <w:p>
      <w:pPr>
        <w:jc w:val="left"/>
        <w:spacing w:before="0" w:beforeAutospacing="0" w:after="200" w:afterAutospacing="0" w:line="480" w:lineRule="exact"/>
        <w:rPr>
          <w:rFonts w:hint="eastAsia" w:ascii="仿宋" w:hAnsi="仿宋" w:eastAsia="仿宋" w:cs="仿宋"/>
          <w:b w:val="0"/>
          <w:bCs w:val="0"/>
          <w:color w:val="auto"/>
          <w:sz w:val="24"/>
          <w:szCs w:val="24"/>
          <w:lang w:val="en-US" w:eastAsia="en-US" w:bidi="ar-SA"/>
        </w:rPr>
      </w:pPr>
      <w:r>
        <w:rPr>
          <w:rFonts w:hint="eastAsia" w:ascii="仿宋" w:hAnsi="仿宋" w:eastAsia="仿宋" w:cs="仿宋"/>
          <w:b w:val="0"/>
          <w:bCs w:val="0"/>
          <w:color w:val="auto"/>
          <w:sz w:val="24"/>
          <w:szCs w:val="24"/>
          <w:lang w:val="en-US" w:eastAsia="en-US" w:bidi="ar-SA"/>
        </w:rPr>
        <w:t xml:space="preserve">投标人（</w:t>
      </w:r>
      <w:r>
        <w:rPr>
          <w:rFonts w:hint="eastAsia" w:ascii="仿宋" w:hAnsi="仿宋" w:eastAsia="仿宋" w:cs="仿宋"/>
          <w:b w:val="0"/>
          <w:bCs w:val="0"/>
          <w:color w:val="auto"/>
          <w:sz w:val="24"/>
          <w:szCs w:val="24"/>
          <w:lang w:val="en-US" w:eastAsia="zh-CN" w:bidi="ar-SA"/>
        </w:rPr>
        <w:t xml:space="preserve">电子签章</w:t>
      </w:r>
      <w:r>
        <w:rPr>
          <w:rFonts w:hint="eastAsia" w:ascii="仿宋" w:hAnsi="仿宋" w:eastAsia="仿宋" w:cs="仿宋"/>
          <w:b w:val="0"/>
          <w:bCs w:val="0"/>
          <w:color w:val="auto"/>
          <w:sz w:val="24"/>
          <w:szCs w:val="24"/>
          <w:lang w:val="en-US" w:eastAsia="en-US" w:bidi="ar-SA"/>
        </w:rPr>
        <w:t xml:space="preserve">）：</w:t>
      </w:r>
      <w:r/>
    </w:p>
    <w:p>
      <w:pPr>
        <w:spacing w:before="0" w:beforeAutospacing="0" w:after="200" w:afterAutospacing="0" w:line="480" w:lineRule="exact"/>
        <w:rPr>
          <w:rFonts w:hint="eastAsia" w:ascii="仿宋" w:hAnsi="仿宋" w:eastAsia="仿宋" w:cs="仿宋"/>
          <w:color w:val="auto"/>
          <w:sz w:val="24"/>
          <w:szCs w:val="24"/>
          <w:lang w:val="en-US" w:eastAsia="en-US" w:bidi="ar-SA"/>
        </w:rPr>
      </w:pPr>
      <w:r>
        <w:rPr>
          <w:rFonts w:hint="eastAsia" w:ascii="仿宋" w:hAnsi="仿宋" w:eastAsia="仿宋" w:cs="仿宋"/>
          <w:b w:val="0"/>
          <w:bCs w:val="0"/>
          <w:color w:val="auto"/>
          <w:sz w:val="24"/>
          <w:szCs w:val="24"/>
          <w:lang w:val="en-US" w:eastAsia="en-US" w:bidi="ar-SA"/>
        </w:rPr>
        <w:t xml:space="preserve">日          期：</w:t>
      </w:r>
      <w:r>
        <w:rPr>
          <w:rFonts w:hint="eastAsia" w:ascii="仿宋" w:hAnsi="仿宋" w:eastAsia="仿宋" w:cs="仿宋"/>
          <w:b/>
          <w:bCs/>
          <w:color w:val="auto"/>
          <w:sz w:val="24"/>
          <w:szCs w:val="24"/>
          <w:lang w:val="en-US" w:eastAsia="en-US" w:bidi="ar-SA"/>
        </w:rPr>
        <w:t xml:space="preserve">  </w:t>
      </w:r>
      <w:r/>
    </w:p>
    <w:p>
      <w:pPr>
        <w:spacing w:before="0" w:beforeAutospacing="0" w:after="200" w:afterAutospacing="0" w:line="480" w:lineRule="exact"/>
        <w:rPr>
          <w:rFonts w:hint="eastAsia" w:ascii="仿宋" w:hAnsi="仿宋" w:eastAsia="仿宋" w:cs="仿宋"/>
          <w:color w:val="auto"/>
          <w:sz w:val="24"/>
          <w:szCs w:val="24"/>
          <w:lang w:val="en-US" w:eastAsia="en-US" w:bidi="ar-SA"/>
        </w:rPr>
      </w:pPr>
      <w:r>
        <w:rPr>
          <w:rFonts w:hint="eastAsia" w:ascii="仿宋" w:hAnsi="仿宋" w:eastAsia="仿宋" w:cs="仿宋"/>
          <w:color w:val="auto"/>
          <w:sz w:val="24"/>
          <w:szCs w:val="24"/>
          <w:lang w:val="en-US" w:eastAsia="en-US" w:bidi="ar-SA"/>
        </w:rPr>
        <w:t xml:space="preserve">注：①如果不提供详细分项报价的，将视为没有实质性响应招标文件。</w:t>
      </w:r>
      <w:r/>
    </w:p>
    <w:p>
      <w:pPr>
        <w:ind w:firstLine="480"/>
        <w:spacing w:before="0" w:beforeAutospacing="0" w:after="200" w:afterAutospacing="0" w:line="480" w:lineRule="exact"/>
        <w:rPr>
          <w:rFonts w:hint="eastAsia" w:ascii="仿宋" w:hAnsi="仿宋" w:eastAsia="仿宋" w:cs="仿宋"/>
          <w:color w:val="auto"/>
          <w:sz w:val="24"/>
          <w:szCs w:val="24"/>
          <w:lang w:val="en-US" w:eastAsia="en-US" w:bidi="ar-SA"/>
        </w:rPr>
      </w:pPr>
      <w:r>
        <w:rPr>
          <w:rFonts w:hint="eastAsia" w:ascii="仿宋" w:hAnsi="仿宋" w:eastAsia="仿宋" w:cs="仿宋"/>
          <w:color w:val="auto"/>
          <w:sz w:val="24"/>
          <w:szCs w:val="24"/>
          <w:lang w:val="en-US" w:eastAsia="en-US" w:bidi="ar-SA"/>
        </w:rPr>
        <w:t xml:space="preserve">②投标人对以上数据的真实性负责。</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w:t>
      </w:r>
      <w:r/>
    </w:p>
    <w:p>
      <w:pPr>
        <w:spacing w:before="0" w:beforeAutospacing="0" w:after="200" w:afterAutospacing="0" w:line="259" w:lineRule="auto"/>
        <w:rPr>
          <w:rFonts w:hint="eastAsia" w:ascii="仿宋" w:hAnsi="仿宋" w:eastAsia="仿宋" w:cs="仿宋"/>
          <w:color w:val="auto"/>
          <w:sz w:val="24"/>
          <w:szCs w:val="24"/>
          <w:lang w:val="zh-CN" w:eastAsia="en-US" w:bidi="ar-SA"/>
        </w:rPr>
        <w:outlineLvl w:val="0"/>
      </w:pPr>
      <w:r>
        <w:rPr>
          <w:rFonts w:hint="eastAsia" w:ascii="仿宋" w:hAnsi="仿宋" w:eastAsia="仿宋" w:cs="仿宋"/>
          <w:color w:val="auto"/>
          <w:sz w:val="24"/>
          <w:szCs w:val="24"/>
          <w:lang w:val="zh-CN" w:eastAsia="en-US" w:bidi="ar-SA"/>
        </w:rPr>
        <w:t xml:space="preserve">1.《政府采购促进中小企业发展管理办法》（财库〔2020〕46号）和《工业和信息化部、国家统计局、国家发展和改革委员会、财政部关于印发中小企业划型标准规定的通知》（工信部联企业[2011]300号）的规定为准。</w:t>
      </w:r>
      <w:r/>
    </w:p>
    <w:p>
      <w:pPr>
        <w:spacing w:before="0" w:beforeAutospacing="0" w:after="200" w:afterAutospacing="0" w:line="259" w:lineRule="auto"/>
        <w:rPr>
          <w:rFonts w:hint="eastAsia" w:ascii="仿宋" w:hAnsi="仿宋" w:eastAsia="仿宋" w:cs="仿宋"/>
          <w:color w:val="auto"/>
          <w:sz w:val="24"/>
          <w:szCs w:val="24"/>
          <w:lang w:val="zh-CN" w:eastAsia="en-US" w:bidi="ar-SA"/>
        </w:rPr>
        <w:outlineLvl w:val="0"/>
      </w:pPr>
      <w:r>
        <w:rPr>
          <w:rFonts w:hint="eastAsia" w:ascii="仿宋" w:hAnsi="仿宋" w:eastAsia="仿宋" w:cs="仿宋"/>
          <w:color w:val="auto"/>
          <w:sz w:val="24"/>
          <w:szCs w:val="24"/>
          <w:lang w:val="zh-CN" w:eastAsia="en-US" w:bidi="ar-SA"/>
        </w:rPr>
        <w:t xml:space="preserve">2.享受政府采购支持政策的残疾人福利性单位应满足的条件以《关于促进残疾人就业政府采购政策的通知》（财库〔2017〕141号）的规定为准。</w:t>
      </w:r>
      <w:r/>
    </w:p>
    <w:p>
      <w:pPr>
        <w:spacing w:before="0" w:beforeAutospacing="0" w:after="200" w:afterAutospacing="0" w:line="259" w:lineRule="auto"/>
        <w:rPr>
          <w:rFonts w:hint="eastAsia" w:ascii="仿宋" w:hAnsi="仿宋" w:eastAsia="仿宋" w:cs="仿宋"/>
          <w:color w:val="auto"/>
          <w:sz w:val="24"/>
          <w:szCs w:val="24"/>
          <w:lang w:val="zh-CN" w:eastAsia="en-US" w:bidi="ar-SA"/>
        </w:rPr>
        <w:outlineLvl w:val="0"/>
      </w:pPr>
      <w:r>
        <w:rPr>
          <w:rFonts w:hint="eastAsia" w:ascii="仿宋" w:hAnsi="仿宋" w:eastAsia="仿宋" w:cs="仿宋"/>
          <w:color w:val="auto"/>
          <w:sz w:val="24"/>
          <w:szCs w:val="24"/>
          <w:lang w:val="zh-CN" w:eastAsia="en-US" w:bidi="ar-SA"/>
        </w:rPr>
        <w:t xml:space="preserve">3.监狱企业具体以《财政部 司法部关于政府采购支持监狱企业发展有关问题的通知》（财库〔2014〕68号）的规定为准。</w:t>
      </w:r>
      <w:r/>
    </w:p>
    <w:p>
      <w:pPr>
        <w:spacing w:before="0" w:beforeAutospacing="0" w:after="200" w:afterAutospacing="0" w:line="259" w:lineRule="auto"/>
        <w:rPr>
          <w:rFonts w:hint="eastAsia" w:ascii="仿宋" w:hAnsi="仿宋" w:eastAsia="仿宋" w:cs="仿宋"/>
          <w:color w:val="auto"/>
          <w:sz w:val="24"/>
          <w:szCs w:val="24"/>
          <w:lang w:val="zh-CN" w:eastAsia="en-US" w:bidi="ar-SA"/>
        </w:rPr>
        <w:outlineLvl w:val="0"/>
      </w:pPr>
      <w:r>
        <w:rPr>
          <w:rFonts w:hint="eastAsia" w:ascii="仿宋" w:hAnsi="仿宋" w:eastAsia="仿宋" w:cs="仿宋"/>
          <w:color w:val="auto"/>
          <w:sz w:val="24"/>
          <w:szCs w:val="24"/>
          <w:lang w:val="zh-CN" w:eastAsia="en-US" w:bidi="ar-SA"/>
        </w:rPr>
        <w:t xml:space="preserve">4.货物制造（服务承接）企业为“微型”或“小型”、残疾人福利性单位、监狱企业，给予10%的价格扣除，用扣除后的价格参与评审。</w:t>
      </w:r>
      <w:r/>
    </w:p>
    <w:p>
      <w:pPr>
        <w:ind w:firstLine="482"/>
        <w:spacing w:line="360" w:lineRule="auto"/>
        <w:rPr>
          <w:rFonts w:hint="eastAsia" w:ascii="仿宋" w:hAnsi="仿宋" w:eastAsia="仿宋" w:cs="仿宋"/>
          <w:b/>
          <w:iCs/>
          <w:color w:val="auto"/>
          <w:sz w:val="24"/>
          <w:highlight w:val="none"/>
        </w:rPr>
      </w:pPr>
      <w:r>
        <w:rPr>
          <w:rFonts w:hint="eastAsia" w:ascii="仿宋" w:hAnsi="仿宋" w:eastAsia="仿宋" w:cs="仿宋"/>
          <w:b/>
          <w:iCs/>
          <w:color w:val="auto"/>
          <w:sz w:val="24"/>
          <w:highlight w:val="none"/>
          <w:lang w:eastAsia="zh-CN"/>
        </w:rPr>
        <w:t xml:space="preserve">徐州三尚工程项目管理有限公司</w:t>
      </w:r>
      <w:r>
        <w:rPr>
          <w:rFonts w:hint="eastAsia" w:ascii="仿宋" w:hAnsi="仿宋" w:eastAsia="仿宋" w:cs="仿宋"/>
          <w:b/>
          <w:iCs/>
          <w:color w:val="auto"/>
          <w:sz w:val="24"/>
          <w:highlight w:val="none"/>
        </w:rPr>
        <w:t xml:space="preserve">有权将以上内容进行公示。</w:t>
      </w:r>
      <w:r/>
    </w:p>
    <w:p>
      <w:pPr>
        <w:pStyle w:val="764"/>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仿宋" w:cs="宋体"/>
          <w:bCs/>
          <w:color w:val="auto"/>
          <w:sz w:val="28"/>
          <w:szCs w:val="28"/>
          <w:highlight w:val="none"/>
        </w:rPr>
      </w:pPr>
      <w:r>
        <w:rPr>
          <w:rFonts w:hint="eastAsia" w:ascii="宋体" w:hAnsi="宋体" w:eastAsia="仿宋" w:cs="宋体"/>
          <w:bCs/>
          <w:color w:val="auto"/>
          <w:sz w:val="28"/>
          <w:szCs w:val="28"/>
          <w:highlight w:val="none"/>
        </w:rPr>
      </w:r>
      <w:r/>
    </w:p>
    <w:p>
      <w:pPr>
        <w:rPr>
          <w:rFonts w:ascii="宋体" w:hAnsi="宋体" w:eastAsia="仿宋" w:cs="宋体"/>
          <w:bCs/>
          <w:color w:val="auto"/>
          <w:sz w:val="28"/>
          <w:szCs w:val="28"/>
          <w:highlight w:val="none"/>
        </w:rPr>
      </w:pPr>
      <w:r>
        <w:rPr>
          <w:rFonts w:ascii="宋体" w:hAnsi="宋体" w:eastAsia="仿宋" w:cs="宋体"/>
          <w:bCs/>
          <w:color w:val="auto"/>
          <w:sz w:val="28"/>
          <w:szCs w:val="28"/>
          <w:highlight w:val="none"/>
        </w:rPr>
        <w:br w:type="page" w:clear="all"/>
      </w:r>
      <w:r/>
    </w:p>
    <w:p>
      <w:pPr>
        <w:jc w:val="cente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5、具备履行合同所必需的设备和专业技术能力的承诺</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高作镇镇区公厕管护、主次干道清扫保洁、游园绿化服务项目</w:t>
      </w:r>
      <w:r/>
    </w:p>
    <w:p>
      <w:pPr>
        <w:jc w:val="left"/>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000000"/>
          <w:sz w:val="24"/>
          <w:lang w:eastAsia="zh-CN"/>
        </w:rPr>
        <w:t xml:space="preserve">JSZC-320324-XZSS-G2025-0002</w:t>
      </w: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我单位郑重声明：我单位具备履行合同（项目名称：</w:t>
      </w:r>
      <w:r>
        <w:rPr>
          <w:rFonts w:hint="eastAsia" w:ascii="仿宋" w:hAnsi="仿宋" w:eastAsia="仿宋" w:cs="仿宋"/>
          <w:color w:val="auto"/>
          <w:sz w:val="24"/>
          <w:highlight w:val="none"/>
          <w:lang w:eastAsia="zh-CN"/>
        </w:rPr>
        <w:t xml:space="preserve">高作镇镇区公厕管护、主次干道清扫保洁、游园绿化服务项目</w:t>
      </w:r>
      <w:r>
        <w:rPr>
          <w:rFonts w:hint="eastAsia" w:ascii="仿宋" w:hAnsi="仿宋" w:eastAsia="仿宋" w:cs="仿宋"/>
          <w:color w:val="auto"/>
          <w:sz w:val="24"/>
          <w:highlight w:val="none"/>
        </w:rPr>
        <w:t xml:space="preserve">，项目编号：</w:t>
      </w:r>
      <w:r>
        <w:rPr>
          <w:rFonts w:hint="eastAsia" w:ascii="仿宋" w:hAnsi="仿宋" w:eastAsia="仿宋" w:cs="仿宋"/>
          <w:color w:val="000000"/>
          <w:sz w:val="24"/>
          <w:lang w:eastAsia="zh-CN"/>
        </w:rPr>
        <w:t xml:space="preserve">JSZC-320324-XZSS-G2025-0002</w:t>
      </w:r>
      <w:r>
        <w:rPr>
          <w:rFonts w:hint="eastAsia" w:ascii="仿宋" w:hAnsi="仿宋" w:eastAsia="仿宋" w:cs="仿宋"/>
          <w:color w:val="auto"/>
          <w:sz w:val="24"/>
          <w:highlight w:val="none"/>
        </w:rPr>
        <w:t xml:space="preserve">）所必需的设备和专业技术能力。</w:t>
      </w:r>
      <w:r/>
    </w:p>
    <w:p>
      <w:pPr>
        <w:ind w:firstLine="480"/>
        <w:jc w:val="left"/>
        <w:spacing w:before="100" w:beforeAutospacing="1" w:after="100" w:afterAutospacing="1"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设备： </w:t>
      </w:r>
      <w:r/>
    </w:p>
    <w:p>
      <w:pPr>
        <w:numPr>
          <w:ilvl w:val="0"/>
          <w:numId w:val="0"/>
        </w:num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u w:val="none"/>
          <w:lang w:val="en-US" w:eastAsia="zh-CN"/>
        </w:rPr>
        <w:t xml:space="preserve">1、</w:t>
      </w:r>
      <w:r>
        <w:rPr>
          <w:rFonts w:hint="eastAsia" w:ascii="仿宋" w:hAnsi="仿宋" w:eastAsia="仿宋" w:cs="仿宋"/>
          <w:color w:val="auto"/>
          <w:sz w:val="24"/>
          <w:highlight w:val="none"/>
          <w:u w:val="single"/>
        </w:rPr>
        <w:t xml:space="preserve">项目负责人与投标人签订的劳动合同</w:t>
      </w:r>
      <w:r>
        <w:rPr>
          <w:rFonts w:hint="eastAsia" w:ascii="仿宋" w:hAnsi="仿宋" w:eastAsia="仿宋" w:cs="仿宋"/>
          <w:color w:val="auto"/>
          <w:sz w:val="24"/>
          <w:highlight w:val="none"/>
        </w:rPr>
        <w:t xml:space="preserve">（证明材料</w:t>
      </w:r>
      <w:r>
        <w:rPr>
          <w:rFonts w:hint="eastAsia" w:ascii="仿宋" w:hAnsi="仿宋" w:eastAsia="仿宋" w:cs="仿宋"/>
          <w:color w:val="auto"/>
          <w:sz w:val="24"/>
          <w:highlight w:val="none"/>
          <w:lang w:eastAsia="zh-CN"/>
        </w:rPr>
        <w:t xml:space="preserve">扫描件</w:t>
      </w:r>
      <w:r>
        <w:rPr>
          <w:rFonts w:hint="eastAsia" w:ascii="仿宋" w:hAnsi="仿宋" w:eastAsia="仿宋" w:cs="仿宋"/>
          <w:color w:val="auto"/>
          <w:sz w:val="24"/>
          <w:highlight w:val="none"/>
        </w:rPr>
        <w:t xml:space="preserve">附后）</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（证明材料</w:t>
      </w:r>
      <w:r>
        <w:rPr>
          <w:rFonts w:hint="eastAsia" w:ascii="仿宋" w:hAnsi="仿宋" w:eastAsia="仿宋" w:cs="仿宋"/>
          <w:color w:val="auto"/>
          <w:sz w:val="24"/>
          <w:highlight w:val="none"/>
          <w:lang w:eastAsia="zh-CN"/>
        </w:rPr>
        <w:t xml:space="preserve">扫描件</w:t>
      </w:r>
      <w:r>
        <w:rPr>
          <w:rFonts w:hint="eastAsia" w:ascii="仿宋" w:hAnsi="仿宋" w:eastAsia="仿宋" w:cs="仿宋"/>
          <w:color w:val="auto"/>
          <w:sz w:val="24"/>
          <w:highlight w:val="none"/>
        </w:rPr>
        <w:t xml:space="preserve">附后）</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（证明材料</w:t>
      </w:r>
      <w:r>
        <w:rPr>
          <w:rFonts w:hint="eastAsia" w:ascii="仿宋" w:hAnsi="仿宋" w:eastAsia="仿宋" w:cs="仿宋"/>
          <w:color w:val="auto"/>
          <w:sz w:val="24"/>
          <w:highlight w:val="none"/>
          <w:lang w:eastAsia="zh-CN"/>
        </w:rPr>
        <w:t xml:space="preserve">扫描件</w:t>
      </w:r>
      <w:r>
        <w:rPr>
          <w:rFonts w:hint="eastAsia" w:ascii="仿宋" w:hAnsi="仿宋" w:eastAsia="仿宋" w:cs="仿宋"/>
          <w:color w:val="auto"/>
          <w:sz w:val="24"/>
          <w:highlight w:val="none"/>
        </w:rPr>
        <w:t xml:space="preserve">附后）</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专业技术能力：</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u w:val="single"/>
          <w:lang w:val="en-US" w:eastAsia="zh-CN"/>
        </w:rPr>
        <w:t xml:space="preserve">环卫</w:t>
      </w:r>
      <w:r>
        <w:rPr>
          <w:rFonts w:hint="eastAsia" w:ascii="仿宋" w:hAnsi="仿宋" w:eastAsia="仿宋" w:cs="仿宋"/>
          <w:color w:val="auto"/>
          <w:sz w:val="24"/>
          <w:highlight w:val="none"/>
          <w:u w:val="single"/>
        </w:rPr>
        <w:t xml:space="preserve">管理设备配置购置合同（含购置全额发票）或租赁合同</w:t>
      </w:r>
      <w:r>
        <w:rPr>
          <w:rFonts w:hint="eastAsia" w:ascii="仿宋" w:hAnsi="仿宋" w:eastAsia="仿宋" w:cs="仿宋"/>
          <w:color w:val="auto"/>
          <w:sz w:val="24"/>
          <w:highlight w:val="none"/>
        </w:rPr>
        <w:t xml:space="preserve">（证明材料</w:t>
      </w:r>
      <w:r>
        <w:rPr>
          <w:rFonts w:hint="eastAsia" w:ascii="仿宋" w:hAnsi="仿宋" w:eastAsia="仿宋" w:cs="仿宋"/>
          <w:color w:val="auto"/>
          <w:sz w:val="24"/>
          <w:highlight w:val="none"/>
          <w:lang w:eastAsia="zh-CN"/>
        </w:rPr>
        <w:t xml:space="preserve">扫描件</w:t>
      </w:r>
      <w:r>
        <w:rPr>
          <w:rFonts w:hint="eastAsia" w:ascii="仿宋" w:hAnsi="仿宋" w:eastAsia="仿宋" w:cs="仿宋"/>
          <w:color w:val="auto"/>
          <w:sz w:val="24"/>
          <w:highlight w:val="none"/>
        </w:rPr>
        <w:t xml:space="preserve">附后）</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w:t>
      </w:r>
      <w:r>
        <w:rPr>
          <w:rFonts w:hint="eastAsia" w:ascii="仿宋" w:hAnsi="仿宋" w:eastAsia="仿宋" w:cs="仿宋"/>
          <w:color w:val="auto"/>
          <w:sz w:val="24"/>
          <w:highlight w:val="none"/>
          <w:lang w:eastAsia="zh-CN"/>
        </w:rPr>
        <w:t xml:space="preserve">扫描件</w:t>
      </w:r>
      <w:r>
        <w:rPr>
          <w:rFonts w:hint="eastAsia" w:ascii="仿宋" w:hAnsi="仿宋" w:eastAsia="仿宋" w:cs="仿宋"/>
          <w:color w:val="auto"/>
          <w:sz w:val="24"/>
          <w:highlight w:val="none"/>
        </w:rPr>
        <w:t xml:space="preserve">附后）</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w:t>
      </w:r>
      <w:r>
        <w:rPr>
          <w:rFonts w:hint="eastAsia" w:ascii="仿宋" w:hAnsi="仿宋" w:eastAsia="仿宋" w:cs="仿宋"/>
          <w:color w:val="auto"/>
          <w:sz w:val="24"/>
          <w:highlight w:val="none"/>
          <w:lang w:eastAsia="zh-CN"/>
        </w:rPr>
        <w:t xml:space="preserve">扫描件</w:t>
      </w:r>
      <w:r>
        <w:rPr>
          <w:rFonts w:hint="eastAsia" w:ascii="仿宋" w:hAnsi="仿宋" w:eastAsia="仿宋" w:cs="仿宋"/>
          <w:color w:val="auto"/>
          <w:sz w:val="24"/>
          <w:highlight w:val="none"/>
        </w:rPr>
        <w:t xml:space="preserve">附后）</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p>
    <w:p>
      <w:pPr>
        <w:pStyle w:val="717"/>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特此声明。</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我单位对上述声明的真实性负责。如有虚假，将依法承担相应责任。</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300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300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           （盖电子签章）</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ind w:firstLine="312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764"/>
        <w:rPr>
          <w:rFonts w:hint="eastAsia" w:ascii="宋体" w:hAnsi="宋体"/>
          <w:bCs/>
          <w:color w:val="auto"/>
          <w:sz w:val="24"/>
          <w:highlight w:val="none"/>
        </w:rPr>
      </w:pPr>
      <w:r>
        <w:rPr>
          <w:rFonts w:hint="eastAsia" w:ascii="宋体" w:hAnsi="宋体"/>
          <w:bCs/>
          <w:color w:val="auto"/>
          <w:sz w:val="24"/>
          <w:highlight w:val="none"/>
          <w:lang w:val="en-US" w:eastAsia="zh-CN"/>
        </w:rPr>
        <w:t xml:space="preserve"> </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参加政府采购活动前3年内在经营活动中没有重大违法记录的书面声明</w:t>
      </w:r>
      <w:r/>
    </w:p>
    <w:p>
      <w:pPr>
        <w:jc w:val="cente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我单位在参加（</w:t>
      </w:r>
      <w:r>
        <w:rPr>
          <w:rFonts w:hint="eastAsia" w:ascii="仿宋" w:hAnsi="仿宋" w:eastAsia="仿宋" w:cs="仿宋"/>
          <w:color w:val="auto"/>
          <w:sz w:val="24"/>
          <w:highlight w:val="none"/>
          <w:lang w:eastAsia="zh-CN"/>
        </w:rPr>
        <w:t xml:space="preserve">高作镇镇区公厕管护、主次干道清扫保洁、游园绿化服务项目</w:t>
      </w:r>
      <w:r>
        <w:rPr>
          <w:rFonts w:hint="eastAsia" w:ascii="仿宋" w:hAnsi="仿宋" w:eastAsia="仿宋" w:cs="仿宋"/>
          <w:color w:val="auto"/>
          <w:sz w:val="24"/>
          <w:highlight w:val="none"/>
        </w:rPr>
        <w:t xml:space="preserve">）项目（项目编号：</w:t>
      </w:r>
      <w:r>
        <w:rPr>
          <w:rFonts w:hint="eastAsia" w:ascii="仿宋" w:hAnsi="仿宋" w:eastAsia="仿宋" w:cs="仿宋"/>
          <w:color w:val="000000"/>
          <w:sz w:val="24"/>
          <w:lang w:eastAsia="zh-CN"/>
        </w:rPr>
        <w:t xml:space="preserve">JSZC-320324-XZSS-G2025-0002</w:t>
      </w:r>
      <w:r>
        <w:rPr>
          <w:rFonts w:hint="eastAsia" w:ascii="仿宋" w:hAnsi="仿宋" w:eastAsia="仿宋" w:cs="仿宋"/>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我单位对上述声明的真实性负责。如有虚假，将依法承担相应责任。</w:t>
      </w:r>
      <w:r/>
    </w:p>
    <w:p>
      <w:pPr>
        <w:ind w:firstLine="600"/>
        <w:jc w:val="lef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36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           （盖电子签章）</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6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6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4"/>
        <w:ind w:left="0" w:firstLine="0"/>
        <w:jc w:val="center"/>
        <w:rPr>
          <w:rFonts w:hint="default" w:ascii="宋体" w:hAnsi="宋体" w:eastAsia="宋体" w:cs="宋体"/>
          <w:color w:val="auto"/>
          <w:sz w:val="30"/>
          <w:szCs w:val="30"/>
          <w:highlight w:val="none"/>
          <w:lang w:val="en-US"/>
        </w:rPr>
      </w:pP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投标人相关承诺</w:t>
      </w:r>
      <w:r/>
    </w:p>
    <w:p>
      <w:pPr>
        <w:pStyle w:val="76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079"/>
        <w:rPr>
          <w:rFonts w:hint="eastAsia" w:ascii="仿宋" w:hAnsi="仿宋" w:eastAsia="仿宋" w:cs="仿宋"/>
          <w:color w:val="auto"/>
          <w:sz w:val="24"/>
          <w:u w:val="single"/>
          <w:lang w:eastAsia="zh-CN"/>
        </w:rPr>
      </w:pPr>
      <w:r>
        <w:rPr>
          <w:rFonts w:hint="eastAsia" w:ascii="仿宋" w:hAnsi="仿宋" w:eastAsia="仿宋" w:cs="仿宋"/>
          <w:color w:val="auto"/>
          <w:sz w:val="24"/>
        </w:rPr>
        <w:t xml:space="preserve">项目名称：</w:t>
      </w:r>
      <w:r>
        <w:rPr>
          <w:rFonts w:hint="eastAsia" w:ascii="仿宋" w:hAnsi="仿宋" w:eastAsia="仿宋" w:cs="仿宋"/>
          <w:color w:val="auto"/>
          <w:sz w:val="24"/>
          <w:u w:val="single"/>
          <w:lang w:eastAsia="zh-CN"/>
        </w:rPr>
        <w:t xml:space="preserve">高作镇镇区公厕管护、主次干道清扫保洁、游园绿化服务项目</w:t>
      </w:r>
      <w:r/>
    </w:p>
    <w:p>
      <w:pPr>
        <w:pStyle w:val="1079"/>
        <w:rPr>
          <w:rFonts w:hint="eastAsia" w:ascii="仿宋" w:hAnsi="仿宋" w:eastAsia="仿宋" w:cs="仿宋"/>
          <w:color w:val="auto"/>
          <w:sz w:val="24"/>
          <w:u w:val="single"/>
          <w:lang w:eastAsia="zh-CN"/>
        </w:rPr>
      </w:pPr>
      <w:r>
        <w:rPr>
          <w:rFonts w:hint="eastAsia" w:ascii="仿宋" w:hAnsi="仿宋" w:eastAsia="仿宋" w:cs="仿宋"/>
          <w:color w:val="auto"/>
          <w:sz w:val="24"/>
        </w:rPr>
        <w:t xml:space="preserve">项目编号：</w:t>
      </w:r>
      <w:r>
        <w:rPr>
          <w:rFonts w:hint="eastAsia" w:ascii="仿宋" w:hAnsi="仿宋" w:eastAsia="仿宋" w:cs="仿宋"/>
          <w:color w:val="000000"/>
          <w:sz w:val="24"/>
          <w:u w:val="single"/>
          <w:lang w:eastAsia="zh-CN"/>
        </w:rPr>
        <w:t xml:space="preserve">JSZC-320324-XZSS-G2025-0002</w:t>
      </w:r>
      <w:r>
        <w:rPr>
          <w:rFonts w:hint="eastAsia" w:ascii="仿宋" w:hAnsi="仿宋" w:eastAsia="仿宋" w:cs="仿宋"/>
          <w:color w:val="auto"/>
          <w:sz w:val="24"/>
          <w:u w:val="single"/>
          <w:lang w:val="en-US" w:eastAsia="zh-CN"/>
        </w:rPr>
        <w:t xml:space="preserve"> </w:t>
      </w:r>
      <w:r/>
    </w:p>
    <w:p>
      <w:pPr>
        <w:pStyle w:val="1079"/>
        <w:ind w:firstLine="480"/>
        <w:keepLines w:val="0"/>
        <w:keepNext w:val="0"/>
        <w:pageBreakBefore w:val="0"/>
        <w:spacing w:line="45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pStyle w:val="1079"/>
        <w:ind w:firstLine="480"/>
        <w:keepLines w:val="0"/>
        <w:keepNext w:val="0"/>
        <w:pageBreakBefore w:val="0"/>
        <w:spacing w:line="45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我单位承诺：</w:t>
      </w:r>
      <w:r/>
    </w:p>
    <w:p>
      <w:pPr>
        <w:pStyle w:val="1079"/>
        <w:ind w:firstLine="480"/>
        <w:keepLines w:val="0"/>
        <w:keepNext w:val="0"/>
        <w:pageBreakBefore w:val="0"/>
        <w:spacing w:line="45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如有参与同一合同项下政府采购活动的投标人与我单位存在负责人为同一人的情况或者存在直接控股、管理关系，我单位不再参加该同一合同项下的政府采购活动。</w:t>
      </w:r>
      <w:r/>
    </w:p>
    <w:p>
      <w:pPr>
        <w:pStyle w:val="1079"/>
        <w:ind w:firstLine="480"/>
        <w:keepLines w:val="0"/>
        <w:keepNext w:val="0"/>
        <w:pageBreakBefore w:val="0"/>
        <w:spacing w:line="45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pStyle w:val="1079"/>
        <w:ind w:firstLine="480"/>
        <w:keepLines w:val="0"/>
        <w:keepNext w:val="0"/>
        <w:pageBreakBefore w:val="0"/>
        <w:spacing w:line="45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我单位对上述承诺负责，并依法承担相应责任。</w:t>
      </w:r>
      <w:r/>
    </w:p>
    <w:p>
      <w:pPr>
        <w:pStyle w:val="763"/>
        <w:ind w:firstLine="3120"/>
        <w:spacing w:line="300" w:lineRule="auto"/>
        <w:rPr>
          <w:rFonts w:hint="eastAsia" w:ascii="仿宋" w:hAnsi="仿宋" w:eastAsia="仿宋" w:cs="仿宋"/>
          <w:color w:val="auto"/>
          <w:sz w:val="24"/>
        </w:rPr>
      </w:pPr>
      <w:r>
        <w:rPr>
          <w:rFonts w:hint="eastAsia" w:ascii="仿宋" w:hAnsi="仿宋" w:eastAsia="仿宋" w:cs="仿宋"/>
          <w:color w:val="auto"/>
          <w:sz w:val="24"/>
        </w:rPr>
      </w:r>
      <w:r/>
    </w:p>
    <w:p>
      <w:pPr>
        <w:pStyle w:val="763"/>
        <w:ind w:firstLine="3120"/>
        <w:spacing w:line="300" w:lineRule="auto"/>
        <w:rPr>
          <w:rFonts w:hint="eastAsia" w:ascii="仿宋" w:hAnsi="仿宋" w:eastAsia="仿宋" w:cs="仿宋"/>
          <w:color w:val="auto"/>
          <w:sz w:val="24"/>
        </w:rPr>
      </w:pPr>
      <w:r>
        <w:rPr>
          <w:rFonts w:hint="eastAsia" w:ascii="仿宋" w:hAnsi="仿宋" w:eastAsia="仿宋" w:cs="仿宋"/>
          <w:color w:val="auto"/>
          <w:sz w:val="24"/>
        </w:rPr>
      </w:r>
      <w:r/>
    </w:p>
    <w:p>
      <w:pPr>
        <w:pStyle w:val="763"/>
        <w:ind w:firstLine="3120"/>
        <w:spacing w:line="300" w:lineRule="auto"/>
        <w:rPr>
          <w:rFonts w:hint="eastAsia" w:ascii="仿宋" w:hAnsi="仿宋" w:eastAsia="仿宋" w:cs="仿宋"/>
          <w:color w:val="auto"/>
          <w:sz w:val="24"/>
        </w:rPr>
      </w:pPr>
      <w:r>
        <w:rPr>
          <w:rFonts w:hint="eastAsia" w:ascii="仿宋" w:hAnsi="仿宋" w:eastAsia="仿宋" w:cs="仿宋"/>
          <w:color w:val="auto"/>
          <w:sz w:val="24"/>
        </w:rPr>
        <w:t xml:space="preserve">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（电子签章） </w:t>
      </w:r>
      <w:r/>
    </w:p>
    <w:p>
      <w:pPr>
        <w:pStyle w:val="763"/>
        <w:ind w:firstLine="31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日期：   </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 xml:space="preserve">年 </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 xml:space="preserve"> 月  </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 xml:space="preserve">日</w:t>
      </w:r>
      <w:r/>
    </w:p>
    <w:p>
      <w:pPr>
        <w:pStyle w:val="76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32"/>
        <w:rPr>
          <w:rFonts w:hint="eastAsia"/>
          <w:color w:val="auto"/>
          <w:highlight w:val="none"/>
        </w:rPr>
      </w:pPr>
      <w:r>
        <w:rPr>
          <w:rFonts w:hint="eastAsia"/>
          <w:color w:val="auto"/>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、偏离表</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高作镇镇区公厕管护、主次干道清扫保洁、游园绿化服务项目</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000000"/>
          <w:sz w:val="24"/>
          <w:lang w:eastAsia="zh-CN"/>
        </w:rPr>
        <w:t xml:space="preserve">JSZC-320324-XZSS-G2025-0002</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bl>
      <w:tblPr>
        <w:tblStyle w:val="725"/>
        <w:tblW w:w="89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序号</w:t>
            </w:r>
            <w:r/>
          </w:p>
        </w:tc>
        <w:tc>
          <w:tcPr>
            <w:tcW w:w="1404"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偏离内容</w:t>
            </w:r>
            <w:r/>
          </w:p>
        </w:tc>
        <w:tc>
          <w:tcPr>
            <w:tcW w:w="1476"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olor w:val="auto"/>
                <w:sz w:val="24"/>
                <w:highlight w:val="none"/>
              </w:rPr>
              <w:t xml:space="preserve">招标文件的要求</w:t>
            </w:r>
            <w:r/>
          </w:p>
        </w:tc>
        <w:tc>
          <w:tcPr>
            <w:tcW w:w="162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olor w:val="auto"/>
                <w:sz w:val="24"/>
                <w:highlight w:val="none"/>
              </w:rPr>
              <w:t xml:space="preserve">投标文件中的内容</w:t>
            </w:r>
            <w:r/>
          </w:p>
        </w:tc>
        <w:tc>
          <w:tcPr>
            <w:tcW w:w="126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（正/负/无）偏离</w:t>
            </w:r>
            <w:r/>
          </w:p>
        </w:tc>
        <w:tc>
          <w:tcPr>
            <w:tcW w:w="234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说明</w:t>
            </w:r>
            <w:r/>
          </w:p>
        </w:tc>
      </w:tr>
      <w:tr>
        <w:trPr>
          <w:jc w:val="center"/>
          <w:trHeight w:val="794"/>
        </w:trPr>
        <w:tc>
          <w:tcPr>
            <w:tcW w:w="828"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04"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6"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20"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60"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40"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W w:w="828"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04"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6"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20"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60"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40"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W w:w="828"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04"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6"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20"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60"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40"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W w:w="828"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04"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6"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20"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60"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40"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W w:w="828"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04"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6"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20"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60"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40"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W w:w="828"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04"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6"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20"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60"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40"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W w:w="828"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04"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6"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20"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60"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40"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W w:w="828"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04"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6"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20"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60"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40" w:type="dxa"/>
            <w:vAlign w:val="top"/>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的投标文件中的内容与招标文件（含招标文件的澄清或者修改的内容，下同）的要求不同时，逐条列在偏离表中，否则将</w:t>
      </w:r>
      <w:r>
        <w:rPr>
          <w:rFonts w:hint="eastAsia" w:ascii="仿宋" w:hAnsi="仿宋" w:eastAsia="仿宋" w:cs="仿宋"/>
          <w:color w:val="auto"/>
          <w:sz w:val="24"/>
          <w:highlight w:val="none"/>
          <w:lang w:eastAsia="zh-CN"/>
        </w:rPr>
        <w:t xml:space="preserve">视为供应商</w:t>
      </w:r>
      <w:r>
        <w:rPr>
          <w:rFonts w:hint="eastAsia" w:ascii="仿宋" w:hAnsi="仿宋" w:eastAsia="仿宋" w:cs="仿宋"/>
          <w:color w:val="auto"/>
          <w:sz w:val="24"/>
          <w:highlight w:val="none"/>
        </w:rPr>
        <w:t xml:space="preserve">接受招标文件的要求。</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300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           （盖电子签章）</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764"/>
        <w:ind w:left="0" w:firstLine="0"/>
        <w:rPr>
          <w:color w:val="auto"/>
          <w:highlight w:val="none"/>
        </w:rPr>
      </w:pPr>
      <w:r>
        <w:rPr>
          <w:color w:val="auto"/>
          <w:highlight w:val="none"/>
        </w:rPr>
      </w:r>
      <w:r/>
    </w:p>
    <w:p>
      <w:pPr>
        <w:spacing w:line="0" w:lineRule="atLeast"/>
        <w:rPr>
          <w:bCs/>
          <w:color w:val="auto"/>
          <w:sz w:val="28"/>
          <w:szCs w:val="28"/>
          <w:highlight w:val="none"/>
        </w:rPr>
      </w:pPr>
      <w:r>
        <w:rPr>
          <w:bCs/>
          <w:color w:val="auto"/>
          <w:sz w:val="28"/>
          <w:szCs w:val="28"/>
          <w:highlight w:val="none"/>
        </w:rPr>
      </w:r>
      <w:r/>
    </w:p>
    <w:p>
      <w:pPr>
        <w:jc w:val="cente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投标人对“作业人员配备要求 ”的承诺</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高作镇镇区公厕管护、主次干道清扫保洁、游园绿化服务项目</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000000"/>
          <w:sz w:val="24"/>
          <w:lang w:eastAsia="zh-CN"/>
        </w:rPr>
        <w:t xml:space="preserve">JSZC-320324-XZSS-G2025-0002</w:t>
      </w:r>
      <w:r/>
    </w:p>
    <w:p>
      <w:pPr>
        <w:ind w:firstLine="470"/>
        <w:spacing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供应商</w:t>
      </w:r>
      <w:r>
        <w:rPr>
          <w:rFonts w:hint="eastAsia" w:ascii="仿宋" w:hAnsi="仿宋" w:eastAsia="仿宋" w:cs="仿宋"/>
          <w:bCs/>
          <w:color w:val="auto"/>
          <w:sz w:val="24"/>
          <w:szCs w:val="24"/>
          <w:highlight w:val="none"/>
        </w:rPr>
        <w:t xml:space="preserve">承诺：如我单位被确定为中标人，</w:t>
      </w:r>
      <w:r>
        <w:rPr>
          <w:rFonts w:hint="eastAsia" w:ascii="仿宋" w:hAnsi="仿宋" w:eastAsia="仿宋" w:cs="仿宋"/>
          <w:color w:val="auto"/>
          <w:sz w:val="24"/>
          <w:szCs w:val="24"/>
          <w:highlight w:val="none"/>
        </w:rPr>
        <w:t xml:space="preserve">对中标项目所配备的作业人员不低于招标文件的要求</w:t>
      </w:r>
      <w:r>
        <w:rPr>
          <w:rFonts w:hint="eastAsia" w:ascii="仿宋" w:hAnsi="仿宋" w:eastAsia="仿宋" w:cs="仿宋"/>
          <w:bCs/>
          <w:color w:val="auto"/>
          <w:sz w:val="24"/>
          <w:szCs w:val="24"/>
          <w:highlight w:val="none"/>
        </w:rPr>
        <w:t xml:space="preserve">。具体如下：</w:t>
      </w:r>
      <w:r/>
    </w:p>
    <w:p>
      <w:pPr>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ind w:left="0" w:right="0" w:firstLine="0"/>
        <w:jc w:val="center"/>
        <w:spacing w:line="30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格式自拟。</w:t>
      </w:r>
      <w:r/>
    </w:p>
    <w:p>
      <w:pPr>
        <w:ind w:firstLine="300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after="0" w:line="360" w:lineRule="auto"/>
        <w:rPr>
          <w:rFonts w:hint="eastAsia" w:ascii="仿宋" w:hAnsi="仿宋" w:eastAsia="仿宋" w:cs="仿宋"/>
          <w:b/>
          <w:bCs/>
          <w:color w:val="auto"/>
          <w:sz w:val="24"/>
          <w:highlight w:val="none"/>
          <w:lang w:val="zh-CN" w:eastAsia="zh-CN"/>
        </w:rPr>
      </w:pPr>
      <w:r>
        <w:rPr>
          <w:rFonts w:hint="eastAsia" w:ascii="仿宋" w:hAnsi="仿宋" w:eastAsia="仿宋" w:cs="仿宋"/>
          <w:b/>
          <w:bCs/>
          <w:color w:val="auto"/>
          <w:sz w:val="24"/>
          <w:highlight w:val="none"/>
          <w:lang w:val="zh-CN" w:eastAsia="zh-CN"/>
        </w:rPr>
      </w:r>
      <w:r/>
    </w:p>
    <w:p>
      <w:pPr>
        <w:ind w:firstLine="480"/>
        <w:keepLines w:val="0"/>
        <w:keepNext w:val="0"/>
        <w:pageBreakBefore w:val="0"/>
        <w:spacing w:after="0"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highlight w:val="none"/>
          <w:lang w:val="en-US" w:eastAsia="zh-CN"/>
        </w:rPr>
        <w:t xml:space="preserve">注：</w:t>
      </w:r>
      <w:r/>
    </w:p>
    <w:p>
      <w:pPr>
        <w:ind w:firstLine="480"/>
        <w:keepLines w:val="0"/>
        <w:keepNext w:val="0"/>
        <w:pageBreakBefore w:val="0"/>
        <w:spacing w:after="0"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各投标人必须依法规范用工，全员签订劳动</w:t>
      </w:r>
      <w:r>
        <w:rPr>
          <w:rFonts w:hint="eastAsia" w:ascii="仿宋" w:hAnsi="仿宋" w:eastAsia="仿宋" w:cs="仿宋"/>
          <w:color w:val="auto"/>
          <w:sz w:val="24"/>
          <w:szCs w:val="24"/>
          <w:highlight w:val="white"/>
          <w:lang w:val="en-US" w:eastAsia="zh-CN"/>
        </w:rPr>
        <w:t xml:space="preserve">或劳务</w:t>
      </w:r>
      <w:r>
        <w:rPr>
          <w:rFonts w:hint="eastAsia" w:ascii="仿宋" w:hAnsi="仿宋" w:eastAsia="仿宋" w:cs="仿宋"/>
          <w:color w:val="auto"/>
          <w:sz w:val="24"/>
          <w:szCs w:val="24"/>
          <w:highlight w:val="white"/>
        </w:rPr>
        <w:t xml:space="preserve">合同，人员基本工资</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rPr>
        <w:t xml:space="preserve">其它津贴、加班费、福利待遇等按照相关法律、法规及文件规定执行。</w:t>
      </w:r>
      <w:r>
        <w:rPr>
          <w:rFonts w:hint="eastAsia" w:ascii="仿宋" w:hAnsi="仿宋" w:eastAsia="仿宋" w:cs="仿宋"/>
          <w:color w:val="auto"/>
          <w:sz w:val="24"/>
          <w:szCs w:val="24"/>
          <w:highlight w:val="white"/>
          <w:lang w:val="en-US" w:eastAsia="zh-CN"/>
        </w:rPr>
        <w:t xml:space="preserve">用工</w:t>
      </w:r>
      <w:r>
        <w:rPr>
          <w:rFonts w:hint="eastAsia" w:ascii="仿宋" w:hAnsi="仿宋" w:eastAsia="仿宋" w:cs="仿宋"/>
          <w:color w:val="auto"/>
          <w:sz w:val="24"/>
          <w:szCs w:val="24"/>
          <w:highlight w:val="white"/>
        </w:rPr>
        <w:t xml:space="preserve">人员应登记身份证，并经过岗前培训合格之后方可上岗，对于无身份证的人员，不得上岗。</w:t>
      </w:r>
      <w:r>
        <w:rPr>
          <w:rFonts w:hint="eastAsia" w:ascii="仿宋" w:hAnsi="仿宋" w:eastAsia="仿宋" w:cs="仿宋"/>
          <w:color w:val="auto"/>
          <w:sz w:val="24"/>
          <w:szCs w:val="24"/>
          <w:highlight w:val="white"/>
          <w:lang w:val="en-US" w:eastAsia="zh-CN"/>
        </w:rPr>
        <w:t xml:space="preserve">不得有刑事犯罪记录。</w:t>
      </w:r>
      <w:r>
        <w:rPr>
          <w:highlight w:val="white"/>
        </w:rPr>
      </w:r>
      <w:r/>
    </w:p>
    <w:p>
      <w:pPr>
        <w:ind w:right="42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管理员应按区域合理配备，专职从事管理工作，不得</w:t>
      </w:r>
      <w:r>
        <w:rPr>
          <w:rFonts w:hint="eastAsia" w:ascii="仿宋" w:hAnsi="仿宋" w:eastAsia="仿宋" w:cs="仿宋"/>
          <w:color w:val="auto"/>
          <w:sz w:val="24"/>
          <w:szCs w:val="24"/>
          <w:highlight w:val="none"/>
          <w:lang w:eastAsia="zh-CN"/>
        </w:rPr>
        <w:t xml:space="preserve">兼职</w:t>
      </w:r>
      <w:r>
        <w:rPr>
          <w:rFonts w:hint="eastAsia" w:ascii="仿宋" w:hAnsi="仿宋" w:eastAsia="仿宋" w:cs="仿宋"/>
          <w:color w:val="auto"/>
          <w:sz w:val="24"/>
          <w:szCs w:val="24"/>
          <w:highlight w:val="none"/>
        </w:rPr>
        <w:t xml:space="preserve">保洁人员。</w:t>
      </w:r>
      <w:r/>
    </w:p>
    <w:p>
      <w:pPr>
        <w:ind w:right="42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eastAsia="zh-CN"/>
        </w:rPr>
        <w:t xml:space="preserve">项目经理应具备大专以上学历，具备从事园林或环卫管理</w:t>
      </w:r>
      <w:r>
        <w:rPr>
          <w:rFonts w:hint="eastAsia" w:ascii="仿宋" w:hAnsi="仿宋" w:eastAsia="仿宋" w:cs="仿宋"/>
          <w:color w:val="auto"/>
          <w:sz w:val="24"/>
          <w:szCs w:val="24"/>
          <w:highlight w:val="none"/>
          <w:lang w:val="en-US" w:eastAsia="zh-CN"/>
        </w:rPr>
        <w:t xml:space="preserve">2年以上工作经验，具备物业管理项目经理岗位证书或园林绿化中级或以上技术职称</w:t>
      </w:r>
      <w:r>
        <w:rPr>
          <w:rFonts w:hint="eastAsia" w:ascii="仿宋" w:hAnsi="仿宋" w:eastAsia="仿宋" w:cs="仿宋"/>
          <w:color w:val="auto"/>
          <w:sz w:val="24"/>
          <w:szCs w:val="24"/>
          <w:highlight w:val="none"/>
          <w:lang w:val="en-US" w:eastAsia="zh-CN" w:bidi="ar-SA"/>
        </w:rPr>
        <w:t xml:space="preserve">我单位承诺为本项目配备的项目经理将严格满足上述条件，确保其具备扎实的专业知识和丰富的实践经验，能够有效统筹协调项目各项管理工作。</w:t>
      </w:r>
      <w:r/>
    </w:p>
    <w:p>
      <w:pPr>
        <w:ind w:right="42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300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           （盖电子签章）</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729"/>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rPr>
          <w:rFonts w:hint="eastAsia"/>
          <w:color w:val="auto"/>
          <w:lang w:val="en-US" w:eastAsia="zh-CN"/>
        </w:rPr>
      </w:pPr>
      <w:r>
        <w:rPr>
          <w:rFonts w:hint="eastAsia"/>
          <w:color w:val="auto"/>
          <w:lang w:val="en-US" w:eastAsia="zh-CN"/>
        </w:rPr>
      </w:r>
      <w:r/>
    </w:p>
    <w:p>
      <w:pP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br w:type="page" w:clear="all"/>
      </w:r>
      <w:r/>
    </w:p>
    <w:p>
      <w:pPr>
        <w:jc w:val="cente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10.投标人对“设备、车辆配备要求 ”的承诺</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高作镇镇区公厕管护、主次干道清扫保洁、游园绿化服务项目</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000000"/>
          <w:sz w:val="24"/>
          <w:lang w:eastAsia="zh-CN"/>
        </w:rPr>
        <w:t xml:space="preserve">JSZC-320324-XZSS-G2025-0002</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供应商</w:t>
      </w:r>
      <w:r>
        <w:rPr>
          <w:rFonts w:hint="eastAsia" w:ascii="仿宋" w:hAnsi="仿宋" w:eastAsia="仿宋" w:cs="仿宋"/>
          <w:bCs/>
          <w:color w:val="auto"/>
          <w:sz w:val="24"/>
          <w:szCs w:val="24"/>
          <w:highlight w:val="none"/>
        </w:rPr>
        <w:t xml:space="preserve">承诺：如我单位被确定为中标人，</w:t>
      </w:r>
      <w:r>
        <w:rPr>
          <w:rFonts w:hint="eastAsia" w:ascii="仿宋" w:hAnsi="仿宋" w:eastAsia="仿宋" w:cs="仿宋"/>
          <w:color w:val="auto"/>
          <w:sz w:val="24"/>
          <w:szCs w:val="24"/>
          <w:highlight w:val="none"/>
        </w:rPr>
        <w:t xml:space="preserve">对中标项目所配备的设备、车辆不低于招标文件的要求</w:t>
      </w:r>
      <w:r>
        <w:rPr>
          <w:rFonts w:hint="eastAsia" w:ascii="仿宋" w:hAnsi="仿宋" w:eastAsia="仿宋" w:cs="仿宋"/>
          <w:bCs/>
          <w:color w:val="auto"/>
          <w:sz w:val="24"/>
          <w:szCs w:val="24"/>
          <w:highlight w:val="none"/>
        </w:rPr>
        <w:t xml:space="preserve">。具体如下：</w:t>
      </w:r>
      <w:r/>
    </w:p>
    <w:p>
      <w:pPr>
        <w:pStyle w:val="784"/>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2"/>
        <w:ind w:left="0" w:right="0" w:firstLine="0"/>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格式自拟。</w:t>
      </w:r>
      <w:r/>
    </w:p>
    <w:p>
      <w:pPr>
        <w:pStyle w:val="756"/>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numPr>
          <w:ilvl w:val="0"/>
          <w:numId w:val="0"/>
        </w:numPr>
        <w:ind w:right="420" w:firstLine="480"/>
        <w:keepLines w:val="0"/>
        <w:keepNext w:val="0"/>
        <w:pageBreakBefore w:val="0"/>
        <w:spacing w:line="360" w:lineRule="auto"/>
        <w:widowControl/>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ind w:firstLine="480"/>
        <w:keepLines w:val="0"/>
        <w:keepNext w:val="0"/>
        <w:pageBreakBefore w:val="0"/>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bCs/>
          <w:color w:val="auto"/>
          <w:sz w:val="24"/>
          <w:szCs w:val="24"/>
          <w:highlight w:val="none"/>
        </w:rPr>
        <w:t xml:space="preserve">投标人为本项目所配备的车辆及设备，</w:t>
      </w:r>
      <w:r>
        <w:rPr>
          <w:rFonts w:hint="eastAsia" w:ascii="仿宋" w:hAnsi="仿宋" w:eastAsia="仿宋" w:cs="仿宋"/>
          <w:bCs/>
          <w:color w:val="auto"/>
          <w:sz w:val="24"/>
          <w:szCs w:val="24"/>
          <w:highlight w:val="none"/>
          <w:lang w:eastAsia="zh-CN"/>
        </w:rPr>
        <w:t xml:space="preserve">车辆驾驶人员根据实际工作需要自行配置，</w:t>
      </w:r>
      <w:r>
        <w:rPr>
          <w:rFonts w:hint="eastAsia" w:ascii="仿宋" w:hAnsi="仿宋" w:eastAsia="仿宋" w:cs="仿宋"/>
          <w:bCs/>
          <w:color w:val="auto"/>
          <w:sz w:val="24"/>
          <w:szCs w:val="24"/>
          <w:highlight w:val="none"/>
        </w:rPr>
        <w:t xml:space="preserve">服务商需在合同签订后</w:t>
      </w:r>
      <w:r>
        <w:rPr>
          <w:rFonts w:hint="eastAsia" w:ascii="仿宋" w:hAnsi="仿宋" w:eastAsia="仿宋" w:cs="仿宋"/>
          <w:bCs/>
          <w:color w:val="auto"/>
          <w:sz w:val="24"/>
          <w:szCs w:val="24"/>
          <w:highlight w:val="none"/>
          <w:lang w:val="en-US" w:eastAsia="zh-CN"/>
        </w:rPr>
        <w:t xml:space="preserve">3天内</w:t>
      </w:r>
      <w:r>
        <w:rPr>
          <w:rFonts w:hint="eastAsia" w:ascii="仿宋" w:hAnsi="仿宋" w:eastAsia="仿宋" w:cs="仿宋"/>
          <w:bCs/>
          <w:color w:val="auto"/>
          <w:sz w:val="24"/>
          <w:szCs w:val="24"/>
          <w:highlight w:val="none"/>
        </w:rPr>
        <w:t xml:space="preserve">配备到位，并提供发票</w:t>
      </w:r>
      <w:r>
        <w:rPr>
          <w:rFonts w:hint="eastAsia" w:ascii="仿宋" w:hAnsi="仿宋" w:eastAsia="仿宋" w:cs="仿宋"/>
          <w:bCs/>
          <w:color w:val="auto"/>
          <w:sz w:val="24"/>
          <w:szCs w:val="24"/>
          <w:highlight w:val="none"/>
          <w:lang w:eastAsia="zh-CN"/>
        </w:rPr>
        <w:t xml:space="preserve">或租赁合同</w:t>
      </w:r>
      <w:r>
        <w:rPr>
          <w:rFonts w:hint="eastAsia" w:ascii="仿宋" w:hAnsi="仿宋" w:eastAsia="仿宋" w:cs="仿宋"/>
          <w:bCs/>
          <w:color w:val="auto"/>
          <w:sz w:val="24"/>
          <w:szCs w:val="24"/>
          <w:highlight w:val="none"/>
        </w:rPr>
        <w:t xml:space="preserve">原件核查，如未能到位，合同自行作废。</w:t>
      </w:r>
      <w:r/>
    </w:p>
    <w:p>
      <w:pPr>
        <w:pStyle w:val="759"/>
        <w:ind w:left="0" w:firstLine="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59"/>
        <w:ind w:left="0" w:firstLine="0"/>
        <w:rPr>
          <w:rFonts w:hint="eastAsia" w:ascii="仿宋" w:hAnsi="仿宋" w:eastAsia="仿宋" w:cs="仿宋"/>
          <w:color w:val="auto"/>
        </w:rPr>
      </w:pPr>
      <w:r>
        <w:rPr>
          <w:rFonts w:hint="eastAsia" w:ascii="仿宋" w:hAnsi="仿宋" w:eastAsia="仿宋" w:cs="仿宋"/>
          <w:color w:val="auto"/>
        </w:rPr>
      </w:r>
      <w:r/>
    </w:p>
    <w:p>
      <w:pPr>
        <w:ind w:firstLine="300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           （盖电子签章）</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764"/>
        <w:ind w:left="0" w:firstLine="0"/>
        <w:rPr>
          <w:color w:val="auto"/>
          <w:highlight w:val="none"/>
        </w:rPr>
      </w:pPr>
      <w:r>
        <w:rPr>
          <w:color w:val="auto"/>
          <w:highlight w:val="none"/>
        </w:rPr>
      </w:r>
      <w:r/>
    </w:p>
    <w:p>
      <w:pPr>
        <w:pStyle w:val="764"/>
        <w:ind w:left="0" w:firstLine="0"/>
        <w:rPr>
          <w:color w:val="auto"/>
          <w:highlight w:val="none"/>
        </w:rPr>
      </w:pPr>
      <w:r>
        <w:rPr>
          <w:color w:val="auto"/>
          <w:highlight w:val="none"/>
        </w:rPr>
      </w:r>
      <w:r/>
    </w:p>
    <w:p>
      <w:pPr>
        <w:pStyle w:val="764"/>
        <w:ind w:left="0" w:firstLine="0"/>
        <w:rPr>
          <w:color w:val="auto"/>
          <w:highlight w:val="none"/>
        </w:rPr>
      </w:pPr>
      <w:r>
        <w:rPr>
          <w:color w:val="auto"/>
          <w:highlight w:val="none"/>
        </w:rPr>
      </w:r>
      <w:r/>
    </w:p>
    <w:p>
      <w:pPr>
        <w:pStyle w:val="764"/>
        <w:ind w:left="0" w:firstLine="0"/>
        <w:rPr>
          <w:color w:val="auto"/>
          <w:highlight w:val="none"/>
        </w:rPr>
      </w:pPr>
      <w:r>
        <w:rPr>
          <w:color w:val="auto"/>
          <w:highlight w:val="none"/>
        </w:rPr>
      </w:r>
      <w:r/>
    </w:p>
    <w:p>
      <w:pPr>
        <w:pStyle w:val="764"/>
        <w:ind w:left="0" w:firstLine="0"/>
        <w:rPr>
          <w:color w:val="auto"/>
          <w:highlight w:val="none"/>
        </w:rPr>
      </w:pPr>
      <w:r>
        <w:rPr>
          <w:color w:val="auto"/>
          <w:highlight w:val="none"/>
        </w:rPr>
      </w:r>
      <w:r/>
    </w:p>
    <w:p>
      <w:pPr>
        <w:pStyle w:val="764"/>
        <w:ind w:left="0" w:firstLine="0"/>
        <w:rPr>
          <w:color w:val="auto"/>
          <w:highlight w:val="none"/>
        </w:rPr>
      </w:pPr>
      <w:r>
        <w:rPr>
          <w:color w:val="auto"/>
          <w:highlight w:val="none"/>
        </w:rPr>
      </w:r>
      <w:r/>
    </w:p>
    <w:p>
      <w:pPr>
        <w:pStyle w:val="764"/>
        <w:ind w:left="0" w:firstLine="0"/>
        <w:rPr>
          <w:color w:val="auto"/>
          <w:highlight w:val="none"/>
        </w:rPr>
      </w:pPr>
      <w:r>
        <w:rPr>
          <w:color w:val="auto"/>
          <w:highlight w:val="none"/>
        </w:rPr>
      </w:r>
      <w:r/>
    </w:p>
    <w:p>
      <w:pPr>
        <w:pStyle w:val="764"/>
        <w:ind w:left="0" w:firstLine="0"/>
        <w:rPr>
          <w:color w:val="auto"/>
          <w:highlight w:val="none"/>
        </w:rPr>
      </w:pPr>
      <w:r>
        <w:rPr>
          <w:color w:val="auto"/>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br w:type="page" w:clear="all"/>
      </w:r>
      <w:r/>
    </w:p>
    <w:p>
      <w:pPr>
        <w:jc w:val="center"/>
        <w:spacing w:before="100" w:beforeAutospacing="1" w:after="100" w:afterAutospacing="1"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rPr>
        <w:t xml:space="preserve">、中小企业声明函</w:t>
      </w:r>
      <w:r/>
    </w:p>
    <w:p>
      <w:pPr>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高作镇镇区公厕管护、主次干道清扫保洁、游园绿化服务项目</w:t>
      </w:r>
      <w:r/>
    </w:p>
    <w:p>
      <w:pPr>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000000"/>
          <w:sz w:val="24"/>
          <w:lang w:eastAsia="zh-CN"/>
        </w:rPr>
        <w:t xml:space="preserve">JSZC-320324-XZSS-G2025-0002</w:t>
      </w:r>
      <w:r/>
    </w:p>
    <w:p>
      <w:pPr>
        <w:ind w:firstLine="560"/>
        <w:jc w:val="left"/>
        <w:spacing w:line="4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本公司郑重声明，根据《政府采购促进中小企业发展管理办法》（财库 〔2020〕46号）的规定，本公司参加（单位名称）的（项目名称）采购活动，服务全部由符合政策要求的中小企业承接。相关企业的具体情况如下：</w:t>
      </w:r>
      <w:r>
        <w:rPr>
          <w:rFonts w:hint="eastAsia" w:ascii="仿宋" w:hAnsi="仿宋" w:eastAsia="仿宋" w:cs="仿宋"/>
          <w:color w:val="auto"/>
          <w:sz w:val="24"/>
          <w:highlight w:val="none"/>
          <w:lang w:val="en-US" w:eastAsia="zh-CN"/>
        </w:rPr>
        <w:t xml:space="preserve">.</w:t>
      </w:r>
      <w:r/>
    </w:p>
    <w:p>
      <w:pPr>
        <w:ind w:firstLine="240"/>
        <w:jc w:val="left"/>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w:t>
      </w:r>
      <w:r>
        <w:rPr>
          <w:rFonts w:hint="eastAsia" w:ascii="仿宋" w:hAnsi="仿宋" w:eastAsia="仿宋" w:cs="仿宋"/>
          <w:color w:val="auto"/>
          <w:sz w:val="24"/>
          <w:highlight w:val="none"/>
          <w:u w:val="single"/>
        </w:rPr>
        <w:t xml:space="preserve">（标的名称）</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属于</w:t>
      </w:r>
      <w:r>
        <w:rPr>
          <w:rFonts w:hint="eastAsia" w:ascii="仿宋" w:hAnsi="仿宋" w:eastAsia="仿宋" w:cs="仿宋"/>
          <w:color w:val="auto"/>
          <w:sz w:val="24"/>
          <w:highlight w:val="none"/>
          <w:u w:val="single"/>
        </w:rPr>
        <w:t xml:space="preserve">（采购文件中明确的所属行业）</w:t>
      </w:r>
      <w:r>
        <w:rPr>
          <w:rFonts w:hint="eastAsia" w:ascii="仿宋" w:hAnsi="仿宋" w:eastAsia="仿宋" w:cs="仿宋"/>
          <w:color w:val="auto"/>
          <w:sz w:val="24"/>
          <w:highlight w:val="none"/>
        </w:rPr>
        <w:t xml:space="preserve">行业； 承建（承接）企业为</w:t>
      </w:r>
      <w:r>
        <w:rPr>
          <w:rFonts w:hint="eastAsia" w:ascii="仿宋" w:hAnsi="仿宋" w:eastAsia="仿宋" w:cs="仿宋"/>
          <w:color w:val="auto"/>
          <w:sz w:val="24"/>
          <w:highlight w:val="none"/>
          <w:u w:val="single"/>
        </w:rPr>
        <w:t xml:space="preserve">（企业名称）</w:t>
      </w:r>
      <w:r>
        <w:rPr>
          <w:rFonts w:hint="eastAsia" w:ascii="仿宋" w:hAnsi="仿宋" w:eastAsia="仿宋" w:cs="仿宋"/>
          <w:color w:val="auto"/>
          <w:sz w:val="24"/>
          <w:highlight w:val="none"/>
        </w:rPr>
        <w:t xml:space="preserve">，从业人员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从业人员、营业收入、资产总额填报上一年度数据），属于（</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中型企业、□小型企业、□微型企业，</w:t>
      </w:r>
      <w:r>
        <w:rPr>
          <w:rFonts w:hint="eastAsia" w:ascii="仿宋" w:hAnsi="仿宋" w:eastAsia="仿宋" w:cs="仿宋"/>
          <w:b/>
          <w:bCs/>
          <w:color w:val="auto"/>
          <w:sz w:val="28"/>
          <w:szCs w:val="28"/>
          <w:highlight w:val="none"/>
        </w:rPr>
        <w:t xml:space="preserve">请勾选打√</w:t>
      </w:r>
      <w:r>
        <w:rPr>
          <w:rFonts w:hint="eastAsia" w:ascii="仿宋" w:hAnsi="仿宋" w:eastAsia="仿宋" w:cs="仿宋"/>
          <w:color w:val="auto"/>
          <w:sz w:val="24"/>
          <w:highlight w:val="none"/>
        </w:rPr>
        <w:t xml:space="preserve">）；</w:t>
      </w:r>
      <w:r/>
    </w:p>
    <w:p>
      <w:pPr>
        <w:ind w:firstLine="560"/>
        <w:jc w:val="left"/>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p>
    <w:p>
      <w:pPr>
        <w:ind w:firstLine="560"/>
        <w:jc w:val="left"/>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以上企业，不属于大企业的分支机构，不存在控股股东为大企业的情形，也不存在与大企业的负责人为同一人的情形。</w:t>
      </w:r>
      <w:r/>
    </w:p>
    <w:p>
      <w:pPr>
        <w:ind w:firstLine="560"/>
        <w:jc w:val="left"/>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本企业对上述声明内容的真实性负责。如有虚假，将依法承担相应责任。</w:t>
      </w:r>
      <w:r/>
    </w:p>
    <w:p>
      <w:pPr>
        <w:ind w:firstLine="56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56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企业名称（电子签章）：</w:t>
      </w:r>
      <w:r/>
    </w:p>
    <w:p>
      <w:pPr>
        <w:ind w:firstLine="56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w:t>
      </w:r>
      <w:r/>
    </w:p>
    <w:p>
      <w:pPr>
        <w:ind w:firstLine="56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firstLine="482"/>
        <w:jc w:val="left"/>
        <w:spacing w:after="0"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r>
      <w:r/>
    </w:p>
    <w:p>
      <w:pPr>
        <w:ind w:left="0" w:firstLine="482"/>
        <w:jc w:val="left"/>
        <w:spacing w:after="0"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备注：本采购项目所属行业为</w:t>
      </w:r>
      <w:r>
        <w:rPr>
          <w:rFonts w:hint="eastAsia" w:ascii="仿宋" w:hAnsi="仿宋" w:eastAsia="仿宋" w:cs="仿宋"/>
          <w:b/>
          <w:bCs/>
          <w:color w:val="auto"/>
          <w:sz w:val="24"/>
          <w:szCs w:val="24"/>
          <w:highlight w:val="none"/>
          <w:u w:val="single"/>
          <w:lang w:val="en-US" w:eastAsia="zh-CN" w:bidi="ar-SA"/>
        </w:rPr>
        <w:t xml:space="preserve">其他未列明行业</w:t>
      </w:r>
      <w:r>
        <w:rPr>
          <w:rFonts w:hint="eastAsia" w:ascii="仿宋" w:hAnsi="仿宋" w:eastAsia="仿宋" w:cs="仿宋"/>
          <w:b/>
          <w:bCs/>
          <w:color w:val="auto"/>
          <w:sz w:val="24"/>
          <w:szCs w:val="24"/>
          <w:highlight w:val="none"/>
          <w:lang w:val="en-US" w:eastAsia="zh-CN" w:bidi="ar-SA"/>
        </w:rPr>
        <w:t xml:space="preserve">。</w:t>
      </w:r>
      <w:r/>
    </w:p>
    <w:p>
      <w:pPr>
        <w:ind w:left="0" w:firstLine="482"/>
        <w:jc w:val="left"/>
        <w:spacing w:after="0"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说明：</w:t>
      </w:r>
      <w:r/>
    </w:p>
    <w:p>
      <w:pPr>
        <w:ind w:left="0" w:firstLine="482"/>
        <w:jc w:val="both"/>
        <w:spacing w:after="0"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firstLine="482"/>
        <w:jc w:val="both"/>
        <w:spacing w:after="0"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2、从业人员、营业收入、资产总额填报供应商上一年度数据，无上一年度数据的新成立企业可不填报。</w:t>
      </w:r>
      <w:r/>
    </w:p>
    <w:p>
      <w:pPr>
        <w:ind w:left="0" w:firstLine="482"/>
        <w:jc w:val="both"/>
        <w:spacing w:after="0"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3、中标、成交供应商为小型、微型企业的，采购人或者其委托的采购代理机构有权随中标、成交结果同时公告其《中小企业声明函》，接受社会监督。</w:t>
      </w:r>
      <w:r/>
    </w:p>
    <w:p>
      <w:pPr>
        <w:ind w:left="0" w:firstLine="482"/>
        <w:jc w:val="both"/>
        <w:spacing w:after="0"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4、执行江苏省财政厅关于进一步加大政府采购支持中小企业力度的通知（苏财购〔2022〕45号）的规定。</w:t>
      </w:r>
      <w:r/>
    </w:p>
    <w:p>
      <w:pPr>
        <w:ind w:left="0" w:firstLine="482"/>
        <w:jc w:val="both"/>
        <w:spacing w:after="0"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5、供应商提供的《中小企业声明函》与事实不符的，依照《中华人民共和国政府采购法》第七十七条第一款的规定追究法律责任。</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为方便中小企业和社会各界使用自测结果，小程序增加自测结果打印功能，“中小企业声明函” 查询渠道用微信搜索“中小企业规模类型自测小程序”。</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测试者可按照小程序填写测试企业有关信息并完成自测后，保存自测结果自行打印。如有疑问，可与市工信局中小企业综合协调处咨询联系。联系电话：0516-83861958</w:t>
      </w:r>
      <w:r/>
    </w:p>
    <w:p>
      <w:pPr>
        <w:ind w:firstLine="420"/>
        <w:jc w:val="both"/>
        <w:widowControl w:val="off"/>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jc w:val="center"/>
        <w:spacing w:line="360" w:lineRule="auto"/>
        <w:rPr>
          <w:rFonts w:hint="default" w:ascii="宋体" w:hAnsi="宋体" w:eastAsia="宋体" w:cs="宋体"/>
          <w:color w:val="auto"/>
          <w:sz w:val="24"/>
          <w:highlight w:val="none"/>
        </w:rPr>
      </w:pPr>
      <w:r>
        <w:rPr>
          <w:rFonts w:hint="eastAsia" w:ascii="仿宋" w:hAnsi="仿宋" w:eastAsia="仿宋" w:cs="仿宋"/>
          <w:color w:val="auto"/>
          <w:highlight w:val="none"/>
        </w:rPr>
        <mc:AlternateContent>
          <mc:Choice Requires="wpg">
            <w:drawing>
              <wp:inline xmlns:wp="http://schemas.openxmlformats.org/drawingml/2006/wordprocessingDrawing" distT="0" distB="0" distL="0" distR="0">
                <wp:extent cx="2132965" cy="4614545"/>
                <wp:effectExtent l="0" t="0" r="635" b="14604"/>
                <wp:docPr id="1" name="图片 4" descr="9023af8ce227791a8554b0fa6a312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9023af8ce227791a8554b0fa6a3121c"/>
                        <pic:cNvPicPr>
                          <a:picLocks noChangeAspect="1"/>
                        </pic:cNvPicPr>
                        <pic:nvPr/>
                      </pic:nvPicPr>
                      <pic:blipFill>
                        <a:blip r:embed="rId17"/>
                        <a:stretch/>
                      </pic:blipFill>
                      <pic:spPr bwMode="auto">
                        <a:xfrm>
                          <a:off x="0" y="0"/>
                          <a:ext cx="2133216" cy="461517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7.9pt;height:363.3pt;mso-wrap-distance-left:0.0pt;mso-wrap-distance-top:0.0pt;mso-wrap-distance-right:0.0pt;mso-wrap-distance-bottom:0.0pt;" stroked="false">
                <v:path textboxrect="0,0,0,0"/>
                <v:imagedata r:id="rId17" o:title=""/>
              </v:shape>
            </w:pict>
          </mc:Fallback>
        </mc:AlternateContent>
      </w:r>
      <w:r/>
    </w:p>
    <w:p>
      <w:pPr>
        <w:pStyle w:val="784"/>
        <w:rPr>
          <w:rFonts w:hint="eastAsia" w:cs="宋体"/>
          <w:color w:val="auto"/>
          <w:highlight w:val="none"/>
        </w:rPr>
      </w:pPr>
      <w:r>
        <w:rPr>
          <w:rFonts w:hint="eastAsia"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32"/>
        <w:rPr>
          <w:rFonts w:hint="eastAsia" w:ascii="宋体" w:hAnsi="宋体" w:cs="宋体"/>
          <w:color w:val="auto"/>
          <w:highlight w:val="none"/>
        </w:rPr>
      </w:pPr>
      <w:r>
        <w:rPr>
          <w:rFonts w:hint="eastAsia" w:ascii="宋体" w:hAnsi="宋体" w:cs="宋体"/>
          <w:color w:val="auto"/>
          <w:highlight w:val="none"/>
        </w:rPr>
      </w:r>
      <w:r/>
    </w:p>
    <w:p>
      <w:pPr>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spacing w:line="360" w:lineRule="auto"/>
        <w:rPr>
          <w:rFonts w:hint="eastAsia" w:ascii="仿宋" w:hAnsi="仿宋" w:eastAsia="仿宋" w:cs="仿宋"/>
          <w:b/>
          <w:color w:val="auto"/>
          <w:spacing w:val="6"/>
          <w:sz w:val="32"/>
          <w:szCs w:val="32"/>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、残疾人福利性单位声明函</w:t>
      </w:r>
      <w:r/>
    </w:p>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高作镇镇区公厕管护、主次干道清扫保洁、游园绿化服务项目</w:t>
      </w:r>
      <w:r/>
    </w:p>
    <w:p>
      <w:pPr>
        <w:jc w:val="left"/>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000000"/>
          <w:sz w:val="24"/>
          <w:lang w:eastAsia="zh-CN"/>
        </w:rPr>
        <w:t xml:space="preserve">JSZC-320324-XZSS-G2025-0002</w:t>
      </w:r>
      <w:r/>
    </w:p>
    <w:p>
      <w:pPr>
        <w:ind w:firstLine="504"/>
        <w:spacing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ind w:firstLine="504"/>
        <w:jc w:val="left"/>
        <w:spacing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4"/>
          <w:highlight w:val="none"/>
        </w:rPr>
        <w:t xml:space="preserve">〔2017〕141</w:t>
      </w:r>
      <w:r>
        <w:rPr>
          <w:rFonts w:hint="eastAsia" w:ascii="仿宋" w:hAnsi="仿宋" w:eastAsia="仿宋" w:cs="仿宋"/>
          <w:color w:val="auto"/>
          <w:spacing w:val="6"/>
          <w:sz w:val="24"/>
          <w:highlight w:val="none"/>
        </w:rPr>
        <w:t xml:space="preserve">号）的规定，本单位为符合条件的残疾人福利性单位，且本单位参加</w:t>
      </w:r>
      <w:r>
        <w:rPr>
          <w:rFonts w:hint="eastAsia" w:ascii="仿宋" w:hAnsi="仿宋" w:eastAsia="仿宋" w:cs="仿宋"/>
          <w:color w:val="auto"/>
          <w:sz w:val="24"/>
          <w:highlight w:val="none"/>
        </w:rPr>
        <w:t xml:space="preserve">______</w:t>
      </w:r>
      <w:r>
        <w:rPr>
          <w:rFonts w:hint="eastAsia" w:ascii="仿宋" w:hAnsi="仿宋" w:eastAsia="仿宋" w:cs="仿宋"/>
          <w:color w:val="auto"/>
          <w:spacing w:val="6"/>
          <w:sz w:val="24"/>
          <w:highlight w:val="none"/>
        </w:rPr>
        <w:t xml:space="preserve">单位的</w:t>
      </w:r>
      <w:r>
        <w:rPr>
          <w:rFonts w:hint="eastAsia" w:ascii="仿宋" w:hAnsi="仿宋" w:eastAsia="仿宋" w:cs="仿宋"/>
          <w:color w:val="auto"/>
          <w:sz w:val="24"/>
          <w:highlight w:val="none"/>
        </w:rPr>
        <w:t xml:space="preserve">______</w:t>
      </w:r>
      <w:r>
        <w:rPr>
          <w:rFonts w:hint="eastAsia" w:ascii="仿宋" w:hAnsi="仿宋" w:eastAsia="仿宋" w:cs="仿宋"/>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spacing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本单位对上述声明的真实性负责。如有虚假，将依法承担相应责任。</w:t>
      </w:r>
      <w:r/>
    </w:p>
    <w:p>
      <w:pPr>
        <w:ind w:firstLine="504"/>
        <w:spacing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ind w:firstLine="504"/>
        <w:spacing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ind w:firstLine="36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           （电子签章）</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6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6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4"/>
        <w:ind w:left="0" w:firstLine="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4"/>
        <w:ind w:left="0" w:firstLine="0"/>
        <w:rPr>
          <w:rFonts w:hint="eastAsia"/>
          <w:color w:val="auto"/>
          <w:highlight w:val="none"/>
          <w:lang w:val="en-US" w:eastAsia="zh-CN"/>
        </w:rPr>
      </w:pPr>
      <w:r>
        <w:rPr>
          <w:rFonts w:hint="eastAsia"/>
          <w:color w:val="auto"/>
          <w:highlight w:val="none"/>
          <w:lang w:val="en-US" w:eastAsia="zh-CN"/>
        </w:rPr>
      </w:r>
      <w:r/>
    </w:p>
    <w:sectPr>
      <w:headerReference w:type="default" r:id="rId11"/>
      <w:footerReference w:type="default" r:id="rId15"/>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FangSong">
    <w:panose1 w:val="02010609060101010101"/>
  </w:font>
  <w:font w:name="Symbol">
    <w:panose1 w:val="05050102010706020507"/>
  </w:font>
  <w:font w:name="Tahoma">
    <w:panose1 w:val="020B0604030504040204"/>
  </w:font>
  <w:font w:name="楷体_GB2312">
    <w:panose1 w:val="02010609060101010101"/>
  </w:font>
  <w:font w:name="华文楷体">
    <w:panose1 w:val="02010600040101010101"/>
  </w:font>
  <w:font w:name="Wingdings">
    <w:panose1 w:val="05000000000000000000"/>
  </w:font>
  <w:font w:name="仿宋">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shd w:val="nil" w:color="auto"/>
      <w:tabs>
        <w:tab w:val="clear" w:pos="7143" w:leader="none"/>
        <w:tab w:val="clear" w:pos="14287" w:leader="none"/>
      </w:tabs>
      <w:rPr>
        <w14:ligatures w14:val="none"/>
      </w:rPr>
    </w:pPr>
    <w:r>
      <w:rPr>
        <w14:ligatures w14:val="none"/>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rPr>
        <w:rStyle w:val="921"/>
      </w:rPr>
      <w:framePr w:wrap="around" w:vAnchor="text" w:hAnchor="margin" w:xAlign="center" w:y="1"/>
    </w:pPr>
    <w:r>
      <w:fldChar w:fldCharType="begin"/>
    </w:r>
    <w:r>
      <w:rPr>
        <w:rStyle w:val="921"/>
      </w:rPr>
      <w:instrText xml:space="preserve">PAGE  </w:instrText>
    </w:r>
    <w:r>
      <w:fldChar w:fldCharType="end"/>
    </w:r>
    <w:r/>
  </w:p>
  <w:p>
    <w:pPr>
      <w:pStyle w:val="9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left"/>
      <w:rPr>
        <w:rFonts w:ascii="隶书" w:eastAsia="隶书"/>
        <w:b/>
        <w:i/>
      </w:rPr>
    </w:pPr>
    <w:r>
      <w:rPr>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shd w:val="nil" w:color="auto"/>
      <w:tabs>
        <w:tab w:val="clear" w:pos="7143" w:leader="none"/>
        <w:tab w:val="clear" w:pos="14287" w:leader="none"/>
      </w:tabs>
      <w:rPr>
        <w14:ligatures w14:val="none"/>
      </w:rPr>
    </w:pPr>
    <w:r>
      <w:rPr>
        <w14:ligatures w14:val="none"/>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0"/>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778"/>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link w:val="10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5">
    <w:name w:val="Heading 1"/>
    <w:basedOn w:val="714"/>
    <w:next w:val="714"/>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unhideWhenUsed/>
    <w:qFormat/>
    <w:pPr>
      <w:ind w:left="1701" w:right="0" w:firstLine="0"/>
      <w:spacing w:after="57"/>
    </w:pPr>
  </w:style>
  <w:style w:type="paragraph" w:styleId="727">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annotation text"/>
    <w:basedOn w:val="714"/>
    <w:uiPriority w:val="99"/>
    <w:semiHidden/>
    <w:unhideWhenUsed/>
    <w:qFormat/>
    <w:pPr>
      <w:jc w:val="left"/>
    </w:pPr>
  </w:style>
  <w:style w:type="paragraph" w:styleId="729">
    <w:name w:val="Body Text"/>
    <w:basedOn w:val="714"/>
    <w:uiPriority w:val="0"/>
    <w:qFormat/>
    <w:pPr>
      <w:spacing w:after="120"/>
    </w:pPr>
    <w:rPr>
      <w:rFonts w:ascii="Calibri" w:hAnsi="Calibri"/>
    </w:rPr>
  </w:style>
  <w:style w:type="paragraph" w:styleId="730">
    <w:name w:val="Body Text Indent"/>
    <w:basedOn w:val="714"/>
    <w:next w:val="731"/>
    <w:uiPriority w:val="99"/>
    <w:unhideWhenUsed/>
    <w:qFormat/>
    <w:pPr>
      <w:ind w:left="420"/>
      <w:spacing w:after="120"/>
    </w:pPr>
  </w:style>
  <w:style w:type="paragraph" w:styleId="731">
    <w:name w:val="envelope return"/>
    <w:basedOn w:val="714"/>
    <w:uiPriority w:val="0"/>
    <w:qFormat/>
    <w:rPr>
      <w:rFonts w:ascii="Arial" w:hAnsi="Arial"/>
    </w:rPr>
  </w:style>
  <w:style w:type="paragraph" w:styleId="732">
    <w:name w:val="Block Text"/>
    <w:basedOn w:val="714"/>
    <w:next w:val="714"/>
    <w:uiPriority w:val="0"/>
    <w:qFormat/>
    <w:pPr>
      <w:ind w:left="256" w:right="6" w:firstLine="624"/>
    </w:pPr>
    <w:rPr>
      <w:rFonts w:eastAsia="仿宋_GB2312"/>
      <w:sz w:val="28"/>
      <w:szCs w:val="20"/>
    </w:rPr>
  </w:style>
  <w:style w:type="paragraph" w:styleId="733">
    <w:name w:val="toc 5"/>
    <w:basedOn w:val="714"/>
    <w:next w:val="714"/>
    <w:uiPriority w:val="39"/>
    <w:unhideWhenUsed/>
    <w:qFormat/>
    <w:pPr>
      <w:ind w:left="1134" w:right="0" w:firstLine="0"/>
      <w:spacing w:after="57"/>
    </w:pPr>
  </w:style>
  <w:style w:type="paragraph" w:styleId="734">
    <w:name w:val="toc 3"/>
    <w:basedOn w:val="714"/>
    <w:next w:val="714"/>
    <w:uiPriority w:val="39"/>
    <w:unhideWhenUsed/>
    <w:qFormat/>
    <w:pPr>
      <w:ind w:left="567" w:right="0" w:firstLine="0"/>
      <w:spacing w:after="57"/>
    </w:pPr>
  </w:style>
  <w:style w:type="paragraph" w:styleId="735">
    <w:name w:val="Plain Text"/>
    <w:basedOn w:val="714"/>
    <w:uiPriority w:val="0"/>
    <w:qFormat/>
    <w:rPr>
      <w:rFonts w:ascii="宋体" w:hAnsi="Courier New"/>
      <w:szCs w:val="20"/>
    </w:rPr>
  </w:style>
  <w:style w:type="paragraph" w:styleId="736">
    <w:name w:val="toc 8"/>
    <w:basedOn w:val="714"/>
    <w:next w:val="714"/>
    <w:uiPriority w:val="39"/>
    <w:unhideWhenUsed/>
    <w:qFormat/>
    <w:pPr>
      <w:ind w:left="1984" w:right="0" w:firstLine="0"/>
      <w:spacing w:after="57"/>
    </w:pPr>
  </w:style>
  <w:style w:type="paragraph" w:styleId="737">
    <w:name w:val="endnote text"/>
    <w:basedOn w:val="714"/>
    <w:uiPriority w:val="99"/>
    <w:semiHidden/>
    <w:unhideWhenUsed/>
    <w:qFormat/>
    <w:pPr>
      <w:spacing w:after="0" w:line="240" w:lineRule="auto"/>
    </w:pPr>
    <w:rPr>
      <w:sz w:val="20"/>
    </w:rPr>
  </w:style>
  <w:style w:type="paragraph" w:styleId="738">
    <w:name w:val="Footer"/>
    <w:basedOn w:val="714"/>
    <w:uiPriority w:val="99"/>
    <w:unhideWhenUsed/>
    <w:qFormat/>
    <w:pPr>
      <w:spacing w:after="0" w:line="240" w:lineRule="auto"/>
      <w:tabs>
        <w:tab w:val="center" w:pos="7143" w:leader="none"/>
        <w:tab w:val="right" w:pos="14287" w:leader="none"/>
      </w:tabs>
    </w:pPr>
  </w:style>
  <w:style w:type="paragraph" w:styleId="739">
    <w:name w:val="Header"/>
    <w:basedOn w:val="714"/>
    <w:uiPriority w:val="99"/>
    <w:unhideWhenUsed/>
    <w:qFormat/>
    <w:pPr>
      <w:spacing w:after="0" w:line="240" w:lineRule="auto"/>
      <w:tabs>
        <w:tab w:val="center" w:pos="7143" w:leader="none"/>
        <w:tab w:val="right" w:pos="14287" w:leader="none"/>
      </w:tabs>
    </w:pPr>
  </w:style>
  <w:style w:type="paragraph" w:styleId="740">
    <w:name w:val="toc 1"/>
    <w:basedOn w:val="714"/>
    <w:next w:val="714"/>
    <w:uiPriority w:val="39"/>
    <w:unhideWhenUsed/>
    <w:qFormat/>
    <w:pPr>
      <w:ind w:left="0" w:right="0" w:firstLine="0"/>
      <w:spacing w:after="57"/>
    </w:pPr>
  </w:style>
  <w:style w:type="paragraph" w:styleId="741">
    <w:name w:val="toc 4"/>
    <w:basedOn w:val="714"/>
    <w:next w:val="714"/>
    <w:uiPriority w:val="39"/>
    <w:unhideWhenUsed/>
    <w:qFormat/>
    <w:pPr>
      <w:ind w:left="850" w:right="0" w:firstLine="0"/>
      <w:spacing w:after="57"/>
    </w:pPr>
  </w:style>
  <w:style w:type="paragraph" w:styleId="742">
    <w:name w:val="Subtitle"/>
    <w:basedOn w:val="714"/>
    <w:next w:val="714"/>
    <w:uiPriority w:val="11"/>
    <w:qFormat/>
    <w:pPr>
      <w:spacing w:before="200" w:after="200"/>
    </w:pPr>
    <w:rPr>
      <w:sz w:val="24"/>
      <w:szCs w:val="24"/>
    </w:rPr>
  </w:style>
  <w:style w:type="paragraph" w:styleId="743">
    <w:name w:val="footnote text"/>
    <w:basedOn w:val="714"/>
    <w:uiPriority w:val="99"/>
    <w:semiHidden/>
    <w:unhideWhenUsed/>
    <w:qFormat/>
    <w:pPr>
      <w:spacing w:after="40" w:line="240" w:lineRule="auto"/>
    </w:pPr>
    <w:rPr>
      <w:sz w:val="18"/>
    </w:rPr>
  </w:style>
  <w:style w:type="paragraph" w:styleId="744">
    <w:name w:val="toc 6"/>
    <w:basedOn w:val="714"/>
    <w:next w:val="714"/>
    <w:uiPriority w:val="39"/>
    <w:unhideWhenUsed/>
    <w:qFormat/>
    <w:pPr>
      <w:ind w:left="1417" w:right="0" w:firstLine="0"/>
      <w:spacing w:after="57"/>
    </w:pPr>
  </w:style>
  <w:style w:type="paragraph" w:styleId="745">
    <w:name w:val="table of figures"/>
    <w:basedOn w:val="714"/>
    <w:next w:val="714"/>
    <w:uiPriority w:val="99"/>
    <w:unhideWhenUsed/>
    <w:qFormat/>
    <w:pPr>
      <w:spacing w:after="0" w:afterAutospacing="0"/>
    </w:pPr>
  </w:style>
  <w:style w:type="paragraph" w:styleId="746">
    <w:name w:val="toc 2"/>
    <w:basedOn w:val="714"/>
    <w:next w:val="714"/>
    <w:uiPriority w:val="39"/>
    <w:unhideWhenUsed/>
    <w:qFormat/>
    <w:pPr>
      <w:ind w:left="283" w:right="0" w:firstLine="0"/>
      <w:spacing w:after="57"/>
    </w:pPr>
  </w:style>
  <w:style w:type="paragraph" w:styleId="747">
    <w:name w:val="toc 9"/>
    <w:basedOn w:val="714"/>
    <w:next w:val="714"/>
    <w:uiPriority w:val="39"/>
    <w:unhideWhenUsed/>
    <w:qFormat/>
    <w:pPr>
      <w:ind w:left="2268" w:right="0" w:firstLine="0"/>
      <w:spacing w:after="57"/>
    </w:pPr>
  </w:style>
  <w:style w:type="paragraph" w:styleId="748">
    <w:name w:val="Title"/>
    <w:basedOn w:val="714"/>
    <w:next w:val="714"/>
    <w:uiPriority w:val="10"/>
    <w:qFormat/>
    <w:pPr>
      <w:contextualSpacing/>
      <w:spacing w:before="300" w:after="200"/>
    </w:pPr>
    <w:rPr>
      <w:sz w:val="48"/>
      <w:szCs w:val="48"/>
    </w:rPr>
  </w:style>
  <w:style w:type="paragraph" w:styleId="749">
    <w:name w:val="Body Text First Indent"/>
    <w:basedOn w:val="729"/>
    <w:next w:val="750"/>
    <w:uiPriority w:val="99"/>
    <w:semiHidden/>
    <w:unhideWhenUsed/>
    <w:qFormat/>
    <w:pPr>
      <w:ind w:firstLine="420"/>
    </w:pPr>
    <w:rPr>
      <w:szCs w:val="22"/>
    </w:rPr>
  </w:style>
  <w:style w:type="paragraph" w:styleId="750">
    <w:name w:val="Body Text First Indent 2"/>
    <w:basedOn w:val="751"/>
    <w:uiPriority w:val="0"/>
    <w:qFormat/>
    <w:pPr>
      <w:ind w:firstLine="420"/>
    </w:pPr>
    <w:rPr>
      <w:rFonts w:ascii="Times New Roman" w:hAnsi="Times New Roman"/>
    </w:rPr>
  </w:style>
  <w:style w:type="paragraph" w:styleId="751" w:customStyle="1">
    <w:name w:val="正文缩进1"/>
    <w:basedOn w:val="752"/>
    <w:next w:val="763"/>
    <w:uiPriority w:val="0"/>
    <w:qFormat/>
    <w:pPr>
      <w:ind w:firstLine="420"/>
    </w:pPr>
  </w:style>
  <w:style w:type="paragraph" w:styleId="752" w:customStyle="1">
    <w:name w:val="正文111"/>
    <w:next w:val="753"/>
    <w:uiPriority w:val="0"/>
    <w:qFormat/>
    <w:rPr>
      <w:rFonts w:hint="default" w:ascii="Times New Roman" w:hAnsi="Times New Roman" w:eastAsia="宋体" w:cs="Times New Roman"/>
      <w:lang w:val="en-US" w:eastAsia="zh-CN" w:bidi="ar-SA"/>
    </w:rPr>
  </w:style>
  <w:style w:type="paragraph" w:styleId="753" w:customStyle="1">
    <w:name w:val="正文文本缩进11"/>
    <w:basedOn w:val="754"/>
    <w:next w:val="761"/>
    <w:uiPriority w:val="0"/>
    <w:qFormat/>
    <w:pPr>
      <w:ind w:left="420"/>
      <w:spacing w:after="120"/>
    </w:pPr>
  </w:style>
  <w:style w:type="paragraph" w:styleId="754" w:customStyle="1">
    <w:name w:val="正文112"/>
    <w:next w:val="7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customStyle="1">
    <w:name w:val="正文首行缩进1"/>
    <w:basedOn w:val="756"/>
    <w:next w:val="760"/>
    <w:uiPriority w:val="0"/>
    <w:qFormat/>
    <w:pPr>
      <w:ind w:firstLine="420"/>
    </w:pPr>
  </w:style>
  <w:style w:type="paragraph" w:styleId="756" w:customStyle="1">
    <w:name w:val="正文文本1"/>
    <w:basedOn w:val="757"/>
    <w:next w:val="757"/>
    <w:uiPriority w:val="0"/>
    <w:qFormat/>
    <w:pPr>
      <w:spacing w:after="120"/>
    </w:pPr>
  </w:style>
  <w:style w:type="paragraph" w:styleId="757" w:customStyle="1">
    <w:name w:val="正文1"/>
    <w:basedOn w:val="758"/>
    <w:next w:val="755"/>
    <w:uiPriority w:val="0"/>
    <w:qFormat/>
    <w:rPr>
      <w:rFonts w:hint="default" w:ascii="Times New Roman" w:hAnsi="Times New Roman" w:eastAsia="宋体" w:cs="Times New Roman"/>
      <w:lang w:val="en-US" w:eastAsia="zh-CN" w:bidi="ar-SA"/>
    </w:rPr>
  </w:style>
  <w:style w:type="paragraph" w:styleId="758" w:customStyle="1">
    <w:name w:val="正文12"/>
    <w:next w:val="7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customStyle="1">
    <w:name w:val="文本块11"/>
    <w:basedOn w:val="714"/>
    <w:uiPriority w:val="6"/>
    <w:qFormat/>
    <w:pPr>
      <w:ind w:left="256" w:right="6" w:firstLine="624"/>
    </w:pPr>
    <w:rPr>
      <w:rFonts w:eastAsia="仿宋"/>
      <w:sz w:val="28"/>
    </w:rPr>
  </w:style>
  <w:style w:type="paragraph" w:styleId="760" w:customStyle="1">
    <w:name w:val="正文首行缩进 211"/>
    <w:basedOn w:val="753"/>
    <w:next w:val="754"/>
    <w:uiPriority w:val="0"/>
    <w:qFormat/>
    <w:pPr>
      <w:ind w:firstLine="420"/>
    </w:pPr>
    <w:rPr>
      <w:rFonts w:ascii="Times New Roman" w:hAnsi="Times New Roman"/>
    </w:rPr>
  </w:style>
  <w:style w:type="paragraph" w:styleId="761" w:customStyle="1">
    <w:name w:val="样式 正文文本缩进 + 首行缩进:  2 字符 行距: 1.5 倍行距"/>
    <w:basedOn w:val="762"/>
    <w:uiPriority w:val="0"/>
    <w:qFormat/>
    <w:pPr>
      <w:ind w:firstLine="645"/>
      <w:spacing w:before="156" w:after="120"/>
    </w:pPr>
    <w:rPr>
      <w:rFonts w:ascii="Calibri" w:hAnsi="Calibri"/>
      <w:sz w:val="28"/>
    </w:rPr>
  </w:style>
  <w:style w:type="paragraph" w:styleId="762" w:customStyle="1">
    <w:name w:val="正文文本缩进1"/>
    <w:basedOn w:val="763"/>
    <w:next w:val="765"/>
    <w:uiPriority w:val="99"/>
    <w:unhideWhenUsed/>
    <w:qFormat/>
    <w:pPr>
      <w:ind w:firstLine="425"/>
      <w:spacing w:line="360" w:lineRule="auto"/>
    </w:pPr>
  </w:style>
  <w:style w:type="paragraph" w:styleId="763" w:customStyle="1">
    <w:name w:val="正文11"/>
    <w:next w:val="7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4" w:customStyle="1">
    <w:name w:val="文本块1"/>
    <w:basedOn w:val="763"/>
    <w:uiPriority w:val="6"/>
    <w:qFormat/>
    <w:pPr>
      <w:ind w:left="256" w:right="6" w:firstLine="624"/>
    </w:pPr>
    <w:rPr>
      <w:rFonts w:eastAsia="仿宋"/>
      <w:sz w:val="28"/>
      <w:szCs w:val="20"/>
    </w:rPr>
  </w:style>
  <w:style w:type="paragraph" w:styleId="765" w:customStyle="1">
    <w:name w:val="寄信人地址1"/>
    <w:basedOn w:val="714"/>
    <w:uiPriority w:val="99"/>
    <w:unhideWhenUsed/>
    <w:qFormat/>
    <w:rPr>
      <w:rFonts w:ascii="Arial" w:hAnsi="Arial"/>
    </w:rPr>
  </w:style>
  <w:style w:type="table" w:styleId="76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endnote reference"/>
    <w:uiPriority w:val="99"/>
    <w:semiHidden/>
    <w:unhideWhenUsed/>
    <w:qFormat/>
    <w:rPr>
      <w:vertAlign w:val="superscript"/>
    </w:rPr>
  </w:style>
  <w:style w:type="character" w:styleId="768">
    <w:name w:val="page number"/>
    <w:basedOn w:val="724"/>
    <w:uiPriority w:val="0"/>
    <w:qFormat/>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footnote reference"/>
    <w:uiPriority w:val="99"/>
    <w:unhideWhenUsed/>
    <w:qFormat/>
    <w:rPr>
      <w:vertAlign w:val="superscript"/>
    </w:rPr>
  </w:style>
  <w:style w:type="paragraph" w:styleId="771" w:customStyle="1">
    <w:name w:val="_Style 2"/>
    <w:next w:val="714"/>
    <w:uiPriority w:val="0"/>
    <w:qFormat/>
    <w:pPr>
      <w:keepLines/>
      <w:keepNext/>
      <w:spacing w:before="480" w:after="200"/>
      <w:outlineLvl w:val="9"/>
    </w:pPr>
    <w:rPr>
      <w:rFonts w:hint="default" w:ascii="Arial" w:hAnsi="Arial" w:eastAsia="Arial" w:cs="Times New Roman"/>
      <w:sz w:val="40"/>
      <w:szCs w:val="40"/>
      <w:lang w:val="en-US" w:eastAsia="zh-CN" w:bidi="ar-SA"/>
    </w:rPr>
  </w:style>
  <w:style w:type="paragraph" w:styleId="77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773" w:customStyle="1">
    <w:name w:val="一级条标题"/>
    <w:basedOn w:val="774"/>
    <w:next w:val="77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4" w:customStyle="1">
    <w:name w:val="章标题"/>
    <w:next w:val="71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75" w:customStyle="1">
    <w:name w:val="段"/>
    <w:basedOn w:val="757"/>
    <w:next w:val="714"/>
    <w:uiPriority w:val="0"/>
    <w:qFormat/>
    <w:pPr>
      <w:ind w:firstLine="200"/>
      <w:widowControl/>
    </w:pPr>
    <w:rPr>
      <w:rFonts w:hint="eastAsia" w:ascii="宋体"/>
      <w:sz w:val="20"/>
      <w:szCs w:val="20"/>
    </w:rPr>
  </w:style>
  <w:style w:type="paragraph" w:styleId="776" w:customStyle="1">
    <w:name w:val="目录 111"/>
    <w:basedOn w:val="714"/>
    <w:next w:val="714"/>
    <w:uiPriority w:val="39"/>
    <w:unhideWhenUsed/>
    <w:qFormat/>
    <w:pPr>
      <w:spacing w:after="57"/>
    </w:pPr>
  </w:style>
  <w:style w:type="paragraph" w:styleId="777" w:customStyle="1">
    <w:name w:val="首行缩进"/>
    <w:basedOn w:val="714"/>
    <w:uiPriority w:val="0"/>
    <w:qFormat/>
    <w:pPr>
      <w:ind w:firstLine="420"/>
      <w:spacing w:line="360" w:lineRule="auto"/>
    </w:pPr>
    <w:rPr>
      <w:sz w:val="21"/>
    </w:rPr>
  </w:style>
  <w:style w:type="paragraph" w:styleId="778" w:customStyle="1">
    <w:name w:val="标题 41"/>
    <w:basedOn w:val="758"/>
    <w:next w:val="763"/>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79" w:customStyle="1">
    <w:name w:val="脚注文本1"/>
    <w:basedOn w:val="757"/>
    <w:next w:val="780"/>
    <w:uiPriority w:val="0"/>
    <w:qFormat/>
    <w:rPr>
      <w:rFonts w:ascii="宋体" w:eastAsia="Times New Roman"/>
      <w:sz w:val="18"/>
      <w:szCs w:val="18"/>
    </w:rPr>
  </w:style>
  <w:style w:type="paragraph" w:styleId="780" w:customStyle="1">
    <w:name w:val="索引 51"/>
    <w:basedOn w:val="714"/>
    <w:next w:val="757"/>
    <w:uiPriority w:val="0"/>
    <w:qFormat/>
    <w:pPr>
      <w:ind w:left="798"/>
      <w:jc w:val="left"/>
    </w:pPr>
    <w:rPr>
      <w:rFonts w:ascii="Calibri" w:hAnsi="Calibri"/>
    </w:rPr>
  </w:style>
  <w:style w:type="paragraph" w:styleId="781" w:customStyle="1">
    <w:name w:val="脚注文本11"/>
    <w:basedOn w:val="714"/>
    <w:next w:val="782"/>
    <w:uiPriority w:val="99"/>
    <w:unhideWhenUsed/>
    <w:qFormat/>
    <w:pPr>
      <w:spacing w:after="40"/>
    </w:pPr>
    <w:rPr>
      <w:sz w:val="18"/>
    </w:rPr>
  </w:style>
  <w:style w:type="paragraph" w:styleId="782" w:customStyle="1">
    <w:name w:val="索引 511"/>
    <w:basedOn w:val="714"/>
    <w:next w:val="714"/>
    <w:uiPriority w:val="0"/>
    <w:qFormat/>
    <w:pPr>
      <w:ind w:left="798"/>
      <w:jc w:val="left"/>
    </w:pPr>
    <w:rPr>
      <w:rFonts w:ascii="Calibri" w:hAnsi="Calibri"/>
      <w:sz w:val="21"/>
    </w:rPr>
  </w:style>
  <w:style w:type="paragraph" w:styleId="783" w:customStyle="1">
    <w:name w:val="正文文本11"/>
    <w:basedOn w:val="754"/>
    <w:uiPriority w:val="0"/>
    <w:qFormat/>
    <w:pPr>
      <w:spacing w:after="120"/>
    </w:pPr>
  </w:style>
  <w:style w:type="paragraph" w:styleId="784" w:customStyle="1">
    <w:name w:val="正文首行缩进 21"/>
    <w:basedOn w:val="762"/>
    <w:uiPriority w:val="0"/>
    <w:qFormat/>
    <w:pPr>
      <w:ind w:firstLine="420"/>
    </w:pPr>
    <w:rPr>
      <w:rFonts w:ascii="宋体" w:hAnsi="宋体"/>
      <w:sz w:val="20"/>
      <w:szCs w:val="20"/>
    </w:rPr>
  </w:style>
  <w:style w:type="paragraph" w:styleId="785" w:customStyle="1">
    <w:name w:val="正文首行缩进11"/>
    <w:basedOn w:val="783"/>
    <w:next w:val="760"/>
    <w:uiPriority w:val="0"/>
    <w:qFormat/>
    <w:pPr>
      <w:ind w:firstLine="420"/>
    </w:pPr>
    <w:rPr>
      <w:rFonts w:ascii="仿宋_GB2312" w:eastAsia="仿宋_GB2312"/>
      <w:sz w:val="30"/>
      <w:szCs w:val="30"/>
    </w:rPr>
  </w:style>
  <w:style w:type="paragraph" w:styleId="786" w:customStyle="1">
    <w:name w:val="寄信人地址11"/>
    <w:basedOn w:val="763"/>
    <w:uiPriority w:val="0"/>
    <w:qFormat/>
    <w:rPr>
      <w:rFonts w:ascii="Arial" w:hAnsi="Arial"/>
    </w:rPr>
  </w:style>
  <w:style w:type="paragraph" w:styleId="787" w:customStyle="1">
    <w:name w:val="正文文本111"/>
    <w:basedOn w:val="714"/>
    <w:next w:val="758"/>
    <w:uiPriority w:val="0"/>
    <w:qFormat/>
    <w:rPr>
      <w:rFonts w:ascii="楷体_GB2312" w:hAnsi="Arial" w:eastAsia="楷体_GB2312"/>
      <w:sz w:val="28"/>
      <w:szCs w:val="28"/>
      <w:lang w:eastAsia="en-US"/>
    </w:rPr>
  </w:style>
  <w:style w:type="paragraph" w:styleId="788" w:customStyle="1">
    <w:name w:val="目录 11"/>
    <w:basedOn w:val="758"/>
    <w:next w:val="757"/>
    <w:uiPriority w:val="0"/>
    <w:qFormat/>
    <w:pPr>
      <w:jc w:val="left"/>
      <w:spacing w:after="100" w:line="259" w:lineRule="auto"/>
      <w:widowControl/>
    </w:pPr>
    <w:rPr>
      <w:rFonts w:ascii="Calibri" w:hAnsi="Calibri"/>
      <w:sz w:val="22"/>
      <w:szCs w:val="22"/>
    </w:rPr>
  </w:style>
  <w:style w:type="paragraph" w:styleId="789">
    <w:name w:val="List Paragraph"/>
    <w:basedOn w:val="714"/>
    <w:uiPriority w:val="34"/>
    <w:qFormat/>
    <w:pPr>
      <w:contextualSpacing/>
      <w:ind w:left="720"/>
    </w:pPr>
  </w:style>
  <w:style w:type="paragraph" w:styleId="790">
    <w:name w:val="No Spacing"/>
    <w:uiPriority w:val="1"/>
    <w:qFormat/>
    <w:pPr>
      <w:spacing w:before="0" w:after="0" w:line="240" w:lineRule="auto"/>
    </w:pPr>
    <w:rPr>
      <w:rFonts w:hint="default" w:ascii="Times New Roman" w:hAnsi="Times New Roman" w:eastAsia="宋体" w:cs="Times New Roman"/>
    </w:rPr>
  </w:style>
  <w:style w:type="paragraph" w:styleId="791">
    <w:name w:val="Quote"/>
    <w:basedOn w:val="714"/>
    <w:next w:val="714"/>
    <w:uiPriority w:val="29"/>
    <w:qFormat/>
    <w:pPr>
      <w:ind w:left="720" w:right="720"/>
    </w:pPr>
    <w:rPr>
      <w:i/>
    </w:rPr>
  </w:style>
  <w:style w:type="paragraph" w:styleId="792">
    <w:name w:val="Intense Quote"/>
    <w:basedOn w:val="714"/>
    <w:next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3" w:customStyle="1">
    <w:name w:val="标题 111"/>
    <w:basedOn w:val="714"/>
    <w:next w:val="763"/>
    <w:uiPriority w:val="9"/>
    <w:qFormat/>
    <w:pPr>
      <w:keepLines/>
      <w:keepNext/>
      <w:spacing w:before="480" w:after="200"/>
      <w:outlineLvl w:val="0"/>
    </w:pPr>
    <w:rPr>
      <w:rFonts w:ascii="Arial" w:hAnsi="Arial" w:eastAsia="Arial" w:cs="Arial"/>
      <w:sz w:val="40"/>
      <w:szCs w:val="40"/>
    </w:rPr>
  </w:style>
  <w:style w:type="paragraph" w:styleId="794" w:customStyle="1">
    <w:name w:val="标题 211"/>
    <w:basedOn w:val="714"/>
    <w:next w:val="714"/>
    <w:uiPriority w:val="9"/>
    <w:qFormat/>
    <w:pPr>
      <w:keepLines/>
      <w:keepNext/>
      <w:spacing w:before="360" w:after="200"/>
      <w:outlineLvl w:val="1"/>
    </w:pPr>
    <w:rPr>
      <w:rFonts w:ascii="Arial" w:hAnsi="Arial" w:eastAsia="Arial" w:cs="Arial"/>
      <w:sz w:val="34"/>
    </w:rPr>
  </w:style>
  <w:style w:type="paragraph" w:styleId="795" w:customStyle="1">
    <w:name w:val="标题 3111"/>
    <w:basedOn w:val="714"/>
    <w:next w:val="714"/>
    <w:uiPriority w:val="9"/>
    <w:qFormat/>
    <w:pPr>
      <w:keepLines/>
      <w:keepNext/>
      <w:spacing w:before="320" w:after="200"/>
      <w:outlineLvl w:val="2"/>
    </w:pPr>
    <w:rPr>
      <w:rFonts w:ascii="Arial" w:hAnsi="Arial" w:eastAsia="Arial" w:cs="Arial"/>
      <w:sz w:val="30"/>
      <w:szCs w:val="30"/>
    </w:rPr>
  </w:style>
  <w:style w:type="paragraph" w:styleId="796" w:customStyle="1">
    <w:name w:val="标题 411"/>
    <w:basedOn w:val="714"/>
    <w:next w:val="714"/>
    <w:uiPriority w:val="9"/>
    <w:qFormat/>
    <w:pPr>
      <w:keepLines/>
      <w:keepNext/>
      <w:spacing w:before="320" w:after="200"/>
      <w:outlineLvl w:val="3"/>
    </w:pPr>
    <w:rPr>
      <w:rFonts w:ascii="Arial" w:hAnsi="Arial" w:eastAsia="Arial" w:cs="Arial"/>
      <w:b/>
      <w:bCs/>
      <w:sz w:val="26"/>
      <w:szCs w:val="26"/>
    </w:rPr>
  </w:style>
  <w:style w:type="paragraph" w:styleId="797" w:customStyle="1">
    <w:name w:val="标题 511"/>
    <w:basedOn w:val="714"/>
    <w:next w:val="714"/>
    <w:uiPriority w:val="9"/>
    <w:qFormat/>
    <w:pPr>
      <w:keepLines/>
      <w:keepNext/>
      <w:spacing w:before="320" w:after="200"/>
      <w:outlineLvl w:val="4"/>
    </w:pPr>
    <w:rPr>
      <w:rFonts w:ascii="Arial" w:hAnsi="Arial" w:eastAsia="Arial" w:cs="Arial"/>
      <w:b/>
      <w:bCs/>
      <w:sz w:val="24"/>
    </w:rPr>
  </w:style>
  <w:style w:type="paragraph" w:styleId="798" w:customStyle="1">
    <w:name w:val="标题 611"/>
    <w:basedOn w:val="714"/>
    <w:next w:val="714"/>
    <w:uiPriority w:val="9"/>
    <w:qFormat/>
    <w:pPr>
      <w:keepLines/>
      <w:keepNext/>
      <w:spacing w:before="320" w:after="200"/>
      <w:outlineLvl w:val="5"/>
    </w:pPr>
    <w:rPr>
      <w:rFonts w:ascii="Arial" w:hAnsi="Arial" w:eastAsia="Arial" w:cs="Arial"/>
      <w:b/>
      <w:bCs/>
      <w:sz w:val="22"/>
      <w:szCs w:val="22"/>
    </w:rPr>
  </w:style>
  <w:style w:type="paragraph" w:styleId="799" w:customStyle="1">
    <w:name w:val="标题 711"/>
    <w:basedOn w:val="714"/>
    <w:next w:val="714"/>
    <w:uiPriority w:val="9"/>
    <w:qFormat/>
    <w:pPr>
      <w:keepLines/>
      <w:keepNext/>
      <w:spacing w:before="320" w:after="200"/>
      <w:outlineLvl w:val="6"/>
    </w:pPr>
    <w:rPr>
      <w:rFonts w:ascii="Arial" w:hAnsi="Arial" w:eastAsia="Arial" w:cs="Arial"/>
      <w:b/>
      <w:bCs/>
      <w:i/>
      <w:iCs/>
      <w:sz w:val="22"/>
      <w:szCs w:val="22"/>
    </w:rPr>
  </w:style>
  <w:style w:type="paragraph" w:styleId="800" w:customStyle="1">
    <w:name w:val="标题 811"/>
    <w:basedOn w:val="714"/>
    <w:next w:val="714"/>
    <w:uiPriority w:val="9"/>
    <w:qFormat/>
    <w:pPr>
      <w:keepLines/>
      <w:keepNext/>
      <w:spacing w:before="320" w:after="200"/>
      <w:outlineLvl w:val="7"/>
    </w:pPr>
    <w:rPr>
      <w:rFonts w:ascii="Arial" w:hAnsi="Arial" w:eastAsia="Arial" w:cs="Arial"/>
      <w:i/>
      <w:iCs/>
      <w:sz w:val="22"/>
      <w:szCs w:val="22"/>
    </w:rPr>
  </w:style>
  <w:style w:type="paragraph" w:styleId="801" w:customStyle="1">
    <w:name w:val="标题 911"/>
    <w:basedOn w:val="714"/>
    <w:next w:val="714"/>
    <w:uiPriority w:val="9"/>
    <w:qFormat/>
    <w:pPr>
      <w:keepLines/>
      <w:keepNext/>
      <w:spacing w:before="320" w:after="200"/>
      <w:outlineLvl w:val="8"/>
    </w:pPr>
    <w:rPr>
      <w:rFonts w:ascii="Arial" w:hAnsi="Arial" w:eastAsia="Arial" w:cs="Arial"/>
      <w:i/>
      <w:iCs/>
      <w:szCs w:val="21"/>
    </w:rPr>
  </w:style>
  <w:style w:type="character" w:styleId="802" w:customStyle="1">
    <w:name w:val="默认段落字体11"/>
    <w:link w:val="714"/>
    <w:uiPriority w:val="1"/>
    <w:unhideWhenUsed/>
    <w:qFormat/>
  </w:style>
  <w:style w:type="table" w:styleId="803" w:customStyle="1">
    <w:name w:val="普通表格11"/>
    <w:uiPriority w:val="99"/>
    <w:unhideWhenUsed/>
    <w:qFormat/>
    <w:tblPr/>
  </w:style>
  <w:style w:type="paragraph" w:styleId="804" w:customStyle="1">
    <w:name w:val="信息标题1"/>
    <w:basedOn w:val="714"/>
    <w:next w:val="805"/>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05" w:customStyle="1">
    <w:name w:val="正文文本12"/>
    <w:basedOn w:val="714"/>
    <w:next w:val="714"/>
    <w:uiPriority w:val="99"/>
    <w:qFormat/>
    <w:pPr>
      <w:spacing w:after="120"/>
    </w:pPr>
  </w:style>
  <w:style w:type="paragraph" w:styleId="806" w:customStyle="1">
    <w:name w:val="目录 711"/>
    <w:basedOn w:val="714"/>
    <w:next w:val="714"/>
    <w:uiPriority w:val="39"/>
    <w:unhideWhenUsed/>
    <w:qFormat/>
    <w:pPr>
      <w:ind w:left="1701"/>
      <w:spacing w:after="57"/>
    </w:pPr>
  </w:style>
  <w:style w:type="paragraph" w:styleId="807" w:customStyle="1">
    <w:name w:val="题注11"/>
    <w:basedOn w:val="714"/>
    <w:next w:val="714"/>
    <w:uiPriority w:val="35"/>
    <w:qFormat/>
    <w:pPr>
      <w:spacing w:line="276" w:lineRule="auto"/>
    </w:pPr>
    <w:rPr>
      <w:b/>
      <w:bCs/>
      <w:color w:val="4f81bd"/>
      <w:sz w:val="18"/>
      <w:szCs w:val="18"/>
    </w:rPr>
  </w:style>
  <w:style w:type="paragraph" w:styleId="808" w:customStyle="1">
    <w:name w:val="批注文字11"/>
    <w:basedOn w:val="714"/>
    <w:uiPriority w:val="0"/>
    <w:qFormat/>
    <w:pPr>
      <w:jc w:val="left"/>
    </w:pPr>
  </w:style>
  <w:style w:type="paragraph" w:styleId="809" w:customStyle="1">
    <w:name w:val="目录 511"/>
    <w:basedOn w:val="714"/>
    <w:next w:val="714"/>
    <w:uiPriority w:val="39"/>
    <w:unhideWhenUsed/>
    <w:qFormat/>
    <w:pPr>
      <w:ind w:left="1134"/>
      <w:spacing w:after="57"/>
    </w:pPr>
  </w:style>
  <w:style w:type="paragraph" w:styleId="810" w:customStyle="1">
    <w:name w:val="目录 311"/>
    <w:basedOn w:val="714"/>
    <w:next w:val="714"/>
    <w:uiPriority w:val="39"/>
    <w:unhideWhenUsed/>
    <w:qFormat/>
    <w:pPr>
      <w:ind w:left="567"/>
      <w:spacing w:after="57"/>
    </w:pPr>
  </w:style>
  <w:style w:type="paragraph" w:styleId="811" w:customStyle="1">
    <w:name w:val="目录 811"/>
    <w:basedOn w:val="714"/>
    <w:next w:val="714"/>
    <w:uiPriority w:val="39"/>
    <w:unhideWhenUsed/>
    <w:qFormat/>
    <w:pPr>
      <w:ind w:left="1984"/>
      <w:spacing w:after="57"/>
    </w:pPr>
  </w:style>
  <w:style w:type="paragraph" w:styleId="812" w:customStyle="1">
    <w:name w:val="尾注文本11"/>
    <w:basedOn w:val="714"/>
    <w:uiPriority w:val="99"/>
    <w:unhideWhenUsed/>
    <w:qFormat/>
    <w:rPr>
      <w:sz w:val="20"/>
    </w:rPr>
  </w:style>
  <w:style w:type="paragraph" w:styleId="813" w:customStyle="1">
    <w:name w:val="页脚11"/>
    <w:basedOn w:val="714"/>
    <w:uiPriority w:val="99"/>
    <w:unhideWhenUsed/>
    <w:qFormat/>
    <w:pPr>
      <w:tabs>
        <w:tab w:val="center" w:pos="7143" w:leader="none"/>
        <w:tab w:val="right" w:pos="14287" w:leader="none"/>
      </w:tabs>
    </w:pPr>
  </w:style>
  <w:style w:type="paragraph" w:styleId="814" w:customStyle="1">
    <w:name w:val="页眉11"/>
    <w:basedOn w:val="714"/>
    <w:uiPriority w:val="99"/>
    <w:unhideWhenUsed/>
    <w:qFormat/>
    <w:pPr>
      <w:tabs>
        <w:tab w:val="center" w:pos="7143" w:leader="none"/>
        <w:tab w:val="right" w:pos="14287" w:leader="none"/>
      </w:tabs>
    </w:pPr>
  </w:style>
  <w:style w:type="paragraph" w:styleId="815" w:customStyle="1">
    <w:name w:val="目录 1111"/>
    <w:basedOn w:val="714"/>
    <w:next w:val="714"/>
    <w:uiPriority w:val="39"/>
    <w:unhideWhenUsed/>
    <w:qFormat/>
    <w:pPr>
      <w:spacing w:after="57"/>
    </w:pPr>
  </w:style>
  <w:style w:type="paragraph" w:styleId="816" w:customStyle="1">
    <w:name w:val="目录 411"/>
    <w:basedOn w:val="714"/>
    <w:next w:val="714"/>
    <w:uiPriority w:val="39"/>
    <w:unhideWhenUsed/>
    <w:qFormat/>
    <w:pPr>
      <w:ind w:left="850"/>
      <w:spacing w:after="57"/>
    </w:pPr>
  </w:style>
  <w:style w:type="paragraph" w:styleId="817" w:customStyle="1">
    <w:name w:val="副标题11"/>
    <w:basedOn w:val="714"/>
    <w:next w:val="714"/>
    <w:uiPriority w:val="11"/>
    <w:qFormat/>
    <w:pPr>
      <w:spacing w:before="200" w:after="200"/>
    </w:pPr>
    <w:rPr>
      <w:sz w:val="24"/>
    </w:rPr>
  </w:style>
  <w:style w:type="paragraph" w:styleId="818" w:customStyle="1">
    <w:name w:val="目录 611"/>
    <w:basedOn w:val="714"/>
    <w:next w:val="714"/>
    <w:uiPriority w:val="39"/>
    <w:unhideWhenUsed/>
    <w:qFormat/>
    <w:pPr>
      <w:ind w:left="1417"/>
      <w:spacing w:after="57"/>
    </w:pPr>
  </w:style>
  <w:style w:type="paragraph" w:styleId="819" w:customStyle="1">
    <w:name w:val="图表目录11"/>
    <w:basedOn w:val="714"/>
    <w:next w:val="714"/>
    <w:uiPriority w:val="99"/>
    <w:unhideWhenUsed/>
    <w:qFormat/>
  </w:style>
  <w:style w:type="paragraph" w:styleId="820" w:customStyle="1">
    <w:name w:val="目录 211"/>
    <w:basedOn w:val="714"/>
    <w:next w:val="714"/>
    <w:uiPriority w:val="39"/>
    <w:unhideWhenUsed/>
    <w:qFormat/>
    <w:pPr>
      <w:ind w:left="283"/>
      <w:spacing w:after="57"/>
    </w:pPr>
  </w:style>
  <w:style w:type="paragraph" w:styleId="821" w:customStyle="1">
    <w:name w:val="目录 911"/>
    <w:basedOn w:val="714"/>
    <w:next w:val="714"/>
    <w:uiPriority w:val="39"/>
    <w:unhideWhenUsed/>
    <w:qFormat/>
    <w:pPr>
      <w:ind w:left="2268"/>
      <w:spacing w:after="57"/>
    </w:pPr>
  </w:style>
  <w:style w:type="paragraph" w:styleId="822" w:customStyle="1">
    <w:name w:val="普通(网站)12"/>
    <w:basedOn w:val="714"/>
    <w:uiPriority w:val="99"/>
    <w:qFormat/>
    <w:pPr>
      <w:jc w:val="left"/>
      <w:spacing w:before="100" w:beforeAutospacing="1" w:after="100" w:afterAutospacing="1"/>
      <w:widowControl/>
    </w:pPr>
    <w:rPr>
      <w:rFonts w:ascii="宋体" w:hAnsi="宋体" w:cs="宋体"/>
      <w:sz w:val="24"/>
    </w:rPr>
  </w:style>
  <w:style w:type="paragraph" w:styleId="823" w:customStyle="1">
    <w:name w:val="标题11"/>
    <w:basedOn w:val="714"/>
    <w:next w:val="714"/>
    <w:uiPriority w:val="10"/>
    <w:qFormat/>
    <w:pPr>
      <w:contextualSpacing/>
      <w:spacing w:before="300" w:after="200"/>
    </w:pPr>
    <w:rPr>
      <w:sz w:val="48"/>
      <w:szCs w:val="48"/>
    </w:rPr>
  </w:style>
  <w:style w:type="table" w:styleId="824" w:customStyle="1">
    <w:name w:val="网格型11"/>
    <w:uiPriority w:val="59"/>
    <w:qFormat/>
    <w:rPr>
      <w:lang w:val="en-US" w:eastAsia="zh-CN" w:bidi="ar-SA"/>
    </w:rPr>
    <w:tblPr/>
  </w:style>
  <w:style w:type="character" w:styleId="825" w:customStyle="1">
    <w:name w:val="要点1"/>
    <w:link w:val="714"/>
    <w:uiPriority w:val="0"/>
    <w:qFormat/>
    <w:rPr>
      <w:b/>
    </w:rPr>
  </w:style>
  <w:style w:type="character" w:styleId="826" w:customStyle="1">
    <w:name w:val="尾注引用11"/>
    <w:link w:val="714"/>
    <w:uiPriority w:val="99"/>
    <w:unhideWhenUsed/>
    <w:qFormat/>
    <w:rPr>
      <w:vertAlign w:val="superscript"/>
    </w:rPr>
  </w:style>
  <w:style w:type="character" w:styleId="827" w:customStyle="1">
    <w:name w:val="页码11"/>
    <w:link w:val="714"/>
    <w:uiPriority w:val="0"/>
    <w:qFormat/>
  </w:style>
  <w:style w:type="character" w:styleId="828" w:customStyle="1">
    <w:name w:val="已访问的超链接11"/>
    <w:link w:val="714"/>
    <w:uiPriority w:val="99"/>
    <w:unhideWhenUsed/>
    <w:qFormat/>
    <w:rPr>
      <w:color w:val="333333"/>
      <w:u w:val="none"/>
    </w:rPr>
  </w:style>
  <w:style w:type="character" w:styleId="829" w:customStyle="1">
    <w:name w:val="超链接11"/>
    <w:link w:val="714"/>
    <w:uiPriority w:val="99"/>
    <w:unhideWhenUsed/>
    <w:qFormat/>
    <w:rPr>
      <w:color w:val="333333"/>
      <w:u w:val="none"/>
    </w:rPr>
  </w:style>
  <w:style w:type="character" w:styleId="830" w:customStyle="1">
    <w:name w:val="批注引用11"/>
    <w:link w:val="714"/>
    <w:uiPriority w:val="99"/>
    <w:unhideWhenUsed/>
    <w:qFormat/>
    <w:rPr>
      <w:sz w:val="21"/>
      <w:szCs w:val="21"/>
    </w:rPr>
  </w:style>
  <w:style w:type="character" w:styleId="831" w:customStyle="1">
    <w:name w:val="脚注引用11"/>
    <w:link w:val="714"/>
    <w:uiPriority w:val="99"/>
    <w:unhideWhenUsed/>
    <w:qFormat/>
    <w:rPr>
      <w:vertAlign w:val="superscript"/>
    </w:rPr>
  </w:style>
  <w:style w:type="paragraph" w:styleId="832" w:customStyle="1">
    <w:name w:val="无格式"/>
    <w:uiPriority w:val="0"/>
    <w:qFormat/>
    <w:pPr>
      <w:jc w:val="both"/>
    </w:pPr>
    <w:rPr>
      <w:rFonts w:hint="default" w:ascii="宋体" w:hAnsi="宋体" w:eastAsia="宋体" w:cs="Times New Roman"/>
      <w:sz w:val="24"/>
      <w:szCs w:val="22"/>
      <w:lang w:val="en-US" w:eastAsia="zh-CN" w:bidi="ar-SA"/>
    </w:rPr>
  </w:style>
  <w:style w:type="table" w:styleId="833" w:customStyle="1">
    <w:name w:val="Plain Table 1"/>
    <w:basedOn w:val="803"/>
    <w:uiPriority w:val="59"/>
    <w:qFormat/>
    <w:pPr>
      <w:spacing w:after="0" w:line="240" w:lineRule="auto"/>
    </w:pPr>
    <w:tblPr/>
  </w:style>
  <w:style w:type="table" w:styleId="834" w:customStyle="1">
    <w:name w:val="Plain Table 2"/>
    <w:basedOn w:val="803"/>
    <w:uiPriority w:val="59"/>
    <w:qFormat/>
    <w:pPr>
      <w:spacing w:after="0" w:line="240" w:lineRule="auto"/>
    </w:pPr>
    <w:tblPr/>
  </w:style>
  <w:style w:type="table" w:styleId="835" w:customStyle="1">
    <w:name w:val="Plain Table 3"/>
    <w:basedOn w:val="803"/>
    <w:uiPriority w:val="99"/>
    <w:qFormat/>
    <w:pPr>
      <w:spacing w:after="0" w:line="240" w:lineRule="auto"/>
    </w:pPr>
    <w:tblPr/>
  </w:style>
  <w:style w:type="table" w:styleId="836" w:customStyle="1">
    <w:name w:val="Plain Table 4"/>
    <w:basedOn w:val="803"/>
    <w:uiPriority w:val="99"/>
    <w:qFormat/>
    <w:pPr>
      <w:spacing w:after="0" w:line="240" w:lineRule="auto"/>
    </w:pPr>
    <w:tblPr/>
  </w:style>
  <w:style w:type="table" w:styleId="837" w:customStyle="1">
    <w:name w:val="Plain Table 5"/>
    <w:basedOn w:val="803"/>
    <w:uiPriority w:val="99"/>
    <w:qFormat/>
    <w:pPr>
      <w:spacing w:after="0" w:line="240" w:lineRule="auto"/>
    </w:pPr>
    <w:tblPr/>
  </w:style>
  <w:style w:type="table" w:styleId="838" w:customStyle="1">
    <w:name w:val="Grid Table 1 Light"/>
    <w:basedOn w:val="803"/>
    <w:uiPriority w:val="99"/>
    <w:qFormat/>
    <w:pPr>
      <w:spacing w:after="0" w:line="240" w:lineRule="auto"/>
    </w:pPr>
    <w:tblPr/>
  </w:style>
  <w:style w:type="table" w:styleId="839" w:customStyle="1">
    <w:name w:val="Grid Table 2"/>
    <w:basedOn w:val="803"/>
    <w:uiPriority w:val="99"/>
    <w:qFormat/>
    <w:pPr>
      <w:spacing w:after="0" w:line="240" w:lineRule="auto"/>
    </w:pPr>
    <w:tblPr/>
  </w:style>
  <w:style w:type="table" w:styleId="840" w:customStyle="1">
    <w:name w:val="Grid Table 3"/>
    <w:basedOn w:val="803"/>
    <w:uiPriority w:val="99"/>
    <w:qFormat/>
    <w:pPr>
      <w:spacing w:after="0" w:line="240" w:lineRule="auto"/>
    </w:pPr>
    <w:tblPr/>
  </w:style>
  <w:style w:type="table" w:styleId="841" w:customStyle="1">
    <w:name w:val="Grid Table 4"/>
    <w:basedOn w:val="803"/>
    <w:uiPriority w:val="59"/>
    <w:qFormat/>
    <w:pPr>
      <w:spacing w:after="0" w:line="240" w:lineRule="auto"/>
    </w:pPr>
    <w:tblPr/>
  </w:style>
  <w:style w:type="table" w:styleId="842" w:customStyle="1">
    <w:name w:val="Grid Table 5 Dark"/>
    <w:basedOn w:val="803"/>
    <w:uiPriority w:val="99"/>
    <w:qFormat/>
    <w:pPr>
      <w:spacing w:after="0" w:line="240" w:lineRule="auto"/>
    </w:pPr>
    <w:tblPr/>
  </w:style>
  <w:style w:type="table" w:styleId="843" w:customStyle="1">
    <w:name w:val="Grid Table 6 Colorful"/>
    <w:basedOn w:val="803"/>
    <w:uiPriority w:val="99"/>
    <w:qFormat/>
    <w:pPr>
      <w:spacing w:after="0" w:line="240" w:lineRule="auto"/>
    </w:pPr>
    <w:tblPr/>
  </w:style>
  <w:style w:type="table" w:styleId="844" w:customStyle="1">
    <w:name w:val="Grid Table 7 Colorful"/>
    <w:basedOn w:val="803"/>
    <w:uiPriority w:val="99"/>
    <w:qFormat/>
    <w:pPr>
      <w:spacing w:after="0" w:line="240" w:lineRule="auto"/>
    </w:pPr>
    <w:tblPr/>
  </w:style>
  <w:style w:type="table" w:styleId="845" w:customStyle="1">
    <w:name w:val="List Table 1 Light"/>
    <w:basedOn w:val="803"/>
    <w:uiPriority w:val="99"/>
    <w:qFormat/>
    <w:pPr>
      <w:spacing w:after="0" w:line="240" w:lineRule="auto"/>
    </w:pPr>
    <w:tblPr/>
  </w:style>
  <w:style w:type="table" w:styleId="846" w:customStyle="1">
    <w:name w:val="List Table 2"/>
    <w:basedOn w:val="803"/>
    <w:uiPriority w:val="99"/>
    <w:qFormat/>
    <w:pPr>
      <w:spacing w:after="0" w:line="240" w:lineRule="auto"/>
    </w:pPr>
    <w:tblPr/>
  </w:style>
  <w:style w:type="table" w:styleId="847" w:customStyle="1">
    <w:name w:val="List Table 3"/>
    <w:basedOn w:val="803"/>
    <w:uiPriority w:val="99"/>
    <w:qFormat/>
    <w:pPr>
      <w:spacing w:after="0" w:line="240" w:lineRule="auto"/>
    </w:pPr>
    <w:tblPr/>
  </w:style>
  <w:style w:type="table" w:styleId="848" w:customStyle="1">
    <w:name w:val="List Table 4"/>
    <w:basedOn w:val="803"/>
    <w:uiPriority w:val="99"/>
    <w:qFormat/>
    <w:pPr>
      <w:spacing w:after="0" w:line="240" w:lineRule="auto"/>
    </w:pPr>
    <w:tblPr/>
  </w:style>
  <w:style w:type="table" w:styleId="849" w:customStyle="1">
    <w:name w:val="List Table 5 Dark"/>
    <w:basedOn w:val="803"/>
    <w:uiPriority w:val="99"/>
    <w:qFormat/>
    <w:pPr>
      <w:spacing w:after="0" w:line="240" w:lineRule="auto"/>
    </w:pPr>
    <w:tblPr/>
  </w:style>
  <w:style w:type="table" w:styleId="850" w:customStyle="1">
    <w:name w:val="List Table 6 Colorful"/>
    <w:basedOn w:val="803"/>
    <w:uiPriority w:val="99"/>
    <w:qFormat/>
    <w:pPr>
      <w:spacing w:after="0" w:line="240" w:lineRule="auto"/>
    </w:pPr>
    <w:tblPr/>
  </w:style>
  <w:style w:type="table" w:styleId="851" w:customStyle="1">
    <w:name w:val="List Table 7 Colorful"/>
    <w:basedOn w:val="803"/>
    <w:uiPriority w:val="99"/>
    <w:qFormat/>
    <w:pPr>
      <w:spacing w:after="0" w:line="240" w:lineRule="auto"/>
    </w:pPr>
    <w:tblPr/>
  </w:style>
  <w:style w:type="paragraph" w:styleId="852" w:customStyle="1">
    <w:name w:val="TOC Heading"/>
    <w:uiPriority w:val="39"/>
    <w:unhideWhenUsed/>
    <w:qFormat/>
    <w:rPr>
      <w:rFonts w:hint="default" w:ascii="Times New Roman" w:hAnsi="Times New Roman" w:eastAsia="宋体" w:cs="Times New Roman"/>
      <w:lang w:val="en-US" w:eastAsia="zh-CN" w:bidi="ar-SA"/>
    </w:rPr>
  </w:style>
  <w:style w:type="table" w:styleId="853" w:customStyle="1">
    <w:name w:val="无格式表格 11"/>
    <w:basedOn w:val="854"/>
    <w:uiPriority w:val="59"/>
    <w:qFormat/>
    <w:tblPr/>
  </w:style>
  <w:style w:type="table" w:styleId="854" w:customStyle="1">
    <w:name w:val="普通表格1"/>
    <w:uiPriority w:val="99"/>
    <w:unhideWhenUsed/>
    <w:qFormat/>
    <w:rPr>
      <w:lang w:val="en-US" w:eastAsia="zh-CN" w:bidi="ar-SA"/>
    </w:rPr>
    <w:tblPr/>
  </w:style>
  <w:style w:type="table" w:styleId="855" w:customStyle="1">
    <w:name w:val="无格式表格 21"/>
    <w:basedOn w:val="854"/>
    <w:uiPriority w:val="59"/>
    <w:qFormat/>
    <w:tblPr/>
  </w:style>
  <w:style w:type="table" w:styleId="856" w:customStyle="1">
    <w:name w:val="无格式表格 31"/>
    <w:basedOn w:val="854"/>
    <w:uiPriority w:val="99"/>
    <w:qFormat/>
    <w:tblPr/>
  </w:style>
  <w:style w:type="table" w:styleId="857" w:customStyle="1">
    <w:name w:val="无格式表格 41"/>
    <w:basedOn w:val="854"/>
    <w:uiPriority w:val="99"/>
    <w:qFormat/>
    <w:tblPr/>
  </w:style>
  <w:style w:type="table" w:styleId="858" w:customStyle="1">
    <w:name w:val="无格式表格 51"/>
    <w:basedOn w:val="854"/>
    <w:uiPriority w:val="99"/>
    <w:qFormat/>
    <w:tblPr/>
  </w:style>
  <w:style w:type="table" w:styleId="859" w:customStyle="1">
    <w:name w:val="网格表 1 浅色1"/>
    <w:basedOn w:val="854"/>
    <w:uiPriority w:val="99"/>
    <w:qFormat/>
    <w:tblPr/>
  </w:style>
  <w:style w:type="table" w:styleId="860" w:customStyle="1">
    <w:name w:val="网格表 21"/>
    <w:basedOn w:val="854"/>
    <w:uiPriority w:val="99"/>
    <w:qFormat/>
    <w:tblPr/>
  </w:style>
  <w:style w:type="table" w:styleId="861" w:customStyle="1">
    <w:name w:val="网格表 31"/>
    <w:basedOn w:val="854"/>
    <w:uiPriority w:val="99"/>
    <w:qFormat/>
    <w:tblPr/>
  </w:style>
  <w:style w:type="table" w:styleId="862" w:customStyle="1">
    <w:name w:val="网格表 41"/>
    <w:basedOn w:val="854"/>
    <w:uiPriority w:val="59"/>
    <w:qFormat/>
    <w:tblPr/>
  </w:style>
  <w:style w:type="table" w:styleId="863" w:customStyle="1">
    <w:name w:val="网格表 5 深色1"/>
    <w:basedOn w:val="854"/>
    <w:uiPriority w:val="99"/>
    <w:qFormat/>
    <w:tblPr/>
  </w:style>
  <w:style w:type="table" w:styleId="864" w:customStyle="1">
    <w:name w:val="网格表 6 彩色1"/>
    <w:basedOn w:val="854"/>
    <w:uiPriority w:val="99"/>
    <w:qFormat/>
    <w:tblPr/>
  </w:style>
  <w:style w:type="table" w:styleId="865" w:customStyle="1">
    <w:name w:val="网格表 7 彩色1"/>
    <w:basedOn w:val="854"/>
    <w:uiPriority w:val="99"/>
    <w:qFormat/>
    <w:tblPr/>
  </w:style>
  <w:style w:type="table" w:styleId="866" w:customStyle="1">
    <w:name w:val="清单表 1 浅色1"/>
    <w:basedOn w:val="854"/>
    <w:uiPriority w:val="99"/>
    <w:qFormat/>
    <w:tblPr/>
  </w:style>
  <w:style w:type="table" w:styleId="867" w:customStyle="1">
    <w:name w:val="清单表 21"/>
    <w:basedOn w:val="854"/>
    <w:uiPriority w:val="99"/>
    <w:qFormat/>
    <w:tblPr/>
  </w:style>
  <w:style w:type="table" w:styleId="868" w:customStyle="1">
    <w:name w:val="清单表 31"/>
    <w:basedOn w:val="854"/>
    <w:uiPriority w:val="99"/>
    <w:qFormat/>
    <w:tblPr/>
  </w:style>
  <w:style w:type="table" w:styleId="869" w:customStyle="1">
    <w:name w:val="清单表 41"/>
    <w:basedOn w:val="854"/>
    <w:uiPriority w:val="99"/>
    <w:qFormat/>
    <w:tblPr/>
  </w:style>
  <w:style w:type="table" w:styleId="870" w:customStyle="1">
    <w:name w:val="清单表 5 深色1"/>
    <w:basedOn w:val="854"/>
    <w:uiPriority w:val="99"/>
    <w:qFormat/>
    <w:tblPr/>
  </w:style>
  <w:style w:type="table" w:styleId="871" w:customStyle="1">
    <w:name w:val="清单表 6 彩色1"/>
    <w:basedOn w:val="854"/>
    <w:uiPriority w:val="99"/>
    <w:qFormat/>
    <w:tblPr/>
  </w:style>
  <w:style w:type="table" w:styleId="872" w:customStyle="1">
    <w:name w:val="清单表 7 彩色1"/>
    <w:basedOn w:val="854"/>
    <w:uiPriority w:val="99"/>
    <w:qFormat/>
    <w:tblPr/>
  </w:style>
  <w:style w:type="paragraph" w:styleId="873" w:customStyle="1">
    <w:name w:val="TOC 标题1"/>
    <w:uiPriority w:val="39"/>
    <w:unhideWhenUsed/>
    <w:qFormat/>
    <w:rPr>
      <w:rFonts w:hint="default" w:ascii="Times New Roman" w:hAnsi="Times New Roman" w:eastAsia="宋体" w:cs="Times New Roman"/>
      <w:lang w:val="en-US" w:eastAsia="zh-CN" w:bidi="ar-SA"/>
    </w:rPr>
  </w:style>
  <w:style w:type="paragraph" w:styleId="874" w:customStyle="1">
    <w:name w:val="列表段落"/>
    <w:basedOn w:val="714"/>
    <w:uiPriority w:val="34"/>
    <w:qFormat/>
    <w:pPr>
      <w:contextualSpacing/>
      <w:ind w:left="720"/>
    </w:pPr>
  </w:style>
  <w:style w:type="paragraph" w:styleId="875" w:customStyle="1">
    <w:name w:val="无间隔"/>
    <w:uiPriority w:val="1"/>
    <w:qFormat/>
    <w:rPr>
      <w:rFonts w:hint="default" w:ascii="Times New Roman" w:hAnsi="Times New Roman" w:eastAsia="宋体" w:cs="Times New Roman"/>
      <w:lang w:val="en-US" w:eastAsia="zh-CN" w:bidi="ar-SA"/>
    </w:rPr>
  </w:style>
  <w:style w:type="paragraph" w:styleId="876" w:customStyle="1">
    <w:name w:val="引用"/>
    <w:basedOn w:val="714"/>
    <w:next w:val="714"/>
    <w:uiPriority w:val="29"/>
    <w:qFormat/>
    <w:pPr>
      <w:ind w:left="720" w:right="720"/>
    </w:pPr>
    <w:rPr>
      <w:i/>
    </w:rPr>
  </w:style>
  <w:style w:type="paragraph" w:styleId="877" w:customStyle="1">
    <w:name w:val="明显引用"/>
    <w:basedOn w:val="714"/>
    <w:next w:val="7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8" w:customStyle="1">
    <w:name w:val="标题 11"/>
    <w:basedOn w:val="714"/>
    <w:next w:val="714"/>
    <w:uiPriority w:val="0"/>
    <w:qFormat/>
    <w:pPr>
      <w:keepLines/>
      <w:keepNext/>
      <w:spacing w:before="340" w:after="330" w:line="578" w:lineRule="auto"/>
      <w:outlineLvl w:val="0"/>
    </w:pPr>
    <w:rPr>
      <w:b/>
      <w:bCs/>
      <w:sz w:val="44"/>
      <w:szCs w:val="44"/>
    </w:rPr>
  </w:style>
  <w:style w:type="paragraph" w:styleId="879" w:customStyle="1">
    <w:name w:val="标题 21"/>
    <w:basedOn w:val="714"/>
    <w:next w:val="763"/>
    <w:link w:val="880"/>
    <w:uiPriority w:val="9"/>
    <w:qFormat/>
    <w:pPr>
      <w:keepLines/>
      <w:keepNext/>
      <w:spacing w:before="360" w:after="200"/>
      <w:outlineLvl w:val="1"/>
    </w:pPr>
    <w:rPr>
      <w:rFonts w:ascii="Arial" w:hAnsi="Arial" w:eastAsia="Arial" w:cs="Arial"/>
      <w:sz w:val="34"/>
    </w:rPr>
  </w:style>
  <w:style w:type="character" w:styleId="880" w:customStyle="1">
    <w:name w:val="标题 2 Char"/>
    <w:link w:val="879"/>
    <w:uiPriority w:val="9"/>
    <w:qFormat/>
    <w:rPr>
      <w:rFonts w:ascii="Arial" w:hAnsi="Arial" w:eastAsia="Arial" w:cs="Arial"/>
      <w:sz w:val="34"/>
    </w:rPr>
  </w:style>
  <w:style w:type="paragraph" w:styleId="881" w:customStyle="1">
    <w:name w:val="标题 31"/>
    <w:basedOn w:val="714"/>
    <w:next w:val="714"/>
    <w:link w:val="882"/>
    <w:uiPriority w:val="9"/>
    <w:qFormat/>
    <w:pPr>
      <w:keepLines/>
      <w:keepNext/>
      <w:spacing w:before="320" w:after="200"/>
      <w:outlineLvl w:val="2"/>
    </w:pPr>
    <w:rPr>
      <w:rFonts w:ascii="Arial" w:hAnsi="Arial" w:eastAsia="Arial" w:cs="Arial"/>
      <w:sz w:val="30"/>
      <w:szCs w:val="30"/>
    </w:rPr>
  </w:style>
  <w:style w:type="character" w:styleId="882" w:customStyle="1">
    <w:name w:val="标题 3 Char"/>
    <w:link w:val="881"/>
    <w:uiPriority w:val="9"/>
    <w:qFormat/>
    <w:rPr>
      <w:rFonts w:ascii="Arial" w:hAnsi="Arial" w:eastAsia="Arial" w:cs="Arial"/>
      <w:sz w:val="30"/>
      <w:szCs w:val="30"/>
    </w:rPr>
  </w:style>
  <w:style w:type="paragraph" w:styleId="883" w:customStyle="1">
    <w:name w:val="标题 51"/>
    <w:basedOn w:val="714"/>
    <w:next w:val="714"/>
    <w:link w:val="884"/>
    <w:uiPriority w:val="9"/>
    <w:qFormat/>
    <w:pPr>
      <w:keepLines/>
      <w:keepNext/>
      <w:spacing w:before="320" w:after="200"/>
      <w:outlineLvl w:val="4"/>
    </w:pPr>
    <w:rPr>
      <w:rFonts w:ascii="Arial" w:hAnsi="Arial" w:eastAsia="Arial" w:cs="Arial"/>
      <w:b/>
      <w:bCs/>
      <w:sz w:val="24"/>
    </w:rPr>
  </w:style>
  <w:style w:type="character" w:styleId="884" w:customStyle="1">
    <w:name w:val="标题 5 Char"/>
    <w:link w:val="883"/>
    <w:uiPriority w:val="9"/>
    <w:qFormat/>
    <w:rPr>
      <w:rFonts w:ascii="Arial" w:hAnsi="Arial" w:eastAsia="Arial" w:cs="Arial"/>
      <w:b/>
      <w:bCs/>
      <w:sz w:val="24"/>
      <w:szCs w:val="24"/>
    </w:rPr>
  </w:style>
  <w:style w:type="paragraph" w:styleId="885" w:customStyle="1">
    <w:name w:val="标题 61"/>
    <w:basedOn w:val="714"/>
    <w:next w:val="714"/>
    <w:link w:val="886"/>
    <w:uiPriority w:val="9"/>
    <w:qFormat/>
    <w:pPr>
      <w:keepLines/>
      <w:keepNext/>
      <w:spacing w:before="320" w:after="200"/>
      <w:outlineLvl w:val="5"/>
    </w:pPr>
    <w:rPr>
      <w:rFonts w:ascii="Arial" w:hAnsi="Arial" w:eastAsia="Arial" w:cs="Arial"/>
      <w:b/>
      <w:bCs/>
      <w:sz w:val="22"/>
      <w:szCs w:val="22"/>
    </w:rPr>
  </w:style>
  <w:style w:type="character" w:styleId="886" w:customStyle="1">
    <w:name w:val="标题 6 Char"/>
    <w:link w:val="885"/>
    <w:uiPriority w:val="9"/>
    <w:qFormat/>
    <w:rPr>
      <w:rFonts w:ascii="Arial" w:hAnsi="Arial" w:eastAsia="Arial" w:cs="Arial"/>
      <w:b/>
      <w:bCs/>
      <w:sz w:val="22"/>
      <w:szCs w:val="22"/>
    </w:rPr>
  </w:style>
  <w:style w:type="paragraph" w:styleId="887" w:customStyle="1">
    <w:name w:val="标题 71"/>
    <w:basedOn w:val="714"/>
    <w:next w:val="714"/>
    <w:link w:val="888"/>
    <w:uiPriority w:val="9"/>
    <w:qFormat/>
    <w:pPr>
      <w:keepLines/>
      <w:keepNext/>
      <w:spacing w:before="320" w:after="200"/>
      <w:outlineLvl w:val="6"/>
    </w:pPr>
    <w:rPr>
      <w:rFonts w:ascii="Arial" w:hAnsi="Arial" w:eastAsia="Arial" w:cs="Arial"/>
      <w:b/>
      <w:bCs/>
      <w:i/>
      <w:iCs/>
      <w:sz w:val="22"/>
      <w:szCs w:val="22"/>
    </w:rPr>
  </w:style>
  <w:style w:type="character" w:styleId="888" w:customStyle="1">
    <w:name w:val="标题 7 Char"/>
    <w:link w:val="887"/>
    <w:uiPriority w:val="9"/>
    <w:qFormat/>
    <w:rPr>
      <w:rFonts w:ascii="Arial" w:hAnsi="Arial" w:eastAsia="Arial" w:cs="Arial"/>
      <w:b/>
      <w:bCs/>
      <w:i/>
      <w:iCs/>
      <w:sz w:val="22"/>
      <w:szCs w:val="22"/>
    </w:rPr>
  </w:style>
  <w:style w:type="paragraph" w:styleId="889" w:customStyle="1">
    <w:name w:val="标题 81"/>
    <w:basedOn w:val="714"/>
    <w:next w:val="714"/>
    <w:link w:val="890"/>
    <w:uiPriority w:val="9"/>
    <w:qFormat/>
    <w:pPr>
      <w:keepLines/>
      <w:keepNext/>
      <w:spacing w:before="320" w:after="200"/>
      <w:outlineLvl w:val="7"/>
    </w:pPr>
    <w:rPr>
      <w:rFonts w:ascii="Arial" w:hAnsi="Arial" w:eastAsia="Arial" w:cs="Arial"/>
      <w:i/>
      <w:iCs/>
      <w:sz w:val="22"/>
      <w:szCs w:val="22"/>
    </w:rPr>
  </w:style>
  <w:style w:type="character" w:styleId="890" w:customStyle="1">
    <w:name w:val="标题 8 Char"/>
    <w:link w:val="889"/>
    <w:uiPriority w:val="9"/>
    <w:qFormat/>
    <w:rPr>
      <w:rFonts w:ascii="Arial" w:hAnsi="Arial" w:eastAsia="Arial" w:cs="Arial"/>
      <w:i/>
      <w:iCs/>
      <w:sz w:val="22"/>
      <w:szCs w:val="22"/>
    </w:rPr>
  </w:style>
  <w:style w:type="paragraph" w:styleId="891" w:customStyle="1">
    <w:name w:val="标题 91"/>
    <w:basedOn w:val="714"/>
    <w:next w:val="714"/>
    <w:link w:val="892"/>
    <w:uiPriority w:val="9"/>
    <w:qFormat/>
    <w:pPr>
      <w:keepLines/>
      <w:keepNext/>
      <w:spacing w:before="320" w:after="200"/>
      <w:outlineLvl w:val="8"/>
    </w:pPr>
    <w:rPr>
      <w:rFonts w:ascii="Arial" w:hAnsi="Arial" w:eastAsia="Arial" w:cs="Arial"/>
      <w:i/>
      <w:iCs/>
      <w:szCs w:val="21"/>
    </w:rPr>
  </w:style>
  <w:style w:type="character" w:styleId="892" w:customStyle="1">
    <w:name w:val="标题 9 Char"/>
    <w:link w:val="891"/>
    <w:uiPriority w:val="9"/>
    <w:qFormat/>
    <w:rPr>
      <w:rFonts w:ascii="Arial" w:hAnsi="Arial" w:eastAsia="Arial" w:cs="Arial"/>
      <w:i/>
      <w:iCs/>
      <w:sz w:val="21"/>
      <w:szCs w:val="21"/>
    </w:rPr>
  </w:style>
  <w:style w:type="character" w:styleId="893" w:customStyle="1">
    <w:name w:val="默认段落字体1"/>
    <w:link w:val="714"/>
    <w:uiPriority w:val="1"/>
    <w:unhideWhenUsed/>
    <w:qFormat/>
  </w:style>
  <w:style w:type="paragraph" w:styleId="894" w:customStyle="1">
    <w:name w:val="目录 71"/>
    <w:basedOn w:val="714"/>
    <w:next w:val="714"/>
    <w:uiPriority w:val="39"/>
    <w:unhideWhenUsed/>
    <w:qFormat/>
    <w:pPr>
      <w:ind w:left="1701"/>
      <w:spacing w:after="57"/>
    </w:pPr>
  </w:style>
  <w:style w:type="paragraph" w:styleId="895" w:customStyle="1">
    <w:name w:val="题注1"/>
    <w:basedOn w:val="714"/>
    <w:next w:val="714"/>
    <w:uiPriority w:val="35"/>
    <w:qFormat/>
    <w:pPr>
      <w:spacing w:line="276" w:lineRule="auto"/>
    </w:pPr>
    <w:rPr>
      <w:b/>
      <w:bCs/>
      <w:color w:val="4f81bd"/>
      <w:sz w:val="18"/>
      <w:szCs w:val="18"/>
    </w:rPr>
  </w:style>
  <w:style w:type="paragraph" w:styleId="896" w:customStyle="1">
    <w:name w:val="批注文字1"/>
    <w:basedOn w:val="714"/>
    <w:uiPriority w:val="0"/>
    <w:qFormat/>
    <w:pPr>
      <w:jc w:val="left"/>
    </w:pPr>
  </w:style>
  <w:style w:type="paragraph" w:styleId="897" w:customStyle="1">
    <w:name w:val="目录 51"/>
    <w:basedOn w:val="714"/>
    <w:next w:val="714"/>
    <w:uiPriority w:val="39"/>
    <w:unhideWhenUsed/>
    <w:qFormat/>
    <w:pPr>
      <w:ind w:left="1134"/>
      <w:spacing w:after="57"/>
    </w:pPr>
  </w:style>
  <w:style w:type="paragraph" w:styleId="898" w:customStyle="1">
    <w:name w:val="目录 31"/>
    <w:basedOn w:val="714"/>
    <w:next w:val="714"/>
    <w:uiPriority w:val="39"/>
    <w:unhideWhenUsed/>
    <w:qFormat/>
    <w:pPr>
      <w:ind w:left="567"/>
      <w:spacing w:after="57"/>
    </w:pPr>
  </w:style>
  <w:style w:type="paragraph" w:styleId="899" w:customStyle="1">
    <w:name w:val="纯文本1"/>
    <w:basedOn w:val="714"/>
    <w:uiPriority w:val="99"/>
    <w:unhideWhenUsed/>
    <w:qFormat/>
    <w:rPr>
      <w:rFonts w:ascii="宋体" w:hAnsi="Courier New"/>
      <w:sz w:val="20"/>
      <w:szCs w:val="20"/>
    </w:rPr>
  </w:style>
  <w:style w:type="paragraph" w:styleId="900" w:customStyle="1">
    <w:name w:val="目录 81"/>
    <w:basedOn w:val="714"/>
    <w:next w:val="714"/>
    <w:uiPriority w:val="39"/>
    <w:unhideWhenUsed/>
    <w:qFormat/>
    <w:pPr>
      <w:ind w:left="1984"/>
      <w:spacing w:after="57"/>
    </w:pPr>
  </w:style>
  <w:style w:type="paragraph" w:styleId="901" w:customStyle="1">
    <w:name w:val="日期1"/>
    <w:basedOn w:val="714"/>
    <w:next w:val="714"/>
    <w:uiPriority w:val="0"/>
    <w:qFormat/>
    <w:rPr>
      <w:rFonts w:eastAsia="仿宋_GB2312"/>
      <w:sz w:val="28"/>
      <w:szCs w:val="20"/>
    </w:rPr>
  </w:style>
  <w:style w:type="paragraph" w:styleId="902" w:customStyle="1">
    <w:name w:val="正文文本缩进 21"/>
    <w:basedOn w:val="714"/>
    <w:uiPriority w:val="0"/>
    <w:qFormat/>
    <w:pPr>
      <w:ind w:firstLine="475"/>
      <w:spacing w:line="10" w:lineRule="atLeast"/>
    </w:pPr>
    <w:rPr>
      <w:rFonts w:ascii="仿宋_GB2312" w:eastAsia="仿宋_GB2312"/>
      <w:sz w:val="24"/>
    </w:rPr>
  </w:style>
  <w:style w:type="paragraph" w:styleId="903" w:customStyle="1">
    <w:name w:val="尾注文本1"/>
    <w:basedOn w:val="714"/>
    <w:link w:val="904"/>
    <w:uiPriority w:val="99"/>
    <w:unhideWhenUsed/>
    <w:qFormat/>
    <w:rPr>
      <w:sz w:val="20"/>
    </w:rPr>
  </w:style>
  <w:style w:type="character" w:styleId="904" w:customStyle="1">
    <w:name w:val="尾注文本 Char"/>
    <w:link w:val="903"/>
    <w:uiPriority w:val="99"/>
    <w:qFormat/>
    <w:rPr>
      <w:sz w:val="20"/>
    </w:rPr>
  </w:style>
  <w:style w:type="paragraph" w:styleId="905" w:customStyle="1">
    <w:name w:val="批注框文本1"/>
    <w:basedOn w:val="714"/>
    <w:link w:val="906"/>
    <w:uiPriority w:val="99"/>
    <w:unhideWhenUsed/>
    <w:qFormat/>
    <w:rPr>
      <w:sz w:val="18"/>
      <w:szCs w:val="18"/>
    </w:rPr>
  </w:style>
  <w:style w:type="character" w:styleId="906" w:customStyle="1">
    <w:name w:val="批注框文本 Char"/>
    <w:link w:val="905"/>
    <w:uiPriority w:val="99"/>
    <w:semiHidden/>
    <w:qFormat/>
    <w:rPr>
      <w:rFonts w:ascii="Times New Roman" w:hAnsi="Times New Roman"/>
      <w:sz w:val="18"/>
      <w:szCs w:val="18"/>
    </w:rPr>
  </w:style>
  <w:style w:type="paragraph" w:styleId="907" w:customStyle="1">
    <w:name w:val="页脚1"/>
    <w:basedOn w:val="714"/>
    <w:uiPriority w:val="0"/>
    <w:qFormat/>
    <w:pPr>
      <w:jc w:val="left"/>
      <w:tabs>
        <w:tab w:val="center" w:pos="4153" w:leader="none"/>
        <w:tab w:val="right" w:pos="8306" w:leader="none"/>
      </w:tabs>
    </w:pPr>
    <w:rPr>
      <w:sz w:val="18"/>
      <w:szCs w:val="18"/>
    </w:rPr>
  </w:style>
  <w:style w:type="paragraph" w:styleId="908" w:customStyle="1">
    <w:name w:val="页眉1"/>
    <w:basedOn w:val="714"/>
    <w:uiPriority w:val="0"/>
    <w:qFormat/>
    <w:pPr>
      <w:jc w:val="center"/>
      <w:tabs>
        <w:tab w:val="center" w:pos="4153" w:leader="none"/>
        <w:tab w:val="right" w:pos="8306" w:leader="none"/>
      </w:tabs>
      <w:pBdr>
        <w:bottom w:val="single" w:color="000000" w:sz="6" w:space="1"/>
      </w:pBdr>
    </w:pPr>
    <w:rPr>
      <w:sz w:val="18"/>
      <w:szCs w:val="18"/>
    </w:rPr>
  </w:style>
  <w:style w:type="paragraph" w:styleId="909" w:customStyle="1">
    <w:name w:val="目录 41"/>
    <w:basedOn w:val="714"/>
    <w:next w:val="714"/>
    <w:uiPriority w:val="39"/>
    <w:unhideWhenUsed/>
    <w:qFormat/>
    <w:pPr>
      <w:ind w:left="850"/>
      <w:spacing w:after="57"/>
    </w:pPr>
  </w:style>
  <w:style w:type="paragraph" w:styleId="910" w:customStyle="1">
    <w:name w:val="副标题1"/>
    <w:basedOn w:val="714"/>
    <w:next w:val="714"/>
    <w:link w:val="911"/>
    <w:uiPriority w:val="11"/>
    <w:qFormat/>
    <w:pPr>
      <w:spacing w:before="200" w:after="200"/>
    </w:pPr>
    <w:rPr>
      <w:sz w:val="24"/>
    </w:rPr>
  </w:style>
  <w:style w:type="character" w:styleId="911" w:customStyle="1">
    <w:name w:val="副标题 Char"/>
    <w:link w:val="910"/>
    <w:uiPriority w:val="11"/>
    <w:qFormat/>
    <w:rPr>
      <w:sz w:val="24"/>
      <w:szCs w:val="24"/>
    </w:rPr>
  </w:style>
  <w:style w:type="paragraph" w:styleId="912" w:customStyle="1">
    <w:name w:val="目录 61"/>
    <w:basedOn w:val="714"/>
    <w:next w:val="714"/>
    <w:uiPriority w:val="39"/>
    <w:unhideWhenUsed/>
    <w:qFormat/>
    <w:pPr>
      <w:ind w:left="1417"/>
      <w:spacing w:after="57"/>
    </w:pPr>
  </w:style>
  <w:style w:type="paragraph" w:styleId="913" w:customStyle="1">
    <w:name w:val="图表目录1"/>
    <w:basedOn w:val="714"/>
    <w:next w:val="714"/>
    <w:uiPriority w:val="99"/>
    <w:unhideWhenUsed/>
    <w:qFormat/>
  </w:style>
  <w:style w:type="paragraph" w:styleId="914" w:customStyle="1">
    <w:name w:val="目录 21"/>
    <w:basedOn w:val="714"/>
    <w:next w:val="714"/>
    <w:uiPriority w:val="39"/>
    <w:unhideWhenUsed/>
    <w:qFormat/>
    <w:pPr>
      <w:ind w:left="283"/>
      <w:spacing w:after="57"/>
    </w:pPr>
  </w:style>
  <w:style w:type="paragraph" w:styleId="915" w:customStyle="1">
    <w:name w:val="目录 91"/>
    <w:basedOn w:val="714"/>
    <w:next w:val="714"/>
    <w:uiPriority w:val="39"/>
    <w:unhideWhenUsed/>
    <w:qFormat/>
    <w:pPr>
      <w:ind w:left="2268"/>
      <w:spacing w:after="57"/>
    </w:pPr>
  </w:style>
  <w:style w:type="paragraph" w:styleId="916" w:customStyle="1">
    <w:name w:val="普通(网站)11"/>
    <w:basedOn w:val="714"/>
    <w:uiPriority w:val="0"/>
    <w:qFormat/>
    <w:pPr>
      <w:jc w:val="left"/>
      <w:spacing w:before="100" w:beforeAutospacing="1" w:after="100" w:afterAutospacing="1"/>
      <w:widowControl/>
    </w:pPr>
    <w:rPr>
      <w:rFonts w:ascii="宋体" w:hAnsi="宋体" w:cs="宋体"/>
      <w:sz w:val="24"/>
    </w:rPr>
  </w:style>
  <w:style w:type="paragraph" w:styleId="917" w:customStyle="1">
    <w:name w:val="标题1"/>
    <w:basedOn w:val="714"/>
    <w:next w:val="714"/>
    <w:link w:val="918"/>
    <w:uiPriority w:val="10"/>
    <w:qFormat/>
    <w:pPr>
      <w:contextualSpacing/>
      <w:spacing w:before="300" w:after="200"/>
    </w:pPr>
    <w:rPr>
      <w:sz w:val="48"/>
      <w:szCs w:val="48"/>
    </w:rPr>
  </w:style>
  <w:style w:type="character" w:styleId="918" w:customStyle="1">
    <w:name w:val="标题 Char"/>
    <w:link w:val="917"/>
    <w:uiPriority w:val="10"/>
    <w:qFormat/>
    <w:rPr>
      <w:sz w:val="48"/>
      <w:szCs w:val="48"/>
    </w:rPr>
  </w:style>
  <w:style w:type="table" w:styleId="919" w:customStyle="1">
    <w:name w:val="网格型1"/>
    <w:basedOn w:val="854"/>
    <w:uiPriority w:val="0"/>
    <w:qFormat/>
    <w:pPr>
      <w:jc w:val="both"/>
      <w:widowControl w:val="off"/>
    </w:pPr>
    <w:tblPr/>
  </w:style>
  <w:style w:type="character" w:styleId="920" w:customStyle="1">
    <w:name w:val="尾注引用1"/>
    <w:link w:val="714"/>
    <w:uiPriority w:val="99"/>
    <w:unhideWhenUsed/>
    <w:qFormat/>
    <w:rPr>
      <w:vertAlign w:val="superscript"/>
    </w:rPr>
  </w:style>
  <w:style w:type="character" w:styleId="921" w:customStyle="1">
    <w:name w:val="页码1"/>
    <w:link w:val="714"/>
    <w:uiPriority w:val="0"/>
    <w:qFormat/>
  </w:style>
  <w:style w:type="character" w:styleId="922" w:customStyle="1">
    <w:name w:val="已访问的超链接1"/>
    <w:link w:val="714"/>
    <w:uiPriority w:val="99"/>
    <w:unhideWhenUsed/>
    <w:qFormat/>
    <w:rPr>
      <w:color w:val="333333"/>
      <w:u w:val="none"/>
    </w:rPr>
  </w:style>
  <w:style w:type="character" w:styleId="923" w:customStyle="1">
    <w:name w:val="超链接1"/>
    <w:link w:val="714"/>
    <w:uiPriority w:val="0"/>
    <w:qFormat/>
    <w:rPr>
      <w:color w:val="0000ff"/>
      <w:u w:val="single"/>
    </w:rPr>
  </w:style>
  <w:style w:type="character" w:styleId="924" w:customStyle="1">
    <w:name w:val="批注引用1"/>
    <w:link w:val="714"/>
    <w:uiPriority w:val="0"/>
    <w:qFormat/>
    <w:rPr>
      <w:sz w:val="21"/>
      <w:szCs w:val="21"/>
    </w:rPr>
  </w:style>
  <w:style w:type="character" w:styleId="925" w:customStyle="1">
    <w:name w:val="脚注引用1"/>
    <w:link w:val="714"/>
    <w:uiPriority w:val="99"/>
    <w:unhideWhenUsed/>
    <w:qFormat/>
    <w:rPr>
      <w:vertAlign w:val="superscript"/>
    </w:rPr>
  </w:style>
  <w:style w:type="character" w:styleId="926" w:customStyle="1">
    <w:name w:val="Heading 1 Char"/>
    <w:link w:val="714"/>
    <w:uiPriority w:val="9"/>
    <w:qFormat/>
    <w:rPr>
      <w:rFonts w:ascii="Arial" w:hAnsi="Arial" w:eastAsia="Arial" w:cs="Arial"/>
      <w:sz w:val="40"/>
      <w:szCs w:val="40"/>
    </w:rPr>
  </w:style>
  <w:style w:type="character" w:styleId="927" w:customStyle="1">
    <w:name w:val="Endnote Text Char"/>
    <w:link w:val="714"/>
    <w:uiPriority w:val="99"/>
    <w:qFormat/>
    <w:rPr>
      <w:sz w:val="20"/>
    </w:rPr>
  </w:style>
  <w:style w:type="character" w:styleId="928" w:customStyle="1">
    <w:name w:val="Header Char"/>
    <w:link w:val="714"/>
    <w:uiPriority w:val="99"/>
    <w:qFormat/>
  </w:style>
  <w:style w:type="character" w:styleId="929" w:customStyle="1">
    <w:name w:val="Heading 6 Char"/>
    <w:link w:val="714"/>
    <w:uiPriority w:val="9"/>
    <w:qFormat/>
    <w:rPr>
      <w:rFonts w:ascii="Arial" w:hAnsi="Arial" w:eastAsia="Arial" w:cs="Arial"/>
      <w:b/>
      <w:bCs/>
      <w:sz w:val="22"/>
      <w:szCs w:val="22"/>
    </w:rPr>
  </w:style>
  <w:style w:type="character" w:styleId="930" w:customStyle="1">
    <w:name w:val="Heading 2 Char"/>
    <w:link w:val="714"/>
    <w:uiPriority w:val="9"/>
    <w:qFormat/>
    <w:rPr>
      <w:rFonts w:ascii="Arial" w:hAnsi="Arial" w:eastAsia="Arial" w:cs="Arial"/>
      <w:sz w:val="34"/>
    </w:rPr>
  </w:style>
  <w:style w:type="character" w:styleId="931" w:customStyle="1">
    <w:name w:val="Heading 4 Char"/>
    <w:link w:val="714"/>
    <w:uiPriority w:val="9"/>
    <w:qFormat/>
    <w:rPr>
      <w:rFonts w:ascii="Arial" w:hAnsi="Arial" w:eastAsia="Arial" w:cs="Arial"/>
      <w:b/>
      <w:bCs/>
      <w:sz w:val="26"/>
      <w:szCs w:val="26"/>
    </w:rPr>
  </w:style>
  <w:style w:type="character" w:styleId="932" w:customStyle="1">
    <w:name w:val="Subtitle Char"/>
    <w:link w:val="714"/>
    <w:uiPriority w:val="11"/>
    <w:qFormat/>
    <w:rPr>
      <w:sz w:val="24"/>
      <w:szCs w:val="24"/>
    </w:rPr>
  </w:style>
  <w:style w:type="character" w:styleId="933" w:customStyle="1">
    <w:name w:val="明显引用 Char"/>
    <w:link w:val="934"/>
    <w:uiPriority w:val="30"/>
    <w:qFormat/>
    <w:rPr>
      <w:i/>
    </w:rPr>
  </w:style>
  <w:style w:type="paragraph" w:styleId="934" w:customStyle="1">
    <w:name w:val="明显引用1"/>
    <w:basedOn w:val="714"/>
    <w:next w:val="714"/>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5" w:customStyle="1">
    <w:name w:val="Heading 8 Char"/>
    <w:link w:val="714"/>
    <w:uiPriority w:val="9"/>
    <w:qFormat/>
    <w:rPr>
      <w:rFonts w:ascii="Arial" w:hAnsi="Arial" w:eastAsia="Arial" w:cs="Arial"/>
      <w:i/>
      <w:iCs/>
      <w:sz w:val="22"/>
      <w:szCs w:val="22"/>
    </w:rPr>
  </w:style>
  <w:style w:type="character" w:styleId="936" w:customStyle="1">
    <w:name w:val="引用 Char"/>
    <w:link w:val="937"/>
    <w:uiPriority w:val="29"/>
    <w:qFormat/>
    <w:rPr>
      <w:i/>
    </w:rPr>
  </w:style>
  <w:style w:type="paragraph" w:styleId="937" w:customStyle="1">
    <w:name w:val="引用1"/>
    <w:basedOn w:val="714"/>
    <w:next w:val="714"/>
    <w:link w:val="936"/>
    <w:uiPriority w:val="29"/>
    <w:qFormat/>
    <w:pPr>
      <w:ind w:left="720" w:right="720"/>
    </w:pPr>
    <w:rPr>
      <w:i/>
    </w:rPr>
  </w:style>
  <w:style w:type="character" w:styleId="938" w:customStyle="1">
    <w:name w:val="Footnote Text Char"/>
    <w:link w:val="714"/>
    <w:uiPriority w:val="99"/>
    <w:qFormat/>
    <w:rPr>
      <w:sz w:val="18"/>
    </w:rPr>
  </w:style>
  <w:style w:type="character" w:styleId="939" w:customStyle="1">
    <w:name w:val="Heading 5 Char"/>
    <w:link w:val="714"/>
    <w:uiPriority w:val="9"/>
    <w:qFormat/>
    <w:rPr>
      <w:rFonts w:ascii="Arial" w:hAnsi="Arial" w:eastAsia="Arial" w:cs="Arial"/>
      <w:b/>
      <w:bCs/>
      <w:sz w:val="24"/>
      <w:szCs w:val="24"/>
    </w:rPr>
  </w:style>
  <w:style w:type="character" w:styleId="940" w:customStyle="1">
    <w:name w:val="Intense Quote Char"/>
    <w:link w:val="714"/>
    <w:uiPriority w:val="30"/>
    <w:qFormat/>
    <w:rPr>
      <w:i/>
    </w:rPr>
  </w:style>
  <w:style w:type="character" w:styleId="941" w:customStyle="1">
    <w:name w:val="Heading 3 Char"/>
    <w:link w:val="714"/>
    <w:uiPriority w:val="9"/>
    <w:qFormat/>
    <w:rPr>
      <w:rFonts w:ascii="Arial" w:hAnsi="Arial" w:eastAsia="Arial" w:cs="Arial"/>
      <w:sz w:val="30"/>
      <w:szCs w:val="30"/>
    </w:rPr>
  </w:style>
  <w:style w:type="character" w:styleId="942" w:customStyle="1">
    <w:name w:val="Caption Char"/>
    <w:link w:val="714"/>
    <w:uiPriority w:val="99"/>
    <w:qFormat/>
  </w:style>
  <w:style w:type="character" w:styleId="943" w:customStyle="1">
    <w:name w:val="Footer Char"/>
    <w:link w:val="714"/>
    <w:uiPriority w:val="99"/>
    <w:qFormat/>
  </w:style>
  <w:style w:type="character" w:styleId="944" w:customStyle="1">
    <w:name w:val="Quote Char"/>
    <w:link w:val="714"/>
    <w:uiPriority w:val="29"/>
    <w:qFormat/>
    <w:rPr>
      <w:i/>
    </w:rPr>
  </w:style>
  <w:style w:type="character" w:styleId="945" w:customStyle="1">
    <w:name w:val="Title Char"/>
    <w:link w:val="714"/>
    <w:uiPriority w:val="10"/>
    <w:qFormat/>
    <w:rPr>
      <w:sz w:val="48"/>
      <w:szCs w:val="48"/>
    </w:rPr>
  </w:style>
  <w:style w:type="character" w:styleId="946" w:customStyle="1">
    <w:name w:val="Heading 9 Char"/>
    <w:link w:val="714"/>
    <w:uiPriority w:val="9"/>
    <w:qFormat/>
    <w:rPr>
      <w:rFonts w:ascii="Arial" w:hAnsi="Arial" w:eastAsia="Arial" w:cs="Arial"/>
      <w:i/>
      <w:iCs/>
      <w:sz w:val="21"/>
      <w:szCs w:val="21"/>
    </w:rPr>
  </w:style>
  <w:style w:type="character" w:styleId="947" w:customStyle="1">
    <w:name w:val="Heading 7 Char"/>
    <w:link w:val="714"/>
    <w:uiPriority w:val="9"/>
    <w:qFormat/>
    <w:rPr>
      <w:rFonts w:ascii="Arial" w:hAnsi="Arial" w:eastAsia="Arial" w:cs="Arial"/>
      <w:b/>
      <w:bCs/>
      <w:i/>
      <w:iCs/>
      <w:sz w:val="22"/>
      <w:szCs w:val="22"/>
    </w:rPr>
  </w:style>
  <w:style w:type="paragraph" w:styleId="948" w:customStyle="1">
    <w:name w:val="TOC 标题111"/>
    <w:uiPriority w:val="39"/>
    <w:unhideWhenUsed/>
    <w:qFormat/>
    <w:rPr>
      <w:rFonts w:hint="default" w:ascii="Times New Roman" w:hAnsi="Times New Roman" w:eastAsia="宋体" w:cs="Times New Roman"/>
      <w:lang w:val="en-US" w:eastAsia="zh-CN" w:bidi="ar-SA"/>
    </w:rPr>
  </w:style>
  <w:style w:type="paragraph" w:styleId="949" w:customStyle="1">
    <w:name w:val="DAS正文"/>
    <w:basedOn w:val="714"/>
    <w:uiPriority w:val="0"/>
    <w:qFormat/>
    <w:pPr>
      <w:ind w:right="181" w:firstLine="480"/>
      <w:spacing w:line="360" w:lineRule="auto"/>
    </w:pPr>
    <w:rPr>
      <w:rFonts w:ascii="Verdana" w:hAnsi="Verdana"/>
      <w:sz w:val="24"/>
    </w:rPr>
  </w:style>
  <w:style w:type="paragraph" w:styleId="950" w:customStyle="1">
    <w:name w:val="UserStyle_0"/>
    <w:basedOn w:val="714"/>
    <w:next w:val="714"/>
    <w:uiPriority w:val="0"/>
    <w:qFormat/>
  </w:style>
  <w:style w:type="paragraph" w:styleId="951" w:customStyle="1">
    <w:name w:val="列出段落"/>
    <w:basedOn w:val="714"/>
    <w:uiPriority w:val="34"/>
    <w:qFormat/>
    <w:pPr>
      <w:contextualSpacing/>
      <w:ind w:left="720"/>
    </w:pPr>
  </w:style>
  <w:style w:type="paragraph" w:styleId="952" w:customStyle="1">
    <w:name w:val="TOC 标题11"/>
    <w:uiPriority w:val="39"/>
    <w:unhideWhenUsed/>
    <w:qFormat/>
    <w:rPr>
      <w:rFonts w:hint="default" w:ascii="Times New Roman" w:hAnsi="Times New Roman" w:eastAsia="宋体" w:cs="Times New Roman"/>
      <w:lang w:val="en-US" w:eastAsia="zh-CN" w:bidi="ar-SA"/>
    </w:rPr>
  </w:style>
  <w:style w:type="paragraph" w:styleId="953" w:customStyle="1">
    <w:name w:val="普通(网站)1"/>
    <w:basedOn w:val="763"/>
    <w:uiPriority w:val="0"/>
    <w:qFormat/>
    <w:pPr>
      <w:jc w:val="left"/>
      <w:spacing w:before="100" w:beforeAutospacing="1" w:after="100" w:afterAutospacing="1"/>
      <w:widowControl/>
    </w:pPr>
    <w:rPr>
      <w:rFonts w:ascii="宋体" w:hAnsi="宋体"/>
      <w:sz w:val="24"/>
    </w:rPr>
  </w:style>
  <w:style w:type="paragraph" w:styleId="954" w:customStyle="1">
    <w:name w:val="无间隔1"/>
    <w:uiPriority w:val="0"/>
    <w:qFormat/>
    <w:rPr>
      <w:rFonts w:hint="default" w:ascii="Times New Roman" w:hAnsi="Times New Roman" w:eastAsia="宋体" w:cs="Times New Roman"/>
      <w:sz w:val="22"/>
      <w:szCs w:val="22"/>
      <w:lang w:val="en-US" w:eastAsia="en-US" w:bidi="ar-SA"/>
    </w:rPr>
  </w:style>
  <w:style w:type="paragraph" w:styleId="955" w:customStyle="1">
    <w:name w:val="默认段落字体 Para Char Char Char Char Char Char Char"/>
    <w:basedOn w:val="714"/>
    <w:uiPriority w:val="0"/>
    <w:qFormat/>
    <w:rPr>
      <w:rFonts w:ascii="Tahoma" w:hAnsi="Tahoma"/>
      <w:sz w:val="24"/>
      <w:szCs w:val="20"/>
    </w:rPr>
  </w:style>
  <w:style w:type="paragraph" w:styleId="956" w:customStyle="1">
    <w:name w:val="普通正文"/>
    <w:basedOn w:val="714"/>
    <w:uiPriority w:val="0"/>
    <w:qFormat/>
    <w:pPr>
      <w:ind w:firstLine="480"/>
      <w:jc w:val="left"/>
      <w:spacing w:before="120" w:after="120" w:line="360" w:lineRule="auto"/>
    </w:pPr>
    <w:rPr>
      <w:rFonts w:ascii="Arial" w:hAnsi="Arial"/>
      <w:sz w:val="24"/>
    </w:rPr>
  </w:style>
  <w:style w:type="paragraph" w:styleId="957" w:customStyle="1">
    <w:name w:val="Char"/>
    <w:basedOn w:val="714"/>
    <w:uiPriority w:val="0"/>
    <w:qFormat/>
    <w:pPr>
      <w:tabs>
        <w:tab w:val="left" w:pos="360" w:leader="none"/>
      </w:tabs>
    </w:pPr>
    <w:rPr>
      <w:sz w:val="24"/>
    </w:rPr>
  </w:style>
  <w:style w:type="paragraph" w:styleId="958" w:customStyle="1">
    <w:name w:val="_HT_正文"/>
    <w:basedOn w:val="714"/>
    <w:uiPriority w:val="0"/>
    <w:qFormat/>
    <w:pPr>
      <w:ind w:firstLine="200"/>
      <w:spacing w:line="360" w:lineRule="auto"/>
    </w:pPr>
    <w:rPr>
      <w:sz w:val="24"/>
    </w:rPr>
  </w:style>
  <w:style w:type="paragraph" w:styleId="959" w:customStyle="1">
    <w:name w:val="p0"/>
    <w:basedOn w:val="714"/>
    <w:uiPriority w:val="0"/>
    <w:qFormat/>
    <w:pPr>
      <w:widowControl/>
    </w:pPr>
    <w:rPr>
      <w:szCs w:val="21"/>
    </w:rPr>
  </w:style>
  <w:style w:type="paragraph" w:styleId="960" w:customStyle="1">
    <w:name w:val="无间隔2"/>
    <w:uiPriority w:val="1"/>
    <w:qFormat/>
    <w:rPr>
      <w:rFonts w:hint="default" w:ascii="Times New Roman" w:hAnsi="Times New Roman" w:eastAsia="宋体" w:cs="Times New Roman"/>
      <w:lang w:val="en-US" w:eastAsia="zh-CN" w:bidi="ar-SA"/>
    </w:rPr>
  </w:style>
  <w:style w:type="paragraph" w:styleId="961" w:customStyle="1">
    <w:name w:val="正文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2" w:customStyle="1">
    <w:name w:val="投标文件正文"/>
    <w:basedOn w:val="714"/>
    <w:uiPriority w:val="0"/>
    <w:qFormat/>
    <w:pPr>
      <w:ind w:firstLine="200"/>
      <w:spacing w:before="40" w:after="40" w:line="400" w:lineRule="exact"/>
    </w:pPr>
    <w:rPr>
      <w:sz w:val="24"/>
    </w:rPr>
  </w:style>
  <w:style w:type="table" w:styleId="963" w:customStyle="1">
    <w:name w:val="List Table 5 Dark - Accent 6"/>
    <w:basedOn w:val="854"/>
    <w:uiPriority w:val="99"/>
    <w:qFormat/>
    <w:tblPr/>
  </w:style>
  <w:style w:type="table" w:styleId="964" w:customStyle="1">
    <w:name w:val="Grid Table 1 Light - Accent 3"/>
    <w:basedOn w:val="854"/>
    <w:uiPriority w:val="99"/>
    <w:qFormat/>
    <w:tblPr/>
  </w:style>
  <w:style w:type="table" w:styleId="965" w:customStyle="1">
    <w:name w:val="Grid Table 1 Light - Accent 2"/>
    <w:basedOn w:val="854"/>
    <w:uiPriority w:val="99"/>
    <w:qFormat/>
    <w:tblPr/>
  </w:style>
  <w:style w:type="table" w:styleId="966" w:customStyle="1">
    <w:name w:val="List Table 3 - Accent 3"/>
    <w:basedOn w:val="854"/>
    <w:uiPriority w:val="99"/>
    <w:qFormat/>
    <w:tblPr/>
  </w:style>
  <w:style w:type="table" w:styleId="967" w:customStyle="1">
    <w:name w:val="Grid Table 2 - Accent 1"/>
    <w:basedOn w:val="854"/>
    <w:uiPriority w:val="99"/>
    <w:qFormat/>
    <w:tblPr/>
  </w:style>
  <w:style w:type="table" w:styleId="968" w:customStyle="1">
    <w:name w:val="Bordered - Accent 4"/>
    <w:basedOn w:val="854"/>
    <w:uiPriority w:val="99"/>
    <w:qFormat/>
    <w:tblPr/>
  </w:style>
  <w:style w:type="table" w:styleId="969" w:customStyle="1">
    <w:name w:val="Grid Table 1 Light - Accent 5"/>
    <w:basedOn w:val="854"/>
    <w:uiPriority w:val="99"/>
    <w:qFormat/>
    <w:tblPr/>
  </w:style>
  <w:style w:type="table" w:styleId="970" w:customStyle="1">
    <w:name w:val="Grid Table 2 - Accent 5"/>
    <w:basedOn w:val="854"/>
    <w:uiPriority w:val="99"/>
    <w:qFormat/>
    <w:tblPr/>
  </w:style>
  <w:style w:type="table" w:styleId="971" w:customStyle="1">
    <w:name w:val="List Table 4 - Accent 2"/>
    <w:basedOn w:val="854"/>
    <w:uiPriority w:val="99"/>
    <w:qFormat/>
    <w:tblPr/>
  </w:style>
  <w:style w:type="table" w:styleId="972" w:customStyle="1">
    <w:name w:val="Grid Table 5 Dark - Accent 2"/>
    <w:basedOn w:val="854"/>
    <w:uiPriority w:val="99"/>
    <w:qFormat/>
    <w:tblPr/>
  </w:style>
  <w:style w:type="table" w:styleId="973" w:customStyle="1">
    <w:name w:val="List Table 2 - Accent 1"/>
    <w:basedOn w:val="854"/>
    <w:uiPriority w:val="99"/>
    <w:qFormat/>
    <w:tblPr/>
  </w:style>
  <w:style w:type="table" w:styleId="974" w:customStyle="1">
    <w:name w:val="List Table 6 Colorful - Accent 1"/>
    <w:basedOn w:val="854"/>
    <w:uiPriority w:val="99"/>
    <w:qFormat/>
    <w:tblPr/>
  </w:style>
  <w:style w:type="table" w:styleId="975" w:customStyle="1">
    <w:name w:val="Grid Table 1 Light - Accent 1"/>
    <w:basedOn w:val="854"/>
    <w:uiPriority w:val="99"/>
    <w:qFormat/>
    <w:tblPr/>
  </w:style>
  <w:style w:type="table" w:styleId="976" w:customStyle="1">
    <w:name w:val="Grid Table 3 - Accent 3"/>
    <w:basedOn w:val="854"/>
    <w:uiPriority w:val="99"/>
    <w:qFormat/>
    <w:tblPr/>
  </w:style>
  <w:style w:type="table" w:styleId="977" w:customStyle="1">
    <w:name w:val="Bordered &amp; Lined - Accent 4"/>
    <w:basedOn w:val="854"/>
    <w:uiPriority w:val="99"/>
    <w:qFormat/>
    <w:rPr>
      <w:color w:val="404040"/>
    </w:rPr>
    <w:tblPr/>
  </w:style>
  <w:style w:type="table" w:styleId="978" w:customStyle="1">
    <w:name w:val="List Table 2 - Accent 2"/>
    <w:basedOn w:val="854"/>
    <w:uiPriority w:val="99"/>
    <w:qFormat/>
    <w:tblPr/>
  </w:style>
  <w:style w:type="table" w:styleId="979" w:customStyle="1">
    <w:name w:val="Lined - Accent 5"/>
    <w:basedOn w:val="854"/>
    <w:uiPriority w:val="99"/>
    <w:qFormat/>
    <w:rPr>
      <w:color w:val="404040"/>
    </w:rPr>
    <w:tblPr/>
  </w:style>
  <w:style w:type="table" w:styleId="980" w:customStyle="1">
    <w:name w:val="Bordered - Accent 6"/>
    <w:basedOn w:val="854"/>
    <w:uiPriority w:val="99"/>
    <w:qFormat/>
    <w:tblPr/>
  </w:style>
  <w:style w:type="table" w:styleId="981" w:customStyle="1">
    <w:name w:val="Grid Table 5 Dark- Accent 1"/>
    <w:basedOn w:val="854"/>
    <w:uiPriority w:val="99"/>
    <w:qFormat/>
    <w:tblPr/>
  </w:style>
  <w:style w:type="table" w:styleId="982" w:customStyle="1">
    <w:name w:val="Grid Table 6 Colorful - Accent 6"/>
    <w:basedOn w:val="854"/>
    <w:uiPriority w:val="99"/>
    <w:qFormat/>
    <w:tblPr/>
  </w:style>
  <w:style w:type="table" w:styleId="983" w:customStyle="1">
    <w:name w:val="List Table 3 - Accent 5"/>
    <w:basedOn w:val="854"/>
    <w:uiPriority w:val="99"/>
    <w:qFormat/>
    <w:tblPr/>
  </w:style>
  <w:style w:type="table" w:styleId="984" w:customStyle="1">
    <w:name w:val="Grid Table 4 - Accent 6"/>
    <w:basedOn w:val="854"/>
    <w:uiPriority w:val="59"/>
    <w:qFormat/>
    <w:tblPr/>
  </w:style>
  <w:style w:type="table" w:styleId="985" w:customStyle="1">
    <w:name w:val="Bordered - Accent 3"/>
    <w:basedOn w:val="854"/>
    <w:uiPriority w:val="99"/>
    <w:qFormat/>
    <w:tblPr/>
  </w:style>
  <w:style w:type="table" w:styleId="986" w:customStyle="1">
    <w:name w:val="List Table 4 - Accent 3"/>
    <w:basedOn w:val="854"/>
    <w:uiPriority w:val="99"/>
    <w:qFormat/>
    <w:tblPr/>
  </w:style>
  <w:style w:type="table" w:styleId="987" w:customStyle="1">
    <w:name w:val="Grid Table 2 - Accent 6"/>
    <w:basedOn w:val="854"/>
    <w:uiPriority w:val="99"/>
    <w:qFormat/>
    <w:tblPr/>
  </w:style>
  <w:style w:type="table" w:styleId="988" w:customStyle="1">
    <w:name w:val="List Table 4 - Accent 4"/>
    <w:basedOn w:val="854"/>
    <w:uiPriority w:val="99"/>
    <w:qFormat/>
    <w:tblPr/>
  </w:style>
  <w:style w:type="table" w:styleId="989" w:customStyle="1">
    <w:name w:val="Lined - Accent 3"/>
    <w:basedOn w:val="854"/>
    <w:uiPriority w:val="99"/>
    <w:qFormat/>
    <w:rPr>
      <w:color w:val="404040"/>
    </w:rPr>
    <w:tblPr/>
  </w:style>
  <w:style w:type="table" w:styleId="990" w:customStyle="1">
    <w:name w:val="Grid Table 2 - Accent 2"/>
    <w:basedOn w:val="854"/>
    <w:uiPriority w:val="99"/>
    <w:qFormat/>
    <w:tblPr/>
  </w:style>
  <w:style w:type="table" w:styleId="991" w:customStyle="1">
    <w:name w:val="Grid Table 7 Colorful - Accent 3"/>
    <w:basedOn w:val="854"/>
    <w:uiPriority w:val="99"/>
    <w:qFormat/>
    <w:tblPr/>
  </w:style>
  <w:style w:type="table" w:styleId="992" w:customStyle="1">
    <w:name w:val="List Table 5 Dark - Accent 2"/>
    <w:basedOn w:val="854"/>
    <w:uiPriority w:val="99"/>
    <w:qFormat/>
    <w:tblPr/>
  </w:style>
  <w:style w:type="table" w:styleId="993" w:customStyle="1">
    <w:name w:val="List Table 1 Light - Accent 5"/>
    <w:basedOn w:val="854"/>
    <w:uiPriority w:val="99"/>
    <w:qFormat/>
    <w:tblPr/>
  </w:style>
  <w:style w:type="table" w:styleId="994" w:customStyle="1">
    <w:name w:val="List Table 1 Light - Accent 2"/>
    <w:basedOn w:val="854"/>
    <w:uiPriority w:val="99"/>
    <w:qFormat/>
    <w:tblPr/>
  </w:style>
  <w:style w:type="table" w:styleId="995" w:customStyle="1">
    <w:name w:val="Bordered &amp; Lined - Accent 2"/>
    <w:basedOn w:val="854"/>
    <w:uiPriority w:val="99"/>
    <w:qFormat/>
    <w:rPr>
      <w:color w:val="404040"/>
    </w:rPr>
    <w:tblPr/>
  </w:style>
  <w:style w:type="table" w:styleId="996" w:customStyle="1">
    <w:name w:val="List Table 1 Light - Accent 3"/>
    <w:basedOn w:val="854"/>
    <w:uiPriority w:val="99"/>
    <w:qFormat/>
    <w:tblPr/>
  </w:style>
  <w:style w:type="table" w:styleId="997" w:customStyle="1">
    <w:name w:val="Lined - Accent 2"/>
    <w:basedOn w:val="854"/>
    <w:uiPriority w:val="99"/>
    <w:qFormat/>
    <w:rPr>
      <w:color w:val="404040"/>
    </w:rPr>
    <w:tblPr/>
  </w:style>
  <w:style w:type="table" w:styleId="998" w:customStyle="1">
    <w:name w:val="List Table 6 Colorful - Accent 4"/>
    <w:basedOn w:val="854"/>
    <w:uiPriority w:val="99"/>
    <w:qFormat/>
    <w:tblPr/>
  </w:style>
  <w:style w:type="table" w:styleId="999" w:customStyle="1">
    <w:name w:val="Grid Table 6 Colorful - Accent 3"/>
    <w:basedOn w:val="854"/>
    <w:uiPriority w:val="99"/>
    <w:qFormat/>
    <w:tblPr/>
  </w:style>
  <w:style w:type="table" w:styleId="1000" w:customStyle="1">
    <w:name w:val="List Table 5 Dark - Accent 5"/>
    <w:basedOn w:val="854"/>
    <w:uiPriority w:val="99"/>
    <w:qFormat/>
    <w:tblPr/>
  </w:style>
  <w:style w:type="table" w:styleId="1001" w:customStyle="1">
    <w:name w:val="List Table 7 Colorful - Accent 3"/>
    <w:basedOn w:val="854"/>
    <w:uiPriority w:val="99"/>
    <w:qFormat/>
    <w:tblPr/>
  </w:style>
  <w:style w:type="table" w:styleId="1002" w:customStyle="1">
    <w:name w:val="Grid Table 4 - Accent 2"/>
    <w:basedOn w:val="854"/>
    <w:uiPriority w:val="59"/>
    <w:qFormat/>
    <w:tblPr/>
  </w:style>
  <w:style w:type="table" w:styleId="1003" w:customStyle="1">
    <w:name w:val="List Table 3 - Accent 2"/>
    <w:basedOn w:val="854"/>
    <w:uiPriority w:val="99"/>
    <w:qFormat/>
    <w:tblPr/>
  </w:style>
  <w:style w:type="table" w:styleId="1004" w:customStyle="1">
    <w:name w:val="Bordered &amp; Lined - Accent 3"/>
    <w:basedOn w:val="854"/>
    <w:uiPriority w:val="99"/>
    <w:qFormat/>
    <w:rPr>
      <w:color w:val="404040"/>
    </w:rPr>
    <w:tblPr/>
  </w:style>
  <w:style w:type="table" w:styleId="1005" w:customStyle="1">
    <w:name w:val="List Table 4 - Accent 6"/>
    <w:basedOn w:val="854"/>
    <w:uiPriority w:val="99"/>
    <w:qFormat/>
    <w:tblPr/>
  </w:style>
  <w:style w:type="table" w:styleId="1006" w:customStyle="1">
    <w:name w:val="Grid Table 5 Dark - Accent 6"/>
    <w:basedOn w:val="854"/>
    <w:uiPriority w:val="99"/>
    <w:qFormat/>
    <w:tblPr/>
  </w:style>
  <w:style w:type="table" w:styleId="1007" w:customStyle="1">
    <w:name w:val="Lined - Accent 6"/>
    <w:basedOn w:val="854"/>
    <w:uiPriority w:val="99"/>
    <w:qFormat/>
    <w:rPr>
      <w:color w:val="404040"/>
    </w:rPr>
    <w:tblPr/>
  </w:style>
  <w:style w:type="table" w:styleId="1008" w:customStyle="1">
    <w:name w:val="List Table 6 Colorful - Accent 5"/>
    <w:basedOn w:val="854"/>
    <w:uiPriority w:val="99"/>
    <w:qFormat/>
    <w:tblPr/>
  </w:style>
  <w:style w:type="table" w:styleId="1009" w:customStyle="1">
    <w:name w:val="List Table 7 Colorful - Accent 1"/>
    <w:basedOn w:val="854"/>
    <w:uiPriority w:val="99"/>
    <w:qFormat/>
    <w:tblPr/>
  </w:style>
  <w:style w:type="table" w:styleId="1010" w:customStyle="1">
    <w:name w:val="Bordered &amp; Lined - Accent 1"/>
    <w:basedOn w:val="854"/>
    <w:uiPriority w:val="99"/>
    <w:qFormat/>
    <w:rPr>
      <w:color w:val="404040"/>
    </w:rPr>
    <w:tblPr/>
  </w:style>
  <w:style w:type="table" w:styleId="1011" w:customStyle="1">
    <w:name w:val="List Table 1 Light - Accent 6"/>
    <w:basedOn w:val="854"/>
    <w:uiPriority w:val="99"/>
    <w:qFormat/>
    <w:tblPr/>
  </w:style>
  <w:style w:type="table" w:styleId="1012" w:customStyle="1">
    <w:name w:val="Grid Table 6 Colorful - Accent 2"/>
    <w:basedOn w:val="854"/>
    <w:uiPriority w:val="99"/>
    <w:qFormat/>
    <w:tblPr/>
  </w:style>
  <w:style w:type="table" w:styleId="1013" w:customStyle="1">
    <w:name w:val="Bordered"/>
    <w:basedOn w:val="854"/>
    <w:uiPriority w:val="99"/>
    <w:qFormat/>
    <w:tblPr/>
  </w:style>
  <w:style w:type="table" w:styleId="1014" w:customStyle="1">
    <w:name w:val="Grid Table 1 Light - Accent 4"/>
    <w:basedOn w:val="854"/>
    <w:uiPriority w:val="99"/>
    <w:qFormat/>
    <w:tblPr/>
  </w:style>
  <w:style w:type="table" w:styleId="1015" w:customStyle="1">
    <w:name w:val="List Table 3 - Accent 1"/>
    <w:basedOn w:val="854"/>
    <w:uiPriority w:val="99"/>
    <w:qFormat/>
    <w:tblPr/>
  </w:style>
  <w:style w:type="table" w:styleId="1016" w:customStyle="1">
    <w:name w:val="Grid Table 3 - Accent 6"/>
    <w:basedOn w:val="854"/>
    <w:uiPriority w:val="99"/>
    <w:qFormat/>
    <w:tblPr/>
  </w:style>
  <w:style w:type="table" w:styleId="1017" w:customStyle="1">
    <w:name w:val="Grid Table 3 - Accent 1"/>
    <w:basedOn w:val="854"/>
    <w:uiPriority w:val="99"/>
    <w:qFormat/>
    <w:tblPr/>
  </w:style>
  <w:style w:type="table" w:styleId="1018" w:customStyle="1">
    <w:name w:val="List Table 4 - Accent 5"/>
    <w:basedOn w:val="854"/>
    <w:uiPriority w:val="99"/>
    <w:qFormat/>
    <w:tblPr/>
  </w:style>
  <w:style w:type="table" w:styleId="1019" w:customStyle="1">
    <w:name w:val="Grid Table 7 Colorful - Accent 1"/>
    <w:basedOn w:val="854"/>
    <w:uiPriority w:val="99"/>
    <w:qFormat/>
    <w:tblPr/>
  </w:style>
  <w:style w:type="table" w:styleId="1020" w:customStyle="1">
    <w:name w:val="List Table 2 - Accent 6"/>
    <w:basedOn w:val="854"/>
    <w:uiPriority w:val="99"/>
    <w:qFormat/>
    <w:tblPr/>
  </w:style>
  <w:style w:type="table" w:styleId="1021" w:customStyle="1">
    <w:name w:val="List Table 6 Colorful - Accent 2"/>
    <w:basedOn w:val="854"/>
    <w:uiPriority w:val="99"/>
    <w:qFormat/>
    <w:tblPr/>
  </w:style>
  <w:style w:type="table" w:styleId="1022" w:customStyle="1">
    <w:name w:val="Bordered &amp; Lined - Accent 6"/>
    <w:basedOn w:val="854"/>
    <w:uiPriority w:val="99"/>
    <w:qFormat/>
    <w:rPr>
      <w:color w:val="404040"/>
    </w:rPr>
    <w:tblPr/>
  </w:style>
  <w:style w:type="table" w:styleId="1023" w:customStyle="1">
    <w:name w:val="Bordered - Accent 5"/>
    <w:basedOn w:val="854"/>
    <w:uiPriority w:val="99"/>
    <w:qFormat/>
    <w:tblPr/>
  </w:style>
  <w:style w:type="table" w:styleId="1024" w:customStyle="1">
    <w:name w:val="List Table 2 - Accent 4"/>
    <w:basedOn w:val="854"/>
    <w:uiPriority w:val="99"/>
    <w:qFormat/>
    <w:tblPr/>
  </w:style>
  <w:style w:type="table" w:styleId="1025" w:customStyle="1">
    <w:name w:val="List Table 3 - Accent 6"/>
    <w:basedOn w:val="854"/>
    <w:uiPriority w:val="99"/>
    <w:qFormat/>
    <w:tblPr/>
  </w:style>
  <w:style w:type="table" w:styleId="1026" w:customStyle="1">
    <w:name w:val="List Table 2 - Accent 3"/>
    <w:basedOn w:val="854"/>
    <w:uiPriority w:val="99"/>
    <w:qFormat/>
    <w:tblPr/>
  </w:style>
  <w:style w:type="table" w:styleId="1027" w:customStyle="1">
    <w:name w:val="List Table 5 Dark - Accent 3"/>
    <w:basedOn w:val="854"/>
    <w:uiPriority w:val="99"/>
    <w:qFormat/>
    <w:tblPr/>
  </w:style>
  <w:style w:type="table" w:styleId="1028" w:customStyle="1">
    <w:name w:val="Grid Table 7 Colorful - Accent 2"/>
    <w:basedOn w:val="854"/>
    <w:uiPriority w:val="99"/>
    <w:qFormat/>
    <w:tblPr/>
  </w:style>
  <w:style w:type="table" w:styleId="1029" w:customStyle="1">
    <w:name w:val="Grid Table 3 - Accent 5"/>
    <w:basedOn w:val="854"/>
    <w:uiPriority w:val="99"/>
    <w:qFormat/>
    <w:tblPr/>
  </w:style>
  <w:style w:type="table" w:styleId="1030" w:customStyle="1">
    <w:name w:val="Grid Table 2 - Accent 3"/>
    <w:basedOn w:val="854"/>
    <w:uiPriority w:val="99"/>
    <w:qFormat/>
    <w:tblPr/>
  </w:style>
  <w:style w:type="table" w:styleId="1031" w:customStyle="1">
    <w:name w:val="List Table 2 - Accent 5"/>
    <w:basedOn w:val="854"/>
    <w:uiPriority w:val="99"/>
    <w:qFormat/>
    <w:tblPr/>
  </w:style>
  <w:style w:type="table" w:styleId="1032" w:customStyle="1">
    <w:name w:val="Bordered - Accent 1"/>
    <w:basedOn w:val="854"/>
    <w:uiPriority w:val="99"/>
    <w:qFormat/>
    <w:tblPr/>
  </w:style>
  <w:style w:type="table" w:styleId="1033" w:customStyle="1">
    <w:name w:val="List Table 1 Light - Accent 4"/>
    <w:basedOn w:val="854"/>
    <w:uiPriority w:val="99"/>
    <w:qFormat/>
    <w:tblPr/>
  </w:style>
  <w:style w:type="table" w:styleId="1034" w:customStyle="1">
    <w:name w:val="Grid Table 4 - Accent 5"/>
    <w:basedOn w:val="854"/>
    <w:uiPriority w:val="59"/>
    <w:qFormat/>
    <w:tblPr/>
  </w:style>
  <w:style w:type="table" w:styleId="1035" w:customStyle="1">
    <w:name w:val="Grid Table 5 Dark - Accent 3"/>
    <w:basedOn w:val="854"/>
    <w:uiPriority w:val="99"/>
    <w:qFormat/>
    <w:tblPr/>
  </w:style>
  <w:style w:type="table" w:styleId="1036" w:customStyle="1">
    <w:name w:val="Grid Table 3 - Accent 4"/>
    <w:basedOn w:val="854"/>
    <w:uiPriority w:val="99"/>
    <w:qFormat/>
    <w:tblPr/>
  </w:style>
  <w:style w:type="table" w:styleId="1037" w:customStyle="1">
    <w:name w:val="Grid Table 7 Colorful - Accent 4"/>
    <w:basedOn w:val="854"/>
    <w:uiPriority w:val="99"/>
    <w:qFormat/>
    <w:tblPr/>
  </w:style>
  <w:style w:type="table" w:styleId="1038" w:customStyle="1">
    <w:name w:val="Grid Table 1 Light - Accent 6"/>
    <w:basedOn w:val="854"/>
    <w:uiPriority w:val="99"/>
    <w:qFormat/>
    <w:tblPr/>
  </w:style>
  <w:style w:type="table" w:styleId="1039" w:customStyle="1">
    <w:name w:val="Bordered &amp; Lined - Accent"/>
    <w:basedOn w:val="854"/>
    <w:uiPriority w:val="99"/>
    <w:qFormat/>
    <w:rPr>
      <w:color w:val="404040"/>
    </w:rPr>
    <w:tblPr/>
  </w:style>
  <w:style w:type="table" w:styleId="1040" w:customStyle="1">
    <w:name w:val="List Table 7 Colorful - Accent 2"/>
    <w:basedOn w:val="854"/>
    <w:uiPriority w:val="99"/>
    <w:qFormat/>
    <w:tblPr/>
  </w:style>
  <w:style w:type="table" w:styleId="1041" w:customStyle="1">
    <w:name w:val="Grid Table 7 Colorful - Accent 5"/>
    <w:basedOn w:val="854"/>
    <w:uiPriority w:val="99"/>
    <w:qFormat/>
    <w:tblPr/>
  </w:style>
  <w:style w:type="table" w:styleId="1042" w:customStyle="1">
    <w:name w:val="Lined - Accent"/>
    <w:basedOn w:val="854"/>
    <w:uiPriority w:val="99"/>
    <w:qFormat/>
    <w:rPr>
      <w:color w:val="404040"/>
    </w:rPr>
    <w:tblPr/>
  </w:style>
  <w:style w:type="table" w:styleId="1043" w:customStyle="1">
    <w:name w:val="Grid Table 6 Colorful - Accent 5"/>
    <w:basedOn w:val="854"/>
    <w:uiPriority w:val="99"/>
    <w:qFormat/>
    <w:tblPr/>
  </w:style>
  <w:style w:type="table" w:styleId="1044" w:customStyle="1">
    <w:name w:val="List Table 7 Colorful - Accent 4"/>
    <w:basedOn w:val="854"/>
    <w:uiPriority w:val="99"/>
    <w:qFormat/>
    <w:tblPr/>
  </w:style>
  <w:style w:type="table" w:styleId="1045" w:customStyle="1">
    <w:name w:val="List Table 6 Colorful - Accent 3"/>
    <w:basedOn w:val="854"/>
    <w:uiPriority w:val="99"/>
    <w:qFormat/>
    <w:tblPr/>
  </w:style>
  <w:style w:type="table" w:styleId="1046" w:customStyle="1">
    <w:name w:val="List Table 7 Colorful - Accent 6"/>
    <w:basedOn w:val="854"/>
    <w:uiPriority w:val="99"/>
    <w:qFormat/>
    <w:tblPr/>
  </w:style>
  <w:style w:type="table" w:styleId="1047" w:customStyle="1">
    <w:name w:val="Grid Table 5 Dark - Accent 5"/>
    <w:basedOn w:val="854"/>
    <w:uiPriority w:val="99"/>
    <w:qFormat/>
    <w:tblPr/>
  </w:style>
  <w:style w:type="table" w:styleId="1048" w:customStyle="1">
    <w:name w:val="List Table 5 Dark - Accent 1"/>
    <w:basedOn w:val="854"/>
    <w:uiPriority w:val="99"/>
    <w:qFormat/>
    <w:tblPr/>
  </w:style>
  <w:style w:type="table" w:styleId="1049" w:customStyle="1">
    <w:name w:val="Bordered - Accent 2"/>
    <w:basedOn w:val="854"/>
    <w:uiPriority w:val="99"/>
    <w:qFormat/>
    <w:tblPr/>
  </w:style>
  <w:style w:type="table" w:styleId="1050" w:customStyle="1">
    <w:name w:val="List Table 1 Light - Accent 1"/>
    <w:basedOn w:val="854"/>
    <w:uiPriority w:val="99"/>
    <w:qFormat/>
    <w:tblPr/>
  </w:style>
  <w:style w:type="table" w:styleId="1051" w:customStyle="1">
    <w:name w:val="List Table 3 - Accent 4"/>
    <w:basedOn w:val="854"/>
    <w:uiPriority w:val="99"/>
    <w:qFormat/>
    <w:tblPr/>
  </w:style>
  <w:style w:type="table" w:styleId="1052" w:customStyle="1">
    <w:name w:val="Grid Table 6 Colorful - Accent 4"/>
    <w:basedOn w:val="854"/>
    <w:uiPriority w:val="99"/>
    <w:qFormat/>
    <w:tblPr/>
  </w:style>
  <w:style w:type="table" w:styleId="1053" w:customStyle="1">
    <w:name w:val="Grid Table 4 - Accent 4"/>
    <w:basedOn w:val="854"/>
    <w:uiPriority w:val="59"/>
    <w:qFormat/>
    <w:tblPr/>
  </w:style>
  <w:style w:type="table" w:styleId="1054" w:customStyle="1">
    <w:name w:val="List Table 4 - Accent 1"/>
    <w:basedOn w:val="854"/>
    <w:uiPriority w:val="99"/>
    <w:qFormat/>
    <w:tblPr/>
  </w:style>
  <w:style w:type="table" w:styleId="1055" w:customStyle="1">
    <w:name w:val="Grid Table 7 Colorful - Accent 6"/>
    <w:basedOn w:val="854"/>
    <w:uiPriority w:val="99"/>
    <w:qFormat/>
    <w:tblPr/>
  </w:style>
  <w:style w:type="table" w:styleId="1056" w:customStyle="1">
    <w:name w:val="Grid Table 2 - Accent 4"/>
    <w:basedOn w:val="854"/>
    <w:uiPriority w:val="99"/>
    <w:qFormat/>
    <w:tblPr/>
  </w:style>
  <w:style w:type="table" w:styleId="1057" w:customStyle="1">
    <w:name w:val="Table Grid Light"/>
    <w:basedOn w:val="854"/>
    <w:uiPriority w:val="59"/>
    <w:qFormat/>
    <w:tblPr/>
  </w:style>
  <w:style w:type="table" w:styleId="1058" w:customStyle="1">
    <w:name w:val="Grid Table 4 - Accent 1"/>
    <w:basedOn w:val="854"/>
    <w:uiPriority w:val="59"/>
    <w:qFormat/>
    <w:tblPr/>
  </w:style>
  <w:style w:type="table" w:styleId="1059" w:customStyle="1">
    <w:name w:val="Grid Table 6 Colorful - Accent 1"/>
    <w:basedOn w:val="854"/>
    <w:uiPriority w:val="99"/>
    <w:qFormat/>
    <w:tblPr/>
  </w:style>
  <w:style w:type="table" w:styleId="1060" w:customStyle="1">
    <w:name w:val="List Table 7 Colorful - Accent 5"/>
    <w:basedOn w:val="854"/>
    <w:uiPriority w:val="99"/>
    <w:qFormat/>
    <w:tblPr/>
  </w:style>
  <w:style w:type="table" w:styleId="1061" w:customStyle="1">
    <w:name w:val="List Table 5 Dark - Accent 4"/>
    <w:basedOn w:val="854"/>
    <w:uiPriority w:val="99"/>
    <w:qFormat/>
    <w:tblPr/>
  </w:style>
  <w:style w:type="table" w:styleId="1062" w:customStyle="1">
    <w:name w:val="Grid Table 4 - Accent 3"/>
    <w:basedOn w:val="854"/>
    <w:uiPriority w:val="59"/>
    <w:qFormat/>
    <w:tblPr/>
  </w:style>
  <w:style w:type="table" w:styleId="1063" w:customStyle="1">
    <w:name w:val="Lined - Accent 1"/>
    <w:basedOn w:val="854"/>
    <w:uiPriority w:val="99"/>
    <w:qFormat/>
    <w:rPr>
      <w:color w:val="404040"/>
    </w:rPr>
    <w:tblPr/>
  </w:style>
  <w:style w:type="table" w:styleId="1064" w:customStyle="1">
    <w:name w:val="Grid Table 3 - Accent 2"/>
    <w:basedOn w:val="854"/>
    <w:uiPriority w:val="99"/>
    <w:qFormat/>
    <w:tblPr/>
  </w:style>
  <w:style w:type="table" w:styleId="1065" w:customStyle="1">
    <w:name w:val="Lined - Accent 4"/>
    <w:basedOn w:val="854"/>
    <w:uiPriority w:val="99"/>
    <w:qFormat/>
    <w:rPr>
      <w:color w:val="404040"/>
    </w:rPr>
    <w:tblPr/>
  </w:style>
  <w:style w:type="table" w:styleId="1066" w:customStyle="1">
    <w:name w:val="Grid Table 5 Dark- Accent 4"/>
    <w:basedOn w:val="854"/>
    <w:uiPriority w:val="99"/>
    <w:qFormat/>
    <w:tblPr/>
  </w:style>
  <w:style w:type="table" w:styleId="1067" w:customStyle="1">
    <w:name w:val="Bordered &amp; Lined - Accent 5"/>
    <w:basedOn w:val="854"/>
    <w:uiPriority w:val="99"/>
    <w:qFormat/>
    <w:rPr>
      <w:color w:val="404040"/>
    </w:rPr>
    <w:tblPr/>
  </w:style>
  <w:style w:type="table" w:styleId="1068" w:customStyle="1">
    <w:name w:val="List Table 6 Colorful - Accent 6"/>
    <w:basedOn w:val="854"/>
    <w:uiPriority w:val="99"/>
    <w:qFormat/>
    <w:tblPr/>
  </w:style>
  <w:style w:type="paragraph" w:styleId="1069" w:customStyle="1">
    <w:name w:val="*正文"/>
    <w:basedOn w:val="714"/>
    <w:uiPriority w:val="0"/>
    <w:qFormat/>
    <w:pPr>
      <w:jc w:val="both"/>
    </w:pPr>
    <w:rPr>
      <w:rFonts w:ascii="Calibri" w:hAnsi="Calibri" w:cs="Times New Roman"/>
    </w:rPr>
  </w:style>
  <w:style w:type="character" w:styleId="1070" w:customStyle="1">
    <w:name w:val="font11"/>
    <w:link w:val="714"/>
    <w:uiPriority w:val="99"/>
    <w:qFormat/>
    <w:rPr>
      <w:rFonts w:ascii="Arial" w:hAnsi="Arial" w:cs="Arial"/>
      <w:color w:val="000000"/>
      <w:sz w:val="20"/>
      <w:szCs w:val="20"/>
      <w:u w:val="none"/>
    </w:rPr>
  </w:style>
  <w:style w:type="character" w:styleId="1071" w:customStyle="1">
    <w:name w:val="font31"/>
    <w:link w:val="714"/>
    <w:uiPriority w:val="99"/>
    <w:qFormat/>
    <w:rPr>
      <w:rFonts w:ascii="宋体" w:hAnsi="宋体" w:eastAsia="宋体" w:cs="宋体"/>
      <w:color w:val="000000"/>
      <w:sz w:val="22"/>
      <w:szCs w:val="22"/>
      <w:u w:val="none"/>
    </w:rPr>
  </w:style>
  <w:style w:type="paragraph" w:styleId="1072" w:customStyle="1">
    <w:name w:val="文本块12"/>
    <w:basedOn w:val="714"/>
    <w:next w:val="714"/>
    <w:uiPriority w:val="99"/>
    <w:unhideWhenUsed/>
    <w:qFormat/>
    <w:pPr>
      <w:ind w:left="1440" w:right="1440"/>
      <w:spacing w:after="120"/>
    </w:pPr>
  </w:style>
  <w:style w:type="paragraph" w:styleId="1073" w:customStyle="1">
    <w:name w:val="标题 311"/>
    <w:basedOn w:val="752"/>
    <w:next w:val="752"/>
    <w:uiPriority w:val="0"/>
    <w:qFormat/>
    <w:pPr>
      <w:keepLines/>
      <w:keepNext/>
      <w:spacing w:before="320" w:after="200"/>
      <w:outlineLvl w:val="2"/>
    </w:pPr>
    <w:rPr>
      <w:rFonts w:ascii="Arial" w:hAnsi="Arial" w:eastAsia="Arial"/>
      <w:sz w:val="30"/>
      <w:szCs w:val="30"/>
      <w:lang w:val="en-US" w:eastAsia="zh-CN" w:bidi="ar-SA"/>
    </w:rPr>
  </w:style>
  <w:style w:type="character" w:styleId="1074" w:customStyle="1">
    <w:name w:val="font21"/>
    <w:link w:val="714"/>
    <w:uiPriority w:val="0"/>
    <w:qFormat/>
    <w:rPr>
      <w:rFonts w:hint="eastAsia" w:ascii="仿宋" w:hAnsi="仿宋" w:eastAsia="仿宋" w:cs="仿宋"/>
      <w:color w:val="000000"/>
      <w:sz w:val="28"/>
      <w:szCs w:val="28"/>
      <w:u w:val="none"/>
    </w:rPr>
  </w:style>
  <w:style w:type="paragraph" w:styleId="1075" w:customStyle="1">
    <w:name w:val="正文_0"/>
    <w:uiPriority w:val="99"/>
    <w:unhideWhenUsed/>
    <w:qFormat/>
    <w:rPr>
      <w:rFonts w:hint="eastAsia" w:ascii="Times New Roman" w:hAnsi="Times New Roman" w:eastAsia="宋体" w:cs="Times New Roman"/>
      <w:sz w:val="21"/>
      <w:lang w:val="en-US" w:eastAsia="zh-CN" w:bidi="ar-SA"/>
    </w:rPr>
  </w:style>
  <w:style w:type="character" w:styleId="1076" w:customStyle="1">
    <w:name w:val="NormalCharacter11"/>
    <w:link w:val="714"/>
    <w:uiPriority w:val="0"/>
    <w:qFormat/>
    <w:rPr>
      <w:lang w:val="en-US" w:eastAsia="zh-CN" w:bidi="ar-SA"/>
    </w:rPr>
  </w:style>
  <w:style w:type="paragraph" w:styleId="1077" w:customStyle="1">
    <w:name w:val="标准书眉_奇数页"/>
    <w:next w:val="714"/>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078" w:customStyle="1">
    <w:name w:val="正文文本 21"/>
    <w:uiPriority w:val="0"/>
    <w:qFormat/>
    <w:pPr>
      <w:jc w:val="center"/>
      <w:widowControl/>
    </w:pPr>
    <w:rPr>
      <w:rFonts w:hint="default" w:ascii="楷体_GB2312" w:hAnsi="Calibri" w:eastAsia="楷体_GB2312" w:cs="Times New Roman"/>
      <w:sz w:val="28"/>
      <w:szCs w:val="28"/>
    </w:rPr>
  </w:style>
  <w:style w:type="paragraph" w:styleId="1079" w:customStyle="1">
    <w:name w:val="正文1111"/>
    <w:next w:val="10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0" w:customStyle="1">
    <w:name w:val="目录 112"/>
    <w:next w:val="10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1" w:customStyle="1">
    <w:name w:val="Table Text"/>
    <w:basedOn w:val="714"/>
    <w:uiPriority w:val="0"/>
    <w:semiHidden/>
    <w:qFormat/>
    <w:rPr>
      <w:rFonts w:ascii="宋体" w:hAnsi="宋体" w:eastAsia="宋体" w:cs="宋体"/>
      <w:sz w:val="24"/>
      <w:szCs w:val="24"/>
      <w:lang w:val="en-US" w:eastAsia="en-US" w:bidi="ar-SA"/>
    </w:rPr>
  </w:style>
  <w:style w:type="table" w:styleId="1082" w:customStyle="1">
    <w:name w:val="Table Normal"/>
    <w:uiPriority w:val="0"/>
    <w:semiHidden/>
    <w:unhideWhenUsed/>
    <w:qFormat/>
    <w:tblPr>
      <w:tblCellMar>
        <w:left w:w="0" w:type="dxa"/>
        <w:top w:w="0" w:type="dxa"/>
        <w:right w:w="0" w:type="dxa"/>
        <w:bottom w:w="0" w:type="dxa"/>
      </w:tblCellMar>
    </w:tblPr>
  </w:style>
  <w:style w:type="numbering" w:styleId="10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戴冠楠</cp:lastModifiedBy>
  <cp:revision>24</cp:revision>
  <dcterms:created xsi:type="dcterms:W3CDTF">2023-11-17T06:31:00Z</dcterms:created>
  <dcterms:modified xsi:type="dcterms:W3CDTF">2025-11-06T02:53:21Z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eyJoZGlkIjoiMmNmYjc4MTVlNzVjOTk2MDNhMGQ5NjdkNGRhMTFmYWMiLCJ1c2VySWQiOiI2MjU2MTUxODEifQ==</vt:lpwstr>
  </property>
  <property fmtid="{D5CDD505-2E9C-101B-9397-08002B2CF9AE}" pid="3" name="KSOProductBuildVer">
    <vt:lpwstr>2052-12.1.0.22529</vt:lpwstr>
  </property>
  <property fmtid="{D5CDD505-2E9C-101B-9397-08002B2CF9AE}" pid="4" name="ICV">
    <vt:lpwstr>6B6099FCC34C44209FDDCAF9C6E6DC40_13</vt:lpwstr>
  </property>
</Properties>
</file>