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center"/>
        <w:spacing w:line="500" w:lineRule="exact"/>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pStyle w:val="67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contextualSpacing/>
        <w:jc w:val="center"/>
        <w:spacing w:line="360" w:lineRule="auto"/>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r>
      <w:r/>
    </w:p>
    <w:p>
      <w:pPr>
        <w:pStyle w:val="659"/>
        <w:contextualSpacing/>
        <w:jc w:val="center"/>
        <w:spacing w:line="360" w:lineRule="auto"/>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t xml:space="preserve">南通市电子政务外网设备更新项目（2025年度）</w:t>
      </w:r>
      <w:r>
        <w:rPr>
          <w:rFonts w:hint="eastAsia" w:ascii="宋体" w:hAnsi="宋体" w:eastAsia="宋体" w:cs="宋体"/>
          <w:b/>
          <w:bCs/>
          <w:color w:val="000000"/>
          <w:sz w:val="48"/>
          <w:szCs w:val="48"/>
          <w:highlight w:val="none"/>
          <w:lang w:eastAsia="zh-CN"/>
        </w:rPr>
      </w:r>
      <w:r/>
    </w:p>
    <w:p>
      <w:pPr>
        <w:pStyle w:val="659"/>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659"/>
        <w:jc w:val="center"/>
        <w:spacing w:line="300" w:lineRule="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政府采购</w:t>
      </w:r>
      <w:r>
        <w:rPr>
          <w:rFonts w:hint="eastAsia" w:ascii="宋体" w:hAnsi="宋体" w:eastAsia="宋体" w:cs="宋体"/>
          <w:b/>
          <w:color w:val="000000"/>
          <w:sz w:val="96"/>
          <w:szCs w:val="96"/>
          <w:highlight w:val="none"/>
        </w:rPr>
      </w:r>
      <w:r/>
    </w:p>
    <w:p>
      <w:pPr>
        <w:pStyle w:val="659"/>
        <w:jc w:val="center"/>
        <w:spacing w:line="300" w:lineRule="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公开招标文件</w:t>
      </w:r>
      <w:r>
        <w:rPr>
          <w:rFonts w:hint="eastAsia" w:ascii="宋体" w:hAnsi="宋体" w:eastAsia="宋体" w:cs="宋体"/>
          <w:b/>
          <w:color w:val="000000"/>
          <w:sz w:val="96"/>
          <w:szCs w:val="96"/>
          <w:highlight w:val="none"/>
        </w:rPr>
      </w:r>
      <w:r/>
    </w:p>
    <w:p>
      <w:pPr>
        <w:pStyle w:val="665"/>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9"/>
        <w:jc w:val="center"/>
        <w:spacing w:line="720" w:lineRule="auto"/>
        <w:rPr>
          <w:rFonts w:hint="eastAsia" w:ascii="宋体" w:hAnsi="宋体" w:eastAsia="宋体" w:cs="宋体"/>
          <w:b/>
          <w:color w:val="000000"/>
          <w:sz w:val="32"/>
          <w:szCs w:val="32"/>
          <w:highlight w:val="none"/>
        </w:rPr>
      </w:pPr>
      <w:r/>
      <w:bookmarkStart w:id="0" w:name="_Hlk154567591"/>
      <w:r>
        <w:rPr>
          <w:rFonts w:hint="eastAsia" w:ascii="宋体" w:hAnsi="宋体" w:eastAsia="宋体" w:cs="宋体"/>
          <w:b/>
          <w:color w:val="000000"/>
          <w:sz w:val="32"/>
          <w:szCs w:val="32"/>
          <w:highlight w:val="none"/>
        </w:rPr>
        <w:t xml:space="preserve">项目编号：</w:t>
      </w:r>
      <w:bookmarkEnd w:id="0"/>
      <w:r>
        <w:rPr>
          <w:rFonts w:hint="eastAsia" w:ascii="宋体" w:hAnsi="宋体" w:eastAsia="宋体" w:cs="宋体"/>
          <w:b/>
          <w:color w:val="000000"/>
          <w:sz w:val="32"/>
          <w:szCs w:val="32"/>
          <w:highlight w:val="none"/>
          <w:lang w:eastAsia="zh-CN"/>
        </w:rPr>
        <w:t xml:space="preserve">JSZC-320600-ZYZB-G2025-00</w:t>
      </w:r>
      <w:r>
        <w:rPr>
          <w:rFonts w:hint="eastAsia" w:ascii="宋体" w:hAnsi="宋体" w:eastAsia="宋体" w:cs="宋体"/>
          <w:b/>
          <w:color w:val="000000"/>
          <w:sz w:val="32"/>
          <w:szCs w:val="32"/>
          <w:highlight w:val="none"/>
          <w:lang w:val="en-US" w:eastAsia="zh-CN"/>
        </w:rPr>
        <w:t xml:space="preserve">23</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659"/>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59"/>
        <w:ind w:left="-2" w:right="120"/>
        <w:jc w:val="center"/>
        <w:spacing w:before="120" w:after="120" w:line="50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 购 单 位：</w:t>
      </w:r>
      <w:r>
        <w:rPr>
          <w:rFonts w:hint="eastAsia" w:ascii="宋体" w:hAnsi="宋体" w:eastAsia="宋体" w:cs="宋体"/>
          <w:b/>
          <w:color w:val="000000"/>
          <w:sz w:val="30"/>
          <w:szCs w:val="30"/>
          <w:highlight w:val="none"/>
          <w:lang w:eastAsia="zh-CN"/>
        </w:rPr>
        <w:t xml:space="preserve">南通市大数据管理中心</w:t>
      </w:r>
      <w:r>
        <w:rPr>
          <w:rFonts w:hint="eastAsia" w:ascii="宋体" w:hAnsi="宋体" w:eastAsia="宋体" w:cs="宋体"/>
          <w:b/>
          <w:color w:val="000000"/>
          <w:sz w:val="30"/>
          <w:szCs w:val="30"/>
          <w:highlight w:val="none"/>
          <w:lang w:eastAsia="zh-CN"/>
        </w:rPr>
      </w:r>
      <w:r/>
    </w:p>
    <w:p>
      <w:pPr>
        <w:pStyle w:val="659"/>
        <w:ind w:left="-2" w:right="120"/>
        <w:jc w:val="center"/>
        <w:spacing w:before="120" w:after="12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采购代理机构：江苏正扬招标代理有限公司</w:t>
      </w:r>
      <w:r>
        <w:rPr>
          <w:rFonts w:hint="eastAsia" w:ascii="宋体" w:hAnsi="宋体" w:eastAsia="宋体" w:cs="宋体"/>
          <w:b/>
          <w:color w:val="000000"/>
          <w:sz w:val="30"/>
          <w:szCs w:val="30"/>
          <w:highlight w:val="none"/>
        </w:rPr>
      </w:r>
      <w:r/>
    </w:p>
    <w:p>
      <w:pPr>
        <w:pStyle w:val="659"/>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659"/>
        <w:jc w:val="center"/>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日期：</w:t>
      </w:r>
      <w:r>
        <w:rPr>
          <w:rFonts w:hint="eastAsia" w:ascii="宋体" w:hAnsi="宋体" w:eastAsia="宋体" w:cs="宋体"/>
          <w:b/>
          <w:color w:val="000000"/>
          <w:sz w:val="30"/>
          <w:szCs w:val="30"/>
          <w:highlight w:val="none"/>
          <w:lang w:val="en-US" w:eastAsia="zh-CN"/>
        </w:rPr>
        <w:t xml:space="preserve">2</w:t>
      </w:r>
      <w:r>
        <w:rPr>
          <w:rFonts w:hint="eastAsia" w:ascii="宋体" w:hAnsi="宋体" w:eastAsia="宋体" w:cs="宋体"/>
          <w:b/>
          <w:color w:val="000000"/>
          <w:sz w:val="30"/>
          <w:szCs w:val="30"/>
          <w:highlight w:val="none"/>
          <w:lang w:val="en-US" w:eastAsia="zh-CN"/>
        </w:rPr>
        <w:t xml:space="preserve">025</w:t>
      </w:r>
      <w:r>
        <w:rPr>
          <w:rFonts w:hint="eastAsia" w:ascii="宋体" w:hAnsi="宋体" w:eastAsia="宋体" w:cs="宋体"/>
          <w:b/>
          <w:color w:val="000000"/>
          <w:sz w:val="30"/>
          <w:szCs w:val="30"/>
          <w:highlight w:val="none"/>
        </w:rPr>
        <w:t xml:space="preserve">年</w:t>
      </w:r>
      <w:r>
        <w:rPr>
          <w:rFonts w:hint="eastAsia" w:ascii="宋体" w:hAnsi="宋体" w:eastAsia="宋体" w:cs="宋体"/>
          <w:b/>
          <w:color w:val="000000"/>
          <w:sz w:val="30"/>
          <w:szCs w:val="30"/>
          <w:highlight w:val="none"/>
          <w:lang w:val="en-US" w:eastAsia="zh-CN"/>
        </w:rPr>
        <w:t xml:space="preserve">8</w:t>
      </w:r>
      <w:r>
        <w:rPr>
          <w:rFonts w:hint="eastAsia" w:ascii="宋体" w:hAnsi="宋体" w:eastAsia="宋体" w:cs="宋体"/>
          <w:b/>
          <w:color w:val="000000"/>
          <w:sz w:val="30"/>
          <w:szCs w:val="30"/>
          <w:highlight w:val="none"/>
        </w:rPr>
        <w:t xml:space="preserve">月</w:t>
      </w:r>
      <w:r>
        <w:rPr>
          <w:rFonts w:hint="eastAsia" w:ascii="宋体" w:hAnsi="宋体" w:eastAsia="宋体" w:cs="宋体"/>
          <w:color w:val="000000"/>
          <w:sz w:val="32"/>
          <w:highlight w:val="none"/>
        </w:rPr>
      </w:r>
      <w:r/>
    </w:p>
    <w:p>
      <w:pPr>
        <w:pStyle w:val="65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9"/>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9"/>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59"/>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5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9"/>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5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5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59"/>
        <w:ind w:firstLine="640"/>
        <w:spacing w:line="360" w:lineRule="auto"/>
        <w:tabs>
          <w:tab w:val="left" w:pos="7740" w:leader="none"/>
        </w:tabs>
        <w:rPr>
          <w:rFonts w:hint="eastAsia" w:ascii="宋体" w:hAnsi="宋体" w:eastAsia="宋体" w:cs="宋体"/>
          <w:bCs/>
          <w:color w:val="000000"/>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评标方法与评标标准</w:t>
      </w:r>
      <w:r>
        <w:rPr>
          <w:rFonts w:hint="eastAsia" w:ascii="宋体" w:hAnsi="宋体" w:eastAsia="宋体" w:cs="宋体"/>
          <w:bCs/>
          <w:color w:val="000000"/>
          <w:sz w:val="32"/>
          <w:szCs w:val="32"/>
          <w:highlight w:val="none"/>
        </w:rPr>
      </w:r>
      <w:r/>
    </w:p>
    <w:p>
      <w:pPr>
        <w:pStyle w:val="65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w:t>
      </w:r>
      <w:r>
        <w:rPr>
          <w:rFonts w:hint="eastAsia" w:ascii="宋体" w:hAnsi="宋体" w:eastAsia="宋体" w:cs="宋体"/>
          <w:bCs/>
          <w:color w:val="000000"/>
          <w:sz w:val="32"/>
          <w:szCs w:val="32"/>
          <w:highlight w:val="none"/>
          <w:lang w:val="en-US" w:eastAsia="zh-CN"/>
        </w:rPr>
        <w:t xml:space="preserve"> </w:t>
      </w:r>
      <w:r>
        <w:rPr>
          <w:rFonts w:hint="eastAsia" w:ascii="宋体" w:hAnsi="宋体" w:eastAsia="宋体" w:cs="宋体"/>
          <w:bCs/>
          <w:color w:val="000000"/>
          <w:sz w:val="32"/>
          <w:szCs w:val="32"/>
          <w:highlight w:val="none"/>
        </w:rPr>
        <w:t xml:space="preserve">合同格式</w:t>
      </w:r>
      <w:r>
        <w:rPr>
          <w:rFonts w:hint="eastAsia" w:ascii="宋体" w:hAnsi="宋体" w:eastAsia="宋体" w:cs="宋体"/>
          <w:color w:val="000000"/>
          <w:spacing w:val="2"/>
          <w:sz w:val="32"/>
          <w:szCs w:val="32"/>
          <w:highlight w:val="none"/>
        </w:rPr>
      </w:r>
      <w:r/>
    </w:p>
    <w:p>
      <w:pPr>
        <w:pStyle w:val="659"/>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第六部分  投标文件组成</w:t>
      </w:r>
      <w:r>
        <w:rPr>
          <w:rFonts w:hint="eastAsia" w:ascii="宋体" w:hAnsi="宋体" w:eastAsia="宋体" w:cs="宋体"/>
          <w:color w:val="000000"/>
          <w:spacing w:val="2"/>
          <w:sz w:val="32"/>
          <w:szCs w:val="32"/>
          <w:highlight w:val="none"/>
        </w:rPr>
      </w:r>
      <w:r/>
    </w:p>
    <w:p>
      <w:pPr>
        <w:pStyle w:val="659"/>
        <w:jc w:val="center"/>
        <w:spacing w:line="50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44"/>
          <w:szCs w:val="44"/>
          <w:highlight w:val="none"/>
        </w:rPr>
        <w:br w:type="page" w:clear="all"/>
      </w: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bookmarkStart w:id="3" w:name="OLE_LINK6"/>
      <w:r>
        <w:rPr>
          <w:rFonts w:hint="eastAsia" w:ascii="宋体" w:hAnsi="宋体" w:eastAsia="宋体" w:cs="宋体"/>
          <w:color w:val="000000"/>
          <w:sz w:val="28"/>
          <w:szCs w:val="28"/>
          <w:highlight w:val="none"/>
        </w:rPr>
      </w:r>
      <w:r/>
    </w:p>
    <w:p>
      <w:pPr>
        <w:pStyle w:val="659"/>
        <w:spacing w:line="500" w:lineRule="exact"/>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lang w:eastAsia="zh-CN"/>
        </w:rPr>
        <w:pBdr>
          <w:top w:val="single" w:color="000000" w:sz="4" w:space="1"/>
          <w:left w:val="single" w:color="000000" w:sz="4" w:space="4"/>
          <w:bottom w:val="single" w:color="000000" w:sz="4" w:space="1"/>
          <w:right w:val="single" w:color="000000" w:sz="4" w:space="4"/>
        </w:pBdr>
      </w:pPr>
      <w:r/>
      <w:bookmarkStart w:id="5" w:name="OLE_LINK20"/>
      <w:r>
        <w:rPr>
          <w:rFonts w:hint="eastAsia" w:ascii="宋体" w:hAnsi="宋体" w:eastAsia="宋体" w:cs="宋体"/>
          <w:color w:val="000000"/>
          <w:szCs w:val="21"/>
          <w:highlight w:val="none"/>
          <w:lang w:eastAsia="zh-CN"/>
        </w:rPr>
        <w:t xml:space="preserve">南通市电子政务外网设备更新项目（2025年度）（JSZC-320600-ZYZB-G2025-00</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eastAsia="zh-CN"/>
        </w:rPr>
        <w:t xml:space="preserve">）的潜在投标供应商应在苏采云系统内获取招标文件，并于2025年</w:t>
      </w:r>
      <w:r>
        <w:rPr>
          <w:rFonts w:hint="eastAsia" w:ascii="宋体" w:hAnsi="宋体" w:eastAsia="宋体" w:cs="宋体"/>
          <w:color w:val="000000"/>
          <w:szCs w:val="21"/>
          <w:highlight w:val="none"/>
          <w:lang w:val="en-US" w:eastAsia="zh-CN"/>
        </w:rPr>
        <w:t xml:space="preserve">9月16日14时30分</w:t>
      </w:r>
      <w:r>
        <w:rPr>
          <w:rFonts w:hint="eastAsia" w:ascii="宋体" w:hAnsi="宋体" w:eastAsia="宋体" w:cs="宋体"/>
          <w:color w:val="000000"/>
          <w:szCs w:val="21"/>
          <w:highlight w:val="none"/>
          <w:lang w:eastAsia="zh-CN"/>
        </w:rPr>
        <w:t xml:space="preserve">（北京时间）前递交投标文件。</w:t>
      </w:r>
      <w:bookmarkEnd w:id="5"/>
      <w:r>
        <w:rPr>
          <w:rFonts w:hint="eastAsia" w:ascii="宋体" w:hAnsi="宋体" w:eastAsia="宋体" w:cs="宋体"/>
          <w:color w:val="000000"/>
          <w:szCs w:val="21"/>
          <w:highlight w:val="none"/>
          <w:lang w:eastAsia="zh-CN"/>
        </w:rPr>
      </w:r>
      <w:r/>
    </w:p>
    <w:p>
      <w:pPr>
        <w:pStyle w:val="659"/>
        <w:ind w:firstLine="42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一、项目基本情况</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JSZC-320600-ZYZB-G2025-00</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bookmarkStart w:id="6" w:name="OLE_LINK2"/>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南通市电子政务外网设备更新项目（2025年度）</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w:t>
      </w:r>
      <w:r>
        <w:rPr>
          <w:rFonts w:hint="eastAsia" w:ascii="宋体" w:hAnsi="宋体" w:eastAsia="宋体" w:cs="宋体"/>
          <w:b w:val="0"/>
          <w:color w:val="000000"/>
          <w:highlight w:val="none"/>
          <w:shd w:val="clear" w:color="auto" w:fill="auto"/>
          <w:lang w:eastAsia="zh-CN"/>
        </w:rPr>
        <w:t xml:space="preserve">100万元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val="en-US" w:eastAsia="zh-CN"/>
        </w:rPr>
        <w:t xml:space="preserve">最高限价：</w:t>
      </w:r>
      <w:r>
        <w:rPr>
          <w:rFonts w:hint="eastAsia" w:ascii="宋体" w:hAnsi="宋体" w:eastAsia="宋体" w:cs="宋体"/>
          <w:b w:val="0"/>
          <w:color w:val="000000"/>
          <w:highlight w:val="none"/>
          <w:shd w:val="clear" w:color="auto" w:fill="auto"/>
          <w:lang w:eastAsia="zh-CN"/>
        </w:rPr>
        <w:t xml:space="preserve">100万元</w:t>
      </w:r>
      <w:r>
        <w:rPr>
          <w:rFonts w:hint="eastAsia" w:ascii="宋体" w:hAnsi="宋体" w:eastAsia="宋体" w:cs="宋体"/>
          <w:color w:val="000000"/>
          <w:szCs w:val="21"/>
          <w:highlight w:val="none"/>
          <w:lang w:eastAsia="zh-CN"/>
        </w:rPr>
        <w:t xml:space="preserve">；</w:t>
      </w:r>
      <w:bookmarkEnd w:id="6"/>
      <w:r>
        <w:rPr>
          <w:rFonts w:hint="eastAsia" w:ascii="宋体" w:hAnsi="宋体" w:eastAsia="宋体" w:cs="宋体"/>
          <w:b/>
          <w:bCs/>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5.采购需求：</w:t>
      </w:r>
      <w:bookmarkStart w:id="7" w:name="OLE_LINK16"/>
      <w:r>
        <w:rPr>
          <w:rFonts w:hint="eastAsia" w:ascii="宋体" w:hAnsi="宋体" w:eastAsia="宋体" w:cs="宋体"/>
          <w:color w:val="000000"/>
          <w:szCs w:val="21"/>
          <w:highlight w:val="none"/>
          <w:lang w:val="en-US" w:eastAsia="zh-CN"/>
        </w:rPr>
        <w:t xml:space="preserve">详见采购文件第三部分，请仔细研究</w:t>
      </w:r>
      <w:bookmarkEnd w:id="7"/>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6.合同履行期限：合同签订之日起3个月内交货并安装调试完毕；</w:t>
      </w:r>
      <w:r>
        <w:rPr>
          <w:rFonts w:hint="eastAsia" w:ascii="宋体" w:hAnsi="宋体" w:eastAsia="宋体" w:cs="宋体"/>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7.本项目不</w:t>
      </w:r>
      <w:bookmarkStart w:id="8" w:name="_GoBack"/>
      <w:r/>
      <w:bookmarkEnd w:id="8"/>
      <w:r>
        <w:rPr>
          <w:rFonts w:hint="eastAsia" w:ascii="宋体" w:hAnsi="宋体" w:eastAsia="宋体" w:cs="宋体"/>
          <w:color w:val="000000"/>
          <w:szCs w:val="21"/>
          <w:highlight w:val="none"/>
          <w:lang w:val="en-US" w:eastAsia="zh-CN"/>
        </w:rPr>
        <w:t xml:space="preserve">接受联合体投标；</w:t>
      </w:r>
      <w:r>
        <w:rPr>
          <w:rFonts w:hint="eastAsia" w:ascii="宋体" w:hAnsi="宋体" w:eastAsia="宋体" w:cs="宋体"/>
          <w:color w:val="000000"/>
          <w:szCs w:val="21"/>
          <w:highlight w:val="none"/>
          <w:lang w:val="en-US" w:eastAsia="zh-CN"/>
        </w:rPr>
      </w:r>
      <w:r/>
    </w:p>
    <w:p>
      <w:pPr>
        <w:pStyle w:val="659"/>
        <w:ind w:firstLine="560"/>
        <w:spacing w:line="5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8.本项目不接受进口产品参与投标；</w:t>
      </w:r>
      <w:r>
        <w:rPr>
          <w:rFonts w:ascii="宋体" w:hAnsi="宋体" w:eastAsia="宋体" w:cs="宋体"/>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9.项目类型：货物类；</w:t>
      </w:r>
      <w:r>
        <w:rPr>
          <w:rFonts w:hint="eastAsia" w:ascii="宋体" w:hAnsi="宋体" w:eastAsia="宋体" w:cs="宋体"/>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10.所属行业：工业。</w:t>
      </w:r>
      <w:r>
        <w:rPr>
          <w:rFonts w:hint="eastAsia" w:ascii="宋体" w:hAnsi="宋体" w:eastAsia="宋体" w:cs="宋体"/>
          <w:color w:val="000000"/>
          <w:szCs w:val="21"/>
          <w:highlight w:val="none"/>
          <w:lang w:val="en-US" w:eastAsia="zh-CN"/>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二、申请人的资格要求：</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9" w:name="OLE_LINK9"/>
      <w:r>
        <w:rPr>
          <w:rFonts w:hint="eastAsia" w:ascii="宋体" w:hAnsi="宋体" w:eastAsia="宋体" w:cs="宋体"/>
          <w:color w:val="000000"/>
          <w:szCs w:val="21"/>
          <w:highlight w:val="none"/>
        </w:rPr>
        <w:t xml:space="preserve">具有独立承担民事责任的能力（提供法人或者其他组织的营业执照；供应商为自然人的，提供其身份证）</w:t>
      </w:r>
      <w:bookmarkEnd w:id="9"/>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bookmarkStart w:id="10" w:name="OLE_LINK10"/>
      <w:r>
        <w:rPr>
          <w:rFonts w:hint="eastAsia" w:ascii="宋体" w:hAnsi="宋体" w:eastAsia="宋体" w:cs="宋体"/>
          <w:color w:val="000000"/>
          <w:szCs w:val="21"/>
          <w:highlight w:val="none"/>
        </w:rPr>
        <w:t xml:space="preserve">具有良好的商业信誉和健全的财务会计制度，提供</w:t>
      </w:r>
      <w:r>
        <w:rPr>
          <w:rFonts w:hint="eastAsia" w:ascii="宋体" w:hAnsi="宋体" w:eastAsia="宋体" w:cs="宋体"/>
          <w:color w:val="000000"/>
          <w:szCs w:val="21"/>
          <w:highlight w:val="none"/>
          <w:lang w:val="en-US" w:eastAsia="zh-CN"/>
        </w:rPr>
        <w:t xml:space="preserve">2024年度</w:t>
      </w:r>
      <w:r>
        <w:rPr>
          <w:rFonts w:hint="eastAsia" w:ascii="宋体" w:hAnsi="宋体" w:eastAsia="宋体" w:cs="宋体"/>
          <w:color w:val="000000"/>
          <w:szCs w:val="21"/>
          <w:highlight w:val="none"/>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bookmarkEnd w:id="1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11" w:name="OLE_LINK11"/>
      <w:r>
        <w:rPr>
          <w:rFonts w:hint="eastAsia" w:ascii="宋体" w:hAnsi="宋体" w:eastAsia="宋体" w:cs="宋体"/>
          <w:color w:val="000000"/>
          <w:szCs w:val="21"/>
          <w:highlight w:val="none"/>
          <w:lang w:val="en-US" w:eastAsia="zh-CN"/>
        </w:rPr>
        <w:t xml:space="preserve">具有履行合同所必需的设备和专业技术能力</w:t>
      </w:r>
      <w:r>
        <w:rPr>
          <w:rFonts w:hint="eastAsia" w:ascii="宋体" w:hAnsi="宋体" w:eastAsia="宋体" w:cs="宋体"/>
          <w:color w:val="000000"/>
          <w:szCs w:val="21"/>
          <w:highlight w:val="none"/>
        </w:rPr>
        <w:t xml:space="preserve">（提供承诺书）</w:t>
      </w:r>
      <w:bookmarkEnd w:id="11"/>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bookmarkStart w:id="12" w:name="OLE_LINK12"/>
      <w:r>
        <w:rPr>
          <w:rFonts w:hint="eastAsia" w:ascii="宋体" w:hAnsi="宋体" w:eastAsia="宋体" w:cs="宋体"/>
          <w:color w:val="000000"/>
          <w:szCs w:val="21"/>
          <w:highlight w:val="none"/>
        </w:rPr>
        <w:t xml:space="preserve">有依法缴纳税收和社会保障资金的良好记录</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szCs w:val="21"/>
          <w:highlight w:val="none"/>
          <w:lang w:val="en-US" w:eastAsia="zh-CN"/>
        </w:rPr>
        <w:t xml:space="preserve">]</w:t>
      </w:r>
      <w:bookmarkEnd w:id="12"/>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bookmarkStart w:id="13" w:name="OLE_LINK13"/>
      <w:r>
        <w:rPr>
          <w:rFonts w:hint="eastAsia" w:ascii="宋体" w:hAnsi="宋体" w:eastAsia="宋体" w:cs="宋体"/>
          <w:color w:val="000000"/>
          <w:szCs w:val="21"/>
          <w:highlight w:val="none"/>
        </w:rPr>
        <w:t xml:space="preserve">参加政府采购活动前三年内，在经营活动中没有重大违法记录（提供</w:t>
      </w:r>
      <w:r>
        <w:rPr>
          <w:rFonts w:hint="eastAsia" w:ascii="宋体" w:hAnsi="宋体" w:eastAsia="宋体" w:cs="宋体"/>
          <w:color w:val="000000"/>
          <w:szCs w:val="21"/>
          <w:highlight w:val="none"/>
          <w:lang w:val="en-US" w:eastAsia="zh-CN"/>
        </w:rPr>
        <w:t xml:space="preserve">书面声明</w:t>
      </w:r>
      <w:r>
        <w:rPr>
          <w:rFonts w:hint="eastAsia" w:ascii="宋体" w:hAnsi="宋体" w:eastAsia="宋体" w:cs="宋体"/>
          <w:color w:val="000000"/>
          <w:szCs w:val="21"/>
          <w:highlight w:val="none"/>
        </w:rPr>
        <w:t xml:space="preserve">）</w:t>
      </w:r>
      <w:bookmarkEnd w:id="13"/>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（6）法律、行政法规规定的其他条件：无。</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2.落实政府采购政策需满足的资格要求</w:t>
      </w:r>
      <w:bookmarkStart w:id="14" w:name="OLE_LINK4"/>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r>
      <w:r/>
    </w:p>
    <w:p>
      <w:pPr>
        <w:pStyle w:val="659"/>
        <w:ind w:firstLine="560"/>
        <w:spacing w:line="500" w:lineRule="exact"/>
        <w:rPr>
          <w:rFonts w:hint="eastAsia" w:ascii="宋体" w:hAnsi="宋体" w:eastAsia="宋体" w:cs="宋体"/>
          <w:color w:val="000000"/>
          <w:szCs w:val="21"/>
          <w:highlight w:val="none"/>
        </w:rPr>
      </w:pPr>
      <w:r/>
      <w:bookmarkEnd w:id="14"/>
      <w:r>
        <w:rPr>
          <w:rFonts w:hint="eastAsia" w:ascii="宋体" w:hAnsi="宋体" w:eastAsia="宋体" w:cs="宋体"/>
          <w:color w:val="000000"/>
          <w:szCs w:val="21"/>
          <w:highlight w:val="none"/>
          <w:lang w:eastAsia="zh-CN"/>
        </w:rPr>
        <w:t xml:space="preserve">3.本项目的特定资格要求：</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三、获取招标文件</w:t>
      </w:r>
      <w:r>
        <w:rPr>
          <w:rFonts w:hint="eastAsia" w:ascii="宋体" w:hAnsi="宋体" w:eastAsia="宋体" w:cs="宋体"/>
          <w:b/>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1.时间：</w:t>
      </w:r>
      <w:r>
        <w:rPr>
          <w:rStyle w:val="978"/>
          <w:rFonts w:hint="eastAsia" w:ascii="宋体" w:hAnsi="宋体" w:eastAsia="宋体" w:cs="宋体"/>
          <w:bCs/>
          <w:color w:val="000000"/>
          <w:szCs w:val="21"/>
          <w:highlight w:val="none"/>
        </w:rPr>
        <w:t xml:space="preserve">自招标公告发布之日起5个工作日</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w:t>
      </w:r>
      <w:bookmarkStart w:id="15" w:name="OLE_LINK18"/>
      <w:r>
        <w:rPr>
          <w:rFonts w:hint="eastAsia" w:ascii="宋体" w:hAnsi="宋体" w:eastAsia="宋体" w:cs="宋体"/>
          <w:bCs/>
          <w:color w:val="000000"/>
          <w:szCs w:val="21"/>
          <w:highlight w:val="none"/>
        </w:rPr>
        <w:t xml:space="preserve">网上注册登记成功后在</w:t>
      </w:r>
      <w:bookmarkStart w:id="16" w:name="OLE_LINK3"/>
      <w:r>
        <w:rPr>
          <w:rFonts w:hint="eastAsia" w:ascii="宋体" w:hAnsi="宋体" w:eastAsia="宋体" w:cs="宋体"/>
          <w:bCs/>
          <w:color w:val="000000"/>
          <w:szCs w:val="21"/>
          <w:highlight w:val="none"/>
        </w:rPr>
        <w:t xml:space="preserve">苏采云系统内</w:t>
      </w:r>
      <w:bookmarkEnd w:id="16"/>
      <w:r>
        <w:rPr>
          <w:rFonts w:hint="eastAsia" w:ascii="宋体" w:hAnsi="宋体" w:eastAsia="宋体" w:cs="宋体"/>
          <w:bCs/>
          <w:color w:val="000000"/>
          <w:szCs w:val="21"/>
          <w:highlight w:val="none"/>
        </w:rPr>
        <w:t xml:space="preserve">免费下载</w:t>
      </w:r>
      <w:bookmarkEnd w:id="15"/>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3.招标文件获取方式：</w:t>
      </w:r>
      <w:bookmarkStart w:id="17" w:name="OLE_LINK19"/>
      <w:r>
        <w:rPr>
          <w:rFonts w:hint="eastAsia" w:ascii="宋体" w:hAnsi="宋体" w:eastAsia="宋体" w:cs="宋体"/>
          <w:bCs/>
          <w:color w:val="000000"/>
          <w:szCs w:val="21"/>
          <w:highlight w:val="none"/>
        </w:rPr>
        <w:t xml:space="preserve">本项目采用网上注册</w:t>
      </w:r>
      <w:r>
        <w:rPr>
          <w:rFonts w:hint="eastAsia" w:ascii="宋体" w:hAnsi="宋体" w:eastAsia="宋体" w:cs="宋体"/>
          <w:bCs/>
          <w:color w:val="000000"/>
          <w:szCs w:val="21"/>
          <w:highlight w:val="none"/>
        </w:rPr>
        <w:t xml:space="preserve">登记方式</w:t>
      </w:r>
      <w:bookmarkEnd w:id="17"/>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3.1潜在供应商访问电子招标响应交易平台的网络地址和方法：</w:t>
      </w:r>
      <w:r>
        <w:rPr>
          <w:rFonts w:hint="eastAsia" w:ascii="宋体" w:hAnsi="宋体" w:eastAsia="宋体" w:cs="宋体"/>
          <w:b/>
          <w:bCs w:val="0"/>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3.2潜在供应商访问“苏采云”系统的网络地址和方法：“苏采云”系统的网址：http://jszfcg.jsczt.cn/。</w:t>
      </w:r>
      <w:r>
        <w:rPr>
          <w:rFonts w:hint="eastAsia" w:ascii="宋体" w:hAnsi="宋体" w:eastAsia="宋体" w:cs="宋体"/>
          <w:bCs/>
          <w:color w:val="000000"/>
          <w:szCs w:val="21"/>
          <w:highlight w:val="none"/>
          <w:lang w:eastAsia="en-US"/>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3.3“CA数字证书”的获取：</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投标供应商需办理“CA 数字证书”，CA办理指南及“苏采云”操作手册可至江苏省政府采购网―办事指南-资料下载中心下载。</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Cs w:val="21"/>
          <w:highlight w:val="none"/>
          <w:lang w:eastAsia="en-US"/>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3.5采购人或采购代理机构将数据电文形式的采购文件加载至“苏采云”系统，供潜在供应商下载或者查阅。</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Cs w:val="21"/>
          <w:highlight w:val="none"/>
        </w:rPr>
      </w:r>
      <w:r/>
    </w:p>
    <w:p>
      <w:pPr>
        <w:pStyle w:val="659"/>
        <w:ind w:firstLine="422"/>
        <w:jc w:val="left"/>
        <w:spacing w:line="420" w:lineRule="exact"/>
        <w:widowControl/>
        <w:rPr>
          <w:rStyle w:val="978"/>
          <w:rFonts w:hint="eastAsia" w:ascii="宋体" w:hAnsi="宋体" w:eastAsia="宋体" w:cs="宋体"/>
          <w:b/>
          <w:color w:val="000000"/>
          <w:szCs w:val="21"/>
          <w:highlight w:val="none"/>
        </w:rPr>
      </w:pPr>
      <w:r>
        <w:rPr>
          <w:rStyle w:val="978"/>
          <w:rFonts w:hint="eastAsia" w:ascii="宋体" w:hAnsi="宋体" w:eastAsia="宋体" w:cs="宋体"/>
          <w:b/>
          <w:color w:val="000000"/>
          <w:szCs w:val="21"/>
          <w:highlight w:val="none"/>
        </w:rPr>
        <w:t xml:space="preserve">注：如潜在供应商未按上述要求操作，将自行承担所产生的风险。</w:t>
      </w:r>
      <w:r>
        <w:rPr>
          <w:rStyle w:val="978"/>
          <w:rFonts w:hint="eastAsia" w:ascii="宋体" w:hAnsi="宋体" w:eastAsia="宋体" w:cs="宋体"/>
          <w:b/>
          <w:color w:val="000000"/>
          <w:szCs w:val="21"/>
          <w:highlight w:val="none"/>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四、提交投标文件截止时间、开标时间和地点</w:t>
      </w:r>
      <w:r>
        <w:rPr>
          <w:rFonts w:hint="eastAsia" w:ascii="宋体" w:hAnsi="宋体" w:eastAsia="宋体" w:cs="宋体"/>
          <w:b/>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1.投标文件提交截止及开标时间：</w:t>
      </w:r>
      <w:r>
        <w:rPr>
          <w:rFonts w:hint="eastAsia" w:ascii="宋体" w:hAnsi="宋体" w:eastAsia="宋体" w:cs="宋体"/>
          <w:b/>
          <w:color w:val="000000"/>
          <w:szCs w:val="21"/>
          <w:highlight w:val="none"/>
          <w:lang w:eastAsia="zh-CN"/>
        </w:rPr>
        <w:t xml:space="preserve">2025年</w:t>
      </w:r>
      <w:r>
        <w:rPr>
          <w:rFonts w:hint="eastAsia" w:ascii="宋体" w:hAnsi="宋体" w:eastAsia="宋体" w:cs="宋体"/>
          <w:b/>
          <w:color w:val="000000"/>
          <w:szCs w:val="21"/>
          <w:highlight w:val="none"/>
          <w:lang w:val="en-US" w:eastAsia="zh-CN"/>
        </w:rPr>
        <w:t xml:space="preserve">9月</w:t>
      </w:r>
      <w:r>
        <w:rPr>
          <w:rFonts w:hint="eastAsia" w:ascii="宋体" w:hAnsi="宋体" w:eastAsia="宋体" w:cs="宋体"/>
          <w:b/>
          <w:color w:val="000000"/>
          <w:szCs w:val="21"/>
          <w:highlight w:val="none"/>
          <w:lang w:val="en-US" w:eastAsia="zh-CN"/>
        </w:rPr>
        <w:t xml:space="preserve">16</w:t>
      </w:r>
      <w:r>
        <w:rPr>
          <w:rFonts w:hint="eastAsia" w:ascii="宋体" w:hAnsi="宋体" w:eastAsia="宋体" w:cs="宋体"/>
          <w:b/>
          <w:color w:val="000000"/>
          <w:szCs w:val="21"/>
          <w:highlight w:val="none"/>
          <w:lang w:val="en-US" w:eastAsia="zh-CN"/>
        </w:rPr>
        <w:t xml:space="preserve">日14时30分</w:t>
      </w:r>
      <w:r>
        <w:rPr>
          <w:rFonts w:hint="eastAsia" w:ascii="宋体" w:hAnsi="宋体" w:eastAsia="宋体" w:cs="宋体"/>
          <w:bCs/>
          <w:color w:val="000000"/>
          <w:szCs w:val="21"/>
          <w:highlight w:val="none"/>
        </w:rPr>
        <w:t xml:space="preserve">（北京时间）。逾时，“苏采云”系统将拒绝接受上传响应文件电子文档。</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2.地点：“苏采云”系统（网址：http://jszfcg.jsczt.cn/）“开标大厅”。</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五、公告期限</w:t>
      </w:r>
      <w:r>
        <w:rPr>
          <w:rFonts w:hint="eastAsia" w:ascii="宋体" w:hAnsi="宋体" w:eastAsia="宋体" w:cs="宋体"/>
          <w:b/>
          <w:color w:val="000000"/>
          <w:szCs w:val="21"/>
          <w:highlight w:val="none"/>
        </w:rPr>
      </w:r>
      <w:r/>
    </w:p>
    <w:p>
      <w:pPr>
        <w:pStyle w:val="659"/>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自本公告发布之日起5个工作日。</w:t>
      </w:r>
      <w:r>
        <w:rPr>
          <w:rFonts w:hint="eastAsia" w:ascii="宋体" w:hAnsi="宋体" w:eastAsia="宋体" w:cs="宋体"/>
          <w:bCs/>
          <w:color w:val="000000"/>
          <w:szCs w:val="21"/>
          <w:highlight w:val="none"/>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六、其他补充事宜</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1.投标保证金：免收</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2.项目开标活动模式：不见面远程开标模式，投标供应商在各自地点通过“苏采云”系统参加开标会。</w:t>
      </w:r>
      <w:r>
        <w:rPr>
          <w:rFonts w:hint="eastAsia" w:ascii="宋体" w:hAnsi="宋体" w:eastAsia="宋体" w:cs="宋体"/>
          <w:color w:val="000000"/>
          <w:szCs w:val="21"/>
          <w:highlight w:val="none"/>
        </w:rPr>
      </w:r>
      <w:r/>
    </w:p>
    <w:p>
      <w:pPr>
        <w:pStyle w:val="659"/>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3.项目演示、样品、答辩等：</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560"/>
        <w:spacing w:line="48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bCs/>
          <w:color w:val="000000"/>
          <w:szCs w:val="21"/>
          <w:highlight w:val="none"/>
        </w:rPr>
        <w:t xml:space="preserve">有关本次招标的事项若存在变动或修改，</w:t>
      </w:r>
      <w:r>
        <w:rPr>
          <w:rFonts w:hint="eastAsia" w:ascii="宋体" w:hAnsi="宋体" w:eastAsia="宋体" w:cs="宋体"/>
          <w:color w:val="000000"/>
          <w:szCs w:val="21"/>
          <w:highlight w:val="none"/>
        </w:rPr>
        <w:t xml:space="preserve">均以江苏政府采购网发布的更正或补充通知为准，</w:t>
      </w:r>
      <w:r>
        <w:rPr>
          <w:rFonts w:hint="eastAsia" w:ascii="宋体" w:hAnsi="宋体" w:eastAsia="宋体" w:cs="宋体"/>
          <w:bCs/>
          <w:color w:val="000000"/>
          <w:szCs w:val="21"/>
          <w:highlight w:val="none"/>
        </w:rPr>
        <w:t xml:space="preserve">敬请及时关注。</w:t>
      </w:r>
      <w:r>
        <w:rPr>
          <w:rFonts w:hint="eastAsia" w:ascii="宋体" w:hAnsi="宋体" w:eastAsia="宋体" w:cs="宋体"/>
          <w:bCs/>
          <w:color w:val="000000"/>
          <w:szCs w:val="21"/>
          <w:highlight w:val="none"/>
        </w:rPr>
      </w:r>
      <w:r/>
    </w:p>
    <w:p>
      <w:pPr>
        <w:pStyle w:val="659"/>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5.供应商应依照规定提交各类声明函、承诺函，不再同时提供原件备查或提供有关部门出具的相关证明文件。但</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应做好提交声明函、承诺函相应原件的核查准备；核查后发现虚假或违背承诺的，依照相关法律法规规定处理。</w:t>
      </w:r>
      <w:r>
        <w:rPr>
          <w:rFonts w:hint="eastAsia" w:ascii="宋体" w:hAnsi="宋体" w:eastAsia="宋体" w:cs="宋体"/>
          <w:color w:val="000000"/>
          <w:szCs w:val="21"/>
          <w:highlight w:val="none"/>
        </w:rPr>
      </w:r>
      <w:r/>
    </w:p>
    <w:p>
      <w:pPr>
        <w:pStyle w:val="659"/>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6.“苏采云”系统使用相关提醒</w:t>
      </w:r>
      <w:r>
        <w:rPr>
          <w:rFonts w:hint="eastAsia" w:ascii="宋体" w:hAnsi="宋体" w:eastAsia="宋体" w:cs="宋体"/>
          <w:color w:val="000000"/>
          <w:szCs w:val="21"/>
          <w:highlight w:val="none"/>
        </w:rPr>
      </w:r>
      <w:r/>
    </w:p>
    <w:p>
      <w:pPr>
        <w:pStyle w:val="659"/>
        <w:ind w:firstLine="560"/>
        <w:spacing w:line="480" w:lineRule="exact"/>
        <w:tabs>
          <w:tab w:val="left" w:pos="900"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bCs/>
          <w:color w:val="000000"/>
          <w:szCs w:val="21"/>
          <w:highlight w:val="none"/>
        </w:rPr>
        <w:t xml:space="preserve">根据省财政厅《关于更换全省政府采购交易系统C A数字证书和电子签章的通知》（苏财购〔2023〕101号），</w:t>
      </w:r>
      <w:r>
        <w:rPr>
          <w:rFonts w:hint="eastAsia" w:ascii="宋体" w:hAnsi="宋体" w:eastAsia="宋体" w:cs="宋体"/>
          <w:color w:val="000000"/>
          <w:szCs w:val="21"/>
          <w:highlight w:val="none"/>
        </w:rPr>
        <w:t xml:space="preserve">“苏采云”政府采购交易系统（以下简称苏采云系统）</w:t>
      </w:r>
      <w:r>
        <w:rPr>
          <w:rFonts w:hint="eastAsia" w:ascii="宋体" w:hAnsi="宋体" w:eastAsia="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Cs w:val="21"/>
          <w:highlight w:val="none"/>
        </w:rPr>
      </w:r>
      <w:r/>
    </w:p>
    <w:p>
      <w:pPr>
        <w:pStyle w:val="659"/>
        <w:ind w:firstLine="560"/>
        <w:spacing w:after="120" w:line="48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color w:val="000000"/>
          <w:szCs w:val="21"/>
          <w:highlight w:val="none"/>
        </w:rPr>
      </w:r>
      <w:r/>
    </w:p>
    <w:p>
      <w:pPr>
        <w:pStyle w:val="659"/>
        <w:ind w:right="120" w:firstLine="562"/>
        <w:spacing w:after="120" w:line="48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6.3</w:t>
      </w:r>
      <w:r>
        <w:rPr>
          <w:rFonts w:hint="eastAsia" w:ascii="宋体" w:hAnsi="宋体" w:eastAsia="宋体" w:cs="宋体"/>
          <w:color w:val="000000"/>
          <w:szCs w:val="21"/>
          <w:highlight w:val="none"/>
        </w:rPr>
        <w:t xml:space="preserve">开标当天投标供应商应及时登录“苏采云”不见面开标大厅，并在规定时间内自行实施远程解密。</w:t>
      </w:r>
      <w:r>
        <w:rPr>
          <w:rFonts w:hint="eastAsia" w:ascii="宋体" w:hAnsi="宋体" w:eastAsia="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Cs w:val="21"/>
          <w:highlight w:val="none"/>
        </w:rPr>
      </w:r>
      <w:r/>
    </w:p>
    <w:p>
      <w:pPr>
        <w:pStyle w:val="659"/>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七、对本次招标提出询问，请按以下方式联系。</w:t>
      </w:r>
      <w:r>
        <w:rPr>
          <w:rFonts w:hint="eastAsia" w:ascii="宋体" w:hAnsi="宋体" w:eastAsia="宋体" w:cs="宋体"/>
          <w:b/>
          <w:color w:val="000000"/>
          <w:szCs w:val="21"/>
          <w:highlight w:val="none"/>
        </w:rPr>
      </w:r>
      <w:r/>
    </w:p>
    <w:p>
      <w:pPr>
        <w:pStyle w:val="659"/>
        <w:ind w:firstLine="63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659"/>
        <w:ind w:firstLine="630"/>
        <w:spacing w:line="440" w:lineRule="exact"/>
        <w:rPr>
          <w:rFonts w:hint="eastAsia" w:ascii="宋体" w:hAnsi="宋体" w:eastAsia="宋体" w:cs="宋体"/>
          <w:color w:val="000000"/>
          <w:szCs w:val="21"/>
          <w:highlight w:val="none"/>
          <w:lang w:eastAsia="zh-CN"/>
        </w:rPr>
      </w:pPr>
      <w:r/>
      <w:bookmarkStart w:id="18" w:name="_Toc35393807"/>
      <w:r/>
      <w:bookmarkStart w:id="19" w:name="_Toc35393638"/>
      <w:r/>
      <w:bookmarkStart w:id="20" w:name="_Toc28359097"/>
      <w:r/>
      <w:bookmarkStart w:id="21" w:name="_Toc28359020"/>
      <w:r>
        <w:rPr>
          <w:rFonts w:hint="eastAsia" w:ascii="宋体" w:hAnsi="宋体" w:eastAsia="宋体" w:cs="宋体"/>
          <w:color w:val="000000"/>
          <w:szCs w:val="21"/>
          <w:highlight w:val="none"/>
          <w:lang w:eastAsia="zh-CN"/>
        </w:rPr>
        <w:t xml:space="preserve">名称：南通市大数据管理中心；</w:t>
      </w:r>
      <w:r>
        <w:rPr>
          <w:rFonts w:hint="eastAsia" w:ascii="宋体" w:hAnsi="宋体" w:eastAsia="宋体" w:cs="宋体"/>
          <w:color w:val="000000"/>
          <w:szCs w:val="21"/>
          <w:highlight w:val="none"/>
          <w:lang w:eastAsia="zh-CN"/>
        </w:rPr>
      </w:r>
      <w:r/>
    </w:p>
    <w:p>
      <w:pPr>
        <w:pStyle w:val="659"/>
        <w:ind w:firstLine="630"/>
        <w:spacing w:line="440" w:lineRule="exact"/>
        <w:rPr>
          <w:rFonts w:hint="eastAsia" w:ascii="宋体" w:hAnsi="宋体" w:eastAsia="宋体" w:cs="宋体"/>
          <w:color w:val="000000"/>
          <w:szCs w:val="21"/>
          <w:highlight w:val="none"/>
          <w:lang w:eastAsia="zh-CN"/>
        </w:rPr>
      </w:pPr>
      <w:r/>
      <w:bookmarkStart w:id="22" w:name="_Toc28359086"/>
      <w:r/>
      <w:bookmarkStart w:id="23" w:name="_Toc28359009"/>
      <w:r>
        <w:rPr>
          <w:rFonts w:hint="eastAsia" w:ascii="宋体" w:hAnsi="宋体" w:eastAsia="宋体" w:cs="宋体"/>
          <w:color w:val="000000"/>
          <w:szCs w:val="21"/>
          <w:highlight w:val="none"/>
          <w:lang w:eastAsia="zh-CN"/>
        </w:rPr>
        <w:t xml:space="preserve">地址：南通市崇川区世纪大道6号；</w:t>
      </w:r>
      <w:r>
        <w:rPr>
          <w:rFonts w:hint="eastAsia" w:ascii="宋体" w:hAnsi="宋体" w:eastAsia="宋体" w:cs="宋体"/>
          <w:color w:val="000000"/>
          <w:szCs w:val="21"/>
          <w:highlight w:val="none"/>
          <w:lang w:eastAsia="zh-CN"/>
        </w:rPr>
      </w:r>
      <w:r/>
    </w:p>
    <w:p>
      <w:pPr>
        <w:pStyle w:val="659"/>
        <w:ind w:firstLine="63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lang w:val="en-US" w:eastAsia="zh-CN"/>
        </w:rPr>
        <w:t xml:space="preserve">钱先生；</w:t>
      </w:r>
      <w:r>
        <w:rPr>
          <w:rFonts w:hint="eastAsia" w:ascii="宋体" w:hAnsi="宋体" w:eastAsia="宋体" w:cs="宋体"/>
          <w:color w:val="000000"/>
          <w:szCs w:val="21"/>
          <w:highlight w:val="none"/>
          <w:lang w:eastAsia="zh-CN"/>
        </w:rPr>
      </w:r>
      <w:r/>
    </w:p>
    <w:p>
      <w:pPr>
        <w:pStyle w:val="659"/>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联系方式：</w:t>
      </w:r>
      <w:r>
        <w:rPr>
          <w:rFonts w:hint="eastAsia" w:ascii="宋体" w:hAnsi="宋体" w:eastAsia="宋体" w:cs="宋体"/>
          <w:color w:val="000000"/>
          <w:szCs w:val="21"/>
          <w:highlight w:val="none"/>
          <w:lang w:eastAsia="zh-CN"/>
        </w:rPr>
        <w:t xml:space="preserve">0513-85216335；</w:t>
      </w:r>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lang w:val="en-US" w:eastAsia="zh-CN"/>
        </w:rPr>
      </w:pPr>
      <w:r/>
      <w:bookmarkEnd w:id="22"/>
      <w:r/>
      <w:bookmarkEnd w:id="23"/>
      <w:r>
        <w:rPr>
          <w:rFonts w:hint="eastAsia" w:ascii="宋体" w:hAnsi="宋体" w:eastAsia="宋体" w:cs="宋体"/>
          <w:color w:val="000000"/>
          <w:szCs w:val="21"/>
          <w:highlight w:val="none"/>
          <w:lang w:val="en-US" w:eastAsia="zh-CN"/>
        </w:rPr>
        <w:t xml:space="preserve">2.招标代理机构信息</w:t>
      </w:r>
      <w:bookmarkEnd w:id="18"/>
      <w:r/>
      <w:bookmarkEnd w:id="19"/>
      <w:r/>
      <w:bookmarkEnd w:id="20"/>
      <w:r/>
      <w:bookmarkEnd w:id="21"/>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名称：江苏正扬招标代理有限公司；</w:t>
      </w:r>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地址：南通市崇川区青年中路153号4号楼213室；</w:t>
      </w:r>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联系人：李工；     </w:t>
      </w:r>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联系电话：0513-85991998。</w:t>
      </w:r>
      <w:r>
        <w:rPr>
          <w:rFonts w:hint="eastAsia" w:ascii="宋体" w:hAnsi="宋体" w:eastAsia="宋体" w:cs="宋体"/>
          <w:color w:val="000000"/>
          <w:szCs w:val="21"/>
          <w:highlight w:val="none"/>
          <w:lang w:val="en-US" w:eastAsia="zh-CN"/>
        </w:rPr>
      </w:r>
      <w:r/>
    </w:p>
    <w:p>
      <w:pPr>
        <w:pStyle w:val="659"/>
        <w:ind w:firstLine="63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.软件技术支持：0519-86722801。</w:t>
      </w:r>
      <w:r>
        <w:rPr>
          <w:rFonts w:hint="eastAsia" w:ascii="宋体" w:hAnsi="宋体" w:eastAsia="宋体" w:cs="宋体"/>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bookmarkEnd w:id="4"/>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rPr>
        <w:t xml:space="preserve">.采购人信用承诺书</w:t>
      </w:r>
      <w:r>
        <w:rPr>
          <w:rFonts w:hint="eastAsia" w:ascii="宋体" w:hAnsi="宋体" w:eastAsia="宋体" w:cs="宋体"/>
          <w:b/>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rPr>
        <w:t xml:space="preserve">.公平竞争审查</w:t>
      </w:r>
      <w:r>
        <w:rPr>
          <w:rFonts w:hint="eastAsia" w:ascii="宋体" w:hAnsi="宋体" w:eastAsia="宋体" w:cs="宋体"/>
          <w:b/>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.“苏采云”系统供应商操作手册</w:t>
      </w:r>
      <w:r>
        <w:rPr>
          <w:rFonts w:hint="eastAsia" w:ascii="宋体" w:hAnsi="宋体" w:eastAsia="宋体" w:cs="宋体"/>
          <w:b/>
          <w:color w:val="000000"/>
          <w:szCs w:val="21"/>
          <w:highlight w:val="none"/>
        </w:rPr>
      </w:r>
      <w:r/>
    </w:p>
    <w:p>
      <w:pPr>
        <w:pStyle w:val="659"/>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.政采贷和履约保证保险告知函</w:t>
      </w:r>
      <w:r>
        <w:rPr>
          <w:rFonts w:hint="eastAsia" w:ascii="宋体" w:hAnsi="宋体" w:eastAsia="宋体" w:cs="宋体"/>
          <w:b/>
          <w:color w:val="000000"/>
          <w:szCs w:val="21"/>
          <w:highlight w:val="none"/>
        </w:rPr>
      </w:r>
      <w:r/>
    </w:p>
    <w:p>
      <w:pPr>
        <w:pStyle w:val="659"/>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659"/>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24" w:name="_Toc16938519"/>
      <w:r/>
      <w:bookmarkStart w:id="25" w:name="_Toc513029203"/>
      <w:r/>
      <w:bookmarkStart w:id="26" w:name="_Toc120614214"/>
      <w:r/>
      <w:bookmarkStart w:id="27" w:name="_Toc20823275"/>
      <w:r>
        <w:rPr>
          <w:rFonts w:hint="eastAsia" w:ascii="宋体" w:hAnsi="宋体" w:eastAsia="宋体" w:cs="宋体"/>
          <w:color w:val="000000"/>
          <w:sz w:val="21"/>
          <w:szCs w:val="21"/>
          <w:highlight w:val="none"/>
        </w:rPr>
        <w:t xml:space="preserve">（一）总则</w:t>
      </w:r>
      <w:bookmarkEnd w:id="24"/>
      <w:r/>
      <w:bookmarkEnd w:id="25"/>
      <w:r/>
      <w:bookmarkEnd w:id="26"/>
      <w:r/>
      <w:bookmarkEnd w:id="27"/>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28" w:name="_Hlt16619475"/>
      <w:r/>
      <w:bookmarkEnd w:id="28"/>
      <w:r/>
      <w:bookmarkStart w:id="29" w:name="_Toc458694821"/>
      <w:r/>
      <w:bookmarkStart w:id="30" w:name="_Toc513029204"/>
      <w:r/>
      <w:bookmarkStart w:id="31" w:name="_Toc20823276"/>
      <w:r/>
      <w:bookmarkStart w:id="32" w:name="_Toc16938520"/>
      <w:r>
        <w:rPr>
          <w:rFonts w:hint="eastAsia" w:ascii="宋体" w:hAnsi="宋体" w:eastAsia="宋体" w:cs="宋体"/>
          <w:color w:val="000000"/>
          <w:sz w:val="21"/>
          <w:highlight w:val="none"/>
        </w:rPr>
        <w:t xml:space="preserve">1</w:t>
      </w:r>
      <w:bookmarkEnd w:id="29"/>
      <w:r>
        <w:rPr>
          <w:rFonts w:hint="eastAsia" w:ascii="宋体" w:hAnsi="宋体" w:eastAsia="宋体" w:cs="宋体"/>
          <w:color w:val="000000"/>
          <w:sz w:val="21"/>
          <w:highlight w:val="none"/>
        </w:rPr>
        <w:t xml:space="preserve">.招标方式</w:t>
      </w:r>
      <w:bookmarkEnd w:id="30"/>
      <w:r/>
      <w:bookmarkEnd w:id="31"/>
      <w:r/>
      <w:bookmarkEnd w:id="32"/>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本次招标采取公开招标方式，本招标文件仅适用于招标公告中所述项目。</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33" w:name="_Toc20823277"/>
      <w:r/>
      <w:bookmarkStart w:id="34" w:name="_Toc513029205"/>
      <w:r/>
      <w:bookmarkStart w:id="35" w:name="_Toc16938521"/>
      <w:r>
        <w:rPr>
          <w:rFonts w:hint="eastAsia" w:ascii="宋体" w:hAnsi="宋体" w:eastAsia="宋体" w:cs="宋体"/>
          <w:color w:val="000000"/>
          <w:sz w:val="21"/>
          <w:highlight w:val="none"/>
        </w:rPr>
        <w:t xml:space="preserve">2.合格的</w:t>
      </w:r>
      <w:bookmarkEnd w:id="33"/>
      <w:r/>
      <w:bookmarkEnd w:id="34"/>
      <w:r/>
      <w:bookmarkEnd w:id="35"/>
      <w:r>
        <w:rPr>
          <w:rFonts w:hint="eastAsia" w:ascii="宋体" w:hAnsi="宋体" w:eastAsia="宋体" w:cs="宋体"/>
          <w:color w:val="000000"/>
          <w:sz w:val="21"/>
          <w:highlight w:val="none"/>
        </w:rPr>
        <w:t xml:space="preserve">投标供应商</w:t>
      </w:r>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2.1满足招标公告中供应商的资格要求的规定。</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满足本文件实质性条款的规定。</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36" w:name="_Toc513029206"/>
      <w:r/>
      <w:bookmarkStart w:id="37" w:name="_Toc16938522"/>
      <w:r/>
      <w:bookmarkStart w:id="38" w:name="_Toc20823278"/>
      <w:r>
        <w:rPr>
          <w:rFonts w:hint="eastAsia" w:ascii="宋体" w:hAnsi="宋体" w:eastAsia="宋体" w:cs="宋体"/>
          <w:color w:val="000000"/>
          <w:sz w:val="21"/>
          <w:highlight w:val="none"/>
        </w:rPr>
        <w:t xml:space="preserve">3.适用法律</w:t>
      </w:r>
      <w:bookmarkEnd w:id="36"/>
      <w:r/>
      <w:bookmarkEnd w:id="37"/>
      <w:r/>
      <w:bookmarkEnd w:id="38"/>
      <w:r>
        <w:rPr>
          <w:rFonts w:hint="eastAsia" w:ascii="宋体" w:hAnsi="宋体" w:eastAsia="宋体" w:cs="宋体"/>
          <w:b/>
          <w:bCs/>
          <w:color w:val="000000"/>
          <w:sz w:val="21"/>
          <w:highlight w:val="none"/>
        </w:rPr>
      </w:r>
      <w:r/>
    </w:p>
    <w:p>
      <w:pPr>
        <w:pStyle w:val="659"/>
        <w:ind w:firstLine="49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本次招标及由此产生的合同受中华人民共和国有关的法律法规制约和保护。</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39" w:name="_Toc513029207"/>
      <w:r/>
      <w:bookmarkStart w:id="40" w:name="_Toc20823279"/>
      <w:r/>
      <w:bookmarkStart w:id="41" w:name="_Toc16938523"/>
      <w:r/>
      <w:bookmarkStart w:id="42" w:name="_Toc462564067"/>
      <w:r>
        <w:rPr>
          <w:rFonts w:hint="eastAsia" w:ascii="宋体" w:hAnsi="宋体" w:eastAsia="宋体" w:cs="宋体"/>
          <w:color w:val="000000"/>
          <w:sz w:val="21"/>
          <w:highlight w:val="none"/>
        </w:rPr>
        <w:t xml:space="preserve">4.投标费用</w:t>
      </w:r>
      <w:bookmarkEnd w:id="39"/>
      <w:r/>
      <w:bookmarkEnd w:id="40"/>
      <w:r/>
      <w:bookmarkEnd w:id="41"/>
      <w:r/>
      <w:bookmarkEnd w:id="42"/>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4.2本项目由</w:t>
      </w:r>
      <w:r>
        <w:rPr>
          <w:rFonts w:hint="eastAsia" w:ascii="宋体" w:hAnsi="宋体" w:eastAsia="宋体" w:cs="宋体"/>
          <w:b/>
          <w:bCs w:val="0"/>
          <w:color w:val="000000"/>
          <w:szCs w:val="21"/>
          <w:highlight w:val="none"/>
          <w:lang w:val="en-US" w:eastAsia="zh-CN"/>
        </w:rPr>
        <w:t xml:space="preserve">中标</w:t>
      </w:r>
      <w:r>
        <w:rPr>
          <w:rFonts w:hint="eastAsia" w:ascii="宋体" w:hAnsi="宋体" w:eastAsia="宋体" w:cs="宋体"/>
          <w:b/>
          <w:bCs w:val="0"/>
          <w:color w:val="000000"/>
          <w:szCs w:val="21"/>
          <w:highlight w:val="none"/>
        </w:rPr>
        <w:t xml:space="preserve">供应商向招标代理机构支付代理服务费</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rPr>
        <w:t xml:space="preserve">代理服务费按</w:t>
      </w:r>
      <w:r>
        <w:rPr>
          <w:rFonts w:hint="eastAsia" w:ascii="宋体" w:hAnsi="宋体" w:eastAsia="宋体" w:cs="宋体"/>
          <w:b/>
          <w:bCs w:val="0"/>
          <w:color w:val="000000"/>
          <w:szCs w:val="21"/>
          <w:highlight w:val="none"/>
          <w:lang w:val="en-US" w:eastAsia="zh-CN"/>
        </w:rPr>
        <w:t xml:space="preserve">中标</w:t>
      </w:r>
      <w:r>
        <w:rPr>
          <w:rFonts w:hint="eastAsia" w:ascii="宋体" w:hAnsi="宋体" w:eastAsia="宋体" w:cs="宋体"/>
          <w:b/>
          <w:bCs w:val="0"/>
          <w:color w:val="000000"/>
          <w:szCs w:val="21"/>
          <w:highlight w:val="none"/>
        </w:rPr>
        <w:t xml:space="preserve">金额的1.05%收费，保底价2000元。</w:t>
      </w:r>
      <w:r>
        <w:rPr>
          <w:rFonts w:hint="eastAsia" w:ascii="宋体" w:hAnsi="宋体" w:eastAsia="宋体" w:cs="宋体"/>
          <w:b/>
          <w:bCs w:val="0"/>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5.招标文件的约束力</w:t>
      </w:r>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5.1</w:t>
      </w:r>
      <w:r>
        <w:rPr>
          <w:rFonts w:hint="eastAsia" w:ascii="宋体" w:hAnsi="宋体" w:eastAsia="宋体" w:cs="宋体"/>
          <w:color w:val="000000"/>
          <w:szCs w:val="21"/>
          <w:highlight w:val="none"/>
        </w:rPr>
        <w:t xml:space="preserve">投标供应商一旦参加本项目采购活动，即被认为接受了本招标文件的规定和约束。</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6.招标文件的解释</w:t>
      </w:r>
      <w:r>
        <w:rPr>
          <w:rFonts w:hint="eastAsia" w:ascii="宋体" w:hAnsi="宋体" w:eastAsia="宋体" w:cs="宋体"/>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6.1</w:t>
      </w:r>
      <w:r>
        <w:rPr>
          <w:rFonts w:hint="eastAsia" w:ascii="宋体" w:hAnsi="宋体" w:eastAsia="宋体" w:cs="宋体"/>
          <w:color w:val="000000"/>
          <w:szCs w:val="21"/>
          <w:highlight w:val="none"/>
        </w:rPr>
        <w:t xml:space="preserve">招标文件需求部分（供应商资格要求、项目需求、商务技术评分标准）由采购人解释，其它部分由采购代理机构解释。</w:t>
      </w:r>
      <w:r>
        <w:rPr>
          <w:rFonts w:hint="eastAsia" w:ascii="宋体" w:hAnsi="宋体" w:eastAsia="宋体" w:cs="宋体"/>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43" w:name="_Toc20823281"/>
      <w:r/>
      <w:bookmarkStart w:id="44" w:name="_Toc16938525"/>
      <w:r/>
      <w:bookmarkStart w:id="45" w:name="_Toc120614215"/>
      <w:r/>
      <w:bookmarkStart w:id="46" w:name="_Toc513029209"/>
      <w:r>
        <w:rPr>
          <w:rFonts w:hint="eastAsia" w:ascii="宋体" w:hAnsi="宋体" w:eastAsia="宋体" w:cs="宋体"/>
          <w:color w:val="000000"/>
          <w:sz w:val="21"/>
          <w:szCs w:val="21"/>
          <w:highlight w:val="none"/>
        </w:rPr>
        <w:t xml:space="preserve">（二）招标文件</w:t>
      </w:r>
      <w:bookmarkEnd w:id="43"/>
      <w:r/>
      <w:bookmarkEnd w:id="44"/>
      <w:r/>
      <w:bookmarkEnd w:id="45"/>
      <w:r/>
      <w:bookmarkEnd w:id="46"/>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47" w:name="_Toc20823282"/>
      <w:r/>
      <w:bookmarkStart w:id="48" w:name="_Toc16938526"/>
      <w:r/>
      <w:bookmarkStart w:id="49" w:name="_Toc513029210"/>
      <w:r>
        <w:rPr>
          <w:rFonts w:hint="eastAsia" w:ascii="宋体" w:hAnsi="宋体" w:eastAsia="宋体" w:cs="宋体"/>
          <w:color w:val="000000"/>
          <w:sz w:val="21"/>
          <w:highlight w:val="none"/>
        </w:rPr>
        <w:t xml:space="preserve">1.招标文件构成</w:t>
      </w:r>
      <w:bookmarkEnd w:id="47"/>
      <w:r/>
      <w:bookmarkEnd w:id="48"/>
      <w:r/>
      <w:bookmarkEnd w:id="49"/>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w:t>
      </w:r>
      <w:r>
        <w:rPr>
          <w:rFonts w:hint="eastAsia" w:ascii="宋体" w:hAnsi="宋体" w:eastAsia="宋体" w:cs="宋体"/>
          <w:color w:val="000000"/>
          <w:szCs w:val="21"/>
          <w:highlight w:val="none"/>
        </w:rPr>
        <w:t xml:space="preserve"> 招标文件由以下部分组成：</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（1）投标邀请</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（2）投标须知</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（3）项目需求</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（4）评标方法与评标标准</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（5）合同格式</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（6）投标文件组成</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（7）附件（如有）</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请仔细检查招标文件是否齐全，如有缺漏请立即与采购人或采购代理机构联系解决。</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w:t>
      </w:r>
      <w:r>
        <w:rPr>
          <w:rFonts w:hint="eastAsia" w:ascii="宋体" w:hAnsi="宋体" w:eastAsia="宋体" w:cs="宋体"/>
          <w:color w:val="000000"/>
          <w:szCs w:val="21"/>
          <w:highlight w:val="none"/>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50" w:name="_Toc20823283"/>
      <w:r/>
      <w:bookmarkStart w:id="51" w:name="_Toc462564070"/>
      <w:r/>
      <w:bookmarkStart w:id="52" w:name="_Toc513029211"/>
      <w:r/>
      <w:bookmarkStart w:id="53" w:name="_Toc16938527"/>
      <w:r>
        <w:rPr>
          <w:rFonts w:hint="eastAsia" w:ascii="宋体" w:hAnsi="宋体" w:eastAsia="宋体" w:cs="宋体"/>
          <w:color w:val="000000"/>
          <w:sz w:val="21"/>
          <w:highlight w:val="none"/>
        </w:rPr>
        <w:t xml:space="preserve">2.招标文件的澄清</w:t>
      </w:r>
      <w:bookmarkEnd w:id="50"/>
      <w:r/>
      <w:bookmarkEnd w:id="51"/>
      <w:r/>
      <w:bookmarkEnd w:id="52"/>
      <w:r/>
      <w:bookmarkEnd w:id="53"/>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2.1</w:t>
      </w:r>
      <w:r>
        <w:rPr>
          <w:rFonts w:hint="eastAsia" w:ascii="宋体" w:hAnsi="宋体" w:eastAsia="宋体" w:cs="宋体"/>
          <w:color w:val="000000"/>
          <w:szCs w:val="21"/>
          <w:highlight w:val="none"/>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2.2采购人视情组织答疑会</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54" w:name="_Toc16938528"/>
      <w:r/>
      <w:bookmarkStart w:id="55" w:name="_Toc513029212"/>
      <w:r/>
      <w:bookmarkStart w:id="56" w:name="_Toc20823284"/>
      <w:r/>
      <w:bookmarkStart w:id="57" w:name="_Toc462564071"/>
      <w:r>
        <w:rPr>
          <w:rFonts w:hint="eastAsia" w:ascii="宋体" w:hAnsi="宋体" w:eastAsia="宋体" w:cs="宋体"/>
          <w:color w:val="000000"/>
          <w:sz w:val="21"/>
          <w:highlight w:val="none"/>
        </w:rPr>
        <w:t xml:space="preserve">3.招标文件的修改</w:t>
      </w:r>
      <w:bookmarkEnd w:id="54"/>
      <w:r/>
      <w:bookmarkEnd w:id="55"/>
      <w:r/>
      <w:bookmarkEnd w:id="56"/>
      <w:r/>
      <w:bookmarkEnd w:id="57"/>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3.1</w:t>
      </w:r>
      <w:r>
        <w:rPr>
          <w:rFonts w:hint="eastAsia" w:ascii="宋体" w:hAnsi="宋体" w:eastAsia="宋体" w:cs="宋体"/>
          <w:color w:val="000000"/>
          <w:szCs w:val="21"/>
          <w:highlight w:val="none"/>
        </w:rPr>
        <w:t xml:space="preserve"> 在投标截止时间前，采购人或采购代理机构可以对招标文件进行修改。</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3.2 </w:t>
      </w:r>
      <w:r>
        <w:rPr>
          <w:rFonts w:hint="eastAsia" w:ascii="宋体" w:hAnsi="宋体" w:eastAsia="宋体" w:cs="宋体"/>
          <w:color w:val="000000"/>
          <w:szCs w:val="21"/>
          <w:highlight w:val="none"/>
        </w:rPr>
        <w:t xml:space="preserve">采购人或采购代理机构有权按照法定的要求推迟投标截止日期和开标日期。</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3.3 </w:t>
      </w:r>
      <w:r>
        <w:rPr>
          <w:rFonts w:hint="eastAsia" w:ascii="宋体" w:hAnsi="宋体" w:eastAsia="宋体" w:cs="宋体"/>
          <w:color w:val="000000"/>
          <w:szCs w:val="21"/>
          <w:highlight w:val="none"/>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color w:val="000000"/>
          <w:szCs w:val="21"/>
          <w:highlight w:val="none"/>
        </w:rPr>
        <w:t xml:space="preserve">投标供应商关注本项目的“更正（澄清）公告”，并通过“苏采云”系统重新下载更正（澄清）后的采购文件（后缀名为“.kedt”），离线编制响应文件，否则，将自行承担相应的风险。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58" w:name="_Toc16938529"/>
      <w:r/>
      <w:bookmarkStart w:id="59" w:name="_Toc120614216"/>
      <w:r/>
      <w:bookmarkStart w:id="60" w:name="_Toc462564072"/>
      <w:r/>
      <w:bookmarkStart w:id="61" w:name="_Toc20823285"/>
      <w:r/>
      <w:bookmarkStart w:id="62" w:name="_Toc513029213"/>
      <w:r>
        <w:rPr>
          <w:rFonts w:hint="eastAsia" w:ascii="宋体" w:hAnsi="宋体" w:eastAsia="宋体" w:cs="宋体"/>
          <w:color w:val="000000"/>
          <w:sz w:val="21"/>
          <w:szCs w:val="21"/>
          <w:highlight w:val="none"/>
        </w:rPr>
        <w:t xml:space="preserve">（三）投标文件的编制</w:t>
      </w:r>
      <w:bookmarkEnd w:id="58"/>
      <w:r/>
      <w:bookmarkEnd w:id="59"/>
      <w:r/>
      <w:bookmarkEnd w:id="60"/>
      <w:r/>
      <w:bookmarkEnd w:id="61"/>
      <w:r/>
      <w:bookmarkEnd w:id="62"/>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Cs/>
          <w:color w:val="000000"/>
          <w:sz w:val="21"/>
          <w:highlight w:val="none"/>
        </w:rPr>
      </w:pPr>
      <w:r/>
      <w:bookmarkStart w:id="63" w:name="_Toc462564073"/>
      <w:r/>
      <w:bookmarkStart w:id="64" w:name="_Toc16938530"/>
      <w:r/>
      <w:bookmarkStart w:id="65" w:name="_Toc20823286"/>
      <w:r/>
      <w:bookmarkStart w:id="66" w:name="_Toc513029214"/>
      <w:r>
        <w:rPr>
          <w:rFonts w:hint="eastAsia" w:ascii="宋体" w:hAnsi="宋体" w:eastAsia="宋体" w:cs="宋体"/>
          <w:color w:val="000000"/>
          <w:sz w:val="21"/>
          <w:highlight w:val="none"/>
        </w:rPr>
        <w:t xml:space="preserve">1.投标文件的语言及度量衡单位</w:t>
      </w:r>
      <w:bookmarkEnd w:id="63"/>
      <w:r/>
      <w:bookmarkEnd w:id="64"/>
      <w:r/>
      <w:bookmarkEnd w:id="65"/>
      <w:r/>
      <w:bookmarkEnd w:id="66"/>
      <w:r>
        <w:rPr>
          <w:rFonts w:hint="eastAsia" w:ascii="宋体" w:hAnsi="宋体" w:eastAsia="宋体" w:cs="宋体"/>
          <w:bCs/>
          <w:color w:val="000000"/>
          <w:sz w:val="21"/>
          <w:highlight w:val="none"/>
        </w:rPr>
      </w:r>
      <w:r/>
    </w:p>
    <w:p>
      <w:pPr>
        <w:pStyle w:val="659"/>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rPr>
      </w:r>
      <w:r/>
    </w:p>
    <w:p>
      <w:pPr>
        <w:pStyle w:val="659"/>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 除技术性能另有规定外，投标文件所使用的度量衡单位，均须采用国家法定计量单位。</w:t>
      </w:r>
      <w:r>
        <w:rPr>
          <w:rFonts w:hint="eastAsia" w:ascii="宋体" w:hAnsi="宋体" w:eastAsia="宋体" w:cs="宋体"/>
          <w:bCs/>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67" w:name="_Toc20823287"/>
      <w:r/>
      <w:bookmarkStart w:id="68" w:name="_Toc513029215"/>
      <w:r/>
      <w:bookmarkStart w:id="69" w:name="_Toc462564074"/>
      <w:r/>
      <w:bookmarkStart w:id="70" w:name="_Toc16938531"/>
      <w:r>
        <w:rPr>
          <w:rFonts w:hint="eastAsia" w:ascii="宋体" w:hAnsi="宋体" w:eastAsia="宋体" w:cs="宋体"/>
          <w:color w:val="000000"/>
          <w:sz w:val="21"/>
          <w:highlight w:val="none"/>
        </w:rPr>
        <w:t xml:space="preserve">2.投标文件构成</w:t>
      </w:r>
      <w:bookmarkEnd w:id="67"/>
      <w:r/>
      <w:bookmarkEnd w:id="68"/>
      <w:r/>
      <w:bookmarkEnd w:id="69"/>
      <w:r/>
      <w:bookmarkEnd w:id="70"/>
      <w:r>
        <w:rPr>
          <w:rFonts w:hint="eastAsia" w:ascii="宋体" w:hAnsi="宋体" w:eastAsia="宋体" w:cs="宋体"/>
          <w:b/>
          <w:bCs/>
          <w:color w:val="000000"/>
          <w:sz w:val="21"/>
          <w:highlight w:val="none"/>
        </w:rPr>
      </w:r>
      <w:r/>
    </w:p>
    <w:p>
      <w:pPr>
        <w:pStyle w:val="659"/>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rPr>
      </w:r>
      <w:r/>
    </w:p>
    <w:p>
      <w:pPr>
        <w:pStyle w:val="659"/>
        <w:ind w:firstLine="420"/>
        <w:spacing w:line="500" w:lineRule="exact"/>
        <w:rPr>
          <w:rFonts w:hint="eastAsia" w:ascii="宋体" w:hAnsi="宋体" w:eastAsia="宋体" w:cs="宋体"/>
          <w:bCs/>
          <w:color w:val="000000"/>
          <w:szCs w:val="21"/>
          <w:highlight w:val="none"/>
        </w:rPr>
      </w:pPr>
      <w:r/>
      <w:bookmarkStart w:id="71" w:name="_Hlt26954838"/>
      <w:r/>
      <w:bookmarkEnd w:id="71"/>
      <w:r/>
      <w:bookmarkStart w:id="72" w:name="_Hlt26668975"/>
      <w:r/>
      <w:bookmarkEnd w:id="72"/>
      <w:r/>
      <w:bookmarkStart w:id="73" w:name="_Hlt26670360"/>
      <w:r/>
      <w:bookmarkEnd w:id="73"/>
      <w:r/>
      <w:bookmarkStart w:id="74" w:name="_Toc14577360"/>
      <w:r/>
      <w:bookmarkStart w:id="75" w:name="_Toc49090511"/>
      <w:r>
        <w:rPr>
          <w:rFonts w:hint="eastAsia" w:ascii="宋体" w:hAnsi="宋体" w:eastAsia="宋体" w:cs="宋体"/>
          <w:bCs/>
          <w:color w:val="000000"/>
          <w:szCs w:val="21"/>
          <w:highlight w:val="none"/>
        </w:rPr>
        <w:t xml:space="preserve">2.2 如标书制作工具中格式和内容与“江苏政府采购网”发布的招标文件不一致，请以“江苏政府采购网”发布的招标文件为准。</w:t>
      </w:r>
      <w:bookmarkStart w:id="76" w:name="_Toc49090507"/>
      <w:r/>
      <w:bookmarkStart w:id="77" w:name="_Toc49090508"/>
      <w:r/>
      <w:bookmarkStart w:id="78" w:name="_Toc14577355"/>
      <w:r/>
      <w:bookmarkStart w:id="79" w:name="_Toc49090509"/>
      <w:r/>
      <w:bookmarkStart w:id="80" w:name="_Toc513029219"/>
      <w:r/>
      <w:bookmarkStart w:id="81" w:name="_Toc14577357"/>
      <w:r/>
      <w:bookmarkStart w:id="82" w:name="_Toc14577354"/>
      <w:r/>
      <w:bookmarkStart w:id="83" w:name="_Toc513029216"/>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3.证明投标供应商及投标标的符合招标文件规定的文件</w:t>
      </w:r>
      <w:bookmarkEnd w:id="76"/>
      <w:r/>
      <w:bookmarkEnd w:id="79"/>
      <w:r/>
      <w:bookmarkEnd w:id="80"/>
      <w:r/>
      <w:bookmarkEnd w:id="81"/>
      <w:r/>
      <w:bookmarkEnd w:id="82"/>
      <w:r/>
      <w:bookmarkEnd w:id="83"/>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rPr>
      </w:r>
      <w:r/>
    </w:p>
    <w:p>
      <w:pPr>
        <w:pStyle w:val="659"/>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3.2招标文件对证明文件无明确形式要求的，证明文件可以以文字资料、图纸和数据等形式提交。</w:t>
      </w:r>
      <w:bookmarkEnd w:id="77"/>
      <w:r/>
      <w:bookmarkEnd w:id="78"/>
      <w:r>
        <w:rPr>
          <w:rFonts w:hint="eastAsia" w:ascii="宋体" w:hAnsi="宋体" w:eastAsia="宋体" w:cs="宋体"/>
          <w:bCs/>
          <w:color w:val="000000"/>
          <w:szCs w:val="21"/>
          <w:highlight w:val="none"/>
        </w:rPr>
      </w:r>
      <w:r/>
    </w:p>
    <w:p>
      <w:pPr>
        <w:pStyle w:val="659"/>
        <w:numPr>
          <w:ilvl w:val="0"/>
          <w:numId w:val="2"/>
        </w:numPr>
        <w:spacing w:line="500" w:lineRule="exact"/>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投标分项报价表</w:t>
      </w:r>
      <w:r>
        <w:rPr>
          <w:rFonts w:hint="eastAsia" w:ascii="宋体" w:hAnsi="宋体" w:eastAsia="宋体" w:cs="宋体"/>
          <w:color w:val="000000"/>
          <w:szCs w:val="21"/>
          <w:highlight w:val="none"/>
        </w:rPr>
      </w:r>
      <w:r/>
    </w:p>
    <w:p>
      <w:pPr>
        <w:pStyle w:val="659"/>
        <w:numPr>
          <w:ilvl w:val="1"/>
          <w:numId w:val="2"/>
        </w:numPr>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投标供应商按照招标文件规定格式填报投标分项报价表。</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4.2投标货币。投标文件中的单价和总价无特殊规定的采用人民币报价，以元为单位标注。招标文件中另有规定的按规定执行。</w:t>
      </w:r>
      <w:bookmarkStart w:id="84" w:name="_Hlt26954846"/>
      <w:r/>
      <w:bookmarkEnd w:id="84"/>
      <w:r/>
      <w:bookmarkStart w:id="85" w:name="_Hlt26954848"/>
      <w:r/>
      <w:bookmarkEnd w:id="85"/>
      <w:r/>
      <w:bookmarkStart w:id="86" w:name="_Hlt26954731"/>
      <w:r/>
      <w:bookmarkEnd w:id="86"/>
      <w:r/>
      <w:bookmarkStart w:id="87" w:name="_Hlt26670482"/>
      <w:r/>
      <w:bookmarkEnd w:id="87"/>
      <w:r/>
      <w:bookmarkStart w:id="88" w:name="_Hlt26670486"/>
      <w:r/>
      <w:bookmarkEnd w:id="88"/>
      <w:r>
        <w:rPr>
          <w:rFonts w:hint="eastAsia" w:ascii="宋体" w:hAnsi="宋体" w:eastAsia="宋体" w:cs="宋体"/>
          <w:color w:val="000000"/>
          <w:szCs w:val="21"/>
          <w:highlight w:val="none"/>
        </w:rPr>
      </w:r>
      <w:r/>
    </w:p>
    <w:p>
      <w:pPr>
        <w:pStyle w:val="659"/>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5.技术要求响应及偏离表、商务要求响应及偏离表</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lang w:val="zh-CN"/>
        </w:rPr>
      </w:r>
      <w:r/>
    </w:p>
    <w:p>
      <w:pPr>
        <w:pStyle w:val="659"/>
        <w:ind w:firstLine="420"/>
        <w:spacing w:line="5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.2投标供应商需按照</w:t>
      </w:r>
      <w:r>
        <w:rPr>
          <w:rFonts w:hint="eastAsia" w:ascii="宋体" w:hAnsi="宋体" w:eastAsia="宋体" w:cs="宋体"/>
          <w:color w:val="000000"/>
          <w:szCs w:val="21"/>
          <w:highlight w:val="none"/>
        </w:rPr>
        <w:t xml:space="preserve">招标</w:t>
      </w:r>
      <w:r>
        <w:rPr>
          <w:rFonts w:hint="eastAsia" w:ascii="宋体" w:hAnsi="宋体" w:eastAsia="宋体" w:cs="宋体"/>
          <w:color w:val="000000"/>
          <w:szCs w:val="21"/>
          <w:highlight w:val="none"/>
          <w:lang w:val="zh-CN"/>
        </w:rPr>
        <w:t xml:space="preserve">文件要求，在投标文件中提供与技术要求和商务要求相关的证明材料。</w:t>
      </w:r>
      <w:r>
        <w:rPr>
          <w:rFonts w:hint="eastAsia" w:ascii="宋体" w:hAnsi="宋体" w:eastAsia="宋体" w:cs="宋体"/>
          <w:color w:val="000000"/>
          <w:szCs w:val="21"/>
          <w:highlight w:val="none"/>
          <w:lang w:val="zh-CN"/>
        </w:rPr>
      </w:r>
      <w:r/>
    </w:p>
    <w:p>
      <w:pPr>
        <w:pStyle w:val="659"/>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6.服务承诺、培训计划、人员安排及其他（根据项目需求的实际要求进行填写）</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rPr>
      </w:r>
      <w:r/>
    </w:p>
    <w:p>
      <w:pPr>
        <w:pStyle w:val="663"/>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 投标供应商需根据招标文件要求提供培训计划。</w:t>
      </w:r>
      <w:r>
        <w:rPr>
          <w:rFonts w:hint="eastAsia" w:ascii="宋体" w:hAnsi="宋体" w:eastAsia="宋体" w:cs="宋体"/>
          <w:color w:val="000000"/>
          <w:sz w:val="21"/>
          <w:highlight w:val="none"/>
        </w:rPr>
      </w:r>
      <w:r/>
    </w:p>
    <w:p>
      <w:pPr>
        <w:pStyle w:val="663"/>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6.3 投标供应商需根据招标文件要求提供</w:t>
      </w:r>
      <w:r>
        <w:rPr>
          <w:rFonts w:hint="eastAsia" w:ascii="宋体" w:hAnsi="宋体" w:eastAsia="宋体" w:cs="宋体"/>
          <w:color w:val="000000"/>
          <w:sz w:val="21"/>
          <w:highlight w:val="none"/>
          <w:lang w:val="zh-CN"/>
        </w:rPr>
        <w:t xml:space="preserve">所投标的的主要组成部分、功能设计、实现思路及关键技术等。</w:t>
      </w:r>
      <w:r>
        <w:rPr>
          <w:rFonts w:hint="eastAsia" w:ascii="宋体" w:hAnsi="宋体" w:eastAsia="宋体" w:cs="宋体"/>
          <w:color w:val="000000"/>
          <w:sz w:val="21"/>
          <w:highlight w:val="none"/>
        </w:rPr>
      </w:r>
      <w:r/>
    </w:p>
    <w:p>
      <w:pPr>
        <w:pStyle w:val="663"/>
        <w:jc w:val="both"/>
        <w:spacing w:line="500" w:lineRule="exact"/>
        <w:rPr>
          <w:rFonts w:hint="eastAsia" w:ascii="宋体" w:hAnsi="宋体" w:eastAsia="宋体" w:cs="宋体"/>
          <w:color w:val="000000"/>
          <w:sz w:val="21"/>
          <w:highlight w:val="none"/>
        </w:rPr>
      </w:pPr>
      <w:r/>
      <w:bookmarkStart w:id="89" w:name="_Toc49090510"/>
      <w:r/>
      <w:bookmarkStart w:id="90" w:name="_Toc14577359"/>
      <w:r>
        <w:rPr>
          <w:rFonts w:hint="eastAsia" w:ascii="宋体" w:hAnsi="宋体" w:eastAsia="宋体" w:cs="宋体"/>
          <w:color w:val="000000"/>
          <w:sz w:val="21"/>
          <w:highlight w:val="none"/>
        </w:rPr>
        <w:t xml:space="preserve">7.投标函和开标一览表</w:t>
      </w:r>
      <w:r>
        <w:rPr>
          <w:rFonts w:hint="eastAsia" w:ascii="宋体" w:hAnsi="宋体" w:eastAsia="宋体" w:cs="宋体"/>
          <w:color w:val="000000"/>
          <w:sz w:val="21"/>
          <w:highlight w:val="none"/>
        </w:rPr>
      </w:r>
      <w:r/>
    </w:p>
    <w:p>
      <w:pPr>
        <w:pStyle w:val="663"/>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 投标供应商应按照招标文件中提供的格式完整、正确填写投标函、开标一览表。</w:t>
      </w:r>
      <w:r>
        <w:rPr>
          <w:rFonts w:hint="eastAsia" w:ascii="宋体" w:hAnsi="宋体" w:eastAsia="宋体" w:cs="宋体"/>
          <w:color w:val="000000"/>
          <w:sz w:val="21"/>
          <w:highlight w:val="none"/>
        </w:rPr>
      </w:r>
      <w:r/>
    </w:p>
    <w:p>
      <w:pPr>
        <w:pStyle w:val="663"/>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highlight w:val="none"/>
        </w:rPr>
      </w:r>
      <w:r/>
    </w:p>
    <w:p>
      <w:pPr>
        <w:pStyle w:val="663"/>
        <w:jc w:val="both"/>
        <w:spacing w:line="500" w:lineRule="exact"/>
        <w:rPr>
          <w:rFonts w:hint="eastAsia" w:ascii="宋体" w:hAnsi="宋体" w:eastAsia="宋体" w:cs="宋体"/>
          <w:b/>
          <w:bCs/>
          <w:color w:val="000000"/>
          <w:sz w:val="21"/>
          <w:highlight w:val="none"/>
        </w:rPr>
      </w:pPr>
      <w:r/>
      <w:bookmarkEnd w:id="89"/>
      <w:r/>
      <w:bookmarkEnd w:id="90"/>
      <w:r>
        <w:rPr>
          <w:rFonts w:hint="eastAsia" w:ascii="宋体" w:hAnsi="宋体" w:eastAsia="宋体" w:cs="宋体"/>
          <w:color w:val="000000"/>
          <w:sz w:val="21"/>
          <w:highlight w:val="none"/>
        </w:rPr>
        <w:t xml:space="preserve">8.投标有效期</w:t>
      </w:r>
      <w:bookmarkEnd w:id="74"/>
      <w:r/>
      <w:bookmarkEnd w:id="75"/>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8.1投标有效期为招标文件规定的开标之日后</w:t>
      </w:r>
      <w:r>
        <w:rPr>
          <w:rFonts w:hint="eastAsia" w:ascii="宋体" w:hAnsi="宋体" w:eastAsia="宋体" w:cs="宋体"/>
          <w:b/>
          <w:color w:val="000000"/>
          <w:szCs w:val="21"/>
          <w:highlight w:val="none"/>
          <w:u w:val="single"/>
        </w:rPr>
        <w:t xml:space="preserve">九十（90）天</w:t>
      </w:r>
      <w:r>
        <w:rPr>
          <w:rFonts w:hint="eastAsia" w:ascii="宋体" w:hAnsi="宋体" w:eastAsia="宋体" w:cs="宋体"/>
          <w:bCs/>
          <w:color w:val="000000"/>
          <w:szCs w:val="21"/>
          <w:highlight w:val="none"/>
        </w:rPr>
        <w:t xml:space="preserve">。投标有效期比规定短的将被视为非响应性投标而予以拒绝。</w:t>
      </w:r>
      <w:r>
        <w:rPr>
          <w:rFonts w:hint="eastAsia" w:ascii="宋体" w:hAnsi="宋体" w:eastAsia="宋体" w:cs="宋体"/>
          <w:bCs/>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9.投标有效期的延长</w:t>
      </w:r>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rPr>
        <w:t xml:space="preserve">受投标有效期约束的所有权利与义务均延长至新的有效期</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10.电子响应文件其他要求</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10.1电子招标投标交易平台（即“苏采云”系统）相关要求是本采购文件的组成部分。</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91" w:name="_Hlt26954739"/>
      <w:r/>
      <w:bookmarkEnd w:id="91"/>
      <w:r/>
      <w:bookmarkStart w:id="92" w:name="_Hlt26954852"/>
      <w:r/>
      <w:bookmarkEnd w:id="92"/>
      <w:r/>
      <w:bookmarkStart w:id="93" w:name="_Toc16938540"/>
      <w:r/>
      <w:bookmarkStart w:id="94" w:name="_Toc120614217"/>
      <w:r/>
      <w:bookmarkStart w:id="95" w:name="_Toc513029224"/>
      <w:r/>
      <w:bookmarkStart w:id="96" w:name="_Toc20823296"/>
      <w:r>
        <w:rPr>
          <w:rFonts w:hint="eastAsia" w:ascii="宋体" w:hAnsi="宋体" w:eastAsia="宋体" w:cs="宋体"/>
          <w:color w:val="000000"/>
          <w:sz w:val="21"/>
          <w:szCs w:val="21"/>
          <w:highlight w:val="none"/>
        </w:rPr>
        <w:t xml:space="preserve">（四）投标文件的递交</w:t>
      </w:r>
      <w:bookmarkEnd w:id="93"/>
      <w:r/>
      <w:bookmarkEnd w:id="94"/>
      <w:r/>
      <w:bookmarkEnd w:id="95"/>
      <w:r/>
      <w:bookmarkEnd w:id="96"/>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97" w:name="_Toc20823297"/>
      <w:r/>
      <w:bookmarkStart w:id="98" w:name="_Toc462564084"/>
      <w:r/>
      <w:bookmarkStart w:id="99" w:name="_Toc16938541"/>
      <w:r/>
      <w:bookmarkStart w:id="100" w:name="_Toc513029225"/>
      <w:r>
        <w:rPr>
          <w:rFonts w:hint="eastAsia" w:ascii="宋体" w:hAnsi="宋体" w:eastAsia="宋体" w:cs="宋体"/>
          <w:color w:val="000000"/>
          <w:sz w:val="21"/>
          <w:highlight w:val="none"/>
        </w:rPr>
        <w:t xml:space="preserve">1.投标文件</w:t>
      </w:r>
      <w:bookmarkEnd w:id="97"/>
      <w:r/>
      <w:bookmarkEnd w:id="98"/>
      <w:r/>
      <w:bookmarkEnd w:id="99"/>
      <w:r/>
      <w:bookmarkEnd w:id="100"/>
      <w:r>
        <w:rPr>
          <w:rFonts w:hint="eastAsia" w:ascii="宋体" w:hAnsi="宋体" w:eastAsia="宋体" w:cs="宋体"/>
          <w:color w:val="000000"/>
          <w:sz w:val="21"/>
          <w:highlight w:val="none"/>
        </w:rPr>
        <w:t xml:space="preserve">的递交</w:t>
      </w:r>
      <w:r>
        <w:rPr>
          <w:rFonts w:hint="eastAsia" w:ascii="宋体" w:hAnsi="宋体" w:eastAsia="宋体" w:cs="宋体"/>
          <w:b/>
          <w:bCs/>
          <w:color w:val="000000"/>
          <w:sz w:val="21"/>
          <w:highlight w:val="none"/>
        </w:rPr>
      </w:r>
      <w:r/>
    </w:p>
    <w:p>
      <w:pPr>
        <w:pStyle w:val="659"/>
        <w:ind w:firstLine="556"/>
        <w:spacing w:line="500" w:lineRule="exact"/>
        <w:rPr>
          <w:rFonts w:hint="eastAsia" w:ascii="宋体" w:hAnsi="宋体" w:eastAsia="宋体" w:cs="宋体"/>
          <w:bCs/>
          <w:color w:val="000000"/>
          <w:szCs w:val="21"/>
          <w:highlight w:val="none"/>
        </w:rPr>
      </w:pPr>
      <w:r/>
      <w:bookmarkStart w:id="101" w:name="_Toc513029226"/>
      <w:r/>
      <w:bookmarkStart w:id="102" w:name="_Toc16938542"/>
      <w:r/>
      <w:bookmarkStart w:id="103" w:name="_Toc20823298"/>
      <w:r>
        <w:rPr>
          <w:rFonts w:hint="eastAsia" w:ascii="宋体" w:hAnsi="宋体" w:eastAsia="宋体" w:cs="宋体"/>
          <w:bCs/>
          <w:color w:val="000000"/>
          <w:szCs w:val="21"/>
          <w:highlight w:val="none"/>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Cs w:val="21"/>
          <w:highlight w:val="none"/>
        </w:rPr>
      </w:r>
      <w:r/>
    </w:p>
    <w:p>
      <w:pPr>
        <w:pStyle w:val="659"/>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2.投标截止日期</w:t>
      </w:r>
      <w:bookmarkEnd w:id="101"/>
      <w:r/>
      <w:bookmarkEnd w:id="102"/>
      <w:r/>
      <w:bookmarkEnd w:id="103"/>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u w:val="single"/>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2.2采购人或采购代理机构</w:t>
      </w:r>
      <w:r>
        <w:rPr>
          <w:rFonts w:hint="eastAsia" w:ascii="宋体" w:hAnsi="宋体" w:eastAsia="宋体" w:cs="宋体"/>
          <w:bCs/>
          <w:color w:val="000000"/>
          <w:szCs w:val="21"/>
          <w:highlight w:val="none"/>
        </w:rPr>
        <w:t xml:space="preserve">可以按照规定，通过修改招标文件酌情延长投标截止日期，在此情况下，投标供应商的所有权利和义务以及投标供应商受制的截止日期均应以延长后新的截止日期为准。</w:t>
      </w:r>
      <w:bookmarkStart w:id="104" w:name="_Toc20823299"/>
      <w:r/>
      <w:bookmarkStart w:id="105" w:name="_Toc513029227"/>
      <w:r/>
      <w:bookmarkStart w:id="106" w:name="_Toc16938543"/>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3.投标文件的密封（加密）要求：</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3.3投标供应商未按规定加密的投标文件，“苏采云”系统应当拒收并提示。</w:t>
      </w:r>
      <w:r>
        <w:rPr>
          <w:rFonts w:hint="eastAsia" w:ascii="宋体" w:hAnsi="宋体" w:eastAsia="宋体" w:cs="宋体"/>
          <w:color w:val="000000"/>
          <w:szCs w:val="21"/>
          <w:highlight w:val="none"/>
        </w:rPr>
      </w:r>
      <w:r/>
    </w:p>
    <w:p>
      <w:pPr>
        <w:pStyle w:val="659"/>
        <w:spacing w:line="5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4.投标文件</w:t>
      </w:r>
      <w:bookmarkEnd w:id="104"/>
      <w:r/>
      <w:bookmarkEnd w:id="105"/>
      <w:r/>
      <w:bookmarkEnd w:id="106"/>
      <w:r>
        <w:rPr>
          <w:rFonts w:hint="eastAsia" w:ascii="宋体" w:hAnsi="宋体" w:eastAsia="宋体" w:cs="宋体"/>
          <w:color w:val="000000"/>
          <w:szCs w:val="21"/>
          <w:highlight w:val="none"/>
        </w:rPr>
        <w:t xml:space="preserve">的拒收</w:t>
      </w:r>
      <w:r>
        <w:rPr>
          <w:rFonts w:hint="eastAsia" w:ascii="宋体" w:hAnsi="宋体" w:eastAsia="宋体" w:cs="宋体"/>
          <w:b/>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采购人或采购代理机构拒绝接收在其规定的投标截止时间后上传的任何投标文件。</w:t>
      </w:r>
      <w:r>
        <w:rPr>
          <w:rFonts w:hint="eastAsia" w:ascii="宋体" w:hAnsi="宋体" w:eastAsia="宋体" w:cs="宋体"/>
          <w:bCs/>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107" w:name="_Toc16938544"/>
      <w:r/>
      <w:bookmarkStart w:id="108" w:name="_Toc20823300"/>
      <w:r/>
      <w:bookmarkStart w:id="109" w:name="_Toc513029228"/>
      <w:r>
        <w:rPr>
          <w:rFonts w:hint="eastAsia" w:ascii="宋体" w:hAnsi="宋体" w:eastAsia="宋体" w:cs="宋体"/>
          <w:color w:val="000000"/>
          <w:sz w:val="21"/>
          <w:highlight w:val="none"/>
        </w:rPr>
        <w:t xml:space="preserve">5.投标文件的撤回和修改</w:t>
      </w:r>
      <w:bookmarkEnd w:id="107"/>
      <w:r/>
      <w:bookmarkEnd w:id="108"/>
      <w:r/>
      <w:bookmarkEnd w:id="109"/>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投标文件的撤回</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5.1.1 电子投标文件的撤回</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投标供应商可在投标截止时间前，撤回其电子投标文件，具体操作方法见《操作手册》，可至江苏省政府采购网—办事指南-资料下载中心下载。</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5.1.2 投标供应商撤回电子投标文件，则认为其不再参与本项目投标活动。</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投标文件的修改</w:t>
      </w:r>
      <w:r>
        <w:rPr>
          <w:rFonts w:hint="eastAsia" w:ascii="宋体" w:hAnsi="宋体" w:eastAsia="宋体" w:cs="宋体"/>
          <w:color w:val="000000"/>
          <w:szCs w:val="21"/>
          <w:highlight w:val="none"/>
        </w:rPr>
      </w:r>
      <w:r/>
    </w:p>
    <w:p>
      <w:pPr>
        <w:pStyle w:val="659"/>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投标供应商可在投标截止时间前，对其电子投标文件进行修改，</w:t>
      </w:r>
      <w:r>
        <w:rPr>
          <w:rFonts w:hint="eastAsia" w:ascii="宋体" w:hAnsi="宋体" w:eastAsia="宋体" w:cs="宋体"/>
          <w:color w:val="000000"/>
          <w:szCs w:val="21"/>
          <w:highlight w:val="none"/>
        </w:rPr>
        <w:t xml:space="preserve">具体操作方法见《操作手册》。</w:t>
      </w:r>
      <w:r>
        <w:rPr>
          <w:rFonts w:hint="eastAsia" w:ascii="宋体" w:hAnsi="宋体" w:eastAsia="宋体" w:cs="宋体"/>
          <w:bCs/>
          <w:color w:val="000000"/>
          <w:szCs w:val="21"/>
          <w:highlight w:val="none"/>
        </w:rPr>
      </w:r>
      <w:r/>
    </w:p>
    <w:p>
      <w:pPr>
        <w:pStyle w:val="659"/>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 在投标截止时间之后，投标供应商不得对其电子投标文件作任何修改。</w:t>
      </w:r>
      <w:r>
        <w:rPr>
          <w:rFonts w:hint="eastAsia" w:ascii="宋体" w:hAnsi="宋体" w:eastAsia="宋体" w:cs="宋体"/>
          <w:bCs/>
          <w:color w:val="000000"/>
          <w:szCs w:val="21"/>
          <w:highlight w:val="none"/>
        </w:rPr>
      </w:r>
      <w:r/>
    </w:p>
    <w:p>
      <w:pPr>
        <w:pStyle w:val="659"/>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110" w:name="_Toc20823301"/>
      <w:r/>
      <w:bookmarkStart w:id="111" w:name="_Toc120614218"/>
      <w:r/>
      <w:bookmarkStart w:id="112" w:name="_Toc513029229"/>
      <w:r/>
      <w:bookmarkStart w:id="113" w:name="_Toc16938545"/>
      <w:r>
        <w:rPr>
          <w:rFonts w:hint="eastAsia" w:ascii="宋体" w:hAnsi="宋体" w:eastAsia="宋体" w:cs="宋体"/>
          <w:color w:val="000000"/>
          <w:sz w:val="21"/>
          <w:szCs w:val="21"/>
          <w:highlight w:val="none"/>
        </w:rPr>
        <w:t xml:space="preserve">（五）开标与评标</w:t>
      </w:r>
      <w:bookmarkEnd w:id="110"/>
      <w:r/>
      <w:bookmarkEnd w:id="111"/>
      <w:r/>
      <w:bookmarkEnd w:id="112"/>
      <w:r/>
      <w:bookmarkEnd w:id="113"/>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114" w:name="_Toc16938546"/>
      <w:r/>
      <w:bookmarkStart w:id="115" w:name="_Toc513029230"/>
      <w:r/>
      <w:bookmarkStart w:id="116" w:name="_Toc20823302"/>
      <w:r>
        <w:rPr>
          <w:rFonts w:hint="eastAsia" w:ascii="宋体" w:hAnsi="宋体" w:eastAsia="宋体" w:cs="宋体"/>
          <w:color w:val="000000"/>
          <w:sz w:val="21"/>
          <w:highlight w:val="none"/>
        </w:rPr>
        <w:t xml:space="preserve">1.开标</w:t>
      </w:r>
      <w:bookmarkEnd w:id="114"/>
      <w:r/>
      <w:bookmarkEnd w:id="115"/>
      <w:r/>
      <w:bookmarkEnd w:id="116"/>
      <w:r>
        <w:rPr>
          <w:rFonts w:hint="eastAsia" w:ascii="宋体" w:hAnsi="宋体" w:eastAsia="宋体" w:cs="宋体"/>
          <w:b/>
          <w:bCs/>
          <w:color w:val="000000"/>
          <w:sz w:val="21"/>
          <w:highlight w:val="none"/>
        </w:rPr>
      </w:r>
      <w:r/>
    </w:p>
    <w:p>
      <w:pPr>
        <w:pStyle w:val="659"/>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采购人或采购代理机构将在招标公告中规定的时间和地点组织公开开标。</w:t>
      </w:r>
      <w:r>
        <w:rPr>
          <w:rFonts w:hint="eastAsia" w:ascii="宋体" w:hAnsi="宋体" w:eastAsia="宋体" w:cs="宋体"/>
          <w:bCs/>
          <w:color w:val="000000"/>
          <w:szCs w:val="21"/>
          <w:highlight w:val="none"/>
        </w:rPr>
      </w:r>
      <w:r/>
    </w:p>
    <w:p>
      <w:pPr>
        <w:pStyle w:val="659"/>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rPr>
      </w:r>
      <w:r/>
    </w:p>
    <w:p>
      <w:pPr>
        <w:pStyle w:val="659"/>
        <w:ind w:firstLine="556"/>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1.2开标仪</w:t>
      </w:r>
      <w:r>
        <w:rPr>
          <w:rFonts w:hint="eastAsia" w:ascii="宋体" w:hAnsi="宋体" w:eastAsia="宋体" w:cs="宋体"/>
          <w:color w:val="000000"/>
          <w:szCs w:val="21"/>
          <w:highlight w:val="none"/>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rPr>
      </w:r>
      <w:r/>
    </w:p>
    <w:p>
      <w:pPr>
        <w:pStyle w:val="659"/>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1.3投标供应商在开标过程中涉及投标文件解密、开标结果确认等工作，应按照《操作手册》规定执行。</w:t>
      </w:r>
      <w:r>
        <w:rPr>
          <w:rFonts w:hint="eastAsia" w:ascii="宋体" w:hAnsi="宋体" w:eastAsia="宋体" w:cs="宋体"/>
          <w:bCs/>
          <w:color w:val="000000"/>
          <w:szCs w:val="21"/>
          <w:highlight w:val="none"/>
        </w:rPr>
      </w:r>
      <w:r/>
    </w:p>
    <w:p>
      <w:pPr>
        <w:pStyle w:val="659"/>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color w:val="000000"/>
          <w:szCs w:val="21"/>
          <w:highlight w:val="none"/>
        </w:rPr>
      </w:pPr>
      <w:r/>
      <w:bookmarkStart w:id="117" w:name="_Toc513029231"/>
      <w:r/>
      <w:bookmarkStart w:id="118" w:name="_Toc20823303"/>
      <w:r/>
      <w:bookmarkStart w:id="119" w:name="_Toc16938547"/>
      <w:r>
        <w:rPr>
          <w:rFonts w:hint="eastAsia" w:ascii="宋体" w:hAnsi="宋体" w:eastAsia="宋体" w:cs="宋体"/>
          <w:color w:val="000000"/>
          <w:szCs w:val="21"/>
          <w:highlight w:val="none"/>
        </w:rPr>
        <w:t xml:space="preserve">2.评标委员会</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 2.1开标后，采购人或采购代理机构将立即组织评标委员会（以下简称评委会）进行评标。</w:t>
      </w:r>
      <w:r>
        <w:rPr>
          <w:rFonts w:hint="eastAsia" w:ascii="宋体" w:hAnsi="宋体" w:eastAsia="宋体" w:cs="宋体"/>
          <w:b/>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rPr>
      </w:r>
      <w:r/>
    </w:p>
    <w:p>
      <w:pPr>
        <w:pStyle w:val="659"/>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2.3评委会独立工作，负责评审所有投标文件并确定中标侯选人。</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3.评标过程的保密与公正</w:t>
      </w:r>
      <w:bookmarkEnd w:id="117"/>
      <w:r/>
      <w:bookmarkEnd w:id="118"/>
      <w:r/>
      <w:bookmarkEnd w:id="119"/>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bCs/>
          <w:color w:val="000000"/>
          <w:szCs w:val="21"/>
          <w:highlight w:val="none"/>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3.3在评标期间，采购代理机构将设专门人员与投标供应商联系。</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 采用综合评分法的项目，未中标的</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可于中标结果公告期限届满之日起通过苏采云系统查看自己的评审得分及排序情况。</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bookmarkStart w:id="120" w:name="_Toc20823304"/>
      <w:r/>
      <w:bookmarkStart w:id="121" w:name="_Toc16938548"/>
      <w:r/>
      <w:bookmarkStart w:id="122" w:name="_Toc513029232"/>
      <w:r>
        <w:rPr>
          <w:rFonts w:hint="eastAsia" w:ascii="宋体" w:hAnsi="宋体" w:eastAsia="宋体" w:cs="宋体"/>
          <w:color w:val="000000"/>
          <w:sz w:val="21"/>
          <w:highlight w:val="none"/>
        </w:rPr>
        <w:t xml:space="preserve">4.投标的澄清</w:t>
      </w:r>
      <w:bookmarkEnd w:id="120"/>
      <w:r/>
      <w:bookmarkEnd w:id="121"/>
      <w:r/>
      <w:bookmarkEnd w:id="122"/>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bookmarkStart w:id="123" w:name="_Toc513029233"/>
      <w:r/>
      <w:bookmarkStart w:id="124" w:name="_Toc16938549"/>
      <w:r/>
      <w:bookmarkStart w:id="125" w:name="_Toc20823305"/>
      <w:r>
        <w:rPr>
          <w:rFonts w:hint="eastAsia" w:ascii="宋体" w:hAnsi="宋体" w:eastAsia="宋体" w:cs="宋体"/>
          <w:color w:val="000000"/>
          <w:szCs w:val="21"/>
          <w:highlight w:val="none"/>
        </w:rPr>
        <w:t xml:space="preserve">4.1评标期间，评委会对投标文件中含义不明确、同类问题表述不一致或者有明显文字和计算错误的内容 ，有权要求</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作出必要的澄清、说明或者补正。</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的澄清、说明或者补正不得超出投标文件的范围或者改变投标文件的实质性内容。</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评标委员会并非对每个</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都做澄清要求。</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4.2需要供应商进行澄清、说明和补正的，评委会将通过苏采云系统向供应商发出“澄清要求函”，接到“澄清要求函”的</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接到评委会澄清、说明和补正要求的</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如未按规定做出澄清、说明和补正，其风险由</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自行承担。</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5对投标文件的初审</w:t>
      </w:r>
      <w:bookmarkEnd w:id="123"/>
      <w:r/>
      <w:bookmarkEnd w:id="124"/>
      <w:r/>
      <w:bookmarkEnd w:id="125"/>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5.1</w:t>
      </w:r>
      <w:r>
        <w:rPr>
          <w:rFonts w:hint="eastAsia" w:ascii="宋体" w:hAnsi="宋体" w:eastAsia="宋体" w:cs="宋体"/>
          <w:bCs/>
          <w:color w:val="000000"/>
          <w:szCs w:val="21"/>
          <w:highlight w:val="none"/>
        </w:rPr>
        <w:t xml:space="preserve">投标文件初审分为资格审查和符合性审查。</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采购人在进行资格性审查的同时，将在“信用中国”网站（www.creditchina.gov.cn）查询</w:t>
      </w:r>
      <w:r>
        <w:rPr>
          <w:rFonts w:hint="eastAsia" w:ascii="宋体" w:hAnsi="宋体" w:eastAsia="宋体" w:cs="宋体"/>
          <w:b/>
          <w:color w:val="000000"/>
          <w:szCs w:val="21"/>
          <w:highlight w:val="none"/>
          <w:lang w:eastAsia="zh-CN"/>
        </w:rPr>
        <w:t xml:space="preserve">投标供应商</w:t>
      </w:r>
      <w:r>
        <w:rPr>
          <w:rFonts w:hint="eastAsia" w:ascii="宋体" w:hAnsi="宋体" w:eastAsia="宋体" w:cs="宋体"/>
          <w:b/>
          <w:color w:val="000000"/>
          <w:szCs w:val="21"/>
          <w:highlight w:val="none"/>
        </w:rPr>
        <w:t xml:space="preserve">的信用记录，以确定</w:t>
      </w:r>
      <w:r>
        <w:rPr>
          <w:rFonts w:hint="eastAsia" w:ascii="宋体" w:hAnsi="宋体" w:eastAsia="宋体" w:cs="宋体"/>
          <w:b/>
          <w:color w:val="000000"/>
          <w:szCs w:val="21"/>
          <w:highlight w:val="none"/>
          <w:lang w:eastAsia="zh-CN"/>
        </w:rPr>
        <w:t xml:space="preserve">投标供应商</w:t>
      </w:r>
      <w:r>
        <w:rPr>
          <w:rFonts w:hint="eastAsia" w:ascii="宋体" w:hAnsi="宋体" w:eastAsia="宋体" w:cs="宋体"/>
          <w:b/>
          <w:color w:val="000000"/>
          <w:szCs w:val="21"/>
          <w:highlight w:val="none"/>
        </w:rPr>
        <w:t xml:space="preserve">是否具备投标资格,查询结果留存并归档。</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rPr>
        <w:t xml:space="preserve">评委决定投标文件的响应性只根据投标文件本身的内容，而不寻求外部的证据。</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如果投标文件实质上没有响应招标文件的要求，评委会将予以拒绝，投标供应商不得通过修改或撤销不合要求的偏离或保留而使其投标成为实质性响应的投标。</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（1）投标文件中开标一览表内容与投标文件中相应内容不一致的，以开标一览表为准。</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（2）大写金额和小写金额不一致的，以大写金额为准。</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（3）单价金额小数点或者百分比有明显错位的，以开标一览表的总价为准，并修改单价。</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（4）总价金额与按单价汇总金额不一致的，以单价金额计算结果为准。</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同时出现两种以上错误的，按照前款规定的顺序修正。</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bCs/>
          <w:color w:val="000000"/>
          <w:szCs w:val="21"/>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5.6</w:t>
      </w:r>
      <w:r>
        <w:rPr>
          <w:rFonts w:hint="eastAsia" w:ascii="宋体" w:hAnsi="宋体" w:eastAsia="宋体" w:cs="宋体"/>
          <w:bCs/>
          <w:color w:val="000000"/>
          <w:szCs w:val="21"/>
          <w:highlight w:val="none"/>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bookmarkStart w:id="126" w:name="_Toc513029234"/>
      <w:r/>
      <w:bookmarkStart w:id="127" w:name="_Toc20823306"/>
      <w:r/>
      <w:bookmarkStart w:id="128" w:name="_Toc16938550"/>
      <w:r>
        <w:rPr>
          <w:rFonts w:hint="eastAsia" w:ascii="宋体" w:hAnsi="宋体" w:eastAsia="宋体" w:cs="宋体"/>
          <w:color w:val="000000"/>
          <w:szCs w:val="21"/>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5.8 投标供应商在开、评标全过程中应保持通讯畅通，并安排专人与采购人或采购代理机构联系。</w:t>
      </w:r>
      <w:bookmarkEnd w:id="126"/>
      <w:r/>
      <w:bookmarkEnd w:id="127"/>
      <w:r/>
      <w:bookmarkEnd w:id="128"/>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6.无效投标条款和废标条款</w:t>
      </w:r>
      <w:r>
        <w:rPr>
          <w:rFonts w:hint="eastAsia" w:ascii="宋体" w:hAnsi="宋体" w:eastAsia="宋体" w:cs="宋体"/>
          <w:b/>
          <w:bCs/>
          <w:color w:val="000000"/>
          <w:sz w:val="21"/>
          <w:highlight w:val="none"/>
        </w:rPr>
      </w:r>
      <w:r/>
    </w:p>
    <w:p>
      <w:pPr>
        <w:pStyle w:val="659"/>
        <w:ind w:firstLine="560"/>
        <w:spacing w:line="500" w:lineRule="exact"/>
        <w:rPr>
          <w:rFonts w:hint="eastAsia" w:ascii="宋体" w:hAnsi="宋体" w:eastAsia="宋体" w:cs="宋体"/>
          <w:bCs/>
          <w:color w:val="000000"/>
          <w:szCs w:val="21"/>
          <w:highlight w:val="none"/>
        </w:rPr>
      </w:pPr>
      <w:r/>
      <w:bookmarkStart w:id="129" w:name="_Toc513029235"/>
      <w:r/>
      <w:bookmarkStart w:id="130" w:name="_Toc16938551"/>
      <w:r/>
      <w:bookmarkStart w:id="131" w:name="_Toc20823307"/>
      <w:r>
        <w:rPr>
          <w:rFonts w:hint="eastAsia" w:ascii="宋体" w:hAnsi="宋体" w:eastAsia="宋体" w:cs="宋体"/>
          <w:bCs/>
          <w:color w:val="000000"/>
          <w:szCs w:val="21"/>
          <w:highlight w:val="none"/>
        </w:rPr>
        <w:t xml:space="preserve">6.1无效投标条款</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 投标供应商在苏采云系统规定的时间内未成功解密电子投标文件的。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6.1.2 投标供应商未按照招标文件要求上传电子投标文件的。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6.1.3</w:t>
      </w:r>
      <w:r>
        <w:rPr>
          <w:rFonts w:hint="eastAsia" w:ascii="宋体" w:hAnsi="宋体" w:eastAsia="宋体" w:cs="宋体"/>
          <w:bCs/>
          <w:color w:val="000000"/>
          <w:szCs w:val="21"/>
          <w:highlight w:val="none"/>
          <w:lang w:eastAsia="zh-CN"/>
        </w:rPr>
        <w:t xml:space="preserve">投标供应商</w:t>
      </w:r>
      <w:r>
        <w:rPr>
          <w:rFonts w:hint="eastAsia" w:ascii="宋体" w:hAnsi="宋体" w:eastAsia="宋体" w:cs="宋体"/>
          <w:bCs/>
          <w:color w:val="000000"/>
          <w:szCs w:val="21"/>
          <w:highlight w:val="none"/>
        </w:rPr>
        <w:t xml:space="preserve">同一分包提交两个（含两个）以上不同的投标报价的。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6.1.4投标供应商不具备招标文件中规定资格要求的。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6.1.5投标供应商的报价超过了采购预算或最高限价的。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6.1.6未通过符合性检查的。</w:t>
      </w:r>
      <w:r>
        <w:rPr>
          <w:rFonts w:hint="eastAsia" w:ascii="宋体" w:hAnsi="宋体" w:eastAsia="宋体" w:cs="宋体"/>
          <w:bCs/>
          <w:i/>
          <w:color w:val="000000"/>
          <w:szCs w:val="21"/>
          <w:highlight w:val="none"/>
          <w:u w:val="single"/>
        </w:rPr>
      </w:r>
      <w:r/>
    </w:p>
    <w:p>
      <w:pPr>
        <w:pStyle w:val="659"/>
        <w:ind w:firstLine="420"/>
        <w:spacing w:line="500" w:lineRule="exact"/>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 6.1.7不符合招标文件中规定的其他实质性要求和条件的。</w:t>
      </w:r>
      <w:r>
        <w:rPr>
          <w:rFonts w:hint="eastAsia" w:ascii="宋体" w:hAnsi="宋体" w:eastAsia="宋体" w:cs="宋体"/>
          <w:bCs/>
          <w:i/>
          <w:color w:val="000000"/>
          <w:szCs w:val="21"/>
          <w:highlight w:val="none"/>
          <w:u w:val="singl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6.1.9 投标文件含有采购人不能接受的附加条件的。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6.1.10</w:t>
      </w:r>
      <w:r>
        <w:rPr>
          <w:rFonts w:hint="eastAsia" w:ascii="宋体" w:hAnsi="宋体" w:eastAsia="宋体" w:cs="宋体"/>
          <w:bCs/>
          <w:color w:val="000000"/>
          <w:sz w:val="21"/>
          <w:szCs w:val="21"/>
          <w:highlight w:val="none"/>
          <w:lang w:eastAsia="zh-CN"/>
        </w:rPr>
        <w:t xml:space="preserve">评审小组</w:t>
      </w:r>
      <w:r>
        <w:rPr>
          <w:rFonts w:hint="eastAsia" w:ascii="宋体" w:hAnsi="宋体" w:eastAsia="宋体" w:cs="宋体"/>
          <w:bCs/>
          <w:color w:val="000000"/>
          <w:sz w:val="21"/>
          <w:szCs w:val="21"/>
          <w:highlight w:val="none"/>
        </w:rPr>
        <w:t xml:space="preserve">启动异常低价响应审查后，</w:t>
      </w:r>
      <w:r>
        <w:rPr>
          <w:rFonts w:hint="eastAsia" w:ascii="宋体" w:hAnsi="宋体" w:eastAsia="宋体" w:cs="宋体"/>
          <w:b w:val="0"/>
          <w:bCs/>
          <w:color w:val="000000"/>
          <w:sz w:val="21"/>
          <w:szCs w:val="21"/>
          <w:highlight w:val="none"/>
          <w:lang w:eastAsia="zh-CN"/>
        </w:rPr>
        <w:t xml:space="preserve">投标供应商</w:t>
      </w:r>
      <w:r>
        <w:rPr>
          <w:rFonts w:hint="eastAsia" w:ascii="宋体" w:hAnsi="宋体" w:eastAsia="宋体" w:cs="宋体"/>
          <w:b w:val="0"/>
          <w:bCs/>
          <w:color w:val="000000"/>
          <w:sz w:val="21"/>
          <w:szCs w:val="21"/>
          <w:highlight w:val="none"/>
        </w:rPr>
        <w:t xml:space="preserve">不提供书面说明、证明材料，或者提供的书面说明、证明材料不能证明其报价合理性的</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6.1.12投标文件未按照招标文件要求加盖CA电子签章。</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6.1.13不同的投标供应商投标文件制作机器码、文件创建标识码一致的。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6.1.15其他法律、法规及本招标文件规定的属无效投标的情形。</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6.2废标条款：</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6.2.1符合专业条件的供应商或者对招标文件作实质响应的供应商不足三家的。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6.2.2出现影响采购公正的违法、违规行为的。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6.2.3因重大变故，采购任务取消的。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6.2.4评标委员会认定招标文件存在歧义、重大缺陷导致评审工作无法进行。</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6.2.5 因苏采云系统故障原因造成开标不成功的。</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投标截止时间结束后参加投标的供应商不足三家的处理：</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7.投标文件线上格式要求</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7.1投标供应商应当通过“苏采云”系统提交数据电文形式的投标文件（即电子投标）。</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本项目采用线上投标，即投标供应商的投标文件从政府采购客户端工具制作通过“苏采云”系统提交，未提供线上投标文件的，投标无效。</w:t>
      </w:r>
      <w:bookmarkEnd w:id="129"/>
      <w:r/>
      <w:bookmarkEnd w:id="130"/>
      <w:r/>
      <w:bookmarkEnd w:id="131"/>
      <w:r>
        <w:rPr>
          <w:rFonts w:hint="eastAsia" w:ascii="宋体" w:hAnsi="宋体" w:eastAsia="宋体" w:cs="宋体"/>
          <w:bCs/>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132" w:name="_Toc120614219"/>
      <w:r>
        <w:rPr>
          <w:rFonts w:hint="eastAsia" w:ascii="宋体" w:hAnsi="宋体" w:eastAsia="宋体" w:cs="宋体"/>
          <w:color w:val="000000"/>
          <w:sz w:val="21"/>
          <w:szCs w:val="21"/>
          <w:highlight w:val="none"/>
        </w:rPr>
        <w:t xml:space="preserve">（六）定标</w:t>
      </w:r>
      <w:bookmarkEnd w:id="132"/>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color w:val="000000"/>
          <w:sz w:val="21"/>
          <w:highlight w:val="none"/>
          <w:lang w:eastAsia="zh-CN"/>
        </w:rPr>
      </w:pPr>
      <w:r/>
      <w:bookmarkStart w:id="133" w:name="_Toc20823310"/>
      <w:r/>
      <w:bookmarkStart w:id="134" w:name="_Toc16938554"/>
      <w:r>
        <w:rPr>
          <w:rFonts w:hint="eastAsia" w:ascii="宋体" w:hAnsi="宋体" w:eastAsia="宋体" w:cs="宋体"/>
          <w:color w:val="000000"/>
          <w:sz w:val="21"/>
          <w:highlight w:val="none"/>
        </w:rPr>
        <w:t xml:space="preserve">1.确定</w:t>
      </w:r>
      <w:bookmarkEnd w:id="133"/>
      <w:r/>
      <w:bookmarkEnd w:id="134"/>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b/>
          <w:color w:val="000000"/>
          <w:sz w:val="21"/>
          <w:highlight w:val="none"/>
          <w:lang w:eastAsia="zh-CN"/>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1.1中标候选人的选取原则和数量见招标文件第四部分规定。 </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1.2采购人应根据评标委员会推荐的中标候选人确定</w:t>
      </w:r>
      <w:r>
        <w:rPr>
          <w:rFonts w:hint="eastAsia" w:ascii="宋体" w:hAnsi="宋体" w:eastAsia="宋体" w:cs="宋体"/>
          <w:bCs/>
          <w:color w:val="000000"/>
          <w:szCs w:val="21"/>
          <w:highlight w:val="none"/>
          <w:lang w:eastAsia="zh-CN"/>
        </w:rPr>
        <w:t xml:space="preserve">中标供应商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1.3 </w:t>
      </w:r>
      <w:r>
        <w:rPr>
          <w:rFonts w:hint="eastAsia" w:ascii="宋体" w:hAnsi="宋体" w:eastAsia="宋体" w:cs="宋体"/>
          <w:color w:val="000000"/>
          <w:szCs w:val="21"/>
          <w:highlight w:val="none"/>
        </w:rPr>
        <w:t xml:space="preserve">采购人或采购代理机构将在“江苏政府采购网”发布中标公告，公告期限为1个工作日。</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若有充分证据证明，</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出现下列情况之一的，一经查实，将被取消中标资格：</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1.4.1提供虚假材料谋取中标的。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1.4.2向采购人或采购代理机构行贿或者评审专家提供其他不正当利益的。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1.4.3恶意竞争，投标总报价明显低于其自身合理成本且又无法提供证明的。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1.4.4属于本文件规定的无效条件，但在评标过程中又未被评委会发现的。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1.4.5与采购人或者其他供应商恶意串通的。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1.4.6采取不正当手段诋毁、排挤其他供应商的。</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bookmarkStart w:id="135" w:name="_Toc200451960"/>
      <w:r>
        <w:rPr>
          <w:rFonts w:hint="eastAsia" w:ascii="宋体" w:hAnsi="宋体" w:eastAsia="宋体" w:cs="宋体"/>
          <w:color w:val="000000"/>
          <w:szCs w:val="21"/>
          <w:highlight w:val="none"/>
        </w:rPr>
        <w:t xml:space="preserve">1.5有下列情形之一的，视为投标供应商串通投标，投标无效：</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1.5.1不同投标供应商的投标文件由同一单位或者个人编制；</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1.5.2不同投标供应商委托同一单位或者个人办理投标事宜；</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1.5.3不同投标供应商的投标文件载明的项目管理成员或者联系人员为同一人；</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1.5.4不同投标供应商的投标文件异常一致或者投标报价呈规律性差异；</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1.5.5不同投标供应商的投标文件相互混装。</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2.质疑处理</w:t>
      </w:r>
      <w:bookmarkEnd w:id="135"/>
      <w:r>
        <w:rPr>
          <w:rFonts w:hint="eastAsia" w:ascii="宋体" w:hAnsi="宋体" w:eastAsia="宋体" w:cs="宋体"/>
          <w:b/>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2.2.2对采购过程提出质疑的，为各采购程序环节结束之日；</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2.2.3对中标结果提出质疑的，为中标结果公告期限届满之日。</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2.4质疑答复依据《政府采购质疑和投诉办法》（财政部令第94号）。</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质疑接收人及联系方式，见招标文件第一部分。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以下情形的质疑不予受理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内容不符合《政府采购质疑和投诉办法》第十二条规定的质疑。</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超出政府采购法定期限的质疑。</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659"/>
        <w:ind w:firstLine="546"/>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3.中标通知书</w:t>
      </w:r>
      <w:r>
        <w:rPr>
          <w:rFonts w:hint="eastAsia" w:ascii="宋体" w:hAnsi="宋体" w:eastAsia="宋体" w:cs="宋体"/>
          <w:b/>
          <w:color w:val="000000"/>
          <w:sz w:val="21"/>
          <w:highlight w:val="none"/>
        </w:rPr>
      </w:r>
      <w:r/>
    </w:p>
    <w:p>
      <w:pPr>
        <w:pStyle w:val="659"/>
        <w:ind w:firstLine="700"/>
        <w:spacing w:line="48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3.1中标结果确定后，</w:t>
      </w:r>
      <w:r>
        <w:rPr>
          <w:rFonts w:hint="eastAsia" w:ascii="宋体" w:hAnsi="宋体" w:eastAsia="宋体" w:cs="宋体"/>
          <w:bCs/>
          <w:color w:val="000000"/>
          <w:szCs w:val="21"/>
          <w:highlight w:val="none"/>
        </w:rPr>
        <w:t xml:space="preserve">采购人或采购代理机构</w:t>
      </w:r>
      <w:r>
        <w:rPr>
          <w:rFonts w:hint="eastAsia" w:ascii="宋体" w:hAnsi="宋体" w:eastAsia="宋体" w:cs="宋体"/>
          <w:color w:val="000000"/>
          <w:szCs w:val="21"/>
          <w:highlight w:val="none"/>
        </w:rPr>
        <w:t xml:space="preserve">将向</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发出中标通知书。请</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自行承担。</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3.2中标通知书将是合同的一个组成部分。对采购人和</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均具有法律效力。中标通知书发出后，采购人改变中标结果的，或者</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放弃中标项目的，应当依法承担法律责任。</w:t>
      </w:r>
      <w:r>
        <w:rPr>
          <w:rFonts w:hint="eastAsia" w:ascii="宋体" w:hAnsi="宋体" w:eastAsia="宋体" w:cs="宋体"/>
          <w:color w:val="000000"/>
          <w:szCs w:val="21"/>
          <w:highlight w:val="none"/>
        </w:rPr>
      </w:r>
      <w:r/>
    </w:p>
    <w:p>
      <w:pPr>
        <w:pStyle w:val="659"/>
        <w:ind w:firstLine="557"/>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3.3</w:t>
      </w:r>
      <w:r>
        <w:rPr>
          <w:rFonts w:hint="eastAsia" w:ascii="宋体" w:hAnsi="宋体" w:eastAsia="宋体" w:cs="宋体"/>
          <w:b/>
          <w:color w:val="000000"/>
          <w:szCs w:val="21"/>
          <w:highlight w:val="none"/>
          <w:lang w:eastAsia="zh-CN"/>
        </w:rPr>
        <w:t xml:space="preserve">中标供应商</w:t>
      </w:r>
      <w:r>
        <w:rPr>
          <w:rFonts w:hint="eastAsia" w:ascii="宋体" w:hAnsi="宋体" w:eastAsia="宋体" w:cs="宋体"/>
          <w:b/>
          <w:color w:val="000000"/>
          <w:szCs w:val="21"/>
          <w:highlight w:val="none"/>
        </w:rPr>
        <w:t xml:space="preserve">须提供两份纸质版投标文件至采购代理机构。</w:t>
      </w:r>
      <w:r>
        <w:rPr>
          <w:rFonts w:hint="eastAsia" w:ascii="宋体" w:hAnsi="宋体" w:eastAsia="宋体" w:cs="宋体"/>
          <w:b/>
          <w:color w:val="000000"/>
          <w:szCs w:val="21"/>
          <w:highlight w:val="none"/>
        </w:rPr>
      </w:r>
      <w:r/>
    </w:p>
    <w:p>
      <w:pPr>
        <w:pStyle w:val="662"/>
        <w:spacing w:before="0" w:after="0" w:line="500" w:lineRule="exact"/>
        <w:rPr>
          <w:rFonts w:hint="eastAsia" w:ascii="宋体" w:hAnsi="宋体" w:eastAsia="宋体" w:cs="宋体"/>
          <w:color w:val="000000"/>
          <w:sz w:val="21"/>
          <w:szCs w:val="21"/>
          <w:highlight w:val="none"/>
        </w:rPr>
      </w:pPr>
      <w:r/>
      <w:bookmarkStart w:id="136" w:name="_Toc120614220"/>
      <w:r/>
      <w:bookmarkStart w:id="137" w:name="_Toc513029236"/>
      <w:r/>
      <w:bookmarkStart w:id="138" w:name="_Toc16938552"/>
      <w:r/>
      <w:bookmarkStart w:id="139" w:name="_Toc20823308"/>
      <w:r>
        <w:rPr>
          <w:rFonts w:hint="eastAsia" w:ascii="宋体" w:hAnsi="宋体" w:eastAsia="宋体" w:cs="宋体"/>
          <w:color w:val="000000"/>
          <w:sz w:val="21"/>
          <w:szCs w:val="21"/>
          <w:highlight w:val="none"/>
        </w:rPr>
        <w:t xml:space="preserve">（七）授予合同</w:t>
      </w:r>
      <w:bookmarkEnd w:id="136"/>
      <w:r/>
      <w:bookmarkEnd w:id="137"/>
      <w:r/>
      <w:bookmarkEnd w:id="138"/>
      <w:r/>
      <w:bookmarkEnd w:id="139"/>
      <w:r>
        <w:rPr>
          <w:rFonts w:hint="eastAsia" w:ascii="宋体" w:hAnsi="宋体" w:eastAsia="宋体" w:cs="宋体"/>
          <w:color w:val="000000"/>
          <w:sz w:val="21"/>
          <w:szCs w:val="21"/>
          <w:highlight w:val="none"/>
        </w:rPr>
      </w:r>
      <w:r/>
    </w:p>
    <w:p>
      <w:pPr>
        <w:pStyle w:val="663"/>
        <w:jc w:val="both"/>
        <w:spacing w:line="500" w:lineRule="exact"/>
        <w:rPr>
          <w:rFonts w:hint="eastAsia" w:ascii="宋体" w:hAnsi="宋体" w:eastAsia="宋体" w:cs="宋体"/>
          <w:b/>
          <w:color w:val="000000"/>
          <w:sz w:val="21"/>
          <w:highlight w:val="none"/>
        </w:rPr>
      </w:pPr>
      <w:r/>
      <w:bookmarkStart w:id="140" w:name="_Toc20823309"/>
      <w:r/>
      <w:bookmarkStart w:id="141" w:name="_Toc513029237"/>
      <w:r/>
      <w:bookmarkStart w:id="142" w:name="_Toc16938553"/>
      <w:r>
        <w:rPr>
          <w:rFonts w:hint="eastAsia" w:ascii="宋体" w:hAnsi="宋体" w:eastAsia="宋体" w:cs="宋体"/>
          <w:color w:val="000000"/>
          <w:sz w:val="21"/>
          <w:highlight w:val="none"/>
        </w:rPr>
        <w:t xml:space="preserve">1.签订合同</w:t>
      </w:r>
      <w:r>
        <w:rPr>
          <w:rFonts w:hint="eastAsia" w:ascii="宋体" w:hAnsi="宋体" w:eastAsia="宋体" w:cs="宋体"/>
          <w:b/>
          <w:color w:val="000000"/>
          <w:sz w:val="21"/>
          <w:highlight w:val="none"/>
        </w:rPr>
      </w:r>
      <w:r/>
    </w:p>
    <w:p>
      <w:pPr>
        <w:pStyle w:val="659"/>
        <w:ind w:firstLine="70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t xml:space="preserve">.l</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659"/>
        <w:ind w:firstLine="70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1.2招标文件、</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的投标文件及招标过程中有关澄清、承诺文件均应作为合同附件。</w:t>
      </w:r>
      <w:r>
        <w:rPr>
          <w:rFonts w:hint="eastAsia" w:ascii="宋体" w:hAnsi="宋体" w:eastAsia="宋体" w:cs="宋体"/>
          <w:color w:val="000000"/>
          <w:szCs w:val="21"/>
          <w:highlight w:val="none"/>
        </w:rPr>
      </w:r>
      <w:r/>
    </w:p>
    <w:p>
      <w:pPr>
        <w:pStyle w:val="659"/>
        <w:ind w:firstLine="70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1.3签订合同后，</w:t>
      </w:r>
      <w:r>
        <w:rPr>
          <w:rFonts w:hint="eastAsia" w:ascii="宋体" w:hAnsi="宋体" w:eastAsia="宋体" w:cs="宋体"/>
          <w:color w:val="000000"/>
          <w:szCs w:val="21"/>
          <w:highlight w:val="none"/>
          <w:u w:val="single"/>
          <w:lang w:eastAsia="zh-CN"/>
        </w:rPr>
        <w:t xml:space="preserve">中标供应商</w:t>
      </w:r>
      <w:r>
        <w:rPr>
          <w:rFonts w:hint="eastAsia" w:ascii="宋体" w:hAnsi="宋体" w:eastAsia="宋体" w:cs="宋体"/>
          <w:color w:val="000000"/>
          <w:szCs w:val="21"/>
          <w:highlight w:val="none"/>
          <w:u w:val="single"/>
        </w:rPr>
        <w:t xml:space="preserve">不得将合同标的进行转包</w:t>
      </w:r>
      <w:r>
        <w:rPr>
          <w:rFonts w:hint="eastAsia" w:ascii="宋体" w:hAnsi="宋体" w:eastAsia="宋体" w:cs="宋体"/>
          <w:color w:val="000000"/>
          <w:szCs w:val="21"/>
          <w:highlight w:val="none"/>
        </w:rPr>
        <w:t xml:space="preserve">。未经采购人同意，</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也不得采用分包的形式履行合同，否则采购人有权终止合同。政府采购合同分包履行的，</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就采购项目和分包项目向采购人负责，分包供应商就分包项目承担责任。转包或分包造成采购人损失的，</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应承担相应赔偿责任。</w:t>
      </w:r>
      <w:r>
        <w:rPr>
          <w:rFonts w:hint="eastAsia" w:ascii="宋体" w:hAnsi="宋体" w:eastAsia="宋体" w:cs="宋体"/>
          <w:color w:val="000000"/>
          <w:szCs w:val="21"/>
          <w:highlight w:val="none"/>
        </w:rPr>
      </w:r>
      <w:r/>
    </w:p>
    <w:p>
      <w:pPr>
        <w:pStyle w:val="663"/>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2.货物和服务的追加、减少和添购。</w:t>
      </w:r>
      <w:r>
        <w:rPr>
          <w:rFonts w:hint="eastAsia" w:ascii="宋体" w:hAnsi="宋体" w:eastAsia="宋体" w:cs="宋体"/>
          <w:b/>
          <w:color w:val="000000"/>
          <w:sz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协商签订补充合同，但所有补充合同的采购金额不超过原合同金额10%。</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40"/>
      <w:r/>
      <w:bookmarkEnd w:id="141"/>
      <w:r/>
      <w:bookmarkEnd w:id="142"/>
      <w:r>
        <w:rPr>
          <w:rFonts w:hint="eastAsia" w:ascii="宋体" w:hAnsi="宋体" w:eastAsia="宋体" w:cs="宋体"/>
          <w:color w:val="000000"/>
          <w:szCs w:val="21"/>
          <w:highlight w:val="none"/>
        </w:rPr>
      </w:r>
      <w:r/>
    </w:p>
    <w:p>
      <w:pPr>
        <w:pStyle w:val="659"/>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 政府采购合同信用融资扶持政策</w:t>
      </w:r>
      <w:r>
        <w:rPr>
          <w:rFonts w:hint="eastAsia" w:ascii="宋体" w:hAnsi="宋体" w:eastAsia="宋体" w:cs="宋体"/>
          <w:b/>
          <w:bCs/>
          <w:color w:val="000000"/>
          <w:szCs w:val="21"/>
          <w:highlight w:val="none"/>
        </w:rPr>
      </w:r>
      <w:r/>
    </w:p>
    <w:p>
      <w:pPr>
        <w:pStyle w:val="659"/>
        <w:ind w:firstLine="422"/>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 政府采购合同信用融资扶持政策</w:t>
      </w:r>
      <w:r>
        <w:rPr>
          <w:rFonts w:hint="eastAsia" w:ascii="宋体" w:hAnsi="宋体" w:eastAsia="宋体" w:cs="宋体"/>
          <w:b/>
          <w:bCs/>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.1根据《关于深入开展南通市政府采购线上合同信用融资业务的通知》（通财购〔2022〕68号），</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可通过中征应收账款融资服务平台（简称“中征平台”）办理“政采贷”融资贷款，具体业务操作流程如下： </w:t>
      </w:r>
      <w:r>
        <w:rPr>
          <w:rFonts w:hint="eastAsia" w:ascii="宋体" w:hAnsi="宋体" w:eastAsia="宋体" w:cs="宋体"/>
          <w:color w:val="000000"/>
          <w:szCs w:val="21"/>
          <w:highlight w:val="none"/>
        </w:rPr>
      </w:r>
      <w:r/>
    </w:p>
    <w:p>
      <w:pPr>
        <w:pStyle w:val="659"/>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.1.1确定融资意向。</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取得中标通知书后，联系意向金融机构，商治融资事项，确定融资意向。</w:t>
      </w:r>
      <w:r>
        <w:rPr>
          <w:rFonts w:hint="eastAsia" w:ascii="宋体" w:hAnsi="宋体" w:eastAsia="宋体" w:cs="宋体"/>
          <w:color w:val="000000"/>
          <w:szCs w:val="21"/>
          <w:highlight w:val="none"/>
        </w:rPr>
      </w:r>
      <w:r/>
    </w:p>
    <w:p>
      <w:pPr>
        <w:pStyle w:val="663"/>
        <w:ind w:firstLine="420"/>
        <w:jc w:val="both"/>
        <w:spacing w:line="49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.1.2签订采购合同。</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与采购人签订政府采购合同时，应将自身融资需求告知采购人或其委托的采购代理机构，提醒 (或协助 ) 其当天在“苏采云”上传合同的同时将“供应商是否融资”选为“是”</w:t>
      </w:r>
      <w:r>
        <w:rPr>
          <w:rFonts w:hint="eastAsia" w:ascii="宋体" w:hAnsi="宋体" w:eastAsia="宋体" w:cs="宋体"/>
          <w:color w:val="000000"/>
          <w:sz w:val="21"/>
          <w:highlight w:val="none"/>
        </w:rPr>
      </w:r>
      <w:r/>
    </w:p>
    <w:p>
      <w:pPr>
        <w:pStyle w:val="663"/>
        <w:ind w:firstLine="420"/>
        <w:jc w:val="both"/>
        <w:spacing w:line="49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.1.3提交融资申请。</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登录“中征平台”进行用户注册，查看“政采贷”融资产品，向确定合作的金融机构提交融资申请。</w:t>
      </w:r>
      <w:r>
        <w:rPr>
          <w:rFonts w:hint="eastAsia" w:ascii="宋体" w:hAnsi="宋体" w:eastAsia="宋体" w:cs="宋体"/>
          <w:color w:val="000000"/>
          <w:sz w:val="21"/>
          <w:highlight w:val="none"/>
        </w:rPr>
      </w:r>
      <w:r/>
    </w:p>
    <w:p>
      <w:pPr>
        <w:pStyle w:val="663"/>
        <w:ind w:firstLine="420"/>
        <w:jc w:val="both"/>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.1.4确认回款账户。金融机构填写需要锁定的回款账户信息后</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应登录“中征平台”确认账户信息，以实现回款账户的锁定。</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659"/>
        <w:ind w:firstLine="28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color w:val="000000"/>
          <w:sz w:val="28"/>
          <w:szCs w:val="28"/>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5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1"/>
          <w:szCs w:val="21"/>
          <w:highlight w:val="none"/>
        </w:rPr>
      </w:r>
      <w:r/>
    </w:p>
    <w:p>
      <w:pPr>
        <w:pStyle w:val="659"/>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hint="eastAsia" w:ascii="宋体" w:hAnsi="宋体" w:eastAsia="宋体" w:cs="宋体"/>
          <w:b/>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供应商不能简单照搬照抄采购文件项目需求说明中的技术、商务要求，必须作实事求是的响应。如供应商提供的货物和服务同采购人提出的项目需求说明中的技术、商务要求不同的，必须在《技术要求响应及偏离表》和《商务要求响应及偏离表》上明示，如不明示的视同完全响应。</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rPr>
        <w:t xml:space="preserve">一、采购标的需实现的功能或者目标, 以及为落实政府采购政策需满足的要求</w:t>
      </w:r>
      <w:r>
        <w:rPr>
          <w:rFonts w:hint="eastAsia" w:ascii="宋体" w:hAnsi="宋体" w:eastAsia="宋体" w:cs="宋体"/>
          <w:color w:val="000000"/>
          <w:sz w:val="21"/>
          <w:szCs w:val="21"/>
          <w:highlight w:val="none"/>
        </w:rPr>
      </w:r>
      <w:r/>
    </w:p>
    <w:p>
      <w:pPr>
        <w:pStyle w:val="659"/>
        <w:ind w:firstLine="420"/>
        <w:spacing w:line="59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电子政务外网政务办公区江苏有线、电信和图书馆综合服务大楼汇聚层网络设备已超使用年限。以上设备作为网络汇聚，为200余家市级部门和单位提供电子政务外网接入服务。设备老化会导致元器件性能下降，增加设备宕机、链路中断概率，影响政务网络访问的稳定性。去年以来，已数次发生设备电源告警、板卡离线故障，且因设备型号陈旧，原厂配件已较难适配，故拟更换上述设备。结合新一代电子政务外网建设要求，为了更好地全网支撑SRv6协议和FlexE切片技术，拟采购路由器替代原有交换机设备。</w:t>
      </w:r>
      <w:r>
        <w:rPr>
          <w:rFonts w:hint="eastAsia" w:ascii="宋体" w:hAnsi="宋体" w:eastAsia="宋体" w:cs="宋体"/>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二、采购标的需执行的国家相关标准、行业标准、地方标准或者其他标准、规范如下</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《国家电子政务外网IPv6部署要求》</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《政务外网IPv6演进技术白皮书（2021）》</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IPv6演进路线图和实施技术指南（政务外网）》《电子政务外网5G平面和IPv6网络技术规范》（DB32/T 4617-2023）</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《江苏省政府关于加快统筹推进数字政府高质量建设的实施意见（苏政发〔2022〕44号）》</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《江苏省人民政府办公室关于印发江苏省电子政务外网管理办法（试行）的通知》（苏政办发〔2023〕32号）</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《省政府办公厅关于印发2025年数字江苏建设工作要点的通知》（苏政办发〔2025〕23 号）</w:t>
      </w:r>
      <w:r>
        <w:rPr>
          <w:rFonts w:hint="eastAsia" w:ascii="宋体" w:hAnsi="宋体" w:eastAsia="宋体" w:cs="宋体"/>
          <w:color w:val="000000"/>
          <w:sz w:val="21"/>
          <w:szCs w:val="21"/>
          <w:highlight w:val="none"/>
        </w:rPr>
      </w:r>
      <w:r/>
    </w:p>
    <w:p>
      <w:pPr>
        <w:pStyle w:val="997"/>
        <w:numPr>
          <w:ilvl w:val="0"/>
          <w:numId w:val="3"/>
        </w:numPr>
        <w:spacing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《关于加强全省“一张网”高质量建设管理有关工作的通知》（苏数发〔2025〕42号）</w:t>
      </w:r>
      <w:r>
        <w:rPr>
          <w:rFonts w:hint="eastAsia" w:ascii="宋体" w:hAnsi="宋体" w:eastAsia="宋体" w:cs="宋体"/>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三、采购标的需满足的质量、安全、技术规格、物理特性等要求如下</w:t>
      </w:r>
      <w:r>
        <w:rPr>
          <w:rFonts w:hint="eastAsia" w:ascii="宋体" w:hAnsi="宋体" w:eastAsia="宋体" w:cs="宋体"/>
          <w:color w:val="000000"/>
          <w:sz w:val="21"/>
          <w:szCs w:val="21"/>
          <w:highlight w:val="none"/>
        </w:rPr>
      </w:r>
      <w:r/>
    </w:p>
    <w:p>
      <w:pPr>
        <w:pStyle w:val="659"/>
        <w:ind w:firstLine="560"/>
        <w:spacing w:line="59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障市电子政务外网骨干网络的稳定运行以及满足省新一代电子政务外网建设要求，对市政务外网现有4台老旧汇聚交换机设备进行更换，为满足新一代电子政务外网全网支撑SRv6协议和FlexE切片技术的要求，此次将</w:t>
      </w:r>
      <w:r>
        <w:rPr>
          <w:rFonts w:hint="eastAsia" w:ascii="宋体" w:hAnsi="宋体" w:eastAsia="宋体" w:cs="宋体"/>
          <w:color w:val="000000"/>
          <w:sz w:val="21"/>
          <w:szCs w:val="21"/>
          <w:highlight w:val="none"/>
          <w:lang w:val="en-US" w:eastAsia="zh-CN"/>
        </w:rPr>
        <w:t xml:space="preserve">采购4台</w:t>
      </w:r>
      <w:r>
        <w:rPr>
          <w:rFonts w:hint="eastAsia" w:ascii="宋体" w:hAnsi="宋体" w:eastAsia="宋体" w:cs="宋体"/>
          <w:color w:val="000000"/>
          <w:sz w:val="21"/>
          <w:szCs w:val="21"/>
          <w:highlight w:val="none"/>
        </w:rPr>
        <w:t xml:space="preserve">路由器设备。</w:t>
      </w:r>
      <w:r>
        <w:rPr>
          <w:rFonts w:hint="eastAsia" w:ascii="宋体" w:hAnsi="宋体" w:eastAsia="宋体" w:cs="宋体"/>
          <w:color w:val="000000"/>
          <w:sz w:val="21"/>
          <w:szCs w:val="21"/>
          <w:highlight w:val="none"/>
        </w:rPr>
      </w:r>
      <w:r/>
    </w:p>
    <w:p>
      <w:pPr>
        <w:pStyle w:val="659"/>
        <w:ind w:firstLine="56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设备清单如下：</w:t>
      </w:r>
      <w:r>
        <w:rPr>
          <w:rFonts w:hint="eastAsia" w:ascii="宋体" w:hAnsi="宋体" w:eastAsia="宋体" w:cs="宋体"/>
          <w:color w:val="000000"/>
          <w:sz w:val="21"/>
          <w:szCs w:val="21"/>
          <w:highlight w:val="none"/>
        </w:rPr>
      </w:r>
      <w:r/>
    </w:p>
    <w:tbl>
      <w:tblPr>
        <w:tblpPr w:horzAnchor="page" w:tblpX="1811" w:vertAnchor="text" w:tblpY="298" w:leftFromText="180" w:topFromText="0" w:rightFromText="180" w:bottomFromText="0"/>
        <w:tblW w:w="4773"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402"/>
        <w:gridCol w:w="5519"/>
        <w:gridCol w:w="1116"/>
      </w:tblGrid>
      <w:tr>
        <w:trPr>
          <w:trHeight w:val="281"/>
        </w:trPr>
        <w:tc>
          <w:tcPr>
            <w:tcMar>
              <w:left w:w="108" w:type="dxa"/>
              <w:top w:w="0" w:type="dxa"/>
              <w:right w:w="108" w:type="dxa"/>
              <w:bottom w:w="0" w:type="dxa"/>
            </w:tcMar>
            <w:tcW w:w="412"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序号</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800"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设备</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3150"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配置内容</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637"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数量</w:t>
            </w:r>
            <w:r>
              <w:rPr>
                <w:rFonts w:hint="eastAsia" w:ascii="宋体" w:hAnsi="宋体" w:eastAsia="宋体" w:cs="宋体"/>
                <w:color w:val="000000"/>
                <w:sz w:val="20"/>
                <w:szCs w:val="20"/>
                <w:highlight w:val="none"/>
              </w:rPr>
            </w:r>
            <w:r/>
          </w:p>
        </w:tc>
      </w:tr>
      <w:tr>
        <w:trPr/>
        <w:tc>
          <w:tcPr>
            <w:tcMar>
              <w:left w:w="108" w:type="dxa"/>
              <w:top w:w="0" w:type="dxa"/>
              <w:right w:w="108" w:type="dxa"/>
              <w:bottom w:w="0" w:type="dxa"/>
            </w:tcMar>
            <w:tcW w:w="412"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1</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800" w:type="dxa"/>
            <w:vAlign w:val="center"/>
            <w:textDirection w:val="lrTb"/>
            <w:noWrap w:val="false"/>
          </w:tcPr>
          <w:p>
            <w:pPr>
              <w:pStyle w:val="659"/>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路由器</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3150" w:type="dxa"/>
            <w:vAlign w:val="center"/>
            <w:textDirection w:val="lrTb"/>
            <w:noWrap w:val="false"/>
          </w:tcPr>
          <w:p>
            <w:pPr>
              <w:pStyle w:val="659"/>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支持ND协议，ND表项≥1M；支持SRv6业务承载于网络硬切片，硬切片技术最小颗粒度可达10Mbps；交换容量≥250Tbps，包转发率≥54000Mpps；万兆以太网光口≥10，100G以太网光口≥2；双电源；单台配置2个100G单模光模块，2个万兆单模模块，8个万兆多模模块，五年质保。</w:t>
            </w:r>
            <w:r>
              <w:rPr>
                <w:rFonts w:hint="eastAsia" w:ascii="宋体" w:hAnsi="宋体" w:eastAsia="宋体" w:cs="宋体"/>
                <w:color w:val="000000"/>
                <w:sz w:val="20"/>
                <w:szCs w:val="20"/>
                <w:highlight w:val="none"/>
              </w:rPr>
            </w:r>
            <w:r/>
          </w:p>
        </w:tc>
        <w:tc>
          <w:tcPr>
            <w:tcMar>
              <w:left w:w="108" w:type="dxa"/>
              <w:top w:w="0" w:type="dxa"/>
              <w:right w:w="108" w:type="dxa"/>
              <w:bottom w:w="0" w:type="dxa"/>
            </w:tcMar>
            <w:tcW w:w="637" w:type="dxa"/>
            <w:vAlign w:val="center"/>
            <w:textDirection w:val="lrTb"/>
            <w:noWrap w:val="false"/>
          </w:tcPr>
          <w:p>
            <w:pPr>
              <w:pStyle w:val="659"/>
              <w:jc w:val="center"/>
              <w:widowControl/>
              <w:rPr>
                <w:rFonts w:hint="eastAsia" w:ascii="宋体" w:hAnsi="宋体" w:eastAsia="宋体" w:cs="宋体"/>
                <w:color w:val="000000"/>
                <w:sz w:val="20"/>
                <w:szCs w:val="20"/>
                <w:highlight w:val="none"/>
              </w:rPr>
              <w:framePr w:vAnchor="text" w:hAnchor="page" w:x="1811" w:y="298"/>
            </w:pPr>
            <w:r>
              <w:rPr>
                <w:rFonts w:hint="eastAsia" w:ascii="宋体" w:hAnsi="宋体" w:eastAsia="宋体" w:cs="宋体"/>
                <w:color w:val="000000"/>
                <w:sz w:val="20"/>
                <w:szCs w:val="20"/>
                <w:highlight w:val="none"/>
              </w:rPr>
              <w:t xml:space="preserve">4台</w:t>
            </w:r>
            <w:r>
              <w:rPr>
                <w:rFonts w:hint="eastAsia" w:ascii="宋体" w:hAnsi="宋体" w:eastAsia="宋体" w:cs="宋体"/>
                <w:color w:val="000000"/>
                <w:sz w:val="20"/>
                <w:szCs w:val="20"/>
                <w:highlight w:val="none"/>
              </w:rPr>
            </w:r>
            <w:r/>
          </w:p>
        </w:tc>
      </w:tr>
    </w:tbl>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59"/>
        <w:ind w:firstLine="560"/>
        <w:spacing w:line="59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主要设备参数：</w:t>
      </w:r>
      <w:r>
        <w:rPr>
          <w:rFonts w:hint="eastAsia" w:ascii="宋体" w:hAnsi="宋体" w:eastAsia="宋体" w:cs="宋体"/>
          <w:color w:val="000000"/>
          <w:sz w:val="21"/>
          <w:szCs w:val="21"/>
          <w:highlight w:val="none"/>
        </w:rPr>
      </w:r>
      <w:r/>
    </w:p>
    <w:p>
      <w:pPr>
        <w:pStyle w:val="659"/>
        <w:ind w:firstLine="562"/>
        <w:spacing w:line="590" w:lineRule="atLeas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路由器</w:t>
      </w:r>
      <w:r>
        <w:rPr>
          <w:rFonts w:hint="eastAsia" w:ascii="宋体" w:hAnsi="宋体" w:eastAsia="宋体" w:cs="宋体"/>
          <w:b/>
          <w:bCs/>
          <w:color w:val="000000"/>
          <w:sz w:val="21"/>
          <w:szCs w:val="21"/>
          <w:highlight w:val="none"/>
        </w:rPr>
      </w:r>
      <w:r/>
    </w:p>
    <w:tbl>
      <w:tblPr>
        <w:tblW w:w="4781" w:type="pct"/>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7574"/>
      </w:tblGrid>
      <w:tr>
        <w:trPr>
          <w:trHeight w:val="385"/>
        </w:trPr>
        <w:tc>
          <w:tcPr>
            <w:tcW w:w="683" w:type="dxa"/>
            <w:vAlign w:val="center"/>
            <w:textDirection w:val="lrTb"/>
            <w:noWrap/>
          </w:tcPr>
          <w:p>
            <w:pPr>
              <w:pStyle w:val="659"/>
              <w:ind w:left="0" w:right="0"/>
              <w:jc w:val="center"/>
              <w:keepLines w:val="0"/>
              <w:keepNext w:val="0"/>
              <w:spacing w:before="0" w:beforeAutospacing="0" w:after="0" w:afterAutospacing="0" w:line="400" w:lineRule="exact"/>
              <w:widowControl w:val="off"/>
              <w:rPr>
                <w:rFonts w:hint="eastAsia" w:ascii="宋体" w:hAnsi="宋体" w:eastAsia="宋体" w:cs="宋体"/>
                <w:b/>
                <w:bCs w:val="0"/>
                <w:color w:val="000000"/>
                <w:sz w:val="20"/>
                <w:szCs w:val="20"/>
                <w:highlight w:val="none"/>
                <w:lang w:val="en-US"/>
              </w:rPr>
              <w:suppressLineNumbers w:val="0"/>
            </w:pPr>
            <w:r>
              <w:rPr>
                <w:rFonts w:hint="eastAsia" w:ascii="宋体" w:hAnsi="宋体" w:eastAsia="宋体" w:cs="宋体"/>
                <w:b/>
                <w:bCs w:val="0"/>
                <w:color w:val="000000"/>
                <w:sz w:val="20"/>
                <w:szCs w:val="20"/>
                <w:highlight w:val="none"/>
                <w:lang w:val="en-US" w:eastAsia="zh-CN" w:bidi="ar"/>
              </w:rPr>
              <w:t xml:space="preserve">指标项</w:t>
            </w:r>
            <w:r>
              <w:rPr>
                <w:rFonts w:hint="eastAsia" w:ascii="宋体" w:hAnsi="宋体" w:eastAsia="宋体" w:cs="宋体"/>
                <w:b/>
                <w:bCs w:val="0"/>
                <w:color w:val="000000"/>
                <w:sz w:val="20"/>
                <w:szCs w:val="20"/>
                <w:highlight w:val="none"/>
                <w:lang w:val="en-US"/>
              </w:rPr>
            </w:r>
            <w:r/>
          </w:p>
        </w:tc>
        <w:tc>
          <w:tcPr>
            <w:tcW w:w="4316" w:type="dxa"/>
            <w:vAlign w:val="center"/>
            <w:textDirection w:val="lrTb"/>
            <w:noWrap/>
          </w:tcPr>
          <w:p>
            <w:pPr>
              <w:pStyle w:val="659"/>
              <w:ind w:left="0" w:right="0"/>
              <w:jc w:val="center"/>
              <w:keepLines w:val="0"/>
              <w:keepNext w:val="0"/>
              <w:spacing w:before="0" w:beforeAutospacing="0" w:after="0" w:afterAutospacing="0" w:line="400" w:lineRule="exact"/>
              <w:widowControl w:val="off"/>
              <w:rPr>
                <w:rFonts w:hint="eastAsia" w:ascii="宋体" w:hAnsi="宋体" w:eastAsia="宋体" w:cs="宋体"/>
                <w:b/>
                <w:bCs w:val="0"/>
                <w:color w:val="000000"/>
                <w:sz w:val="20"/>
                <w:szCs w:val="20"/>
                <w:highlight w:val="none"/>
                <w:lang w:val="en-US"/>
              </w:rPr>
              <w:suppressLineNumbers w:val="0"/>
            </w:pPr>
            <w:r>
              <w:rPr>
                <w:rFonts w:hint="eastAsia" w:ascii="宋体" w:hAnsi="宋体" w:eastAsia="宋体" w:cs="宋体"/>
                <w:b/>
                <w:bCs w:val="0"/>
                <w:color w:val="000000"/>
                <w:sz w:val="20"/>
                <w:szCs w:val="20"/>
                <w:highlight w:val="none"/>
                <w:lang w:val="en-US" w:eastAsia="zh-CN" w:bidi="ar"/>
              </w:rPr>
              <w:t xml:space="preserve">技术参数要求</w:t>
            </w:r>
            <w:r>
              <w:rPr>
                <w:rFonts w:hint="eastAsia" w:ascii="宋体" w:hAnsi="宋体" w:eastAsia="宋体" w:cs="宋体"/>
                <w:b/>
                <w:bCs w:val="0"/>
                <w:color w:val="000000"/>
                <w:sz w:val="20"/>
                <w:szCs w:val="20"/>
                <w:highlight w:val="none"/>
                <w:lang w:val="en-US"/>
              </w:rPr>
            </w:r>
            <w:r/>
          </w:p>
        </w:tc>
      </w:tr>
      <w:tr>
        <w:trPr>
          <w:trHeight w:val="750"/>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基础硬件</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设备支持板卡（含主控，线卡等）直接热插拔，同时不需要插拔电源风扇等其他关键部件</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支持交换网板≥2个，考虑机房空间及部署方便，设备高度≤5U</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设备支持NP 架构，支持分布式转发，所有线卡均有业务处理和转发能力</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满足自主可控要求，关键芯片国产化，如CPU，交换芯片，网络处理器（NP），内存等。</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硬件性能</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交换容量≥250Tbps，包转发率≥54000Mpps</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转发表项</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支持ARP协议，ARP表项≥1M；支持ND协议，ND表项≥1M，</w:t>
            </w:r>
            <w:r>
              <w:rPr>
                <w:rFonts w:hint="eastAsia" w:ascii="宋体" w:hAnsi="宋体" w:eastAsia="宋体" w:cs="宋体"/>
                <w:b/>
                <w:bCs w:val="0"/>
                <w:color w:val="000000"/>
                <w:sz w:val="20"/>
                <w:szCs w:val="20"/>
                <w:highlight w:val="none"/>
                <w:lang w:val="en-US" w:eastAsia="zh-CN" w:bidi="ar"/>
              </w:rPr>
              <w:t xml:space="preserve">提供相关证明材料</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业务接口</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支持子母卡架构，子卡插在母卡上，母卡和子卡均支持热插拔，实配万兆以太网光口≥12， 100G以太网光口≥2；本次所配置100G以太网光口及万兆以太网光口均支持FlexE及子接口切片。单台配置2个100G单模光模块，2个万兆单模模块，8个万兆多模模块。实配双交流电源，提供可用≥8个子卡业务插槽。</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通风方式</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支持前进后出风道，主控、网板、线卡板均支持前后通风；支持冗余风扇框，独立风扇框≥2，</w:t>
            </w:r>
            <w:r>
              <w:rPr>
                <w:rFonts w:hint="eastAsia" w:ascii="宋体" w:hAnsi="宋体" w:eastAsia="宋体" w:cs="宋体"/>
                <w:b/>
                <w:bCs w:val="0"/>
                <w:color w:val="000000"/>
                <w:sz w:val="20"/>
                <w:szCs w:val="20"/>
                <w:highlight w:val="none"/>
                <w:lang w:val="en-US" w:eastAsia="zh-CN" w:bidi="ar"/>
              </w:rPr>
              <w:t xml:space="preserve">提供相关证明材料</w:t>
            </w:r>
            <w:r>
              <w:rPr>
                <w:rFonts w:ascii="宋体" w:hAnsi="宋体" w:eastAsia="宋体" w:cs="宋体"/>
                <w:color w:val="000000"/>
                <w:sz w:val="20"/>
                <w:szCs w:val="20"/>
                <w:highlight w:val="none"/>
                <w:lang w:val="en-US"/>
              </w:rPr>
            </w:r>
            <w:r/>
          </w:p>
        </w:tc>
      </w:tr>
      <w:tr>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路由功能</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支持IPv4静态路由、RIPv1/v2、OSPFv2、BGP、IS-IS、路由策略</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支持IPv6静态路由、RIPng、OSPFv3、IS-ISv6、BGP4+</w:t>
            </w:r>
            <w:r>
              <w:rPr>
                <w:rFonts w:hint="eastAsia" w:ascii="宋体" w:hAnsi="宋体" w:eastAsia="宋体" w:cs="宋体"/>
                <w:color w:val="000000"/>
                <w:sz w:val="20"/>
                <w:szCs w:val="20"/>
                <w:highlight w:val="none"/>
                <w:lang w:val="en-US"/>
              </w:rPr>
            </w:r>
            <w:r/>
          </w:p>
        </w:tc>
      </w:tr>
      <w:tr>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接口类型</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支持FE、GE、10Ge（LAN/WAN）、25Ge、40Ge、50Ge、100Ge、155M POS、622M POS、2.5G POS、10G POS、CPOS接口、155M ATM、622M ATM、E1等接口，</w:t>
            </w:r>
            <w:r>
              <w:rPr>
                <w:rFonts w:hint="eastAsia" w:ascii="仿宋" w:hAnsi="仿宋" w:eastAsia="仿宋" w:cs="宋体"/>
                <w:b/>
                <w:color w:val="000000"/>
                <w:sz w:val="24"/>
                <w:szCs w:val="24"/>
                <w:highlight w:val="none"/>
              </w:rPr>
              <w:t xml:space="preserve">需提供官网截图证明</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支持155M POS/622M POS/Ge端口灵活切换，</w:t>
            </w:r>
            <w:r>
              <w:rPr>
                <w:rFonts w:hint="eastAsia" w:ascii="仿宋" w:hAnsi="仿宋" w:eastAsia="仿宋" w:cs="宋体"/>
                <w:b/>
                <w:color w:val="000000"/>
                <w:sz w:val="24"/>
                <w:szCs w:val="24"/>
                <w:highlight w:val="none"/>
              </w:rPr>
              <w:t xml:space="preserve">需提供官网截图证明</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支持ATM/POS端口灵活切换，支持155M ATM/622M ATM端口灵活切换，</w:t>
            </w:r>
            <w:r>
              <w:rPr>
                <w:rFonts w:hint="eastAsia" w:ascii="仿宋" w:hAnsi="仿宋" w:eastAsia="仿宋" w:cs="宋体"/>
                <w:b/>
                <w:color w:val="000000"/>
                <w:sz w:val="24"/>
                <w:szCs w:val="24"/>
                <w:highlight w:val="none"/>
              </w:rPr>
              <w:t xml:space="preserve">需提供官网截图证明</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随流检测</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支持通过iFIT随流检测+Telemetry技术,实现基于IP五元组筛选追踪业务流，进行实时检测，精准定位到故障点，丢包、误码类故障，确保业务性能，可以配合分析器进行网络情况界面展示，</w:t>
            </w:r>
            <w:r>
              <w:rPr>
                <w:rFonts w:hint="eastAsia" w:ascii="宋体" w:hAnsi="宋体" w:eastAsia="宋体" w:cs="宋体"/>
                <w:b/>
                <w:bCs w:val="0"/>
                <w:color w:val="000000"/>
                <w:sz w:val="20"/>
                <w:szCs w:val="20"/>
                <w:highlight w:val="none"/>
                <w:lang w:val="en-US" w:eastAsia="zh-CN" w:bidi="ar"/>
              </w:rPr>
              <w:t xml:space="preserve">提供相关证明材料</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集群功能</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设备支持框间控制和转发平面均故障时，通过MAD检测发现故障并隔离从框端口功能</w:t>
            </w:r>
            <w:r>
              <w:rPr>
                <w:rFonts w:hint="eastAsia" w:ascii="宋体" w:hAnsi="宋体" w:eastAsia="宋体" w:cs="宋体"/>
                <w:color w:val="000000"/>
                <w:sz w:val="20"/>
                <w:szCs w:val="20"/>
                <w:highlight w:val="none"/>
                <w:lang w:val="en-US"/>
              </w:rPr>
            </w:r>
            <w:r/>
          </w:p>
        </w:tc>
      </w:tr>
      <w:tr>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SRv6</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设备支持SRv6 TE功能，实现L2VPN，L3VPN的业务的流量调度</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设备支持SRv6 OAM功能，支持ping、tracert功能 </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设备支持SRv6 TI-LFA，实现网络快速倒换</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支持SRv6 SFC伪代理功能</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支持SRv6 SFC静态代理功能</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切片</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支持硬件切片技术最小颗粒度可达10Mbps，硬件切片粒度最小可支持10Mbps，支持10G、50G、100G的FlexE接口，支持10M、1G、1.25G、5G颗粒度FlexE切片</w:t>
            </w:r>
            <w:r>
              <w:rPr>
                <w:rFonts w:hint="eastAsia" w:ascii="宋体" w:hAnsi="宋体" w:eastAsia="宋体" w:cs="宋体"/>
                <w:color w:val="000000"/>
                <w:sz w:val="20"/>
                <w:szCs w:val="20"/>
                <w:highlight w:val="none"/>
                <w:lang w:val="en-US"/>
              </w:rPr>
            </w:r>
            <w:r/>
          </w:p>
        </w:tc>
      </w:tr>
      <w:tr>
        <w:trPr>
          <w:trHeight w:val="759"/>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确定性网络</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设备支持确定性网络，端到端确定性时延的抖动范围&lt;20us，</w:t>
            </w:r>
            <w:r>
              <w:rPr>
                <w:rFonts w:hint="eastAsia" w:ascii="宋体" w:hAnsi="宋体" w:eastAsia="宋体" w:cs="宋体"/>
                <w:b/>
                <w:bCs w:val="0"/>
                <w:color w:val="000000"/>
                <w:sz w:val="20"/>
                <w:szCs w:val="20"/>
                <w:highlight w:val="none"/>
                <w:lang w:val="en-US" w:eastAsia="zh-CN" w:bidi="ar"/>
              </w:rPr>
              <w:t xml:space="preserve">提供相关证明材料</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设备确定性流支持同一接口下混合运行</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val="en-US" w:eastAsia="zh-CN" w:bidi="ar"/>
              </w:rPr>
              <w:t xml:space="preserve">设备支持通过五元组识别确定性业务，支持同一接口下确定性流和非确定性流同时承载，</w:t>
            </w:r>
            <w:r>
              <w:rPr>
                <w:rFonts w:hint="eastAsia" w:ascii="宋体" w:hAnsi="宋体" w:eastAsia="宋体" w:cs="宋体"/>
                <w:b/>
                <w:bCs w:val="0"/>
                <w:color w:val="000000"/>
                <w:sz w:val="20"/>
                <w:szCs w:val="20"/>
                <w:highlight w:val="none"/>
                <w:lang w:val="en-US" w:eastAsia="zh-CN" w:bidi="ar"/>
              </w:rPr>
              <w:t xml:space="preserve">提供相关证明材料</w:t>
            </w:r>
            <w:r>
              <w:rPr>
                <w:rFonts w:hint="eastAsia" w:ascii="宋体" w:hAnsi="宋体" w:eastAsia="宋体" w:cs="宋体"/>
                <w:color w:val="000000"/>
                <w:sz w:val="20"/>
                <w:szCs w:val="20"/>
                <w:highlight w:val="none"/>
                <w:lang w:val="en-US"/>
              </w:rPr>
            </w:r>
            <w:r/>
          </w:p>
        </w:tc>
      </w:tr>
      <w:tr>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QOS</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支持优先级Mark/Remark、CAR（Committed Access Rate）、GTS等功能</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为简化ACL配置，设备需支持全局ACL功能</w:t>
            </w:r>
            <w:r>
              <w:rPr>
                <w:rFonts w:hint="eastAsia" w:ascii="宋体" w:hAnsi="宋体" w:eastAsia="宋体" w:cs="宋体"/>
                <w:color w:val="000000"/>
                <w:sz w:val="20"/>
                <w:szCs w:val="20"/>
                <w:highlight w:val="none"/>
                <w:lang w:val="en-US"/>
              </w:rPr>
            </w:r>
            <w:r/>
          </w:p>
        </w:tc>
      </w:tr>
      <w:tr>
        <w:trPr/>
        <w:tc>
          <w:tcPr>
            <w:tcW w:w="683" w:type="dxa"/>
            <w:vAlign w:val="center"/>
            <w:vMerge w:val="restart"/>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可靠性</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支持热补丁功能，可在线进行补丁升级</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为提高设备软件稳定性及可靠性，主备倒换时业务不中断，需要支持NSR功能</w:t>
            </w:r>
            <w:r>
              <w:rPr>
                <w:rFonts w:hint="eastAsia" w:ascii="宋体" w:hAnsi="宋体" w:eastAsia="宋体" w:cs="宋体"/>
                <w:color w:val="000000"/>
                <w:sz w:val="20"/>
                <w:szCs w:val="20"/>
                <w:highlight w:val="none"/>
                <w:lang w:val="en-US"/>
              </w:rPr>
            </w:r>
            <w:r/>
          </w:p>
        </w:tc>
      </w:tr>
      <w:tr>
        <w:trPr/>
        <w:tc>
          <w:tcPr>
            <w:tcW w:w="683" w:type="dxa"/>
            <w:vAlign w:val="center"/>
            <w:vMerge w:val="continue"/>
            <w:textDirection w:val="lrTb"/>
            <w:noWrap w:val="false"/>
          </w:tcPr>
          <w:p>
            <w:pPr>
              <w:pStyle w:val="659"/>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为检测设备之间的可达性、时延、丢包率、抖动等信息，设备需支持NQA检测网络质量</w:t>
            </w:r>
            <w:r>
              <w:rPr>
                <w:rFonts w:hint="eastAsia" w:ascii="宋体" w:hAnsi="宋体" w:eastAsia="宋体" w:cs="宋体"/>
                <w:color w:val="000000"/>
                <w:sz w:val="20"/>
                <w:szCs w:val="20"/>
                <w:highlight w:val="none"/>
                <w:lang w:val="en-US"/>
              </w:rPr>
            </w:r>
            <w:r/>
          </w:p>
        </w:tc>
      </w:tr>
      <w:tr>
        <w:trPr/>
        <w:tc>
          <w:tcPr>
            <w:tcW w:w="683" w:type="dxa"/>
            <w:vAlign w:val="center"/>
            <w:textDirection w:val="lrTb"/>
            <w:noWrap w:val="false"/>
          </w:tcPr>
          <w:p>
            <w:pPr>
              <w:pStyle w:val="659"/>
              <w:ind w:left="0" w:right="0"/>
              <w:jc w:val="center"/>
              <w:keepLines w:val="0"/>
              <w:keepNext w:val="0"/>
              <w:spacing w:before="0" w:beforeAutospacing="0" w:after="0" w:afterAutospacing="0" w:line="400" w:lineRule="exact"/>
              <w:widowControl/>
              <w:rPr>
                <w:rFonts w:hint="eastAsia" w:ascii="宋体" w:hAnsi="宋体" w:eastAsia="宋体" w:cs="宋体"/>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入网许可证</w:t>
            </w:r>
            <w:r>
              <w:rPr>
                <w:rFonts w:hint="eastAsia" w:ascii="宋体" w:hAnsi="宋体" w:eastAsia="宋体" w:cs="宋体"/>
                <w:color w:val="000000"/>
                <w:sz w:val="20"/>
                <w:szCs w:val="20"/>
                <w:highlight w:val="none"/>
                <w:lang w:val="en-US"/>
              </w:rPr>
            </w:r>
            <w:r/>
          </w:p>
        </w:tc>
        <w:tc>
          <w:tcPr>
            <w:tcW w:w="4316" w:type="dxa"/>
            <w:vAlign w:val="center"/>
            <w:textDirection w:val="lrTb"/>
            <w:noWrap w:val="false"/>
          </w:tcPr>
          <w:p>
            <w:pPr>
              <w:pStyle w:val="659"/>
              <w:ind w:left="0" w:right="0"/>
              <w:jc w:val="left"/>
              <w:keepLines w:val="0"/>
              <w:keepNext w:val="0"/>
              <w:spacing w:before="0" w:beforeAutospacing="0" w:after="0" w:afterAutospacing="0" w:line="400" w:lineRule="exact"/>
              <w:widowControl/>
              <w:rPr>
                <w:rFonts w:hint="eastAsia" w:ascii="宋体" w:hAnsi="宋体" w:eastAsia="宋体" w:cs="宋体"/>
                <w:b/>
                <w:bCs w:val="0"/>
                <w:color w:val="000000"/>
                <w:sz w:val="20"/>
                <w:szCs w:val="20"/>
                <w:highlight w:val="none"/>
                <w:lang w:val="en-US"/>
              </w:rPr>
              <w:suppressLineNumbers w:val="0"/>
            </w:pP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b/>
                <w:bCs w:val="0"/>
                <w:color w:val="000000"/>
                <w:sz w:val="20"/>
                <w:szCs w:val="20"/>
                <w:highlight w:val="none"/>
                <w:lang w:val="en-US" w:eastAsia="zh-CN" w:bidi="ar"/>
              </w:rPr>
              <w:t xml:space="preserve">提供工信部入网许可证复印件</w:t>
            </w:r>
            <w:r>
              <w:rPr>
                <w:rFonts w:hint="eastAsia" w:ascii="宋体" w:hAnsi="宋体" w:eastAsia="宋体" w:cs="宋体"/>
                <w:b/>
                <w:bCs w:val="0"/>
                <w:color w:val="000000"/>
                <w:sz w:val="20"/>
                <w:szCs w:val="20"/>
                <w:highlight w:val="none"/>
                <w:lang w:val="en-US"/>
              </w:rPr>
            </w:r>
            <w:r/>
          </w:p>
        </w:tc>
      </w:tr>
    </w:tbl>
    <w:p>
      <w:pPr>
        <w:pStyle w:val="671"/>
        <w:rPr>
          <w:rFonts w:hint="eastAsia"/>
          <w:color w:val="000000"/>
          <w:highlight w:val="none"/>
        </w:rPr>
      </w:pPr>
      <w:r>
        <w:rPr>
          <w:rFonts w:hint="eastAsia"/>
          <w:color w:val="000000"/>
          <w:highlight w:val="none"/>
        </w:rPr>
      </w:r>
      <w:r/>
    </w:p>
    <w:p>
      <w:pPr>
        <w:pStyle w:val="659"/>
        <w:ind w:firstLine="0"/>
        <w:spacing w:line="59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备注：★参数为关键性参数，不接受负偏离，不能满足视为未实质性响应，作无效标处理。</w:t>
      </w:r>
      <w:r>
        <w:rPr>
          <w:rFonts w:hint="eastAsia" w:ascii="宋体" w:hAnsi="宋体" w:eastAsia="宋体" w:cs="宋体"/>
          <w:color w:val="000000"/>
          <w:sz w:val="21"/>
          <w:szCs w:val="21"/>
          <w:highlight w:val="none"/>
        </w:rPr>
      </w:r>
      <w:r/>
    </w:p>
    <w:p>
      <w:pPr>
        <w:pStyle w:val="671"/>
        <w:ind w:firstLine="420"/>
        <w:rPr>
          <w:rFonts w:eastAsia="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中标人在签订合同前提供参数中要求提供证明材料原件，如中标人弄虚作假，取消中标资格并需承担相关法律责任。</w:t>
      </w:r>
      <w:r>
        <w:rPr>
          <w:rFonts w:eastAsia="宋体"/>
          <w:color w:val="000000"/>
          <w:szCs w:val="21"/>
          <w:highlight w:val="none"/>
          <w:lang w:val="en-US" w:eastAsia="zh-CN"/>
        </w:rPr>
      </w:r>
      <w:r/>
    </w:p>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四、采购标的数量、采购项目交付或者实施的时间和地点</w:t>
      </w:r>
      <w:r>
        <w:rPr>
          <w:rFonts w:hint="eastAsia" w:ascii="宋体" w:hAnsi="宋体" w:eastAsia="宋体" w:cs="宋体"/>
          <w:color w:val="000000"/>
          <w:sz w:val="21"/>
          <w:szCs w:val="21"/>
          <w:highlight w:val="none"/>
        </w:rPr>
      </w:r>
      <w:r/>
    </w:p>
    <w:p>
      <w:pPr>
        <w:pStyle w:val="659"/>
        <w:ind w:firstLine="422"/>
        <w:spacing w:line="59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（一）有关要求说明</w:t>
      </w:r>
      <w:r>
        <w:rPr>
          <w:rFonts w:hint="eastAsia" w:ascii="宋体" w:hAnsi="宋体" w:eastAsia="宋体" w:cs="宋体"/>
          <w:b/>
          <w:color w:val="000000"/>
          <w:sz w:val="21"/>
          <w:szCs w:val="21"/>
          <w:highlight w:val="none"/>
        </w:rPr>
      </w:r>
      <w:r/>
    </w:p>
    <w:p>
      <w:pPr>
        <w:pStyle w:val="659"/>
        <w:ind w:firstLine="415"/>
        <w:spacing w:line="590" w:lineRule="exact"/>
        <w:tabs>
          <w:tab w:val="left" w:pos="1710" w:leader="none"/>
        </w:tabs>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zh-CN"/>
        </w:rPr>
        <w:t xml:space="preserve">主要技术参数：</w:t>
      </w:r>
      <w:r>
        <w:rPr>
          <w:rFonts w:hint="eastAsia" w:ascii="宋体" w:hAnsi="宋体" w:eastAsia="宋体" w:cs="宋体"/>
          <w:color w:val="000000"/>
          <w:sz w:val="21"/>
          <w:szCs w:val="21"/>
          <w:highlight w:val="none"/>
          <w:lang w:val="zh-CN"/>
        </w:rPr>
        <w:t xml:space="preserve">为鼓励不同品牌的充分竞争，如某主要技术参数属于个别品牌专有，则该主要技术参数不具有限制性，供应商可对该参数进行适当调整，并说明调整的理由。</w:t>
      </w:r>
      <w:r>
        <w:rPr>
          <w:rFonts w:hint="eastAsia" w:ascii="宋体" w:hAnsi="宋体" w:eastAsia="宋体" w:cs="宋体"/>
          <w:color w:val="000000"/>
          <w:sz w:val="21"/>
          <w:szCs w:val="21"/>
          <w:highlight w:val="none"/>
          <w:lang w:val="zh-CN"/>
        </w:rPr>
      </w:r>
      <w:r/>
    </w:p>
    <w:p>
      <w:pPr>
        <w:pStyle w:val="659"/>
        <w:ind w:firstLine="422"/>
        <w:spacing w:line="590" w:lineRule="exact"/>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、优先采购：</w:t>
      </w:r>
      <w:r>
        <w:rPr>
          <w:rFonts w:hint="eastAsia" w:ascii="宋体" w:hAnsi="宋体" w:eastAsia="宋体" w:cs="宋体"/>
          <w:color w:val="000000"/>
          <w:sz w:val="21"/>
          <w:szCs w:val="21"/>
          <w:highlight w:val="none"/>
          <w:lang w:val="zh-CN"/>
        </w:rPr>
        <w:t xml:space="preserve">本次政府采购不涉及采购节能产品和环境标志产品。</w:t>
      </w:r>
      <w:r>
        <w:rPr>
          <w:rFonts w:hint="eastAsia" w:ascii="宋体" w:hAnsi="宋体" w:eastAsia="宋体" w:cs="宋体"/>
          <w:color w:val="000000"/>
          <w:sz w:val="21"/>
          <w:szCs w:val="21"/>
          <w:highlight w:val="none"/>
          <w:lang w:val="zh-CN"/>
        </w:rPr>
      </w:r>
      <w:r/>
    </w:p>
    <w:p>
      <w:pPr>
        <w:pStyle w:val="696"/>
        <w:ind w:left="126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659"/>
        <w:ind w:firstLine="422"/>
        <w:jc w:val="left"/>
        <w:spacing w:line="59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lang w:val="zh-CN"/>
        </w:rPr>
        <w:t xml:space="preserve">、产品要求：</w:t>
      </w:r>
      <w:r>
        <w:rPr>
          <w:rFonts w:hint="eastAsia" w:ascii="宋体" w:hAnsi="宋体" w:eastAsia="宋体" w:cs="宋体"/>
          <w:color w:val="000000"/>
          <w:sz w:val="21"/>
          <w:szCs w:val="21"/>
          <w:highlight w:val="none"/>
          <w:lang w:val="zh-CN"/>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1"/>
          <w:szCs w:val="21"/>
          <w:highlight w:val="none"/>
          <w:lang w:val="zh-CN"/>
        </w:rPr>
      </w:r>
      <w:r/>
    </w:p>
    <w:p>
      <w:pPr>
        <w:pStyle w:val="659"/>
        <w:ind w:firstLine="422"/>
        <w:spacing w:line="59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（二）项目具体需求说明</w:t>
      </w:r>
      <w:r>
        <w:rPr>
          <w:rFonts w:hint="eastAsia" w:ascii="宋体" w:hAnsi="宋体" w:eastAsia="宋体" w:cs="宋体"/>
          <w:b/>
          <w:bCs/>
          <w:color w:val="000000"/>
          <w:sz w:val="21"/>
          <w:szCs w:val="21"/>
          <w:highlight w:val="none"/>
        </w:rPr>
      </w:r>
      <w:r/>
    </w:p>
    <w:p>
      <w:pPr>
        <w:pStyle w:val="659"/>
        <w:ind w:firstLine="422"/>
        <w:spacing w:line="59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1、采购清单：</w:t>
      </w:r>
      <w:r>
        <w:rPr>
          <w:rFonts w:hint="eastAsia" w:ascii="宋体" w:hAnsi="宋体" w:eastAsia="宋体" w:cs="宋体"/>
          <w:b/>
          <w:bCs/>
          <w:color w:val="000000"/>
          <w:sz w:val="21"/>
          <w:szCs w:val="21"/>
          <w:highlight w:val="none"/>
        </w:rPr>
      </w:r>
      <w:r/>
    </w:p>
    <w:tbl>
      <w:tblPr>
        <w:tblW w:w="484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343"/>
        <w:gridCol w:w="3673"/>
        <w:gridCol w:w="1327"/>
        <w:gridCol w:w="907"/>
        <w:gridCol w:w="864"/>
      </w:tblGrid>
      <w:tr>
        <w:trPr>
          <w:trHeight w:val="585"/>
        </w:trPr>
        <w:tc>
          <w:tcPr>
            <w:tcW w:w="438"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w:t>
            </w:r>
            <w:r>
              <w:rPr>
                <w:rFonts w:hint="eastAsia" w:ascii="宋体" w:hAnsi="宋体" w:eastAsia="宋体" w:cs="宋体"/>
                <w:color w:val="000000"/>
                <w:sz w:val="21"/>
                <w:szCs w:val="21"/>
                <w:highlight w:val="none"/>
              </w:rPr>
            </w:r>
            <w:r/>
          </w:p>
        </w:tc>
        <w:tc>
          <w:tcPr>
            <w:tcW w:w="2065"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参数、描述</w:t>
            </w:r>
            <w:r>
              <w:rPr>
                <w:rFonts w:hint="eastAsia" w:ascii="宋体" w:hAnsi="宋体" w:eastAsia="宋体" w:cs="宋体"/>
                <w:color w:val="000000"/>
                <w:sz w:val="21"/>
                <w:szCs w:val="21"/>
                <w:highlight w:val="none"/>
              </w:rPr>
            </w:r>
            <w:r/>
          </w:p>
        </w:tc>
        <w:tc>
          <w:tcPr>
            <w:tcW w:w="746"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用途地点或单位</w:t>
            </w:r>
            <w:r>
              <w:rPr>
                <w:rFonts w:hint="eastAsia" w:ascii="宋体" w:hAnsi="宋体" w:eastAsia="宋体" w:cs="宋体"/>
                <w:color w:val="000000"/>
                <w:sz w:val="21"/>
                <w:szCs w:val="21"/>
                <w:highlight w:val="none"/>
              </w:rPr>
            </w:r>
            <w:r/>
          </w:p>
        </w:tc>
        <w:tc>
          <w:tcPr>
            <w:tcW w:w="510"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单位</w:t>
            </w:r>
            <w:r>
              <w:rPr>
                <w:rFonts w:hint="eastAsia" w:ascii="宋体" w:hAnsi="宋体" w:eastAsia="宋体" w:cs="宋体"/>
                <w:color w:val="000000"/>
                <w:sz w:val="21"/>
                <w:szCs w:val="21"/>
                <w:highlight w:val="none"/>
              </w:rPr>
            </w:r>
            <w:r/>
          </w:p>
        </w:tc>
        <w:tc>
          <w:tcPr>
            <w:tcW w:w="486"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r>
      <w:tr>
        <w:trPr>
          <w:trHeight w:val="699"/>
        </w:trPr>
        <w:tc>
          <w:tcPr>
            <w:tcW w:w="438"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路由器</w:t>
            </w:r>
            <w:r>
              <w:rPr>
                <w:rFonts w:hint="eastAsia" w:ascii="宋体" w:hAnsi="宋体" w:eastAsia="宋体" w:cs="宋体"/>
                <w:color w:val="000000"/>
                <w:sz w:val="21"/>
                <w:szCs w:val="21"/>
                <w:highlight w:val="none"/>
              </w:rPr>
            </w:r>
            <w:r/>
          </w:p>
        </w:tc>
        <w:tc>
          <w:tcPr>
            <w:tcW w:w="2065" w:type="dxa"/>
            <w:vAlign w:val="center"/>
            <w:textDirection w:val="lrTb"/>
            <w:noWrap w:val="false"/>
          </w:tcPr>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ND协议，ND表项≥1M；支持SRv6业务承载于网络硬切片，硬切片技术最小颗粒度可达10Mbps；交换容量≥250Tbps，包转发率≥54000Mpps；万兆以太网光口≥10，100G以太网光口≥2；双电源；单台配置2个100G单模光模块，2个万兆单模模块，8个万兆多模模块，五年质保。</w:t>
            </w:r>
            <w:r>
              <w:rPr>
                <w:rFonts w:hint="eastAsia" w:ascii="宋体" w:hAnsi="宋体" w:eastAsia="宋体" w:cs="宋体"/>
                <w:color w:val="000000"/>
                <w:sz w:val="21"/>
                <w:szCs w:val="21"/>
                <w:highlight w:val="none"/>
              </w:rPr>
            </w:r>
            <w:r/>
          </w:p>
        </w:tc>
        <w:tc>
          <w:tcPr>
            <w:tcW w:w="746"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市电子政务外网汇聚机房</w:t>
            </w:r>
            <w:r>
              <w:rPr>
                <w:rFonts w:hint="eastAsia" w:ascii="宋体" w:hAnsi="宋体" w:eastAsia="宋体" w:cs="宋体"/>
                <w:color w:val="000000"/>
                <w:sz w:val="21"/>
                <w:szCs w:val="21"/>
                <w:highlight w:val="none"/>
              </w:rPr>
            </w:r>
            <w:r/>
          </w:p>
        </w:tc>
        <w:tc>
          <w:tcPr>
            <w:tcW w:w="510"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rPr>
            </w:r>
            <w:r/>
          </w:p>
        </w:tc>
        <w:tc>
          <w:tcPr>
            <w:tcW w:w="486"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r>
      <w:tr>
        <w:trPr>
          <w:trHeight w:val="808"/>
        </w:trPr>
        <w:tc>
          <w:tcPr>
            <w:tcW w:w="438"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W w:w="755" w:type="dxa"/>
            <w:vAlign w:val="center"/>
            <w:textDirection w:val="lrTb"/>
            <w:noWrap w:val="false"/>
          </w:tcPr>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集成服务</w:t>
            </w:r>
            <w:r>
              <w:rPr>
                <w:rFonts w:hint="eastAsia" w:ascii="宋体" w:hAnsi="宋体" w:eastAsia="宋体" w:cs="宋体"/>
                <w:color w:val="000000"/>
                <w:sz w:val="21"/>
                <w:szCs w:val="21"/>
                <w:highlight w:val="none"/>
              </w:rPr>
            </w:r>
            <w:r/>
          </w:p>
        </w:tc>
        <w:tc>
          <w:tcPr>
            <w:tcW w:w="2065" w:type="dxa"/>
            <w:vAlign w:val="center"/>
            <w:textDirection w:val="lrTb"/>
            <w:noWrap w:val="false"/>
          </w:tcPr>
          <w:p>
            <w:pPr>
              <w:pStyle w:val="659"/>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提供项目实施所需模块、光纤、跳线等辅材，做好涉及的接入部门和单位网络割接工作。</w:t>
            </w:r>
            <w:r>
              <w:rPr>
                <w:rFonts w:hint="eastAsia" w:ascii="宋体" w:hAnsi="宋体" w:eastAsia="宋体" w:cs="宋体"/>
                <w:color w:val="000000"/>
                <w:sz w:val="21"/>
                <w:szCs w:val="21"/>
                <w:highlight w:val="none"/>
              </w:rPr>
            </w:r>
            <w:r/>
          </w:p>
        </w:tc>
        <w:tc>
          <w:tcPr>
            <w:tcW w:w="746" w:type="dxa"/>
            <w:vAlign w:val="center"/>
            <w:textDirection w:val="lrTb"/>
            <w:noWrap w:val="false"/>
          </w:tcPr>
          <w:p>
            <w:pPr>
              <w:pStyle w:val="65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10"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rPr>
            </w:r>
            <w:r/>
          </w:p>
        </w:tc>
        <w:tc>
          <w:tcPr>
            <w:tcW w:w="486" w:type="dxa"/>
            <w:vAlign w:val="center"/>
            <w:textDirection w:val="lrTb"/>
            <w:noWrap w:val="false"/>
          </w:tcPr>
          <w:p>
            <w:pPr>
              <w:pStyle w:val="65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r>
    </w:tbl>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1）交货时间：合同签订之日起，3个月内交货并安装调试完毕。</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2）交货地点：南通市图书馆机房。</w:t>
      </w:r>
      <w:r>
        <w:rPr>
          <w:rFonts w:hint="eastAsia" w:ascii="宋体" w:hAnsi="宋体" w:eastAsia="宋体" w:cs="宋体"/>
          <w:color w:val="000000"/>
          <w:sz w:val="21"/>
          <w:szCs w:val="21"/>
          <w:highlight w:val="none"/>
        </w:rPr>
      </w:r>
      <w:r/>
    </w:p>
    <w:p>
      <w:pPr>
        <w:pStyle w:val="662"/>
        <w:numPr>
          <w:ilvl w:val="0"/>
          <w:numId w:val="4"/>
        </w:numPr>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采购标的需满足的服务标准、期限、效率等要求</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1.签定合同日期：</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接到</w:t>
      </w:r>
      <w:r>
        <w:rPr>
          <w:rFonts w:hint="eastAsia" w:eastAsia="宋体" w:cs="宋体"/>
          <w:color w:val="000000"/>
          <w:sz w:val="21"/>
          <w:szCs w:val="21"/>
          <w:highlight w:val="none"/>
          <w:lang w:eastAsia="zh-CN"/>
        </w:rPr>
        <w:t xml:space="preserve">中标通知书</w:t>
      </w:r>
      <w:r>
        <w:rPr>
          <w:rFonts w:hint="eastAsia" w:ascii="宋体" w:hAnsi="宋体" w:eastAsia="宋体" w:cs="宋体"/>
          <w:color w:val="000000"/>
          <w:sz w:val="21"/>
          <w:szCs w:val="21"/>
          <w:highlight w:val="none"/>
        </w:rPr>
        <w:t xml:space="preserve">后</w:t>
      </w:r>
      <w:r>
        <w:rPr>
          <w:rFonts w:hint="eastAsia"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日内签订正式合同</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2.交货期（服务时间）：合同签订之日起</w:t>
      </w:r>
      <w:r>
        <w:rPr>
          <w:rFonts w:hint="eastAsia" w:ascii="宋体" w:hAnsi="宋体" w:eastAsia="宋体" w:cs="宋体"/>
          <w:color w:val="000000"/>
          <w:sz w:val="21"/>
          <w:szCs w:val="21"/>
          <w:highlight w:val="none"/>
          <w:lang w:val="en-US" w:eastAsia="zh-CN"/>
        </w:rPr>
        <w:t xml:space="preserve">3个月</w:t>
      </w:r>
      <w:r>
        <w:rPr>
          <w:rFonts w:hint="eastAsia" w:ascii="宋体" w:hAnsi="宋体" w:eastAsia="宋体" w:cs="宋体"/>
          <w:color w:val="000000"/>
          <w:sz w:val="21"/>
          <w:szCs w:val="21"/>
          <w:highlight w:val="none"/>
        </w:rPr>
        <w:t xml:space="preserve">内</w:t>
      </w:r>
      <w:r>
        <w:rPr>
          <w:rFonts w:hint="eastAsia" w:ascii="宋体" w:hAnsi="宋体" w:eastAsia="宋体" w:cs="宋体"/>
          <w:color w:val="000000"/>
          <w:sz w:val="21"/>
          <w:szCs w:val="21"/>
          <w:highlight w:val="none"/>
          <w:lang w:val="en-US" w:eastAsia="zh-CN"/>
        </w:rPr>
        <w:t xml:space="preserve">完成供货、</w:t>
      </w:r>
      <w:r>
        <w:rPr>
          <w:rFonts w:hint="eastAsia" w:ascii="宋体" w:hAnsi="宋体" w:eastAsia="宋体" w:cs="宋体"/>
          <w:color w:val="000000"/>
          <w:sz w:val="21"/>
          <w:szCs w:val="21"/>
          <w:highlight w:val="none"/>
        </w:rPr>
        <w:t xml:space="preserve">安装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调试，服务至各区县网络对接完成。</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3.交货（服务）地点：南通市图书馆机房，及电信、广电机房。</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4.安装服务：供应商须提供</w:t>
      </w:r>
      <w:r>
        <w:rPr>
          <w:rFonts w:hint="eastAsia"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设备的安装服务。</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5.质保服务：系统验收交付之日起所有硬件设备需提供五年免费原厂质保。</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6.文档服务：供应商必须向用户提供本项目中所有设备的安装、操作手册等产品技术手册，所提交文档的质量和完善程度将作为系统验收通过的重要依据。</w:t>
      </w:r>
      <w:r>
        <w:rPr>
          <w:rFonts w:hint="eastAsia" w:ascii="宋体" w:hAnsi="宋体" w:eastAsia="宋体" w:cs="宋体"/>
          <w:color w:val="000000"/>
          <w:sz w:val="21"/>
          <w:szCs w:val="21"/>
          <w:highlight w:val="none"/>
        </w:rPr>
      </w:r>
      <w:r/>
    </w:p>
    <w:p>
      <w:pPr>
        <w:pStyle w:val="662"/>
        <w:numPr>
          <w:ilvl w:val="0"/>
          <w:numId w:val="4"/>
        </w:numPr>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采购标的验收标准</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采购人按合同约定积极配合</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履约，</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履约到位后，请以书面形式向采购单位提出验收申请，采购人接到申请后原则上在5个工作日内及时组织相关专业技术人员，必要时邀请采购中心、质检等部门共同参与验收，并出具验收报告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、单一产品采购项目，采购标的中的核心产品</w:t>
      </w:r>
      <w:r>
        <w:rPr>
          <w:rFonts w:hint="eastAsia" w:ascii="宋体" w:hAnsi="宋体" w:eastAsia="宋体" w:cs="宋体"/>
          <w:color w:val="000000"/>
          <w:sz w:val="21"/>
          <w:szCs w:val="21"/>
          <w:highlight w:val="none"/>
        </w:rPr>
      </w:r>
      <w:r/>
    </w:p>
    <w:tbl>
      <w:tblPr>
        <w:tblStyle w:val="1006"/>
        <w:tblW w:w="491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725"/>
        <w:gridCol w:w="5329"/>
        <w:gridCol w:w="1023"/>
      </w:tblGrid>
      <w:tr>
        <w:trPr/>
        <w:tc>
          <w:tcPr>
            <w:tcW w:w="520"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57"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rPr>
                <w:rFonts w:hint="eastAsia" w:ascii="宋体" w:hAnsi="宋体" w:eastAsia="宋体" w:cs="宋体"/>
                <w:color w:val="000000"/>
                <w:sz w:val="21"/>
                <w:szCs w:val="21"/>
                <w:highlight w:val="none"/>
              </w:rPr>
            </w:r>
            <w:r/>
          </w:p>
        </w:tc>
        <w:tc>
          <w:tcPr>
            <w:tcW w:w="2956"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参数、描述</w:t>
            </w:r>
            <w:r>
              <w:rPr>
                <w:rFonts w:hint="eastAsia" w:ascii="宋体" w:hAnsi="宋体" w:eastAsia="宋体" w:cs="宋体"/>
                <w:color w:val="000000"/>
                <w:sz w:val="21"/>
                <w:szCs w:val="21"/>
                <w:highlight w:val="none"/>
              </w:rPr>
            </w:r>
            <w:r/>
          </w:p>
        </w:tc>
        <w:tc>
          <w:tcPr>
            <w:tcW w:w="568"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r>
      <w:tr>
        <w:trPr/>
        <w:tc>
          <w:tcPr>
            <w:tcW w:w="520"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57" w:type="dxa"/>
            <w:vAlign w:val="top"/>
            <w:textDirection w:val="lrTb"/>
            <w:noWrap w:val="false"/>
          </w:tcPr>
          <w:p>
            <w:pPr>
              <w:pStyle w:val="659"/>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路由器</w:t>
            </w:r>
            <w:r>
              <w:rPr>
                <w:rFonts w:hint="eastAsia" w:ascii="宋体" w:hAnsi="宋体" w:eastAsia="宋体" w:cs="宋体"/>
                <w:color w:val="000000"/>
                <w:sz w:val="21"/>
                <w:szCs w:val="21"/>
                <w:highlight w:val="none"/>
              </w:rPr>
            </w:r>
            <w:r/>
          </w:p>
        </w:tc>
        <w:tc>
          <w:tcPr>
            <w:tcW w:w="2956"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见设备详细参数</w:t>
            </w:r>
            <w:r>
              <w:rPr>
                <w:rFonts w:hint="eastAsia" w:ascii="宋体" w:hAnsi="宋体" w:eastAsia="宋体" w:cs="宋体"/>
                <w:color w:val="000000"/>
                <w:sz w:val="21"/>
                <w:szCs w:val="21"/>
                <w:highlight w:val="none"/>
              </w:rPr>
            </w:r>
            <w:r/>
          </w:p>
        </w:tc>
        <w:tc>
          <w:tcPr>
            <w:tcW w:w="568" w:type="dxa"/>
            <w:vAlign w:val="top"/>
            <w:textDirection w:val="lrTb"/>
            <w:noWrap w:val="false"/>
          </w:tcPr>
          <w:p>
            <w:pPr>
              <w:pStyle w:val="65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4台</w:t>
            </w:r>
            <w:r>
              <w:rPr>
                <w:rFonts w:hint="eastAsia" w:ascii="宋体" w:hAnsi="宋体" w:eastAsia="宋体" w:cs="宋体"/>
                <w:color w:val="000000"/>
                <w:sz w:val="21"/>
                <w:szCs w:val="21"/>
                <w:highlight w:val="none"/>
              </w:rPr>
            </w:r>
            <w:r/>
          </w:p>
        </w:tc>
      </w:tr>
    </w:tbl>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、采购需求中必须满足的实质性要求（请单独列出）</w:t>
      </w:r>
      <w:r>
        <w:rPr>
          <w:rFonts w:hint="eastAsia" w:ascii="宋体" w:hAnsi="宋体" w:eastAsia="宋体" w:cs="宋体"/>
          <w:color w:val="000000"/>
          <w:sz w:val="21"/>
          <w:szCs w:val="21"/>
          <w:highlight w:val="none"/>
        </w:rPr>
      </w:r>
      <w:r/>
    </w:p>
    <w:p>
      <w:pPr>
        <w:pStyle w:val="732"/>
        <w:jc w:val="both"/>
        <w:spacing w:before="0" w:beforeAutospacing="0" w:after="0" w:afterAutospacing="0" w:line="59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    采购需求中加★号参数为实质性要求不允许负偏离。</w:t>
      </w:r>
      <w:r>
        <w:rPr>
          <w:rFonts w:hint="eastAsia" w:ascii="宋体" w:hAnsi="宋体" w:eastAsia="宋体" w:cs="宋体"/>
          <w:b/>
          <w:bCs/>
          <w:color w:val="000000"/>
          <w:sz w:val="21"/>
          <w:szCs w:val="21"/>
          <w:highlight w:val="none"/>
        </w:rPr>
      </w:r>
      <w:r/>
    </w:p>
    <w:p>
      <w:pPr>
        <w:pStyle w:val="662"/>
        <w:spacing w:before="1"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、付款方式</w:t>
      </w:r>
      <w:r>
        <w:rPr>
          <w:rFonts w:hint="eastAsia" w:ascii="宋体" w:hAnsi="宋体" w:eastAsia="宋体" w:cs="宋体"/>
          <w:color w:val="000000"/>
          <w:sz w:val="21"/>
          <w:szCs w:val="21"/>
          <w:highlight w:val="none"/>
        </w:rPr>
      </w:r>
      <w:r/>
    </w:p>
    <w:p>
      <w:pPr>
        <w:pStyle w:val="732"/>
        <w:ind w:firstLine="420"/>
        <w:jc w:val="both"/>
        <w:spacing w:before="0" w:beforeAutospacing="0" w:after="0" w:afterAutospacing="0" w:line="59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签订合同后支付50%，项目实施完成验收通过后支付50%。</w:t>
      </w:r>
      <w:r>
        <w:rPr>
          <w:rFonts w:hint="eastAsia" w:ascii="宋体" w:hAnsi="宋体" w:eastAsia="宋体" w:cs="宋体"/>
          <w:color w:val="000000"/>
          <w:sz w:val="21"/>
          <w:szCs w:val="21"/>
          <w:highlight w:val="none"/>
        </w:rPr>
      </w:r>
      <w:r/>
    </w:p>
    <w:p>
      <w:pPr>
        <w:pStyle w:val="997"/>
        <w:ind w:firstLine="560"/>
        <w:jc w:val="both"/>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jc w:val="center"/>
        <w:pageBreakBefore w:val="0"/>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color w:val="000000"/>
          <w:sz w:val="36"/>
          <w:szCs w:val="36"/>
          <w:highlight w:val="none"/>
        </w:rPr>
        <w:t xml:space="preserve">第四部分  评标方法与评标标准</w:t>
      </w:r>
      <w:r>
        <w:rPr>
          <w:rFonts w:hint="eastAsia" w:ascii="宋体" w:hAnsi="宋体" w:eastAsia="宋体" w:cs="宋体"/>
          <w:b/>
          <w:color w:val="000000"/>
          <w:sz w:val="36"/>
          <w:szCs w:val="36"/>
          <w:highlight w:val="none"/>
        </w:rPr>
      </w:r>
      <w:r/>
    </w:p>
    <w:p>
      <w:pPr>
        <w:pStyle w:val="659"/>
        <w:ind w:firstLine="555"/>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为中标候选人。本项目选取1名中标候选人。</w:t>
      </w:r>
      <w:r>
        <w:rPr>
          <w:rFonts w:hint="eastAsia" w:ascii="宋体" w:hAnsi="宋体" w:eastAsia="宋体" w:cs="宋体"/>
          <w:color w:val="000000"/>
          <w:szCs w:val="21"/>
          <w:highlight w:val="none"/>
        </w:rPr>
      </w:r>
      <w:r/>
    </w:p>
    <w:tbl>
      <w:tblPr>
        <w:tblW w:w="0" w:type="auto"/>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6607"/>
      </w:tblGrid>
      <w:tr>
        <w:trPr>
          <w:trHeight w:val="513"/>
        </w:trPr>
        <w:tc>
          <w:tcPr>
            <w:tcW w:w="2193" w:type="dxa"/>
            <w:vAlign w:val="center"/>
            <w:textDirection w:val="lrTb"/>
            <w:noWrap/>
          </w:tcPr>
          <w:p>
            <w:pPr>
              <w:pStyle w:val="659"/>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选取中标候选人数量</w:t>
            </w:r>
            <w:r>
              <w:rPr>
                <w:rFonts w:hint="eastAsia" w:ascii="宋体" w:hAnsi="宋体" w:eastAsia="宋体" w:cs="宋体"/>
                <w:color w:val="000000"/>
                <w:szCs w:val="21"/>
                <w:highlight w:val="none"/>
              </w:rPr>
            </w:r>
            <w:r/>
          </w:p>
        </w:tc>
        <w:tc>
          <w:tcPr>
            <w:tcW w:w="6607" w:type="dxa"/>
            <w:vAlign w:val="center"/>
            <w:textDirection w:val="lrTb"/>
            <w:noWrap/>
          </w:tcPr>
          <w:p>
            <w:pPr>
              <w:pStyle w:val="659"/>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选取中标候选人的原则</w:t>
            </w:r>
            <w:r>
              <w:rPr>
                <w:rFonts w:hint="eastAsia" w:ascii="宋体" w:hAnsi="宋体" w:eastAsia="宋体" w:cs="宋体"/>
                <w:color w:val="000000"/>
                <w:szCs w:val="21"/>
                <w:highlight w:val="none"/>
              </w:rPr>
            </w:r>
            <w:r/>
          </w:p>
        </w:tc>
      </w:tr>
      <w:tr>
        <w:trPr/>
        <w:tc>
          <w:tcPr>
            <w:tcW w:w="2193" w:type="dxa"/>
            <w:vAlign w:val="center"/>
            <w:textDirection w:val="lrTb"/>
            <w:noWrap/>
          </w:tcPr>
          <w:p>
            <w:pPr>
              <w:pStyle w:val="659"/>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607" w:type="dxa"/>
            <w:vAlign w:val="center"/>
            <w:textDirection w:val="lrTb"/>
            <w:noWrap/>
          </w:tcPr>
          <w:p>
            <w:pPr>
              <w:pStyle w:val="659"/>
              <w:jc w:val="left"/>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满足招标文件全部实质性要求，且按照评审因素的量化指标评审得分最高的</w:t>
            </w:r>
            <w:r>
              <w:rPr>
                <w:rFonts w:hint="eastAsia" w:ascii="宋体" w:hAnsi="宋体" w:eastAsia="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为中标候选人。</w:t>
            </w:r>
            <w:r>
              <w:rPr>
                <w:rFonts w:hint="eastAsia" w:ascii="宋体" w:hAnsi="宋体" w:eastAsia="宋体" w:cs="宋体"/>
                <w:color w:val="000000"/>
                <w:szCs w:val="21"/>
                <w:highlight w:val="none"/>
              </w:rPr>
            </w:r>
            <w:r/>
          </w:p>
        </w:tc>
      </w:tr>
    </w:tbl>
    <w:p>
      <w:pPr>
        <w:pStyle w:val="659"/>
        <w:ind w:firstLine="413"/>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评标方法与评标标准</w:t>
      </w:r>
      <w:r>
        <w:rPr>
          <w:rFonts w:hint="eastAsia" w:ascii="宋体" w:hAnsi="宋体" w:eastAsia="宋体" w:cs="宋体"/>
          <w:b/>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一、</w:t>
      </w:r>
      <w:r>
        <w:rPr>
          <w:rFonts w:hint="eastAsia" w:ascii="宋体" w:hAnsi="宋体" w:eastAsia="宋体" w:cs="宋体"/>
          <w:b/>
          <w:color w:val="000000"/>
          <w:szCs w:val="21"/>
          <w:highlight w:val="none"/>
          <w:lang w:val="zh-CN"/>
        </w:rPr>
        <w:t xml:space="preserve">价格分</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lang w:val="en-US" w:eastAsia="zh-CN"/>
        </w:rPr>
        <w:t xml:space="preserve">0</w:t>
      </w:r>
      <w:r>
        <w:rPr>
          <w:rFonts w:hint="eastAsia" w:ascii="宋体" w:hAnsi="宋体" w:eastAsia="宋体" w:cs="宋体"/>
          <w:b/>
          <w:color w:val="000000"/>
          <w:szCs w:val="21"/>
          <w:highlight w:val="none"/>
          <w:lang w:val="zh-CN"/>
        </w:rPr>
        <w:t xml:space="preserve">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1.本次项目最高限价：</w:t>
      </w:r>
      <w:r>
        <w:rPr>
          <w:rFonts w:hint="eastAsia" w:ascii="宋体" w:hAnsi="宋体" w:eastAsia="宋体" w:cs="宋体"/>
          <w:color w:val="000000"/>
          <w:szCs w:val="21"/>
          <w:highlight w:val="none"/>
          <w:lang w:val="en-US" w:eastAsia="zh-CN"/>
        </w:rPr>
        <w:t xml:space="preserve">100万元，</w:t>
      </w:r>
      <w:r>
        <w:rPr>
          <w:rFonts w:hint="eastAsia" w:ascii="宋体" w:hAnsi="宋体" w:eastAsia="宋体" w:cs="宋体"/>
          <w:color w:val="000000"/>
          <w:szCs w:val="21"/>
          <w:highlight w:val="none"/>
        </w:rPr>
        <w:t xml:space="preserve">超过限价作无效标处理。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2.满足招标文件要求且投标报价最低的报价为评标基准价，其价格分为满分。</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3.其他投标供应商的价格分统一按照下列公式计算：</w:t>
      </w:r>
      <w:r>
        <w:rPr>
          <w:rFonts w:hint="eastAsia" w:ascii="宋体" w:hAnsi="宋体" w:eastAsia="宋体" w:cs="宋体"/>
          <w:color w:val="000000"/>
          <w:szCs w:val="21"/>
          <w:highlight w:val="none"/>
        </w:rPr>
      </w:r>
      <w:r/>
    </w:p>
    <w:p>
      <w:pPr>
        <w:pStyle w:val="659"/>
        <w:ind w:firstLine="56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投标报价得分=（评标基准价/投标报价）×价格权值×100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59"/>
        <w:ind w:firstLine="630"/>
        <w:spacing w:line="480" w:lineRule="exact"/>
        <w:rPr>
          <w:rFonts w:hint="eastAsia" w:hAnsi="宋体"/>
          <w:color w:val="000000"/>
          <w:sz w:val="21"/>
          <w:szCs w:val="21"/>
          <w:highlight w:val="none"/>
        </w:rPr>
      </w:pPr>
      <w:r>
        <w:rPr>
          <w:rFonts w:hint="eastAsia" w:hAnsi="宋体"/>
          <w:color w:val="000000"/>
          <w:sz w:val="21"/>
          <w:szCs w:val="21"/>
          <w:highlight w:val="none"/>
          <w:lang w:val="en-US" w:eastAsia="zh-CN"/>
        </w:rPr>
        <w:t xml:space="preserve">4.</w:t>
      </w:r>
      <w:r>
        <w:rPr>
          <w:rFonts w:hint="eastAsia" w:hAnsi="宋体"/>
          <w:color w:val="000000"/>
          <w:sz w:val="21"/>
          <w:szCs w:val="21"/>
          <w:highlight w:val="none"/>
        </w:rPr>
        <w:t xml:space="preserve">评审过程中出现下列情形之一的，</w:t>
      </w:r>
      <w:r>
        <w:rPr>
          <w:rFonts w:hint="eastAsia" w:hAnsi="宋体"/>
          <w:color w:val="000000"/>
          <w:sz w:val="21"/>
          <w:szCs w:val="21"/>
          <w:highlight w:val="none"/>
          <w:lang w:eastAsia="zh-CN"/>
        </w:rPr>
        <w:t xml:space="preserve">评审小组</w:t>
      </w:r>
      <w:r>
        <w:rPr>
          <w:rFonts w:hint="eastAsia" w:hAnsi="宋体"/>
          <w:color w:val="000000"/>
          <w:sz w:val="21"/>
          <w:szCs w:val="21"/>
          <w:highlight w:val="none"/>
        </w:rPr>
        <w:t xml:space="preserve">应当启动异常低价响应审查程序：</w:t>
      </w:r>
      <w:r>
        <w:rPr>
          <w:rFonts w:hint="eastAsia" w:hAnsi="宋体"/>
          <w:color w:val="000000"/>
          <w:sz w:val="21"/>
          <w:szCs w:val="21"/>
          <w:highlight w:val="none"/>
        </w:rPr>
      </w:r>
      <w:r/>
    </w:p>
    <w:p>
      <w:pPr>
        <w:pStyle w:val="659"/>
        <w:ind w:firstLine="420"/>
        <w:spacing w:line="480" w:lineRule="exact"/>
        <w:rPr>
          <w:rFonts w:hint="eastAsia" w:hAnsi="宋体"/>
          <w:color w:val="000000"/>
          <w:sz w:val="21"/>
          <w:szCs w:val="21"/>
          <w:highlight w:val="none"/>
        </w:rPr>
      </w:pPr>
      <w:r>
        <w:rPr>
          <w:rFonts w:hint="eastAsia" w:hAnsi="宋体"/>
          <w:color w:val="000000"/>
          <w:sz w:val="21"/>
          <w:szCs w:val="21"/>
          <w:highlight w:val="none"/>
        </w:rPr>
        <w:t xml:space="preserve">（1）报价低于采购项目预算50%的，即报价＜采购项目预算*50%；</w:t>
      </w:r>
      <w:r>
        <w:rPr>
          <w:rFonts w:hint="eastAsia" w:hAnsi="宋体"/>
          <w:color w:val="000000"/>
          <w:sz w:val="21"/>
          <w:szCs w:val="21"/>
          <w:highlight w:val="none"/>
        </w:rPr>
      </w:r>
      <w:r/>
    </w:p>
    <w:p>
      <w:pPr>
        <w:pStyle w:val="659"/>
        <w:ind w:firstLine="420"/>
        <w:spacing w:line="480" w:lineRule="exact"/>
        <w:rPr>
          <w:rFonts w:hint="eastAsia" w:hAnsi="宋体"/>
          <w:color w:val="000000"/>
          <w:sz w:val="21"/>
          <w:szCs w:val="21"/>
          <w:highlight w:val="none"/>
        </w:rPr>
      </w:pPr>
      <w:r>
        <w:rPr>
          <w:rFonts w:hint="eastAsia" w:hAnsi="宋体"/>
          <w:color w:val="000000"/>
          <w:sz w:val="21"/>
          <w:szCs w:val="21"/>
          <w:highlight w:val="none"/>
        </w:rPr>
        <w:t xml:space="preserve">（2）报价低于采购项目最高限价45%的，即报价＜采购项目最高限价*45%；</w:t>
      </w:r>
      <w:r>
        <w:rPr>
          <w:rFonts w:hint="eastAsia" w:hAnsi="宋体"/>
          <w:color w:val="000000"/>
          <w:sz w:val="21"/>
          <w:szCs w:val="21"/>
          <w:highlight w:val="none"/>
        </w:rPr>
      </w:r>
      <w:r/>
    </w:p>
    <w:p>
      <w:pPr>
        <w:pStyle w:val="659"/>
        <w:ind w:firstLine="420"/>
        <w:spacing w:line="480" w:lineRule="exact"/>
        <w:rPr>
          <w:rFonts w:hAnsi="宋体"/>
          <w:color w:val="000000"/>
          <w:sz w:val="21"/>
          <w:szCs w:val="21"/>
          <w:highlight w:val="none"/>
        </w:rPr>
      </w:pPr>
      <w:r>
        <w:rPr>
          <w:rFonts w:hint="eastAsia" w:hAnsi="宋体"/>
          <w:color w:val="000000"/>
          <w:sz w:val="21"/>
          <w:szCs w:val="21"/>
          <w:highlight w:val="none"/>
        </w:rPr>
        <w:t xml:space="preserve">（3）</w:t>
      </w:r>
      <w:r>
        <w:rPr>
          <w:rFonts w:hint="eastAsia" w:hAnsi="宋体"/>
          <w:color w:val="000000"/>
          <w:sz w:val="21"/>
          <w:szCs w:val="21"/>
          <w:highlight w:val="none"/>
          <w:lang w:eastAsia="zh-CN"/>
        </w:rPr>
        <w:t xml:space="preserve">评审小组</w:t>
      </w:r>
      <w:r>
        <w:rPr>
          <w:rFonts w:hint="eastAsia" w:hAnsi="宋体"/>
          <w:color w:val="000000"/>
          <w:sz w:val="21"/>
          <w:szCs w:val="21"/>
          <w:highlight w:val="none"/>
        </w:rPr>
        <w:t xml:space="preserve">认定的供应商报价过低、有可能影响产品质量或者不能诚信履约的其他情形。</w:t>
      </w:r>
      <w:r>
        <w:rPr>
          <w:rFonts w:hAnsi="宋体"/>
          <w:color w:val="000000"/>
          <w:sz w:val="21"/>
          <w:szCs w:val="21"/>
          <w:highlight w:val="none"/>
        </w:rPr>
      </w:r>
      <w:r/>
    </w:p>
    <w:p>
      <w:pPr>
        <w:pStyle w:val="659"/>
        <w:ind w:firstLine="420"/>
        <w:spacing w:line="480" w:lineRule="exact"/>
        <w:rPr>
          <w:rFonts w:hAnsi="宋体" w:cs="宋体"/>
          <w:color w:val="000000"/>
          <w:sz w:val="21"/>
          <w:szCs w:val="21"/>
          <w:highlight w:val="none"/>
        </w:rPr>
      </w:pP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4</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rPr>
        <w:t xml:space="preserve">启动异常低价响应审查后，</w:t>
      </w:r>
      <w:r>
        <w:rPr>
          <w:rFonts w:hint="eastAsia" w:hAnsi="宋体" w:cs="宋体"/>
          <w:color w:val="000000"/>
          <w:sz w:val="21"/>
          <w:szCs w:val="21"/>
          <w:highlight w:val="none"/>
          <w:lang w:eastAsia="zh-CN"/>
        </w:rPr>
        <w:t xml:space="preserve">评审小组</w:t>
      </w:r>
      <w:r>
        <w:rPr>
          <w:rFonts w:hint="eastAsia" w:hAnsi="宋体" w:cs="宋体"/>
          <w:color w:val="000000"/>
          <w:sz w:val="21"/>
          <w:szCs w:val="21"/>
          <w:highlight w:val="none"/>
        </w:rPr>
        <w:t xml:space="preserve">应当要求相关供应商在</w:t>
      </w:r>
      <w:r>
        <w:rPr>
          <w:rFonts w:hint="eastAsia" w:ascii="宋体" w:hAnsi="宋体" w:eastAsia="宋体" w:cs="宋体"/>
          <w:b/>
          <w:bCs/>
          <w:color w:val="000000"/>
          <w:sz w:val="21"/>
          <w:szCs w:val="21"/>
          <w:highlight w:val="none"/>
          <w:lang w:val="en-US" w:eastAsia="zh-CN"/>
        </w:rPr>
        <w:t xml:space="preserve">30分钟内</w:t>
      </w:r>
      <w:r>
        <w:rPr>
          <w:rFonts w:hint="eastAsia" w:hAnsi="宋体" w:cs="宋体"/>
          <w:color w:val="000000"/>
          <w:sz w:val="21"/>
          <w:szCs w:val="21"/>
          <w:highlight w:val="none"/>
        </w:rPr>
        <w:t xml:space="preserve">，提供项目具体成本测算等与报价合理性相关的书面说明及相关证明材料，对响应价格做出解释，由</w:t>
      </w:r>
      <w:r>
        <w:rPr>
          <w:rFonts w:hint="eastAsia" w:hAnsi="宋体" w:cs="宋体"/>
          <w:color w:val="000000"/>
          <w:sz w:val="21"/>
          <w:szCs w:val="21"/>
          <w:highlight w:val="none"/>
          <w:lang w:eastAsia="zh-CN"/>
        </w:rPr>
        <w:t xml:space="preserve">评审小组</w:t>
      </w:r>
      <w:r>
        <w:rPr>
          <w:rFonts w:hint="eastAsia" w:hAnsi="宋体" w:cs="宋体"/>
          <w:color w:val="000000"/>
          <w:sz w:val="21"/>
          <w:szCs w:val="21"/>
          <w:highlight w:val="none"/>
        </w:rPr>
        <w:t xml:space="preserve">结合同类产品在主要电商平台的价格、该行业当地薪资水平等情况，依据专业经验对供应商报价合理性进行判断。</w:t>
      </w:r>
      <w:r>
        <w:rPr>
          <w:rFonts w:hint="eastAsia" w:hAnsi="宋体" w:cs="宋体"/>
          <w:b/>
          <w:bCs/>
          <w:color w:val="000000"/>
          <w:sz w:val="21"/>
          <w:szCs w:val="21"/>
          <w:highlight w:val="none"/>
          <w:lang w:eastAsia="zh-CN"/>
        </w:rPr>
        <w:t xml:space="preserve">投标供应商</w:t>
      </w:r>
      <w:r>
        <w:rPr>
          <w:rFonts w:hint="eastAsia" w:hAnsi="宋体" w:cs="宋体"/>
          <w:b/>
          <w:bCs/>
          <w:color w:val="000000"/>
          <w:sz w:val="21"/>
          <w:szCs w:val="21"/>
          <w:highlight w:val="none"/>
        </w:rPr>
        <w:t xml:space="preserve">不提供书面说明、证明材料，或者提供的书面说明、证明材料不能证明其报价合理性的，</w:t>
      </w:r>
      <w:r>
        <w:rPr>
          <w:rFonts w:hint="eastAsia" w:hAnsi="宋体" w:cs="宋体"/>
          <w:b/>
          <w:bCs/>
          <w:color w:val="000000"/>
          <w:sz w:val="21"/>
          <w:szCs w:val="21"/>
          <w:highlight w:val="none"/>
          <w:lang w:eastAsia="zh-CN"/>
        </w:rPr>
        <w:t xml:space="preserve">评审小组</w:t>
      </w:r>
      <w:r>
        <w:rPr>
          <w:rFonts w:hint="eastAsia" w:hAnsi="宋体" w:cs="宋体"/>
          <w:b/>
          <w:bCs/>
          <w:color w:val="000000"/>
          <w:sz w:val="21"/>
          <w:szCs w:val="21"/>
          <w:highlight w:val="none"/>
        </w:rPr>
        <w:t xml:space="preserve">应当将其作为</w:t>
      </w:r>
      <w:r>
        <w:rPr>
          <w:rFonts w:hint="eastAsia" w:hAnsi="宋体" w:cs="宋体"/>
          <w:b/>
          <w:bCs/>
          <w:color w:val="000000"/>
          <w:sz w:val="21"/>
          <w:szCs w:val="21"/>
          <w:highlight w:val="none"/>
          <w:lang w:eastAsia="zh-CN"/>
        </w:rPr>
        <w:t xml:space="preserve">无效标</w:t>
      </w:r>
      <w:r>
        <w:rPr>
          <w:rFonts w:hint="eastAsia" w:hAnsi="宋体" w:cs="宋体"/>
          <w:b/>
          <w:bCs/>
          <w:color w:val="000000"/>
          <w:sz w:val="21"/>
          <w:szCs w:val="21"/>
          <w:highlight w:val="none"/>
        </w:rPr>
        <w:t xml:space="preserve">处理。</w:t>
      </w:r>
      <w:r>
        <w:rPr>
          <w:rFonts w:hint="eastAsia" w:hAnsi="宋体" w:cs="宋体"/>
          <w:color w:val="000000"/>
          <w:sz w:val="21"/>
          <w:szCs w:val="21"/>
          <w:highlight w:val="none"/>
        </w:rPr>
        <w:t xml:space="preserve">审查情况应当在评审报告中进行记录。</w:t>
      </w:r>
      <w:r>
        <w:rPr>
          <w:rFonts w:hAnsi="宋体" w:cs="宋体"/>
          <w:color w:val="000000"/>
          <w:sz w:val="21"/>
          <w:szCs w:val="21"/>
          <w:highlight w:val="none"/>
        </w:rPr>
      </w:r>
      <w:r/>
    </w:p>
    <w:p>
      <w:pPr>
        <w:pStyle w:val="693"/>
        <w:rPr>
          <w:rFonts w:hint="eastAsia"/>
          <w:color w:val="000000"/>
          <w:highlight w:val="none"/>
          <w:lang w:eastAsia="zh-CN"/>
        </w:rPr>
      </w:pPr>
      <w:r>
        <w:rPr>
          <w:rFonts w:hint="eastAsia"/>
          <w:color w:val="000000"/>
          <w:highlight w:val="none"/>
          <w:lang w:eastAsia="zh-CN"/>
        </w:rPr>
      </w:r>
      <w:r/>
    </w:p>
    <w:p>
      <w:pPr>
        <w:pStyle w:val="659"/>
        <w:numPr>
          <w:ilvl w:val="0"/>
          <w:numId w:val="5"/>
        </w:numPr>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商务技术分：</w:t>
      </w:r>
      <w:r>
        <w:rPr>
          <w:rFonts w:hint="eastAsia" w:ascii="宋体" w:hAnsi="宋体" w:eastAsia="宋体" w:cs="宋体"/>
          <w:b/>
          <w:color w:val="000000"/>
          <w:szCs w:val="21"/>
          <w:highlight w:val="none"/>
          <w:lang w:val="en-US" w:eastAsia="zh-CN"/>
        </w:rPr>
        <w:t xml:space="preserve">7</w:t>
      </w:r>
      <w:r>
        <w:rPr>
          <w:rFonts w:hint="eastAsia" w:ascii="宋体" w:hAnsi="宋体" w:eastAsia="宋体" w:cs="宋体"/>
          <w:b/>
          <w:color w:val="000000"/>
          <w:szCs w:val="21"/>
          <w:highlight w:val="none"/>
          <w:lang w:val="en-US" w:eastAsia="zh-CN"/>
        </w:rPr>
        <w:t xml:space="preserve">0</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tbl>
      <w:tblPr>
        <w:tblW w:w="52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315"/>
        <w:gridCol w:w="5106"/>
        <w:gridCol w:w="798"/>
        <w:gridCol w:w="842"/>
        <w:gridCol w:w="956"/>
      </w:tblGrid>
      <w:tr>
        <w:trPr/>
        <w:tc>
          <w:tcPr>
            <w:tcW w:w="308"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序号</w:t>
            </w:r>
            <w:r>
              <w:rPr>
                <w:rFonts w:ascii="仿宋" w:hAnsi="仿宋" w:eastAsia="仿宋"/>
                <w:b/>
                <w:bCs/>
                <w:color w:val="000000"/>
                <w:sz w:val="24"/>
                <w:szCs w:val="24"/>
                <w:highlight w:val="none"/>
              </w:rPr>
            </w:r>
            <w:r/>
          </w:p>
        </w:tc>
        <w:tc>
          <w:tcPr>
            <w:tcW w:w="684"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评分点名称</w:t>
            </w:r>
            <w:r>
              <w:rPr>
                <w:rFonts w:ascii="仿宋" w:hAnsi="仿宋" w:eastAsia="仿宋"/>
                <w:b/>
                <w:bCs/>
                <w:color w:val="000000"/>
                <w:sz w:val="24"/>
                <w:szCs w:val="24"/>
                <w:highlight w:val="none"/>
              </w:rPr>
            </w:r>
            <w:r/>
          </w:p>
        </w:tc>
        <w:tc>
          <w:tcPr>
            <w:tcW w:w="2656"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评审标准</w:t>
            </w:r>
            <w:r>
              <w:rPr>
                <w:rFonts w:ascii="仿宋" w:hAnsi="仿宋" w:eastAsia="仿宋"/>
                <w:b/>
                <w:bCs/>
                <w:color w:val="000000"/>
                <w:sz w:val="24"/>
                <w:szCs w:val="24"/>
                <w:highlight w:val="none"/>
              </w:rPr>
            </w:r>
            <w:r/>
          </w:p>
        </w:tc>
        <w:tc>
          <w:tcPr>
            <w:tcW w:w="415"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最高分</w:t>
            </w:r>
            <w:r>
              <w:rPr>
                <w:rFonts w:ascii="仿宋" w:hAnsi="仿宋" w:eastAsia="仿宋"/>
                <w:b/>
                <w:bCs/>
                <w:color w:val="000000"/>
                <w:sz w:val="24"/>
                <w:szCs w:val="24"/>
                <w:highlight w:val="none"/>
              </w:rPr>
            </w:r>
            <w:r/>
          </w:p>
        </w:tc>
        <w:tc>
          <w:tcPr>
            <w:tcW w:w="438"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最低分</w:t>
            </w:r>
            <w:r>
              <w:rPr>
                <w:rFonts w:ascii="仿宋" w:hAnsi="仿宋" w:eastAsia="仿宋"/>
                <w:b/>
                <w:bCs/>
                <w:color w:val="000000"/>
                <w:sz w:val="24"/>
                <w:szCs w:val="24"/>
                <w:highlight w:val="none"/>
              </w:rPr>
            </w:r>
            <w:r/>
          </w:p>
        </w:tc>
        <w:tc>
          <w:tcPr>
            <w:tcW w:w="497" w:type="dxa"/>
            <w:vAlign w:val="center"/>
            <w:textDirection w:val="lrTb"/>
            <w:noWrap w:val="false"/>
          </w:tcPr>
          <w:p>
            <w:pPr>
              <w:pStyle w:val="659"/>
              <w:jc w:val="center"/>
              <w:spacing w:line="240" w:lineRule="exact"/>
              <w:widowControl/>
              <w:rPr>
                <w:rFonts w:ascii="仿宋" w:hAnsi="仿宋" w:eastAsia="仿宋"/>
                <w:b/>
                <w:bCs/>
                <w:color w:val="000000"/>
                <w:sz w:val="24"/>
                <w:szCs w:val="24"/>
                <w:highlight w:val="none"/>
              </w:rPr>
            </w:pPr>
            <w:r>
              <w:rPr>
                <w:rFonts w:ascii="仿宋" w:hAnsi="仿宋" w:eastAsia="仿宋"/>
                <w:b/>
                <w:bCs/>
                <w:color w:val="000000"/>
                <w:sz w:val="24"/>
                <w:szCs w:val="24"/>
                <w:highlight w:val="none"/>
              </w:rPr>
              <w:t xml:space="preserve">主/客观分</w:t>
            </w:r>
            <w:r>
              <w:rPr>
                <w:rFonts w:ascii="仿宋" w:hAnsi="仿宋" w:eastAsia="仿宋"/>
                <w:b/>
                <w:bCs/>
                <w:color w:val="000000"/>
                <w:sz w:val="24"/>
                <w:szCs w:val="24"/>
                <w:highlight w:val="none"/>
              </w:rPr>
            </w:r>
            <w:r/>
          </w:p>
        </w:tc>
      </w:tr>
      <w:tr>
        <w:trPr/>
        <w:tc>
          <w:tcPr>
            <w:tcW w:w="308" w:type="dxa"/>
            <w:vAlign w:val="center"/>
            <w:textDirection w:val="lrTb"/>
            <w:noWrap/>
          </w:tcPr>
          <w:p>
            <w:pPr>
              <w:pStyle w:val="659"/>
              <w:jc w:val="center"/>
              <w:widowControl/>
              <w:rPr>
                <w:rFonts w:hint="eastAsia" w:ascii="仿宋" w:hAnsi="仿宋" w:eastAsia="仿宋"/>
                <w:color w:val="000000"/>
                <w:sz w:val="21"/>
                <w:szCs w:val="24"/>
                <w:highlight w:val="none"/>
                <w:lang w:val="en-US" w:eastAsia="zh-CN" w:bidi="ar-SA"/>
              </w:rPr>
            </w:pPr>
            <w:r>
              <w:rPr>
                <w:rFonts w:hint="eastAsia" w:ascii="仿宋" w:hAnsi="仿宋" w:eastAsia="仿宋"/>
                <w:color w:val="000000"/>
                <w:highlight w:val="none"/>
                <w:lang w:val="en-US" w:eastAsia="zh-CN"/>
              </w:rPr>
              <w:t xml:space="preserve">1</w:t>
            </w:r>
            <w:r>
              <w:rPr>
                <w:rFonts w:hint="eastAsia" w:ascii="仿宋" w:hAnsi="仿宋" w:eastAsia="仿宋"/>
                <w:color w:val="000000"/>
                <w:sz w:val="21"/>
                <w:szCs w:val="24"/>
                <w:highlight w:val="none"/>
                <w:lang w:val="en-US" w:eastAsia="zh-CN" w:bidi="ar-SA"/>
              </w:rPr>
            </w:r>
            <w:r/>
          </w:p>
        </w:tc>
        <w:tc>
          <w:tcPr>
            <w:tcW w:w="684" w:type="dxa"/>
            <w:vAlign w:val="center"/>
            <w:textDirection w:val="lrTb"/>
            <w:noWrap/>
          </w:tcPr>
          <w:p>
            <w:pPr>
              <w:pStyle w:val="659"/>
              <w:jc w:val="center"/>
              <w:widowControl/>
              <w:rPr>
                <w:rFonts w:ascii="仿宋" w:hAnsi="仿宋" w:eastAsia="仿宋"/>
                <w:b/>
                <w:bCs/>
                <w:color w:val="000000"/>
                <w:highlight w:val="none"/>
              </w:rPr>
            </w:pPr>
            <w:r>
              <w:rPr>
                <w:rFonts w:ascii="仿宋" w:hAnsi="仿宋" w:eastAsia="仿宋"/>
                <w:b/>
                <w:bCs/>
                <w:color w:val="000000"/>
                <w:highlight w:val="none"/>
              </w:rPr>
              <w:t xml:space="preserve">技术指标</w:t>
            </w:r>
            <w:r>
              <w:rPr>
                <w:rFonts w:ascii="仿宋" w:hAnsi="仿宋" w:eastAsia="仿宋"/>
                <w:b/>
                <w:bCs/>
                <w:color w:val="000000"/>
                <w:highlight w:val="none"/>
              </w:rPr>
            </w:r>
            <w:r/>
          </w:p>
          <w:p>
            <w:pPr>
              <w:pStyle w:val="659"/>
              <w:jc w:val="center"/>
              <w:widowControl/>
              <w:rPr>
                <w:rFonts w:hint="eastAsia" w:ascii="仿宋" w:hAnsi="仿宋" w:eastAsia="仿宋"/>
                <w:color w:val="000000"/>
                <w:sz w:val="21"/>
                <w:szCs w:val="24"/>
                <w:highlight w:val="none"/>
                <w:lang w:val="en-US" w:eastAsia="zh-CN" w:bidi="ar-SA"/>
              </w:rPr>
            </w:pPr>
            <w:r>
              <w:rPr>
                <w:rFonts w:hint="eastAsia" w:ascii="仿宋" w:hAnsi="仿宋" w:eastAsia="仿宋"/>
                <w:b/>
                <w:bCs/>
                <w:color w:val="000000"/>
                <w:highlight w:val="none"/>
              </w:rPr>
              <w:t xml:space="preserve">（</w:t>
            </w:r>
            <w:r>
              <w:rPr>
                <w:rFonts w:ascii="仿宋" w:hAnsi="仿宋" w:eastAsia="仿宋"/>
                <w:b/>
                <w:bCs/>
                <w:color w:val="000000"/>
                <w:highlight w:val="none"/>
              </w:rPr>
              <w:t xml:space="preserve">15</w:t>
            </w:r>
            <w:r>
              <w:rPr>
                <w:rFonts w:hint="eastAsia" w:ascii="仿宋" w:hAnsi="仿宋" w:eastAsia="仿宋"/>
                <w:b/>
                <w:bCs/>
                <w:color w:val="000000"/>
                <w:highlight w:val="none"/>
              </w:rPr>
              <w:t xml:space="preserve">分）</w:t>
            </w:r>
            <w:r>
              <w:rPr>
                <w:rFonts w:hint="eastAsia" w:ascii="仿宋" w:hAnsi="仿宋" w:eastAsia="仿宋"/>
                <w:color w:val="000000"/>
                <w:sz w:val="21"/>
                <w:szCs w:val="24"/>
                <w:highlight w:val="none"/>
                <w:lang w:val="en-US" w:eastAsia="zh-CN" w:bidi="ar-SA"/>
              </w:rPr>
            </w:r>
            <w:r/>
          </w:p>
        </w:tc>
        <w:tc>
          <w:tcPr>
            <w:tcW w:w="2656" w:type="dxa"/>
            <w:vAlign w:val="center"/>
            <w:textDirection w:val="lrTb"/>
            <w:noWrap w:val="false"/>
          </w:tcPr>
          <w:p>
            <w:pPr>
              <w:pStyle w:val="659"/>
              <w:jc w:val="both"/>
              <w:widowControl/>
              <w:rPr>
                <w:rFonts w:ascii="仿宋" w:hAnsi="仿宋" w:eastAsia="仿宋"/>
                <w:color w:val="000000"/>
                <w:highlight w:val="none"/>
              </w:rPr>
            </w:pPr>
            <w:r>
              <w:rPr>
                <w:rFonts w:ascii="仿宋" w:hAnsi="仿宋" w:eastAsia="仿宋"/>
                <w:color w:val="000000"/>
                <w:highlight w:val="none"/>
              </w:rPr>
              <w:t xml:space="preserve">投标</w:t>
            </w:r>
            <w:r>
              <w:rPr>
                <w:rFonts w:hint="eastAsia" w:ascii="仿宋" w:hAnsi="仿宋" w:eastAsia="仿宋"/>
                <w:color w:val="000000"/>
                <w:highlight w:val="none"/>
              </w:rPr>
              <w:t xml:space="preserve">人</w:t>
            </w:r>
            <w:r>
              <w:rPr>
                <w:rFonts w:ascii="仿宋" w:hAnsi="仿宋" w:eastAsia="仿宋"/>
                <w:color w:val="000000"/>
                <w:highlight w:val="none"/>
              </w:rPr>
              <w:t xml:space="preserve">提供的响应产品技术参数，标“</w:t>
            </w:r>
            <w:r>
              <w:rPr>
                <w:rFonts w:hint="eastAsia" w:ascii="仿宋" w:hAnsi="仿宋" w:eastAsia="仿宋"/>
                <w:color w:val="000000"/>
                <w:highlight w:val="none"/>
              </w:rPr>
              <w:t xml:space="preserve">★</w:t>
            </w:r>
            <w:r>
              <w:rPr>
                <w:rFonts w:ascii="仿宋" w:hAnsi="仿宋" w:eastAsia="仿宋"/>
                <w:color w:val="000000"/>
                <w:highlight w:val="none"/>
              </w:rPr>
              <w:t xml:space="preserve">”</w:t>
            </w:r>
            <w:r>
              <w:rPr>
                <w:rFonts w:hint="eastAsia" w:ascii="仿宋" w:hAnsi="仿宋" w:eastAsia="仿宋"/>
                <w:color w:val="000000"/>
                <w:highlight w:val="none"/>
              </w:rPr>
              <w:t xml:space="preserve">参数为关键性参数，不接受负偏离，不能满足视为未实质性响应，作无效标处理。完全符合采购文件技术及参数要求的，得1</w:t>
            </w:r>
            <w:r>
              <w:rPr>
                <w:rFonts w:ascii="仿宋" w:hAnsi="仿宋" w:eastAsia="仿宋"/>
                <w:color w:val="000000"/>
                <w:highlight w:val="none"/>
              </w:rPr>
              <w:t xml:space="preserve">5</w:t>
            </w:r>
            <w:r>
              <w:rPr>
                <w:rFonts w:hint="eastAsia" w:ascii="仿宋" w:hAnsi="仿宋" w:eastAsia="仿宋"/>
                <w:color w:val="000000"/>
                <w:highlight w:val="none"/>
              </w:rPr>
              <w:t xml:space="preserve">分；</w:t>
            </w:r>
            <w:r>
              <w:rPr>
                <w:rFonts w:ascii="仿宋" w:hAnsi="仿宋" w:eastAsia="仿宋"/>
                <w:color w:val="000000"/>
                <w:highlight w:val="none"/>
              </w:rPr>
            </w:r>
            <w:r/>
          </w:p>
          <w:p>
            <w:pPr>
              <w:pStyle w:val="659"/>
              <w:jc w:val="both"/>
              <w:widowControl/>
              <w:rPr>
                <w:rFonts w:hint="eastAsia" w:ascii="仿宋" w:hAnsi="仿宋" w:eastAsia="仿宋"/>
                <w:color w:val="000000"/>
                <w:sz w:val="21"/>
                <w:szCs w:val="24"/>
                <w:highlight w:val="none"/>
                <w:lang w:val="en-US" w:eastAsia="zh-CN" w:bidi="ar-SA"/>
              </w:rPr>
            </w:pPr>
            <w:r>
              <w:rPr>
                <w:rFonts w:hint="eastAsia" w:ascii="仿宋" w:hAnsi="仿宋" w:eastAsia="仿宋"/>
                <w:color w:val="000000"/>
                <w:highlight w:val="none"/>
              </w:rPr>
              <w:t xml:space="preserve">每有一项标“▲”的参数存在负偏离的扣1分，其他参数负偏离的每项扣0</w:t>
            </w:r>
            <w:r>
              <w:rPr>
                <w:rFonts w:ascii="仿宋" w:hAnsi="仿宋" w:eastAsia="仿宋"/>
                <w:color w:val="000000"/>
                <w:highlight w:val="none"/>
              </w:rPr>
              <w:t xml:space="preserve">.5分，</w:t>
            </w:r>
            <w:r>
              <w:rPr>
                <w:rFonts w:hint="eastAsia" w:ascii="仿宋" w:hAnsi="仿宋" w:eastAsia="仿宋"/>
                <w:color w:val="000000"/>
                <w:highlight w:val="none"/>
              </w:rPr>
              <w:t xml:space="preserve">扣完为止； </w:t>
            </w:r>
            <w:r>
              <w:rPr>
                <w:rFonts w:hint="eastAsia" w:ascii="仿宋" w:hAnsi="仿宋" w:eastAsia="仿宋"/>
                <w:color w:val="000000"/>
                <w:sz w:val="21"/>
                <w:szCs w:val="24"/>
                <w:highlight w:val="none"/>
                <w:lang w:val="en-US" w:eastAsia="zh-CN" w:bidi="ar-SA"/>
              </w:rPr>
            </w:r>
            <w:r/>
          </w:p>
        </w:tc>
        <w:tc>
          <w:tcPr>
            <w:tcW w:w="415" w:type="dxa"/>
            <w:vAlign w:val="center"/>
            <w:textDirection w:val="lrTb"/>
            <w:noWrap/>
          </w:tcPr>
          <w:p>
            <w:pPr>
              <w:pStyle w:val="659"/>
              <w:jc w:val="center"/>
              <w:widowControl/>
              <w:rPr>
                <w:rFonts w:ascii="仿宋" w:hAnsi="仿宋" w:eastAsia="仿宋"/>
                <w:color w:val="000000"/>
                <w:sz w:val="21"/>
                <w:szCs w:val="24"/>
                <w:highlight w:val="none"/>
                <w:lang w:val="en-US" w:eastAsia="zh-CN" w:bidi="ar-SA"/>
              </w:rPr>
            </w:pPr>
            <w:r>
              <w:rPr>
                <w:rFonts w:hint="eastAsia" w:ascii="仿宋" w:hAnsi="仿宋" w:eastAsia="仿宋"/>
                <w:color w:val="000000"/>
                <w:highlight w:val="none"/>
              </w:rPr>
              <w:t xml:space="preserve">1</w:t>
            </w:r>
            <w:r>
              <w:rPr>
                <w:rFonts w:ascii="仿宋" w:hAnsi="仿宋" w:eastAsia="仿宋"/>
                <w:color w:val="000000"/>
                <w:highlight w:val="none"/>
              </w:rPr>
              <w:t xml:space="preserve">5</w:t>
            </w:r>
            <w:r>
              <w:rPr>
                <w:rFonts w:ascii="仿宋" w:hAnsi="仿宋" w:eastAsia="仿宋"/>
                <w:color w:val="000000"/>
                <w:sz w:val="21"/>
                <w:szCs w:val="24"/>
                <w:highlight w:val="none"/>
                <w:lang w:val="en-US" w:eastAsia="zh-CN" w:bidi="ar-SA"/>
              </w:rPr>
            </w:r>
            <w:r/>
          </w:p>
        </w:tc>
        <w:tc>
          <w:tcPr>
            <w:tcW w:w="438" w:type="dxa"/>
            <w:vAlign w:val="center"/>
            <w:textDirection w:val="lrTb"/>
            <w:noWrap/>
          </w:tcPr>
          <w:p>
            <w:pPr>
              <w:pStyle w:val="659"/>
              <w:jc w:val="center"/>
              <w:rPr>
                <w:rFonts w:hint="eastAsia" w:ascii="仿宋" w:hAnsi="仿宋" w:eastAsia="仿宋"/>
                <w:color w:val="000000"/>
                <w:sz w:val="21"/>
                <w:szCs w:val="24"/>
                <w:highlight w:val="none"/>
                <w:lang w:val="en-US" w:eastAsia="zh-CN" w:bidi="ar-SA"/>
              </w:rPr>
            </w:pPr>
            <w:r>
              <w:rPr>
                <w:rFonts w:hint="eastAsia" w:ascii="仿宋" w:hAnsi="仿宋" w:eastAsia="仿宋"/>
                <w:color w:val="000000"/>
                <w:highlight w:val="none"/>
              </w:rPr>
              <w:t xml:space="preserve">0</w:t>
            </w:r>
            <w:r>
              <w:rPr>
                <w:rFonts w:hint="eastAsia" w:ascii="仿宋" w:hAnsi="仿宋" w:eastAsia="仿宋"/>
                <w:color w:val="000000"/>
                <w:sz w:val="21"/>
                <w:szCs w:val="24"/>
                <w:highlight w:val="none"/>
                <w:lang w:val="en-US" w:eastAsia="zh-CN" w:bidi="ar-SA"/>
              </w:rPr>
            </w:r>
            <w:r/>
          </w:p>
        </w:tc>
        <w:tc>
          <w:tcPr>
            <w:tcW w:w="497" w:type="dxa"/>
            <w:vAlign w:val="center"/>
            <w:textDirection w:val="lrTb"/>
            <w:noWrap/>
          </w:tcPr>
          <w:p>
            <w:pPr>
              <w:pStyle w:val="659"/>
              <w:jc w:val="center"/>
              <w:widowControl/>
              <w:rPr>
                <w:rFonts w:ascii="仿宋" w:hAnsi="仿宋" w:eastAsia="仿宋"/>
                <w:color w:val="000000"/>
                <w:sz w:val="21"/>
                <w:szCs w:val="24"/>
                <w:highlight w:val="none"/>
                <w:lang w:val="en-US" w:eastAsia="zh-CN" w:bidi="ar-SA"/>
              </w:rPr>
            </w:pPr>
            <w:r>
              <w:rPr>
                <w:rFonts w:ascii="仿宋" w:hAnsi="仿宋" w:eastAsia="仿宋"/>
                <w:color w:val="000000"/>
                <w:highlight w:val="none"/>
              </w:rPr>
              <w:t xml:space="preserve">客观分</w:t>
            </w:r>
            <w:r>
              <w:rPr>
                <w:rFonts w:ascii="仿宋" w:hAnsi="仿宋" w:eastAsia="仿宋"/>
                <w:color w:val="000000"/>
                <w:sz w:val="21"/>
                <w:szCs w:val="24"/>
                <w:highlight w:val="none"/>
                <w:lang w:val="en-US" w:eastAsia="zh-CN" w:bidi="ar-SA"/>
              </w:rPr>
            </w:r>
            <w:r/>
          </w:p>
        </w:tc>
      </w:tr>
      <w:tr>
        <w:trPr/>
        <w:tc>
          <w:tcPr>
            <w:tcW w:w="308" w:type="dxa"/>
            <w:vAlign w:val="center"/>
            <w:textDirection w:val="lrTb"/>
            <w:noWrap/>
          </w:tcPr>
          <w:p>
            <w:pPr>
              <w:pStyle w:val="659"/>
              <w:jc w:val="center"/>
              <w:widowControl/>
              <w:rPr>
                <w:rFonts w:hint="eastAsia" w:ascii="仿宋" w:hAnsi="仿宋" w:eastAsia="仿宋"/>
                <w:color w:val="000000"/>
                <w:szCs w:val="21"/>
                <w:highlight w:val="none"/>
                <w:lang w:eastAsia="zh-CN"/>
              </w:rPr>
            </w:pPr>
            <w:r>
              <w:rPr>
                <w:rFonts w:hint="eastAsia" w:ascii="仿宋" w:hAnsi="仿宋" w:eastAsia="仿宋"/>
                <w:color w:val="000000"/>
                <w:highlight w:val="none"/>
                <w:lang w:val="en-US" w:eastAsia="zh-CN"/>
              </w:rPr>
              <w:t xml:space="preserve">2</w:t>
            </w:r>
            <w:r>
              <w:rPr>
                <w:rFonts w:hint="eastAsia" w:ascii="仿宋" w:hAnsi="仿宋" w:eastAsia="仿宋"/>
                <w:color w:val="000000"/>
                <w:szCs w:val="21"/>
                <w:highlight w:val="none"/>
                <w:lang w:eastAsia="zh-CN"/>
              </w:rPr>
            </w:r>
            <w:r/>
          </w:p>
        </w:tc>
        <w:tc>
          <w:tcPr>
            <w:tcW w:w="684" w:type="dxa"/>
            <w:vAlign w:val="center"/>
            <w:textDirection w:val="lrTb"/>
            <w:noWrap/>
          </w:tcPr>
          <w:p>
            <w:pPr>
              <w:pStyle w:val="659"/>
              <w:jc w:val="center"/>
              <w:widowControl/>
              <w:rPr>
                <w:rFonts w:hint="eastAsia" w:ascii="仿宋" w:hAnsi="仿宋" w:eastAsia="仿宋"/>
                <w:b/>
                <w:bCs/>
                <w:color w:val="000000"/>
                <w:highlight w:val="none"/>
                <w:lang w:val="en-US" w:eastAsia="zh-CN"/>
              </w:rPr>
            </w:pPr>
            <w:r>
              <w:rPr>
                <w:rFonts w:ascii="仿宋" w:hAnsi="仿宋" w:eastAsia="仿宋"/>
                <w:b/>
                <w:bCs/>
                <w:color w:val="000000"/>
                <w:highlight w:val="none"/>
              </w:rPr>
              <w:t xml:space="preserve">技术方案</w:t>
            </w:r>
            <w:r>
              <w:rPr>
                <w:rFonts w:hint="eastAsia" w:ascii="仿宋" w:hAnsi="仿宋" w:eastAsia="仿宋"/>
                <w:b/>
                <w:bCs/>
                <w:color w:val="000000"/>
                <w:highlight w:val="none"/>
                <w:lang w:val="en-US" w:eastAsia="zh-CN"/>
              </w:rPr>
              <w:t xml:space="preserve">1</w:t>
            </w:r>
            <w:r>
              <w:rPr>
                <w:rFonts w:hint="eastAsia" w:ascii="仿宋" w:hAnsi="仿宋" w:eastAsia="仿宋"/>
                <w:b/>
                <w:bCs/>
                <w:color w:val="000000"/>
                <w:highlight w:val="none"/>
                <w:lang w:val="en-US" w:eastAsia="zh-CN"/>
              </w:rPr>
            </w:r>
            <w:r/>
          </w:p>
          <w:p>
            <w:pPr>
              <w:pStyle w:val="659"/>
              <w:jc w:val="center"/>
              <w:widowControl/>
              <w:rPr>
                <w:rFonts w:ascii="仿宋" w:hAnsi="仿宋" w:eastAsia="仿宋"/>
                <w:b/>
                <w:bCs/>
                <w:color w:val="000000"/>
                <w:highlight w:val="none"/>
              </w:rPr>
            </w:pPr>
            <w:r>
              <w:rPr>
                <w:rFonts w:hint="eastAsia" w:ascii="仿宋" w:hAnsi="仿宋" w:eastAsia="仿宋"/>
                <w:b/>
                <w:bCs/>
                <w:color w:val="000000"/>
                <w:highlight w:val="none"/>
              </w:rPr>
              <w:t xml:space="preserve">（</w:t>
            </w:r>
            <w:r>
              <w:rPr>
                <w:rFonts w:hint="eastAsia" w:ascii="仿宋" w:hAnsi="仿宋" w:eastAsia="仿宋"/>
                <w:b/>
                <w:bCs/>
                <w:color w:val="000000"/>
                <w:highlight w:val="none"/>
                <w:lang w:val="en-US" w:eastAsia="zh-CN"/>
              </w:rPr>
              <w:t xml:space="preserve">8</w:t>
            </w:r>
            <w:r>
              <w:rPr>
                <w:rFonts w:hint="eastAsia" w:ascii="仿宋" w:hAnsi="仿宋" w:eastAsia="仿宋"/>
                <w:b/>
                <w:bCs/>
                <w:color w:val="000000"/>
                <w:highlight w:val="none"/>
              </w:rPr>
              <w:t xml:space="preserve">分）</w:t>
            </w:r>
            <w:r>
              <w:rPr>
                <w:rFonts w:ascii="仿宋" w:hAnsi="仿宋" w:eastAsia="仿宋"/>
                <w:b/>
                <w:bCs/>
                <w:color w:val="000000"/>
                <w:highlight w:val="none"/>
              </w:rPr>
            </w:r>
            <w:r/>
          </w:p>
        </w:tc>
        <w:tc>
          <w:tcPr>
            <w:tcW w:w="2656" w:type="dxa"/>
            <w:vAlign w:val="center"/>
            <w:textDirection w:val="lrTb"/>
            <w:noWrap w:val="false"/>
          </w:tcPr>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根据本项目需求，投标供应商须</w:t>
            </w:r>
            <w:r>
              <w:rPr>
                <w:rFonts w:ascii="仿宋" w:hAnsi="仿宋" w:eastAsia="仿宋"/>
                <w:color w:val="000000"/>
                <w:highlight w:val="none"/>
              </w:rPr>
              <w:t xml:space="preserve">对</w:t>
            </w:r>
            <w:r>
              <w:rPr>
                <w:rFonts w:hint="eastAsia" w:ascii="仿宋" w:hAnsi="仿宋" w:eastAsia="仿宋"/>
                <w:color w:val="000000"/>
                <w:highlight w:val="none"/>
                <w:lang w:val="en-US" w:eastAsia="zh-CN"/>
              </w:rPr>
              <w:t xml:space="preserve">南通市电子</w:t>
            </w:r>
            <w:r>
              <w:rPr>
                <w:rFonts w:ascii="仿宋" w:hAnsi="仿宋" w:eastAsia="仿宋"/>
                <w:color w:val="000000"/>
                <w:highlight w:val="none"/>
              </w:rPr>
              <w:t xml:space="preserve">政务外网设备现状充分了解</w:t>
            </w:r>
            <w:r>
              <w:rPr>
                <w:rFonts w:hint="eastAsia" w:ascii="仿宋" w:hAnsi="仿宋" w:eastAsia="仿宋"/>
                <w:color w:val="000000"/>
                <w:highlight w:val="none"/>
              </w:rPr>
              <w:t xml:space="preserve">，</w:t>
            </w:r>
            <w:r>
              <w:rPr>
                <w:rFonts w:ascii="仿宋" w:hAnsi="仿宋" w:eastAsia="仿宋"/>
                <w:color w:val="000000"/>
                <w:highlight w:val="none"/>
              </w:rPr>
              <w:t xml:space="preserve">需求分析合理、准确</w:t>
            </w:r>
            <w:r>
              <w:rPr>
                <w:rFonts w:hint="eastAsia" w:ascii="仿宋" w:hAnsi="仿宋" w:eastAsia="仿宋"/>
                <w:color w:val="000000"/>
                <w:highlight w:val="none"/>
              </w:rPr>
              <w:t xml:space="preserve">。提供的方案</w:t>
            </w:r>
            <w:r>
              <w:rPr>
                <w:rFonts w:ascii="仿宋" w:hAnsi="仿宋" w:eastAsia="仿宋"/>
                <w:color w:val="000000"/>
                <w:highlight w:val="none"/>
              </w:rPr>
              <w:t xml:space="preserve">现状描述完整</w:t>
            </w:r>
            <w:r>
              <w:rPr>
                <w:rFonts w:hint="eastAsia" w:ascii="仿宋" w:hAnsi="仿宋" w:eastAsia="仿宋"/>
                <w:color w:val="000000"/>
                <w:highlight w:val="none"/>
              </w:rPr>
              <w:t xml:space="preserve">、架构清晰、完全满足需求的得</w:t>
            </w:r>
            <w:r>
              <w:rPr>
                <w:rFonts w:ascii="仿宋" w:hAnsi="仿宋" w:eastAsia="仿宋"/>
                <w:color w:val="000000"/>
                <w:highlight w:val="none"/>
              </w:rPr>
              <w:t xml:space="preserve">8</w:t>
            </w:r>
            <w:r>
              <w:rPr>
                <w:rFonts w:hint="eastAsia" w:ascii="仿宋" w:hAnsi="仿宋" w:eastAsia="仿宋"/>
                <w:color w:val="000000"/>
                <w:highlight w:val="none"/>
              </w:rPr>
              <w:t xml:space="preserve">分；提供的方案</w:t>
            </w:r>
            <w:r>
              <w:rPr>
                <w:rFonts w:ascii="仿宋" w:hAnsi="仿宋" w:eastAsia="仿宋"/>
                <w:color w:val="000000"/>
                <w:highlight w:val="none"/>
              </w:rPr>
              <w:t xml:space="preserve">现状描述</w:t>
            </w:r>
            <w:r>
              <w:rPr>
                <w:rFonts w:hint="eastAsia" w:ascii="仿宋" w:hAnsi="仿宋" w:eastAsia="仿宋"/>
                <w:color w:val="000000"/>
                <w:highlight w:val="none"/>
              </w:rPr>
              <w:t xml:space="preserve">较</w:t>
            </w:r>
            <w:r>
              <w:rPr>
                <w:rFonts w:ascii="仿宋" w:hAnsi="仿宋" w:eastAsia="仿宋"/>
                <w:color w:val="000000"/>
                <w:highlight w:val="none"/>
              </w:rPr>
              <w:t xml:space="preserve">完整</w:t>
            </w:r>
            <w:r>
              <w:rPr>
                <w:rFonts w:hint="eastAsia" w:ascii="仿宋" w:hAnsi="仿宋" w:eastAsia="仿宋"/>
                <w:color w:val="000000"/>
                <w:highlight w:val="none"/>
              </w:rPr>
              <w:t xml:space="preserve">、架构较清晰、基本符合要求的，得</w:t>
            </w:r>
            <w:r>
              <w:rPr>
                <w:rFonts w:ascii="仿宋" w:hAnsi="仿宋" w:eastAsia="仿宋"/>
                <w:color w:val="000000"/>
                <w:highlight w:val="none"/>
              </w:rPr>
              <w:t xml:space="preserve">5</w:t>
            </w:r>
            <w:r>
              <w:rPr>
                <w:rFonts w:hint="eastAsia" w:ascii="仿宋" w:hAnsi="仿宋" w:eastAsia="仿宋"/>
                <w:color w:val="000000"/>
                <w:highlight w:val="none"/>
              </w:rPr>
              <w:t xml:space="preserve">分；提供的方案</w:t>
            </w:r>
            <w:r>
              <w:rPr>
                <w:rFonts w:ascii="仿宋" w:hAnsi="仿宋" w:eastAsia="仿宋"/>
                <w:color w:val="000000"/>
                <w:highlight w:val="none"/>
              </w:rPr>
              <w:t xml:space="preserve">现状描述</w:t>
            </w:r>
            <w:r>
              <w:rPr>
                <w:rFonts w:hint="eastAsia" w:ascii="仿宋" w:hAnsi="仿宋" w:eastAsia="仿宋"/>
                <w:color w:val="000000"/>
                <w:highlight w:val="none"/>
              </w:rPr>
              <w:t xml:space="preserve">不</w:t>
            </w:r>
            <w:r>
              <w:rPr>
                <w:rFonts w:ascii="仿宋" w:hAnsi="仿宋" w:eastAsia="仿宋"/>
                <w:color w:val="000000"/>
                <w:highlight w:val="none"/>
              </w:rPr>
              <w:t xml:space="preserve">完整</w:t>
            </w:r>
            <w:r>
              <w:rPr>
                <w:rFonts w:hint="eastAsia" w:ascii="仿宋" w:hAnsi="仿宋" w:eastAsia="仿宋"/>
                <w:color w:val="000000"/>
                <w:highlight w:val="none"/>
              </w:rPr>
              <w:t xml:space="preserve">、架构较清晰、基本符合要求的得</w:t>
            </w:r>
            <w:r>
              <w:rPr>
                <w:rFonts w:ascii="仿宋" w:hAnsi="仿宋" w:eastAsia="仿宋"/>
                <w:color w:val="000000"/>
                <w:highlight w:val="none"/>
              </w:rPr>
              <w:t xml:space="preserve">2</w:t>
            </w:r>
            <w:r>
              <w:rPr>
                <w:rFonts w:hint="eastAsia" w:ascii="仿宋" w:hAnsi="仿宋" w:eastAsia="仿宋"/>
                <w:color w:val="000000"/>
                <w:highlight w:val="none"/>
              </w:rPr>
              <w:t xml:space="preserve">分；完全不满足的得0分。</w:t>
            </w:r>
            <w:r>
              <w:rPr>
                <w:rFonts w:ascii="仿宋" w:hAnsi="仿宋" w:eastAsia="仿宋"/>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8</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主观分</w:t>
            </w:r>
            <w:r>
              <w:rPr>
                <w:rFonts w:ascii="仿宋" w:hAnsi="仿宋" w:eastAsia="仿宋"/>
                <w:color w:val="000000"/>
                <w:highlight w:val="none"/>
              </w:rPr>
            </w:r>
            <w:r/>
          </w:p>
        </w:tc>
      </w:tr>
      <w:tr>
        <w:trPr>
          <w:trHeight w:val="1854"/>
        </w:trPr>
        <w:tc>
          <w:tcPr>
            <w:tcW w:w="308" w:type="dxa"/>
            <w:vAlign w:val="center"/>
            <w:textDirection w:val="lrTb"/>
            <w:noWrap w:val="false"/>
          </w:tcPr>
          <w:p>
            <w:pPr>
              <w:pStyle w:val="659"/>
              <w:jc w:val="center"/>
              <w:widowControl/>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3</w:t>
            </w:r>
            <w:r>
              <w:rPr>
                <w:rFonts w:hint="eastAsia" w:ascii="仿宋" w:hAnsi="仿宋" w:eastAsia="仿宋"/>
                <w:color w:val="000000"/>
                <w:szCs w:val="21"/>
                <w:highlight w:val="none"/>
                <w:lang w:val="en-US" w:eastAsia="zh-CN"/>
              </w:rPr>
            </w:r>
            <w:r/>
          </w:p>
        </w:tc>
        <w:tc>
          <w:tcPr>
            <w:tcW w:w="684" w:type="dxa"/>
            <w:vAlign w:val="center"/>
            <w:textDirection w:val="lrTb"/>
            <w:noWrap w:val="false"/>
          </w:tcPr>
          <w:p>
            <w:pPr>
              <w:pStyle w:val="659"/>
              <w:jc w:val="center"/>
              <w:widowControl/>
              <w:rPr>
                <w:rFonts w:hint="eastAsia" w:ascii="仿宋" w:hAnsi="仿宋" w:eastAsia="仿宋"/>
                <w:b/>
                <w:bCs/>
                <w:color w:val="000000"/>
                <w:highlight w:val="none"/>
                <w:lang w:val="en-US" w:eastAsia="zh-CN"/>
              </w:rPr>
            </w:pPr>
            <w:r>
              <w:rPr>
                <w:rFonts w:ascii="仿宋" w:hAnsi="仿宋" w:eastAsia="仿宋"/>
                <w:b/>
                <w:bCs/>
                <w:color w:val="000000"/>
                <w:highlight w:val="none"/>
              </w:rPr>
              <w:t xml:space="preserve">技术方案</w:t>
            </w:r>
            <w:r>
              <w:rPr>
                <w:rFonts w:hint="eastAsia" w:ascii="仿宋" w:hAnsi="仿宋" w:eastAsia="仿宋"/>
                <w:b/>
                <w:bCs/>
                <w:color w:val="000000"/>
                <w:highlight w:val="none"/>
                <w:lang w:val="en-US" w:eastAsia="zh-CN"/>
              </w:rPr>
              <w:t xml:space="preserve">2</w:t>
            </w:r>
            <w:r>
              <w:rPr>
                <w:rFonts w:hint="eastAsia" w:ascii="仿宋" w:hAnsi="仿宋" w:eastAsia="仿宋"/>
                <w:b/>
                <w:bCs/>
                <w:color w:val="000000"/>
                <w:highlight w:val="none"/>
                <w:lang w:val="en-US" w:eastAsia="zh-CN"/>
              </w:rPr>
            </w:r>
            <w:r/>
          </w:p>
          <w:p>
            <w:pPr>
              <w:pStyle w:val="659"/>
              <w:jc w:val="center"/>
              <w:widowControl/>
              <w:rPr>
                <w:rFonts w:ascii="仿宋" w:hAnsi="仿宋" w:eastAsia="仿宋"/>
                <w:b/>
                <w:bCs/>
                <w:color w:val="000000"/>
                <w:szCs w:val="21"/>
                <w:highlight w:val="none"/>
              </w:rPr>
            </w:pPr>
            <w:r>
              <w:rPr>
                <w:rFonts w:hint="eastAsia" w:ascii="仿宋" w:hAnsi="仿宋" w:eastAsia="仿宋"/>
                <w:b/>
                <w:bCs/>
                <w:color w:val="000000"/>
                <w:highlight w:val="none"/>
              </w:rPr>
              <w:t xml:space="preserve">（</w:t>
            </w:r>
            <w:r>
              <w:rPr>
                <w:rFonts w:hint="eastAsia" w:ascii="仿宋" w:hAnsi="仿宋" w:eastAsia="仿宋"/>
                <w:b/>
                <w:bCs/>
                <w:color w:val="000000"/>
                <w:highlight w:val="none"/>
                <w:lang w:val="en-US" w:eastAsia="zh-CN"/>
              </w:rPr>
              <w:t xml:space="preserve">12</w:t>
            </w:r>
            <w:r>
              <w:rPr>
                <w:rFonts w:hint="eastAsia" w:ascii="仿宋" w:hAnsi="仿宋" w:eastAsia="仿宋"/>
                <w:b/>
                <w:bCs/>
                <w:color w:val="000000"/>
                <w:highlight w:val="none"/>
              </w:rPr>
              <w:t xml:space="preserve">分）</w:t>
            </w:r>
            <w:r>
              <w:rPr>
                <w:rFonts w:ascii="仿宋" w:hAnsi="仿宋" w:eastAsia="仿宋"/>
                <w:b/>
                <w:bCs/>
                <w:color w:val="000000"/>
                <w:szCs w:val="21"/>
                <w:highlight w:val="none"/>
              </w:rPr>
            </w:r>
            <w:r/>
          </w:p>
        </w:tc>
        <w:tc>
          <w:tcPr>
            <w:tcW w:w="2656" w:type="dxa"/>
            <w:vAlign w:val="center"/>
            <w:textDirection w:val="lrTb"/>
            <w:noWrap w:val="false"/>
          </w:tcPr>
          <w:p>
            <w:pPr>
              <w:pStyle w:val="659"/>
              <w:jc w:val="both"/>
              <w:rPr>
                <w:rFonts w:ascii="仿宋" w:hAnsi="仿宋" w:eastAsia="仿宋"/>
                <w:color w:val="000000"/>
                <w:highlight w:val="none"/>
              </w:rPr>
            </w:pPr>
            <w:r>
              <w:rPr>
                <w:rFonts w:hint="eastAsia" w:ascii="仿宋" w:hAnsi="仿宋" w:eastAsia="仿宋"/>
                <w:color w:val="000000"/>
                <w:highlight w:val="none"/>
              </w:rPr>
              <w:t xml:space="preserve">根据本项目需求，投标人提供市政务外网骨干优化升级方案合理可行、架构清晰、方案完整、完全满足需求的得</w:t>
            </w:r>
            <w:r>
              <w:rPr>
                <w:rFonts w:ascii="仿宋" w:hAnsi="仿宋" w:eastAsia="仿宋"/>
                <w:color w:val="000000"/>
                <w:highlight w:val="none"/>
              </w:rPr>
              <w:t xml:space="preserve">12</w:t>
            </w:r>
            <w:r>
              <w:rPr>
                <w:rFonts w:hint="eastAsia" w:ascii="仿宋" w:hAnsi="仿宋" w:eastAsia="仿宋"/>
                <w:color w:val="000000"/>
                <w:highlight w:val="none"/>
              </w:rPr>
              <w:t xml:space="preserve">分；提供的方案较合理可行，架构较清晰、方案较完整、基本符合要求的，得</w:t>
            </w:r>
            <w:r>
              <w:rPr>
                <w:rFonts w:ascii="仿宋" w:hAnsi="仿宋" w:eastAsia="仿宋"/>
                <w:color w:val="000000"/>
                <w:highlight w:val="none"/>
              </w:rPr>
              <w:t xml:space="preserve">8</w:t>
            </w:r>
            <w:r>
              <w:rPr>
                <w:rFonts w:hint="eastAsia" w:ascii="仿宋" w:hAnsi="仿宋" w:eastAsia="仿宋"/>
                <w:color w:val="000000"/>
                <w:highlight w:val="none"/>
              </w:rPr>
              <w:t xml:space="preserve">分；提供的方案可行性较差、架构不清晰、方案简单的，得</w:t>
            </w:r>
            <w:r>
              <w:rPr>
                <w:rFonts w:ascii="仿宋" w:hAnsi="仿宋" w:eastAsia="仿宋"/>
                <w:color w:val="000000"/>
                <w:highlight w:val="none"/>
              </w:rPr>
              <w:t xml:space="preserve">4</w:t>
            </w:r>
            <w:r>
              <w:rPr>
                <w:rFonts w:hint="eastAsia" w:ascii="仿宋" w:hAnsi="仿宋" w:eastAsia="仿宋"/>
                <w:color w:val="000000"/>
                <w:highlight w:val="none"/>
              </w:rPr>
              <w:t xml:space="preserve">分；完全不满足的得0分。</w:t>
            </w:r>
            <w:r>
              <w:rPr>
                <w:rFonts w:ascii="仿宋" w:hAnsi="仿宋" w:eastAsia="仿宋"/>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12</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主观分</w:t>
            </w:r>
            <w:r>
              <w:rPr>
                <w:rFonts w:ascii="仿宋" w:hAnsi="仿宋" w:eastAsia="仿宋"/>
                <w:color w:val="000000"/>
                <w:highlight w:val="none"/>
              </w:rPr>
            </w:r>
            <w:r/>
          </w:p>
        </w:tc>
      </w:tr>
      <w:tr>
        <w:trPr/>
        <w:tc>
          <w:tcPr>
            <w:tcW w:w="308" w:type="dxa"/>
            <w:vAlign w:val="center"/>
            <w:textDirection w:val="lrTb"/>
            <w:noWrap w:val="false"/>
          </w:tcPr>
          <w:p>
            <w:pPr>
              <w:pStyle w:val="659"/>
              <w:jc w:val="center"/>
              <w:widowControl/>
              <w:rPr>
                <w:rFonts w:hint="eastAsia" w:ascii="仿宋" w:hAnsi="仿宋" w:eastAsia="仿宋"/>
                <w:color w:val="000000"/>
                <w:szCs w:val="21"/>
                <w:highlight w:val="none"/>
                <w:lang w:val="en-US" w:eastAsia="zh-CN"/>
              </w:rPr>
            </w:pPr>
            <w:r>
              <w:rPr>
                <w:rFonts w:hint="eastAsia" w:ascii="仿宋" w:hAnsi="仿宋" w:eastAsia="仿宋"/>
                <w:color w:val="000000"/>
                <w:szCs w:val="21"/>
                <w:highlight w:val="none"/>
                <w:lang w:val="en-US" w:eastAsia="zh-CN"/>
              </w:rPr>
              <w:t xml:space="preserve">4</w:t>
            </w:r>
            <w:r>
              <w:rPr>
                <w:rFonts w:hint="eastAsia" w:ascii="仿宋" w:hAnsi="仿宋" w:eastAsia="仿宋"/>
                <w:color w:val="000000"/>
                <w:szCs w:val="21"/>
                <w:highlight w:val="none"/>
                <w:lang w:val="en-US" w:eastAsia="zh-CN"/>
              </w:rPr>
            </w:r>
            <w:r/>
          </w:p>
        </w:tc>
        <w:tc>
          <w:tcPr>
            <w:tcW w:w="684" w:type="dxa"/>
            <w:vAlign w:val="center"/>
            <w:textDirection w:val="lrTb"/>
            <w:noWrap/>
          </w:tcPr>
          <w:p>
            <w:pPr>
              <w:pStyle w:val="659"/>
              <w:jc w:val="center"/>
              <w:widowControl/>
              <w:rPr>
                <w:rFonts w:ascii="仿宋" w:hAnsi="仿宋" w:eastAsia="仿宋"/>
                <w:b/>
                <w:bCs/>
                <w:color w:val="000000"/>
                <w:highlight w:val="none"/>
              </w:rPr>
            </w:pPr>
            <w:r>
              <w:rPr>
                <w:rFonts w:hint="eastAsia" w:ascii="仿宋" w:hAnsi="仿宋" w:eastAsia="仿宋"/>
                <w:b/>
                <w:bCs/>
                <w:color w:val="000000"/>
                <w:highlight w:val="none"/>
              </w:rPr>
              <w:t xml:space="preserve">实施计划安排</w:t>
            </w:r>
            <w:r>
              <w:rPr>
                <w:rFonts w:ascii="仿宋" w:hAnsi="仿宋" w:eastAsia="仿宋"/>
                <w:b/>
                <w:bCs/>
                <w:color w:val="000000"/>
                <w:highlight w:val="none"/>
              </w:rPr>
            </w:r>
            <w:r/>
          </w:p>
          <w:p>
            <w:pPr>
              <w:pStyle w:val="659"/>
              <w:jc w:val="center"/>
              <w:widowControl/>
              <w:rPr>
                <w:rFonts w:ascii="仿宋" w:hAnsi="仿宋" w:eastAsia="仿宋"/>
                <w:color w:val="000000"/>
                <w:highlight w:val="none"/>
              </w:rPr>
            </w:pPr>
            <w:r>
              <w:rPr>
                <w:rFonts w:hint="eastAsia" w:ascii="仿宋" w:hAnsi="仿宋" w:eastAsia="仿宋"/>
                <w:b/>
                <w:bCs/>
                <w:color w:val="000000"/>
                <w:highlight w:val="none"/>
              </w:rPr>
              <w:t xml:space="preserve">（6分）</w:t>
            </w:r>
            <w:r>
              <w:rPr>
                <w:rFonts w:ascii="仿宋" w:hAnsi="仿宋" w:eastAsia="仿宋"/>
                <w:color w:val="000000"/>
                <w:highlight w:val="none"/>
              </w:rPr>
            </w:r>
            <w:r/>
          </w:p>
        </w:tc>
        <w:tc>
          <w:tcPr>
            <w:tcW w:w="2656" w:type="dxa"/>
            <w:vAlign w:val="center"/>
            <w:textDirection w:val="lrTb"/>
            <w:noWrap w:val="false"/>
          </w:tcPr>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投标供应商提供的实施计划制订详细、周密、完善，设备供货、人员安排合理，施工过程中，保障措施切实可行，能确保在规定时间内完成，能确保所有业务正常运行。完全符合要求的得6分，方案比较完善、较为合理可行的得4分，方案一般得</w:t>
            </w:r>
            <w:r>
              <w:rPr>
                <w:rFonts w:ascii="仿宋" w:hAnsi="仿宋" w:eastAsia="仿宋"/>
                <w:color w:val="000000"/>
                <w:highlight w:val="none"/>
              </w:rPr>
              <w:t xml:space="preserve">2</w:t>
            </w:r>
            <w:r>
              <w:rPr>
                <w:rFonts w:hint="eastAsia" w:ascii="仿宋" w:hAnsi="仿宋" w:eastAsia="仿宋"/>
                <w:color w:val="000000"/>
                <w:highlight w:val="none"/>
              </w:rPr>
              <w:t xml:space="preserve">分，方案不合理，不符合要求的，得0分。</w:t>
            </w:r>
            <w:r>
              <w:rPr>
                <w:rFonts w:ascii="仿宋" w:hAnsi="仿宋" w:eastAsia="仿宋"/>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hint="eastAsia" w:ascii="仿宋" w:hAnsi="仿宋" w:eastAsia="仿宋"/>
                <w:color w:val="000000"/>
                <w:highlight w:val="none"/>
              </w:rPr>
              <w:t xml:space="preserve">6</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主观分</w:t>
            </w:r>
            <w:r>
              <w:rPr>
                <w:rFonts w:ascii="仿宋" w:hAnsi="仿宋" w:eastAsia="仿宋"/>
                <w:color w:val="000000"/>
                <w:highlight w:val="none"/>
              </w:rPr>
            </w:r>
            <w:r/>
          </w:p>
        </w:tc>
      </w:tr>
      <w:tr>
        <w:trPr/>
        <w:tc>
          <w:tcPr>
            <w:tcW w:w="308" w:type="dxa"/>
            <w:vAlign w:val="center"/>
            <w:textDirection w:val="lrTb"/>
            <w:noWrap/>
          </w:tcPr>
          <w:p>
            <w:pPr>
              <w:pStyle w:val="659"/>
              <w:jc w:val="center"/>
              <w:widowControl/>
              <w:rPr>
                <w:rFonts w:hint="eastAsia" w:ascii="仿宋" w:hAnsi="仿宋" w:eastAsia="仿宋"/>
                <w:color w:val="000000"/>
                <w:szCs w:val="21"/>
                <w:highlight w:val="none"/>
                <w:lang w:eastAsia="zh-CN"/>
              </w:rPr>
            </w:pPr>
            <w:r>
              <w:rPr>
                <w:rFonts w:hint="eastAsia" w:ascii="仿宋" w:hAnsi="仿宋" w:eastAsia="仿宋"/>
                <w:color w:val="000000"/>
                <w:highlight w:val="none"/>
                <w:lang w:val="en-US" w:eastAsia="zh-CN"/>
              </w:rPr>
              <w:t xml:space="preserve">5</w:t>
            </w:r>
            <w:r>
              <w:rPr>
                <w:rFonts w:hint="eastAsia" w:ascii="仿宋" w:hAnsi="仿宋" w:eastAsia="仿宋"/>
                <w:color w:val="000000"/>
                <w:szCs w:val="21"/>
                <w:highlight w:val="none"/>
                <w:lang w:eastAsia="zh-CN"/>
              </w:rPr>
            </w:r>
            <w:r/>
          </w:p>
        </w:tc>
        <w:tc>
          <w:tcPr>
            <w:tcW w:w="684" w:type="dxa"/>
            <w:vAlign w:val="center"/>
            <w:textDirection w:val="lrTb"/>
            <w:noWrap/>
          </w:tcPr>
          <w:p>
            <w:pPr>
              <w:pStyle w:val="659"/>
              <w:jc w:val="center"/>
              <w:widowControl/>
              <w:rPr>
                <w:rFonts w:ascii="仿宋" w:hAnsi="仿宋" w:eastAsia="仿宋"/>
                <w:b/>
                <w:bCs/>
                <w:color w:val="000000"/>
                <w:highlight w:val="none"/>
              </w:rPr>
            </w:pPr>
            <w:r>
              <w:rPr>
                <w:rFonts w:ascii="仿宋" w:hAnsi="仿宋" w:eastAsia="仿宋"/>
                <w:b/>
                <w:bCs/>
                <w:color w:val="000000"/>
                <w:highlight w:val="none"/>
              </w:rPr>
              <w:t xml:space="preserve">企业资质</w:t>
            </w:r>
            <w:r>
              <w:rPr>
                <w:rFonts w:ascii="仿宋" w:hAnsi="仿宋" w:eastAsia="仿宋"/>
                <w:b/>
                <w:bCs/>
                <w:color w:val="000000"/>
                <w:highlight w:val="none"/>
              </w:rPr>
            </w:r>
            <w:r/>
          </w:p>
          <w:p>
            <w:pPr>
              <w:pStyle w:val="1007"/>
              <w:ind w:firstLine="0"/>
              <w:jc w:val="center"/>
              <w:rPr>
                <w:rFonts w:ascii="仿宋" w:hAnsi="仿宋" w:eastAsia="仿宋" w:cs="Times New Roman"/>
                <w:color w:val="000000"/>
                <w:highlight w:val="none"/>
              </w:rPr>
            </w:pPr>
            <w:r>
              <w:rPr>
                <w:rFonts w:hint="eastAsia" w:ascii="仿宋" w:hAnsi="仿宋" w:eastAsia="仿宋" w:cs="Times New Roman"/>
                <w:b/>
                <w:bCs/>
                <w:color w:val="000000"/>
                <w:sz w:val="21"/>
                <w:szCs w:val="21"/>
                <w:highlight w:val="none"/>
              </w:rPr>
              <w:t xml:space="preserve">（</w:t>
            </w:r>
            <w:r>
              <w:rPr>
                <w:rFonts w:ascii="仿宋" w:hAnsi="仿宋" w:eastAsia="仿宋" w:cs="Times New Roman"/>
                <w:b/>
                <w:bCs/>
                <w:color w:val="000000"/>
                <w:sz w:val="21"/>
                <w:szCs w:val="21"/>
                <w:highlight w:val="none"/>
              </w:rPr>
              <w:t xml:space="preserve">10</w:t>
            </w:r>
            <w:r>
              <w:rPr>
                <w:rFonts w:hint="eastAsia" w:ascii="仿宋" w:hAnsi="仿宋" w:eastAsia="仿宋" w:cs="Times New Roman"/>
                <w:b/>
                <w:bCs/>
                <w:color w:val="000000"/>
                <w:sz w:val="21"/>
                <w:szCs w:val="21"/>
                <w:highlight w:val="none"/>
              </w:rPr>
              <w:t xml:space="preserve">分）</w:t>
            </w:r>
            <w:r>
              <w:rPr>
                <w:rFonts w:ascii="仿宋" w:hAnsi="仿宋" w:eastAsia="仿宋" w:cs="Times New Roman"/>
                <w:color w:val="000000"/>
                <w:highlight w:val="none"/>
              </w:rPr>
            </w:r>
            <w:r/>
          </w:p>
        </w:tc>
        <w:tc>
          <w:tcPr>
            <w:tcW w:w="2656" w:type="dxa"/>
            <w:vAlign w:val="center"/>
            <w:textDirection w:val="lrTb"/>
            <w:noWrap w:val="false"/>
          </w:tcPr>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1.具有信息系统建设和服务能力</w:t>
            </w:r>
            <w:r>
              <w:rPr>
                <w:rFonts w:hint="eastAsia" w:ascii="仿宋" w:hAnsi="仿宋" w:eastAsia="仿宋"/>
                <w:color w:val="000000"/>
                <w:highlight w:val="none"/>
                <w:lang w:val="en-US" w:eastAsia="zh-CN"/>
              </w:rPr>
              <w:t xml:space="preserve">五级的得2分，四级及以下的得1分</w:t>
            </w:r>
            <w:r>
              <w:rPr>
                <w:rFonts w:hint="eastAsia" w:ascii="仿宋" w:hAnsi="仿宋" w:eastAsia="仿宋"/>
                <w:color w:val="000000"/>
                <w:highlight w:val="none"/>
              </w:rPr>
              <w:t xml:space="preserve">，不提供不得分。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ascii="仿宋" w:hAnsi="仿宋" w:eastAsia="仿宋"/>
                <w:color w:val="000000"/>
                <w:highlight w:val="none"/>
              </w:rPr>
              <w:t xml:space="preserve">2</w:t>
            </w:r>
            <w:r>
              <w:rPr>
                <w:rFonts w:hint="eastAsia" w:ascii="仿宋" w:hAnsi="仿宋" w:eastAsia="仿宋"/>
                <w:color w:val="000000"/>
                <w:highlight w:val="none"/>
              </w:rPr>
              <w:t xml:space="preserve">.具有</w:t>
            </w:r>
            <w:r>
              <w:rPr>
                <w:rFonts w:hint="eastAsia" w:ascii="仿宋" w:hAnsi="仿宋" w:eastAsia="仿宋"/>
                <w:color w:val="000000"/>
                <w:highlight w:val="none"/>
                <w:lang w:val="en-US" w:eastAsia="zh-CN"/>
              </w:rPr>
              <w:t xml:space="preserve">ISO27001信息安全管理体系认证证书</w:t>
            </w:r>
            <w:r>
              <w:rPr>
                <w:rFonts w:hint="eastAsia" w:ascii="仿宋" w:hAnsi="仿宋" w:eastAsia="仿宋"/>
                <w:color w:val="000000"/>
                <w:highlight w:val="none"/>
              </w:rPr>
              <w:t xml:space="preserve">得2分，不提供得0分。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ascii="仿宋" w:hAnsi="仿宋" w:eastAsia="仿宋"/>
                <w:color w:val="000000"/>
                <w:highlight w:val="none"/>
              </w:rPr>
              <w:t xml:space="preserve">3</w:t>
            </w:r>
            <w:r>
              <w:rPr>
                <w:rFonts w:hint="eastAsia" w:ascii="仿宋" w:hAnsi="仿宋" w:eastAsia="仿宋"/>
                <w:color w:val="000000"/>
                <w:highlight w:val="none"/>
              </w:rPr>
              <w:t xml:space="preserve">.信息系统业务安全服务资质证书CCIA一级得2分，二级得1分，三级及以下得0分。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ascii="仿宋" w:hAnsi="仿宋" w:eastAsia="仿宋"/>
                <w:color w:val="000000"/>
                <w:highlight w:val="none"/>
              </w:rPr>
              <w:t xml:space="preserve">4</w:t>
            </w:r>
            <w:r>
              <w:rPr>
                <w:rFonts w:hint="eastAsia" w:ascii="仿宋" w:hAnsi="仿宋" w:eastAsia="仿宋"/>
                <w:color w:val="000000"/>
                <w:highlight w:val="none"/>
              </w:rPr>
              <w:t xml:space="preserve">.具有ISO20000信息技术服务管理体系认证证书的得2分，不提供得0分。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ascii="仿宋" w:hAnsi="仿宋" w:eastAsia="仿宋"/>
                <w:color w:val="000000"/>
                <w:highlight w:val="none"/>
              </w:rPr>
              <w:t xml:space="preserve">5</w:t>
            </w:r>
            <w:r>
              <w:rPr>
                <w:rFonts w:hint="eastAsia" w:ascii="仿宋" w:hAnsi="仿宋" w:eastAsia="仿宋"/>
                <w:color w:val="000000"/>
                <w:highlight w:val="none"/>
              </w:rPr>
              <w:t xml:space="preserve">.具有5A服务质量评价体系认证证书得2分，不提供得0分。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注：提供相关证书复印件并加盖供应商公章，证书需在有效期内。</w:t>
            </w:r>
            <w:r>
              <w:rPr>
                <w:rFonts w:ascii="仿宋" w:hAnsi="仿宋" w:eastAsia="仿宋"/>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10</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客观分</w:t>
            </w:r>
            <w:r>
              <w:rPr>
                <w:rFonts w:ascii="仿宋" w:hAnsi="仿宋" w:eastAsia="仿宋"/>
                <w:color w:val="000000"/>
                <w:highlight w:val="none"/>
              </w:rPr>
            </w:r>
            <w:r/>
          </w:p>
        </w:tc>
      </w:tr>
      <w:tr>
        <w:trPr/>
        <w:tc>
          <w:tcPr>
            <w:tcW w:w="308" w:type="dxa"/>
            <w:vAlign w:val="center"/>
            <w:textDirection w:val="lrTb"/>
            <w:noWrap/>
          </w:tcPr>
          <w:p>
            <w:pPr>
              <w:pStyle w:val="659"/>
              <w:jc w:val="center"/>
              <w:widowControl/>
              <w:rPr>
                <w:rFonts w:hint="eastAsia" w:ascii="仿宋" w:hAnsi="仿宋" w:eastAsia="仿宋"/>
                <w:color w:val="000000"/>
                <w:highlight w:val="none"/>
                <w:lang w:eastAsia="zh-CN"/>
              </w:rPr>
            </w:pPr>
            <w:r>
              <w:rPr>
                <w:rFonts w:hint="eastAsia" w:ascii="仿宋" w:hAnsi="仿宋" w:eastAsia="仿宋"/>
                <w:color w:val="000000"/>
                <w:highlight w:val="none"/>
                <w:lang w:val="en-US" w:eastAsia="zh-CN"/>
              </w:rPr>
              <w:t xml:space="preserve">6</w:t>
            </w:r>
            <w:r>
              <w:rPr>
                <w:rFonts w:hint="eastAsia" w:ascii="仿宋" w:hAnsi="仿宋" w:eastAsia="仿宋"/>
                <w:color w:val="000000"/>
                <w:highlight w:val="none"/>
                <w:lang w:eastAsia="zh-CN"/>
              </w:rPr>
            </w:r>
            <w:r/>
          </w:p>
        </w:tc>
        <w:tc>
          <w:tcPr>
            <w:tcW w:w="684" w:type="dxa"/>
            <w:vAlign w:val="center"/>
            <w:textDirection w:val="lrTb"/>
            <w:noWrap/>
          </w:tcPr>
          <w:p>
            <w:pPr>
              <w:pStyle w:val="659"/>
              <w:jc w:val="center"/>
              <w:widowControl/>
              <w:rPr>
                <w:rFonts w:ascii="仿宋" w:hAnsi="仿宋" w:eastAsia="仿宋"/>
                <w:b/>
                <w:bCs/>
                <w:color w:val="000000"/>
                <w:highlight w:val="none"/>
              </w:rPr>
            </w:pPr>
            <w:r>
              <w:rPr>
                <w:rFonts w:ascii="仿宋" w:hAnsi="仿宋" w:eastAsia="仿宋"/>
                <w:b/>
                <w:bCs/>
                <w:color w:val="000000"/>
                <w:highlight w:val="none"/>
              </w:rPr>
              <w:t xml:space="preserve">团队实力</w:t>
            </w:r>
            <w:r>
              <w:rPr>
                <w:rFonts w:ascii="仿宋" w:hAnsi="仿宋" w:eastAsia="仿宋"/>
                <w:b/>
                <w:bCs/>
                <w:color w:val="000000"/>
                <w:highlight w:val="none"/>
              </w:rPr>
            </w:r>
            <w:r/>
          </w:p>
          <w:p>
            <w:pPr>
              <w:pStyle w:val="1007"/>
              <w:ind w:firstLine="0"/>
              <w:jc w:val="center"/>
              <w:rPr>
                <w:rFonts w:ascii="仿宋" w:hAnsi="仿宋" w:eastAsia="仿宋" w:cs="Times New Roman"/>
                <w:color w:val="000000"/>
                <w:highlight w:val="none"/>
              </w:rPr>
            </w:pPr>
            <w:r>
              <w:rPr>
                <w:rFonts w:hint="eastAsia" w:ascii="仿宋" w:hAnsi="仿宋" w:eastAsia="仿宋" w:cs="Times New Roman"/>
                <w:b/>
                <w:bCs/>
                <w:color w:val="000000"/>
                <w:sz w:val="21"/>
                <w:szCs w:val="21"/>
                <w:highlight w:val="none"/>
              </w:rPr>
              <w:t xml:space="preserve">(1</w:t>
            </w:r>
            <w:r>
              <w:rPr>
                <w:rFonts w:ascii="仿宋" w:hAnsi="仿宋" w:eastAsia="仿宋" w:cs="Times New Roman"/>
                <w:b/>
                <w:bCs/>
                <w:color w:val="000000"/>
                <w:sz w:val="21"/>
                <w:szCs w:val="21"/>
                <w:highlight w:val="none"/>
              </w:rPr>
              <w:t xml:space="preserve">0</w:t>
            </w:r>
            <w:r>
              <w:rPr>
                <w:rFonts w:hint="eastAsia" w:ascii="仿宋" w:hAnsi="仿宋" w:eastAsia="仿宋" w:cs="Times New Roman"/>
                <w:b/>
                <w:bCs/>
                <w:color w:val="000000"/>
                <w:sz w:val="21"/>
                <w:szCs w:val="21"/>
                <w:highlight w:val="none"/>
              </w:rPr>
              <w:t xml:space="preserve">分)</w:t>
            </w:r>
            <w:r>
              <w:rPr>
                <w:rFonts w:ascii="仿宋" w:hAnsi="仿宋" w:eastAsia="仿宋" w:cs="Times New Roman"/>
                <w:color w:val="000000"/>
                <w:highlight w:val="none"/>
              </w:rPr>
            </w:r>
            <w:r/>
          </w:p>
        </w:tc>
        <w:tc>
          <w:tcPr>
            <w:tcW w:w="2656" w:type="dxa"/>
            <w:vAlign w:val="center"/>
            <w:textDirection w:val="lrTb"/>
            <w:noWrap w:val="false"/>
          </w:tcPr>
          <w:p>
            <w:pPr>
              <w:pStyle w:val="659"/>
              <w:jc w:val="both"/>
              <w:widowControl/>
              <w:rPr>
                <w:rFonts w:hint="eastAsia" w:ascii="仿宋" w:hAnsi="仿宋" w:eastAsia="仿宋"/>
                <w:color w:val="000000"/>
                <w:highlight w:val="none"/>
              </w:rPr>
            </w:pPr>
            <w:r>
              <w:rPr>
                <w:rFonts w:hint="eastAsia" w:ascii="仿宋" w:hAnsi="仿宋" w:eastAsia="仿宋"/>
                <w:color w:val="000000"/>
                <w:highlight w:val="none"/>
              </w:rPr>
              <w:t xml:space="preserve">供应商具备专业的实施队伍，配置1个项目负责人、1个技术负责人和不少于4人项目团队人员。</w:t>
            </w:r>
            <w:r>
              <w:rPr>
                <w:rFonts w:hint="eastAsia" w:ascii="仿宋" w:hAnsi="仿宋" w:eastAsia="仿宋"/>
                <w:color w:val="000000"/>
                <w:highlight w:val="none"/>
              </w:rPr>
            </w:r>
            <w:r/>
          </w:p>
          <w:p>
            <w:pPr>
              <w:pStyle w:val="659"/>
              <w:jc w:val="both"/>
              <w:widowControl/>
              <w:rPr>
                <w:rFonts w:hint="eastAsia" w:ascii="仿宋" w:hAnsi="仿宋" w:eastAsia="仿宋"/>
                <w:color w:val="000000"/>
                <w:highlight w:val="none"/>
              </w:rPr>
            </w:pPr>
            <w:r>
              <w:rPr>
                <w:rFonts w:hint="eastAsia" w:ascii="仿宋" w:hAnsi="仿宋" w:eastAsia="仿宋"/>
                <w:color w:val="000000"/>
                <w:highlight w:val="none"/>
              </w:rPr>
              <w:t xml:space="preserve">1.项目负责人具有有效的“</w:t>
            </w:r>
            <w:r>
              <w:rPr>
                <w:rFonts w:hint="eastAsia" w:ascii="仿宋" w:hAnsi="仿宋" w:eastAsia="仿宋"/>
                <w:color w:val="000000"/>
                <w:highlight w:val="none"/>
                <w:lang w:val="en-US" w:eastAsia="zh-CN"/>
              </w:rPr>
              <w:t xml:space="preserve">电子信息工程高级工程师职称</w:t>
            </w:r>
            <w:r>
              <w:rPr>
                <w:rFonts w:hint="eastAsia" w:ascii="仿宋" w:hAnsi="仿宋" w:eastAsia="仿宋"/>
                <w:color w:val="000000"/>
                <w:highlight w:val="none"/>
              </w:rPr>
              <w:t xml:space="preserve">、ITSS-IT服务工程师证书、信息技术应用创新服务工程师（ITSS）、</w:t>
            </w:r>
            <w:r>
              <w:rPr>
                <w:rFonts w:hint="eastAsia" w:ascii="仿宋" w:hAnsi="仿宋" w:eastAsia="仿宋"/>
                <w:color w:val="000000"/>
                <w:highlight w:val="none"/>
                <w:lang w:val="en-US" w:eastAsia="zh-CN"/>
              </w:rPr>
              <w:t xml:space="preserve">信息安全工程师证书</w:t>
            </w:r>
            <w:r>
              <w:rPr>
                <w:rFonts w:hint="eastAsia" w:ascii="仿宋" w:hAnsi="仿宋" w:eastAsia="仿宋"/>
                <w:color w:val="000000"/>
                <w:highlight w:val="none"/>
              </w:rPr>
              <w:t xml:space="preserve">、信息系统项目管理师-高级”证书的，全部具备得4分，</w:t>
            </w:r>
            <w:r>
              <w:rPr>
                <w:rFonts w:hint="eastAsia" w:ascii="仿宋" w:hAnsi="仿宋" w:eastAsia="仿宋"/>
                <w:color w:val="000000"/>
                <w:highlight w:val="none"/>
                <w:lang w:val="en-US" w:eastAsia="zh-CN"/>
              </w:rPr>
              <w:t xml:space="preserve">缺1项得2分，缺2项以上</w:t>
            </w:r>
            <w:r>
              <w:rPr>
                <w:rFonts w:hint="eastAsia" w:ascii="仿宋" w:hAnsi="仿宋" w:eastAsia="仿宋"/>
                <w:color w:val="000000"/>
                <w:highlight w:val="none"/>
              </w:rPr>
              <w:t xml:space="preserve">不得分。</w:t>
            </w:r>
            <w:r>
              <w:rPr>
                <w:rFonts w:hint="eastAsia" w:ascii="仿宋" w:hAnsi="仿宋" w:eastAsia="仿宋"/>
                <w:color w:val="000000"/>
                <w:highlight w:val="none"/>
              </w:rPr>
            </w:r>
            <w:r/>
          </w:p>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2.项目技术负责人具有有效的“</w:t>
            </w:r>
            <w:r>
              <w:rPr>
                <w:rFonts w:hint="eastAsia" w:ascii="仿宋" w:hAnsi="仿宋" w:eastAsia="仿宋"/>
                <w:color w:val="000000"/>
                <w:highlight w:val="none"/>
                <w:lang w:val="en-US" w:eastAsia="zh-CN"/>
              </w:rPr>
              <w:t xml:space="preserve">高级信息系统业务安全服务工程师证书、信息系统项目管理师-高级、系统规划与管理师证书、信息技术应用创新服务工程师（ITSS）、注册信息安全专业人员证书</w:t>
            </w:r>
            <w:r>
              <w:rPr>
                <w:rFonts w:hint="eastAsia" w:ascii="仿宋" w:hAnsi="仿宋" w:eastAsia="仿宋"/>
                <w:color w:val="000000"/>
                <w:highlight w:val="none"/>
              </w:rPr>
              <w:t xml:space="preserve">”证书的，全部具备得</w:t>
            </w:r>
            <w:r>
              <w:rPr>
                <w:rFonts w:ascii="仿宋" w:hAnsi="仿宋" w:eastAsia="仿宋"/>
                <w:color w:val="000000"/>
                <w:highlight w:val="none"/>
              </w:rPr>
              <w:t xml:space="preserve">4</w:t>
            </w:r>
            <w:r>
              <w:rPr>
                <w:rFonts w:hint="eastAsia" w:ascii="仿宋" w:hAnsi="仿宋" w:eastAsia="仿宋"/>
                <w:color w:val="000000"/>
                <w:highlight w:val="none"/>
              </w:rPr>
              <w:t xml:space="preserve">分，</w:t>
            </w:r>
            <w:r>
              <w:rPr>
                <w:rFonts w:hint="eastAsia" w:ascii="仿宋" w:hAnsi="仿宋" w:eastAsia="仿宋"/>
                <w:color w:val="000000"/>
                <w:highlight w:val="none"/>
                <w:lang w:val="en-US" w:eastAsia="zh-CN"/>
              </w:rPr>
              <w:t xml:space="preserve">缺1项得2分，缺2项以上</w:t>
            </w:r>
            <w:r>
              <w:rPr>
                <w:rFonts w:hint="eastAsia" w:ascii="仿宋" w:hAnsi="仿宋" w:eastAsia="仿宋"/>
                <w:color w:val="000000"/>
                <w:highlight w:val="none"/>
              </w:rPr>
              <w:t xml:space="preserve">不得分。</w:t>
            </w:r>
            <w:r>
              <w:rPr>
                <w:rFonts w:ascii="仿宋" w:hAnsi="仿宋" w:eastAsia="仿宋"/>
                <w:color w:val="000000"/>
                <w:highlight w:val="none"/>
              </w:rPr>
            </w:r>
            <w:r/>
          </w:p>
          <w:p>
            <w:pPr>
              <w:pStyle w:val="659"/>
              <w:jc w:val="both"/>
              <w:widowControl/>
              <w:rPr>
                <w:rFonts w:ascii="仿宋" w:hAnsi="仿宋" w:eastAsia="仿宋"/>
                <w:color w:val="000000"/>
                <w:highlight w:val="none"/>
              </w:rPr>
            </w:pPr>
            <w:r>
              <w:rPr>
                <w:rFonts w:hint="eastAsia" w:ascii="仿宋" w:hAnsi="仿宋" w:eastAsia="仿宋"/>
                <w:color w:val="000000"/>
                <w:highlight w:val="none"/>
              </w:rPr>
              <w:t xml:space="preserve">3.项目组成员具有信息系统项目管理师证书、企业培训师专项技能证书、信息安全保障人员认证证书（安全集成方向）、注册信息安全专业人员（CISP）证书、网络工程师、网络通信安全管理员证书，每提供一类证书得 0.5 分，本项最高得 2 分。</w:t>
            </w:r>
            <w:r>
              <w:rPr>
                <w:rFonts w:ascii="仿宋" w:hAnsi="仿宋" w:eastAsia="仿宋"/>
                <w:color w:val="000000"/>
                <w:highlight w:val="none"/>
              </w:rPr>
            </w:r>
            <w:r/>
          </w:p>
          <w:p>
            <w:pPr>
              <w:pStyle w:val="696"/>
              <w:ind w:left="0"/>
              <w:jc w:val="both"/>
              <w:rPr>
                <w:rFonts w:ascii="仿宋" w:hAnsi="仿宋" w:eastAsia="仿宋"/>
                <w:color w:val="000000"/>
                <w:highlight w:val="none"/>
              </w:rPr>
            </w:pPr>
            <w:r>
              <w:rPr>
                <w:rFonts w:hint="eastAsia" w:ascii="仿宋" w:hAnsi="仿宋" w:eastAsia="仿宋"/>
                <w:color w:val="000000"/>
                <w:highlight w:val="none"/>
              </w:rPr>
              <w:t xml:space="preserve">注：投标人须提供团队成员有效期内的证书，以及投标人为其缴纳的2025年4月-2025年6月中任意1个月社保缴费证明。</w:t>
            </w:r>
            <w:r>
              <w:rPr>
                <w:rFonts w:ascii="仿宋" w:hAnsi="仿宋" w:eastAsia="仿宋"/>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10</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客观分</w:t>
            </w:r>
            <w:r>
              <w:rPr>
                <w:rFonts w:ascii="仿宋" w:hAnsi="仿宋" w:eastAsia="仿宋"/>
                <w:color w:val="000000"/>
                <w:highlight w:val="none"/>
              </w:rPr>
            </w:r>
            <w:r/>
          </w:p>
        </w:tc>
      </w:tr>
      <w:tr>
        <w:trPr/>
        <w:tc>
          <w:tcPr>
            <w:tcW w:w="308" w:type="dxa"/>
            <w:vAlign w:val="center"/>
            <w:textDirection w:val="lrTb"/>
            <w:noWrap/>
          </w:tcPr>
          <w:p>
            <w:pPr>
              <w:pStyle w:val="659"/>
              <w:jc w:val="center"/>
              <w:widowControl/>
              <w:rPr>
                <w:rFonts w:hint="eastAsia" w:ascii="仿宋" w:hAnsi="仿宋" w:eastAsia="仿宋"/>
                <w:color w:val="000000"/>
                <w:highlight w:val="none"/>
                <w:lang w:eastAsia="zh-CN"/>
              </w:rPr>
            </w:pPr>
            <w:r>
              <w:rPr>
                <w:rFonts w:hint="eastAsia" w:ascii="仿宋" w:hAnsi="仿宋" w:eastAsia="仿宋"/>
                <w:color w:val="000000"/>
                <w:highlight w:val="none"/>
                <w:lang w:val="en-US" w:eastAsia="zh-CN"/>
              </w:rPr>
              <w:t xml:space="preserve">7</w:t>
            </w:r>
            <w:r>
              <w:rPr>
                <w:rFonts w:hint="eastAsia" w:ascii="仿宋" w:hAnsi="仿宋" w:eastAsia="仿宋"/>
                <w:color w:val="000000"/>
                <w:highlight w:val="none"/>
                <w:lang w:eastAsia="zh-CN"/>
              </w:rPr>
            </w:r>
            <w:r/>
          </w:p>
        </w:tc>
        <w:tc>
          <w:tcPr>
            <w:tcW w:w="684" w:type="dxa"/>
            <w:vAlign w:val="center"/>
            <w:textDirection w:val="lrTb"/>
            <w:noWrap w:val="false"/>
          </w:tcPr>
          <w:p>
            <w:pPr>
              <w:pStyle w:val="659"/>
              <w:jc w:val="center"/>
              <w:widowControl/>
              <w:rPr>
                <w:rFonts w:ascii="仿宋" w:hAnsi="仿宋" w:eastAsia="仿宋"/>
                <w:b/>
                <w:bCs/>
                <w:color w:val="000000"/>
                <w:highlight w:val="none"/>
              </w:rPr>
            </w:pPr>
            <w:r>
              <w:rPr>
                <w:rFonts w:hint="eastAsia" w:ascii="仿宋" w:hAnsi="仿宋" w:eastAsia="仿宋"/>
                <w:b/>
                <w:bCs/>
                <w:color w:val="000000"/>
                <w:highlight w:val="none"/>
              </w:rPr>
              <w:t xml:space="preserve">企业</w:t>
            </w:r>
            <w:r>
              <w:rPr>
                <w:rFonts w:ascii="仿宋" w:hAnsi="仿宋" w:eastAsia="仿宋"/>
                <w:b/>
                <w:bCs/>
                <w:color w:val="000000"/>
                <w:highlight w:val="none"/>
              </w:rPr>
              <w:t xml:space="preserve">业绩</w:t>
            </w:r>
            <w:r>
              <w:rPr>
                <w:rFonts w:ascii="仿宋" w:hAnsi="仿宋" w:eastAsia="仿宋"/>
                <w:b/>
                <w:bCs/>
                <w:color w:val="000000"/>
                <w:highlight w:val="none"/>
              </w:rPr>
            </w:r>
            <w:r/>
          </w:p>
          <w:p>
            <w:pPr>
              <w:pStyle w:val="1007"/>
              <w:ind w:left="0" w:firstLine="0"/>
              <w:jc w:val="center"/>
              <w:rPr>
                <w:rFonts w:ascii="仿宋" w:hAnsi="仿宋" w:eastAsia="仿宋" w:cs="Times New Roman"/>
                <w:color w:val="000000"/>
                <w:highlight w:val="none"/>
              </w:rPr>
            </w:pPr>
            <w:r>
              <w:rPr>
                <w:rFonts w:hint="eastAsia" w:ascii="仿宋" w:hAnsi="仿宋" w:eastAsia="仿宋" w:cs="Times New Roman"/>
                <w:b/>
                <w:bCs/>
                <w:color w:val="000000"/>
                <w:sz w:val="21"/>
                <w:szCs w:val="21"/>
                <w:highlight w:val="none"/>
              </w:rPr>
              <w:t xml:space="preserve">（</w:t>
            </w:r>
            <w:r>
              <w:rPr>
                <w:rFonts w:ascii="仿宋" w:hAnsi="仿宋" w:eastAsia="仿宋" w:cs="Times New Roman"/>
                <w:b/>
                <w:bCs/>
                <w:color w:val="000000"/>
                <w:sz w:val="21"/>
                <w:szCs w:val="21"/>
                <w:highlight w:val="none"/>
              </w:rPr>
              <w:t xml:space="preserve">4</w:t>
            </w:r>
            <w:r>
              <w:rPr>
                <w:rFonts w:hint="eastAsia" w:ascii="仿宋" w:hAnsi="仿宋" w:eastAsia="仿宋" w:cs="Times New Roman"/>
                <w:b/>
                <w:bCs/>
                <w:color w:val="000000"/>
                <w:sz w:val="21"/>
                <w:szCs w:val="21"/>
                <w:highlight w:val="none"/>
              </w:rPr>
              <w:t xml:space="preserve">分）</w:t>
            </w:r>
            <w:r>
              <w:rPr>
                <w:rFonts w:ascii="仿宋" w:hAnsi="仿宋" w:eastAsia="仿宋" w:cs="Times New Roman"/>
                <w:color w:val="000000"/>
                <w:highlight w:val="none"/>
              </w:rPr>
            </w:r>
            <w:r/>
          </w:p>
        </w:tc>
        <w:tc>
          <w:tcPr>
            <w:tcW w:w="2656" w:type="dxa"/>
            <w:vAlign w:val="center"/>
            <w:textDirection w:val="lrTb"/>
            <w:noWrap w:val="false"/>
          </w:tcPr>
          <w:p>
            <w:pPr>
              <w:pStyle w:val="659"/>
              <w:jc w:val="both"/>
              <w:widowControl/>
              <w:rPr>
                <w:rFonts w:hint="eastAsia" w:ascii="仿宋" w:hAnsi="仿宋" w:eastAsia="仿宋" w:cs="Calibri"/>
                <w:color w:val="000000"/>
                <w:highlight w:val="none"/>
              </w:rPr>
            </w:pPr>
            <w:r>
              <w:rPr>
                <w:rFonts w:hint="eastAsia" w:ascii="仿宋" w:hAnsi="仿宋" w:eastAsia="仿宋" w:cs="Calibri"/>
                <w:color w:val="000000"/>
                <w:highlight w:val="none"/>
              </w:rPr>
              <w:t xml:space="preserve">自2022年7月1日以来（以合同签订日期为准）承接过类似项目的（如政务网建设、改造等），每提供一个得2分，最高得4分。注：需提供合同复印件，如合同中无法体现业绩内容，须提供加盖业主单位公章的证明材料，否则不予认可。</w:t>
            </w:r>
            <w:r>
              <w:rPr>
                <w:rFonts w:hint="eastAsia" w:ascii="仿宋" w:hAnsi="仿宋" w:eastAsia="仿宋" w:cs="Calibri"/>
                <w:color w:val="000000"/>
                <w:highlight w:val="none"/>
              </w:rPr>
            </w:r>
            <w:r/>
          </w:p>
          <w:p>
            <w:pPr>
              <w:pStyle w:val="659"/>
              <w:jc w:val="both"/>
              <w:widowControl/>
              <w:rPr>
                <w:rFonts w:hint="eastAsia" w:ascii="仿宋" w:hAnsi="仿宋" w:eastAsia="仿宋" w:cs="Calibri"/>
                <w:color w:val="000000"/>
                <w:highlight w:val="none"/>
              </w:rPr>
            </w:pPr>
            <w:r>
              <w:rPr>
                <w:rFonts w:hint="eastAsia" w:ascii="仿宋" w:hAnsi="仿宋" w:eastAsia="仿宋" w:cs="Calibri"/>
                <w:color w:val="000000"/>
                <w:highlight w:val="none"/>
              </w:rPr>
              <w:t xml:space="preserve">（注：响应文件中须提供有效的业绩合同及验收证明文件扫描件或复印件并加盖公章，不提供不得分）</w:t>
            </w:r>
            <w:r>
              <w:rPr>
                <w:rFonts w:hint="eastAsia" w:ascii="仿宋" w:hAnsi="仿宋" w:eastAsia="仿宋" w:cs="Calibri"/>
                <w:color w:val="000000"/>
                <w:highlight w:val="none"/>
              </w:rPr>
            </w:r>
            <w:r/>
          </w:p>
        </w:tc>
        <w:tc>
          <w:tcPr>
            <w:tcW w:w="415"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4</w:t>
            </w:r>
            <w:r>
              <w:rPr>
                <w:rFonts w:ascii="仿宋" w:hAnsi="仿宋" w:eastAsia="仿宋"/>
                <w:color w:val="000000"/>
                <w:highlight w:val="none"/>
              </w:rPr>
            </w:r>
            <w:r/>
          </w:p>
        </w:tc>
        <w:tc>
          <w:tcPr>
            <w:tcW w:w="438" w:type="dxa"/>
            <w:vAlign w:val="center"/>
            <w:textDirection w:val="lrTb"/>
            <w:noWrap/>
          </w:tcPr>
          <w:p>
            <w:pPr>
              <w:pStyle w:val="659"/>
              <w:jc w:val="center"/>
              <w:rPr>
                <w:rFonts w:ascii="仿宋" w:hAnsi="仿宋" w:eastAsia="仿宋"/>
                <w:color w:val="000000"/>
                <w:highlight w:val="none"/>
              </w:rPr>
            </w:pPr>
            <w:r>
              <w:rPr>
                <w:rFonts w:hint="eastAsia" w:ascii="仿宋" w:hAnsi="仿宋" w:eastAsia="仿宋"/>
                <w:color w:val="000000"/>
                <w:highlight w:val="none"/>
              </w:rPr>
              <w:t xml:space="preserve">0</w:t>
            </w:r>
            <w:r>
              <w:rPr>
                <w:rFonts w:ascii="仿宋" w:hAnsi="仿宋" w:eastAsia="仿宋"/>
                <w:color w:val="000000"/>
                <w:highlight w:val="none"/>
              </w:rPr>
            </w:r>
            <w:r/>
          </w:p>
        </w:tc>
        <w:tc>
          <w:tcPr>
            <w:tcW w:w="497" w:type="dxa"/>
            <w:vAlign w:val="center"/>
            <w:textDirection w:val="lrTb"/>
            <w:noWrap/>
          </w:tcPr>
          <w:p>
            <w:pPr>
              <w:pStyle w:val="659"/>
              <w:jc w:val="center"/>
              <w:widowControl/>
              <w:rPr>
                <w:rFonts w:ascii="仿宋" w:hAnsi="仿宋" w:eastAsia="仿宋"/>
                <w:color w:val="000000"/>
                <w:highlight w:val="none"/>
              </w:rPr>
            </w:pPr>
            <w:r>
              <w:rPr>
                <w:rFonts w:ascii="仿宋" w:hAnsi="仿宋" w:eastAsia="仿宋"/>
                <w:color w:val="000000"/>
                <w:highlight w:val="none"/>
              </w:rPr>
              <w:t xml:space="preserve">客观分</w:t>
            </w:r>
            <w:r>
              <w:rPr>
                <w:rFonts w:ascii="仿宋" w:hAnsi="仿宋" w:eastAsia="仿宋"/>
                <w:color w:val="000000"/>
                <w:highlight w:val="none"/>
              </w:rPr>
            </w:r>
            <w:r/>
          </w:p>
        </w:tc>
      </w:tr>
      <w:tr>
        <w:trPr/>
        <w:tc>
          <w:tcPr>
            <w:tcW w:w="308" w:type="dxa"/>
            <w:vAlign w:val="center"/>
            <w:textDirection w:val="lrTb"/>
            <w:noWrap/>
          </w:tcPr>
          <w:p>
            <w:pPr>
              <w:pStyle w:val="659"/>
              <w:jc w:val="center"/>
              <w:widowControl/>
              <w:rPr>
                <w:rFonts w:hint="eastAsia" w:ascii="仿宋" w:hAnsi="仿宋" w:eastAsia="仿宋"/>
                <w:color w:val="000000"/>
                <w:sz w:val="21"/>
                <w:szCs w:val="21"/>
                <w:highlight w:val="none"/>
                <w:lang w:val="en-US" w:eastAsia="zh-CN" w:bidi="ar-SA"/>
              </w:rPr>
            </w:pPr>
            <w:r>
              <w:rPr>
                <w:rFonts w:hint="eastAsia" w:ascii="仿宋" w:hAnsi="仿宋" w:eastAsia="仿宋"/>
                <w:color w:val="000000"/>
                <w:szCs w:val="21"/>
                <w:highlight w:val="none"/>
                <w:lang w:val="en-US" w:eastAsia="zh-CN"/>
              </w:rPr>
              <w:t xml:space="preserve">8</w:t>
            </w:r>
            <w:r>
              <w:rPr>
                <w:rFonts w:hint="eastAsia" w:ascii="仿宋" w:hAnsi="仿宋" w:eastAsia="仿宋"/>
                <w:color w:val="000000"/>
                <w:sz w:val="21"/>
                <w:szCs w:val="21"/>
                <w:highlight w:val="none"/>
                <w:lang w:val="en-US" w:eastAsia="zh-CN" w:bidi="ar-SA"/>
              </w:rPr>
            </w:r>
            <w:r/>
          </w:p>
        </w:tc>
        <w:tc>
          <w:tcPr>
            <w:tcW w:w="684" w:type="dxa"/>
            <w:vAlign w:val="center"/>
            <w:textDirection w:val="lrTb"/>
            <w:noWrap w:val="false"/>
          </w:tcPr>
          <w:p>
            <w:pPr>
              <w:pStyle w:val="659"/>
              <w:jc w:val="center"/>
              <w:rPr>
                <w:rFonts w:ascii="仿宋" w:hAnsi="仿宋" w:eastAsia="仿宋"/>
                <w:b/>
                <w:bCs/>
                <w:color w:val="000000"/>
                <w:highlight w:val="none"/>
              </w:rPr>
            </w:pPr>
            <w:r>
              <w:rPr>
                <w:rFonts w:hint="eastAsia" w:ascii="仿宋" w:hAnsi="仿宋" w:eastAsia="仿宋"/>
                <w:b/>
                <w:bCs/>
                <w:color w:val="000000"/>
                <w:highlight w:val="none"/>
                <w:lang w:val="en-US" w:eastAsia="zh-CN"/>
              </w:rPr>
              <w:t xml:space="preserve">售后</w:t>
            </w:r>
            <w:r>
              <w:rPr>
                <w:rFonts w:hint="eastAsia" w:ascii="仿宋" w:hAnsi="仿宋" w:eastAsia="仿宋"/>
                <w:b/>
                <w:bCs/>
                <w:color w:val="000000"/>
                <w:highlight w:val="none"/>
              </w:rPr>
              <w:t xml:space="preserve">服务方案</w:t>
            </w:r>
            <w:r>
              <w:rPr>
                <w:rFonts w:ascii="仿宋" w:hAnsi="仿宋" w:eastAsia="仿宋"/>
                <w:b/>
                <w:bCs/>
                <w:color w:val="000000"/>
                <w:highlight w:val="none"/>
              </w:rPr>
            </w:r>
            <w:r/>
          </w:p>
          <w:p>
            <w:pPr>
              <w:pStyle w:val="1007"/>
              <w:ind w:left="0" w:firstLine="0"/>
              <w:jc w:val="center"/>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b/>
                <w:bCs/>
                <w:color w:val="000000"/>
                <w:sz w:val="21"/>
                <w:szCs w:val="21"/>
                <w:highlight w:val="none"/>
              </w:rPr>
              <w:t xml:space="preserve">（</w:t>
            </w:r>
            <w:r>
              <w:rPr>
                <w:rFonts w:ascii="仿宋" w:hAnsi="仿宋" w:eastAsia="仿宋" w:cs="Times New Roman"/>
                <w:b/>
                <w:bCs/>
                <w:color w:val="000000"/>
                <w:sz w:val="21"/>
                <w:szCs w:val="21"/>
                <w:highlight w:val="none"/>
              </w:rPr>
              <w:t xml:space="preserve">5</w:t>
            </w:r>
            <w:r>
              <w:rPr>
                <w:rFonts w:hint="eastAsia" w:ascii="仿宋" w:hAnsi="仿宋" w:eastAsia="仿宋" w:cs="Times New Roman"/>
                <w:b/>
                <w:bCs/>
                <w:color w:val="000000"/>
                <w:sz w:val="21"/>
                <w:szCs w:val="21"/>
                <w:highlight w:val="none"/>
              </w:rPr>
              <w:t xml:space="preserve">分）</w:t>
            </w:r>
            <w:r>
              <w:rPr>
                <w:rFonts w:hint="eastAsia" w:ascii="仿宋" w:hAnsi="仿宋" w:eastAsia="仿宋" w:cs="Times New Roman"/>
                <w:color w:val="000000"/>
                <w:sz w:val="24"/>
                <w:szCs w:val="24"/>
                <w:highlight w:val="none"/>
                <w:lang w:val="en-US" w:eastAsia="zh-CN" w:bidi="ar-SA"/>
              </w:rPr>
            </w:r>
            <w:r/>
          </w:p>
        </w:tc>
        <w:tc>
          <w:tcPr>
            <w:tcW w:w="2656" w:type="dxa"/>
            <w:vAlign w:val="center"/>
            <w:textDirection w:val="lrTb"/>
            <w:noWrap w:val="false"/>
          </w:tcPr>
          <w:p>
            <w:pPr>
              <w:pStyle w:val="659"/>
              <w:jc w:val="both"/>
              <w:widowControl/>
              <w:rPr>
                <w:rFonts w:hint="eastAsia" w:ascii="仿宋" w:hAnsi="仿宋" w:eastAsia="仿宋" w:cs="Calibri"/>
                <w:color w:val="000000"/>
                <w:highlight w:val="none"/>
                <w:lang w:val="en-US" w:eastAsia="zh-CN"/>
              </w:rPr>
            </w:pPr>
            <w:r>
              <w:rPr>
                <w:rFonts w:hint="eastAsia" w:ascii="仿宋" w:hAnsi="仿宋" w:eastAsia="仿宋" w:cs="Calibri"/>
                <w:color w:val="000000"/>
                <w:highlight w:val="none"/>
              </w:rPr>
              <w:t xml:space="preserve">投标供应商针对本项目提供详细的五年</w:t>
            </w:r>
            <w:r>
              <w:rPr>
                <w:rFonts w:hint="eastAsia" w:ascii="仿宋" w:hAnsi="仿宋" w:eastAsia="仿宋" w:cs="Calibri"/>
                <w:color w:val="000000"/>
                <w:highlight w:val="none"/>
                <w:lang w:val="en-US" w:eastAsia="zh-CN"/>
              </w:rPr>
              <w:t xml:space="preserve">售后</w:t>
            </w:r>
            <w:r>
              <w:rPr>
                <w:rFonts w:hint="eastAsia" w:ascii="仿宋" w:hAnsi="仿宋" w:eastAsia="仿宋" w:cs="Calibri"/>
                <w:color w:val="000000"/>
                <w:highlight w:val="none"/>
              </w:rPr>
              <w:t xml:space="preserve">服务方案，由专家评审。整体方案说明完整可行、可操作性强、完全满足项目建设后的运维需求的得5分；提供的</w:t>
            </w:r>
            <w:r>
              <w:rPr>
                <w:rFonts w:hint="eastAsia" w:ascii="仿宋" w:hAnsi="仿宋" w:eastAsia="仿宋" w:cs="Calibri"/>
                <w:color w:val="000000"/>
                <w:highlight w:val="none"/>
                <w:lang w:val="en-US" w:eastAsia="zh-CN"/>
              </w:rPr>
              <w:t xml:space="preserve">售后</w:t>
            </w:r>
            <w:r>
              <w:rPr>
                <w:rFonts w:hint="eastAsia" w:ascii="仿宋" w:hAnsi="仿宋" w:eastAsia="仿宋" w:cs="Calibri"/>
                <w:color w:val="000000"/>
                <w:highlight w:val="none"/>
              </w:rPr>
              <w:t xml:space="preserve">服务方案说明较完整可行、可操作性较强、基本满足项目建设后的运维需求的得3分；提供的</w:t>
            </w:r>
            <w:r>
              <w:rPr>
                <w:rFonts w:hint="eastAsia" w:ascii="仿宋" w:hAnsi="仿宋" w:eastAsia="仿宋" w:cs="Calibri"/>
                <w:color w:val="000000"/>
                <w:highlight w:val="none"/>
                <w:lang w:val="en-US" w:eastAsia="zh-CN"/>
              </w:rPr>
              <w:t xml:space="preserve">售后</w:t>
            </w:r>
            <w:r>
              <w:rPr>
                <w:rFonts w:hint="eastAsia" w:ascii="仿宋" w:hAnsi="仿宋" w:eastAsia="仿宋" w:cs="Calibri"/>
                <w:color w:val="000000"/>
                <w:highlight w:val="none"/>
              </w:rPr>
              <w:t xml:space="preserve">服务方案说明可行性较差、可操作性较差的得1分；未提供或完全不符合项目建设后的运维要求的得0分。</w:t>
            </w:r>
            <w:r>
              <w:rPr>
                <w:rFonts w:hint="eastAsia" w:ascii="仿宋" w:hAnsi="仿宋" w:eastAsia="仿宋" w:cs="Calibri"/>
                <w:color w:val="000000"/>
                <w:highlight w:val="none"/>
                <w:lang w:val="en-US" w:eastAsia="zh-CN"/>
              </w:rPr>
            </w:r>
            <w:r/>
          </w:p>
        </w:tc>
        <w:tc>
          <w:tcPr>
            <w:tcW w:w="415" w:type="dxa"/>
            <w:vAlign w:val="center"/>
            <w:textDirection w:val="lrTb"/>
            <w:noWrap/>
          </w:tcPr>
          <w:p>
            <w:pPr>
              <w:pStyle w:val="659"/>
              <w:jc w:val="center"/>
              <w:widowControl/>
              <w:rPr>
                <w:rFonts w:ascii="仿宋" w:hAnsi="仿宋" w:eastAsia="仿宋"/>
                <w:color w:val="000000"/>
                <w:sz w:val="21"/>
                <w:szCs w:val="24"/>
                <w:highlight w:val="none"/>
                <w:lang w:val="en-US" w:eastAsia="zh-CN" w:bidi="ar-SA"/>
              </w:rPr>
            </w:pPr>
            <w:r>
              <w:rPr>
                <w:rFonts w:ascii="仿宋" w:hAnsi="仿宋" w:eastAsia="仿宋"/>
                <w:color w:val="000000"/>
                <w:highlight w:val="none"/>
              </w:rPr>
              <w:t xml:space="preserve">5</w:t>
            </w:r>
            <w:r>
              <w:rPr>
                <w:rFonts w:ascii="仿宋" w:hAnsi="仿宋" w:eastAsia="仿宋"/>
                <w:color w:val="000000"/>
                <w:sz w:val="21"/>
                <w:szCs w:val="24"/>
                <w:highlight w:val="none"/>
                <w:lang w:val="en-US" w:eastAsia="zh-CN" w:bidi="ar-SA"/>
              </w:rPr>
            </w:r>
            <w:r/>
          </w:p>
        </w:tc>
        <w:tc>
          <w:tcPr>
            <w:tcW w:w="438" w:type="dxa"/>
            <w:vAlign w:val="center"/>
            <w:textDirection w:val="lrTb"/>
            <w:noWrap/>
          </w:tcPr>
          <w:p>
            <w:pPr>
              <w:pStyle w:val="659"/>
              <w:jc w:val="center"/>
              <w:rPr>
                <w:rFonts w:hint="eastAsia" w:ascii="仿宋" w:hAnsi="仿宋" w:eastAsia="仿宋"/>
                <w:color w:val="000000"/>
                <w:sz w:val="21"/>
                <w:szCs w:val="24"/>
                <w:highlight w:val="none"/>
                <w:lang w:val="en-US" w:eastAsia="zh-CN" w:bidi="ar-SA"/>
              </w:rPr>
            </w:pPr>
            <w:r>
              <w:rPr>
                <w:rFonts w:hint="eastAsia" w:ascii="仿宋" w:hAnsi="仿宋" w:eastAsia="仿宋"/>
                <w:color w:val="000000"/>
                <w:highlight w:val="none"/>
              </w:rPr>
              <w:t xml:space="preserve">0</w:t>
            </w:r>
            <w:r>
              <w:rPr>
                <w:rFonts w:hint="eastAsia" w:ascii="仿宋" w:hAnsi="仿宋" w:eastAsia="仿宋"/>
                <w:color w:val="000000"/>
                <w:sz w:val="21"/>
                <w:szCs w:val="24"/>
                <w:highlight w:val="none"/>
                <w:lang w:val="en-US" w:eastAsia="zh-CN" w:bidi="ar-SA"/>
              </w:rPr>
            </w:r>
            <w:r/>
          </w:p>
        </w:tc>
        <w:tc>
          <w:tcPr>
            <w:tcW w:w="497" w:type="dxa"/>
            <w:vAlign w:val="center"/>
            <w:textDirection w:val="lrTb"/>
            <w:noWrap/>
          </w:tcPr>
          <w:p>
            <w:pPr>
              <w:pStyle w:val="659"/>
              <w:jc w:val="center"/>
              <w:widowControl/>
              <w:rPr>
                <w:rFonts w:ascii="仿宋" w:hAnsi="仿宋" w:eastAsia="仿宋"/>
                <w:color w:val="000000"/>
                <w:sz w:val="21"/>
                <w:szCs w:val="24"/>
                <w:highlight w:val="none"/>
                <w:lang w:val="en-US" w:eastAsia="zh-CN" w:bidi="ar-SA"/>
              </w:rPr>
            </w:pPr>
            <w:r>
              <w:rPr>
                <w:rFonts w:ascii="仿宋" w:hAnsi="仿宋" w:eastAsia="仿宋"/>
                <w:color w:val="000000"/>
                <w:highlight w:val="none"/>
              </w:rPr>
              <w:t xml:space="preserve">主观分</w:t>
            </w:r>
            <w:r>
              <w:rPr>
                <w:rFonts w:ascii="仿宋" w:hAnsi="仿宋" w:eastAsia="仿宋"/>
                <w:color w:val="000000"/>
                <w:sz w:val="21"/>
                <w:szCs w:val="24"/>
                <w:highlight w:val="none"/>
                <w:lang w:val="en-US" w:eastAsia="zh-CN" w:bidi="ar-SA"/>
              </w:rPr>
            </w:r>
            <w:r/>
          </w:p>
        </w:tc>
      </w:tr>
    </w:tbl>
    <w:p>
      <w:pPr>
        <w:pStyle w:val="1005"/>
        <w:jc w:val="both"/>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highlight w:val="none"/>
          <w:shd w:val="clear" w:color="auto" w:fill="auto"/>
          <w:lang w:val="en-US" w:eastAsia="zh-CN"/>
        </w:rPr>
        <w:t xml:space="preserve">三、</w:t>
      </w:r>
      <w:r>
        <w:rPr>
          <w:rFonts w:hint="eastAsia" w:ascii="宋体" w:hAnsi="宋体" w:eastAsia="宋体" w:cs="宋体"/>
          <w:b/>
          <w:bCs/>
          <w:color w:val="000000"/>
          <w:sz w:val="21"/>
          <w:szCs w:val="21"/>
          <w:highlight w:val="none"/>
          <w:lang w:val="en-US" w:eastAsia="en-US"/>
        </w:rPr>
        <w:t xml:space="preserve">政府采购政策落实</w:t>
      </w:r>
      <w:r>
        <w:rPr>
          <w:rFonts w:hint="eastAsia" w:ascii="宋体" w:hAnsi="宋体" w:eastAsia="宋体" w:cs="宋体"/>
          <w:b/>
          <w:bCs/>
          <w:color w:val="000000"/>
          <w:sz w:val="21"/>
          <w:szCs w:val="21"/>
          <w:highlight w:val="none"/>
          <w:lang w:val="en-US" w:eastAsia="zh-CN"/>
        </w:rPr>
      </w:r>
      <w:r/>
    </w:p>
    <w:p>
      <w:pPr>
        <w:pStyle w:val="659"/>
        <w:ind w:firstLine="420"/>
        <w:jc w:val="left"/>
        <w:spacing w:line="360" w:lineRule="auto"/>
        <w:rPr>
          <w:rFonts w:hint="eastAsia" w:hAnsi="宋体" w:cs="宋体"/>
          <w:b w:val="0"/>
          <w:bCs/>
          <w:color w:val="000000"/>
          <w:highlight w:val="none"/>
        </w:rPr>
      </w:pPr>
      <w:r>
        <w:rPr>
          <w:rFonts w:hint="eastAsia" w:hAnsi="宋体" w:cs="宋体"/>
          <w:b w:val="0"/>
          <w:bCs/>
          <w:color w:val="000000"/>
          <w:highlight w:val="none"/>
        </w:rPr>
        <w:t xml:space="preserve">1、</w:t>
      </w:r>
      <w:r>
        <w:rPr>
          <w:rFonts w:hAnsi="宋体" w:cs="宋体"/>
          <w:b w:val="0"/>
          <w:bCs/>
          <w:color w:val="000000"/>
          <w:highlight w:val="none"/>
        </w:rPr>
        <w:t xml:space="preserve">促进中小企业发展政策</w:t>
      </w:r>
      <w:r>
        <w:rPr>
          <w:rFonts w:hint="eastAsia" w:hAnsi="宋体" w:cs="宋体"/>
          <w:b w:val="0"/>
          <w:bCs/>
          <w:color w:val="000000"/>
          <w:highlight w:val="none"/>
        </w:rPr>
      </w:r>
      <w:r/>
    </w:p>
    <w:p>
      <w:pPr>
        <w:pStyle w:val="659"/>
        <w:ind w:firstLine="480"/>
        <w:spacing w:line="360" w:lineRule="auto"/>
        <w:tabs>
          <w:tab w:val="left" w:pos="8200" w:leader="none"/>
        </w:tabs>
        <w:rPr>
          <w:rFonts w:hint="eastAsia" w:hAnsi="宋体" w:cs="宋体"/>
          <w:b w:val="0"/>
          <w:bCs/>
          <w:color w:val="000000"/>
          <w:highlight w:val="none"/>
        </w:rPr>
      </w:pPr>
      <w:r>
        <w:rPr>
          <w:rFonts w:hint="eastAsia" w:hAnsi="宋体" w:cs="宋体"/>
          <w:b w:val="0"/>
          <w:color w:val="000000"/>
          <w:szCs w:val="22"/>
          <w:highlight w:val="none"/>
        </w:rPr>
        <w:t xml:space="preserve">①本项目为非专门面向中小</w:t>
      </w:r>
      <w:r>
        <w:rPr>
          <w:rFonts w:hint="eastAsia" w:hAnsi="宋体" w:cs="宋体"/>
          <w:b w:val="0"/>
          <w:bCs/>
          <w:color w:val="000000"/>
          <w:highlight w:val="none"/>
        </w:rPr>
        <w:t xml:space="preserve">微企业的项目，对</w:t>
      </w:r>
      <w:r>
        <w:rPr>
          <w:rFonts w:hint="eastAsia" w:hAnsi="宋体" w:cs="宋体"/>
          <w:color w:val="000000"/>
          <w:highlight w:val="none"/>
        </w:rPr>
        <w:t xml:space="preserve">小型和微型企业</w:t>
      </w:r>
      <w:r>
        <w:rPr>
          <w:rFonts w:hint="eastAsia" w:hAnsi="宋体" w:cs="宋体"/>
          <w:b w:val="0"/>
          <w:bCs/>
          <w:color w:val="000000"/>
          <w:highlight w:val="none"/>
        </w:rPr>
        <w:t xml:space="preserve">产品价格给予</w:t>
      </w:r>
      <w:r>
        <w:rPr>
          <w:rFonts w:hAnsi="宋体" w:cs="宋体"/>
          <w:b w:val="0"/>
          <w:bCs/>
          <w:color w:val="000000"/>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hAnsi="宋体" w:cs="宋体"/>
          <w:b w:val="0"/>
          <w:bCs/>
          <w:color w:val="000000"/>
          <w:highlight w:val="none"/>
        </w:rPr>
      </w:r>
      <w:r/>
    </w:p>
    <w:p>
      <w:pPr>
        <w:pStyle w:val="659"/>
        <w:ind w:firstLine="480"/>
        <w:spacing w:line="360" w:lineRule="auto"/>
        <w:tabs>
          <w:tab w:val="left" w:pos="8200" w:leader="none"/>
        </w:tabs>
        <w:rPr>
          <w:rFonts w:hint="eastAsia" w:hAnsi="宋体" w:cs="宋体"/>
          <w:b w:val="0"/>
          <w:bCs/>
          <w:color w:val="000000"/>
          <w:szCs w:val="22"/>
          <w:highlight w:val="none"/>
        </w:rPr>
      </w:pPr>
      <w:r>
        <w:rPr>
          <w:rFonts w:hint="eastAsia" w:hAnsi="宋体" w:cs="宋体"/>
          <w:b w:val="0"/>
          <w:bCs/>
          <w:color w:val="000000"/>
          <w:szCs w:val="22"/>
          <w:highlight w:val="none"/>
        </w:rPr>
        <w:t xml:space="preserve">在政府采购活动中，投标人提供的货物、工程或者服务符合下列情形的，享受价格扣除：</w:t>
      </w:r>
      <w:r>
        <w:rPr>
          <w:rFonts w:hint="eastAsia" w:hAnsi="宋体" w:cs="宋体"/>
          <w:b w:val="0"/>
          <w:bCs/>
          <w:color w:val="000000"/>
          <w:szCs w:val="22"/>
          <w:highlight w:val="none"/>
        </w:rPr>
      </w:r>
      <w:r/>
    </w:p>
    <w:p>
      <w:pPr>
        <w:pStyle w:val="659"/>
        <w:numPr>
          <w:ilvl w:val="0"/>
          <w:numId w:val="6"/>
        </w:numPr>
        <w:ind w:firstLine="480"/>
        <w:spacing w:line="360" w:lineRule="auto"/>
        <w:tabs>
          <w:tab w:val="left" w:pos="8200" w:leader="none"/>
        </w:tabs>
        <w:rPr>
          <w:rFonts w:hint="eastAsia" w:hAnsi="宋体" w:cs="宋体"/>
          <w:b w:val="0"/>
          <w:bCs/>
          <w:color w:val="000000"/>
          <w:szCs w:val="22"/>
          <w:highlight w:val="none"/>
        </w:rPr>
      </w:pPr>
      <w:r>
        <w:rPr>
          <w:rFonts w:hint="eastAsia" w:hAnsi="宋体" w:cs="宋体"/>
          <w:b w:val="0"/>
          <w:bCs/>
          <w:color w:val="000000"/>
          <w:szCs w:val="22"/>
          <w:highlight w:val="none"/>
        </w:rPr>
        <w:t xml:space="preserve">在货物采购项目中，货物由小微企业制造，即货物由小微企业生产且使用该小微企业商号或者注册商标；</w:t>
      </w:r>
      <w:r>
        <w:rPr>
          <w:rFonts w:hint="eastAsia" w:hAnsi="宋体" w:cs="宋体"/>
          <w:b w:val="0"/>
          <w:bCs/>
          <w:color w:val="000000"/>
          <w:szCs w:val="22"/>
          <w:highlight w:val="none"/>
        </w:rPr>
      </w:r>
      <w:r/>
    </w:p>
    <w:p>
      <w:pPr>
        <w:pStyle w:val="659"/>
        <w:numPr>
          <w:ilvl w:val="0"/>
          <w:numId w:val="6"/>
        </w:numPr>
        <w:ind w:firstLine="480"/>
        <w:spacing w:line="360" w:lineRule="auto"/>
        <w:tabs>
          <w:tab w:val="left" w:pos="8200" w:leader="none"/>
        </w:tabs>
        <w:rPr>
          <w:rFonts w:hint="eastAsia" w:hAnsi="宋体" w:cs="宋体"/>
          <w:b w:val="0"/>
          <w:bCs/>
          <w:color w:val="000000"/>
          <w:szCs w:val="22"/>
          <w:highlight w:val="none"/>
        </w:rPr>
      </w:pPr>
      <w:r>
        <w:rPr>
          <w:rFonts w:hint="eastAsia" w:hAnsi="宋体" w:cs="宋体"/>
          <w:b w:val="0"/>
          <w:bCs/>
          <w:color w:val="000000"/>
          <w:szCs w:val="22"/>
          <w:highlight w:val="none"/>
        </w:rPr>
        <w:t xml:space="preserve">在服务采购项目中，服务由小微企业承接，即提供服务的人员为小微企业依照《中华人民共和国劳动合同法》订立劳动合同的从业人员。</w:t>
      </w:r>
      <w:r>
        <w:rPr>
          <w:rFonts w:hint="eastAsia" w:hAnsi="宋体" w:cs="宋体"/>
          <w:b w:val="0"/>
          <w:bCs/>
          <w:color w:val="000000"/>
          <w:szCs w:val="22"/>
          <w:highlight w:val="none"/>
        </w:rPr>
      </w:r>
      <w:r/>
    </w:p>
    <w:p>
      <w:pPr>
        <w:pStyle w:val="659"/>
        <w:ind w:firstLine="480"/>
        <w:spacing w:line="360" w:lineRule="auto"/>
        <w:tabs>
          <w:tab w:val="left" w:pos="8200" w:leader="none"/>
        </w:tabs>
        <w:rPr>
          <w:rFonts w:hint="eastAsia" w:hAnsi="宋体" w:cs="宋体"/>
          <w:b w:val="0"/>
          <w:bCs/>
          <w:color w:val="000000"/>
          <w:szCs w:val="22"/>
          <w:highlight w:val="none"/>
        </w:rPr>
      </w:pPr>
      <w:r>
        <w:rPr>
          <w:rFonts w:hint="eastAsia" w:hAnsi="宋体" w:cs="宋体"/>
          <w:b w:val="0"/>
          <w:bCs/>
          <w:color w:val="000000"/>
          <w:szCs w:val="22"/>
          <w:highlight w:val="none"/>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000000"/>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rPr>
          <w:rFonts w:hint="eastAsia" w:hAnsi="宋体" w:cs="宋体"/>
          <w:b w:val="0"/>
          <w:bCs/>
          <w:color w:val="000000"/>
          <w:szCs w:val="22"/>
          <w:highlight w:val="none"/>
        </w:rPr>
      </w:r>
      <w:r/>
    </w:p>
    <w:p>
      <w:pPr>
        <w:pStyle w:val="659"/>
        <w:ind w:firstLine="480"/>
        <w:spacing w:line="360" w:lineRule="auto"/>
        <w:tabs>
          <w:tab w:val="left" w:pos="8200" w:leader="none"/>
        </w:tabs>
        <w:rPr>
          <w:rFonts w:hint="eastAsia" w:hAnsi="宋体" w:cs="宋体"/>
          <w:b w:val="0"/>
          <w:bCs/>
          <w:color w:val="000000"/>
          <w:highlight w:val="none"/>
        </w:rPr>
      </w:pPr>
      <w:r>
        <w:rPr>
          <w:rFonts w:hint="eastAsia" w:hAnsi="宋体" w:cs="宋体"/>
          <w:b w:val="0"/>
          <w:bCs/>
          <w:color w:val="000000"/>
          <w:highlight w:val="none"/>
        </w:rPr>
        <w:t xml:space="preserve">②根据《关于政府采购支持监狱企业发展有关问题的通知》（财库</w:t>
      </w:r>
      <w:r>
        <w:rPr>
          <w:rFonts w:hAnsi="宋体" w:cs="宋体"/>
          <w:b w:val="0"/>
          <w:bCs/>
          <w:color w:val="000000"/>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rPr>
          <w:rFonts w:hint="eastAsia" w:hAnsi="宋体" w:cs="宋体"/>
          <w:b w:val="0"/>
          <w:bCs/>
          <w:color w:val="000000"/>
          <w:highlight w:val="none"/>
        </w:rPr>
      </w:r>
      <w:r/>
    </w:p>
    <w:p>
      <w:pPr>
        <w:pStyle w:val="659"/>
        <w:ind w:firstLine="480"/>
        <w:spacing w:line="360" w:lineRule="auto"/>
        <w:tabs>
          <w:tab w:val="left" w:pos="8200" w:leader="none"/>
        </w:tabs>
        <w:rPr>
          <w:rFonts w:hint="eastAsia" w:hAnsi="宋体" w:cs="宋体"/>
          <w:b w:val="0"/>
          <w:bCs/>
          <w:color w:val="000000"/>
          <w:highlight w:val="none"/>
        </w:rPr>
      </w:pPr>
      <w:r>
        <w:rPr>
          <w:rFonts w:hint="eastAsia" w:hAnsi="宋体" w:cs="宋体"/>
          <w:b w:val="0"/>
          <w:bCs/>
          <w:color w:val="000000"/>
          <w:highlight w:val="none"/>
        </w:rPr>
        <w:t xml:space="preserve">③根据《关于促进残疾人就业政府采购政策的通知》（财库〔</w:t>
      </w:r>
      <w:r>
        <w:rPr>
          <w:rFonts w:hAnsi="宋体" w:cs="宋体"/>
          <w:b w:val="0"/>
          <w:bCs/>
          <w:color w:val="000000"/>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hint="eastAsia" w:hAnsi="宋体" w:cs="宋体"/>
          <w:b w:val="0"/>
          <w:bCs/>
          <w:color w:val="000000"/>
          <w:highlight w:val="none"/>
        </w:rPr>
      </w:r>
      <w:r/>
    </w:p>
    <w:p>
      <w:pPr>
        <w:pStyle w:val="659"/>
        <w:ind w:firstLine="480"/>
        <w:spacing w:line="360" w:lineRule="auto"/>
        <w:tabs>
          <w:tab w:val="left" w:pos="8200" w:leader="none"/>
        </w:tabs>
        <w:rPr>
          <w:b w:val="0"/>
          <w:bCs/>
          <w:color w:val="000000"/>
          <w:highlight w:val="none"/>
        </w:rPr>
      </w:pPr>
      <w:r>
        <w:rPr>
          <w:rFonts w:hint="eastAsia" w:hAnsi="宋体" w:cs="宋体"/>
          <w:b w:val="0"/>
          <w:bCs/>
          <w:color w:val="000000"/>
          <w:highlight w:val="none"/>
        </w:rPr>
        <w:t xml:space="preserve">④</w:t>
      </w:r>
      <w:r>
        <w:rPr>
          <w:rFonts w:hint="eastAsia" w:hAnsi="宋体"/>
          <w:b w:val="0"/>
          <w:bCs/>
          <w:color w:val="000000"/>
          <w:highlight w:val="none"/>
        </w:rPr>
        <w:t xml:space="preserve">残疾人福利单位、监狱企业属于小型、微型企业的，不重复享受政策。</w:t>
      </w:r>
      <w:r>
        <w:rPr>
          <w:b w:val="0"/>
          <w:bCs/>
          <w:color w:val="000000"/>
          <w:highlight w:val="none"/>
        </w:rPr>
      </w:r>
      <w:r/>
    </w:p>
    <w:p>
      <w:pPr>
        <w:pStyle w:val="659"/>
        <w:ind w:firstLine="480"/>
        <w:spacing w:line="360" w:lineRule="auto"/>
        <w:tabs>
          <w:tab w:val="left" w:pos="8200" w:leader="none"/>
        </w:tabs>
        <w:rPr>
          <w:color w:val="000000"/>
          <w:highlight w:val="none"/>
        </w:rPr>
      </w:pPr>
      <w:r>
        <w:rPr>
          <w:color w:val="000000"/>
          <w:highlight w:val="none"/>
        </w:rPr>
        <w:br w:type="page" w:clear="all"/>
      </w:r>
      <w:r>
        <w:rPr>
          <w:color w:val="000000"/>
          <w:highlight w:val="none"/>
        </w:rPr>
      </w:r>
      <w:r/>
    </w:p>
    <w:p>
      <w:pPr>
        <w:pStyle w:val="659"/>
        <w:jc w:val="center"/>
        <w:spacing w:line="360" w:lineRule="auto"/>
        <w:shd w:val="clear" w:color="auto" w:fill="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第五部分  合同格式</w:t>
      </w:r>
      <w:r>
        <w:rPr>
          <w:rFonts w:hint="eastAsia" w:ascii="宋体" w:hAnsi="宋体" w:eastAsia="宋体" w:cs="宋体"/>
          <w:b/>
          <w:color w:val="000000"/>
          <w:sz w:val="36"/>
          <w:szCs w:val="36"/>
          <w:highlight w:val="none"/>
        </w:rPr>
      </w:r>
      <w:r/>
    </w:p>
    <w:p>
      <w:pPr>
        <w:pStyle w:val="659"/>
        <w:spacing w:after="60" w:line="360" w:lineRule="auto"/>
        <w:rPr>
          <w:rFonts w:hint="eastAsia" w:ascii="宋体" w:hAnsi="宋体" w:eastAsia="宋体" w:cs="宋体"/>
          <w:color w:val="000000"/>
          <w:szCs w:val="21"/>
          <w:highlight w:val="none"/>
        </w:rPr>
      </w:pPr>
      <w:r/>
      <w:bookmarkStart w:id="143" w:name="_Toc14707"/>
      <w:r/>
      <w:bookmarkStart w:id="144" w:name="_Toc5321_WPSOffice_Level2"/>
      <w:r>
        <w:rPr>
          <w:rFonts w:hint="eastAsia" w:ascii="宋体" w:hAnsi="宋体" w:eastAsia="宋体" w:cs="宋体"/>
          <w:color w:val="000000"/>
          <w:szCs w:val="21"/>
          <w:highlight w:val="none"/>
        </w:rPr>
      </w:r>
      <w:r/>
    </w:p>
    <w:p>
      <w:pPr>
        <w:pStyle w:val="659"/>
        <w:jc w:val="center"/>
        <w:shd w:val="clear" w:color="auto" w:fill="auto"/>
        <w:rPr>
          <w:rFonts w:hint="eastAsia" w:ascii="宋体" w:hAnsi="宋体" w:eastAsia="宋体" w:cs="宋体"/>
          <w:b/>
          <w:bCs/>
          <w:color w:val="000000"/>
          <w:sz w:val="28"/>
          <w:szCs w:val="36"/>
          <w:highlight w:val="none"/>
        </w:rPr>
      </w:pPr>
      <w:r>
        <w:rPr>
          <w:rFonts w:hint="eastAsia" w:ascii="宋体" w:hAnsi="宋体" w:cs="宋体"/>
          <w:b/>
          <w:bCs/>
          <w:color w:val="000000"/>
          <w:sz w:val="28"/>
          <w:szCs w:val="36"/>
          <w:highlight w:val="none"/>
          <w:lang w:eastAsia="zh-CN"/>
        </w:rPr>
        <w:t xml:space="preserve">南通市电子政务外网设备更新项目（2025年度）</w:t>
      </w:r>
      <w:r>
        <w:rPr>
          <w:rFonts w:hint="eastAsia" w:ascii="宋体" w:hAnsi="宋体" w:eastAsia="宋体" w:cs="宋体"/>
          <w:b/>
          <w:bCs/>
          <w:color w:val="000000"/>
          <w:sz w:val="28"/>
          <w:szCs w:val="36"/>
          <w:highlight w:val="none"/>
        </w:rPr>
        <w:t xml:space="preserve">合同</w:t>
      </w:r>
      <w:r>
        <w:rPr>
          <w:rFonts w:hint="eastAsia" w:ascii="宋体" w:hAnsi="宋体" w:eastAsia="宋体" w:cs="宋体"/>
          <w:b/>
          <w:bCs/>
          <w:color w:val="000000"/>
          <w:sz w:val="28"/>
          <w:szCs w:val="36"/>
          <w:highlight w:val="none"/>
        </w:rPr>
      </w:r>
      <w:r/>
    </w:p>
    <w:p>
      <w:pPr>
        <w:pStyle w:val="659"/>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659"/>
        <w:pageBreakBefore w:val="0"/>
        <w:spacing w:line="360" w:lineRule="auto"/>
        <w:shd w:val="clear" w:color="auto" w:fill="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（或称甲方）：</w:t>
      </w:r>
      <w:r>
        <w:rPr>
          <w:rFonts w:hint="eastAsia" w:ascii="宋体" w:hAnsi="宋体" w:cs="宋体"/>
          <w:color w:val="000000"/>
          <w:sz w:val="21"/>
          <w:szCs w:val="21"/>
          <w:highlight w:val="none"/>
          <w:lang w:eastAsia="zh-CN"/>
        </w:rPr>
        <w:t xml:space="preserve">南通市大数据管理中心</w:t>
      </w:r>
      <w:r>
        <w:rPr>
          <w:rFonts w:hint="eastAsia" w:ascii="宋体" w:hAnsi="宋体" w:eastAsia="宋体" w:cs="宋体"/>
          <w:color w:val="000000"/>
          <w:sz w:val="21"/>
          <w:szCs w:val="21"/>
          <w:highlight w:val="none"/>
          <w:u w:val="single"/>
          <w:lang w:eastAsia="zh-CN"/>
        </w:rPr>
      </w:r>
      <w:r/>
    </w:p>
    <w:p>
      <w:pPr>
        <w:pStyle w:val="659"/>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（或称乙方）：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659"/>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签订地点：南通</w:t>
      </w: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根据《中华人民共和国民法典》及其他有关法律法规，甲乙双方经友好协商，本着平等互利的原则，就</w:t>
      </w:r>
      <w:r>
        <w:rPr>
          <w:rFonts w:hint="eastAsia" w:ascii="宋体" w:hAnsi="宋体" w:cs="宋体"/>
          <w:color w:val="000000"/>
          <w:sz w:val="21"/>
          <w:szCs w:val="21"/>
          <w:highlight w:val="none"/>
          <w:lang w:eastAsia="zh-CN"/>
        </w:rPr>
        <w:t xml:space="preserve">南通市电子政务外网设备更新项目（2025年度）</w:t>
      </w:r>
      <w:r>
        <w:rPr>
          <w:rFonts w:hint="eastAsia" w:ascii="宋体" w:hAnsi="宋体" w:eastAsia="宋体" w:cs="宋体"/>
          <w:color w:val="000000"/>
          <w:sz w:val="21"/>
          <w:szCs w:val="21"/>
          <w:highlight w:val="none"/>
        </w:rPr>
        <w:t xml:space="preserve">，达成一致并签订如下协议。</w:t>
      </w:r>
      <w:r>
        <w:rPr>
          <w:rFonts w:hint="eastAsia" w:ascii="宋体" w:hAnsi="宋体" w:eastAsia="宋体" w:cs="宋体"/>
          <w:color w:val="000000"/>
          <w:sz w:val="21"/>
          <w:szCs w:val="21"/>
          <w:highlight w:val="none"/>
        </w:rPr>
      </w:r>
      <w:r/>
    </w:p>
    <w:p>
      <w:pPr>
        <w:pStyle w:val="998"/>
        <w:numPr>
          <w:ilvl w:val="0"/>
          <w:numId w:val="0"/>
        </w:numPr>
        <w:pageBreakBefore w:val="0"/>
        <w:spacing w:before="120" w:after="120" w:line="240" w:lineRule="auto"/>
        <w:shd w:val="clear" w:color="auto" w:fill="auto"/>
        <w:tabs>
          <w:tab w:val="left" w:pos="0"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一、合同金额及付款方式</w:t>
      </w:r>
      <w:r>
        <w:rPr>
          <w:rFonts w:hint="eastAsia" w:ascii="宋体" w:hAnsi="宋体" w:eastAsia="宋体" w:cs="宋体"/>
          <w:b/>
          <w:color w:val="000000"/>
          <w:sz w:val="21"/>
          <w:szCs w:val="21"/>
          <w:highlight w:val="none"/>
          <w:lang w:val="en-US"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本项目合同总额合计人民币：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元（人民币大写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210706 \* CHINESENUM2 </w:instrTex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付款方式：签订合同后支付50%，项目实施完成验收通过后支付50%。</w:t>
      </w: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.每次付款前乙方需向甲方提供合法、相对应金额的增值税普通发票，否则甲方有权拒绝付款而不视为违约。以上付款均不计利息。</w:t>
      </w:r>
      <w:r>
        <w:rPr>
          <w:rFonts w:hint="eastAsia" w:ascii="宋体" w:hAnsi="宋体" w:eastAsia="宋体" w:cs="宋体"/>
          <w:color w:val="000000"/>
          <w:sz w:val="21"/>
          <w:szCs w:val="21"/>
          <w:highlight w:val="none"/>
          <w:lang w:val="en-US" w:eastAsia="zh-CN"/>
        </w:rPr>
      </w:r>
      <w:r/>
    </w:p>
    <w:p>
      <w:pPr>
        <w:pStyle w:val="998"/>
        <w:numPr>
          <w:ilvl w:val="0"/>
          <w:numId w:val="0"/>
        </w:numPr>
        <w:pageBreakBefore w:val="0"/>
        <w:spacing w:before="120" w:after="120" w:line="240" w:lineRule="auto"/>
        <w:shd w:val="clear" w:color="auto" w:fill="auto"/>
        <w:tabs>
          <w:tab w:val="left" w:pos="0" w:leader="none"/>
        </w:tabs>
        <w:rPr>
          <w:rFonts w:ascii="宋体" w:hAnsi="宋体" w:eastAsia="宋体" w:cs="宋体"/>
          <w:b/>
          <w:color w:val="000000"/>
          <w:sz w:val="21"/>
          <w:szCs w:val="21"/>
          <w:highlight w:val="none"/>
          <w:lang w:val="en-US" w:eastAsia="zh-CN"/>
        </w:rPr>
      </w:pPr>
      <w:r>
        <w:rPr>
          <w:rFonts w:hint="eastAsia" w:hAnsi="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lang w:val="en-US" w:eastAsia="zh-CN"/>
        </w:rPr>
        <w:t xml:space="preserve">、</w:t>
      </w:r>
      <w:r>
        <w:rPr>
          <w:rFonts w:hint="eastAsia" w:hAnsi="宋体" w:eastAsia="宋体" w:cs="宋体"/>
          <w:b/>
          <w:color w:val="000000"/>
          <w:sz w:val="21"/>
          <w:szCs w:val="21"/>
          <w:highlight w:val="none"/>
          <w:lang w:val="en-US" w:eastAsia="zh-CN"/>
        </w:rPr>
        <w:t xml:space="preserve">合同标的物</w:t>
      </w:r>
      <w:r>
        <w:rPr>
          <w:rFonts w:ascii="宋体" w:hAnsi="宋体" w:eastAsia="宋体" w:cs="宋体"/>
          <w:b/>
          <w:color w:val="000000"/>
          <w:sz w:val="21"/>
          <w:szCs w:val="21"/>
          <w:highlight w:val="none"/>
          <w:lang w:val="en-US"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甲方向乙方采购标的物，具体的品种、规格要求详见</w:t>
      </w:r>
      <w:r>
        <w:rPr>
          <w:rFonts w:hint="eastAsia" w:ascii="宋体" w:hAnsi="宋体" w:eastAsia="宋体" w:cs="宋体"/>
          <w:color w:val="000000"/>
          <w:sz w:val="21"/>
          <w:szCs w:val="21"/>
          <w:highlight w:val="none"/>
          <w:lang w:val="en-US" w:eastAsia="zh-CN"/>
        </w:rPr>
        <w:t xml:space="preserve">下表</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tbl>
      <w:tblPr>
        <w:tblpPr w:horzAnchor="page" w:tblpX="1465" w:vertAnchor="text" w:tblpY="298" w:leftFromText="180" w:topFromText="0" w:rightFromText="180" w:bottomFromText="0"/>
        <w:tblW w:w="4966"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56"/>
        <w:gridCol w:w="1462"/>
        <w:gridCol w:w="2486"/>
        <w:gridCol w:w="795"/>
        <w:gridCol w:w="941"/>
        <w:gridCol w:w="1305"/>
        <w:gridCol w:w="1267"/>
      </w:tblGrid>
      <w:tr>
        <w:trPr>
          <w:trHeight w:val="281"/>
        </w:trPr>
        <w:tc>
          <w:tcPr>
            <w:tcMar>
              <w:left w:w="108" w:type="dxa"/>
              <w:top w:w="0" w:type="dxa"/>
              <w:right w:w="108" w:type="dxa"/>
              <w:bottom w:w="0" w:type="dxa"/>
            </w:tcMar>
            <w:tcW w:w="470"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2"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64" w:type="dxa"/>
            <w:vAlign w:val="center"/>
            <w:textDirection w:val="lrTb"/>
            <w:noWrap w:val="false"/>
          </w:tcPr>
          <w:p>
            <w:pPr>
              <w:pStyle w:val="659"/>
              <w:jc w:val="center"/>
              <w:widowControl/>
              <w:rPr>
                <w:rFonts w:ascii="宋体" w:hAnsi="宋体" w:eastAsia="宋体" w:cs="宋体"/>
                <w:color w:val="000000"/>
                <w:sz w:val="21"/>
                <w:szCs w:val="21"/>
                <w:highlight w:val="none"/>
                <w:lang w:val="en-US" w:eastAsia="zh-CN"/>
              </w:rPr>
              <w:framePr w:vAnchor="text" w:hAnchor="page" w:x="1465" w:y="298"/>
            </w:pPr>
            <w:r>
              <w:rPr>
                <w:rFonts w:hint="eastAsia" w:ascii="宋体" w:hAnsi="宋体" w:eastAsia="宋体" w:cs="宋体"/>
                <w:color w:val="000000"/>
                <w:sz w:val="21"/>
                <w:szCs w:val="21"/>
                <w:highlight w:val="none"/>
                <w:lang w:val="en-US" w:eastAsia="zh-CN"/>
              </w:rPr>
              <w:t xml:space="preserve">型号参数</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436"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bidi="ar-SA"/>
              </w:rPr>
              <w:framePr w:vAnchor="text" w:hAnchor="page" w:x="1465" w:y="298"/>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516"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shd w:val="clear" w:color="auto" w:fill="ffffff"/>
            <w:tcMar>
              <w:left w:w="108" w:type="dxa"/>
              <w:top w:w="0" w:type="dxa"/>
              <w:right w:w="108" w:type="dxa"/>
              <w:bottom w:w="0" w:type="dxa"/>
            </w:tcMar>
            <w:tcW w:w="714" w:type="dxa"/>
            <w:vAlign w:val="center"/>
            <w:textDirection w:val="lrTb"/>
            <w:noWrap w:val="false"/>
          </w:tcPr>
          <w:p>
            <w:pPr>
              <w:pStyle w:val="659"/>
              <w:jc w:val="center"/>
              <w:rPr>
                <w:rFonts w:hint="eastAsia" w:ascii="宋体" w:hAnsi="宋体" w:eastAsia="宋体" w:cs="宋体"/>
                <w:color w:val="000000"/>
                <w:sz w:val="21"/>
                <w:szCs w:val="21"/>
                <w:highlight w:val="none"/>
                <w:lang w:val="en-US" w:eastAsia="zh-CN" w:bidi="ar-SA"/>
              </w:rPr>
              <w:framePr w:vAnchor="text" w:hAnchor="page" w:x="1465" w:y="298"/>
            </w:pPr>
            <w:r>
              <w:rPr>
                <w:rFonts w:hint="eastAsia" w:ascii="宋体" w:hAnsi="宋体" w:eastAsia="宋体" w:cs="宋体"/>
                <w:color w:val="000000"/>
                <w:sz w:val="21"/>
                <w:szCs w:val="21"/>
                <w:highlight w:val="none"/>
              </w:rPr>
              <w:t xml:space="preserve">单价（元）</w:t>
            </w:r>
            <w:r>
              <w:rPr>
                <w:rFonts w:hint="eastAsia" w:ascii="宋体" w:hAnsi="宋体" w:eastAsia="宋体" w:cs="宋体"/>
                <w:color w:val="000000"/>
                <w:sz w:val="21"/>
                <w:szCs w:val="21"/>
                <w:highlight w:val="none"/>
                <w:lang w:val="en-US" w:eastAsia="zh-CN" w:bidi="ar-SA"/>
              </w:rPr>
            </w:r>
            <w:r/>
          </w:p>
        </w:tc>
        <w:tc>
          <w:tcPr>
            <w:shd w:val="clear" w:color="auto" w:fill="ffffff"/>
            <w:tcMar>
              <w:left w:w="108" w:type="dxa"/>
              <w:top w:w="0" w:type="dxa"/>
              <w:right w:w="108" w:type="dxa"/>
              <w:bottom w:w="0" w:type="dxa"/>
            </w:tcMar>
            <w:tcW w:w="695" w:type="dxa"/>
            <w:vAlign w:val="center"/>
            <w:textDirection w:val="lrTb"/>
            <w:noWrap w:val="false"/>
          </w:tcPr>
          <w:p>
            <w:pPr>
              <w:pStyle w:val="659"/>
              <w:jc w:val="center"/>
              <w:rPr>
                <w:rFonts w:hint="eastAsia" w:ascii="宋体" w:hAnsi="宋体" w:eastAsia="宋体" w:cs="宋体"/>
                <w:color w:val="000000"/>
                <w:sz w:val="21"/>
                <w:szCs w:val="21"/>
                <w:highlight w:val="none"/>
                <w:lang w:val="en-US" w:eastAsia="zh-CN" w:bidi="ar-SA"/>
              </w:rPr>
              <w:framePr w:vAnchor="text" w:hAnchor="page" w:x="1465" w:y="298"/>
            </w:pPr>
            <w:r>
              <w:rPr>
                <w:rFonts w:hint="eastAsia" w:ascii="宋体" w:hAnsi="宋体" w:eastAsia="宋体" w:cs="宋体"/>
                <w:color w:val="000000"/>
                <w:sz w:val="21"/>
                <w:szCs w:val="21"/>
                <w:highlight w:val="none"/>
              </w:rPr>
              <w:t xml:space="preserve">总价（元）</w:t>
            </w:r>
            <w:r>
              <w:rPr>
                <w:rFonts w:hint="eastAsia" w:ascii="宋体" w:hAnsi="宋体" w:eastAsia="宋体" w:cs="宋体"/>
                <w:color w:val="000000"/>
                <w:sz w:val="21"/>
                <w:szCs w:val="21"/>
                <w:highlight w:val="none"/>
                <w:lang w:val="en-US" w:eastAsia="zh-CN" w:bidi="ar-SA"/>
              </w:rPr>
            </w:r>
            <w:r/>
          </w:p>
        </w:tc>
      </w:tr>
      <w:tr>
        <w:trPr/>
        <w:tc>
          <w:tcPr>
            <w:tcMar>
              <w:left w:w="108" w:type="dxa"/>
              <w:top w:w="0" w:type="dxa"/>
              <w:right w:w="108" w:type="dxa"/>
              <w:bottom w:w="0" w:type="dxa"/>
            </w:tcMar>
            <w:tcW w:w="470"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2"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路由器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64"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36"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bidi="ar-SA"/>
              </w:rPr>
              <w:framePr w:vAnchor="text" w:hAnchor="page" w:x="1465" w:y="298"/>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516"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14"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5"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470"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rPr>
              <w:framePr w:vAnchor="text" w:hAnchor="page" w:x="1465" w:y="298"/>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802"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lang w:bidi="ar"/>
              </w:rPr>
              <w:t xml:space="preserve">集成服务</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64"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rPr>
              <w:framePr w:vAnchor="text" w:hAnchor="page" w:x="1465" w:y="298"/>
            </w:pP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436"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bidi="ar-SA"/>
              </w:rPr>
              <w:framePr w:vAnchor="text" w:hAnchor="page" w:x="1465" w:y="298"/>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516"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rPr>
              <w:framePr w:vAnchor="text" w:hAnchor="page" w:x="1465" w:y="298"/>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14"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5"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r>
      <w:tr>
        <w:trPr/>
        <w:tc>
          <w:tcPr>
            <w:gridSpan w:val="6"/>
            <w:tcMar>
              <w:left w:w="108" w:type="dxa"/>
              <w:top w:w="0" w:type="dxa"/>
              <w:right w:w="108" w:type="dxa"/>
              <w:bottom w:w="0" w:type="dxa"/>
            </w:tcMar>
            <w:tcW w:w="7845" w:type="dxa"/>
            <w:vAlign w:val="center"/>
            <w:textDirection w:val="lrTb"/>
            <w:noWrap w:val="false"/>
          </w:tcPr>
          <w:p>
            <w:pPr>
              <w:pStyle w:val="659"/>
              <w:jc w:val="center"/>
              <w:widowControl/>
              <w:rPr>
                <w:rFonts w:hint="eastAsia" w:ascii="宋体" w:hAnsi="宋体" w:eastAsia="宋体" w:cs="宋体"/>
                <w:color w:val="000000"/>
                <w:sz w:val="21"/>
                <w:szCs w:val="21"/>
                <w:highlight w:val="none"/>
                <w:lang w:val="en-US" w:eastAsia="zh-CN"/>
              </w:rPr>
              <w:framePr w:vAnchor="text" w:hAnchor="page" w:x="1465" w:y="298"/>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695" w:type="dxa"/>
            <w:vAlign w:val="center"/>
            <w:textDirection w:val="lrTb"/>
            <w:noWrap w:val="false"/>
          </w:tcPr>
          <w:p>
            <w:pPr>
              <w:pStyle w:val="659"/>
              <w:jc w:val="center"/>
              <w:widowControl/>
              <w:rPr>
                <w:rFonts w:hint="eastAsia" w:ascii="宋体" w:hAnsi="宋体" w:eastAsia="宋体" w:cs="宋体"/>
                <w:color w:val="000000"/>
                <w:sz w:val="21"/>
                <w:szCs w:val="21"/>
                <w:highlight w:val="none"/>
              </w:rPr>
              <w:framePr w:vAnchor="text" w:hAnchor="page" w:x="1465" w:y="298"/>
            </w:pPr>
            <w:r>
              <w:rPr>
                <w:rFonts w:hint="eastAsia" w:ascii="宋体" w:hAnsi="宋体" w:eastAsia="宋体" w:cs="宋体"/>
                <w:color w:val="000000"/>
                <w:sz w:val="21"/>
                <w:szCs w:val="21"/>
                <w:highlight w:val="none"/>
              </w:rPr>
            </w:r>
            <w:r/>
          </w:p>
        </w:tc>
      </w:tr>
    </w:tbl>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659"/>
        <w:ind w:firstLine="420"/>
        <w:jc w:val="left"/>
        <w:pageBreakBefore w:val="0"/>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乙方对提供的标的物应当拥有完整的物权，并且负有保证第三人不得向甲方主张任何权利（包括知识产权）的义务</w:t>
      </w:r>
      <w:r>
        <w:rPr>
          <w:rFonts w:ascii="宋体" w:hAnsi="宋体" w:eastAsia="宋体" w:cs="宋体"/>
          <w:color w:val="000000"/>
          <w:sz w:val="21"/>
          <w:szCs w:val="21"/>
          <w:highlight w:val="none"/>
          <w:lang w:val="en-US" w:eastAsia="zh-CN"/>
        </w:rPr>
      </w:r>
      <w:r/>
    </w:p>
    <w:p>
      <w:pPr>
        <w:pStyle w:val="997"/>
        <w:jc w:val="both"/>
        <w:pageBreakBefore w:val="0"/>
        <w:spacing w:before="0" w:beforeAutospacing="0" w:after="0" w:afterAutospacing="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三、质量保证</w:t>
      </w:r>
      <w:r>
        <w:rPr>
          <w:rFonts w:ascii="宋体" w:hAnsi="宋体" w:eastAsia="宋体" w:cs="宋体"/>
          <w:b/>
          <w:bCs/>
          <w:color w:val="000000"/>
          <w:sz w:val="21"/>
          <w:szCs w:val="21"/>
          <w:highlight w:val="none"/>
          <w:lang w:val="en-US"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乙方应保证货物是全新、未使用过的原厂合格产品，并完全符合</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文件及本合同规定的质量、规格和参数的要求。验收过程中发现不符合要求的，将视作不合格产品，使用方有权终止合同，造成的一切损失由乙方承担。</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产品的技术标准按国家标准执行，无国家标准的，按行业标准执行，无国家和行业标准的，按企业标准执行；但在</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文件中有特别要求的，按</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zh-CN" w:eastAsia="zh-CN"/>
        </w:rPr>
        <w:t xml:space="preserve">文件中规定的要求执行，并且符合相关法律、法规规定的要求。</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乙方应保证提供的产品不得侵犯第三方专利权、商标权和设计权、版权等。否则，乙方应负全部责任，并承担由此引起的一切后果。</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乙方应保证其货物在正确安装、正常使用下，在其使用寿命期内应具有满意的性能。</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乙方应采取必要的安全措施保证货物的运输及安装的安全，并承担货物的运输及安装过程中产生的风险。</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乙方必须保证所提供的产品符合国家相应质量要求，所有产品必须具备市级及以上质量技术监督机构出具的合格证书，并随货同行。</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除特别约定外，合同条款内项目（标的物）的质量保证期均自项目（标的物）通过最终验收之日起计算，质量保证期按</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zh-CN" w:eastAsia="zh-CN"/>
        </w:rPr>
        <w:t xml:space="preserve">承诺。</w:t>
      </w:r>
      <w:r>
        <w:rPr>
          <w:rFonts w:hint="eastAsia" w:ascii="宋体" w:hAnsi="宋体" w:eastAsia="宋体" w:cs="宋体"/>
          <w:color w:val="000000"/>
          <w:sz w:val="21"/>
          <w:szCs w:val="21"/>
          <w:highlight w:val="none"/>
          <w:lang w:val="en-US" w:eastAsia="zh-CN"/>
        </w:rPr>
      </w:r>
      <w:r/>
    </w:p>
    <w:p>
      <w:pPr>
        <w:pStyle w:val="997"/>
        <w:jc w:val="both"/>
        <w:pageBreakBefore w:val="0"/>
        <w:spacing w:before="0" w:beforeAutospacing="0" w:after="0" w:afterAutospacing="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四、包装</w:t>
      </w:r>
      <w:r>
        <w:rPr>
          <w:rFonts w:ascii="宋体" w:hAnsi="宋体" w:eastAsia="宋体" w:cs="宋体"/>
          <w:b/>
          <w:bCs/>
          <w:color w:val="000000"/>
          <w:sz w:val="21"/>
          <w:szCs w:val="21"/>
          <w:highlight w:val="none"/>
          <w:lang w:val="en-US"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乙方提供的设备必须为原包装，在送交甲方验收前不得拆箱。</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乙方所出售的全部货物均应按标准保护措施进行包装，这类包装应适应于远距离运输、防潮、防震、防锈和防野蛮装卸等要求，以确保货物安全无损地运抵指定现场。</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每一个包装箱内应附有出厂标准配置的有关技术、质量、三包等资料。</w:t>
      </w:r>
      <w:r>
        <w:rPr>
          <w:rFonts w:hint="eastAsia" w:ascii="宋体" w:hAnsi="宋体" w:eastAsia="宋体" w:cs="宋体"/>
          <w:color w:val="000000"/>
          <w:sz w:val="21"/>
          <w:szCs w:val="21"/>
          <w:highlight w:val="none"/>
          <w:lang w:val="en-US" w:eastAsia="zh-CN"/>
        </w:rPr>
      </w:r>
      <w:r/>
    </w:p>
    <w:p>
      <w:pPr>
        <w:pStyle w:val="997"/>
        <w:jc w:val="both"/>
        <w:pageBreakBefore w:val="0"/>
        <w:spacing w:before="0" w:beforeAutospacing="0" w:after="0" w:afterAutospacing="0"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zh-CN" w:eastAsia="zh-CN"/>
        </w:rPr>
        <w:t xml:space="preserve">标的物的交付</w:t>
      </w:r>
      <w:r>
        <w:rPr>
          <w:rFonts w:hint="eastAsia" w:ascii="宋体" w:hAnsi="宋体" w:eastAsia="宋体" w:cs="宋体"/>
          <w:b/>
          <w:bCs/>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标的物的所有权自标的物交付时转移。</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乙方应当按照约定的期限和约定的地点交付标的物。</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乙方应当按照约定或者交易习惯向甲方交付提取标的物单证以外的有关单证和资料。</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产品设备交货、安装调试服务</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4.1产品设备交付： </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① 交货地点：产品设备送至甲方指定的地点并负责安装、调试。</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② 货物装卸、运输涉及到的保险，其费用包含在合同总价中。</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4.2交货期（服务时间）</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rPr>
        <w:t xml:space="preserve">合同签订之日起</w:t>
      </w:r>
      <w:r>
        <w:rPr>
          <w:rFonts w:hint="eastAsia" w:ascii="宋体" w:hAnsi="宋体" w:eastAsia="宋体" w:cs="宋体"/>
          <w:color w:val="000000"/>
          <w:sz w:val="21"/>
          <w:szCs w:val="21"/>
          <w:highlight w:val="none"/>
          <w:lang w:val="en-US" w:eastAsia="zh-CN"/>
        </w:rPr>
        <w:t xml:space="preserve">3个月</w:t>
      </w:r>
      <w:r>
        <w:rPr>
          <w:rFonts w:hint="eastAsia" w:ascii="宋体" w:hAnsi="宋体" w:eastAsia="宋体" w:cs="宋体"/>
          <w:color w:val="000000"/>
          <w:sz w:val="21"/>
          <w:szCs w:val="21"/>
          <w:highlight w:val="none"/>
        </w:rPr>
        <w:t xml:space="preserve">内</w:t>
      </w:r>
      <w:r>
        <w:rPr>
          <w:rFonts w:hint="eastAsia" w:ascii="宋体" w:hAnsi="宋体" w:eastAsia="宋体" w:cs="宋体"/>
          <w:color w:val="000000"/>
          <w:sz w:val="21"/>
          <w:szCs w:val="21"/>
          <w:highlight w:val="none"/>
          <w:lang w:val="en-US" w:eastAsia="zh-CN"/>
        </w:rPr>
        <w:t xml:space="preserve">完成供货、</w:t>
      </w:r>
      <w:r>
        <w:rPr>
          <w:rFonts w:hint="eastAsia" w:ascii="宋体" w:hAnsi="宋体" w:eastAsia="宋体" w:cs="宋体"/>
          <w:color w:val="000000"/>
          <w:sz w:val="21"/>
          <w:szCs w:val="21"/>
          <w:highlight w:val="none"/>
        </w:rPr>
        <w:t xml:space="preserve">安装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调试，服务至各区县网络对接完成</w:t>
      </w:r>
      <w:r>
        <w:rPr>
          <w:rFonts w:hint="eastAsia" w:ascii="宋体" w:hAnsi="宋体" w:eastAsia="宋体" w:cs="宋体"/>
          <w:color w:val="000000"/>
          <w:sz w:val="21"/>
          <w:szCs w:val="21"/>
          <w:highlight w:val="none"/>
          <w:lang w:val="zh-CN" w:eastAsia="zh-CN"/>
        </w:rPr>
        <w:t xml:space="preserve">。否则乙方按照每天合同金额百分之一支付违约金。</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4.3乙方发货到甲方指定地点前应先告知甲方。产品交货时，应提供到货产品、材料的清单等。</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4.4按国家相关行业规定安装规范和标准完成安装、服务工作。</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4.5全部货物的外包装必须采用防漏、防潮、防震、防锈、防盗和考虑到可能会发生的野蛮装卸等长途运输及多次装卸之需要。如因乙方包装不当以及其它原因造成损坏或丢失，应由乙方负一切责任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97"/>
        <w:jc w:val="both"/>
        <w:pageBreakBefore w:val="0"/>
        <w:spacing w:before="0" w:beforeAutospacing="0" w:after="0" w:afterAutospacing="0"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zh-CN" w:eastAsia="zh-CN"/>
        </w:rPr>
        <w:t xml:space="preserve">、伴随服务</w:t>
      </w:r>
      <w:r>
        <w:rPr>
          <w:rFonts w:hint="eastAsia" w:ascii="宋体" w:hAnsi="宋体" w:eastAsia="宋体" w:cs="宋体"/>
          <w:b/>
          <w:bCs/>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乙方除应履行按期按量交付合格标的物的义务外，还应当提供下列服务：</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1.1 标的物的现场安装、启动、调试、监督；</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 提供标的物组装和一般维修所必需的工具；</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 在合同规定的期限内对所提供的标的物实行运行监督、维修服务的前提条件是该服务并不能免除乙方在质量保证期内所承担的义务；</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 对甲方技术人员的技术指导或培训。</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除合同另有规定之外，伴随服务的费用均已含在合同价款中，甲方不再另行支付。</w:t>
      </w:r>
      <w:r>
        <w:rPr>
          <w:rFonts w:hint="eastAsia" w:ascii="宋体" w:hAnsi="宋体" w:eastAsia="宋体" w:cs="宋体"/>
          <w:color w:val="000000"/>
          <w:sz w:val="21"/>
          <w:szCs w:val="21"/>
          <w:highlight w:val="none"/>
          <w:lang w:val="zh-CN" w:eastAsia="zh-CN"/>
        </w:rPr>
      </w:r>
      <w:r/>
    </w:p>
    <w:p>
      <w:pPr>
        <w:pStyle w:val="659"/>
        <w:ind w:firstLine="420"/>
        <w:jc w:val="left"/>
        <w:pageBreakBefore w:val="0"/>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必须向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提供本项目中所有设备的安装、操作手册等产品技术手册，所提交文档的质量和完善程度将作为系统验收通过的重要依据</w:t>
      </w:r>
      <w:r>
        <w:rPr>
          <w:rFonts w:ascii="宋体" w:hAnsi="宋体" w:eastAsia="宋体" w:cs="宋体"/>
          <w:color w:val="000000"/>
          <w:sz w:val="21"/>
          <w:szCs w:val="21"/>
          <w:highlight w:val="none"/>
          <w:lang w:val="en-US" w:eastAsia="zh-CN"/>
        </w:rPr>
      </w:r>
      <w:r/>
    </w:p>
    <w:p>
      <w:pPr>
        <w:pStyle w:val="997"/>
        <w:jc w:val="both"/>
        <w:pageBreakBefore w:val="0"/>
        <w:spacing w:before="0" w:beforeAutospacing="0" w:after="0" w:afterAutospacing="0"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七、标的物的验收</w:t>
      </w:r>
      <w:r>
        <w:rPr>
          <w:rFonts w:hint="eastAsia" w:ascii="宋体" w:hAnsi="宋体" w:eastAsia="宋体" w:cs="宋体"/>
          <w:b/>
          <w:bCs/>
          <w:color w:val="000000"/>
          <w:sz w:val="21"/>
          <w:szCs w:val="21"/>
          <w:highlight w:val="none"/>
          <w:lang w:val="en-US" w:eastAsia="zh-CN"/>
        </w:rPr>
        <w:t xml:space="preserve">标准</w:t>
      </w:r>
      <w:r>
        <w:rPr>
          <w:rFonts w:ascii="宋体" w:hAnsi="宋体" w:eastAsia="宋体" w:cs="宋体"/>
          <w:b/>
          <w:bCs/>
          <w:color w:val="000000"/>
          <w:sz w:val="21"/>
          <w:szCs w:val="21"/>
          <w:highlight w:val="none"/>
          <w:lang w:val="en-US"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按合同约定积极配合</w:t>
      </w:r>
      <w:r>
        <w:rPr>
          <w:rFonts w:hint="eastAsia"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履约，</w:t>
      </w:r>
      <w:r>
        <w:rPr>
          <w:rFonts w:hint="eastAsia"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到位后，请以书面形式向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提出验收申请，</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接到申请后原则上在5个工作日内及时组织相关专业技术人员，必要时邀请采购中心、质检等部门共同参与验收，并出具验收报告</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97"/>
        <w:jc w:val="both"/>
        <w:pageBreakBefore w:val="0"/>
        <w:spacing w:before="0" w:beforeAutospacing="0" w:after="0" w:afterAutospacing="0"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eastAsia="zh-CN"/>
        </w:rPr>
        <w:t xml:space="preserve">质保及售后服务</w:t>
      </w:r>
      <w:r>
        <w:rPr>
          <w:rFonts w:hint="eastAsia" w:ascii="宋体" w:hAnsi="宋体" w:eastAsia="宋体" w:cs="宋体"/>
          <w:b/>
          <w:bCs/>
          <w:color w:val="000000"/>
          <w:sz w:val="21"/>
          <w:szCs w:val="21"/>
          <w:highlight w:val="none"/>
          <w:lang w:val="zh-CN" w:eastAsia="zh-CN"/>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乙</w:t>
      </w:r>
      <w:r>
        <w:rPr>
          <w:rFonts w:hint="eastAsia" w:ascii="宋体" w:hAnsi="宋体" w:eastAsia="宋体" w:cs="宋体"/>
          <w:color w:val="000000"/>
          <w:sz w:val="21"/>
          <w:szCs w:val="21"/>
          <w:highlight w:val="none"/>
          <w:lang w:val="zh-CN"/>
        </w:rPr>
        <w:t xml:space="preserve">方提供免费质保期</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rPr>
        <w:t xml:space="preserve">。从通过项目验收之日起计。软件（如有）终身免费升级。</w:t>
      </w: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交付、验收合格使用后，按合同提供质保期内的免费保修服务。</w:t>
      </w:r>
      <w:r>
        <w:rPr>
          <w:rFonts w:hint="eastAsia" w:ascii="宋体" w:hAnsi="宋体" w:eastAsia="宋体" w:cs="宋体"/>
          <w:color w:val="000000"/>
          <w:sz w:val="21"/>
          <w:szCs w:val="21"/>
          <w:highlight w:val="none"/>
        </w:rPr>
      </w:r>
      <w:r/>
    </w:p>
    <w:p>
      <w:pPr>
        <w:pStyle w:val="659"/>
        <w:ind w:firstLine="420"/>
        <w:jc w:val="left"/>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免费保修期满后，甲方亦有权自行选择维保单位。</w:t>
      </w:r>
      <w:r>
        <w:rPr>
          <w:rFonts w:hint="eastAsia" w:ascii="宋体" w:hAnsi="宋体" w:eastAsia="宋体" w:cs="宋体"/>
          <w:color w:val="000000"/>
          <w:sz w:val="21"/>
          <w:szCs w:val="21"/>
          <w:highlight w:val="none"/>
          <w:lang w:val="en-US" w:eastAsia="zh-CN"/>
        </w:rPr>
      </w:r>
      <w:r/>
    </w:p>
    <w:p>
      <w:pPr>
        <w:pStyle w:val="999"/>
        <w:jc w:val="both"/>
        <w:pageBreakBefore w:val="0"/>
        <w:spacing w:line="24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条所述的“不可抗力”系指本合同各方不能预见、不能避免并不能克服的客观情况。不可抗力包括但不限于法律法规或国家有关政策变化、省级以上政府行为、战争、社会骚乱、恐怖活动、自然灾害等及其它国际上公认的不可抗力因素。</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本合同一方由于不可抗力而全部或部分不能履行本合同，则该方应在不可抗力发生后五个工作日内书面通知他方；并应在十五个工作日内提供事件的详细情况及有关主管机关、职能部门或公证机构证明本合同全部或部分不能履行的证明文件。</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因不可抗力而导致任何一方全部或部分不能履行本合同的，该方不承担违约责任，但该方应采取一切必要和适当的措施减轻给他方造成的损失。</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发生不可抗力，各方应依据不可抗力对履行本合同的影响程度，协商决定变更或终止本合同。否则，本合同的履行根据受影响的时间相应延长，但合同价款总额不得调整；不可抗力结束后，甲乙双方应及时履行合同，否则视为违约。</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如果不可抗力已发生并持续一百八十天，双方中任何一方均有权在通知对方三十天后终止合同，如果三十天的期限到期后不可抗力仍在持续，本合同即告终止。</w:t>
      </w:r>
      <w:r>
        <w:rPr>
          <w:rFonts w:hint="eastAsia" w:ascii="宋体" w:hAnsi="宋体" w:eastAsia="宋体" w:cs="宋体"/>
          <w:color w:val="000000"/>
          <w:sz w:val="21"/>
          <w:szCs w:val="21"/>
          <w:highlight w:val="none"/>
        </w:rPr>
      </w:r>
      <w:r/>
    </w:p>
    <w:p>
      <w:pPr>
        <w:pStyle w:val="999"/>
        <w:jc w:val="both"/>
        <w:pageBreakBefore w:val="0"/>
        <w:spacing w:line="24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、违约与赔偿损失</w:t>
      </w:r>
      <w:r>
        <w:rPr>
          <w:rFonts w:hint="eastAsia" w:ascii="宋体" w:hAnsi="宋体" w:eastAsia="宋体" w:cs="宋体"/>
          <w:b/>
          <w:bCs/>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服务缺陷的补救措施和索赔</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提供的服务不符合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关于服务的要求和承诺，</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同意的下列一种或几种方式结合起来解决索赔事宜：</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同意将服务款项目退还给</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，由此发生的一切费用和损失由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承担。如</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以适当的条件和方法购买与未履约标的相类似的服务，</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应负担新购买类似服务所超出的费用。</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发出索赔通知后10日内</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未作答复，上述索赔应视为已被</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接受。如果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未能在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发出索赔通知后10日内或</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同意延长的期限内，按照上述规定的任何一种方法采取补救措施，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有权从应付服务款中扣除索赔金额，如不足以弥补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损失的，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有权进一步要求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赔偿。</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延迟履约的违约责任</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应按照本</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规定的时间、地点提供服务。</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(2)在履行合同过程中，如果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遇到可能妨碍按时提供服务的情形时，应及时以书面形式将迟延的事实、可能迟延的期限和理由通知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在收到</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通知后，应尽快对情况进行评价，并确定是否同意延期提供服务。</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(3)除双方另有约定外，如果</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没有按照规定的时间提供服务，且没有在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同意的延长的期限内进行补救时，</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有权从服务款中扣除或要求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另行支付</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而不影响合同项下的其他补救方法。</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每日按合同金额的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%计收，直至提供服务为止。但</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的最高限额不超过合同价的20%。</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延迟履约超过20日，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有权终止全部或部分合同，并依其认为适当的条件和方法购买与未履约类似的服务，</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应负担购买类似服务所超出的费用。但是，</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应继续执行未终止的部分。</w:t>
      </w:r>
      <w:r>
        <w:rPr>
          <w:rFonts w:hint="eastAsia" w:ascii="宋体" w:hAnsi="宋体" w:eastAsia="宋体" w:cs="宋体"/>
          <w:color w:val="000000"/>
          <w:sz w:val="21"/>
          <w:szCs w:val="21"/>
          <w:highlight w:val="none"/>
        </w:rPr>
      </w:r>
      <w:r/>
    </w:p>
    <w:p>
      <w:pPr>
        <w:pStyle w:val="1000"/>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rPr>
        <w:t xml:space="preserve">适用法律及争议解决</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本合同的订立、生效、履行、解释、修改、争议解决和终止等事项适用中国大陆地区现行法律法规。</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本合同项下发生的争议，由双方当事人协商解决或申请调解解决；协商或调解不成的，依法向南通仲裁委员会申请仲裁。</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诉讼期间，双方继续享有各自在本合同项下的其它权利并应继续履行其在本合同下的相应义务。</w:t>
      </w:r>
      <w:r>
        <w:rPr>
          <w:rFonts w:hint="eastAsia" w:ascii="宋体" w:hAnsi="宋体" w:eastAsia="宋体" w:cs="宋体"/>
          <w:color w:val="000000"/>
          <w:sz w:val="21"/>
          <w:szCs w:val="21"/>
          <w:highlight w:val="none"/>
        </w:rPr>
      </w:r>
      <w:r/>
    </w:p>
    <w:p>
      <w:pPr>
        <w:pStyle w:val="1000"/>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rPr>
        <w:t xml:space="preserve">、合同生效</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本合同在甲乙双方签字盖章后即生效。</w:t>
      </w:r>
      <w:r>
        <w:rPr>
          <w:rFonts w:hint="eastAsia" w:ascii="宋体" w:hAnsi="宋体" w:eastAsia="宋体" w:cs="宋体"/>
          <w:color w:val="000000"/>
          <w:sz w:val="21"/>
          <w:szCs w:val="21"/>
          <w:highlight w:val="none"/>
        </w:rPr>
      </w:r>
      <w:r/>
    </w:p>
    <w:p>
      <w:pPr>
        <w:pStyle w:val="1000"/>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十三</w:t>
      </w:r>
      <w:r>
        <w:rPr>
          <w:rFonts w:hint="eastAsia" w:ascii="宋体" w:hAnsi="宋体" w:eastAsia="宋体" w:cs="宋体"/>
          <w:color w:val="000000"/>
          <w:sz w:val="21"/>
          <w:szCs w:val="21"/>
          <w:highlight w:val="none"/>
        </w:rPr>
        <w:t xml:space="preserve">、其他约定</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除本合同另有约定外，本合同及其条款仅可由双方签署书面文件方可被修改、改变、放弃、撤销或终止。</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未经甲方同意，乙方不可将本合同项下义务转移给任何第三人。</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本合同未尽事宜，双方可协商确定并另行签订补充协议。</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与本合同具有同等法律效力。</w:t>
      </w:r>
      <w:r>
        <w:rPr>
          <w:rFonts w:hint="eastAsia" w:ascii="宋体" w:hAnsi="宋体" w:eastAsia="宋体" w:cs="宋体"/>
          <w:color w:val="000000"/>
          <w:sz w:val="21"/>
          <w:szCs w:val="21"/>
          <w:highlight w:val="none"/>
        </w:rPr>
      </w:r>
      <w:r/>
    </w:p>
    <w:p>
      <w:pPr>
        <w:pStyle w:val="659"/>
        <w:ind w:firstLine="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本合同一式六份，甲方执四份，乙方执两份，均具有同等法律效力。</w:t>
      </w:r>
      <w:r>
        <w:rPr>
          <w:rFonts w:hint="eastAsia" w:ascii="宋体" w:hAnsi="宋体" w:eastAsia="宋体" w:cs="宋体"/>
          <w:color w:val="000000"/>
          <w:sz w:val="21"/>
          <w:szCs w:val="21"/>
          <w:highlight w:val="none"/>
        </w:rPr>
      </w:r>
      <w:r/>
    </w:p>
    <w:p>
      <w:pPr>
        <w:pStyle w:val="659"/>
        <w:ind w:left="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ind w:left="482"/>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 ：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659"/>
        <w:ind w:firstLine="424"/>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                     法定代表人或</w:t>
      </w:r>
      <w:r>
        <w:rPr>
          <w:rFonts w:hint="eastAsia" w:ascii="宋体" w:hAnsi="宋体" w:eastAsia="宋体" w:cs="宋体"/>
          <w:color w:val="000000"/>
          <w:sz w:val="21"/>
          <w:szCs w:val="21"/>
          <w:highlight w:val="none"/>
        </w:rPr>
      </w:r>
      <w:r/>
    </w:p>
    <w:p>
      <w:pPr>
        <w:pStyle w:val="659"/>
        <w:ind w:firstLine="424"/>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rPr>
          <w:rFonts w:hint="eastAsia" w:ascii="宋体" w:hAnsi="宋体" w:eastAsia="宋体" w:cs="宋体"/>
          <w:color w:val="000000"/>
          <w:sz w:val="21"/>
          <w:szCs w:val="21"/>
          <w:highlight w:val="none"/>
        </w:rPr>
      </w:r>
      <w:r/>
    </w:p>
    <w:p>
      <w:pPr>
        <w:pStyle w:val="659"/>
        <w:ind w:firstLine="21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659"/>
        <w:ind w:firstLine="420"/>
        <w:pageBreakBefore w:val="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659"/>
        <w:spacing w:after="60" w:line="360" w:lineRule="auto"/>
        <w:shd w:val="clear" w:color="auto" w:fill="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01"/>
        <w:ind w:firstLine="560"/>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rPr>
          <w:color w:val="000000"/>
          <w:highlight w:val="none"/>
        </w:rPr>
      </w:pPr>
      <w:r>
        <w:rPr>
          <w:color w:val="000000"/>
          <w:highlight w:val="none"/>
        </w:rPr>
      </w:r>
      <w:r/>
    </w:p>
    <w:p>
      <w:pPr>
        <w:pStyle w:val="67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rPr>
          <w:rFonts w:hint="eastAsia" w:ascii="宋体" w:hAnsi="宋体" w:eastAsia="宋体" w:cs="宋体"/>
          <w:bCs/>
          <w:color w:val="000000"/>
          <w:sz w:val="36"/>
          <w:szCs w:val="36"/>
          <w:highlight w:val="none"/>
        </w:rPr>
      </w:pPr>
      <w:r/>
      <w:bookmarkEnd w:id="143"/>
      <w:r/>
      <w:bookmarkEnd w:id="144"/>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659"/>
        <w:jc w:val="center"/>
        <w:spacing w:line="360" w:lineRule="auto"/>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 xml:space="preserve">第六部分  投标文件组成</w:t>
      </w:r>
      <w:r>
        <w:rPr>
          <w:rFonts w:hint="eastAsia" w:ascii="宋体" w:hAnsi="宋体" w:eastAsia="宋体" w:cs="宋体"/>
          <w:b/>
          <w:bCs w:val="0"/>
          <w:color w:val="000000"/>
          <w:sz w:val="36"/>
          <w:szCs w:val="36"/>
          <w:highlight w:val="none"/>
        </w:rPr>
      </w:r>
      <w:r/>
    </w:p>
    <w:p>
      <w:pPr>
        <w:pStyle w:val="659"/>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一、基本目录</w:t>
      </w:r>
      <w:r>
        <w:rPr>
          <w:rFonts w:hint="eastAsia" w:ascii="宋体" w:hAnsi="宋体" w:eastAsia="宋体" w:cs="宋体"/>
          <w:b/>
          <w:bCs/>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1.开标一览表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.法人授权书</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.其他材料。</w:t>
      </w:r>
      <w:r>
        <w:rPr>
          <w:rFonts w:hint="eastAsia" w:ascii="宋体" w:hAnsi="宋体" w:eastAsia="宋体" w:cs="宋体"/>
          <w:color w:val="000000"/>
          <w:highlight w:val="none"/>
        </w:rPr>
      </w:r>
      <w:r/>
    </w:p>
    <w:p>
      <w:pPr>
        <w:pStyle w:val="659"/>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val="zh-CN"/>
        </w:rPr>
        <w:t xml:space="preserve">资格</w:t>
      </w:r>
      <w:r>
        <w:rPr>
          <w:rFonts w:hint="eastAsia" w:ascii="宋体" w:hAnsi="宋体" w:eastAsia="宋体" w:cs="宋体"/>
          <w:b/>
          <w:bCs/>
          <w:color w:val="000000"/>
          <w:highlight w:val="none"/>
        </w:rPr>
        <w:t xml:space="preserve">条件</w:t>
      </w:r>
      <w:r>
        <w:rPr>
          <w:rFonts w:hint="eastAsia" w:ascii="宋体" w:hAnsi="宋体" w:eastAsia="宋体" w:cs="宋体"/>
          <w:b/>
          <w:bCs/>
          <w:color w:val="000000"/>
          <w:highlight w:val="none"/>
          <w:lang w:val="zh-CN"/>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具有独立承担民事责任的能力（提供法人或者其他组织的营业执照；供应商为自然人的，提供其身份证）；</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2024年度</w:t>
      </w:r>
      <w:r>
        <w:rPr>
          <w:rFonts w:hint="eastAsia" w:ascii="宋体" w:hAnsi="宋体" w:eastAsia="宋体" w:cs="宋体"/>
          <w:color w:val="000000"/>
          <w:highlight w:val="none"/>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3.具有履行合同所必需的设备和专业技术能力</w:t>
      </w:r>
      <w:r>
        <w:rPr>
          <w:rFonts w:hint="eastAsia" w:ascii="宋体" w:hAnsi="宋体" w:eastAsia="宋体" w:cs="宋体"/>
          <w:color w:val="000000"/>
          <w:highlight w:val="none"/>
        </w:rPr>
        <w:t xml:space="preserve">（提供承诺书</w:t>
      </w:r>
      <w:r>
        <w:rPr>
          <w:rFonts w:hint="eastAsia" w:ascii="宋体" w:hAnsi="宋体" w:eastAsia="宋体" w:cs="宋体"/>
          <w:color w:val="000000"/>
          <w:highlight w:val="none"/>
          <w:lang w:eastAsia="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有依法缴纳税收和社会保障资金的良好记录</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参加政府采购活动前三年内，在经营活动中没有重大违法记录（提供</w:t>
      </w:r>
      <w:r>
        <w:rPr>
          <w:rFonts w:hint="eastAsia" w:ascii="宋体" w:hAnsi="宋体" w:eastAsia="宋体" w:cs="宋体"/>
          <w:color w:val="000000"/>
          <w:highlight w:val="none"/>
          <w:lang w:val="en-US" w:eastAsia="zh-CN"/>
        </w:rPr>
        <w:t xml:space="preserve">书面声明，</w:t>
      </w:r>
      <w:r>
        <w:rPr>
          <w:rFonts w:hint="eastAsia" w:ascii="宋体" w:hAnsi="宋体" w:eastAsia="宋体" w:cs="宋体"/>
          <w:color w:val="000000"/>
          <w:highlight w:val="none"/>
          <w:lang w:eastAsia="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9"/>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三、符合条件</w:t>
      </w:r>
      <w:r>
        <w:rPr>
          <w:rFonts w:hint="eastAsia" w:ascii="宋体" w:hAnsi="宋体" w:eastAsia="宋体" w:cs="宋体"/>
          <w:b/>
          <w:bCs/>
          <w:color w:val="000000"/>
          <w:highlight w:val="none"/>
          <w:lang w:val="zh-CN"/>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1.报价承诺函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2.投标函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实质性</w:t>
      </w:r>
      <w:r>
        <w:rPr>
          <w:rFonts w:hint="eastAsia" w:ascii="宋体" w:hAnsi="宋体" w:eastAsia="宋体" w:cs="宋体"/>
          <w:color w:val="000000"/>
          <w:highlight w:val="none"/>
        </w:rPr>
        <w:t xml:space="preserve">响应承诺函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r>
      <w:r/>
    </w:p>
    <w:p>
      <w:pPr>
        <w:pStyle w:val="659"/>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rPr>
        <w:t xml:space="preserve">.商务部分正负偏离表（格式见附件）；</w:t>
      </w:r>
      <w:r>
        <w:rPr>
          <w:rFonts w:hint="eastAsia" w:ascii="宋体" w:hAnsi="宋体" w:eastAsia="宋体" w:cs="宋体"/>
          <w:color w:val="000000"/>
          <w:highlight w:val="none"/>
          <w:lang w:val="zh-CN"/>
        </w:rPr>
      </w:r>
      <w:r/>
    </w:p>
    <w:p>
      <w:pPr>
        <w:pStyle w:val="659"/>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rPr>
        <w:t xml:space="preserve">.技术部分正负偏离表（格式见附件）；</w:t>
      </w:r>
      <w:r>
        <w:rPr>
          <w:rFonts w:hint="eastAsia" w:ascii="宋体" w:hAnsi="宋体" w:eastAsia="宋体" w:cs="宋体"/>
          <w:color w:val="000000"/>
          <w:highlight w:val="none"/>
          <w:lang w:val="zh-CN"/>
        </w:rPr>
      </w:r>
      <w:r/>
    </w:p>
    <w:p>
      <w:pPr>
        <w:pStyle w:val="659"/>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四、综合评审评分项</w:t>
      </w:r>
      <w:r>
        <w:rPr>
          <w:rFonts w:hint="eastAsia" w:ascii="宋体" w:hAnsi="宋体" w:eastAsia="宋体" w:cs="宋体"/>
          <w:b/>
          <w:bCs/>
          <w:color w:val="000000"/>
          <w:highlight w:val="none"/>
          <w:lang w:val="zh-CN"/>
        </w:rPr>
      </w:r>
      <w:r/>
    </w:p>
    <w:p>
      <w:pPr>
        <w:pStyle w:val="6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商务技术分评审标准中所涉及的事项需提供的所有资料。</w:t>
      </w:r>
      <w:r>
        <w:rPr>
          <w:rFonts w:hint="eastAsia" w:ascii="宋体" w:hAnsi="宋体" w:eastAsia="宋体" w:cs="宋体"/>
          <w:color w:val="000000"/>
          <w:highlight w:val="none"/>
        </w:rPr>
      </w:r>
      <w:r/>
    </w:p>
    <w:p>
      <w:pPr>
        <w:pStyle w:val="659"/>
        <w:spacing w:line="360" w:lineRule="auto"/>
        <w:rPr>
          <w:rFonts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五、企业报价折扣证明</w:t>
      </w:r>
      <w:r>
        <w:rPr>
          <w:rFonts w:hint="eastAsia" w:ascii="宋体" w:hAnsi="宋体" w:eastAsia="宋体" w:cs="宋体"/>
          <w:color w:val="000000"/>
          <w:highlight w:val="none"/>
          <w:lang w:val="en-US" w:eastAsia="zh-CN"/>
        </w:rPr>
        <w:t xml:space="preserve">（如涉及，请提供，</w:t>
      </w:r>
      <w:r>
        <w:rPr>
          <w:rFonts w:hint="eastAsia" w:ascii="宋体" w:hAnsi="宋体" w:eastAsia="宋体" w:cs="宋体"/>
          <w:color w:val="000000"/>
          <w:highlight w:val="none"/>
          <w:lang w:val="zh-CN" w:eastAsia="zh-CN"/>
        </w:rPr>
        <w:t xml:space="preserve">格式见附件</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659"/>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highlight w:val="none"/>
          <w:lang w:val="en-US" w:eastAsia="zh-CN"/>
        </w:rPr>
        <w:br w:type="page" w:clear="all"/>
      </w: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rPr>
      </w:r>
      <w:r/>
    </w:p>
    <w:p>
      <w:pPr>
        <w:pStyle w:val="659"/>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一、开标一览表</w:t>
      </w:r>
      <w:r>
        <w:rPr>
          <w:rFonts w:hint="eastAsia" w:ascii="宋体" w:hAnsi="宋体" w:eastAsia="宋体" w:cs="宋体"/>
          <w:b/>
          <w:bCs/>
          <w:color w:val="000000"/>
          <w:szCs w:val="21"/>
          <w:highlight w:val="none"/>
        </w:rPr>
      </w:r>
      <w:r/>
    </w:p>
    <w:p>
      <w:pPr>
        <w:pStyle w:val="659"/>
        <w:jc w:val="center"/>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开标一览表</w:t>
      </w:r>
      <w:r>
        <w:rPr>
          <w:rFonts w:hint="eastAsia" w:ascii="宋体" w:hAnsi="宋体" w:eastAsia="宋体" w:cs="宋体"/>
          <w:b/>
          <w:bCs/>
          <w:color w:val="000000"/>
          <w:szCs w:val="21"/>
          <w:highlight w:val="none"/>
        </w:rPr>
      </w:r>
      <w:r/>
    </w:p>
    <w:p>
      <w:pPr>
        <w:pStyle w:val="659"/>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项目名称：</w:t>
      </w:r>
      <w:r>
        <w:rPr>
          <w:rFonts w:hint="eastAsia" w:ascii="宋体" w:hAnsi="宋体" w:eastAsia="宋体" w:cs="宋体"/>
          <w:color w:val="000000"/>
          <w:szCs w:val="21"/>
          <w:highlight w:val="none"/>
          <w:lang w:val="en-US" w:eastAsia="zh-CN"/>
        </w:rPr>
      </w:r>
      <w:r/>
    </w:p>
    <w:p>
      <w:pPr>
        <w:pStyle w:val="659"/>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659"/>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p>
      <w:pPr>
        <w:pStyle w:val="671"/>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5165"/>
      </w:tblGrid>
      <w:tr>
        <w:trPr>
          <w:tblCellSpacing w:w="15" w:type="dxa"/>
        </w:trPr>
        <w:tc>
          <w:tcPr>
            <w:tcW w:w="2410" w:type="dxa"/>
            <w:vAlign w:val="center"/>
            <w:textDirection w:val="lrTb"/>
            <w:noWrap w:val="false"/>
          </w:tcPr>
          <w:p>
            <w:pPr>
              <w:pStyle w:val="73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w:t>
            </w:r>
            <w:r>
              <w:rPr>
                <w:rFonts w:hint="eastAsia"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eastAsia="zh-CN"/>
              </w:rPr>
            </w:r>
            <w:r/>
          </w:p>
        </w:tc>
        <w:tc>
          <w:tcPr>
            <w:tcW w:w="5120" w:type="dxa"/>
            <w:vAlign w:val="center"/>
            <w:textDirection w:val="lrTb"/>
            <w:noWrap w:val="false"/>
          </w:tcPr>
          <w:p>
            <w:pPr>
              <w:pStyle w:val="732"/>
              <w:jc w:val="center"/>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7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详见投标文件</w:t>
            </w:r>
            <w:r>
              <w:rPr>
                <w:rFonts w:hint="eastAsia" w:ascii="宋体" w:hAnsi="宋体" w:eastAsia="宋体" w:cs="宋体"/>
                <w:color w:val="000000"/>
                <w:sz w:val="21"/>
                <w:szCs w:val="21"/>
                <w:highlight w:val="none"/>
              </w:rPr>
            </w:r>
            <w:r/>
          </w:p>
        </w:tc>
        <w:tc>
          <w:tcPr>
            <w:tcW w:w="5120" w:type="dxa"/>
            <w:vAlign w:val="center"/>
            <w:textDirection w:val="lrTb"/>
            <w:noWrap w:val="false"/>
          </w:tcPr>
          <w:p>
            <w:pPr>
              <w:pStyle w:val="7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_________元</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732"/>
              <w:jc w:val="center"/>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tc>
        <w:tc>
          <w:tcPr>
            <w:tcW w:w="5120" w:type="dxa"/>
            <w:vAlign w:val="center"/>
            <w:textDirection w:val="lrTb"/>
            <w:noWrap w:val="false"/>
          </w:tcPr>
          <w:p>
            <w:pPr>
              <w:pStyle w:val="7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金额大写  </w:t>
            </w:r>
            <w:r>
              <w:rPr>
                <w:rFonts w:hint="eastAsia" w:ascii="宋体" w:hAnsi="宋体" w:eastAsia="宋体" w:cs="宋体"/>
                <w:color w:val="000000"/>
                <w:sz w:val="21"/>
                <w:szCs w:val="21"/>
                <w:highlight w:val="none"/>
              </w:rPr>
            </w:r>
            <w:r/>
          </w:p>
        </w:tc>
      </w:tr>
    </w:tbl>
    <w:p>
      <w:pPr>
        <w:pStyle w:val="7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32"/>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供应商全称</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加盖CA电子</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659"/>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Cs w:val="21"/>
          <w:highlight w:val="none"/>
        </w:rPr>
      </w:r>
      <w:r/>
    </w:p>
    <w:p>
      <w:pPr>
        <w:pStyle w:val="671"/>
        <w:ind w:left="0"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p>
      <w:pPr>
        <w:pStyle w:val="659"/>
        <w:spacing w:line="480" w:lineRule="auto"/>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r>
      <w:r/>
    </w:p>
    <w:p>
      <w:pPr>
        <w:pStyle w:val="671"/>
        <w:ind w:left="0" w:firstLine="0"/>
        <w:jc w:val="center"/>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投标分项报价表</w:t>
      </w:r>
      <w:r>
        <w:rPr>
          <w:rFonts w:ascii="宋体" w:hAnsi="宋体" w:eastAsia="宋体" w:cs="宋体"/>
          <w:b/>
          <w:bCs/>
          <w:color w:val="000000"/>
          <w:sz w:val="21"/>
          <w:szCs w:val="21"/>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r>
      <w:tr>
        <w:trPr>
          <w:cantSplit/>
          <w:trHeight w:val="294"/>
        </w:trPr>
        <w:tc>
          <w:tcPr>
            <w:tcW w:w="55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产品</w:t>
            </w:r>
            <w:r>
              <w:rPr>
                <w:rFonts w:ascii="宋体" w:hAnsi="宋体" w:cs="宋体"/>
                <w:color w:val="000000"/>
                <w:szCs w:val="21"/>
                <w:highlight w:val="none"/>
              </w:rPr>
            </w:r>
            <w:r/>
          </w:p>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品牌</w:t>
            </w: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规格</w:t>
            </w:r>
            <w:r>
              <w:rPr>
                <w:rFonts w:ascii="宋体" w:hAnsi="宋体" w:cs="宋体"/>
                <w:color w:val="000000"/>
                <w:szCs w:val="21"/>
                <w:highlight w:val="none"/>
              </w:rPr>
            </w:r>
            <w:r/>
          </w:p>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型号</w:t>
            </w: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产地</w:t>
            </w: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交付期</w:t>
            </w: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分项单价</w:t>
            </w: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分项总价</w:t>
            </w:r>
            <w:r>
              <w:rPr>
                <w:rFonts w:ascii="宋体" w:hAnsi="宋体" w:cs="宋体"/>
                <w:color w:val="000000"/>
                <w:szCs w:val="21"/>
                <w:highlight w:val="none"/>
              </w:rPr>
            </w:r>
            <w:r/>
          </w:p>
        </w:tc>
      </w:tr>
      <w:tr>
        <w:trPr>
          <w:cantSplit/>
          <w:trHeight w:val="696"/>
        </w:trPr>
        <w:tc>
          <w:tcPr>
            <w:tcW w:w="55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724"/>
        </w:trPr>
        <w:tc>
          <w:tcPr>
            <w:tcW w:w="55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55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580"/>
        </w:trPr>
        <w:tc>
          <w:tcPr>
            <w:tcW w:w="55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036"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96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41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84"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980"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727"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372"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c>
          <w:tcPr>
            <w:tcW w:w="1246" w:type="dxa"/>
            <w:vAlign w:val="center"/>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r>
        <w:trPr>
          <w:cantSplit/>
          <w:trHeight w:val="1030"/>
        </w:trPr>
        <w:tc>
          <w:tcPr>
            <w:gridSpan w:val="8"/>
            <w:tcW w:w="7835" w:type="dxa"/>
            <w:vAlign w:val="center"/>
            <w:textDirection w:val="lrTb"/>
            <w:noWrap/>
          </w:tcPr>
          <w:p>
            <w:pPr>
              <w:pStyle w:val="659"/>
              <w:jc w:val="center"/>
              <w:spacing w:line="0" w:lineRule="atLeast"/>
              <w:rPr>
                <w:rFonts w:ascii="宋体" w:hAnsi="宋体" w:cs="宋体"/>
                <w:color w:val="000000"/>
                <w:szCs w:val="21"/>
                <w:highlight w:val="none"/>
              </w:rPr>
            </w:pPr>
            <w:r>
              <w:rPr>
                <w:rFonts w:hint="eastAsia" w:ascii="宋体" w:hAnsi="宋体" w:cs="宋体"/>
                <w:color w:val="000000"/>
                <w:szCs w:val="21"/>
                <w:highlight w:val="none"/>
              </w:rPr>
              <w:t xml:space="preserve">投标总报价（人民币：元）</w:t>
            </w:r>
            <w:r>
              <w:rPr>
                <w:rFonts w:ascii="宋体" w:hAnsi="宋体" w:cs="宋体"/>
                <w:color w:val="000000"/>
                <w:szCs w:val="21"/>
                <w:highlight w:val="none"/>
              </w:rPr>
            </w:r>
            <w:r/>
          </w:p>
        </w:tc>
        <w:tc>
          <w:tcPr>
            <w:tcW w:w="1246" w:type="dxa"/>
            <w:vAlign w:val="top"/>
            <w:textDirection w:val="lrTb"/>
            <w:noWrap/>
          </w:tcPr>
          <w:p>
            <w:pPr>
              <w:pStyle w:val="659"/>
              <w:jc w:val="center"/>
              <w:spacing w:line="0" w:lineRule="atLeast"/>
              <w:rPr>
                <w:rFonts w:ascii="宋体" w:hAnsi="宋体" w:cs="宋体"/>
                <w:color w:val="000000"/>
                <w:szCs w:val="21"/>
                <w:highlight w:val="none"/>
              </w:rPr>
            </w:pPr>
            <w:r>
              <w:rPr>
                <w:rFonts w:ascii="宋体" w:hAnsi="宋体" w:cs="宋体"/>
                <w:color w:val="000000"/>
                <w:szCs w:val="21"/>
                <w:highlight w:val="none"/>
              </w:rPr>
            </w:r>
            <w:r/>
          </w:p>
        </w:tc>
      </w:tr>
    </w:tbl>
    <w:p>
      <w:pPr>
        <w:pStyle w:val="659"/>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659"/>
        <w:rPr>
          <w:rFonts w:ascii="宋体" w:hAnsi="宋体" w:cs="宋体"/>
          <w:color w:val="000000"/>
          <w:szCs w:val="21"/>
          <w:highlight w:val="none"/>
        </w:rPr>
      </w:pPr>
      <w:r>
        <w:rPr>
          <w:rFonts w:hint="eastAsia" w:ascii="宋体" w:hAnsi="宋体" w:cs="宋体"/>
          <w:color w:val="000000"/>
          <w:szCs w:val="21"/>
          <w:highlight w:val="none"/>
        </w:rPr>
        <w:t xml:space="preserve">1.投标报价采用总承包方式，“投标总报价”包含货物的成本、利润、税金；货物包装、运输、保险、装卸、搬运费、技术措施费、机械进出场费、保管费；货物的安装调试、技术资料、损耗、人工费、机械费、检测费、管理费；国家税务部门规定的各项税金；原材料的涨价及政策性调整等风险费；相关伴随服务以及质保、售后服务等一切费用；即本项目采购的货物交付使用前的所有费用以及免费质保期内的服务费用等包含响应招标文件要求的所有费用。</w:t>
      </w:r>
      <w:r>
        <w:rPr>
          <w:rFonts w:ascii="宋体" w:hAnsi="宋体" w:cs="宋体"/>
          <w:color w:val="000000"/>
          <w:szCs w:val="21"/>
          <w:highlight w:val="none"/>
        </w:rPr>
      </w:r>
      <w:r/>
    </w:p>
    <w:p>
      <w:pPr>
        <w:pStyle w:val="659"/>
        <w:rPr>
          <w:rFonts w:ascii="宋体" w:hAnsi="宋体" w:cs="宋体"/>
          <w:color w:val="000000"/>
          <w:szCs w:val="21"/>
          <w:highlight w:val="none"/>
        </w:rPr>
      </w:pPr>
      <w:r>
        <w:rPr>
          <w:rFonts w:hint="eastAsia" w:ascii="宋体" w:hAnsi="宋体" w:cs="宋体"/>
          <w:color w:val="000000"/>
          <w:szCs w:val="21"/>
          <w:highlight w:val="none"/>
        </w:rPr>
        <w:t xml:space="preserve">2.“投标分项报价表”中“投标总报价”数额应当与“开标一览表”中“投标总报价”数额一致。</w:t>
      </w:r>
      <w:r>
        <w:rPr>
          <w:rFonts w:ascii="宋体" w:hAnsi="宋体" w:cs="宋体"/>
          <w:color w:val="000000"/>
          <w:szCs w:val="21"/>
          <w:highlight w:val="none"/>
        </w:rPr>
      </w:r>
      <w:r/>
    </w:p>
    <w:p>
      <w:pPr>
        <w:pStyle w:val="659"/>
        <w:jc w:val="center"/>
        <w:spacing w:line="520" w:lineRule="exact"/>
        <w:rPr>
          <w:rFonts w:ascii="宋体" w:hAnsi="宋体" w:cs="宋体"/>
          <w:color w:val="000000"/>
          <w:szCs w:val="21"/>
          <w:highlight w:val="none"/>
        </w:rPr>
      </w:pPr>
      <w:r>
        <w:rPr>
          <w:rFonts w:ascii="宋体" w:hAnsi="宋体" w:cs="宋体"/>
          <w:color w:val="000000"/>
          <w:szCs w:val="21"/>
          <w:highlight w:val="none"/>
        </w:rPr>
      </w:r>
      <w:r/>
    </w:p>
    <w:p>
      <w:pPr>
        <w:pStyle w:val="742"/>
        <w:rPr>
          <w:color w:val="000000"/>
          <w:highlight w:val="none"/>
        </w:rPr>
      </w:pPr>
      <w:r>
        <w:rPr>
          <w:color w:val="000000"/>
          <w:highlight w:val="none"/>
        </w:rPr>
      </w:r>
      <w:r/>
    </w:p>
    <w:p>
      <w:pPr>
        <w:pStyle w:val="7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jc w:val="right"/>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659"/>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659"/>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659"/>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三、提供法人授权书</w:t>
      </w:r>
      <w:r>
        <w:rPr>
          <w:rFonts w:hint="eastAsia" w:ascii="宋体" w:hAnsi="宋体" w:eastAsia="宋体" w:cs="宋体"/>
          <w:b/>
          <w:bCs/>
          <w:color w:val="000000"/>
          <w:szCs w:val="21"/>
          <w:highlight w:val="none"/>
        </w:rPr>
      </w:r>
      <w:r/>
    </w:p>
    <w:p>
      <w:pPr>
        <w:pStyle w:val="659"/>
        <w:ind w:firstLine="48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9"/>
        <w:ind w:firstLine="480"/>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法人授权书</w:t>
      </w:r>
      <w:r>
        <w:rPr>
          <w:rFonts w:hint="eastAsia" w:ascii="宋体" w:hAnsi="宋体" w:eastAsia="宋体" w:cs="宋体"/>
          <w:b/>
          <w:bCs/>
          <w:color w:val="000000"/>
          <w:szCs w:val="21"/>
          <w:highlight w:val="none"/>
        </w:rPr>
      </w:r>
      <w:r/>
    </w:p>
    <w:p>
      <w:pPr>
        <w:pStyle w:val="659"/>
        <w:ind w:firstLine="420"/>
        <w:spacing w:line="360" w:lineRule="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本授权书声明：</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（供应商名称）授权</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（被授权人的姓名）为我方</w:t>
      </w:r>
      <w:r>
        <w:rPr>
          <w:rFonts w:hint="eastAsia" w:ascii="宋体" w:hAnsi="宋体" w:eastAsia="宋体" w:cs="宋体"/>
          <w:i w:val="0"/>
          <w:iCs/>
          <w:color w:val="000000"/>
          <w:sz w:val="21"/>
          <w:szCs w:val="21"/>
          <w:highlight w:val="none"/>
          <w:lang w:val="en-US" w:eastAsia="zh-CN"/>
        </w:rPr>
        <w:t xml:space="preserve"> </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号</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项目编号</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______________</w:t>
      </w:r>
      <w:r>
        <w:rPr>
          <w:rFonts w:hint="eastAsia" w:ascii="宋体" w:hAnsi="宋体" w:eastAsia="宋体" w:cs="宋体"/>
          <w:i w:val="0"/>
          <w:iCs/>
          <w:color w:val="000000"/>
          <w:sz w:val="21"/>
          <w:szCs w:val="21"/>
          <w:highlight w:val="none"/>
        </w:rPr>
        <w:t xml:space="preserve">项目</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项目名称</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rPr>
        <w:t xml:space="preserve">采购活动的合法代理人，以本单位名义全权处理一切与该项目采购有关的事务。</w:t>
      </w:r>
      <w:r>
        <w:rPr>
          <w:rFonts w:hint="eastAsia" w:ascii="宋体" w:hAnsi="宋体" w:eastAsia="宋体" w:cs="宋体"/>
          <w:i w:val="0"/>
          <w:iCs/>
          <w:color w:val="000000"/>
          <w:sz w:val="21"/>
          <w:szCs w:val="21"/>
          <w:highlight w:val="none"/>
        </w:rPr>
      </w:r>
      <w:r/>
    </w:p>
    <w:p>
      <w:pPr>
        <w:pStyle w:val="659"/>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本授权书于______年____月____日起生效，特此声明。</w:t>
      </w: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    被授权人身份证号码：</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659"/>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    被授权人联系电话：（手机）</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659"/>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授权单位名称：</w:t>
      </w:r>
      <w:r>
        <w:rPr>
          <w:rFonts w:hint="eastAsia" w:ascii="宋体" w:hAnsi="宋体" w:eastAsia="宋体" w:cs="宋体"/>
          <w:i w:val="0"/>
          <w:iCs/>
          <w:color w:val="000000"/>
          <w:sz w:val="21"/>
          <w:szCs w:val="21"/>
          <w:highlight w:val="none"/>
          <w:u w:val="single"/>
        </w:rPr>
        <w:t xml:space="preserve">（加盖CA电子公章）</w:t>
      </w:r>
      <w:r>
        <w:rPr>
          <w:rFonts w:hint="eastAsia" w:ascii="宋体" w:hAnsi="宋体" w:eastAsia="宋体" w:cs="宋体"/>
          <w:i w:val="0"/>
          <w:iCs/>
          <w:color w:val="000000"/>
          <w:sz w:val="21"/>
          <w:szCs w:val="21"/>
          <w:highlight w:val="none"/>
        </w:rPr>
      </w:r>
      <w:r/>
    </w:p>
    <w:p>
      <w:pPr>
        <w:pStyle w:val="659"/>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单位地址：</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659"/>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日期：</w:t>
      </w:r>
      <w:bookmarkStart w:id="145" w:name="_格式3__银行出具的资信证明"/>
      <w:r/>
      <w:bookmarkEnd w:id="145"/>
      <w:r/>
      <w:bookmarkStart w:id="146" w:name="_Hlt26671380"/>
      <w:r/>
      <w:bookmarkEnd w:id="146"/>
      <w:r/>
      <w:bookmarkStart w:id="147" w:name="_Hlt26955070"/>
      <w:r/>
      <w:bookmarkEnd w:id="147"/>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659"/>
        <w:ind w:firstLine="1050"/>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法定代表人身份证复印件</w:t>
      </w: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659"/>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（粘贴此处）</w:t>
      </w: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被授权人身份证复印件</w:t>
      </w:r>
      <w:r>
        <w:rPr>
          <w:rFonts w:hint="eastAsia" w:ascii="宋体" w:hAnsi="宋体" w:eastAsia="宋体" w:cs="宋体"/>
          <w:i w:val="0"/>
          <w:iCs/>
          <w:color w:val="000000"/>
          <w:sz w:val="21"/>
          <w:szCs w:val="21"/>
          <w:highlight w:val="none"/>
        </w:rPr>
      </w:r>
      <w:r/>
    </w:p>
    <w:p>
      <w:pPr>
        <w:pStyle w:val="659"/>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659"/>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659"/>
        <w:jc w:val="center"/>
        <w:keepLines w:val="0"/>
        <w:keepNext w:val="0"/>
        <w:pageBreakBefore w:val="0"/>
        <w:spacing w:line="360" w:lineRule="auto"/>
        <w:widowControl w:val="off"/>
        <w:rPr>
          <w:rFonts w:hint="eastAsia" w:ascii="宋体" w:hAnsi="宋体" w:eastAsia="宋体" w:cs="宋体"/>
          <w:b/>
          <w:bCs/>
          <w:i w:val="0"/>
          <w:iCs/>
          <w:color w:val="000000"/>
          <w:sz w:val="21"/>
          <w:szCs w:val="21"/>
          <w:highlight w:val="none"/>
        </w:rPr>
      </w:pPr>
      <w:r>
        <w:rPr>
          <w:rFonts w:hint="eastAsia" w:ascii="宋体" w:hAnsi="宋体" w:eastAsia="宋体" w:cs="宋体"/>
          <w:i w:val="0"/>
          <w:iCs/>
          <w:color w:val="000000"/>
          <w:sz w:val="21"/>
          <w:szCs w:val="21"/>
          <w:highlight w:val="none"/>
        </w:rPr>
        <w:t xml:space="preserve">（粘贴此处）</w:t>
      </w:r>
      <w:r>
        <w:rPr>
          <w:rFonts w:hint="eastAsia" w:ascii="宋体" w:hAnsi="宋体" w:eastAsia="宋体" w:cs="宋体"/>
          <w:b/>
          <w:bCs/>
          <w:i w:val="0"/>
          <w:iCs/>
          <w:color w:val="000000"/>
          <w:sz w:val="21"/>
          <w:szCs w:val="21"/>
          <w:highlight w:val="none"/>
        </w:rPr>
      </w:r>
      <w:r/>
    </w:p>
    <w:p>
      <w:pPr>
        <w:pStyle w:val="6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9"/>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659"/>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r>
        <w:rPr>
          <w:rFonts w:hint="eastAsia" w:ascii="宋体" w:hAnsi="宋体" w:eastAsia="宋体" w:cs="宋体"/>
          <w:b/>
          <w:bCs/>
          <w:color w:val="000000"/>
          <w:szCs w:val="21"/>
          <w:highlight w:val="none"/>
          <w:lang w:eastAsia="zh-CN"/>
        </w:rPr>
        <w:t xml:space="preserve">具有履行合同所必需的设备和专业技术能力</w:t>
      </w:r>
      <w:r>
        <w:rPr>
          <w:rFonts w:hint="eastAsia" w:ascii="宋体" w:hAnsi="宋体" w:eastAsia="宋体" w:cs="宋体"/>
          <w:b/>
          <w:bCs/>
          <w:color w:val="000000"/>
          <w:szCs w:val="21"/>
          <w:highlight w:val="none"/>
        </w:rPr>
        <w:t xml:space="preserve">的证明材料（提供承诺书）；</w:t>
      </w:r>
      <w:r>
        <w:rPr>
          <w:rFonts w:hint="eastAsia" w:ascii="宋体" w:hAnsi="宋体" w:eastAsia="宋体" w:cs="宋体"/>
          <w:b/>
          <w:bCs/>
          <w:color w:val="000000"/>
          <w:szCs w:val="21"/>
          <w:highlight w:val="none"/>
        </w:rPr>
      </w:r>
      <w:r/>
    </w:p>
    <w:p>
      <w:pPr>
        <w:pStyle w:val="659"/>
        <w:ind w:firstLine="492"/>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9"/>
        <w:ind w:firstLine="492"/>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承诺书</w:t>
      </w:r>
      <w:r>
        <w:rPr>
          <w:rFonts w:hint="eastAsia" w:ascii="宋体" w:hAnsi="宋体" w:eastAsia="宋体" w:cs="宋体"/>
          <w:b/>
          <w:bCs/>
          <w:color w:val="000000"/>
          <w:szCs w:val="21"/>
          <w:highlight w:val="none"/>
        </w:rPr>
      </w:r>
      <w:r/>
    </w:p>
    <w:p>
      <w:pPr>
        <w:pStyle w:val="659"/>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南通市大数据管理中心</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我单位郑重承诺：我单位具</w:t>
      </w:r>
      <w:r>
        <w:rPr>
          <w:rFonts w:hint="eastAsia" w:ascii="宋体" w:hAnsi="宋体" w:eastAsia="宋体" w:cs="宋体"/>
          <w:b w:val="0"/>
          <w:bCs w:val="0"/>
          <w:color w:val="000000"/>
          <w:szCs w:val="21"/>
          <w:highlight w:val="none"/>
          <w:lang w:eastAsia="zh-CN"/>
        </w:rPr>
        <w:t xml:space="preserve">有</w:t>
      </w:r>
      <w:r>
        <w:rPr>
          <w:rFonts w:hint="eastAsia" w:ascii="宋体" w:hAnsi="宋体" w:eastAsia="宋体" w:cs="宋体"/>
          <w:color w:val="000000"/>
          <w:szCs w:val="21"/>
          <w:highlight w:val="none"/>
        </w:rPr>
        <w:t xml:space="preserve">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rPr>
      </w:r>
      <w:r/>
    </w:p>
    <w:p>
      <w:pPr>
        <w:pStyle w:val="659"/>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主要设备有：</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主要专业技术能力有：</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92"/>
        <w:jc w:val="right"/>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供应商：（加盖CA电子公章）</w:t>
      </w:r>
      <w:r>
        <w:rPr>
          <w:rFonts w:hint="eastAsia" w:ascii="宋体" w:hAnsi="宋体" w:eastAsia="宋体" w:cs="宋体"/>
          <w:color w:val="000000"/>
          <w:szCs w:val="21"/>
          <w:highlight w:val="none"/>
        </w:rPr>
      </w:r>
      <w:r/>
    </w:p>
    <w:p>
      <w:pPr>
        <w:pStyle w:val="681"/>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contextualSpacing/>
        <w:ind w:firstLine="540"/>
        <w:jc w:val="right"/>
        <w:spacing w:line="400" w:lineRule="exact"/>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   年</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 月 </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日</w:t>
      </w: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659"/>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五、参加政府采购活动前3年内在经营活动中没有重大违法记录的书面声明</w:t>
      </w:r>
      <w:r>
        <w:rPr>
          <w:rFonts w:hint="eastAsia" w:ascii="宋体" w:hAnsi="宋体" w:eastAsia="宋体" w:cs="宋体"/>
          <w:b/>
          <w:bCs/>
          <w:color w:val="000000"/>
          <w:szCs w:val="21"/>
          <w:highlight w:val="none"/>
        </w:rPr>
      </w:r>
      <w:r/>
    </w:p>
    <w:p>
      <w:pPr>
        <w:pStyle w:val="663"/>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59"/>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无重大违法记录声明函</w:t>
      </w:r>
      <w:r>
        <w:rPr>
          <w:rFonts w:hint="eastAsia" w:ascii="宋体" w:hAnsi="宋体" w:eastAsia="宋体" w:cs="宋体"/>
          <w:b/>
          <w:bCs/>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lang w:eastAsia="zh-CN"/>
        </w:rPr>
        <w:t xml:space="preserve">南通市大数据管理中心</w:t>
      </w:r>
      <w:r>
        <w:rPr>
          <w:rStyle w:val="978"/>
          <w:rFonts w:hint="eastAsia" w:ascii="宋体" w:hAnsi="宋体" w:eastAsia="宋体" w:cs="宋体"/>
          <w:color w:val="000000"/>
          <w:szCs w:val="21"/>
          <w:highlight w:val="none"/>
        </w:rPr>
        <w:t xml:space="preserve">：</w:t>
      </w:r>
      <w:r>
        <w:rPr>
          <w:rStyle w:val="978"/>
          <w:rFonts w:hint="eastAsia" w:ascii="宋体" w:hAnsi="宋体" w:eastAsia="宋体" w:cs="宋体"/>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我单位</w:t>
      </w:r>
      <w:r>
        <w:rPr>
          <w:rStyle w:val="978"/>
          <w:rFonts w:hint="eastAsia" w:ascii="宋体" w:hAnsi="宋体" w:eastAsia="宋体" w:cs="宋体"/>
          <w:color w:val="000000"/>
          <w:szCs w:val="21"/>
          <w:highlight w:val="none"/>
          <w:lang w:val="en-US" w:eastAsia="zh-CN"/>
        </w:rPr>
        <w:t xml:space="preserve">______________</w:t>
      </w:r>
      <w:r>
        <w:rPr>
          <w:rStyle w:val="978"/>
          <w:rFonts w:hint="eastAsia" w:ascii="宋体" w:hAnsi="宋体" w:eastAsia="宋体" w:cs="宋体"/>
          <w:color w:val="000000"/>
          <w:szCs w:val="21"/>
          <w:highlight w:val="none"/>
        </w:rPr>
        <w:t xml:space="preserve">（供应商名称）郑重声明：</w:t>
      </w:r>
      <w:r>
        <w:rPr>
          <w:rStyle w:val="978"/>
          <w:rFonts w:hint="eastAsia" w:ascii="宋体" w:hAnsi="宋体" w:eastAsia="宋体" w:cs="宋体"/>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978"/>
          <w:rFonts w:hint="eastAsia" w:ascii="宋体" w:hAnsi="宋体" w:eastAsia="宋体" w:cs="宋体"/>
          <w:color w:val="000000"/>
          <w:szCs w:val="21"/>
          <w:highlight w:val="none"/>
        </w:rPr>
      </w:r>
      <w:r/>
    </w:p>
    <w:p>
      <w:pPr>
        <w:pStyle w:val="659"/>
        <w:ind w:firstLine="420"/>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978"/>
          <w:rFonts w:hint="eastAsia" w:ascii="宋体" w:hAnsi="宋体" w:eastAsia="宋体" w:cs="宋体"/>
          <w:color w:val="000000"/>
          <w:szCs w:val="21"/>
          <w:highlight w:val="none"/>
        </w:rPr>
      </w:r>
      <w:r/>
    </w:p>
    <w:p>
      <w:pPr>
        <w:pStyle w:val="659"/>
        <w:ind w:firstLine="420"/>
        <w:spacing w:line="500" w:lineRule="exact"/>
        <w:rPr>
          <w:rStyle w:val="978"/>
          <w:rFonts w:ascii="宋体" w:hAnsi="宋体" w:eastAsia="宋体" w:cs="宋体"/>
          <w:color w:val="000000"/>
          <w:szCs w:val="21"/>
          <w:highlight w:val="none"/>
        </w:rPr>
      </w:pPr>
      <w:r>
        <w:rPr>
          <w:rStyle w:val="978"/>
          <w:rFonts w:hint="eastAsia"/>
          <w:color w:val="000000"/>
          <w:highlight w:val="none"/>
          <w:lang w:val="en-US" w:eastAsia="zh-CN"/>
        </w:rPr>
        <w:t xml:space="preserve">我单位满足</w:t>
      </w:r>
      <w:r>
        <w:rPr>
          <w:rStyle w:val="978"/>
          <w:color w:val="000000"/>
          <w:highlight w:val="none"/>
        </w:rPr>
        <w:t xml:space="preserve">法律、行政法规规定的其他条件</w:t>
      </w:r>
      <w:r>
        <w:rPr>
          <w:rStyle w:val="978"/>
          <w:rFonts w:hint="eastAsia"/>
          <w:color w:val="000000"/>
          <w:highlight w:val="none"/>
          <w:lang w:eastAsia="zh-CN"/>
        </w:rPr>
        <w:t xml:space="preserve">。</w:t>
      </w:r>
      <w:r>
        <w:rPr>
          <w:rStyle w:val="978"/>
          <w:rFonts w:ascii="宋体" w:hAnsi="宋体" w:eastAsia="宋体" w:cs="宋体"/>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声明人：</w:t>
      </w:r>
      <w:r>
        <w:rPr>
          <w:rFonts w:hint="eastAsia" w:ascii="宋体" w:hAnsi="宋体" w:eastAsia="宋体" w:cs="宋体"/>
          <w:color w:val="000000"/>
          <w:szCs w:val="21"/>
          <w:highlight w:val="none"/>
        </w:rPr>
        <w:t xml:space="preserve">（加盖CA电子公章）</w:t>
      </w:r>
      <w:r>
        <w:rPr>
          <w:rStyle w:val="978"/>
          <w:rFonts w:hint="eastAsia" w:ascii="宋体" w:hAnsi="宋体" w:eastAsia="宋体" w:cs="宋体"/>
          <w:color w:val="000000"/>
          <w:szCs w:val="21"/>
          <w:highlight w:val="none"/>
        </w:rPr>
      </w:r>
      <w:r/>
    </w:p>
    <w:p>
      <w:pPr>
        <w:pStyle w:val="659"/>
        <w:jc w:val="center"/>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年     月    日</w:t>
      </w:r>
      <w:r>
        <w:rPr>
          <w:rStyle w:val="978"/>
          <w:rFonts w:hint="eastAsia" w:ascii="宋体" w:hAnsi="宋体" w:eastAsia="宋体" w:cs="宋体"/>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659"/>
        <w:spacing w:line="360" w:lineRule="auto"/>
        <w:widowControl/>
        <w:rPr>
          <w:rFonts w:hint="eastAsia" w:ascii="宋体" w:hAnsi="宋体" w:eastAsia="宋体" w:cs="宋体"/>
          <w:b/>
          <w:bCs/>
          <w:i w:val="0"/>
          <w:iCs w:val="0"/>
          <w:color w:val="000000"/>
          <w:sz w:val="21"/>
          <w:szCs w:val="21"/>
          <w:highlight w:val="none"/>
          <w:u w:val="none"/>
          <w:lang w:val="en-US" w:eastAsia="zh-CN"/>
        </w:rPr>
        <w:outlineLvl w:val="0"/>
      </w:pPr>
      <w:r>
        <w:rPr>
          <w:rFonts w:hint="eastAsia" w:ascii="宋体" w:hAnsi="宋体" w:eastAsia="宋体" w:cs="宋体"/>
          <w:b/>
          <w:color w:val="000000"/>
          <w:szCs w:val="21"/>
          <w:highlight w:val="none"/>
          <w:lang w:val="zh-CN"/>
        </w:rPr>
        <w:br w:type="page" w:clear="all"/>
      </w:r>
      <w:r>
        <w:rPr>
          <w:rFonts w:hint="eastAsia" w:ascii="宋体" w:hAnsi="宋体" w:eastAsia="宋体" w:cs="宋体"/>
          <w:b/>
          <w:bCs/>
          <w:i w:val="0"/>
          <w:iCs w:val="0"/>
          <w:color w:val="000000"/>
          <w:sz w:val="21"/>
          <w:szCs w:val="21"/>
          <w:highlight w:val="none"/>
          <w:u w:val="none"/>
          <w:lang w:val="en-US" w:eastAsia="zh-CN"/>
        </w:rPr>
        <w:t xml:space="preserve">六、报价承诺函</w:t>
      </w:r>
      <w:r>
        <w:rPr>
          <w:rFonts w:hint="eastAsia" w:ascii="宋体" w:hAnsi="宋体" w:eastAsia="宋体" w:cs="宋体"/>
          <w:b/>
          <w:bCs/>
          <w:i w:val="0"/>
          <w:iCs w:val="0"/>
          <w:color w:val="000000"/>
          <w:sz w:val="21"/>
          <w:szCs w:val="21"/>
          <w:highlight w:val="none"/>
          <w:u w:val="none"/>
          <w:lang w:val="en-US" w:eastAsia="zh-CN"/>
        </w:rPr>
      </w:r>
      <w:r/>
    </w:p>
    <w:p>
      <w:pPr>
        <w:pStyle w:val="659"/>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28"/>
          <w:szCs w:val="24"/>
          <w:highlight w:val="none"/>
          <w:lang w:val="en-US" w:eastAsia="zh-CN"/>
        </w:rPr>
        <w:t xml:space="preserve">报价承诺函</w:t>
      </w:r>
      <w:r>
        <w:rPr>
          <w:rFonts w:hint="eastAsia" w:ascii="宋体" w:hAnsi="宋体" w:eastAsia="宋体" w:cs="宋体"/>
          <w:b/>
          <w:bCs/>
          <w:color w:val="000000"/>
          <w:sz w:val="44"/>
          <w:szCs w:val="44"/>
          <w:highlight w:val="none"/>
          <w:lang w:val="en-US" w:eastAsia="zh-CN"/>
        </w:rPr>
      </w:r>
      <w:r/>
    </w:p>
    <w:p>
      <w:pPr>
        <w:pStyle w:val="921"/>
        <w:ind w:left="0" w:right="120" w:firstLine="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21"/>
        <w:ind w:left="0" w:right="120" w:firstLine="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南通市大数据管理中心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9"/>
        <w:ind w:firstLine="492"/>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我单位郑重</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lang w:val="en-US" w:eastAsia="zh-CN"/>
        </w:rPr>
      </w:r>
      <w:r/>
    </w:p>
    <w:p>
      <w:pPr>
        <w:pStyle w:val="659"/>
        <w:ind w:firstLine="49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rPr>
        <w:t xml:space="preserve">我单位报价</w:t>
      </w:r>
      <w:r>
        <w:rPr>
          <w:rFonts w:hint="eastAsia" w:ascii="宋体" w:hAnsi="宋体" w:eastAsia="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超过最高限价。我单位报价</w:t>
      </w:r>
      <w:r>
        <w:rPr>
          <w:rFonts w:hint="eastAsia" w:ascii="宋体" w:hAnsi="宋体" w:eastAsia="宋体" w:cs="宋体"/>
          <w:color w:val="000000"/>
          <w:sz w:val="21"/>
          <w:szCs w:val="21"/>
          <w:highlight w:val="none"/>
        </w:rPr>
        <w:t xml:space="preserve">包括但不限于</w:t>
      </w:r>
      <w:r>
        <w:rPr>
          <w:rFonts w:hint="eastAsia" w:ascii="宋体" w:hAnsi="宋体" w:cs="宋体"/>
          <w:color w:val="000000"/>
          <w:szCs w:val="21"/>
          <w:highlight w:val="none"/>
        </w:rPr>
        <w:t xml:space="preserve">货物的成本、利润、税金；货物包装、运输、保险、装卸、搬运费、技术措施费、机械进出场费、保管费；货物的安装调试、技术资料、损耗、人工费、机械费、检测费、管理费；国家税务部门规定的各项税金；原材料的涨价及政策性调整等风险费；相关伴随服务以及质保、售后服务等一切费用；即本项目采购的货物交付使用前的所有费用以及免费质保期内的服务费用等包含响应招标文件要求的所有费用。</w:t>
      </w:r>
      <w:r>
        <w:rPr>
          <w:rFonts w:hint="eastAsia" w:ascii="宋体" w:hAnsi="宋体" w:eastAsia="宋体" w:cs="宋体"/>
          <w:color w:val="000000"/>
          <w:sz w:val="21"/>
          <w:szCs w:val="21"/>
          <w:highlight w:val="none"/>
          <w:lang w:eastAsia="zh-CN"/>
        </w:rPr>
      </w:r>
      <w:r/>
    </w:p>
    <w:p>
      <w:pPr>
        <w:pStyle w:val="6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ind w:firstLine="492"/>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 供应商：（加盖CA电子公章）</w:t>
      </w:r>
      <w:r>
        <w:rPr>
          <w:rFonts w:hint="eastAsia" w:ascii="宋体" w:hAnsi="宋体" w:eastAsia="宋体" w:cs="宋体"/>
          <w:b w:val="0"/>
          <w:bCs w:val="0"/>
          <w:color w:val="000000"/>
          <w:sz w:val="24"/>
          <w:szCs w:val="21"/>
          <w:highlight w:val="none"/>
        </w:rPr>
      </w:r>
      <w:r/>
    </w:p>
    <w:p>
      <w:pPr>
        <w:pStyle w:val="681"/>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 </w:t>
      </w:r>
      <w:r>
        <w:rPr>
          <w:rFonts w:hint="eastAsia" w:ascii="宋体" w:hAnsi="宋体" w:eastAsia="宋体" w:cs="宋体"/>
          <w:b w:val="0"/>
          <w:bCs w:val="0"/>
          <w:color w:val="000000"/>
          <w:sz w:val="24"/>
          <w:szCs w:val="21"/>
          <w:highlight w:val="none"/>
        </w:rPr>
      </w:r>
      <w:r/>
    </w:p>
    <w:p>
      <w:pPr>
        <w:pStyle w:val="681"/>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   年</w:t>
      </w:r>
      <w:r>
        <w:rPr>
          <w:rFonts w:hint="eastAsia" w:ascii="宋体" w:hAnsi="宋体" w:eastAsia="宋体" w:cs="宋体"/>
          <w:b w:val="0"/>
          <w:bCs w:val="0"/>
          <w:color w:val="000000"/>
          <w:sz w:val="24"/>
          <w:szCs w:val="21"/>
          <w:highlight w:val="none"/>
          <w:lang w:val="en-US" w:eastAsia="zh-CN" w:bidi="ar-SA"/>
        </w:rPr>
        <w:tab/>
      </w:r>
      <w:r>
        <w:rPr>
          <w:rFonts w:hint="eastAsia" w:ascii="宋体" w:hAnsi="宋体" w:eastAsia="宋体" w:cs="宋体"/>
          <w:b w:val="0"/>
          <w:bCs w:val="0"/>
          <w:color w:val="000000"/>
          <w:sz w:val="24"/>
          <w:szCs w:val="21"/>
          <w:highlight w:val="none"/>
          <w:lang w:val="en-US" w:eastAsia="zh-CN" w:bidi="ar-SA"/>
        </w:rPr>
        <w:t xml:space="preserve"> 月 </w:t>
      </w:r>
      <w:r>
        <w:rPr>
          <w:rFonts w:hint="eastAsia" w:ascii="宋体" w:hAnsi="宋体" w:eastAsia="宋体" w:cs="宋体"/>
          <w:b w:val="0"/>
          <w:bCs w:val="0"/>
          <w:color w:val="000000"/>
          <w:sz w:val="24"/>
          <w:szCs w:val="21"/>
          <w:highlight w:val="none"/>
          <w:lang w:val="en-US" w:eastAsia="zh-CN" w:bidi="ar-SA"/>
        </w:rPr>
        <w:tab/>
      </w:r>
      <w:r>
        <w:rPr>
          <w:rFonts w:hint="eastAsia" w:ascii="宋体" w:hAnsi="宋体" w:eastAsia="宋体" w:cs="宋体"/>
          <w:b w:val="0"/>
          <w:bCs w:val="0"/>
          <w:color w:val="000000"/>
          <w:sz w:val="24"/>
          <w:szCs w:val="21"/>
          <w:highlight w:val="none"/>
          <w:lang w:val="en-US" w:eastAsia="zh-CN" w:bidi="ar-SA"/>
        </w:rPr>
        <w:t xml:space="preserve">日</w:t>
      </w:r>
      <w:r>
        <w:rPr>
          <w:rFonts w:hint="eastAsia" w:ascii="宋体" w:hAnsi="宋体" w:eastAsia="宋体" w:cs="宋体"/>
          <w:b w:val="0"/>
          <w:bCs w:val="0"/>
          <w:color w:val="000000"/>
          <w:sz w:val="24"/>
          <w:szCs w:val="21"/>
          <w:highlight w:val="none"/>
          <w:lang w:val="en-US" w:eastAsia="zh-CN" w:bidi="ar-SA"/>
        </w:rPr>
      </w:r>
      <w:r/>
    </w:p>
    <w:p>
      <w:pPr>
        <w:pStyle w:val="659"/>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659"/>
        <w:jc w:val="center"/>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921"/>
        <w:ind w:left="0" w:right="120" w:firstLine="0"/>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南通市大数据管理中心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rPr>
        <w:t xml:space="preserve">________</w:t>
      </w:r>
      <w:r>
        <w:rPr>
          <w:rFonts w:hint="eastAsia" w:ascii="宋体" w:hAnsi="宋体" w:eastAsia="宋体" w:cs="宋体"/>
          <w:color w:val="000000"/>
          <w:sz w:val="21"/>
          <w:szCs w:val="21"/>
          <w:highlight w:val="none"/>
        </w:rPr>
        <w:t xml:space="preserve">号招标文件，正式授权_____(被授权人姓名)代表我方_______（</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的名称），全权处理本次项目投标的有关事宜。</w:t>
      </w:r>
      <w:r>
        <w:rPr>
          <w:rFonts w:hint="eastAsia" w:ascii="宋体" w:hAnsi="宋体" w:eastAsia="宋体" w:cs="宋体"/>
          <w:color w:val="000000"/>
          <w:sz w:val="21"/>
          <w:szCs w:val="21"/>
          <w:highlight w:val="none"/>
        </w:rPr>
      </w:r>
      <w:r/>
    </w:p>
    <w:p>
      <w:pPr>
        <w:pStyle w:val="659"/>
        <w:ind w:firstLine="560"/>
        <w:jc w:val="left"/>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据此函，__________（被授权人</w:t>
      </w:r>
      <w:r>
        <w:rPr>
          <w:rFonts w:hint="eastAsia" w:ascii="宋体" w:hAnsi="宋体" w:eastAsia="宋体" w:cs="宋体"/>
          <w:b/>
          <w:bCs/>
          <w:color w:val="000000"/>
          <w:szCs w:val="21"/>
          <w:highlight w:val="none"/>
        </w:rPr>
        <w:t xml:space="preserve">签字</w:t>
      </w:r>
      <w:r>
        <w:rPr>
          <w:rFonts w:hint="eastAsia" w:ascii="宋体" w:hAnsi="宋体" w:eastAsia="宋体" w:cs="宋体"/>
          <w:color w:val="000000"/>
          <w:szCs w:val="21"/>
          <w:highlight w:val="none"/>
        </w:rPr>
        <w:t xml:space="preserve">）兹宣布同意如下：</w:t>
      </w:r>
      <w:r>
        <w:rPr>
          <w:rFonts w:hint="eastAsia" w:ascii="宋体" w:hAnsi="宋体" w:eastAsia="宋体" w:cs="宋体"/>
          <w:color w:val="000000"/>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1.按招标文件规定的各项要求，向买方提供所需货物（包含与货物相关的服务）。</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2.我们完全理解贵方不一定将合同授予最低报价的投标供应商。</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rPr>
      </w:r>
      <w:r/>
    </w:p>
    <w:p>
      <w:pPr>
        <w:pStyle w:val="921"/>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投标供应商开户行：</w:t>
      </w:r>
      <w:r>
        <w:rPr>
          <w:rFonts w:hint="eastAsia" w:ascii="宋体" w:hAnsi="宋体" w:eastAsia="宋体" w:cs="宋体"/>
          <w:color w:val="000000"/>
          <w:sz w:val="21"/>
          <w:szCs w:val="21"/>
          <w:highlight w:val="none"/>
        </w:rPr>
      </w:r>
      <w:r/>
    </w:p>
    <w:p>
      <w:pPr>
        <w:pStyle w:val="921"/>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rPr>
          <w:rFonts w:hint="eastAsia" w:ascii="宋体" w:hAnsi="宋体" w:eastAsia="宋体" w:cs="宋体"/>
          <w:color w:val="000000"/>
          <w:sz w:val="21"/>
          <w:szCs w:val="21"/>
          <w:highlight w:val="none"/>
        </w:rPr>
      </w:r>
      <w:r/>
    </w:p>
    <w:p>
      <w:pPr>
        <w:pStyle w:val="659"/>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659"/>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659"/>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659"/>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659"/>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、实质性响应承诺函</w:t>
      </w:r>
      <w:r>
        <w:rPr>
          <w:rFonts w:hint="eastAsia" w:ascii="宋体" w:hAnsi="宋体" w:eastAsia="宋体" w:cs="宋体"/>
          <w:b/>
          <w:bCs/>
          <w:color w:val="000000"/>
          <w:szCs w:val="21"/>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59"/>
        <w:contextualSpacing/>
        <w:jc w:val="center"/>
        <w:spacing w:line="40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实质性响应承诺函</w:t>
      </w:r>
      <w:r>
        <w:rPr>
          <w:rFonts w:hint="eastAsia" w:ascii="宋体" w:hAnsi="宋体" w:eastAsia="宋体" w:cs="宋体"/>
          <w:b/>
          <w:color w:val="000000"/>
          <w:szCs w:val="21"/>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lang w:eastAsia="zh-CN"/>
        </w:rPr>
        <w:t xml:space="preserve">南通市大数据管理中心</w:t>
      </w:r>
      <w:r>
        <w:rPr>
          <w:rStyle w:val="978"/>
          <w:rFonts w:hint="eastAsia" w:ascii="宋体" w:hAnsi="宋体" w:eastAsia="宋体" w:cs="宋体"/>
          <w:color w:val="000000"/>
          <w:szCs w:val="21"/>
          <w:highlight w:val="none"/>
        </w:rPr>
        <w:t xml:space="preserve">：</w:t>
      </w:r>
      <w:r>
        <w:rPr>
          <w:rStyle w:val="978"/>
          <w:rFonts w:hint="eastAsia" w:ascii="宋体" w:hAnsi="宋体" w:eastAsia="宋体" w:cs="宋体"/>
          <w:color w:val="000000"/>
          <w:szCs w:val="21"/>
          <w:highlight w:val="none"/>
        </w:rPr>
      </w:r>
      <w:r/>
    </w:p>
    <w:p>
      <w:pPr>
        <w:pStyle w:val="659"/>
        <w:ind w:firstLine="420"/>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我单位</w:t>
      </w:r>
      <w:r>
        <w:rPr>
          <w:rFonts w:hint="eastAsia" w:ascii="宋体" w:hAnsi="宋体" w:eastAsia="宋体" w:cs="宋体"/>
          <w:color w:val="000000"/>
          <w:sz w:val="21"/>
          <w:szCs w:val="21"/>
          <w:highlight w:val="none"/>
        </w:rPr>
        <w:t xml:space="preserve">________</w:t>
      </w:r>
      <w:r>
        <w:rPr>
          <w:rStyle w:val="978"/>
          <w:rFonts w:hint="eastAsia" w:ascii="宋体" w:hAnsi="宋体" w:eastAsia="宋体" w:cs="宋体"/>
          <w:color w:val="000000"/>
          <w:szCs w:val="21"/>
          <w:highlight w:val="none"/>
        </w:rPr>
        <w:t xml:space="preserve">（供应商名称）郑重承诺：</w:t>
      </w:r>
      <w:r>
        <w:rPr>
          <w:rStyle w:val="978"/>
          <w:rFonts w:hint="eastAsia" w:ascii="宋体" w:hAnsi="宋体" w:eastAsia="宋体" w:cs="宋体"/>
          <w:color w:val="000000"/>
          <w:szCs w:val="21"/>
          <w:highlight w:val="none"/>
        </w:rPr>
      </w:r>
      <w:r/>
    </w:p>
    <w:p>
      <w:pPr>
        <w:pStyle w:val="659"/>
        <w:ind w:firstLine="560"/>
        <w:spacing w:line="590" w:lineRule="atLeast"/>
        <w:widowControl/>
        <w:rPr>
          <w:rStyle w:val="978"/>
          <w:rFonts w:hint="eastAsia" w:ascii="宋体" w:hAnsi="宋体" w:eastAsia="宋体" w:cs="宋体"/>
          <w:color w:val="000000"/>
          <w:szCs w:val="21"/>
          <w:highlight w:val="none"/>
          <w:lang w:val="en-US" w:eastAsia="zh-CN"/>
        </w:rPr>
      </w:pPr>
      <w:r>
        <w:rPr>
          <w:rStyle w:val="978"/>
          <w:rFonts w:hint="eastAsia" w:ascii="宋体" w:hAnsi="宋体" w:eastAsia="宋体" w:cs="宋体"/>
          <w:color w:val="000000"/>
          <w:szCs w:val="21"/>
          <w:highlight w:val="none"/>
          <w:lang w:val="en-US" w:eastAsia="zh-CN"/>
        </w:rPr>
        <w:t xml:space="preserve">我单位完全响应招标文件项目需求</w:t>
      </w:r>
      <w:r>
        <w:rPr>
          <w:rFonts w:hint="eastAsia" w:ascii="宋体" w:hAnsi="宋体" w:eastAsia="宋体" w:cs="宋体"/>
          <w:color w:val="000000"/>
          <w:sz w:val="21"/>
          <w:szCs w:val="21"/>
          <w:highlight w:val="none"/>
        </w:rPr>
        <w:t xml:space="preserve">★参数</w:t>
      </w:r>
      <w:r>
        <w:rPr>
          <w:rStyle w:val="978"/>
          <w:rFonts w:hint="eastAsia" w:ascii="宋体" w:hAnsi="宋体" w:eastAsia="宋体" w:cs="宋体"/>
          <w:color w:val="000000"/>
          <w:szCs w:val="21"/>
          <w:highlight w:val="none"/>
          <w:lang w:val="en-US" w:eastAsia="zh-CN"/>
        </w:rPr>
        <w:t xml:space="preserve">内容，无负偏离。</w:t>
      </w:r>
      <w:r>
        <w:rPr>
          <w:rStyle w:val="978"/>
          <w:rFonts w:hint="eastAsia" w:ascii="宋体" w:hAnsi="宋体" w:eastAsia="宋体" w:cs="宋体"/>
          <w:color w:val="000000"/>
          <w:szCs w:val="21"/>
          <w:highlight w:val="none"/>
          <w:lang w:val="en-US" w:eastAsia="zh-CN"/>
        </w:rPr>
      </w:r>
      <w:r/>
    </w:p>
    <w:p>
      <w:pPr>
        <w:pStyle w:val="6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1"/>
        <w:ind w:firstLine="560"/>
        <w:rPr>
          <w:rFonts w:hint="eastAsia" w:ascii="宋体" w:hAnsi="宋体" w:eastAsia="宋体" w:cs="宋体"/>
          <w:color w:val="000000"/>
          <w:highlight w:val="none"/>
          <w:lang w:eastAsia="zh-CN"/>
        </w:rPr>
      </w:pPr>
      <w:r>
        <w:rPr>
          <w:rStyle w:val="978"/>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highlight w:val="none"/>
          <w:lang w:eastAsia="zh-CN"/>
        </w:rPr>
      </w:r>
      <w:r/>
    </w:p>
    <w:p>
      <w:pPr>
        <w:pStyle w:val="67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声明人：</w:t>
      </w:r>
      <w:r>
        <w:rPr>
          <w:rFonts w:hint="eastAsia" w:ascii="宋体" w:hAnsi="宋体" w:eastAsia="宋体" w:cs="宋体"/>
          <w:color w:val="000000"/>
          <w:szCs w:val="21"/>
          <w:highlight w:val="none"/>
        </w:rPr>
        <w:t xml:space="preserve">（加盖CA电子公章）</w:t>
      </w:r>
      <w:r>
        <w:rPr>
          <w:rStyle w:val="978"/>
          <w:rFonts w:hint="eastAsia" w:ascii="宋体" w:hAnsi="宋体" w:eastAsia="宋体" w:cs="宋体"/>
          <w:color w:val="000000"/>
          <w:szCs w:val="21"/>
          <w:highlight w:val="none"/>
        </w:rPr>
      </w:r>
      <w:r/>
    </w:p>
    <w:p>
      <w:pPr>
        <w:pStyle w:val="659"/>
        <w:jc w:val="center"/>
        <w:spacing w:line="500" w:lineRule="exact"/>
        <w:rPr>
          <w:rStyle w:val="978"/>
          <w:rFonts w:hint="eastAsia" w:ascii="宋体" w:hAnsi="宋体" w:eastAsia="宋体" w:cs="宋体"/>
          <w:color w:val="000000"/>
          <w:szCs w:val="21"/>
          <w:highlight w:val="none"/>
        </w:rPr>
      </w:pPr>
      <w:r>
        <w:rPr>
          <w:rStyle w:val="978"/>
          <w:rFonts w:hint="eastAsia" w:ascii="宋体" w:hAnsi="宋体" w:eastAsia="宋体" w:cs="宋体"/>
          <w:color w:val="000000"/>
          <w:szCs w:val="21"/>
          <w:highlight w:val="none"/>
        </w:rPr>
        <w:t xml:space="preserve">                                                  年     月    日</w:t>
      </w:r>
      <w:r>
        <w:rPr>
          <w:rStyle w:val="978"/>
          <w:rFonts w:hint="eastAsia" w:ascii="宋体" w:hAnsi="宋体" w:eastAsia="宋体" w:cs="宋体"/>
          <w:color w:val="000000"/>
          <w:szCs w:val="21"/>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671"/>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659"/>
        <w:spacing w:line="46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九</w:t>
      </w: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color w:val="000000"/>
          <w:szCs w:val="21"/>
          <w:highlight w:val="none"/>
        </w:rPr>
      </w:r>
      <w:r/>
    </w:p>
    <w:p>
      <w:pPr>
        <w:pStyle w:val="659"/>
        <w:contextualSpacing/>
        <w:jc w:val="center"/>
        <w:spacing w:line="30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jc w:val="center"/>
        <w:spacing w:line="480" w:lineRule="auto"/>
        <w:rPr>
          <w:rFonts w:hint="eastAsia" w:ascii="宋体" w:hAnsi="宋体" w:eastAsia="宋体" w:cs="宋体"/>
          <w:b/>
          <w:bCs/>
          <w:color w:val="000000"/>
          <w:sz w:val="24"/>
          <w:highlight w:val="none"/>
          <w:u w:val="single"/>
          <w:lang w:eastAsia="en-US"/>
        </w:rPr>
      </w:pP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5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659"/>
        <w:ind w:firstLine="492"/>
        <w:jc w:val="right"/>
        <w:spacing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681"/>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671"/>
        <w:ind w:left="840" w:firstLine="0"/>
        <w:jc w:val="right"/>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highlight w:val="none"/>
        </w:rPr>
      </w:r>
      <w:r/>
    </w:p>
    <w:p>
      <w:pPr>
        <w:pStyle w:val="659"/>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659"/>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十、</w:t>
      </w:r>
      <w:r>
        <w:rPr>
          <w:rFonts w:hint="eastAsia" w:ascii="宋体" w:hAnsi="宋体" w:eastAsia="宋体" w:cs="宋体"/>
          <w:b/>
          <w:color w:val="000000"/>
          <w:szCs w:val="21"/>
          <w:highlight w:val="none"/>
        </w:rPr>
        <w:t xml:space="preserve">技术</w:t>
      </w:r>
      <w:r>
        <w:rPr>
          <w:rFonts w:hint="eastAsia" w:ascii="宋体" w:hAnsi="宋体" w:eastAsia="宋体" w:cs="宋体"/>
          <w:b/>
          <w:bCs/>
          <w:color w:val="000000"/>
          <w:szCs w:val="21"/>
          <w:highlight w:val="none"/>
        </w:rPr>
        <w:t xml:space="preserve">部分正负偏离表</w:t>
      </w:r>
      <w:r>
        <w:rPr>
          <w:rFonts w:hint="eastAsia" w:ascii="宋体" w:hAnsi="宋体" w:eastAsia="宋体" w:cs="宋体"/>
          <w:bCs/>
          <w:color w:val="000000"/>
          <w:szCs w:val="21"/>
          <w:highlight w:val="none"/>
        </w:rPr>
      </w:r>
      <w:r/>
    </w:p>
    <w:p>
      <w:pPr>
        <w:pStyle w:val="659"/>
        <w:contextualSpacing/>
        <w:jc w:val="center"/>
        <w:spacing w:line="30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技术部分正负偏离表</w:t>
      </w:r>
      <w:r>
        <w:rPr>
          <w:rFonts w:hint="eastAsia" w:ascii="宋体" w:hAnsi="宋体" w:eastAsia="宋体" w:cs="宋体"/>
          <w:b/>
          <w:color w:val="000000"/>
          <w:szCs w:val="21"/>
          <w:highlight w:val="none"/>
        </w:rPr>
      </w:r>
      <w:r/>
    </w:p>
    <w:p>
      <w:pPr>
        <w:pStyle w:val="65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659"/>
              <w:spacing w:line="480" w:lineRule="auto"/>
              <w:rPr>
                <w:rFonts w:hint="eastAsia" w:ascii="宋体" w:hAnsi="宋体" w:eastAsia="宋体" w:cs="宋体"/>
                <w:color w:val="000000"/>
                <w:sz w:val="24"/>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65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65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659"/>
        <w:ind w:firstLine="492"/>
        <w:jc w:val="right"/>
        <w:spacing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681"/>
        <w:jc w:val="righ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681"/>
        <w:jc w:val="righ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sz w:val="24"/>
          <w:szCs w:val="21"/>
          <w:highlight w:val="none"/>
        </w:rPr>
      </w:r>
      <w:r/>
    </w:p>
    <w:p>
      <w:pPr>
        <w:pStyle w:val="659"/>
        <w:numPr>
          <w:ilvl w:val="0"/>
          <w:numId w:val="7"/>
        </w:numPr>
        <w:spacing w:line="360" w:lineRule="auto"/>
        <w:widowControl/>
        <w:rPr>
          <w:rFonts w:hint="eastAsia" w:ascii="宋体" w:hAnsi="宋体" w:eastAsia="宋体" w:cs="宋体"/>
          <w:b/>
          <w:bCs/>
          <w:color w:val="000000"/>
          <w:highlight w:val="none"/>
          <w:lang w:val="en-US" w:eastAsia="zh-CN"/>
        </w:rPr>
        <w:outlineLvl w:val="0"/>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highlight w:val="none"/>
          <w:lang w:val="en-US" w:eastAsia="zh-CN"/>
        </w:rPr>
        <w:t xml:space="preserve">企业报价折扣证明（如涉及，请提供）</w:t>
      </w:r>
      <w:r>
        <w:rPr>
          <w:rFonts w:hint="eastAsia" w:ascii="宋体" w:hAnsi="宋体" w:eastAsia="宋体" w:cs="宋体"/>
          <w:b/>
          <w:bCs/>
          <w:color w:val="000000"/>
          <w:highlight w:val="none"/>
          <w:lang w:val="en-US" w:eastAsia="zh-CN"/>
        </w:rPr>
      </w:r>
      <w:r/>
    </w:p>
    <w:p>
      <w:pPr>
        <w:pStyle w:val="659"/>
        <w:jc w:val="center"/>
        <w:spacing w:line="300" w:lineRule="auto"/>
        <w:rPr>
          <w:rFonts w:ascii="宋体" w:hAnsi="宋体" w:cs="宋体"/>
          <w:b/>
          <w:bCs/>
          <w:color w:val="000000"/>
          <w:szCs w:val="21"/>
          <w:highlight w:val="none"/>
          <w:lang w:bidi="zh-CN"/>
        </w:rPr>
        <w:outlineLvl w:val="0"/>
      </w:pPr>
      <w:r>
        <w:rPr>
          <w:rFonts w:hint="eastAsia" w:ascii="宋体" w:hAnsi="宋体" w:cs="宋体"/>
          <w:b/>
          <w:bCs/>
          <w:color w:val="000000"/>
          <w:szCs w:val="21"/>
          <w:highlight w:val="none"/>
          <w:lang w:bidi="zh-CN"/>
        </w:rPr>
        <w:t xml:space="preserve">中小企业声明函（货物）</w:t>
      </w:r>
      <w:r>
        <w:rPr>
          <w:rFonts w:ascii="宋体" w:hAnsi="宋体" w:cs="宋体"/>
          <w:b/>
          <w:bCs/>
          <w:color w:val="000000"/>
          <w:szCs w:val="21"/>
          <w:highlight w:val="none"/>
          <w:lang w:bidi="zh-CN"/>
        </w:rPr>
      </w:r>
      <w:r/>
    </w:p>
    <w:p>
      <w:pPr>
        <w:pStyle w:val="659"/>
        <w:ind w:firstLine="560"/>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lang w:bidi="zh-CN"/>
        </w:rPr>
        <w:t xml:space="preserve">（单位名称）</w:t>
      </w:r>
      <w:r>
        <w:rPr>
          <w:rFonts w:hint="eastAsia" w:ascii="宋体" w:hAnsi="宋体" w:cs="宋体"/>
          <w:color w:val="000000"/>
          <w:szCs w:val="21"/>
          <w:highlight w:val="none"/>
          <w:lang w:bidi="zh-CN"/>
        </w:rPr>
        <w:t xml:space="preserve">的</w:t>
      </w:r>
      <w:r>
        <w:rPr>
          <w:rFonts w:hint="eastAsia" w:ascii="宋体" w:hAnsi="宋体" w:cs="宋体"/>
          <w:color w:val="000000"/>
          <w:szCs w:val="21"/>
          <w:highlight w:val="none"/>
          <w:u w:val="single"/>
          <w:lang w:bidi="zh-CN"/>
        </w:rPr>
        <w:t xml:space="preserve">（项目名称）</w:t>
      </w:r>
      <w:r>
        <w:rPr>
          <w:rFonts w:hint="eastAsia" w:ascii="宋体" w:hAnsi="宋体" w:cs="宋体"/>
          <w:color w:val="000000"/>
          <w:szCs w:val="21"/>
          <w:highlight w:val="none"/>
          <w:lang w:bidi="zh-CN"/>
        </w:rPr>
        <w:t xml:space="preserve">采购活动，提供的货物</w:t>
      </w:r>
      <w:r>
        <w:rPr>
          <w:rFonts w:hint="eastAsia" w:ascii="宋体" w:hAnsi="宋体" w:cs="宋体"/>
          <w:b/>
          <w:bCs/>
          <w:color w:val="000000"/>
          <w:szCs w:val="21"/>
          <w:highlight w:val="none"/>
          <w:u w:val="single"/>
          <w:lang w:bidi="zh-CN"/>
        </w:rPr>
        <w:t xml:space="preserve">全部</w:t>
      </w:r>
      <w:r>
        <w:rPr>
          <w:rFonts w:hint="eastAsia" w:ascii="宋体" w:hAnsi="宋体" w:cs="宋体"/>
          <w:color w:val="000000"/>
          <w:szCs w:val="21"/>
          <w:highlight w:val="none"/>
          <w:lang w:bidi="zh-CN"/>
        </w:rPr>
        <w:t xml:space="preserve">由符合政策要求的中小企业</w:t>
      </w:r>
      <w:r>
        <w:rPr>
          <w:rFonts w:hint="eastAsia" w:ascii="宋体" w:hAnsi="宋体" w:cs="宋体"/>
          <w:b/>
          <w:bCs/>
          <w:color w:val="000000"/>
          <w:szCs w:val="21"/>
          <w:highlight w:val="none"/>
          <w:u w:val="single"/>
          <w:lang w:bidi="zh-CN"/>
        </w:rPr>
        <w:t xml:space="preserve">制造</w:t>
      </w:r>
      <w:r>
        <w:rPr>
          <w:rFonts w:hint="eastAsia" w:ascii="宋体" w:hAnsi="宋体" w:cs="宋体"/>
          <w:color w:val="000000"/>
          <w:szCs w:val="21"/>
          <w:highlight w:val="none"/>
          <w:lang w:bidi="zh-CN"/>
        </w:rPr>
        <w:t xml:space="preserve">。相关企业（含联合体中的中小企业、签订分包意向协议的中小企业） 的具体情况如下：</w:t>
      </w:r>
      <w:r>
        <w:rPr>
          <w:rFonts w:ascii="宋体" w:hAnsi="宋体" w:cs="宋体"/>
          <w:color w:val="000000"/>
          <w:szCs w:val="21"/>
          <w:highlight w:val="none"/>
          <w:lang w:bidi="zh-CN"/>
        </w:rPr>
      </w:r>
      <w:r/>
    </w:p>
    <w:p>
      <w:pPr>
        <w:pStyle w:val="659"/>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1.</w:t>
      </w:r>
      <w:r>
        <w:rPr>
          <w:rFonts w:hint="eastAsia" w:ascii="宋体" w:hAnsi="宋体" w:cs="宋体"/>
          <w:color w:val="000000"/>
          <w:szCs w:val="21"/>
          <w:highlight w:val="none"/>
          <w:u w:val="single"/>
          <w:lang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w:t>
      </w:r>
      <w:r>
        <w:rPr>
          <w:rFonts w:hint="eastAsia" w:ascii="宋体" w:hAnsi="宋体" w:cs="宋体"/>
          <w:b/>
          <w:bCs/>
          <w:color w:val="000000"/>
          <w:szCs w:val="21"/>
          <w:highlight w:val="none"/>
          <w:lang w:val="en-US" w:bidi="zh-CN"/>
        </w:rPr>
        <w:t xml:space="preserve"> </w:t>
      </w:r>
      <w:r>
        <w:rPr>
          <w:rFonts w:hint="eastAsia" w:ascii="宋体" w:hAnsi="宋体" w:eastAsia="宋体" w:cs="宋体"/>
          <w:b/>
          <w:bCs/>
          <w:color w:val="000000"/>
          <w:szCs w:val="21"/>
          <w:highlight w:val="none"/>
          <w:u w:val="single"/>
          <w:lang w:bidi="zh-CN"/>
        </w:rPr>
        <w:t xml:space="preserve">工业</w:t>
      </w:r>
      <w:r>
        <w:rPr>
          <w:rFonts w:hint="eastAsia" w:ascii="宋体" w:hAnsi="宋体" w:eastAsia="宋体" w:cs="宋体"/>
          <w:color w:val="000000"/>
          <w:szCs w:val="21"/>
          <w:highlight w:val="none"/>
          <w:u w:val="single"/>
          <w:lang w:bidi="zh-CN"/>
        </w:rPr>
        <w:t xml:space="preserve">（</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59"/>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w:t>
      </w:r>
      <w:r>
        <w:rPr>
          <w:rFonts w:hint="eastAsia" w:ascii="宋体" w:hAnsi="宋体" w:cs="宋体"/>
          <w:color w:val="000000"/>
          <w:szCs w:val="21"/>
          <w:highlight w:val="none"/>
          <w:u w:val="single"/>
          <w:lang w:bidi="zh-CN"/>
        </w:rPr>
        <w:t xml:space="preserve"> </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（标的名称）</w:t>
      </w:r>
      <w:r>
        <w:rPr>
          <w:rFonts w:hint="eastAsia" w:ascii="宋体" w:hAnsi="宋体" w:cs="宋体"/>
          <w:color w:val="000000"/>
          <w:szCs w:val="21"/>
          <w:highlight w:val="none"/>
          <w:lang w:bidi="zh-CN"/>
        </w:rPr>
        <w:t xml:space="preserve"> ，属于</w:t>
      </w:r>
      <w:r>
        <w:rPr>
          <w:rFonts w:hint="eastAsia" w:ascii="宋体" w:hAnsi="宋体" w:cs="宋体"/>
          <w:b/>
          <w:bCs/>
          <w:color w:val="000000"/>
          <w:szCs w:val="21"/>
          <w:highlight w:val="none"/>
          <w:lang w:val="en-US" w:bidi="zh-CN"/>
        </w:rPr>
        <w:t xml:space="preserve"> </w:t>
      </w:r>
      <w:r>
        <w:rPr>
          <w:rFonts w:hint="eastAsia" w:ascii="宋体" w:hAnsi="宋体" w:eastAsia="宋体" w:cs="宋体"/>
          <w:b/>
          <w:bCs/>
          <w:color w:val="000000"/>
          <w:szCs w:val="21"/>
          <w:highlight w:val="none"/>
          <w:u w:val="single"/>
          <w:lang w:bidi="zh-CN"/>
        </w:rPr>
        <w:t xml:space="preserve">工业</w:t>
      </w:r>
      <w:r>
        <w:rPr>
          <w:rFonts w:hint="eastAsia" w:ascii="宋体" w:hAnsi="宋体" w:cs="宋体"/>
          <w:color w:val="000000"/>
          <w:szCs w:val="21"/>
          <w:highlight w:val="none"/>
          <w:u w:val="single"/>
          <w:lang w:bidi="zh-CN"/>
        </w:rPr>
        <w:t xml:space="preserve">（采购文件中明确的所属行业）</w:t>
      </w:r>
      <w:r>
        <w:rPr>
          <w:rFonts w:hint="eastAsia" w:ascii="宋体" w:hAnsi="宋体" w:cs="宋体"/>
          <w:color w:val="000000"/>
          <w:szCs w:val="21"/>
          <w:highlight w:val="none"/>
          <w:lang w:bidi="zh-CN"/>
        </w:rPr>
        <w:t xml:space="preserve">行业；制造商为</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（企业名称）</w:t>
      </w:r>
      <w:r>
        <w:rPr>
          <w:rFonts w:hint="eastAsia" w:ascii="宋体" w:hAnsi="宋体" w:cs="宋体"/>
          <w:color w:val="000000"/>
          <w:szCs w:val="21"/>
          <w:highlight w:val="none"/>
          <w:lang w:bidi="zh-CN"/>
        </w:rPr>
        <w:t xml:space="preserve">，从业人员</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人，营业收入为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万元，资产总额为</w:t>
      </w:r>
      <w:r>
        <w:rPr>
          <w:rFonts w:hint="eastAsia" w:ascii="宋体" w:hAnsi="宋体" w:cs="宋体"/>
          <w:color w:val="000000"/>
          <w:szCs w:val="21"/>
          <w:highlight w:val="none"/>
          <w:u w:val="single"/>
          <w:lang w:bidi="zh-CN"/>
        </w:rPr>
        <w:tab/>
      </w:r>
      <w:r>
        <w:rPr>
          <w:rFonts w:hint="eastAsia" w:ascii="宋体" w:hAnsi="宋体" w:cs="宋体"/>
          <w:color w:val="000000"/>
          <w:szCs w:val="21"/>
          <w:highlight w:val="none"/>
          <w:lang w:bidi="zh-CN"/>
        </w:rPr>
        <w:t xml:space="preserve">万元，属于</w:t>
      </w:r>
      <w:r>
        <w:rPr>
          <w:rFonts w:hint="eastAsia" w:ascii="宋体" w:hAnsi="宋体" w:cs="宋体"/>
          <w:color w:val="000000"/>
          <w:szCs w:val="21"/>
          <w:highlight w:val="none"/>
          <w:u w:val="single"/>
          <w:lang w:val="en-US" w:bidi="zh-CN"/>
        </w:rPr>
        <w:t xml:space="preserve">     </w:t>
      </w:r>
      <w:r>
        <w:rPr>
          <w:rFonts w:hint="eastAsia" w:ascii="宋体" w:hAnsi="宋体" w:cs="宋体"/>
          <w:color w:val="000000"/>
          <w:szCs w:val="21"/>
          <w:highlight w:val="none"/>
          <w:u w:val="single"/>
          <w:lang w:bidi="zh-CN"/>
        </w:rPr>
        <w:t xml:space="preserve">（中型企业、小型企业、微型企业）</w:t>
      </w: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59"/>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w:t>
      </w:r>
      <w:r>
        <w:rPr>
          <w:rFonts w:ascii="宋体" w:hAnsi="宋体" w:cs="宋体"/>
          <w:color w:val="000000"/>
          <w:szCs w:val="21"/>
          <w:highlight w:val="none"/>
          <w:lang w:bidi="zh-CN"/>
        </w:rPr>
      </w:r>
      <w:r/>
    </w:p>
    <w:p>
      <w:pPr>
        <w:pStyle w:val="659"/>
        <w:ind w:firstLine="560"/>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以上企业，不属于大企业的分支机构，不存在控股股东为大企业的情形，也不存在与大企业的负责人为同一人的情形。</w:t>
      </w:r>
      <w:r>
        <w:rPr>
          <w:rFonts w:ascii="宋体" w:hAnsi="宋体" w:cs="宋体"/>
          <w:color w:val="000000"/>
          <w:szCs w:val="21"/>
          <w:highlight w:val="none"/>
          <w:lang w:bidi="zh-CN"/>
        </w:rPr>
      </w:r>
      <w:r/>
    </w:p>
    <w:p>
      <w:pPr>
        <w:pStyle w:val="659"/>
        <w:ind w:firstLine="560"/>
        <w:spacing w:line="36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本企业对上述声明内容的真实性负责。如有虚假，将依法承担相应责任。</w:t>
      </w:r>
      <w:r>
        <w:rPr>
          <w:rFonts w:ascii="宋体" w:hAnsi="宋体" w:cs="宋体"/>
          <w:color w:val="000000"/>
          <w:szCs w:val="21"/>
          <w:highlight w:val="none"/>
          <w:lang w:bidi="zh-CN"/>
        </w:rPr>
      </w:r>
      <w:r/>
    </w:p>
    <w:p>
      <w:pPr>
        <w:pStyle w:val="659"/>
        <w:spacing w:line="30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59"/>
        <w:spacing w:line="30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59"/>
        <w:jc w:val="center"/>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企业名称（盖章）：</w:t>
      </w:r>
      <w:r>
        <w:rPr>
          <w:rFonts w:ascii="宋体" w:hAnsi="宋体" w:cs="宋体"/>
          <w:color w:val="000000"/>
          <w:szCs w:val="21"/>
          <w:highlight w:val="none"/>
          <w:lang w:bidi="zh-CN"/>
        </w:rPr>
      </w:r>
      <w:r/>
    </w:p>
    <w:p>
      <w:pPr>
        <w:pStyle w:val="659"/>
        <w:jc w:val="center"/>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日期：</w:t>
      </w:r>
      <w:r>
        <w:rPr>
          <w:rFonts w:ascii="宋体" w:hAnsi="宋体" w:cs="宋体"/>
          <w:color w:val="000000"/>
          <w:szCs w:val="21"/>
          <w:highlight w:val="none"/>
          <w:lang w:bidi="zh-CN"/>
        </w:rPr>
      </w:r>
      <w:r/>
    </w:p>
    <w:p>
      <w:pPr>
        <w:pStyle w:val="659"/>
        <w:ind w:firstLine="432"/>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659"/>
        <w:ind w:firstLine="432"/>
        <w:spacing w:line="440" w:lineRule="exact"/>
        <w:rPr>
          <w:rStyle w:val="978"/>
          <w:rFonts w:ascii="宋体" w:hAnsi="宋体" w:cs="宋体"/>
          <w:bCs/>
          <w:color w:val="000000"/>
          <w:szCs w:val="21"/>
          <w:highlight w:val="none"/>
        </w:rPr>
      </w:pPr>
      <w:r>
        <w:rPr>
          <w:rStyle w:val="978"/>
          <w:rFonts w:hint="eastAsia" w:ascii="宋体" w:hAnsi="宋体" w:cs="宋体"/>
          <w:bCs/>
          <w:color w:val="000000"/>
          <w:szCs w:val="21"/>
          <w:highlight w:val="none"/>
        </w:rPr>
        <w:t xml:space="preserve">（1）从业人员、营业收入、资产总额填报上一年度数据，无上一年度数据的新成立企业可不填报。</w:t>
      </w:r>
      <w:r>
        <w:rPr>
          <w:rStyle w:val="978"/>
          <w:rFonts w:ascii="宋体" w:hAnsi="宋体" w:cs="宋体"/>
          <w:bCs/>
          <w:color w:val="000000"/>
          <w:szCs w:val="21"/>
          <w:highlight w:val="none"/>
        </w:rPr>
      </w:r>
      <w:r/>
    </w:p>
    <w:p>
      <w:pPr>
        <w:pStyle w:val="659"/>
        <w:ind w:firstLine="432"/>
        <w:spacing w:line="440" w:lineRule="exact"/>
        <w:rPr>
          <w:rFonts w:hint="eastAsia" w:ascii="宋体" w:hAnsi="宋体" w:eastAsia="宋体" w:cs="宋体"/>
          <w:b w:val="0"/>
          <w:bCs w:val="0"/>
          <w:color w:val="000000"/>
          <w:szCs w:val="21"/>
          <w:highlight w:val="none"/>
          <w:lang w:eastAsia="en-US"/>
        </w:rPr>
      </w:pPr>
      <w:r>
        <w:rPr>
          <w:rStyle w:val="978"/>
          <w:rFonts w:hint="eastAsia" w:ascii="宋体" w:hAnsi="宋体" w:eastAsia="宋体" w:cs="宋体"/>
          <w:bCs/>
          <w:color w:val="000000"/>
          <w:szCs w:val="21"/>
          <w:highlight w:val="none"/>
        </w:rPr>
        <w:t xml:space="preserve">（2）</w:t>
      </w:r>
      <w:r>
        <w:rPr>
          <w:rStyle w:val="978"/>
          <w:rFonts w:hint="eastAsia" w:ascii="宋体" w:hAnsi="宋体" w:eastAsia="宋体" w:cs="宋体"/>
          <w:bCs/>
          <w:color w:val="000000"/>
          <w:szCs w:val="21"/>
          <w:highlight w:val="none"/>
          <w:lang w:eastAsia="zh-CN"/>
        </w:rPr>
        <w:t xml:space="preserve">《</w:t>
      </w:r>
      <w:r>
        <w:rPr>
          <w:rStyle w:val="978"/>
          <w:rFonts w:hint="eastAsia" w:ascii="宋体" w:hAnsi="宋体" w:eastAsia="宋体" w:cs="宋体"/>
          <w:bCs/>
          <w:color w:val="000000"/>
          <w:szCs w:val="21"/>
          <w:highlight w:val="none"/>
        </w:rPr>
        <w:t xml:space="preserve">关于印发中小企业划型标准规定的通知》中“工业”中小企业划型标准规定：从业人员1000人以下或营业收入40000万元以下的为中小微型企业。其中，从业人员300人及以上，且营业收入2000万元及以上的为中型企业；</w:t>
      </w:r>
      <w:r>
        <w:rPr>
          <w:rStyle w:val="978"/>
          <w:rFonts w:hint="eastAsia" w:ascii="宋体" w:hAnsi="宋体" w:eastAsia="宋体" w:cs="宋体"/>
          <w:b/>
          <w:bCs w:val="0"/>
          <w:color w:val="000000"/>
          <w:szCs w:val="21"/>
          <w:highlight w:val="none"/>
        </w:rPr>
        <w:t xml:space="preserve">从业人员20人及以上，且营业收入300万元及以上的为小型企业；从业人员20人以下或营业收入300万元以下的为微型企业。</w:t>
      </w:r>
      <w:r>
        <w:rPr>
          <w:rStyle w:val="978"/>
          <w:rFonts w:hint="eastAsia" w:ascii="宋体" w:hAnsi="宋体" w:eastAsia="宋体" w:cs="宋体"/>
          <w:b/>
          <w:bCs w:val="0"/>
          <w:color w:val="000000"/>
          <w:szCs w:val="21"/>
          <w:highlight w:val="none"/>
        </w:rPr>
        <w:br w:type="textWrapping" w:clear="all"/>
      </w:r>
      <w:r>
        <w:rPr>
          <w:rStyle w:val="978"/>
          <w:rFonts w:hint="eastAsia" w:ascii="宋体" w:hAnsi="宋体" w:eastAsia="宋体" w:cs="宋体"/>
          <w:b/>
          <w:bCs w:val="0"/>
          <w:color w:val="000000"/>
          <w:szCs w:val="21"/>
          <w:highlight w:val="none"/>
          <w:lang w:val="en-US" w:eastAsia="zh-CN"/>
        </w:rPr>
        <w:t xml:space="preserve">    </w:t>
      </w:r>
      <w:r>
        <w:rPr>
          <w:rStyle w:val="978"/>
          <w:rFonts w:hint="eastAsia" w:ascii="宋体" w:hAnsi="宋体" w:eastAsia="宋体" w:cs="宋体"/>
          <w:b w:val="0"/>
          <w:bCs/>
          <w:color w:val="000000"/>
          <w:szCs w:val="21"/>
          <w:highlight w:val="none"/>
          <w:lang w:eastAsia="zh-CN"/>
        </w:rPr>
        <w:t xml:space="preserve">（</w:t>
      </w:r>
      <w:r>
        <w:rPr>
          <w:rStyle w:val="978"/>
          <w:rFonts w:hint="eastAsia" w:ascii="宋体" w:hAnsi="宋体" w:eastAsia="宋体" w:cs="宋体"/>
          <w:b w:val="0"/>
          <w:bCs/>
          <w:color w:val="000000"/>
          <w:szCs w:val="21"/>
          <w:highlight w:val="none"/>
          <w:lang w:val="en-US" w:eastAsia="zh-CN"/>
        </w:rPr>
        <w:t xml:space="preserve">3</w:t>
      </w:r>
      <w:r>
        <w:rPr>
          <w:rStyle w:val="978"/>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val="0"/>
          <w:color w:val="000000"/>
          <w:szCs w:val="21"/>
          <w:highlight w:val="none"/>
          <w:lang w:eastAsia="en-US"/>
        </w:rPr>
        <w:t xml:space="preserve">本项目属于货物类采购。</w:t>
      </w:r>
      <w:r>
        <w:rPr>
          <w:rFonts w:hint="eastAsia" w:ascii="宋体" w:hAnsi="宋体" w:eastAsia="宋体" w:cs="宋体"/>
          <w:b/>
          <w:bCs/>
          <w:color w:val="000000"/>
          <w:szCs w:val="21"/>
          <w:highlight w:val="none"/>
          <w:lang w:eastAsia="en-US"/>
        </w:rPr>
        <w:t xml:space="preserve">本项目为非专门面向中小微企业项目，小型、微型企业在评标时享受扶持政策。</w:t>
      </w:r>
      <w:r>
        <w:rPr>
          <w:rFonts w:hint="eastAsia" w:ascii="宋体" w:hAnsi="宋体" w:eastAsia="宋体" w:cs="宋体"/>
          <w:b w:val="0"/>
          <w:bCs w:val="0"/>
          <w:color w:val="000000"/>
          <w:szCs w:val="21"/>
          <w:highlight w:val="none"/>
          <w:lang w:eastAsia="en-US"/>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宋体" w:hAnsi="宋体" w:eastAsia="宋体" w:cs="宋体"/>
          <w:b w:val="0"/>
          <w:bCs w:val="0"/>
          <w:color w:val="000000"/>
          <w:szCs w:val="21"/>
          <w:highlight w:val="none"/>
          <w:lang w:eastAsia="en-US"/>
        </w:rPr>
      </w:r>
      <w:r/>
    </w:p>
    <w:p>
      <w:pPr>
        <w:pStyle w:val="659"/>
        <w:rPr>
          <w:rFonts w:ascii="宋体" w:hAnsi="宋体" w:cs="宋体"/>
          <w:b/>
          <w:bCs/>
          <w:color w:val="000000"/>
          <w:sz w:val="24"/>
          <w:highlight w:val="none"/>
        </w:rPr>
      </w:pPr>
      <w:r>
        <w:rPr>
          <w:rFonts w:hint="eastAsia" w:ascii="宋体" w:hAnsi="宋体" w:cs="宋体"/>
          <w:b/>
          <w:bCs w:val="0"/>
          <w:color w:val="000000"/>
          <w:sz w:val="24"/>
          <w:highlight w:val="none"/>
        </w:rPr>
        <w:br w:type="page" w:clear="all"/>
      </w:r>
      <w:r>
        <w:rPr>
          <w:rFonts w:ascii="宋体" w:hAnsi="宋体" w:cs="宋体"/>
          <w:b/>
          <w:bCs/>
          <w:color w:val="000000"/>
          <w:sz w:val="24"/>
          <w:highlight w:val="none"/>
        </w:rPr>
      </w:r>
      <w:r/>
    </w:p>
    <w:p>
      <w:pPr>
        <w:pStyle w:val="693"/>
        <w:ind w:right="415"/>
        <w:jc w:val="center"/>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ascii="宋体" w:hAnsi="宋体" w:eastAsia="宋体" w:cs="宋体"/>
          <w:b/>
          <w:bCs/>
          <w:color w:val="000000"/>
          <w:szCs w:val="24"/>
          <w:highlight w:val="none"/>
        </w:rPr>
      </w:r>
      <w:r/>
    </w:p>
    <w:p>
      <w:pPr>
        <w:pStyle w:val="659"/>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w:t>
      </w:r>
      <w:r>
        <w:rPr>
          <w:rFonts w:hint="eastAsia" w:hAnsi="宋体"/>
          <w:b w:val="0"/>
          <w:color w:val="000000"/>
          <w:position w:val="0"/>
          <w:szCs w:val="24"/>
          <w:highlight w:val="none"/>
        </w:rPr>
        <w:t xml:space="preserve">提供本单位制造的货物（由本单位承担工程</w:t>
      </w:r>
      <w:r>
        <w:rPr>
          <w:rFonts w:hAnsi="宋体"/>
          <w:b w:val="0"/>
          <w:color w:val="000000"/>
          <w:position w:val="0"/>
          <w:szCs w:val="24"/>
          <w:highlight w:val="none"/>
        </w:rPr>
        <w:t xml:space="preserve">/提供服务）</w:t>
      </w:r>
      <w:r>
        <w:rPr>
          <w:rFonts w:hint="eastAsia" w:ascii="宋体" w:hAnsi="宋体" w:cs="宋体"/>
          <w:color w:val="000000"/>
          <w:szCs w:val="21"/>
          <w:highlight w:val="none"/>
        </w:rPr>
        <w:t xml:space="preserve">，或者提供其他残疾人福利性单位制造的货物（不包括使用非残疾人福利性单位注册商标的货物）。</w:t>
      </w:r>
      <w:r>
        <w:rPr>
          <w:rFonts w:ascii="宋体" w:hAnsi="宋体" w:cs="宋体"/>
          <w:color w:val="000000"/>
          <w:szCs w:val="21"/>
          <w:highlight w:val="none"/>
        </w:rPr>
      </w:r>
      <w:r/>
    </w:p>
    <w:p>
      <w:pPr>
        <w:pStyle w:val="659"/>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659"/>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（备注：中标供应商为残疾人福利单位的，此声明函将随中标结果同时公告，接受社会监督）</w:t>
      </w:r>
      <w:r>
        <w:rPr>
          <w:rFonts w:ascii="宋体" w:hAnsi="宋体" w:cs="宋体"/>
          <w:color w:val="000000"/>
          <w:szCs w:val="21"/>
          <w:highlight w:val="none"/>
        </w:rPr>
      </w:r>
      <w:r/>
    </w:p>
    <w:p>
      <w:pPr>
        <w:pStyle w:val="659"/>
        <w:ind w:firstLine="444"/>
        <w:spacing w:line="360" w:lineRule="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659"/>
        <w:spacing w:line="360" w:lineRule="auto"/>
        <w:widowControl/>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ascii="宋体" w:hAnsi="宋体" w:cs="宋体"/>
          <w:color w:val="000000"/>
          <w:szCs w:val="21"/>
          <w:highlight w:val="none"/>
          <w:lang w:bidi="zh-CN"/>
        </w:rPr>
      </w:r>
      <w:r/>
    </w:p>
    <w:p>
      <w:pPr>
        <w:pStyle w:val="696"/>
        <w:ind w:left="1260"/>
        <w:rPr>
          <w:rFonts w:ascii="宋体" w:hAnsi="宋体" w:cs="宋体"/>
          <w:color w:val="000000"/>
          <w:szCs w:val="21"/>
          <w:highlight w:val="none"/>
        </w:rPr>
      </w:pPr>
      <w:r>
        <w:rPr>
          <w:rFonts w:ascii="宋体" w:hAnsi="宋体" w:cs="宋体"/>
          <w:color w:val="000000"/>
          <w:szCs w:val="21"/>
          <w:highlight w:val="none"/>
        </w:rPr>
      </w:r>
      <w:r/>
    </w:p>
    <w:p>
      <w:pPr>
        <w:pStyle w:val="659"/>
        <w:spacing w:line="360" w:lineRule="auto"/>
        <w:widowControl/>
        <w:rPr>
          <w:rFonts w:ascii="宋体" w:hAnsi="宋体" w:cs="宋体"/>
          <w:color w:val="000000"/>
          <w:spacing w:val="6"/>
          <w:szCs w:val="21"/>
          <w:highlight w:val="none"/>
        </w:rPr>
      </w:pPr>
      <w:r>
        <w:rPr>
          <w:rFonts w:ascii="宋体" w:hAnsi="宋体" w:cs="宋体"/>
          <w:color w:val="000000"/>
          <w:spacing w:val="6"/>
          <w:szCs w:val="21"/>
          <w:highlight w:val="none"/>
        </w:rPr>
      </w:r>
      <w:r/>
    </w:p>
    <w:p>
      <w:pPr>
        <w:pStyle w:val="659"/>
        <w:ind w:right="1560" w:firstLine="420"/>
        <w:jc w:val="right"/>
        <w:spacing w:line="360" w:lineRule="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供应商全称：（加盖CA电子公章）</w:t>
      </w:r>
      <w:r>
        <w:rPr>
          <w:rFonts w:ascii="宋体" w:hAnsi="宋体" w:cs="宋体"/>
          <w:color w:val="000000"/>
          <w:szCs w:val="21"/>
          <w:highlight w:val="none"/>
        </w:rPr>
      </w:r>
      <w:r/>
    </w:p>
    <w:p>
      <w:pPr>
        <w:pStyle w:val="659"/>
        <w:ind w:right="1560" w:firstLine="420"/>
        <w:jc w:val="right"/>
        <w:spacing w:line="360" w:lineRule="auto"/>
        <w:widowControl/>
        <w:tabs>
          <w:tab w:val="left" w:pos="4860" w:leader="none"/>
        </w:tabs>
        <w:rPr>
          <w:rFonts w:ascii="宋体" w:hAnsi="宋体" w:cs="宋体"/>
          <w:color w:val="000000"/>
          <w:szCs w:val="21"/>
          <w:highlight w:val="none"/>
        </w:rPr>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659"/>
        <w:rPr>
          <w:rFonts w:ascii="宋体" w:hAnsi="宋体" w:cs="宋体"/>
          <w:color w:val="000000"/>
          <w:szCs w:val="21"/>
          <w:highlight w:val="none"/>
        </w:rPr>
      </w:pPr>
      <w:r>
        <w:rPr>
          <w:rFonts w:hint="eastAsia" w:ascii="宋体" w:hAnsi="宋体" w:cs="宋体"/>
          <w:color w:val="000000"/>
          <w:szCs w:val="21"/>
          <w:highlight w:val="none"/>
        </w:rPr>
        <w:br w:type="page" w:clear="all"/>
      </w:r>
      <w:r>
        <w:rPr>
          <w:rFonts w:ascii="宋体" w:hAnsi="宋体" w:cs="宋体"/>
          <w:color w:val="000000"/>
          <w:szCs w:val="21"/>
          <w:highlight w:val="none"/>
        </w:rPr>
      </w:r>
      <w:r/>
    </w:p>
    <w:p>
      <w:pPr>
        <w:pStyle w:val="693"/>
        <w:ind w:right="415"/>
        <w:jc w:val="center"/>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监狱和戒毒企业证明材料</w:t>
      </w:r>
      <w:r>
        <w:rPr>
          <w:rFonts w:ascii="宋体" w:hAnsi="宋体" w:eastAsia="宋体" w:cs="宋体"/>
          <w:b/>
          <w:bCs/>
          <w:color w:val="000000"/>
          <w:szCs w:val="24"/>
          <w:highlight w:val="none"/>
        </w:rPr>
      </w:r>
      <w:r/>
    </w:p>
    <w:p>
      <w:pPr>
        <w:pStyle w:val="659"/>
        <w:ind w:firstLine="371"/>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659"/>
        <w:ind w:firstLine="373"/>
        <w:jc w:val="center"/>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（格式自拟）</w:t>
      </w:r>
      <w:r>
        <w:rPr>
          <w:rFonts w:ascii="宋体" w:hAnsi="宋体" w:cs="宋体"/>
          <w:b/>
          <w:color w:val="000000"/>
          <w:szCs w:val="21"/>
          <w:highlight w:val="none"/>
        </w:rPr>
      </w:r>
      <w:r/>
    </w:p>
    <w:p>
      <w:pPr>
        <w:pStyle w:val="659"/>
        <w:ind w:firstLine="371"/>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pStyle w:val="659"/>
        <w:ind w:firstLine="495"/>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Cs w:val="21"/>
          <w:highlight w:val="none"/>
        </w:rPr>
      </w:r>
      <w:r/>
    </w:p>
    <w:p>
      <w:pPr>
        <w:pStyle w:val="659"/>
        <w:spacing w:line="360" w:lineRule="auto"/>
        <w:widowControl/>
        <w:rPr>
          <w:rFonts w:ascii="宋体" w:hAnsi="宋体" w:cs="宋体"/>
          <w:color w:val="000000"/>
          <w:szCs w:val="21"/>
          <w:highlight w:val="none"/>
        </w:rPr>
        <w:outlineLvl w:val="0"/>
      </w:pPr>
      <w:r>
        <w:rPr>
          <w:rFonts w:ascii="宋体" w:hAnsi="宋体" w:cs="宋体"/>
          <w:color w:val="000000"/>
          <w:szCs w:val="21"/>
          <w:highlight w:val="none"/>
        </w:rPr>
      </w:r>
      <w:r/>
    </w:p>
    <w:p>
      <w:pPr>
        <w:pStyle w:val="659"/>
        <w:spacing w:line="360" w:lineRule="auto"/>
        <w:widowControl/>
        <w:rPr>
          <w:rFonts w:ascii="宋体" w:hAnsi="宋体" w:cs="宋体"/>
          <w:color w:val="000000"/>
          <w:szCs w:val="21"/>
          <w:highlight w:val="none"/>
        </w:rPr>
        <w:outlineLvl w:val="0"/>
      </w:pPr>
      <w:r>
        <w:rPr>
          <w:rFonts w:hint="eastAsia" w:ascii="宋体" w:hAnsi="宋体" w:cs="宋体"/>
          <w:color w:val="000000"/>
          <w:szCs w:val="21"/>
          <w:highlight w:val="none"/>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ascii="宋体" w:hAnsi="宋体" w:cs="宋体"/>
          <w:color w:val="000000"/>
          <w:szCs w:val="21"/>
          <w:highlight w:val="none"/>
        </w:rPr>
      </w:r>
      <w:r/>
    </w:p>
    <w:p>
      <w:pPr>
        <w:pStyle w:val="659"/>
        <w:jc w:val="center"/>
        <w:spacing w:line="360" w:lineRule="auto"/>
        <w:widowControl/>
        <w:rPr>
          <w:rFonts w:hint="eastAsia" w:ascii="宋体" w:hAnsi="宋体" w:eastAsia="宋体" w:cs="宋体"/>
          <w:b/>
          <w:color w:val="000000"/>
          <w:sz w:val="28"/>
          <w:szCs w:val="28"/>
          <w:highlight w:val="none"/>
        </w:rPr>
        <w:outlineLvl w:val="0"/>
      </w:pPr>
      <w:r>
        <w:rPr>
          <w:rFonts w:hint="eastAsia" w:ascii="宋体" w:hAnsi="宋体" w:cs="宋体"/>
          <w:b/>
          <w:bCs/>
          <w:color w:val="000000"/>
          <w:szCs w:val="21"/>
          <w:highlight w:val="none"/>
        </w:rPr>
        <w:br w:type="page" w:clear="all"/>
      </w:r>
      <w:r>
        <w:rPr>
          <w:rFonts w:hint="eastAsia" w:ascii="宋体" w:hAnsi="宋体" w:eastAsia="宋体" w:cs="宋体"/>
          <w:b/>
          <w:color w:val="000000"/>
          <w:sz w:val="28"/>
          <w:szCs w:val="28"/>
          <w:highlight w:val="none"/>
        </w:rPr>
        <w:t xml:space="preserve">质疑函范本</w:t>
      </w:r>
      <w:r>
        <w:rPr>
          <w:rFonts w:hint="eastAsia" w:ascii="宋体" w:hAnsi="宋体" w:eastAsia="宋体" w:cs="宋体"/>
          <w:b/>
          <w:color w:val="000000"/>
          <w:sz w:val="28"/>
          <w:szCs w:val="28"/>
          <w:highlight w:val="none"/>
        </w:rPr>
      </w:r>
      <w:r/>
    </w:p>
    <w:p>
      <w:pPr>
        <w:pStyle w:val="659"/>
        <w:spacing w:before="312"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一、质疑供应商基本信息</w:t>
      </w:r>
      <w:r>
        <w:rPr>
          <w:rFonts w:hint="eastAsia" w:ascii="宋体" w:hAnsi="宋体" w:eastAsia="宋体" w:cs="宋体"/>
          <w:bCs/>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质疑供应商：</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联系人：联系电话：</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二、质疑项目基本情况</w:t>
      </w:r>
      <w:r>
        <w:rPr>
          <w:rFonts w:hint="eastAsia" w:ascii="宋体" w:hAnsi="宋体" w:eastAsia="宋体" w:cs="宋体"/>
          <w:bCs/>
          <w:color w:val="000000"/>
          <w:szCs w:val="21"/>
          <w:highlight w:val="non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质疑项目的名称：</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质疑项目的编号：包号：</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采购人名称：</w:t>
      </w:r>
      <w:r>
        <w:rPr>
          <w:rFonts w:hint="eastAsia" w:ascii="宋体" w:hAnsi="宋体" w:eastAsia="宋体" w:cs="宋体"/>
          <w:color w:val="000000"/>
          <w:szCs w:val="21"/>
          <w:highlight w:val="none"/>
          <w:u w:val="single"/>
        </w:rPr>
      </w:r>
      <w:r/>
    </w:p>
    <w:p>
      <w:pPr>
        <w:pStyle w:val="659"/>
        <w:spacing w:line="360" w:lineRule="auto"/>
        <w:tabs>
          <w:tab w:val="left" w:pos="6839"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采购文件获取日期：</w:t>
      </w:r>
      <w:r>
        <w:rPr>
          <w:rFonts w:hint="eastAsia" w:ascii="宋体" w:hAnsi="宋体" w:eastAsia="宋体" w:cs="宋体"/>
          <w:color w:val="000000"/>
          <w:szCs w:val="21"/>
          <w:highlight w:val="none"/>
          <w:lang w:eastAsia="zh-CN"/>
        </w:rPr>
        <w:tab/>
      </w:r>
      <w:r>
        <w:rPr>
          <w:rFonts w:hint="eastAsia" w:ascii="宋体" w:hAnsi="宋体" w:eastAsia="宋体" w:cs="宋体"/>
          <w:color w:val="000000"/>
          <w:szCs w:val="21"/>
          <w:highlight w:val="none"/>
          <w:lang w:eastAsia="zh-CN"/>
        </w:rPr>
      </w:r>
      <w:r/>
    </w:p>
    <w:p>
      <w:pPr>
        <w:pStyle w:val="659"/>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三、质疑事项具体内容</w:t>
      </w:r>
      <w:r>
        <w:rPr>
          <w:rFonts w:hint="eastAsia" w:ascii="宋体" w:hAnsi="宋体" w:eastAsia="宋体" w:cs="宋体"/>
          <w:bCs/>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质疑事项1：</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事实依据：</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法律依据：</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质疑事项2</w:t>
      </w:r>
      <w:r>
        <w:rPr>
          <w:rFonts w:hint="eastAsia" w:ascii="宋体" w:hAnsi="宋体" w:eastAsia="宋体" w:cs="宋体"/>
          <w:color w:val="000000"/>
          <w:szCs w:val="21"/>
          <w:highlight w:val="none"/>
          <w:u w:val="singl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四、与质疑事项相关的质疑请求</w:t>
      </w:r>
      <w:r>
        <w:rPr>
          <w:rFonts w:hint="eastAsia" w:ascii="宋体" w:hAnsi="宋体" w:eastAsia="宋体" w:cs="宋体"/>
          <w:bCs/>
          <w:color w:val="000000"/>
          <w:szCs w:val="21"/>
          <w:highlight w:val="none"/>
        </w:rPr>
      </w:r>
      <w:r/>
    </w:p>
    <w:p>
      <w:pPr>
        <w:pStyle w:val="659"/>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请求：</w:t>
      </w:r>
      <w:r>
        <w:rPr>
          <w:rFonts w:hint="eastAsia" w:ascii="宋体" w:hAnsi="宋体" w:eastAsia="宋体" w:cs="宋体"/>
          <w:color w:val="000000"/>
          <w:szCs w:val="21"/>
          <w:highlight w:val="none"/>
          <w:u w:val="single"/>
        </w:rPr>
      </w:r>
      <w:r/>
    </w:p>
    <w:p>
      <w:pPr>
        <w:pStyle w:val="65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签字(签章)：                   公章：                      </w:t>
      </w:r>
      <w:r>
        <w:rPr>
          <w:rFonts w:hint="eastAsia" w:ascii="宋体" w:hAnsi="宋体" w:eastAsia="宋体" w:cs="宋体"/>
          <w:color w:val="000000"/>
          <w:szCs w:val="21"/>
          <w:highlight w:val="none"/>
        </w:rPr>
      </w:r>
      <w:r/>
    </w:p>
    <w:p>
      <w:pPr>
        <w:pStyle w:val="65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rPr>
          <w:rFonts w:hint="eastAsia" w:ascii="宋体" w:hAnsi="宋体" w:eastAsia="宋体" w:cs="宋体"/>
          <w:color w:val="000000"/>
          <w:szCs w:val="21"/>
          <w:highlight w:val="none"/>
        </w:rPr>
      </w:r>
      <w:r/>
    </w:p>
    <w:p>
      <w:pPr>
        <w:pStyle w:val="65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659"/>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质疑函制作说明：</w:t>
      </w:r>
      <w:r>
        <w:rPr>
          <w:rFonts w:hint="eastAsia" w:ascii="宋体" w:hAnsi="宋体" w:eastAsia="宋体" w:cs="宋体"/>
          <w:b/>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1.供应商提出质疑时，应提交质疑函和必要的证明材料。</w:t>
      </w:r>
      <w:r>
        <w:rPr>
          <w:rFonts w:hint="eastAsia" w:ascii="宋体" w:hAnsi="宋体" w:eastAsia="宋体" w:cs="宋体"/>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3.质疑供应商若对项目的某一分包进行质疑，质疑函中应列明具体分包号。</w:t>
      </w:r>
      <w:r>
        <w:rPr>
          <w:rFonts w:hint="eastAsia" w:ascii="宋体" w:hAnsi="宋体" w:eastAsia="宋体" w:cs="宋体"/>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4.质疑函的质疑事项应具体、明确，并有必要的事实依据和法律依据。</w:t>
      </w:r>
      <w:r>
        <w:rPr>
          <w:rFonts w:hint="eastAsia" w:ascii="宋体" w:hAnsi="宋体" w:eastAsia="宋体" w:cs="宋体"/>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5.质疑函的质疑请求应与质疑事项相关。</w:t>
      </w:r>
      <w:r>
        <w:rPr>
          <w:rFonts w:hint="eastAsia" w:ascii="宋体" w:hAnsi="宋体" w:eastAsia="宋体" w:cs="宋体"/>
          <w:color w:val="000000"/>
          <w:szCs w:val="21"/>
          <w:highlight w:val="none"/>
        </w:rPr>
      </w:r>
      <w:r/>
    </w:p>
    <w:p>
      <w:pPr>
        <w:pStyle w:val="659"/>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ˎ̥">
    <w:panose1 w:val="020B0503020202020204"/>
  </w:font>
  <w:font w:name="仿宋">
    <w:panose1 w:val="02010609060101010101"/>
  </w:font>
  <w:font w:name="等线">
    <w:panose1 w:val="02010600030101010101"/>
  </w:font>
  <w:font w:name="等线 Light">
    <w:panose1 w:val="02010600030101010101"/>
  </w:font>
  <w:font w:name="Cambria">
    <w:panose1 w:val="02040503050406030204"/>
  </w:font>
  <w:font w:name="Courier New">
    <w:panose1 w:val="02070309020205020404"/>
  </w:font>
  <w:font w:name="Times New Roman">
    <w:panose1 w:val="020206030504050203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5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659"/>
        <w:tabs>
          <w:tab w:val="num" w:pos="312" w:leader="none"/>
        </w:tabs>
      </w:pPr>
    </w:lvl>
    <w:lvl w:ilvl="1">
      <w:start w:val="1"/>
      <w:numFmt w:val="decimal"/>
      <w:isLgl w:val="false"/>
      <w:suff w:val="space"/>
      <w:lvlText w:val="%1.%2"/>
      <w:lvlJc w:val="left"/>
      <w:pPr>
        <w:pStyle w:val="659"/>
        <w:ind w:left="0" w:firstLine="0"/>
      </w:pPr>
    </w:lvl>
    <w:lvl w:ilvl="2">
      <w:start w:val="1"/>
      <w:numFmt w:val="decimal"/>
      <w:isLgl w:val="false"/>
      <w:suff w:val="space"/>
      <w:lvlText w:val="%1.%2.%3"/>
      <w:lvlJc w:val="left"/>
      <w:pPr>
        <w:pStyle w:val="659"/>
        <w:ind w:left="0" w:firstLine="0"/>
      </w:pPr>
    </w:lvl>
    <w:lvl w:ilvl="3">
      <w:start w:val="1"/>
      <w:numFmt w:val="decimal"/>
      <w:isLgl w:val="false"/>
      <w:suff w:val="space"/>
      <w:lvlText w:val="%1.%2.%3.%4"/>
      <w:lvlJc w:val="left"/>
      <w:pPr>
        <w:pStyle w:val="659"/>
        <w:ind w:left="0" w:firstLine="0"/>
      </w:pPr>
    </w:lvl>
    <w:lvl w:ilvl="4">
      <w:start w:val="1"/>
      <w:numFmt w:val="decimal"/>
      <w:isLgl w:val="false"/>
      <w:suff w:val="space"/>
      <w:lvlText w:val="%1.%2.%3.%4.%5"/>
      <w:lvlJc w:val="left"/>
      <w:pPr>
        <w:pStyle w:val="659"/>
        <w:ind w:left="0" w:firstLine="0"/>
      </w:pPr>
    </w:lvl>
    <w:lvl w:ilvl="5">
      <w:start w:val="1"/>
      <w:numFmt w:val="decimal"/>
      <w:isLgl w:val="false"/>
      <w:suff w:val="space"/>
      <w:lvlText w:val="%1.%2.%3.%4.%5.%6"/>
      <w:lvlJc w:val="left"/>
      <w:pPr>
        <w:pStyle w:val="659"/>
        <w:ind w:left="0" w:firstLine="0"/>
      </w:pPr>
    </w:lvl>
    <w:lvl w:ilvl="6">
      <w:start w:val="1"/>
      <w:numFmt w:val="decimal"/>
      <w:isLgl w:val="false"/>
      <w:suff w:val="space"/>
      <w:lvlText w:val="%1.%2.%3.%4.%5.%6.%7"/>
      <w:lvlJc w:val="left"/>
      <w:pPr>
        <w:pStyle w:val="659"/>
        <w:ind w:left="0" w:firstLine="0"/>
      </w:pPr>
    </w:lvl>
    <w:lvl w:ilvl="7">
      <w:start w:val="1"/>
      <w:numFmt w:val="decimal"/>
      <w:isLgl w:val="false"/>
      <w:suff w:val="space"/>
      <w:lvlText w:val="%1.%2.%3.%4.%5.%6.%7.%8"/>
      <w:lvlJc w:val="left"/>
      <w:pPr>
        <w:pStyle w:val="659"/>
        <w:ind w:left="0" w:firstLine="0"/>
      </w:pPr>
    </w:lvl>
    <w:lvl w:ilvl="8">
      <w:start w:val="1"/>
      <w:numFmt w:val="decimal"/>
      <w:isLgl w:val="false"/>
      <w:suff w:val="space"/>
      <w:lvlText w:val="%1.%2.%3.%4.%5.%6.%7.%8.%9"/>
      <w:lvlJc w:val="left"/>
      <w:pPr>
        <w:pStyle w:val="659"/>
        <w:ind w:left="0" w:firstLine="0"/>
      </w:pPr>
    </w:lvl>
  </w:abstractNum>
  <w:abstractNum w:abstractNumId="1">
    <w:multiLevelType w:val="hybridMultilevel"/>
    <w:lvl w:ilvl="0">
      <w:start w:val="1"/>
      <w:numFmt w:val="bullet"/>
      <w:pStyle w:val="962"/>
      <w:isLgl w:val="false"/>
      <w:suff w:val="tab"/>
      <w:lvlText w:val=""/>
      <w:lvlJc w:val="left"/>
      <w:pPr>
        <w:pStyle w:val="659"/>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9"/>
        <w:ind w:left="960" w:hanging="480"/>
        <w:tabs>
          <w:tab w:val="num" w:pos="960" w:leader="none"/>
        </w:tabs>
      </w:pPr>
    </w:lvl>
    <w:lvl w:ilvl="2">
      <w:start w:val="1"/>
      <w:numFmt w:val="lowerRoman"/>
      <w:isLgl w:val="false"/>
      <w:suff w:val="tab"/>
      <w:lvlText w:val="%3."/>
      <w:lvlJc w:val="right"/>
      <w:pPr>
        <w:pStyle w:val="659"/>
        <w:ind w:left="1440" w:hanging="480"/>
        <w:tabs>
          <w:tab w:val="num" w:pos="1440" w:leader="none"/>
        </w:tabs>
      </w:pPr>
    </w:lvl>
    <w:lvl w:ilvl="3">
      <w:start w:val="1"/>
      <w:numFmt w:val="decimal"/>
      <w:isLgl w:val="false"/>
      <w:suff w:val="tab"/>
      <w:lvlText w:val="%4."/>
      <w:lvlJc w:val="left"/>
      <w:pPr>
        <w:pStyle w:val="659"/>
        <w:ind w:left="1920" w:hanging="480"/>
        <w:tabs>
          <w:tab w:val="num" w:pos="1920" w:leader="none"/>
        </w:tabs>
      </w:pPr>
    </w:lvl>
    <w:lvl w:ilvl="4">
      <w:start w:val="1"/>
      <w:numFmt w:val="ideographTraditional"/>
      <w:isLgl w:val="false"/>
      <w:suff w:val="tab"/>
      <w:lvlText w:val="%5、"/>
      <w:lvlJc w:val="left"/>
      <w:pPr>
        <w:pStyle w:val="659"/>
        <w:ind w:left="2400" w:hanging="480"/>
        <w:tabs>
          <w:tab w:val="num" w:pos="2400" w:leader="none"/>
        </w:tabs>
      </w:pPr>
    </w:lvl>
    <w:lvl w:ilvl="5">
      <w:start w:val="1"/>
      <w:numFmt w:val="lowerRoman"/>
      <w:isLgl w:val="false"/>
      <w:suff w:val="tab"/>
      <w:lvlText w:val="%6."/>
      <w:lvlJc w:val="right"/>
      <w:pPr>
        <w:pStyle w:val="659"/>
        <w:ind w:left="2880" w:hanging="480"/>
        <w:tabs>
          <w:tab w:val="num" w:pos="2880" w:leader="none"/>
        </w:tabs>
      </w:pPr>
    </w:lvl>
    <w:lvl w:ilvl="6">
      <w:start w:val="1"/>
      <w:numFmt w:val="decimal"/>
      <w:isLgl w:val="false"/>
      <w:suff w:val="tab"/>
      <w:lvlText w:val="%7."/>
      <w:lvlJc w:val="left"/>
      <w:pPr>
        <w:pStyle w:val="659"/>
        <w:ind w:left="3360" w:hanging="480"/>
        <w:tabs>
          <w:tab w:val="num" w:pos="3360" w:leader="none"/>
        </w:tabs>
      </w:pPr>
    </w:lvl>
    <w:lvl w:ilvl="7">
      <w:start w:val="1"/>
      <w:numFmt w:val="ideographTraditional"/>
      <w:isLgl w:val="false"/>
      <w:suff w:val="tab"/>
      <w:lvlText w:val="%8、"/>
      <w:lvlJc w:val="left"/>
      <w:pPr>
        <w:pStyle w:val="659"/>
        <w:ind w:left="3840" w:hanging="480"/>
        <w:tabs>
          <w:tab w:val="num" w:pos="3840" w:leader="none"/>
        </w:tabs>
      </w:pPr>
    </w:lvl>
    <w:lvl w:ilvl="8">
      <w:start w:val="1"/>
      <w:numFmt w:val="lowerRoman"/>
      <w:isLgl w:val="false"/>
      <w:suff w:val="tab"/>
      <w:lvlText w:val="%9."/>
      <w:lvlJc w:val="right"/>
      <w:pPr>
        <w:pStyle w:val="659"/>
        <w:ind w:left="4320" w:hanging="480"/>
        <w:tabs>
          <w:tab w:val="num" w:pos="4320" w:leader="none"/>
        </w:tabs>
      </w:pPr>
    </w:lvl>
  </w:abstractNum>
  <w:abstractNum w:abstractNumId="2">
    <w:multiLevelType w:val="hybridMultilevel"/>
    <w:lvl w:ilvl="0">
      <w:start w:val="1"/>
      <w:numFmt w:val="chineseCounting"/>
      <w:isLgl w:val="false"/>
      <w:suff w:val="nothing"/>
      <w:lvlText w:val="（%1）"/>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pStyle w:val="659"/>
        <w:ind w:left="840" w:hanging="420"/>
      </w:pPr>
      <w:rPr>
        <w:rFonts w:ascii="Wingdings" w:hAnsi="Wingdings"/>
      </w:rPr>
    </w:lvl>
    <w:lvl w:ilvl="1">
      <w:start w:val="1"/>
      <w:numFmt w:val="bullet"/>
      <w:isLgl w:val="false"/>
      <w:suff w:val="tab"/>
      <w:lvlText w:val=""/>
      <w:lvlJc w:val="left"/>
      <w:pPr>
        <w:pStyle w:val="659"/>
        <w:ind w:left="1260" w:hanging="420"/>
      </w:pPr>
      <w:rPr>
        <w:rFonts w:ascii="Wingdings" w:hAnsi="Wingdings"/>
      </w:rPr>
    </w:lvl>
    <w:lvl w:ilvl="2">
      <w:start w:val="1"/>
      <w:numFmt w:val="bullet"/>
      <w:isLgl w:val="false"/>
      <w:suff w:val="tab"/>
      <w:lvlText w:val=""/>
      <w:lvlJc w:val="left"/>
      <w:pPr>
        <w:pStyle w:val="659"/>
        <w:ind w:left="1680" w:hanging="420"/>
      </w:pPr>
      <w:rPr>
        <w:rFonts w:ascii="Wingdings" w:hAnsi="Wingdings"/>
      </w:rPr>
    </w:lvl>
    <w:lvl w:ilvl="3">
      <w:start w:val="1"/>
      <w:numFmt w:val="bullet"/>
      <w:isLgl w:val="false"/>
      <w:suff w:val="tab"/>
      <w:lvlText w:val=""/>
      <w:lvlJc w:val="left"/>
      <w:pPr>
        <w:pStyle w:val="659"/>
        <w:ind w:left="2100" w:hanging="420"/>
      </w:pPr>
      <w:rPr>
        <w:rFonts w:ascii="Wingdings" w:hAnsi="Wingdings"/>
      </w:rPr>
    </w:lvl>
    <w:lvl w:ilvl="4">
      <w:start w:val="1"/>
      <w:numFmt w:val="bullet"/>
      <w:isLgl w:val="false"/>
      <w:suff w:val="tab"/>
      <w:lvlText w:val=""/>
      <w:lvlJc w:val="left"/>
      <w:pPr>
        <w:pStyle w:val="659"/>
        <w:ind w:left="2520" w:hanging="420"/>
      </w:pPr>
      <w:rPr>
        <w:rFonts w:ascii="Wingdings" w:hAnsi="Wingdings"/>
      </w:rPr>
    </w:lvl>
    <w:lvl w:ilvl="5">
      <w:start w:val="1"/>
      <w:numFmt w:val="bullet"/>
      <w:isLgl w:val="false"/>
      <w:suff w:val="tab"/>
      <w:lvlText w:val=""/>
      <w:lvlJc w:val="left"/>
      <w:pPr>
        <w:pStyle w:val="659"/>
        <w:ind w:left="2940" w:hanging="420"/>
      </w:pPr>
      <w:rPr>
        <w:rFonts w:ascii="Wingdings" w:hAnsi="Wingdings"/>
      </w:rPr>
    </w:lvl>
    <w:lvl w:ilvl="6">
      <w:start w:val="1"/>
      <w:numFmt w:val="bullet"/>
      <w:isLgl w:val="false"/>
      <w:suff w:val="tab"/>
      <w:lvlText w:val=""/>
      <w:lvlJc w:val="left"/>
      <w:pPr>
        <w:pStyle w:val="659"/>
        <w:ind w:left="3360" w:hanging="420"/>
      </w:pPr>
      <w:rPr>
        <w:rFonts w:ascii="Wingdings" w:hAnsi="Wingdings"/>
      </w:rPr>
    </w:lvl>
    <w:lvl w:ilvl="7">
      <w:start w:val="1"/>
      <w:numFmt w:val="bullet"/>
      <w:isLgl w:val="false"/>
      <w:suff w:val="tab"/>
      <w:lvlText w:val=""/>
      <w:lvlJc w:val="left"/>
      <w:pPr>
        <w:pStyle w:val="659"/>
        <w:ind w:left="3780" w:hanging="420"/>
      </w:pPr>
      <w:rPr>
        <w:rFonts w:ascii="Wingdings" w:hAnsi="Wingdings"/>
      </w:rPr>
    </w:lvl>
    <w:lvl w:ilvl="8">
      <w:start w:val="1"/>
      <w:numFmt w:val="bullet"/>
      <w:isLgl w:val="false"/>
      <w:suff w:val="tab"/>
      <w:lvlText w:val=""/>
      <w:lvlJc w:val="left"/>
      <w:pPr>
        <w:pStyle w:val="659"/>
        <w:ind w:left="4200" w:hanging="420"/>
      </w:pPr>
      <w:rPr>
        <w:rFonts w:ascii="Wingdings" w:hAnsi="Wingdings"/>
      </w:rPr>
    </w:lvl>
  </w:abstractNum>
  <w:abstractNum w:abstractNumId="5">
    <w:multiLevelType w:val="hybridMultilevel"/>
    <w:lvl w:ilvl="0">
      <w:start w:val="5"/>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5"/>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770"/>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771"/>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77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77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77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77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77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77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764"/>
    <w:uiPriority w:val="10"/>
    <w:qFormat/>
    <w:pPr>
      <w:contextualSpacing/>
      <w:spacing w:before="300" w:after="200"/>
    </w:pPr>
    <w:rPr>
      <w:sz w:val="48"/>
      <w:szCs w:val="48"/>
    </w:rPr>
  </w:style>
  <w:style w:type="paragraph" w:styleId="35">
    <w:name w:val="Subtitle"/>
    <w:basedOn w:val="659"/>
    <w:next w:val="659"/>
    <w:link w:val="765"/>
    <w:uiPriority w:val="11"/>
    <w:qFormat/>
    <w:pPr>
      <w:spacing w:before="200" w:after="200"/>
    </w:pPr>
    <w:rPr>
      <w:sz w:val="24"/>
      <w:szCs w:val="24"/>
    </w:rPr>
  </w:style>
  <w:style w:type="paragraph" w:styleId="37">
    <w:name w:val="Quote"/>
    <w:basedOn w:val="659"/>
    <w:next w:val="659"/>
    <w:link w:val="766"/>
    <w:uiPriority w:val="29"/>
    <w:qFormat/>
    <w:pPr>
      <w:ind w:left="720" w:right="720"/>
    </w:pPr>
    <w:rPr>
      <w:i/>
    </w:rPr>
  </w:style>
  <w:style w:type="paragraph" w:styleId="39">
    <w:name w:val="Intense Quote"/>
    <w:basedOn w:val="659"/>
    <w:next w:val="65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9"/>
    <w:link w:val="786"/>
    <w:uiPriority w:val="99"/>
    <w:unhideWhenUsed/>
    <w:pPr>
      <w:spacing w:after="0" w:line="240" w:lineRule="auto"/>
      <w:tabs>
        <w:tab w:val="center" w:pos="7143" w:leader="none"/>
        <w:tab w:val="right" w:pos="14287" w:leader="none"/>
      </w:tabs>
    </w:pPr>
  </w:style>
  <w:style w:type="paragraph" w:styleId="43">
    <w:name w:val="Footer"/>
    <w:basedOn w:val="659"/>
    <w:link w:val="788"/>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9"/>
    <w:link w:val="76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9"/>
    <w:link w:val="76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71"/>
    <w:link w:val="659"/>
    <w:qFormat/>
    <w:pPr>
      <w:jc w:val="both"/>
      <w:widowControl w:val="off"/>
    </w:pPr>
    <w:rPr>
      <w:sz w:val="21"/>
      <w:szCs w:val="24"/>
      <w:lang w:val="en-US" w:eastAsia="zh-CN" w:bidi="ar-SA"/>
    </w:rPr>
  </w:style>
  <w:style w:type="paragraph" w:styleId="660">
    <w:name w:val="标题 1"/>
    <w:basedOn w:val="659"/>
    <w:next w:val="659"/>
    <w:link w:val="675"/>
    <w:qFormat/>
    <w:pPr>
      <w:keepLines/>
      <w:keepNext/>
      <w:spacing w:before="340" w:after="330" w:line="578" w:lineRule="auto"/>
      <w:outlineLvl w:val="0"/>
    </w:pPr>
    <w:rPr>
      <w:b/>
      <w:bCs/>
      <w:sz w:val="44"/>
      <w:szCs w:val="44"/>
    </w:rPr>
  </w:style>
  <w:style w:type="paragraph" w:styleId="661">
    <w:name w:val="标题 2"/>
    <w:basedOn w:val="659"/>
    <w:next w:val="659"/>
    <w:link w:val="676"/>
    <w:qFormat/>
    <w:pPr>
      <w:keepLines/>
      <w:keepNext/>
      <w:spacing w:before="260" w:after="260" w:line="416" w:lineRule="auto"/>
      <w:outlineLvl w:val="1"/>
    </w:pPr>
    <w:rPr>
      <w:rFonts w:ascii="Arial" w:hAnsi="Arial" w:eastAsia="黑体"/>
      <w:b/>
      <w:bCs/>
      <w:sz w:val="32"/>
      <w:szCs w:val="32"/>
    </w:rPr>
  </w:style>
  <w:style w:type="paragraph" w:styleId="662">
    <w:name w:val="标题 3"/>
    <w:basedOn w:val="659"/>
    <w:next w:val="659"/>
    <w:link w:val="677"/>
    <w:qFormat/>
    <w:pPr>
      <w:keepLines/>
      <w:keepNext/>
      <w:spacing w:before="260" w:after="260" w:line="416" w:lineRule="auto"/>
      <w:outlineLvl w:val="2"/>
    </w:pPr>
    <w:rPr>
      <w:b/>
      <w:bCs/>
      <w:sz w:val="32"/>
      <w:szCs w:val="32"/>
    </w:rPr>
  </w:style>
  <w:style w:type="paragraph" w:styleId="663">
    <w:name w:val="标题 4"/>
    <w:basedOn w:val="659"/>
    <w:next w:val="659"/>
    <w:link w:val="678"/>
    <w:qFormat/>
    <w:pPr>
      <w:jc w:val="center"/>
      <w:keepNext/>
      <w:outlineLvl w:val="3"/>
    </w:pPr>
    <w:rPr>
      <w:rFonts w:eastAsia="新宋体"/>
      <w:sz w:val="30"/>
      <w:szCs w:val="21"/>
    </w:rPr>
  </w:style>
  <w:style w:type="paragraph" w:styleId="664">
    <w:name w:val="标题 5"/>
    <w:basedOn w:val="659"/>
    <w:next w:val="659"/>
    <w:link w:val="679"/>
    <w:qFormat/>
    <w:pPr>
      <w:keepLines/>
      <w:keepNext/>
      <w:spacing w:before="280" w:after="290" w:line="376" w:lineRule="auto"/>
      <w:outlineLvl w:val="4"/>
    </w:pPr>
    <w:rPr>
      <w:b/>
      <w:bCs/>
      <w:sz w:val="28"/>
      <w:szCs w:val="28"/>
    </w:rPr>
  </w:style>
  <w:style w:type="paragraph" w:styleId="665">
    <w:name w:val="标题 6"/>
    <w:basedOn w:val="659"/>
    <w:next w:val="681"/>
    <w:link w:val="680"/>
    <w:qFormat/>
    <w:pPr>
      <w:jc w:val="center"/>
      <w:keepNext/>
      <w:outlineLvl w:val="5"/>
    </w:pPr>
    <w:rPr>
      <w:b/>
      <w:sz w:val="44"/>
      <w:szCs w:val="20"/>
    </w:rPr>
  </w:style>
  <w:style w:type="paragraph" w:styleId="666">
    <w:name w:val="标题 7"/>
    <w:basedOn w:val="659"/>
    <w:next w:val="659"/>
    <w:link w:val="683"/>
    <w:qFormat/>
    <w:pPr>
      <w:keepLines/>
      <w:keepNext/>
      <w:spacing w:before="240" w:after="64" w:line="320" w:lineRule="auto"/>
      <w:outlineLvl w:val="6"/>
    </w:pPr>
    <w:rPr>
      <w:b/>
      <w:bCs/>
      <w:sz w:val="24"/>
    </w:rPr>
  </w:style>
  <w:style w:type="paragraph" w:styleId="667">
    <w:name w:val="标题 8"/>
    <w:basedOn w:val="659"/>
    <w:next w:val="659"/>
    <w:link w:val="684"/>
    <w:qFormat/>
    <w:pPr>
      <w:keepLines/>
      <w:keepNext/>
      <w:spacing w:before="240" w:after="64" w:line="320" w:lineRule="auto"/>
      <w:outlineLvl w:val="7"/>
    </w:pPr>
    <w:rPr>
      <w:rFonts w:ascii="Arial" w:hAnsi="Arial" w:eastAsia="黑体"/>
      <w:sz w:val="24"/>
    </w:rPr>
  </w:style>
  <w:style w:type="paragraph" w:styleId="668">
    <w:name w:val="标题 9"/>
    <w:basedOn w:val="659"/>
    <w:next w:val="659"/>
    <w:link w:val="685"/>
    <w:qFormat/>
    <w:pPr>
      <w:keepLines/>
      <w:keepNext/>
      <w:spacing w:before="240" w:after="64" w:line="320" w:lineRule="auto"/>
      <w:outlineLvl w:val="8"/>
    </w:pPr>
    <w:rPr>
      <w:rFonts w:ascii="Arial" w:hAnsi="Arial" w:eastAsia="黑体"/>
      <w:sz w:val="24"/>
      <w:szCs w:val="21"/>
    </w:rPr>
  </w:style>
  <w:style w:type="character" w:styleId="669">
    <w:name w:val="默认段落字体"/>
    <w:next w:val="669"/>
    <w:link w:val="659"/>
    <w:uiPriority w:val="1"/>
    <w:unhideWhenUsed/>
  </w:style>
  <w:style w:type="table" w:styleId="670">
    <w:name w:val="普通表格"/>
    <w:next w:val="670"/>
    <w:link w:val="659"/>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671">
    <w:name w:val="正文首行缩进 2"/>
    <w:basedOn w:val="672"/>
    <w:next w:val="659"/>
    <w:link w:val="659"/>
    <w:uiPriority w:val="99"/>
    <w:qFormat/>
    <w:pPr>
      <w:ind w:firstLine="200"/>
      <w:spacing w:line="240" w:lineRule="auto"/>
    </w:pPr>
  </w:style>
  <w:style w:type="paragraph" w:styleId="672">
    <w:name w:val="正文文本缩进"/>
    <w:basedOn w:val="659"/>
    <w:next w:val="674"/>
    <w:link w:val="673"/>
    <w:qFormat/>
    <w:pPr>
      <w:ind w:left="765"/>
    </w:pPr>
    <w:rPr>
      <w:rFonts w:ascii="仿宋_GB2312" w:eastAsia="仿宋_GB2312"/>
      <w:sz w:val="28"/>
      <w:szCs w:val="20"/>
    </w:rPr>
  </w:style>
  <w:style w:type="character" w:styleId="673">
    <w:name w:val="正文文本缩进 Char"/>
    <w:next w:val="673"/>
    <w:link w:val="672"/>
    <w:qFormat/>
    <w:rPr>
      <w:rFonts w:ascii="仿宋_GB2312" w:hAnsi="Times New Roman" w:eastAsia="仿宋_GB2312" w:cs="Times New Roman"/>
      <w:sz w:val="28"/>
      <w:szCs w:val="20"/>
    </w:rPr>
  </w:style>
  <w:style w:type="paragraph" w:styleId="674">
    <w:name w:val="寄信人地址"/>
    <w:basedOn w:val="659"/>
    <w:next w:val="674"/>
    <w:link w:val="659"/>
    <w:uiPriority w:val="99"/>
    <w:unhideWhenUsed/>
    <w:qFormat/>
    <w:rPr>
      <w:rFonts w:ascii="Arial" w:hAnsi="Arial"/>
    </w:rPr>
  </w:style>
  <w:style w:type="character" w:styleId="675">
    <w:name w:val="标题 1 Char"/>
    <w:next w:val="675"/>
    <w:link w:val="660"/>
    <w:qFormat/>
    <w:rPr>
      <w:rFonts w:ascii="Times New Roman" w:hAnsi="Times New Roman" w:eastAsia="宋体" w:cs="Times New Roman"/>
      <w:b/>
      <w:bCs/>
      <w:sz w:val="44"/>
      <w:szCs w:val="44"/>
    </w:rPr>
  </w:style>
  <w:style w:type="character" w:styleId="676">
    <w:name w:val="标题 2 Char"/>
    <w:next w:val="676"/>
    <w:link w:val="661"/>
    <w:qFormat/>
    <w:rPr>
      <w:rFonts w:ascii="Arial" w:hAnsi="Arial" w:eastAsia="黑体" w:cs="Times New Roman"/>
      <w:b/>
      <w:bCs/>
      <w:sz w:val="32"/>
      <w:szCs w:val="32"/>
    </w:rPr>
  </w:style>
  <w:style w:type="character" w:styleId="677">
    <w:name w:val="标题 3 Char"/>
    <w:next w:val="677"/>
    <w:link w:val="662"/>
    <w:qFormat/>
    <w:rPr>
      <w:rFonts w:ascii="Times New Roman" w:hAnsi="Times New Roman" w:eastAsia="宋体" w:cs="Times New Roman"/>
      <w:b/>
      <w:bCs/>
      <w:sz w:val="32"/>
      <w:szCs w:val="32"/>
    </w:rPr>
  </w:style>
  <w:style w:type="character" w:styleId="678">
    <w:name w:val="标题 4 Char"/>
    <w:next w:val="678"/>
    <w:link w:val="663"/>
    <w:qFormat/>
    <w:rPr>
      <w:rFonts w:ascii="Times New Roman" w:hAnsi="Times New Roman" w:eastAsia="新宋体" w:cs="Times New Roman"/>
      <w:sz w:val="30"/>
      <w:szCs w:val="21"/>
    </w:rPr>
  </w:style>
  <w:style w:type="character" w:styleId="679">
    <w:name w:val="标题 5 Char"/>
    <w:next w:val="679"/>
    <w:link w:val="664"/>
    <w:qFormat/>
    <w:rPr>
      <w:rFonts w:ascii="Times New Roman" w:hAnsi="Times New Roman" w:eastAsia="宋体" w:cs="Times New Roman"/>
      <w:b/>
      <w:bCs/>
      <w:sz w:val="28"/>
      <w:szCs w:val="28"/>
    </w:rPr>
  </w:style>
  <w:style w:type="character" w:styleId="680">
    <w:name w:val="标题 6 Char"/>
    <w:next w:val="680"/>
    <w:link w:val="665"/>
    <w:qFormat/>
    <w:rPr>
      <w:rFonts w:ascii="Times New Roman" w:hAnsi="Times New Roman" w:eastAsia="宋体" w:cs="Times New Roman"/>
      <w:b/>
      <w:sz w:val="44"/>
      <w:szCs w:val="20"/>
    </w:rPr>
  </w:style>
  <w:style w:type="paragraph" w:styleId="681">
    <w:name w:val="正文缩进"/>
    <w:basedOn w:val="659"/>
    <w:next w:val="659"/>
    <w:link w:val="682"/>
    <w:qFormat/>
    <w:pPr>
      <w:ind w:firstLine="420"/>
    </w:pPr>
    <w:rPr>
      <w:sz w:val="20"/>
      <w:szCs w:val="20"/>
    </w:rPr>
  </w:style>
  <w:style w:type="character" w:styleId="682">
    <w:name w:val="正文缩进 Char"/>
    <w:next w:val="682"/>
    <w:link w:val="681"/>
    <w:qFormat/>
    <w:rPr>
      <w:rFonts w:ascii="Times New Roman" w:hAnsi="Times New Roman" w:eastAsia="宋体" w:cs="Times New Roman"/>
      <w:sz w:val="20"/>
      <w:szCs w:val="20"/>
    </w:rPr>
  </w:style>
  <w:style w:type="character" w:styleId="683">
    <w:name w:val="标题 7 Char"/>
    <w:next w:val="683"/>
    <w:link w:val="666"/>
    <w:qFormat/>
    <w:rPr>
      <w:rFonts w:ascii="Times New Roman" w:hAnsi="Times New Roman" w:eastAsia="宋体" w:cs="Times New Roman"/>
      <w:b/>
      <w:bCs/>
      <w:sz w:val="24"/>
      <w:szCs w:val="24"/>
    </w:rPr>
  </w:style>
  <w:style w:type="character" w:styleId="684">
    <w:name w:val="标题 8 Char"/>
    <w:next w:val="684"/>
    <w:link w:val="667"/>
    <w:qFormat/>
    <w:rPr>
      <w:rFonts w:ascii="Arial" w:hAnsi="Arial" w:eastAsia="黑体" w:cs="Times New Roman"/>
      <w:sz w:val="24"/>
      <w:szCs w:val="24"/>
    </w:rPr>
  </w:style>
  <w:style w:type="character" w:styleId="685">
    <w:name w:val="标题 9 Char"/>
    <w:next w:val="685"/>
    <w:link w:val="668"/>
    <w:qFormat/>
    <w:rPr>
      <w:rFonts w:ascii="Arial" w:hAnsi="Arial" w:eastAsia="黑体" w:cs="Times New Roman"/>
      <w:sz w:val="24"/>
      <w:szCs w:val="21"/>
    </w:rPr>
  </w:style>
  <w:style w:type="paragraph" w:styleId="686">
    <w:name w:val="目录 7"/>
    <w:basedOn w:val="659"/>
    <w:next w:val="659"/>
    <w:link w:val="659"/>
    <w:uiPriority w:val="39"/>
    <w:unhideWhenUsed/>
    <w:qFormat/>
    <w:pPr>
      <w:ind w:left="1701"/>
      <w:spacing w:after="57"/>
    </w:pPr>
  </w:style>
  <w:style w:type="paragraph" w:styleId="687">
    <w:name w:val="题注"/>
    <w:basedOn w:val="659"/>
    <w:next w:val="659"/>
    <w:link w:val="659"/>
    <w:uiPriority w:val="35"/>
    <w:unhideWhenUsed/>
    <w:qFormat/>
    <w:pPr>
      <w:spacing w:line="276" w:lineRule="auto"/>
    </w:pPr>
    <w:rPr>
      <w:b/>
      <w:bCs/>
      <w:color w:val="4f81bd"/>
      <w:sz w:val="18"/>
      <w:szCs w:val="18"/>
    </w:rPr>
  </w:style>
  <w:style w:type="paragraph" w:styleId="688">
    <w:name w:val="文档结构图"/>
    <w:basedOn w:val="659"/>
    <w:next w:val="688"/>
    <w:link w:val="689"/>
    <w:semiHidden/>
    <w:qFormat/>
    <w:pPr>
      <w:shd w:val="clear" w:color="auto" w:fill="000080"/>
    </w:pPr>
    <w:rPr>
      <w:sz w:val="20"/>
    </w:rPr>
  </w:style>
  <w:style w:type="character" w:styleId="689">
    <w:name w:val="文档结构图 Char"/>
    <w:next w:val="689"/>
    <w:link w:val="688"/>
    <w:semiHidden/>
    <w:qFormat/>
    <w:rPr>
      <w:szCs w:val="24"/>
      <w:shd w:val="clear" w:color="auto" w:fill="000080"/>
    </w:rPr>
  </w:style>
  <w:style w:type="paragraph" w:styleId="690">
    <w:name w:val="批注文字"/>
    <w:basedOn w:val="659"/>
    <w:next w:val="690"/>
    <w:link w:val="659"/>
    <w:uiPriority w:val="99"/>
    <w:unhideWhenUsed/>
    <w:qFormat/>
    <w:pPr>
      <w:jc w:val="left"/>
    </w:pPr>
  </w:style>
  <w:style w:type="paragraph" w:styleId="691">
    <w:name w:val="正文文本 3"/>
    <w:basedOn w:val="659"/>
    <w:next w:val="691"/>
    <w:link w:val="692"/>
    <w:qFormat/>
    <w:pPr>
      <w:spacing w:after="120"/>
    </w:pPr>
    <w:rPr>
      <w:sz w:val="16"/>
      <w:szCs w:val="16"/>
    </w:rPr>
  </w:style>
  <w:style w:type="character" w:styleId="692">
    <w:name w:val="正文文本 3 Char"/>
    <w:next w:val="692"/>
    <w:link w:val="691"/>
    <w:qFormat/>
    <w:rPr>
      <w:rFonts w:ascii="Times New Roman" w:hAnsi="Times New Roman" w:eastAsia="宋体" w:cs="Times New Roman"/>
      <w:sz w:val="16"/>
      <w:szCs w:val="16"/>
    </w:rPr>
  </w:style>
  <w:style w:type="paragraph" w:styleId="693">
    <w:name w:val="正文文本"/>
    <w:basedOn w:val="659"/>
    <w:next w:val="695"/>
    <w:link w:val="694"/>
    <w:qFormat/>
    <w:rPr>
      <w:rFonts w:ascii="仿宋_GB2312" w:eastAsia="仿宋_GB2312"/>
      <w:sz w:val="24"/>
      <w:szCs w:val="20"/>
    </w:rPr>
  </w:style>
  <w:style w:type="character" w:styleId="694">
    <w:name w:val="正文文本 Char"/>
    <w:next w:val="694"/>
    <w:link w:val="693"/>
    <w:qFormat/>
    <w:rPr>
      <w:rFonts w:ascii="仿宋_GB2312" w:hAnsi="Times New Roman" w:eastAsia="仿宋_GB2312" w:cs="Times New Roman"/>
      <w:sz w:val="24"/>
      <w:szCs w:val="20"/>
    </w:rPr>
  </w:style>
  <w:style w:type="paragraph" w:styleId="695">
    <w:name w:val="Default"/>
    <w:next w:val="695"/>
    <w:link w:val="659"/>
    <w:qFormat/>
    <w:pPr>
      <w:widowControl w:val="off"/>
    </w:pPr>
    <w:rPr>
      <w:rFonts w:ascii="Arial Unicode MS" w:eastAsia="Arial Unicode MS" w:cs="Arial Unicode MS"/>
      <w:color w:val="000000"/>
      <w:sz w:val="24"/>
      <w:szCs w:val="24"/>
      <w:lang w:val="en-US" w:eastAsia="zh-CN" w:bidi="ar-SA"/>
    </w:rPr>
  </w:style>
  <w:style w:type="paragraph" w:styleId="696">
    <w:name w:val="索引 4"/>
    <w:basedOn w:val="659"/>
    <w:next w:val="659"/>
    <w:link w:val="659"/>
    <w:uiPriority w:val="99"/>
    <w:unhideWhenUsed/>
    <w:qFormat/>
    <w:pPr>
      <w:ind w:left="600"/>
    </w:pPr>
  </w:style>
  <w:style w:type="paragraph" w:styleId="697">
    <w:name w:val="目录 5"/>
    <w:basedOn w:val="659"/>
    <w:next w:val="659"/>
    <w:link w:val="659"/>
    <w:uiPriority w:val="39"/>
    <w:unhideWhenUsed/>
    <w:qFormat/>
    <w:pPr>
      <w:ind w:left="1134"/>
      <w:spacing w:after="57"/>
    </w:pPr>
  </w:style>
  <w:style w:type="paragraph" w:styleId="698">
    <w:name w:val="目录 3"/>
    <w:basedOn w:val="659"/>
    <w:next w:val="659"/>
    <w:link w:val="659"/>
    <w:uiPriority w:val="39"/>
    <w:unhideWhenUsed/>
    <w:qFormat/>
    <w:pPr>
      <w:ind w:left="567"/>
      <w:spacing w:after="57"/>
    </w:pPr>
  </w:style>
  <w:style w:type="paragraph" w:styleId="699">
    <w:name w:val="纯文本"/>
    <w:basedOn w:val="659"/>
    <w:next w:val="659"/>
    <w:link w:val="700"/>
    <w:qFormat/>
    <w:rPr>
      <w:rFonts w:ascii="宋体" w:hAnsi="Courier New"/>
      <w:sz w:val="20"/>
      <w:szCs w:val="21"/>
    </w:rPr>
  </w:style>
  <w:style w:type="character" w:styleId="700">
    <w:name w:val="纯文本 Char"/>
    <w:next w:val="700"/>
    <w:link w:val="699"/>
    <w:qFormat/>
    <w:rPr>
      <w:rFonts w:ascii="宋体" w:hAnsi="Courier New" w:eastAsia="宋体" w:cs="Courier New"/>
      <w:szCs w:val="21"/>
    </w:rPr>
  </w:style>
  <w:style w:type="paragraph" w:styleId="701">
    <w:name w:val="目录 8"/>
    <w:basedOn w:val="659"/>
    <w:next w:val="659"/>
    <w:link w:val="659"/>
    <w:uiPriority w:val="39"/>
    <w:unhideWhenUsed/>
    <w:qFormat/>
    <w:pPr>
      <w:ind w:left="1984"/>
      <w:spacing w:after="57"/>
    </w:pPr>
  </w:style>
  <w:style w:type="paragraph" w:styleId="702">
    <w:name w:val="日期"/>
    <w:basedOn w:val="659"/>
    <w:next w:val="659"/>
    <w:link w:val="703"/>
    <w:qFormat/>
    <w:rPr>
      <w:sz w:val="24"/>
      <w:szCs w:val="20"/>
    </w:rPr>
  </w:style>
  <w:style w:type="character" w:styleId="703">
    <w:name w:val="日期 Char"/>
    <w:next w:val="703"/>
    <w:link w:val="702"/>
    <w:qFormat/>
    <w:rPr>
      <w:rFonts w:ascii="Times New Roman" w:hAnsi="Times New Roman" w:eastAsia="宋体" w:cs="Times New Roman"/>
      <w:sz w:val="24"/>
      <w:szCs w:val="20"/>
    </w:rPr>
  </w:style>
  <w:style w:type="paragraph" w:styleId="704">
    <w:name w:val="正文文本缩进 2"/>
    <w:basedOn w:val="659"/>
    <w:next w:val="704"/>
    <w:link w:val="705"/>
    <w:qFormat/>
    <w:pPr>
      <w:ind w:firstLine="560"/>
      <w:spacing w:line="500" w:lineRule="exact"/>
    </w:pPr>
    <w:rPr>
      <w:rFonts w:eastAsia="仿宋_GB2312"/>
      <w:sz w:val="28"/>
      <w:szCs w:val="20"/>
    </w:rPr>
  </w:style>
  <w:style w:type="character" w:styleId="705">
    <w:name w:val="正文文本缩进 2 Char"/>
    <w:next w:val="705"/>
    <w:link w:val="704"/>
    <w:qFormat/>
    <w:rPr>
      <w:rFonts w:ascii="Times New Roman" w:hAnsi="Times New Roman" w:eastAsia="仿宋_GB2312" w:cs="Times New Roman"/>
      <w:sz w:val="28"/>
      <w:szCs w:val="20"/>
    </w:rPr>
  </w:style>
  <w:style w:type="paragraph" w:styleId="706">
    <w:name w:val="尾注文本"/>
    <w:basedOn w:val="659"/>
    <w:next w:val="706"/>
    <w:link w:val="707"/>
    <w:uiPriority w:val="99"/>
    <w:unhideWhenUsed/>
    <w:qFormat/>
    <w:rPr>
      <w:sz w:val="20"/>
      <w:szCs w:val="20"/>
    </w:rPr>
  </w:style>
  <w:style w:type="character" w:styleId="707">
    <w:name w:val="尾注文本 Char"/>
    <w:next w:val="707"/>
    <w:link w:val="706"/>
    <w:uiPriority w:val="99"/>
    <w:qFormat/>
    <w:rPr>
      <w:sz w:val="20"/>
    </w:rPr>
  </w:style>
  <w:style w:type="paragraph" w:styleId="708">
    <w:name w:val="批注框文本"/>
    <w:basedOn w:val="659"/>
    <w:next w:val="708"/>
    <w:link w:val="709"/>
    <w:semiHidden/>
    <w:qFormat/>
    <w:rPr>
      <w:sz w:val="18"/>
      <w:szCs w:val="18"/>
    </w:rPr>
  </w:style>
  <w:style w:type="character" w:styleId="709">
    <w:name w:val="批注框文本 Char"/>
    <w:next w:val="709"/>
    <w:link w:val="708"/>
    <w:semiHidden/>
    <w:qFormat/>
    <w:rPr>
      <w:sz w:val="18"/>
      <w:szCs w:val="18"/>
    </w:rPr>
  </w:style>
  <w:style w:type="paragraph" w:styleId="710">
    <w:name w:val="页脚"/>
    <w:basedOn w:val="659"/>
    <w:next w:val="659"/>
    <w:link w:val="711"/>
    <w:uiPriority w:val="99"/>
    <w:qFormat/>
    <w:pPr>
      <w:jc w:val="left"/>
      <w:tabs>
        <w:tab w:val="center" w:pos="4153" w:leader="none"/>
        <w:tab w:val="right" w:pos="8306" w:leader="none"/>
      </w:tabs>
    </w:pPr>
    <w:rPr>
      <w:sz w:val="18"/>
      <w:szCs w:val="20"/>
    </w:rPr>
  </w:style>
  <w:style w:type="character" w:styleId="711">
    <w:name w:val="页脚 Char"/>
    <w:next w:val="711"/>
    <w:link w:val="710"/>
    <w:uiPriority w:val="99"/>
    <w:qFormat/>
    <w:rPr>
      <w:rFonts w:ascii="Times New Roman" w:hAnsi="Times New Roman" w:eastAsia="宋体" w:cs="Times New Roman"/>
      <w:sz w:val="18"/>
      <w:szCs w:val="20"/>
    </w:rPr>
  </w:style>
  <w:style w:type="paragraph" w:styleId="712">
    <w:name w:val="页眉"/>
    <w:basedOn w:val="659"/>
    <w:next w:val="712"/>
    <w:link w:val="713"/>
    <w:qFormat/>
    <w:pPr>
      <w:jc w:val="center"/>
      <w:tabs>
        <w:tab w:val="center" w:pos="4153" w:leader="none"/>
        <w:tab w:val="right" w:pos="8306" w:leader="none"/>
      </w:tabs>
      <w:pBdr>
        <w:bottom w:val="single" w:color="000000" w:sz="6" w:space="1"/>
      </w:pBdr>
    </w:pPr>
    <w:rPr>
      <w:sz w:val="18"/>
      <w:szCs w:val="18"/>
    </w:rPr>
  </w:style>
  <w:style w:type="character" w:styleId="713">
    <w:name w:val="页眉 Char"/>
    <w:next w:val="713"/>
    <w:link w:val="712"/>
    <w:qFormat/>
    <w:rPr>
      <w:rFonts w:ascii="Times New Roman" w:hAnsi="Times New Roman" w:eastAsia="宋体" w:cs="Times New Roman"/>
      <w:sz w:val="18"/>
      <w:szCs w:val="18"/>
    </w:rPr>
  </w:style>
  <w:style w:type="paragraph" w:styleId="714">
    <w:name w:val="目录 1"/>
    <w:basedOn w:val="659"/>
    <w:next w:val="659"/>
    <w:link w:val="659"/>
    <w:uiPriority w:val="39"/>
    <w:unhideWhenUsed/>
    <w:qFormat/>
    <w:pPr>
      <w:spacing w:after="57"/>
    </w:pPr>
  </w:style>
  <w:style w:type="paragraph" w:styleId="715">
    <w:name w:val="目录 4"/>
    <w:basedOn w:val="659"/>
    <w:next w:val="659"/>
    <w:link w:val="659"/>
    <w:uiPriority w:val="39"/>
    <w:unhideWhenUsed/>
    <w:qFormat/>
    <w:pPr>
      <w:ind w:left="850"/>
      <w:spacing w:after="57"/>
    </w:pPr>
  </w:style>
  <w:style w:type="paragraph" w:styleId="716">
    <w:name w:val="副标题"/>
    <w:basedOn w:val="659"/>
    <w:next w:val="659"/>
    <w:link w:val="717"/>
    <w:uiPriority w:val="11"/>
    <w:qFormat/>
    <w:pPr>
      <w:spacing w:before="200" w:after="200"/>
    </w:pPr>
    <w:rPr>
      <w:sz w:val="24"/>
    </w:rPr>
  </w:style>
  <w:style w:type="character" w:styleId="717">
    <w:name w:val="副标题 Char"/>
    <w:next w:val="717"/>
    <w:link w:val="716"/>
    <w:uiPriority w:val="11"/>
    <w:qFormat/>
    <w:rPr>
      <w:sz w:val="24"/>
      <w:szCs w:val="24"/>
    </w:rPr>
  </w:style>
  <w:style w:type="paragraph" w:styleId="718">
    <w:name w:val="列表"/>
    <w:basedOn w:val="659"/>
    <w:next w:val="718"/>
    <w:link w:val="659"/>
    <w:qFormat/>
    <w:pPr>
      <w:ind w:left="200" w:hanging="200"/>
    </w:pPr>
  </w:style>
  <w:style w:type="paragraph" w:styleId="719">
    <w:name w:val="脚注文本"/>
    <w:basedOn w:val="659"/>
    <w:next w:val="719"/>
    <w:link w:val="720"/>
    <w:uiPriority w:val="99"/>
    <w:unhideWhenUsed/>
    <w:qFormat/>
    <w:pPr>
      <w:spacing w:after="40"/>
    </w:pPr>
    <w:rPr>
      <w:sz w:val="18"/>
      <w:szCs w:val="20"/>
    </w:rPr>
  </w:style>
  <w:style w:type="character" w:styleId="720">
    <w:name w:val="脚注文本 Char"/>
    <w:next w:val="720"/>
    <w:link w:val="719"/>
    <w:uiPriority w:val="99"/>
    <w:qFormat/>
    <w:rPr>
      <w:sz w:val="18"/>
    </w:rPr>
  </w:style>
  <w:style w:type="paragraph" w:styleId="721">
    <w:name w:val="目录 6"/>
    <w:basedOn w:val="659"/>
    <w:next w:val="659"/>
    <w:link w:val="659"/>
    <w:uiPriority w:val="39"/>
    <w:unhideWhenUsed/>
    <w:qFormat/>
    <w:pPr>
      <w:ind w:left="1417"/>
      <w:spacing w:after="57"/>
    </w:pPr>
  </w:style>
  <w:style w:type="paragraph" w:styleId="722">
    <w:name w:val="正文文本缩进 3"/>
    <w:basedOn w:val="659"/>
    <w:next w:val="722"/>
    <w:link w:val="723"/>
    <w:qFormat/>
    <w:pPr>
      <w:ind w:left="420"/>
      <w:spacing w:after="120"/>
    </w:pPr>
    <w:rPr>
      <w:sz w:val="16"/>
      <w:szCs w:val="16"/>
    </w:rPr>
  </w:style>
  <w:style w:type="character" w:styleId="723">
    <w:name w:val="正文文本缩进 3 Char"/>
    <w:next w:val="723"/>
    <w:link w:val="722"/>
    <w:qFormat/>
    <w:rPr>
      <w:rFonts w:ascii="Times New Roman" w:hAnsi="Times New Roman" w:eastAsia="宋体" w:cs="Times New Roman"/>
      <w:sz w:val="16"/>
      <w:szCs w:val="16"/>
    </w:rPr>
  </w:style>
  <w:style w:type="paragraph" w:styleId="724">
    <w:name w:val="图表目录"/>
    <w:basedOn w:val="659"/>
    <w:next w:val="659"/>
    <w:link w:val="659"/>
    <w:uiPriority w:val="99"/>
    <w:unhideWhenUsed/>
    <w:qFormat/>
  </w:style>
  <w:style w:type="paragraph" w:styleId="725">
    <w:name w:val="目录 2"/>
    <w:basedOn w:val="659"/>
    <w:next w:val="659"/>
    <w:link w:val="659"/>
    <w:uiPriority w:val="39"/>
    <w:unhideWhenUsed/>
    <w:qFormat/>
    <w:pPr>
      <w:ind w:left="283"/>
      <w:spacing w:after="57"/>
    </w:pPr>
  </w:style>
  <w:style w:type="paragraph" w:styleId="726">
    <w:name w:val="目录 9"/>
    <w:basedOn w:val="659"/>
    <w:next w:val="659"/>
    <w:link w:val="659"/>
    <w:uiPriority w:val="39"/>
    <w:unhideWhenUsed/>
    <w:qFormat/>
    <w:pPr>
      <w:ind w:left="2268"/>
      <w:spacing w:after="57"/>
    </w:pPr>
  </w:style>
  <w:style w:type="paragraph" w:styleId="727">
    <w:name w:val="正文文本 2"/>
    <w:basedOn w:val="659"/>
    <w:next w:val="727"/>
    <w:link w:val="728"/>
    <w:qFormat/>
    <w:rPr>
      <w:b/>
      <w:bCs/>
      <w:sz w:val="18"/>
    </w:rPr>
  </w:style>
  <w:style w:type="character" w:styleId="728">
    <w:name w:val="正文文本 2 Char"/>
    <w:next w:val="728"/>
    <w:link w:val="727"/>
    <w:qFormat/>
    <w:rPr>
      <w:rFonts w:ascii="Times New Roman" w:hAnsi="Times New Roman" w:eastAsia="宋体" w:cs="Times New Roman"/>
      <w:b/>
      <w:bCs/>
      <w:sz w:val="18"/>
      <w:szCs w:val="24"/>
    </w:rPr>
  </w:style>
  <w:style w:type="paragraph" w:styleId="729">
    <w:name w:val="信息标题"/>
    <w:basedOn w:val="659"/>
    <w:next w:val="729"/>
    <w:link w:val="659"/>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730">
    <w:name w:val="HTML 预设格式"/>
    <w:basedOn w:val="659"/>
    <w:next w:val="730"/>
    <w:link w:val="7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31">
    <w:name w:val="HTML 预设格式 Char"/>
    <w:next w:val="731"/>
    <w:link w:val="730"/>
    <w:qFormat/>
    <w:rPr>
      <w:rFonts w:ascii="等线 Light" w:hAnsi="等线 Light" w:eastAsia="幼圆" w:cs="等线 Light"/>
      <w:sz w:val="24"/>
      <w:szCs w:val="22"/>
    </w:rPr>
  </w:style>
  <w:style w:type="paragraph" w:styleId="732">
    <w:name w:val="普通(网站)"/>
    <w:basedOn w:val="659"/>
    <w:next w:val="732"/>
    <w:link w:val="659"/>
    <w:qFormat/>
    <w:pPr>
      <w:jc w:val="left"/>
      <w:spacing w:before="100" w:beforeAutospacing="1" w:after="100" w:afterAutospacing="1"/>
      <w:widowControl/>
    </w:pPr>
    <w:rPr>
      <w:rFonts w:ascii="宋体" w:hAnsi="宋体"/>
      <w:color w:val="000000"/>
      <w:sz w:val="24"/>
    </w:rPr>
  </w:style>
  <w:style w:type="paragraph" w:styleId="733">
    <w:name w:val="标题"/>
    <w:basedOn w:val="659"/>
    <w:next w:val="659"/>
    <w:link w:val="734"/>
    <w:uiPriority w:val="10"/>
    <w:qFormat/>
    <w:pPr>
      <w:contextualSpacing/>
      <w:spacing w:before="300" w:after="200"/>
    </w:pPr>
    <w:rPr>
      <w:sz w:val="48"/>
      <w:szCs w:val="48"/>
    </w:rPr>
  </w:style>
  <w:style w:type="character" w:styleId="734">
    <w:name w:val="标题 Char"/>
    <w:next w:val="734"/>
    <w:link w:val="733"/>
    <w:uiPriority w:val="10"/>
    <w:qFormat/>
    <w:rPr>
      <w:sz w:val="48"/>
      <w:szCs w:val="48"/>
    </w:rPr>
  </w:style>
  <w:style w:type="paragraph" w:styleId="735">
    <w:name w:val="正文首行缩进"/>
    <w:basedOn w:val="693"/>
    <w:next w:val="671"/>
    <w:link w:val="659"/>
    <w:uiPriority w:val="99"/>
    <w:qFormat/>
    <w:pPr>
      <w:ind w:firstLine="420"/>
    </w:pPr>
  </w:style>
  <w:style w:type="table" w:styleId="736">
    <w:name w:val="网格型"/>
    <w:basedOn w:val="670"/>
    <w:next w:val="736"/>
    <w:link w:val="659"/>
    <w:qFormat/>
    <w:tblPr/>
  </w:style>
  <w:style w:type="character" w:styleId="737">
    <w:name w:val="要点"/>
    <w:next w:val="737"/>
    <w:link w:val="659"/>
    <w:qFormat/>
    <w:rPr>
      <w:b/>
      <w:bCs/>
    </w:rPr>
  </w:style>
  <w:style w:type="character" w:styleId="738">
    <w:name w:val="尾注引用"/>
    <w:next w:val="738"/>
    <w:link w:val="659"/>
    <w:uiPriority w:val="99"/>
    <w:unhideWhenUsed/>
    <w:qFormat/>
    <w:rPr>
      <w:vertAlign w:val="superscript"/>
    </w:rPr>
  </w:style>
  <w:style w:type="character" w:styleId="739">
    <w:name w:val="页码"/>
    <w:next w:val="739"/>
    <w:link w:val="659"/>
    <w:qFormat/>
  </w:style>
  <w:style w:type="character" w:styleId="740">
    <w:name w:val="超链接"/>
    <w:next w:val="740"/>
    <w:link w:val="659"/>
    <w:qFormat/>
    <w:rPr>
      <w:color w:val="0000ff"/>
      <w:u w:val="single"/>
    </w:rPr>
  </w:style>
  <w:style w:type="character" w:styleId="741">
    <w:name w:val="脚注引用"/>
    <w:next w:val="741"/>
    <w:link w:val="659"/>
    <w:uiPriority w:val="99"/>
    <w:unhideWhenUsed/>
    <w:qFormat/>
    <w:rPr>
      <w:vertAlign w:val="superscript"/>
    </w:rPr>
  </w:style>
  <w:style w:type="paragraph" w:styleId="742">
    <w:name w:val="正文首行缩进 21"/>
    <w:basedOn w:val="743"/>
    <w:next w:val="742"/>
    <w:link w:val="659"/>
    <w:qFormat/>
    <w:pPr>
      <w:ind w:left="0" w:firstLine="420"/>
      <w:spacing w:after="0" w:line="360" w:lineRule="auto"/>
    </w:pPr>
    <w:rPr>
      <w:rFonts w:ascii="宋体" w:hAnsi="宋体"/>
      <w:sz w:val="20"/>
      <w:szCs w:val="20"/>
    </w:rPr>
  </w:style>
  <w:style w:type="paragraph" w:styleId="743">
    <w:name w:val="正文文本缩进1"/>
    <w:basedOn w:val="659"/>
    <w:next w:val="743"/>
    <w:link w:val="659"/>
    <w:uiPriority w:val="99"/>
    <w:unhideWhenUsed/>
    <w:qFormat/>
    <w:pPr>
      <w:ind w:left="420"/>
      <w:spacing w:after="120"/>
    </w:pPr>
  </w:style>
  <w:style w:type="table" w:styleId="744">
    <w:name w:val="Plain Table 1"/>
    <w:basedOn w:val="670"/>
    <w:next w:val="744"/>
    <w:link w:val="659"/>
    <w:uiPriority w:val="59"/>
    <w:qFormat/>
    <w:pPr>
      <w:spacing w:after="0" w:line="240" w:lineRule="auto"/>
    </w:pPr>
    <w:tblPr/>
  </w:style>
  <w:style w:type="table" w:styleId="745">
    <w:name w:val="Plain Table 2"/>
    <w:basedOn w:val="670"/>
    <w:next w:val="745"/>
    <w:link w:val="659"/>
    <w:uiPriority w:val="59"/>
    <w:qFormat/>
    <w:pPr>
      <w:spacing w:after="0" w:line="240" w:lineRule="auto"/>
    </w:pPr>
    <w:tblPr/>
  </w:style>
  <w:style w:type="table" w:styleId="746">
    <w:name w:val="Plain Table 3"/>
    <w:basedOn w:val="670"/>
    <w:next w:val="746"/>
    <w:link w:val="659"/>
    <w:uiPriority w:val="99"/>
    <w:qFormat/>
    <w:pPr>
      <w:spacing w:after="0" w:line="240" w:lineRule="auto"/>
    </w:pPr>
    <w:tblPr/>
  </w:style>
  <w:style w:type="table" w:styleId="747">
    <w:name w:val="Plain Table 4"/>
    <w:basedOn w:val="670"/>
    <w:next w:val="747"/>
    <w:link w:val="659"/>
    <w:uiPriority w:val="99"/>
    <w:qFormat/>
    <w:pPr>
      <w:spacing w:after="0" w:line="240" w:lineRule="auto"/>
    </w:pPr>
    <w:tblPr/>
  </w:style>
  <w:style w:type="table" w:styleId="748">
    <w:name w:val="Plain Table 5"/>
    <w:basedOn w:val="670"/>
    <w:next w:val="748"/>
    <w:link w:val="659"/>
    <w:uiPriority w:val="99"/>
    <w:qFormat/>
    <w:tblPr/>
  </w:style>
  <w:style w:type="table" w:styleId="749">
    <w:name w:val="Grid Table 1 Light"/>
    <w:basedOn w:val="670"/>
    <w:next w:val="749"/>
    <w:link w:val="659"/>
    <w:uiPriority w:val="99"/>
    <w:qFormat/>
    <w:pPr>
      <w:spacing w:after="0" w:line="240" w:lineRule="auto"/>
    </w:pPr>
    <w:tblPr/>
  </w:style>
  <w:style w:type="table" w:styleId="750">
    <w:name w:val="Grid Table 2"/>
    <w:basedOn w:val="670"/>
    <w:next w:val="750"/>
    <w:link w:val="659"/>
    <w:uiPriority w:val="99"/>
    <w:qFormat/>
    <w:pPr>
      <w:spacing w:after="0" w:line="240" w:lineRule="auto"/>
    </w:pPr>
    <w:tblPr/>
  </w:style>
  <w:style w:type="table" w:styleId="751">
    <w:name w:val="Grid Table 3"/>
    <w:basedOn w:val="670"/>
    <w:next w:val="751"/>
    <w:link w:val="659"/>
    <w:uiPriority w:val="99"/>
    <w:qFormat/>
    <w:tblPr/>
  </w:style>
  <w:style w:type="table" w:styleId="752">
    <w:name w:val="Grid Table 4"/>
    <w:basedOn w:val="670"/>
    <w:next w:val="752"/>
    <w:link w:val="659"/>
    <w:uiPriority w:val="59"/>
    <w:qFormat/>
    <w:pPr>
      <w:spacing w:after="0" w:line="240" w:lineRule="auto"/>
    </w:pPr>
    <w:tblPr/>
  </w:style>
  <w:style w:type="table" w:styleId="753">
    <w:name w:val="Grid Table 5 Dark"/>
    <w:basedOn w:val="670"/>
    <w:next w:val="753"/>
    <w:link w:val="659"/>
    <w:uiPriority w:val="99"/>
    <w:qFormat/>
    <w:pPr>
      <w:spacing w:after="0" w:line="240" w:lineRule="auto"/>
    </w:pPr>
    <w:tblPr/>
  </w:style>
  <w:style w:type="table" w:styleId="754">
    <w:name w:val="Grid Table 6 Colorful"/>
    <w:basedOn w:val="670"/>
    <w:next w:val="754"/>
    <w:link w:val="659"/>
    <w:uiPriority w:val="99"/>
    <w:qFormat/>
    <w:pPr>
      <w:spacing w:after="0" w:line="240" w:lineRule="auto"/>
    </w:pPr>
    <w:tblPr/>
  </w:style>
  <w:style w:type="table" w:styleId="755">
    <w:name w:val="Grid Table 7 Colorful"/>
    <w:basedOn w:val="670"/>
    <w:next w:val="755"/>
    <w:link w:val="659"/>
    <w:uiPriority w:val="99"/>
    <w:qFormat/>
    <w:tblPr/>
  </w:style>
  <w:style w:type="table" w:styleId="756">
    <w:name w:val="List Table 1 Light"/>
    <w:basedOn w:val="670"/>
    <w:next w:val="756"/>
    <w:link w:val="659"/>
    <w:uiPriority w:val="99"/>
    <w:qFormat/>
    <w:pPr>
      <w:spacing w:after="0" w:line="240" w:lineRule="auto"/>
    </w:pPr>
    <w:tblPr/>
  </w:style>
  <w:style w:type="table" w:styleId="757">
    <w:name w:val="List Table 2"/>
    <w:basedOn w:val="670"/>
    <w:next w:val="757"/>
    <w:link w:val="659"/>
    <w:uiPriority w:val="99"/>
    <w:qFormat/>
    <w:pPr>
      <w:spacing w:after="0" w:line="240" w:lineRule="auto"/>
    </w:pPr>
    <w:tblPr/>
  </w:style>
  <w:style w:type="table" w:styleId="758">
    <w:name w:val="List Table 3"/>
    <w:basedOn w:val="670"/>
    <w:next w:val="758"/>
    <w:link w:val="659"/>
    <w:uiPriority w:val="99"/>
    <w:qFormat/>
    <w:pPr>
      <w:spacing w:after="0" w:line="240" w:lineRule="auto"/>
    </w:pPr>
    <w:tblPr/>
  </w:style>
  <w:style w:type="table" w:styleId="759">
    <w:name w:val="List Table 4"/>
    <w:basedOn w:val="670"/>
    <w:next w:val="759"/>
    <w:link w:val="659"/>
    <w:uiPriority w:val="99"/>
    <w:qFormat/>
    <w:pPr>
      <w:spacing w:after="0" w:line="240" w:lineRule="auto"/>
    </w:pPr>
    <w:tblPr/>
  </w:style>
  <w:style w:type="table" w:styleId="760">
    <w:name w:val="List Table 5 Dark"/>
    <w:basedOn w:val="670"/>
    <w:next w:val="760"/>
    <w:link w:val="659"/>
    <w:uiPriority w:val="99"/>
    <w:qFormat/>
    <w:pPr>
      <w:spacing w:after="0" w:line="240" w:lineRule="auto"/>
    </w:pPr>
    <w:tblPr/>
  </w:style>
  <w:style w:type="table" w:styleId="761">
    <w:name w:val="List Table 6 Colorful"/>
    <w:basedOn w:val="670"/>
    <w:next w:val="761"/>
    <w:link w:val="659"/>
    <w:uiPriority w:val="99"/>
    <w:qFormat/>
    <w:pPr>
      <w:spacing w:after="0" w:line="240" w:lineRule="auto"/>
    </w:pPr>
    <w:tblPr/>
  </w:style>
  <w:style w:type="table" w:styleId="762">
    <w:name w:val="List Table 7 Colorful"/>
    <w:basedOn w:val="670"/>
    <w:next w:val="762"/>
    <w:link w:val="659"/>
    <w:uiPriority w:val="99"/>
    <w:qFormat/>
    <w:tblPr/>
  </w:style>
  <w:style w:type="paragraph" w:styleId="763">
    <w:name w:val="TOC 标题1"/>
    <w:next w:val="763"/>
    <w:link w:val="659"/>
    <w:uiPriority w:val="39"/>
    <w:unhideWhenUsed/>
    <w:qFormat/>
    <w:rPr>
      <w:lang w:val="en-US" w:eastAsia="zh-CN" w:bidi="ar-SA"/>
    </w:rPr>
  </w:style>
  <w:style w:type="character" w:styleId="764">
    <w:name w:val="Title Char"/>
    <w:basedOn w:val="669"/>
    <w:next w:val="764"/>
    <w:link w:val="659"/>
    <w:uiPriority w:val="10"/>
    <w:qFormat/>
    <w:rPr>
      <w:sz w:val="48"/>
      <w:szCs w:val="48"/>
    </w:rPr>
  </w:style>
  <w:style w:type="character" w:styleId="765">
    <w:name w:val="Subtitle Char"/>
    <w:basedOn w:val="669"/>
    <w:next w:val="765"/>
    <w:link w:val="659"/>
    <w:uiPriority w:val="11"/>
    <w:qFormat/>
    <w:rPr>
      <w:sz w:val="24"/>
      <w:szCs w:val="24"/>
    </w:rPr>
  </w:style>
  <w:style w:type="character" w:styleId="766">
    <w:name w:val="Quote Char"/>
    <w:next w:val="766"/>
    <w:link w:val="659"/>
    <w:uiPriority w:val="29"/>
    <w:qFormat/>
    <w:rPr>
      <w:i/>
    </w:rPr>
  </w:style>
  <w:style w:type="character" w:styleId="767">
    <w:name w:val="Intense Quote Char"/>
    <w:next w:val="767"/>
    <w:link w:val="659"/>
    <w:uiPriority w:val="30"/>
    <w:qFormat/>
    <w:rPr>
      <w:i/>
    </w:rPr>
  </w:style>
  <w:style w:type="character" w:styleId="768">
    <w:name w:val="Footnote Text Char"/>
    <w:next w:val="768"/>
    <w:link w:val="659"/>
    <w:uiPriority w:val="99"/>
    <w:qFormat/>
    <w:rPr>
      <w:sz w:val="18"/>
    </w:rPr>
  </w:style>
  <w:style w:type="character" w:styleId="769">
    <w:name w:val="Endnote Text Char"/>
    <w:next w:val="769"/>
    <w:link w:val="659"/>
    <w:uiPriority w:val="99"/>
    <w:qFormat/>
    <w:rPr>
      <w:sz w:val="20"/>
    </w:rPr>
  </w:style>
  <w:style w:type="character" w:styleId="770">
    <w:name w:val="Heading 1 Char"/>
    <w:next w:val="770"/>
    <w:link w:val="659"/>
    <w:uiPriority w:val="9"/>
    <w:qFormat/>
    <w:rPr>
      <w:rFonts w:ascii="Arial" w:hAnsi="Arial" w:eastAsia="Arial" w:cs="Arial"/>
      <w:sz w:val="40"/>
      <w:szCs w:val="40"/>
    </w:rPr>
  </w:style>
  <w:style w:type="character" w:styleId="771">
    <w:name w:val="Heading 2 Char"/>
    <w:next w:val="771"/>
    <w:link w:val="659"/>
    <w:uiPriority w:val="9"/>
    <w:qFormat/>
    <w:rPr>
      <w:rFonts w:ascii="Arial" w:hAnsi="Arial" w:eastAsia="Arial" w:cs="Arial"/>
      <w:sz w:val="34"/>
    </w:rPr>
  </w:style>
  <w:style w:type="character" w:styleId="772">
    <w:name w:val="Heading 3 Char"/>
    <w:next w:val="772"/>
    <w:link w:val="659"/>
    <w:uiPriority w:val="9"/>
    <w:qFormat/>
    <w:rPr>
      <w:rFonts w:ascii="Arial" w:hAnsi="Arial" w:eastAsia="Arial" w:cs="Arial"/>
      <w:sz w:val="30"/>
      <w:szCs w:val="30"/>
    </w:rPr>
  </w:style>
  <w:style w:type="character" w:styleId="773">
    <w:name w:val="Heading 4 Char"/>
    <w:next w:val="773"/>
    <w:link w:val="659"/>
    <w:uiPriority w:val="9"/>
    <w:qFormat/>
    <w:rPr>
      <w:rFonts w:ascii="Arial" w:hAnsi="Arial" w:eastAsia="Arial" w:cs="Arial"/>
      <w:b/>
      <w:bCs/>
      <w:sz w:val="26"/>
      <w:szCs w:val="26"/>
    </w:rPr>
  </w:style>
  <w:style w:type="character" w:styleId="774">
    <w:name w:val="Heading 5 Char"/>
    <w:next w:val="774"/>
    <w:link w:val="659"/>
    <w:uiPriority w:val="9"/>
    <w:qFormat/>
    <w:rPr>
      <w:rFonts w:ascii="Arial" w:hAnsi="Arial" w:eastAsia="Arial" w:cs="Arial"/>
      <w:b/>
      <w:bCs/>
      <w:sz w:val="24"/>
      <w:szCs w:val="24"/>
    </w:rPr>
  </w:style>
  <w:style w:type="character" w:styleId="775">
    <w:name w:val="Heading 6 Char"/>
    <w:next w:val="775"/>
    <w:link w:val="659"/>
    <w:uiPriority w:val="9"/>
    <w:qFormat/>
    <w:rPr>
      <w:rFonts w:ascii="Arial" w:hAnsi="Arial" w:eastAsia="Arial" w:cs="Arial"/>
      <w:b/>
      <w:bCs/>
      <w:sz w:val="22"/>
      <w:szCs w:val="22"/>
    </w:rPr>
  </w:style>
  <w:style w:type="character" w:styleId="776">
    <w:name w:val="Heading 7 Char"/>
    <w:next w:val="776"/>
    <w:link w:val="659"/>
    <w:uiPriority w:val="9"/>
    <w:qFormat/>
    <w:rPr>
      <w:rFonts w:ascii="Arial" w:hAnsi="Arial" w:eastAsia="Arial" w:cs="Arial"/>
      <w:b/>
      <w:bCs/>
      <w:i/>
      <w:iCs/>
      <w:sz w:val="22"/>
      <w:szCs w:val="22"/>
    </w:rPr>
  </w:style>
  <w:style w:type="character" w:styleId="777">
    <w:name w:val="Heading 8 Char"/>
    <w:next w:val="777"/>
    <w:link w:val="659"/>
    <w:uiPriority w:val="9"/>
    <w:qFormat/>
    <w:rPr>
      <w:rFonts w:ascii="Arial" w:hAnsi="Arial" w:eastAsia="Arial" w:cs="Arial"/>
      <w:i/>
      <w:iCs/>
      <w:sz w:val="22"/>
      <w:szCs w:val="22"/>
    </w:rPr>
  </w:style>
  <w:style w:type="character" w:styleId="778">
    <w:name w:val="Heading 9 Char"/>
    <w:next w:val="778"/>
    <w:link w:val="659"/>
    <w:uiPriority w:val="9"/>
    <w:qFormat/>
    <w:rPr>
      <w:rFonts w:ascii="Arial" w:hAnsi="Arial" w:eastAsia="Arial" w:cs="Arial"/>
      <w:i/>
      <w:iCs/>
      <w:sz w:val="21"/>
      <w:szCs w:val="21"/>
    </w:rPr>
  </w:style>
  <w:style w:type="paragraph" w:styleId="779">
    <w:name w:val="列出段落"/>
    <w:basedOn w:val="659"/>
    <w:next w:val="779"/>
    <w:link w:val="780"/>
    <w:uiPriority w:val="99"/>
    <w:qFormat/>
    <w:pPr>
      <w:ind w:firstLine="420"/>
    </w:pPr>
    <w:rPr>
      <w:sz w:val="20"/>
      <w:szCs w:val="20"/>
    </w:rPr>
  </w:style>
  <w:style w:type="character" w:styleId="780">
    <w:name w:val="列出段落 Char"/>
    <w:next w:val="780"/>
    <w:link w:val="779"/>
    <w:uiPriority w:val="99"/>
    <w:qFormat/>
  </w:style>
  <w:style w:type="paragraph" w:styleId="781">
    <w:name w:val="无间隔"/>
    <w:next w:val="781"/>
    <w:link w:val="659"/>
    <w:uiPriority w:val="1"/>
    <w:qFormat/>
    <w:rPr>
      <w:lang w:val="en-US" w:eastAsia="zh-CN" w:bidi="ar-SA"/>
    </w:rPr>
  </w:style>
  <w:style w:type="paragraph" w:styleId="782">
    <w:name w:val="引用"/>
    <w:basedOn w:val="659"/>
    <w:next w:val="659"/>
    <w:link w:val="783"/>
    <w:uiPriority w:val="29"/>
    <w:qFormat/>
    <w:pPr>
      <w:ind w:left="720" w:right="720"/>
    </w:pPr>
    <w:rPr>
      <w:i/>
      <w:sz w:val="20"/>
      <w:szCs w:val="20"/>
    </w:rPr>
  </w:style>
  <w:style w:type="character" w:styleId="783">
    <w:name w:val="引用 Char"/>
    <w:next w:val="783"/>
    <w:link w:val="782"/>
    <w:uiPriority w:val="29"/>
    <w:qFormat/>
    <w:rPr>
      <w:i/>
    </w:rPr>
  </w:style>
  <w:style w:type="paragraph" w:styleId="784">
    <w:name w:val="明显引用"/>
    <w:basedOn w:val="659"/>
    <w:next w:val="659"/>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5">
    <w:name w:val="明显引用 Char"/>
    <w:next w:val="785"/>
    <w:link w:val="784"/>
    <w:uiPriority w:val="30"/>
    <w:qFormat/>
    <w:rPr>
      <w:i/>
    </w:rPr>
  </w:style>
  <w:style w:type="character" w:styleId="786">
    <w:name w:val="Header Char"/>
    <w:next w:val="786"/>
    <w:link w:val="659"/>
    <w:uiPriority w:val="99"/>
    <w:qFormat/>
  </w:style>
  <w:style w:type="character" w:styleId="787">
    <w:name w:val="Footer Char"/>
    <w:next w:val="787"/>
    <w:link w:val="659"/>
    <w:uiPriority w:val="99"/>
    <w:qFormat/>
  </w:style>
  <w:style w:type="character" w:styleId="788">
    <w:name w:val="Caption Char"/>
    <w:next w:val="788"/>
    <w:link w:val="659"/>
    <w:uiPriority w:val="99"/>
    <w:qFormat/>
  </w:style>
  <w:style w:type="table" w:styleId="789">
    <w:name w:val="Table Grid Light"/>
    <w:next w:val="789"/>
    <w:link w:val="659"/>
    <w:uiPriority w:val="59"/>
    <w:qFormat/>
    <w:rPr>
      <w:lang w:val="en-US" w:eastAsia="zh-CN" w:bidi="ar-SA"/>
    </w:rPr>
    <w:tblPr/>
  </w:style>
  <w:style w:type="table" w:styleId="790">
    <w:name w:val="无格式表格 11"/>
    <w:next w:val="790"/>
    <w:link w:val="659"/>
    <w:uiPriority w:val="59"/>
    <w:qFormat/>
    <w:rPr>
      <w:lang w:val="en-US" w:eastAsia="zh-CN" w:bidi="ar-SA"/>
    </w:rPr>
    <w:tblPr/>
  </w:style>
  <w:style w:type="table" w:styleId="791">
    <w:name w:val="无格式表格 21"/>
    <w:next w:val="791"/>
    <w:link w:val="659"/>
    <w:uiPriority w:val="59"/>
    <w:qFormat/>
    <w:rPr>
      <w:lang w:val="en-US" w:eastAsia="zh-CN" w:bidi="ar-SA"/>
    </w:rPr>
    <w:tblPr/>
  </w:style>
  <w:style w:type="table" w:styleId="792">
    <w:name w:val="无格式表格 31"/>
    <w:next w:val="792"/>
    <w:link w:val="659"/>
    <w:uiPriority w:val="99"/>
    <w:qFormat/>
    <w:rPr>
      <w:lang w:val="en-US" w:eastAsia="zh-CN" w:bidi="ar-SA"/>
    </w:rPr>
    <w:tblPr/>
  </w:style>
  <w:style w:type="table" w:styleId="793">
    <w:name w:val="无格式表格 41"/>
    <w:next w:val="793"/>
    <w:link w:val="659"/>
    <w:uiPriority w:val="99"/>
    <w:qFormat/>
    <w:rPr>
      <w:lang w:val="en-US" w:eastAsia="zh-CN" w:bidi="ar-SA"/>
    </w:rPr>
    <w:tblPr/>
  </w:style>
  <w:style w:type="table" w:styleId="794">
    <w:name w:val="无格式表格 51"/>
    <w:next w:val="794"/>
    <w:link w:val="659"/>
    <w:uiPriority w:val="99"/>
    <w:qFormat/>
    <w:rPr>
      <w:lang w:val="en-US" w:eastAsia="zh-CN" w:bidi="ar-SA"/>
    </w:rPr>
    <w:tblPr/>
  </w:style>
  <w:style w:type="table" w:styleId="795">
    <w:name w:val="网格表 1 浅色1"/>
    <w:next w:val="795"/>
    <w:link w:val="659"/>
    <w:uiPriority w:val="99"/>
    <w:qFormat/>
    <w:rPr>
      <w:lang w:val="en-US" w:eastAsia="zh-CN" w:bidi="ar-SA"/>
    </w:rPr>
    <w:tblPr/>
  </w:style>
  <w:style w:type="table" w:styleId="796">
    <w:name w:val="Grid Table 1 Light - Accent 1"/>
    <w:next w:val="796"/>
    <w:link w:val="659"/>
    <w:uiPriority w:val="99"/>
    <w:qFormat/>
    <w:rPr>
      <w:lang w:val="en-US" w:eastAsia="zh-CN" w:bidi="ar-SA"/>
    </w:rPr>
    <w:tblPr/>
  </w:style>
  <w:style w:type="table" w:styleId="797">
    <w:name w:val="Grid Table 1 Light - Accent 2"/>
    <w:next w:val="797"/>
    <w:link w:val="659"/>
    <w:uiPriority w:val="99"/>
    <w:qFormat/>
    <w:rPr>
      <w:lang w:val="en-US" w:eastAsia="zh-CN" w:bidi="ar-SA"/>
    </w:rPr>
    <w:tblPr/>
  </w:style>
  <w:style w:type="table" w:styleId="798">
    <w:name w:val="Grid Table 1 Light - Accent 3"/>
    <w:next w:val="798"/>
    <w:link w:val="659"/>
    <w:uiPriority w:val="99"/>
    <w:qFormat/>
    <w:rPr>
      <w:lang w:val="en-US" w:eastAsia="zh-CN" w:bidi="ar-SA"/>
    </w:rPr>
    <w:tblPr/>
  </w:style>
  <w:style w:type="table" w:styleId="799">
    <w:name w:val="Grid Table 1 Light - Accent 4"/>
    <w:next w:val="799"/>
    <w:link w:val="659"/>
    <w:uiPriority w:val="99"/>
    <w:qFormat/>
    <w:rPr>
      <w:lang w:val="en-US" w:eastAsia="zh-CN" w:bidi="ar-SA"/>
    </w:rPr>
    <w:tblPr/>
  </w:style>
  <w:style w:type="table" w:styleId="800">
    <w:name w:val="Grid Table 1 Light - Accent 5"/>
    <w:next w:val="800"/>
    <w:link w:val="659"/>
    <w:uiPriority w:val="99"/>
    <w:qFormat/>
    <w:rPr>
      <w:lang w:val="en-US" w:eastAsia="zh-CN" w:bidi="ar-SA"/>
    </w:rPr>
    <w:tblPr/>
  </w:style>
  <w:style w:type="table" w:styleId="801">
    <w:name w:val="Grid Table 1 Light - Accent 6"/>
    <w:next w:val="801"/>
    <w:link w:val="659"/>
    <w:uiPriority w:val="99"/>
    <w:qFormat/>
    <w:rPr>
      <w:lang w:val="en-US" w:eastAsia="zh-CN" w:bidi="ar-SA"/>
    </w:rPr>
    <w:tblPr/>
  </w:style>
  <w:style w:type="table" w:styleId="802">
    <w:name w:val="网格表 21"/>
    <w:next w:val="802"/>
    <w:link w:val="659"/>
    <w:uiPriority w:val="99"/>
    <w:qFormat/>
    <w:rPr>
      <w:lang w:val="en-US" w:eastAsia="zh-CN" w:bidi="ar-SA"/>
    </w:rPr>
    <w:tblPr/>
  </w:style>
  <w:style w:type="table" w:styleId="803">
    <w:name w:val="Grid Table 2 - Accent 1"/>
    <w:next w:val="803"/>
    <w:link w:val="659"/>
    <w:uiPriority w:val="99"/>
    <w:qFormat/>
    <w:rPr>
      <w:lang w:val="en-US" w:eastAsia="zh-CN" w:bidi="ar-SA"/>
    </w:rPr>
    <w:tblPr/>
  </w:style>
  <w:style w:type="table" w:styleId="804">
    <w:name w:val="Grid Table 2 - Accent 2"/>
    <w:next w:val="804"/>
    <w:link w:val="659"/>
    <w:uiPriority w:val="99"/>
    <w:qFormat/>
    <w:rPr>
      <w:lang w:val="en-US" w:eastAsia="zh-CN" w:bidi="ar-SA"/>
    </w:rPr>
    <w:tblPr/>
  </w:style>
  <w:style w:type="table" w:styleId="805">
    <w:name w:val="Grid Table 2 - Accent 3"/>
    <w:next w:val="805"/>
    <w:link w:val="659"/>
    <w:uiPriority w:val="99"/>
    <w:qFormat/>
    <w:rPr>
      <w:lang w:val="en-US" w:eastAsia="zh-CN" w:bidi="ar-SA"/>
    </w:rPr>
    <w:tblPr/>
  </w:style>
  <w:style w:type="table" w:styleId="806">
    <w:name w:val="Grid Table 2 - Accent 4"/>
    <w:next w:val="806"/>
    <w:link w:val="659"/>
    <w:uiPriority w:val="99"/>
    <w:qFormat/>
    <w:rPr>
      <w:lang w:val="en-US" w:eastAsia="zh-CN" w:bidi="ar-SA"/>
    </w:rPr>
    <w:tblPr/>
  </w:style>
  <w:style w:type="table" w:styleId="807">
    <w:name w:val="Grid Table 2 - Accent 5"/>
    <w:next w:val="807"/>
    <w:link w:val="659"/>
    <w:uiPriority w:val="99"/>
    <w:qFormat/>
    <w:rPr>
      <w:lang w:val="en-US" w:eastAsia="zh-CN" w:bidi="ar-SA"/>
    </w:rPr>
    <w:tblPr/>
  </w:style>
  <w:style w:type="table" w:styleId="808">
    <w:name w:val="Grid Table 2 - Accent 6"/>
    <w:next w:val="808"/>
    <w:link w:val="659"/>
    <w:uiPriority w:val="99"/>
    <w:qFormat/>
    <w:rPr>
      <w:lang w:val="en-US" w:eastAsia="zh-CN" w:bidi="ar-SA"/>
    </w:rPr>
    <w:tblPr/>
  </w:style>
  <w:style w:type="table" w:styleId="809">
    <w:name w:val="网格表 31"/>
    <w:next w:val="809"/>
    <w:link w:val="659"/>
    <w:uiPriority w:val="99"/>
    <w:qFormat/>
    <w:rPr>
      <w:lang w:val="en-US" w:eastAsia="zh-CN" w:bidi="ar-SA"/>
    </w:rPr>
    <w:tblPr/>
  </w:style>
  <w:style w:type="table" w:styleId="810">
    <w:name w:val="Grid Table 3 - Accent 1"/>
    <w:next w:val="810"/>
    <w:link w:val="659"/>
    <w:uiPriority w:val="99"/>
    <w:qFormat/>
    <w:rPr>
      <w:lang w:val="en-US" w:eastAsia="zh-CN" w:bidi="ar-SA"/>
    </w:rPr>
    <w:tblPr/>
  </w:style>
  <w:style w:type="table" w:styleId="811">
    <w:name w:val="Grid Table 3 - Accent 2"/>
    <w:next w:val="811"/>
    <w:link w:val="659"/>
    <w:uiPriority w:val="99"/>
    <w:qFormat/>
    <w:rPr>
      <w:lang w:val="en-US" w:eastAsia="zh-CN" w:bidi="ar-SA"/>
    </w:rPr>
    <w:tblPr/>
  </w:style>
  <w:style w:type="table" w:styleId="812">
    <w:name w:val="Grid Table 3 - Accent 3"/>
    <w:next w:val="812"/>
    <w:link w:val="659"/>
    <w:uiPriority w:val="99"/>
    <w:qFormat/>
    <w:rPr>
      <w:lang w:val="en-US" w:eastAsia="zh-CN" w:bidi="ar-SA"/>
    </w:rPr>
    <w:tblPr/>
  </w:style>
  <w:style w:type="table" w:styleId="813">
    <w:name w:val="Grid Table 3 - Accent 4"/>
    <w:next w:val="813"/>
    <w:link w:val="659"/>
    <w:uiPriority w:val="99"/>
    <w:qFormat/>
    <w:rPr>
      <w:lang w:val="en-US" w:eastAsia="zh-CN" w:bidi="ar-SA"/>
    </w:rPr>
    <w:tblPr/>
  </w:style>
  <w:style w:type="table" w:styleId="814">
    <w:name w:val="Grid Table 3 - Accent 5"/>
    <w:next w:val="814"/>
    <w:link w:val="659"/>
    <w:uiPriority w:val="99"/>
    <w:qFormat/>
    <w:rPr>
      <w:lang w:val="en-US" w:eastAsia="zh-CN" w:bidi="ar-SA"/>
    </w:rPr>
    <w:tblPr/>
  </w:style>
  <w:style w:type="table" w:styleId="815">
    <w:name w:val="Grid Table 3 - Accent 6"/>
    <w:next w:val="815"/>
    <w:link w:val="659"/>
    <w:uiPriority w:val="99"/>
    <w:qFormat/>
    <w:rPr>
      <w:lang w:val="en-US" w:eastAsia="zh-CN" w:bidi="ar-SA"/>
    </w:rPr>
    <w:tblPr/>
  </w:style>
  <w:style w:type="table" w:styleId="816">
    <w:name w:val="网格表 41"/>
    <w:next w:val="816"/>
    <w:link w:val="659"/>
    <w:uiPriority w:val="59"/>
    <w:qFormat/>
    <w:rPr>
      <w:lang w:val="en-US" w:eastAsia="zh-CN" w:bidi="ar-SA"/>
    </w:rPr>
    <w:tblPr/>
  </w:style>
  <w:style w:type="table" w:styleId="817">
    <w:name w:val="Grid Table 4 - Accent 1"/>
    <w:next w:val="817"/>
    <w:link w:val="659"/>
    <w:uiPriority w:val="59"/>
    <w:qFormat/>
    <w:rPr>
      <w:lang w:val="en-US" w:eastAsia="zh-CN" w:bidi="ar-SA"/>
    </w:rPr>
    <w:tblPr/>
  </w:style>
  <w:style w:type="table" w:styleId="818">
    <w:name w:val="Grid Table 4 - Accent 2"/>
    <w:next w:val="818"/>
    <w:link w:val="659"/>
    <w:uiPriority w:val="59"/>
    <w:qFormat/>
    <w:rPr>
      <w:lang w:val="en-US" w:eastAsia="zh-CN" w:bidi="ar-SA"/>
    </w:rPr>
    <w:tblPr/>
  </w:style>
  <w:style w:type="table" w:styleId="819">
    <w:name w:val="Grid Table 4 - Accent 3"/>
    <w:next w:val="819"/>
    <w:link w:val="659"/>
    <w:uiPriority w:val="59"/>
    <w:qFormat/>
    <w:rPr>
      <w:lang w:val="en-US" w:eastAsia="zh-CN" w:bidi="ar-SA"/>
    </w:rPr>
    <w:tblPr/>
  </w:style>
  <w:style w:type="table" w:styleId="820">
    <w:name w:val="Grid Table 4 - Accent 4"/>
    <w:next w:val="820"/>
    <w:link w:val="659"/>
    <w:uiPriority w:val="59"/>
    <w:qFormat/>
    <w:rPr>
      <w:lang w:val="en-US" w:eastAsia="zh-CN" w:bidi="ar-SA"/>
    </w:rPr>
    <w:tblPr/>
  </w:style>
  <w:style w:type="table" w:styleId="821">
    <w:name w:val="Grid Table 4 - Accent 5"/>
    <w:next w:val="821"/>
    <w:link w:val="659"/>
    <w:uiPriority w:val="59"/>
    <w:qFormat/>
    <w:rPr>
      <w:lang w:val="en-US" w:eastAsia="zh-CN" w:bidi="ar-SA"/>
    </w:rPr>
    <w:tblPr/>
  </w:style>
  <w:style w:type="table" w:styleId="822">
    <w:name w:val="Grid Table 4 - Accent 6"/>
    <w:next w:val="822"/>
    <w:link w:val="659"/>
    <w:uiPriority w:val="59"/>
    <w:qFormat/>
    <w:rPr>
      <w:lang w:val="en-US" w:eastAsia="zh-CN" w:bidi="ar-SA"/>
    </w:rPr>
    <w:tblPr/>
  </w:style>
  <w:style w:type="table" w:styleId="823">
    <w:name w:val="网格表 5 深色1"/>
    <w:next w:val="823"/>
    <w:link w:val="659"/>
    <w:uiPriority w:val="99"/>
    <w:qFormat/>
    <w:rPr>
      <w:lang w:val="en-US" w:eastAsia="zh-CN" w:bidi="ar-SA"/>
    </w:rPr>
    <w:tblPr/>
  </w:style>
  <w:style w:type="table" w:styleId="824">
    <w:name w:val="Grid Table 5 Dark- Accent 1"/>
    <w:next w:val="824"/>
    <w:link w:val="659"/>
    <w:uiPriority w:val="99"/>
    <w:qFormat/>
    <w:rPr>
      <w:lang w:val="en-US" w:eastAsia="zh-CN" w:bidi="ar-SA"/>
    </w:rPr>
    <w:tblPr/>
  </w:style>
  <w:style w:type="table" w:styleId="825">
    <w:name w:val="Grid Table 5 Dark - Accent 2"/>
    <w:next w:val="825"/>
    <w:link w:val="659"/>
    <w:uiPriority w:val="99"/>
    <w:qFormat/>
    <w:rPr>
      <w:lang w:val="en-US" w:eastAsia="zh-CN" w:bidi="ar-SA"/>
    </w:rPr>
    <w:tblPr/>
  </w:style>
  <w:style w:type="table" w:styleId="826">
    <w:name w:val="Grid Table 5 Dark - Accent 3"/>
    <w:next w:val="826"/>
    <w:link w:val="659"/>
    <w:uiPriority w:val="99"/>
    <w:qFormat/>
    <w:rPr>
      <w:lang w:val="en-US" w:eastAsia="zh-CN" w:bidi="ar-SA"/>
    </w:rPr>
    <w:tblPr/>
  </w:style>
  <w:style w:type="table" w:styleId="827">
    <w:name w:val="Grid Table 5 Dark- Accent 4"/>
    <w:next w:val="827"/>
    <w:link w:val="659"/>
    <w:uiPriority w:val="99"/>
    <w:qFormat/>
    <w:rPr>
      <w:lang w:val="en-US" w:eastAsia="zh-CN" w:bidi="ar-SA"/>
    </w:rPr>
    <w:tblPr/>
  </w:style>
  <w:style w:type="table" w:styleId="828">
    <w:name w:val="Grid Table 5 Dark - Accent 5"/>
    <w:next w:val="828"/>
    <w:link w:val="659"/>
    <w:uiPriority w:val="99"/>
    <w:qFormat/>
    <w:rPr>
      <w:lang w:val="en-US" w:eastAsia="zh-CN" w:bidi="ar-SA"/>
    </w:rPr>
    <w:tblPr/>
  </w:style>
  <w:style w:type="table" w:styleId="829">
    <w:name w:val="Grid Table 5 Dark - Accent 6"/>
    <w:next w:val="829"/>
    <w:link w:val="659"/>
    <w:uiPriority w:val="99"/>
    <w:qFormat/>
    <w:rPr>
      <w:lang w:val="en-US" w:eastAsia="zh-CN" w:bidi="ar-SA"/>
    </w:rPr>
    <w:tblPr/>
  </w:style>
  <w:style w:type="table" w:styleId="830">
    <w:name w:val="网格表 6 彩色1"/>
    <w:next w:val="830"/>
    <w:link w:val="659"/>
    <w:uiPriority w:val="99"/>
    <w:qFormat/>
    <w:rPr>
      <w:lang w:val="en-US" w:eastAsia="zh-CN" w:bidi="ar-SA"/>
    </w:rPr>
    <w:tblPr/>
  </w:style>
  <w:style w:type="table" w:styleId="831">
    <w:name w:val="Grid Table 6 Colorful - Accent 1"/>
    <w:next w:val="831"/>
    <w:link w:val="659"/>
    <w:uiPriority w:val="99"/>
    <w:qFormat/>
    <w:rPr>
      <w:lang w:val="en-US" w:eastAsia="zh-CN" w:bidi="ar-SA"/>
    </w:rPr>
    <w:tblPr/>
  </w:style>
  <w:style w:type="table" w:styleId="832">
    <w:name w:val="Grid Table 6 Colorful - Accent 2"/>
    <w:next w:val="832"/>
    <w:link w:val="659"/>
    <w:uiPriority w:val="99"/>
    <w:qFormat/>
    <w:rPr>
      <w:lang w:val="en-US" w:eastAsia="zh-CN" w:bidi="ar-SA"/>
    </w:rPr>
    <w:tblPr/>
  </w:style>
  <w:style w:type="table" w:styleId="833">
    <w:name w:val="Grid Table 6 Colorful - Accent 3"/>
    <w:next w:val="833"/>
    <w:link w:val="659"/>
    <w:uiPriority w:val="99"/>
    <w:qFormat/>
    <w:rPr>
      <w:lang w:val="en-US" w:eastAsia="zh-CN" w:bidi="ar-SA"/>
    </w:rPr>
    <w:tblPr/>
  </w:style>
  <w:style w:type="table" w:styleId="834">
    <w:name w:val="Grid Table 6 Colorful - Accent 4"/>
    <w:next w:val="834"/>
    <w:link w:val="659"/>
    <w:uiPriority w:val="99"/>
    <w:qFormat/>
    <w:rPr>
      <w:lang w:val="en-US" w:eastAsia="zh-CN" w:bidi="ar-SA"/>
    </w:rPr>
    <w:tblPr/>
  </w:style>
  <w:style w:type="table" w:styleId="835">
    <w:name w:val="Grid Table 6 Colorful - Accent 5"/>
    <w:next w:val="835"/>
    <w:link w:val="659"/>
    <w:uiPriority w:val="99"/>
    <w:qFormat/>
    <w:rPr>
      <w:lang w:val="en-US" w:eastAsia="zh-CN" w:bidi="ar-SA"/>
    </w:rPr>
    <w:tblPr/>
  </w:style>
  <w:style w:type="table" w:styleId="836">
    <w:name w:val="Grid Table 6 Colorful - Accent 6"/>
    <w:next w:val="836"/>
    <w:link w:val="659"/>
    <w:uiPriority w:val="99"/>
    <w:qFormat/>
    <w:rPr>
      <w:lang w:val="en-US" w:eastAsia="zh-CN" w:bidi="ar-SA"/>
    </w:rPr>
    <w:tblPr/>
  </w:style>
  <w:style w:type="table" w:styleId="837">
    <w:name w:val="网格表 7 彩色1"/>
    <w:next w:val="837"/>
    <w:link w:val="659"/>
    <w:uiPriority w:val="99"/>
    <w:qFormat/>
    <w:rPr>
      <w:lang w:val="en-US" w:eastAsia="zh-CN" w:bidi="ar-SA"/>
    </w:rPr>
    <w:tblPr/>
  </w:style>
  <w:style w:type="table" w:styleId="838">
    <w:name w:val="Grid Table 7 Colorful - Accent 1"/>
    <w:next w:val="838"/>
    <w:link w:val="659"/>
    <w:uiPriority w:val="99"/>
    <w:qFormat/>
    <w:rPr>
      <w:lang w:val="en-US" w:eastAsia="zh-CN" w:bidi="ar-SA"/>
    </w:rPr>
    <w:tblPr/>
  </w:style>
  <w:style w:type="table" w:styleId="839">
    <w:name w:val="Grid Table 7 Colorful - Accent 2"/>
    <w:next w:val="839"/>
    <w:link w:val="659"/>
    <w:uiPriority w:val="99"/>
    <w:qFormat/>
    <w:rPr>
      <w:lang w:val="en-US" w:eastAsia="zh-CN" w:bidi="ar-SA"/>
    </w:rPr>
    <w:tblPr/>
  </w:style>
  <w:style w:type="table" w:styleId="840">
    <w:name w:val="Grid Table 7 Colorful - Accent 3"/>
    <w:next w:val="840"/>
    <w:link w:val="659"/>
    <w:uiPriority w:val="99"/>
    <w:qFormat/>
    <w:rPr>
      <w:lang w:val="en-US" w:eastAsia="zh-CN" w:bidi="ar-SA"/>
    </w:rPr>
    <w:tblPr/>
  </w:style>
  <w:style w:type="table" w:styleId="841">
    <w:name w:val="Grid Table 7 Colorful - Accent 4"/>
    <w:next w:val="841"/>
    <w:link w:val="659"/>
    <w:uiPriority w:val="99"/>
    <w:qFormat/>
    <w:rPr>
      <w:lang w:val="en-US" w:eastAsia="zh-CN" w:bidi="ar-SA"/>
    </w:rPr>
    <w:tblPr/>
  </w:style>
  <w:style w:type="table" w:styleId="842">
    <w:name w:val="Grid Table 7 Colorful - Accent 5"/>
    <w:next w:val="842"/>
    <w:link w:val="659"/>
    <w:uiPriority w:val="99"/>
    <w:qFormat/>
    <w:rPr>
      <w:lang w:val="en-US" w:eastAsia="zh-CN" w:bidi="ar-SA"/>
    </w:rPr>
    <w:tblPr/>
  </w:style>
  <w:style w:type="table" w:styleId="843">
    <w:name w:val="Grid Table 7 Colorful - Accent 6"/>
    <w:next w:val="843"/>
    <w:link w:val="659"/>
    <w:uiPriority w:val="99"/>
    <w:qFormat/>
    <w:rPr>
      <w:lang w:val="en-US" w:eastAsia="zh-CN" w:bidi="ar-SA"/>
    </w:rPr>
    <w:tblPr/>
  </w:style>
  <w:style w:type="table" w:styleId="844">
    <w:name w:val="清单表 1 浅色1"/>
    <w:next w:val="844"/>
    <w:link w:val="659"/>
    <w:uiPriority w:val="99"/>
    <w:qFormat/>
    <w:rPr>
      <w:lang w:val="en-US" w:eastAsia="zh-CN" w:bidi="ar-SA"/>
    </w:rPr>
    <w:tblPr/>
  </w:style>
  <w:style w:type="table" w:styleId="845">
    <w:name w:val="List Table 1 Light - Accent 1"/>
    <w:next w:val="845"/>
    <w:link w:val="659"/>
    <w:uiPriority w:val="99"/>
    <w:qFormat/>
    <w:rPr>
      <w:lang w:val="en-US" w:eastAsia="zh-CN" w:bidi="ar-SA"/>
    </w:rPr>
    <w:tblPr/>
  </w:style>
  <w:style w:type="table" w:styleId="846">
    <w:name w:val="List Table 1 Light - Accent 2"/>
    <w:next w:val="846"/>
    <w:link w:val="659"/>
    <w:uiPriority w:val="99"/>
    <w:qFormat/>
    <w:rPr>
      <w:lang w:val="en-US" w:eastAsia="zh-CN" w:bidi="ar-SA"/>
    </w:rPr>
    <w:tblPr/>
  </w:style>
  <w:style w:type="table" w:styleId="847">
    <w:name w:val="List Table 1 Light - Accent 3"/>
    <w:next w:val="847"/>
    <w:link w:val="659"/>
    <w:uiPriority w:val="99"/>
    <w:qFormat/>
    <w:rPr>
      <w:lang w:val="en-US" w:eastAsia="zh-CN" w:bidi="ar-SA"/>
    </w:rPr>
    <w:tblPr/>
  </w:style>
  <w:style w:type="table" w:styleId="848">
    <w:name w:val="List Table 1 Light - Accent 4"/>
    <w:next w:val="848"/>
    <w:link w:val="659"/>
    <w:uiPriority w:val="99"/>
    <w:qFormat/>
    <w:rPr>
      <w:lang w:val="en-US" w:eastAsia="zh-CN" w:bidi="ar-SA"/>
    </w:rPr>
    <w:tblPr/>
  </w:style>
  <w:style w:type="table" w:styleId="849">
    <w:name w:val="List Table 1 Light - Accent 5"/>
    <w:next w:val="849"/>
    <w:link w:val="659"/>
    <w:uiPriority w:val="99"/>
    <w:qFormat/>
    <w:rPr>
      <w:lang w:val="en-US" w:eastAsia="zh-CN" w:bidi="ar-SA"/>
    </w:rPr>
    <w:tblPr/>
  </w:style>
  <w:style w:type="table" w:styleId="850">
    <w:name w:val="List Table 1 Light - Accent 6"/>
    <w:next w:val="850"/>
    <w:link w:val="659"/>
    <w:uiPriority w:val="99"/>
    <w:qFormat/>
    <w:rPr>
      <w:lang w:val="en-US" w:eastAsia="zh-CN" w:bidi="ar-SA"/>
    </w:rPr>
    <w:tblPr/>
  </w:style>
  <w:style w:type="table" w:styleId="851">
    <w:name w:val="清单表 21"/>
    <w:next w:val="851"/>
    <w:link w:val="659"/>
    <w:uiPriority w:val="99"/>
    <w:qFormat/>
    <w:rPr>
      <w:lang w:val="en-US" w:eastAsia="zh-CN" w:bidi="ar-SA"/>
    </w:rPr>
    <w:tblPr/>
  </w:style>
  <w:style w:type="table" w:styleId="852">
    <w:name w:val="List Table 2 - Accent 1"/>
    <w:next w:val="852"/>
    <w:link w:val="659"/>
    <w:uiPriority w:val="99"/>
    <w:qFormat/>
    <w:rPr>
      <w:lang w:val="en-US" w:eastAsia="zh-CN" w:bidi="ar-SA"/>
    </w:rPr>
    <w:tblPr/>
  </w:style>
  <w:style w:type="table" w:styleId="853">
    <w:name w:val="List Table 2 - Accent 2"/>
    <w:next w:val="853"/>
    <w:link w:val="659"/>
    <w:uiPriority w:val="99"/>
    <w:qFormat/>
    <w:rPr>
      <w:lang w:val="en-US" w:eastAsia="zh-CN" w:bidi="ar-SA"/>
    </w:rPr>
    <w:tblPr/>
  </w:style>
  <w:style w:type="table" w:styleId="854">
    <w:name w:val="List Table 2 - Accent 3"/>
    <w:next w:val="854"/>
    <w:link w:val="659"/>
    <w:uiPriority w:val="99"/>
    <w:qFormat/>
    <w:rPr>
      <w:lang w:val="en-US" w:eastAsia="zh-CN" w:bidi="ar-SA"/>
    </w:rPr>
    <w:tblPr/>
  </w:style>
  <w:style w:type="table" w:styleId="855">
    <w:name w:val="List Table 2 - Accent 4"/>
    <w:next w:val="855"/>
    <w:link w:val="659"/>
    <w:uiPriority w:val="99"/>
    <w:qFormat/>
    <w:rPr>
      <w:lang w:val="en-US" w:eastAsia="zh-CN" w:bidi="ar-SA"/>
    </w:rPr>
    <w:tblPr/>
  </w:style>
  <w:style w:type="table" w:styleId="856">
    <w:name w:val="List Table 2 - Accent 5"/>
    <w:next w:val="856"/>
    <w:link w:val="659"/>
    <w:uiPriority w:val="99"/>
    <w:qFormat/>
    <w:rPr>
      <w:lang w:val="en-US" w:eastAsia="zh-CN" w:bidi="ar-SA"/>
    </w:rPr>
    <w:tblPr/>
  </w:style>
  <w:style w:type="table" w:styleId="857">
    <w:name w:val="List Table 2 - Accent 6"/>
    <w:next w:val="857"/>
    <w:link w:val="659"/>
    <w:uiPriority w:val="99"/>
    <w:qFormat/>
    <w:rPr>
      <w:lang w:val="en-US" w:eastAsia="zh-CN" w:bidi="ar-SA"/>
    </w:rPr>
    <w:tblPr/>
  </w:style>
  <w:style w:type="table" w:styleId="858">
    <w:name w:val="清单表 31"/>
    <w:next w:val="858"/>
    <w:link w:val="659"/>
    <w:uiPriority w:val="99"/>
    <w:qFormat/>
    <w:rPr>
      <w:lang w:val="en-US" w:eastAsia="zh-CN" w:bidi="ar-SA"/>
    </w:rPr>
    <w:tblPr/>
  </w:style>
  <w:style w:type="table" w:styleId="859">
    <w:name w:val="List Table 3 - Accent 1"/>
    <w:next w:val="859"/>
    <w:link w:val="659"/>
    <w:uiPriority w:val="99"/>
    <w:qFormat/>
    <w:rPr>
      <w:lang w:val="en-US" w:eastAsia="zh-CN" w:bidi="ar-SA"/>
    </w:rPr>
    <w:tblPr/>
  </w:style>
  <w:style w:type="table" w:styleId="860">
    <w:name w:val="List Table 3 - Accent 2"/>
    <w:next w:val="860"/>
    <w:link w:val="659"/>
    <w:uiPriority w:val="99"/>
    <w:qFormat/>
    <w:rPr>
      <w:lang w:val="en-US" w:eastAsia="zh-CN" w:bidi="ar-SA"/>
    </w:rPr>
    <w:tblPr/>
  </w:style>
  <w:style w:type="table" w:styleId="861">
    <w:name w:val="List Table 3 - Accent 3"/>
    <w:next w:val="861"/>
    <w:link w:val="659"/>
    <w:uiPriority w:val="99"/>
    <w:qFormat/>
    <w:rPr>
      <w:lang w:val="en-US" w:eastAsia="zh-CN" w:bidi="ar-SA"/>
    </w:rPr>
    <w:tblPr/>
  </w:style>
  <w:style w:type="table" w:styleId="862">
    <w:name w:val="List Table 3 - Accent 4"/>
    <w:next w:val="862"/>
    <w:link w:val="659"/>
    <w:uiPriority w:val="99"/>
    <w:qFormat/>
    <w:rPr>
      <w:lang w:val="en-US" w:eastAsia="zh-CN" w:bidi="ar-SA"/>
    </w:rPr>
    <w:tblPr/>
  </w:style>
  <w:style w:type="table" w:styleId="863">
    <w:name w:val="List Table 3 - Accent 5"/>
    <w:next w:val="863"/>
    <w:link w:val="659"/>
    <w:uiPriority w:val="99"/>
    <w:qFormat/>
    <w:rPr>
      <w:lang w:val="en-US" w:eastAsia="zh-CN" w:bidi="ar-SA"/>
    </w:rPr>
    <w:tblPr/>
  </w:style>
  <w:style w:type="table" w:styleId="864">
    <w:name w:val="List Table 3 - Accent 6"/>
    <w:next w:val="864"/>
    <w:link w:val="659"/>
    <w:uiPriority w:val="99"/>
    <w:qFormat/>
    <w:rPr>
      <w:lang w:val="en-US" w:eastAsia="zh-CN" w:bidi="ar-SA"/>
    </w:rPr>
    <w:tblPr/>
  </w:style>
  <w:style w:type="table" w:styleId="865">
    <w:name w:val="清单表 41"/>
    <w:next w:val="865"/>
    <w:link w:val="659"/>
    <w:uiPriority w:val="99"/>
    <w:qFormat/>
    <w:rPr>
      <w:lang w:val="en-US" w:eastAsia="zh-CN" w:bidi="ar-SA"/>
    </w:rPr>
    <w:tblPr/>
  </w:style>
  <w:style w:type="table" w:styleId="866">
    <w:name w:val="List Table 4 - Accent 1"/>
    <w:next w:val="866"/>
    <w:link w:val="659"/>
    <w:uiPriority w:val="99"/>
    <w:qFormat/>
    <w:rPr>
      <w:lang w:val="en-US" w:eastAsia="zh-CN" w:bidi="ar-SA"/>
    </w:rPr>
    <w:tblPr/>
  </w:style>
  <w:style w:type="table" w:styleId="867">
    <w:name w:val="List Table 4 - Accent 2"/>
    <w:next w:val="867"/>
    <w:link w:val="659"/>
    <w:uiPriority w:val="99"/>
    <w:qFormat/>
    <w:rPr>
      <w:lang w:val="en-US" w:eastAsia="zh-CN" w:bidi="ar-SA"/>
    </w:rPr>
    <w:tblPr/>
  </w:style>
  <w:style w:type="table" w:styleId="868">
    <w:name w:val="List Table 4 - Accent 3"/>
    <w:next w:val="868"/>
    <w:link w:val="659"/>
    <w:uiPriority w:val="99"/>
    <w:qFormat/>
    <w:rPr>
      <w:lang w:val="en-US" w:eastAsia="zh-CN" w:bidi="ar-SA"/>
    </w:rPr>
    <w:tblPr/>
  </w:style>
  <w:style w:type="table" w:styleId="869">
    <w:name w:val="List Table 4 - Accent 4"/>
    <w:next w:val="869"/>
    <w:link w:val="659"/>
    <w:uiPriority w:val="99"/>
    <w:qFormat/>
    <w:rPr>
      <w:lang w:val="en-US" w:eastAsia="zh-CN" w:bidi="ar-SA"/>
    </w:rPr>
    <w:tblPr/>
  </w:style>
  <w:style w:type="table" w:styleId="870">
    <w:name w:val="List Table 4 - Accent 5"/>
    <w:next w:val="870"/>
    <w:link w:val="659"/>
    <w:uiPriority w:val="99"/>
    <w:qFormat/>
    <w:rPr>
      <w:lang w:val="en-US" w:eastAsia="zh-CN" w:bidi="ar-SA"/>
    </w:rPr>
    <w:tblPr/>
  </w:style>
  <w:style w:type="table" w:styleId="871">
    <w:name w:val="List Table 4 - Accent 6"/>
    <w:next w:val="871"/>
    <w:link w:val="659"/>
    <w:uiPriority w:val="99"/>
    <w:qFormat/>
    <w:rPr>
      <w:lang w:val="en-US" w:eastAsia="zh-CN" w:bidi="ar-SA"/>
    </w:rPr>
    <w:tblPr/>
  </w:style>
  <w:style w:type="table" w:styleId="872">
    <w:name w:val="清单表 5 深色1"/>
    <w:next w:val="872"/>
    <w:link w:val="659"/>
    <w:uiPriority w:val="99"/>
    <w:qFormat/>
    <w:rPr>
      <w:lang w:val="en-US" w:eastAsia="zh-CN" w:bidi="ar-SA"/>
    </w:rPr>
    <w:tblPr/>
  </w:style>
  <w:style w:type="table" w:styleId="873">
    <w:name w:val="List Table 5 Dark - Accent 1"/>
    <w:next w:val="873"/>
    <w:link w:val="659"/>
    <w:uiPriority w:val="99"/>
    <w:qFormat/>
    <w:rPr>
      <w:lang w:val="en-US" w:eastAsia="zh-CN" w:bidi="ar-SA"/>
    </w:rPr>
    <w:tblPr/>
  </w:style>
  <w:style w:type="table" w:styleId="874">
    <w:name w:val="List Table 5 Dark - Accent 2"/>
    <w:next w:val="874"/>
    <w:link w:val="659"/>
    <w:uiPriority w:val="99"/>
    <w:qFormat/>
    <w:rPr>
      <w:lang w:val="en-US" w:eastAsia="zh-CN" w:bidi="ar-SA"/>
    </w:rPr>
    <w:tblPr/>
  </w:style>
  <w:style w:type="table" w:styleId="875">
    <w:name w:val="List Table 5 Dark - Accent 3"/>
    <w:next w:val="875"/>
    <w:link w:val="659"/>
    <w:uiPriority w:val="99"/>
    <w:qFormat/>
    <w:rPr>
      <w:lang w:val="en-US" w:eastAsia="zh-CN" w:bidi="ar-SA"/>
    </w:rPr>
    <w:tblPr/>
  </w:style>
  <w:style w:type="table" w:styleId="876">
    <w:name w:val="List Table 5 Dark - Accent 4"/>
    <w:next w:val="876"/>
    <w:link w:val="659"/>
    <w:uiPriority w:val="99"/>
    <w:qFormat/>
    <w:rPr>
      <w:lang w:val="en-US" w:eastAsia="zh-CN" w:bidi="ar-SA"/>
    </w:rPr>
    <w:tblPr/>
  </w:style>
  <w:style w:type="table" w:styleId="877">
    <w:name w:val="List Table 5 Dark - Accent 5"/>
    <w:next w:val="877"/>
    <w:link w:val="659"/>
    <w:uiPriority w:val="99"/>
    <w:qFormat/>
    <w:rPr>
      <w:lang w:val="en-US" w:eastAsia="zh-CN" w:bidi="ar-SA"/>
    </w:rPr>
    <w:tblPr/>
  </w:style>
  <w:style w:type="table" w:styleId="878">
    <w:name w:val="List Table 5 Dark - Accent 6"/>
    <w:next w:val="878"/>
    <w:link w:val="659"/>
    <w:uiPriority w:val="99"/>
    <w:qFormat/>
    <w:rPr>
      <w:lang w:val="en-US" w:eastAsia="zh-CN" w:bidi="ar-SA"/>
    </w:rPr>
    <w:tblPr/>
  </w:style>
  <w:style w:type="table" w:styleId="879">
    <w:name w:val="清单表 6 彩色1"/>
    <w:next w:val="879"/>
    <w:link w:val="659"/>
    <w:uiPriority w:val="99"/>
    <w:qFormat/>
    <w:rPr>
      <w:lang w:val="en-US" w:eastAsia="zh-CN" w:bidi="ar-SA"/>
    </w:rPr>
    <w:tblPr/>
  </w:style>
  <w:style w:type="table" w:styleId="880">
    <w:name w:val="List Table 6 Colorful - Accent 1"/>
    <w:next w:val="880"/>
    <w:link w:val="659"/>
    <w:uiPriority w:val="99"/>
    <w:qFormat/>
    <w:rPr>
      <w:lang w:val="en-US" w:eastAsia="zh-CN" w:bidi="ar-SA"/>
    </w:rPr>
    <w:tblPr/>
  </w:style>
  <w:style w:type="table" w:styleId="881">
    <w:name w:val="List Table 6 Colorful - Accent 2"/>
    <w:next w:val="881"/>
    <w:link w:val="659"/>
    <w:uiPriority w:val="99"/>
    <w:qFormat/>
    <w:rPr>
      <w:lang w:val="en-US" w:eastAsia="zh-CN" w:bidi="ar-SA"/>
    </w:rPr>
    <w:tblPr/>
  </w:style>
  <w:style w:type="table" w:styleId="882">
    <w:name w:val="List Table 6 Colorful - Accent 3"/>
    <w:next w:val="882"/>
    <w:link w:val="659"/>
    <w:uiPriority w:val="99"/>
    <w:qFormat/>
    <w:rPr>
      <w:lang w:val="en-US" w:eastAsia="zh-CN" w:bidi="ar-SA"/>
    </w:rPr>
    <w:tblPr/>
  </w:style>
  <w:style w:type="table" w:styleId="883">
    <w:name w:val="List Table 6 Colorful - Accent 4"/>
    <w:next w:val="883"/>
    <w:link w:val="659"/>
    <w:uiPriority w:val="99"/>
    <w:qFormat/>
    <w:rPr>
      <w:lang w:val="en-US" w:eastAsia="zh-CN" w:bidi="ar-SA"/>
    </w:rPr>
    <w:tblPr/>
  </w:style>
  <w:style w:type="table" w:styleId="884">
    <w:name w:val="List Table 6 Colorful - Accent 5"/>
    <w:next w:val="884"/>
    <w:link w:val="659"/>
    <w:uiPriority w:val="99"/>
    <w:qFormat/>
    <w:rPr>
      <w:lang w:val="en-US" w:eastAsia="zh-CN" w:bidi="ar-SA"/>
    </w:rPr>
    <w:tblPr/>
  </w:style>
  <w:style w:type="table" w:styleId="885">
    <w:name w:val="List Table 6 Colorful - Accent 6"/>
    <w:next w:val="885"/>
    <w:link w:val="659"/>
    <w:uiPriority w:val="99"/>
    <w:qFormat/>
    <w:rPr>
      <w:lang w:val="en-US" w:eastAsia="zh-CN" w:bidi="ar-SA"/>
    </w:rPr>
    <w:tblPr/>
  </w:style>
  <w:style w:type="table" w:styleId="886">
    <w:name w:val="清单表 7 彩色1"/>
    <w:next w:val="886"/>
    <w:link w:val="659"/>
    <w:uiPriority w:val="99"/>
    <w:qFormat/>
    <w:rPr>
      <w:lang w:val="en-US" w:eastAsia="zh-CN" w:bidi="ar-SA"/>
    </w:rPr>
    <w:tblPr/>
  </w:style>
  <w:style w:type="table" w:styleId="887">
    <w:name w:val="List Table 7 Colorful - Accent 1"/>
    <w:next w:val="887"/>
    <w:link w:val="659"/>
    <w:uiPriority w:val="99"/>
    <w:qFormat/>
    <w:rPr>
      <w:lang w:val="en-US" w:eastAsia="zh-CN" w:bidi="ar-SA"/>
    </w:rPr>
    <w:tblPr/>
  </w:style>
  <w:style w:type="table" w:styleId="888">
    <w:name w:val="List Table 7 Colorful - Accent 2"/>
    <w:next w:val="888"/>
    <w:link w:val="659"/>
    <w:uiPriority w:val="99"/>
    <w:qFormat/>
    <w:rPr>
      <w:lang w:val="en-US" w:eastAsia="zh-CN" w:bidi="ar-SA"/>
    </w:rPr>
    <w:tblPr/>
  </w:style>
  <w:style w:type="table" w:styleId="889">
    <w:name w:val="List Table 7 Colorful - Accent 3"/>
    <w:next w:val="889"/>
    <w:link w:val="659"/>
    <w:uiPriority w:val="99"/>
    <w:qFormat/>
    <w:rPr>
      <w:lang w:val="en-US" w:eastAsia="zh-CN" w:bidi="ar-SA"/>
    </w:rPr>
    <w:tblPr/>
  </w:style>
  <w:style w:type="table" w:styleId="890">
    <w:name w:val="List Table 7 Colorful - Accent 4"/>
    <w:next w:val="890"/>
    <w:link w:val="659"/>
    <w:uiPriority w:val="99"/>
    <w:qFormat/>
    <w:rPr>
      <w:lang w:val="en-US" w:eastAsia="zh-CN" w:bidi="ar-SA"/>
    </w:rPr>
    <w:tblPr/>
  </w:style>
  <w:style w:type="table" w:styleId="891">
    <w:name w:val="List Table 7 Colorful - Accent 5"/>
    <w:next w:val="891"/>
    <w:link w:val="659"/>
    <w:uiPriority w:val="99"/>
    <w:qFormat/>
    <w:rPr>
      <w:lang w:val="en-US" w:eastAsia="zh-CN" w:bidi="ar-SA"/>
    </w:rPr>
    <w:tblPr/>
  </w:style>
  <w:style w:type="table" w:styleId="892">
    <w:name w:val="List Table 7 Colorful - Accent 6"/>
    <w:next w:val="892"/>
    <w:link w:val="659"/>
    <w:uiPriority w:val="99"/>
    <w:qFormat/>
    <w:rPr>
      <w:lang w:val="en-US" w:eastAsia="zh-CN" w:bidi="ar-SA"/>
    </w:rPr>
    <w:tblPr/>
  </w:style>
  <w:style w:type="table" w:styleId="893">
    <w:name w:val="Lined - Accent"/>
    <w:next w:val="893"/>
    <w:link w:val="659"/>
    <w:uiPriority w:val="99"/>
    <w:qFormat/>
    <w:rPr>
      <w:color w:val="404040"/>
      <w:lang w:val="en-US" w:eastAsia="zh-CN" w:bidi="ar-SA"/>
    </w:rPr>
    <w:tblPr/>
  </w:style>
  <w:style w:type="table" w:styleId="894">
    <w:name w:val="Lined - Accent 1"/>
    <w:next w:val="894"/>
    <w:link w:val="659"/>
    <w:uiPriority w:val="99"/>
    <w:qFormat/>
    <w:rPr>
      <w:color w:val="404040"/>
      <w:lang w:val="en-US" w:eastAsia="zh-CN" w:bidi="ar-SA"/>
    </w:rPr>
    <w:tblPr/>
  </w:style>
  <w:style w:type="table" w:styleId="895">
    <w:name w:val="Lined - Accent 2"/>
    <w:next w:val="895"/>
    <w:link w:val="659"/>
    <w:uiPriority w:val="99"/>
    <w:qFormat/>
    <w:rPr>
      <w:color w:val="404040"/>
      <w:lang w:val="en-US" w:eastAsia="zh-CN" w:bidi="ar-SA"/>
    </w:rPr>
    <w:tblPr/>
  </w:style>
  <w:style w:type="table" w:styleId="896">
    <w:name w:val="Lined - Accent 3"/>
    <w:next w:val="896"/>
    <w:link w:val="659"/>
    <w:uiPriority w:val="99"/>
    <w:qFormat/>
    <w:rPr>
      <w:color w:val="404040"/>
      <w:lang w:val="en-US" w:eastAsia="zh-CN" w:bidi="ar-SA"/>
    </w:rPr>
    <w:tblPr/>
  </w:style>
  <w:style w:type="table" w:styleId="897">
    <w:name w:val="Lined - Accent 4"/>
    <w:next w:val="897"/>
    <w:link w:val="659"/>
    <w:uiPriority w:val="99"/>
    <w:qFormat/>
    <w:rPr>
      <w:color w:val="404040"/>
      <w:lang w:val="en-US" w:eastAsia="zh-CN" w:bidi="ar-SA"/>
    </w:rPr>
    <w:tblPr/>
  </w:style>
  <w:style w:type="table" w:styleId="898">
    <w:name w:val="Lined - Accent 5"/>
    <w:next w:val="898"/>
    <w:link w:val="659"/>
    <w:uiPriority w:val="99"/>
    <w:qFormat/>
    <w:rPr>
      <w:color w:val="404040"/>
      <w:lang w:val="en-US" w:eastAsia="zh-CN" w:bidi="ar-SA"/>
    </w:rPr>
    <w:tblPr/>
  </w:style>
  <w:style w:type="table" w:styleId="899">
    <w:name w:val="Lined - Accent 6"/>
    <w:next w:val="899"/>
    <w:link w:val="659"/>
    <w:uiPriority w:val="99"/>
    <w:qFormat/>
    <w:rPr>
      <w:color w:val="404040"/>
      <w:lang w:val="en-US" w:eastAsia="zh-CN" w:bidi="ar-SA"/>
    </w:rPr>
    <w:tblPr/>
  </w:style>
  <w:style w:type="table" w:styleId="900">
    <w:name w:val="Bordered &amp; Lined - Accent"/>
    <w:next w:val="900"/>
    <w:link w:val="659"/>
    <w:uiPriority w:val="99"/>
    <w:qFormat/>
    <w:rPr>
      <w:color w:val="404040"/>
      <w:lang w:val="en-US" w:eastAsia="zh-CN" w:bidi="ar-SA"/>
    </w:rPr>
    <w:tblPr/>
  </w:style>
  <w:style w:type="table" w:styleId="901">
    <w:name w:val="Bordered &amp; Lined - Accent 1"/>
    <w:next w:val="901"/>
    <w:link w:val="659"/>
    <w:uiPriority w:val="99"/>
    <w:qFormat/>
    <w:rPr>
      <w:color w:val="404040"/>
      <w:lang w:val="en-US" w:eastAsia="zh-CN" w:bidi="ar-SA"/>
    </w:rPr>
    <w:tblPr/>
  </w:style>
  <w:style w:type="table" w:styleId="902">
    <w:name w:val="Bordered &amp; Lined - Accent 2"/>
    <w:next w:val="902"/>
    <w:link w:val="659"/>
    <w:uiPriority w:val="99"/>
    <w:qFormat/>
    <w:rPr>
      <w:color w:val="404040"/>
      <w:lang w:val="en-US" w:eastAsia="zh-CN" w:bidi="ar-SA"/>
    </w:rPr>
    <w:tblPr/>
  </w:style>
  <w:style w:type="table" w:styleId="903">
    <w:name w:val="Bordered &amp; Lined - Accent 3"/>
    <w:next w:val="903"/>
    <w:link w:val="659"/>
    <w:uiPriority w:val="99"/>
    <w:qFormat/>
    <w:rPr>
      <w:color w:val="404040"/>
      <w:lang w:val="en-US" w:eastAsia="zh-CN" w:bidi="ar-SA"/>
    </w:rPr>
    <w:tblPr/>
  </w:style>
  <w:style w:type="table" w:styleId="904">
    <w:name w:val="Bordered &amp; Lined - Accent 4"/>
    <w:next w:val="904"/>
    <w:link w:val="659"/>
    <w:uiPriority w:val="99"/>
    <w:qFormat/>
    <w:rPr>
      <w:color w:val="404040"/>
      <w:lang w:val="en-US" w:eastAsia="zh-CN" w:bidi="ar-SA"/>
    </w:rPr>
    <w:tblPr/>
  </w:style>
  <w:style w:type="table" w:styleId="905">
    <w:name w:val="Bordered &amp; Lined - Accent 5"/>
    <w:next w:val="905"/>
    <w:link w:val="659"/>
    <w:uiPriority w:val="99"/>
    <w:qFormat/>
    <w:rPr>
      <w:color w:val="404040"/>
      <w:lang w:val="en-US" w:eastAsia="zh-CN" w:bidi="ar-SA"/>
    </w:rPr>
    <w:tblPr/>
  </w:style>
  <w:style w:type="table" w:styleId="906">
    <w:name w:val="Bordered &amp; Lined - Accent 6"/>
    <w:next w:val="906"/>
    <w:link w:val="659"/>
    <w:uiPriority w:val="99"/>
    <w:qFormat/>
    <w:rPr>
      <w:color w:val="404040"/>
      <w:lang w:val="en-US" w:eastAsia="zh-CN" w:bidi="ar-SA"/>
    </w:rPr>
    <w:tblPr/>
  </w:style>
  <w:style w:type="table" w:styleId="907">
    <w:name w:val="Bordered"/>
    <w:next w:val="907"/>
    <w:link w:val="659"/>
    <w:uiPriority w:val="99"/>
    <w:qFormat/>
    <w:rPr>
      <w:lang w:val="en-US" w:eastAsia="zh-CN" w:bidi="ar-SA"/>
    </w:rPr>
    <w:tblPr/>
  </w:style>
  <w:style w:type="table" w:styleId="908">
    <w:name w:val="Bordered - Accent 1"/>
    <w:next w:val="908"/>
    <w:link w:val="659"/>
    <w:uiPriority w:val="99"/>
    <w:qFormat/>
    <w:rPr>
      <w:lang w:val="en-US" w:eastAsia="zh-CN" w:bidi="ar-SA"/>
    </w:rPr>
    <w:tblPr/>
  </w:style>
  <w:style w:type="table" w:styleId="909">
    <w:name w:val="Bordered - Accent 2"/>
    <w:next w:val="909"/>
    <w:link w:val="659"/>
    <w:uiPriority w:val="99"/>
    <w:qFormat/>
    <w:rPr>
      <w:lang w:val="en-US" w:eastAsia="zh-CN" w:bidi="ar-SA"/>
    </w:rPr>
    <w:tblPr/>
  </w:style>
  <w:style w:type="table" w:styleId="910">
    <w:name w:val="Bordered - Accent 3"/>
    <w:next w:val="910"/>
    <w:link w:val="659"/>
    <w:uiPriority w:val="99"/>
    <w:qFormat/>
    <w:rPr>
      <w:lang w:val="en-US" w:eastAsia="zh-CN" w:bidi="ar-SA"/>
    </w:rPr>
    <w:tblPr/>
  </w:style>
  <w:style w:type="table" w:styleId="911">
    <w:name w:val="Bordered - Accent 4"/>
    <w:next w:val="911"/>
    <w:link w:val="659"/>
    <w:uiPriority w:val="99"/>
    <w:qFormat/>
    <w:rPr>
      <w:lang w:val="en-US" w:eastAsia="zh-CN" w:bidi="ar-SA"/>
    </w:rPr>
    <w:tblPr/>
  </w:style>
  <w:style w:type="table" w:styleId="912">
    <w:name w:val="Bordered - Accent 5"/>
    <w:next w:val="912"/>
    <w:link w:val="659"/>
    <w:uiPriority w:val="99"/>
    <w:qFormat/>
    <w:rPr>
      <w:lang w:val="en-US" w:eastAsia="zh-CN" w:bidi="ar-SA"/>
    </w:rPr>
    <w:tblPr/>
  </w:style>
  <w:style w:type="table" w:styleId="913">
    <w:name w:val="Bordered - Accent 6"/>
    <w:next w:val="913"/>
    <w:link w:val="659"/>
    <w:uiPriority w:val="99"/>
    <w:qFormat/>
    <w:rPr>
      <w:lang w:val="en-US" w:eastAsia="zh-CN" w:bidi="ar-SA"/>
    </w:rPr>
    <w:tblPr/>
  </w:style>
  <w:style w:type="paragraph" w:styleId="914">
    <w:name w:val="TOC 标题11"/>
    <w:next w:val="914"/>
    <w:link w:val="659"/>
    <w:uiPriority w:val="39"/>
    <w:unhideWhenUsed/>
    <w:qFormat/>
    <w:rPr>
      <w:lang w:val="en-US" w:eastAsia="zh-CN" w:bidi="ar-SA"/>
    </w:rPr>
  </w:style>
  <w:style w:type="paragraph" w:styleId="915">
    <w:name w:val="目录 11"/>
    <w:basedOn w:val="659"/>
    <w:next w:val="659"/>
    <w:link w:val="659"/>
    <w:semiHidden/>
    <w:qFormat/>
    <w:rPr>
      <w:sz w:val="24"/>
    </w:rPr>
  </w:style>
  <w:style w:type="paragraph" w:styleId="916">
    <w:name w:val="正文首行缩进1"/>
    <w:basedOn w:val="693"/>
    <w:next w:val="916"/>
    <w:link w:val="917"/>
    <w:qFormat/>
    <w:pPr>
      <w:ind w:firstLine="420"/>
      <w:spacing w:after="120"/>
    </w:pPr>
    <w:rPr>
      <w:rFonts w:ascii="Times New Roman" w:eastAsia="宋体"/>
      <w:szCs w:val="24"/>
    </w:rPr>
  </w:style>
  <w:style w:type="character" w:styleId="917">
    <w:name w:val="正文文本首行缩进 字符"/>
    <w:next w:val="917"/>
    <w:link w:val="916"/>
    <w:qFormat/>
    <w:rPr>
      <w:rFonts w:ascii="Times New Roman" w:hAnsi="Times New Roman" w:eastAsia="宋体" w:cs="Times New Roman"/>
      <w:sz w:val="24"/>
      <w:szCs w:val="24"/>
    </w:rPr>
  </w:style>
  <w:style w:type="character" w:styleId="918">
    <w:name w:val="已访问的超链接1"/>
    <w:next w:val="918"/>
    <w:link w:val="659"/>
    <w:qFormat/>
    <w:rPr>
      <w:color w:val="800080"/>
      <w:u w:val="single"/>
    </w:rPr>
  </w:style>
  <w:style w:type="character" w:styleId="919">
    <w:name w:val="文档结构图 Char1"/>
    <w:next w:val="919"/>
    <w:link w:val="659"/>
    <w:uiPriority w:val="99"/>
    <w:semiHidden/>
    <w:qFormat/>
    <w:rPr>
      <w:rFonts w:ascii="宋体" w:hAnsi="Times New Roman" w:eastAsia="宋体" w:cs="Times New Roman"/>
      <w:sz w:val="18"/>
      <w:szCs w:val="18"/>
    </w:rPr>
  </w:style>
  <w:style w:type="character" w:styleId="920">
    <w:name w:val="普通正文 Char"/>
    <w:next w:val="920"/>
    <w:link w:val="921"/>
    <w:qFormat/>
    <w:rPr>
      <w:rFonts w:ascii="Arial" w:hAnsi="Arial"/>
      <w:sz w:val="24"/>
      <w:szCs w:val="24"/>
    </w:rPr>
  </w:style>
  <w:style w:type="paragraph" w:styleId="921">
    <w:name w:val="普通正文"/>
    <w:basedOn w:val="659"/>
    <w:next w:val="921"/>
    <w:link w:val="920"/>
    <w:qFormat/>
    <w:pPr>
      <w:ind w:left="-2" w:right="120" w:firstLine="480"/>
      <w:jc w:val="center"/>
      <w:spacing w:before="120" w:after="120" w:line="360" w:lineRule="auto"/>
    </w:pPr>
    <w:rPr>
      <w:rFonts w:ascii="Arial" w:hAnsi="Arial"/>
      <w:sz w:val="24"/>
    </w:rPr>
  </w:style>
  <w:style w:type="character" w:styleId="922">
    <w:name w:val="FA正文 Char"/>
    <w:next w:val="922"/>
    <w:link w:val="923"/>
    <w:qFormat/>
    <w:rPr>
      <w:rFonts w:ascii="宋体" w:hAnsi="宋体" w:eastAsia="宋体" w:cs="Times New Roman"/>
      <w:sz w:val="28"/>
      <w:szCs w:val="28"/>
    </w:rPr>
  </w:style>
  <w:style w:type="paragraph" w:styleId="923">
    <w:name w:val="FA正文"/>
    <w:basedOn w:val="659"/>
    <w:next w:val="923"/>
    <w:link w:val="922"/>
    <w:qFormat/>
    <w:pPr>
      <w:ind w:firstLine="538"/>
      <w:spacing w:line="440" w:lineRule="atLeast"/>
      <w:tabs>
        <w:tab w:val="left" w:pos="3375" w:leader="none"/>
      </w:tabs>
    </w:pPr>
    <w:rPr>
      <w:rFonts w:ascii="宋体" w:hAnsi="宋体"/>
      <w:sz w:val="28"/>
      <w:szCs w:val="28"/>
    </w:rPr>
  </w:style>
  <w:style w:type="character" w:styleId="924">
    <w:name w:val="正文缩进2格 Char"/>
    <w:next w:val="924"/>
    <w:link w:val="925"/>
    <w:qFormat/>
    <w:rPr>
      <w:rFonts w:ascii="仿宋_GB2312" w:hAnsi="宋体" w:eastAsia="仿宋_GB2312" w:cs="Times New Roman"/>
      <w:sz w:val="31"/>
      <w:szCs w:val="28"/>
    </w:rPr>
  </w:style>
  <w:style w:type="paragraph" w:styleId="925">
    <w:name w:val="正文缩进2格"/>
    <w:basedOn w:val="659"/>
    <w:next w:val="925"/>
    <w:link w:val="924"/>
    <w:qFormat/>
    <w:pPr>
      <w:ind w:firstLine="639"/>
      <w:spacing w:line="600" w:lineRule="exact"/>
    </w:pPr>
    <w:rPr>
      <w:rFonts w:ascii="仿宋_GB2312" w:hAnsi="宋体" w:eastAsia="仿宋_GB2312"/>
      <w:sz w:val="31"/>
      <w:szCs w:val="28"/>
    </w:rPr>
  </w:style>
  <w:style w:type="character" w:styleId="926">
    <w:name w:val="cn_text1"/>
    <w:next w:val="926"/>
    <w:link w:val="659"/>
    <w:qFormat/>
    <w:rPr>
      <w:rFonts w:ascii="ˎ̥" w:hAnsi="ˎ̥"/>
      <w:color w:val="003399"/>
      <w:spacing w:val="15"/>
      <w:sz w:val="18"/>
      <w:szCs w:val="18"/>
    </w:rPr>
  </w:style>
  <w:style w:type="character" w:styleId="927">
    <w:name w:val="ssss Char"/>
    <w:next w:val="927"/>
    <w:link w:val="659"/>
    <w:qFormat/>
    <w:rPr>
      <w:rFonts w:eastAsia="宋体"/>
      <w:sz w:val="24"/>
      <w:szCs w:val="24"/>
      <w:lang w:val="en-US" w:eastAsia="zh-CN" w:bidi="ar-SA"/>
    </w:rPr>
  </w:style>
  <w:style w:type="character" w:styleId="928">
    <w:name w:val="ssss Char1"/>
    <w:next w:val="928"/>
    <w:link w:val="929"/>
    <w:qFormat/>
    <w:rPr>
      <w:rFonts w:ascii="Times New Roman" w:hAnsi="Times New Roman" w:eastAsia="宋体" w:cs="Times New Roman"/>
      <w:sz w:val="24"/>
      <w:szCs w:val="24"/>
    </w:rPr>
  </w:style>
  <w:style w:type="paragraph" w:styleId="929">
    <w:name w:val="ssss"/>
    <w:basedOn w:val="659"/>
    <w:next w:val="929"/>
    <w:link w:val="928"/>
    <w:qFormat/>
    <w:pPr>
      <w:ind w:firstLine="480"/>
      <w:spacing w:line="360" w:lineRule="auto"/>
    </w:pPr>
    <w:rPr>
      <w:sz w:val="24"/>
    </w:rPr>
  </w:style>
  <w:style w:type="character" w:styleId="930">
    <w:name w:val="标题 4 Char1"/>
    <w:next w:val="930"/>
    <w:link w:val="659"/>
    <w:qFormat/>
    <w:rPr>
      <w:rFonts w:ascii="Arial" w:hAnsi="Arial" w:eastAsia="黑体"/>
      <w:b/>
      <w:bCs/>
      <w:sz w:val="28"/>
      <w:szCs w:val="28"/>
      <w:lang w:val="en-US" w:eastAsia="zh-CN" w:bidi="ar-SA"/>
    </w:rPr>
  </w:style>
  <w:style w:type="character" w:styleId="931">
    <w:name w:val="列表段落 字符"/>
    <w:next w:val="931"/>
    <w:link w:val="659"/>
    <w:uiPriority w:val="34"/>
    <w:qFormat/>
    <w:rPr>
      <w:rFonts w:ascii="Calibri" w:hAnsi="Calibri"/>
      <w:sz w:val="21"/>
      <w:szCs w:val="22"/>
    </w:rPr>
  </w:style>
  <w:style w:type="character" w:styleId="932">
    <w:name w:val="批注框文本 Char1"/>
    <w:next w:val="932"/>
    <w:link w:val="659"/>
    <w:uiPriority w:val="99"/>
    <w:semiHidden/>
    <w:qFormat/>
    <w:rPr>
      <w:rFonts w:ascii="Times New Roman" w:hAnsi="Times New Roman" w:eastAsia="宋体" w:cs="Times New Roman"/>
      <w:sz w:val="18"/>
      <w:szCs w:val="18"/>
    </w:rPr>
  </w:style>
  <w:style w:type="character" w:styleId="933">
    <w:name w:val="样式 ssss + 宋体 五号1 Char"/>
    <w:next w:val="933"/>
    <w:link w:val="934"/>
    <w:qFormat/>
    <w:rPr>
      <w:rFonts w:ascii="宋体" w:hAnsi="宋体" w:eastAsia="宋体" w:cs="Times New Roman"/>
      <w:sz w:val="24"/>
      <w:szCs w:val="24"/>
    </w:rPr>
  </w:style>
  <w:style w:type="paragraph" w:styleId="934">
    <w:name w:val="样式 ssss + 宋体 五号1"/>
    <w:basedOn w:val="929"/>
    <w:next w:val="934"/>
    <w:link w:val="933"/>
    <w:qFormat/>
    <w:rPr>
      <w:rFonts w:ascii="宋体" w:hAnsi="宋体"/>
    </w:rPr>
  </w:style>
  <w:style w:type="character" w:styleId="935">
    <w:name w:val="point_normal1"/>
    <w:next w:val="935"/>
    <w:link w:val="659"/>
    <w:qFormat/>
    <w:rPr>
      <w:rFonts w:ascii="Arial" w:hAnsi="Arial" w:cs="Arial"/>
      <w:sz w:val="16"/>
      <w:szCs w:val="16"/>
    </w:rPr>
  </w:style>
  <w:style w:type="paragraph" w:styleId="936">
    <w:name w:val="样式 正文文本缩进 3 + 四号"/>
    <w:basedOn w:val="722"/>
    <w:next w:val="936"/>
    <w:link w:val="659"/>
    <w:qFormat/>
    <w:pPr>
      <w:ind w:left="0" w:firstLine="437"/>
      <w:spacing w:after="0" w:line="360" w:lineRule="auto"/>
    </w:pPr>
    <w:rPr>
      <w:sz w:val="24"/>
      <w:szCs w:val="21"/>
    </w:rPr>
  </w:style>
  <w:style w:type="paragraph" w:styleId="937">
    <w:name w:val="2cxsplast"/>
    <w:basedOn w:val="659"/>
    <w:next w:val="937"/>
    <w:link w:val="659"/>
    <w:qFormat/>
    <w:pPr>
      <w:jc w:val="left"/>
      <w:spacing w:before="100" w:beforeAutospacing="1" w:after="100" w:afterAutospacing="1"/>
      <w:widowControl/>
    </w:pPr>
    <w:rPr>
      <w:rFonts w:ascii="宋体" w:hAnsi="宋体" w:cs="宋体"/>
      <w:sz w:val="24"/>
    </w:rPr>
  </w:style>
  <w:style w:type="paragraph" w:styleId="938">
    <w:name w:val="ec_msonormal"/>
    <w:basedOn w:val="659"/>
    <w:next w:val="938"/>
    <w:link w:val="659"/>
    <w:qFormat/>
    <w:pPr>
      <w:jc w:val="left"/>
      <w:spacing w:before="100" w:beforeAutospacing="1" w:after="100" w:afterAutospacing="1"/>
      <w:widowControl/>
    </w:pPr>
    <w:rPr>
      <w:rFonts w:ascii="宋体" w:hAnsi="宋体"/>
      <w:sz w:val="24"/>
    </w:rPr>
  </w:style>
  <w:style w:type="paragraph" w:styleId="939">
    <w:name w:val="Char Char Char Char"/>
    <w:basedOn w:val="659"/>
    <w:next w:val="939"/>
    <w:link w:val="659"/>
    <w:qFormat/>
    <w:rPr>
      <w:rFonts w:ascii="Tahoma" w:hAnsi="Tahoma"/>
      <w:sz w:val="24"/>
      <w:szCs w:val="20"/>
    </w:rPr>
  </w:style>
  <w:style w:type="paragraph" w:styleId="940">
    <w:name w:val="Char Char Char Char Char Char Char Char Char Char Char Char Char"/>
    <w:basedOn w:val="659"/>
    <w:next w:val="940"/>
    <w:link w:val="659"/>
    <w:qFormat/>
  </w:style>
  <w:style w:type="paragraph" w:styleId="941">
    <w:name w:val="表格正文"/>
    <w:basedOn w:val="659"/>
    <w:next w:val="941"/>
    <w:link w:val="659"/>
    <w:qFormat/>
    <w:pPr>
      <w:jc w:val="left"/>
      <w:spacing w:line="360" w:lineRule="auto"/>
    </w:pPr>
    <w:rPr>
      <w:rFonts w:ascii="Calibri" w:hAnsi="Calibri"/>
      <w:color w:val="000000"/>
      <w:szCs w:val="28"/>
    </w:rPr>
  </w:style>
  <w:style w:type="paragraph" w:styleId="942">
    <w:name w:val="Normal1"/>
    <w:next w:val="942"/>
    <w:link w:val="659"/>
    <w:qFormat/>
    <w:pPr>
      <w:jc w:val="both"/>
      <w:spacing w:line="315" w:lineRule="atLeast"/>
      <w:widowControl w:val="off"/>
    </w:pPr>
    <w:rPr>
      <w:rFonts w:ascii="宋体"/>
      <w:sz w:val="24"/>
      <w:lang w:val="en-US" w:eastAsia="zh-CN" w:bidi="ar-SA"/>
    </w:rPr>
  </w:style>
  <w:style w:type="paragraph" w:styleId="943">
    <w:name w:val="Char Char Char Char1"/>
    <w:basedOn w:val="659"/>
    <w:next w:val="943"/>
    <w:link w:val="659"/>
    <w:qFormat/>
    <w:rPr>
      <w:rFonts w:ascii="Tahoma" w:hAnsi="Tahoma"/>
      <w:sz w:val="24"/>
      <w:szCs w:val="20"/>
    </w:rPr>
  </w:style>
  <w:style w:type="paragraph" w:styleId="944">
    <w:name w:val="Char Char Char"/>
    <w:basedOn w:val="659"/>
    <w:next w:val="944"/>
    <w:link w:val="659"/>
    <w:qFormat/>
    <w:rPr>
      <w:rFonts w:ascii="Tahoma" w:hAnsi="Tahoma"/>
      <w:sz w:val="24"/>
      <w:szCs w:val="20"/>
    </w:rPr>
  </w:style>
  <w:style w:type="paragraph" w:styleId="945">
    <w:name w:val="标题-----3"/>
    <w:basedOn w:val="662"/>
    <w:next w:val="945"/>
    <w:link w:val="659"/>
    <w:qFormat/>
    <w:pPr>
      <w:spacing w:before="0" w:after="0" w:line="240" w:lineRule="auto"/>
      <w:outlineLvl w:val="0"/>
    </w:pPr>
    <w:rPr>
      <w:rFonts w:ascii="宋体" w:hAnsi="宋体"/>
      <w:b w:val="0"/>
      <w:bCs w:val="0"/>
      <w:sz w:val="28"/>
      <w:szCs w:val="28"/>
    </w:rPr>
  </w:style>
  <w:style w:type="paragraph" w:styleId="946">
    <w:name w:val="样式 ssss + 居中"/>
    <w:basedOn w:val="929"/>
    <w:next w:val="946"/>
    <w:link w:val="659"/>
    <w:qFormat/>
    <w:pPr>
      <w:jc w:val="center"/>
    </w:pPr>
    <w:rPr>
      <w:rFonts w:cs="宋体"/>
      <w:szCs w:val="20"/>
    </w:rPr>
  </w:style>
  <w:style w:type="paragraph" w:styleId="947">
    <w:name w:val="样式 宋体 四号 黑色 左侧:  0.74 厘米 首行缩进:  0.74 厘米 行距: 1.5 倍行距"/>
    <w:basedOn w:val="659"/>
    <w:next w:val="947"/>
    <w:link w:val="659"/>
    <w:qFormat/>
    <w:pPr>
      <w:ind w:firstLine="420"/>
      <w:spacing w:line="360" w:lineRule="auto"/>
    </w:pPr>
    <w:rPr>
      <w:rFonts w:ascii="宋体"/>
      <w:color w:val="000000"/>
      <w:sz w:val="24"/>
      <w:szCs w:val="21"/>
    </w:rPr>
  </w:style>
  <w:style w:type="paragraph" w:styleId="948">
    <w:name w:val="样式 样式 ssss + 宋体 五号 + 首行缩进:  2 字符"/>
    <w:basedOn w:val="949"/>
    <w:next w:val="948"/>
    <w:link w:val="659"/>
    <w:qFormat/>
    <w:pPr>
      <w:ind w:firstLine="480"/>
    </w:pPr>
  </w:style>
  <w:style w:type="paragraph" w:styleId="949">
    <w:name w:val="样式 ssss + 宋体 五号"/>
    <w:basedOn w:val="929"/>
    <w:next w:val="949"/>
    <w:link w:val="659"/>
    <w:qFormat/>
    <w:pPr>
      <w:ind w:firstLine="420"/>
    </w:pPr>
    <w:rPr>
      <w:rFonts w:ascii="宋体" w:hAnsi="宋体" w:cs="宋体"/>
      <w:szCs w:val="20"/>
    </w:rPr>
  </w:style>
  <w:style w:type="paragraph" w:styleId="950">
    <w:name w:val="msonormalcxsplast"/>
    <w:basedOn w:val="659"/>
    <w:next w:val="950"/>
    <w:link w:val="659"/>
    <w:qFormat/>
    <w:pPr>
      <w:jc w:val="left"/>
      <w:spacing w:before="100" w:beforeAutospacing="1" w:after="100" w:afterAutospacing="1"/>
      <w:widowControl/>
    </w:pPr>
    <w:rPr>
      <w:rFonts w:ascii="宋体" w:hAnsi="宋体" w:cs="宋体"/>
      <w:sz w:val="24"/>
    </w:rPr>
  </w:style>
  <w:style w:type="paragraph" w:styleId="951">
    <w:name w:val="Char"/>
    <w:basedOn w:val="659"/>
    <w:next w:val="951"/>
    <w:link w:val="659"/>
    <w:qFormat/>
    <w:rPr>
      <w:rFonts w:ascii="Tahoma" w:hAnsi="Tahoma"/>
      <w:sz w:val="24"/>
      <w:szCs w:val="20"/>
    </w:rPr>
  </w:style>
  <w:style w:type="paragraph" w:styleId="952">
    <w:name w:val="xl25"/>
    <w:basedOn w:val="659"/>
    <w:next w:val="952"/>
    <w:link w:val="659"/>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53">
    <w:name w:val="标题------4"/>
    <w:basedOn w:val="663"/>
    <w:next w:val="953"/>
    <w:link w:val="659"/>
    <w:qFormat/>
    <w:pPr>
      <w:ind w:left="960" w:hanging="420"/>
      <w:jc w:val="both"/>
      <w:keepLines/>
      <w:spacing w:line="360" w:lineRule="auto"/>
    </w:pPr>
    <w:rPr>
      <w:rFonts w:ascii="仿宋_GB2312" w:hAnsi="宋体" w:eastAsia="仿宋_GB2312" w:cs="仿宋_GB2312"/>
      <w:b/>
      <w:sz w:val="28"/>
      <w:szCs w:val="28"/>
      <w:lang w:val="zh-CN"/>
    </w:rPr>
  </w:style>
  <w:style w:type="paragraph" w:styleId="954">
    <w:name w:val="msonormalcxspmiddle"/>
    <w:basedOn w:val="659"/>
    <w:next w:val="954"/>
    <w:link w:val="659"/>
    <w:qFormat/>
    <w:pPr>
      <w:jc w:val="left"/>
      <w:spacing w:before="100" w:beforeAutospacing="1" w:after="100" w:afterAutospacing="1"/>
      <w:widowControl/>
    </w:pPr>
    <w:rPr>
      <w:rFonts w:ascii="宋体" w:hAnsi="宋体" w:cs="宋体"/>
      <w:sz w:val="24"/>
    </w:rPr>
  </w:style>
  <w:style w:type="paragraph" w:styleId="955">
    <w:name w:val="Char Char Char Char Char Char Char Char Char Char Char Char Char1"/>
    <w:basedOn w:val="659"/>
    <w:next w:val="955"/>
    <w:link w:val="659"/>
    <w:qFormat/>
    <w:rPr>
      <w:sz w:val="24"/>
    </w:rPr>
  </w:style>
  <w:style w:type="paragraph" w:styleId="956">
    <w:name w:val="表格"/>
    <w:basedOn w:val="659"/>
    <w:next w:val="956"/>
    <w:link w:val="659"/>
    <w:qFormat/>
    <w:rPr>
      <w:rFonts w:ascii="Arial" w:hAnsi="Arial"/>
      <w:sz w:val="24"/>
    </w:rPr>
  </w:style>
  <w:style w:type="paragraph" w:styleId="957">
    <w:name w:val="正文样式1"/>
    <w:basedOn w:val="659"/>
    <w:next w:val="957"/>
    <w:link w:val="659"/>
    <w:qFormat/>
    <w:pPr>
      <w:ind w:firstLine="480"/>
      <w:spacing w:before="120" w:after="120" w:line="360" w:lineRule="auto"/>
    </w:pPr>
    <w:rPr>
      <w:sz w:val="24"/>
      <w:szCs w:val="20"/>
    </w:rPr>
  </w:style>
  <w:style w:type="paragraph" w:styleId="958">
    <w:name w:val="Char Char1 Char Char Char Char Char Char"/>
    <w:basedOn w:val="659"/>
    <w:next w:val="958"/>
    <w:link w:val="659"/>
    <w:qFormat/>
    <w:pPr>
      <w:jc w:val="left"/>
      <w:spacing w:after="160" w:line="240" w:lineRule="exact"/>
      <w:widowControl/>
    </w:pPr>
    <w:rPr>
      <w:rFonts w:ascii="Verdana" w:hAnsi="Verdana" w:eastAsia="仿宋_GB2312"/>
      <w:sz w:val="24"/>
      <w:szCs w:val="20"/>
      <w:lang w:eastAsia="en-US"/>
    </w:rPr>
  </w:style>
  <w:style w:type="paragraph" w:styleId="959">
    <w:name w:val="Char Char Char Char Char Char Char Char Char Char"/>
    <w:basedOn w:val="659"/>
    <w:next w:val="959"/>
    <w:link w:val="659"/>
    <w:qFormat/>
    <w:rPr>
      <w:rFonts w:ascii="Tahoma" w:hAnsi="Tahoma"/>
      <w:sz w:val="24"/>
      <w:szCs w:val="20"/>
    </w:rPr>
  </w:style>
  <w:style w:type="paragraph" w:styleId="960">
    <w:name w:val="Char1"/>
    <w:basedOn w:val="659"/>
    <w:next w:val="960"/>
    <w:link w:val="659"/>
    <w:qFormat/>
    <w:pPr>
      <w:tabs>
        <w:tab w:val="left" w:pos="360" w:leader="none"/>
      </w:tabs>
    </w:pPr>
    <w:rPr>
      <w:sz w:val="24"/>
    </w:rPr>
  </w:style>
  <w:style w:type="paragraph" w:styleId="961">
    <w:name w:val="标题1"/>
    <w:basedOn w:val="659"/>
    <w:next w:val="659"/>
    <w:link w:val="6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name w:val="Header2"/>
    <w:basedOn w:val="659"/>
    <w:next w:val="962"/>
    <w:link w:val="659"/>
    <w:qFormat/>
    <w:pPr>
      <w:numPr>
        <w:ilvl w:val="0"/>
        <w:numId w:val="1"/>
      </w:numPr>
      <w:tabs>
        <w:tab w:val="left" w:pos="480" w:leader="none"/>
      </w:tabs>
    </w:pPr>
  </w:style>
  <w:style w:type="paragraph" w:styleId="963">
    <w:name w:val="Char Char 字元 字元 字元 Char Char Char Char"/>
    <w:basedOn w:val="659"/>
    <w:next w:val="963"/>
    <w:link w:val="659"/>
    <w:qFormat/>
    <w:pPr>
      <w:spacing w:line="360" w:lineRule="auto"/>
    </w:pPr>
    <w:rPr>
      <w:sz w:val="24"/>
      <w:szCs w:val="20"/>
    </w:rPr>
  </w:style>
  <w:style w:type="paragraph" w:styleId="964">
    <w:name w:val="2cxspmiddle"/>
    <w:basedOn w:val="659"/>
    <w:next w:val="964"/>
    <w:link w:val="659"/>
    <w:qFormat/>
    <w:pPr>
      <w:jc w:val="left"/>
      <w:spacing w:before="100" w:beforeAutospacing="1" w:after="100" w:afterAutospacing="1"/>
      <w:widowControl/>
    </w:pPr>
    <w:rPr>
      <w:rFonts w:ascii="宋体" w:hAnsi="宋体" w:cs="宋体"/>
      <w:sz w:val="24"/>
    </w:rPr>
  </w:style>
  <w:style w:type="paragraph" w:styleId="965">
    <w:name w:val="正文_0_0"/>
    <w:next w:val="965"/>
    <w:link w:val="659"/>
    <w:qFormat/>
    <w:pPr>
      <w:jc w:val="both"/>
      <w:widowControl w:val="off"/>
    </w:pPr>
    <w:rPr>
      <w:sz w:val="21"/>
      <w:szCs w:val="24"/>
      <w:lang w:val="en-US" w:eastAsia="zh-CN" w:bidi="ar-SA"/>
    </w:rPr>
  </w:style>
  <w:style w:type="paragraph" w:styleId="966">
    <w:name w:val="正文_1_0"/>
    <w:next w:val="966"/>
    <w:link w:val="659"/>
    <w:qFormat/>
    <w:pPr>
      <w:jc w:val="both"/>
      <w:widowControl w:val="off"/>
    </w:pPr>
    <w:rPr>
      <w:sz w:val="21"/>
      <w:szCs w:val="24"/>
      <w:lang w:val="en-US" w:eastAsia="zh-CN" w:bidi="ar-SA"/>
    </w:rPr>
  </w:style>
  <w:style w:type="table" w:styleId="967">
    <w:name w:val="网格型1"/>
    <w:basedOn w:val="670"/>
    <w:next w:val="967"/>
    <w:link w:val="659"/>
    <w:uiPriority w:val="39"/>
    <w:qFormat/>
    <w:rPr>
      <w:rFonts w:ascii="等线" w:hAnsi="等线" w:eastAsia="等线"/>
      <w:sz w:val="21"/>
      <w:szCs w:val="22"/>
    </w:rPr>
    <w:tblPr/>
  </w:style>
  <w:style w:type="paragraph" w:styleId="968">
    <w:name w:val="正文_3"/>
    <w:next w:val="968"/>
    <w:link w:val="659"/>
    <w:qFormat/>
    <w:pPr>
      <w:jc w:val="both"/>
      <w:widowControl w:val="off"/>
    </w:pPr>
    <w:rPr>
      <w:sz w:val="21"/>
      <w:szCs w:val="24"/>
      <w:lang w:val="en-US" w:eastAsia="zh-CN" w:bidi="ar-SA"/>
    </w:rPr>
  </w:style>
  <w:style w:type="paragraph" w:styleId="969">
    <w:name w:val="修订1"/>
    <w:next w:val="969"/>
    <w:link w:val="659"/>
    <w:uiPriority w:val="99"/>
    <w:unhideWhenUsed/>
    <w:qFormat/>
    <w:rPr>
      <w:sz w:val="21"/>
      <w:szCs w:val="24"/>
      <w:lang w:val="en-US" w:eastAsia="zh-CN" w:bidi="ar-SA"/>
    </w:rPr>
  </w:style>
  <w:style w:type="paragraph" w:styleId="970">
    <w:name w:val="列出段落1"/>
    <w:basedOn w:val="659"/>
    <w:next w:val="970"/>
    <w:link w:val="659"/>
    <w:qFormat/>
    <w:pPr>
      <w:ind w:firstLine="200"/>
    </w:pPr>
    <w:rPr>
      <w:rFonts w:ascii="Wingdings" w:hAnsi="Wingdings" w:eastAsia="幼圆" w:cs="Helvetica-Light"/>
      <w:szCs w:val="22"/>
    </w:rPr>
  </w:style>
  <w:style w:type="paragraph" w:styleId="971">
    <w:name w:val="Char1 Char Char Char"/>
    <w:basedOn w:val="659"/>
    <w:next w:val="971"/>
    <w:link w:val="659"/>
    <w:qFormat/>
    <w:pPr>
      <w:jc w:val="left"/>
      <w:spacing w:after="160" w:line="240" w:lineRule="exact"/>
      <w:widowControl/>
    </w:pPr>
    <w:rPr>
      <w:szCs w:val="20"/>
    </w:rPr>
  </w:style>
  <w:style w:type="paragraph" w:styleId="972">
    <w:name w:val="正文_2"/>
    <w:next w:val="972"/>
    <w:link w:val="659"/>
    <w:qFormat/>
    <w:pPr>
      <w:jc w:val="both"/>
      <w:widowControl w:val="off"/>
    </w:pPr>
    <w:rPr>
      <w:rFonts w:ascii="等线" w:hAnsi="等线" w:eastAsia="等线" w:cs="等线"/>
      <w:sz w:val="21"/>
      <w:lang w:val="en-US" w:eastAsia="zh-CN" w:bidi="ar-SA"/>
    </w:rPr>
  </w:style>
  <w:style w:type="paragraph" w:styleId="973">
    <w:name w:val="列表段落4"/>
    <w:basedOn w:val="659"/>
    <w:next w:val="973"/>
    <w:link w:val="659"/>
    <w:uiPriority w:val="34"/>
    <w:qFormat/>
    <w:pPr>
      <w:ind w:firstLine="420"/>
    </w:pPr>
    <w:rPr>
      <w:szCs w:val="22"/>
    </w:rPr>
  </w:style>
  <w:style w:type="character" w:styleId="974">
    <w:name w:val="font51"/>
    <w:basedOn w:val="669"/>
    <w:next w:val="974"/>
    <w:link w:val="659"/>
    <w:qFormat/>
    <w:rPr>
      <w:rFonts w:hint="eastAsia" w:ascii="宋体" w:hAnsi="宋体" w:eastAsia="宋体" w:cs="宋体"/>
      <w:color w:val="000000"/>
      <w:sz w:val="24"/>
      <w:szCs w:val="24"/>
      <w:u w:val="none"/>
    </w:rPr>
  </w:style>
  <w:style w:type="character" w:styleId="975">
    <w:name w:val="font71"/>
    <w:basedOn w:val="669"/>
    <w:next w:val="975"/>
    <w:link w:val="659"/>
    <w:qFormat/>
    <w:rPr>
      <w:rFonts w:hint="eastAsia" w:ascii="宋体" w:hAnsi="宋体" w:eastAsia="宋体" w:cs="宋体"/>
      <w:color w:val="000000"/>
      <w:sz w:val="24"/>
      <w:szCs w:val="24"/>
      <w:u w:val="none"/>
    </w:rPr>
  </w:style>
  <w:style w:type="character" w:styleId="976">
    <w:name w:val="font61"/>
    <w:basedOn w:val="669"/>
    <w:next w:val="976"/>
    <w:link w:val="659"/>
    <w:qFormat/>
    <w:rPr>
      <w:rFonts w:hint="eastAsia" w:ascii="宋体" w:hAnsi="宋体" w:eastAsia="宋体" w:cs="宋体"/>
      <w:color w:val="000000"/>
      <w:sz w:val="24"/>
      <w:szCs w:val="24"/>
      <w:u w:val="none"/>
    </w:rPr>
  </w:style>
  <w:style w:type="character" w:styleId="977">
    <w:name w:val="font81"/>
    <w:basedOn w:val="669"/>
    <w:next w:val="977"/>
    <w:link w:val="659"/>
    <w:qFormat/>
    <w:rPr>
      <w:rFonts w:hint="eastAsia" w:ascii="宋体" w:hAnsi="宋体" w:eastAsia="宋体" w:cs="宋体"/>
      <w:color w:val="000000"/>
      <w:sz w:val="24"/>
      <w:szCs w:val="24"/>
      <w:u w:val="none"/>
    </w:rPr>
  </w:style>
  <w:style w:type="character" w:styleId="978">
    <w:name w:val="NormalCharacter1"/>
    <w:next w:val="978"/>
    <w:link w:val="659"/>
    <w:qFormat/>
  </w:style>
  <w:style w:type="paragraph" w:styleId="979">
    <w:name w:val="BodyText1I21"/>
    <w:basedOn w:val="980"/>
    <w:next w:val="979"/>
    <w:link w:val="659"/>
    <w:qFormat/>
    <w:pPr>
      <w:ind w:firstLine="420"/>
    </w:pPr>
  </w:style>
  <w:style w:type="paragraph" w:styleId="980">
    <w:name w:val="BodyTextIndent1"/>
    <w:basedOn w:val="659"/>
    <w:next w:val="981"/>
    <w:link w:val="659"/>
    <w:qFormat/>
    <w:pPr>
      <w:ind w:left="570"/>
      <w:spacing w:line="520" w:lineRule="exact"/>
    </w:pPr>
    <w:rPr>
      <w:rFonts w:ascii="方正仿宋简体" w:hAnsi="创艺简仿宋" w:eastAsia="方正仿宋简体"/>
      <w:sz w:val="24"/>
    </w:rPr>
  </w:style>
  <w:style w:type="paragraph" w:styleId="981">
    <w:name w:val="EnvelopeReturn1"/>
    <w:basedOn w:val="659"/>
    <w:next w:val="981"/>
    <w:link w:val="659"/>
    <w:qFormat/>
    <w:rPr>
      <w:rFonts w:ascii="Arial" w:hAnsi="Arial"/>
    </w:rPr>
  </w:style>
  <w:style w:type="paragraph" w:styleId="982">
    <w:name w:val="Table Paragraph"/>
    <w:basedOn w:val="659"/>
    <w:next w:val="982"/>
    <w:link w:val="659"/>
    <w:uiPriority w:val="1"/>
    <w:qFormat/>
    <w:pPr>
      <w:ind w:left="107"/>
      <w:spacing w:before="31"/>
    </w:pPr>
    <w:rPr>
      <w:rFonts w:ascii="微软雅黑" w:hAnsi="微软雅黑" w:eastAsia="微软雅黑" w:cs="微软雅黑"/>
    </w:rPr>
  </w:style>
  <w:style w:type="character" w:styleId="983">
    <w:name w:val="font11"/>
    <w:basedOn w:val="669"/>
    <w:next w:val="983"/>
    <w:link w:val="659"/>
    <w:qFormat/>
    <w:rPr>
      <w:rFonts w:hint="eastAsia" w:ascii="宋体" w:hAnsi="宋体" w:eastAsia="宋体" w:cs="宋体"/>
      <w:color w:val="000000"/>
      <w:sz w:val="20"/>
      <w:szCs w:val="20"/>
      <w:u w:val="none"/>
      <w:vertAlign w:val="superscript"/>
    </w:rPr>
  </w:style>
  <w:style w:type="character" w:styleId="984">
    <w:name w:val="font21"/>
    <w:basedOn w:val="669"/>
    <w:next w:val="984"/>
    <w:link w:val="659"/>
    <w:qFormat/>
    <w:rPr>
      <w:rFonts w:hint="eastAsia" w:ascii="宋体" w:hAnsi="宋体" w:eastAsia="宋体" w:cs="宋体"/>
      <w:color w:val="000000"/>
      <w:sz w:val="20"/>
      <w:szCs w:val="20"/>
      <w:u w:val="none"/>
    </w:rPr>
  </w:style>
  <w:style w:type="character" w:styleId="985">
    <w:name w:val="font41"/>
    <w:basedOn w:val="669"/>
    <w:next w:val="985"/>
    <w:link w:val="659"/>
    <w:qFormat/>
    <w:rPr>
      <w:rFonts w:ascii="Times New Roman" w:hAnsi="Times New Roman" w:cs="Times New Roman"/>
      <w:b/>
      <w:bCs/>
      <w:color w:val="000000"/>
      <w:sz w:val="32"/>
      <w:szCs w:val="32"/>
      <w:u w:val="none"/>
    </w:rPr>
  </w:style>
  <w:style w:type="character" w:styleId="986">
    <w:name w:val="font91"/>
    <w:basedOn w:val="669"/>
    <w:next w:val="986"/>
    <w:link w:val="659"/>
    <w:qFormat/>
    <w:rPr>
      <w:rFonts w:hint="eastAsia" w:ascii="宋体" w:hAnsi="宋体" w:eastAsia="宋体" w:cs="宋体"/>
      <w:b/>
      <w:bCs/>
      <w:color w:val="000000"/>
      <w:sz w:val="22"/>
      <w:szCs w:val="22"/>
      <w:u w:val="none"/>
    </w:rPr>
  </w:style>
  <w:style w:type="character" w:styleId="987">
    <w:name w:val="font01"/>
    <w:basedOn w:val="669"/>
    <w:next w:val="987"/>
    <w:link w:val="659"/>
    <w:qFormat/>
    <w:rPr>
      <w:rFonts w:hint="eastAsia" w:ascii="宋体" w:hAnsi="宋体" w:eastAsia="宋体" w:cs="宋体"/>
      <w:color w:val="000000"/>
      <w:sz w:val="22"/>
      <w:szCs w:val="22"/>
      <w:u w:val="none"/>
    </w:rPr>
  </w:style>
  <w:style w:type="character" w:styleId="988">
    <w:name w:val="font31"/>
    <w:basedOn w:val="669"/>
    <w:next w:val="988"/>
    <w:link w:val="659"/>
    <w:qFormat/>
    <w:rPr>
      <w:rFonts w:ascii="Times New Roman" w:hAnsi="Times New Roman" w:cs="Times New Roman"/>
      <w:color w:val="000000"/>
      <w:sz w:val="22"/>
      <w:szCs w:val="22"/>
      <w:u w:val="none"/>
    </w:rPr>
  </w:style>
  <w:style w:type="character" w:styleId="989">
    <w:name w:val="font101"/>
    <w:basedOn w:val="669"/>
    <w:next w:val="989"/>
    <w:link w:val="659"/>
    <w:qFormat/>
    <w:rPr>
      <w:rFonts w:ascii="Times New Roman" w:hAnsi="Times New Roman" w:cs="Times New Roman"/>
      <w:color w:val="000000"/>
      <w:sz w:val="22"/>
      <w:szCs w:val="22"/>
      <w:u w:val="none"/>
      <w:vertAlign w:val="superscript"/>
    </w:rPr>
  </w:style>
  <w:style w:type="character" w:styleId="990">
    <w:name w:val="font112"/>
    <w:basedOn w:val="669"/>
    <w:next w:val="990"/>
    <w:link w:val="659"/>
    <w:rPr>
      <w:rFonts w:ascii="Times New Roman" w:hAnsi="Times New Roman" w:cs="Times New Roman"/>
      <w:color w:val="000000"/>
      <w:sz w:val="22"/>
      <w:szCs w:val="22"/>
      <w:u w:val="none"/>
      <w:vertAlign w:val="superscript"/>
    </w:rPr>
  </w:style>
  <w:style w:type="paragraph" w:styleId="991">
    <w:name w:val="Body text|1"/>
    <w:basedOn w:val="659"/>
    <w:next w:val="991"/>
    <w:link w:val="659"/>
    <w:qFormat/>
    <w:pPr>
      <w:ind w:firstLine="400"/>
      <w:jc w:val="left"/>
      <w:spacing w:line="386" w:lineRule="auto"/>
    </w:pPr>
    <w:rPr>
      <w:rFonts w:ascii="宋体" w:hAnsi="宋体" w:eastAsia="宋体" w:cs="宋体"/>
      <w:color w:val="000000"/>
      <w:sz w:val="22"/>
      <w:szCs w:val="22"/>
      <w:lang w:val="zh-TW" w:eastAsia="zh-TW" w:bidi="zh-TW"/>
    </w:rPr>
  </w:style>
  <w:style w:type="table" w:styleId="992">
    <w:name w:val="网格型2"/>
    <w:basedOn w:val="670"/>
    <w:next w:val="992"/>
    <w:link w:val="659"/>
    <w:uiPriority w:val="39"/>
    <w:qFormat/>
    <w:rPr>
      <w:rFonts w:ascii="Times New Roman" w:hAnsi="Times New Roman" w:eastAsia="宋体" w:cs="Times New Roman"/>
    </w:rPr>
    <w:tblPr/>
  </w:style>
  <w:style w:type="paragraph" w:styleId="993">
    <w:name w:val="标题 81"/>
    <w:basedOn w:val="659"/>
    <w:next w:val="993"/>
    <w:link w:val="659"/>
    <w:uiPriority w:val="1"/>
    <w:qFormat/>
    <w:pPr>
      <w:ind w:left="680"/>
      <w:outlineLvl w:val="8"/>
    </w:pPr>
    <w:rPr>
      <w:b/>
      <w:bCs/>
      <w:sz w:val="21"/>
      <w:szCs w:val="21"/>
    </w:rPr>
  </w:style>
  <w:style w:type="paragraph" w:styleId="994">
    <w:name w:val="标题 71"/>
    <w:basedOn w:val="659"/>
    <w:next w:val="994"/>
    <w:link w:val="659"/>
    <w:uiPriority w:val="1"/>
    <w:qFormat/>
    <w:pPr>
      <w:ind w:left="664" w:right="994"/>
      <w:jc w:val="center"/>
      <w:spacing w:before="93"/>
      <w:outlineLvl w:val="7"/>
    </w:pPr>
    <w:rPr>
      <w:b/>
      <w:bCs/>
    </w:rPr>
  </w:style>
  <w:style w:type="paragraph" w:styleId="995">
    <w:name w:val="标题 61"/>
    <w:basedOn w:val="659"/>
    <w:next w:val="995"/>
    <w:link w:val="659"/>
    <w:uiPriority w:val="1"/>
    <w:qFormat/>
    <w:pPr>
      <w:ind w:left="680"/>
      <w:outlineLvl w:val="6"/>
    </w:pPr>
    <w:rPr>
      <w:sz w:val="24"/>
      <w:szCs w:val="24"/>
    </w:rPr>
  </w:style>
  <w:style w:type="paragraph" w:styleId="996">
    <w:name w:val="标题 11"/>
    <w:basedOn w:val="659"/>
    <w:next w:val="996"/>
    <w:link w:val="659"/>
    <w:uiPriority w:val="1"/>
    <w:qFormat/>
    <w:pPr>
      <w:ind w:left="664" w:right="665"/>
      <w:jc w:val="center"/>
      <w:spacing w:before="30"/>
      <w:outlineLvl w:val="1"/>
    </w:pPr>
    <w:rPr>
      <w:b/>
      <w:bCs/>
      <w:sz w:val="32"/>
      <w:szCs w:val="32"/>
    </w:rPr>
  </w:style>
  <w:style w:type="paragraph" w:styleId="997">
    <w:name w:val="普通(网站) Char"/>
    <w:basedOn w:val="659"/>
    <w:next w:val="997"/>
    <w:link w:val="659"/>
    <w:qFormat/>
    <w:pPr>
      <w:jc w:val="left"/>
      <w:spacing w:before="100" w:beforeAutospacing="1" w:after="100" w:afterAutospacing="1"/>
      <w:widowControl/>
    </w:pPr>
    <w:rPr>
      <w:rFonts w:hint="eastAsia" w:ascii="宋体" w:hAnsi="宋体"/>
      <w:sz w:val="24"/>
    </w:rPr>
  </w:style>
  <w:style w:type="paragraph" w:styleId="998">
    <w:name w:val="纯文本1"/>
    <w:basedOn w:val="659"/>
    <w:next w:val="659"/>
    <w:link w:val="659"/>
    <w:qFormat/>
    <w:rPr>
      <w:rFonts w:ascii="宋体" w:hAnsi="Courier New"/>
      <w:sz w:val="20"/>
      <w:szCs w:val="21"/>
    </w:rPr>
  </w:style>
  <w:style w:type="paragraph" w:styleId="999">
    <w:name w:val="标题 41"/>
    <w:basedOn w:val="659"/>
    <w:next w:val="659"/>
    <w:link w:val="659"/>
    <w:qFormat/>
    <w:pPr>
      <w:jc w:val="center"/>
      <w:keepNext/>
      <w:outlineLvl w:val="3"/>
    </w:pPr>
    <w:rPr>
      <w:rFonts w:eastAsia="新宋体"/>
      <w:sz w:val="30"/>
      <w:szCs w:val="21"/>
    </w:rPr>
  </w:style>
  <w:style w:type="paragraph" w:styleId="1000">
    <w:name w:val="标题 111"/>
    <w:basedOn w:val="659"/>
    <w:next w:val="659"/>
    <w:link w:val="659"/>
    <w:qFormat/>
    <w:pPr>
      <w:keepLines/>
      <w:keepNext/>
      <w:spacing w:before="340" w:after="330" w:line="578" w:lineRule="auto"/>
      <w:outlineLvl w:val="0"/>
    </w:pPr>
    <w:rPr>
      <w:b/>
      <w:bCs/>
      <w:sz w:val="44"/>
      <w:szCs w:val="44"/>
    </w:rPr>
  </w:style>
  <w:style w:type="paragraph" w:styleId="1001">
    <w:name w:val="正文首行缩进 211"/>
    <w:basedOn w:val="1002"/>
    <w:next w:val="1004"/>
    <w:link w:val="659"/>
    <w:uiPriority w:val="99"/>
    <w:qFormat/>
    <w:pPr>
      <w:ind w:firstLine="200"/>
      <w:spacing w:line="240" w:lineRule="auto"/>
    </w:pPr>
  </w:style>
  <w:style w:type="paragraph" w:styleId="1002">
    <w:name w:val="正文文本缩进11"/>
    <w:basedOn w:val="659"/>
    <w:next w:val="1003"/>
    <w:link w:val="659"/>
    <w:qFormat/>
    <w:pPr>
      <w:ind w:left="765"/>
    </w:pPr>
    <w:rPr>
      <w:rFonts w:ascii="仿宋_GB2312" w:eastAsia="仿宋_GB2312"/>
      <w:sz w:val="28"/>
      <w:szCs w:val="20"/>
    </w:rPr>
  </w:style>
  <w:style w:type="paragraph" w:styleId="1003">
    <w:name w:val="寄信人地址1"/>
    <w:basedOn w:val="659"/>
    <w:next w:val="1003"/>
    <w:link w:val="659"/>
    <w:uiPriority w:val="99"/>
    <w:unhideWhenUsed/>
    <w:qFormat/>
    <w:rPr>
      <w:rFonts w:ascii="Arial" w:hAnsi="Arial"/>
    </w:rPr>
  </w:style>
  <w:style w:type="paragraph" w:styleId="1004">
    <w:name w:val="正文首行缩进11"/>
    <w:basedOn w:val="1005"/>
    <w:next w:val="1001"/>
    <w:link w:val="659"/>
    <w:uiPriority w:val="99"/>
    <w:qFormat/>
    <w:pPr>
      <w:ind w:firstLine="420"/>
    </w:pPr>
  </w:style>
  <w:style w:type="paragraph" w:styleId="1005">
    <w:name w:val="正文文本1"/>
    <w:basedOn w:val="659"/>
    <w:next w:val="695"/>
    <w:link w:val="659"/>
    <w:qFormat/>
    <w:rPr>
      <w:rFonts w:ascii="仿宋_GB2312" w:eastAsia="仿宋_GB2312"/>
      <w:sz w:val="24"/>
      <w:szCs w:val="20"/>
    </w:rPr>
  </w:style>
  <w:style w:type="table" w:styleId="1006">
    <w:name w:val="网格型6"/>
    <w:basedOn w:val="670"/>
    <w:next w:val="1006"/>
    <w:link w:val="659"/>
    <w:qFormat/>
    <w:pPr>
      <w:jc w:val="both"/>
      <w:widowControl w:val="off"/>
    </w:pPr>
    <w:rPr>
      <w:rFonts w:ascii="Calibri" w:hAnsi="Calibri" w:eastAsia="宋体" w:cs="Times New Roman"/>
    </w:rPr>
    <w:tblPr/>
  </w:style>
  <w:style w:type="paragraph" w:styleId="1007">
    <w:name w:val="首行缩进"/>
    <w:basedOn w:val="659"/>
    <w:next w:val="1007"/>
    <w:link w:val="659"/>
    <w:qFormat/>
    <w:pPr>
      <w:ind w:firstLine="480"/>
      <w:jc w:val="left"/>
      <w:spacing w:line="360" w:lineRule="auto"/>
    </w:pPr>
    <w:rPr>
      <w:rFonts w:ascii="宋体" w:hAnsi="宋体" w:cs="宋体"/>
      <w:sz w:val="24"/>
      <w:szCs w:val="24"/>
    </w:rPr>
  </w:style>
  <w:style w:type="paragraph" w:styleId="1008">
    <w:name w:val="页脚1"/>
    <w:basedOn w:val="659"/>
    <w:next w:val="659"/>
    <w:link w:val="659"/>
    <w:uiPriority w:val="99"/>
    <w:qFormat/>
    <w:pPr>
      <w:jc w:val="left"/>
      <w:tabs>
        <w:tab w:val="center" w:pos="4153" w:leader="none"/>
        <w:tab w:val="right" w:pos="8306" w:leader="none"/>
      </w:tabs>
    </w:pPr>
    <w:rPr>
      <w:sz w:val="18"/>
      <w:szCs w:val="20"/>
    </w:rPr>
  </w:style>
  <w:style w:type="character" w:styleId="9615" w:default="1">
    <w:name w:val="Default Paragraph Font"/>
    <w:uiPriority w:val="1"/>
    <w:semiHidden/>
    <w:unhideWhenUsed/>
  </w:style>
  <w:style w:type="numbering" w:styleId="9616" w:default="1">
    <w:name w:val="No List"/>
    <w:uiPriority w:val="99"/>
    <w:semiHidden/>
    <w:unhideWhenUsed/>
  </w:style>
  <w:style w:type="table" w:styleId="96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2</cp:revision>
  <dcterms:created xsi:type="dcterms:W3CDTF">2024-11-26T06:25:00Z</dcterms:created>
  <dcterms:modified xsi:type="dcterms:W3CDTF">2025-08-26T06:52:33Z</dcterms:modified>
</cp:coreProperties>
</file>