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0" w:lineRule="atLeast"/>
        <w:rPr>
          <w:rFonts w:ascii="宋体" w:hAnsi="宋体" w:cs="宋体"/>
          <w:b/>
          <w:bCs/>
          <w:sz w:val="96"/>
          <w:szCs w:val="96"/>
        </w:rPr>
      </w:pPr>
      <w:r>
        <w:rPr>
          <w:rFonts w:ascii="宋体" w:hAnsi="宋体" w:cs="宋体"/>
          <w:b/>
          <w:bCs/>
          <w:sz w:val="96"/>
          <w:szCs w:val="96"/>
        </w:rPr>
      </w:r>
      <w:r/>
    </w:p>
    <w:p>
      <w:pPr>
        <w:jc w:val="center"/>
        <w:spacing w:line="20" w:lineRule="atLeast"/>
        <w:rPr>
          <w:rFonts w:ascii="宋体" w:hAnsi="宋体" w:cs="宋体"/>
          <w:b/>
          <w:bCs/>
          <w:sz w:val="96"/>
          <w:szCs w:val="96"/>
        </w:rPr>
      </w:pPr>
      <w:r>
        <w:rPr>
          <w:rFonts w:ascii="宋体" w:hAnsi="宋体" w:cs="宋体"/>
          <w:b/>
          <w:bCs/>
          <w:sz w:val="96"/>
          <w:szCs w:val="96"/>
        </w:rPr>
      </w:r>
      <w:r/>
    </w:p>
    <w:p>
      <w:pPr>
        <w:jc w:val="center"/>
        <w:spacing w:line="20" w:lineRule="atLeast"/>
        <w:rPr>
          <w:rFonts w:ascii="宋体" w:hAnsi="宋体"/>
          <w:b/>
          <w:bCs/>
          <w:sz w:val="96"/>
          <w:szCs w:val="96"/>
        </w:rPr>
      </w:pPr>
      <w:r>
        <w:rPr>
          <w:rFonts w:hint="eastAsia" w:ascii="宋体" w:hAnsi="宋体" w:cs="宋体"/>
          <w:b/>
          <w:bCs/>
          <w:sz w:val="96"/>
          <w:szCs w:val="96"/>
        </w:rPr>
        <w:t xml:space="preserve">泰州市政府采购</w:t>
      </w:r>
      <w:r/>
    </w:p>
    <w:p>
      <w:pPr>
        <w:jc w:val="center"/>
        <w:rPr>
          <w:rFonts w:ascii="宋体" w:hAnsi="宋体" w:cs="宋体"/>
          <w:b/>
          <w:bCs/>
          <w:sz w:val="96"/>
          <w:szCs w:val="96"/>
        </w:rPr>
      </w:pPr>
      <w:r>
        <w:rPr>
          <w:rFonts w:hint="eastAsia" w:ascii="宋体" w:hAnsi="宋体" w:cs="宋体"/>
          <w:b/>
          <w:bCs/>
          <w:sz w:val="96"/>
          <w:szCs w:val="96"/>
        </w:rPr>
        <w:t xml:space="preserve">招</w:t>
      </w:r>
      <w:r>
        <w:rPr>
          <w:rFonts w:ascii="宋体" w:hAnsi="宋体" w:cs="宋体"/>
          <w:b/>
          <w:bCs/>
          <w:sz w:val="96"/>
          <w:szCs w:val="96"/>
        </w:rPr>
        <w:t xml:space="preserve"> </w:t>
      </w:r>
      <w:r>
        <w:rPr>
          <w:rFonts w:hint="eastAsia" w:ascii="宋体" w:hAnsi="宋体" w:cs="宋体"/>
          <w:b/>
          <w:bCs/>
          <w:sz w:val="96"/>
          <w:szCs w:val="96"/>
        </w:rPr>
        <w:t xml:space="preserve">标</w:t>
      </w:r>
      <w:r>
        <w:rPr>
          <w:rFonts w:ascii="宋体" w:hAnsi="宋体" w:cs="宋体"/>
          <w:b/>
          <w:bCs/>
          <w:sz w:val="96"/>
          <w:szCs w:val="96"/>
        </w:rPr>
        <w:t xml:space="preserve"> </w:t>
      </w:r>
      <w:r>
        <w:rPr>
          <w:rFonts w:hint="eastAsia" w:ascii="宋体" w:hAnsi="宋体" w:cs="宋体"/>
          <w:b/>
          <w:bCs/>
          <w:sz w:val="96"/>
          <w:szCs w:val="96"/>
        </w:rPr>
        <w:t xml:space="preserve">文</w:t>
      </w:r>
      <w:r>
        <w:rPr>
          <w:rFonts w:ascii="宋体" w:hAnsi="宋体" w:cs="宋体"/>
          <w:b/>
          <w:bCs/>
          <w:sz w:val="96"/>
          <w:szCs w:val="96"/>
        </w:rPr>
        <w:t xml:space="preserve"> </w:t>
      </w:r>
      <w:r>
        <w:rPr>
          <w:rFonts w:hint="eastAsia" w:ascii="宋体" w:hAnsi="宋体" w:cs="宋体"/>
          <w:b/>
          <w:bCs/>
          <w:sz w:val="96"/>
          <w:szCs w:val="96"/>
        </w:rPr>
        <w:t xml:space="preserve">件</w:t>
      </w:r>
      <w:r/>
    </w:p>
    <w:p>
      <w:pPr>
        <w:jc w:val="center"/>
        <w:tabs>
          <w:tab w:val="left" w:pos="9921" w:leader="none"/>
        </w:tabs>
        <w:rPr>
          <w:rFonts w:ascii="宋体" w:hAnsi="宋体" w:cs="宋体"/>
          <w:bCs/>
          <w:sz w:val="30"/>
        </w:rPr>
      </w:pPr>
      <w:r>
        <w:rPr>
          <w:rFonts w:ascii="宋体" w:hAnsi="宋体" w:cs="宋体"/>
          <w:bCs/>
          <w:sz w:val="30"/>
        </w:rPr>
      </w:r>
      <w:r/>
    </w:p>
    <w:p>
      <w:pPr>
        <w:jc w:val="center"/>
        <w:tabs>
          <w:tab w:val="left" w:pos="9921" w:leader="none"/>
        </w:tabs>
        <w:rPr>
          <w:rFonts w:ascii="宋体" w:hAnsi="宋体" w:cs="宋体"/>
          <w:bCs/>
          <w:sz w:val="30"/>
        </w:rPr>
      </w:pPr>
      <w:r>
        <w:rPr>
          <w:rFonts w:hint="eastAsia" w:ascii="宋体" w:hAnsi="宋体" w:cs="宋体"/>
          <w:bCs/>
          <w:sz w:val="30"/>
        </w:rPr>
        <w:t xml:space="preserve">（全流程电子化不见面开标）</w:t>
      </w:r>
      <w:r/>
    </w:p>
    <w:p>
      <w:pPr>
        <w:pStyle w:val="735"/>
      </w:pPr>
      <w:r/>
      <w:r/>
    </w:p>
    <w:p>
      <w:pPr>
        <w:jc w:val="center"/>
        <w:rPr>
          <w:rFonts w:ascii="华文中宋" w:hAnsi="华文中宋" w:eastAsia="华文中宋"/>
          <w:bCs/>
          <w:sz w:val="30"/>
        </w:rPr>
      </w:pPr>
      <w:r>
        <w:rPr>
          <w:rFonts w:ascii="华文中宋" w:hAnsi="华文中宋" w:eastAsia="华文中宋"/>
          <w:bCs/>
          <w:sz w:val="30"/>
        </w:rPr>
      </w:r>
      <w:r/>
    </w:p>
    <w:p>
      <w:pPr>
        <w:pStyle w:val="739"/>
      </w:pPr>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项目编号：</w:t>
      </w:r>
      <w:r>
        <w:rPr>
          <w:rFonts w:ascii="黑体" w:hAnsi="华文中宋" w:eastAsia="黑体"/>
          <w:bCs/>
          <w:sz w:val="30"/>
          <w:szCs w:val="30"/>
        </w:rPr>
        <w:t xml:space="preserve">JSZC-321202-YZNH-G2024-0004</w:t>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项目名称：海陵区智慧电梯管理项目</w:t>
      </w:r>
      <w:r/>
    </w:p>
    <w:p>
      <w:pPr>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 购 人：泰州市海陵区市场监督管理局 </w:t>
      </w:r>
      <w:r/>
    </w:p>
    <w:p>
      <w:pPr>
        <w:pStyle w:val="737"/>
        <w:spacing w:line="360" w:lineRule="auto"/>
        <w:rPr>
          <w:rFonts w:ascii="黑体" w:hAnsi="华文中宋" w:eastAsia="黑体"/>
          <w:bCs/>
          <w:sz w:val="30"/>
          <w:szCs w:val="30"/>
        </w:rPr>
      </w:pPr>
      <w:r>
        <w:rPr>
          <w:rFonts w:hint="eastAsia" w:ascii="黑体" w:hAnsi="华文中宋" w:eastAsia="黑体"/>
          <w:bCs/>
          <w:sz w:val="30"/>
          <w:szCs w:val="30"/>
        </w:rPr>
        <w:t xml:space="preserve">招标代理：扬州诺浩工程咨询有限公司</w:t>
      </w:r>
      <w:r/>
    </w:p>
    <w:p>
      <w:pPr>
        <w:pStyle w:val="737"/>
        <w:rPr>
          <w:rFonts w:ascii="黑体" w:hAnsi="华文中宋" w:eastAsia="黑体"/>
          <w:bCs/>
          <w:sz w:val="30"/>
          <w:szCs w:val="30"/>
        </w:rPr>
      </w:pPr>
      <w:r>
        <w:rPr>
          <w:rFonts w:ascii="黑体" w:hAnsi="华文中宋" w:eastAsia="黑体"/>
          <w:bCs/>
          <w:sz w:val="30"/>
          <w:szCs w:val="30"/>
        </w:rPr>
      </w:r>
      <w:r/>
    </w:p>
    <w:p>
      <w:pPr>
        <w:pStyle w:val="737"/>
        <w:rPr>
          <w:rFonts w:ascii="黑体" w:hAnsi="华文中宋" w:eastAsia="黑体"/>
          <w:bCs/>
          <w:sz w:val="30"/>
          <w:szCs w:val="30"/>
        </w:rPr>
      </w:pPr>
      <w:r>
        <w:rPr>
          <w:rFonts w:ascii="黑体" w:hAnsi="华文中宋" w:eastAsia="黑体"/>
          <w:bCs/>
          <w:sz w:val="30"/>
          <w:szCs w:val="30"/>
        </w:rPr>
      </w:r>
      <w:r/>
    </w:p>
    <w:p>
      <w:pPr>
        <w:pStyle w:val="739"/>
        <w:jc w:val="center"/>
        <w:rPr>
          <w:rFonts w:ascii="黑体" w:hAnsi="Century Schoolbook" w:eastAsia="黑体"/>
          <w:spacing w:val="-4"/>
          <w:sz w:val="36"/>
        </w:rPr>
      </w:pPr>
      <w:r>
        <w:rPr>
          <w:rFonts w:hint="eastAsia" w:ascii="黑体" w:hAnsi="Century Schoolbook" w:eastAsia="黑体"/>
          <w:spacing w:val="-4"/>
          <w:sz w:val="36"/>
        </w:rPr>
        <w:t xml:space="preserve">二〇二四年七月</w:t>
      </w:r>
      <w:r/>
    </w:p>
    <w:p>
      <w:pPr>
        <w:pStyle w:val="738"/>
        <w:rPr>
          <w:rFonts w:ascii="黑体" w:hAnsi="Century Schoolbook" w:eastAsia="黑体"/>
          <w:spacing w:val="-4"/>
          <w:sz w:val="36"/>
          <w:szCs w:val="20"/>
        </w:rPr>
      </w:pPr>
      <w:r>
        <w:rPr>
          <w:rFonts w:ascii="黑体" w:hAnsi="Century Schoolbook" w:eastAsia="黑体"/>
          <w:spacing w:val="-4"/>
          <w:sz w:val="36"/>
          <w:szCs w:val="20"/>
        </w:rPr>
      </w:r>
      <w:r/>
    </w:p>
    <w:p>
      <w:pPr>
        <w:rPr>
          <w:rFonts w:ascii="黑体" w:hAnsi="Century Schoolbook" w:eastAsia="黑体"/>
          <w:spacing w:val="-4"/>
          <w:sz w:val="36"/>
          <w:szCs w:val="20"/>
        </w:rPr>
      </w:pPr>
      <w:r>
        <w:rPr>
          <w:rFonts w:ascii="黑体" w:hAnsi="Century Schoolbook" w:eastAsia="黑体"/>
          <w:spacing w:val="-4"/>
          <w:sz w:val="36"/>
          <w:szCs w:val="20"/>
        </w:rPr>
      </w:r>
      <w:r/>
    </w:p>
    <w:p>
      <w:pPr>
        <w:jc w:val="center"/>
        <w:pageBreakBefore/>
        <w:rPr>
          <w:rFonts w:eastAsia="黑体"/>
          <w:bCs/>
          <w:sz w:val="48"/>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spacing w:line="360" w:lineRule="auto"/>
        <w:rPr>
          <w:rFonts w:ascii="宋体" w:hAnsi="宋体"/>
          <w:bCs/>
          <w:sz w:val="30"/>
        </w:rPr>
      </w:pPr>
      <w:r>
        <w:rPr>
          <w:rFonts w:ascii="宋体" w:hAnsi="宋体"/>
          <w:bCs/>
          <w:sz w:val="30"/>
        </w:rPr>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第一章 招标公告</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第二章 投标人须知</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第三章 采购需求</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第四章 合同书（格式文本）</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第五章 评分标准</w:t>
      </w:r>
      <w:r/>
    </w:p>
    <w:p>
      <w:pPr>
        <w:ind w:firstLine="420"/>
        <w:jc w:val="left"/>
        <w:spacing w:line="360" w:lineRule="auto"/>
        <w:rPr>
          <w:rFonts w:ascii="黑体" w:hAnsi="华文中宋" w:eastAsia="黑体"/>
          <w:bCs/>
          <w:sz w:val="30"/>
          <w:szCs w:val="30"/>
        </w:rPr>
      </w:pPr>
      <w:r>
        <w:rPr>
          <w:rFonts w:hint="eastAsia" w:ascii="黑体" w:hAnsi="华文中宋" w:eastAsia="黑体"/>
          <w:bCs/>
          <w:sz w:val="30"/>
          <w:szCs w:val="30"/>
        </w:rPr>
        <w:t xml:space="preserve">第六章 投标文件格式</w:t>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rPr>
          <w:rFonts w:ascii="宋体" w:hAnsi="宋体"/>
          <w:bCs/>
          <w:sz w:val="30"/>
        </w:rPr>
      </w:pPr>
      <w:r>
        <w:rPr>
          <w:rFonts w:hint="eastAsia" w:ascii="宋体" w:hAnsi="宋体"/>
          <w:bCs/>
          <w:sz w:val="30"/>
        </w:rPr>
        <w:br w:type="page" w:clear="all"/>
      </w:r>
      <w:r/>
    </w:p>
    <w:p>
      <w:pPr>
        <w:jc w:val="center"/>
        <w:rPr>
          <w:b/>
          <w:bCs/>
          <w:sz w:val="32"/>
          <w:szCs w:val="36"/>
        </w:rPr>
      </w:pPr>
      <w:r>
        <w:rPr>
          <w:rFonts w:hint="eastAsia"/>
          <w:b/>
          <w:bCs/>
          <w:sz w:val="32"/>
          <w:szCs w:val="36"/>
        </w:rPr>
        <w:t xml:space="preserve">海陵区智慧电梯管理项目</w:t>
      </w:r>
      <w:r/>
    </w:p>
    <w:p>
      <w:pPr>
        <w:jc w:val="center"/>
        <w:rPr>
          <w:b/>
          <w:bCs/>
          <w:sz w:val="32"/>
          <w:szCs w:val="36"/>
        </w:rPr>
      </w:pPr>
      <w:r>
        <w:rPr>
          <w:rFonts w:hint="eastAsia" w:ascii="黑体" w:hAnsi="华文中宋" w:eastAsia="黑体"/>
          <w:bCs/>
          <w:sz w:val="32"/>
          <w:szCs w:val="30"/>
        </w:rPr>
        <w:t xml:space="preserve">第一章 </w:t>
      </w:r>
      <w:r>
        <w:rPr>
          <w:rFonts w:hint="eastAsia"/>
          <w:b/>
          <w:bCs/>
          <w:sz w:val="32"/>
          <w:szCs w:val="36"/>
        </w:rPr>
        <w:t xml:space="preserve">招标公告</w:t>
      </w:r>
      <w:r/>
    </w:p>
    <w:p>
      <w:pPr>
        <w:spacing w:line="360" w:lineRule="auto"/>
        <w:rPr>
          <w:rFonts w:ascii="宋体" w:hAnsi="宋体" w:cs="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r>
      <w:r>
        <w:rPr>
          <w:rFonts w:ascii="FangSong" w:hAnsi="FangSong" w:eastAsia="FangSong" w:cs="FangSong"/>
          <w:color w:val="000000"/>
          <w:sz w:val="28"/>
        </w:rPr>
        <w:t xml:space="preserve">海陵区智慧电梯管理项目 JSZC-321202-YZNH-G2024-0004 招标项目的潜在投标人应在供应商完成注册并办理CA证书后登录“江苏政府采购‘苏采云’系统”，下载本项目采购文件。获取招标文件，并于2024-07-29 09:00 （北京时间）前递交投标文件。</w:t>
      </w:r>
      <w:r>
        <w:rPr>
          <w:rFonts w:hint="eastAsia" w:ascii="宋体" w:hAnsi="宋体" w:cs="宋体"/>
          <w:sz w:val="24"/>
          <w:szCs w:val="24"/>
          <w:u w:val="single"/>
        </w:rPr>
      </w:r>
      <w:r/>
    </w:p>
    <w:p>
      <w:pPr>
        <w:spacing w:line="360" w:lineRule="auto"/>
        <w:rPr>
          <w:b/>
          <w:bCs/>
          <w:sz w:val="24"/>
          <w:szCs w:val="28"/>
        </w:rPr>
      </w:pPr>
      <w:r/>
      <w:bookmarkStart w:id="0" w:name="_Toc28359002"/>
      <w:r/>
      <w:bookmarkStart w:id="1" w:name="_Toc35393621"/>
      <w:r/>
      <w:bookmarkStart w:id="2" w:name="_Toc28359079"/>
      <w:r/>
      <w:bookmarkStart w:id="3" w:name="_Toc35393790"/>
      <w:r/>
      <w:bookmarkStart w:id="4" w:name="_Hlk24379207"/>
      <w:r>
        <w:rPr>
          <w:rFonts w:hint="eastAsia"/>
          <w:b/>
          <w:bCs/>
          <w:sz w:val="24"/>
          <w:szCs w:val="28"/>
        </w:rPr>
        <w:t xml:space="preserve">一、项目基本情况</w:t>
      </w:r>
      <w:bookmarkEnd w:id="0"/>
      <w:r/>
      <w:bookmarkEnd w:id="1"/>
      <w:r/>
      <w:bookmarkEnd w:id="2"/>
      <w:r/>
      <w:bookmarkEnd w:id="3"/>
      <w:r/>
      <w:r/>
    </w:p>
    <w:p>
      <w:pPr>
        <w:spacing w:line="360" w:lineRule="auto"/>
        <w:rPr>
          <w:rFonts w:ascii="宋体" w:hAnsi="宋体" w:cs="宋体"/>
          <w:sz w:val="24"/>
          <w:szCs w:val="28"/>
        </w:rPr>
      </w:pPr>
      <w:r>
        <w:rPr>
          <w:rFonts w:hint="eastAsia" w:ascii="宋体" w:hAnsi="宋体" w:cs="宋体"/>
          <w:sz w:val="24"/>
          <w:szCs w:val="28"/>
        </w:rPr>
        <w:t xml:space="preserve">1.项目编号：</w:t>
      </w:r>
      <w:r>
        <w:rPr>
          <w:rFonts w:ascii="宋体" w:hAnsi="宋体" w:cs="宋体"/>
          <w:sz w:val="24"/>
          <w:szCs w:val="28"/>
        </w:rPr>
        <w:t xml:space="preserve">JSZC-321202-YZNH-G2024-0004</w:t>
      </w:r>
      <w:r/>
    </w:p>
    <w:p>
      <w:pPr>
        <w:spacing w:line="360" w:lineRule="auto"/>
        <w:rPr>
          <w:rFonts w:ascii="宋体" w:hAnsi="宋体" w:cs="宋体"/>
          <w:sz w:val="24"/>
          <w:szCs w:val="28"/>
        </w:rPr>
      </w:pPr>
      <w:r>
        <w:rPr>
          <w:rFonts w:hint="eastAsia" w:ascii="宋体" w:hAnsi="宋体" w:cs="宋体"/>
          <w:sz w:val="24"/>
          <w:szCs w:val="28"/>
        </w:rPr>
        <w:t xml:space="preserve">2.项目名称：</w:t>
      </w:r>
      <w:bookmarkEnd w:id="4"/>
      <w:r>
        <w:rPr>
          <w:rFonts w:hint="eastAsia" w:ascii="宋体" w:hAnsi="宋体" w:cs="宋体"/>
          <w:sz w:val="24"/>
          <w:szCs w:val="28"/>
        </w:rPr>
        <w:t xml:space="preserve">海陵区智慧电梯管理项目</w:t>
      </w:r>
      <w:r/>
    </w:p>
    <w:p>
      <w:pPr>
        <w:spacing w:line="360" w:lineRule="auto"/>
        <w:rPr>
          <w:rFonts w:ascii="宋体" w:hAnsi="宋体" w:cs="宋体"/>
          <w:sz w:val="24"/>
          <w:szCs w:val="28"/>
        </w:rPr>
      </w:pPr>
      <w:r>
        <w:rPr>
          <w:rFonts w:hint="eastAsia" w:ascii="宋体" w:hAnsi="宋体" w:cs="宋体"/>
          <w:sz w:val="24"/>
          <w:szCs w:val="28"/>
        </w:rPr>
        <w:t xml:space="preserve">3.采购方式：公开招标</w:t>
      </w:r>
      <w:r/>
    </w:p>
    <w:p>
      <w:pPr>
        <w:spacing w:line="360" w:lineRule="auto"/>
        <w:rPr>
          <w:rFonts w:ascii="宋体" w:hAnsi="宋体" w:cs="宋体"/>
          <w:sz w:val="24"/>
          <w:szCs w:val="28"/>
        </w:rPr>
      </w:pPr>
      <w:r>
        <w:rPr>
          <w:rFonts w:hint="eastAsia" w:ascii="宋体" w:hAnsi="宋体" w:cs="宋体"/>
          <w:sz w:val="24"/>
          <w:szCs w:val="28"/>
        </w:rPr>
        <w:t xml:space="preserve">4.预算金额：600万元</w:t>
      </w:r>
      <w:r/>
    </w:p>
    <w:p>
      <w:pPr>
        <w:spacing w:line="360" w:lineRule="auto"/>
        <w:rPr>
          <w:rFonts w:ascii="宋体" w:hAnsi="宋体" w:cs="宋体"/>
          <w:sz w:val="24"/>
          <w:szCs w:val="28"/>
        </w:rPr>
      </w:pPr>
      <w:r>
        <w:rPr>
          <w:rFonts w:hint="eastAsia" w:ascii="宋体" w:hAnsi="宋体" w:cs="宋体"/>
          <w:sz w:val="24"/>
          <w:szCs w:val="28"/>
        </w:rPr>
        <w:t xml:space="preserve">5.最高限价：600万元</w:t>
      </w:r>
      <w:r/>
    </w:p>
    <w:p>
      <w:pPr>
        <w:spacing w:line="360" w:lineRule="auto"/>
        <w:rPr>
          <w:rFonts w:ascii="宋体" w:hAnsi="宋体" w:cs="宋体"/>
          <w:sz w:val="24"/>
          <w:szCs w:val="28"/>
        </w:rPr>
      </w:pPr>
      <w:r>
        <w:rPr>
          <w:rFonts w:hint="eastAsia" w:ascii="宋体" w:hAnsi="宋体" w:cs="宋体"/>
          <w:sz w:val="24"/>
          <w:szCs w:val="28"/>
        </w:rPr>
        <w:t xml:space="preserve">6.采购需求</w:t>
      </w:r>
      <w:r>
        <w:rPr>
          <w:rFonts w:hint="eastAsia" w:ascii="宋体" w:hAnsi="宋体" w:cs="宋体"/>
          <w:sz w:val="24"/>
          <w:szCs w:val="28"/>
          <w:lang w:val="zh-CN"/>
        </w:rPr>
        <w:t xml:space="preserve">：</w:t>
      </w:r>
      <w:r>
        <w:rPr>
          <w:rFonts w:hint="eastAsia" w:ascii="宋体" w:hAnsi="宋体" w:cs="宋体"/>
          <w:sz w:val="24"/>
          <w:szCs w:val="28"/>
        </w:rPr>
        <w:t xml:space="preserve">海陵区智慧电梯管理项目主要围绕电梯智慧监管、电梯消防安全等目标，实施全区3446台电梯数字化改造，满足以下三方面需求：1.功能需求：实现电梯数字化改造、综合指挥中心建设、智慧电梯管理平台开发、物业电梯管理平台及APP应用软件开发四大功能。2.性能需求：平台至少支持4000台电梯设备的大数据接入性能要求，根据海陵区电梯增长趋势，后期需能满足1万台电梯的大数据接入性能要求。3.安全需求：具有安全审计、身份验证、授权访问、入侵防范、数据的备份与恢复等安全防护功能。详见招标文件。</w:t>
      </w:r>
      <w:r/>
    </w:p>
    <w:p>
      <w:pPr>
        <w:spacing w:line="360" w:lineRule="auto"/>
        <w:rPr>
          <w:rFonts w:ascii="宋体" w:hAnsi="宋体" w:cs="宋体"/>
          <w:sz w:val="24"/>
          <w:szCs w:val="28"/>
        </w:rPr>
      </w:pPr>
      <w:r>
        <w:rPr>
          <w:rFonts w:hint="eastAsia" w:ascii="宋体" w:hAnsi="宋体" w:cs="宋体"/>
          <w:sz w:val="24"/>
          <w:szCs w:val="28"/>
        </w:rPr>
        <w:t xml:space="preserve">7.合同履行期限：</w:t>
      </w:r>
      <w:r>
        <w:rPr>
          <w:rFonts w:hint="eastAsia" w:ascii="宋体" w:hAnsi="宋体" w:cs="宋体"/>
          <w:sz w:val="24"/>
          <w:szCs w:val="24"/>
        </w:rPr>
        <w:t xml:space="preserve">4个月</w:t>
      </w:r>
      <w:r>
        <w:rPr>
          <w:rFonts w:hint="eastAsia" w:ascii="宋体" w:hAnsi="宋体" w:cs="宋体"/>
          <w:sz w:val="24"/>
          <w:szCs w:val="28"/>
        </w:rPr>
        <w:t xml:space="preserve">（2024年8月——2024年11月）</w:t>
      </w:r>
      <w:r/>
    </w:p>
    <w:p>
      <w:pPr>
        <w:spacing w:line="360" w:lineRule="auto"/>
        <w:rPr>
          <w:sz w:val="24"/>
          <w:szCs w:val="28"/>
        </w:rPr>
      </w:pPr>
      <w:r>
        <w:rPr>
          <w:rFonts w:hint="eastAsia"/>
          <w:sz w:val="24"/>
          <w:szCs w:val="28"/>
        </w:rPr>
        <w:t xml:space="preserve">8.本项目接受联合体投标。</w:t>
      </w:r>
      <w:r/>
    </w:p>
    <w:p>
      <w:pPr>
        <w:spacing w:line="360" w:lineRule="auto"/>
        <w:rPr>
          <w:b/>
          <w:bCs/>
          <w:sz w:val="24"/>
          <w:szCs w:val="28"/>
        </w:rPr>
      </w:pPr>
      <w:r/>
      <w:bookmarkStart w:id="5" w:name="_Toc28359080"/>
      <w:r/>
      <w:bookmarkStart w:id="6" w:name="_Toc35393791"/>
      <w:r/>
      <w:bookmarkStart w:id="7" w:name="_Toc28359003"/>
      <w:r/>
      <w:bookmarkStart w:id="8" w:name="_Toc35393622"/>
      <w:r>
        <w:rPr>
          <w:rFonts w:hint="eastAsia"/>
          <w:b/>
          <w:bCs/>
          <w:sz w:val="24"/>
          <w:szCs w:val="28"/>
        </w:rPr>
        <w:t xml:space="preserve">二、申请人的资格要求：</w:t>
      </w:r>
      <w:bookmarkEnd w:id="5"/>
      <w:r/>
      <w:bookmarkEnd w:id="6"/>
      <w:r/>
      <w:bookmarkEnd w:id="7"/>
      <w:r/>
      <w:bookmarkEnd w:id="8"/>
      <w:r/>
      <w:r/>
    </w:p>
    <w:p>
      <w:pPr>
        <w:spacing w:line="360" w:lineRule="auto"/>
        <w:rPr>
          <w:rFonts w:ascii="宋体" w:hAnsi="宋体" w:cs="宋体"/>
          <w:sz w:val="24"/>
          <w:szCs w:val="28"/>
        </w:rPr>
      </w:pPr>
      <w:r>
        <w:rPr>
          <w:rFonts w:hint="eastAsia" w:ascii="宋体" w:hAnsi="宋体" w:cs="宋体"/>
          <w:sz w:val="24"/>
          <w:szCs w:val="28"/>
        </w:rPr>
        <w:t xml:space="preserve">1.满足《中华人民共和国政府采购法》第二十二条规定：</w:t>
      </w:r>
      <w:r/>
    </w:p>
    <w:p>
      <w:pPr>
        <w:spacing w:line="360" w:lineRule="auto"/>
        <w:rPr>
          <w:rFonts w:ascii="宋体" w:hAnsi="宋体" w:cs="宋体"/>
          <w:sz w:val="24"/>
          <w:szCs w:val="28"/>
        </w:rPr>
      </w:pPr>
      <w:r>
        <w:rPr>
          <w:rFonts w:hint="eastAsia" w:ascii="宋体" w:hAnsi="宋体" w:cs="宋体"/>
          <w:sz w:val="24"/>
          <w:szCs w:val="28"/>
        </w:rPr>
        <w:t xml:space="preserve">（1）具有独立承担民事责任的能力；</w:t>
      </w:r>
      <w:r/>
    </w:p>
    <w:p>
      <w:pPr>
        <w:spacing w:line="360" w:lineRule="auto"/>
        <w:rPr>
          <w:rFonts w:ascii="宋体" w:hAnsi="宋体" w:cs="宋体"/>
          <w:sz w:val="24"/>
          <w:szCs w:val="28"/>
        </w:rPr>
      </w:pPr>
      <w:r>
        <w:rPr>
          <w:rFonts w:hint="eastAsia" w:ascii="宋体" w:hAnsi="宋体" w:cs="宋体"/>
          <w:sz w:val="24"/>
          <w:szCs w:val="28"/>
        </w:rPr>
        <w:t xml:space="preserve">（2）具有良好的商业信誉和健全的财务会计制度；</w:t>
      </w:r>
      <w:r/>
    </w:p>
    <w:p>
      <w:pPr>
        <w:spacing w:line="360" w:lineRule="auto"/>
        <w:rPr>
          <w:rFonts w:ascii="宋体" w:hAnsi="宋体" w:cs="宋体"/>
          <w:sz w:val="24"/>
          <w:szCs w:val="28"/>
        </w:rPr>
      </w:pPr>
      <w:r>
        <w:rPr>
          <w:rFonts w:hint="eastAsia" w:ascii="宋体" w:hAnsi="宋体" w:cs="宋体"/>
          <w:sz w:val="24"/>
          <w:szCs w:val="28"/>
        </w:rPr>
        <w:t xml:space="preserve">（3）具有履行合同所必需的设备和专业技术能力；</w:t>
      </w:r>
      <w:r/>
    </w:p>
    <w:p>
      <w:pPr>
        <w:spacing w:line="360" w:lineRule="auto"/>
        <w:rPr>
          <w:rFonts w:ascii="宋体" w:hAnsi="宋体" w:cs="宋体"/>
          <w:sz w:val="24"/>
          <w:szCs w:val="28"/>
        </w:rPr>
      </w:pPr>
      <w:r>
        <w:rPr>
          <w:rFonts w:hint="eastAsia" w:ascii="宋体" w:hAnsi="宋体" w:cs="宋体"/>
          <w:sz w:val="24"/>
          <w:szCs w:val="28"/>
        </w:rPr>
        <w:t xml:space="preserve">（4）有依法缴纳税收和社会保障资金的良好记录；</w:t>
      </w:r>
      <w:r/>
    </w:p>
    <w:p>
      <w:pPr>
        <w:spacing w:line="360" w:lineRule="auto"/>
        <w:rPr>
          <w:rFonts w:ascii="宋体" w:hAnsi="宋体" w:cs="宋体"/>
          <w:sz w:val="24"/>
          <w:szCs w:val="28"/>
        </w:rPr>
      </w:pPr>
      <w:r>
        <w:rPr>
          <w:rFonts w:hint="eastAsia" w:ascii="宋体" w:hAnsi="宋体" w:cs="宋体"/>
          <w:sz w:val="24"/>
          <w:szCs w:val="28"/>
        </w:rPr>
        <w:t xml:space="preserve">（5）参加政府采购活动前三年内，在经营活动中没有重大违法记录；</w:t>
      </w:r>
      <w:r/>
    </w:p>
    <w:p>
      <w:pPr>
        <w:spacing w:line="360" w:lineRule="auto"/>
        <w:rPr>
          <w:rFonts w:ascii="宋体" w:hAnsi="宋体" w:cs="宋体"/>
          <w:sz w:val="24"/>
          <w:szCs w:val="28"/>
        </w:rPr>
      </w:pPr>
      <w:r>
        <w:rPr>
          <w:rFonts w:hint="eastAsia" w:ascii="宋体" w:hAnsi="宋体" w:cs="宋体"/>
          <w:sz w:val="24"/>
          <w:szCs w:val="28"/>
        </w:rPr>
        <w:t xml:space="preserve">（6）法律、行政法规规定的其他条件。</w:t>
      </w:r>
      <w:r/>
    </w:p>
    <w:p>
      <w:pPr>
        <w:spacing w:line="360" w:lineRule="auto"/>
        <w:rPr>
          <w:rFonts w:ascii="宋体" w:hAnsi="宋体" w:cs="宋体"/>
          <w:sz w:val="24"/>
          <w:szCs w:val="28"/>
        </w:rPr>
      </w:pPr>
      <w:r>
        <w:rPr>
          <w:rFonts w:hint="eastAsia" w:ascii="宋体" w:hAnsi="宋体" w:cs="宋体"/>
          <w:sz w:val="24"/>
          <w:szCs w:val="28"/>
        </w:rPr>
        <w:t xml:space="preserve">2.落实政府采购政策需满足的资格要求：本项目不专门面向中小微企业、监狱企业、残疾人福利性单位，对符合条件的小型和微型企业、残疾人福利性单位、监狱企业给予10%的扣除价格，用扣除后的价格参与评审。</w:t>
      </w:r>
      <w:r/>
    </w:p>
    <w:p>
      <w:pPr>
        <w:spacing w:line="360" w:lineRule="auto"/>
        <w:rPr>
          <w:rFonts w:ascii="宋体" w:hAnsi="宋体" w:cs="宋体"/>
          <w:sz w:val="24"/>
          <w:szCs w:val="28"/>
        </w:rPr>
      </w:pPr>
      <w:r>
        <w:rPr>
          <w:rFonts w:hint="eastAsia" w:ascii="宋体" w:hAnsi="宋体" w:cs="宋体"/>
          <w:sz w:val="24"/>
          <w:szCs w:val="28"/>
        </w:rPr>
        <w:t xml:space="preserve">3.本项目的特定资格要求：</w:t>
      </w:r>
      <w:r/>
    </w:p>
    <w:p>
      <w:pPr>
        <w:spacing w:line="360" w:lineRule="auto"/>
        <w:rPr>
          <w:rFonts w:ascii="宋体" w:hAnsi="宋体" w:cs="宋体"/>
          <w:sz w:val="24"/>
          <w:szCs w:val="28"/>
        </w:rPr>
      </w:pPr>
      <w:r>
        <w:rPr>
          <w:rFonts w:hint="eastAsia" w:ascii="宋体" w:hAnsi="宋体" w:cs="宋体"/>
          <w:sz w:val="24"/>
          <w:szCs w:val="28"/>
        </w:rPr>
        <w:t xml:space="preserve">（1）投标人须具备[电子与智能化工程专业承包二级]及以上资质，同时具备有效的安全生产许可证；</w:t>
      </w:r>
      <w:r/>
    </w:p>
    <w:p>
      <w:pPr>
        <w:spacing w:line="360" w:lineRule="auto"/>
        <w:rPr>
          <w:rFonts w:ascii="宋体" w:hAnsi="宋体" w:cs="宋体"/>
          <w:sz w:val="24"/>
          <w:szCs w:val="28"/>
        </w:rPr>
      </w:pPr>
      <w:r>
        <w:rPr>
          <w:rFonts w:hint="eastAsia" w:ascii="宋体" w:hAnsi="宋体" w:cs="宋体"/>
          <w:sz w:val="24"/>
          <w:szCs w:val="28"/>
        </w:rPr>
        <w:t xml:space="preserve">（2）本次招标接受联合体投标，联合体投标的，应满足下列要求：</w:t>
      </w:r>
      <w:r/>
    </w:p>
    <w:p>
      <w:pPr>
        <w:spacing w:line="360" w:lineRule="auto"/>
        <w:rPr>
          <w:rFonts w:ascii="宋体" w:hAnsi="宋体" w:cs="宋体"/>
          <w:sz w:val="24"/>
          <w:szCs w:val="28"/>
        </w:rPr>
      </w:pPr>
      <w:r>
        <w:rPr>
          <w:rFonts w:hint="eastAsia" w:ascii="宋体" w:hAnsi="宋体" w:cs="宋体"/>
          <w:sz w:val="24"/>
          <w:szCs w:val="28"/>
        </w:rPr>
        <w:t xml:space="preserve">①联合体数量不得超过3家；</w:t>
      </w:r>
      <w:r/>
    </w:p>
    <w:p>
      <w:pPr>
        <w:spacing w:line="360" w:lineRule="auto"/>
        <w:rPr>
          <w:rFonts w:ascii="宋体" w:hAnsi="宋体" w:cs="宋体"/>
          <w:sz w:val="24"/>
          <w:szCs w:val="28"/>
        </w:rPr>
      </w:pPr>
      <w:r>
        <w:rPr>
          <w:rFonts w:hint="eastAsia" w:ascii="宋体" w:hAnsi="宋体" w:cs="宋体"/>
          <w:sz w:val="24"/>
          <w:szCs w:val="28"/>
        </w:rPr>
        <w:t xml:space="preserve">②联合体的资格(资质)条件必须符合要求，并附有联合体协议书；</w:t>
      </w:r>
      <w:r/>
    </w:p>
    <w:p>
      <w:pPr>
        <w:spacing w:line="360" w:lineRule="auto"/>
        <w:rPr>
          <w:rFonts w:ascii="宋体" w:hAnsi="宋体" w:cs="宋体"/>
          <w:sz w:val="24"/>
          <w:szCs w:val="28"/>
        </w:rPr>
      </w:pPr>
      <w:r>
        <w:rPr>
          <w:rFonts w:hint="eastAsia" w:ascii="宋体" w:hAnsi="宋体" w:cs="宋体"/>
          <w:sz w:val="24"/>
          <w:szCs w:val="28"/>
        </w:rPr>
        <w:t xml:space="preserve">③授权委托人必须为联合体牵头人方面的人员，联合体牵头人负责报名、获取招标文件等事宜。</w:t>
      </w:r>
      <w:r/>
    </w:p>
    <w:p>
      <w:pPr>
        <w:spacing w:line="360" w:lineRule="auto"/>
        <w:rPr>
          <w:rFonts w:ascii="宋体" w:hAnsi="宋体" w:cs="宋体"/>
          <w:sz w:val="24"/>
          <w:szCs w:val="28"/>
        </w:rPr>
      </w:pPr>
      <w:r>
        <w:rPr>
          <w:rFonts w:hint="eastAsia" w:ascii="宋体" w:hAnsi="宋体" w:cs="宋体"/>
          <w:sz w:val="24"/>
          <w:szCs w:val="28"/>
        </w:rPr>
        <w:t xml:space="preserve">④投标文件中所有签字盖章只需联合体牵头人签字盖章(联合体协议书除外)。</w:t>
      </w:r>
      <w:r/>
    </w:p>
    <w:p>
      <w:pPr>
        <w:spacing w:line="360" w:lineRule="auto"/>
        <w:rPr>
          <w:rFonts w:ascii="宋体" w:hAnsi="宋体" w:cs="宋体"/>
          <w:sz w:val="24"/>
          <w:szCs w:val="28"/>
        </w:rPr>
      </w:pPr>
      <w:r>
        <w:rPr>
          <w:rFonts w:hint="eastAsia" w:ascii="宋体" w:hAnsi="宋体" w:cs="宋体"/>
          <w:sz w:val="24"/>
          <w:szCs w:val="28"/>
        </w:rPr>
        <w:t xml:space="preserve">（3）联合体各方均未被“信用中国”网站 (www.creditchina.gov.cn) 列入失信执行人、重大税收违法案件当事人名单、政府采购严重违法失信行为记录名单及其他不符合《中华人民共和国政府采购法》第二十二条规定条件的信用记录。</w:t>
      </w:r>
      <w:r/>
    </w:p>
    <w:p>
      <w:pPr>
        <w:spacing w:line="360" w:lineRule="auto"/>
        <w:rPr>
          <w:b/>
          <w:bCs/>
          <w:sz w:val="24"/>
          <w:szCs w:val="28"/>
        </w:rPr>
      </w:pPr>
      <w:r>
        <w:rPr>
          <w:rFonts w:hint="eastAsia"/>
          <w:b/>
          <w:bCs/>
          <w:sz w:val="24"/>
          <w:szCs w:val="28"/>
        </w:rPr>
        <w:t xml:space="preserve">三、获取招标文件</w:t>
      </w:r>
      <w:r/>
    </w:p>
    <w:p>
      <w:pPr>
        <w:spacing w:line="360" w:lineRule="auto"/>
        <w:rPr>
          <w:rFonts w:ascii="宋体" w:hAnsi="宋体" w:cs="宋体"/>
          <w:sz w:val="24"/>
          <w:szCs w:val="28"/>
        </w:rPr>
      </w:pPr>
      <w:r>
        <w:rPr>
          <w:rFonts w:hint="eastAsia" w:ascii="宋体" w:hAnsi="宋体" w:cs="宋体"/>
          <w:sz w:val="24"/>
          <w:szCs w:val="28"/>
        </w:rPr>
        <w:t xml:space="preserve">1.时间：2024年</w:t>
      </w:r>
      <w:r>
        <w:rPr>
          <w:rFonts w:ascii="宋体" w:hAnsi="宋体" w:cs="宋体"/>
          <w:sz w:val="24"/>
          <w:szCs w:val="28"/>
        </w:rPr>
        <w:t xml:space="preserve">7</w:t>
      </w:r>
      <w:r>
        <w:rPr>
          <w:rFonts w:hint="eastAsia" w:ascii="宋体" w:hAnsi="宋体" w:cs="宋体"/>
          <w:sz w:val="24"/>
          <w:szCs w:val="28"/>
        </w:rPr>
        <w:t xml:space="preserve">月</w:t>
      </w:r>
      <w:r>
        <w:rPr>
          <w:rFonts w:ascii="宋体" w:hAnsi="宋体" w:cs="宋体"/>
          <w:sz w:val="24"/>
          <w:szCs w:val="28"/>
        </w:rPr>
        <w:t xml:space="preserve">9</w:t>
      </w:r>
      <w:r>
        <w:rPr>
          <w:rFonts w:hint="eastAsia" w:ascii="宋体" w:hAnsi="宋体" w:cs="宋体"/>
          <w:sz w:val="24"/>
          <w:szCs w:val="28"/>
        </w:rPr>
        <w:t xml:space="preserve">日至 2024 年</w:t>
      </w:r>
      <w:r>
        <w:rPr>
          <w:rFonts w:ascii="宋体" w:hAnsi="宋体" w:cs="宋体"/>
          <w:sz w:val="24"/>
          <w:szCs w:val="28"/>
        </w:rPr>
        <w:t xml:space="preserve">7</w:t>
      </w:r>
      <w:r>
        <w:rPr>
          <w:rFonts w:hint="eastAsia" w:ascii="宋体" w:hAnsi="宋体" w:cs="宋体"/>
          <w:sz w:val="24"/>
          <w:szCs w:val="28"/>
        </w:rPr>
        <w:t xml:space="preserve">月</w:t>
      </w:r>
      <w:r>
        <w:rPr>
          <w:rFonts w:ascii="宋体" w:hAnsi="宋体" w:cs="宋体"/>
          <w:sz w:val="24"/>
          <w:szCs w:val="28"/>
        </w:rPr>
        <w:t xml:space="preserve">15</w:t>
      </w:r>
      <w:r>
        <w:rPr>
          <w:rFonts w:hint="eastAsia" w:ascii="宋体" w:hAnsi="宋体" w:cs="宋体"/>
          <w:sz w:val="24"/>
          <w:szCs w:val="28"/>
        </w:rPr>
        <w:t xml:space="preserve">日，每天上午</w:t>
      </w:r>
      <w:r>
        <w:rPr>
          <w:rFonts w:ascii="宋体" w:hAnsi="宋体" w:cs="宋体"/>
          <w:sz w:val="24"/>
          <w:szCs w:val="28"/>
        </w:rPr>
        <w:t xml:space="preserve">00</w:t>
      </w:r>
      <w:r>
        <w:rPr>
          <w:rFonts w:hint="eastAsia" w:ascii="宋体" w:hAnsi="宋体" w:cs="宋体"/>
          <w:sz w:val="24"/>
          <w:szCs w:val="28"/>
        </w:rPr>
        <w:t xml:space="preserve">：</w:t>
      </w:r>
      <w:r>
        <w:rPr>
          <w:rFonts w:ascii="宋体" w:hAnsi="宋体" w:cs="宋体"/>
          <w:sz w:val="24"/>
          <w:szCs w:val="28"/>
        </w:rPr>
        <w:t xml:space="preserve">00</w:t>
      </w:r>
      <w:r>
        <w:rPr>
          <w:rFonts w:hint="eastAsia" w:ascii="宋体" w:hAnsi="宋体" w:cs="宋体"/>
          <w:sz w:val="24"/>
          <w:szCs w:val="28"/>
        </w:rPr>
        <w:t xml:space="preserve">-12：0</w:t>
      </w:r>
      <w:r>
        <w:rPr>
          <w:rFonts w:ascii="宋体" w:hAnsi="宋体" w:cs="宋体"/>
          <w:sz w:val="24"/>
          <w:szCs w:val="28"/>
        </w:rPr>
        <w:t xml:space="preserve">0</w:t>
      </w:r>
      <w:r>
        <w:rPr>
          <w:rFonts w:hint="eastAsia" w:ascii="宋体" w:hAnsi="宋体" w:cs="宋体"/>
          <w:sz w:val="24"/>
          <w:szCs w:val="28"/>
        </w:rPr>
        <w:t xml:space="preserve">分，下午</w:t>
      </w:r>
      <w:r>
        <w:rPr>
          <w:rFonts w:ascii="宋体" w:hAnsi="宋体" w:cs="宋体"/>
          <w:sz w:val="24"/>
          <w:szCs w:val="28"/>
        </w:rPr>
        <w:t xml:space="preserve">12</w:t>
      </w:r>
      <w:r>
        <w:rPr>
          <w:rFonts w:hint="eastAsia" w:ascii="宋体" w:hAnsi="宋体" w:cs="宋体"/>
          <w:sz w:val="24"/>
          <w:szCs w:val="28"/>
        </w:rPr>
        <w:t xml:space="preserve">：0</w:t>
      </w:r>
      <w:r>
        <w:rPr>
          <w:rFonts w:ascii="宋体" w:hAnsi="宋体" w:cs="宋体"/>
          <w:sz w:val="24"/>
          <w:szCs w:val="28"/>
        </w:rPr>
        <w:t xml:space="preserve">0-23</w:t>
      </w:r>
      <w:r>
        <w:rPr>
          <w:rFonts w:hint="eastAsia" w:ascii="宋体" w:hAnsi="宋体" w:cs="宋体"/>
          <w:sz w:val="24"/>
          <w:szCs w:val="28"/>
        </w:rPr>
        <w:t xml:space="preserve">：5</w:t>
      </w:r>
      <w:r>
        <w:rPr>
          <w:rFonts w:ascii="宋体" w:hAnsi="宋体" w:cs="宋体"/>
          <w:sz w:val="24"/>
          <w:szCs w:val="28"/>
        </w:rPr>
        <w:t xml:space="preserve">9</w:t>
      </w:r>
      <w:r>
        <w:rPr>
          <w:rFonts w:hint="eastAsia" w:ascii="宋体" w:hAnsi="宋体" w:cs="宋体"/>
          <w:sz w:val="24"/>
          <w:szCs w:val="28"/>
        </w:rPr>
        <w:t xml:space="preserve">（北京时间，法定节假日除外）。</w:t>
      </w:r>
      <w:r/>
    </w:p>
    <w:p>
      <w:pPr>
        <w:spacing w:line="360" w:lineRule="auto"/>
        <w:rPr>
          <w:rFonts w:ascii="宋体" w:hAnsi="宋体" w:cs="宋体"/>
          <w:sz w:val="24"/>
          <w:szCs w:val="28"/>
        </w:rPr>
      </w:pPr>
      <w:r>
        <w:rPr>
          <w:rFonts w:hint="eastAsia" w:ascii="宋体" w:hAnsi="宋体" w:cs="宋体"/>
          <w:sz w:val="24"/>
          <w:szCs w:val="28"/>
        </w:rPr>
        <w:t xml:space="preserve">2.地点：供应商完成注册并办理CA证书后登录“江苏政府采购‘苏采云’系统”，下载本项目采购文件。</w:t>
      </w:r>
      <w:r/>
    </w:p>
    <w:p>
      <w:pPr>
        <w:spacing w:line="360" w:lineRule="auto"/>
        <w:rPr>
          <w:rFonts w:ascii="宋体" w:hAnsi="宋体" w:cs="宋体"/>
          <w:sz w:val="24"/>
          <w:szCs w:val="28"/>
        </w:rPr>
      </w:pPr>
      <w:r>
        <w:rPr>
          <w:rFonts w:hint="eastAsia" w:ascii="宋体" w:hAnsi="宋体" w:cs="宋体"/>
          <w:sz w:val="24"/>
          <w:szCs w:val="28"/>
        </w:rPr>
        <w:t xml:space="preserve">3.方式：登录“江苏政府采购‘苏采云’系统”</w:t>
      </w:r>
      <w:r/>
    </w:p>
    <w:p>
      <w:pPr>
        <w:spacing w:line="360" w:lineRule="auto"/>
        <w:rPr>
          <w:rFonts w:ascii="宋体" w:hAnsi="宋体" w:cs="宋体"/>
          <w:sz w:val="24"/>
          <w:szCs w:val="28"/>
        </w:rPr>
      </w:pPr>
      <w:r>
        <w:rPr>
          <w:rFonts w:hint="eastAsia" w:ascii="宋体" w:hAnsi="宋体" w:cs="宋体"/>
          <w:sz w:val="24"/>
          <w:szCs w:val="28"/>
        </w:rPr>
        <w:t xml:space="preserve">4.售价：0元</w:t>
      </w:r>
      <w:r/>
    </w:p>
    <w:p>
      <w:pPr>
        <w:spacing w:line="360" w:lineRule="auto"/>
        <w:rPr>
          <w:b/>
          <w:bCs/>
          <w:sz w:val="24"/>
          <w:szCs w:val="28"/>
        </w:rPr>
      </w:pPr>
      <w:r>
        <w:rPr>
          <w:rFonts w:hint="eastAsia"/>
          <w:b/>
          <w:bCs/>
          <w:sz w:val="24"/>
          <w:szCs w:val="28"/>
        </w:rPr>
        <w:t xml:space="preserve">四、提交投标文件截止时间、开标时间和地点</w:t>
      </w:r>
      <w:r/>
    </w:p>
    <w:p>
      <w:pPr>
        <w:spacing w:line="360" w:lineRule="auto"/>
        <w:rPr>
          <w:rFonts w:ascii="宋体" w:hAnsi="宋体" w:cs="宋体"/>
          <w:sz w:val="24"/>
          <w:szCs w:val="28"/>
        </w:rPr>
      </w:pPr>
      <w:r>
        <w:rPr>
          <w:rFonts w:hint="eastAsia" w:ascii="宋体" w:hAnsi="宋体" w:cs="宋体"/>
          <w:sz w:val="24"/>
          <w:szCs w:val="28"/>
        </w:rPr>
        <w:t xml:space="preserve">提交投标文件截止时间：2024年</w:t>
      </w:r>
      <w:r>
        <w:rPr>
          <w:rFonts w:ascii="宋体" w:hAnsi="宋体" w:cs="宋体"/>
          <w:sz w:val="24"/>
          <w:szCs w:val="28"/>
        </w:rPr>
        <w:t xml:space="preserve">7</w:t>
      </w:r>
      <w:r>
        <w:rPr>
          <w:rFonts w:hint="eastAsia" w:ascii="宋体" w:hAnsi="宋体" w:cs="宋体"/>
          <w:sz w:val="24"/>
          <w:szCs w:val="28"/>
        </w:rPr>
        <w:t xml:space="preserve">月</w:t>
      </w:r>
      <w:r>
        <w:rPr>
          <w:rFonts w:ascii="宋体" w:hAnsi="宋体" w:cs="宋体"/>
          <w:sz w:val="24"/>
          <w:szCs w:val="28"/>
        </w:rPr>
        <w:t xml:space="preserve">29</w:t>
      </w:r>
      <w:r>
        <w:rPr>
          <w:rFonts w:hint="eastAsia" w:ascii="宋体" w:hAnsi="宋体" w:cs="宋体"/>
          <w:sz w:val="24"/>
          <w:szCs w:val="28"/>
        </w:rPr>
        <w:t xml:space="preserve">日 </w:t>
      </w:r>
      <w:r>
        <w:rPr>
          <w:rFonts w:ascii="宋体" w:hAnsi="宋体" w:cs="宋体"/>
          <w:sz w:val="24"/>
          <w:szCs w:val="28"/>
        </w:rPr>
        <w:t xml:space="preserve">09</w:t>
      </w:r>
      <w:r>
        <w:rPr>
          <w:rFonts w:hint="eastAsia" w:ascii="宋体" w:hAnsi="宋体" w:cs="宋体"/>
          <w:sz w:val="24"/>
          <w:szCs w:val="28"/>
        </w:rPr>
        <w:t xml:space="preserve">：0</w:t>
      </w:r>
      <w:r>
        <w:rPr>
          <w:rFonts w:ascii="宋体" w:hAnsi="宋体" w:cs="宋体"/>
          <w:sz w:val="24"/>
          <w:szCs w:val="28"/>
        </w:rPr>
        <w:t xml:space="preserve">0</w:t>
      </w:r>
      <w:r>
        <w:rPr>
          <w:rFonts w:hint="eastAsia" w:ascii="宋体" w:hAnsi="宋体" w:cs="宋体"/>
          <w:sz w:val="24"/>
          <w:szCs w:val="28"/>
        </w:rPr>
        <w:t xml:space="preserve"> （北京时间）</w:t>
      </w:r>
      <w:r/>
    </w:p>
    <w:p>
      <w:pPr>
        <w:spacing w:line="360" w:lineRule="auto"/>
        <w:rPr>
          <w:rFonts w:ascii="宋体" w:hAnsi="宋体" w:cs="宋体"/>
          <w:sz w:val="24"/>
          <w:szCs w:val="28"/>
        </w:rPr>
      </w:pPr>
      <w:r/>
      <w:bookmarkStart w:id="9" w:name="_Hlk133571117"/>
      <w:r/>
      <w:bookmarkEnd w:id="9"/>
      <w:r>
        <w:rPr>
          <w:rFonts w:hint="eastAsia" w:ascii="宋体" w:hAnsi="宋体" w:cs="宋体"/>
          <w:sz w:val="24"/>
          <w:szCs w:val="28"/>
        </w:rPr>
        <w:t xml:space="preserve">开标时间：2024年</w:t>
      </w:r>
      <w:r>
        <w:rPr>
          <w:rFonts w:ascii="宋体" w:hAnsi="宋体" w:cs="宋体"/>
          <w:sz w:val="24"/>
          <w:szCs w:val="28"/>
        </w:rPr>
        <w:t xml:space="preserve">7</w:t>
      </w:r>
      <w:r>
        <w:rPr>
          <w:rFonts w:hint="eastAsia" w:ascii="宋体" w:hAnsi="宋体" w:cs="宋体"/>
          <w:sz w:val="24"/>
          <w:szCs w:val="28"/>
        </w:rPr>
        <w:t xml:space="preserve">月</w:t>
      </w:r>
      <w:r>
        <w:rPr>
          <w:rFonts w:ascii="宋体" w:hAnsi="宋体" w:cs="宋体"/>
          <w:sz w:val="24"/>
          <w:szCs w:val="28"/>
        </w:rPr>
        <w:t xml:space="preserve">29</w:t>
      </w:r>
      <w:r>
        <w:rPr>
          <w:rFonts w:hint="eastAsia" w:ascii="宋体" w:hAnsi="宋体" w:cs="宋体"/>
          <w:sz w:val="24"/>
          <w:szCs w:val="28"/>
        </w:rPr>
        <w:t xml:space="preserve">日 </w:t>
      </w:r>
      <w:r>
        <w:rPr>
          <w:rFonts w:ascii="宋体" w:hAnsi="宋体" w:cs="宋体"/>
          <w:sz w:val="24"/>
          <w:szCs w:val="28"/>
        </w:rPr>
        <w:t xml:space="preserve">09</w:t>
      </w:r>
      <w:r>
        <w:rPr>
          <w:rFonts w:hint="eastAsia" w:ascii="宋体" w:hAnsi="宋体" w:cs="宋体"/>
          <w:sz w:val="24"/>
          <w:szCs w:val="28"/>
        </w:rPr>
        <w:t xml:space="preserve">：0</w:t>
      </w:r>
      <w:r>
        <w:rPr>
          <w:rFonts w:ascii="宋体" w:hAnsi="宋体" w:cs="宋体"/>
          <w:sz w:val="24"/>
          <w:szCs w:val="28"/>
        </w:rPr>
        <w:t xml:space="preserve">0</w:t>
      </w:r>
      <w:r>
        <w:rPr>
          <w:rFonts w:hint="eastAsia" w:ascii="宋体" w:hAnsi="宋体" w:cs="宋体"/>
          <w:sz w:val="24"/>
          <w:szCs w:val="28"/>
        </w:rPr>
        <w:t xml:space="preserve">（北京时间）</w:t>
      </w:r>
      <w:r/>
    </w:p>
    <w:p>
      <w:pPr>
        <w:spacing w:line="360" w:lineRule="auto"/>
        <w:rPr>
          <w:rFonts w:ascii="宋体" w:hAnsi="宋体" w:cs="宋体"/>
          <w:sz w:val="24"/>
          <w:szCs w:val="28"/>
        </w:rPr>
      </w:pPr>
      <w:r>
        <w:rPr>
          <w:rFonts w:hint="eastAsia" w:ascii="宋体" w:hAnsi="宋体" w:cs="宋体"/>
          <w:sz w:val="24"/>
          <w:szCs w:val="28"/>
        </w:rPr>
        <w:t xml:space="preserve">地点：江苏政府采购“苏采云”系统不见面开标大厅。</w:t>
      </w:r>
      <w:r/>
    </w:p>
    <w:p>
      <w:pPr>
        <w:spacing w:line="360" w:lineRule="auto"/>
        <w:rPr>
          <w:b/>
          <w:bCs/>
          <w:sz w:val="24"/>
          <w:szCs w:val="28"/>
        </w:rPr>
      </w:pPr>
      <w:r>
        <w:rPr>
          <w:rFonts w:hint="eastAsia"/>
          <w:b/>
          <w:bCs/>
          <w:sz w:val="24"/>
          <w:szCs w:val="28"/>
        </w:rPr>
        <w:t xml:space="preserve">五、公告期限</w:t>
      </w:r>
      <w:r/>
    </w:p>
    <w:p>
      <w:pPr>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spacing w:line="360" w:lineRule="auto"/>
        <w:rPr>
          <w:b/>
          <w:bCs/>
          <w:sz w:val="24"/>
          <w:szCs w:val="28"/>
        </w:rPr>
      </w:pPr>
      <w:r>
        <w:rPr>
          <w:rFonts w:hint="eastAsia"/>
          <w:b/>
          <w:bCs/>
          <w:sz w:val="24"/>
          <w:szCs w:val="28"/>
        </w:rPr>
        <w:t xml:space="preserve">六、其他补充事宜</w:t>
      </w:r>
      <w:r/>
    </w:p>
    <w:p>
      <w:pPr>
        <w:spacing w:line="360" w:lineRule="auto"/>
        <w:rPr>
          <w:rFonts w:hint="eastAsia" w:ascii="宋体" w:hAnsi="宋体" w:cs="宋体"/>
          <w:sz w:val="24"/>
          <w:szCs w:val="24"/>
          <w:highlight w:val="none"/>
        </w:rPr>
      </w:pPr>
      <w:r>
        <w:rPr>
          <w:rFonts w:hint="eastAsia" w:ascii="宋体" w:hAnsi="宋体" w:cs="宋体"/>
          <w:sz w:val="24"/>
          <w:szCs w:val="28"/>
        </w:rPr>
        <w:t xml:space="preserve">如在制作电子投标文件中有任何疑问，请拨打电子化政府采购技术支持电话：0523-86897512。</w:t>
      </w:r>
      <w:r/>
    </w:p>
    <w:p>
      <w:pPr>
        <w:spacing w:line="360" w:lineRule="auto"/>
      </w:pPr>
      <w:r>
        <w:rPr>
          <w:rFonts w:hint="eastAsia" w:ascii="宋体" w:hAnsi="宋体" w:cs="宋体"/>
          <w:sz w:val="24"/>
          <w:szCs w:val="28"/>
        </w:rPr>
        <w:t xml:space="preserve">注意事项：本项目采用网上注册登记方式。</w:t>
      </w:r>
      <w:r>
        <w:rPr>
          <w:rFonts w:ascii="宋体" w:hAnsi="宋体" w:cs="宋体"/>
          <w:sz w:val="24"/>
          <w:szCs w:val="28"/>
        </w:rPr>
      </w:r>
      <w:r/>
    </w:p>
    <w:p>
      <w:pPr>
        <w:spacing w:line="360" w:lineRule="auto"/>
      </w:pPr>
      <w:r>
        <w:rPr>
          <w:rFonts w:hint="eastAsia" w:ascii="宋体" w:hAnsi="宋体" w:cs="宋体"/>
          <w:sz w:val="24"/>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szCs w:val="28"/>
        </w:rPr>
      </w:r>
      <w:r/>
    </w:p>
    <w:p>
      <w:pPr>
        <w:spacing w:line="360" w:lineRule="auto"/>
      </w:pPr>
      <w:r>
        <w:rPr>
          <w:rFonts w:hint="eastAsia" w:ascii="宋体" w:hAnsi="宋体" w:cs="宋体"/>
          <w:sz w:val="24"/>
          <w:szCs w:val="28"/>
        </w:rPr>
        <w:t xml:space="preserve">（2）潜在投标人访问“苏采云”系统的网络地址和方法：“苏采云”系统的网址：http://jszfcg.jsczt.cn/，点击“苏采云”进入系统。</w:t>
      </w:r>
      <w:r>
        <w:rPr>
          <w:rFonts w:ascii="宋体" w:hAnsi="宋体" w:cs="宋体"/>
          <w:sz w:val="24"/>
          <w:szCs w:val="28"/>
        </w:rPr>
      </w:r>
      <w:r/>
    </w:p>
    <w:p>
      <w:pPr>
        <w:spacing w:line="360" w:lineRule="auto"/>
      </w:pPr>
      <w:r>
        <w:rPr>
          <w:rFonts w:hint="eastAsia" w:ascii="宋体" w:hAnsi="宋体" w:cs="宋体"/>
          <w:sz w:val="24"/>
          <w:szCs w:val="28"/>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rPr>
          <w:rFonts w:ascii="宋体" w:hAnsi="宋体" w:cs="宋体"/>
          <w:sz w:val="24"/>
          <w:szCs w:val="28"/>
        </w:rPr>
      </w:r>
      <w:r/>
    </w:p>
    <w:p>
      <w:pPr>
        <w:spacing w:line="360" w:lineRule="auto"/>
        <w:rPr>
          <w:rFonts w:ascii="宋体" w:hAnsi="宋体" w:cs="宋体"/>
          <w:sz w:val="24"/>
          <w:szCs w:val="24"/>
        </w:rPr>
      </w:pPr>
      <w:r>
        <w:rPr>
          <w:rFonts w:hint="eastAsia" w:ascii="宋体" w:hAnsi="宋体" w:cs="宋体"/>
          <w:sz w:val="24"/>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rFonts w:hint="eastAsia" w:ascii="宋体" w:hAnsi="宋体" w:cs="宋体"/>
          <w:sz w:val="24"/>
          <w:szCs w:val="28"/>
          <w:highlight w:val="none"/>
        </w:rPr>
      </w:r>
      <w:r/>
    </w:p>
    <w:p>
      <w:pPr>
        <w:spacing w:line="360" w:lineRule="auto"/>
        <w:rPr>
          <w:b/>
          <w:bCs/>
          <w:sz w:val="24"/>
          <w:szCs w:val="28"/>
        </w:rPr>
      </w:pPr>
      <w:r>
        <w:rPr>
          <w:rFonts w:hint="eastAsia"/>
          <w:b/>
          <w:bCs/>
          <w:sz w:val="24"/>
          <w:szCs w:val="28"/>
        </w:rPr>
        <w:t xml:space="preserve">七、对本次招标提出询问，请按以下方式联系</w:t>
      </w:r>
      <w:r/>
    </w:p>
    <w:p>
      <w:pPr>
        <w:spacing w:line="360" w:lineRule="auto"/>
        <w:rPr>
          <w:rFonts w:ascii="宋体" w:hAnsi="宋体" w:cs="宋体"/>
          <w:sz w:val="24"/>
          <w:szCs w:val="28"/>
        </w:rPr>
      </w:pPr>
      <w:r>
        <w:rPr>
          <w:rFonts w:hint="eastAsia" w:ascii="宋体" w:hAnsi="宋体" w:cs="宋体"/>
          <w:sz w:val="24"/>
          <w:szCs w:val="28"/>
        </w:rPr>
        <w:t xml:space="preserve">1.采购人信息</w:t>
      </w:r>
      <w:r/>
    </w:p>
    <w:p>
      <w:pPr>
        <w:spacing w:line="360" w:lineRule="auto"/>
        <w:rPr>
          <w:rFonts w:ascii="宋体" w:hAnsi="宋体" w:cs="宋体"/>
          <w:sz w:val="24"/>
          <w:szCs w:val="28"/>
        </w:rPr>
      </w:pPr>
      <w:r>
        <w:rPr>
          <w:rFonts w:hint="eastAsia" w:ascii="宋体" w:hAnsi="宋体" w:cs="宋体"/>
          <w:sz w:val="24"/>
          <w:szCs w:val="28"/>
        </w:rPr>
        <w:t xml:space="preserve">名 称：泰州市海陵区市场监督管理局</w:t>
      </w:r>
      <w:r/>
    </w:p>
    <w:p>
      <w:pPr>
        <w:spacing w:line="360" w:lineRule="auto"/>
        <w:rPr>
          <w:rFonts w:ascii="宋体" w:hAnsi="宋体" w:cs="宋体"/>
          <w:sz w:val="24"/>
          <w:szCs w:val="28"/>
        </w:rPr>
      </w:pPr>
      <w:r>
        <w:rPr>
          <w:rFonts w:hint="eastAsia" w:ascii="宋体" w:hAnsi="宋体" w:cs="宋体"/>
          <w:sz w:val="24"/>
          <w:szCs w:val="28"/>
        </w:rPr>
        <w:t xml:space="preserve">地址：泰州市海陵区南通路230号</w:t>
      </w:r>
      <w:r/>
    </w:p>
    <w:p>
      <w:pPr>
        <w:spacing w:line="360" w:lineRule="auto"/>
        <w:rPr>
          <w:rFonts w:ascii="宋体" w:hAnsi="宋体" w:cs="宋体"/>
          <w:sz w:val="24"/>
          <w:szCs w:val="28"/>
        </w:rPr>
      </w:pPr>
      <w:r>
        <w:rPr>
          <w:rFonts w:hint="eastAsia" w:ascii="宋体" w:hAnsi="宋体" w:cs="宋体"/>
          <w:sz w:val="24"/>
          <w:szCs w:val="28"/>
        </w:rPr>
        <w:t xml:space="preserve">联系人：李先生</w:t>
      </w:r>
      <w:r/>
    </w:p>
    <w:p>
      <w:pPr>
        <w:spacing w:line="360" w:lineRule="auto"/>
        <w:rPr>
          <w:rFonts w:ascii="宋体" w:hAnsi="宋体" w:cs="宋体"/>
          <w:sz w:val="24"/>
          <w:szCs w:val="28"/>
        </w:rPr>
      </w:pPr>
      <w:r>
        <w:rPr>
          <w:rFonts w:hint="eastAsia" w:ascii="宋体" w:hAnsi="宋体" w:cs="宋体"/>
          <w:sz w:val="24"/>
          <w:szCs w:val="28"/>
        </w:rPr>
        <w:t xml:space="preserve">联系方式：0523-86998995</w:t>
      </w:r>
      <w:r/>
    </w:p>
    <w:p>
      <w:pPr>
        <w:spacing w:line="360" w:lineRule="auto"/>
        <w:rPr>
          <w:rFonts w:ascii="宋体" w:hAnsi="宋体" w:cs="宋体"/>
          <w:sz w:val="24"/>
          <w:szCs w:val="28"/>
        </w:rPr>
      </w:pPr>
      <w:r>
        <w:rPr>
          <w:rFonts w:hint="eastAsia" w:ascii="宋体" w:hAnsi="宋体" w:cs="宋体"/>
          <w:sz w:val="24"/>
          <w:szCs w:val="28"/>
        </w:rPr>
        <w:t xml:space="preserve">2.代理机构信息</w:t>
      </w:r>
      <w:r/>
    </w:p>
    <w:p>
      <w:pPr>
        <w:spacing w:line="360" w:lineRule="auto"/>
        <w:rPr>
          <w:rFonts w:ascii="宋体" w:hAnsi="宋体" w:cs="宋体"/>
          <w:sz w:val="24"/>
          <w:szCs w:val="28"/>
        </w:rPr>
      </w:pPr>
      <w:r>
        <w:rPr>
          <w:rFonts w:hint="eastAsia" w:ascii="宋体" w:hAnsi="宋体" w:cs="宋体"/>
          <w:sz w:val="24"/>
          <w:szCs w:val="28"/>
        </w:rPr>
        <w:t xml:space="preserve">名 称：扬州诺浩工程咨询有限公司</w:t>
      </w:r>
      <w:r/>
    </w:p>
    <w:p>
      <w:pPr>
        <w:spacing w:line="360" w:lineRule="auto"/>
        <w:rPr>
          <w:rFonts w:ascii="宋体" w:hAnsi="宋体" w:cs="宋体"/>
          <w:sz w:val="24"/>
          <w:szCs w:val="28"/>
        </w:rPr>
      </w:pPr>
      <w:r>
        <w:rPr>
          <w:rFonts w:hint="eastAsia" w:ascii="宋体" w:hAnsi="宋体" w:cs="宋体"/>
          <w:sz w:val="24"/>
          <w:szCs w:val="28"/>
        </w:rPr>
        <w:t xml:space="preserve">地址：泰州市凤凰西路创美科技产业园18栋1601</w:t>
      </w:r>
      <w:r/>
    </w:p>
    <w:p>
      <w:pPr>
        <w:spacing w:line="360" w:lineRule="auto"/>
        <w:rPr>
          <w:rFonts w:ascii="宋体" w:hAnsi="宋体" w:cs="宋体"/>
          <w:sz w:val="24"/>
          <w:szCs w:val="28"/>
        </w:rPr>
      </w:pPr>
      <w:r>
        <w:rPr>
          <w:rFonts w:hint="eastAsia" w:ascii="宋体" w:hAnsi="宋体" w:cs="宋体"/>
          <w:sz w:val="24"/>
          <w:szCs w:val="28"/>
        </w:rPr>
        <w:t xml:space="preserve">联系人：姜女士</w:t>
      </w:r>
      <w:r/>
    </w:p>
    <w:p>
      <w:pPr>
        <w:spacing w:line="360" w:lineRule="auto"/>
        <w:rPr>
          <w:rFonts w:ascii="宋体" w:hAnsi="宋体" w:cs="宋体"/>
          <w:sz w:val="24"/>
          <w:szCs w:val="28"/>
        </w:rPr>
      </w:pPr>
      <w:r>
        <w:rPr>
          <w:rFonts w:hint="eastAsia" w:ascii="宋体" w:hAnsi="宋体" w:cs="宋体"/>
          <w:sz w:val="24"/>
          <w:szCs w:val="28"/>
        </w:rPr>
        <w:t xml:space="preserve">联系方式：</w:t>
      </w:r>
      <w:r>
        <w:rPr>
          <w:rFonts w:hint="eastAsia" w:ascii="宋体" w:hAnsi="宋体" w:cs="宋体"/>
          <w:sz w:val="24"/>
          <w:szCs w:val="24"/>
        </w:rPr>
        <w:t xml:space="preserve">0523-86211688</w:t>
      </w:r>
      <w:r/>
    </w:p>
    <w:p>
      <w:pPr>
        <w:rPr>
          <w:b/>
          <w:bCs/>
          <w:sz w:val="32"/>
          <w:szCs w:val="36"/>
        </w:rPr>
      </w:pPr>
      <w:r/>
      <w:bookmarkStart w:id="10" w:name="_Toc30574"/>
      <w:r>
        <w:rPr>
          <w:rFonts w:hint="eastAsia"/>
          <w:b/>
          <w:bCs/>
          <w:sz w:val="32"/>
          <w:szCs w:val="36"/>
        </w:rPr>
      </w:r>
      <w:r/>
    </w:p>
    <w:p>
      <w:pPr>
        <w:jc w:val="center"/>
        <w:rPr>
          <w:b/>
          <w:bCs/>
          <w:sz w:val="32"/>
          <w:szCs w:val="36"/>
          <w:lang w:val="zh-CN"/>
        </w:rPr>
      </w:pPr>
      <w:r>
        <w:rPr>
          <w:rFonts w:hint="eastAsia" w:ascii="黑体" w:hAnsi="华文中宋" w:eastAsia="黑体"/>
          <w:bCs/>
          <w:sz w:val="32"/>
          <w:szCs w:val="30"/>
        </w:rPr>
        <w:t xml:space="preserve">第二章 </w:t>
      </w:r>
      <w:r>
        <w:rPr>
          <w:rFonts w:hint="eastAsia"/>
          <w:b/>
          <w:bCs/>
          <w:sz w:val="32"/>
          <w:szCs w:val="36"/>
        </w:rPr>
        <w:t xml:space="preserve">投标人须知</w:t>
      </w:r>
      <w:bookmarkEnd w:id="10"/>
      <w:r/>
      <w:r/>
    </w:p>
    <w:p>
      <w:pPr>
        <w:ind w:firstLine="480"/>
        <w:jc w:val="left"/>
        <w:spacing w:line="360" w:lineRule="auto"/>
        <w:rPr>
          <w:rFonts w:ascii="宋体" w:hAnsi="宋体" w:cs="宋体"/>
          <w:bCs/>
          <w:sz w:val="24"/>
          <w:szCs w:val="24"/>
        </w:rPr>
      </w:pPr>
      <w:r/>
      <w:bookmarkStart w:id="11" w:name="_Toc3420"/>
      <w:r/>
      <w:bookmarkStart w:id="12" w:name="_Toc360695595"/>
      <w:r>
        <w:rPr>
          <w:rFonts w:hint="eastAsia" w:ascii="宋体" w:hAnsi="宋体" w:cs="宋体"/>
          <w:bCs/>
          <w:sz w:val="24"/>
          <w:szCs w:val="24"/>
        </w:rPr>
        <w:t xml:space="preserve">一、遵循原则</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公开透明原则、公平竞争原则、公正原则和诚实信用原则。</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二、采购文件</w:t>
      </w:r>
      <w:r/>
    </w:p>
    <w:p>
      <w:pPr>
        <w:ind w:firstLine="480"/>
        <w:jc w:val="left"/>
        <w:spacing w:line="360" w:lineRule="auto"/>
        <w:tabs>
          <w:tab w:val="left" w:pos="-1260" w:leader="none"/>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1．采购文件包括本文件目录所列全部内容，投标人应仔细阅读，并在投标文件中充分响应采购文件的所有要求。</w:t>
      </w:r>
      <w:r/>
    </w:p>
    <w:p>
      <w:pPr>
        <w:ind w:firstLine="480"/>
        <w:jc w:val="left"/>
        <w:spacing w:line="360" w:lineRule="auto"/>
        <w:tabs>
          <w:tab w:val="left" w:pos="0" w:leader="none"/>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2．采购文件中的“法定代表人”是指投标人的营业执照或相关部门的登记证明文件中的“法定代表人”或“负责人”。</w:t>
      </w:r>
      <w:r>
        <w:rPr>
          <w:rFonts w:hint="eastAsia" w:ascii="宋体" w:hAnsi="宋体" w:cs="宋体"/>
          <w:bCs/>
          <w:sz w:val="24"/>
        </w:rPr>
        <w:t xml:space="preserve">采购文件中的“采购人”是指</w:t>
      </w:r>
      <w:r>
        <w:rPr>
          <w:rFonts w:hint="eastAsia" w:ascii="宋体" w:hAnsi="宋体" w:cs="宋体"/>
          <w:sz w:val="24"/>
          <w:szCs w:val="28"/>
        </w:rPr>
        <w:t xml:space="preserve">泰州市海陵区市场监督管理局</w:t>
      </w:r>
      <w:r>
        <w:rPr>
          <w:rFonts w:hint="eastAsia" w:ascii="宋体" w:hAnsi="宋体" w:cs="宋体"/>
          <w:bCs/>
          <w:sz w:val="24"/>
        </w:rPr>
        <w:t xml:space="preserve">，“代理公司”是指扬州诺浩工程咨询有限公司，“投标人”是指参加本项目的投标单位。</w:t>
      </w:r>
      <w:r/>
    </w:p>
    <w:p>
      <w:pPr>
        <w:ind w:firstLine="480"/>
        <w:jc w:val="left"/>
        <w:spacing w:line="360" w:lineRule="auto"/>
        <w:tabs>
          <w:tab w:val="left" w:pos="0" w:leader="none"/>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3．投标人应在江苏省政府采购管理交易系统（苏采云）获取采购文件（http://jszfcg.jsczt.cn/），按采购文件要求提交全部资料并对采购文件各项内容作出实质性响应，否则投标无效。</w:t>
      </w:r>
      <w:r/>
    </w:p>
    <w:p>
      <w:pPr>
        <w:ind w:firstLine="480"/>
        <w:jc w:val="left"/>
        <w:spacing w:line="360" w:lineRule="auto"/>
        <w:tabs>
          <w:tab w:val="left" w:pos="0" w:leader="none"/>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4．采购文件仅作为本次招投标使用。</w:t>
      </w:r>
      <w:r/>
    </w:p>
    <w:p>
      <w:pPr>
        <w:ind w:firstLine="480"/>
        <w:jc w:val="left"/>
        <w:spacing w:line="360" w:lineRule="auto"/>
        <w:tabs>
          <w:tab w:val="left" w:pos="630" w:leader="none"/>
        </w:tabs>
        <w:rPr>
          <w:rFonts w:ascii="宋体" w:hAnsi="宋体" w:cs="宋体"/>
          <w:bCs/>
          <w:sz w:val="24"/>
          <w:szCs w:val="24"/>
        </w:rPr>
      </w:pPr>
      <w:r>
        <w:rPr>
          <w:rFonts w:hint="eastAsia" w:ascii="宋体" w:hAnsi="宋体" w:cs="宋体"/>
          <w:bCs/>
          <w:sz w:val="24"/>
          <w:szCs w:val="24"/>
        </w:rPr>
        <w:t xml:space="preserve">三、 采购文件的解释</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本文件的最终解释权归采购人。</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四、采购文件的补充或修正</w:t>
      </w:r>
      <w:r/>
    </w:p>
    <w:p>
      <w:pPr>
        <w:ind w:left="1"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color w:val="000000"/>
          <w:sz w:val="24"/>
          <w:szCs w:val="24"/>
        </w:rPr>
        <w:t xml:space="preserve">1．</w:t>
      </w:r>
      <w:r>
        <w:rPr>
          <w:rFonts w:hint="eastAsia" w:ascii="宋体" w:hAnsi="宋体" w:cs="宋体"/>
          <w:bCs/>
          <w:sz w:val="24"/>
          <w:szCs w:val="24"/>
        </w:rPr>
        <w:t xml:space="preserve">代理公司可在投标截止时间十五日前对采购文件进行必要的澄清或者修改，不足15日的，将顺延提交投标文件的截止时间。</w:t>
      </w:r>
      <w:r/>
    </w:p>
    <w:p>
      <w:pPr>
        <w:ind w:left="1"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潜在投标人对采购文件项目需求部分的询问、质疑请向采购人提出，由采购人负责答复。</w:t>
      </w:r>
      <w:r/>
    </w:p>
    <w:p>
      <w:pPr>
        <w:ind w:left="1"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color w:val="000000"/>
          <w:sz w:val="24"/>
          <w:szCs w:val="24"/>
        </w:rPr>
        <w:t xml:space="preserve">3．</w:t>
      </w:r>
      <w:r>
        <w:rPr>
          <w:rFonts w:hint="eastAsia" w:ascii="宋体" w:hAnsi="宋体" w:cs="宋体"/>
          <w:bCs/>
          <w:sz w:val="24"/>
          <w:szCs w:val="24"/>
        </w:rPr>
        <w:t xml:space="preserve">如需对采购文件进行澄清或修正，代理公司将在泰州市政府采购网和江苏省政府采购网发布更正公告，该澄清或修正的内容为采购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五、 投标文件的组成</w:t>
      </w:r>
      <w:r/>
    </w:p>
    <w:p>
      <w:pPr>
        <w:ind w:left="1"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p>
    <w:p>
      <w:pPr>
        <w:ind w:left="1"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2.资格、资信证明文件：</w:t>
      </w:r>
      <w:r/>
    </w:p>
    <w:p>
      <w:pPr>
        <w:pStyle w:val="765"/>
        <w:numPr>
          <w:ilvl w:val="1"/>
          <w:numId w:val="0"/>
        </w:numPr>
        <w:ind w:firstLine="480"/>
        <w:jc w:val="left"/>
        <w:spacing w:line="360" w:lineRule="auto"/>
        <w:tabs>
          <w:tab w:val="left" w:pos="1276" w:leader="none"/>
        </w:tabs>
        <w:rPr>
          <w:rFonts w:ascii="宋体" w:hAnsi="宋体" w:cs="宋体"/>
          <w:bCs/>
          <w:sz w:val="24"/>
        </w:rPr>
      </w:pPr>
      <w:r>
        <w:rPr>
          <w:rFonts w:hint="eastAsia" w:ascii="宋体" w:hAnsi="宋体" w:cs="宋体"/>
          <w:bCs/>
          <w:sz w:val="24"/>
        </w:rPr>
        <w:t xml:space="preserve">（1）关于资格的声明函（</w:t>
      </w:r>
      <w:r>
        <w:rPr>
          <w:rFonts w:hint="eastAsia" w:ascii="宋体" w:hAnsi="宋体" w:cs="宋体"/>
          <w:b/>
          <w:bCs/>
          <w:sz w:val="24"/>
        </w:rPr>
        <w:t xml:space="preserve">格式见附件</w:t>
      </w:r>
      <w:r>
        <w:rPr>
          <w:rFonts w:hint="eastAsia" w:ascii="宋体" w:hAnsi="宋体" w:cs="宋体"/>
          <w:bCs/>
          <w:sz w:val="24"/>
        </w:rPr>
        <w:t xml:space="preserve">）</w:t>
      </w:r>
      <w:r/>
    </w:p>
    <w:p>
      <w:pPr>
        <w:pStyle w:val="765"/>
        <w:numPr>
          <w:ilvl w:val="1"/>
          <w:numId w:val="0"/>
        </w:numPr>
        <w:ind w:firstLine="567"/>
        <w:jc w:val="left"/>
        <w:spacing w:line="360" w:lineRule="auto"/>
        <w:tabs>
          <w:tab w:val="left" w:pos="1276" w:leader="none"/>
        </w:tabs>
        <w:rPr>
          <w:rFonts w:ascii="宋体" w:hAnsi="宋体" w:cs="宋体"/>
          <w:bCs/>
          <w:sz w:val="24"/>
        </w:rPr>
      </w:pPr>
      <w:r>
        <w:rPr>
          <w:rFonts w:hint="eastAsia" w:ascii="宋体" w:hAnsi="宋体" w:cs="宋体"/>
          <w:bCs/>
          <w:sz w:val="24"/>
        </w:rPr>
        <w:t xml:space="preserve">（2）具有营业执照或相关部门的登记证明原件扫描件；</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（3）投标人法定代表人授权委托书</w:t>
      </w:r>
      <w:r>
        <w:rPr>
          <w:rFonts w:hint="eastAsia" w:ascii="宋体" w:hAnsi="宋体" w:cs="宋体"/>
          <w:sz w:val="24"/>
          <w:szCs w:val="24"/>
        </w:rPr>
        <w:t xml:space="preserve">（</w:t>
      </w:r>
      <w:r>
        <w:rPr>
          <w:rFonts w:hint="eastAsia" w:ascii="宋体" w:hAnsi="宋体" w:cs="宋体"/>
          <w:b/>
          <w:bCs/>
          <w:sz w:val="24"/>
          <w:szCs w:val="24"/>
        </w:rPr>
        <w:t xml:space="preserve">格式见附件，法定代表人亲自参加投标的除外</w:t>
      </w:r>
      <w:r>
        <w:rPr>
          <w:rFonts w:hint="eastAsia" w:ascii="宋体" w:hAnsi="宋体" w:cs="宋体"/>
          <w:sz w:val="24"/>
          <w:szCs w:val="24"/>
        </w:rPr>
        <w:t xml:space="preserve">）；</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（4）投标人法定代表人身份证原件扫描件；</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（5）投标人法定代表人授权代表身份证原件扫描件（</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（6）投标人近一年中任意一个月份（不含投标当月）的财务状况报告（资产负债表和利润表）或由会计师事务所出具的近两年中任意一个年度的审计报告和所附已审财务报告原件扫描件；</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（7）投标人近一年中任意一个月份（不含投标当月）的依法缴纳税收的相关材料（提供相关主管部门证明或银行代扣证明）原件扫描件；</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（8）投标人近一年中任意一个月份（不含投标当月）的依法缴纳社会保障资金的相关材料（提供相关主管部门证明或银行代扣证明）原件扫描件；</w:t>
      </w:r>
      <w:r/>
    </w:p>
    <w:p>
      <w:pPr>
        <w:numPr>
          <w:ilvl w:val="1"/>
          <w:numId w:val="0"/>
        </w:numPr>
        <w:ind w:firstLine="523"/>
        <w:jc w:val="left"/>
        <w:spacing w:line="360" w:lineRule="auto"/>
        <w:tabs>
          <w:tab w:val="left" w:pos="945" w:leader="none"/>
          <w:tab w:val="left" w:pos="1276" w:leader="none"/>
        </w:tabs>
        <w:rPr>
          <w:rFonts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numPr>
          <w:ilvl w:val="1"/>
          <w:numId w:val="0"/>
        </w:numPr>
        <w:ind w:firstLine="523"/>
        <w:jc w:val="left"/>
        <w:spacing w:line="360" w:lineRule="auto"/>
        <w:tabs>
          <w:tab w:val="left" w:pos="945" w:leader="none"/>
          <w:tab w:val="left" w:pos="1276" w:leader="none"/>
        </w:tabs>
        <w:rPr>
          <w:rFonts w:hint="eastAsia" w:ascii="宋体" w:hAnsi="宋体" w:eastAsia="宋体" w:cs="宋体"/>
          <w:bCs/>
          <w:sz w:val="24"/>
          <w:szCs w:val="24"/>
          <w:lang w:eastAsia="zh-CN"/>
        </w:rPr>
      </w:pPr>
      <w:r>
        <w:rPr>
          <w:rFonts w:hint="eastAsia" w:ascii="宋体" w:hAnsi="宋体" w:cs="宋体"/>
          <w:bCs/>
          <w:sz w:val="24"/>
          <w:szCs w:val="24"/>
        </w:rPr>
        <w:t xml:space="preserve">（10）采购人要求的特定资质证明原件扫描件（</w:t>
      </w:r>
      <w:r>
        <w:rPr>
          <w:rFonts w:hint="eastAsia" w:ascii="宋体" w:hAnsi="宋体" w:cs="宋体"/>
          <w:b/>
          <w:bCs/>
          <w:sz w:val="24"/>
          <w:szCs w:val="24"/>
        </w:rPr>
        <w:t xml:space="preserve">详见“招标公告”－“投标人资格要求”）</w:t>
      </w:r>
      <w:r>
        <w:rPr>
          <w:rFonts w:hint="eastAsia" w:ascii="宋体" w:hAnsi="宋体" w:cs="宋体"/>
          <w:bCs/>
          <w:sz w:val="24"/>
          <w:szCs w:val="24"/>
          <w:lang w:eastAsia="zh-CN"/>
        </w:rPr>
        <w:t xml:space="preserve">；</w:t>
      </w:r>
      <w:r/>
    </w:p>
    <w:p>
      <w:pPr>
        <w:numPr>
          <w:ilvl w:val="1"/>
          <w:numId w:val="0"/>
        </w:numPr>
        <w:ind w:firstLine="523"/>
        <w:jc w:val="left"/>
        <w:spacing w:line="360" w:lineRule="auto"/>
        <w:tabs>
          <w:tab w:val="left" w:pos="945" w:leader="none"/>
          <w:tab w:val="left" w:pos="1276" w:leader="none"/>
        </w:tabs>
        <w:rPr>
          <w:rFonts w:hint="eastAsia"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11</w:t>
      </w:r>
      <w:r>
        <w:rPr>
          <w:rFonts w:hint="eastAsia" w:ascii="宋体" w:hAnsi="宋体" w:cs="宋体"/>
          <w:bCs/>
          <w:sz w:val="24"/>
          <w:szCs w:val="24"/>
          <w:lang w:eastAsia="zh-CN"/>
        </w:rPr>
        <w:t xml:space="preserve">）落实政府采购政策需满足的资格要求证明材料，其中如为中小微企业提供符合要求的中小企业声明函原件；如为监狱企业提供由省级以上监狱管理局、戒毒管理局(含新疆生产建设兵团)出具的属于监狱企业的证明文件；如为残疾人福利单位提供符合要求的残疾人福利性单位声明函原件（格式见附件）。</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left="1" w:firstLine="523"/>
        <w:jc w:val="left"/>
        <w:spacing w:line="360" w:lineRule="auto"/>
        <w:tabs>
          <w:tab w:val="left" w:pos="525" w:leader="none"/>
          <w:tab w:val="left" w:pos="945" w:leader="none"/>
        </w:tabs>
        <w:rPr>
          <w:rFonts w:hint="default" w:eastAsia="宋体"/>
          <w:lang w:val="en-US" w:eastAsia="zh-CN"/>
        </w:rPr>
      </w:pPr>
      <w:r>
        <w:rPr>
          <w:rFonts w:hint="eastAsia" w:ascii="宋体" w:hAnsi="宋体" w:cs="宋体"/>
          <w:bCs/>
          <w:sz w:val="24"/>
          <w:szCs w:val="24"/>
        </w:rPr>
        <w:t xml:space="preserve">4</w:t>
      </w:r>
      <w:r>
        <w:rPr>
          <w:rFonts w:ascii="宋体" w:hAnsi="宋体" w:cs="宋体"/>
          <w:bCs/>
          <w:sz w:val="24"/>
          <w:szCs w:val="24"/>
        </w:rPr>
        <w:t xml:space="preserve">.</w:t>
      </w:r>
      <w:r>
        <w:rPr>
          <w:rFonts w:hint="eastAsia" w:ascii="宋体" w:hAnsi="宋体" w:cs="宋体"/>
          <w:bCs/>
          <w:sz w:val="24"/>
          <w:szCs w:val="24"/>
        </w:rPr>
        <w:t xml:space="preserve">联合体协议书（如有）（</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left="1" w:firstLine="523"/>
        <w:jc w:val="left"/>
        <w:spacing w:line="360" w:lineRule="auto"/>
        <w:tabs>
          <w:tab w:val="left" w:pos="525" w:leader="none"/>
          <w:tab w:val="left" w:pos="945" w:leader="none"/>
        </w:tabs>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.技术标准响应偏离表（</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left="1" w:firstLine="523"/>
        <w:jc w:val="left"/>
        <w:spacing w:line="360" w:lineRule="auto"/>
        <w:tabs>
          <w:tab w:val="left" w:pos="525" w:leader="none"/>
          <w:tab w:val="left" w:pos="945" w:leader="none"/>
        </w:tabs>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.评分标准中对应的其他所需证明材料（</w:t>
      </w:r>
      <w:r>
        <w:rPr>
          <w:rFonts w:hint="eastAsia" w:ascii="宋体" w:hAnsi="宋体" w:cs="宋体"/>
          <w:b/>
          <w:bCs/>
          <w:sz w:val="24"/>
          <w:szCs w:val="24"/>
        </w:rPr>
        <w:t xml:space="preserve">如有自行添加</w:t>
      </w:r>
      <w:r>
        <w:rPr>
          <w:rFonts w:hint="eastAsia" w:ascii="宋体" w:hAnsi="宋体" w:cs="宋体"/>
          <w:bCs/>
          <w:sz w:val="24"/>
          <w:szCs w:val="24"/>
        </w:rPr>
        <w:t xml:space="preserve">）</w:t>
      </w:r>
      <w:r/>
    </w:p>
    <w:p>
      <w:pPr>
        <w:ind w:left="1" w:firstLine="523"/>
        <w:jc w:val="left"/>
        <w:spacing w:line="360" w:lineRule="auto"/>
        <w:tabs>
          <w:tab w:val="left" w:pos="525" w:leader="none"/>
          <w:tab w:val="left" w:pos="945" w:leader="none"/>
        </w:tabs>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.要求采购人提供的配合（</w:t>
      </w:r>
      <w:r>
        <w:rPr>
          <w:rFonts w:hint="eastAsia" w:ascii="宋体" w:hAnsi="宋体" w:cs="宋体"/>
          <w:b/>
          <w:bCs/>
          <w:sz w:val="24"/>
          <w:szCs w:val="24"/>
        </w:rPr>
        <w:t xml:space="preserve">如有自拟并自行添加</w:t>
      </w:r>
      <w:r>
        <w:rPr>
          <w:rFonts w:hint="eastAsia" w:ascii="宋体" w:hAnsi="宋体" w:cs="宋体"/>
          <w:bCs/>
          <w:sz w:val="24"/>
          <w:szCs w:val="24"/>
        </w:rPr>
        <w:t xml:space="preserve">）</w:t>
      </w:r>
      <w:r/>
    </w:p>
    <w:p>
      <w:pPr>
        <w:ind w:left="1" w:firstLine="523"/>
        <w:jc w:val="left"/>
        <w:spacing w:line="360" w:lineRule="auto"/>
        <w:tabs>
          <w:tab w:val="left" w:pos="525" w:leader="none"/>
          <w:tab w:val="left" w:pos="945" w:leader="none"/>
        </w:tabs>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.其它（</w:t>
      </w:r>
      <w:r>
        <w:rPr>
          <w:rFonts w:hint="eastAsia" w:ascii="宋体" w:hAnsi="宋体" w:cs="宋体"/>
          <w:b/>
          <w:bCs/>
          <w:sz w:val="24"/>
          <w:szCs w:val="24"/>
        </w:rPr>
        <w:t xml:space="preserve">投标人认为有必要提供的声明和文件，如有自拟并自行添加</w:t>
      </w:r>
      <w:r>
        <w:rPr>
          <w:rFonts w:hint="eastAsia" w:ascii="宋体" w:hAnsi="宋体" w:cs="宋体"/>
          <w:bCs/>
          <w:sz w:val="24"/>
          <w:szCs w:val="24"/>
        </w:rPr>
        <w:t xml:space="preserve">）</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上述1-4项投标人必须按要求全部提供，否则投标文件无效。</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六、 投标文件的编制和递交</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2.投标文件由投标人按要求参考给定格式如实填写（编写），须有投标人（盖章）、法定代表人或法定代表人授权代表签字或盖章，方为有效，未尽事宜可自行补充。</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3.如无特别说明，投标人报价一律以人民币为结算货币，结算单位为“元”。</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4.投标文件不应有涂改、增删和潦草之处，如有必须修改时，修改处必须有投标人盖章、法定代表人或法定代表人授权代表的签字。</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5.投标费用自理。</w:t>
      </w:r>
      <w:r/>
    </w:p>
    <w:p>
      <w:pPr>
        <w:ind w:left="1"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6.投标人应当同时凭CA数字证书登录“江苏政府采购‘苏采云’系统”，并在投标截止时间前上传电子投标文件。</w:t>
      </w:r>
      <w:r/>
    </w:p>
    <w:p>
      <w:pPr>
        <w:ind w:firstLine="240"/>
        <w:jc w:val="left"/>
        <w:spacing w:line="360" w:lineRule="auto"/>
        <w:rPr>
          <w:rFonts w:ascii="宋体" w:hAnsi="宋体" w:cs="宋体"/>
          <w:bCs/>
          <w:sz w:val="24"/>
          <w:szCs w:val="24"/>
        </w:rPr>
      </w:pPr>
      <w:r>
        <w:rPr>
          <w:rFonts w:hint="eastAsia" w:ascii="宋体" w:hAnsi="宋体" w:cs="宋体"/>
          <w:bCs/>
          <w:sz w:val="24"/>
          <w:szCs w:val="24"/>
        </w:rPr>
        <w:t xml:space="preserve">七、投标文件的递交</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1．电子投标文件的递交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投标人应当按照《江苏省政府采购管理交易系统（苏采云）供应商操作手册及政府采购客户端》规定，在投标截止时间前制作并上传电子投标文件。</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2．投标截止日期</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2.1 投标人上传电子投标文件的时间不得迟于招标公告中规定的投标截止时间。</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投标人应充分考虑到网络环境、网络带宽等风险因素，如因投标人自身原因造成的电子投标文件上传不成功或未在规定时间内成功解密电子投标文件，由投标人自行承担全部责任。</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2.2 代理公司可以按照规定，通过修改采购文件酌情延长投标截止日期，在此情况下，投标人的所有权利和义务以及投标人受制的截止日期均应以延长后新的截止日期为准。</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八、投标文件的拒收</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采购人拒绝接收在其规定的投标截止时间后上传的任何投标文件。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九、投标文件的撤回和修改</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1.投标文件的撤回</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投标人可在投标截止时间前，撤回其电子投标文件，具体操作方法见《江苏省政府采购管理交易系统（苏采云）供应商操作手册及政府采购客户端》。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2.投标文件的修改</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投标人可在投标截止时间前，对其电子投标文件进行修改，具体操作方法见《江苏省政府采购管理交易系统（苏采云）供应商操作手册及政府采购客户端》。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3.在投标截止时间之后，投标人不得对其电子投标文件作任何修改。</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 无效投标文件的确认</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投标人有下列情况之一者，投标文件无效：</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1.投标人未在规定时间内成功解密电子投标文件的；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2.投标人未按照采购文件要求上传电子投标文件的；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3.投标文件未按照采购文件要求加盖电子签章；</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4.投标人的法定代表人授权代表，无法定代表人授权委托书的；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5.不具备采购文件中规定的资格要求或未按采购文件规定的要求提供资格、资信证明文件的；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6.被“信用中国”网站（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）列入失信被执行人、重大税收违法失信主体、政府采购严重违法失信行为记录名单的；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7.投标文件未按采购文件规定的内容和要求填写的；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8.投标文件中有采购文件未允许提供的选择性内容；</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9.不同投标人的投标文件由同一单位或者个人编制的；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10.不同投标人委托同一单位或者个人办理投标事宜的；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11.不同投标人的投标文件载明的项目管理成员为同一人的；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12.不同投标人的投标文件异常一致或者投标报价呈规律性差异的；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13.不同投标人的单位法定代表人为同一人或者存在直接控股、管理关系的；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14.项目（标段）投标总价超过本项目（标段）预算或最高限价的；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15.提供虚假材料的（包括工商营业执照、财务报表、资格证明文件等）；</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16.投标文件含有采购人不能接受的附加条件的；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18.除单一来源采购项目外，为采购项目提供整体设计、规范编制或者项目管理、监理、检测等服务的；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19.投标文件内容不全或不符合采购文件中规定的其他实质性要求的。</w:t>
      </w:r>
      <w:r/>
    </w:p>
    <w:p>
      <w:pPr>
        <w:ind w:firstLine="425"/>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20.法律法规和采购文件规定的其他无效情形。</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十一、 开标、评标</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1．投标人应当按照《江苏省政府采购管理交易系统（苏采云）供应商操作手册及政府采购客户端》规定，参加开标活动。</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2.“江苏政府采购‘苏采云’系统”将自动对项目进行开标，并宣读各投标人的《开标一览表》。</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3.投标人在开标过程中涉及的投标文件解密、开标结果确认等工作，应按照《江苏省政府采购管理交易系统（苏采云）供应商操作手册及政府采购客户端》规定执行。每个投标人的解密时长为6分钟，超时视同解密失败。</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6.投标人未参加开标的，视同认可开标结果。</w:t>
      </w:r>
      <w:r/>
    </w:p>
    <w:p>
      <w:pPr>
        <w:ind w:left="1" w:firstLine="480"/>
        <w:jc w:val="left"/>
        <w:spacing w:line="360" w:lineRule="auto"/>
        <w:tabs>
          <w:tab w:val="left" w:pos="945" w:leader="none"/>
        </w:tabs>
        <w:rPr>
          <w:rFonts w:ascii="宋体" w:hAnsi="宋体" w:cs="宋体"/>
          <w:bCs/>
          <w:color w:val="ff0000"/>
          <w:sz w:val="24"/>
          <w:szCs w:val="24"/>
          <w:u w:val="single"/>
        </w:rPr>
      </w:pPr>
      <w:r>
        <w:rPr>
          <w:rFonts w:hint="eastAsia" w:ascii="宋体" w:hAnsi="宋体" w:cs="宋体"/>
          <w:bCs/>
          <w:sz w:val="24"/>
          <w:szCs w:val="24"/>
        </w:rPr>
        <w:t xml:space="preserve">7.评标程序</w:t>
      </w:r>
      <w:r/>
    </w:p>
    <w:p>
      <w:pPr>
        <w:ind w:firstLine="523"/>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评标工作由代理公司负责组织，具体评标事务由依法组建的评委会负责。</w:t>
      </w:r>
      <w:r/>
    </w:p>
    <w:p>
      <w:pPr>
        <w:numPr>
          <w:ilvl w:val="0"/>
          <w:numId w:val="2"/>
        </w:numPr>
        <w:ind w:left="0" w:firstLine="523"/>
        <w:jc w:val="left"/>
        <w:spacing w:line="360" w:lineRule="auto"/>
        <w:tabs>
          <w:tab w:val="left" w:pos="63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投标文件初审。初审分为资格性检查和符合性检查。</w:t>
      </w:r>
      <w:r/>
    </w:p>
    <w:p>
      <w:pPr>
        <w:numPr>
          <w:ilvl w:val="0"/>
          <w:numId w:val="3"/>
        </w:numPr>
        <w:ind w:left="0" w:firstLine="523"/>
        <w:jc w:val="left"/>
        <w:spacing w:line="360" w:lineRule="auto"/>
        <w:tabs>
          <w:tab w:val="left" w:pos="525" w:leader="none"/>
          <w:tab w:val="left" w:pos="630" w:leader="none"/>
          <w:tab w:val="left" w:pos="945" w:leader="none"/>
          <w:tab w:val="left" w:pos="1365" w:leader="none"/>
        </w:tabs>
        <w:rPr>
          <w:rFonts w:ascii="宋体" w:hAnsi="宋体" w:cs="宋体"/>
          <w:bCs/>
          <w:sz w:val="24"/>
          <w:szCs w:val="24"/>
        </w:rPr>
      </w:pPr>
      <w:r>
        <w:rPr>
          <w:rFonts w:hint="eastAsia" w:ascii="宋体" w:hAnsi="宋体" w:cs="宋体"/>
          <w:bCs/>
          <w:sz w:val="24"/>
          <w:szCs w:val="24"/>
        </w:rPr>
        <w:t xml:space="preserve">资格性检查。依据法律法规和采购文件的规定，对投标文件中的资格证明等进行审查；通过“信用中国”网站（</w:t>
      </w:r>
      <w:r>
        <w:fldChar w:fldCharType="begin"/>
      </w:r>
      <w:r>
        <w:instrText xml:space="preserve"> HYPERLINK "http://www.creditchina.gov.cn" </w:instrText>
      </w:r>
      <w:r>
        <w:fldChar w:fldCharType="separate"/>
      </w:r>
      <w:r>
        <w:rPr>
          <w:rStyle w:val="763"/>
          <w:rFonts w:hint="eastAsia" w:ascii="宋体" w:hAnsi="宋体" w:cs="宋体"/>
          <w:bCs/>
          <w:sz w:val="24"/>
          <w:szCs w:val="24"/>
        </w:rPr>
        <w:t xml:space="preserve">www.creditchina.gov.cn</w:t>
      </w:r>
      <w:r>
        <w:rPr>
          <w:rStyle w:val="763"/>
          <w:rFonts w:hint="eastAsia" w:ascii="宋体" w:hAnsi="宋体" w:cs="宋体"/>
          <w:bCs/>
          <w:sz w:val="24"/>
          <w:szCs w:val="24"/>
        </w:rPr>
        <w:fldChar w:fldCharType="end"/>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失信被执行人、重大税收违法失信主体、政府采购严重违法失信行为记录名单，</w:t>
      </w:r>
      <w:r>
        <w:rPr>
          <w:rFonts w:hint="eastAsia" w:ascii="宋体" w:hAnsi="宋体" w:cs="宋体"/>
          <w:bCs/>
          <w:sz w:val="24"/>
          <w:szCs w:val="24"/>
        </w:rPr>
        <w:t xml:space="preserve">以确定投标供应商是否具备投标资格。信用</w:t>
      </w:r>
      <w:r>
        <w:rPr>
          <w:rFonts w:hint="eastAsia" w:ascii="宋体" w:hAnsi="宋体" w:cs="宋体"/>
          <w:sz w:val="24"/>
          <w:szCs w:val="24"/>
        </w:rPr>
        <w:t xml:space="preserve">查询结果以网页打印的形式留存并归档。</w:t>
      </w:r>
      <w:r/>
    </w:p>
    <w:p>
      <w:pPr>
        <w:numPr>
          <w:ilvl w:val="0"/>
          <w:numId w:val="3"/>
        </w:numPr>
        <w:ind w:left="0" w:firstLine="523"/>
        <w:jc w:val="left"/>
        <w:spacing w:line="360" w:lineRule="auto"/>
        <w:tabs>
          <w:tab w:val="left" w:pos="525" w:leader="none"/>
          <w:tab w:val="left" w:pos="630" w:leader="none"/>
          <w:tab w:val="left" w:pos="945" w:leader="none"/>
          <w:tab w:val="left" w:pos="1365" w:leader="none"/>
        </w:tabs>
        <w:rPr>
          <w:rFonts w:ascii="宋体" w:hAnsi="宋体" w:cs="宋体"/>
          <w:bCs/>
          <w:sz w:val="24"/>
          <w:szCs w:val="24"/>
        </w:rPr>
      </w:pPr>
      <w:r>
        <w:rPr>
          <w:rFonts w:hint="eastAsia" w:ascii="宋体" w:hAnsi="宋体" w:cs="宋体"/>
          <w:bCs/>
          <w:sz w:val="24"/>
          <w:szCs w:val="24"/>
        </w:rPr>
        <w:t xml:space="preserve">符合性检查。依据采购文件的规定，从投标文件的有效性、完整性和对采购文件的响应程度进行审查，以确定是否对采购文件的实质性要求作出响应。</w:t>
      </w:r>
      <w:r/>
    </w:p>
    <w:p>
      <w:pPr>
        <w:numPr>
          <w:ilvl w:val="0"/>
          <w:numId w:val="2"/>
        </w:numPr>
        <w:ind w:left="0" w:firstLine="523"/>
        <w:jc w:val="left"/>
        <w:spacing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澄清有关问题。对投标文件中含义不明确、同类问题表述不一致或者有明显文字和计算错误的内容，</w:t>
      </w:r>
      <w:r>
        <w:rPr>
          <w:rFonts w:hint="eastAsia" w:ascii="宋体" w:hAnsi="宋体" w:cs="宋体"/>
          <w:sz w:val="24"/>
          <w:szCs w:val="24"/>
        </w:rPr>
        <w:t xml:space="preserve">评委会有权以电子函件形式要求投标人对其投标文件</w:t>
      </w:r>
      <w:r>
        <w:rPr>
          <w:rFonts w:hint="eastAsia" w:ascii="宋体" w:hAnsi="宋体" w:cs="宋体"/>
          <w:bCs/>
          <w:sz w:val="24"/>
          <w:szCs w:val="24"/>
        </w:rPr>
        <w:t xml:space="preserve">作出必要的澄清、说明或者纠正</w:t>
      </w:r>
      <w:r>
        <w:rPr>
          <w:rFonts w:hint="eastAsia" w:ascii="宋体" w:hAnsi="宋体" w:cs="宋体"/>
          <w:sz w:val="24"/>
          <w:szCs w:val="24"/>
        </w:rPr>
        <w:t xml:space="preserve">，但并非对每个投标人都作澄清要求。接到评委会澄清要求的投标人应派人按评委会规定的时间和格式在</w:t>
      </w:r>
      <w:r>
        <w:rPr>
          <w:rFonts w:hint="eastAsia" w:ascii="宋体" w:hAnsi="宋体" w:cs="宋体"/>
          <w:bCs/>
          <w:sz w:val="24"/>
          <w:szCs w:val="24"/>
        </w:rPr>
        <w:t xml:space="preserve">“江苏政府采购‘苏采云’系统”</w:t>
      </w:r>
      <w:r>
        <w:rPr>
          <w:rFonts w:hint="eastAsia" w:ascii="宋体" w:hAnsi="宋体" w:cs="宋体"/>
          <w:sz w:val="24"/>
          <w:szCs w:val="24"/>
        </w:rPr>
        <w:t xml:space="preserve">中作出澄清，由其授权的代表签字，澄清的内容作为投标文件的补充部分，但投标的价格和实质性的内容不得做任何更改。具体操作方式见</w:t>
      </w:r>
      <w:r>
        <w:rPr>
          <w:rFonts w:hint="eastAsia" w:ascii="宋体" w:hAnsi="宋体" w:cs="宋体"/>
          <w:bCs/>
          <w:sz w:val="24"/>
          <w:szCs w:val="24"/>
        </w:rPr>
        <w:t xml:space="preserve">《江苏省政府采购管理交易系统（苏采云）供应商操作手册及政府采购客户端》</w:t>
      </w:r>
      <w:r>
        <w:rPr>
          <w:rFonts w:hint="eastAsia" w:ascii="宋体" w:hAnsi="宋体" w:cs="宋体"/>
          <w:sz w:val="24"/>
          <w:szCs w:val="24"/>
        </w:rPr>
        <w:t xml:space="preserve">。接到评委会澄清要求的投标人如未按规定作出澄清，其风险由投标人自行承担。</w:t>
      </w:r>
      <w:r/>
    </w:p>
    <w:p>
      <w:pPr>
        <w:numPr>
          <w:ilvl w:val="0"/>
          <w:numId w:val="2"/>
        </w:numPr>
        <w:ind w:left="0" w:firstLine="523"/>
        <w:jc w:val="left"/>
        <w:spacing w:line="360" w:lineRule="auto"/>
        <w:tabs>
          <w:tab w:val="left" w:pos="945" w:leader="none"/>
          <w:tab w:val="left" w:pos="1155" w:leader="none"/>
          <w:tab w:val="left" w:pos="1365" w:leader="none"/>
        </w:tabs>
        <w:rPr>
          <w:rFonts w:ascii="宋体" w:hAnsi="宋体" w:cs="宋体"/>
          <w:bCs/>
          <w:sz w:val="24"/>
          <w:szCs w:val="24"/>
        </w:rPr>
      </w:pPr>
      <w:r>
        <w:rPr>
          <w:rFonts w:hint="eastAsia" w:ascii="宋体" w:hAnsi="宋体" w:cs="宋体"/>
          <w:bCs/>
          <w:sz w:val="24"/>
          <w:szCs w:val="24"/>
        </w:rPr>
        <w:t xml:space="preserve">比较与评价。按采购文件中规定的评标方法和标准，对资格性检查和符合性检查合格的投标文件进行商务和技术评估，综合比较与评价。</w:t>
      </w:r>
      <w:r/>
    </w:p>
    <w:p>
      <w:pPr>
        <w:ind w:left="57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8.评标方法</w:t>
      </w:r>
      <w:r/>
    </w:p>
    <w:p>
      <w:pPr>
        <w:ind w:firstLine="523"/>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投标人通过初审的，方可进入比较与评价程序。</w:t>
      </w:r>
      <w:r/>
    </w:p>
    <w:p>
      <w:pPr>
        <w:ind w:firstLine="523"/>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比较与评价采用综合评分法。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ind w:left="57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9.评分标准</w:t>
      </w:r>
      <w:r/>
    </w:p>
    <w:p>
      <w:pPr>
        <w:ind w:left="524"/>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详见附件。</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十二、定标</w:t>
      </w:r>
      <w:r/>
    </w:p>
    <w:p>
      <w:pPr>
        <w:numPr>
          <w:ilvl w:val="1"/>
          <w:numId w:val="0"/>
        </w:numPr>
        <w:ind w:firstLine="523"/>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评标委员会根据采购文件规定的评标方法和评标标准进行评审，按采购文件的要求依法确定中标人。中标结果公告将在泰州市政府采购网和江苏省政府采购网发布中标结果公告。采购人、代理公司和评标委员会对未中标原因不作解释。如有质疑，应在法定质疑期限内，即中标结果公告期限届满之日起7个工作日内，以书面形式（原件）送达采购人，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Style w:val="763"/>
          <w:rFonts w:hint="eastAsia" w:ascii="宋体" w:hAnsi="宋体" w:cs="宋体"/>
          <w:bCs/>
          <w:sz w:val="24"/>
          <w:szCs w:val="24"/>
        </w:rPr>
        <w:t xml:space="preserve">政府采购供应商质疑函范本</w:t>
      </w:r>
      <w:r>
        <w:rPr>
          <w:rStyle w:val="763"/>
          <w:rFonts w:hint="eastAsia" w:ascii="宋体" w:hAnsi="宋体" w:cs="宋体"/>
          <w:bCs/>
          <w:sz w:val="24"/>
          <w:szCs w:val="24"/>
        </w:rPr>
        <w:fldChar w:fldCharType="end"/>
      </w:r>
      <w:r>
        <w:rPr>
          <w:rFonts w:hint="eastAsia" w:ascii="宋体" w:hAnsi="宋体" w:cs="宋体"/>
          <w:bCs/>
          <w:sz w:val="24"/>
          <w:szCs w:val="24"/>
        </w:rPr>
        <w:t xml:space="preserve">》）。采购人将在收到符合上述要求的书面质疑后七个工作日内，对质疑内容作出答复。投标人在法定质疑期限外送达的质疑函或法定质疑期限内送达的质疑函不符合上述要求的均为无效质疑，采购人和招标代理对无效质疑不予受理。如质疑查无实据或投标人捏造事实，提供虚假材料进行恶意举报，不配合或采用不正当手段干扰政府采购事宜的，采购人有权依据政府采购的有关规定，报请政府采购监管部门对该供应商进行相应的行政处罚和记录该供应商的失信信息。</w:t>
      </w:r>
      <w:r/>
    </w:p>
    <w:p>
      <w:pPr>
        <w:numPr>
          <w:ilvl w:val="1"/>
          <w:numId w:val="0"/>
        </w:numPr>
        <w:ind w:left="1290" w:hanging="72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2.采购人向中标人发中标通知书。</w:t>
      </w:r>
      <w:r/>
    </w:p>
    <w:p>
      <w:pPr>
        <w:ind w:firstLine="480"/>
        <w:jc w:val="left"/>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2.1 采购人可以邮寄的形式向中标人寄发中标通知书，请供应商准确清晰填写《投标函》，如因相关信息填写错误导致中标通知书无法寄达，采购人将不再寄送中标通知书，由此造成的不利后果由供应商自行承担。</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十三、废标的确认</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在招标采购中，出现下列情况之一的，应予废标：</w:t>
      </w:r>
      <w:r/>
    </w:p>
    <w:p>
      <w:pPr>
        <w:ind w:firstLine="525"/>
        <w:jc w:val="left"/>
        <w:spacing w:line="360" w:lineRule="auto"/>
        <w:tabs>
          <w:tab w:val="left" w:pos="525" w:leader="none"/>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1．符合条件的投标人或者对采购文件作出实质性响应的投标人不足三家；</w:t>
      </w:r>
      <w:r/>
    </w:p>
    <w:p>
      <w:pPr>
        <w:ind w:firstLine="525"/>
        <w:jc w:val="left"/>
        <w:spacing w:line="360" w:lineRule="auto"/>
        <w:tabs>
          <w:tab w:val="left" w:pos="525" w:leader="none"/>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2．出现影响采购公正的违法、违规行为；</w:t>
      </w:r>
      <w:r/>
    </w:p>
    <w:p>
      <w:pPr>
        <w:ind w:firstLine="525"/>
        <w:jc w:val="left"/>
        <w:spacing w:line="360" w:lineRule="auto"/>
        <w:tabs>
          <w:tab w:val="left" w:pos="525" w:leader="none"/>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3．投标人的报价均超过采购预算，采购人不能支付的；</w:t>
      </w:r>
      <w:r/>
    </w:p>
    <w:p>
      <w:pPr>
        <w:ind w:firstLine="525"/>
        <w:jc w:val="left"/>
        <w:spacing w:line="360" w:lineRule="auto"/>
        <w:tabs>
          <w:tab w:val="right" w:pos="180" w:leader="none"/>
          <w:tab w:val="left" w:pos="525" w:leader="none"/>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4．因重大变故，采购任务取消；</w:t>
      </w:r>
      <w:r/>
    </w:p>
    <w:p>
      <w:pPr>
        <w:ind w:firstLine="525"/>
        <w:jc w:val="left"/>
        <w:spacing w:line="360" w:lineRule="auto"/>
        <w:tabs>
          <w:tab w:val="right" w:pos="180" w:leader="none"/>
          <w:tab w:val="left" w:pos="525" w:leader="none"/>
          <w:tab w:val="left" w:pos="945" w:leader="none"/>
          <w:tab w:val="left" w:pos="1260" w:leader="none"/>
        </w:tabs>
        <w:rPr>
          <w:rFonts w:ascii="宋体" w:hAnsi="宋体" w:cs="宋体"/>
          <w:bCs/>
          <w:sz w:val="24"/>
          <w:szCs w:val="24"/>
        </w:rPr>
      </w:pPr>
      <w:r>
        <w:rPr>
          <w:rFonts w:hint="eastAsia" w:ascii="宋体" w:hAnsi="宋体" w:cs="宋体"/>
          <w:bCs/>
          <w:sz w:val="24"/>
          <w:szCs w:val="24"/>
        </w:rPr>
        <w:t xml:space="preserve">5．因</w:t>
      </w:r>
      <w:r>
        <w:rPr>
          <w:rFonts w:hint="eastAsia" w:ascii="宋体" w:hAnsi="宋体" w:cs="宋体"/>
          <w:sz w:val="24"/>
          <w:szCs w:val="24"/>
        </w:rPr>
        <w:t xml:space="preserve">“</w:t>
      </w:r>
      <w:r>
        <w:rPr>
          <w:rFonts w:hint="eastAsia" w:ascii="宋体" w:hAnsi="宋体" w:cs="宋体"/>
          <w:bCs/>
          <w:sz w:val="24"/>
          <w:szCs w:val="24"/>
        </w:rPr>
        <w:t xml:space="preserve">江苏政府采购‘苏采云’系统</w:t>
      </w:r>
      <w:r>
        <w:rPr>
          <w:rFonts w:hint="eastAsia" w:ascii="宋体" w:hAnsi="宋体" w:cs="宋体"/>
          <w:sz w:val="24"/>
          <w:szCs w:val="24"/>
        </w:rPr>
        <w:t xml:space="preserve">”</w:t>
      </w:r>
      <w:r>
        <w:rPr>
          <w:rFonts w:hint="eastAsia" w:ascii="宋体" w:hAnsi="宋体" w:cs="宋体"/>
          <w:bCs/>
          <w:sz w:val="24"/>
          <w:szCs w:val="24"/>
        </w:rPr>
        <w:t xml:space="preserve">重大故障原因无法继续开评标的。</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十四、中标无效的确认</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1．提供虚假材料谋取中标的；</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2．采取不正当手段诋毁、排挤其他投标人的；</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3．与招标人、其他投标人恶意串通的；</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4．向招标人行贿或者提供其他不正当利益的；</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5．在招标过程中与招标人进行协商谈判、不按照采购文件和中标人的投标文件订立合同，或者与采购人另行订立背离合同实质性内容的协议的；</w:t>
      </w:r>
      <w:r/>
    </w:p>
    <w:p>
      <w:pPr>
        <w:ind w:firstLine="480"/>
        <w:jc w:val="left"/>
        <w:spacing w:line="360" w:lineRule="auto"/>
        <w:tabs>
          <w:tab w:val="left" w:pos="42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6．拒绝有关部门监督检查或者提供虚假情况的。</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十五、签订</w:t>
      </w:r>
      <w:r>
        <w:rPr>
          <w:rFonts w:hint="eastAsia" w:ascii="宋体" w:hAnsi="宋体" w:cs="宋体"/>
          <w:b/>
          <w:sz w:val="24"/>
          <w:szCs w:val="24"/>
        </w:rPr>
        <w:t xml:space="preserve">、</w:t>
      </w:r>
      <w:r>
        <w:rPr>
          <w:rFonts w:hint="eastAsia" w:ascii="宋体" w:hAnsi="宋体" w:cs="宋体"/>
          <w:bCs/>
          <w:sz w:val="24"/>
          <w:szCs w:val="24"/>
        </w:rPr>
        <w:t xml:space="preserve">履行合同</w:t>
      </w:r>
      <w:r/>
    </w:p>
    <w:p>
      <w:pPr>
        <w:ind w:left="130" w:firstLine="420"/>
        <w:jc w:val="left"/>
        <w:spacing w:line="360" w:lineRule="auto"/>
        <w:tabs>
          <w:tab w:val="left" w:pos="525" w:leader="none"/>
          <w:tab w:val="left" w:pos="945" w:leader="none"/>
          <w:tab w:val="left" w:pos="1050" w:leader="none"/>
        </w:tabs>
        <w:rPr>
          <w:rFonts w:ascii="宋体" w:hAnsi="宋体" w:cs="宋体"/>
          <w:b/>
          <w:sz w:val="24"/>
          <w:szCs w:val="24"/>
        </w:rPr>
      </w:pPr>
      <w:r>
        <w:rPr>
          <w:rFonts w:hint="eastAsia" w:ascii="宋体" w:hAnsi="宋体" w:cs="宋体"/>
          <w:b/>
          <w:sz w:val="24"/>
          <w:szCs w:val="24"/>
        </w:rPr>
        <w:t xml:space="preserve">1．履约保证金：中标人在合同签订前向采购人缴纳（中标价的5%）履约保证金，项目完成并经采购人确认无误后无息退还。</w:t>
      </w:r>
      <w:r/>
    </w:p>
    <w:p>
      <w:pPr>
        <w:pStyle w:val="765"/>
        <w:ind w:firstLine="723"/>
        <w:spacing w:line="360" w:lineRule="auto"/>
        <w:rPr>
          <w:rFonts w:ascii="宋体" w:hAnsi="宋体" w:cs="宋体"/>
          <w:b/>
          <w:sz w:val="24"/>
        </w:rPr>
      </w:pPr>
      <w:r>
        <w:rPr>
          <w:rFonts w:hint="eastAsia" w:ascii="宋体" w:hAnsi="宋体" w:cs="宋体"/>
          <w:b/>
          <w:sz w:val="24"/>
        </w:rPr>
        <w:t xml:space="preserve">履约保证金提交形式：保函、电汇、转账、汇票或支票。</w:t>
      </w:r>
      <w:r/>
    </w:p>
    <w:p>
      <w:pPr>
        <w:pStyle w:val="765"/>
        <w:ind w:firstLine="723"/>
        <w:spacing w:line="360" w:lineRule="auto"/>
        <w:rPr>
          <w:rFonts w:ascii="宋体" w:hAnsi="宋体" w:cs="宋体"/>
          <w:b/>
          <w:sz w:val="24"/>
        </w:rPr>
      </w:pPr>
      <w:r>
        <w:rPr>
          <w:rFonts w:hint="eastAsia" w:ascii="宋体" w:hAnsi="宋体" w:cs="宋体"/>
          <w:b/>
          <w:sz w:val="24"/>
        </w:rPr>
        <w:t xml:space="preserve">履约保证金收款账户信息：</w:t>
      </w:r>
      <w:r/>
    </w:p>
    <w:p>
      <w:pPr>
        <w:pStyle w:val="765"/>
        <w:ind w:firstLine="723"/>
        <w:spacing w:line="360" w:lineRule="auto"/>
        <w:rPr>
          <w:rFonts w:ascii="宋体" w:hAnsi="宋体" w:cs="宋体"/>
          <w:b/>
          <w:sz w:val="24"/>
        </w:rPr>
      </w:pPr>
      <w:r>
        <w:rPr>
          <w:rFonts w:hint="eastAsia" w:ascii="宋体" w:hAnsi="宋体" w:cs="宋体"/>
          <w:b/>
          <w:sz w:val="24"/>
        </w:rPr>
        <w:t xml:space="preserve">户名：泰州市海陵区财政局</w:t>
      </w:r>
      <w:r/>
    </w:p>
    <w:p>
      <w:pPr>
        <w:pStyle w:val="765"/>
        <w:ind w:firstLine="723"/>
        <w:spacing w:line="360" w:lineRule="auto"/>
        <w:rPr>
          <w:rFonts w:ascii="宋体" w:hAnsi="宋体" w:cs="宋体"/>
          <w:b/>
          <w:sz w:val="24"/>
        </w:rPr>
      </w:pPr>
      <w:r>
        <w:rPr>
          <w:rFonts w:hint="eastAsia" w:ascii="宋体" w:hAnsi="宋体" w:cs="宋体"/>
          <w:b/>
          <w:sz w:val="24"/>
        </w:rPr>
        <w:t xml:space="preserve">开户行：招商银行泰州分行海陵支行</w:t>
      </w:r>
      <w:r/>
    </w:p>
    <w:p>
      <w:pPr>
        <w:pStyle w:val="765"/>
        <w:ind w:firstLine="723"/>
        <w:spacing w:line="360" w:lineRule="auto"/>
        <w:rPr>
          <w:rFonts w:ascii="宋体" w:hAnsi="宋体" w:cs="宋体"/>
          <w:b/>
          <w:sz w:val="24"/>
        </w:rPr>
      </w:pPr>
      <w:r>
        <w:rPr>
          <w:rFonts w:hint="eastAsia" w:ascii="宋体" w:hAnsi="宋体" w:cs="宋体"/>
          <w:b/>
          <w:sz w:val="24"/>
        </w:rPr>
        <w:t xml:space="preserve">账号：</w:t>
      </w:r>
      <w:r>
        <w:rPr>
          <w:rFonts w:ascii="宋体" w:hAnsi="宋体" w:cs="宋体"/>
          <w:b/>
          <w:sz w:val="24"/>
        </w:rPr>
        <w:t xml:space="preserve">523900010810166</w:t>
      </w:r>
      <w:r>
        <w:rPr>
          <w:rFonts w:ascii="宋体" w:hAnsi="宋体" w:cs="宋体"/>
          <w:b/>
          <w:sz w:val="24"/>
        </w:rPr>
        <w:tab/>
      </w:r>
      <w:r/>
    </w:p>
    <w:p>
      <w:pPr>
        <w:ind w:left="130" w:firstLine="420"/>
        <w:jc w:val="left"/>
        <w:spacing w:line="360" w:lineRule="auto"/>
        <w:tabs>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2.采购人应当自中标通知书发出之日起三十日内，按照采购文件和中标人投标文件的约定，与中标人签订书面合同。所签订的合同不得对采购文件和中标人投标文件作实质性修改。采购人不得向中标人提出任何不合理的要求，作为签订合同的条件，不得与中标人私下订立背离合同实质性内容的协议。采购人应当自政府采购合同签订之日起2个工作日内，将政府采购合同在省级以上人民政府财政部门指定的媒体上公告，但政府采购合同中涉及国家秘密、商业秘密的内容除外。</w:t>
      </w:r>
      <w:r/>
    </w:p>
    <w:p>
      <w:pPr>
        <w:ind w:left="130" w:firstLine="420"/>
        <w:jc w:val="left"/>
        <w:spacing w:line="360" w:lineRule="auto"/>
        <w:tabs>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3．中标方非因不可抗力未履行采购文件、投标文件和合同规定的义务，一经查实，代理公司将根据具体情况提请政府采购管理部门作出相应处理。</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十六、中标服务费</w:t>
      </w:r>
      <w:r/>
    </w:p>
    <w:p>
      <w:pPr>
        <w:ind w:left="130" w:firstLine="420"/>
        <w:jc w:val="left"/>
        <w:spacing w:line="360" w:lineRule="auto"/>
        <w:tabs>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cs="宋体"/>
          <w:bCs/>
          <w:sz w:val="24"/>
          <w:szCs w:val="24"/>
        </w:rPr>
        <w:t xml:space="preserve">中标服务费按《招标代理服务收费管理暂行办法》（计价格[2002]1980号）*10%计取，中标人在领取中标通知书时向代理机构一次性付清</w:t>
      </w:r>
      <w:r>
        <w:rPr>
          <w:rFonts w:hint="eastAsia" w:ascii="宋体" w:hAnsi="宋体" w:cs="宋体"/>
          <w:bCs/>
          <w:sz w:val="24"/>
          <w:szCs w:val="24"/>
          <w:lang w:eastAsia="zh-CN"/>
        </w:rPr>
        <w:t xml:space="preserve">；</w:t>
      </w:r>
      <w:r>
        <w:rPr>
          <w:rFonts w:hint="eastAsia" w:ascii="宋体" w:hAnsi="宋体" w:cs="宋体"/>
          <w:bCs/>
          <w:sz w:val="24"/>
          <w:szCs w:val="24"/>
        </w:rPr>
        <w:t xml:space="preserve">专家评审费</w:t>
      </w:r>
      <w:r>
        <w:rPr>
          <w:rFonts w:hint="eastAsia" w:ascii="宋体" w:hAnsi="宋体" w:cs="宋体"/>
          <w:bCs/>
          <w:sz w:val="24"/>
          <w:szCs w:val="24"/>
          <w:lang w:eastAsia="zh-CN"/>
        </w:rPr>
        <w:t xml:space="preserve">由采购人支付。</w:t>
      </w:r>
      <w:bookmarkStart w:id="89" w:name="_GoBack"/>
      <w:r/>
      <w:bookmarkEnd w:id="89"/>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十七、特别提醒</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投标单位如有提供不实材料，弄虚作假者，一律作无效投标处理，该不良行为予以公示。</w:t>
      </w:r>
      <w:r/>
    </w:p>
    <w:p>
      <w:pPr>
        <w:ind w:firstLine="480"/>
        <w:jc w:val="left"/>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十八、政府采购政策功能落实</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1.小微型企业价格扣除</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（1）本项目对小型和微型企业给予10%的扣除价格，用扣除后的价格参与评审。</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（3）企业标准请参照《关于印发中小企业划型标准规定的通知》（工信部联企业[2011]300号）文件规定自行填写。</w:t>
      </w:r>
      <w:r/>
    </w:p>
    <w:p>
      <w:pPr>
        <w:pStyle w:val="916"/>
        <w:spacing w:before="0" w:after="0"/>
        <w:rPr>
          <w:rFonts w:ascii="宋体" w:hAnsi="宋体" w:cs="宋体"/>
        </w:rPr>
      </w:pPr>
      <w:r>
        <w:rPr>
          <w:rFonts w:hint="eastAsia" w:ascii="宋体" w:hAnsi="宋体" w:cs="宋体"/>
        </w:rPr>
        <w:t xml:space="preserve">2.残疾人福利性单位价格扣除</w:t>
      </w:r>
      <w:r/>
    </w:p>
    <w:p>
      <w:pPr>
        <w:pStyle w:val="916"/>
        <w:ind w:firstLine="360"/>
        <w:spacing w:before="0" w:after="0"/>
        <w:rPr>
          <w:rFonts w:ascii="宋体" w:hAnsi="宋体" w:cs="宋体"/>
        </w:rPr>
      </w:pPr>
      <w:r>
        <w:rPr>
          <w:rFonts w:hint="eastAsia" w:ascii="宋体" w:hAnsi="宋体" w:cs="宋体"/>
        </w:rPr>
        <w:t xml:space="preserve">（1）本项目对残疾人福利性单位视同小型、微型企业，给予10%的价格扣除，用扣除后的价格参与评审。</w:t>
      </w:r>
      <w:r/>
    </w:p>
    <w:p>
      <w:pPr>
        <w:pStyle w:val="916"/>
        <w:ind w:firstLine="360"/>
        <w:spacing w:before="0" w:after="0"/>
        <w:rPr>
          <w:rFonts w:ascii="宋体" w:hAnsi="宋体" w:cs="宋体"/>
        </w:rPr>
      </w:pPr>
      <w:r>
        <w:rPr>
          <w:rFonts w:hint="eastAsia" w:ascii="宋体" w:hAnsi="宋体" w:cs="宋体"/>
        </w:rPr>
        <w:t xml:space="preserve">（2）残疾人福利性单位需按照采购文件的要求提供《残疾人福利性单位声明函》。</w:t>
      </w:r>
      <w:r/>
    </w:p>
    <w:p>
      <w:pPr>
        <w:pStyle w:val="916"/>
        <w:ind w:firstLine="360"/>
        <w:spacing w:before="0" w:after="0"/>
        <w:rPr>
          <w:rFonts w:ascii="宋体" w:hAnsi="宋体" w:cs="宋体"/>
        </w:rPr>
      </w:pPr>
      <w:r>
        <w:rPr>
          <w:rFonts w:hint="eastAsia" w:ascii="宋体" w:hAnsi="宋体" w:cs="宋体"/>
        </w:rPr>
        <w:t xml:space="preserve">（3）残疾人福利性单位标准请参照《关于促进残疾人就业政府采购政策的通知》（财库〔2017〕141号）。</w:t>
      </w:r>
      <w:r/>
    </w:p>
    <w:p>
      <w:pPr>
        <w:pStyle w:val="916"/>
        <w:spacing w:before="0" w:after="0"/>
        <w:rPr>
          <w:rFonts w:ascii="宋体" w:hAnsi="宋体" w:cs="宋体"/>
        </w:rPr>
      </w:pPr>
      <w:r>
        <w:rPr>
          <w:rFonts w:hint="eastAsia" w:ascii="宋体" w:hAnsi="宋体" w:cs="宋体"/>
        </w:rPr>
        <w:t xml:space="preserve">3.监狱和戒毒企业价格扣除</w:t>
      </w:r>
      <w:r/>
    </w:p>
    <w:p>
      <w:pPr>
        <w:pStyle w:val="916"/>
        <w:spacing w:before="0" w:after="0"/>
        <w:rPr>
          <w:rFonts w:ascii="宋体" w:hAnsi="宋体" w:cs="宋体"/>
        </w:rPr>
      </w:pPr>
      <w:r>
        <w:rPr>
          <w:rFonts w:hint="eastAsia" w:ascii="宋体" w:hAnsi="宋体" w:cs="宋体"/>
        </w:rPr>
        <w:t xml:space="preserve">（1）本项目对监狱和戒毒企业（简称监狱企业）视同小型、微型企业，给予10%的价格扣除，用扣除后的价格参与评审。</w:t>
      </w:r>
      <w:r/>
    </w:p>
    <w:p>
      <w:pPr>
        <w:pStyle w:val="916"/>
        <w:spacing w:before="0" w:after="0"/>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6"/>
        <w:spacing w:before="0" w:after="0"/>
        <w:rPr>
          <w:rFonts w:ascii="宋体" w:hAnsi="宋体" w:cs="宋体"/>
        </w:rPr>
      </w:pPr>
      <w:r>
        <w:rPr>
          <w:rFonts w:hint="eastAsia" w:ascii="宋体" w:hAnsi="宋体" w:cs="宋体"/>
        </w:rPr>
        <w:t xml:space="preserve">（3）监狱企业标准请参照《关于政府采购支持监狱企业发展有关问题的通知》（财库[2014]68号）。</w:t>
      </w:r>
      <w:r/>
    </w:p>
    <w:p>
      <w:pPr>
        <w:pStyle w:val="916"/>
        <w:spacing w:before="0" w:after="0"/>
        <w:rPr>
          <w:rFonts w:ascii="宋体" w:hAnsi="宋体" w:cs="宋体"/>
        </w:rPr>
      </w:pPr>
      <w:r>
        <w:rPr>
          <w:rFonts w:hint="eastAsia" w:ascii="宋体" w:hAnsi="宋体" w:cs="宋体"/>
        </w:rPr>
        <w:t xml:space="preserve">4.残疾人福利性单位、监狱企业属于小型、微型企业的，不重复享受政策。</w:t>
      </w:r>
      <w:r/>
    </w:p>
    <w:p>
      <w:pPr>
        <w:pStyle w:val="916"/>
        <w:spacing w:before="0" w:after="0"/>
        <w:rPr>
          <w:rFonts w:ascii="宋体" w:hAnsi="宋体" w:cs="宋体"/>
        </w:rPr>
      </w:pPr>
      <w:r>
        <w:rPr>
          <w:rFonts w:hint="eastAsia" w:ascii="宋体" w:hAnsi="宋体" w:cs="宋体"/>
        </w:rPr>
        <w:t xml:space="preserve">5.大中型企业和其他自然人、法人或者其他组织并与小型、微型企业（残疾人福利性单位、监狱企业）组成联合体共同参加政府采购活动。联合协议中约定，小型、微型企业（残疾人福利性单位、监狱企业）的协议合同金额占到联合体协议合同总金额30%以上的，给予联合体6%的价格扣除，用扣除后的价格参与评审。</w:t>
      </w:r>
      <w:r/>
    </w:p>
    <w:p>
      <w:pPr>
        <w:pStyle w:val="916"/>
        <w:spacing w:before="0" w:after="0"/>
        <w:rPr>
          <w:rFonts w:ascii="宋体" w:hAnsi="宋体" w:cs="宋体"/>
        </w:rPr>
      </w:pPr>
      <w:r>
        <w:rPr>
          <w:rFonts w:hint="eastAsia" w:ascii="宋体" w:hAnsi="宋体" w:cs="宋体"/>
        </w:rPr>
        <w:t xml:space="preserve">6.联合体各方均为小型、微型企业（残疾人福利性单位、监狱企业）的，联合体享受10%价格扣除，用扣除后的价格参与评审。</w:t>
      </w:r>
      <w:r/>
    </w:p>
    <w:p>
      <w:pPr>
        <w:pStyle w:val="916"/>
        <w:spacing w:before="0" w:after="0"/>
        <w:rPr>
          <w:rFonts w:ascii="宋体" w:hAnsi="宋体" w:cs="宋体"/>
        </w:rPr>
      </w:pPr>
      <w:r>
        <w:rPr>
          <w:rFonts w:hint="eastAsia" w:ascii="宋体" w:hAnsi="宋体" w:cs="宋体"/>
        </w:rPr>
        <w:t xml:space="preserve">7.本项目属于</w:t>
      </w:r>
      <w:r>
        <w:rPr>
          <w:rFonts w:hint="eastAsia" w:ascii="宋体" w:hAnsi="宋体" w:cs="宋体"/>
          <w:u w:val="single"/>
        </w:rPr>
        <w:t xml:space="preserve">其他未列明行业类</w:t>
      </w:r>
      <w:r>
        <w:rPr>
          <w:rFonts w:hint="eastAsia" w:ascii="宋体" w:hAnsi="宋体" w:cs="宋体"/>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作相应扣除。提交中小企业声明函并中标的，随中标结果公告一同公示。</w:t>
      </w:r>
      <w:r/>
    </w:p>
    <w:p>
      <w:pPr>
        <w:rPr>
          <w:rFonts w:ascii="宋体" w:hAnsi="宋体"/>
          <w:b/>
          <w:sz w:val="32"/>
          <w:szCs w:val="32"/>
        </w:rPr>
      </w:pPr>
      <w:r>
        <w:rPr>
          <w:rFonts w:hint="eastAsia" w:ascii="宋体" w:hAnsi="宋体"/>
          <w:b/>
          <w:sz w:val="32"/>
          <w:szCs w:val="32"/>
        </w:rPr>
        <w:br w:type="page" w:clear="all"/>
      </w:r>
      <w:r/>
    </w:p>
    <w:p>
      <w:pPr>
        <w:jc w:val="center"/>
        <w:rPr>
          <w:b/>
          <w:bCs/>
          <w:sz w:val="32"/>
          <w:szCs w:val="36"/>
        </w:rPr>
      </w:pPr>
      <w:r>
        <w:rPr>
          <w:rFonts w:hint="eastAsia" w:ascii="黑体" w:hAnsi="华文中宋" w:eastAsia="黑体"/>
          <w:bCs/>
          <w:sz w:val="32"/>
          <w:szCs w:val="30"/>
        </w:rPr>
        <w:t xml:space="preserve">第三章 </w:t>
      </w:r>
      <w:r>
        <w:rPr>
          <w:rFonts w:hint="eastAsia"/>
          <w:b/>
          <w:bCs/>
          <w:sz w:val="32"/>
          <w:szCs w:val="36"/>
        </w:rPr>
        <w:t xml:space="preserve">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一、项目名称</w:t>
      </w:r>
      <w:r/>
    </w:p>
    <w:p>
      <w:pPr>
        <w:ind w:firstLine="480"/>
        <w:spacing w:line="360" w:lineRule="auto"/>
        <w:rPr>
          <w:rFonts w:ascii="宋体" w:hAnsi="宋体" w:cs="宋体"/>
          <w:sz w:val="24"/>
          <w:szCs w:val="24"/>
        </w:rPr>
      </w:pPr>
      <w:r>
        <w:rPr>
          <w:rFonts w:hint="eastAsia" w:ascii="宋体" w:hAnsi="宋体" w:cs="宋体"/>
          <w:sz w:val="24"/>
          <w:szCs w:val="24"/>
        </w:rPr>
        <w:t xml:space="preserve">海陵区智慧电梯管理项目</w:t>
      </w:r>
      <w:r/>
    </w:p>
    <w:p>
      <w:pPr>
        <w:ind w:firstLine="480"/>
        <w:spacing w:line="360" w:lineRule="auto"/>
        <w:rPr>
          <w:rFonts w:ascii="宋体" w:hAnsi="宋体" w:cs="宋体"/>
          <w:sz w:val="24"/>
          <w:szCs w:val="24"/>
        </w:rPr>
      </w:pPr>
      <w:r>
        <w:rPr>
          <w:rFonts w:hint="eastAsia" w:ascii="宋体" w:hAnsi="宋体" w:cs="宋体"/>
          <w:sz w:val="24"/>
          <w:szCs w:val="24"/>
        </w:rPr>
        <w:t xml:space="preserve">二、建设地点</w:t>
      </w:r>
      <w:r/>
    </w:p>
    <w:p>
      <w:pPr>
        <w:ind w:firstLine="480"/>
        <w:spacing w:line="360" w:lineRule="auto"/>
        <w:rPr>
          <w:rFonts w:ascii="宋体" w:hAnsi="宋体" w:cs="宋体"/>
          <w:sz w:val="24"/>
          <w:szCs w:val="24"/>
        </w:rPr>
      </w:pPr>
      <w:r>
        <w:rPr>
          <w:rFonts w:hint="eastAsia" w:ascii="宋体" w:hAnsi="宋体" w:cs="宋体"/>
          <w:sz w:val="24"/>
          <w:szCs w:val="24"/>
        </w:rPr>
        <w:t xml:space="preserve">涉及全区95个小区及1个老年康乐中心。</w:t>
      </w:r>
      <w:r/>
    </w:p>
    <w:p>
      <w:pPr>
        <w:ind w:firstLine="480"/>
        <w:spacing w:line="360" w:lineRule="auto"/>
        <w:rPr>
          <w:rFonts w:ascii="宋体" w:hAnsi="宋体" w:cs="宋体"/>
          <w:sz w:val="24"/>
          <w:szCs w:val="24"/>
        </w:rPr>
      </w:pPr>
      <w:r>
        <w:rPr>
          <w:rFonts w:hint="eastAsia" w:ascii="宋体" w:hAnsi="宋体" w:cs="宋体"/>
          <w:sz w:val="24"/>
          <w:szCs w:val="24"/>
        </w:rPr>
        <w:t xml:space="preserve">三、项目建设目标</w:t>
      </w:r>
      <w:r/>
    </w:p>
    <w:p>
      <w:pPr>
        <w:ind w:firstLine="480"/>
        <w:spacing w:line="360" w:lineRule="auto"/>
        <w:rPr>
          <w:rFonts w:ascii="宋体" w:hAnsi="宋体" w:cs="宋体"/>
          <w:sz w:val="24"/>
          <w:szCs w:val="24"/>
        </w:rPr>
      </w:pPr>
      <w:r>
        <w:rPr>
          <w:rFonts w:hint="eastAsia" w:ascii="宋体" w:hAnsi="宋体" w:cs="宋体"/>
          <w:sz w:val="24"/>
          <w:szCs w:val="24"/>
        </w:rPr>
        <w:t xml:space="preserve">作为全国第一期市域社会治理现代化试点城市，近年来，泰州市坚持以习近平新时代中国特色社会主义思想为指导，致力打造长三角地区最具安全感城市，积极探索具有时代特征和市域特点的社会治理新模式，群众安全感始终保持全省前列。</w:t>
      </w:r>
      <w:r/>
    </w:p>
    <w:p>
      <w:pPr>
        <w:ind w:firstLine="480"/>
        <w:spacing w:line="360" w:lineRule="auto"/>
        <w:rPr>
          <w:rFonts w:ascii="宋体" w:hAnsi="宋体" w:cs="宋体"/>
          <w:sz w:val="24"/>
          <w:szCs w:val="24"/>
        </w:rPr>
      </w:pPr>
      <w:r>
        <w:rPr>
          <w:rFonts w:hint="eastAsia" w:ascii="宋体" w:hAnsi="宋体" w:cs="宋体"/>
          <w:sz w:val="24"/>
          <w:szCs w:val="24"/>
        </w:rPr>
        <w:t xml:space="preserve">泰州市各地开始现代化治理体系建设项目如火如荼。这些项目以提高政府治理能力为出发点，大力提高政府信息化水平，进一步推进“互联网+政务服务”建设，加快数据汇聚共享开放，推动信用城市建设，以信息化推进政府治理体系和治理能力现代化。</w:t>
      </w:r>
      <w:r/>
    </w:p>
    <w:p>
      <w:pPr>
        <w:ind w:firstLine="480"/>
        <w:spacing w:line="360" w:lineRule="auto"/>
        <w:rPr>
          <w:rFonts w:ascii="宋体" w:hAnsi="宋体" w:cs="宋体"/>
          <w:sz w:val="24"/>
          <w:szCs w:val="24"/>
        </w:rPr>
      </w:pPr>
      <w:r>
        <w:rPr>
          <w:rFonts w:hint="eastAsia" w:ascii="宋体" w:hAnsi="宋体" w:cs="宋体"/>
          <w:sz w:val="24"/>
          <w:szCs w:val="24"/>
        </w:rPr>
        <w:t xml:space="preserve">泰州市海陵区经济发展快速。2023年，海陵</w:t>
      </w:r>
      <w:r>
        <w:rPr>
          <w:rFonts w:hint="eastAsia" w:ascii="宋体" w:hAnsi="宋体" w:cs="宋体"/>
          <w:sz w:val="24"/>
          <w:szCs w:val="24"/>
        </w:rPr>
        <w:t xml:space="preserve">区地区生产总值780.6亿元，同比增长6.5%。随着海陵区经济社会的迅猛发展和城市化进程的加快，电梯作为高层建筑必不可少的垂直交运工具也迎来井喷式发展。截至2024年5月27日，全区在用电梯总量已达6317台，每年以约6％左右的速度增加，其中使用年限超15年的电梯有406台。然而随着电梯数量的不断增多，电梯老龄化、电梯维保不到位、使用不规范、电梯监管难度大等问题日益突出，电梯安全已经成为百姓关心，社会舆论关注的热点问题。与此同时电梯人流量大，人员杂，容易产生消防隐患。电梯轿厢往往成为社会综合治理的一个盲点。</w:t>
      </w:r>
      <w:r/>
    </w:p>
    <w:p>
      <w:pPr>
        <w:ind w:firstLine="480"/>
        <w:spacing w:line="360" w:lineRule="auto"/>
        <w:rPr>
          <w:rFonts w:ascii="宋体" w:hAnsi="宋体" w:cs="宋体"/>
          <w:sz w:val="24"/>
          <w:szCs w:val="24"/>
        </w:rPr>
      </w:pPr>
      <w:r>
        <w:rPr>
          <w:rFonts w:hint="eastAsia" w:ascii="宋体" w:hAnsi="宋体" w:cs="宋体"/>
          <w:sz w:val="24"/>
          <w:szCs w:val="24"/>
        </w:rPr>
        <w:t xml:space="preserve">为更全面、更高效地提升海陵区百姓</w:t>
      </w:r>
      <w:r>
        <w:rPr>
          <w:rFonts w:hint="eastAsia" w:ascii="宋体" w:hAnsi="宋体" w:cs="宋体"/>
          <w:sz w:val="24"/>
          <w:szCs w:val="24"/>
        </w:rPr>
        <w:t xml:space="preserve">的乘梯安全水平，保障人民的生命财产安全，提高海陵区政府的电梯监管效率，降低电梯场景的各类风险，不断提升海陵区电梯智慧管理综合治理水平，通过对海陵区现有电梯信息化管理水平的调研及需求评估，决定建设海陵区智慧电梯管理项目，通过持续加强项目管理、优化实施方案，并借助信息化手段，建设海陵区住宅小区电梯智慧监管项目，将全面提升海陵区电梯智慧管理的综合水平。这一举措不仅有助于市民的乘梯安全，同时也将减轻政府的财政压力，推动城市治理和市场监管的现代化进程，为海陵区打造更加智慧、安全的城市环境，为市民提供更贴心的公共服务。</w:t>
      </w:r>
      <w:r/>
    </w:p>
    <w:p>
      <w:pPr>
        <w:ind w:firstLine="480"/>
        <w:spacing w:line="360" w:lineRule="auto"/>
        <w:rPr>
          <w:rFonts w:ascii="宋体" w:hAnsi="宋体" w:cs="宋体"/>
          <w:sz w:val="24"/>
          <w:szCs w:val="24"/>
        </w:rPr>
      </w:pPr>
      <w:r>
        <w:rPr>
          <w:rFonts w:hint="eastAsia" w:ascii="宋体" w:hAnsi="宋体" w:cs="宋体"/>
          <w:sz w:val="24"/>
          <w:szCs w:val="24"/>
        </w:rPr>
        <w:t xml:space="preserve">四、</w:t>
      </w:r>
      <w:bookmarkStart w:id="13" w:name="_Toc8178"/>
      <w:r/>
      <w:bookmarkStart w:id="14" w:name="_Toc16233"/>
      <w:r/>
      <w:bookmarkStart w:id="15" w:name="_Toc18522"/>
      <w:r/>
      <w:bookmarkStart w:id="16" w:name="_Toc7728"/>
      <w:r/>
      <w:bookmarkStart w:id="17" w:name="_Toc32358"/>
      <w:r/>
      <w:bookmarkStart w:id="18" w:name="_Toc29773"/>
      <w:r/>
      <w:bookmarkStart w:id="19" w:name="_Toc24826"/>
      <w:r/>
      <w:bookmarkStart w:id="20" w:name="_Toc1443"/>
      <w:r/>
      <w:bookmarkStart w:id="21" w:name="_Toc29503"/>
      <w:r/>
      <w:bookmarkStart w:id="22" w:name="_Toc5964"/>
      <w:r/>
      <w:bookmarkStart w:id="23" w:name="_Toc22410"/>
      <w:r>
        <w:rPr>
          <w:rFonts w:hint="eastAsia" w:ascii="宋体" w:hAnsi="宋体" w:cs="宋体"/>
          <w:sz w:val="24"/>
          <w:szCs w:val="24"/>
        </w:rPr>
        <w:t xml:space="preserve">项目建设原则</w:t>
      </w:r>
      <w:bookmarkEnd w:id="13"/>
      <w:r/>
      <w:bookmarkEnd w:id="14"/>
      <w:r/>
      <w:bookmarkEnd w:id="15"/>
      <w:r/>
      <w:bookmarkEnd w:id="16"/>
      <w:r/>
      <w:bookmarkEnd w:id="17"/>
      <w:r/>
      <w:bookmarkEnd w:id="18"/>
      <w:r/>
      <w:bookmarkEnd w:id="19"/>
      <w:r/>
      <w:bookmarkEnd w:id="20"/>
      <w:r/>
      <w:bookmarkEnd w:id="21"/>
      <w:r/>
      <w:bookmarkEnd w:id="22"/>
      <w:r/>
      <w:bookmarkEnd w:id="23"/>
      <w:r/>
      <w:r/>
    </w:p>
    <w:p>
      <w:pPr>
        <w:ind w:firstLine="480"/>
        <w:spacing w:line="360" w:lineRule="auto"/>
        <w:rPr>
          <w:rFonts w:ascii="宋体" w:hAnsi="宋体" w:cs="宋体"/>
          <w:sz w:val="24"/>
          <w:szCs w:val="24"/>
        </w:rPr>
      </w:pPr>
      <w:r>
        <w:rPr>
          <w:rFonts w:hint="eastAsia" w:ascii="宋体" w:hAnsi="宋体" w:cs="宋体"/>
          <w:sz w:val="24"/>
          <w:szCs w:val="24"/>
        </w:rPr>
        <w:t xml:space="preserve">以海陵区实际需求与信息化建设水平位基础，结合最新技术发展和监管需求变化，适度在重点领域开发较为前沿的创新技术，以经济实用、高效节能、先进可靠为前提，优化升级电梯场景的监管能力，提升电梯消防智控能力，聚焦电梯安全本质实现电梯场景下的智慧监管，为百姓提供更智能化、高效化的城市电梯管理和服务。具体建设原则如下：</w:t>
      </w:r>
      <w:r/>
    </w:p>
    <w:p>
      <w:pPr>
        <w:ind w:firstLine="480"/>
        <w:spacing w:line="360" w:lineRule="auto"/>
        <w:rPr>
          <w:rFonts w:ascii="宋体" w:hAnsi="宋体" w:cs="宋体"/>
          <w:sz w:val="24"/>
          <w:szCs w:val="24"/>
        </w:rPr>
      </w:pPr>
      <w:r>
        <w:rPr>
          <w:rFonts w:hint="eastAsia" w:ascii="宋体" w:hAnsi="宋体" w:cs="宋体"/>
          <w:sz w:val="24"/>
          <w:szCs w:val="24"/>
        </w:rPr>
        <w:t xml:space="preserve">1.需求导向与服务优化</w:t>
      </w:r>
      <w:r/>
    </w:p>
    <w:p>
      <w:pPr>
        <w:ind w:firstLine="480"/>
        <w:spacing w:line="360" w:lineRule="auto"/>
        <w:rPr>
          <w:rFonts w:ascii="宋体" w:hAnsi="宋体" w:cs="宋体"/>
          <w:sz w:val="24"/>
          <w:szCs w:val="24"/>
        </w:rPr>
      </w:pPr>
      <w:r>
        <w:rPr>
          <w:rFonts w:hint="eastAsia" w:ascii="宋体" w:hAnsi="宋体" w:cs="宋体"/>
          <w:sz w:val="24"/>
          <w:szCs w:val="24"/>
        </w:rPr>
        <w:t xml:space="preserve">电梯安全作为一项关键的民生工程，其运行的好坏事关老百姓的生命和财产安全。项目将坚定不移地以人民的安全感和满意度为核心，在充分调研百姓需求后，以提升电梯运行的效率和监管的服务质量为目的进行项目规划，提高市民的满意度和幸福感，促进城市的可持续发展。</w:t>
      </w:r>
      <w:r/>
    </w:p>
    <w:p>
      <w:pPr>
        <w:ind w:firstLine="480"/>
        <w:spacing w:line="360" w:lineRule="auto"/>
        <w:rPr>
          <w:rFonts w:ascii="宋体" w:hAnsi="宋体" w:cs="宋体"/>
          <w:sz w:val="24"/>
          <w:szCs w:val="24"/>
        </w:rPr>
      </w:pPr>
      <w:r>
        <w:rPr>
          <w:rFonts w:hint="eastAsia" w:ascii="宋体" w:hAnsi="宋体" w:cs="宋体"/>
          <w:sz w:val="24"/>
          <w:szCs w:val="24"/>
        </w:rPr>
        <w:t xml:space="preserve">2.数据融合与共享</w:t>
      </w:r>
      <w:r/>
    </w:p>
    <w:p>
      <w:pPr>
        <w:ind w:firstLine="480"/>
        <w:spacing w:line="360" w:lineRule="auto"/>
        <w:rPr>
          <w:rFonts w:ascii="宋体" w:hAnsi="宋体" w:cs="宋体"/>
          <w:sz w:val="24"/>
          <w:szCs w:val="24"/>
        </w:rPr>
      </w:pPr>
      <w:r>
        <w:rPr>
          <w:rFonts w:hint="eastAsia" w:ascii="宋体" w:hAnsi="宋体" w:cs="宋体"/>
          <w:sz w:val="24"/>
          <w:szCs w:val="24"/>
        </w:rPr>
        <w:t xml:space="preserve">电梯场景数据丰富，是智慧城市数据管理的重要补充。因此，本项也承担着推动电梯场景各类数据的高效汇聚、深度融合和广泛共享，打破信息孤岛，实现数据资源的最大化利用的目的，为后续海陵区实现一网统管打下坚实基础。</w:t>
      </w:r>
      <w:r/>
    </w:p>
    <w:p>
      <w:pPr>
        <w:ind w:firstLine="480"/>
        <w:spacing w:line="360" w:lineRule="auto"/>
        <w:rPr>
          <w:rFonts w:ascii="宋体" w:hAnsi="宋体" w:cs="宋体"/>
          <w:sz w:val="24"/>
          <w:szCs w:val="24"/>
        </w:rPr>
      </w:pPr>
      <w:r>
        <w:rPr>
          <w:rFonts w:hint="eastAsia" w:ascii="宋体" w:hAnsi="宋体" w:cs="宋体"/>
          <w:sz w:val="24"/>
          <w:szCs w:val="24"/>
        </w:rPr>
        <w:t xml:space="preserve">3.加强资源整合</w:t>
      </w:r>
      <w:r/>
    </w:p>
    <w:p>
      <w:pPr>
        <w:ind w:firstLine="480"/>
        <w:spacing w:line="360" w:lineRule="auto"/>
        <w:rPr>
          <w:rFonts w:ascii="宋体" w:hAnsi="宋体" w:cs="宋体"/>
          <w:sz w:val="24"/>
          <w:szCs w:val="24"/>
        </w:rPr>
      </w:pPr>
      <w:r>
        <w:rPr>
          <w:rFonts w:hint="eastAsia" w:ascii="宋体" w:hAnsi="宋体" w:cs="宋体"/>
          <w:sz w:val="24"/>
          <w:szCs w:val="24"/>
        </w:rPr>
        <w:t xml:space="preserve">认真调研业务现状，以系统应用需求为引领，统筹整合现有资源，做好顶层规划设计，提高基础设施资源利用率，实现相关资源的按需调配、有效共享。在避免重复投资建设的同时，实现建设集约化、信息共享化、服务标准化、效益最大化。</w:t>
      </w:r>
      <w:r/>
    </w:p>
    <w:p>
      <w:pPr>
        <w:ind w:firstLine="480"/>
        <w:spacing w:line="360" w:lineRule="auto"/>
        <w:rPr>
          <w:rFonts w:ascii="宋体" w:hAnsi="宋体" w:cs="宋体"/>
          <w:sz w:val="24"/>
          <w:szCs w:val="24"/>
        </w:rPr>
      </w:pPr>
      <w:r>
        <w:rPr>
          <w:rFonts w:hint="eastAsia" w:ascii="宋体" w:hAnsi="宋体" w:cs="宋体"/>
          <w:sz w:val="24"/>
          <w:szCs w:val="24"/>
        </w:rPr>
        <w:t xml:space="preserve">4.突出智能运用</w:t>
      </w:r>
      <w:r/>
    </w:p>
    <w:p>
      <w:pPr>
        <w:ind w:firstLine="480"/>
        <w:spacing w:line="360" w:lineRule="auto"/>
        <w:rPr>
          <w:rFonts w:ascii="宋体" w:hAnsi="宋体" w:cs="宋体"/>
          <w:sz w:val="24"/>
          <w:szCs w:val="24"/>
        </w:rPr>
      </w:pPr>
      <w:r>
        <w:rPr>
          <w:rFonts w:hint="eastAsia" w:ascii="宋体" w:hAnsi="宋体" w:cs="宋体"/>
          <w:sz w:val="24"/>
          <w:szCs w:val="24"/>
        </w:rPr>
        <w:t xml:space="preserve">充分考虑电梯等特种设备信息技术和信息需求的发展的趋势，在技术上应具有一定的超前性，采用较为先进的大数据、物联网、人工智能新理念和新技术，适应市监局业务管理的科技发展需求，以适度超前的意识为指导原则，保证建成的项目系统在5年内不落后。设计中以集成化和数字化的主流产品为核心，确保系统在技术上领先，成熟稳定，符合今后的发展趋势。</w:t>
      </w:r>
      <w:r/>
    </w:p>
    <w:p>
      <w:pPr>
        <w:ind w:firstLine="480"/>
        <w:spacing w:line="360" w:lineRule="auto"/>
        <w:rPr>
          <w:rFonts w:ascii="宋体" w:hAnsi="宋体" w:cs="宋体"/>
          <w:sz w:val="24"/>
          <w:szCs w:val="24"/>
        </w:rPr>
      </w:pPr>
      <w:r>
        <w:rPr>
          <w:rFonts w:hint="eastAsia" w:ascii="宋体" w:hAnsi="宋体" w:cs="宋体"/>
          <w:sz w:val="24"/>
          <w:szCs w:val="24"/>
        </w:rPr>
        <w:t xml:space="preserve">5.专注可靠运行</w:t>
      </w:r>
      <w:r/>
    </w:p>
    <w:p>
      <w:pPr>
        <w:ind w:firstLine="480"/>
        <w:spacing w:line="360" w:lineRule="auto"/>
        <w:rPr>
          <w:rFonts w:ascii="宋体" w:hAnsi="宋体" w:cs="宋体"/>
          <w:sz w:val="24"/>
          <w:szCs w:val="24"/>
        </w:rPr>
      </w:pPr>
      <w:r>
        <w:rPr>
          <w:rFonts w:hint="eastAsia" w:ascii="宋体" w:hAnsi="宋体" w:cs="宋体"/>
          <w:sz w:val="24"/>
          <w:szCs w:val="24"/>
        </w:rPr>
        <w:t xml:space="preserve">采用被实践证明为成熟和实用的技术和设备，最大限度地满足项目现在和将来的业务发展需要，确保耐久实用。系统管理功能全面，能充分满足项目自身各种业务的管理要求。应具有完全的操作环境，界面简练、友好，联机帮助功能健全有效。</w:t>
      </w:r>
      <w:r/>
    </w:p>
    <w:p>
      <w:pPr>
        <w:ind w:firstLine="480"/>
        <w:spacing w:line="360" w:lineRule="auto"/>
        <w:rPr>
          <w:rFonts w:ascii="宋体" w:hAnsi="宋体" w:cs="宋体"/>
          <w:sz w:val="24"/>
          <w:szCs w:val="24"/>
        </w:rPr>
      </w:pPr>
      <w:r>
        <w:rPr>
          <w:rFonts w:hint="eastAsia" w:ascii="宋体" w:hAnsi="宋体" w:cs="宋体"/>
          <w:sz w:val="24"/>
          <w:szCs w:val="24"/>
        </w:rPr>
        <w:t xml:space="preserve">6.满足开放扩展</w:t>
      </w:r>
      <w:r/>
    </w:p>
    <w:p>
      <w:pPr>
        <w:ind w:firstLine="480"/>
        <w:spacing w:line="360" w:lineRule="auto"/>
        <w:rPr>
          <w:rFonts w:ascii="宋体" w:hAnsi="宋体" w:cs="宋体"/>
          <w:sz w:val="24"/>
          <w:szCs w:val="24"/>
        </w:rPr>
      </w:pPr>
      <w:r>
        <w:rPr>
          <w:rFonts w:hint="eastAsia" w:ascii="宋体" w:hAnsi="宋体" w:cs="宋体"/>
          <w:sz w:val="24"/>
          <w:szCs w:val="24"/>
        </w:rPr>
        <w:t xml:space="preserve">为了满足系统所选用的技术和设备的协同运行能力以及信息化工作发展需求的不断扩展，必须追求系统的开放性，采用开放的技术标准。系统设计中各子系统均提供了标准化和开放性的接口协议，保证了各子系统之间的网络化与集成化实现。总体结构应具有兼容性和可扩展性，既可以包容不同厂类型的产品，便于优化换代，使整个智能化系统可以随着技术的发展与进步，不断得到充实、完善、改进和提高。</w:t>
      </w:r>
      <w:r/>
    </w:p>
    <w:p>
      <w:pPr>
        <w:ind w:firstLine="480"/>
        <w:spacing w:line="360" w:lineRule="auto"/>
        <w:rPr>
          <w:rFonts w:ascii="宋体" w:hAnsi="宋体" w:cs="宋体"/>
          <w:sz w:val="24"/>
          <w:szCs w:val="24"/>
        </w:rPr>
      </w:pPr>
      <w:r>
        <w:rPr>
          <w:rFonts w:hint="eastAsia" w:ascii="宋体" w:hAnsi="宋体" w:cs="宋体"/>
          <w:sz w:val="24"/>
          <w:szCs w:val="24"/>
        </w:rPr>
        <w:t xml:space="preserve">7.保证安全冗余</w:t>
      </w:r>
      <w:r/>
    </w:p>
    <w:p>
      <w:pPr>
        <w:ind w:firstLine="480"/>
        <w:spacing w:line="360" w:lineRule="auto"/>
        <w:rPr>
          <w:rFonts w:ascii="宋体" w:hAnsi="宋体" w:cs="宋体"/>
          <w:sz w:val="24"/>
          <w:szCs w:val="24"/>
        </w:rPr>
      </w:pPr>
      <w:r>
        <w:rPr>
          <w:rFonts w:hint="eastAsia" w:ascii="宋体" w:hAnsi="宋体" w:cs="宋体"/>
          <w:sz w:val="24"/>
          <w:szCs w:val="24"/>
        </w:rPr>
        <w:t xml:space="preserve">项目智能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firstLine="480"/>
        <w:spacing w:line="360" w:lineRule="auto"/>
        <w:rPr>
          <w:rFonts w:ascii="宋体" w:hAnsi="宋体" w:cs="宋体"/>
          <w:sz w:val="24"/>
          <w:szCs w:val="24"/>
        </w:rPr>
      </w:pPr>
      <w:r>
        <w:rPr>
          <w:rFonts w:hint="eastAsia" w:ascii="宋体" w:hAnsi="宋体" w:cs="宋体"/>
          <w:sz w:val="24"/>
          <w:szCs w:val="24"/>
        </w:rPr>
        <w:t xml:space="preserve">8.提高易用便利</w:t>
      </w:r>
      <w:r/>
    </w:p>
    <w:p>
      <w:pPr>
        <w:ind w:firstLine="480"/>
        <w:spacing w:line="360" w:lineRule="auto"/>
        <w:rPr>
          <w:rFonts w:ascii="宋体" w:hAnsi="宋体" w:cs="宋体"/>
          <w:sz w:val="24"/>
          <w:szCs w:val="24"/>
        </w:rPr>
      </w:pPr>
      <w:r>
        <w:rPr>
          <w:rFonts w:hint="eastAsia" w:ascii="宋体" w:hAnsi="宋体" w:cs="宋体"/>
          <w:sz w:val="24"/>
          <w:szCs w:val="24"/>
        </w:rPr>
        <w:t xml:space="preserve">强调以人为本的设计思想，适应多功能、外向型的需求，对于来自项目内外的各种信息进行收集、处理、存储、传输、检索、查询，为项目的使用者和管理者提供有效的信息服务和充分的决策依据，为用户和管理人员提供安全、舒适、方便、快捷、高效、节约的办公环境。</w:t>
      </w:r>
      <w:r/>
    </w:p>
    <w:p>
      <w:pPr>
        <w:ind w:firstLine="480"/>
        <w:spacing w:line="360" w:lineRule="auto"/>
        <w:rPr>
          <w:rFonts w:ascii="宋体" w:hAnsi="宋体" w:cs="宋体"/>
          <w:sz w:val="24"/>
          <w:szCs w:val="24"/>
        </w:rPr>
      </w:pPr>
      <w:r/>
      <w:bookmarkStart w:id="24" w:name="_Toc24815"/>
      <w:r/>
      <w:bookmarkStart w:id="25" w:name="_Toc13970"/>
      <w:r/>
      <w:bookmarkStart w:id="26" w:name="_Toc10098"/>
      <w:r/>
      <w:bookmarkStart w:id="27" w:name="_Toc11093"/>
      <w:r/>
      <w:bookmarkStart w:id="28" w:name="_Toc6225"/>
      <w:r/>
      <w:bookmarkStart w:id="29" w:name="_Toc14672"/>
      <w:r/>
      <w:bookmarkStart w:id="30" w:name="_Toc31659"/>
      <w:r/>
      <w:bookmarkStart w:id="31" w:name="_Toc25482"/>
      <w:r/>
      <w:bookmarkStart w:id="32" w:name="_Toc25300"/>
      <w:r/>
      <w:bookmarkStart w:id="33" w:name="_Toc1633"/>
      <w:r/>
      <w:bookmarkStart w:id="34" w:name="_Toc31454"/>
      <w:r>
        <w:rPr>
          <w:rFonts w:hint="eastAsia" w:ascii="宋体" w:hAnsi="宋体" w:cs="宋体"/>
          <w:sz w:val="24"/>
          <w:szCs w:val="24"/>
        </w:rPr>
        <w:t xml:space="preserve">五、项目建设内容</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海陵区智慧电梯管理项目主要围绕创建电梯监管的智能化发展、电梯场景消防隐患管理浪潮，实现全区3446台电梯的数字化改造工作，并充分运用移动互联网、云计算、大数据等新一代信息技术，完成海陵区智慧电梯管理项目的开发，建设以“一库”（电梯数据中心）为基础，以“两大平台”（使用单位管理平台、智能监测平台）为支撑，以“一图”（智慧决策数据驾驶舱）为核心，以物业电梯管理平台和APP为链接，构建共建、共治、共享的电梯安全社会治理新格局，为海陵区打造更加智慧、安全的城市环境，为市民提供更贴心的公共服务。</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（1）海陵区智慧电梯管理平台软件建设：包括“一库”（电梯数据中心），“两大平台”（使用单位管理平台、智能监测平台），“一图”（智慧决策数据驾驶舱），物业电梯管理平台和APP等。</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本项目所开发的电梯监管平台，是紧紧围绕着当前海陵区电梯管理核心诉求进行开发的智慧平台，具体开发需求如下：</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1.1电梯数据中心</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建立统一的电梯数据中心，将电梯基础数据、运行数据、救援数据、故障数据、监检数据等内容进行统一归类存储。通过数据中心，可以实现跨部门的数据共享，加强数据分析能力，从而更准确地识别电梯运行中的问题和安全隐患。</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1.2使用单位管理平台</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建立使用单位管理平台。能够将使用单位信息和电梯信息一一对应。方便在使用单位信息发生改变时，及时更新相关数据。</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1.3智能监测平台</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智能监测平台用来对海陵区所有电梯音视频采集设备运行情况及告警进行实时展示和统计分析。通过该平台的搭建，能够看到电动车入梯、电梯运行数据等实时数据，是海陵区实现电梯场景数字化监管的突破。</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1.4智慧决策数据驾驶舱</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智能决策数据驾驶仓即是海陵区电梯场景数字化监管转型的展示口，亦是监管人员的决策助手。通过数据动态、可视的直观展现，辅助监管人员做出更加科学的决策，有助于提升电梯安全管理水平，保障乘客安全，同时也提高了监管工作的效率和效果。</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1.5智慧决策数据驾驶舱</w:t>
      </w:r>
      <w:r/>
    </w:p>
    <w:p>
      <w:pPr>
        <w:pStyle w:val="928"/>
        <w:ind w:firstLine="420"/>
        <w:spacing w:line="360" w:lineRule="auto"/>
        <w:rPr>
          <w:rFonts w:ascii="宋体" w:hAnsi="宋体" w:cs="宋体"/>
          <w:sz w:val="24"/>
          <w:szCs w:val="24"/>
        </w:rPr>
      </w:pPr>
      <w:r>
        <w:rPr>
          <w:rFonts w:hint="eastAsia" w:ascii="宋体" w:hAnsi="宋体" w:cs="宋体"/>
          <w:sz w:val="24"/>
          <w:szCs w:val="24"/>
        </w:rPr>
        <w:t xml:space="preserve">智能决策数据驾驶仓即是海陵区电梯场景数字化监管转型的展示口，亦是监管人员的决策助手。通过数据动态、可视的直观展现，辅助监管人员做出更加科学的决策，有助于提升电梯安全管理水平，保障乘客安全，同时也提高了监管工作的效率和效果。</w:t>
      </w:r>
      <w:r/>
    </w:p>
    <w:p>
      <w:pPr>
        <w:ind w:firstLine="480"/>
        <w:spacing w:line="360" w:lineRule="auto"/>
        <w:rPr>
          <w:rFonts w:ascii="宋体" w:hAnsi="宋体" w:cs="宋体"/>
          <w:sz w:val="24"/>
          <w:szCs w:val="24"/>
        </w:rPr>
      </w:pPr>
      <w:r>
        <w:rPr>
          <w:rFonts w:hint="eastAsia" w:ascii="宋体" w:hAnsi="宋体" w:cs="宋体"/>
          <w:sz w:val="24"/>
          <w:szCs w:val="24"/>
        </w:rPr>
        <w:t xml:space="preserve">1.6物业电梯管理平台及APP应用软件开发</w:t>
      </w:r>
      <w:r/>
    </w:p>
    <w:p>
      <w:pPr>
        <w:ind w:firstLine="480"/>
        <w:spacing w:line="360" w:lineRule="auto"/>
        <w:rPr>
          <w:rFonts w:ascii="宋体" w:hAnsi="宋体" w:cs="宋体"/>
          <w:sz w:val="24"/>
          <w:szCs w:val="24"/>
        </w:rPr>
      </w:pPr>
      <w:r>
        <w:rPr>
          <w:rFonts w:hint="eastAsia" w:ascii="宋体" w:hAnsi="宋体" w:cs="宋体"/>
          <w:sz w:val="24"/>
          <w:szCs w:val="24"/>
        </w:rPr>
        <w:t xml:space="preserve">本项目所开发的物业电梯管理平台及APP应用软件，通过建立面向多个相关方的统一应用实现不同层面上的数据整合和共享。实现政府、物业共同参与电梯事务的管理和决策，形成多元共治的社会治理新格，是多元共治的重要实践。</w:t>
      </w:r>
      <w:r/>
    </w:p>
    <w:p>
      <w:pPr>
        <w:pStyle w:val="735"/>
        <w:ind w:firstLine="420"/>
        <w:rPr>
          <w:rFonts w:ascii="宋体" w:hAnsi="宋体" w:cs="宋体"/>
        </w:rPr>
      </w:pPr>
      <w:r>
        <w:rPr>
          <w:rFonts w:hint="eastAsia" w:ascii="宋体" w:hAnsi="宋体" w:cs="宋体"/>
        </w:rPr>
        <w:t xml:space="preserve">本项目对于物业电梯管理平台及APP应用软件具体需求有：实时监控电梯轿厢视频、各类告警及时推送、困人救援全流程可视、维保结果及明细可查、告警可向消防、社区、物业多级推送、可对电梯智能生成管理报表。对于社区管理者，具备物业通知公告审核下发的能力、具备对物业人员管理的能力。</w:t>
      </w:r>
      <w:r/>
    </w:p>
    <w:p>
      <w:pPr>
        <w:ind w:firstLine="480"/>
        <w:spacing w:line="360" w:lineRule="auto"/>
        <w:rPr>
          <w:rFonts w:ascii="宋体" w:hAnsi="宋体" w:cs="宋体"/>
          <w:sz w:val="24"/>
          <w:szCs w:val="24"/>
        </w:rPr>
      </w:pPr>
      <w:r>
        <w:rPr>
          <w:rFonts w:hint="eastAsia" w:ascii="宋体" w:hAnsi="宋体" w:cs="宋体"/>
          <w:sz w:val="24"/>
          <w:szCs w:val="24"/>
        </w:rPr>
        <w:t xml:space="preserve">1.7</w:t>
      </w:r>
      <w:bookmarkStart w:id="35" w:name="_Toc22872"/>
      <w:r/>
      <w:bookmarkStart w:id="36" w:name="_Toc28839"/>
      <w:r/>
      <w:bookmarkStart w:id="37" w:name="_Toc11592"/>
      <w:r/>
      <w:bookmarkStart w:id="38" w:name="_Toc3052"/>
      <w:r/>
      <w:bookmarkStart w:id="39" w:name="_Toc16686"/>
      <w:r/>
      <w:bookmarkStart w:id="40" w:name="_Toc20062"/>
      <w:r/>
      <w:bookmarkStart w:id="41" w:name="_Toc29910"/>
      <w:r/>
      <w:bookmarkStart w:id="42" w:name="_Toc19272"/>
      <w:r/>
      <w:bookmarkStart w:id="43" w:name="_Toc16564"/>
      <w:r/>
      <w:bookmarkStart w:id="44" w:name="_Toc5967"/>
      <w:r/>
      <w:bookmarkStart w:id="45" w:name="_Toc15451"/>
      <w:r/>
      <w:bookmarkStart w:id="46" w:name="_Toc11606"/>
      <w:r>
        <w:rPr>
          <w:rFonts w:hint="eastAsia" w:ascii="宋体" w:hAnsi="宋体" w:cs="宋体"/>
          <w:sz w:val="24"/>
          <w:szCs w:val="24"/>
        </w:rPr>
        <w:t xml:space="preserve">性能需求</w:t>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平台至少支持4千台电梯设备的大数据接入的性能要求，根据海陵区电梯增长趋势及平台未来的升级拓展，后期需能满足1万台电梯的大数据接入性能要求。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平台需满足最多4000个终端同时在线的需要。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其它应按行业标准和规范执行。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具备良好的可扩展性，在业务量增加时，能够向外扩展，以充分利用硬件系统的资源，满足业务不断发展的需求。应支持负载均衡和故障转移技术，保障业务不间断运行。能够将负载分布到多个应用服务器上；采用多线程的工作模式，实现线程池的自动调度功能。</w:t>
      </w:r>
      <w:bookmarkStart w:id="47" w:name="_Toc8059"/>
      <w:r/>
      <w:bookmarkStart w:id="48" w:name="_Toc6282"/>
      <w:r/>
      <w:bookmarkStart w:id="49" w:name="_Toc9110"/>
      <w:r/>
      <w:bookmarkStart w:id="50" w:name="_Toc2085"/>
      <w:r/>
      <w:bookmarkStart w:id="51" w:name="_Toc28716"/>
      <w:r/>
      <w:bookmarkStart w:id="52" w:name="_Toc2247"/>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1.8数据中心资源需求</w:t>
      </w:r>
      <w:bookmarkEnd w:id="47"/>
      <w:r/>
      <w:bookmarkEnd w:id="48"/>
      <w:r/>
      <w:bookmarkEnd w:id="49"/>
      <w:r/>
      <w:bookmarkEnd w:id="50"/>
      <w:r/>
      <w:bookmarkEnd w:id="51"/>
      <w:r/>
      <w:bookmarkEnd w:id="52"/>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期项目应充分考虑系统的运行流畅性和数据的安全保密性，应用系统、存储系统集中部署，充分利用泰州市大数据政务云平台资源。平台资源包含应用系统、存储系统、安全系统、云平台系统软件、网络资源等方面内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主机存储系统方面，本项目需要新增WEB服务器、数据库服务器和存储阵列等。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系统软件方面，本项目需要建设应用系统运行环境需要的操作系统、数据库软件和PAAS能力软件等。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1.9</w:t>
      </w:r>
      <w:bookmarkStart w:id="53" w:name="_Toc119150884"/>
      <w:r/>
      <w:bookmarkStart w:id="54" w:name="_Toc16997"/>
      <w:r/>
      <w:bookmarkStart w:id="55" w:name="_Toc15765"/>
      <w:r>
        <w:rPr>
          <w:rFonts w:hint="eastAsia" w:ascii="宋体" w:hAnsi="宋体" w:cs="宋体"/>
          <w:sz w:val="24"/>
          <w:szCs w:val="24"/>
        </w:rPr>
        <w:t xml:space="preserve">服务器需求</w:t>
      </w:r>
      <w:bookmarkEnd w:id="53"/>
      <w:r/>
      <w:bookmarkEnd w:id="54"/>
      <w:r/>
      <w:bookmarkEnd w:id="55"/>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虚拟化技术是实现泰州市政务网云计算平台的基础。充分利用泰州市政务网云计算平台提供的服务器资源，不仅能实现应用快速部署、业务连续性保护、测试/开发自动化管理，还能实现资源共享，节约建设成本、提高服务响应速度、实现应用快速恢复。</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因此，本着资源整合与共享的目的，并结合本期项目平台对服务器资源提出的较高的要求，需要泰州市政务云平台提供相应的服务器资源以满足应用部署的需求。</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本项目结合业务特征及政务网云平台的分区安全策略，主要有以下服务器建设需求</w:t>
      </w:r>
      <w:r>
        <w:rPr>
          <w:rFonts w:hint="eastAsia" w:ascii="宋体" w:hAnsi="宋体" w:cs="宋体"/>
          <w:b/>
          <w:bCs/>
          <w:sz w:val="24"/>
          <w:szCs w:val="24"/>
        </w:rPr>
        <w:t xml:space="preserve">（以实际中标单位方案为准）</w:t>
      </w:r>
      <w:r/>
    </w:p>
    <w:tbl>
      <w:tblPr>
        <w:tblStyle w:val="734"/>
        <w:tblW w:w="544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57" w:type="dxa"/>
          <w:top w:w="0" w:type="dxa"/>
          <w:right w:w="57" w:type="dxa"/>
          <w:bottom w:w="0" w:type="dxa"/>
        </w:tblCellMar>
        <w:tblLook w:val="04A0" w:firstRow="1" w:lastRow="0" w:firstColumn="1" w:lastColumn="0" w:noHBand="0" w:noVBand="1"/>
      </w:tblPr>
      <w:tblGrid>
        <w:gridCol w:w="725"/>
        <w:gridCol w:w="1467"/>
        <w:gridCol w:w="1326"/>
        <w:gridCol w:w="2075"/>
        <w:gridCol w:w="2435"/>
        <w:gridCol w:w="652"/>
        <w:gridCol w:w="736"/>
      </w:tblGrid>
      <w:tr>
        <w:trPr>
          <w:trHeight w:val="764"/>
          <w:tblHeader/>
        </w:trPr>
        <w:tc>
          <w:tcPr>
            <w:shd w:val="clear" w:color="auto" w:fill="ffffff" w:themeFill="background1"/>
            <w:tcW w:w="38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ffffff" w:themeFill="background1"/>
            <w:tcW w:w="77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云平台类型</w:t>
            </w:r>
            <w:r/>
          </w:p>
        </w:tc>
        <w:tc>
          <w:tcPr>
            <w:shd w:val="clear" w:color="auto" w:fill="ffffff" w:themeFill="background1"/>
            <w:tcW w:w="70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设备类型</w:t>
            </w:r>
            <w:r/>
          </w:p>
        </w:tc>
        <w:tc>
          <w:tcPr>
            <w:shd w:val="clear" w:color="auto" w:fill="ffffff" w:themeFill="background1"/>
            <w:tcW w:w="110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项目名称</w:t>
            </w:r>
            <w:r/>
          </w:p>
        </w:tc>
        <w:tc>
          <w:tcPr>
            <w:shd w:val="clear" w:color="auto" w:fill="ffffff" w:themeFill="background1"/>
            <w:tcW w:w="1293"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关键参数及说明</w:t>
            </w:r>
            <w:r/>
          </w:p>
        </w:tc>
        <w:tc>
          <w:tcPr>
            <w:shd w:val="clear" w:color="auto" w:fill="ffffff" w:themeFill="background1"/>
            <w:tcW w:w="34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ffffff" w:themeFill="background1"/>
            <w:tcW w:w="38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r>
      <w:tr>
        <w:trPr>
          <w:trHeight w:val="522"/>
        </w:trPr>
        <w:tc>
          <w:tcPr>
            <w:gridSpan w:val="7"/>
            <w:shd w:val="clear" w:color="auto" w:fill="ffffff" w:themeFill="background1"/>
            <w:tcW w:w="5000" w:type="pct"/>
            <w:vAlign w:val="center"/>
            <w:textDirection w:val="lrTb"/>
            <w:noWrap/>
          </w:tcPr>
          <w:p>
            <w:pPr>
              <w:jc w:val="center"/>
              <w:widowControl/>
              <w:rPr>
                <w:rFonts w:ascii="宋体" w:hAnsi="宋体" w:cs="宋体"/>
                <w:szCs w:val="21"/>
              </w:rPr>
            </w:pPr>
            <w:r>
              <w:rPr>
                <w:rFonts w:hint="eastAsia" w:ascii="宋体" w:hAnsi="宋体" w:cs="宋体"/>
                <w:b/>
                <w:bCs/>
                <w:szCs w:val="21"/>
              </w:rPr>
              <w:t xml:space="preserve">应用服务器</w:t>
            </w:r>
            <w:r/>
          </w:p>
        </w:tc>
      </w:tr>
      <w:tr>
        <w:trPr>
          <w:trHeight w:val="547"/>
        </w:trPr>
        <w:tc>
          <w:tcPr>
            <w:shd w:val="clear" w:color="auto" w:fill="ffffff" w:themeFill="background1"/>
            <w:tcW w:w="3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7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政务外网</w:t>
            </w:r>
            <w:r/>
          </w:p>
        </w:tc>
        <w:tc>
          <w:tcPr>
            <w:shd w:val="clear" w:color="auto" w:fill="ffffff" w:themeFill="background1"/>
            <w:tcW w:w="7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主机设备</w:t>
            </w:r>
            <w:r/>
          </w:p>
        </w:tc>
        <w:tc>
          <w:tcPr>
            <w:shd w:val="clear" w:color="auto" w:fill="ffffff" w:themeFill="background1"/>
            <w:tcW w:w="11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电梯物联网远程监测设备平台系统</w:t>
            </w:r>
            <w:r/>
          </w:p>
        </w:tc>
        <w:tc>
          <w:tcPr>
            <w:shd w:val="clear" w:color="auto" w:fill="ffffff" w:themeFill="background1"/>
            <w:tcW w:w="12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4核16G内存500GB硬盘</w:t>
            </w:r>
            <w:r/>
          </w:p>
        </w:tc>
        <w:tc>
          <w:tcPr>
            <w:shd w:val="clear" w:color="auto" w:fill="ffffff" w:themeFill="background1"/>
            <w:tcW w:w="34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ffffff" w:themeFill="background1"/>
            <w:tcW w:w="38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trHeight w:val="540"/>
        </w:trPr>
        <w:tc>
          <w:tcPr>
            <w:gridSpan w:val="7"/>
            <w:shd w:val="clear" w:color="auto" w:fill="ffffff" w:themeFill="background1"/>
            <w:tcW w:w="5000" w:type="pct"/>
            <w:vAlign w:val="center"/>
            <w:textDirection w:val="lrTb"/>
            <w:noWrap/>
          </w:tcPr>
          <w:p>
            <w:pPr>
              <w:jc w:val="center"/>
              <w:widowControl/>
              <w:rPr>
                <w:rFonts w:ascii="宋体" w:hAnsi="宋体" w:cs="宋体"/>
                <w:szCs w:val="21"/>
              </w:rPr>
            </w:pPr>
            <w:r>
              <w:rPr>
                <w:rFonts w:hint="eastAsia" w:ascii="宋体" w:hAnsi="宋体" w:cs="宋体"/>
                <w:b/>
                <w:bCs/>
                <w:szCs w:val="21"/>
              </w:rPr>
              <w:t xml:space="preserve">数据库服务器</w:t>
            </w:r>
            <w:r/>
          </w:p>
        </w:tc>
      </w:tr>
      <w:tr>
        <w:trPr>
          <w:trHeight w:val="547"/>
        </w:trPr>
        <w:tc>
          <w:tcPr>
            <w:shd w:val="clear" w:color="auto" w:fill="ffffff" w:themeFill="background1"/>
            <w:tcW w:w="3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7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政务外网</w:t>
            </w:r>
            <w:r/>
          </w:p>
        </w:tc>
        <w:tc>
          <w:tcPr>
            <w:shd w:val="clear" w:color="auto" w:fill="ffffff" w:themeFill="background1"/>
            <w:tcW w:w="7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主机设备</w:t>
            </w:r>
            <w:r/>
          </w:p>
        </w:tc>
        <w:tc>
          <w:tcPr>
            <w:shd w:val="clear" w:color="auto" w:fill="ffffff" w:themeFill="background1"/>
            <w:tcW w:w="11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RDS</w:t>
            </w:r>
            <w:r/>
          </w:p>
        </w:tc>
        <w:tc>
          <w:tcPr>
            <w:shd w:val="clear" w:color="auto" w:fill="ffffff" w:themeFill="background1"/>
            <w:tcW w:w="12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8核心32G内存1000GB硬盘</w:t>
            </w:r>
            <w:r/>
          </w:p>
        </w:tc>
        <w:tc>
          <w:tcPr>
            <w:shd w:val="clear" w:color="auto" w:fill="ffffff" w:themeFill="background1"/>
            <w:tcW w:w="34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ffffff" w:themeFill="background1"/>
            <w:tcW w:w="38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trHeight w:val="677"/>
        </w:trPr>
        <w:tc>
          <w:tcPr>
            <w:shd w:val="clear" w:color="auto" w:fill="ffffff" w:themeFill="background1"/>
            <w:tcW w:w="3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7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政务外网</w:t>
            </w:r>
            <w:r/>
          </w:p>
        </w:tc>
        <w:tc>
          <w:tcPr>
            <w:shd w:val="clear" w:color="auto" w:fill="ffffff" w:themeFill="background1"/>
            <w:tcW w:w="7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主机设备</w:t>
            </w:r>
            <w:r/>
          </w:p>
        </w:tc>
        <w:tc>
          <w:tcPr>
            <w:shd w:val="clear" w:color="auto" w:fill="ffffff" w:themeFill="background1"/>
            <w:tcW w:w="11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Redis集群</w:t>
            </w:r>
            <w:r/>
          </w:p>
        </w:tc>
        <w:tc>
          <w:tcPr>
            <w:shd w:val="clear" w:color="auto" w:fill="ffffff" w:themeFill="background1"/>
            <w:tcW w:w="12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4核心16G内存500GB硬盘</w:t>
            </w:r>
            <w:r/>
          </w:p>
        </w:tc>
        <w:tc>
          <w:tcPr>
            <w:shd w:val="clear" w:color="auto" w:fill="ffffff" w:themeFill="background1"/>
            <w:tcW w:w="34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ffffff" w:themeFill="background1"/>
            <w:tcW w:w="38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trHeight w:val="576"/>
        </w:trPr>
        <w:tc>
          <w:tcPr>
            <w:gridSpan w:val="7"/>
            <w:shd w:val="clear" w:color="auto" w:fill="ffffff" w:themeFill="background1"/>
            <w:tcW w:w="5000" w:type="pct"/>
            <w:vAlign w:val="center"/>
            <w:textDirection w:val="lrTb"/>
            <w:noWrap/>
          </w:tcPr>
          <w:p>
            <w:pPr>
              <w:jc w:val="center"/>
              <w:widowControl/>
              <w:rPr>
                <w:rFonts w:ascii="宋体" w:hAnsi="宋体" w:cs="宋体"/>
                <w:szCs w:val="21"/>
              </w:rPr>
            </w:pPr>
            <w:r>
              <w:rPr>
                <w:rFonts w:hint="eastAsia" w:ascii="宋体" w:hAnsi="宋体" w:cs="宋体"/>
                <w:b/>
                <w:bCs/>
                <w:szCs w:val="21"/>
              </w:rPr>
              <w:t xml:space="preserve">其他资源</w:t>
            </w:r>
            <w:r/>
          </w:p>
        </w:tc>
      </w:tr>
      <w:tr>
        <w:trPr>
          <w:trHeight w:val="556"/>
        </w:trPr>
        <w:tc>
          <w:tcPr>
            <w:shd w:val="clear" w:color="auto" w:fill="ffffff" w:themeFill="background1"/>
            <w:tcW w:w="3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7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政务外网</w:t>
            </w:r>
            <w:r/>
          </w:p>
        </w:tc>
        <w:tc>
          <w:tcPr>
            <w:shd w:val="clear" w:color="auto" w:fill="ffffff" w:themeFill="background1"/>
            <w:tcW w:w="7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主机设备</w:t>
            </w:r>
            <w:r/>
          </w:p>
        </w:tc>
        <w:tc>
          <w:tcPr>
            <w:shd w:val="clear" w:color="auto" w:fill="ffffff" w:themeFill="background1"/>
            <w:tcW w:w="11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数据中心存储</w:t>
            </w:r>
            <w:r/>
          </w:p>
        </w:tc>
        <w:tc>
          <w:tcPr>
            <w:shd w:val="clear" w:color="auto" w:fill="ffffff" w:themeFill="background1"/>
            <w:tcW w:w="12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4核8G内存8TB硬盘，国产操作系统</w:t>
            </w:r>
            <w:r/>
          </w:p>
        </w:tc>
        <w:tc>
          <w:tcPr>
            <w:shd w:val="clear" w:color="auto" w:fill="ffffff" w:themeFill="background1"/>
            <w:tcW w:w="34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ffffff" w:themeFill="background1"/>
            <w:tcW w:w="38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1.10</w:t>
      </w:r>
      <w:bookmarkStart w:id="56" w:name="_Toc10061"/>
      <w:r/>
      <w:bookmarkStart w:id="57" w:name="_Toc119150885"/>
      <w:r/>
      <w:bookmarkStart w:id="58" w:name="_Toc25081"/>
      <w:r>
        <w:rPr>
          <w:rFonts w:hint="eastAsia" w:ascii="宋体" w:hAnsi="宋体" w:cs="宋体"/>
          <w:sz w:val="24"/>
          <w:szCs w:val="24"/>
        </w:rPr>
        <w:t xml:space="preserve">系统软件需求</w:t>
      </w:r>
      <w:bookmarkEnd w:id="56"/>
      <w:r/>
      <w:bookmarkEnd w:id="57"/>
      <w:r/>
      <w:bookmarkEnd w:id="58"/>
      <w:r>
        <w:rPr>
          <w:rFonts w:hint="eastAsia" w:ascii="宋体" w:hAnsi="宋体" w:cs="宋体"/>
          <w:b/>
          <w:bCs/>
          <w:sz w:val="24"/>
          <w:szCs w:val="24"/>
        </w:rPr>
        <w:t xml:space="preserve">（预测、以实际中标单位方案为准）</w:t>
      </w:r>
      <w:r/>
    </w:p>
    <w:tbl>
      <w:tblPr>
        <w:tblStyle w:val="734"/>
        <w:tblW w:w="48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230"/>
        <w:gridCol w:w="3447"/>
        <w:gridCol w:w="1860"/>
        <w:gridCol w:w="1861"/>
      </w:tblGrid>
      <w:tr>
        <w:trPr>
          <w:jc w:val="center"/>
          <w:trHeight w:val="554"/>
          <w:tblHeader/>
        </w:trPr>
        <w:tc>
          <w:tcPr>
            <w:shd w:val="clear" w:color="auto" w:fill="ffffff" w:themeFill="background1"/>
            <w:tcW w:w="73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ffffff" w:themeFill="background1"/>
            <w:tcW w:w="205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项目</w:t>
            </w:r>
            <w:r/>
          </w:p>
        </w:tc>
        <w:tc>
          <w:tcPr>
            <w:shd w:val="clear" w:color="auto" w:fill="ffffff" w:themeFill="background1"/>
            <w:tcW w:w="110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ffffff" w:themeFill="background1"/>
            <w:tcW w:w="110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r>
      <w:tr>
        <w:trPr>
          <w:jc w:val="center"/>
          <w:trHeight w:val="554"/>
        </w:trPr>
        <w:tc>
          <w:tcPr>
            <w:shd w:val="clear" w:color="auto" w:fill="ffffff" w:themeFill="background1"/>
            <w:tcW w:w="7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205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国产操作系统</w:t>
            </w:r>
            <w:r/>
          </w:p>
        </w:tc>
        <w:tc>
          <w:tcPr>
            <w:shd w:val="clear" w:color="auto" w:fill="ffffff" w:themeFill="background1"/>
            <w:tcW w:w="110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ffffff" w:themeFill="background1"/>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r>
      <w:tr>
        <w:trPr>
          <w:jc w:val="center"/>
          <w:trHeight w:val="554"/>
        </w:trPr>
        <w:tc>
          <w:tcPr>
            <w:shd w:val="clear" w:color="auto" w:fill="ffffff" w:themeFill="background1"/>
            <w:tcW w:w="7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05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国产数据库软件</w:t>
            </w:r>
            <w:r/>
          </w:p>
        </w:tc>
        <w:tc>
          <w:tcPr>
            <w:shd w:val="clear" w:color="auto" w:fill="ffffff" w:themeFill="background1"/>
            <w:tcW w:w="110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实例</w:t>
            </w:r>
            <w:r/>
          </w:p>
        </w:tc>
        <w:tc>
          <w:tcPr>
            <w:shd w:val="clear" w:color="auto" w:fill="ffffff" w:themeFill="background1"/>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r>
      <w:tr>
        <w:trPr>
          <w:jc w:val="center"/>
          <w:trHeight w:val="591"/>
        </w:trPr>
        <w:tc>
          <w:tcPr>
            <w:shd w:val="clear" w:color="auto" w:fill="ffffff" w:themeFill="background1"/>
            <w:tcW w:w="7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ffffff" w:themeFill="background1"/>
            <w:tcW w:w="205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国产中间件</w:t>
            </w:r>
            <w:r/>
          </w:p>
        </w:tc>
        <w:tc>
          <w:tcPr>
            <w:shd w:val="clear" w:color="auto" w:fill="ffffff" w:themeFill="background1"/>
            <w:tcW w:w="110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ffffff" w:themeFill="background1"/>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r>
    </w:tbl>
    <w:p>
      <w:pPr>
        <w:pStyle w:val="928"/>
      </w:p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1.11</w:t>
      </w:r>
      <w:r>
        <w:rPr>
          <w:rFonts w:ascii="宋体" w:hAnsi="宋体" w:cs="宋体"/>
          <w:sz w:val="24"/>
          <w:szCs w:val="24"/>
        </w:rPr>
        <w:t xml:space="preserve">存储需求</w:t>
      </w:r>
      <w:r/>
    </w:p>
    <w:p>
      <w:pPr>
        <w:ind w:firstLine="480"/>
        <w:jc w:val="left"/>
        <w:spacing w:line="360" w:lineRule="auto"/>
        <w:rPr>
          <w:rFonts w:ascii="宋体" w:hAnsi="宋体" w:cs="宋体"/>
          <w:sz w:val="24"/>
          <w:szCs w:val="24"/>
        </w:rPr>
      </w:pPr>
      <w:r>
        <w:rPr>
          <w:rFonts w:ascii="宋体" w:hAnsi="宋体" w:cs="宋体"/>
          <w:sz w:val="24"/>
          <w:szCs w:val="24"/>
        </w:rPr>
        <w:t xml:space="preserve">本项目有大量的基础数据，包括：图片视频文件数据、业务记录数据、静态数据、动态数据等相关数据，具体数据存储规模和类型包括如下：</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1.</w:t>
      </w:r>
      <w:r>
        <w:rPr>
          <w:rFonts w:hint="eastAsia" w:ascii="宋体" w:hAnsi="宋体" w:cs="宋体"/>
          <w:sz w:val="24"/>
          <w:szCs w:val="24"/>
        </w:rPr>
        <w:t xml:space="preserve">1</w:t>
      </w:r>
      <w:r>
        <w:rPr>
          <w:rFonts w:ascii="宋体" w:hAnsi="宋体" w:cs="宋体"/>
          <w:sz w:val="24"/>
          <w:szCs w:val="24"/>
        </w:rPr>
        <w:t xml:space="preserve">图片文件数据</w:t>
      </w:r>
      <w:r/>
    </w:p>
    <w:p>
      <w:pPr>
        <w:pStyle w:val="928"/>
        <w:ind w:firstLine="480"/>
        <w:spacing w:line="360" w:lineRule="auto"/>
        <w:rPr>
          <w:rFonts w:ascii="宋体" w:hAnsi="宋体" w:cs="宋体"/>
          <w:sz w:val="24"/>
          <w:szCs w:val="24"/>
        </w:rPr>
      </w:pPr>
      <w:r>
        <w:rPr>
          <w:rFonts w:ascii="宋体" w:hAnsi="宋体" w:cs="宋体"/>
          <w:sz w:val="24"/>
          <w:szCs w:val="24"/>
        </w:rPr>
        <w:t xml:space="preserve">粗略测算数据总量，每年产生图片约200万张。按每张图片大小约为200k；每年约400G的图片数据量，4年存储量为1.6T。</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1.11.</w:t>
      </w:r>
      <w:r>
        <w:rPr>
          <w:rFonts w:ascii="宋体" w:hAnsi="宋体" w:cs="宋体"/>
          <w:sz w:val="24"/>
          <w:szCs w:val="24"/>
        </w:rPr>
        <w:t xml:space="preserve">2.实时数据</w:t>
      </w:r>
      <w:r/>
    </w:p>
    <w:p>
      <w:pPr>
        <w:pStyle w:val="928"/>
        <w:ind w:firstLine="480"/>
        <w:spacing w:line="360" w:lineRule="auto"/>
        <w:rPr>
          <w:rFonts w:ascii="宋体" w:hAnsi="宋体" w:cs="宋体"/>
          <w:sz w:val="24"/>
          <w:szCs w:val="24"/>
        </w:rPr>
      </w:pPr>
      <w:r>
        <w:rPr>
          <w:rFonts w:ascii="宋体" w:hAnsi="宋体" w:cs="宋体"/>
          <w:sz w:val="24"/>
          <w:szCs w:val="24"/>
        </w:rPr>
        <w:t xml:space="preserve">每台电梯每天的数据按100K计算，数据存储一年，4000台特种设备所需数据存储空间为4000×365天×100k≈0.14T。</w:t>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（2）电梯物联网系统建设：3446台电梯加装电梯物联网智能监测设备。</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2.1</w:t>
      </w:r>
      <w:bookmarkStart w:id="59" w:name="_Toc16836"/>
      <w:r>
        <w:rPr>
          <w:rFonts w:hint="eastAsia" w:ascii="宋体" w:hAnsi="宋体" w:cs="宋体"/>
          <w:sz w:val="24"/>
          <w:szCs w:val="24"/>
        </w:rPr>
        <w:t xml:space="preserve">设备参数</w:t>
      </w:r>
      <w:bookmarkEnd w:id="59"/>
      <w:r>
        <w:rPr>
          <w:rFonts w:hint="eastAsia" w:ascii="宋体" w:hAnsi="宋体" w:cs="宋体"/>
          <w:sz w:val="24"/>
          <w:szCs w:val="24"/>
        </w:rPr>
        <w:t xml:space="preserve">需求</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2.1.1音视频采集设备</w:t>
      </w:r>
      <w:r/>
    </w:p>
    <w:p>
      <w:pPr>
        <w:ind w:firstLine="480"/>
        <w:jc w:val="left"/>
        <w:spacing w:line="360" w:lineRule="auto"/>
        <w:rPr>
          <w:rFonts w:ascii="宋体" w:hAnsi="宋体"/>
          <w:sz w:val="24"/>
          <w:szCs w:val="24"/>
        </w:rPr>
      </w:pPr>
      <w:r>
        <w:rPr>
          <w:rFonts w:hint="eastAsia" w:ascii="宋体" w:hAnsi="宋体"/>
          <w:sz w:val="24"/>
          <w:szCs w:val="24"/>
        </w:rPr>
        <w:t xml:space="preserve">音视频采集设备通过强大的GPU及本地AI算法，实时采集轿厢视频并对进入轿厢的人、物进行属性分析，实现对轿厢场景全天候24小时的智能监督，从而保障乘梯人安全。</w:t>
      </w:r>
      <w:r/>
    </w:p>
    <w:p>
      <w:pPr>
        <w:numPr>
          <w:ilvl w:val="0"/>
          <w:numId w:val="4"/>
        </w:numPr>
        <w:spacing w:line="360" w:lineRule="auto"/>
        <w:rPr>
          <w:rFonts w:ascii="宋体" w:hAnsi="宋体"/>
          <w:sz w:val="24"/>
          <w:szCs w:val="24"/>
        </w:rPr>
      </w:pPr>
      <w:r>
        <w:rPr>
          <w:rFonts w:hint="eastAsia" w:ascii="宋体" w:hAnsi="宋体"/>
          <w:sz w:val="24"/>
          <w:szCs w:val="24"/>
        </w:rPr>
        <w:t xml:space="preserve">支持电动车、液化气瓶入梯报警，电动车、液化气瓶进入轿厢后报警，检测到电动车、液化气瓶进入轿厢后，电梯门保持开启状态。</w:t>
      </w:r>
      <w:r/>
    </w:p>
    <w:p>
      <w:pPr>
        <w:numPr>
          <w:ilvl w:val="0"/>
          <w:numId w:val="4"/>
        </w:numPr>
        <w:spacing w:line="360" w:lineRule="auto"/>
        <w:rPr>
          <w:rFonts w:ascii="宋体" w:hAnsi="宋体"/>
          <w:sz w:val="24"/>
          <w:szCs w:val="24"/>
        </w:rPr>
      </w:pPr>
      <w:r>
        <w:rPr>
          <w:rFonts w:hint="eastAsia" w:ascii="宋体" w:hAnsi="宋体"/>
          <w:sz w:val="24"/>
          <w:szCs w:val="24"/>
        </w:rPr>
        <w:t xml:space="preserve">采用深度学习硬件及算法，支持电动车、液化气瓶识别，人数统计等多种目标检测跟踪识别。</w:t>
      </w:r>
      <w:r/>
    </w:p>
    <w:p>
      <w:pPr>
        <w:numPr>
          <w:ilvl w:val="0"/>
          <w:numId w:val="4"/>
        </w:numPr>
        <w:spacing w:line="360" w:lineRule="auto"/>
        <w:rPr>
          <w:rFonts w:ascii="宋体" w:hAnsi="宋体"/>
          <w:sz w:val="24"/>
          <w:szCs w:val="24"/>
        </w:rPr>
      </w:pPr>
      <w:r>
        <w:rPr>
          <w:rFonts w:hint="eastAsia" w:ascii="宋体" w:hAnsi="宋体"/>
          <w:sz w:val="24"/>
          <w:szCs w:val="24"/>
        </w:rPr>
        <w:t xml:space="preserve">支持电梯物联功能，支持电梯运维信息统计。</w:t>
      </w:r>
      <w:r/>
    </w:p>
    <w:p>
      <w:pPr>
        <w:numPr>
          <w:ilvl w:val="0"/>
          <w:numId w:val="4"/>
        </w:numPr>
        <w:spacing w:line="360" w:lineRule="auto"/>
        <w:rPr>
          <w:rFonts w:ascii="宋体" w:hAnsi="宋体"/>
          <w:sz w:val="24"/>
          <w:szCs w:val="24"/>
        </w:rPr>
      </w:pPr>
      <w:r>
        <w:rPr>
          <w:rFonts w:hint="eastAsia" w:ascii="宋体" w:hAnsi="宋体"/>
          <w:sz w:val="24"/>
          <w:szCs w:val="24"/>
        </w:rPr>
        <w:t xml:space="preserve">支持内置传感器，采用深度学习硬件及算法，可显示楼层信息。</w:t>
      </w:r>
      <w:r/>
    </w:p>
    <w:p>
      <w:pPr>
        <w:numPr>
          <w:ilvl w:val="0"/>
          <w:numId w:val="4"/>
        </w:numPr>
        <w:spacing w:line="360" w:lineRule="auto"/>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1路报警输入，1路报警输出，报警输出</w:t>
      </w:r>
      <w:r>
        <w:rPr>
          <w:rFonts w:hint="eastAsia" w:ascii="宋体" w:hAnsi="宋体"/>
          <w:sz w:val="24"/>
          <w:szCs w:val="24"/>
        </w:rPr>
        <w:t xml:space="preserve">对外供电。</w:t>
      </w:r>
      <w:r/>
    </w:p>
    <w:p>
      <w:pPr>
        <w:numPr>
          <w:ilvl w:val="0"/>
          <w:numId w:val="4"/>
        </w:numPr>
        <w:spacing w:line="360" w:lineRule="auto"/>
        <w:rPr>
          <w:rFonts w:ascii="宋体" w:hAnsi="宋体"/>
          <w:sz w:val="24"/>
          <w:szCs w:val="24"/>
        </w:rPr>
      </w:pPr>
      <w:r>
        <w:rPr>
          <w:rFonts w:hint="eastAsia" w:ascii="宋体" w:hAnsi="宋体"/>
          <w:sz w:val="24"/>
          <w:szCs w:val="24"/>
        </w:rPr>
        <w:t xml:space="preserve">内置</w:t>
      </w:r>
      <w:r>
        <w:rPr>
          <w:rFonts w:ascii="宋体" w:hAnsi="宋体"/>
          <w:sz w:val="24"/>
          <w:szCs w:val="24"/>
        </w:rPr>
        <w:t xml:space="preserve">MicroSD/MicroSDHC/MicroSDXC插槽，最大支持512GB</w:t>
      </w:r>
      <w:r>
        <w:rPr>
          <w:rFonts w:hint="eastAsia" w:ascii="宋体" w:hAnsi="宋体"/>
          <w:sz w:val="24"/>
          <w:szCs w:val="24"/>
        </w:rPr>
        <w:t xml:space="preserve">。</w:t>
      </w:r>
      <w:r/>
    </w:p>
    <w:p>
      <w:pPr>
        <w:numPr>
          <w:ilvl w:val="0"/>
          <w:numId w:val="4"/>
        </w:numPr>
        <w:spacing w:line="360" w:lineRule="auto"/>
        <w:rPr>
          <w:rFonts w:ascii="宋体" w:hAnsi="宋体"/>
          <w:sz w:val="24"/>
          <w:szCs w:val="24"/>
        </w:rPr>
      </w:pPr>
      <w:r>
        <w:rPr>
          <w:rFonts w:ascii="宋体" w:hAnsi="宋体"/>
          <w:sz w:val="24"/>
          <w:szCs w:val="24"/>
        </w:rPr>
        <w:t xml:space="preserve">1个内置麦克风，1个内置扬声器，支持双向语音对讲</w:t>
      </w:r>
      <w:r>
        <w:rPr>
          <w:rFonts w:hint="eastAsia"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符合</w:t>
      </w:r>
      <w:r>
        <w:rPr>
          <w:rFonts w:ascii="宋体" w:hAnsi="宋体"/>
          <w:sz w:val="24"/>
          <w:szCs w:val="24"/>
        </w:rPr>
        <w:t xml:space="preserve">IK08防暴设计，可靠性高</w:t>
      </w:r>
      <w:r>
        <w:rPr>
          <w:rFonts w:hint="eastAsia"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摄像机内置</w:t>
      </w:r>
      <w:r>
        <w:rPr>
          <w:rFonts w:ascii="宋体" w:hAnsi="宋体"/>
          <w:sz w:val="24"/>
          <w:szCs w:val="24"/>
        </w:rPr>
        <w:t xml:space="preserve">GPU芯片、1个麦克风、1个扬声器，1颗红外补光灯，1颗白光闪光灯，1个报警输入接口，1个报警输出接口，1个SD卡卡槽。</w:t>
      </w:r>
      <w:r/>
    </w:p>
    <w:p>
      <w:pPr>
        <w:numPr>
          <w:ilvl w:val="0"/>
          <w:numId w:val="4"/>
        </w:numPr>
        <w:spacing w:line="360" w:lineRule="auto"/>
        <w:rPr>
          <w:rFonts w:ascii="宋体" w:hAnsi="宋体"/>
          <w:sz w:val="24"/>
          <w:szCs w:val="24"/>
        </w:rPr>
      </w:pPr>
      <w:r>
        <w:rPr>
          <w:rFonts w:hint="eastAsia" w:ascii="宋体" w:hAnsi="宋体"/>
          <w:sz w:val="24"/>
          <w:szCs w:val="24"/>
        </w:rPr>
        <w:t xml:space="preserve">支持声光报警功能，当报警输入报警产生时，可在报警布防时间内联动声音报警或白光灯闪烁，设备支持用户自定义</w:t>
      </w:r>
      <w:r>
        <w:rPr>
          <w:rFonts w:ascii="宋体" w:hAnsi="宋体"/>
          <w:sz w:val="24"/>
          <w:szCs w:val="24"/>
        </w:rPr>
        <w:t xml:space="preserve">AI算法库，可运行、停止算法库，可显示当前算法库的运行状态，并支持修改、删除算法库及自定义算法库名称。</w:t>
      </w:r>
      <w:r/>
    </w:p>
    <w:p>
      <w:pPr>
        <w:numPr>
          <w:ilvl w:val="0"/>
          <w:numId w:val="4"/>
        </w:numPr>
        <w:spacing w:line="360" w:lineRule="auto"/>
        <w:rPr>
          <w:rFonts w:ascii="宋体" w:hAnsi="宋体"/>
          <w:sz w:val="24"/>
          <w:szCs w:val="24"/>
        </w:rPr>
      </w:pPr>
      <w:r>
        <w:rPr>
          <w:rFonts w:ascii="宋体" w:hAnsi="宋体"/>
          <w:sz w:val="24"/>
          <w:szCs w:val="24"/>
        </w:rPr>
        <w:t xml:space="preserve">支持人数统计功能，支持多边形（最多允许10条边）人数检测区域，并可实时统计区域中的人员数量及位置，支持将检测结果定时上传。</w:t>
      </w:r>
      <w:r/>
    </w:p>
    <w:p>
      <w:pPr>
        <w:numPr>
          <w:ilvl w:val="0"/>
          <w:numId w:val="4"/>
        </w:numPr>
        <w:spacing w:line="360" w:lineRule="auto"/>
        <w:rPr>
          <w:rFonts w:ascii="宋体" w:hAnsi="宋体"/>
          <w:sz w:val="24"/>
          <w:szCs w:val="24"/>
        </w:rPr>
      </w:pPr>
      <w:r>
        <w:rPr>
          <w:rFonts w:hint="eastAsia" w:ascii="宋体" w:hAnsi="宋体"/>
          <w:sz w:val="24"/>
          <w:szCs w:val="24"/>
        </w:rPr>
        <w:t xml:space="preserve">支持电梯运行状态采集包括：电梯当前状态、电梯运行方向、电梯当前楼层、电梯开关是否有人</w:t>
      </w:r>
      <w:r/>
    </w:p>
    <w:p>
      <w:pPr>
        <w:numPr>
          <w:ilvl w:val="0"/>
          <w:numId w:val="4"/>
        </w:numPr>
        <w:spacing w:line="360" w:lineRule="auto"/>
        <w:rPr>
          <w:rFonts w:ascii="宋体" w:hAnsi="宋体"/>
          <w:sz w:val="24"/>
          <w:szCs w:val="24"/>
        </w:rPr>
      </w:pPr>
      <w:r>
        <w:rPr>
          <w:rFonts w:hint="eastAsia" w:ascii="宋体" w:hAnsi="宋体"/>
          <w:sz w:val="24"/>
          <w:szCs w:val="24"/>
        </w:rPr>
        <w:t xml:space="preserve">电梯故障信息：</w:t>
      </w:r>
      <w:r>
        <w:rPr>
          <w:rFonts w:ascii="宋体" w:hAnsi="宋体"/>
          <w:sz w:val="24"/>
          <w:szCs w:val="24"/>
        </w:rPr>
        <w:t xml:space="preserve">非平层停梯、运行中开门、超速、长时间困人等</w:t>
      </w:r>
      <w:r>
        <w:rPr>
          <w:rFonts w:hint="eastAsia" w:ascii="宋体" w:hAnsi="宋体"/>
          <w:sz w:val="24"/>
          <w:szCs w:val="24"/>
        </w:rPr>
        <w:t xml:space="preserve">信息</w:t>
      </w:r>
      <w:r/>
    </w:p>
    <w:p>
      <w:pPr>
        <w:ind w:firstLine="480"/>
        <w:spacing w:line="360" w:lineRule="auto"/>
        <w:rPr>
          <w:sz w:val="24"/>
          <w:szCs w:val="24"/>
        </w:rPr>
      </w:pPr>
      <w:r/>
      <w:bookmarkStart w:id="60" w:name="_Toc20153"/>
      <w:r>
        <w:rPr>
          <w:rFonts w:hint="eastAsia"/>
          <w:sz w:val="24"/>
          <w:szCs w:val="24"/>
        </w:rPr>
        <w:t xml:space="preserve">2.1.2传输设备</w:t>
      </w:r>
      <w:r/>
    </w:p>
    <w:p>
      <w:pPr>
        <w:ind w:firstLine="480"/>
        <w:jc w:val="left"/>
        <w:spacing w:line="360" w:lineRule="auto"/>
        <w:rPr>
          <w:rFonts w:ascii="宋体" w:hAnsi="宋体"/>
          <w:sz w:val="24"/>
          <w:szCs w:val="24"/>
        </w:rPr>
      </w:pPr>
      <w:r>
        <w:rPr>
          <w:rFonts w:hint="eastAsia" w:ascii="宋体" w:hAnsi="宋体"/>
          <w:sz w:val="24"/>
          <w:szCs w:val="24"/>
        </w:rPr>
        <w:t xml:space="preserve">传输设备需要将采集的各类电梯数据从轿厢传递至机房，最终与运营商网络进行连接。传输设备需符合如下参数：</w:t>
      </w:r>
      <w:r/>
    </w:p>
    <w:p>
      <w:pPr>
        <w:numPr>
          <w:ilvl w:val="0"/>
          <w:numId w:val="4"/>
        </w:numPr>
        <w:spacing w:line="360" w:lineRule="auto"/>
        <w:rPr>
          <w:rFonts w:ascii="宋体" w:hAnsi="宋体"/>
          <w:sz w:val="24"/>
          <w:szCs w:val="24"/>
        </w:rPr>
      </w:pPr>
      <w:r>
        <w:rPr>
          <w:rFonts w:hint="eastAsia" w:ascii="宋体" w:hAnsi="宋体"/>
          <w:sz w:val="24"/>
          <w:szCs w:val="24"/>
        </w:rPr>
        <w:t xml:space="preserve">支持不少于2路8M高清摄像机接入；</w:t>
      </w:r>
      <w:r/>
    </w:p>
    <w:p>
      <w:pPr>
        <w:numPr>
          <w:ilvl w:val="0"/>
          <w:numId w:val="4"/>
        </w:numPr>
        <w:spacing w:line="360" w:lineRule="auto"/>
        <w:rPr>
          <w:rFonts w:ascii="宋体" w:hAnsi="宋体"/>
          <w:sz w:val="24"/>
          <w:szCs w:val="24"/>
        </w:rPr>
      </w:pPr>
      <w:r>
        <w:rPr>
          <w:rFonts w:hint="eastAsia" w:ascii="宋体" w:hAnsi="宋体"/>
          <w:sz w:val="24"/>
          <w:szCs w:val="24"/>
        </w:rPr>
        <w:t xml:space="preserve">自带不少于2个百兆自适应网络接口；</w:t>
      </w:r>
      <w:r/>
    </w:p>
    <w:p>
      <w:pPr>
        <w:numPr>
          <w:ilvl w:val="0"/>
          <w:numId w:val="4"/>
        </w:numPr>
        <w:spacing w:line="360" w:lineRule="auto"/>
        <w:rPr>
          <w:rFonts w:ascii="宋体" w:hAnsi="宋体"/>
          <w:sz w:val="24"/>
          <w:szCs w:val="24"/>
        </w:rPr>
      </w:pPr>
      <w:r>
        <w:rPr>
          <w:rFonts w:hint="eastAsia" w:ascii="宋体" w:hAnsi="宋体"/>
          <w:sz w:val="24"/>
          <w:szCs w:val="24"/>
        </w:rPr>
        <w:t xml:space="preserve">具备指示灯，支持展示电源、LAN口和信号强度；</w:t>
      </w:r>
      <w:r/>
    </w:p>
    <w:p>
      <w:pPr>
        <w:numPr>
          <w:ilvl w:val="0"/>
          <w:numId w:val="4"/>
        </w:numPr>
        <w:spacing w:line="360" w:lineRule="auto"/>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WEB、客户端和APP管理，支持Syslog和控制台信息,支持终端识别、终端准入</w:t>
      </w:r>
      <w:r>
        <w:rPr>
          <w:rFonts w:hint="eastAsia" w:ascii="宋体" w:hAnsi="宋体"/>
          <w:sz w:val="24"/>
          <w:szCs w:val="24"/>
        </w:rPr>
        <w:t xml:space="preserve">。</w:t>
      </w:r>
      <w:r/>
    </w:p>
    <w:p>
      <w:pPr>
        <w:spacing w:line="360" w:lineRule="auto"/>
        <w:rPr>
          <w:sz w:val="24"/>
          <w:szCs w:val="24"/>
        </w:rPr>
      </w:pPr>
      <w:r>
        <w:rPr>
          <w:rFonts w:hint="eastAsia"/>
          <w:sz w:val="24"/>
          <w:szCs w:val="24"/>
        </w:rPr>
        <w:t xml:space="preserve">2.1.3通信模块</w:t>
      </w:r>
      <w:r/>
    </w:p>
    <w:p>
      <w:pPr>
        <w:ind w:firstLine="480"/>
        <w:jc w:val="left"/>
        <w:spacing w:line="360" w:lineRule="auto"/>
        <w:rPr>
          <w:rFonts w:ascii="宋体" w:hAnsi="宋体"/>
          <w:sz w:val="24"/>
          <w:szCs w:val="24"/>
        </w:rPr>
      </w:pPr>
      <w:r>
        <w:rPr>
          <w:rFonts w:hint="eastAsia" w:ascii="宋体" w:hAnsi="宋体"/>
          <w:sz w:val="24"/>
          <w:szCs w:val="24"/>
        </w:rPr>
        <w:t xml:space="preserve">通信模块安装在机房将传输设备上传的数据通过有线网络上传到云端。通信模块需要满足如下参数：</w:t>
      </w:r>
      <w:r/>
    </w:p>
    <w:p>
      <w:pPr>
        <w:numPr>
          <w:ilvl w:val="0"/>
          <w:numId w:val="4"/>
        </w:numPr>
        <w:spacing w:line="360" w:lineRule="auto"/>
        <w:rPr>
          <w:rFonts w:ascii="宋体" w:hAnsi="宋体"/>
          <w:sz w:val="24"/>
          <w:szCs w:val="24"/>
        </w:rPr>
      </w:pPr>
      <w:r/>
      <w:bookmarkStart w:id="61" w:name="_Toc29741"/>
      <w:r>
        <w:rPr>
          <w:rFonts w:hint="eastAsia" w:ascii="宋体" w:hAnsi="宋体"/>
          <w:sz w:val="24"/>
          <w:szCs w:val="24"/>
        </w:rPr>
        <w:t xml:space="preserve">电压范围：</w:t>
      </w:r>
      <w:r>
        <w:rPr>
          <w:rFonts w:ascii="宋体" w:hAnsi="宋体"/>
          <w:sz w:val="24"/>
          <w:szCs w:val="24"/>
        </w:rPr>
        <w:t xml:space="preserve">5V-18V；</w:t>
      </w:r>
      <w:r/>
    </w:p>
    <w:p>
      <w:pPr>
        <w:numPr>
          <w:ilvl w:val="0"/>
          <w:numId w:val="4"/>
        </w:numPr>
        <w:spacing w:line="360" w:lineRule="auto"/>
        <w:rPr>
          <w:rFonts w:ascii="宋体" w:hAnsi="宋体"/>
          <w:sz w:val="24"/>
          <w:szCs w:val="24"/>
        </w:rPr>
      </w:pPr>
      <w:r>
        <w:rPr>
          <w:rFonts w:hint="eastAsia" w:ascii="宋体" w:hAnsi="宋体"/>
          <w:sz w:val="24"/>
          <w:szCs w:val="24"/>
        </w:rPr>
        <w:t xml:space="preserve">峰值电流：</w:t>
      </w:r>
      <w:r>
        <w:rPr>
          <w:rFonts w:ascii="宋体" w:hAnsi="宋体"/>
          <w:sz w:val="24"/>
          <w:szCs w:val="24"/>
        </w:rPr>
        <w:t xml:space="preserve">2A；</w:t>
      </w:r>
      <w:r/>
    </w:p>
    <w:p>
      <w:pPr>
        <w:numPr>
          <w:ilvl w:val="0"/>
          <w:numId w:val="4"/>
        </w:numPr>
        <w:spacing w:line="360" w:lineRule="auto"/>
        <w:rPr>
          <w:rFonts w:ascii="宋体" w:hAnsi="宋体"/>
          <w:sz w:val="24"/>
          <w:szCs w:val="24"/>
        </w:rPr>
      </w:pPr>
      <w:r>
        <w:rPr>
          <w:rFonts w:hint="eastAsia" w:ascii="宋体" w:hAnsi="宋体"/>
          <w:sz w:val="24"/>
          <w:szCs w:val="24"/>
        </w:rPr>
        <w:t xml:space="preserve">支持接口：以太网</w:t>
      </w:r>
      <w:r>
        <w:rPr>
          <w:rFonts w:ascii="宋体" w:hAnsi="宋体"/>
          <w:sz w:val="24"/>
          <w:szCs w:val="24"/>
        </w:rPr>
        <w:t xml:space="preserve">.RS485.DI/DO；</w:t>
      </w:r>
      <w:r/>
    </w:p>
    <w:p>
      <w:pPr>
        <w:numPr>
          <w:ilvl w:val="0"/>
          <w:numId w:val="4"/>
        </w:numPr>
        <w:spacing w:line="360" w:lineRule="auto"/>
        <w:rPr>
          <w:rFonts w:ascii="宋体" w:hAnsi="宋体"/>
          <w:sz w:val="24"/>
          <w:szCs w:val="24"/>
        </w:rPr>
      </w:pPr>
      <w:r>
        <w:rPr>
          <w:rFonts w:hint="eastAsia" w:ascii="宋体" w:hAnsi="宋体"/>
          <w:sz w:val="24"/>
          <w:szCs w:val="24"/>
        </w:rPr>
        <w:t xml:space="preserve">工作电流：</w:t>
      </w:r>
      <w:r>
        <w:rPr>
          <w:rFonts w:ascii="宋体" w:hAnsi="宋体"/>
          <w:sz w:val="24"/>
          <w:szCs w:val="24"/>
        </w:rPr>
        <w:t xml:space="preserve">10mA~30mA；</w:t>
      </w:r>
      <w:r/>
    </w:p>
    <w:p>
      <w:pPr>
        <w:numPr>
          <w:ilvl w:val="0"/>
          <w:numId w:val="4"/>
        </w:numPr>
        <w:spacing w:line="360" w:lineRule="auto"/>
        <w:rPr>
          <w:rFonts w:ascii="宋体" w:hAnsi="宋体"/>
          <w:sz w:val="24"/>
          <w:szCs w:val="24"/>
        </w:rPr>
      </w:pPr>
      <w:r>
        <w:rPr>
          <w:rFonts w:hint="eastAsia" w:ascii="宋体" w:hAnsi="宋体"/>
          <w:sz w:val="24"/>
          <w:szCs w:val="24"/>
        </w:rPr>
        <w:t xml:space="preserve">工作温度：</w:t>
      </w:r>
      <w:r>
        <w:rPr>
          <w:rFonts w:ascii="宋体" w:hAnsi="宋体"/>
          <w:sz w:val="24"/>
          <w:szCs w:val="24"/>
        </w:rPr>
        <w:t xml:space="preserve">-20~85°C；</w:t>
      </w:r>
      <w:r/>
    </w:p>
    <w:p>
      <w:pPr>
        <w:ind w:firstLine="480"/>
        <w:spacing w:line="360" w:lineRule="auto"/>
        <w:rPr>
          <w:sz w:val="24"/>
          <w:szCs w:val="24"/>
        </w:rPr>
      </w:pPr>
      <w:r>
        <w:rPr>
          <w:rFonts w:hint="eastAsia"/>
          <w:sz w:val="24"/>
          <w:szCs w:val="24"/>
        </w:rPr>
        <w:t xml:space="preserve">2.1.4视频存储卡</w:t>
      </w:r>
      <w:r/>
    </w:p>
    <w:p>
      <w:pPr>
        <w:numPr>
          <w:ilvl w:val="0"/>
          <w:numId w:val="4"/>
        </w:numPr>
        <w:spacing w:line="360" w:lineRule="auto"/>
        <w:rPr>
          <w:rFonts w:ascii="宋体" w:hAnsi="宋体"/>
          <w:sz w:val="24"/>
          <w:szCs w:val="24"/>
        </w:rPr>
      </w:pPr>
      <w:r>
        <w:rPr>
          <w:rFonts w:hint="eastAsia" w:ascii="宋体" w:hAnsi="宋体"/>
          <w:sz w:val="24"/>
          <w:szCs w:val="24"/>
        </w:rPr>
        <w:t xml:space="preserve">内存不少于1</w:t>
      </w:r>
      <w:r>
        <w:rPr>
          <w:rFonts w:ascii="宋体" w:hAnsi="宋体"/>
          <w:sz w:val="24"/>
          <w:szCs w:val="24"/>
        </w:rPr>
        <w:t xml:space="preserve">28</w:t>
      </w:r>
      <w:r>
        <w:rPr>
          <w:rFonts w:hint="eastAsia" w:ascii="宋体" w:hAnsi="宋体"/>
          <w:sz w:val="24"/>
          <w:szCs w:val="24"/>
        </w:rPr>
        <w:t xml:space="preserve">G</w:t>
      </w:r>
      <w:r/>
    </w:p>
    <w:p>
      <w:pPr>
        <w:ind w:firstLine="480"/>
        <w:spacing w:line="360" w:lineRule="auto"/>
        <w:rPr>
          <w:sz w:val="24"/>
          <w:szCs w:val="24"/>
        </w:rPr>
      </w:pPr>
      <w:r>
        <w:rPr>
          <w:rFonts w:hint="eastAsia"/>
          <w:sz w:val="24"/>
          <w:szCs w:val="24"/>
        </w:rPr>
        <w:t xml:space="preserve">2.1.5信息发布屏</w:t>
      </w:r>
      <w:r/>
    </w:p>
    <w:p>
      <w:pPr>
        <w:numPr>
          <w:ilvl w:val="0"/>
          <w:numId w:val="4"/>
        </w:numPr>
        <w:spacing w:line="360" w:lineRule="auto"/>
        <w:rPr>
          <w:rFonts w:ascii="宋体" w:hAnsi="宋体"/>
          <w:sz w:val="24"/>
          <w:szCs w:val="24"/>
        </w:rPr>
      </w:pPr>
      <w:r>
        <w:rPr>
          <w:rFonts w:hint="eastAsia" w:ascii="宋体" w:hAnsi="宋体"/>
          <w:sz w:val="24"/>
          <w:szCs w:val="24"/>
        </w:rPr>
        <w:t xml:space="preserve">18.5寸壁挂门口屏</w:t>
      </w:r>
      <w:r/>
    </w:p>
    <w:p>
      <w:pPr>
        <w:numPr>
          <w:ilvl w:val="0"/>
          <w:numId w:val="4"/>
        </w:numPr>
        <w:spacing w:line="360" w:lineRule="auto"/>
        <w:rPr>
          <w:rFonts w:ascii="宋体" w:hAnsi="宋体"/>
          <w:sz w:val="24"/>
          <w:szCs w:val="24"/>
        </w:rPr>
      </w:pPr>
      <w:r>
        <w:rPr>
          <w:rFonts w:hint="eastAsia" w:ascii="宋体" w:hAnsi="宋体"/>
          <w:sz w:val="24"/>
          <w:szCs w:val="24"/>
        </w:rPr>
        <w:t xml:space="preserve">高性能4核A53处理器，支持Wi-Fi2.4G</w:t>
      </w:r>
      <w:r/>
    </w:p>
    <w:p>
      <w:pPr>
        <w:numPr>
          <w:ilvl w:val="0"/>
          <w:numId w:val="4"/>
        </w:numPr>
        <w:spacing w:line="360" w:lineRule="auto"/>
        <w:rPr>
          <w:rFonts w:ascii="宋体" w:hAnsi="宋体"/>
          <w:sz w:val="24"/>
          <w:szCs w:val="24"/>
        </w:rPr>
      </w:pPr>
      <w:r>
        <w:rPr>
          <w:rFonts w:hint="eastAsia" w:ascii="宋体" w:hAnsi="宋体"/>
          <w:sz w:val="24"/>
          <w:szCs w:val="24"/>
        </w:rPr>
        <w:t xml:space="preserve">动态广告展示设置，自动循环播放</w:t>
      </w:r>
      <w:r/>
    </w:p>
    <w:p>
      <w:pPr>
        <w:numPr>
          <w:ilvl w:val="0"/>
          <w:numId w:val="4"/>
        </w:numPr>
        <w:spacing w:line="360" w:lineRule="auto"/>
        <w:rPr>
          <w:rFonts w:ascii="宋体" w:hAnsi="宋体"/>
          <w:sz w:val="24"/>
          <w:szCs w:val="24"/>
        </w:rPr>
      </w:pPr>
      <w:r>
        <w:rPr>
          <w:rFonts w:hint="eastAsia" w:ascii="宋体" w:hAnsi="宋体"/>
          <w:sz w:val="24"/>
          <w:szCs w:val="24"/>
        </w:rPr>
        <w:t xml:space="preserve">云发布系统远程发布，监控内容</w:t>
      </w:r>
      <w:r/>
    </w:p>
    <w:p>
      <w:pPr>
        <w:numPr>
          <w:ilvl w:val="0"/>
          <w:numId w:val="4"/>
        </w:numPr>
        <w:spacing w:line="360" w:lineRule="auto"/>
        <w:rPr>
          <w:rFonts w:ascii="宋体" w:hAnsi="宋体"/>
          <w:sz w:val="24"/>
          <w:szCs w:val="24"/>
        </w:rPr>
      </w:pPr>
      <w:r>
        <w:rPr>
          <w:rFonts w:hint="eastAsia" w:ascii="宋体" w:hAnsi="宋体"/>
          <w:sz w:val="24"/>
          <w:szCs w:val="24"/>
        </w:rPr>
        <w:t xml:space="preserve">分时段定时开关机，定义分时段播放节目</w:t>
      </w:r>
      <w:r/>
    </w:p>
    <w:p>
      <w:pPr>
        <w:numPr>
          <w:ilvl w:val="0"/>
          <w:numId w:val="4"/>
        </w:numPr>
        <w:spacing w:line="360" w:lineRule="auto"/>
        <w:rPr>
          <w:rFonts w:ascii="宋体" w:hAnsi="宋体"/>
          <w:sz w:val="24"/>
          <w:szCs w:val="24"/>
        </w:rPr>
      </w:pPr>
      <w:r>
        <w:rPr>
          <w:rFonts w:hint="eastAsia" w:ascii="宋体" w:hAnsi="宋体"/>
          <w:sz w:val="24"/>
          <w:szCs w:val="24"/>
        </w:rPr>
        <w:t xml:space="preserve">声色自然影音同布，内置功放喇叭立体音效</w:t>
      </w:r>
      <w:r/>
    </w:p>
    <w:p>
      <w:pPr>
        <w:numPr>
          <w:ilvl w:val="0"/>
          <w:numId w:val="4"/>
        </w:numPr>
        <w:spacing w:line="360" w:lineRule="auto"/>
        <w:rPr>
          <w:rFonts w:ascii="宋体" w:hAnsi="宋体"/>
          <w:sz w:val="24"/>
          <w:szCs w:val="24"/>
        </w:rPr>
      </w:pPr>
      <w:r>
        <w:rPr>
          <w:rFonts w:hint="eastAsia" w:ascii="宋体" w:hAnsi="宋体"/>
          <w:sz w:val="24"/>
          <w:szCs w:val="24"/>
        </w:rPr>
        <w:t xml:space="preserve">支持横屏竖屏壁挂，满足多种使用场景需求</w:t>
      </w:r>
      <w:r/>
    </w:p>
    <w:p>
      <w:pPr>
        <w:numPr>
          <w:ilvl w:val="0"/>
          <w:numId w:val="4"/>
        </w:numPr>
        <w:spacing w:line="360" w:lineRule="auto"/>
        <w:rPr>
          <w:rFonts w:ascii="宋体" w:hAnsi="宋体"/>
          <w:sz w:val="24"/>
          <w:szCs w:val="24"/>
        </w:rPr>
      </w:pPr>
      <w:r>
        <w:rPr>
          <w:rFonts w:hint="eastAsia" w:ascii="宋体" w:hAnsi="宋体"/>
          <w:sz w:val="24"/>
          <w:szCs w:val="24"/>
        </w:rPr>
        <w:t xml:space="preserve">高清屏幕，广视角呈现真彩色泽</w:t>
      </w:r>
      <w:r/>
    </w:p>
    <w:p>
      <w:pPr>
        <w:numPr>
          <w:ilvl w:val="0"/>
          <w:numId w:val="4"/>
        </w:numPr>
        <w:spacing w:line="360" w:lineRule="auto"/>
        <w:rPr>
          <w:rFonts w:ascii="宋体" w:hAnsi="宋体"/>
          <w:sz w:val="24"/>
          <w:szCs w:val="24"/>
        </w:rPr>
      </w:pPr>
      <w:r>
        <w:rPr>
          <w:rFonts w:hint="eastAsia" w:ascii="宋体" w:hAnsi="宋体"/>
          <w:sz w:val="24"/>
          <w:szCs w:val="24"/>
        </w:rPr>
        <w:t xml:space="preserve">轻薄机身，整体简约风格设计</w:t>
      </w:r>
      <w:r/>
    </w:p>
    <w:p>
      <w:pPr>
        <w:numPr>
          <w:ilvl w:val="0"/>
          <w:numId w:val="4"/>
        </w:numPr>
        <w:spacing w:line="360" w:lineRule="auto"/>
        <w:rPr>
          <w:rFonts w:ascii="宋体" w:hAnsi="宋体"/>
          <w:sz w:val="24"/>
          <w:szCs w:val="24"/>
        </w:rPr>
      </w:pPr>
      <w:r>
        <w:rPr>
          <w:rFonts w:hint="eastAsia" w:ascii="宋体" w:hAnsi="宋体"/>
          <w:sz w:val="24"/>
          <w:szCs w:val="24"/>
        </w:rPr>
        <w:t xml:space="preserve">屏体分辨率：1366X768</w:t>
      </w:r>
      <w:r/>
    </w:p>
    <w:p>
      <w:pPr>
        <w:numPr>
          <w:ilvl w:val="0"/>
          <w:numId w:val="4"/>
        </w:numPr>
        <w:spacing w:line="360" w:lineRule="auto"/>
        <w:rPr>
          <w:rFonts w:ascii="宋体" w:hAnsi="宋体"/>
          <w:sz w:val="24"/>
          <w:szCs w:val="24"/>
        </w:rPr>
      </w:pPr>
      <w:r>
        <w:rPr>
          <w:rFonts w:hint="eastAsia" w:ascii="宋体" w:hAnsi="宋体"/>
          <w:sz w:val="24"/>
          <w:szCs w:val="24"/>
        </w:rPr>
        <w:t xml:space="preserve">屏幕可视区域：409.8(H)mm×230.4(V)mm</w:t>
      </w:r>
      <w:r/>
    </w:p>
    <w:p>
      <w:pPr>
        <w:numPr>
          <w:ilvl w:val="0"/>
          <w:numId w:val="4"/>
        </w:numPr>
        <w:spacing w:line="360" w:lineRule="auto"/>
        <w:rPr>
          <w:rFonts w:ascii="宋体" w:hAnsi="宋体"/>
          <w:sz w:val="24"/>
          <w:szCs w:val="24"/>
        </w:rPr>
      </w:pPr>
      <w:r>
        <w:rPr>
          <w:rFonts w:hint="eastAsia" w:ascii="宋体" w:hAnsi="宋体"/>
          <w:sz w:val="24"/>
          <w:szCs w:val="24"/>
        </w:rPr>
        <w:t xml:space="preserve">背光源类型：E-LED</w:t>
      </w:r>
      <w:r/>
    </w:p>
    <w:p>
      <w:pPr>
        <w:numPr>
          <w:ilvl w:val="0"/>
          <w:numId w:val="4"/>
        </w:numPr>
        <w:spacing w:line="360" w:lineRule="auto"/>
        <w:rPr>
          <w:rFonts w:ascii="宋体" w:hAnsi="宋体"/>
          <w:sz w:val="24"/>
          <w:szCs w:val="24"/>
        </w:rPr>
      </w:pPr>
      <w:r>
        <w:rPr>
          <w:rFonts w:hint="eastAsia" w:ascii="宋体" w:hAnsi="宋体"/>
          <w:sz w:val="24"/>
          <w:szCs w:val="24"/>
        </w:rPr>
        <w:t xml:space="preserve">亮度：200cd/m²</w:t>
      </w:r>
      <w:r/>
    </w:p>
    <w:p>
      <w:pPr>
        <w:numPr>
          <w:ilvl w:val="0"/>
          <w:numId w:val="4"/>
        </w:numPr>
        <w:spacing w:line="360" w:lineRule="auto"/>
        <w:rPr>
          <w:rFonts w:ascii="宋体" w:hAnsi="宋体"/>
          <w:sz w:val="24"/>
          <w:szCs w:val="24"/>
        </w:rPr>
      </w:pPr>
      <w:r>
        <w:rPr>
          <w:rFonts w:hint="eastAsia" w:ascii="宋体" w:hAnsi="宋体"/>
          <w:sz w:val="24"/>
          <w:szCs w:val="24"/>
        </w:rPr>
        <w:t xml:space="preserve">对比度：800：1</w:t>
      </w:r>
      <w:r/>
    </w:p>
    <w:p>
      <w:pPr>
        <w:numPr>
          <w:ilvl w:val="0"/>
          <w:numId w:val="4"/>
        </w:numPr>
        <w:spacing w:line="360" w:lineRule="auto"/>
        <w:rPr>
          <w:rFonts w:ascii="宋体" w:hAnsi="宋体"/>
          <w:sz w:val="24"/>
          <w:szCs w:val="24"/>
        </w:rPr>
      </w:pPr>
      <w:r>
        <w:rPr>
          <w:rFonts w:hint="eastAsia" w:ascii="宋体" w:hAnsi="宋体"/>
          <w:sz w:val="24"/>
          <w:szCs w:val="24"/>
        </w:rPr>
        <w:t xml:space="preserve">节目支持多个页面（至少支持32个组成，页面包括多个窗口至少支持16个，同一个页面中的窗口类型可以不一样），支持一个页面不同的窗口播放不同的素材同时可以添加时钟窗口（时钟的样式可选）、倒计时窗口，也可以添加节目单背景图</w:t>
      </w:r>
      <w:r/>
    </w:p>
    <w:p>
      <w:pPr>
        <w:numPr>
          <w:ilvl w:val="0"/>
          <w:numId w:val="4"/>
        </w:numPr>
        <w:spacing w:line="360" w:lineRule="auto"/>
        <w:rPr>
          <w:rFonts w:ascii="宋体" w:hAnsi="宋体"/>
          <w:sz w:val="24"/>
          <w:szCs w:val="24"/>
        </w:rPr>
      </w:pPr>
      <w:r>
        <w:rPr>
          <w:rFonts w:hint="eastAsia" w:ascii="宋体" w:hAnsi="宋体"/>
          <w:sz w:val="24"/>
          <w:szCs w:val="24"/>
        </w:rPr>
        <w:t xml:space="preserve">制作终端的播放内容时，需要经过三层审核（素材审核、节目审核、日程审核），可通过设置专人进行终端播放内容审核权限，未审核通过的内容不能发布到终端进行播放，保障节目内容的安全。客户端登录，传输敏感信息加密，使用RSA方式交换秘钥，使用秘钥进行AES加密，对报文体进行全加密。</w:t>
      </w:r>
      <w:r/>
    </w:p>
    <w:p>
      <w:pPr>
        <w:numPr>
          <w:ilvl w:val="0"/>
          <w:numId w:val="4"/>
        </w:numPr>
        <w:spacing w:line="360" w:lineRule="auto"/>
        <w:rPr>
          <w:rFonts w:ascii="宋体" w:hAnsi="宋体"/>
          <w:sz w:val="24"/>
          <w:szCs w:val="24"/>
        </w:rPr>
      </w:pPr>
      <w:r>
        <w:rPr>
          <w:rFonts w:hint="eastAsia" w:ascii="宋体" w:hAnsi="宋体"/>
          <w:sz w:val="24"/>
          <w:szCs w:val="24"/>
        </w:rPr>
        <w:t xml:space="preserve">终端安全策略:锁屏策略，终端具备自动锁屏功能，不输入解锁密码不能退出播放系统，保障播放系统安全;保护策略，信息发布软件具备非前台自动保护机制，当信息发布软件被非解锁操作后退出到后台运行时，保护机制会快速将信息发布重新强制前台，保障信息发布设备的播放内容;播放策略，终端设备播放时会进行素材文件的MD5或者抽样文件校验，无法通过校验的素材不会进行播放，防止播放素材的篡改。</w:t>
      </w:r>
      <w:bookmarkEnd w:id="60"/>
      <w:r/>
      <w:bookmarkEnd w:id="61"/>
      <w:r/>
      <w:r/>
    </w:p>
    <w:p>
      <w:pPr>
        <w:ind w:firstLine="480"/>
        <w:spacing w:line="360" w:lineRule="auto"/>
        <w:rPr>
          <w:sz w:val="24"/>
          <w:szCs w:val="24"/>
        </w:rPr>
      </w:pPr>
      <w:r/>
      <w:bookmarkStart w:id="62" w:name="_Toc3581"/>
      <w:r/>
      <w:bookmarkStart w:id="63" w:name="_Toc28954"/>
      <w:r/>
      <w:bookmarkStart w:id="64" w:name="_Toc18544"/>
      <w:r/>
      <w:bookmarkStart w:id="65" w:name="_Toc2487"/>
      <w:r/>
      <w:bookmarkStart w:id="66" w:name="_Toc17402"/>
      <w:r>
        <w:rPr>
          <w:rFonts w:hint="eastAsia"/>
          <w:sz w:val="24"/>
          <w:szCs w:val="24"/>
        </w:rPr>
        <w:t xml:space="preserve">2.2实现功能</w:t>
      </w:r>
      <w:bookmarkEnd w:id="62"/>
      <w:r/>
      <w:bookmarkEnd w:id="63"/>
      <w:r/>
      <w:bookmarkEnd w:id="64"/>
      <w:r/>
      <w:bookmarkEnd w:id="65"/>
      <w:r/>
      <w:bookmarkEnd w:id="66"/>
      <w:r/>
      <w:r/>
    </w:p>
    <w:p>
      <w:pPr>
        <w:ind w:firstLine="480"/>
        <w:jc w:val="left"/>
        <w:spacing w:line="360" w:lineRule="auto"/>
        <w:rPr>
          <w:rFonts w:ascii="宋体" w:hAnsi="宋体"/>
          <w:sz w:val="24"/>
          <w:szCs w:val="24"/>
        </w:rPr>
      </w:pPr>
      <w:r>
        <w:rPr>
          <w:rFonts w:hint="eastAsia" w:ascii="宋体" w:hAnsi="宋体"/>
          <w:sz w:val="24"/>
          <w:szCs w:val="24"/>
        </w:rPr>
        <w:t xml:space="preserve">电梯音视频采集设备最终采集的功能主要分为电梯实时事件检测、运行状态和运维统计信息。</w:t>
      </w:r>
      <w:r/>
    </w:p>
    <w:p>
      <w:pPr>
        <w:ind w:firstLine="480"/>
        <w:spacing w:line="360" w:lineRule="auto"/>
        <w:rPr>
          <w:sz w:val="24"/>
          <w:szCs w:val="24"/>
        </w:rPr>
      </w:pPr>
      <w:r>
        <w:rPr>
          <w:rFonts w:hint="eastAsia"/>
          <w:sz w:val="24"/>
          <w:szCs w:val="24"/>
        </w:rPr>
        <w:t xml:space="preserve">2.2.1实时事件检测</w:t>
      </w:r>
      <w:r/>
    </w:p>
    <w:p>
      <w:pPr>
        <w:ind w:firstLine="480"/>
        <w:spacing w:line="360" w:lineRule="auto"/>
        <w:rPr>
          <w:rFonts w:ascii="Arial" w:hAnsi="Arial" w:cs="Arial"/>
          <w:sz w:val="24"/>
          <w:szCs w:val="24"/>
        </w:rPr>
      </w:pPr>
      <w:r>
        <w:rPr>
          <w:rFonts w:hint="eastAsia" w:ascii="Arial" w:hAnsi="Arial" w:cs="Arial"/>
          <w:sz w:val="24"/>
          <w:szCs w:val="24"/>
        </w:rPr>
        <w:t xml:space="preserve">支持电梯的超速、长时间困人报警输入报警数据的检测和上报。</w:t>
      </w:r>
      <w:r/>
    </w:p>
    <w:p>
      <w:pPr>
        <w:ind w:firstLine="480"/>
        <w:spacing w:line="360" w:lineRule="auto"/>
        <w:rPr>
          <w:sz w:val="24"/>
          <w:szCs w:val="24"/>
        </w:rPr>
      </w:pPr>
      <w:r>
        <w:rPr>
          <w:rFonts w:hint="eastAsia"/>
          <w:sz w:val="24"/>
          <w:szCs w:val="24"/>
        </w:rPr>
        <w:t xml:space="preserve">2.2.2运行状态检测</w:t>
      </w:r>
      <w:r/>
    </w:p>
    <w:p>
      <w:pPr>
        <w:ind w:firstLine="480"/>
        <w:spacing w:line="360" w:lineRule="auto"/>
        <w:rPr>
          <w:rFonts w:ascii="Arial" w:hAnsi="Arial" w:cs="Arial"/>
          <w:sz w:val="24"/>
          <w:szCs w:val="24"/>
        </w:rPr>
      </w:pPr>
      <w:r>
        <w:rPr>
          <w:rFonts w:hint="eastAsia" w:ascii="Arial" w:hAnsi="Arial" w:cs="Arial"/>
          <w:sz w:val="24"/>
          <w:szCs w:val="24"/>
        </w:rPr>
        <w:t xml:space="preserve">电梯支持上行、下行和停止状态数据的采集，支持电梯内是否有人，电梯内的人数、电梯运行速度、电梯当前楼层、楼层名称的采集和上传。</w:t>
      </w:r>
      <w:r/>
    </w:p>
    <w:p>
      <w:pPr>
        <w:ind w:firstLine="480"/>
        <w:spacing w:line="360" w:lineRule="auto"/>
        <w:rPr>
          <w:sz w:val="24"/>
          <w:szCs w:val="24"/>
        </w:rPr>
      </w:pPr>
      <w:r>
        <w:rPr>
          <w:rFonts w:hint="eastAsia"/>
          <w:sz w:val="24"/>
          <w:szCs w:val="24"/>
        </w:rPr>
        <w:t xml:space="preserve">2.2.3运维统计信息</w:t>
      </w:r>
      <w:r/>
    </w:p>
    <w:p>
      <w:pPr>
        <w:ind w:firstLine="480"/>
        <w:spacing w:line="360" w:lineRule="auto"/>
        <w:rPr>
          <w:rFonts w:ascii="Arial" w:hAnsi="Arial" w:cs="Arial"/>
          <w:sz w:val="24"/>
          <w:szCs w:val="24"/>
        </w:rPr>
      </w:pPr>
      <w:r>
        <w:rPr>
          <w:rFonts w:hint="eastAsia" w:ascii="Arial" w:hAnsi="Arial" w:cs="Arial"/>
          <w:sz w:val="24"/>
          <w:szCs w:val="24"/>
        </w:rPr>
        <w:t xml:space="preserve">支持电梯</w:t>
      </w:r>
      <w:r>
        <w:rPr>
          <w:rFonts w:ascii="Arial" w:hAnsi="Arial" w:cs="Arial"/>
          <w:sz w:val="24"/>
          <w:szCs w:val="24"/>
        </w:rPr>
        <w:t xml:space="preserve">运行距离、启动次数、电动车</w:t>
      </w:r>
      <w:r>
        <w:rPr>
          <w:rFonts w:hint="eastAsia" w:ascii="Arial" w:hAnsi="Arial" w:cs="Arial"/>
          <w:sz w:val="24"/>
          <w:szCs w:val="24"/>
        </w:rPr>
        <w:t xml:space="preserve">、液化气瓶入梯次数、</w:t>
      </w:r>
      <w:r>
        <w:rPr>
          <w:rFonts w:ascii="Arial" w:hAnsi="Arial" w:cs="Arial"/>
          <w:sz w:val="24"/>
          <w:szCs w:val="24"/>
        </w:rPr>
        <w:t xml:space="preserve">超速次数、运行层数、电梯运行时长、电梯静止时长、电梯折返次数</w:t>
      </w:r>
      <w:r>
        <w:rPr>
          <w:rFonts w:hint="eastAsia" w:ascii="Arial" w:hAnsi="Arial" w:cs="Arial"/>
          <w:sz w:val="24"/>
          <w:szCs w:val="24"/>
        </w:rPr>
        <w:t xml:space="preserve">的数据采集和上报。</w:t>
      </w:r>
      <w:r/>
    </w:p>
    <w:p>
      <w:pPr>
        <w:ind w:firstLine="480"/>
        <w:spacing w:line="360" w:lineRule="auto"/>
        <w:rPr>
          <w:sz w:val="24"/>
          <w:szCs w:val="24"/>
        </w:rPr>
      </w:pPr>
      <w:r/>
      <w:bookmarkStart w:id="67" w:name="_Toc13991"/>
      <w:r/>
      <w:bookmarkStart w:id="68" w:name="_Toc31965"/>
      <w:r/>
      <w:bookmarkStart w:id="69" w:name="_Toc21555"/>
      <w:r/>
      <w:bookmarkStart w:id="70" w:name="_Toc3094"/>
      <w:r/>
      <w:bookmarkStart w:id="71" w:name="_Toc15975"/>
      <w:r>
        <w:rPr>
          <w:rFonts w:hint="eastAsia"/>
          <w:sz w:val="24"/>
          <w:szCs w:val="24"/>
        </w:rPr>
        <w:t xml:space="preserve">2.3组网方案</w:t>
      </w:r>
      <w:bookmarkEnd w:id="67"/>
      <w:r/>
      <w:bookmarkEnd w:id="68"/>
      <w:r/>
      <w:bookmarkEnd w:id="69"/>
      <w:r/>
      <w:bookmarkEnd w:id="70"/>
      <w:r/>
      <w:bookmarkEnd w:id="71"/>
      <w:r/>
      <w:r/>
    </w:p>
    <w:p>
      <w:pPr>
        <w:ind w:firstLine="480"/>
        <w:jc w:val="left"/>
        <w:spacing w:line="360" w:lineRule="auto"/>
        <w:rPr>
          <w:rFonts w:ascii="宋体" w:hAnsi="宋体"/>
          <w:sz w:val="24"/>
          <w:szCs w:val="24"/>
        </w:rPr>
      </w:pPr>
      <w:r>
        <w:rPr>
          <w:rFonts w:hint="eastAsia" w:ascii="宋体" w:hAnsi="宋体"/>
          <w:sz w:val="24"/>
          <w:szCs w:val="24"/>
        </w:rPr>
        <w:t xml:space="preserve">本项目网络系统由无线网桥和通讯模块两类设备构成。其中无线网桥设备用来完成电梯井道内的数据传输，即将物联网传感所采集到的各类数据传输到机房；每部电梯侧支架通过VPN专网经由综合安全网关连入到海陵区大数据政务网的互联网区域，最终实现电梯物联网数据的整合接入，同时也保障了整个监管网络的安全性。</w:t>
      </w:r>
      <w:r/>
    </w:p>
    <w:p>
      <w:pPr>
        <w:pStyle w:val="928"/>
        <w:spacing w:line="360" w:lineRule="auto"/>
        <w:rPr>
          <w:rFonts w:ascii="宋体" w:hAnsi="宋体" w:cs="宋体"/>
          <w:sz w:val="24"/>
          <w:szCs w:val="24"/>
        </w:rPr>
      </w:pPr>
      <w:r>
        <w:rPr>
          <w:rFonts w:ascii="宋体" w:hAnsi="宋体" w:cs="宋体"/>
          <w:sz w:val="24"/>
          <w:szCs w:val="24"/>
        </w:rPr>
      </w:r>
      <w:r/>
    </w:p>
    <w:p>
      <w:pPr>
        <w:pStyle w:val="928"/>
        <w:ind w:firstLine="480"/>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（3）指挥中心建设：海陵区市场监督管理局指挥中心建设，包括机房、显示、扩声等系统搭建。</w:t>
      </w:r>
      <w:r/>
    </w:p>
    <w:p>
      <w:pPr>
        <w:jc w:val="center"/>
        <w:rPr>
          <w:sz w:val="24"/>
          <w:szCs w:val="24"/>
        </w:rPr>
      </w:pPr>
      <w:r>
        <w:rPr>
          <w:rFonts w:hint="eastAsia"/>
          <w:sz w:val="24"/>
          <w:szCs w:val="24"/>
        </w:rPr>
        <w:t xml:space="preserve">指挥中心平面效果图</w:t>
      </w:r>
      <w:r/>
    </w:p>
    <w:p>
      <w:pPr>
        <w:pStyle w:val="928"/>
        <w:ind w:left="420"/>
      </w:pPr>
      <w:r>
        <w:rPr>
          <w:rFonts w:hint="eastAsia"/>
          <w:sz w:val="28"/>
          <w:szCs w:val="28"/>
        </w:rPr>
        <mc:AlternateContent>
          <mc:Choice Requires="wpg">
            <w:drawing>
              <wp:inline xmlns:wp="http://schemas.openxmlformats.org/drawingml/2006/wordprocessingDrawing" distT="0" distB="0" distL="0" distR="0">
                <wp:extent cx="5625465" cy="3760470"/>
                <wp:effectExtent l="0" t="0" r="13335" b="3810"/>
                <wp:docPr id="2" name="图片 4" descr="市场管理局会议系统平面图-模型(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市场管理局会议系统平面图-模型(1)_00"/>
                        <pic:cNvPicPr>
                          <a:picLocks noChangeAspect="1"/>
                        </pic:cNvPicPr>
                        <pic:nvPr/>
                      </pic:nvPicPr>
                      <pic:blipFill>
                        <a:blip r:embed="rId12"/>
                        <a:stretch/>
                      </pic:blipFill>
                      <pic:spPr bwMode="auto">
                        <a:xfrm>
                          <a:off x="0" y="0"/>
                          <a:ext cx="5625465" cy="3760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9pt;height:296.1pt;mso-wrap-distance-left:0.0pt;mso-wrap-distance-top:0.0pt;mso-wrap-distance-right:0.0pt;mso-wrap-distance-bottom:0.0pt;" stroked="false">
                <v:path textboxrect="0,0,0,0"/>
                <v:imagedata r:id="rId12" o:title=""/>
              </v:shape>
            </w:pict>
          </mc:Fallback>
        </mc:AlternateContent>
      </w:r>
      <w:r/>
    </w:p>
    <w:p>
      <w:pPr>
        <w:ind w:firstLine="480"/>
        <w:spacing w:line="360" w:lineRule="auto"/>
        <w:rPr>
          <w:rFonts w:ascii="Arial" w:hAnsi="Arial" w:cs="Arial"/>
          <w:sz w:val="24"/>
          <w:szCs w:val="24"/>
        </w:rPr>
      </w:pPr>
      <w:r>
        <w:rPr>
          <w:rFonts w:ascii="Arial" w:hAnsi="Arial" w:cs="Arial"/>
          <w:sz w:val="24"/>
          <w:szCs w:val="24"/>
        </w:rPr>
      </w:r>
      <w:r/>
    </w:p>
    <w:p>
      <w:pPr>
        <w:ind w:firstLine="482"/>
        <w:spacing w:line="360" w:lineRule="auto"/>
        <w:rPr>
          <w:rFonts w:ascii="Arial" w:hAnsi="Arial" w:cs="Arial"/>
          <w:b/>
          <w:bCs/>
          <w:sz w:val="24"/>
          <w:szCs w:val="24"/>
        </w:rPr>
      </w:pPr>
      <w:r>
        <w:rPr>
          <w:rFonts w:hint="eastAsia" w:ascii="Arial" w:hAnsi="Arial" w:cs="Arial"/>
          <w:b/>
          <w:bCs/>
          <w:sz w:val="24"/>
          <w:szCs w:val="24"/>
        </w:rPr>
        <w:t xml:space="preserve">3.1 LED显示大屏显示系统</w:t>
      </w:r>
      <w:r/>
    </w:p>
    <w:p>
      <w:pPr>
        <w:ind w:firstLine="480"/>
        <w:spacing w:line="360" w:lineRule="auto"/>
        <w:rPr>
          <w:rFonts w:ascii="Arial" w:hAnsi="Arial" w:cs="Arial"/>
          <w:sz w:val="24"/>
          <w:szCs w:val="24"/>
        </w:rPr>
      </w:pPr>
      <w:r>
        <w:rPr>
          <w:rFonts w:hint="eastAsia" w:ascii="Arial" w:hAnsi="Arial" w:cs="Arial"/>
          <w:sz w:val="24"/>
          <w:szCs w:val="24"/>
        </w:rPr>
        <w:t xml:space="preserve">对应的系统架构如下图所示：</w:t>
      </w:r>
      <w:r/>
    </w:p>
    <w:p>
      <w:pPr>
        <w:pStyle w:val="928"/>
        <w:rPr>
          <w:sz w:val="28"/>
          <w:szCs w:val="28"/>
        </w:rPr>
      </w:pPr>
      <w:r>
        <w:rPr>
          <w:sz w:val="28"/>
          <w:szCs w:val="28"/>
        </w:rPr>
        <mc:AlternateContent>
          <mc:Choice Requires="wpg">
            <w:drawing>
              <wp:inline xmlns:wp="http://schemas.openxmlformats.org/drawingml/2006/wordprocessingDrawing" distT="0" distB="0" distL="0" distR="0">
                <wp:extent cx="3561715" cy="3184525"/>
                <wp:effectExtent l="0" t="0" r="4445" b="635"/>
                <wp:docPr id="3"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
                        <pic:cNvPicPr>
                          <a:picLocks noChangeAspect="1"/>
                        </pic:cNvPicPr>
                        <pic:nvPr/>
                      </pic:nvPicPr>
                      <pic:blipFill>
                        <a:blip r:embed="rId13"/>
                        <a:stretch/>
                      </pic:blipFill>
                      <pic:spPr bwMode="auto">
                        <a:xfrm>
                          <a:off x="0" y="0"/>
                          <a:ext cx="3561715" cy="318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0.4pt;height:250.8pt;mso-wrap-distance-left:0.0pt;mso-wrap-distance-top:0.0pt;mso-wrap-distance-right:0.0pt;mso-wrap-distance-bottom:0.0pt;" stroked="f">
                <v:path textboxrect="0,0,0,0"/>
                <v:imagedata r:id="rId13" o:title=""/>
              </v:shape>
            </w:pict>
          </mc:Fallback>
        </mc:AlternateContent>
      </w:r>
      <w:r/>
    </w:p>
    <w:p>
      <w:pPr>
        <w:ind w:firstLine="480"/>
        <w:spacing w:line="360" w:lineRule="auto"/>
        <w:rPr>
          <w:rFonts w:ascii="Arial" w:hAnsi="Arial" w:cs="Arial"/>
          <w:sz w:val="24"/>
          <w:szCs w:val="24"/>
        </w:rPr>
      </w:pPr>
      <w:r>
        <w:rPr>
          <w:rFonts w:ascii="Arial" w:hAnsi="Arial" w:cs="Arial"/>
          <w:sz w:val="24"/>
          <w:szCs w:val="24"/>
        </w:rPr>
      </w:r>
      <w:r/>
    </w:p>
    <w:p>
      <w:pPr>
        <w:ind w:firstLine="480"/>
        <w:spacing w:line="360" w:lineRule="auto"/>
        <w:rPr>
          <w:rFonts w:ascii="Arial" w:hAnsi="Arial" w:cs="Arial"/>
          <w:sz w:val="24"/>
          <w:szCs w:val="24"/>
        </w:rPr>
      </w:pPr>
      <w:r>
        <w:rPr>
          <w:rFonts w:hint="eastAsia" w:ascii="Arial" w:hAnsi="Arial" w:cs="Arial"/>
          <w:sz w:val="24"/>
          <w:szCs w:val="24"/>
        </w:rPr>
        <w:t xml:space="preserve">本次建设的LED大屏显示系统的系统架构和关键组成部分分为LED显示大屏、视频处理器、LED配电柜、大屏管理软件和安防工作站等产品。</w:t>
      </w:r>
      <w:r/>
    </w:p>
    <w:p>
      <w:pPr>
        <w:ind w:firstLine="480"/>
        <w:spacing w:line="360" w:lineRule="auto"/>
        <w:rPr>
          <w:rFonts w:ascii="Arial" w:hAnsi="Arial" w:cs="Arial"/>
          <w:sz w:val="24"/>
          <w:szCs w:val="24"/>
        </w:rPr>
      </w:pPr>
      <w:r>
        <w:rPr>
          <w:rFonts w:hint="eastAsia" w:ascii="Arial" w:hAnsi="Arial" w:cs="Arial"/>
          <w:sz w:val="24"/>
          <w:szCs w:val="24"/>
        </w:rPr>
        <w:t xml:space="preserve">3.1.1 LED显示大屏</w:t>
      </w:r>
      <w:r/>
    </w:p>
    <w:p>
      <w:pPr>
        <w:ind w:firstLine="480"/>
        <w:spacing w:line="360" w:lineRule="auto"/>
        <w:rPr>
          <w:rFonts w:ascii="Arial" w:hAnsi="Arial" w:cs="Arial"/>
          <w:sz w:val="24"/>
          <w:szCs w:val="24"/>
        </w:rPr>
      </w:pPr>
      <w:r>
        <w:rPr>
          <w:rFonts w:hint="eastAsia" w:ascii="Arial" w:hAnsi="Arial" w:cs="Arial"/>
          <w:sz w:val="24"/>
          <w:szCs w:val="24"/>
        </w:rPr>
        <w:t xml:space="preserve">建设一块4.16m*1.92m的P1.8小间距全彩LED大屏，用于展示智慧电梯应用平台产生的数据，实现数据的可视化展示与应用。</w:t>
      </w:r>
      <w:r/>
    </w:p>
    <w:p>
      <w:pPr>
        <w:ind w:firstLine="480"/>
        <w:spacing w:line="360" w:lineRule="auto"/>
        <w:rPr>
          <w:rFonts w:ascii="Arial" w:hAnsi="Arial" w:cs="Arial"/>
          <w:sz w:val="24"/>
          <w:szCs w:val="24"/>
        </w:rPr>
      </w:pPr>
      <w:r>
        <w:rPr>
          <w:rFonts w:hint="eastAsia" w:ascii="Arial" w:hAnsi="Arial" w:cs="Arial"/>
          <w:sz w:val="24"/>
          <w:szCs w:val="24"/>
        </w:rPr>
        <w:t xml:space="preserve">搭配高清视频处理器，配置不少于6路2K分辨率的HDMI信号输入和6路HDMI高清视频输出接口，满足日常的高清画面的输出显示需求。</w:t>
      </w:r>
      <w:r/>
    </w:p>
    <w:p>
      <w:pPr>
        <w:ind w:firstLine="480"/>
        <w:spacing w:line="360" w:lineRule="auto"/>
        <w:rPr>
          <w:rFonts w:ascii="Arial" w:hAnsi="Arial" w:cs="Arial"/>
          <w:sz w:val="24"/>
          <w:szCs w:val="24"/>
        </w:rPr>
      </w:pPr>
      <w:r>
        <w:rPr>
          <w:rFonts w:hint="eastAsia" w:ascii="Arial" w:hAnsi="Arial" w:cs="Arial"/>
          <w:sz w:val="24"/>
          <w:szCs w:val="24"/>
        </w:rPr>
        <w:t xml:space="preserve">3.1.2视频处理器</w:t>
      </w:r>
      <w:r/>
    </w:p>
    <w:p>
      <w:pPr>
        <w:ind w:firstLine="480"/>
        <w:jc w:val="left"/>
        <w:spacing w:line="360" w:lineRule="auto"/>
        <w:rPr>
          <w:rFonts w:ascii="Arial" w:hAnsi="Arial"/>
          <w:sz w:val="24"/>
          <w:szCs w:val="24"/>
        </w:rPr>
      </w:pPr>
      <w:r>
        <w:rPr>
          <w:rFonts w:hint="eastAsia" w:ascii="宋体" w:hAnsi="宋体"/>
          <w:sz w:val="24"/>
          <w:szCs w:val="24"/>
        </w:rPr>
        <w:t xml:space="preserve">视频处理器采用一体化设计，可插入各类输出接口类型的增强型解码板，进行上墙显示，并可进行拼接、开窗、漫游等各类功能。也可插入各类信号输入板，可将电脑信号输入并切换上墙。</w:t>
      </w:r>
      <w:r/>
    </w:p>
    <w:p>
      <w:pPr>
        <w:ind w:firstLine="480"/>
        <w:jc w:val="left"/>
        <w:spacing w:line="360" w:lineRule="auto"/>
        <w:rPr>
          <w:rFonts w:ascii="宋体" w:hAnsi="宋体"/>
          <w:sz w:val="24"/>
          <w:szCs w:val="24"/>
        </w:rPr>
      </w:pPr>
      <w:r>
        <w:rPr>
          <w:rFonts w:hint="eastAsia" w:ascii="宋体" w:hAnsi="宋体"/>
          <w:sz w:val="24"/>
          <w:szCs w:val="24"/>
        </w:rPr>
        <w:t xml:space="preserve">视频处理器的关键技术参数如下：</w:t>
      </w:r>
      <w:r/>
    </w:p>
    <w:p>
      <w:pPr>
        <w:numPr>
          <w:ilvl w:val="0"/>
          <w:numId w:val="4"/>
        </w:numPr>
        <w:spacing w:line="360" w:lineRule="auto"/>
        <w:rPr>
          <w:rFonts w:ascii="宋体" w:hAnsi="宋体"/>
          <w:sz w:val="24"/>
          <w:szCs w:val="24"/>
        </w:rPr>
      </w:pPr>
      <w:r>
        <w:rPr>
          <w:rFonts w:hint="eastAsia" w:ascii="宋体" w:hAnsi="宋体"/>
          <w:sz w:val="24"/>
          <w:szCs w:val="24"/>
        </w:rPr>
        <w:t xml:space="preserve">运营级</w:t>
      </w:r>
      <w:r>
        <w:rPr>
          <w:rFonts w:ascii="宋体" w:hAnsi="宋体"/>
          <w:sz w:val="24"/>
          <w:szCs w:val="24"/>
        </w:rPr>
        <w:t xml:space="preserve">ATCA机箱系统</w:t>
      </w:r>
      <w:r/>
    </w:p>
    <w:p>
      <w:pPr>
        <w:numPr>
          <w:ilvl w:val="0"/>
          <w:numId w:val="4"/>
        </w:numPr>
        <w:spacing w:line="360" w:lineRule="auto"/>
        <w:rPr>
          <w:rFonts w:ascii="宋体" w:hAnsi="宋体"/>
          <w:sz w:val="24"/>
          <w:szCs w:val="24"/>
        </w:rPr>
      </w:pPr>
      <w:r>
        <w:rPr>
          <w:rFonts w:hint="eastAsia" w:ascii="宋体" w:hAnsi="宋体"/>
          <w:sz w:val="24"/>
          <w:szCs w:val="24"/>
        </w:rPr>
        <w:t xml:space="preserve">采用双电源冗余设计、可拓展双主控，智能风扇自动调温，确保系统稳定可靠</w:t>
      </w:r>
      <w:r/>
    </w:p>
    <w:p>
      <w:pPr>
        <w:numPr>
          <w:ilvl w:val="0"/>
          <w:numId w:val="4"/>
        </w:numPr>
        <w:spacing w:line="360" w:lineRule="auto"/>
        <w:rPr>
          <w:rFonts w:ascii="宋体" w:hAnsi="宋体"/>
          <w:sz w:val="24"/>
          <w:szCs w:val="24"/>
        </w:rPr>
      </w:pPr>
      <w:r>
        <w:rPr>
          <w:rFonts w:hint="eastAsia" w:ascii="宋体" w:hAnsi="宋体"/>
          <w:sz w:val="24"/>
          <w:szCs w:val="24"/>
        </w:rPr>
        <w:t xml:space="preserve">插拔式模块化设计，可根据需求灵活扩展，业务板卡可热插拔，方便设备维护</w:t>
      </w:r>
      <w:r/>
    </w:p>
    <w:p>
      <w:pPr>
        <w:numPr>
          <w:ilvl w:val="0"/>
          <w:numId w:val="4"/>
        </w:numPr>
        <w:spacing w:line="360" w:lineRule="auto"/>
        <w:rPr>
          <w:rFonts w:ascii="宋体" w:hAnsi="宋体"/>
          <w:sz w:val="24"/>
          <w:szCs w:val="24"/>
        </w:rPr>
      </w:pPr>
      <w:r>
        <w:rPr>
          <w:rFonts w:hint="eastAsia" w:ascii="宋体" w:hAnsi="宋体"/>
          <w:sz w:val="24"/>
          <w:szCs w:val="24"/>
        </w:rPr>
        <w:t xml:space="preserve">支持通过客户端软件抓屏，进行桌面投屏上墙</w:t>
      </w:r>
      <w:r/>
    </w:p>
    <w:p>
      <w:pPr>
        <w:ind w:firstLine="480"/>
        <w:spacing w:line="360" w:lineRule="auto"/>
        <w:rPr>
          <w:rFonts w:ascii="Arial" w:hAnsi="Arial" w:cs="Arial"/>
          <w:sz w:val="24"/>
          <w:szCs w:val="24"/>
        </w:rPr>
      </w:pPr>
      <w:r>
        <w:rPr>
          <w:rFonts w:hint="eastAsia" w:ascii="Arial" w:hAnsi="Arial" w:cs="Arial"/>
          <w:sz w:val="24"/>
          <w:szCs w:val="24"/>
        </w:rPr>
        <w:t xml:space="preserve">3.1.2 LED配电柜</w:t>
      </w:r>
      <w:r/>
    </w:p>
    <w:p>
      <w:pPr>
        <w:ind w:firstLine="480"/>
        <w:jc w:val="left"/>
        <w:spacing w:line="360" w:lineRule="auto"/>
        <w:rPr>
          <w:rFonts w:ascii="宋体" w:hAnsi="宋体"/>
          <w:sz w:val="24"/>
          <w:szCs w:val="24"/>
        </w:rPr>
      </w:pPr>
      <w:r>
        <w:rPr>
          <w:rFonts w:hint="eastAsia" w:ascii="宋体" w:hAnsi="宋体"/>
          <w:sz w:val="24"/>
          <w:szCs w:val="24"/>
        </w:rPr>
        <w:t xml:space="preserve">LED配电柜的关键技术参数如下：</w:t>
      </w:r>
      <w:r/>
    </w:p>
    <w:p>
      <w:pPr>
        <w:numPr>
          <w:ilvl w:val="0"/>
          <w:numId w:val="4"/>
        </w:numPr>
        <w:spacing w:line="360" w:lineRule="auto"/>
        <w:rPr>
          <w:rFonts w:ascii="宋体" w:hAnsi="宋体"/>
          <w:sz w:val="24"/>
          <w:szCs w:val="24"/>
        </w:rPr>
      </w:pPr>
      <w:r>
        <w:rPr>
          <w:rFonts w:hint="eastAsia" w:ascii="宋体" w:hAnsi="宋体"/>
          <w:sz w:val="24"/>
          <w:szCs w:val="24"/>
        </w:rPr>
        <w:t xml:space="preserve">输入电压：</w:t>
      </w:r>
      <w:r>
        <w:rPr>
          <w:rFonts w:ascii="宋体" w:hAnsi="宋体"/>
          <w:sz w:val="24"/>
          <w:szCs w:val="24"/>
        </w:rPr>
        <w:t xml:space="preserve">380V</w:t>
      </w:r>
      <w:r/>
    </w:p>
    <w:p>
      <w:pPr>
        <w:numPr>
          <w:ilvl w:val="0"/>
          <w:numId w:val="4"/>
        </w:numPr>
        <w:spacing w:line="360" w:lineRule="auto"/>
        <w:rPr>
          <w:rFonts w:ascii="宋体" w:hAnsi="宋体"/>
          <w:sz w:val="24"/>
          <w:szCs w:val="24"/>
        </w:rPr>
      </w:pPr>
      <w:r>
        <w:rPr>
          <w:rFonts w:hint="eastAsia" w:ascii="宋体" w:hAnsi="宋体"/>
          <w:sz w:val="24"/>
          <w:szCs w:val="24"/>
        </w:rPr>
        <w:t xml:space="preserve">输出电压：</w:t>
      </w:r>
      <w:r>
        <w:rPr>
          <w:rFonts w:ascii="宋体" w:hAnsi="宋体"/>
          <w:sz w:val="24"/>
          <w:szCs w:val="24"/>
        </w:rPr>
        <w:t xml:space="preserve">220V</w:t>
      </w:r>
      <w:r/>
    </w:p>
    <w:p>
      <w:pPr>
        <w:numPr>
          <w:ilvl w:val="0"/>
          <w:numId w:val="4"/>
        </w:numPr>
        <w:spacing w:line="360" w:lineRule="auto"/>
        <w:rPr>
          <w:rFonts w:ascii="宋体" w:hAnsi="宋体"/>
          <w:sz w:val="24"/>
          <w:szCs w:val="24"/>
        </w:rPr>
      </w:pPr>
      <w:r>
        <w:rPr>
          <w:rFonts w:hint="eastAsia" w:ascii="宋体" w:hAnsi="宋体"/>
          <w:sz w:val="24"/>
          <w:szCs w:val="24"/>
        </w:rPr>
        <w:t xml:space="preserve">额定功率：</w:t>
      </w:r>
      <w:r>
        <w:rPr>
          <w:rFonts w:ascii="宋体" w:hAnsi="宋体"/>
          <w:sz w:val="24"/>
          <w:szCs w:val="24"/>
        </w:rPr>
        <w:t xml:space="preserve">10KW</w:t>
      </w:r>
      <w:r/>
    </w:p>
    <w:p>
      <w:pPr>
        <w:numPr>
          <w:ilvl w:val="0"/>
          <w:numId w:val="4"/>
        </w:numPr>
        <w:spacing w:line="360" w:lineRule="auto"/>
        <w:rPr>
          <w:rFonts w:ascii="宋体" w:hAnsi="宋体"/>
          <w:sz w:val="24"/>
          <w:szCs w:val="24"/>
        </w:rPr>
      </w:pPr>
      <w:r>
        <w:rPr>
          <w:rFonts w:hint="eastAsia" w:ascii="宋体" w:hAnsi="宋体"/>
          <w:sz w:val="24"/>
          <w:szCs w:val="24"/>
        </w:rPr>
        <w:t xml:space="preserve">输出回路：</w:t>
      </w:r>
      <w:r>
        <w:rPr>
          <w:rFonts w:ascii="宋体" w:hAnsi="宋体"/>
          <w:sz w:val="24"/>
          <w:szCs w:val="24"/>
        </w:rPr>
        <w:t xml:space="preserve">3个单相回路（AC220V）</w:t>
      </w:r>
      <w:r/>
    </w:p>
    <w:p>
      <w:pPr>
        <w:numPr>
          <w:ilvl w:val="0"/>
          <w:numId w:val="4"/>
        </w:numPr>
        <w:spacing w:line="360" w:lineRule="auto"/>
        <w:rPr>
          <w:rFonts w:ascii="宋体" w:hAnsi="宋体"/>
          <w:sz w:val="24"/>
          <w:szCs w:val="24"/>
        </w:rPr>
      </w:pPr>
      <w:r>
        <w:rPr>
          <w:rFonts w:hint="eastAsia" w:ascii="宋体" w:hAnsi="宋体"/>
          <w:sz w:val="24"/>
          <w:szCs w:val="24"/>
        </w:rPr>
        <w:t xml:space="preserve">每路输出最大带载功率：≤</w:t>
      </w:r>
      <w:r>
        <w:rPr>
          <w:rFonts w:ascii="宋体" w:hAnsi="宋体"/>
          <w:sz w:val="24"/>
          <w:szCs w:val="24"/>
        </w:rPr>
        <w:t xml:space="preserve">3.33KW</w:t>
      </w:r>
      <w:r/>
    </w:p>
    <w:p>
      <w:pPr>
        <w:numPr>
          <w:ilvl w:val="0"/>
          <w:numId w:val="4"/>
        </w:numPr>
        <w:spacing w:line="360" w:lineRule="auto"/>
        <w:rPr>
          <w:rFonts w:ascii="宋体" w:hAnsi="宋体"/>
          <w:sz w:val="24"/>
          <w:szCs w:val="24"/>
        </w:rPr>
      </w:pPr>
      <w:r>
        <w:rPr>
          <w:rFonts w:hint="eastAsia" w:ascii="宋体" w:hAnsi="宋体"/>
          <w:sz w:val="24"/>
          <w:szCs w:val="24"/>
        </w:rPr>
        <w:t xml:space="preserve">支持回路状态监测</w:t>
      </w:r>
      <w:r/>
    </w:p>
    <w:p>
      <w:pPr>
        <w:numPr>
          <w:ilvl w:val="0"/>
          <w:numId w:val="4"/>
        </w:numPr>
        <w:spacing w:line="360" w:lineRule="auto"/>
        <w:rPr>
          <w:rFonts w:ascii="宋体" w:hAnsi="宋体"/>
          <w:sz w:val="24"/>
          <w:szCs w:val="24"/>
        </w:rPr>
      </w:pPr>
      <w:r>
        <w:rPr>
          <w:rFonts w:hint="eastAsia" w:ascii="宋体" w:hAnsi="宋体"/>
          <w:sz w:val="24"/>
          <w:szCs w:val="24"/>
        </w:rPr>
        <w:t xml:space="preserve">支持计划任务上电</w:t>
      </w:r>
      <w:r/>
    </w:p>
    <w:p>
      <w:pPr>
        <w:numPr>
          <w:ilvl w:val="0"/>
          <w:numId w:val="4"/>
        </w:numPr>
        <w:spacing w:line="360" w:lineRule="auto"/>
        <w:rPr>
          <w:rFonts w:ascii="宋体" w:hAnsi="宋体"/>
          <w:sz w:val="24"/>
          <w:szCs w:val="24"/>
        </w:rPr>
      </w:pPr>
      <w:r>
        <w:rPr>
          <w:rFonts w:hint="eastAsia" w:ascii="宋体" w:hAnsi="宋体"/>
          <w:sz w:val="24"/>
          <w:szCs w:val="24"/>
        </w:rPr>
        <w:t xml:space="preserve">支持分步逐级上电</w:t>
      </w:r>
      <w:r/>
    </w:p>
    <w:p>
      <w:pPr>
        <w:numPr>
          <w:ilvl w:val="0"/>
          <w:numId w:val="4"/>
        </w:numPr>
        <w:spacing w:line="360" w:lineRule="auto"/>
        <w:rPr>
          <w:rFonts w:ascii="宋体" w:hAnsi="宋体"/>
          <w:sz w:val="24"/>
          <w:szCs w:val="24"/>
        </w:rPr>
      </w:pPr>
      <w:r>
        <w:rPr>
          <w:rFonts w:hint="eastAsia" w:ascii="宋体" w:hAnsi="宋体"/>
          <w:sz w:val="24"/>
          <w:szCs w:val="24"/>
        </w:rPr>
        <w:t xml:space="preserve">支持温度检测</w:t>
      </w:r>
      <w:r/>
    </w:p>
    <w:p>
      <w:pPr>
        <w:numPr>
          <w:ilvl w:val="0"/>
          <w:numId w:val="4"/>
        </w:numPr>
        <w:spacing w:line="360" w:lineRule="auto"/>
        <w:rPr>
          <w:rFonts w:ascii="宋体" w:hAnsi="宋体"/>
          <w:sz w:val="24"/>
          <w:szCs w:val="24"/>
        </w:rPr>
      </w:pPr>
      <w:r>
        <w:rPr>
          <w:rFonts w:hint="eastAsia" w:ascii="宋体" w:hAnsi="宋体"/>
          <w:sz w:val="24"/>
          <w:szCs w:val="24"/>
        </w:rPr>
        <w:t xml:space="preserve">支持逻辑联动控制</w:t>
      </w:r>
      <w:r/>
    </w:p>
    <w:p>
      <w:pPr>
        <w:pStyle w:val="928"/>
        <w:rPr>
          <w:sz w:val="24"/>
          <w:szCs w:val="24"/>
        </w:rPr>
      </w:pPr>
      <w:r>
        <w:rPr>
          <w:rFonts w:hint="eastAsia"/>
          <w:sz w:val="24"/>
          <w:szCs w:val="24"/>
        </w:rPr>
        <w:t xml:space="preserve">3.1.3大屏管理软件</w:t>
      </w:r>
      <w:r/>
    </w:p>
    <w:p>
      <w:pPr>
        <w:ind w:firstLine="480"/>
        <w:jc w:val="left"/>
        <w:spacing w:line="360" w:lineRule="auto"/>
        <w:rPr>
          <w:rFonts w:ascii="宋体" w:hAnsi="宋体"/>
          <w:sz w:val="24"/>
          <w:szCs w:val="24"/>
        </w:rPr>
      </w:pPr>
      <w:r>
        <w:rPr>
          <w:rFonts w:hint="eastAsia" w:ascii="宋体" w:hAnsi="宋体"/>
          <w:sz w:val="24"/>
          <w:szCs w:val="24"/>
        </w:rPr>
        <w:t xml:space="preserve">大屏管理软件的关键技术参数如下：</w:t>
      </w:r>
      <w:r/>
    </w:p>
    <w:p>
      <w:pPr>
        <w:numPr>
          <w:ilvl w:val="0"/>
          <w:numId w:val="4"/>
        </w:numPr>
        <w:spacing w:line="360" w:lineRule="auto"/>
        <w:rPr>
          <w:rFonts w:ascii="宋体" w:hAnsi="宋体"/>
          <w:sz w:val="24"/>
          <w:szCs w:val="24"/>
        </w:rPr>
      </w:pPr>
      <w:r>
        <w:rPr>
          <w:rFonts w:hint="eastAsia" w:ascii="宋体" w:hAnsi="宋体"/>
          <w:sz w:val="24"/>
          <w:szCs w:val="24"/>
        </w:rPr>
        <w:t xml:space="preserve">窗口操作：视频窗口图层的创建、删除。支持窗口移动、改变大小、漫游窗口放大还原、子窗口放大还原、锁定、分屏等操作。</w:t>
      </w:r>
      <w:r>
        <w:rPr>
          <w:rFonts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预览上墙：包括监控点预览上墙、本地信号源预览上墙、以及桌面上墙，支持窗口预览控制及取流信息展示，窗口主子码流切换，以及窗口轮巡预览</w:t>
      </w:r>
      <w:r>
        <w:rPr>
          <w:rFonts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回放上墙：监控点回放上墙，包括上墙之后的控制：快进、慢进、快退、慢退、暂停、恢复、停止等</w:t>
      </w:r>
      <w:r>
        <w:rPr>
          <w:rFonts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视图：墙内布局及内容保存为视图，可以按特定时间或者按周循环切换视图</w:t>
      </w:r>
      <w:r>
        <w:rPr>
          <w:rFonts w:ascii="宋体" w:hAnsi="宋体"/>
          <w:sz w:val="24"/>
          <w:szCs w:val="24"/>
        </w:rPr>
        <w:t xml:space="preserve">;</w:t>
      </w:r>
      <w:r/>
    </w:p>
    <w:p>
      <w:pPr>
        <w:numPr>
          <w:ilvl w:val="0"/>
          <w:numId w:val="4"/>
        </w:numPr>
        <w:spacing w:line="360" w:lineRule="auto"/>
        <w:rPr>
          <w:rFonts w:ascii="宋体" w:hAnsi="宋体"/>
          <w:sz w:val="24"/>
          <w:szCs w:val="24"/>
        </w:rPr>
      </w:pPr>
      <w:r>
        <w:rPr>
          <w:rFonts w:hint="eastAsia" w:ascii="宋体" w:hAnsi="宋体"/>
          <w:sz w:val="24"/>
          <w:szCs w:val="24"/>
        </w:rPr>
        <w:t xml:space="preserve">报警联动：报警源联动监控、视图在视频墙上进行播放显示，客户端通知显示报警联动上墙的结果，支持报警确认操作。</w:t>
      </w:r>
      <w:r/>
    </w:p>
    <w:p>
      <w:pPr>
        <w:pStyle w:val="928"/>
        <w:rPr>
          <w:sz w:val="24"/>
          <w:szCs w:val="24"/>
        </w:rPr>
      </w:pPr>
      <w:r>
        <w:rPr>
          <w:rFonts w:hint="eastAsia"/>
          <w:sz w:val="24"/>
          <w:szCs w:val="24"/>
        </w:rPr>
        <w:t xml:space="preserve">3.1.4安防工作站</w:t>
      </w:r>
      <w:r/>
    </w:p>
    <w:p>
      <w:pPr>
        <w:ind w:firstLine="480"/>
        <w:jc w:val="left"/>
        <w:spacing w:line="360" w:lineRule="auto"/>
        <w:rPr>
          <w:rFonts w:ascii="宋体" w:hAnsi="宋体"/>
          <w:sz w:val="24"/>
          <w:szCs w:val="24"/>
        </w:rPr>
      </w:pPr>
      <w:r>
        <w:rPr>
          <w:rFonts w:hint="eastAsia" w:ascii="宋体" w:hAnsi="宋体"/>
          <w:sz w:val="24"/>
          <w:szCs w:val="24"/>
        </w:rPr>
        <w:t xml:space="preserve">安防工作站的关键技术参数如下：</w:t>
      </w:r>
      <w:r/>
    </w:p>
    <w:p>
      <w:pPr>
        <w:numPr>
          <w:ilvl w:val="0"/>
          <w:numId w:val="4"/>
        </w:numPr>
        <w:spacing w:line="360" w:lineRule="auto"/>
        <w:rPr>
          <w:rFonts w:ascii="宋体" w:hAnsi="宋体"/>
          <w:sz w:val="24"/>
          <w:szCs w:val="24"/>
        </w:rPr>
      </w:pPr>
      <w:r>
        <w:rPr>
          <w:rFonts w:ascii="宋体" w:hAnsi="宋体"/>
          <w:sz w:val="24"/>
          <w:szCs w:val="24"/>
        </w:rPr>
        <w:t xml:space="preserve">CPU：i510400；</w:t>
      </w:r>
      <w:r/>
    </w:p>
    <w:p>
      <w:pPr>
        <w:numPr>
          <w:ilvl w:val="0"/>
          <w:numId w:val="4"/>
        </w:numPr>
        <w:spacing w:line="360" w:lineRule="auto"/>
        <w:rPr>
          <w:rFonts w:ascii="宋体" w:hAnsi="宋体"/>
          <w:sz w:val="24"/>
          <w:szCs w:val="24"/>
        </w:rPr>
      </w:pPr>
      <w:r>
        <w:rPr>
          <w:rFonts w:hint="eastAsia" w:ascii="宋体" w:hAnsi="宋体"/>
          <w:sz w:val="24"/>
          <w:szCs w:val="24"/>
        </w:rPr>
        <w:t xml:space="preserve">内存：16</w:t>
      </w:r>
      <w:r>
        <w:rPr>
          <w:rFonts w:ascii="宋体" w:hAnsi="宋体"/>
          <w:sz w:val="24"/>
          <w:szCs w:val="24"/>
        </w:rPr>
        <w:t xml:space="preserve">GB；</w:t>
      </w:r>
      <w:r/>
    </w:p>
    <w:p>
      <w:pPr>
        <w:numPr>
          <w:ilvl w:val="0"/>
          <w:numId w:val="4"/>
        </w:numPr>
        <w:spacing w:line="360" w:lineRule="auto"/>
        <w:rPr>
          <w:rFonts w:ascii="宋体" w:hAnsi="宋体"/>
          <w:sz w:val="24"/>
          <w:szCs w:val="24"/>
        </w:rPr>
      </w:pPr>
      <w:r>
        <w:rPr>
          <w:rFonts w:hint="eastAsia" w:ascii="宋体" w:hAnsi="宋体"/>
          <w:sz w:val="24"/>
          <w:szCs w:val="24"/>
        </w:rPr>
        <w:t xml:space="preserve">硬盘：256</w:t>
      </w:r>
      <w:r>
        <w:rPr>
          <w:rFonts w:ascii="宋体" w:hAnsi="宋体"/>
          <w:sz w:val="24"/>
          <w:szCs w:val="24"/>
        </w:rPr>
        <w:t xml:space="preserve">GBSATASSD+1TBSATAHDD；</w:t>
      </w:r>
      <w:r/>
    </w:p>
    <w:p>
      <w:pPr>
        <w:numPr>
          <w:ilvl w:val="0"/>
          <w:numId w:val="4"/>
        </w:numPr>
        <w:spacing w:line="360" w:lineRule="auto"/>
        <w:rPr>
          <w:rFonts w:ascii="宋体" w:hAnsi="宋体"/>
          <w:sz w:val="24"/>
          <w:szCs w:val="24"/>
        </w:rPr>
      </w:pPr>
      <w:r>
        <w:rPr>
          <w:rFonts w:hint="eastAsia" w:ascii="宋体" w:hAnsi="宋体"/>
          <w:sz w:val="24"/>
          <w:szCs w:val="24"/>
        </w:rPr>
        <w:t xml:space="preserve">显示器：</w:t>
      </w:r>
      <w:r>
        <w:rPr>
          <w:rFonts w:ascii="宋体" w:hAnsi="宋体"/>
          <w:sz w:val="24"/>
          <w:szCs w:val="24"/>
        </w:rPr>
        <w:t xml:space="preserve">21.5英寸；</w:t>
      </w:r>
      <w:r/>
    </w:p>
    <w:p>
      <w:pPr>
        <w:numPr>
          <w:ilvl w:val="0"/>
          <w:numId w:val="4"/>
        </w:numPr>
        <w:spacing w:line="360" w:lineRule="auto"/>
        <w:rPr>
          <w:rFonts w:ascii="宋体" w:hAnsi="宋体"/>
          <w:sz w:val="24"/>
          <w:szCs w:val="24"/>
        </w:rPr>
      </w:pPr>
      <w:r>
        <w:rPr>
          <w:rFonts w:hint="eastAsia" w:ascii="宋体" w:hAnsi="宋体"/>
          <w:sz w:val="24"/>
          <w:szCs w:val="24"/>
        </w:rPr>
        <w:t xml:space="preserve">显卡：</w:t>
      </w:r>
      <w:r>
        <w:rPr>
          <w:rFonts w:ascii="宋体" w:hAnsi="宋体"/>
          <w:sz w:val="24"/>
          <w:szCs w:val="24"/>
        </w:rPr>
        <w:t xml:space="preserve">R7430，2G独显；</w:t>
      </w:r>
      <w:r/>
    </w:p>
    <w:p>
      <w:pPr>
        <w:numPr>
          <w:ilvl w:val="0"/>
          <w:numId w:val="4"/>
        </w:numPr>
        <w:spacing w:line="360" w:lineRule="auto"/>
        <w:rPr>
          <w:rFonts w:ascii="宋体" w:hAnsi="宋体"/>
          <w:sz w:val="24"/>
          <w:szCs w:val="24"/>
        </w:rPr>
      </w:pPr>
      <w:r>
        <w:rPr>
          <w:rFonts w:hint="eastAsia" w:ascii="宋体" w:hAnsi="宋体"/>
          <w:sz w:val="24"/>
          <w:szCs w:val="24"/>
        </w:rPr>
        <w:t xml:space="preserve">操作系统：</w:t>
      </w:r>
      <w:r>
        <w:rPr>
          <w:rFonts w:ascii="宋体" w:hAnsi="宋体"/>
          <w:sz w:val="24"/>
          <w:szCs w:val="24"/>
        </w:rPr>
        <w:t xml:space="preserve">Windows10IoT版；</w:t>
      </w:r>
      <w:r/>
    </w:p>
    <w:p>
      <w:pPr>
        <w:numPr>
          <w:ilvl w:val="0"/>
          <w:numId w:val="4"/>
        </w:numPr>
        <w:spacing w:line="360" w:lineRule="auto"/>
        <w:rPr>
          <w:rFonts w:ascii="宋体" w:hAnsi="宋体"/>
          <w:sz w:val="24"/>
          <w:szCs w:val="24"/>
        </w:rPr>
      </w:pPr>
      <w:r>
        <w:rPr>
          <w:rFonts w:hint="eastAsia" w:ascii="宋体" w:hAnsi="宋体"/>
          <w:sz w:val="24"/>
          <w:szCs w:val="24"/>
        </w:rPr>
        <w:t xml:space="preserve">整机品牌：支持硬盘拆卸安装</w:t>
      </w:r>
      <w:r>
        <w:rPr>
          <w:rFonts w:ascii="宋体" w:hAnsi="宋体"/>
          <w:sz w:val="24"/>
          <w:szCs w:val="24"/>
        </w:rPr>
        <w:t xml:space="preserve">;支持存储硬盘与主机同一品牌，主机与播放器同一品牌。</w:t>
      </w:r>
      <w:r/>
    </w:p>
    <w:p>
      <w:pPr>
        <w:numPr>
          <w:ilvl w:val="0"/>
          <w:numId w:val="4"/>
        </w:numPr>
        <w:spacing w:line="360" w:lineRule="auto"/>
        <w:rPr>
          <w:rFonts w:ascii="宋体" w:hAnsi="宋体"/>
          <w:sz w:val="24"/>
          <w:szCs w:val="24"/>
        </w:rPr>
      </w:pPr>
      <w:r>
        <w:rPr>
          <w:rFonts w:hint="eastAsia" w:ascii="宋体" w:hAnsi="宋体"/>
          <w:sz w:val="24"/>
          <w:szCs w:val="24"/>
        </w:rPr>
        <w:t xml:space="preserve">支持超高清</w:t>
      </w:r>
      <w:r>
        <w:rPr>
          <w:rFonts w:ascii="宋体" w:hAnsi="宋体"/>
          <w:sz w:val="24"/>
          <w:szCs w:val="24"/>
        </w:rPr>
        <w:t xml:space="preserve">4K、8K解码实景播放，支持3600W鹰眼前端解码播放;支持多显卡调度，可在相同应用里使用双显卡，双显卡同时工作；可通过视频客户端进行画中画显示，把二个IPC的画面合并成一个画面，在一个大画面叠加一个小画面，也可以分二个窗口显示。</w:t>
      </w:r>
      <w:r/>
    </w:p>
    <w:p>
      <w:pPr>
        <w:numPr>
          <w:ilvl w:val="0"/>
          <w:numId w:val="4"/>
        </w:numPr>
        <w:spacing w:line="360" w:lineRule="auto"/>
        <w:rPr>
          <w:rFonts w:ascii="宋体" w:hAnsi="宋体"/>
          <w:sz w:val="24"/>
          <w:szCs w:val="24"/>
        </w:rPr>
      </w:pPr>
      <w:r>
        <w:rPr>
          <w:rFonts w:hint="eastAsia" w:ascii="宋体" w:hAnsi="宋体"/>
          <w:sz w:val="24"/>
          <w:szCs w:val="24"/>
        </w:rPr>
        <w:t xml:space="preserve">支持多窗口播放：可进行</w:t>
      </w:r>
      <w:r>
        <w:rPr>
          <w:rFonts w:ascii="宋体" w:hAnsi="宋体"/>
          <w:sz w:val="24"/>
          <w:szCs w:val="24"/>
        </w:rPr>
        <w:t xml:space="preserve">16个窗口同时1或2倍速播放，9个窗口同时4倍速播放，4个窗口同时8倍速或16倍速播放。分屏播放：系统需支持GA/T1154.2-2014中4.4.2.1规定的70种视频格式文件等多种安防视频格式文件功能，支持全屏、单屏、2分屏、4分屏、9分屏、16分屏播放。</w:t>
      </w:r>
      <w:r/>
    </w:p>
    <w:p>
      <w:pPr>
        <w:numPr>
          <w:ilvl w:val="0"/>
          <w:numId w:val="4"/>
        </w:numPr>
        <w:spacing w:line="360" w:lineRule="auto"/>
        <w:rPr>
          <w:rFonts w:ascii="宋体" w:hAnsi="宋体"/>
          <w:sz w:val="24"/>
          <w:szCs w:val="24"/>
        </w:rPr>
      </w:pPr>
      <w:r>
        <w:rPr>
          <w:rFonts w:hint="eastAsia" w:ascii="宋体" w:hAnsi="宋体"/>
          <w:sz w:val="24"/>
          <w:szCs w:val="24"/>
        </w:rPr>
        <w:t xml:space="preserve">系统支持对</w:t>
      </w:r>
      <w:r>
        <w:rPr>
          <w:rFonts w:ascii="宋体" w:hAnsi="宋体"/>
          <w:sz w:val="24"/>
          <w:szCs w:val="24"/>
        </w:rPr>
        <w:t xml:space="preserve">GA/T1154.2-2014中4.4.2.1规定的70种视频格式文件转码成MP4，AVI，WMV，GIF。</w:t>
      </w:r>
      <w:r/>
    </w:p>
    <w:p>
      <w:pPr>
        <w:pStyle w:val="928"/>
        <w:rPr>
          <w:sz w:val="24"/>
          <w:szCs w:val="24"/>
        </w:rPr>
      </w:pPr>
      <w:r>
        <w:rPr>
          <w:rFonts w:hint="eastAsia"/>
          <w:sz w:val="24"/>
          <w:szCs w:val="24"/>
        </w:rPr>
        <w:t xml:space="preserve">3.2音频扩声系统</w:t>
      </w:r>
      <w:r/>
    </w:p>
    <w:p>
      <w:pPr>
        <w:pStyle w:val="928"/>
        <w:ind w:firstLine="480"/>
        <w:rPr>
          <w:sz w:val="24"/>
          <w:szCs w:val="24"/>
        </w:rPr>
      </w:pPr>
      <w:r>
        <w:rPr>
          <w:rFonts w:hint="eastAsia"/>
          <w:sz w:val="24"/>
          <w:szCs w:val="24"/>
        </w:rPr>
        <w:t xml:space="preserve">配备2台专业会议音箱，结合一套一拖四的无线会议话筒，通过数字音频处理器和功率放大器，满足指挥中心的音频扩声需求。</w:t>
      </w:r>
      <w:r/>
    </w:p>
    <w:p>
      <w:pPr>
        <w:pStyle w:val="928"/>
        <w:rPr>
          <w:sz w:val="24"/>
          <w:szCs w:val="24"/>
        </w:rPr>
      </w:pPr>
      <w:r>
        <w:rPr>
          <w:rFonts w:hint="eastAsia"/>
          <w:sz w:val="24"/>
          <w:szCs w:val="24"/>
        </w:rPr>
        <w:t xml:space="preserve">音频扩声系统的系统组成如下图所示：</w:t>
      </w:r>
      <w:r/>
    </w:p>
    <w:p>
      <w:pPr>
        <w:pStyle w:val="928"/>
        <w:rPr>
          <w:b/>
          <w:bCs/>
          <w:sz w:val="24"/>
          <w:szCs w:val="24"/>
        </w:rPr>
      </w:pPr>
      <w:r>
        <w:rPr>
          <w:sz w:val="28"/>
          <w:szCs w:val="28"/>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3.3pt;height:119.5pt;mso-wrap-distance-left:0.0pt;mso-wrap-distance-top:0.0pt;mso-wrap-distance-right:0.0pt;mso-wrap-distance-bottom:0.0pt;" filled="f" stroked="f">
            <v:path textboxrect="0,0,0,0"/>
            <v:imagedata r:id="rId14" o:title=""/>
          </v:shape>
          <o:OLEObject DrawAspect="Content" r:id="rId15" ObjectID="_1525043" ProgID="Visio.Drawing.15" ShapeID="_x0000_i3" Type="Embed"/>
        </w:object>
      </w:r>
      <w:r/>
    </w:p>
    <w:p>
      <w:pPr>
        <w:pStyle w:val="928"/>
        <w:ind w:firstLine="480"/>
        <w:rPr>
          <w:sz w:val="24"/>
          <w:szCs w:val="24"/>
        </w:rPr>
      </w:pPr>
      <w:r>
        <w:rPr>
          <w:rFonts w:hint="eastAsia"/>
          <w:sz w:val="24"/>
          <w:szCs w:val="24"/>
        </w:rPr>
        <w:t xml:space="preserve">综合音响扩声系统的配置，结合指挥中心对音响扩声系统的使用需求，整个音响扩声系统设计可实现以下使用功能：</w:t>
      </w:r>
      <w:r/>
    </w:p>
    <w:p>
      <w:pPr>
        <w:pStyle w:val="928"/>
        <w:rPr>
          <w:sz w:val="24"/>
          <w:szCs w:val="24"/>
        </w:rPr>
      </w:pPr>
      <w:r>
        <w:rPr>
          <w:rFonts w:hint="eastAsia"/>
          <w:sz w:val="24"/>
          <w:szCs w:val="24"/>
        </w:rPr>
        <w:t xml:space="preserve">3.2.1、采用数字音频处理器，设计多种工作模式，例如会议讨论模式，影音模式、节目模式、远程会议模式等，可根据不同的需要快速调节话筒前级处理器，满足不同模式的音响扩音；</w:t>
      </w:r>
      <w:r/>
    </w:p>
    <w:p>
      <w:pPr>
        <w:pStyle w:val="928"/>
        <w:rPr>
          <w:sz w:val="24"/>
          <w:szCs w:val="24"/>
        </w:rPr>
      </w:pPr>
      <w:r>
        <w:rPr>
          <w:rFonts w:hint="eastAsia"/>
          <w:sz w:val="24"/>
          <w:szCs w:val="24"/>
        </w:rPr>
        <w:t xml:space="preserve">3.2.2、预置多组出厂会场效果和工作模式，现场调试可下载直接使用，无需进行复杂调试，</w:t>
      </w:r>
      <w:r/>
    </w:p>
    <w:p>
      <w:pPr>
        <w:pStyle w:val="928"/>
        <w:rPr>
          <w:sz w:val="24"/>
          <w:szCs w:val="24"/>
        </w:rPr>
      </w:pPr>
      <w:r>
        <w:rPr>
          <w:rFonts w:hint="eastAsia"/>
          <w:sz w:val="24"/>
          <w:szCs w:val="24"/>
        </w:rPr>
        <w:t xml:space="preserve">3.2.3、采用软件调试和设置，可根据现场的环境、位置摆放、音箱摆放、会议的类型等进行预先设置和实时调节，系统可以与集中控制系统对接，通过集中控制系统进行管理；</w:t>
      </w:r>
      <w:r/>
    </w:p>
    <w:p>
      <w:pPr>
        <w:pStyle w:val="928"/>
        <w:rPr>
          <w:sz w:val="24"/>
          <w:szCs w:val="24"/>
        </w:rPr>
      </w:pPr>
      <w:r>
        <w:rPr>
          <w:rFonts w:hint="eastAsia"/>
          <w:sz w:val="24"/>
          <w:szCs w:val="24"/>
        </w:rPr>
        <w:t xml:space="preserve">3.2.4、根据会议类型设置压限效果，防止信号输出过大，带来过大的音频电流，烧坏音箱；</w:t>
      </w:r>
      <w:r/>
    </w:p>
    <w:p>
      <w:pPr>
        <w:pStyle w:val="928"/>
        <w:rPr>
          <w:sz w:val="24"/>
          <w:szCs w:val="24"/>
        </w:rPr>
      </w:pPr>
      <w:r>
        <w:rPr>
          <w:rFonts w:hint="eastAsia"/>
          <w:sz w:val="24"/>
          <w:szCs w:val="24"/>
        </w:rPr>
        <w:t xml:space="preserve">3.2.5、根据会议类型设置噪音门效果，滤波多余的噪音输入音响设备，产生噪音，影响音响扩声效果；</w:t>
      </w:r>
      <w:r/>
    </w:p>
    <w:p>
      <w:pPr>
        <w:pStyle w:val="928"/>
        <w:spacing w:line="360" w:lineRule="auto"/>
        <w:rPr>
          <w:sz w:val="24"/>
          <w:szCs w:val="24"/>
        </w:rPr>
      </w:pPr>
      <w:r>
        <w:rPr>
          <w:rFonts w:hint="eastAsia"/>
          <w:sz w:val="24"/>
          <w:szCs w:val="24"/>
        </w:rPr>
        <w:t xml:space="preserve">3.2.6、音箱采用一对一定阻传输方式，音箱与功放阻抗匹配，采用全频宽频音箱，还原出最佳的音质效果。</w:t>
      </w:r>
      <w:r/>
    </w:p>
    <w:p>
      <w:pPr>
        <w:pStyle w:val="928"/>
        <w:spacing w:line="360" w:lineRule="auto"/>
        <w:rPr>
          <w:b/>
          <w:bCs/>
          <w:sz w:val="24"/>
          <w:szCs w:val="24"/>
        </w:rPr>
      </w:pPr>
      <w:r>
        <w:rPr>
          <w:rFonts w:hint="eastAsia"/>
          <w:b/>
          <w:bCs/>
          <w:sz w:val="24"/>
          <w:szCs w:val="24"/>
        </w:rPr>
        <w:t xml:space="preserve">（4）采购清单</w:t>
      </w:r>
      <w:r/>
    </w:p>
    <w:tbl>
      <w:tblPr>
        <w:tblStyle w:val="734"/>
        <w:tblW w:w="9118" w:type="dxa"/>
        <w:tblInd w:w="-260" w:type="dxa"/>
        <w:tblLayout w:type="fixed"/>
        <w:tblCellMar>
          <w:left w:w="108" w:type="dxa"/>
          <w:top w:w="0" w:type="dxa"/>
          <w:right w:w="108" w:type="dxa"/>
          <w:bottom w:w="0" w:type="dxa"/>
        </w:tblCellMar>
        <w:tblLook w:val="04A0" w:firstRow="1" w:lastRow="0" w:firstColumn="1" w:lastColumn="0" w:noHBand="0" w:noVBand="1"/>
      </w:tblPr>
      <w:tblGrid>
        <w:gridCol w:w="707"/>
        <w:gridCol w:w="1292"/>
        <w:gridCol w:w="1079"/>
        <w:gridCol w:w="1200"/>
        <w:gridCol w:w="2936"/>
        <w:gridCol w:w="947"/>
        <w:gridCol w:w="957"/>
      </w:tblGrid>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ascii="仿宋" w:hAnsi="仿宋" w:eastAsia="仿宋" w:cs="仿宋"/>
                <w:b/>
                <w:bCs/>
                <w:color w:val="000000"/>
                <w:sz w:val="24"/>
                <w:szCs w:val="24"/>
                <w:lang w:bidi="ar"/>
              </w:rPr>
            </w:pPr>
            <w:r>
              <w:rPr>
                <w:rFonts w:hint="eastAsia" w:ascii="仿宋" w:hAnsi="仿宋" w:eastAsia="仿宋" w:cs="仿宋"/>
                <w:b/>
                <w:bCs/>
                <w:color w:val="000000"/>
                <w:szCs w:val="21"/>
                <w:lang w:bidi="ar"/>
              </w:rPr>
              <w:t xml:space="preserve">具体功能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建设内容</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电梯物联网系统</w:t>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智慧电梯传感器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智慧电梯传感器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电梯参数配置:电梯编号、电梯楼层、轿厢门数量、电梯额定速度等参数可配置。</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电梯运行状态采集:采集电梯当前状态、运行方向、当前楼层、门开关是否有人及电梯故障信息。</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支持多个电梯状态传感器接入，门传感器、平层传感器、人体红外传感器等。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内置气压和加速度传感器，减少平层传感器使用和实现电梯运行速度检测。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支持一键报警</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支持多种电梯运行状态采集，速度、方向、楼层、门状态、是否有人、是否停电等。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支持多种电梯故障采集，并可将故障报警上传远程监控中心。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故障报警:电梯编号、故障类型、故障发生时间、电梯所在区域等实时上传到电梯应急处置监测平台，并联动平台报警。</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故障数据本地及远程存储:可持续保存运行故障数据。</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视频监控:可实时采集轿厢内视频信息。</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本地视频存储:可存储最近7天内电梯视频数据。</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远程视频存储:支持以太网、无线网方式接入NVR，远程存储视频·电梯故障录像:电梯发生故障时，本地自动保存录像视频。</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语音对讲:支持远程语音双向对讲。</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困人安抚:支持远程音视频安抚。</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信息发布功能:支持外接多媒体显示屏。</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网络传输:支持以太网方式与云服务器通信。</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电梯实时状态:可通过云平台远程实时查看电梯运行状态、故障信息、音视频等。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历史数据:云平台可永久存储电梯编号、报警时间、故障类型、接警时间、维保人员、故障原因、维保完成时间等数据。</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★电梯安全网关在线状态：智慧电梯平台上应能实时显示电梯安全网关在线状态，包括在线、离线；（需提供权威电梯检测中心检测报告证明扫描件）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★后备电源:可保证停电后正常工作2小时左右。视频码率：电梯安全网关应支持视频码率：32K~2M（可调）。（需提供权威电梯检测中心检测报告证明扫描件）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★电梯故障:能够采集以下多种故障:非平层停梯、冲顶、蹲底、运行中开门、超速、长时间困人等。（需提供权威电梯检测中心检测报告证明扫描件）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信息发布屏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18.5寸信息发布屏</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物联网信息发布屏， 可连接中心发布平台，进行设备和数据管理。支持远程控制发布管理，功能强大。</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高性能4核A53处理器，支持Wi-Fi2.4G</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动态广告展示设置，自动循环播放</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云发布系统远程发布， 监控内容</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分时段定时开关机，定义分时段播放节目</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声色自然影音同布，内置功放喇叭立体音效</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支持横屏竖屏壁挂，满足多种使用场景需求</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高清屏幕，广视角呈现真彩色泽</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轻薄机身，整体简约风格设计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摄像机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电梯摄像机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200万 电梯轿厢状态监测半球摄像机</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智能侦测：采用深度学习硬件及算法，支持电瓶车识别，人数统计等多种目标检测跟踪识别</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支持电梯物联功能，支持电梯运维信息统计</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支持内置传感器，采用深度学习硬件及算法，可显示楼层信息</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支持1路报警输入，1路报警输出，报警输出最大支持DC57 V，2 A</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内置MicroSD/MicroSDHC/MicroSDXC 插槽，最大支持512 GB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1个内置麦克风，1个内置扬声器，支持双向语音对讲</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符合IK08防暴设计，可靠性高</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设备内置GPU芯片、1个麦克风、1个扬声器，1颗红外补光灯，1颗白光闪光灯，1颗ToF传感器、1个温湿度和楼层传感器，1个报警输入接口，1个报警输出接口，1个SD卡卡槽。支持视频遮挡检测功能，内置ToF传感器，可通过IE浏览器配置遮挡报警距离、时长及布防时间 ，在布防时间内检测到有物体距离摄像机距离低于设定阈值且达到设置遮挡时长时，可在客户端给出报警提示并可联动声音报警、上传中心、录像、发送邮件及触发报警输出。（需提供公安部检验报告证明复印件并加盖投标单位公章）</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★支持声光报警功能，当报警输入报警产生时，可在</w:t>
            </w:r>
            <w:r>
              <w:rPr>
                <w:rFonts w:hint="eastAsia" w:ascii="仿宋" w:hAnsi="仿宋" w:eastAsia="仿宋" w:cs="仿宋"/>
                <w:color w:val="000000"/>
                <w:sz w:val="18"/>
                <w:szCs w:val="18"/>
              </w:rPr>
              <w:t xml:space="preserve">报警布防时间内联动声音报警或白光灯闪烁，设备支持用户自定义AI算法库，可运行、停止算法库，可显示当前算法库的运行状态，并支持修改、删除算法库及自定义算法库名称。支持人数统计功能，支持多边形（最多允许10条边）人数检测区域，并可实时统计区域中的人员数量及位置，支持预览画面上实现显示统计的人数，支持将检测结果定时上传。支持楼层显示功能，支持电梯运行状态检测，包括电梯所在楼层检测、上下行状态检测、电梯运行速度检测，可将检测结果实时叠加在预览画面上，并支持将检测结果实时上传服务器。（需提供公安部检验报告证明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★支持电瓶车入梯报警，电瓶车进入轿厢后报警，检测到电瓶车进入轿厢后，电梯门保持开启状态。（需提供国家电梯质量检测中心报告证明扫描件）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电源适配器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电源适配器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12V/1A电源适配器，需适配电梯摄像机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网桥</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电梯网桥</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2.4GHz 200米电梯网桥</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智能识别终端 终端准入管控</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无线抗干扰 故障可自愈</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APP、客户端统一管理 拓扑可视化、智能运维</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网络协议：NTP（网络校时）;SADP（自动搜索 IP 地址）;HTTPS（Web管理）;SSH（调试）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LED指示灯：PWR电源指示灯;LAN口指示灯;信号强度指示灯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设备维护：支持WEB、客户端和APP管理，支持Syslog和控制台信息,支持终端识别、终端准入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带机量：2路8MP IPC</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组网方式：点对点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无线标准：IEEE 802.11b/g/n（2*2 MIMO 300 Mbps）</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最大空口传输速率：≤ 300 Mbps</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配对方式：成对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网络接口类型：机房端：1个RJ45 ,10/100 Mbps自适应</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摄像机端：2个RJ45 ,10/100 Mbps自适应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信道宽度：10/20/40 MHz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应用功能：支持智能频谱管理,支持故障自愈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内存卡</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本地实时视频内存卡</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128G内存卡，需适配电梯摄像机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spacing w:line="320" w:lineRule="exact"/>
              <w:widowControl/>
              <w:rPr>
                <w:rFonts w:ascii="仿宋" w:hAnsi="仿宋" w:eastAsia="仿宋" w:cs="仿宋"/>
                <w:color w:val="000000"/>
                <w:sz w:val="24"/>
                <w:szCs w:val="24"/>
                <w:highlight w:val="yellow"/>
              </w:rPr>
            </w:pPr>
            <w:r>
              <w:rPr>
                <w:rFonts w:hint="eastAsia" w:ascii="仿宋" w:hAnsi="仿宋" w:eastAsia="仿宋" w:cs="仿宋"/>
                <w:color w:val="000000"/>
                <w:szCs w:val="21"/>
                <w:lang w:bidi="ar"/>
              </w:rPr>
              <w:t xml:space="preserve">海陵区智慧电梯管理平台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widowControl/>
              <w:rPr>
                <w:rFonts w:ascii="仿宋" w:hAnsi="仿宋" w:eastAsia="仿宋" w:cs="仿宋"/>
                <w:color w:val="000000"/>
                <w:szCs w:val="21"/>
              </w:rPr>
            </w:pPr>
            <w:r>
              <w:rPr>
                <w:rFonts w:hint="eastAsia" w:ascii="仿宋" w:hAnsi="仿宋" w:eastAsia="仿宋" w:cs="仿宋"/>
                <w:color w:val="000000"/>
                <w:szCs w:val="21"/>
                <w:lang w:bidi="ar"/>
              </w:rPr>
              <w:t xml:space="preserve">电梯数据中心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电梯数据中心</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支持电梯基础信息查询、导出功能，包括电梯声明周期、电梯基础信息、使用单位信息、维保单位信息、检验检测信息、制造单位信息、设备技术参数信息等。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支持电梯历史维保单位查询，展示历史维保单位名称。</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历史维保记录查询，根据电梯识别码、注册代码、设备代码等字段进行查询，展示该电梯历史维保记录，可以查看针对维保工作的操作业务确认签字及各维保项目的维保结果记录，同时查看现场维保照片。</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支持电梯应急处置信息查询，包括报警来源、事件类型、接警时间、派遣对象、到场时间、处置完成时间、被困人数、故障原因等。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支持电梯数据更新记录查询，记录数据更新时间、数据来源等，支持查看详细更新字段的新值和原值。</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支持电梯监督检查记录查询，记录任务编号、任务名称、任务类型、检查单位、开始时间、结束时间、已完成/电梯数量、创建人、创建人所在单位、创建时间。</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widowControl/>
              <w:rPr>
                <w:rFonts w:ascii="仿宋" w:hAnsi="仿宋" w:eastAsia="仿宋" w:cs="仿宋"/>
                <w:color w:val="000000"/>
                <w:szCs w:val="21"/>
              </w:rPr>
            </w:pPr>
            <w:r>
              <w:rPr>
                <w:rFonts w:hint="eastAsia" w:ascii="仿宋" w:hAnsi="仿宋" w:eastAsia="仿宋" w:cs="仿宋"/>
                <w:color w:val="000000"/>
                <w:szCs w:val="21"/>
                <w:lang w:bidi="ar"/>
              </w:rPr>
              <w:t xml:space="preserve">使用单位管理平台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使用单位管理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按照单位名称、单位代码、电梯所在区域和电梯状态进行使用单位的筛选。使用单位的展示字段包含：单位名称、单位信用代码、电梯所在区域、使用单位联系人、使用单位联系人电话。点击具体电梯后能跳转到电梯数据中心界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right w:val="single" w:color="000000" w:sz="4" w:space="0"/>
            </w:tcBorders>
            <w:tcW w:w="1079" w:type="dxa"/>
            <w:vAlign w:val="center"/>
            <w:vMerge w:val="restart"/>
            <w:textDirection w:val="lrTb"/>
            <w:noWrap/>
          </w:tcPr>
          <w:p>
            <w:pPr>
              <w:jc w:val="left"/>
              <w:spacing w:line="320" w:lineRule="exact"/>
              <w:widowControl/>
              <w:rPr>
                <w:rFonts w:ascii="仿宋" w:hAnsi="仿宋" w:eastAsia="仿宋" w:cs="仿宋"/>
                <w:color w:val="000000"/>
                <w:szCs w:val="21"/>
              </w:rPr>
            </w:pPr>
            <w:r>
              <w:rPr>
                <w:rFonts w:hint="eastAsia" w:ascii="仿宋" w:hAnsi="仿宋" w:eastAsia="仿宋" w:cs="仿宋"/>
                <w:color w:val="000000"/>
                <w:szCs w:val="21"/>
                <w:lang w:bidi="ar"/>
              </w:rPr>
              <w:t xml:space="preserve">智能监测平台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智能设备监测</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基本情况：提供物联网设备总量统计、原厂&amp;第三方接入数量统计、在线情况统计、不同区域设备接入情况统计等；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设备清单：展示电梯信息、物联网厂家信息、在线情况、接入时间等；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实时数据：支持单梯物联网数据查询，包括轿厢运行状态、轿厢运行方向、轿厢剧烈震动、运行速度、电梯当前楼层、智能设备状态、平层状态、轿厢内是否有人、设备累计运行次数、设备累计运行时间、数据采集时间；</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故障告警：展示最近十起告警记录。记录字段有：故障时间、故障类型、故障处理状态。</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历史故障情况</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平台可以通过注册代码、所属街道、使用单位、维保单位、三方物联网平台、故障类型、故障开始时间、故障结束时间、故障处理状态来进行告警详情的查询。其中故障类型至少要包括：困人、电瓶车入梯、电瓶车梯控、遮挡门、反复开关门。</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bottom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电梯故障统计分析</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能按照年度、季度、月度对电梯故障对下列数据进行统计分析：维保单位的维保电梯的困人和非困人情况；不同电梯品牌的困人和非困人情况；不同场所类型的困人和非困人情况；（2）能够按照近12天、近30天对维保单位所谓保电梯的故障趋势，电梯品牌的故障趋势做展示。</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right w:val="single" w:color="000000" w:sz="4" w:space="0"/>
            </w:tcBorders>
            <w:tcW w:w="1079" w:type="dxa"/>
            <w:vAlign w:val="center"/>
            <w:vMerge w:val="restart"/>
            <w:textDirection w:val="lrTb"/>
            <w:noWrap/>
          </w:tcPr>
          <w:p>
            <w:pPr>
              <w:jc w:val="left"/>
              <w:spacing w:line="320" w:lineRule="exact"/>
              <w:widowControl/>
              <w:rPr>
                <w:rFonts w:ascii="仿宋" w:hAnsi="仿宋" w:eastAsia="仿宋" w:cs="仿宋"/>
                <w:color w:val="000000"/>
                <w:sz w:val="24"/>
                <w:szCs w:val="24"/>
                <w:highlight w:val="yellow"/>
              </w:rPr>
            </w:pPr>
            <w:r>
              <w:rPr>
                <w:rFonts w:hint="eastAsia" w:ascii="仿宋" w:hAnsi="仿宋" w:eastAsia="仿宋" w:cs="仿宋"/>
                <w:color w:val="000000"/>
                <w:szCs w:val="21"/>
                <w:lang w:bidi="ar"/>
              </w:rPr>
              <w:t xml:space="preserve">智慧决策数据驾驶舱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GIS电梯电子地图</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根据海陵区电梯位置信息展示地理位置分布。GIS地图需要支持缩放，电梯点位根据缩放显示点集合跟详细落点，并且可以联动区域选择，自动展示选中区域的信息等。点击地图撒点，可进入电梯仿真3D模型界面。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地图点位筛选</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可对展示地图点位进行基于所属区域、场所类型、电梯年限、使用类型的检索，支持多重筛选。</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关键数据展示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根据海陵区电梯项目实际情况，展示当前所选电梯数量、当日处置数、当日解救人数、当日困人救援数、当前已维保数、当日待维保数。</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关键告警动态展示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地图展示困人、电瓶车梯控告警，告警以动态撒点呈现，点击撒点可查看详细告警信息，包括告警地点、告警时间、注册代码、告警状态、维保单位、使用单位及告警视频。</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覆盖情况</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展示海陵区电梯项目覆盖情况，包括电梯总量、维保单位数量、使用单位数量。</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趋势分布</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的趋势分布，包括：增长趋势：电梯数量（台）逐年增长趋势折线图，鼠标悬停折线图数据标签之上可显示当年数据；年份区间：2018至2024；梯龄分布：梯龄分布柱状图，鼠标悬停柱状图之上可显示该区间电梯数量（台），区间分布：0-4年、5-9年、10-14年、15年+；</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区域分布：电梯所在区域分布柱状图，鼠标悬停各街道（社区）之上可显示该区域电梯数量（台），区域分布：城南街道、城北街道、城西街道、城东街道、城中街道、红旗街道、苏陈镇、九龙镇、京泰路街道；场所分布：电梯场所分布饼图，场所分布：住宅、其他。</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19</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智慧电梯</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电梯项目智慧电梯相关信息，包括：智慧电梯：海陵区智慧电梯数量（台），鼠标点击后电子地图显示海陵区智慧电梯撒点分布、在线率：海陵区智慧电梯在线率、累计告警数量：累计监测的告警总数、新增告警折线图：每月新增告警总数，鼠标悬停可显示当月新增告警数。</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 w:val="24"/>
                <w:szCs w:val="24"/>
                <w:highlight w:val="yellow"/>
              </w:rPr>
            </w:pPr>
            <w:r>
              <w:rPr>
                <w:rFonts w:hint="eastAsia" w:ascii="仿宋" w:hAnsi="仿宋" w:eastAsia="仿宋" w:cs="仿宋"/>
                <w:color w:val="000000"/>
                <w:szCs w:val="21"/>
              </w:rPr>
              <w:t xml:space="preserve">物联网救援</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电梯物联网救援相关信息，包括：救援总人数：通过电梯物联网救援的总人数、累计响应时间：电梯物联网救援的累计响应时间、累计救援次数：电梯物联网救援的累计救援次数、物联网解救人数折线图：每月电梯物联网解救人数，鼠标悬停可显示当月解救人数。</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21</w:t>
            </w:r>
            <w:r/>
          </w:p>
        </w:tc>
        <w:tc>
          <w:tcPr>
            <w:shd w:val="clear" w:color="auto" w:fill="auto"/>
            <w:tcBorders>
              <w:left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物联无纸化维保</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物联无纸化维保的相关信息，包括：在保电梯：海陵区智慧电梯中参加无纸化维保的电梯数量（台）、平均维保时长：海陵区智慧电梯维保的平均维护时长、无纸化维保率：通过无纸化维保进行电梯维护保养的电梯数量占总维保电梯数量的比例。</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22</w:t>
            </w:r>
            <w:r/>
          </w:p>
        </w:tc>
        <w:tc>
          <w:tcPr>
            <w:shd w:val="clear" w:color="auto" w:fill="auto"/>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bottom w:val="single" w:color="000000" w:sz="4" w:space="0"/>
              <w:right w:val="single" w:color="000000" w:sz="4" w:space="0"/>
            </w:tcBorders>
            <w:tcW w:w="1079" w:type="dxa"/>
            <w:vAlign w:val="center"/>
            <w:vMerge w:val="continue"/>
            <w:textDirection w:val="lrTb"/>
            <w:noWrap/>
          </w:tcPr>
          <w:p>
            <w:pPr>
              <w:jc w:val="left"/>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实时告警动态展示</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展示海陵区电梯物联网项目的实时告警，以滚动信息的形式呈现，鼠标点击查看更多，电子地图呈现告警撒点，撒点以动态形式呈现。鼠标点击撒点可查看告警的详细信息，包括告警名称、告警地点、告警时间、注册代码、告警状态、维保单位、使用单位及告警视频。</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20" w:lineRule="exact"/>
              <w:widowControl/>
              <w:rPr>
                <w:rFonts w:ascii="仿宋" w:hAnsi="仿宋" w:eastAsia="仿宋" w:cs="仿宋"/>
                <w:color w:val="000000"/>
                <w:sz w:val="24"/>
                <w:szCs w:val="24"/>
                <w:highlight w:val="yellow"/>
              </w:rPr>
            </w:pPr>
            <w:r>
              <w:rPr>
                <w:rFonts w:hint="eastAsia" w:ascii="仿宋" w:hAnsi="仿宋" w:eastAsia="仿宋" w:cs="仿宋"/>
                <w:color w:val="000000"/>
                <w:szCs w:val="21"/>
                <w:lang w:bidi="ar"/>
              </w:rPr>
              <w:t xml:space="preserve">物业电梯管理平台及APP应用软件</w:t>
            </w:r>
            <w:r/>
          </w:p>
        </w:tc>
        <w:tc>
          <w:tcPr>
            <w:shd w:val="clear" w:color="auto" w:fill="ffffff"/>
            <w:tcBorders>
              <w:top w:val="single" w:color="000000" w:sz="4" w:space="0"/>
              <w:left w:val="single" w:color="000000" w:sz="4" w:space="0"/>
              <w:right w:val="single" w:color="000000" w:sz="4" w:space="0"/>
            </w:tcBorders>
            <w:tcW w:w="1079" w:type="dxa"/>
            <w:vAlign w:val="center"/>
            <w:vMerge w:val="restart"/>
            <w:textDirection w:val="lrTb"/>
            <w:noWrap/>
          </w:tcPr>
          <w:p>
            <w:pPr>
              <w:jc w:val="center"/>
              <w:spacing w:line="320" w:lineRule="exact"/>
              <w:widowControl/>
              <w:rPr>
                <w:rFonts w:ascii="仿宋" w:hAnsi="仿宋" w:eastAsia="仿宋" w:cs="仿宋"/>
                <w:color w:val="000000"/>
                <w:sz w:val="24"/>
                <w:szCs w:val="24"/>
                <w:highlight w:val="yellow"/>
              </w:rPr>
            </w:pPr>
            <w:r>
              <w:rPr>
                <w:rFonts w:hint="eastAsia" w:ascii="仿宋" w:hAnsi="仿宋" w:eastAsia="仿宋" w:cs="仿宋"/>
                <w:color w:val="000000"/>
                <w:szCs w:val="21"/>
                <w:lang w:bidi="ar"/>
              </w:rPr>
              <w:t xml:space="preserve">物业电梯管理平台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电梯监控</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（1）电梯健康分：通过对电梯历史故障、运行情况、维保情况等维度，进行综合分析后得出的电梯健康建议分值。</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（2）运行数据：针对电梯运行状态、电梯门状态、轿厢人体感应、等运行数据进行实时监控。</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电梯工单</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（1）救援工单：可通过电梯所属小区、电梯名称、救援进度等条件，精准查询相关救援工单。点击后能查看工单详情：电梯救援进度、节点时间、故障视频、实时路径等信息，快速了解救援处置的完成情况。</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维保工单：可通过电梯所属小区、电梯名称、救援进度等条件，精准查询已完成和开始待完成的保养工单。可查看每个保养工单的具体完成时间、保养人员、保养项目、项目检查情况，以及保养图片及视频内容等。</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bottom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告警管理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告警记录：可通过电梯所属小区、电梯名称、故障类型、电梯注册代码、故障触发时间等条件，精准查询所有触发的故障数据。支持对触发的故障执行故障发生视频的查看及下载等操作，同时也可实时观看故障触发电梯的当前实时监控。</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告警统计：可自定义针对各类故障类型进行周期内的发生情况统计，支持不超过31天的故障发生周期的统计，同时还可以查看每天每个故障的发生情况及导出功能。可自定义故障类型，针对触发高频的电梯进行统计，支持不超过31天的故障发生周期的统计，同时还可以查看每台高频触发电梯的每个故障发生情况及导出功能。</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right w:val="single" w:color="000000" w:sz="4" w:space="0"/>
            </w:tcBorders>
            <w:tcW w:w="1079" w:type="dxa"/>
            <w:vAlign w:val="center"/>
            <w:vMerge w:val="restart"/>
            <w:textDirection w:val="lrTb"/>
            <w:noWrap/>
          </w:tcPr>
          <w:p>
            <w:pPr>
              <w:jc w:val="center"/>
              <w:spacing w:line="320" w:lineRule="exact"/>
              <w:widowControl/>
              <w:rPr>
                <w:rFonts w:ascii="仿宋" w:hAnsi="仿宋" w:eastAsia="仿宋" w:cs="仿宋"/>
                <w:color w:val="000000"/>
                <w:sz w:val="24"/>
                <w:szCs w:val="24"/>
                <w:highlight w:val="yellow"/>
              </w:rPr>
            </w:pPr>
            <w:r>
              <w:rPr>
                <w:rFonts w:hint="eastAsia" w:ascii="仿宋" w:hAnsi="仿宋" w:eastAsia="仿宋" w:cs="仿宋"/>
                <w:color w:val="000000"/>
                <w:szCs w:val="21"/>
                <w:lang w:bidi="ar"/>
              </w:rPr>
              <w:t xml:space="preserve">物业电梯管理APP应用软件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智慧救援</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（1）告警通知：根据推送设置的情况，用户可收到：1.APP提醒；2.短信提醒；3.电话提醒；4.微信提醒。</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（2）可视对讲：在电梯发生困人事件时，用户可以在APP上与被困人员进行可视对讲。即：被困人员可以在电梯智能屏幕上看到用户的脸，用户可能看到轿厢全貌（即摄像头监控画面）。</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维保监督</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（1）维保记录查询：可通过筛选查看特定电梯的维保记录、未来维保计划及过去每次维保的详细维保内容。</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（2）维保工单审批：可线上签字，审批维保工单。</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统计分析</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（1）统计分析查看：可查看辖区的告警统计情况（按日、周、月）和运行统计情况（根据日期或电梯按日、周、月）</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（2）自定义报表生成：自动生成周报、月报、季报、年报。用户也可自定义报告生成多小区报告。</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20" w:lineRule="exac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left w:val="single" w:color="000000" w:sz="4" w:space="0"/>
              <w:bottom w:val="single" w:color="000000" w:sz="4" w:space="0"/>
              <w:right w:val="single" w:color="000000" w:sz="4" w:space="0"/>
            </w:tcBorders>
            <w:tcW w:w="1079" w:type="dxa"/>
            <w:vAlign w:val="center"/>
            <w:vMerge w:val="continue"/>
            <w:textDirection w:val="lrTb"/>
            <w:noWrap/>
          </w:tcPr>
          <w:p>
            <w:pPr>
              <w:jc w:val="center"/>
              <w:spacing w:line="320" w:lineRule="exact"/>
              <w:widowControl/>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梯控管理</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（1）电动车阻车告警查看：可查看某一个电梯的电动车阻车告警及告警发生时的视频记录。</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（2）电动车阻车告警统计：可按周期、按电梯统计最近电动车阻车发生的情况。</w:t>
            </w:r>
            <w:r/>
          </w:p>
        </w:tc>
        <w:tc>
          <w:tcPr>
            <w:shd w:val="clear" w:color="auto" w:fill="ffffff"/>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指挥中心</w:t>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显示屏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LED室内显示屏</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LED像素点间距≤1.87mm;像素密度≥288906点/㎡，SMD封装。</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有效显示尺寸为4.16m*2.08m，投标方也可根据自身产品尺寸进行拼接，但是显示尺寸长和宽均不得小于规定长宽，误差范围不超过2％。</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色温3000K—10000K可调，水平、垂直视角160°，亮度均匀性≥97%，色度均匀性±0.003Cx,Cy之内，刷新率：3840Hz。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峰值功耗≤495W/㎡，平均功耗≤132W/㎡。</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★符合GB 4588.3-2002环氧玻璃布层压板，机械性能、电性能、耐高湿性能以及耐焊接性能，符合要求。支持通过实时智能分析算法，识别高亮画面，自动调整高亮亮度，解决刺眼问题，提高人眼观看舒适度，并实现</w:t>
            </w:r>
            <w:r>
              <w:rPr>
                <w:rFonts w:hint="eastAsia" w:ascii="仿宋" w:hAnsi="仿宋" w:eastAsia="仿宋" w:cs="仿宋"/>
                <w:color w:val="000000"/>
                <w:sz w:val="18"/>
                <w:szCs w:val="18"/>
              </w:rPr>
              <w:t xml:space="preserve">功耗减少不低于20%。支持通过实时智能分析算法，提高图像动态范围，低灰部分更深邃，高灰部分更清澈，SDR图像显示HDR效果。通过GB/T 2423.37-2006 4.2沙尘试验，粒子尺寸＜75μm的滑石粉，尘降量600g/（㎡·d），自由降尘，试验时间8h，产品未发现尘沉积及侵入。通过 GB 8898-2011爬电试验：使用50滴溶液（质量分数0.1%，纯度99.8%的分析纯无水氯化铵）进行试验，爬电距离不超过1.9mm，产品不出现绝缘闪络或击穿。（提供首页具有CNAS及CMA标识的第三方检测报告扫描件）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★LED制造商应具有较强的实验室检测能力，具备抗扰度GB/T 17618-2015 4.2.1和抗盐雾GB/T 2423.17-2008 6标准的测试能力。（提供国家认可的中心实验室认证证书复印件及体现检测范围内容项）</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★为保证产品生产质量，杜绝OEM贴牌产品，所投产品支持通过扫描 LED 箱体后的设备机身标签二维码，观看产品实际生产过程视频。(提供操作演示视频)</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8.65</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27</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落地支架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LED室内落地支架</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全封闭防尘;</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前封板后开门;</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支持弧形设计;</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开门及封板：前封板后开门，含侧封板、顶盖板</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材料：SPCC 高强度钢板</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表面处理：静电喷塑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11.98</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视频处理器机箱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视频处理器机箱</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标准机架式设计，运营级ATCA机箱系统</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双电源冗余设计、可拓展双主控，智能风扇自动调温，确保系统稳定可靠</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插拔式模块化设计，可根据需求灵活扩展，业务板卡可热插拔，方便设备维护</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支持通过客户端软件抓屏，进行桌面投屏上墙</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业务板卡混插：部分槽位支持，总槽位数不低于11个，混插槽位数不低于10个,特殊槽位不低于1个（支持资源板和输出板）</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业务板槽位数：不低于11个</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★投标产品支持GB/T 28181-2022技术要求。支持通过抓屏软件，将远程笔记本桌面实时解码上墙显示，实时画面帧率不低于30fps；可同时抓取8个及以上4K信号上墙显示，且上墙前后CPU占用率无明显变化；支持在电视墙进行8画面</w:t>
            </w:r>
            <w:r>
              <w:rPr>
                <w:rFonts w:hint="eastAsia" w:ascii="仿宋" w:hAnsi="仿宋" w:eastAsia="仿宋" w:cs="仿宋"/>
                <w:color w:val="000000"/>
                <w:sz w:val="18"/>
                <w:szCs w:val="18"/>
              </w:rPr>
              <w:t xml:space="preserve">分割显示；可对远程笔记本桌面进行整屏、单窗口、自定义区域抓屏上墙。支持对16路及以上信号源输入的视频融合拼接，支持分辨率为15360×8640的信号源同步上墙显示，同步延时≤2ms。支持音视频绑定/解绑；单墙支持绑定/解绑1路音频输出；可通过矩阵界面切换音频输入、输出对应关系，可自定义编辑音频输入、输出名称，名称支持64个英文字符或32个中文字符，可编辑是否在矩阵界面中展示音频输入、输出，支持查看输入输出对应关系；同一输入可关联多个输出；支持一键解除所有音频输入、输出对应关系（提供公安部检测报告证明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★支持40个及以上输入音频通道、6</w:t>
            </w:r>
            <w:r>
              <w:rPr>
                <w:rFonts w:hint="eastAsia" w:ascii="仿宋" w:hAnsi="仿宋" w:eastAsia="仿宋" w:cs="仿宋"/>
                <w:color w:val="000000"/>
                <w:sz w:val="18"/>
                <w:szCs w:val="18"/>
              </w:rPr>
              <w:t xml:space="preserve">4个及以上输出音频通道，支持模拟音频与HDMI内嵌音频的选择输入，支特模拟音频与HDMI内嵌音频同时输出。单张解码板卡支持24路分辨率为1920x1080@30fps或48 路 分辨 率为1280x720@30fps图像输出；支持H264、H265、SmartH.264、SmartH.265、MJPEG等视频格式，支持PS、TS、ES、RTP等封装格式，支持G.711A、G.711U、G.722.1、G.726、AAC-LC音频格式；支持对网络源画面进行放大、缩小、移动等操作（提供公安部检测报告证明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单张解码板卡支持不低于4路分辨率为1920x1080@30fps(MJPEG)图像输出；支持不低于1路分辨率为8160x3920@30fps或2路分辨率为8160x1960@30fps图像输出；解码板卡最多支持创建4个墙，支持单卡单接口建屏，整机最多支持创建8个墙。支持条屏功能，可设置条屏并显示，条屏支持文字、图片、天气、时间、表格、可视化web页面、视频等；支持对上述元素的布局进行编辑，单条字幕支持多种字体、颜色（提供公安部检测报告证明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29</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视频处理器输入板</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视频处理器输入板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HDMI输入板，支持不低于4路2K HDMI信号输入;</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支持HDMI音频复合输入;</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视频输入接口类型：HDMI 1.4</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视频输入接口数：不低于4个</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音频输入接口数：不低于4个</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音频输入接口类型：HDMI复合音频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视频处理器输出板</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视频处理器输出板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HDMI输出板：单板不低于4路HDMI接口，444输出;</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支持HDMI音频复合输出;</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视频输出接口类型：HDMI 1.4</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视频输出接口数：不低于4个</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视频输出分辨率：1920*1200@60HZ、1600*1200@60Hz、1920×1080@60Hz、1680×1050@60Hz、1280×720@60Hz、1280×1024@60Hz、1024×768@60Hz，支持LED屏幕，支持自定义分辨率输出，支持60hz带载输出,260W带载的宽度范围288~3840，高度范围是288~2160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音频输出接口类型：HDMI复合音频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LED发送卡</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LED发送卡</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产品采用金属机身，塑料前框，整机宽度不宽于210mm，整机高度不高于42mm，整机深度不深于180mm,两台设备横向平行安装可安装于1U标准机柜中。</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输入：HDMI×1、USB×1、DEBUG×1、控制网口×2、RS485×1、IR IN×1；输出：Audio OUT×1,带载网口×6；按键：开关×1、功能按键×3。</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控制网口×2，支持TCP/IP网络协议，双网口均可用于控制设备或设备网络级联，其中一个接口用于控制设备时，另外一个网口就用于设备网络级联。支持通过设备自带Web浏览器、客户端、遥控器操作，对图像的图像的亮度、色温以及图像模式进行调节设置。（提供首页具有CNAS标识的第三方检测报告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★支持射频遥控器和红外两种遥控器。支持任意走线、LED屏幕带载无矩形框架限制。支持通过Web浏览器登录主设备，查看主发送卡下所有级联从发送卡的屏幕位置、发送卡IP 地址、序列号、带载屏幕分辨率、运行状态、软件版本、运行温度 内存使用率等信息。（提供首页具有CNAS标识的第三方检测报告扫描件）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视频线</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HDMI铜线视频线</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端子镀金，耐氧化，阻抗小，信号传输更稳定。</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端子内部特殊设计，增强端子和线缆连接强度。</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环保加厚外被，耐磨不易破裂，经久耐用。</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支持HDMI 1080P60Hz型号稳定传输。</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即插即用，无需驱动程序。</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线缆类型（音视频线）：铜缆</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支持最大分辨率：1080P 60Hz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接口类型：HDMI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33</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配电柜</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LED配电柜</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输入电压：380V</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输出电压：220V</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额定功率：10KW</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输出回路：3个单相回路（AC220V）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每路输出最大带载功率：≤3.33KW</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回路状态监测：单回路</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计划任务上电：有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分步逐级上电：有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温度检测：有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逻辑联动控制：有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大屏管理软件</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窗口操作：视频窗口图层的创建、删除。支持窗口移动、改变大小、漫游窗口放大还原、子窗口放大还原、锁定、分屏等操作。;</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预览上墙：包括监控点预览上墙、本地信号源预览上墙、以及桌面上墙，支持窗口预览控制及取流信息展示，窗口主子码流切换，以及窗口轮巡预览;</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回放上墙：监控点回放上墙，包括上墙之后的控制：快进、慢进、快退、慢退、暂停、恢复、停止等;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视图：墙内布局及内容保存为视图，可以按特定时间或者按周循环切换视图;</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报警联动：报警源联动监控、视图在视频墙上进行播放显示，客户端通知显示报警联动上墙的结果，支持报警确认操作;</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★系统具备C/S和B/</w:t>
            </w:r>
            <w:r>
              <w:rPr>
                <w:rFonts w:hint="eastAsia" w:ascii="仿宋" w:hAnsi="仿宋" w:eastAsia="仿宋" w:cs="仿宋"/>
                <w:color w:val="000000"/>
                <w:sz w:val="18"/>
                <w:szCs w:val="18"/>
              </w:rPr>
              <w:t xml:space="preserve">S架构，支持通过浏览器对系统进行设备统一管理，支持同时管理不同分辨率、不同类型的显示屏系统、中央控制系统、拼控系统；实现对显示屏、拼控设备、播控主机、KVM坐席、PC主机、中控主机、LED控制卡、PLC配电柜的统一管控；系统支持网页、客户端、APP（安卓、鸿蒙、IOS、windows）三端数据实时同步；WEB端、平板端、客户端均可以所见即所得的查看在线场景、离线场景的画面布局、场景的实时画面，以及信号的实时画面；（提供封面具有CNAS 、CMA、ilac-MRA认证标识的公安部报告证明复印件并加盖原厂公章）</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监控信号、拼控信号、坐席信号、PC信号的管理查询；可对拼控信号设置设置信号分组，分组支持新增、重命名、删除、移动等操作；信号支持按名称模糊搜索。支持控制大屏开机、关机、除湿、设置高性能/常规/节能/HDR等模式、设置标准/冷色/暖色/自定义色温、设置亮度、设置广告模式、护眼模式、监控模式、会议模式等智能控制功能。（提供封面具有CNAS 、CMA、ilac-MRA认证标识的公安部报告证明复印件并加盖原厂公章）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35</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工作站</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安防工作站</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CPU：i5 10400；</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内存：8GB；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硬盘：128GB SATA SSD +1TB SATA HDD；</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显示器：21.5英寸；</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显卡：R7 430，2G独显；</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操作系统：Windows 10 IoT版；</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整机品牌：支持硬盘拆卸安装;支持存储硬盘与主机同一品牌，主机与播放器同一品牌。</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视频功能：支持超高清4K、8K解码实景播放，支持3600W鹰眼前端解码播放;支持多显卡调度，可在相同应用里使用双显卡，双显卡同时工作；可通过视频客户端进行画中画显示，把二个IPC的画面合并成一个画面，在一个大画面叠加一个小画面，也可以分二个窗口显示。（需提供权威机构出具的检测报告扫描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倍速播放：支持多窗口播放：可进行16个窗口同时1或2倍速播放，9个窗口同时4倍速播放，4个窗口同时8倍速或16倍速播放。分屏播放：系统需支持GA/T1154.2-2014中4.4.2.1规定的70种视频格式文件等多种安防视频格式文件功能，支持全屏、单屏、2分屏、4分屏、9分屏、16分屏播放。转码能力：系统支持对GA/T1154.2-2014中4.4.2.1规定的70种视频格式文件转码成MP4，AVI，WMV，GIF。（需提供权威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音箱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专业音箱</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两分频会议音箱，语言清晰度</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1个1.35寸高音，6.5寸低音喇叭和一个号角高音竖直排放，经过计算及反复测试的放置位置较好的消除了单元之间的相互干涉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较高的频率范围，能提供保真度极高的声音还原。</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音频</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峰值功率：320 W</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高音扬声器：HF:1 × 1.35"</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覆盖角度：60°× 40°（H×V）</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额定功率：80 W</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灵敏度：91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 中低音扬声器：LF:1 × 6.5"</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 额定阻抗：8 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连续声压级：110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额定频率范围：75 Hz~20 kHz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最大声压级：116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一般规范</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安装方式：壁挂安装，自带支架</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尺寸：385× 230 × 245 mm</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重量：6.6 kg</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37</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会议话筒</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无线会议话筒（一拖四鹅颈）</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1.载波频率范围：UHF 602~634 MHz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2.调制方式：FM调频</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3.音频频率响应：80 Hz~15 kHz ± 3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4.频率稳定性：  ± 0.005%</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5.最大偏移度：± 45 kHz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6.总谐波失真：&lt; 0.7 % @1 kHz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7.信噪比：≥ 65 dBA@1 kHz（声测法）</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8.有效工作距离：30米</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接收机参数</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1.通道数量：双通道</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2.载波频率范围：UHF 602~634 MHz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3.可用带宽：每通道30 MHz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4.信道数目：2 × 100</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5.频率稳定性：± 0.005 %</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6.天线接口：BNC座</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7.天线阻抗：50 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8.供电电压：DC 12 V/2 A</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发射器参数</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1.换能原理：电容式</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2.指向性：心形</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3.供电：2 × AA电池</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4.连续工作时间：约7-8小时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一拖二手持话筒</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用UHF超高频段，比传统的VHF频段干扰更少，传输更可靠</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具有一键自动扫频功能，可自动扫描出使用环境中最干净的频点。环境适应性强，交付便捷</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具备前置监听接口，可便捷对接收机的音频输出效果进行监听</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支持平衡和非平衡两种选择输出端口，适应不同的设备连接需求</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支持mic/line两种输出模式，适配不同后级接入设备</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红外对频功能，只需一按接收机对频键，发射机就会自动追锁接收机频率并调整一致，方便使用</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接收机可设置锁屏功能，防止使用误操作</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高档液晶显示屏采用全新的背光补亮方式，使接收机及发射器的工作状态一目了然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39</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数字音频处理器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1.采样频率:48 kHz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2.输入到输出动态范围:108 dB（A计权）</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3.幻像供电:DC 48 ± 6 V,10 mA</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4.输入共模抑制:75 dBu@+ 20 dBu,60 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5.通道隔离度:100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6.频率响应:20 Hz~20 kHz</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7.本底噪(A-计权) :- 90 dBu</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8.等效输入噪声EIN:≤- 125 dBu</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9.总谐波失(THD+N):≤ 0.005% @1 kHz，+ 4 dBu</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10.最大输入增益:40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11.输入阻抗:2 kΩ balance</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12.最大输出电平:20 dBu</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13.★支持1路USB2.0音频接口，支持接U盘录制和播放、升级。支持自带ios系统手机操作，中英文操作软件，直观、图形化软件控制界面。支持≥1.5寸显示屏，显示ip地址，输入/出通道状态、软件版本。支持1个模式按键：支持调换会议场景（需提供权威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1.额定功率：立体声：2 × 100 W/8 Ω；2 × 150 W/4 Ω；桥接：1 × 300W/8 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2.输入连接座：XLR卡侬接口</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3.输入灵敏度：1.4 V/1 V/0.775 V（± 10 %）可选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4.失真度：≤ 0.1 %（1 kHz@10 % PO）</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5.输入阻抗：平衡20 kΩ，非平衡10 kΩ</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6.频率响应：20 Hz~20 kHz（± 1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7.信噪比 (A计权)：≥ 96 dB</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8.保护方式：过流保护、直流保护、短路保护</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9.指示灯：电源 、保护、失真</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10.冷却方式：风扇冷却</w:t>
            </w:r>
            <w:r/>
          </w:p>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11.额定电源电压：AC 220 V，50/60 Hz</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家具</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装修及办公家具</w:t>
            </w:r>
            <w:r/>
          </w:p>
        </w:tc>
        <w:tc>
          <w:tcPr>
            <w:shd w:val="clear" w:color="auto" w:fill="ffffff"/>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投标人自行勘察，根据实际情况符合招标人需求，提供报价</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机房建设</w:t>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机房托管</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机房托管</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根据实际情况符合招标人需求，提供报价</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线路</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运营商线路</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运营商线路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条</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设备安装调试及服务费</w:t>
            </w:r>
            <w:r/>
          </w:p>
        </w:tc>
        <w:tc>
          <w:tcPr>
            <w:shd w:val="clear" w:color="auto" w:fill="ffffff"/>
            <w:tcBorders>
              <w:top w:val="single" w:color="000000" w:sz="4" w:space="0"/>
              <w:left w:val="single" w:color="000000" w:sz="4" w:space="0"/>
              <w:right w:val="single" w:color="000000" w:sz="4" w:space="0"/>
            </w:tcBorders>
            <w:tcW w:w="1079" w:type="dxa"/>
            <w:vAlign w:val="center"/>
            <w:vMerge w:val="restart"/>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综合施工维护</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前端硬件所涉及的所有安装费用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3446</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spacing w:line="3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Borders>
              <w:left w:val="single" w:color="000000" w:sz="4" w:space="0"/>
              <w:right w:val="single" w:color="000000" w:sz="4" w:space="0"/>
            </w:tcBorders>
            <w:tcW w:w="1079"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前端维护费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前端硬件所涉及的所有维护费用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tcPr>
          <w:p>
            <w:pPr>
              <w:jc w:val="center"/>
              <w:spacing w:line="3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Borders>
              <w:left w:val="single" w:color="000000" w:sz="4" w:space="0"/>
              <w:bottom w:val="single" w:color="000000" w:sz="4" w:space="0"/>
              <w:right w:val="single" w:color="000000" w:sz="4" w:space="0"/>
            </w:tcBorders>
            <w:tcW w:w="1079" w:type="dxa"/>
            <w:vAlign w:val="center"/>
            <w:vMerge w:val="continue"/>
            <w:textDirection w:val="lrTb"/>
            <w:noWrap/>
          </w:tcPr>
          <w:p>
            <w:pPr>
              <w:jc w:val="left"/>
              <w:spacing w:line="320" w:lineRule="exact"/>
              <w:rPr>
                <w:rFonts w:ascii="仿宋" w:hAnsi="仿宋" w:eastAsia="仿宋" w:cs="仿宋"/>
                <w:color w:val="000000"/>
                <w:szCs w:val="21"/>
              </w:rPr>
            </w:pPr>
            <w:r>
              <w:rPr>
                <w:rFonts w:ascii="仿宋" w:hAnsi="仿宋" w:eastAsia="仿宋" w:cs="仿宋"/>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left"/>
              <w:spacing w:line="320" w:lineRule="exact"/>
              <w:rPr>
                <w:rFonts w:ascii="仿宋" w:hAnsi="仿宋" w:eastAsia="仿宋" w:cs="仿宋"/>
                <w:color w:val="000000"/>
                <w:szCs w:val="21"/>
              </w:rPr>
            </w:pPr>
            <w:r>
              <w:rPr>
                <w:rFonts w:hint="eastAsia" w:ascii="仿宋" w:hAnsi="仿宋" w:eastAsia="仿宋" w:cs="仿宋"/>
                <w:color w:val="000000"/>
                <w:szCs w:val="21"/>
              </w:rPr>
              <w:t xml:space="preserve">平台维护费</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tcPr>
          <w:p>
            <w:p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平台维护费用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20" w:lineRule="exac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r>
    </w:tbl>
    <w:p>
      <w:pPr>
        <w:pStyle w:val="928"/>
        <w:spacing w:line="360" w:lineRule="auto"/>
        <w:rPr>
          <w:sz w:val="24"/>
          <w:szCs w:val="24"/>
        </w:rPr>
      </w:pPr>
      <w:r>
        <w:rPr>
          <w:sz w:val="24"/>
          <w:szCs w:val="24"/>
        </w:rPr>
      </w:r>
      <w:r/>
    </w:p>
    <w:p>
      <w:pPr>
        <w:pStyle w:val="928"/>
        <w:spacing w:line="360" w:lineRule="auto"/>
        <w:rPr>
          <w:rFonts w:ascii="宋体" w:hAnsi="宋体" w:cs="宋体"/>
          <w:sz w:val="24"/>
          <w:szCs w:val="24"/>
        </w:rPr>
      </w:pPr>
      <w:r/>
      <w:bookmarkStart w:id="72" w:name="_Toc7175"/>
      <w:r>
        <w:rPr>
          <w:rFonts w:hint="eastAsia" w:ascii="宋体" w:hAnsi="宋体" w:cs="宋体"/>
          <w:sz w:val="24"/>
          <w:szCs w:val="24"/>
        </w:rPr>
        <w:t xml:space="preserve">六、</w:t>
      </w:r>
      <w:bookmarkEnd w:id="72"/>
      <w:r>
        <w:rPr>
          <w:rFonts w:hint="eastAsia" w:ascii="宋体" w:hAnsi="宋体" w:cs="宋体"/>
          <w:sz w:val="24"/>
          <w:szCs w:val="24"/>
        </w:rPr>
        <w:t xml:space="preserve">运行和维护保障</w:t>
      </w:r>
      <w:r/>
    </w:p>
    <w:p>
      <w:pPr>
        <w:ind w:firstLine="480"/>
        <w:spacing w:line="360" w:lineRule="auto"/>
        <w:rPr>
          <w:rFonts w:ascii="宋体" w:hAnsi="宋体" w:cs="宋体"/>
          <w:sz w:val="24"/>
          <w:szCs w:val="24"/>
        </w:rPr>
      </w:pPr>
      <w:r/>
      <w:bookmarkStart w:id="73" w:name="_Toc19700"/>
      <w:r/>
      <w:bookmarkStart w:id="74" w:name="_Toc46"/>
      <w:r>
        <w:rPr>
          <w:rFonts w:hint="eastAsia" w:ascii="宋体" w:hAnsi="宋体" w:cs="宋体"/>
          <w:sz w:val="24"/>
          <w:szCs w:val="24"/>
        </w:rPr>
        <w:t xml:space="preserve">（一）硬件</w:t>
      </w:r>
      <w:bookmarkEnd w:id="73"/>
      <w:r/>
      <w:bookmarkEnd w:id="74"/>
      <w:r>
        <w:rPr>
          <w:rFonts w:hint="eastAsia" w:ascii="宋体" w:hAnsi="宋体" w:cs="宋体"/>
          <w:sz w:val="24"/>
          <w:szCs w:val="24"/>
        </w:rPr>
        <w:t xml:space="preserve">设备质保期</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本项目硬件设备包含2年质保期。2年质保期内，如果产品出现非人为损坏的性能故障，提供无偿的维修服务。2年质保期外，如果设备产生故障，可以进行报修，由采购人线上/现场核查，评估维修/更换成本。</w:t>
      </w:r>
      <w:r/>
    </w:p>
    <w:p>
      <w:pPr>
        <w:pStyle w:val="928"/>
        <w:ind w:firstLine="480"/>
        <w:rPr>
          <w:rFonts w:ascii="宋体" w:hAnsi="宋体" w:cs="宋体"/>
          <w:sz w:val="24"/>
          <w:szCs w:val="24"/>
        </w:rPr>
      </w:pPr>
      <w:r>
        <w:rPr>
          <w:rFonts w:hint="eastAsia" w:ascii="宋体" w:hAnsi="宋体" w:cs="宋体"/>
          <w:sz w:val="24"/>
          <w:szCs w:val="24"/>
        </w:rPr>
        <w:t xml:space="preserve">（二）软件平台维护</w:t>
      </w:r>
      <w:r/>
    </w:p>
    <w:p>
      <w:pPr>
        <w:ind w:firstLine="480"/>
        <w:spacing w:line="360" w:lineRule="auto"/>
        <w:rPr>
          <w:rFonts w:ascii="宋体" w:hAnsi="宋体" w:cs="宋体"/>
          <w:sz w:val="24"/>
          <w:szCs w:val="24"/>
        </w:rPr>
      </w:pPr>
      <w:r>
        <w:rPr>
          <w:rFonts w:hint="eastAsia" w:ascii="宋体" w:hAnsi="宋体" w:cs="宋体"/>
          <w:sz w:val="24"/>
          <w:szCs w:val="24"/>
        </w:rPr>
        <w:t xml:space="preserve">1.系统监控：</w:t>
      </w:r>
      <w:r/>
    </w:p>
    <w:p>
      <w:pPr>
        <w:ind w:firstLine="480"/>
        <w:spacing w:line="360" w:lineRule="auto"/>
        <w:rPr>
          <w:rFonts w:ascii="宋体" w:hAnsi="宋体" w:cs="宋体"/>
          <w:sz w:val="24"/>
          <w:szCs w:val="24"/>
        </w:rPr>
      </w:pPr>
      <w:r>
        <w:rPr>
          <w:rFonts w:hint="eastAsia" w:ascii="宋体" w:hAnsi="宋体" w:cs="宋体"/>
          <w:sz w:val="24"/>
          <w:szCs w:val="24"/>
        </w:rPr>
        <w:t xml:space="preserve">监控软件平台的性能指标，如响应时间、并发用户数、系统负载等。实时监控系统状态，包括服务器、数据库、网络等。</w:t>
      </w:r>
      <w:r/>
    </w:p>
    <w:p>
      <w:pPr>
        <w:ind w:firstLine="480"/>
        <w:spacing w:line="360" w:lineRule="auto"/>
        <w:rPr>
          <w:rFonts w:ascii="宋体" w:hAnsi="宋体" w:cs="宋体"/>
          <w:sz w:val="24"/>
          <w:szCs w:val="24"/>
        </w:rPr>
      </w:pPr>
      <w:r>
        <w:rPr>
          <w:rFonts w:hint="eastAsia" w:ascii="宋体" w:hAnsi="宋体" w:cs="宋体"/>
          <w:sz w:val="24"/>
          <w:szCs w:val="24"/>
        </w:rPr>
        <w:t xml:space="preserve">2.故障管理：</w:t>
      </w:r>
      <w:r/>
    </w:p>
    <w:p>
      <w:pPr>
        <w:ind w:firstLine="480"/>
        <w:spacing w:line="360" w:lineRule="auto"/>
        <w:rPr>
          <w:rFonts w:ascii="宋体" w:hAnsi="宋体" w:cs="宋体"/>
          <w:sz w:val="24"/>
          <w:szCs w:val="24"/>
        </w:rPr>
      </w:pPr>
      <w:r>
        <w:rPr>
          <w:rFonts w:hint="eastAsia" w:ascii="宋体" w:hAnsi="宋体" w:cs="宋体"/>
          <w:sz w:val="24"/>
          <w:szCs w:val="24"/>
        </w:rPr>
        <w:t xml:space="preserve">快速响应系统故障，进行故障诊断和修复。记录和分析故障，防止同类问题再次发生。</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性能优化：定期对系统进行性能评估，识别瓶颈。优化系统配置，提升系统性能和响应速度。</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版本更新和补丁管理：定期更新软件版本，引入新功能和改进。及时应用安全补丁，修复已知的安全漏洞。</w:t>
      </w:r>
      <w:r/>
    </w:p>
    <w:p>
      <w:pPr>
        <w:ind w:firstLine="480"/>
        <w:spacing w:line="360" w:lineRule="auto"/>
        <w:rPr>
          <w:rFonts w:ascii="宋体" w:hAnsi="宋体" w:cs="宋体"/>
          <w:sz w:val="24"/>
          <w:szCs w:val="24"/>
        </w:rPr>
      </w:pPr>
      <w:r>
        <w:rPr>
          <w:rFonts w:hint="eastAsia" w:ascii="宋体" w:hAnsi="宋体" w:cs="宋体"/>
          <w:sz w:val="24"/>
          <w:szCs w:val="24"/>
        </w:rPr>
        <w:t xml:space="preserve">5.数据备份和恢复：制定数据备份计划，定期备份关键数据。准备数据恢复方案，以应对数据丢失或损坏的情况。</w:t>
      </w:r>
      <w:r/>
    </w:p>
    <w:p>
      <w:pPr>
        <w:ind w:firstLine="480"/>
        <w:spacing w:line="360" w:lineRule="auto"/>
        <w:rPr>
          <w:rFonts w:ascii="宋体" w:hAnsi="宋体" w:cs="宋体"/>
          <w:sz w:val="24"/>
          <w:szCs w:val="24"/>
        </w:rPr>
      </w:pPr>
      <w:r>
        <w:rPr>
          <w:rFonts w:hint="eastAsia" w:ascii="宋体" w:hAnsi="宋体" w:cs="宋体"/>
          <w:sz w:val="24"/>
          <w:szCs w:val="24"/>
        </w:rPr>
        <w:t xml:space="preserve">6.安全管理：实施网络安全措施，如防火墙、入侵检测系统等。定期进行安全审计，评估系统安全状况。</w:t>
      </w:r>
      <w:r/>
    </w:p>
    <w:p>
      <w:pPr>
        <w:ind w:firstLine="480"/>
        <w:spacing w:line="360" w:lineRule="auto"/>
        <w:rPr>
          <w:rFonts w:ascii="宋体" w:hAnsi="宋体" w:cs="宋体"/>
          <w:sz w:val="24"/>
          <w:szCs w:val="24"/>
        </w:rPr>
      </w:pPr>
      <w:r>
        <w:rPr>
          <w:rFonts w:hint="eastAsia" w:ascii="宋体" w:hAnsi="宋体" w:cs="宋体"/>
          <w:sz w:val="24"/>
          <w:szCs w:val="24"/>
        </w:rPr>
        <w:t xml:space="preserve">7.用户支持和服务：提供用户培训和技术支持，帮助用户解决使用中的问题。管理用户反馈，持续改进用户体验。</w:t>
      </w:r>
      <w:r/>
    </w:p>
    <w:p>
      <w:pPr>
        <w:ind w:firstLine="480"/>
        <w:spacing w:line="360" w:lineRule="auto"/>
        <w:rPr>
          <w:rFonts w:ascii="宋体" w:hAnsi="宋体" w:cs="宋体"/>
          <w:sz w:val="24"/>
          <w:szCs w:val="24"/>
        </w:rPr>
      </w:pPr>
      <w:r>
        <w:rPr>
          <w:rFonts w:hint="eastAsia" w:ascii="宋体" w:hAnsi="宋体" w:cs="宋体"/>
          <w:sz w:val="24"/>
          <w:szCs w:val="24"/>
        </w:rPr>
        <w:t xml:space="preserve">8.配置管理：维护系统配置信息，确保系统配置的正确性和一致性。跟踪配置变更，管理配置项的生命周期。</w:t>
      </w:r>
      <w:r/>
    </w:p>
    <w:p>
      <w:pPr>
        <w:ind w:firstLine="480"/>
        <w:spacing w:line="360" w:lineRule="auto"/>
        <w:rPr>
          <w:rFonts w:ascii="宋体" w:hAnsi="宋体" w:cs="宋体"/>
          <w:sz w:val="24"/>
          <w:szCs w:val="24"/>
        </w:rPr>
      </w:pPr>
      <w:r>
        <w:rPr>
          <w:rFonts w:hint="eastAsia" w:ascii="宋体" w:hAnsi="宋体" w:cs="宋体"/>
          <w:sz w:val="24"/>
          <w:szCs w:val="24"/>
        </w:rPr>
        <w:t xml:space="preserve">（三）音视频采集设备维护内容</w:t>
      </w:r>
      <w:r/>
    </w:p>
    <w:p>
      <w:pPr>
        <w:ind w:firstLine="480"/>
        <w:spacing w:line="360" w:lineRule="auto"/>
        <w:rPr>
          <w:rFonts w:ascii="宋体" w:hAnsi="宋体" w:cs="宋体"/>
          <w:sz w:val="24"/>
          <w:szCs w:val="24"/>
        </w:rPr>
      </w:pPr>
      <w:r>
        <w:rPr>
          <w:rFonts w:hint="eastAsia" w:ascii="宋体" w:hAnsi="宋体" w:cs="宋体"/>
          <w:sz w:val="24"/>
          <w:szCs w:val="24"/>
        </w:rPr>
        <w:t xml:space="preserve">本项目音视频采集设备维护内容包括:</w:t>
      </w:r>
      <w:r/>
    </w:p>
    <w:p>
      <w:pPr>
        <w:ind w:firstLine="480"/>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1.安排指导现场查看离线情况，给予恢复供电、供网处理；</w:t>
      </w:r>
      <w:r/>
    </w:p>
    <w:p>
      <w:pPr>
        <w:ind w:firstLine="480"/>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2.安排指导现场确定异常故障情况，安装固定给予恢复到规范标准状态；</w:t>
      </w:r>
      <w:r/>
    </w:p>
    <w:p>
      <w:pPr>
        <w:ind w:firstLine="480"/>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3.安排指导现场更换故障部件，重新规范安装固定、调试绑定上线正常；</w:t>
      </w:r>
      <w:r/>
    </w:p>
    <w:p>
      <w:pPr>
        <w:ind w:firstLine="480"/>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4.针对产品设备部件，运维后台进行升级处理、配置维护下发处理等；</w:t>
      </w:r>
      <w:r/>
    </w:p>
    <w:p>
      <w:pPr>
        <w:ind w:firstLine="480"/>
        <w:spacing w:line="360" w:lineRule="auto"/>
        <w:rPr>
          <w:rFonts w:ascii="宋体" w:hAnsi="宋体" w:cs="宋体"/>
          <w:sz w:val="24"/>
          <w:szCs w:val="24"/>
        </w:rPr>
      </w:pPr>
      <w:r>
        <w:rPr>
          <w:rFonts w:hint="eastAsia" w:ascii="宋体" w:hAnsi="宋体" w:cs="宋体"/>
          <w:sz w:val="24"/>
          <w:szCs w:val="24"/>
          <w:lang w:val="zh-TW" w:eastAsia="zh-TW"/>
        </w:rPr>
        <w:t xml:space="preserve">5.异常产品部件安排返厂维修；</w:t>
      </w:r>
      <w:r/>
    </w:p>
    <w:p>
      <w:pPr>
        <w:pStyle w:val="928"/>
        <w:rPr>
          <w:sz w:val="24"/>
          <w:szCs w:val="24"/>
        </w:rPr>
      </w:pPr>
      <w:r>
        <w:rPr>
          <w:rFonts w:hint="eastAsia"/>
          <w:sz w:val="24"/>
          <w:szCs w:val="24"/>
        </w:rPr>
        <w:t xml:space="preserve">七、付款方式</w:t>
      </w:r>
      <w:r/>
    </w:p>
    <w:p>
      <w:pPr>
        <w:ind w:firstLine="480"/>
        <w:spacing w:line="440" w:lineRule="exact"/>
        <w:rPr>
          <w:rFonts w:ascii="宋体" w:hAnsi="宋体"/>
          <w:sz w:val="24"/>
          <w:szCs w:val="21"/>
          <w:lang w:val="zh-CN"/>
        </w:rPr>
      </w:pPr>
      <w:r>
        <w:rPr>
          <w:rFonts w:hint="eastAsia" w:ascii="宋体" w:hAnsi="宋体"/>
          <w:sz w:val="24"/>
          <w:szCs w:val="21"/>
        </w:rPr>
        <w:t xml:space="preserve">合同签订后，采购人在收到发票后30日内，支付合同金额的30%；系统最终验收合格后付至合同金额的80%；项目审计结算后付至审计金额的90%；质保两年后，付清审计金额余额。</w:t>
      </w:r>
      <w:r/>
    </w:p>
    <w:p>
      <w:pPr>
        <w:pStyle w:val="928"/>
        <w:rPr>
          <w:sz w:val="24"/>
          <w:szCs w:val="24"/>
          <w:highlight w:val="yellow"/>
        </w:rPr>
      </w:pPr>
      <w:r>
        <w:rPr>
          <w:sz w:val="24"/>
          <w:szCs w:val="24"/>
          <w:highlight w:val="yellow"/>
        </w:rPr>
      </w:r>
      <w:r/>
    </w:p>
    <w:p>
      <w:pPr>
        <w:rPr>
          <w:rFonts w:ascii="宋体" w:hAnsi="宋体"/>
          <w:b/>
          <w:sz w:val="28"/>
          <w:szCs w:val="28"/>
        </w:rPr>
      </w:pPr>
      <w:r>
        <w:rPr>
          <w:rFonts w:hint="eastAsia" w:ascii="宋体" w:hAnsi="宋体"/>
          <w:b/>
          <w:sz w:val="28"/>
          <w:szCs w:val="28"/>
        </w:rPr>
        <w:br w:type="page" w:clear="all"/>
      </w:r>
      <w:bookmarkEnd w:id="11"/>
      <w:r/>
      <w:bookmarkEnd w:id="12"/>
      <w:r/>
      <w:r/>
    </w:p>
    <w:p>
      <w:r/>
      <w:r/>
    </w:p>
    <w:p>
      <w:pPr>
        <w:jc w:val="center"/>
        <w:rPr>
          <w:b/>
          <w:bCs/>
          <w:sz w:val="36"/>
          <w:szCs w:val="36"/>
        </w:rPr>
      </w:pPr>
      <w:r>
        <w:rPr>
          <w:rFonts w:hint="eastAsia" w:ascii="黑体" w:hAnsi="华文中宋" w:eastAsia="黑体"/>
          <w:bCs/>
          <w:sz w:val="32"/>
          <w:szCs w:val="30"/>
        </w:rPr>
        <w:t xml:space="preserve">第四章 合同书（格式文本）</w:t>
      </w:r>
      <w:r/>
    </w:p>
    <w:p>
      <w:r/>
      <w:r/>
    </w:p>
    <w:p>
      <w:r/>
      <w:r/>
    </w:p>
    <w:p>
      <w:r/>
      <w:r/>
    </w:p>
    <w:p>
      <w:r>
        <w:rPr>
          <w:rFonts w:hint="eastAsia"/>
          <w:b/>
          <w:bCs/>
        </w:rPr>
        <w:t xml:space="preserve">双方依照招标文件及相关法律法规重新协商拟订</w:t>
      </w:r>
      <w:r/>
    </w:p>
    <w:p>
      <w:pPr>
        <w:jc w:val="left"/>
        <w:spacing w:line="400" w:lineRule="exact"/>
        <w:rPr>
          <w:rFonts w:ascii="宋体" w:hAnsi="宋体" w:cs="宋体"/>
          <w:szCs w:val="21"/>
        </w:rPr>
      </w:pPr>
      <w:r>
        <w:rPr>
          <w:rFonts w:hint="eastAsia" w:ascii="黑体" w:eastAsia="黑体"/>
          <w:bCs/>
          <w:sz w:val="24"/>
        </w:rPr>
        <w:br w:type="page" w:clear="all"/>
      </w:r>
      <w:r/>
    </w:p>
    <w:p>
      <w:pPr>
        <w:ind w:firstLine="420"/>
        <w:jc w:val="center"/>
        <w:spacing w:line="360" w:lineRule="auto"/>
        <w:rPr>
          <w:rFonts w:ascii="黑体" w:hAnsi="华文中宋" w:eastAsia="黑体"/>
          <w:bCs/>
          <w:sz w:val="32"/>
          <w:szCs w:val="32"/>
        </w:rPr>
      </w:pPr>
      <w:r>
        <w:rPr>
          <w:rFonts w:hint="eastAsia" w:ascii="黑体" w:hAnsi="华文中宋" w:eastAsia="黑体"/>
          <w:bCs/>
          <w:sz w:val="32"/>
          <w:szCs w:val="32"/>
        </w:rPr>
        <w:t xml:space="preserve">第五章 评分标准</w:t>
      </w:r>
      <w:r/>
    </w:p>
    <w:p>
      <w:pPr>
        <w:pStyle w:val="929"/>
        <w:ind w:firstLine="460"/>
        <w:spacing w:line="525" w:lineRule="exact"/>
        <w:tabs>
          <w:tab w:val="left" w:pos="875" w:leader="none"/>
        </w:tabs>
        <w:rPr>
          <w:sz w:val="24"/>
          <w:szCs w:val="24"/>
        </w:rPr>
      </w:pPr>
      <w:r>
        <w:rPr>
          <w:rFonts w:hint="eastAsia"/>
          <w:color w:val="000000"/>
          <w:sz w:val="24"/>
          <w:szCs w:val="24"/>
        </w:rPr>
        <w:t xml:space="preserve">1</w:t>
      </w:r>
      <w:r>
        <w:rPr>
          <w:rFonts w:hint="eastAsia"/>
          <w:color w:val="000000"/>
          <w:sz w:val="24"/>
          <w:szCs w:val="24"/>
          <w:lang w:val="en-US" w:eastAsia="zh-CN"/>
        </w:rPr>
        <w:t xml:space="preserve">.</w:t>
      </w:r>
      <w:r>
        <w:rPr>
          <w:rFonts w:hint="eastAsia"/>
          <w:color w:val="000000"/>
          <w:sz w:val="24"/>
          <w:szCs w:val="24"/>
        </w:rPr>
        <w:tab/>
      </w:r>
      <w:r>
        <w:rPr>
          <w:rFonts w:hint="eastAsia"/>
          <w:color w:val="000000"/>
          <w:sz w:val="24"/>
          <w:szCs w:val="24"/>
        </w:rPr>
        <w:t xml:space="preserve">本次招标评标釆用为</w:t>
      </w:r>
      <w:r>
        <w:rPr>
          <w:rFonts w:hint="eastAsia"/>
          <w:color w:val="000000"/>
          <w:sz w:val="24"/>
          <w:szCs w:val="24"/>
          <w:u w:val="single"/>
        </w:rPr>
        <w:t xml:space="preserve">综合评分法</w:t>
      </w:r>
      <w:r>
        <w:rPr>
          <w:rFonts w:hint="eastAsia"/>
          <w:color w:val="000000"/>
          <w:sz w:val="24"/>
          <w:szCs w:val="24"/>
        </w:rPr>
        <w:t xml:space="preserve">。即在满足招标文件实质性要求前提下，按照招 标文件中规定的评分标准和各项因素进行综合评审后，以评标总得分最高的投标人作为中标候选供应商或中标供应商。</w:t>
      </w:r>
      <w:r/>
    </w:p>
    <w:p>
      <w:pPr>
        <w:pStyle w:val="929"/>
        <w:ind w:firstLine="460"/>
        <w:spacing w:after="80" w:line="525" w:lineRule="exact"/>
        <w:tabs>
          <w:tab w:val="left" w:pos="875" w:leader="none"/>
        </w:tabs>
        <w:rPr>
          <w:sz w:val="24"/>
          <w:szCs w:val="24"/>
        </w:rPr>
      </w:pPr>
      <w:r/>
      <w:bookmarkStart w:id="75" w:name="bookmark322"/>
      <w:r>
        <w:rPr>
          <w:rFonts w:hint="eastAsia"/>
          <w:color w:val="000000"/>
          <w:sz w:val="24"/>
          <w:szCs w:val="24"/>
        </w:rPr>
        <w:t xml:space="preserve">2</w:t>
      </w:r>
      <w:bookmarkEnd w:id="75"/>
      <w:r>
        <w:rPr>
          <w:rFonts w:hint="eastAsia"/>
          <w:color w:val="000000"/>
          <w:sz w:val="24"/>
          <w:szCs w:val="24"/>
          <w:lang w:val="en-US" w:eastAsia="zh-CN"/>
        </w:rPr>
        <w:t xml:space="preserve">.</w:t>
      </w:r>
      <w:r>
        <w:rPr>
          <w:rFonts w:hint="eastAsia"/>
          <w:color w:val="000000"/>
          <w:sz w:val="24"/>
          <w:szCs w:val="24"/>
        </w:rPr>
        <w:tab/>
      </w:r>
      <w:r>
        <w:rPr>
          <w:rFonts w:hint="eastAsia"/>
          <w:color w:val="000000"/>
          <w:sz w:val="24"/>
          <w:szCs w:val="24"/>
        </w:rPr>
        <w:t xml:space="preserve">评标时，评标委员会成员按照招标文件规定的评分标准，独立对每个投标人的投标文件进行评价、打分。价格标得分按法规规定的计算公式直接计算取得。技术、商务评审得分和价格标得分相加即为投标人的评标总得分。评分过程中釆用</w:t>
      </w:r>
      <w:r>
        <w:rPr>
          <w:rFonts w:hint="eastAsia"/>
          <w:color w:val="000000"/>
          <w:sz w:val="24"/>
          <w:szCs w:val="24"/>
          <w:lang w:val="zh-CN" w:eastAsia="zh-CN" w:bidi="zh-CN"/>
        </w:rPr>
        <w:t xml:space="preserve">“四</w:t>
      </w:r>
      <w:r>
        <w:rPr>
          <w:rFonts w:hint="eastAsia"/>
          <w:color w:val="000000"/>
          <w:sz w:val="24"/>
          <w:szCs w:val="24"/>
        </w:rPr>
        <w:t xml:space="preserve">舍五入</w:t>
      </w:r>
      <w:r>
        <w:rPr>
          <w:rFonts w:hint="eastAsia"/>
          <w:color w:val="000000"/>
          <w:sz w:val="24"/>
          <w:szCs w:val="24"/>
          <w:lang w:val="zh-CN" w:eastAsia="zh-CN" w:bidi="zh-CN"/>
        </w:rPr>
        <w:t xml:space="preserve">”法，</w:t>
      </w:r>
      <w:r>
        <w:rPr>
          <w:rFonts w:hint="eastAsia"/>
          <w:color w:val="000000"/>
          <w:sz w:val="24"/>
          <w:szCs w:val="24"/>
        </w:rPr>
        <w:t xml:space="preserve">并保留小数2位。</w:t>
      </w:r>
      <w:r/>
    </w:p>
    <w:p>
      <w:pPr>
        <w:pStyle w:val="929"/>
        <w:ind w:firstLine="460"/>
        <w:spacing w:after="120" w:line="420" w:lineRule="exact"/>
        <w:tabs>
          <w:tab w:val="left" w:pos="875" w:leader="none"/>
        </w:tabs>
        <w:rPr>
          <w:sz w:val="24"/>
          <w:szCs w:val="24"/>
        </w:rPr>
      </w:pPr>
      <w:r/>
      <w:bookmarkStart w:id="76" w:name="bookmark323"/>
      <w:r>
        <w:rPr>
          <w:rFonts w:hint="eastAsia"/>
          <w:color w:val="000000"/>
          <w:sz w:val="24"/>
          <w:szCs w:val="24"/>
        </w:rPr>
        <w:t xml:space="preserve">3</w:t>
      </w:r>
      <w:bookmarkEnd w:id="76"/>
      <w:r>
        <w:rPr>
          <w:rFonts w:hint="eastAsia"/>
          <w:color w:val="000000"/>
          <w:sz w:val="24"/>
          <w:szCs w:val="24"/>
          <w:lang w:val="en-US" w:eastAsia="zh-CN"/>
        </w:rPr>
        <w:t xml:space="preserve">.</w:t>
      </w:r>
      <w:r>
        <w:rPr>
          <w:rFonts w:hint="eastAsia"/>
          <w:color w:val="000000"/>
          <w:sz w:val="24"/>
          <w:szCs w:val="24"/>
        </w:rPr>
        <w:tab/>
      </w:r>
      <w:r>
        <w:rPr>
          <w:rFonts w:hint="eastAsia"/>
          <w:color w:val="000000"/>
          <w:sz w:val="24"/>
          <w:szCs w:val="24"/>
        </w:rPr>
        <w:t xml:space="preserve">如岀现评标总得分最高的投标人有两个或两个以上的</w:t>
      </w:r>
      <w:r>
        <w:rPr>
          <w:rFonts w:hint="eastAsia"/>
          <w:color w:val="000000"/>
          <w:sz w:val="24"/>
          <w:szCs w:val="24"/>
          <w:lang w:eastAsia="zh-CN"/>
        </w:rPr>
        <w:t xml:space="preserve">，</w:t>
      </w:r>
      <w:r>
        <w:rPr>
          <w:rFonts w:hint="eastAsia"/>
          <w:color w:val="000000"/>
          <w:sz w:val="24"/>
          <w:szCs w:val="24"/>
        </w:rPr>
        <w:t xml:space="preserve">以投标报价较低者优先作为中标候选人，如果投标报价也相同的，则由</w:t>
      </w:r>
      <w:r>
        <w:rPr>
          <w:rFonts w:hint="eastAsia"/>
          <w:color w:val="000000"/>
          <w:sz w:val="24"/>
          <w:szCs w:val="24"/>
          <w:lang w:eastAsia="zh-CN"/>
        </w:rPr>
        <w:t xml:space="preserve">招标人</w:t>
      </w:r>
      <w:r>
        <w:rPr>
          <w:rFonts w:hint="eastAsia"/>
          <w:color w:val="000000"/>
          <w:sz w:val="24"/>
          <w:szCs w:val="24"/>
        </w:rPr>
        <w:t xml:space="preserve">组织以抽签方式确定中标候选供应商或中标供应商。</w:t>
      </w:r>
      <w:r/>
    </w:p>
    <w:p>
      <w:pPr>
        <w:pStyle w:val="929"/>
        <w:ind w:firstLine="420"/>
        <w:spacing w:after="40" w:line="360" w:lineRule="auto"/>
        <w:tabs>
          <w:tab w:val="left" w:pos="875" w:leader="none"/>
        </w:tabs>
        <w:rPr>
          <w:sz w:val="24"/>
          <w:szCs w:val="24"/>
        </w:rPr>
      </w:pPr>
      <w:r/>
      <w:bookmarkStart w:id="77" w:name="bookmark324"/>
      <w:r>
        <w:rPr>
          <w:rFonts w:hint="eastAsia"/>
          <w:color w:val="000000"/>
          <w:sz w:val="24"/>
          <w:szCs w:val="24"/>
        </w:rPr>
        <w:t xml:space="preserve">4</w:t>
      </w:r>
      <w:bookmarkEnd w:id="77"/>
      <w:r>
        <w:rPr>
          <w:rFonts w:hint="eastAsia"/>
          <w:color w:val="000000"/>
          <w:sz w:val="24"/>
          <w:szCs w:val="24"/>
          <w:lang w:val="en-US" w:eastAsia="zh-CN"/>
        </w:rPr>
        <w:t xml:space="preserve">.</w:t>
      </w:r>
      <w:r>
        <w:rPr>
          <w:rFonts w:hint="eastAsia"/>
          <w:color w:val="000000"/>
          <w:sz w:val="24"/>
          <w:szCs w:val="24"/>
        </w:rPr>
        <w:tab/>
      </w:r>
      <w:r>
        <w:rPr>
          <w:rFonts w:hint="eastAsia"/>
          <w:color w:val="000000"/>
          <w:sz w:val="24"/>
          <w:szCs w:val="24"/>
        </w:rPr>
        <w:t xml:space="preserve">评分标准：</w:t>
      </w:r>
      <w:r/>
    </w:p>
    <w:p>
      <w:pPr>
        <w:pStyle w:val="929"/>
        <w:ind w:firstLine="540"/>
        <w:jc w:val="left"/>
        <w:spacing w:after="40" w:line="240" w:lineRule="auto"/>
        <w:tabs>
          <w:tab w:val="left" w:pos="1055" w:leader="none"/>
        </w:tabs>
        <w:rPr>
          <w:sz w:val="24"/>
          <w:szCs w:val="24"/>
        </w:rPr>
      </w:pPr>
      <w:r/>
      <w:bookmarkStart w:id="78" w:name="bookmark325"/>
      <w:r>
        <w:rPr>
          <w:rFonts w:hint="eastAsia"/>
          <w:color w:val="000000"/>
          <w:sz w:val="24"/>
          <w:szCs w:val="24"/>
        </w:rPr>
        <w:t xml:space="preserve">（</w:t>
      </w:r>
      <w:bookmarkEnd w:id="78"/>
      <w:r>
        <w:rPr>
          <w:rFonts w:hint="eastAsia"/>
          <w:color w:val="000000"/>
          <w:sz w:val="24"/>
          <w:szCs w:val="24"/>
        </w:rPr>
        <w:t xml:space="preserve">1）</w:t>
      </w:r>
      <w:r>
        <w:rPr>
          <w:rFonts w:hint="eastAsia"/>
          <w:color w:val="000000"/>
          <w:sz w:val="24"/>
          <w:szCs w:val="24"/>
        </w:rPr>
        <w:tab/>
      </w:r>
      <w:r>
        <w:rPr>
          <w:rFonts w:hint="eastAsia"/>
          <w:color w:val="000000"/>
          <w:sz w:val="24"/>
          <w:szCs w:val="24"/>
        </w:rPr>
        <w:t xml:space="preserve">评标釆用综合评分法。</w:t>
      </w:r>
      <w:r/>
    </w:p>
    <w:p>
      <w:pPr>
        <w:pStyle w:val="929"/>
        <w:ind w:firstLine="540"/>
        <w:jc w:val="left"/>
        <w:spacing w:after="120" w:line="240" w:lineRule="auto"/>
        <w:tabs>
          <w:tab w:val="left" w:pos="1055" w:leader="none"/>
        </w:tabs>
        <w:rPr>
          <w:sz w:val="24"/>
          <w:szCs w:val="24"/>
        </w:rPr>
      </w:pPr>
      <w:r/>
      <w:bookmarkStart w:id="79" w:name="bookmark326"/>
      <w:r>
        <w:rPr>
          <w:rFonts w:hint="eastAsia"/>
          <w:color w:val="000000"/>
          <w:sz w:val="24"/>
          <w:szCs w:val="24"/>
        </w:rPr>
        <w:t xml:space="preserve">（</w:t>
      </w:r>
      <w:bookmarkEnd w:id="79"/>
      <w:r>
        <w:rPr>
          <w:rFonts w:hint="eastAsia"/>
          <w:color w:val="000000"/>
          <w:sz w:val="24"/>
          <w:szCs w:val="24"/>
        </w:rPr>
        <w:t xml:space="preserve">2）</w:t>
      </w:r>
      <w:r>
        <w:rPr>
          <w:rFonts w:hint="eastAsia"/>
          <w:color w:val="000000"/>
          <w:sz w:val="24"/>
          <w:szCs w:val="24"/>
        </w:rPr>
        <w:tab/>
      </w:r>
      <w:r>
        <w:rPr>
          <w:rFonts w:hint="eastAsia"/>
          <w:color w:val="000000"/>
          <w:sz w:val="24"/>
          <w:szCs w:val="24"/>
        </w:rPr>
        <w:t xml:space="preserve">评标考虑的主要因素及其权值：</w:t>
      </w:r>
      <w:r/>
    </w:p>
    <w:p>
      <w:pPr>
        <w:pStyle w:val="929"/>
        <w:ind w:firstLine="420"/>
        <w:jc w:val="left"/>
        <w:spacing w:after="80" w:line="240" w:lineRule="auto"/>
        <w:rPr>
          <w:sz w:val="24"/>
          <w:szCs w:val="24"/>
        </w:rPr>
      </w:pPr>
      <w:r>
        <w:rPr>
          <w:rFonts w:hint="eastAsia"/>
          <w:color w:val="000000"/>
          <w:sz w:val="24"/>
          <w:szCs w:val="24"/>
        </w:rPr>
        <w:t xml:space="preserve">评委对投标文件的技术及商务响应情况进行评分。评分釆用量化方法。</w:t>
      </w:r>
      <w:r/>
    </w:p>
    <w:p>
      <w:pPr>
        <w:pStyle w:val="929"/>
        <w:ind w:firstLine="0"/>
        <w:jc w:val="left"/>
        <w:spacing w:line="525" w:lineRule="exact"/>
        <w:rPr>
          <w:color w:val="2b0001"/>
          <w:sz w:val="24"/>
          <w:szCs w:val="24"/>
          <w:lang w:val="en-US" w:eastAsia="zh-CN"/>
        </w:rPr>
      </w:pPr>
      <w:r>
        <w:rPr>
          <w:color w:val="2b0001"/>
          <w:sz w:val="24"/>
          <w:szCs w:val="24"/>
          <w:lang w:val="en-US" w:eastAsia="zh-CN"/>
        </w:rPr>
        <w:tab/>
      </w:r>
      <w:r>
        <w:rPr>
          <w:rFonts w:hint="eastAsia"/>
          <w:color w:val="2b0001"/>
          <w:sz w:val="24"/>
          <w:szCs w:val="24"/>
          <w:lang w:val="en-US" w:eastAsia="zh-CN"/>
        </w:rPr>
        <w:t xml:space="preserve">5.</w:t>
      </w:r>
      <w:r>
        <w:rPr>
          <w:color w:val="2b0001"/>
          <w:sz w:val="24"/>
          <w:szCs w:val="24"/>
          <w:lang w:val="en-US" w:eastAsia="zh-CN"/>
        </w:rPr>
        <w:t xml:space="preserve">价格扣除：</w:t>
      </w:r>
      <w:r/>
    </w:p>
    <w:p>
      <w:pPr>
        <w:pStyle w:val="929"/>
        <w:ind w:firstLine="240"/>
        <w:jc w:val="left"/>
        <w:spacing w:line="525" w:lineRule="exact"/>
        <w:rPr>
          <w:color w:val="2b0001"/>
          <w:sz w:val="24"/>
          <w:szCs w:val="24"/>
          <w:lang w:val="en-US" w:eastAsia="zh-CN"/>
        </w:rPr>
      </w:pPr>
      <w:r>
        <w:rPr>
          <w:color w:val="2b0001"/>
          <w:sz w:val="24"/>
          <w:szCs w:val="24"/>
          <w:lang w:val="en-US" w:eastAsia="zh-CN"/>
        </w:rPr>
        <w:t xml:space="preserve">（1）对小型和微型企业产品的价格给予10%的扣除。参加报价的中小企业，应当按照 《政府釆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技要求填写 和提供《企业声明函》的”，不得享受价格扣除。如果供应商违反承诺追究其相应法律责任。</w:t>
      </w:r>
      <w:r/>
    </w:p>
    <w:p>
      <w:pPr>
        <w:pStyle w:val="929"/>
        <w:ind w:firstLine="240"/>
        <w:jc w:val="left"/>
        <w:spacing w:line="525" w:lineRule="exact"/>
        <w:rPr>
          <w:color w:val="2b0001"/>
          <w:sz w:val="24"/>
          <w:szCs w:val="24"/>
          <w:lang w:val="en-US" w:eastAsia="zh-CN"/>
        </w:rPr>
      </w:pPr>
      <w:r>
        <w:rPr>
          <w:color w:val="2b0001"/>
          <w:sz w:val="24"/>
          <w:szCs w:val="24"/>
          <w:lang w:val="en-US" w:eastAsia="zh-CN"/>
        </w:rPr>
        <w:t xml:space="preserve">（2）根据《财政部司法部关于政府釆购支持监狱企业发展有关问题的通知》（财库（2014）68号）要求，监狱和戒毒企业视同小型、微型企业，享受与小型、微型企业产品价格同比例扣除的优惠政策，不重复享受政策。监狱和戒毒企业应当提供由省级以上监狱 管理局、戒毒管理局（含新疆生产建设兵团）岀具的属于监狱企业的证明文件。</w:t>
      </w:r>
      <w:r/>
    </w:p>
    <w:p>
      <w:pPr>
        <w:pStyle w:val="929"/>
        <w:ind w:firstLine="240"/>
        <w:jc w:val="left"/>
        <w:spacing w:line="525" w:lineRule="exact"/>
        <w:rPr>
          <w:color w:val="2b0001"/>
          <w:sz w:val="24"/>
          <w:szCs w:val="24"/>
          <w:lang w:val="en-US" w:eastAsia="zh-CN"/>
        </w:rPr>
      </w:pPr>
      <w:r>
        <w:rPr>
          <w:color w:val="2b0001"/>
          <w:sz w:val="24"/>
          <w:szCs w:val="24"/>
          <w:lang w:val="en-US" w:eastAsia="zh-CN"/>
        </w:rPr>
        <w:t xml:space="preserve">（3）根据《关于促进残疾人就业政府釆购政策的通知》（财库（2017）141号）要求,残疾人福利性单位视同小型、微型企业，享受与小型、微型企业产品价格同比例扣除的优 惠政策。残疾人福利性单位属于小型、微型企业的，不重复享受政策。符合条件的残疾人 福利性单位应当提供《企业声明函》，格式见附件；如“未</w:t>
      </w:r>
      <w:r>
        <w:rPr>
          <w:rFonts w:hint="eastAsia"/>
          <w:color w:val="2b0001"/>
          <w:sz w:val="24"/>
          <w:szCs w:val="24"/>
          <w:lang w:val="en-US" w:eastAsia="zh-CN"/>
        </w:rPr>
        <w:t xml:space="preserve">按</w:t>
      </w:r>
      <w:r>
        <w:rPr>
          <w:color w:val="2b0001"/>
          <w:sz w:val="24"/>
          <w:szCs w:val="24"/>
          <w:lang w:val="en-US" w:eastAsia="zh-CN"/>
        </w:rPr>
        <w:t xml:space="preserve">要求填写和提供《企业声明函》的”，不得享受价格扣除。如果供应商违反承诺追究其相应法律责任。</w:t>
      </w:r>
      <w:r/>
    </w:p>
    <w:p>
      <w:pPr>
        <w:pStyle w:val="929"/>
        <w:ind w:firstLine="240"/>
        <w:jc w:val="left"/>
        <w:spacing w:line="525" w:lineRule="exact"/>
        <w:rPr>
          <w:color w:val="2b0001"/>
          <w:sz w:val="24"/>
          <w:szCs w:val="24"/>
          <w:lang w:val="en-US" w:eastAsia="zh-CN"/>
        </w:rPr>
      </w:pPr>
      <w:r>
        <w:rPr>
          <w:color w:val="2b0001"/>
          <w:sz w:val="24"/>
          <w:szCs w:val="24"/>
          <w:lang w:val="en-US" w:eastAsia="zh-CN"/>
        </w:rPr>
        <w:t xml:space="preserve">6</w:t>
      </w:r>
      <w:r>
        <w:rPr>
          <w:rFonts w:hint="eastAsia"/>
          <w:color w:val="2b0001"/>
          <w:sz w:val="24"/>
          <w:szCs w:val="24"/>
          <w:lang w:val="en-US" w:eastAsia="zh-CN"/>
        </w:rPr>
        <w:t xml:space="preserve">.</w:t>
      </w:r>
      <w:r>
        <w:rPr>
          <w:color w:val="2b0001"/>
          <w:sz w:val="24"/>
          <w:szCs w:val="24"/>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ascii="宋体" w:hAnsi="宋体" w:cs="宋体"/>
          <w:szCs w:val="21"/>
        </w:rPr>
      </w:pPr>
      <w:r>
        <w:rPr>
          <w:rFonts w:ascii="宋体" w:hAnsi="宋体" w:cs="宋体"/>
          <w:szCs w:val="21"/>
        </w:rPr>
      </w:r>
      <w:r/>
    </w:p>
    <w:tbl>
      <w:tblPr>
        <w:tblStyle w:val="734"/>
        <w:tblW w:w="9126" w:type="dxa"/>
        <w:tblInd w:w="93" w:type="dxa"/>
        <w:tblLayout w:type="fixed"/>
        <w:tblCellMar>
          <w:left w:w="108" w:type="dxa"/>
          <w:top w:w="0" w:type="dxa"/>
          <w:right w:w="108" w:type="dxa"/>
          <w:bottom w:w="0" w:type="dxa"/>
        </w:tblCellMar>
        <w:tblLook w:val="04A0" w:firstRow="1" w:lastRow="0" w:firstColumn="1" w:lastColumn="0" w:noHBand="0" w:noVBand="1"/>
      </w:tblPr>
      <w:tblGrid>
        <w:gridCol w:w="881"/>
        <w:gridCol w:w="880"/>
        <w:gridCol w:w="795"/>
        <w:gridCol w:w="657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评分标准</w:t>
            </w:r>
            <w:r/>
          </w:p>
        </w:tc>
      </w:tr>
      <w:tr>
        <w:trPr>
          <w:trHeight w:val="1056"/>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报价部分（15分）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按满足招标文件要求且有效投标价格最低的投标报价作为评审基准价，其价格分为满分；其他投标人的价格分按以下公式计算：投标报价得分=（评审基准价/投标报价）×15分。</w:t>
            </w:r>
            <w:r/>
          </w:p>
        </w:tc>
      </w:tr>
      <w:tr>
        <w:trPr>
          <w:trHeight w:val="2280"/>
        </w:trPr>
        <w:tc>
          <w:tcPr>
            <w:shd w:val="clear" w:color="auto" w:fill="auto"/>
            <w:tcBorders>
              <w:top w:val="single" w:color="000000" w:sz="4" w:space="0"/>
              <w:left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商务部分（38分）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投标人资质能力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1.投标人通过ISO9001质量管理体系认证、ISO27001信息安全管理体系认证、ISO14001环境管理体系认证、ISO20000IT服务管理体系认证证书、ISO45001职业健康安全管理体系认证的，有一个得0.4分，本项最多得2分；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2.投标人具备较强的信息系统建设和服务能力，获得信息系统建设和服务能力等级证书（CS3）以上证书的得2分；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3.投标人具有安防工程企业设计施工维护能力评价一级的得2分；</w:t>
            </w:r>
            <w:r/>
          </w:p>
          <w:p>
            <w:pPr>
              <w:jc w:val="left"/>
              <w:spacing w:line="360" w:lineRule="auto"/>
              <w:widowControl/>
              <w:rPr>
                <w:rFonts w:ascii="宋体" w:hAnsi="宋体" w:cs="宋体"/>
                <w:color w:val="000000"/>
                <w:szCs w:val="21"/>
              </w:rPr>
            </w:pPr>
            <w:r>
              <w:rPr>
                <w:rStyle w:val="924"/>
                <w:rFonts w:hint="default"/>
                <w:sz w:val="21"/>
                <w:szCs w:val="21"/>
                <w:lang w:bidi="ar"/>
              </w:rPr>
              <w:t xml:space="preserve">备注：以上1-3三条提供相关证书扫描件。</w:t>
            </w:r>
            <w:r/>
          </w:p>
        </w:tc>
      </w:tr>
      <w:tr>
        <w:trPr>
          <w:trHeight w:val="3942"/>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项目实施人员能力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1.项目负责人（4分）：项目负责人具有机电工程专业二级建造师证书的得1分，具有机电工程专业一级建造师证书的得2分；项目负责人同时具有高级工程师、信息系统项目管理师的有1个得1分。本项最多得4分。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2.项目技术负责人（3分）：项目技术负责人具有系统分析师证书的得2分，同时具有信息系统项目管理师证书、中级及以上网络工程师证书的有1个得0.5分，本项最多得3分。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项目组其他成员（3分）：项目组其他成员具有弱电系统高级工程师证书、安防系统高级工程师证书、网络与信息安全应急人员认证证书、ITSS服务应用经理证书、高级IT运维工程师证书、高级智能化系统工程师有1个得0.5分，本项最多得3分。同一个人员具有以上多种证书的只计算其中一种，同一个人员不重复得分。</w:t>
            </w:r>
            <w:r/>
          </w:p>
          <w:p>
            <w:pPr>
              <w:jc w:val="left"/>
              <w:spacing w:line="360" w:lineRule="auto"/>
              <w:widowControl/>
              <w:rPr>
                <w:rFonts w:ascii="宋体" w:hAnsi="宋体" w:cs="宋体"/>
                <w:color w:val="000000"/>
                <w:szCs w:val="21"/>
              </w:rPr>
            </w:pPr>
            <w:r>
              <w:rPr>
                <w:rFonts w:hint="eastAsia" w:ascii="宋体" w:hAnsi="宋体" w:cs="宋体"/>
                <w:b/>
                <w:bCs/>
                <w:color w:val="000000" w:themeColor="text1"/>
                <w:szCs w:val="21"/>
                <w:lang w:bidi="ar"/>
                <w14:textFill>
                  <w14:solidFill>
                    <w14:schemeClr w14:val="tx1"/>
                  </w14:solidFill>
                </w14:textFill>
              </w:rPr>
              <w:t xml:space="preserve">备注：项目负责人、技术负责人、项目组其他成员不得同时兼任。项目组所有人员必须为投标人正式员工</w:t>
            </w:r>
            <w:r>
              <w:rPr>
                <w:rFonts w:hint="eastAsia" w:ascii="宋体" w:hAnsi="宋体" w:cs="宋体"/>
                <w:b/>
                <w:bCs/>
                <w:color w:val="000000"/>
                <w:szCs w:val="21"/>
                <w:lang w:bidi="ar"/>
              </w:rPr>
              <w:t xml:space="preserve">，需提供相关证书复印件及投标人为其缴纳的投标截止时间前6个月内连续3个月的社保证明材料扫描件。</w:t>
            </w:r>
            <w:r/>
          </w:p>
        </w:tc>
      </w:tr>
      <w:tr>
        <w:trPr>
          <w:trHeight w:val="1917"/>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投标人提供2021年1月1日（以合同签订日期为准）以来承建的类似特种设备或电梯安全管理成功案例的有一个得0.5分，本项目最高得2分。</w:t>
            </w:r>
            <w:r/>
          </w:p>
          <w:p>
            <w:pPr>
              <w:jc w:val="left"/>
              <w:spacing w:line="360" w:lineRule="auto"/>
              <w:widowControl/>
              <w:rPr>
                <w:rFonts w:ascii="宋体" w:hAnsi="宋体" w:cs="宋体"/>
                <w:color w:val="000000"/>
                <w:szCs w:val="21"/>
              </w:rPr>
            </w:pPr>
            <w:r>
              <w:rPr>
                <w:rFonts w:hint="eastAsia" w:ascii="宋体" w:hAnsi="宋体" w:cs="宋体"/>
                <w:b/>
                <w:bCs/>
                <w:color w:val="000000" w:themeColor="text1"/>
                <w:szCs w:val="21"/>
                <w:lang w:bidi="ar"/>
                <w14:textFill>
                  <w14:solidFill>
                    <w14:schemeClr w14:val="tx1"/>
                  </w14:solidFill>
                </w14:textFill>
              </w:rPr>
              <w:t xml:space="preserve">注：每个业绩提供中标通知书（直接发包项目如没有中标通知书，须提供发包人出具的加盖单位公章的直接发包证明）、合同、验收材料扫描件，否则不得分。</w:t>
            </w:r>
            <w:r/>
          </w:p>
        </w:tc>
      </w:tr>
      <w:tr>
        <w:trPr>
          <w:trHeight w:val="2502"/>
        </w:trPr>
        <w:tc>
          <w:tcPr>
            <w:shd w:val="clear" w:color="auto" w:fill="auto"/>
            <w:tcBorders>
              <w:left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投标人运维能力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1.投标人通过ITSS信息技术服务运行维护标准符合性认证，并达到成熟度等级二级及以上的得2分；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2.投标人具备 CCRC 信息安全服务资质证书(三级及以上)的得2分；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3.投标人具备 CCRC 软件安全开发服务资质证书(三级及以上)的得2分；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4.投标人具备 CCRC信息系统安全集成服务资质证书(三级及以上)的得2分；</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5.投标人具备较强的信息系统建设和服务能力，获得售后服务认证证书（五星级）的得2分。</w:t>
            </w:r>
            <w:r/>
          </w:p>
          <w:p>
            <w:pPr>
              <w:jc w:val="left"/>
              <w:spacing w:line="360" w:lineRule="auto"/>
              <w:widowControl/>
              <w:rPr>
                <w:rFonts w:ascii="宋体" w:hAnsi="宋体" w:cs="宋体"/>
                <w:color w:val="000000"/>
                <w:szCs w:val="21"/>
              </w:rPr>
            </w:pPr>
            <w:r>
              <w:rPr>
                <w:rStyle w:val="924"/>
                <w:rFonts w:hint="default"/>
                <w:sz w:val="21"/>
                <w:szCs w:val="21"/>
                <w:lang w:bidi="ar"/>
              </w:rPr>
              <w:t xml:space="preserve">备注：以上1-5条提供相关证书扫描件。</w:t>
            </w:r>
            <w:r/>
          </w:p>
        </w:tc>
      </w:tr>
      <w:tr>
        <w:trPr>
          <w:trHeight w:val="3730"/>
        </w:trPr>
        <w:tc>
          <w:tcPr>
            <w:shd w:val="clear" w:color="auto" w:fill="auto"/>
            <w:tcBorders>
              <w:left w:val="single" w:color="000000" w:sz="4" w:space="0"/>
              <w:bottom w:val="single" w:color="000000" w:sz="4" w:space="0"/>
              <w:right w:val="single" w:color="000000" w:sz="4" w:space="0"/>
            </w:tcBorders>
            <w:tcW w:w="881" w:type="dxa"/>
            <w:vAlign w:val="center"/>
            <w:vMerge w:val="continue"/>
            <w:textDirection w:val="lrTb"/>
            <w:noWrap w:val="false"/>
          </w:tcPr>
          <w:p>
            <w:pPr>
              <w:jc w:val="center"/>
              <w:spacing w:line="24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投标人所投智慧电梯管理系统相关厂商需具备以下要求：</w:t>
            </w:r>
            <w:r/>
          </w:p>
          <w:p>
            <w:pPr>
              <w:jc w:val="left"/>
              <w:spacing w:line="360" w:lineRule="auto"/>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szCs w:val="21"/>
                <w:lang w:bidi="ar"/>
              </w:rPr>
              <w:t xml:space="preserve">1.所投产品厂商具有大数据应用系统、电梯智能安全管理系统、电梯应急处置综合服务系统、人工智能综合服务系统、电梯运行故障分析及预警等类似相关软件著作权，提供相关的计算机软件著作权登记证书，每提供1项得1分，共计5分，不提供不得分。</w:t>
            </w:r>
            <w:r>
              <w:rPr>
                <w:rFonts w:hint="eastAsia" w:ascii="宋体" w:hAnsi="宋体" w:cs="宋体"/>
                <w:color w:val="000000" w:themeColor="text1"/>
                <w:szCs w:val="21"/>
                <w:lang w:bidi="ar"/>
                <w14:textFill>
                  <w14:solidFill>
                    <w14:schemeClr w14:val="tx1"/>
                  </w14:solidFill>
                </w14:textFill>
              </w:rPr>
              <w:t xml:space="preserve">如投标文件中提供的著作权名称表述与招标文件描述的关键字样不一致，而该投标文件中能证明投标人拥有的软件著作权具有相同或相似功能和效果，且评标委员会认可的，视同符合要求。</w:t>
            </w:r>
            <w:r/>
          </w:p>
          <w:p>
            <w:pPr>
              <w:jc w:val="left"/>
              <w:spacing w:line="360" w:lineRule="auto"/>
              <w:widowControl/>
              <w:rPr>
                <w:rFonts w:ascii="宋体" w:hAnsi="宋体" w:cs="宋体"/>
                <w:szCs w:val="21"/>
                <w:lang w:bidi="ar"/>
              </w:rPr>
            </w:pPr>
            <w:r>
              <w:rPr>
                <w:rFonts w:hint="eastAsia" w:ascii="宋体" w:hAnsi="宋体" w:cs="宋体"/>
                <w:color w:val="000000"/>
                <w:szCs w:val="21"/>
                <w:lang w:bidi="ar"/>
              </w:rPr>
              <w:t xml:space="preserve">2.所投产品厂商具有数据传输相关通信的技术能力</w:t>
            </w:r>
            <w:r>
              <w:rPr>
                <w:rFonts w:hint="eastAsia" w:ascii="宋体" w:hAnsi="宋体" w:cs="宋体"/>
                <w:szCs w:val="21"/>
                <w:lang w:bidi="ar"/>
              </w:rPr>
              <w:t xml:space="preserve">，提供相关合法机构出具的证明或证书，得1分，不提供不得分。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3.所投产品厂商具有电梯困人自动检测技术能力，提供相关合法机构出具的证明或证书，得2分，不提供不得分。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4.所投产品厂商具有电梯故障识别技术能力，提供相关合法机构出具的证明或证书，得2分，不提供不得分。</w:t>
            </w:r>
            <w:r/>
          </w:p>
          <w:p>
            <w:pPr>
              <w:jc w:val="left"/>
              <w:spacing w:line="360" w:lineRule="auto"/>
              <w:widowControl/>
              <w:rPr>
                <w:rFonts w:ascii="宋体" w:hAnsi="宋体" w:cs="宋体"/>
                <w:color w:val="000000"/>
                <w:szCs w:val="21"/>
              </w:rPr>
            </w:pPr>
            <w:r>
              <w:rPr>
                <w:rStyle w:val="924"/>
                <w:rFonts w:hint="default"/>
                <w:color w:val="auto"/>
                <w:sz w:val="21"/>
                <w:szCs w:val="21"/>
                <w:lang w:bidi="ar"/>
              </w:rPr>
              <w:t xml:space="preserve">备注：须提供相关证明或证书扫描件。</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技术部分（47分）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硬件技术指标</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spacing w:line="360" w:lineRule="auto"/>
              <w:widowControl/>
              <w:rPr>
                <w:rFonts w:ascii="宋体" w:hAnsi="宋体" w:cs="宋体"/>
                <w:szCs w:val="21"/>
                <w:lang w:bidi="ar"/>
              </w:rPr>
            </w:pPr>
            <w:r>
              <w:rPr>
                <w:rFonts w:hint="eastAsia" w:ascii="宋体" w:hAnsi="宋体" w:cs="宋体"/>
                <w:szCs w:val="21"/>
                <w:lang w:bidi="ar"/>
              </w:rPr>
              <w:t xml:space="preserve">投标人须针对招标文件中采购清单所有技术标准和要求进行逐条响应，在“技术标准响应偏离表”中如实详细填列所投产品的参数，具体评审如下：</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1.招标文件“技术要求”中带“</w:t>
            </w:r>
            <w:r>
              <w:rPr>
                <w:rFonts w:hint="eastAsia" w:ascii="宋体" w:hAnsi="宋体" w:cs="宋体"/>
                <w:color w:val="000000"/>
                <w:szCs w:val="21"/>
              </w:rPr>
              <w:t xml:space="preserve">★</w:t>
            </w:r>
            <w:r>
              <w:rPr>
                <w:rFonts w:hint="eastAsia" w:ascii="宋体" w:hAnsi="宋体" w:cs="宋体"/>
                <w:szCs w:val="21"/>
                <w:lang w:bidi="ar"/>
              </w:rPr>
              <w:t xml:space="preserve">”的参数为重要参数，所投产品参数需完全响应招标文件要求，如有一处出现负偏离的，有一项扣1分，扣完为止。</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2.招标文件“技术要求”中未带“</w:t>
            </w:r>
            <w:r>
              <w:rPr>
                <w:rFonts w:hint="eastAsia" w:ascii="宋体" w:hAnsi="宋体" w:cs="宋体"/>
                <w:color w:val="000000"/>
                <w:szCs w:val="21"/>
              </w:rPr>
              <w:t xml:space="preserve">★</w:t>
            </w:r>
            <w:r>
              <w:rPr>
                <w:rFonts w:hint="eastAsia" w:ascii="宋体" w:hAnsi="宋体" w:cs="宋体"/>
                <w:szCs w:val="21"/>
                <w:lang w:bidi="ar"/>
              </w:rPr>
              <w:t xml:space="preserve">”的参数，如有一处出现负偏离的，有一项扣0.5分，扣完为止。</w:t>
            </w:r>
            <w:r/>
          </w:p>
          <w:p>
            <w:pPr>
              <w:jc w:val="left"/>
              <w:spacing w:line="360" w:lineRule="auto"/>
              <w:widowControl/>
              <w:rPr>
                <w:rFonts w:ascii="宋体" w:hAnsi="宋体" w:cs="宋体"/>
                <w:szCs w:val="21"/>
                <w:lang w:bidi="ar"/>
              </w:rPr>
            </w:pPr>
            <w:r>
              <w:rPr>
                <w:rFonts w:ascii="宋体" w:hAnsi="宋体" w:cs="宋体"/>
                <w:szCs w:val="21"/>
                <w:lang w:bidi="ar"/>
              </w:rPr>
            </w:r>
            <w:r/>
          </w:p>
          <w:p>
            <w:pPr>
              <w:jc w:val="left"/>
              <w:spacing w:line="360" w:lineRule="auto"/>
              <w:widowControl/>
              <w:rPr>
                <w:rStyle w:val="924"/>
                <w:rFonts w:hint="default"/>
                <w:sz w:val="21"/>
                <w:szCs w:val="21"/>
                <w:lang w:bidi="ar"/>
              </w:rPr>
            </w:pPr>
            <w:r>
              <w:rPr>
                <w:rFonts w:hint="eastAsia" w:ascii="宋体" w:hAnsi="宋体" w:cs="宋体"/>
                <w:b/>
                <w:bCs/>
                <w:szCs w:val="21"/>
                <w:lang w:bidi="ar"/>
              </w:rPr>
              <w:t xml:space="preserve">备注：技术参数要求提供相关证明材料的，均需提供原件或设备厂家提供的扫描件，如未附有效证明材料或者所附的证明材料由评标委员会认为不能佐证技术指标的有效性的，则认定为负偏离。</w:t>
            </w:r>
            <w:r/>
          </w:p>
        </w:tc>
      </w:tr>
      <w:tr>
        <w:trPr>
          <w:trHeight w:val="9571"/>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技术部分（47分）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系统视频演示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1.电梯3D建模页面演示（5分）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（1）3D建模显示电梯开关门情况。当电梯开门时3D建模电梯开门，电梯关门是3D建模电梯关门；满足上述要求得1.5分，否则不得分。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（2）3D建模显示电梯平层状态；满足上述要求得1.5分，否则不得分。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（3）展示电梯运行振动曲线；满足上述要求得1分，否则不得分。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（4）展示电梯运行速度曲线。满足上述要求得1分，否则不得分。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2.电动车管控系统演示（7分）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（1）电梯概况演示：展示区域电梯总量、智慧电梯总量、安装梯阻台量、智慧电梯在线率情况、用曲线图展示近6个月智慧电梯及梯阻安装趋势；满足上述要求得1.5分，否则不得分。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（2）梯阻成效分析演示：展示梯阻数量上月环比数据、梯阻数量上周环比数据、用折线图展示近15日梯阻告警统计数据；满足上述要求得1.5分，否则不得分。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（3）梯阻覆盖情况演示：展示智慧电梯覆盖率、梯阻覆盖率、用柱状图展示梯阻场所类型分布等；满足上述要求得1.5分，否则不得分。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物联网告警统计演示：展示累计物联网告警统计、当月物联网告警统计、当日物联网告警统计；满足上述要求得0.5分，否则不得分。累计告警分布可展示电瓶车梯控告警次数、电瓶车入梯告警次数、液化气瓶入梯告警次数；满足上述要求得0.5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（5）电瓶车入梯报警流程演示：告警发生、语音劝阻及告警解除全过程展示，并支持查看告警视频；满足上述要求得1.5分，否则不得分。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3、电梯预警命中的过程演示（4分）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（1）平台查询展示城市电梯风险预警信息，包含预警状态、预计时间等；满足上述要求得2分，否则不得分。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搜索选取电梯预警命中状态的电梯预警进行风险预警详情展示，展示预警日期、预警时间、命中日期、命中时间、命中类型，并支持查看预警命中发生时间段的录像便于对预警进行人工复核；满足上述要求得2分，否则不得分。</w:t>
            </w:r>
            <w:r/>
          </w:p>
          <w:p>
            <w:pPr>
              <w:jc w:val="left"/>
              <w:widowControl/>
              <w:rPr>
                <w:rFonts w:ascii="宋体" w:hAnsi="宋体" w:cs="宋体"/>
                <w:color w:val="000000"/>
                <w:szCs w:val="21"/>
                <w:highlight w:val="yellow"/>
              </w:rPr>
            </w:pPr>
            <w:r>
              <w:rPr>
                <w:rStyle w:val="924"/>
                <w:rFonts w:hint="default"/>
                <w:sz w:val="21"/>
                <w:szCs w:val="21"/>
                <w:lang w:bidi="ar"/>
              </w:rPr>
              <w:t xml:space="preserve">备注：投标人必须使用真实的软件环境演示，且自行上传至苏采云平台内（每个视频不超过30MB，数量不限）</w:t>
            </w:r>
            <w:r/>
          </w:p>
        </w:tc>
      </w:tr>
      <w:tr>
        <w:trPr>
          <w:trHeight w:val="2876"/>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项目建设方案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tabs>
                <w:tab w:val="center" w:pos="349" w:leader="none"/>
                <w:tab w:val="left" w:pos="492" w:leader="none"/>
              </w:tabs>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投标人应编写详细、深化的建设方案。投标人应采用成熟、稳定的技术方式</w:t>
            </w:r>
            <w:r>
              <w:rPr>
                <w:rFonts w:hint="eastAsia" w:ascii="宋体" w:hAnsi="宋体" w:cs="宋体"/>
                <w:color w:val="000000"/>
                <w:szCs w:val="21"/>
                <w:lang w:bidi="ar"/>
              </w:rPr>
              <w:t xml:space="preserve">对本项目建设内容及各子系统进行深化设计。建设方案包括建设目标、建设原则、建设内容、建设周期、需求分析、总体架构、实现功能、智慧电梯管理平台，详细阐述体系框架、功能设计、实现思路和关键技术，评审专家根据上述8项建设内容科学性、可行性等维度进行评审，方案描述详细科学、贴合实际要求，完全满足采购需求的，每项得1.5分；方案思路完整、内容基本详实，基本满足采购需求的，每项得1分；内容不完善、 可行性不强，但经过优化可实现采购需求的，每项得0.5分；没有内容或其情况完全不满足采购文件需求的不得分。本项最高得分12分。</w:t>
            </w:r>
            <w:r/>
          </w:p>
        </w:tc>
      </w:tr>
      <w:tr>
        <w:trPr>
          <w:trHeight w:val="1194"/>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投标人应编写详细、深化的实施方案。投标人对施工进度计划、安全文明施工、环境保护、设备成品保护等措施的描述，为完成所定措施科学、合理、规范、高效，内容描述详细的，评审专家根据科学性、可行性等维度进行评审，上述方案描述详细科学、贴合实际要求，完全满足采购需求的，得4分；方案思路完整、内容基本详实，基本满足采购需求的，得3分；内容不完善、 可行性不强，但经过优化可实现采购需求的，得1分；没有内容或其情况完全不满足采购文件需求的不得分。本项最高得分4分。</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项目培训方案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根据投标人的免费培训服务要求所做的具体培训方案横向比较后酌情给分，优得3分，良得2分，一般得1分，不提供不得分。</w:t>
            </w:r>
            <w:r/>
          </w:p>
        </w:tc>
      </w:tr>
      <w:tr>
        <w:trPr>
          <w:trHeight w:val="1301"/>
        </w:trPr>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7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根据投标单位提供的售后服务方案和日常保障维护方案，对方案合理性、科学性、故障响应时间等情况横向比较后酌情给分，优得2分，良得1分，其他不得分。</w:t>
            </w:r>
            <w:r/>
          </w:p>
        </w:tc>
      </w:tr>
    </w:tbl>
    <w:p>
      <w:pPr>
        <w:ind w:firstLine="402"/>
        <w:spacing w:line="360" w:lineRule="auto"/>
        <w:rPr>
          <w:rFonts w:ascii="宋体" w:hAnsi="宋体" w:cs="宋体"/>
          <w:b/>
          <w:bCs/>
          <w:sz w:val="20"/>
          <w:szCs w:val="21"/>
        </w:rPr>
      </w:pPr>
      <w:r>
        <w:rPr>
          <w:rFonts w:hint="eastAsia" w:ascii="宋体" w:hAnsi="宋体" w:cs="宋体"/>
          <w:b/>
          <w:bCs/>
          <w:sz w:val="20"/>
          <w:szCs w:val="21"/>
        </w:rPr>
        <w:t xml:space="preserve">说明：1.以上评分标准中评分的每一条，各投标单位均应提供相关的资料。</w:t>
      </w:r>
      <w:r/>
    </w:p>
    <w:p>
      <w:pPr>
        <w:ind w:firstLine="1004"/>
        <w:spacing w:line="360" w:lineRule="auto"/>
        <w:rPr>
          <w:rFonts w:ascii="宋体" w:hAnsi="宋体" w:cs="宋体"/>
          <w:b/>
          <w:bCs/>
          <w:sz w:val="20"/>
          <w:szCs w:val="21"/>
        </w:rPr>
      </w:pPr>
      <w:r>
        <w:rPr>
          <w:rFonts w:hint="eastAsia" w:ascii="宋体" w:hAnsi="宋体" w:cs="宋体"/>
          <w:b/>
          <w:bCs/>
          <w:sz w:val="20"/>
          <w:szCs w:val="21"/>
        </w:rPr>
        <w:t xml:space="preserve">2.方案得分以评委对各投标人独立打分后的平均分为最终得分，计算结果保留2位小数，小数点后第三位四舍五入。</w:t>
      </w:r>
      <w:r/>
    </w:p>
    <w:p>
      <w:pPr>
        <w:pStyle w:val="929"/>
        <w:ind w:firstLine="460"/>
        <w:spacing w:line="525" w:lineRule="exact"/>
        <w:tabs>
          <w:tab w:val="left" w:pos="875" w:leader="none"/>
        </w:tabs>
        <w:rPr>
          <w:color w:val="2b0001"/>
          <w:sz w:val="24"/>
          <w:szCs w:val="24"/>
          <w:lang w:val="en-US" w:eastAsia="zh-CN"/>
        </w:rPr>
      </w:pPr>
      <w:r>
        <w:rPr>
          <w:rFonts w:hint="eastAsia"/>
          <w:color w:val="2b0001"/>
          <w:sz w:val="24"/>
          <w:szCs w:val="24"/>
          <w:lang w:val="en-US" w:eastAsia="zh-CN"/>
        </w:rPr>
        <w:t xml:space="preserve">7</w:t>
      </w:r>
      <w:r>
        <w:rPr>
          <w:color w:val="2b0001"/>
          <w:sz w:val="24"/>
          <w:szCs w:val="24"/>
          <w:lang w:val="en-US" w:eastAsia="zh-CN"/>
        </w:rPr>
        <w:t xml:space="preserve">.</w:t>
      </w:r>
      <w:r>
        <w:rPr>
          <w:rFonts w:hint="eastAsia"/>
          <w:color w:val="2b0001"/>
          <w:sz w:val="24"/>
          <w:szCs w:val="24"/>
          <w:lang w:val="en-US" w:eastAsia="zh-CN"/>
        </w:rPr>
        <w:t xml:space="preserve">推荐中标候选人</w:t>
      </w:r>
      <w:r/>
    </w:p>
    <w:p>
      <w:pPr>
        <w:pStyle w:val="929"/>
        <w:ind w:firstLine="460"/>
        <w:spacing w:line="525" w:lineRule="exact"/>
        <w:tabs>
          <w:tab w:val="left" w:pos="875" w:leader="none"/>
        </w:tabs>
        <w:rPr>
          <w:rFonts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 xml:space="preserve">汇总上述各项分值（保留两位小数,小数点后第三位四舍五入），按总得分由高到低 的顺序排列，综合得分最高的为中标候选人。排名第一的投标人放弃中标，或因其他情形不具备中标条件的，釆购人可依次确定排名在前的其他投标人为中标候选人，也可依法重新组织釆购。</w:t>
      </w:r>
      <w:r/>
    </w:p>
    <w:p>
      <w:pPr>
        <w:rPr>
          <w:rFonts w:ascii="宋体" w:hAnsi="宋体" w:cs="宋体"/>
          <w:szCs w:val="21"/>
        </w:rPr>
      </w:pPr>
      <w:r>
        <w:rPr>
          <w:rFonts w:hint="eastAsia" w:ascii="宋体" w:hAnsi="宋体" w:cs="宋体"/>
          <w:szCs w:val="21"/>
        </w:rPr>
        <w:br w:type="page" w:clear="all"/>
      </w:r>
      <w:r/>
    </w:p>
    <w:p>
      <w:pPr>
        <w:pStyle w:val="765"/>
      </w:pPr>
      <w:r/>
      <w:r/>
    </w:p>
    <w:p>
      <w:pPr>
        <w:ind w:firstLine="420"/>
        <w:jc w:val="center"/>
        <w:spacing w:line="360" w:lineRule="auto"/>
        <w:rPr>
          <w:rFonts w:ascii="黑体" w:hAnsi="华文中宋" w:eastAsia="黑体"/>
          <w:bCs/>
          <w:sz w:val="32"/>
          <w:szCs w:val="30"/>
        </w:rPr>
      </w:pPr>
      <w:r>
        <w:rPr>
          <w:rFonts w:hint="eastAsia" w:ascii="黑体" w:hAnsi="华文中宋" w:eastAsia="黑体"/>
          <w:bCs/>
          <w:sz w:val="32"/>
          <w:szCs w:val="30"/>
        </w:rPr>
        <w:t xml:space="preserve">第六章 投标文件格式</w:t>
      </w:r>
      <w:r/>
    </w:p>
    <w:p>
      <w:pPr>
        <w:pStyle w:val="930"/>
        <w:ind w:firstLine="513"/>
        <w:spacing w:line="360" w:lineRule="auto"/>
        <w:rPr>
          <w:rFonts w:ascii="宋体" w:hAnsi="宋体" w:eastAsia="宋体"/>
          <w:color w:val="000000"/>
        </w:rPr>
      </w:pPr>
      <w:r>
        <w:rPr>
          <w:rFonts w:ascii="宋体" w:hAnsi="宋体" w:eastAsia="宋体"/>
          <w:color w:val="000000"/>
        </w:rPr>
        <w:t xml:space="preserve">说明：对本章所有的投标书格式 ，投标方可根据自身情况进行补充和修改，但补充和修改不得造成与本格式内容有实质性的违背。</w:t>
      </w:r>
      <w:r/>
    </w:p>
    <w:p>
      <w:pPr>
        <w:rPr>
          <w:rFonts w:ascii="黑体" w:eastAsia="黑体"/>
          <w:bCs/>
          <w:sz w:val="32"/>
        </w:rPr>
      </w:pPr>
      <w:r>
        <w:rPr>
          <w:rFonts w:hint="eastAsia" w:ascii="黑体" w:eastAsia="黑体"/>
          <w:bCs/>
          <w:sz w:val="32"/>
        </w:rPr>
        <w:br w:type="page" w:clear="all"/>
      </w:r>
      <w:r/>
    </w:p>
    <w:p>
      <w:pPr>
        <w:pStyle w:val="766"/>
      </w:pPr>
      <w:r/>
      <w:r/>
    </w:p>
    <w:p>
      <w:pPr>
        <w:jc w:val="center"/>
        <w:rPr>
          <w:rFonts w:ascii="黑体" w:eastAsia="黑体"/>
          <w:bCs/>
          <w:sz w:val="32"/>
        </w:rPr>
      </w:pPr>
      <w:r>
        <w:rPr>
          <w:rFonts w:ascii="黑体" w:eastAsia="黑体"/>
          <w:bCs/>
          <w:sz w:val="32"/>
        </w:rPr>
      </w:r>
      <w:r/>
    </w:p>
    <w:p>
      <w:pPr>
        <w:jc w:val="center"/>
        <w:rPr>
          <w:rFonts w:ascii="黑体" w:eastAsia="黑体"/>
          <w:bCs/>
          <w:sz w:val="52"/>
          <w:szCs w:val="52"/>
        </w:rPr>
      </w:pPr>
      <w:r/>
      <w:bookmarkStart w:id="80" w:name="_Toc13296_WPSOffice_Level1"/>
      <w:r/>
      <w:bookmarkEnd w:id="80"/>
      <w:r>
        <w:rPr>
          <w:rFonts w:hint="eastAsia" w:ascii="黑体" w:eastAsia="黑体"/>
          <w:bCs/>
          <w:sz w:val="52"/>
          <w:szCs w:val="52"/>
        </w:rPr>
        <w:t xml:space="preserve">投</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81" w:name="_Toc677_WPSOffice_Level1"/>
      <w:r/>
      <w:bookmarkEnd w:id="81"/>
      <w:r>
        <w:rPr>
          <w:rFonts w:hint="eastAsia" w:ascii="黑体" w:eastAsia="黑体"/>
          <w:bCs/>
          <w:sz w:val="52"/>
          <w:szCs w:val="52"/>
        </w:rPr>
        <w:t xml:space="preserve">标</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82" w:name="_Toc2949_WPSOffice_Level1"/>
      <w:r/>
      <w:bookmarkEnd w:id="82"/>
      <w:r>
        <w:rPr>
          <w:rFonts w:hint="eastAsia" w:ascii="黑体" w:eastAsia="黑体"/>
          <w:bCs/>
          <w:sz w:val="52"/>
          <w:szCs w:val="52"/>
        </w:rPr>
        <w:t xml:space="preserve">文</w:t>
      </w:r>
      <w:r/>
    </w:p>
    <w:p>
      <w:pPr>
        <w:jc w:val="center"/>
        <w:rPr>
          <w:rFonts w:ascii="黑体" w:eastAsia="黑体"/>
          <w:bCs/>
          <w:sz w:val="52"/>
          <w:szCs w:val="52"/>
        </w:rPr>
      </w:pPr>
      <w:r>
        <w:rPr>
          <w:rFonts w:ascii="黑体" w:eastAsia="黑体"/>
          <w:bCs/>
          <w:sz w:val="52"/>
          <w:szCs w:val="52"/>
        </w:rPr>
      </w:r>
      <w:r/>
    </w:p>
    <w:p>
      <w:pPr>
        <w:jc w:val="center"/>
        <w:rPr>
          <w:rFonts w:ascii="黑体" w:eastAsia="黑体"/>
          <w:bCs/>
          <w:sz w:val="52"/>
          <w:szCs w:val="52"/>
        </w:rPr>
      </w:pPr>
      <w:r/>
      <w:bookmarkStart w:id="83" w:name="_Toc31964_WPSOffice_Level1"/>
      <w:r/>
      <w:bookmarkEnd w:id="83"/>
      <w:r>
        <w:rPr>
          <w:rFonts w:hint="eastAsia" w:ascii="黑体" w:eastAsia="黑体"/>
          <w:bCs/>
          <w:sz w:val="52"/>
          <w:szCs w:val="52"/>
        </w:rPr>
        <w:t xml:space="preserve">件</w:t>
      </w:r>
      <w:r/>
    </w:p>
    <w:p>
      <w:pPr>
        <w:jc w:val="center"/>
        <w:rPr>
          <w:rFonts w:ascii="楷体_GB2312" w:eastAsia="楷体_GB2312"/>
          <w:bCs/>
          <w:sz w:val="72"/>
        </w:rPr>
      </w:pPr>
      <w:r>
        <w:rPr>
          <w:rFonts w:ascii="楷体_GB2312" w:eastAsia="楷体_GB2312"/>
          <w:bCs/>
          <w:sz w:val="72"/>
        </w:rPr>
      </w:r>
      <w:r/>
    </w:p>
    <w:p>
      <w:pPr>
        <w:jc w:val="center"/>
        <w:rPr>
          <w:rFonts w:ascii="楷体_GB2312" w:eastAsia="楷体_GB2312"/>
          <w:bCs/>
          <w:sz w:val="28"/>
        </w:rPr>
      </w:pPr>
      <w:r>
        <w:rPr>
          <w:rFonts w:ascii="楷体_GB2312" w:eastAsia="楷体_GB2312"/>
          <w:bCs/>
          <w:sz w:val="28"/>
        </w:rPr>
      </w:r>
      <w:r/>
    </w:p>
    <w:p>
      <w:pPr>
        <w:jc w:val="left"/>
        <w:rPr>
          <w:rFonts w:ascii="黑体" w:eastAsia="黑体"/>
          <w:bCs/>
          <w:sz w:val="28"/>
          <w:szCs w:val="28"/>
        </w:rPr>
      </w:pPr>
      <w:r/>
      <w:bookmarkStart w:id="84" w:name="_Toc1060_WPSOffice_Level1"/>
      <w:r/>
      <w:bookmarkEnd w:id="84"/>
      <w:r>
        <w:rPr>
          <w:rFonts w:hint="eastAsia" w:ascii="黑体" w:eastAsia="黑体"/>
          <w:bCs/>
          <w:sz w:val="28"/>
          <w:szCs w:val="28"/>
        </w:rPr>
        <w:t xml:space="preserve">项目编号：</w:t>
      </w:r>
      <w:r/>
    </w:p>
    <w:p>
      <w:pPr>
        <w:jc w:val="left"/>
        <w:rPr>
          <w:rFonts w:ascii="黑体" w:eastAsia="黑体"/>
          <w:bCs/>
          <w:sz w:val="28"/>
          <w:szCs w:val="28"/>
        </w:rPr>
      </w:pPr>
      <w:r/>
      <w:bookmarkStart w:id="85" w:name="_Toc7891_WPSOffice_Level1"/>
      <w:r/>
      <w:bookmarkEnd w:id="85"/>
      <w:r>
        <w:rPr>
          <w:rFonts w:hint="eastAsia" w:ascii="黑体" w:eastAsia="黑体"/>
          <w:bCs/>
          <w:sz w:val="28"/>
          <w:szCs w:val="28"/>
        </w:rPr>
        <w:t xml:space="preserve">项目名称：</w:t>
      </w:r>
      <w:r/>
    </w:p>
    <w:p>
      <w:pPr>
        <w:jc w:val="left"/>
        <w:rPr>
          <w:rFonts w:ascii="黑体" w:eastAsia="黑体"/>
          <w:bCs/>
          <w:sz w:val="28"/>
          <w:szCs w:val="28"/>
        </w:rPr>
      </w:pPr>
      <w:r/>
      <w:bookmarkStart w:id="86" w:name="_Toc13794_WPSOffice_Level1"/>
      <w:r/>
      <w:bookmarkEnd w:id="86"/>
      <w:r>
        <w:rPr>
          <w:rFonts w:hint="eastAsia" w:ascii="黑体" w:eastAsia="黑体"/>
          <w:bCs/>
          <w:sz w:val="28"/>
          <w:szCs w:val="28"/>
        </w:rPr>
        <w:t xml:space="preserve">投标人：</w:t>
      </w:r>
      <w:r/>
    </w:p>
    <w:p>
      <w:pPr>
        <w:jc w:val="center"/>
        <w:rPr>
          <w:rFonts w:ascii="黑体" w:eastAsia="黑体"/>
          <w:bCs/>
          <w:sz w:val="32"/>
        </w:rPr>
      </w:pPr>
      <w:r>
        <w:rPr>
          <w:rFonts w:ascii="黑体" w:eastAsia="黑体"/>
          <w:bCs/>
          <w:sz w:val="32"/>
        </w:rPr>
      </w:r>
      <w:r/>
    </w:p>
    <w:p>
      <w:pPr>
        <w:jc w:val="center"/>
        <w:rPr>
          <w:rFonts w:ascii="黑体" w:eastAsia="黑体"/>
          <w:bCs/>
          <w:sz w:val="36"/>
          <w:szCs w:val="36"/>
        </w:rPr>
      </w:pPr>
      <w:r/>
      <w:bookmarkStart w:id="87" w:name="_Toc4431_WPSOffice_Level1"/>
      <w:r/>
      <w:bookmarkEnd w:id="87"/>
      <w:r>
        <w:rPr>
          <w:rFonts w:hint="eastAsia" w:ascii="黑体" w:eastAsia="黑体"/>
          <w:bCs/>
          <w:sz w:val="36"/>
          <w:szCs w:val="36"/>
        </w:rPr>
        <w:t xml:space="preserve">20  年  月  日</w:t>
      </w:r>
      <w:r/>
    </w:p>
    <w:p>
      <w:pPr>
        <w:jc w:val="center"/>
        <w:rPr>
          <w:rFonts w:ascii="黑体" w:hAnsi="宋体" w:eastAsia="黑体"/>
          <w:bCs/>
          <w:sz w:val="24"/>
        </w:rPr>
        <w:outlineLvl w:val="0"/>
      </w:pPr>
      <w:r>
        <w:br w:type="page" w:clear="all"/>
      </w:r>
      <w:r/>
    </w:p>
    <w:p>
      <w:pPr>
        <w:pStyle w:val="931"/>
        <w:jc w:val="center"/>
        <w:rPr>
          <w:rFonts w:ascii="宋体" w:hAnsi="宋体" w:eastAsia="宋体"/>
          <w:b/>
          <w:color w:val="000000"/>
          <w:sz w:val="32"/>
          <w:szCs w:val="24"/>
        </w:rPr>
      </w:pPr>
      <w:r>
        <w:rPr>
          <w:rFonts w:ascii="宋体" w:hAnsi="宋体" w:eastAsia="宋体"/>
          <w:b/>
          <w:color w:val="000000"/>
          <w:sz w:val="32"/>
          <w:szCs w:val="24"/>
        </w:rPr>
        <w:t xml:space="preserve">开标一览表</w:t>
      </w:r>
      <w:r/>
    </w:p>
    <w:p>
      <w:pPr>
        <w:pStyle w:val="935"/>
        <w:rPr>
          <w:rFonts w:ascii="Segoe UI" w:hAnsi="Segoe UI" w:eastAsia="Segoe UI"/>
          <w:color w:val="000000"/>
          <w:sz w:val="27"/>
          <w:szCs w:val="27"/>
        </w:rPr>
      </w:pPr>
      <w:r>
        <w:rPr>
          <w:rFonts w:ascii="Segoe UI" w:hAnsi="Segoe UI" w:eastAsia="Segoe UI"/>
          <w:color w:val="000000"/>
          <w:sz w:val="27"/>
          <w:szCs w:val="27"/>
        </w:rPr>
        <w:t xml:space="preserve">项目编号：</w:t>
      </w:r>
      <w:r/>
    </w:p>
    <w:p>
      <w:pPr>
        <w:pStyle w:val="935"/>
        <w:rPr>
          <w:rFonts w:ascii="Segoe UI" w:hAnsi="Segoe UI" w:eastAsia="Segoe UI"/>
          <w:color w:val="000000"/>
          <w:sz w:val="27"/>
          <w:szCs w:val="27"/>
        </w:rPr>
      </w:pPr>
      <w:r>
        <w:rPr>
          <w:rFonts w:ascii="Segoe UI" w:hAnsi="Segoe UI" w:eastAsia="Segoe UI"/>
          <w:color w:val="000000"/>
          <w:sz w:val="27"/>
          <w:szCs w:val="27"/>
        </w:rPr>
        <w:t xml:space="preserve">货币单位：人民币元</w:t>
      </w:r>
      <w:r/>
    </w:p>
    <w:tbl>
      <w:tblPr>
        <w:tblStyle w:val="734"/>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935"/>
            </w:pPr>
            <w:r>
              <w:rPr>
                <w:rFonts w:ascii="Segoe UI" w:hAnsi="Segoe UI" w:eastAsia="Segoe UI"/>
                <w:color w:val="000000"/>
                <w:sz w:val="27"/>
                <w:szCs w:val="27"/>
              </w:rPr>
              <w:t xml:space="preserve">项目名称</w:t>
            </w:r>
            <w:r/>
          </w:p>
        </w:tc>
        <w:tc>
          <w:tcPr>
            <w:tcW w:w="2700" w:type="dxa"/>
            <w:vAlign w:val="center"/>
            <w:textDirection w:val="lrTb"/>
            <w:noWrap w:val="false"/>
          </w:tcPr>
          <w:p>
            <w:pPr>
              <w:pStyle w:val="935"/>
            </w:pPr>
            <w:r>
              <w:rPr>
                <w:rFonts w:ascii="Segoe UI" w:hAnsi="Segoe UI" w:eastAsia="Segoe UI"/>
                <w:color w:val="000000"/>
                <w:sz w:val="27"/>
                <w:szCs w:val="27"/>
              </w:rPr>
              <w:t xml:space="preserve">项目内容</w:t>
            </w:r>
            <w:r/>
          </w:p>
        </w:tc>
        <w:tc>
          <w:tcPr>
            <w:tcW w:w="3927" w:type="dxa"/>
            <w:vAlign w:val="center"/>
            <w:textDirection w:val="lrTb"/>
            <w:noWrap w:val="false"/>
          </w:tcPr>
          <w:p>
            <w:pPr>
              <w:pStyle w:val="935"/>
            </w:pPr>
            <w:r>
              <w:rPr>
                <w:rFonts w:ascii="Segoe UI" w:hAnsi="Segoe UI" w:eastAsia="Segoe UI"/>
                <w:color w:val="000000"/>
                <w:sz w:val="27"/>
                <w:szCs w:val="27"/>
              </w:rPr>
              <w:t xml:space="preserve">总价（小写）</w:t>
            </w:r>
            <w:r/>
          </w:p>
        </w:tc>
      </w:tr>
      <w:tr>
        <w:trPr/>
        <w:tc>
          <w:tcPr>
            <w:tcW w:w="2270" w:type="dxa"/>
            <w:vAlign w:val="center"/>
            <w:textDirection w:val="lrTb"/>
            <w:noWrap w:val="false"/>
          </w:tcPr>
          <w:p>
            <w:pPr>
              <w:pStyle w:val="935"/>
            </w:pPr>
            <w:r>
              <w:rPr>
                <w:rFonts w:ascii="Segoe UI" w:hAnsi="Segoe UI" w:eastAsia="Segoe UI"/>
                <w:color w:val="000000"/>
                <w:sz w:val="27"/>
                <w:szCs w:val="27"/>
                <w:shd w:val="clear" w:color="auto" w:fill="ffffff"/>
              </w:rPr>
              <w:t xml:space="preserve">项目名称</w:t>
            </w:r>
            <w:r/>
          </w:p>
        </w:tc>
        <w:tc>
          <w:tcPr>
            <w:tcW w:w="2700" w:type="dxa"/>
            <w:vAlign w:val="center"/>
            <w:textDirection w:val="lrTb"/>
            <w:noWrap w:val="false"/>
          </w:tcPr>
          <w:p>
            <w:pPr>
              <w:pStyle w:val="935"/>
            </w:pPr>
            <w:r>
              <w:rPr>
                <w:rFonts w:ascii="Segoe UI" w:hAnsi="Segoe UI" w:eastAsia="Segoe UI"/>
                <w:color w:val="000000"/>
                <w:sz w:val="27"/>
                <w:szCs w:val="27"/>
              </w:rPr>
              <w:t xml:space="preserve">详见投标文件</w:t>
            </w:r>
            <w:r/>
          </w:p>
        </w:tc>
        <w:tc>
          <w:tcPr>
            <w:tcW w:w="3927" w:type="dxa"/>
            <w:vAlign w:val="center"/>
            <w:textDirection w:val="lrTb"/>
            <w:noWrap w:val="false"/>
          </w:tcPr>
          <w:p>
            <w:pPr>
              <w:pStyle w:val="935"/>
              <w:ind w:firstLine="2160"/>
            </w:pPr>
            <w:r>
              <w:rPr>
                <w:rFonts w:ascii="Segoe UI" w:hAnsi="Segoe UI" w:eastAsia="Segoe UI"/>
                <w:color w:val="000000"/>
                <w:sz w:val="27"/>
                <w:szCs w:val="27"/>
              </w:rPr>
              <w:t xml:space="preserve">元</w:t>
            </w:r>
            <w:r/>
          </w:p>
        </w:tc>
      </w:tr>
      <w:tr>
        <w:trPr/>
        <w:tc>
          <w:tcPr>
            <w:tcW w:w="2270" w:type="dxa"/>
            <w:vAlign w:val="center"/>
            <w:textDirection w:val="lrTb"/>
            <w:noWrap w:val="false"/>
          </w:tcPr>
          <w:p>
            <w:pPr>
              <w:pStyle w:val="935"/>
              <w:rPr>
                <w:rFonts w:eastAsia="宋体"/>
              </w:rPr>
            </w:pPr>
            <w:r>
              <w:rPr>
                <w:rFonts w:ascii="Segoe UI" w:hAnsi="Segoe UI" w:eastAsia="Segoe UI"/>
                <w:color w:val="000000"/>
                <w:sz w:val="27"/>
                <w:szCs w:val="27"/>
              </w:rPr>
              <w:t xml:space="preserve">总价（大写）</w:t>
            </w:r>
            <w:r/>
          </w:p>
        </w:tc>
        <w:tc>
          <w:tcPr>
            <w:gridSpan w:val="2"/>
            <w:tcW w:w="6627" w:type="dxa"/>
            <w:vAlign w:val="center"/>
            <w:textDirection w:val="lrTb"/>
            <w:noWrap w:val="false"/>
          </w:tcPr>
          <w:p>
            <w:pPr>
              <w:pStyle w:val="935"/>
              <w:rPr>
                <w:rFonts w:eastAsia="宋体"/>
              </w:rPr>
            </w:pPr>
            <w:r>
              <w:rPr>
                <w:rFonts w:ascii="Segoe UI" w:hAnsi="Segoe UI" w:eastAsia="Segoe UI"/>
                <w:color w:val="000000"/>
                <w:sz w:val="27"/>
                <w:szCs w:val="27"/>
              </w:rPr>
              <w:t xml:space="preserve">金额大写</w:t>
            </w:r>
            <w:r/>
          </w:p>
        </w:tc>
      </w:tr>
    </w:tbl>
    <w:p>
      <w:pPr>
        <w:pStyle w:val="935"/>
        <w:rPr>
          <w:rFonts w:ascii="Segoe UI" w:hAnsi="Segoe UI" w:eastAsia="Segoe UI"/>
          <w:color w:val="000000"/>
          <w:sz w:val="27"/>
          <w:szCs w:val="27"/>
        </w:rPr>
      </w:pPr>
      <w:r>
        <w:rPr>
          <w:rFonts w:ascii="Segoe UI" w:hAnsi="Segoe UI" w:eastAsia="Segoe UI"/>
          <w:color w:val="000000"/>
          <w:sz w:val="27"/>
          <w:szCs w:val="27"/>
        </w:rPr>
      </w:r>
      <w:r/>
    </w:p>
    <w:p>
      <w:pPr>
        <w:pStyle w:val="935"/>
        <w:rPr>
          <w:rFonts w:ascii="Segoe UI" w:hAnsi="Segoe UI" w:eastAsia="Segoe UI"/>
          <w:color w:val="000000"/>
          <w:sz w:val="27"/>
          <w:szCs w:val="27"/>
        </w:rPr>
      </w:pPr>
      <w:r>
        <w:rPr>
          <w:rFonts w:ascii="Segoe UI" w:hAnsi="Segoe UI" w:eastAsia="Segoe UI"/>
          <w:color w:val="000000"/>
          <w:sz w:val="27"/>
          <w:szCs w:val="27"/>
        </w:rPr>
      </w:r>
      <w:r/>
    </w:p>
    <w:p>
      <w:pPr>
        <w:pStyle w:val="935"/>
        <w:rPr>
          <w:rFonts w:ascii="Segoe UI" w:hAnsi="Segoe UI" w:eastAsia="Segoe UI"/>
          <w:color w:val="000000"/>
          <w:sz w:val="27"/>
          <w:szCs w:val="27"/>
        </w:rPr>
      </w:pPr>
      <w:r>
        <w:rPr>
          <w:rFonts w:ascii="Segoe UI" w:hAnsi="Segoe UI" w:eastAsia="Segoe UI"/>
          <w:color w:val="000000"/>
          <w:sz w:val="27"/>
          <w:szCs w:val="27"/>
        </w:rPr>
      </w:r>
      <w:r/>
    </w:p>
    <w:p>
      <w:pPr>
        <w:pStyle w:val="935"/>
        <w:rPr>
          <w:rFonts w:ascii="Segoe UI" w:hAnsi="Segoe UI" w:eastAsia="Segoe UI"/>
          <w:color w:val="000000"/>
          <w:sz w:val="27"/>
          <w:szCs w:val="27"/>
        </w:rPr>
      </w:pPr>
      <w:r>
        <w:rPr>
          <w:rFonts w:ascii="Segoe UI" w:hAnsi="Segoe UI" w:eastAsia="Segoe UI"/>
          <w:color w:val="000000"/>
          <w:sz w:val="27"/>
          <w:szCs w:val="27"/>
        </w:rPr>
        <w:t xml:space="preserve">投标人公章：（电子签章）</w:t>
      </w:r>
      <w:r/>
    </w:p>
    <w:p>
      <w:pPr>
        <w:rPr>
          <w:rFonts w:ascii="黑体" w:hAnsi="宋体" w:eastAsia="黑体"/>
          <w:bCs/>
          <w:sz w:val="24"/>
        </w:rPr>
      </w:pPr>
      <w:r>
        <w:rPr>
          <w:rFonts w:hint="eastAsia" w:ascii="黑体" w:hAnsi="宋体" w:eastAsia="黑体"/>
          <w:bCs/>
          <w:sz w:val="24"/>
        </w:rPr>
        <w:br w:type="page" w:clear="all"/>
      </w:r>
      <w:r/>
    </w:p>
    <w:p>
      <w:pPr>
        <w:pStyle w:val="931"/>
        <w:jc w:val="center"/>
        <w:rPr>
          <w:rFonts w:ascii="宋体" w:hAnsi="宋体" w:eastAsia="宋体"/>
          <w:b/>
          <w:color w:val="000000"/>
          <w:sz w:val="24"/>
          <w:szCs w:val="24"/>
        </w:rPr>
      </w:pPr>
      <w:r>
        <w:rPr>
          <w:rFonts w:ascii="宋体" w:hAnsi="宋体" w:eastAsia="宋体"/>
          <w:b/>
          <w:color w:val="000000"/>
          <w:sz w:val="32"/>
          <w:szCs w:val="24"/>
        </w:rPr>
        <w:t xml:space="preserve">投 标 函</w:t>
      </w:r>
      <w:r/>
    </w:p>
    <w:p>
      <w:pPr>
        <w:pStyle w:val="931"/>
        <w:ind w:left="480"/>
        <w:rPr>
          <w:rFonts w:ascii="宋体" w:hAnsi="宋体" w:eastAsia="宋体"/>
          <w:color w:val="000000"/>
          <w:sz w:val="24"/>
          <w:szCs w:val="24"/>
        </w:rPr>
      </w:pPr>
      <w:r>
        <w:rPr>
          <w:rFonts w:ascii="宋体" w:hAnsi="宋体" w:eastAsia="宋体"/>
          <w:color w:val="000000"/>
          <w:sz w:val="24"/>
          <w:szCs w:val="24"/>
        </w:rPr>
      </w:r>
      <w:r/>
    </w:p>
    <w:p>
      <w:pPr>
        <w:pStyle w:val="936"/>
        <w:ind w:left="0"/>
        <w:spacing w:after="0" w:line="400" w:lineRule="exact"/>
        <w:rPr>
          <w:rFonts w:ascii="宋体" w:hAnsi="宋体" w:eastAsia="宋体"/>
          <w:bCs/>
          <w:iCs/>
          <w:color w:val="000000"/>
          <w:sz w:val="24"/>
          <w:szCs w:val="24"/>
        </w:rPr>
      </w:pPr>
      <w:r>
        <w:rPr>
          <w:rFonts w:hint="eastAsia" w:ascii="宋体" w:hAnsi="宋体" w:eastAsia="宋体"/>
          <w:bCs/>
          <w:iCs/>
          <w:color w:val="000000"/>
          <w:sz w:val="24"/>
          <w:szCs w:val="24"/>
          <w:u w:val="single"/>
        </w:rPr>
        <w:t xml:space="preserve">       （采购人）</w:t>
      </w:r>
      <w:r>
        <w:rPr>
          <w:rFonts w:ascii="宋体" w:hAnsi="宋体" w:eastAsia="宋体"/>
          <w:bCs/>
          <w:iCs/>
          <w:color w:val="000000"/>
          <w:sz w:val="24"/>
          <w:szCs w:val="24"/>
        </w:rPr>
        <w:t xml:space="preserve">：</w:t>
      </w:r>
      <w:r/>
    </w:p>
    <w:p>
      <w:pPr>
        <w:pStyle w:val="936"/>
        <w:ind w:left="0" w:firstLine="600"/>
        <w:spacing w:after="0" w:line="360" w:lineRule="auto"/>
        <w:rPr>
          <w:rFonts w:ascii="宋体" w:hAnsi="宋体" w:eastAsia="宋体"/>
          <w:bCs/>
          <w:color w:val="000000"/>
          <w:sz w:val="24"/>
          <w:szCs w:val="24"/>
        </w:rPr>
      </w:pPr>
      <w:r>
        <w:rPr>
          <w:rFonts w:ascii="宋体" w:hAnsi="宋体" w:eastAsia="宋体"/>
          <w:bCs/>
          <w:iCs/>
          <w:color w:val="000000"/>
          <w:sz w:val="24"/>
          <w:szCs w:val="24"/>
        </w:rPr>
        <w:t xml:space="preserve">我方全面研究了 </w:t>
      </w:r>
      <w:r>
        <w:rPr>
          <w:rFonts w:hint="eastAsia" w:ascii="宋体" w:hAnsi="宋体" w:eastAsia="宋体"/>
          <w:b/>
          <w:bCs/>
          <w:iCs/>
          <w:color w:val="000000"/>
          <w:sz w:val="24"/>
          <w:szCs w:val="24"/>
          <w:u w:val="single"/>
        </w:rPr>
        <w:t xml:space="preserve">              （项目编号）</w:t>
      </w:r>
      <w:r>
        <w:rPr>
          <w:rFonts w:ascii="宋体" w:hAnsi="宋体" w:eastAsia="宋体"/>
          <w:bCs/>
          <w:color w:val="000000"/>
          <w:sz w:val="24"/>
          <w:szCs w:val="24"/>
        </w:rPr>
        <w:t xml:space="preserve">项目招标文件，决定参加贵单位组织的本项目投标。</w:t>
      </w:r>
      <w:r/>
    </w:p>
    <w:p>
      <w:pPr>
        <w:pStyle w:val="936"/>
        <w:ind w:left="0" w:firstLine="600"/>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1、我方自愿按照招标文件规定的各项要求向采购人提供所需服务。</w:t>
      </w:r>
      <w:r/>
    </w:p>
    <w:p>
      <w:pPr>
        <w:pStyle w:val="936"/>
        <w:ind w:left="0" w:firstLine="600"/>
        <w:spacing w:after="0" w:line="360" w:lineRule="auto"/>
        <w:rPr>
          <w:rFonts w:hAnsi="宋体" w:eastAsia="宋体"/>
          <w:color w:val="000000"/>
          <w:sz w:val="24"/>
          <w:szCs w:val="24"/>
        </w:rPr>
      </w:pPr>
      <w:r>
        <w:rPr>
          <w:rFonts w:ascii="宋体" w:hAnsi="宋体" w:eastAsia="宋体"/>
          <w:bCs/>
          <w:color w:val="000000"/>
          <w:sz w:val="24"/>
          <w:szCs w:val="24"/>
        </w:rPr>
        <w:t xml:space="preserve">2、一旦我方中标，</w:t>
      </w:r>
      <w:r>
        <w:rPr>
          <w:rFonts w:hAnsi="宋体" w:eastAsia="宋体"/>
          <w:color w:val="000000"/>
          <w:sz w:val="24"/>
          <w:szCs w:val="24"/>
        </w:rPr>
        <w:t xml:space="preserve">我们将严格履行招标文件中规定的每一项要求，按期、按质、按量履行合同的义务。</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3．我们已详细审查全部招标文件，包括更正文件(如有)，对招标文件及更正公告(如有)无任何异议。我们完全理解并同意放弃对这方面有不明及误解的权力。</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4、我们同意按招标文件中的规定，本投标书的有效期限为自投标截止之日起</w:t>
      </w:r>
      <w:r>
        <w:rPr>
          <w:rFonts w:hAnsi="宋体" w:eastAsia="宋体"/>
          <w:color w:val="000000"/>
          <w:sz w:val="24"/>
          <w:szCs w:val="24"/>
          <w:u w:val="single"/>
        </w:rPr>
        <w:t xml:space="preserve">60 </w:t>
      </w:r>
      <w:r>
        <w:rPr>
          <w:rFonts w:hAnsi="宋体" w:eastAsia="宋体"/>
          <w:color w:val="000000"/>
          <w:sz w:val="24"/>
          <w:szCs w:val="24"/>
        </w:rPr>
        <w:t xml:space="preserve">天。</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5、我们愿意提供招标采购单位在招标文件中要求的所有资料。</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6、我们愿意遵守招标公告及招标文件中所列的收费标准。</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7、我们愿意按招标文件的规定交纳投标保证金，并同意遵守招标文件中投标保证金的有关规定。</w:t>
      </w:r>
      <w:r/>
    </w:p>
    <w:p>
      <w:pPr>
        <w:pStyle w:val="937"/>
        <w:ind w:firstLine="600"/>
        <w:spacing w:line="360" w:lineRule="auto"/>
        <w:rPr>
          <w:rFonts w:hAnsi="宋体" w:eastAsia="宋体"/>
          <w:color w:val="000000"/>
          <w:sz w:val="24"/>
          <w:szCs w:val="24"/>
        </w:rPr>
      </w:pPr>
      <w:r>
        <w:rPr>
          <w:rFonts w:hAnsi="宋体" w:eastAsia="宋体"/>
          <w:color w:val="000000"/>
          <w:sz w:val="24"/>
          <w:szCs w:val="24"/>
        </w:rPr>
        <w:t xml:space="preserve">8、我们承诺该项投标在开标后的全过程中保持有效，不作任何更改和变动。</w:t>
      </w:r>
      <w:r/>
    </w:p>
    <w:p>
      <w:pPr>
        <w:pStyle w:val="936"/>
        <w:ind w:left="0" w:firstLine="600"/>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9、我方愿意提供贵单位可能另外要求的，与投标有关的文件资料，并保证我方已提供和将要提供的文件资料是真实、准确的。</w:t>
      </w:r>
      <w:r/>
    </w:p>
    <w:p>
      <w:pPr>
        <w:pStyle w:val="936"/>
        <w:ind w:left="0" w:firstLine="600"/>
        <w:spacing w:after="0" w:line="360" w:lineRule="auto"/>
        <w:rPr>
          <w:rFonts w:ascii="宋体" w:hAnsi="宋体" w:eastAsia="宋体"/>
          <w:bCs/>
          <w:color w:val="000000"/>
          <w:sz w:val="24"/>
          <w:szCs w:val="24"/>
        </w:rPr>
      </w:pPr>
      <w:r>
        <w:rPr>
          <w:rFonts w:ascii="宋体" w:hAnsi="宋体" w:eastAsia="宋体"/>
          <w:bCs/>
          <w:color w:val="000000"/>
          <w:sz w:val="24"/>
          <w:szCs w:val="24"/>
        </w:rPr>
      </w:r>
      <w:r/>
    </w:p>
    <w:p>
      <w:pPr>
        <w:pStyle w:val="936"/>
        <w:ind w:left="0" w:firstLine="600"/>
        <w:jc w:val="right"/>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投标人名称：</w:t>
      </w:r>
      <w:r>
        <w:rPr>
          <w:rFonts w:hint="eastAsia" w:ascii="仿宋" w:hAnsi="仿宋" w:eastAsia="仿宋" w:cs="仿宋"/>
          <w:bCs/>
          <w:sz w:val="24"/>
          <w:szCs w:val="24"/>
        </w:rPr>
        <w:t xml:space="preserve">（</w:t>
      </w:r>
      <w:r>
        <w:rPr>
          <w:rFonts w:hint="eastAsia" w:ascii="仿宋" w:hAnsi="仿宋" w:eastAsia="仿宋" w:cs="仿宋"/>
          <w:sz w:val="24"/>
          <w:szCs w:val="24"/>
        </w:rPr>
        <w:t xml:space="preserve">加盖CA电子公章）</w:t>
      </w:r>
      <w:r/>
    </w:p>
    <w:p>
      <w:pPr>
        <w:pStyle w:val="936"/>
        <w:ind w:left="0" w:firstLine="600"/>
        <w:jc w:val="right"/>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法定代表人或</w:t>
      </w:r>
      <w:r>
        <w:rPr>
          <w:rFonts w:ascii="宋体" w:hAnsi="宋体" w:eastAsia="宋体"/>
          <w:color w:val="000000"/>
          <w:sz w:val="24"/>
          <w:szCs w:val="24"/>
        </w:rPr>
        <w:t xml:space="preserve">委托</w:t>
      </w:r>
      <w:r>
        <w:rPr>
          <w:rFonts w:ascii="宋体" w:hAnsi="宋体" w:eastAsia="宋体"/>
          <w:bCs/>
          <w:color w:val="000000"/>
          <w:sz w:val="24"/>
          <w:szCs w:val="24"/>
        </w:rPr>
        <w:t xml:space="preserve">代理人（签字或盖章）：</w:t>
      </w:r>
      <w:r/>
    </w:p>
    <w:p>
      <w:pPr>
        <w:pStyle w:val="936"/>
        <w:ind w:left="0" w:firstLine="600"/>
        <w:jc w:val="center"/>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地址：</w:t>
      </w:r>
      <w:r/>
    </w:p>
    <w:p>
      <w:pPr>
        <w:pStyle w:val="936"/>
        <w:ind w:left="0" w:firstLine="600"/>
        <w:jc w:val="center"/>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邮政编码：</w:t>
      </w:r>
      <w:r/>
    </w:p>
    <w:p>
      <w:pPr>
        <w:pStyle w:val="936"/>
        <w:ind w:left="0" w:firstLine="600"/>
        <w:jc w:val="center"/>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联系电话：</w:t>
      </w:r>
      <w:r/>
    </w:p>
    <w:p>
      <w:pPr>
        <w:pStyle w:val="936"/>
        <w:ind w:left="0" w:firstLine="600"/>
        <w:jc w:val="center"/>
        <w:spacing w:after="0" w:line="360" w:lineRule="auto"/>
        <w:rPr>
          <w:rFonts w:ascii="宋体" w:hAnsi="宋体" w:eastAsia="宋体"/>
          <w:bCs/>
          <w:color w:val="000000"/>
          <w:sz w:val="24"/>
          <w:szCs w:val="24"/>
        </w:rPr>
      </w:pPr>
      <w:r>
        <w:rPr>
          <w:rFonts w:ascii="宋体" w:hAnsi="宋体" w:eastAsia="宋体"/>
          <w:bCs/>
          <w:color w:val="000000"/>
          <w:sz w:val="24"/>
          <w:szCs w:val="24"/>
        </w:rPr>
        <w:t xml:space="preserve">日    期：</w:t>
      </w:r>
      <w:r/>
    </w:p>
    <w:p>
      <w:pPr>
        <w:rPr>
          <w:rFonts w:ascii="黑体" w:hAnsi="宋体" w:eastAsia="黑体"/>
          <w:bCs/>
          <w:sz w:val="24"/>
        </w:rPr>
      </w:pPr>
      <w:r>
        <w:rPr>
          <w:rFonts w:hint="eastAsia" w:ascii="黑体" w:hAnsi="宋体" w:eastAsia="黑体"/>
          <w:bCs/>
          <w:sz w:val="24"/>
        </w:rPr>
        <w:br w:type="page" w:clear="all"/>
      </w:r>
      <w:r/>
    </w:p>
    <w:p>
      <w:pPr>
        <w:pStyle w:val="931"/>
        <w:jc w:val="center"/>
        <w:rPr>
          <w:rFonts w:ascii="宋体" w:hAnsi="宋体" w:eastAsia="宋体"/>
          <w:b/>
          <w:color w:val="000000"/>
          <w:sz w:val="32"/>
          <w:szCs w:val="24"/>
        </w:rPr>
      </w:pPr>
      <w:r/>
      <w:bookmarkStart w:id="88" w:name="报价方关于资格的声明函（格式）"/>
      <w:r/>
      <w:bookmarkEnd w:id="88"/>
      <w:r>
        <w:rPr>
          <w:rFonts w:hint="eastAsia" w:ascii="宋体" w:hAnsi="宋体" w:eastAsia="宋体"/>
          <w:b/>
          <w:color w:val="000000"/>
          <w:sz w:val="32"/>
          <w:szCs w:val="24"/>
        </w:rPr>
        <w:t xml:space="preserve">关于资格的声明函</w:t>
      </w:r>
      <w:r/>
    </w:p>
    <w:p>
      <w:pPr>
        <w:pStyle w:val="936"/>
        <w:ind w:left="0"/>
        <w:spacing w:after="0" w:line="360" w:lineRule="auto"/>
        <w:rPr>
          <w:rFonts w:ascii="宋体" w:hAnsi="宋体" w:eastAsia="宋体" w:cs="宋体"/>
          <w:bCs/>
          <w:iCs/>
          <w:color w:val="000000"/>
          <w:sz w:val="24"/>
          <w:szCs w:val="24"/>
        </w:rPr>
      </w:pPr>
      <w:r>
        <w:rPr>
          <w:rFonts w:hint="eastAsia" w:ascii="宋体" w:hAnsi="宋体" w:eastAsia="宋体" w:cs="宋体"/>
          <w:bCs/>
          <w:iCs/>
          <w:color w:val="000000"/>
          <w:sz w:val="24"/>
          <w:szCs w:val="24"/>
          <w:u w:val="single"/>
        </w:rPr>
        <w:t xml:space="preserve">       （采购人）</w:t>
      </w:r>
      <w:r>
        <w:rPr>
          <w:rFonts w:hint="eastAsia" w:ascii="宋体" w:hAnsi="宋体" w:eastAsia="宋体" w:cs="宋体"/>
          <w:bCs/>
          <w:iCs/>
          <w:color w:val="000000"/>
          <w:sz w:val="24"/>
          <w:szCs w:val="24"/>
        </w:rPr>
        <w:t xml:space="preserve">：</w:t>
      </w:r>
      <w:r/>
    </w:p>
    <w:p>
      <w:pPr>
        <w:ind w:firstLine="720"/>
        <w:spacing w:line="360" w:lineRule="auto"/>
        <w:rPr>
          <w:rFonts w:ascii="宋体" w:hAnsi="宋体" w:cs="宋体"/>
          <w:bCs/>
          <w:sz w:val="24"/>
        </w:rPr>
      </w:pPr>
      <w:r>
        <w:rPr>
          <w:rFonts w:hint="eastAsia" w:ascii="宋体" w:hAnsi="宋体" w:cs="宋体"/>
          <w:bCs/>
          <w:sz w:val="24"/>
        </w:rPr>
        <w:t xml:space="preserve">我公司（单位）参加本次项目（</w:t>
      </w:r>
      <w:r>
        <w:rPr>
          <w:rFonts w:hint="eastAsia" w:ascii="宋体" w:hAnsi="宋体" w:cs="宋体"/>
          <w:bCs/>
          <w:sz w:val="24"/>
          <w:u w:val="single"/>
        </w:rPr>
        <w:t xml:space="preserve"> 项目名称：       项目编号：            </w:t>
      </w:r>
      <w:r>
        <w:rPr>
          <w:rFonts w:hint="eastAsia" w:ascii="宋体" w:hAnsi="宋体" w:cs="宋体"/>
          <w:bCs/>
          <w:sz w:val="24"/>
        </w:rPr>
        <w:t xml:space="preserve">）政府采购活动前三年内，在经营活动中没有重大违法记录，    我公司（单位）愿针对本次（</w:t>
      </w:r>
      <w:r>
        <w:rPr>
          <w:rFonts w:hint="eastAsia" w:ascii="宋体" w:hAnsi="宋体" w:cs="宋体"/>
          <w:bCs/>
          <w:sz w:val="24"/>
          <w:u w:val="single"/>
        </w:rPr>
        <w:t xml:space="preserve"> 项目名称：         项目编号：            </w:t>
      </w:r>
      <w:r>
        <w:rPr>
          <w:rFonts w:hint="eastAsia" w:ascii="宋体" w:hAnsi="宋体" w:cs="宋体"/>
          <w:bCs/>
          <w:sz w:val="24"/>
        </w:rPr>
        <w:t xml:space="preserve">）进行投标，投标文件中所有关于投标资格的文件、证明、陈述均是真实的、准确的。若有违背，我公司（单位）愿意承担由此而产生的一切后果。</w:t>
      </w:r>
      <w:r/>
    </w:p>
    <w:p>
      <w:pPr>
        <w:jc w:val="left"/>
        <w:spacing w:line="360" w:lineRule="auto"/>
        <w:rPr>
          <w:rFonts w:ascii="宋体" w:hAnsi="宋体" w:cs="宋体"/>
          <w:bCs/>
          <w:sz w:val="24"/>
        </w:rPr>
      </w:pPr>
      <w:r>
        <w:rPr>
          <w:rFonts w:ascii="宋体" w:hAnsi="宋体" w:cs="宋体"/>
          <w:bCs/>
          <w:sz w:val="24"/>
        </w:rPr>
      </w:r>
      <w:r/>
    </w:p>
    <w:p>
      <w:pPr>
        <w:jc w:val="right"/>
        <w:spacing w:line="360" w:lineRule="auto"/>
        <w:rPr>
          <w:rFonts w:ascii="宋体" w:hAnsi="宋体" w:cs="宋体"/>
          <w:bCs/>
          <w:sz w:val="24"/>
        </w:rPr>
      </w:pPr>
      <w:r>
        <w:rPr>
          <w:rFonts w:hint="eastAsia" w:ascii="宋体" w:hAnsi="宋体" w:cs="宋体"/>
          <w:bCs/>
          <w:sz w:val="24"/>
        </w:rPr>
        <w:t xml:space="preserve">投标人名称（</w:t>
      </w:r>
      <w:r>
        <w:rPr>
          <w:rFonts w:hint="eastAsia" w:ascii="宋体" w:hAnsi="宋体" w:cs="宋体"/>
          <w:sz w:val="24"/>
        </w:rPr>
        <w:t xml:space="preserve">加盖CA电子公章</w:t>
      </w:r>
      <w:r>
        <w:rPr>
          <w:rFonts w:hint="eastAsia" w:ascii="宋体" w:hAnsi="宋体" w:cs="宋体"/>
          <w:bCs/>
          <w:sz w:val="24"/>
        </w:rPr>
        <w:t xml:space="preserve">）：</w:t>
      </w:r>
      <w:r/>
    </w:p>
    <w:p>
      <w:pPr>
        <w:jc w:val="right"/>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jc w:val="right"/>
        <w:spacing w:line="360" w:lineRule="auto"/>
        <w:rPr>
          <w:rFonts w:ascii="宋体" w:hAnsi="宋体" w:cs="宋体"/>
          <w:bCs/>
          <w:sz w:val="24"/>
        </w:rPr>
      </w:pPr>
      <w:r>
        <w:rPr>
          <w:rFonts w:hint="eastAsia" w:ascii="宋体" w:hAnsi="宋体" w:cs="宋体"/>
          <w:bCs/>
          <w:sz w:val="24"/>
        </w:rPr>
        <w:t xml:space="preserve">                          日期：</w:t>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rPr>
          <w:rFonts w:ascii="黑体" w:hAnsi="宋体" w:eastAsia="黑体"/>
          <w:bCs/>
          <w:sz w:val="24"/>
        </w:rPr>
      </w:pPr>
      <w:r>
        <w:rPr>
          <w:rFonts w:hint="eastAsia" w:ascii="黑体" w:hAnsi="宋体" w:eastAsia="黑体"/>
          <w:bCs/>
          <w:sz w:val="24"/>
        </w:rPr>
        <w:br w:type="page" w:clear="all"/>
      </w:r>
      <w:r/>
    </w:p>
    <w:p>
      <w:pPr>
        <w:pStyle w:val="931"/>
        <w:jc w:val="center"/>
        <w:rPr>
          <w:rFonts w:ascii="宋体" w:hAnsi="宋体" w:eastAsia="宋体"/>
          <w:b/>
          <w:color w:val="000000"/>
          <w:sz w:val="32"/>
          <w:szCs w:val="24"/>
        </w:rPr>
      </w:pPr>
      <w:r>
        <w:rPr>
          <w:rFonts w:hint="eastAsia" w:ascii="宋体" w:hAnsi="宋体" w:eastAsia="宋体"/>
          <w:b/>
          <w:color w:val="000000"/>
          <w:sz w:val="32"/>
          <w:szCs w:val="24"/>
          <w:lang w:eastAsia="zh-CN"/>
        </w:rPr>
        <w:t xml:space="preserve">法定代表人</w:t>
      </w:r>
      <w:r>
        <w:rPr>
          <w:rFonts w:hint="eastAsia" w:ascii="宋体" w:hAnsi="宋体" w:eastAsia="宋体"/>
          <w:b/>
          <w:color w:val="000000"/>
          <w:sz w:val="32"/>
          <w:szCs w:val="24"/>
        </w:rPr>
        <w:t xml:space="preserve">授权委托书</w:t>
      </w:r>
      <w:r/>
    </w:p>
    <w:p>
      <w:pPr>
        <w:jc w:val="left"/>
        <w:spacing w:line="360" w:lineRule="auto"/>
        <w:rPr>
          <w:rFonts w:ascii="楷体_GB2312" w:eastAsia="楷体_GB2312"/>
          <w:bCs/>
          <w:sz w:val="36"/>
        </w:rPr>
      </w:pPr>
      <w:r>
        <w:rPr>
          <w:rFonts w:ascii="楷体_GB2312" w:eastAsia="楷体_GB2312"/>
          <w:bCs/>
          <w:sz w:val="36"/>
        </w:rPr>
      </w:r>
      <w:r/>
    </w:p>
    <w:p>
      <w:pPr>
        <w:pStyle w:val="936"/>
        <w:ind w:left="0"/>
        <w:spacing w:after="0" w:line="360" w:lineRule="auto"/>
        <w:rPr>
          <w:rFonts w:ascii="宋体" w:hAnsi="宋体" w:eastAsia="宋体" w:cs="宋体"/>
          <w:bCs/>
          <w:iCs/>
          <w:color w:val="000000"/>
          <w:sz w:val="24"/>
          <w:szCs w:val="24"/>
        </w:rPr>
      </w:pPr>
      <w:r>
        <w:rPr>
          <w:rFonts w:hint="eastAsia" w:ascii="宋体" w:hAnsi="宋体" w:eastAsia="宋体" w:cs="宋体"/>
          <w:bCs/>
          <w:iCs/>
          <w:color w:val="000000"/>
          <w:sz w:val="24"/>
          <w:szCs w:val="24"/>
          <w:u w:val="single"/>
        </w:rPr>
        <w:t xml:space="preserve">       （采购人）</w:t>
      </w:r>
      <w:r>
        <w:rPr>
          <w:rFonts w:hint="eastAsia" w:ascii="宋体" w:hAnsi="宋体" w:eastAsia="宋体" w:cs="宋体"/>
          <w:bCs/>
          <w:iCs/>
          <w:color w:val="000000"/>
          <w:sz w:val="24"/>
          <w:szCs w:val="24"/>
        </w:rPr>
        <w:t xml:space="preserve">：</w:t>
      </w:r>
      <w:r/>
    </w:p>
    <w:p>
      <w:pPr>
        <w:ind w:firstLine="720"/>
        <w:jc w:val="left"/>
        <w:spacing w:line="360" w:lineRule="auto"/>
        <w:rPr>
          <w:rFonts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系中华人民共和国合法公司（单位），特授权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 代表我公司（单位）全权办理针对本项目（</w:t>
      </w:r>
      <w:r>
        <w:rPr>
          <w:rFonts w:hint="eastAsia" w:ascii="宋体" w:hAnsi="宋体" w:cs="宋体"/>
          <w:bCs/>
          <w:sz w:val="24"/>
          <w:szCs w:val="24"/>
          <w:u w:val="single"/>
        </w:rPr>
        <w:t xml:space="preserve"> 项目名称：                    项目编号：           </w:t>
      </w:r>
      <w:r>
        <w:rPr>
          <w:rFonts w:hint="eastAsia" w:ascii="宋体" w:hAnsi="宋体" w:cs="宋体"/>
          <w:bCs/>
          <w:sz w:val="24"/>
          <w:szCs w:val="24"/>
        </w:rPr>
        <w:t xml:space="preserve">）的投标、参与开标、评标、签约等具体工作，并签署全部有关的文件、协议及合同。</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我公司（单位）对被授权代表的签名负全部责任。</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在撤销授权的书面通知送达你处以前，本授权书一直有效，被授权代表签署的所有文件（在授权书有效期内签署的）不因授权的撤销而失效。</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被授权代表情况：</w:t>
      </w:r>
      <w:r/>
    </w:p>
    <w:p>
      <w:pPr>
        <w:ind w:firstLine="525"/>
        <w:jc w:val="left"/>
        <w:spacing w:line="360" w:lineRule="auto"/>
        <w:rPr>
          <w:rFonts w:ascii="宋体" w:hAnsi="宋体" w:cs="宋体"/>
          <w:bCs/>
          <w:sz w:val="24"/>
          <w:szCs w:val="24"/>
        </w:rPr>
      </w:pPr>
      <w:r>
        <w:rPr>
          <w:rFonts w:hint="eastAsia" w:ascii="宋体" w:hAnsi="宋体" w:cs="宋体"/>
          <w:bCs/>
          <w:sz w:val="24"/>
          <w:szCs w:val="24"/>
        </w:rPr>
        <w:t xml:space="preserve">姓名：         性别：              电话：</w:t>
      </w:r>
      <w:r/>
    </w:p>
    <w:p>
      <w:pPr>
        <w:ind w:firstLine="3240"/>
        <w:jc w:val="center"/>
        <w:spacing w:line="360" w:lineRule="auto"/>
        <w:rPr>
          <w:rFonts w:ascii="宋体" w:hAnsi="宋体" w:cs="宋体"/>
          <w:bCs/>
          <w:sz w:val="24"/>
          <w:szCs w:val="24"/>
        </w:rPr>
      </w:pPr>
      <w:r>
        <w:rPr>
          <w:rFonts w:ascii="宋体" w:hAnsi="宋体" w:cs="宋体"/>
          <w:bCs/>
          <w:sz w:val="24"/>
          <w:szCs w:val="24"/>
        </w:rPr>
      </w:r>
      <w:r/>
    </w:p>
    <w:p>
      <w:pPr>
        <w:pStyle w:val="738"/>
        <w:ind w:firstLine="0"/>
        <w:jc w:val="center"/>
        <w:spacing w:line="360" w:lineRule="auto"/>
        <w:rPr>
          <w:rFonts w:ascii="宋体" w:hAnsi="宋体" w:cs="宋体"/>
          <w:color w:val="000000"/>
          <w:sz w:val="24"/>
          <w:szCs w:val="24"/>
        </w:rPr>
      </w:pPr>
      <w:r>
        <w:rPr>
          <w:rFonts w:ascii="宋体" w:hAnsi="宋体" w:cs="宋体"/>
          <w:color w:val="000000"/>
          <w:sz w:val="24"/>
          <w:szCs w:val="24"/>
        </w:rPr>
      </w:r>
      <w:r/>
    </w:p>
    <w:p>
      <w:pPr>
        <w:ind w:firstLine="3240"/>
        <w:jc w:val="center"/>
        <w:spacing w:line="360" w:lineRule="auto"/>
        <w:rPr>
          <w:rFonts w:ascii="宋体" w:hAnsi="宋体" w:cs="宋体"/>
          <w:bCs/>
          <w:sz w:val="24"/>
          <w:szCs w:val="24"/>
        </w:rPr>
      </w:pPr>
      <w:r>
        <w:rPr>
          <w:rFonts w:hint="eastAsia" w:ascii="宋体" w:hAnsi="宋体" w:cs="宋体"/>
          <w:bCs/>
          <w:sz w:val="24"/>
          <w:szCs w:val="24"/>
        </w:rPr>
        <w:t xml:space="preserve">  </w:t>
      </w:r>
      <w:r/>
    </w:p>
    <w:p>
      <w:pPr>
        <w:ind w:firstLine="3240"/>
        <w:jc w:val="center"/>
        <w:spacing w:line="360" w:lineRule="auto"/>
        <w:rPr>
          <w:rFonts w:ascii="宋体" w:hAnsi="宋体" w:cs="宋体"/>
          <w:bCs/>
          <w:sz w:val="24"/>
          <w:szCs w:val="24"/>
        </w:rPr>
      </w:pPr>
      <w:r>
        <w:rPr>
          <w:rFonts w:hint="eastAsia" w:ascii="宋体" w:hAnsi="宋体" w:cs="宋体"/>
          <w:bCs/>
          <w:sz w:val="24"/>
          <w:szCs w:val="24"/>
        </w:rPr>
        <w:t xml:space="preserve"> </w:t>
      </w:r>
      <w:r/>
    </w:p>
    <w:p>
      <w:pPr>
        <w:ind w:firstLine="3240"/>
        <w:jc w:val="center"/>
        <w:spacing w:line="360" w:lineRule="auto"/>
        <w:rPr>
          <w:rFonts w:ascii="宋体" w:hAnsi="宋体" w:cs="宋体"/>
          <w:bCs/>
          <w:sz w:val="24"/>
          <w:szCs w:val="24"/>
        </w:rPr>
      </w:pPr>
      <w:r>
        <w:rPr>
          <w:rFonts w:hint="eastAsia" w:ascii="宋体" w:hAnsi="宋体" w:cs="宋体"/>
          <w:bCs/>
          <w:sz w:val="24"/>
          <w:szCs w:val="24"/>
        </w:rPr>
        <w:t xml:space="preserve">          投标人名称（</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080"/>
        <w:jc w:val="center"/>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ind w:firstLine="4800"/>
        <w:spacing w:line="360" w:lineRule="auto"/>
        <w:rPr>
          <w:rFonts w:ascii="宋体" w:hAnsi="宋体" w:cs="宋体"/>
          <w:bCs/>
          <w:sz w:val="24"/>
          <w:szCs w:val="24"/>
        </w:rPr>
      </w:pPr>
      <w:r>
        <w:rPr>
          <w:rFonts w:hint="eastAsia" w:ascii="宋体" w:hAnsi="宋体" w:cs="宋体"/>
          <w:bCs/>
          <w:sz w:val="24"/>
          <w:szCs w:val="24"/>
        </w:rPr>
        <w:t xml:space="preserve">日期：</w:t>
      </w:r>
      <w:r/>
    </w:p>
    <w:p>
      <w:pPr>
        <w:spacing w:line="580" w:lineRule="exact"/>
        <w:rPr>
          <w:rFonts w:ascii="宋体"/>
          <w:bCs/>
          <w:sz w:val="24"/>
        </w:rPr>
      </w:pPr>
      <w:r>
        <w:rPr>
          <w:rFonts w:ascii="宋体"/>
          <w:bCs/>
          <w:sz w:val="24"/>
        </w:rPr>
      </w:r>
      <w:r/>
    </w:p>
    <w:p>
      <w:pPr>
        <w:spacing w:line="580" w:lineRule="exact"/>
        <w:rPr>
          <w:rFonts w:ascii="宋体"/>
          <w:bCs/>
          <w:sz w:val="24"/>
        </w:rPr>
      </w:pPr>
      <w:r>
        <w:rPr>
          <w:rFonts w:ascii="宋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pPr>
      <w:r>
        <w:rPr>
          <w:rFonts w:hint="eastAsia" w:ascii="黑体" w:hAnsi="宋体" w:eastAsia="黑体"/>
          <w:bCs/>
          <w:sz w:val="24"/>
        </w:rPr>
        <w:br w:type="page" w:clear="all"/>
      </w:r>
      <w:r/>
    </w:p>
    <w:p>
      <w:pPr>
        <w:pStyle w:val="931"/>
        <w:jc w:val="center"/>
        <w:rPr>
          <w:rFonts w:ascii="宋体" w:hAnsi="宋体" w:eastAsia="宋体"/>
          <w:b/>
          <w:color w:val="000000"/>
          <w:sz w:val="32"/>
          <w:szCs w:val="24"/>
        </w:rPr>
      </w:pPr>
      <w:r>
        <w:rPr>
          <w:rFonts w:hint="eastAsia" w:ascii="宋体" w:hAnsi="宋体" w:eastAsia="宋体"/>
          <w:b/>
          <w:color w:val="000000"/>
          <w:sz w:val="32"/>
          <w:szCs w:val="24"/>
        </w:rPr>
        <w:t xml:space="preserve">中小企业声明函</w:t>
      </w:r>
      <w:r/>
    </w:p>
    <w:p>
      <w:pPr>
        <w:jc w:val="center"/>
        <w:rPr>
          <w:rFonts w:eastAsia="等线"/>
        </w:rPr>
      </w:pPr>
      <w:r>
        <w:rPr>
          <w:rFonts w:eastAsia="等线"/>
        </w:rPr>
      </w:r>
      <w:r/>
    </w:p>
    <w:p>
      <w:pPr>
        <w:pStyle w:val="735"/>
        <w:ind w:right="415" w:firstLine="640"/>
        <w:jc w:val="both"/>
        <w:rPr>
          <w:rFonts w:ascii="宋体" w:hAnsi="宋体" w:cs="宋体"/>
        </w:rPr>
      </w:pPr>
      <w:r>
        <w:rPr>
          <w:rFonts w:hint="eastAsia" w:ascii="宋体" w:hAnsi="宋体" w:cs="宋体"/>
          <w:spacing w:val="-2"/>
        </w:rPr>
        <w:t xml:space="preserve">本公司</w:t>
      </w:r>
      <w:r>
        <w:rPr>
          <w:rFonts w:hint="eastAsia" w:ascii="宋体" w:hAnsi="宋体" w:cs="宋体"/>
        </w:rPr>
        <w:t xml:space="preserve">（联合体</w:t>
      </w:r>
      <w:r>
        <w:rPr>
          <w:rFonts w:hint="eastAsia" w:ascii="宋体" w:hAnsi="宋体" w:cs="宋体"/>
          <w:spacing w:val="-5"/>
        </w:rPr>
        <w:t xml:space="preserve">）</w:t>
      </w:r>
      <w:r>
        <w:rPr>
          <w:rFonts w:hint="eastAsia" w:ascii="宋体" w:hAnsi="宋体" w:cs="宋体"/>
          <w:spacing w:val="-2"/>
        </w:rPr>
        <w:t xml:space="preserve">郑重声明，根据《政府采购促进中小</w:t>
      </w:r>
      <w:r>
        <w:rPr>
          <w:rFonts w:hint="eastAsia" w:ascii="宋体" w:hAnsi="宋体" w:cs="宋体"/>
          <w:spacing w:val="-18"/>
        </w:rPr>
        <w:t xml:space="preserve">企业发展管理办法》</w:t>
      </w:r>
      <w:r>
        <w:rPr>
          <w:rFonts w:hint="eastAsia" w:ascii="宋体" w:hAnsi="宋体" w:cs="宋体"/>
        </w:rPr>
        <w:t xml:space="preserve">（</w:t>
      </w:r>
      <w:r>
        <w:rPr>
          <w:rFonts w:hint="eastAsia" w:ascii="宋体" w:hAnsi="宋体" w:cs="宋体"/>
          <w:spacing w:val="5"/>
        </w:rPr>
        <w:t xml:space="preserve">财库</w:t>
      </w:r>
      <w:r>
        <w:rPr>
          <w:rFonts w:hint="eastAsia" w:ascii="宋体" w:hAnsi="宋体" w:cs="宋体"/>
        </w:rPr>
        <w:t xml:space="preserve">﹝2020﹞46</w:t>
      </w:r>
      <w:r>
        <w:rPr>
          <w:rFonts w:hint="eastAsia" w:ascii="宋体" w:hAnsi="宋体" w:cs="宋体"/>
          <w:spacing w:val="-38"/>
        </w:rPr>
        <w:t xml:space="preserve"> 号</w:t>
      </w:r>
      <w:r>
        <w:rPr>
          <w:rFonts w:hint="eastAsia" w:ascii="宋体" w:hAnsi="宋体" w:cs="宋体"/>
          <w:spacing w:val="5"/>
        </w:rPr>
        <w:t xml:space="preserve">）</w:t>
      </w:r>
      <w:r>
        <w:rPr>
          <w:rFonts w:hint="eastAsia" w:ascii="宋体" w:hAnsi="宋体" w:cs="宋体"/>
        </w:rPr>
        <w:t xml:space="preserve">的规定，本公司（联合体）</w:t>
      </w:r>
      <w:r>
        <w:rPr>
          <w:rFonts w:hint="eastAsia" w:ascii="宋体" w:hAnsi="宋体" w:cs="宋体"/>
          <w:spacing w:val="-8"/>
        </w:rPr>
        <w:t xml:space="preserve">参加</w:t>
      </w:r>
      <w:r>
        <w:rPr>
          <w:rFonts w:hint="eastAsia" w:ascii="宋体" w:hAnsi="宋体" w:cs="宋体"/>
          <w:spacing w:val="-8"/>
          <w:u w:val="single"/>
        </w:rPr>
        <w:t xml:space="preserve">         </w:t>
      </w:r>
      <w:r>
        <w:rPr>
          <w:rFonts w:hint="eastAsia" w:ascii="宋体" w:hAnsi="宋体" w:cs="宋体"/>
          <w:spacing w:val="-8"/>
        </w:rPr>
        <w:t xml:space="preserve">（采购单位名称）的</w:t>
      </w:r>
      <w:r>
        <w:rPr>
          <w:rFonts w:hint="eastAsia" w:ascii="宋体" w:hAnsi="宋体" w:cs="宋体"/>
          <w:spacing w:val="-8"/>
          <w:u w:val="single"/>
        </w:rPr>
        <w:t xml:space="preserve">                   </w:t>
      </w:r>
      <w:r>
        <w:rPr>
          <w:rFonts w:hint="eastAsia" w:ascii="宋体" w:hAnsi="宋体" w:cs="宋体"/>
          <w:spacing w:val="-8"/>
        </w:rPr>
        <w:t xml:space="preserve">（项目名称）采购活动</w:t>
      </w:r>
      <w:r>
        <w:rPr>
          <w:rFonts w:hint="eastAsia" w:ascii="宋体" w:hAnsi="宋体" w:cs="宋体"/>
          <w:spacing w:val="-1"/>
        </w:rPr>
        <w:t xml:space="preserve">，</w:t>
      </w:r>
      <w:r>
        <w:rPr>
          <w:rFonts w:hint="eastAsia" w:ascii="宋体" w:hAnsi="宋体" w:cs="宋体"/>
          <w:spacing w:val="-3"/>
        </w:rPr>
        <w:t xml:space="preserve">服务</w:t>
      </w:r>
      <w:r>
        <w:rPr>
          <w:rFonts w:hint="eastAsia" w:ascii="宋体" w:hAnsi="宋体" w:cs="宋体"/>
          <w:spacing w:val="5"/>
        </w:rPr>
        <w:t xml:space="preserve">全部由符合政策要求的中小企业承接。</w:t>
      </w:r>
      <w:r>
        <w:rPr>
          <w:rFonts w:hint="eastAsia" w:ascii="宋体" w:hAnsi="宋体" w:cs="宋体"/>
          <w:spacing w:val="6"/>
        </w:rPr>
        <w:t xml:space="preserve">相关企业</w:t>
      </w:r>
      <w:r>
        <w:rPr>
          <w:rFonts w:hint="eastAsia" w:ascii="宋体" w:hAnsi="宋体" w:cs="宋体"/>
          <w:spacing w:val="7"/>
        </w:rPr>
        <w:t xml:space="preserve">（</w:t>
      </w:r>
      <w:r>
        <w:rPr>
          <w:rFonts w:hint="eastAsia" w:ascii="宋体" w:hAnsi="宋体" w:cs="宋体"/>
          <w:spacing w:val="4"/>
        </w:rPr>
        <w:t xml:space="preserve">含联合</w:t>
      </w:r>
      <w:r>
        <w:rPr>
          <w:rFonts w:hint="eastAsia" w:ascii="宋体" w:hAnsi="宋体" w:cs="宋体"/>
        </w:rPr>
        <w:t xml:space="preserve">体中的中小企业、签订分包意向协议的中小企业</w:t>
      </w:r>
      <w:r>
        <w:rPr>
          <w:rFonts w:hint="eastAsia" w:ascii="宋体" w:hAnsi="宋体" w:cs="宋体"/>
          <w:spacing w:val="-7"/>
        </w:rPr>
        <w:t xml:space="preserve">）</w:t>
      </w:r>
      <w:r>
        <w:rPr>
          <w:rFonts w:hint="eastAsia" w:ascii="宋体" w:hAnsi="宋体" w:cs="宋体"/>
        </w:rPr>
        <w:t xml:space="preserve">的具体情况如下：</w:t>
      </w:r>
      <w:r/>
    </w:p>
    <w:p>
      <w:pPr>
        <w:pStyle w:val="735"/>
        <w:ind w:right="417" w:firstLine="468"/>
        <w:jc w:val="both"/>
        <w:spacing w:before="108"/>
        <w:rPr>
          <w:rFonts w:ascii="宋体" w:hAnsi="宋体" w:cs="宋体"/>
          <w:spacing w:val="-3"/>
          <w:u w:val="single"/>
        </w:rPr>
      </w:pPr>
      <w:r>
        <w:rPr>
          <w:rFonts w:hint="eastAsia" w:ascii="宋体" w:hAnsi="宋体" w:cs="宋体"/>
          <w:spacing w:val="-3"/>
          <w:u w:val="single"/>
        </w:rPr>
        <w:t xml:space="preserve">                 （项目名称）</w:t>
      </w:r>
      <w:r>
        <w:rPr>
          <w:rFonts w:hint="eastAsia" w:ascii="宋体" w:hAnsi="宋体" w:cs="宋体"/>
          <w:spacing w:val="-3"/>
        </w:rPr>
        <w:t xml:space="preserve">，属于</w:t>
      </w:r>
      <w:r>
        <w:rPr>
          <w:rFonts w:hint="eastAsia" w:ascii="宋体" w:hAnsi="宋体" w:cs="宋体"/>
          <w:spacing w:val="-3"/>
          <w:u w:val="single"/>
        </w:rPr>
        <w:t xml:space="preserve"> 其他未列明行业 </w:t>
      </w:r>
      <w:r>
        <w:rPr>
          <w:rFonts w:hint="eastAsia" w:ascii="宋体" w:hAnsi="宋体" w:cs="宋体"/>
          <w:spacing w:val="-3"/>
        </w:rPr>
        <w:t xml:space="preserve">（采购文件中明确的所属行业）；承建（承接）企业为</w:t>
      </w:r>
      <w:r>
        <w:rPr>
          <w:rFonts w:hint="eastAsia" w:ascii="宋体" w:hAnsi="宋体" w:cs="宋体"/>
          <w:spacing w:val="-3"/>
          <w:u w:val="single"/>
        </w:rPr>
        <w:t xml:space="preserve">             </w:t>
      </w:r>
      <w:r>
        <w:rPr>
          <w:rFonts w:hint="eastAsia" w:ascii="宋体" w:hAnsi="宋体" w:cs="宋体"/>
          <w:spacing w:val="-3"/>
        </w:rPr>
        <w:t xml:space="preserve">（企业名称），从业人员</w:t>
      </w:r>
      <w:r>
        <w:rPr>
          <w:rFonts w:hint="eastAsia" w:ascii="宋体" w:hAnsi="宋体" w:cs="宋体"/>
          <w:spacing w:val="-3"/>
          <w:u w:val="single"/>
        </w:rPr>
        <w:t xml:space="preserve">        </w:t>
      </w:r>
      <w:r>
        <w:rPr>
          <w:rFonts w:hint="eastAsia" w:ascii="宋体" w:hAnsi="宋体" w:cs="宋体"/>
          <w:spacing w:val="-3"/>
        </w:rPr>
        <w:t xml:space="preserve">人，营业收入为</w:t>
      </w:r>
      <w:r>
        <w:rPr>
          <w:rFonts w:hint="eastAsia" w:ascii="宋体" w:hAnsi="宋体" w:cs="宋体"/>
          <w:spacing w:val="-3"/>
          <w:u w:val="single"/>
        </w:rPr>
        <w:t xml:space="preserve">           </w:t>
      </w:r>
      <w:r>
        <w:rPr>
          <w:rFonts w:hint="eastAsia" w:ascii="宋体" w:hAnsi="宋体" w:cs="宋体"/>
          <w:spacing w:val="-3"/>
        </w:rPr>
        <w:t xml:space="preserve">万元，资产总额为</w:t>
      </w:r>
      <w:r>
        <w:rPr>
          <w:rFonts w:hint="eastAsia" w:ascii="宋体" w:hAnsi="宋体" w:cs="宋体"/>
          <w:spacing w:val="-3"/>
          <w:u w:val="single"/>
        </w:rPr>
        <w:t xml:space="preserve">           </w:t>
      </w:r>
      <w:r>
        <w:rPr>
          <w:rFonts w:hint="eastAsia" w:ascii="宋体" w:hAnsi="宋体" w:cs="宋体"/>
          <w:spacing w:val="-3"/>
        </w:rPr>
        <w:t xml:space="preserve">万元，属于</w:t>
      </w:r>
      <w:r>
        <w:rPr>
          <w:rFonts w:hint="eastAsia" w:ascii="宋体" w:hAnsi="宋体" w:cs="宋体"/>
          <w:spacing w:val="-3"/>
          <w:u w:val="single"/>
        </w:rPr>
        <w:t xml:space="preserve">       </w:t>
      </w:r>
      <w:r>
        <w:rPr>
          <w:rFonts w:hint="eastAsia" w:ascii="宋体" w:hAnsi="宋体" w:cs="宋体"/>
          <w:spacing w:val="-3"/>
        </w:rPr>
        <w:t xml:space="preserve">（中型企业、小型企业、微型企业）。</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 以上企业，不属于大企业的分支机构，不存在控股股东为大企业的情形，也不存在与大企业的法定代表人为同一人的情形。 </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本企业对上述声明内容的真实性负责。如有虚假，将依法承担相应责任。</w:t>
      </w:r>
      <w:r/>
    </w:p>
    <w:p>
      <w:pPr>
        <w:jc w:val="center"/>
        <w:spacing w:line="360" w:lineRule="auto"/>
        <w:rPr>
          <w:rFonts w:ascii="宋体" w:hAnsi="宋体" w:cs="宋体"/>
          <w:bCs/>
          <w:sz w:val="24"/>
          <w:szCs w:val="24"/>
        </w:rPr>
      </w:pPr>
      <w:r>
        <w:rPr>
          <w:rFonts w:ascii="宋体" w:hAnsi="宋体" w:cs="宋体"/>
          <w:bCs/>
          <w:sz w:val="24"/>
          <w:szCs w:val="24"/>
        </w:rPr>
      </w:r>
      <w:r/>
    </w:p>
    <w:p>
      <w:pPr>
        <w:ind w:firstLine="4800"/>
        <w:jc w:val="center"/>
        <w:spacing w:line="360" w:lineRule="auto"/>
        <w:rPr>
          <w:rFonts w:ascii="宋体" w:hAnsi="宋体" w:cs="宋体"/>
          <w:bCs/>
          <w:sz w:val="24"/>
          <w:szCs w:val="24"/>
        </w:rPr>
      </w:pPr>
      <w:r>
        <w:rPr>
          <w:rFonts w:hint="eastAsia" w:ascii="宋体" w:hAnsi="宋体" w:cs="宋体"/>
          <w:bCs/>
          <w:sz w:val="24"/>
          <w:szCs w:val="24"/>
        </w:rPr>
        <w:t xml:space="preserve">企业名称</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800"/>
        <w:jc w:val="center"/>
        <w:spacing w:line="360" w:lineRule="auto"/>
        <w:rPr>
          <w:rFonts w:ascii="宋体" w:hAnsi="宋体" w:cs="宋体"/>
          <w:bCs/>
          <w:sz w:val="24"/>
          <w:szCs w:val="24"/>
        </w:rPr>
      </w:pPr>
      <w:r>
        <w:rPr>
          <w:rFonts w:hint="eastAsia" w:ascii="宋体" w:hAnsi="宋体" w:cs="宋体"/>
          <w:bCs/>
          <w:sz w:val="24"/>
          <w:szCs w:val="24"/>
        </w:rPr>
        <w:t xml:space="preserve">日   期：</w:t>
      </w:r>
      <w:r/>
    </w:p>
    <w:p>
      <w:pPr>
        <w:jc w:val="center"/>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备注：1.参照《关于印发中小企业划型标准规定的通知》（工信部联企业【2011】300号）文件，本项目所属行业为</w:t>
      </w:r>
      <w:r>
        <w:rPr>
          <w:rFonts w:hint="eastAsia" w:ascii="宋体" w:hAnsi="宋体" w:cs="宋体"/>
          <w:sz w:val="24"/>
          <w:szCs w:val="24"/>
          <w:u w:val="single"/>
        </w:rPr>
        <w:t xml:space="preserve">其他未列明行业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2.请如实填写属于中型企业或小型企业或微型企业。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3.从业人员、营业收入、资产总额填报上一年度数据，无上一年度数据的新成立企业可不填报。</w:t>
      </w:r>
      <w:r/>
    </w:p>
    <w:p>
      <w:pPr>
        <w:pStyle w:val="766"/>
        <w:ind w:firstLine="480"/>
        <w:rPr>
          <w:rFonts w:ascii="宋体" w:hAnsi="宋体" w:cs="宋体"/>
          <w:sz w:val="24"/>
          <w:szCs w:val="24"/>
        </w:rPr>
      </w:pPr>
      <w:r>
        <w:rPr>
          <w:rFonts w:hint="eastAsia" w:ascii="宋体" w:hAnsi="宋体" w:cs="宋体"/>
          <w:sz w:val="24"/>
          <w:szCs w:val="24"/>
        </w:rPr>
        <w:t xml:space="preserve">4.投标人如不提供此声明函，价格将不做相应扣除。</w:t>
      </w:r>
      <w:r/>
    </w:p>
    <w:p>
      <w:pPr>
        <w:ind w:firstLine="480"/>
        <w:jc w:val="center"/>
        <w:spacing w:line="580" w:lineRule="exact"/>
        <w:rPr>
          <w:bCs/>
          <w:sz w:val="24"/>
        </w:rPr>
        <w:outlineLvl w:val="0"/>
      </w:pPr>
      <w:r>
        <w:rPr>
          <w:bCs/>
          <w:sz w:val="24"/>
        </w:rPr>
      </w:r>
      <w:r/>
    </w:p>
    <w:p>
      <w:pPr>
        <w:spacing w:line="580" w:lineRule="exact"/>
        <w:rPr>
          <w:rFonts w:ascii="黑体" w:hAnsi="宋体" w:eastAsia="黑体"/>
          <w:bCs/>
          <w:sz w:val="24"/>
        </w:rPr>
        <w:outlineLvl w:val="0"/>
      </w:pPr>
      <w:r>
        <w:rPr>
          <w:rFonts w:ascii="黑体" w:hAnsi="宋体" w:eastAsia="黑体"/>
          <w:bCs/>
          <w:sz w:val="24"/>
        </w:rPr>
      </w:r>
      <w:r/>
    </w:p>
    <w:p>
      <w:pPr>
        <w:spacing w:line="580" w:lineRule="exact"/>
        <w:rPr>
          <w:rFonts w:ascii="黑体" w:hAnsi="宋体" w:eastAsia="黑体"/>
          <w:sz w:val="24"/>
          <w:szCs w:val="24"/>
        </w:rPr>
        <w:outlineLvl w:val="0"/>
      </w:pPr>
      <w:r>
        <w:rPr>
          <w:rFonts w:ascii="黑体" w:hAnsi="宋体" w:eastAsia="黑体"/>
          <w:sz w:val="24"/>
          <w:szCs w:val="24"/>
        </w:rPr>
      </w:r>
      <w:r/>
    </w:p>
    <w:p>
      <w:pPr>
        <w:spacing w:line="580" w:lineRule="exact"/>
        <w:rPr>
          <w:rFonts w:ascii="黑体" w:hAnsi="宋体" w:eastAsia="黑体"/>
          <w:sz w:val="24"/>
          <w:szCs w:val="24"/>
        </w:rPr>
        <w:outlineLvl w:val="0"/>
      </w:pPr>
      <w:r>
        <w:rPr>
          <w:rFonts w:ascii="黑体" w:hAnsi="宋体" w:eastAsia="黑体"/>
          <w:sz w:val="24"/>
          <w:szCs w:val="24"/>
        </w:rPr>
      </w:r>
      <w:r/>
    </w:p>
    <w:p>
      <w:pPr>
        <w:rPr>
          <w:rFonts w:ascii="宋体" w:hAnsi="宋体"/>
          <w:b/>
          <w:color w:val="000000"/>
          <w:sz w:val="32"/>
          <w:szCs w:val="24"/>
        </w:rPr>
      </w:pPr>
      <w:r>
        <w:rPr>
          <w:rFonts w:hint="eastAsia" w:ascii="宋体" w:hAnsi="宋体"/>
          <w:b/>
          <w:color w:val="000000"/>
          <w:sz w:val="32"/>
          <w:szCs w:val="24"/>
        </w:rPr>
        <w:br w:type="page" w:clear="all"/>
      </w:r>
      <w:r/>
    </w:p>
    <w:p>
      <w:pPr>
        <w:pStyle w:val="931"/>
        <w:jc w:val="center"/>
        <w:rPr>
          <w:rFonts w:ascii="宋体" w:hAnsi="宋体" w:eastAsia="宋体"/>
          <w:b/>
          <w:color w:val="000000"/>
          <w:sz w:val="32"/>
          <w:szCs w:val="24"/>
        </w:rPr>
      </w:pPr>
      <w:r>
        <w:rPr>
          <w:rFonts w:hint="eastAsia" w:ascii="宋体" w:hAnsi="宋体" w:eastAsia="宋体"/>
          <w:b/>
          <w:color w:val="000000"/>
          <w:sz w:val="32"/>
          <w:szCs w:val="24"/>
        </w:rPr>
        <w:t xml:space="preserve">残疾人福利性单位声明函</w:t>
      </w:r>
      <w:r/>
    </w:p>
    <w:p>
      <w:pPr>
        <w:ind w:firstLine="560"/>
        <w:jc w:val="left"/>
        <w:spacing w:line="588" w:lineRule="exact"/>
        <w:rPr>
          <w:rFonts w:ascii="黑体" w:eastAsia="黑体"/>
          <w:bCs/>
          <w:sz w:val="28"/>
          <w:szCs w:val="28"/>
        </w:rPr>
      </w:pPr>
      <w:r>
        <w:rPr>
          <w:rFonts w:ascii="黑体" w:eastAsia="黑体"/>
          <w:bCs/>
          <w:sz w:val="28"/>
          <w:szCs w:val="28"/>
        </w:rPr>
      </w:r>
      <w:r/>
    </w:p>
    <w:p>
      <w:pPr>
        <w:ind w:firstLine="480"/>
        <w:jc w:val="left"/>
        <w:spacing w:line="588" w:lineRule="exact"/>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是/否</w:t>
      </w:r>
      <w:r>
        <w:rPr>
          <w:rFonts w:hint="eastAsia" w:ascii="宋体" w:hAnsi="宋体" w:cs="宋体"/>
          <w:sz w:val="24"/>
          <w:szCs w:val="24"/>
        </w:rPr>
        <w:t xml:space="preserve">为符合条件的残疾人福利性单位，且本单位参加_</w:t>
      </w:r>
      <w:r>
        <w:rPr>
          <w:rFonts w:hint="eastAsia" w:ascii="宋体" w:hAnsi="宋体" w:cs="宋体"/>
          <w:sz w:val="24"/>
          <w:szCs w:val="24"/>
          <w:u w:val="single"/>
        </w:rPr>
        <w:t xml:space="preserve">[采购人单位名称]</w:t>
      </w:r>
      <w:r>
        <w:rPr>
          <w:rFonts w:hint="eastAsia" w:ascii="宋体" w:hAnsi="宋体" w:cs="宋体"/>
          <w:sz w:val="24"/>
          <w:szCs w:val="24"/>
        </w:rPr>
        <w:t xml:space="preserve">__单位的采购文件编号为_</w:t>
      </w:r>
      <w:r>
        <w:rPr>
          <w:rFonts w:hint="eastAsia" w:ascii="宋体" w:hAnsi="宋体" w:cs="宋体"/>
          <w:sz w:val="24"/>
          <w:szCs w:val="24"/>
          <w:u w:val="single"/>
        </w:rPr>
        <w:t xml:space="preserve">         </w:t>
      </w:r>
      <w:r>
        <w:rPr>
          <w:rFonts w:hint="eastAsia" w:ascii="宋体" w:hAnsi="宋体" w:cs="宋体"/>
          <w:sz w:val="24"/>
          <w:szCs w:val="24"/>
        </w:rPr>
        <w:t xml:space="preserve">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88" w:lineRule="exact"/>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jc w:val="left"/>
        <w:spacing w:line="588" w:lineRule="exact"/>
        <w:rPr>
          <w:rFonts w:ascii="宋体" w:hAnsi="宋体" w:cs="宋体"/>
          <w:sz w:val="24"/>
          <w:szCs w:val="24"/>
        </w:rPr>
      </w:pPr>
      <w:r>
        <w:rPr>
          <w:rFonts w:ascii="宋体" w:hAnsi="宋体" w:cs="宋体"/>
          <w:sz w:val="24"/>
          <w:szCs w:val="24"/>
        </w:rPr>
      </w:r>
      <w:r/>
    </w:p>
    <w:p>
      <w:pPr>
        <w:ind w:firstLine="480"/>
        <w:jc w:val="left"/>
        <w:spacing w:line="588" w:lineRule="exact"/>
        <w:rPr>
          <w:rFonts w:ascii="宋体" w:hAnsi="宋体" w:cs="宋体"/>
          <w:sz w:val="24"/>
          <w:szCs w:val="24"/>
        </w:rPr>
      </w:pPr>
      <w:r>
        <w:rPr>
          <w:rFonts w:hint="eastAsia" w:ascii="宋体" w:hAnsi="宋体" w:cs="宋体"/>
          <w:sz w:val="24"/>
          <w:szCs w:val="24"/>
        </w:rPr>
        <w:t xml:space="preserve">（备注：1.投标人如不提供此声明函，价格将不作相应扣除。2.中标单位为残疾人福利性单位的，此声明函将随中标结果同时公告，接受社会监督。）</w:t>
      </w:r>
      <w:r/>
    </w:p>
    <w:p>
      <w:pPr>
        <w:ind w:firstLine="504"/>
        <w:jc w:val="center"/>
        <w:spacing w:line="588" w:lineRule="exact"/>
        <w:rPr>
          <w:rFonts w:ascii="宋体" w:hAnsi="宋体" w:cs="宋体"/>
          <w:spacing w:val="6"/>
          <w:sz w:val="24"/>
          <w:szCs w:val="24"/>
        </w:rPr>
      </w:pPr>
      <w:r>
        <w:rPr>
          <w:rFonts w:ascii="宋体" w:hAnsi="宋体" w:cs="宋体"/>
          <w:spacing w:val="6"/>
          <w:sz w:val="24"/>
          <w:szCs w:val="24"/>
        </w:rPr>
      </w:r>
      <w:r/>
    </w:p>
    <w:p>
      <w:pPr>
        <w:ind w:right="1560" w:firstLine="480"/>
        <w:jc w:val="right"/>
        <w:spacing w:line="588" w:lineRule="exact"/>
        <w:tabs>
          <w:tab w:val="left" w:pos="4860" w:leader="none"/>
        </w:tabs>
        <w:rPr>
          <w:rFonts w:ascii="宋体" w:hAnsi="宋体" w:cs="宋体"/>
          <w:sz w:val="24"/>
          <w:szCs w:val="24"/>
        </w:rPr>
      </w:pPr>
      <w:r>
        <w:rPr>
          <w:rFonts w:hint="eastAsia" w:ascii="宋体" w:hAnsi="宋体" w:cs="宋体"/>
          <w:sz w:val="24"/>
          <w:szCs w:val="24"/>
        </w:rPr>
        <w:t xml:space="preserve">投标人名称（加盖CA电子公章）：</w:t>
      </w:r>
      <w:r/>
    </w:p>
    <w:p>
      <w:pPr>
        <w:ind w:right="1560" w:firstLine="480"/>
        <w:jc w:val="right"/>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日  期：</w:t>
      </w:r>
      <w:r/>
    </w:p>
    <w:p>
      <w:pPr>
        <w:rPr>
          <w:rFonts w:hint="eastAsia" w:ascii="宋体" w:hAnsi="宋体" w:cs="宋体"/>
          <w:sz w:val="24"/>
          <w:szCs w:val="24"/>
        </w:rPr>
      </w:pPr>
      <w:r>
        <w:rPr>
          <w:rFonts w:hint="eastAsia" w:ascii="宋体" w:hAnsi="宋体" w:cs="宋体"/>
          <w:sz w:val="24"/>
          <w:szCs w:val="24"/>
        </w:rPr>
        <w:br w:type="page" w:clear="all"/>
      </w:r>
      <w:r/>
    </w:p>
    <w:p>
      <w:pPr>
        <w:pStyle w:val="931"/>
        <w:jc w:val="center"/>
        <w:rPr>
          <w:rFonts w:hint="eastAsia" w:ascii="宋体" w:hAnsi="宋体" w:eastAsia="宋体" w:cs="Times New Roman"/>
          <w:b/>
          <w:color w:val="000000"/>
          <w:sz w:val="32"/>
          <w:szCs w:val="24"/>
        </w:rPr>
      </w:pPr>
      <w:r>
        <w:rPr>
          <w:rFonts w:hint="eastAsia" w:ascii="宋体" w:hAnsi="宋体" w:eastAsia="宋体" w:cs="Times New Roman"/>
          <w:b/>
          <w:color w:val="000000"/>
          <w:sz w:val="32"/>
          <w:szCs w:val="24"/>
        </w:rPr>
        <w:t xml:space="preserve">监狱企业证明文件</w:t>
      </w:r>
      <w:r/>
    </w:p>
    <w:p>
      <w:pPr>
        <w:ind w:firstLine="630"/>
        <w:jc w:val="left"/>
        <w:spacing w:line="480" w:lineRule="auto"/>
        <w:rPr>
          <w:rFonts w:hint="eastAsia" w:ascii="宋体" w:hAnsi="宋体" w:cs="宋体"/>
          <w:szCs w:val="21"/>
        </w:rPr>
      </w:pPr>
      <w:r>
        <w:rPr>
          <w:rFonts w:hint="eastAsia" w:ascii="宋体" w:hAnsi="宋体" w:cs="宋体"/>
          <w:szCs w:val="21"/>
        </w:rPr>
      </w:r>
      <w:r/>
    </w:p>
    <w:p>
      <w:pPr>
        <w:ind w:firstLine="630"/>
        <w:jc w:val="left"/>
        <w:spacing w:line="480" w:lineRule="auto"/>
        <w:rPr>
          <w:rFonts w:ascii="宋体"/>
          <w:bCs/>
          <w:szCs w:val="21"/>
        </w:rPr>
      </w:pPr>
      <w:r>
        <w:rPr>
          <w:rFonts w:hint="eastAsia" w:ascii="宋体" w:hAnsi="宋体" w:cs="宋体"/>
          <w:szCs w:val="21"/>
        </w:rPr>
        <w:t xml:space="preserve">监狱企业参加政府采购活动时，需提供由省级以上监狱管理局、戒毒管理局</w:t>
      </w:r>
      <w:r>
        <w:rPr>
          <w:rFonts w:ascii="宋体" w:hAnsi="宋体" w:cs="宋体"/>
          <w:szCs w:val="21"/>
        </w:rPr>
        <w:t xml:space="preserve">(</w:t>
      </w:r>
      <w:r>
        <w:rPr>
          <w:rFonts w:hint="eastAsia" w:ascii="宋体" w:hAnsi="宋体" w:cs="宋体"/>
          <w:szCs w:val="21"/>
        </w:rPr>
        <w:t xml:space="preserve">含新疆生产建设兵团</w:t>
      </w:r>
      <w:r>
        <w:rPr>
          <w:rFonts w:ascii="宋体" w:hAnsi="宋体" w:cs="宋体"/>
          <w:szCs w:val="21"/>
        </w:rPr>
        <w:t xml:space="preserve">)</w:t>
      </w:r>
      <w:r>
        <w:rPr>
          <w:rFonts w:hint="eastAsia" w:ascii="宋体" w:hAnsi="宋体" w:cs="宋体"/>
          <w:szCs w:val="21"/>
        </w:rPr>
        <w:t xml:space="preserve">出具的属于监狱企业的证明文件复印件并加盖申请人公章。</w:t>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ascii="宋体" w:hAnsi="宋体" w:cs="宋体"/>
          <w:szCs w:val="21"/>
        </w:rPr>
      </w:r>
      <w:r/>
    </w:p>
    <w:p>
      <w:pPr>
        <w:ind w:firstLine="210"/>
        <w:jc w:val="left"/>
        <w:spacing w:line="480" w:lineRule="auto"/>
        <w:rPr>
          <w:rFonts w:ascii="宋体" w:hAnsi="宋体" w:cs="宋体"/>
          <w:szCs w:val="21"/>
        </w:rPr>
      </w:pPr>
      <w:r>
        <w:rPr>
          <w:rFonts w:hint="eastAsia" w:ascii="宋体" w:hAnsi="宋体" w:cs="宋体"/>
          <w:szCs w:val="21"/>
        </w:rPr>
        <w:t xml:space="preserve">备注：监狱企业标准请参照《关于政府采购支持监狱企业发展有关问题的通知》（财库〔2014〕68号）。</w:t>
      </w:r>
      <w:r/>
    </w:p>
    <w:p>
      <w:pPr>
        <w:pStyle w:val="765"/>
      </w:pPr>
      <w:r/>
      <w:r/>
    </w:p>
    <w:p>
      <w:pPr>
        <w:jc w:val="center"/>
        <w:rPr>
          <w:rFonts w:ascii="仿宋" w:hAnsi="仿宋" w:eastAsia="仿宋" w:cs="仿宋"/>
          <w:sz w:val="24"/>
          <w:szCs w:val="24"/>
        </w:rPr>
      </w:pPr>
      <w:r>
        <w:rPr>
          <w:rFonts w:ascii="仿宋" w:hAnsi="仿宋" w:eastAsia="仿宋" w:cs="仿宋"/>
          <w:sz w:val="24"/>
          <w:szCs w:val="24"/>
        </w:rPr>
      </w:r>
      <w:r/>
    </w:p>
    <w:p>
      <w:pPr>
        <w:jc w:val="left"/>
        <w:rPr>
          <w:rFonts w:ascii="黑体" w:hAnsi="宋体" w:eastAsia="黑体"/>
          <w:bCs/>
          <w:sz w:val="24"/>
        </w:rPr>
        <w:outlineLvl w:val="0"/>
      </w:pPr>
      <w:r>
        <w:rPr>
          <w:rFonts w:hint="eastAsia" w:ascii="黑体" w:hAnsi="宋体" w:eastAsia="黑体"/>
          <w:bCs/>
          <w:sz w:val="24"/>
        </w:rPr>
        <w:br w:type="page" w:clear="all"/>
      </w:r>
      <w:r/>
    </w:p>
    <w:p>
      <w:pPr>
        <w:pStyle w:val="931"/>
        <w:jc w:val="center"/>
        <w:rPr>
          <w:rFonts w:ascii="宋体" w:hAnsi="宋体" w:eastAsia="宋体"/>
          <w:b/>
          <w:color w:val="000000"/>
          <w:sz w:val="32"/>
          <w:szCs w:val="24"/>
        </w:rPr>
      </w:pPr>
      <w:r>
        <w:rPr>
          <w:rFonts w:hint="eastAsia" w:ascii="宋体" w:hAnsi="宋体" w:eastAsia="宋体"/>
          <w:b/>
          <w:color w:val="000000"/>
          <w:sz w:val="32"/>
          <w:szCs w:val="24"/>
        </w:rPr>
        <w:t xml:space="preserve">承诺书</w:t>
      </w:r>
      <w:r/>
    </w:p>
    <w:p>
      <w:pPr>
        <w:jc w:val="center"/>
        <w:rPr>
          <w:rFonts w:ascii="黑体" w:eastAsia="黑体"/>
          <w:bCs/>
          <w:sz w:val="28"/>
          <w:szCs w:val="28"/>
        </w:rPr>
      </w:pPr>
      <w:r>
        <w:rPr>
          <w:rFonts w:ascii="黑体" w:eastAsia="黑体"/>
          <w:bCs/>
          <w:sz w:val="28"/>
          <w:szCs w:val="28"/>
        </w:rPr>
      </w:r>
      <w:r/>
    </w:p>
    <w:p>
      <w:pPr>
        <w:spacing w:line="48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（投标人名称）在此承诺：</w:t>
      </w:r>
      <w:r/>
    </w:p>
    <w:p>
      <w:pPr>
        <w:ind w:firstLine="480"/>
        <w:jc w:val="left"/>
        <w:spacing w:line="480" w:lineRule="auto"/>
        <w:rPr>
          <w:rFonts w:ascii="宋体" w:hAnsi="宋体" w:cs="宋体"/>
          <w:bCs/>
          <w:sz w:val="24"/>
          <w:szCs w:val="24"/>
        </w:rPr>
      </w:pPr>
      <w:r>
        <w:rPr>
          <w:rFonts w:hint="eastAsia" w:ascii="宋体" w:hAnsi="宋体" w:cs="宋体"/>
          <w:sz w:val="24"/>
          <w:szCs w:val="24"/>
        </w:rPr>
        <w:t xml:space="preserve">1．本公司（单位）同意并响应本项目（项目编号：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采购文件的所有内容；</w:t>
      </w:r>
      <w:r/>
    </w:p>
    <w:p>
      <w:pPr>
        <w:ind w:firstLine="480"/>
        <w:jc w:val="left"/>
        <w:spacing w:line="48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本公司（单位）</w:t>
      </w:r>
      <w:r>
        <w:rPr>
          <w:rFonts w:hint="eastAsia" w:ascii="宋体" w:hAnsi="宋体" w:cs="宋体"/>
          <w:bCs/>
          <w:sz w:val="24"/>
          <w:szCs w:val="24"/>
        </w:rPr>
        <w:t xml:space="preserve">具备履行合同所必需的设备和专业技术能力；</w:t>
      </w:r>
      <w:r/>
    </w:p>
    <w:p>
      <w:pPr>
        <w:ind w:firstLine="480"/>
        <w:jc w:val="left"/>
        <w:spacing w:line="480" w:lineRule="auto"/>
        <w:rPr>
          <w:rFonts w:ascii="宋体" w:hAnsi="宋体" w:cs="宋体"/>
          <w:b/>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r>
        <w:fldChar w:fldCharType="begin"/>
      </w:r>
      <w:r>
        <w:instrText xml:space="preserve"> HYPERLINK "http://www.creditchina.gov.cn" </w:instrText>
      </w:r>
      <w:r>
        <w:fldChar w:fldCharType="separate"/>
      </w:r>
      <w:r>
        <w:rPr>
          <w:rStyle w:val="763"/>
          <w:rFonts w:hint="eastAsia" w:ascii="宋体" w:hAnsi="宋体" w:cs="宋体"/>
          <w:bCs/>
          <w:sz w:val="24"/>
          <w:szCs w:val="24"/>
        </w:rPr>
        <w:t xml:space="preserve">www.creditchina.gov.cn</w:t>
      </w:r>
      <w:r>
        <w:rPr>
          <w:rStyle w:val="763"/>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列入失信被执行人、重大税收违法失信主体、政府采购严重违法失信行为记录名单。</w:t>
      </w:r>
      <w:r/>
    </w:p>
    <w:p>
      <w:pPr>
        <w:ind w:firstLine="480"/>
        <w:jc w:val="left"/>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jc w:val="center"/>
        <w:spacing w:line="480" w:lineRule="auto"/>
        <w:rPr>
          <w:rFonts w:ascii="宋体" w:hAnsi="宋体" w:cs="宋体"/>
          <w:sz w:val="24"/>
          <w:szCs w:val="24"/>
        </w:rPr>
      </w:pPr>
      <w:r>
        <w:rPr>
          <w:rFonts w:ascii="宋体" w:hAnsi="宋体" w:cs="宋体"/>
          <w:sz w:val="24"/>
          <w:szCs w:val="24"/>
        </w:rPr>
      </w:r>
      <w:r/>
    </w:p>
    <w:p>
      <w:pPr>
        <w:ind w:firstLine="5400"/>
        <w:jc w:val="center"/>
        <w:spacing w:line="480" w:lineRule="auto"/>
        <w:rPr>
          <w:rFonts w:ascii="宋体" w:hAnsi="宋体" w:cs="宋体"/>
          <w:bCs/>
          <w:sz w:val="24"/>
          <w:szCs w:val="24"/>
        </w:rPr>
      </w:pPr>
      <w:r>
        <w:rPr>
          <w:rFonts w:ascii="宋体" w:hAnsi="宋体" w:cs="宋体"/>
          <w:bCs/>
          <w:sz w:val="24"/>
          <w:szCs w:val="24"/>
        </w:rPr>
      </w:r>
      <w:r/>
    </w:p>
    <w:p>
      <w:pPr>
        <w:ind w:firstLine="3720"/>
        <w:jc w:val="center"/>
        <w:spacing w:line="480" w:lineRule="auto"/>
        <w:rPr>
          <w:rFonts w:ascii="宋体" w:hAnsi="宋体" w:cs="宋体"/>
          <w:bCs/>
          <w:sz w:val="24"/>
          <w:szCs w:val="24"/>
        </w:rPr>
      </w:pPr>
      <w:r>
        <w:rPr>
          <w:rFonts w:hint="eastAsia" w:ascii="宋体" w:hAnsi="宋体" w:cs="宋体"/>
          <w:bCs/>
          <w:sz w:val="24"/>
          <w:szCs w:val="24"/>
        </w:rPr>
        <w:t xml:space="preserve">投标人（加盖CA电子公章）：</w:t>
      </w:r>
      <w:r/>
    </w:p>
    <w:p>
      <w:pPr>
        <w:ind w:firstLine="480"/>
        <w:jc w:val="center"/>
        <w:spacing w:line="480" w:lineRule="auto"/>
        <w:rPr>
          <w:rFonts w:ascii="宋体" w:hAnsi="宋体" w:cs="宋体"/>
          <w:bCs/>
          <w:sz w:val="24"/>
          <w:szCs w:val="24"/>
        </w:rPr>
      </w:pPr>
      <w:r>
        <w:rPr>
          <w:rFonts w:hint="eastAsia" w:ascii="宋体" w:hAnsi="宋体" w:cs="宋体"/>
          <w:sz w:val="24"/>
          <w:szCs w:val="24"/>
        </w:rPr>
        <w:t xml:space="preserve">                法定代表人或法定代表人授权代表</w:t>
      </w:r>
      <w:r>
        <w:rPr>
          <w:rFonts w:hint="eastAsia" w:ascii="宋体" w:hAnsi="宋体" w:cs="宋体"/>
          <w:bCs/>
          <w:sz w:val="24"/>
          <w:szCs w:val="24"/>
        </w:rPr>
        <w:t xml:space="preserve">（签字或盖章）：</w:t>
      </w:r>
      <w:r/>
    </w:p>
    <w:p>
      <w:pPr>
        <w:ind w:firstLine="4560"/>
        <w:spacing w:line="360" w:lineRule="auto"/>
        <w:rPr>
          <w:rFonts w:ascii="仿宋" w:hAnsi="仿宋" w:eastAsia="仿宋" w:cs="仿宋"/>
          <w:bCs/>
          <w:sz w:val="24"/>
          <w:szCs w:val="24"/>
        </w:rPr>
      </w:pPr>
      <w:r>
        <w:rPr>
          <w:rFonts w:hint="eastAsia" w:ascii="仿宋" w:hAnsi="仿宋" w:eastAsia="仿宋" w:cs="仿宋"/>
          <w:bCs/>
          <w:sz w:val="24"/>
          <w:szCs w:val="24"/>
        </w:rPr>
        <w:t xml:space="preserve">日  期：</w:t>
      </w:r>
      <w:r/>
    </w:p>
    <w:p>
      <w:pPr>
        <w:ind w:firstLine="480"/>
        <w:jc w:val="center"/>
        <w:spacing w:line="480" w:lineRule="auto"/>
        <w:rPr>
          <w:rFonts w:ascii="仿宋" w:hAnsi="仿宋" w:eastAsia="仿宋" w:cs="仿宋"/>
          <w:bCs/>
          <w:sz w:val="24"/>
          <w:szCs w:val="24"/>
        </w:rPr>
      </w:pPr>
      <w:r>
        <w:rPr>
          <w:rFonts w:ascii="仿宋" w:hAnsi="仿宋" w:eastAsia="仿宋" w:cs="仿宋"/>
          <w:bCs/>
          <w:sz w:val="24"/>
          <w:szCs w:val="24"/>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pStyle w:val="735"/>
      </w:pPr>
      <w:r/>
      <w:r/>
    </w:p>
    <w:p>
      <w:pPr>
        <w:pStyle w:val="735"/>
      </w:pPr>
      <w:r/>
      <w:r/>
    </w:p>
    <w:p>
      <w:pPr>
        <w:pStyle w:val="735"/>
      </w:pPr>
      <w:r/>
      <w:r/>
    </w:p>
    <w:p>
      <w:pPr>
        <w:pStyle w:val="735"/>
      </w:pPr>
      <w:r/>
      <w:r/>
    </w:p>
    <w:p>
      <w:pPr>
        <w:pStyle w:val="735"/>
      </w:pPr>
      <w:r/>
      <w:r/>
    </w:p>
    <w:p>
      <w:r>
        <w:rPr>
          <w:rFonts w:hint="eastAsia"/>
        </w:rPr>
        <w:br w:type="page" w:clear="all"/>
      </w:r>
      <w:r/>
    </w:p>
    <w:p>
      <w:pPr>
        <w:pStyle w:val="931"/>
        <w:jc w:val="center"/>
        <w:spacing w:line="520" w:lineRule="exact"/>
        <w:tabs>
          <w:tab w:val="left" w:pos="2340" w:leader="none"/>
          <w:tab w:val="left" w:pos="2520" w:leader="none"/>
          <w:tab w:val="left" w:pos="2700" w:leader="none"/>
          <w:tab w:val="left" w:pos="3060" w:leader="none"/>
        </w:tabs>
        <w:rPr>
          <w:rFonts w:ascii="宋体" w:hAnsi="宋体" w:eastAsia="宋体"/>
          <w:b/>
          <w:color w:val="000000"/>
        </w:rPr>
      </w:pPr>
      <w:r>
        <w:rPr>
          <w:rFonts w:hint="eastAsia" w:ascii="宋体" w:hAnsi="宋体" w:eastAsia="宋体"/>
          <w:b/>
          <w:color w:val="000000"/>
          <w:sz w:val="36"/>
          <w:szCs w:val="36"/>
        </w:rPr>
        <w:t xml:space="preserve">技术标准响应偏离表</w:t>
      </w:r>
      <w:r/>
    </w:p>
    <w:tbl>
      <w:tblPr>
        <w:tblStyle w:val="734"/>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420"/>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ind w:firstLine="420"/>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420"/>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ind w:firstLine="420"/>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ind w:firstLine="520"/>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931"/>
              <w:jc w:val="center"/>
              <w:spacing w:line="36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31"/>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pStyle w:val="931"/>
              <w:jc w:val="left"/>
              <w:spacing w:before="100" w:beforeAutospacing="1" w:line="240" w:lineRule="exact"/>
              <w:widowControl/>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pStyle w:val="931"/>
              <w:jc w:val="center"/>
              <w:spacing w:line="480" w:lineRule="exact"/>
              <w:rPr>
                <w:rFonts w:ascii="宋体" w:hAnsi="宋体" w:eastAsia="宋体"/>
                <w:sz w:val="21"/>
                <w:szCs w:val="21"/>
              </w:rPr>
            </w:pPr>
            <w:r>
              <w:rPr>
                <w:rFonts w:ascii="宋体" w:hAnsi="宋体" w:eastAsia="宋体"/>
                <w:sz w:val="21"/>
                <w:szCs w:val="21"/>
              </w:rPr>
            </w:r>
            <w:r/>
          </w:p>
        </w:tc>
      </w:tr>
    </w:tbl>
    <w:p>
      <w:pPr>
        <w:pStyle w:val="931"/>
        <w:spacing w:line="500" w:lineRule="exact"/>
        <w:rPr>
          <w:rFonts w:ascii="宋体" w:hAnsi="宋体" w:eastAsia="宋体"/>
          <w:b/>
          <w:bCs/>
          <w:sz w:val="24"/>
        </w:rPr>
      </w:pPr>
      <w:r>
        <w:rPr>
          <w:rFonts w:ascii="宋体" w:hAnsi="宋体" w:eastAsia="宋体"/>
          <w:b/>
          <w:color w:val="ff0000"/>
          <w:sz w:val="24"/>
          <w:lang w:val="zh-CN"/>
        </w:rPr>
        <w:t xml:space="preserve"> </w:t>
      </w:r>
      <w:r>
        <w:rPr>
          <w:rFonts w:ascii="宋体" w:hAnsi="宋体" w:eastAsia="宋体"/>
          <w:b/>
          <w:bCs/>
          <w:sz w:val="24"/>
        </w:rPr>
        <w:t xml:space="preserve">注：</w:t>
      </w:r>
      <w:r/>
    </w:p>
    <w:p>
      <w:pPr>
        <w:pStyle w:val="931"/>
        <w:ind w:firstLine="482"/>
        <w:jc w:val="left"/>
        <w:spacing w:line="360" w:lineRule="auto"/>
        <w:rPr>
          <w:rFonts w:ascii="宋体" w:hAnsi="宋体" w:eastAsia="宋体"/>
          <w:b/>
          <w:bCs/>
          <w:sz w:val="24"/>
        </w:rPr>
      </w:pPr>
      <w:r>
        <w:rPr>
          <w:rFonts w:ascii="宋体" w:hAnsi="宋体" w:eastAsia="宋体"/>
          <w:b/>
          <w:bCs/>
          <w:sz w:val="24"/>
        </w:rPr>
        <w:t xml:space="preserve">若无偏离，在“有无偏离”栏中填写“无”；若有偏离在“有无偏离”栏中填写“有” 并在“偏离内容及原因”栏中作出说明。</w:t>
      </w:r>
      <w:r/>
    </w:p>
    <w:p>
      <w:pPr>
        <w:jc w:val="center"/>
        <w:spacing w:line="360" w:lineRule="auto"/>
        <w:rPr>
          <w:rFonts w:ascii="宋体" w:hAnsi="宋体" w:cs="宋体"/>
          <w:bCs/>
          <w:sz w:val="24"/>
          <w:szCs w:val="24"/>
        </w:rPr>
      </w:pPr>
      <w:r>
        <w:rPr>
          <w:rFonts w:ascii="宋体" w:hAnsi="宋体" w:cs="宋体"/>
          <w:bCs/>
          <w:sz w:val="24"/>
          <w:szCs w:val="24"/>
        </w:rPr>
      </w:r>
      <w:r/>
    </w:p>
    <w:p>
      <w:pPr>
        <w:jc w:val="left"/>
        <w:spacing w:line="360" w:lineRule="auto"/>
        <w:rPr>
          <w:rFonts w:ascii="宋体" w:hAnsi="宋体" w:cs="宋体"/>
          <w:bCs/>
          <w:sz w:val="24"/>
          <w:szCs w:val="24"/>
        </w:rPr>
        <w:outlineLvl w:val="0"/>
      </w:pPr>
      <w:r>
        <w:rPr>
          <w:rFonts w:hint="eastAsia" w:ascii="宋体" w:hAnsi="宋体" w:cs="宋体"/>
          <w:bCs/>
          <w:sz w:val="24"/>
          <w:szCs w:val="24"/>
        </w:rPr>
        <w:t xml:space="preserve">注：（1）本表不得删除；</w:t>
      </w:r>
      <w:r/>
    </w:p>
    <w:p>
      <w:pPr>
        <w:ind w:firstLine="480"/>
        <w:jc w:val="left"/>
        <w:spacing w:line="360" w:lineRule="auto"/>
        <w:rPr>
          <w:rFonts w:ascii="宋体" w:hAnsi="宋体" w:cs="宋体"/>
          <w:bCs/>
          <w:sz w:val="24"/>
          <w:szCs w:val="24"/>
        </w:rPr>
        <w:outlineLvl w:val="0"/>
      </w:pPr>
      <w:r>
        <w:rPr>
          <w:rFonts w:hint="eastAsia" w:ascii="宋体" w:hAnsi="宋体" w:cs="宋体"/>
          <w:bCs/>
          <w:sz w:val="24"/>
          <w:szCs w:val="24"/>
        </w:rPr>
        <w:t xml:space="preserve">（2）如无任何技术偏离，请于本表“偏离说明”中注明“无偏离”；</w:t>
      </w:r>
      <w:r/>
    </w:p>
    <w:p>
      <w:pPr>
        <w:ind w:firstLine="480"/>
        <w:jc w:val="left"/>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（3）如有技术偏离项，请于本表中列明偏离内容，如需要可自行延长，其余无偏离内容不须赘述。</w:t>
      </w:r>
      <w:r/>
    </w:p>
    <w:p>
      <w:pPr>
        <w:pStyle w:val="765"/>
        <w:rPr>
          <w:rFonts w:hint="eastAsia"/>
          <w:lang w:eastAsia="zh-CN"/>
        </w:rPr>
      </w:pPr>
      <w:r>
        <w:rPr>
          <w:rFonts w:hint="eastAsia"/>
          <w:lang w:eastAsia="zh-CN"/>
        </w:rPr>
      </w:r>
      <w:r/>
    </w:p>
    <w:p>
      <w:pPr>
        <w:pStyle w:val="765"/>
      </w:pPr>
      <w:r/>
      <w:r/>
    </w:p>
    <w:p>
      <w:pPr>
        <w:ind w:firstLine="3720"/>
        <w:jc w:val="center"/>
        <w:spacing w:line="480" w:lineRule="auto"/>
        <w:rPr>
          <w:rFonts w:ascii="宋体" w:hAnsi="宋体" w:cs="宋体"/>
          <w:bCs/>
          <w:sz w:val="24"/>
          <w:szCs w:val="24"/>
        </w:rPr>
      </w:pPr>
      <w:r>
        <w:rPr>
          <w:rFonts w:hint="eastAsia" w:ascii="宋体" w:hAnsi="宋体" w:cs="宋体"/>
          <w:bCs/>
          <w:sz w:val="24"/>
          <w:szCs w:val="24"/>
        </w:rPr>
        <w:t xml:space="preserve">投标人（加盖CA电子公章）：</w:t>
      </w:r>
      <w:r/>
    </w:p>
    <w:p>
      <w:pPr>
        <w:ind w:firstLine="480"/>
        <w:jc w:val="center"/>
        <w:spacing w:line="480" w:lineRule="auto"/>
        <w:rPr>
          <w:rFonts w:ascii="宋体" w:hAnsi="宋体" w:cs="宋体"/>
          <w:bCs/>
          <w:sz w:val="24"/>
          <w:szCs w:val="24"/>
        </w:rPr>
      </w:pPr>
      <w:r>
        <w:rPr>
          <w:rFonts w:hint="eastAsia" w:ascii="宋体" w:hAnsi="宋体" w:cs="宋体"/>
          <w:sz w:val="24"/>
          <w:szCs w:val="24"/>
        </w:rPr>
        <w:t xml:space="preserve">                法定代表人或法定代表人授权代表</w:t>
      </w:r>
      <w:r>
        <w:rPr>
          <w:rFonts w:hint="eastAsia" w:ascii="宋体" w:hAnsi="宋体" w:cs="宋体"/>
          <w:bCs/>
          <w:sz w:val="24"/>
          <w:szCs w:val="24"/>
        </w:rPr>
        <w:t xml:space="preserve">（签字或盖章）：</w:t>
      </w:r>
      <w:r/>
    </w:p>
    <w:p>
      <w:pPr>
        <w:ind w:firstLine="4560"/>
        <w:spacing w:line="360" w:lineRule="auto"/>
        <w:rPr>
          <w:rFonts w:ascii="仿宋" w:hAnsi="仿宋" w:eastAsia="仿宋" w:cs="仿宋"/>
          <w:bCs/>
          <w:sz w:val="24"/>
          <w:szCs w:val="24"/>
        </w:rPr>
      </w:pPr>
      <w:r>
        <w:rPr>
          <w:rFonts w:hint="eastAsia" w:ascii="仿宋" w:hAnsi="仿宋" w:eastAsia="仿宋" w:cs="仿宋"/>
          <w:bCs/>
          <w:sz w:val="24"/>
          <w:szCs w:val="24"/>
        </w:rPr>
        <w:t xml:space="preserve">日  期：</w:t>
      </w:r>
      <w:r/>
    </w:p>
    <w:p>
      <w:pPr>
        <w:pStyle w:val="765"/>
      </w:pPr>
      <w:r/>
      <w:r/>
    </w:p>
    <w:p>
      <w:pPr>
        <w:jc w:val="left"/>
        <w:widowControl/>
        <w:rPr>
          <w:szCs w:val="24"/>
        </w:rPr>
      </w:pPr>
      <w:r>
        <w:br w:type="page" w:clear="all"/>
      </w:r>
      <w:r/>
    </w:p>
    <w:p>
      <w:pPr>
        <w:pStyle w:val="931"/>
        <w:jc w:val="center"/>
        <w:rPr>
          <w:rFonts w:ascii="宋体" w:hAnsi="宋体" w:eastAsia="宋体"/>
          <w:b/>
          <w:color w:val="000000"/>
          <w:sz w:val="32"/>
          <w:szCs w:val="24"/>
        </w:rPr>
      </w:pPr>
      <w:r>
        <w:rPr>
          <w:rFonts w:hint="eastAsia" w:ascii="宋体" w:hAnsi="宋体" w:eastAsia="宋体"/>
          <w:b/>
          <w:color w:val="000000"/>
          <w:sz w:val="32"/>
          <w:szCs w:val="24"/>
        </w:rPr>
        <w:t xml:space="preserve">联合体协议（参考格式）</w:t>
      </w:r>
      <w:r/>
    </w:p>
    <w:p>
      <w:pPr>
        <w:ind w:firstLine="480"/>
        <w:spacing w:line="560" w:lineRule="exact"/>
        <w:rPr>
          <w:rFonts w:ascii="宋体" w:hAnsi="宋体"/>
        </w:rPr>
      </w:pPr>
      <w:r>
        <w:rPr>
          <w:rFonts w:hint="eastAsia" w:ascii="宋体" w:hAnsi="宋体"/>
        </w:rPr>
        <w:t xml:space="preserve">（联合体中各供应商全称）在此达成以下协议：</w:t>
      </w:r>
      <w:r/>
    </w:p>
    <w:p>
      <w:pPr>
        <w:ind w:firstLine="480"/>
        <w:spacing w:line="560" w:lineRule="exact"/>
        <w:rPr>
          <w:rFonts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w:t>
      </w:r>
      <w:r>
        <w:rPr>
          <w:rFonts w:hint="eastAsia" w:ascii="宋体" w:hAnsi="宋体"/>
          <w:u w:val="single"/>
        </w:rPr>
        <w:t xml:space="preserve">    （采购人）     </w:t>
      </w:r>
      <w:r>
        <w:rPr>
          <w:rFonts w:hint="eastAsia" w:ascii="宋体" w:hAnsi="宋体"/>
        </w:rPr>
        <w:t xml:space="preserve">组织的采购编号为</w:t>
      </w:r>
      <w:r>
        <w:rPr>
          <w:rFonts w:hint="eastAsia" w:ascii="宋体" w:hAnsi="宋体"/>
          <w:u w:val="single"/>
        </w:rPr>
        <w:t xml:space="preserve">（编号全称），（项目全称）</w:t>
      </w:r>
      <w:r>
        <w:rPr>
          <w:rFonts w:hint="eastAsia" w:ascii="宋体" w:hAnsi="宋体"/>
        </w:rPr>
        <w:t xml:space="preserve">项目的政府采购活动，我联合体指定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ind w:firstLine="480"/>
        <w:spacing w:line="560" w:lineRule="exact"/>
        <w:rPr>
          <w:rFonts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480"/>
        <w:spacing w:line="560" w:lineRule="exact"/>
        <w:rPr>
          <w:rFonts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480"/>
        <w:spacing w:line="560" w:lineRule="exact"/>
        <w:rPr>
          <w:rFonts w:ascii="宋体" w:hAnsi="宋体"/>
        </w:rPr>
      </w:pPr>
      <w:r>
        <w:rPr>
          <w:rFonts w:ascii="宋体" w:hAnsi="宋体"/>
        </w:rPr>
      </w:r>
      <w:r/>
    </w:p>
    <w:p>
      <w:pPr>
        <w:ind w:firstLine="480"/>
        <w:spacing w:line="560" w:lineRule="exact"/>
        <w:rPr>
          <w:rFonts w:ascii="宋体" w:hAnsi="宋体"/>
        </w:rPr>
      </w:pPr>
      <w:r>
        <w:rPr>
          <w:rFonts w:ascii="宋体" w:hAnsi="宋体"/>
        </w:rPr>
        <w:t xml:space="preserve">                   </w:t>
      </w:r>
      <w:r>
        <w:rPr>
          <w:rFonts w:hint="eastAsia" w:ascii="宋体" w:hAnsi="宋体"/>
        </w:rPr>
        <w:t xml:space="preserve">                       </w:t>
      </w:r>
      <w:r/>
    </w:p>
    <w:p>
      <w:pPr>
        <w:ind w:firstLine="480"/>
        <w:jc w:val="center"/>
        <w:spacing w:line="560" w:lineRule="exact"/>
        <w:rPr>
          <w:rFonts w:ascii="宋体" w:hAnsi="宋体"/>
        </w:rPr>
      </w:pPr>
      <w:r>
        <w:rPr>
          <w:rFonts w:hint="eastAsia" w:ascii="宋体" w:hAnsi="宋体"/>
        </w:rPr>
        <w:t xml:space="preserve">联合体中各供应商全称（公章）：</w:t>
      </w:r>
      <w:r>
        <w:rPr>
          <w:rFonts w:ascii="宋体" w:hAnsi="宋体"/>
        </w:rPr>
        <w:t xml:space="preserve">     </w:t>
      </w:r>
      <w:r/>
    </w:p>
    <w:p>
      <w:pPr>
        <w:ind w:firstLine="480"/>
        <w:spacing w:line="560" w:lineRule="exact"/>
        <w:rPr>
          <w:rFonts w:ascii="宋体" w:hAnsi="宋体"/>
        </w:rPr>
      </w:pPr>
      <w:r>
        <w:rPr>
          <w:rFonts w:ascii="宋体" w:hAnsi="宋体"/>
        </w:rPr>
        <w:t xml:space="preserve">                   </w:t>
      </w:r>
      <w:r>
        <w:rPr>
          <w:rFonts w:hint="eastAsia" w:ascii="宋体" w:hAnsi="宋体"/>
        </w:rPr>
        <w:t xml:space="preserve">                     日期：</w:t>
      </w:r>
      <w:r/>
    </w:p>
    <w:p>
      <w:pPr>
        <w:pStyle w:val="754"/>
        <w:ind w:left="0" w:firstLine="0"/>
        <w:spacing w:line="400" w:lineRule="exact"/>
        <w:rPr>
          <w:sz w:val="21"/>
          <w:szCs w:val="21"/>
        </w:rPr>
      </w:pPr>
      <w:r>
        <w:rPr>
          <w:sz w:val="21"/>
          <w:szCs w:val="21"/>
        </w:rPr>
      </w:r>
      <w:r/>
    </w:p>
    <w:p>
      <w:pPr>
        <w:pStyle w:val="765"/>
      </w:p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pStyle w:val="765"/>
      </w:pPr>
      <w:r/>
      <w:r/>
    </w:p>
    <w:p>
      <w:r/>
      <w:r/>
    </w:p>
    <w:sectPr>
      <w:footerReference w:type="default" r:id="rId9"/>
      <w:footnotePr/>
      <w:endnotePr/>
      <w:type w:val="nextPage"/>
      <w:pgSz w:w="11906" w:h="16838" w:orient="portrait"/>
      <w:pgMar w:top="1440" w:right="1689" w:bottom="1440" w:left="168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Century Schoolbook">
    <w:panose1 w:val="02040604050505020304"/>
  </w:font>
  <w:font w:name="FangSong">
    <w:panose1 w:val="02010609060101010101"/>
  </w:font>
  <w:font w:name="MS Gothic">
    <w:panose1 w:val="020B060907020508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rPr>
        <w:rFonts w:ascii="Times New Roman" w:hAnsi="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47501538"/>
                            <w:rPr/>
                          </w:sdtPr>
                          <w:sdtContent>
                            <w:p>
                              <w:pPr>
                                <w:pStyle w:val="74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39</w:t>
                              </w:r>
                              <w:r>
                                <w:rPr>
                                  <w:rFonts w:ascii="Times New Roman" w:hAnsi="Times New Roman"/>
                                </w:rPr>
                                <w:fldChar w:fldCharType="end"/>
                              </w:r>
                              <w:r/>
                            </w:p>
                          </w:sdtContent>
                        </w:sdt>
                        <w:p>
                          <w:pPr>
                            <w:pStyle w:val="742"/>
                            <w:ind w:left="1470" w:right="147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47501538"/>
                      <w:rPr/>
                    </w:sdtPr>
                    <w:sdtContent>
                      <w:p>
                        <w:pPr>
                          <w:pStyle w:val="74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39</w:t>
                        </w:r>
                        <w:r>
                          <w:rPr>
                            <w:rFonts w:ascii="Times New Roman" w:hAnsi="Times New Roman"/>
                          </w:rPr>
                          <w:fldChar w:fldCharType="end"/>
                        </w:r>
                        <w:r/>
                      </w:p>
                    </w:sdtContent>
                  </w:sdt>
                  <w:p>
                    <w:pPr>
                      <w:pStyle w:val="742"/>
                      <w:ind w:left="1470" w:right="14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17"/>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3 Char"/>
    <w:basedOn w:val="733"/>
    <w:link w:val="726"/>
    <w:uiPriority w:val="9"/>
    <w:rPr>
      <w:rFonts w:ascii="Arial" w:hAnsi="Arial" w:eastAsia="Arial" w:cs="Arial"/>
      <w:sz w:val="30"/>
      <w:szCs w:val="30"/>
    </w:rPr>
  </w:style>
  <w:style w:type="character" w:styleId="690">
    <w:name w:val="Heading 4 Char"/>
    <w:basedOn w:val="733"/>
    <w:link w:val="727"/>
    <w:uiPriority w:val="9"/>
    <w:rPr>
      <w:rFonts w:ascii="Arial" w:hAnsi="Arial" w:eastAsia="Arial" w:cs="Arial"/>
      <w:b/>
      <w:bCs/>
      <w:sz w:val="26"/>
      <w:szCs w:val="26"/>
    </w:rPr>
  </w:style>
  <w:style w:type="character" w:styleId="691">
    <w:name w:val="Heading 5 Char"/>
    <w:basedOn w:val="733"/>
    <w:link w:val="728"/>
    <w:uiPriority w:val="9"/>
    <w:rPr>
      <w:rFonts w:ascii="Arial" w:hAnsi="Arial" w:eastAsia="Arial" w:cs="Arial"/>
      <w:b/>
      <w:bCs/>
      <w:sz w:val="24"/>
      <w:szCs w:val="24"/>
    </w:rPr>
  </w:style>
  <w:style w:type="character" w:styleId="692">
    <w:name w:val="Heading 6 Char"/>
    <w:basedOn w:val="733"/>
    <w:link w:val="729"/>
    <w:uiPriority w:val="9"/>
    <w:rPr>
      <w:rFonts w:ascii="Arial" w:hAnsi="Arial" w:eastAsia="Arial" w:cs="Arial"/>
      <w:b/>
      <w:bCs/>
      <w:sz w:val="22"/>
      <w:szCs w:val="22"/>
    </w:rPr>
  </w:style>
  <w:style w:type="character" w:styleId="693">
    <w:name w:val="Heading 7 Char"/>
    <w:basedOn w:val="733"/>
    <w:link w:val="730"/>
    <w:uiPriority w:val="9"/>
    <w:rPr>
      <w:rFonts w:ascii="Arial" w:hAnsi="Arial" w:eastAsia="Arial" w:cs="Arial"/>
      <w:b/>
      <w:bCs/>
      <w:i/>
      <w:iCs/>
      <w:sz w:val="22"/>
      <w:szCs w:val="22"/>
    </w:rPr>
  </w:style>
  <w:style w:type="character" w:styleId="694">
    <w:name w:val="Heading 8 Char"/>
    <w:basedOn w:val="733"/>
    <w:link w:val="731"/>
    <w:uiPriority w:val="9"/>
    <w:rPr>
      <w:rFonts w:ascii="Arial" w:hAnsi="Arial" w:eastAsia="Arial" w:cs="Arial"/>
      <w:i/>
      <w:iCs/>
      <w:sz w:val="22"/>
      <w:szCs w:val="22"/>
    </w:rPr>
  </w:style>
  <w:style w:type="character" w:styleId="695">
    <w:name w:val="Heading 9 Char"/>
    <w:basedOn w:val="733"/>
    <w:link w:val="732"/>
    <w:uiPriority w:val="9"/>
    <w:rPr>
      <w:rFonts w:ascii="Arial" w:hAnsi="Arial" w:eastAsia="Arial" w:cs="Arial"/>
      <w:i/>
      <w:iCs/>
      <w:sz w:val="21"/>
      <w:szCs w:val="21"/>
    </w:rPr>
  </w:style>
  <w:style w:type="character" w:styleId="696">
    <w:name w:val="Title Char"/>
    <w:basedOn w:val="733"/>
    <w:link w:val="758"/>
    <w:uiPriority w:val="10"/>
    <w:rPr>
      <w:sz w:val="48"/>
      <w:szCs w:val="48"/>
    </w:rPr>
  </w:style>
  <w:style w:type="character" w:styleId="697">
    <w:name w:val="Subtitle Char"/>
    <w:basedOn w:val="733"/>
    <w:link w:val="751"/>
    <w:uiPriority w:val="11"/>
    <w:rPr>
      <w:sz w:val="24"/>
      <w:szCs w:val="24"/>
    </w:rPr>
  </w:style>
  <w:style w:type="character" w:styleId="698">
    <w:name w:val="Quote Char"/>
    <w:link w:val="780"/>
    <w:uiPriority w:val="29"/>
    <w:rPr>
      <w:i/>
    </w:rPr>
  </w:style>
  <w:style w:type="character" w:styleId="699">
    <w:name w:val="Intense Quote Char"/>
    <w:link w:val="782"/>
    <w:uiPriority w:val="30"/>
    <w:rPr>
      <w:i/>
    </w:rPr>
  </w:style>
  <w:style w:type="character" w:styleId="700">
    <w:name w:val="Header Char"/>
    <w:basedOn w:val="733"/>
    <w:link w:val="748"/>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2"/>
    <w:uiPriority w:val="99"/>
    <w:rPr>
      <w:sz w:val="18"/>
    </w:rPr>
  </w:style>
  <w:style w:type="character" w:styleId="721">
    <w:name w:val="Endnote Text Char"/>
    <w:link w:val="746"/>
    <w:uiPriority w:val="99"/>
    <w:rPr>
      <w:sz w:val="20"/>
    </w:rPr>
  </w:style>
  <w:style w:type="paragraph" w:styleId="722">
    <w:name w:val="TOC Heading"/>
    <w:uiPriority w:val="39"/>
    <w:unhideWhenUsed/>
  </w:style>
  <w:style w:type="paragraph" w:styleId="723" w:default="1">
    <w:name w:val="Normal"/>
    <w:next w:val="735"/>
    <w:uiPriority w:val="0"/>
    <w:qFormat/>
    <w:pPr>
      <w:jc w:val="both"/>
      <w:widowControl w:val="off"/>
    </w:pPr>
    <w:rPr>
      <w:rFonts w:ascii="Calibri" w:hAnsi="Calibri" w:eastAsia="宋体" w:cs="Times New Roman"/>
      <w:sz w:val="21"/>
      <w:szCs w:val="22"/>
      <w:lang w:val="en-US" w:eastAsia="zh-CN" w:bidi="ar-SA"/>
    </w:rPr>
  </w:style>
  <w:style w:type="paragraph" w:styleId="724">
    <w:name w:val="Heading 1"/>
    <w:basedOn w:val="723"/>
    <w:next w:val="723"/>
    <w:link w:val="925"/>
    <w:uiPriority w:val="9"/>
    <w:qFormat/>
    <w:pPr>
      <w:jc w:val="center"/>
      <w:keepNext/>
      <w:outlineLvl w:val="0"/>
    </w:pPr>
    <w:rPr>
      <w:rFonts w:ascii="楷体_GB2312" w:hAnsi="楷体_GB2312" w:cs="宋体"/>
      <w:b/>
      <w:sz w:val="32"/>
      <w:szCs w:val="24"/>
    </w:rPr>
  </w:style>
  <w:style w:type="paragraph" w:styleId="725">
    <w:name w:val="Heading 2"/>
    <w:basedOn w:val="723"/>
    <w:next w:val="723"/>
    <w:uiPriority w:val="0"/>
    <w:qFormat/>
    <w:pPr>
      <w:jc w:val="left"/>
      <w:keepLines/>
      <w:keepNext/>
      <w:spacing w:before="260" w:after="260" w:line="480" w:lineRule="auto"/>
      <w:outlineLvl w:val="1"/>
    </w:pPr>
    <w:rPr>
      <w:rFonts w:ascii="Arial" w:hAnsi="Arial"/>
      <w:b/>
      <w:bCs/>
      <w:sz w:val="28"/>
      <w:szCs w:val="32"/>
    </w:rPr>
  </w:style>
  <w:style w:type="paragraph" w:styleId="726">
    <w:name w:val="Heading 3"/>
    <w:basedOn w:val="723"/>
    <w:next w:val="723"/>
    <w:link w:val="770"/>
    <w:uiPriority w:val="9"/>
    <w:unhideWhenUsed/>
    <w:qFormat/>
    <w:pPr>
      <w:keepLines/>
      <w:keepNext/>
      <w:spacing w:before="320" w:after="200"/>
      <w:outlineLvl w:val="2"/>
    </w:pPr>
    <w:rPr>
      <w:rFonts w:ascii="Arial" w:hAnsi="Arial" w:cs="Arial"/>
      <w:sz w:val="28"/>
      <w:szCs w:val="30"/>
    </w:rPr>
  </w:style>
  <w:style w:type="paragraph" w:styleId="727">
    <w:name w:val="Heading 4"/>
    <w:basedOn w:val="726"/>
    <w:next w:val="723"/>
    <w:link w:val="771"/>
    <w:uiPriority w:val="9"/>
    <w:unhideWhenUsed/>
    <w:qFormat/>
    <w:pPr>
      <w:outlineLvl w:val="3"/>
    </w:pPr>
    <w:rPr>
      <w:rFonts w:eastAsia="Arial"/>
      <w:b/>
      <w:bCs/>
      <w:sz w:val="26"/>
      <w:szCs w:val="26"/>
    </w:rPr>
  </w:style>
  <w:style w:type="paragraph" w:styleId="728">
    <w:name w:val="Heading 5"/>
    <w:basedOn w:val="723"/>
    <w:next w:val="723"/>
    <w:link w:val="772"/>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3"/>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next w:val="723"/>
    <w:link w:val="774"/>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775"/>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next w:val="723"/>
    <w:link w:val="776"/>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Body Text"/>
    <w:basedOn w:val="723"/>
    <w:link w:val="915"/>
    <w:uiPriority w:val="99"/>
    <w:qFormat/>
    <w:pPr>
      <w:jc w:val="left"/>
      <w:spacing w:line="360" w:lineRule="auto"/>
      <w:widowControl/>
    </w:pPr>
    <w:rPr>
      <w:sz w:val="24"/>
      <w:szCs w:val="24"/>
    </w:rPr>
  </w:style>
  <w:style w:type="paragraph" w:styleId="736">
    <w:name w:val="toc 7"/>
    <w:basedOn w:val="723"/>
    <w:next w:val="723"/>
    <w:uiPriority w:val="39"/>
    <w:unhideWhenUsed/>
    <w:qFormat/>
    <w:pPr>
      <w:ind w:left="1701"/>
      <w:spacing w:after="57"/>
    </w:pPr>
  </w:style>
  <w:style w:type="paragraph" w:styleId="737">
    <w:name w:val="Note Heading"/>
    <w:basedOn w:val="723"/>
    <w:uiPriority w:val="0"/>
    <w:qFormat/>
    <w:rPr>
      <w:rFonts w:ascii="Verdana" w:hAnsi="Verdana"/>
      <w:szCs w:val="20"/>
    </w:rPr>
  </w:style>
  <w:style w:type="paragraph" w:styleId="738">
    <w:name w:val="Normal Indent"/>
    <w:basedOn w:val="723"/>
    <w:next w:val="739"/>
    <w:uiPriority w:val="0"/>
    <w:unhideWhenUsed/>
    <w:qFormat/>
    <w:pPr>
      <w:ind w:firstLine="420"/>
    </w:pPr>
    <w:rPr>
      <w:szCs w:val="21"/>
    </w:rPr>
  </w:style>
  <w:style w:type="paragraph" w:styleId="739">
    <w:name w:val="Plain Text"/>
    <w:basedOn w:val="723"/>
    <w:next w:val="738"/>
    <w:uiPriority w:val="0"/>
    <w:qFormat/>
    <w:pPr>
      <w:spacing w:line="360" w:lineRule="auto"/>
    </w:pPr>
    <w:rPr>
      <w:rFonts w:ascii="楷体_GB2312" w:hAnsi="Courier New" w:eastAsia="楷体_GB2312"/>
      <w:sz w:val="24"/>
      <w:szCs w:val="20"/>
    </w:rPr>
  </w:style>
  <w:style w:type="paragraph" w:styleId="740">
    <w:name w:val="Caption"/>
    <w:basedOn w:val="723"/>
    <w:next w:val="72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3"/>
    <w:basedOn w:val="723"/>
    <w:uiPriority w:val="0"/>
    <w:qFormat/>
    <w:rPr>
      <w:sz w:val="16"/>
      <w:szCs w:val="16"/>
    </w:rPr>
  </w:style>
  <w:style w:type="paragraph" w:styleId="742">
    <w:name w:val="Block Text"/>
    <w:basedOn w:val="723"/>
    <w:next w:val="723"/>
    <w:uiPriority w:val="0"/>
    <w:unhideWhenUsed/>
    <w:qFormat/>
    <w:pPr>
      <w:ind w:left="1440" w:right="1440"/>
      <w:spacing w:after="120"/>
    </w:pPr>
  </w:style>
  <w:style w:type="paragraph" w:styleId="743">
    <w:name w:val="toc 5"/>
    <w:basedOn w:val="723"/>
    <w:next w:val="723"/>
    <w:uiPriority w:val="39"/>
    <w:unhideWhenUsed/>
    <w:qFormat/>
    <w:pPr>
      <w:ind w:left="1134"/>
      <w:spacing w:after="57"/>
    </w:pPr>
  </w:style>
  <w:style w:type="paragraph" w:styleId="744">
    <w:name w:val="toc 3"/>
    <w:basedOn w:val="723"/>
    <w:next w:val="723"/>
    <w:uiPriority w:val="39"/>
    <w:unhideWhenUsed/>
    <w:qFormat/>
    <w:pPr>
      <w:ind w:left="567"/>
      <w:spacing w:after="57"/>
    </w:pPr>
  </w:style>
  <w:style w:type="paragraph" w:styleId="745">
    <w:name w:val="toc 8"/>
    <w:basedOn w:val="723"/>
    <w:next w:val="723"/>
    <w:uiPriority w:val="39"/>
    <w:unhideWhenUsed/>
    <w:qFormat/>
    <w:pPr>
      <w:ind w:left="1984"/>
      <w:spacing w:after="57"/>
    </w:pPr>
  </w:style>
  <w:style w:type="paragraph" w:styleId="746">
    <w:name w:val="endnote text"/>
    <w:basedOn w:val="723"/>
    <w:link w:val="913"/>
    <w:uiPriority w:val="99"/>
    <w:semiHidden/>
    <w:unhideWhenUsed/>
    <w:qFormat/>
    <w:rPr>
      <w:sz w:val="20"/>
    </w:rPr>
  </w:style>
  <w:style w:type="paragraph" w:styleId="747">
    <w:name w:val="Footer"/>
    <w:basedOn w:val="723"/>
    <w:uiPriority w:val="0"/>
    <w:qFormat/>
    <w:pPr>
      <w:jc w:val="left"/>
      <w:tabs>
        <w:tab w:val="center" w:pos="4153" w:leader="none"/>
        <w:tab w:val="right" w:pos="8306" w:leader="none"/>
      </w:tabs>
    </w:pPr>
    <w:rPr>
      <w:sz w:val="18"/>
    </w:rPr>
  </w:style>
  <w:style w:type="paragraph" w:styleId="748">
    <w:name w:val="Header"/>
    <w:basedOn w:val="723"/>
    <w:link w:val="784"/>
    <w:uiPriority w:val="99"/>
    <w:unhideWhenUsed/>
    <w:qFormat/>
    <w:pPr>
      <w:tabs>
        <w:tab w:val="center" w:pos="7143" w:leader="none"/>
        <w:tab w:val="right" w:pos="14287" w:leader="none"/>
      </w:tabs>
    </w:pPr>
  </w:style>
  <w:style w:type="paragraph" w:styleId="749">
    <w:name w:val="toc 1"/>
    <w:basedOn w:val="723"/>
    <w:next w:val="723"/>
    <w:uiPriority w:val="39"/>
    <w:unhideWhenUsed/>
    <w:qFormat/>
    <w:pPr>
      <w:spacing w:after="57"/>
    </w:pPr>
  </w:style>
  <w:style w:type="paragraph" w:styleId="750">
    <w:name w:val="toc 4"/>
    <w:basedOn w:val="723"/>
    <w:next w:val="723"/>
    <w:uiPriority w:val="39"/>
    <w:unhideWhenUsed/>
    <w:qFormat/>
    <w:pPr>
      <w:ind w:left="850"/>
      <w:spacing w:after="57"/>
    </w:pPr>
  </w:style>
  <w:style w:type="paragraph" w:styleId="751">
    <w:name w:val="Subtitle"/>
    <w:basedOn w:val="723"/>
    <w:next w:val="723"/>
    <w:link w:val="779"/>
    <w:uiPriority w:val="11"/>
    <w:qFormat/>
    <w:pPr>
      <w:spacing w:before="200" w:after="200"/>
    </w:pPr>
    <w:rPr>
      <w:sz w:val="24"/>
      <w:szCs w:val="24"/>
    </w:rPr>
  </w:style>
  <w:style w:type="paragraph" w:styleId="752">
    <w:name w:val="footnote text"/>
    <w:basedOn w:val="723"/>
    <w:link w:val="912"/>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Body Text Indent 3"/>
    <w:basedOn w:val="723"/>
    <w:uiPriority w:val="0"/>
    <w:qFormat/>
    <w:pPr>
      <w:ind w:left="645" w:firstLine="645"/>
    </w:pPr>
    <w:rPr>
      <w:sz w:val="16"/>
      <w:szCs w:val="16"/>
    </w:rPr>
  </w:style>
  <w:style w:type="paragraph" w:styleId="755">
    <w:name w:val="table of figures"/>
    <w:basedOn w:val="723"/>
    <w:next w:val="723"/>
    <w:uiPriority w:val="99"/>
    <w:unhideWhenUsed/>
    <w:qFormat/>
  </w:style>
  <w:style w:type="paragraph" w:styleId="756">
    <w:name w:val="toc 2"/>
    <w:basedOn w:val="723"/>
    <w:next w:val="723"/>
    <w:uiPriority w:val="39"/>
    <w:unhideWhenUsed/>
    <w:qFormat/>
    <w:pPr>
      <w:ind w:left="283"/>
      <w:spacing w:after="57"/>
    </w:pPr>
  </w:style>
  <w:style w:type="paragraph" w:styleId="757">
    <w:name w:val="toc 9"/>
    <w:basedOn w:val="723"/>
    <w:next w:val="723"/>
    <w:uiPriority w:val="39"/>
    <w:unhideWhenUsed/>
    <w:qFormat/>
    <w:pPr>
      <w:ind w:left="2268"/>
      <w:spacing w:after="57"/>
    </w:pPr>
  </w:style>
  <w:style w:type="paragraph" w:styleId="758">
    <w:name w:val="Title"/>
    <w:basedOn w:val="723"/>
    <w:next w:val="723"/>
    <w:link w:val="778"/>
    <w:uiPriority w:val="10"/>
    <w:qFormat/>
    <w:pPr>
      <w:contextualSpacing/>
      <w:spacing w:before="300" w:after="200"/>
    </w:pPr>
    <w:rPr>
      <w:sz w:val="48"/>
      <w:szCs w:val="48"/>
    </w:rPr>
  </w:style>
  <w:style w:type="paragraph" w:styleId="759">
    <w:name w:val="Body Text First Indent"/>
    <w:basedOn w:val="735"/>
    <w:uiPriority w:val="0"/>
    <w:qFormat/>
    <w:pPr>
      <w:ind w:firstLine="420"/>
      <w:spacing w:after="120"/>
    </w:pPr>
    <w:rPr>
      <w:rFonts w:ascii="Times New Roman" w:hAnsi="Times New Roman"/>
      <w:sz w:val="21"/>
    </w:rPr>
  </w:style>
  <w:style w:type="table" w:styleId="760">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3"/>
    <w:uiPriority w:val="99"/>
    <w:semiHidden/>
    <w:unhideWhenUsed/>
    <w:qFormat/>
    <w:rPr>
      <w:vertAlign w:val="superscript"/>
    </w:rPr>
  </w:style>
  <w:style w:type="character" w:styleId="762">
    <w:name w:val="HTML Typewriter"/>
    <w:uiPriority w:val="99"/>
    <w:unhideWhenUsed/>
    <w:qFormat/>
    <w:rPr>
      <w:rFonts w:hint="eastAsia" w:ascii="宋体" w:hAnsi="宋体" w:eastAsia="宋体" w:cs="宋体"/>
      <w:sz w:val="24"/>
      <w:szCs w:val="24"/>
    </w:rPr>
  </w:style>
  <w:style w:type="character" w:styleId="763">
    <w:name w:val="Hyperlink"/>
    <w:uiPriority w:val="99"/>
    <w:unhideWhenUsed/>
    <w:qFormat/>
    <w:rPr>
      <w:color w:val="0000ff"/>
      <w:u w:val="single"/>
    </w:rPr>
  </w:style>
  <w:style w:type="character" w:styleId="764">
    <w:name w:val="footnote reference"/>
    <w:basedOn w:val="733"/>
    <w:uiPriority w:val="99"/>
    <w:unhideWhenUsed/>
    <w:qFormat/>
    <w:rPr>
      <w:vertAlign w:val="superscript"/>
    </w:rPr>
  </w:style>
  <w:style w:type="paragraph" w:styleId="765">
    <w:name w:val="List Paragraph"/>
    <w:basedOn w:val="723"/>
    <w:uiPriority w:val="34"/>
    <w:qFormat/>
    <w:pPr>
      <w:ind w:firstLine="420"/>
    </w:pPr>
    <w:rPr>
      <w:szCs w:val="24"/>
    </w:rPr>
  </w:style>
  <w:style w:type="paragraph" w:styleId="766" w:customStyle="1">
    <w:name w:val="首行缩进"/>
    <w:basedOn w:val="723"/>
    <w:uiPriority w:val="0"/>
    <w:qFormat/>
    <w:pPr>
      <w:ind w:firstLine="420"/>
      <w:spacing w:line="360" w:lineRule="auto"/>
    </w:pPr>
  </w:style>
  <w:style w:type="paragraph" w:styleId="767" w:customStyle="1">
    <w:name w:val="Default"/>
    <w:next w:val="723"/>
    <w:uiPriority w:val="0"/>
    <w:qFormat/>
    <w:pPr>
      <w:widowControl w:val="off"/>
    </w:pPr>
    <w:rPr>
      <w:rFonts w:ascii="宋体" w:hAnsi="Times New Roman" w:eastAsia="宋体" w:cs="宋体"/>
      <w:color w:val="000000"/>
      <w:sz w:val="24"/>
      <w:szCs w:val="24"/>
      <w:lang w:val="en-US" w:eastAsia="zh-CN" w:bidi="ar-SA"/>
    </w:rPr>
  </w:style>
  <w:style w:type="character" w:styleId="768" w:customStyle="1">
    <w:name w:val="Heading 1 Char"/>
    <w:basedOn w:val="733"/>
    <w:uiPriority w:val="9"/>
    <w:qFormat/>
    <w:rPr>
      <w:rFonts w:ascii="Arial" w:hAnsi="Arial" w:eastAsia="Arial" w:cs="Arial"/>
      <w:sz w:val="40"/>
      <w:szCs w:val="40"/>
    </w:rPr>
  </w:style>
  <w:style w:type="character" w:styleId="769" w:customStyle="1">
    <w:name w:val="Heading 2 Char"/>
    <w:basedOn w:val="733"/>
    <w:uiPriority w:val="9"/>
    <w:qFormat/>
    <w:rPr>
      <w:rFonts w:ascii="Arial" w:hAnsi="Arial" w:eastAsia="Arial" w:cs="Arial"/>
      <w:sz w:val="34"/>
    </w:rPr>
  </w:style>
  <w:style w:type="character" w:styleId="770" w:customStyle="1">
    <w:name w:val="标题 3 字符"/>
    <w:basedOn w:val="733"/>
    <w:link w:val="726"/>
    <w:uiPriority w:val="9"/>
    <w:qFormat/>
    <w:rPr>
      <w:rFonts w:ascii="Arial" w:hAnsi="Arial" w:eastAsia="宋体" w:cs="Arial"/>
      <w:sz w:val="28"/>
      <w:szCs w:val="30"/>
    </w:rPr>
  </w:style>
  <w:style w:type="character" w:styleId="771" w:customStyle="1">
    <w:name w:val="标题 4 字符"/>
    <w:basedOn w:val="733"/>
    <w:link w:val="727"/>
    <w:uiPriority w:val="9"/>
    <w:qFormat/>
    <w:rPr>
      <w:rFonts w:ascii="Arial" w:hAnsi="Arial" w:eastAsia="Arial" w:cs="Arial"/>
      <w:b/>
      <w:bCs/>
      <w:sz w:val="26"/>
      <w:szCs w:val="26"/>
    </w:rPr>
  </w:style>
  <w:style w:type="character" w:styleId="772" w:customStyle="1">
    <w:name w:val="标题 5 字符"/>
    <w:basedOn w:val="733"/>
    <w:link w:val="728"/>
    <w:uiPriority w:val="9"/>
    <w:qFormat/>
    <w:rPr>
      <w:rFonts w:ascii="Arial" w:hAnsi="Arial" w:eastAsia="Arial" w:cs="Arial"/>
      <w:b/>
      <w:bCs/>
      <w:sz w:val="24"/>
      <w:szCs w:val="24"/>
    </w:rPr>
  </w:style>
  <w:style w:type="character" w:styleId="773" w:customStyle="1">
    <w:name w:val="标题 6 字符"/>
    <w:basedOn w:val="733"/>
    <w:link w:val="729"/>
    <w:uiPriority w:val="9"/>
    <w:qFormat/>
    <w:rPr>
      <w:rFonts w:ascii="Arial" w:hAnsi="Arial" w:eastAsia="Arial" w:cs="Arial"/>
      <w:b/>
      <w:bCs/>
      <w:sz w:val="22"/>
      <w:szCs w:val="22"/>
    </w:rPr>
  </w:style>
  <w:style w:type="character" w:styleId="774" w:customStyle="1">
    <w:name w:val="标题 7 字符"/>
    <w:basedOn w:val="733"/>
    <w:link w:val="730"/>
    <w:uiPriority w:val="9"/>
    <w:qFormat/>
    <w:rPr>
      <w:rFonts w:ascii="Arial" w:hAnsi="Arial" w:eastAsia="Arial" w:cs="Arial"/>
      <w:b/>
      <w:bCs/>
      <w:i/>
      <w:iCs/>
      <w:sz w:val="22"/>
      <w:szCs w:val="22"/>
    </w:rPr>
  </w:style>
  <w:style w:type="character" w:styleId="775" w:customStyle="1">
    <w:name w:val="标题 8 字符"/>
    <w:basedOn w:val="733"/>
    <w:link w:val="731"/>
    <w:uiPriority w:val="9"/>
    <w:qFormat/>
    <w:rPr>
      <w:rFonts w:ascii="Arial" w:hAnsi="Arial" w:eastAsia="Arial" w:cs="Arial"/>
      <w:i/>
      <w:iCs/>
      <w:sz w:val="22"/>
      <w:szCs w:val="22"/>
    </w:rPr>
  </w:style>
  <w:style w:type="character" w:styleId="776" w:customStyle="1">
    <w:name w:val="标题 9 字符"/>
    <w:basedOn w:val="733"/>
    <w:link w:val="732"/>
    <w:uiPriority w:val="9"/>
    <w:qFormat/>
    <w:rPr>
      <w:rFonts w:ascii="Arial" w:hAnsi="Arial" w:eastAsia="Arial" w:cs="Arial"/>
      <w:i/>
      <w:iCs/>
      <w:sz w:val="21"/>
      <w:szCs w:val="21"/>
    </w:rPr>
  </w:style>
  <w:style w:type="paragraph" w:styleId="777">
    <w:name w:val="No Spacing"/>
    <w:uiPriority w:val="1"/>
    <w:qFormat/>
    <w:rPr>
      <w:rFonts w:asciiTheme="minorHAnsi" w:hAnsiTheme="minorHAnsi" w:eastAsiaTheme="minorEastAsia" w:cstheme="minorBidi"/>
      <w:lang w:val="en-US" w:eastAsia="zh-CN" w:bidi="ar-SA"/>
    </w:rPr>
  </w:style>
  <w:style w:type="character" w:styleId="778" w:customStyle="1">
    <w:name w:val="标题 字符"/>
    <w:basedOn w:val="733"/>
    <w:link w:val="758"/>
    <w:uiPriority w:val="10"/>
    <w:qFormat/>
    <w:rPr>
      <w:sz w:val="48"/>
      <w:szCs w:val="48"/>
    </w:rPr>
  </w:style>
  <w:style w:type="character" w:styleId="779" w:customStyle="1">
    <w:name w:val="副标题 字符"/>
    <w:basedOn w:val="733"/>
    <w:link w:val="751"/>
    <w:uiPriority w:val="11"/>
    <w:qFormat/>
    <w:rPr>
      <w:sz w:val="24"/>
      <w:szCs w:val="24"/>
    </w:rPr>
  </w:style>
  <w:style w:type="paragraph" w:styleId="780">
    <w:name w:val="Quote"/>
    <w:basedOn w:val="723"/>
    <w:next w:val="723"/>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23"/>
    <w:next w:val="723"/>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basedOn w:val="733"/>
    <w:link w:val="748"/>
    <w:uiPriority w:val="99"/>
    <w:qFormat/>
  </w:style>
  <w:style w:type="character" w:styleId="785" w:customStyle="1">
    <w:name w:val="Footer Char"/>
    <w:basedOn w:val="733"/>
    <w:uiPriority w:val="99"/>
    <w:qFormat/>
  </w:style>
  <w:style w:type="character" w:styleId="786" w:customStyle="1">
    <w:name w:val="Caption Char"/>
    <w:uiPriority w:val="99"/>
    <w:qFormat/>
  </w:style>
  <w:style w:type="table" w:styleId="787"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8"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3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3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3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3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3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3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3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3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3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3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3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3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3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3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3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3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3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3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3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3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3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3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3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3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3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3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3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2" w:customStyle="1">
    <w:name w:val="Grid Table 6 Colorful - Accent 4"/>
    <w:basedOn w:val="73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3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3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3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3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3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3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3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3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34"/>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3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3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3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3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3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3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3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3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3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3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3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3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3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3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3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3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3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3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3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3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3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3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3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3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3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3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3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3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3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3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3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3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3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3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3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3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3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3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3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3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3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3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3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3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3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3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3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3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3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3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3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3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3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3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脚注文本 字符"/>
    <w:link w:val="752"/>
    <w:uiPriority w:val="99"/>
    <w:qFormat/>
    <w:rPr>
      <w:sz w:val="18"/>
    </w:rPr>
  </w:style>
  <w:style w:type="character" w:styleId="913" w:customStyle="1">
    <w:name w:val="尾注文本 字符"/>
    <w:link w:val="746"/>
    <w:uiPriority w:val="99"/>
    <w:qFormat/>
    <w:rPr>
      <w:sz w:val="20"/>
    </w:rPr>
  </w:style>
  <w:style w:type="paragraph" w:styleId="914" w:customStyle="1">
    <w:name w:val="TOC 标题1"/>
    <w:uiPriority w:val="39"/>
    <w:unhideWhenUsed/>
    <w:qFormat/>
    <w:rPr>
      <w:rFonts w:asciiTheme="minorHAnsi" w:hAnsiTheme="minorHAnsi" w:eastAsiaTheme="minorEastAsia" w:cstheme="minorBidi"/>
      <w:lang w:val="en-US" w:eastAsia="zh-CN" w:bidi="ar-SA"/>
    </w:rPr>
  </w:style>
  <w:style w:type="character" w:styleId="915" w:customStyle="1">
    <w:name w:val="正文文本 字符"/>
    <w:link w:val="735"/>
    <w:uiPriority w:val="99"/>
    <w:qFormat/>
    <w:rPr>
      <w:rFonts w:eastAsia="宋体"/>
      <w:sz w:val="24"/>
      <w:szCs w:val="24"/>
    </w:rPr>
  </w:style>
  <w:style w:type="paragraph" w:styleId="916"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17" w:customStyle="1">
    <w:name w:val="标题 31"/>
    <w:basedOn w:val="723"/>
    <w:uiPriority w:val="0"/>
    <w:qFormat/>
    <w:pPr>
      <w:numPr>
        <w:ilvl w:val="0"/>
        <w:numId w:val="1"/>
      </w:numPr>
      <w:jc w:val="center"/>
      <w:keepNext/>
      <w:spacing w:line="400" w:lineRule="exact"/>
      <w:outlineLvl w:val="2"/>
    </w:pPr>
    <w:rPr>
      <w:rFonts w:ascii="仿宋_GB2312" w:hAnsi="Times New Roman" w:eastAsia="仿宋_GB2312"/>
      <w:sz w:val="32"/>
      <w:szCs w:val="20"/>
    </w:rPr>
  </w:style>
  <w:style w:type="character" w:styleId="918" w:customStyle="1">
    <w:name w:val="font31"/>
    <w:basedOn w:val="733"/>
    <w:uiPriority w:val="0"/>
    <w:qFormat/>
    <w:rPr>
      <w:rFonts w:hint="eastAsia" w:ascii="宋体" w:hAnsi="宋体" w:eastAsia="宋体" w:cs="宋体"/>
      <w:color w:val="000000"/>
      <w:sz w:val="20"/>
      <w:szCs w:val="20"/>
      <w:u w:val="none"/>
    </w:rPr>
  </w:style>
  <w:style w:type="character" w:styleId="919" w:customStyle="1">
    <w:name w:val="font61"/>
    <w:basedOn w:val="733"/>
    <w:uiPriority w:val="0"/>
    <w:qFormat/>
    <w:rPr>
      <w:rFonts w:ascii="MS Gothic" w:hAnsi="MS Gothic" w:eastAsia="MS Gothic" w:cs="MS Gothic"/>
      <w:color w:val="000000"/>
      <w:sz w:val="20"/>
      <w:szCs w:val="20"/>
      <w:u w:val="none"/>
    </w:rPr>
  </w:style>
  <w:style w:type="character" w:styleId="920" w:customStyle="1">
    <w:name w:val="font71"/>
    <w:basedOn w:val="733"/>
    <w:uiPriority w:val="0"/>
    <w:qFormat/>
    <w:rPr>
      <w:rFonts w:ascii="Arial" w:hAnsi="Arial" w:cs="Arial"/>
      <w:color w:val="000000"/>
      <w:sz w:val="20"/>
      <w:szCs w:val="20"/>
      <w:u w:val="none"/>
    </w:rPr>
  </w:style>
  <w:style w:type="character" w:styleId="921" w:customStyle="1">
    <w:name w:val="font51"/>
    <w:basedOn w:val="733"/>
    <w:uiPriority w:val="0"/>
    <w:qFormat/>
    <w:rPr>
      <w:rFonts w:hint="default" w:ascii="Arial" w:hAnsi="Arial" w:cs="Arial"/>
      <w:color w:val="000000"/>
      <w:sz w:val="20"/>
      <w:szCs w:val="20"/>
      <w:u w:val="none"/>
    </w:rPr>
  </w:style>
  <w:style w:type="character" w:styleId="922" w:customStyle="1">
    <w:name w:val="font81"/>
    <w:basedOn w:val="733"/>
    <w:uiPriority w:val="0"/>
    <w:qFormat/>
    <w:rPr>
      <w:rFonts w:hint="eastAsia" w:ascii="宋体" w:hAnsi="宋体" w:eastAsia="宋体" w:cs="宋体"/>
      <w:color w:val="000000"/>
      <w:sz w:val="20"/>
      <w:szCs w:val="20"/>
      <w:u w:val="none"/>
    </w:rPr>
  </w:style>
  <w:style w:type="paragraph" w:styleId="923" w:customStyle="1">
    <w:name w:val="WPS Plain"/>
    <w:uiPriority w:val="0"/>
    <w:qFormat/>
    <w:rPr>
      <w:rFonts w:ascii="Times New Roman" w:hAnsi="Times New Roman" w:eastAsia="宋体" w:cs="Times New Roman"/>
      <w:lang w:val="en-US" w:eastAsia="zh-CN" w:bidi="ar-SA"/>
    </w:rPr>
  </w:style>
  <w:style w:type="character" w:styleId="924" w:customStyle="1">
    <w:name w:val="font01"/>
    <w:basedOn w:val="733"/>
    <w:uiPriority w:val="0"/>
    <w:qFormat/>
    <w:rPr>
      <w:rFonts w:hint="eastAsia" w:ascii="宋体" w:hAnsi="宋体" w:eastAsia="宋体" w:cs="宋体"/>
      <w:b/>
      <w:bCs/>
      <w:color w:val="000000"/>
      <w:sz w:val="20"/>
      <w:szCs w:val="20"/>
      <w:u w:val="none"/>
    </w:rPr>
  </w:style>
  <w:style w:type="character" w:styleId="925" w:customStyle="1">
    <w:name w:val="标题 1 字符"/>
    <w:link w:val="724"/>
    <w:uiPriority w:val="9"/>
    <w:qFormat/>
    <w:rPr>
      <w:rFonts w:ascii="楷体_GB2312" w:hAnsi="楷体_GB2312" w:eastAsia="宋体" w:cs="宋体"/>
      <w:b/>
      <w:sz w:val="32"/>
      <w:szCs w:val="24"/>
    </w:rPr>
  </w:style>
  <w:style w:type="paragraph" w:styleId="926" w:customStyle="1">
    <w:name w:val="正文1"/>
    <w:uiPriority w:val="0"/>
    <w:qFormat/>
    <w:rPr>
      <w:rFonts w:ascii="Times New Roman" w:hAnsi="Times New Roman" w:eastAsia="Times New Roman" w:cs="Times New Roman"/>
      <w:sz w:val="24"/>
      <w:szCs w:val="24"/>
      <w:lang w:val="en-US" w:eastAsia="zh-CN" w:bidi="ar-SA"/>
    </w:rPr>
  </w:style>
  <w:style w:type="paragraph" w:styleId="92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
    <w:uiPriority w:val="99"/>
    <w:qFormat/>
    <w:pPr>
      <w:spacing w:line="300" w:lineRule="auto"/>
    </w:pPr>
    <w:rPr>
      <w:rFonts w:ascii="Arial" w:hAnsi="Arial" w:eastAsia="宋体" w:cs="Arial"/>
      <w:szCs w:val="21"/>
      <w:lang w:val="en-US" w:eastAsia="zh-CN" w:bidi="ar-SA"/>
    </w:rPr>
  </w:style>
  <w:style w:type="paragraph" w:styleId="929" w:customStyle="1">
    <w:name w:val="Body text|1"/>
    <w:basedOn w:val="723"/>
    <w:uiPriority w:val="0"/>
    <w:qFormat/>
    <w:pPr>
      <w:ind w:firstLine="400"/>
      <w:spacing w:line="372" w:lineRule="auto"/>
    </w:pPr>
    <w:rPr>
      <w:rFonts w:ascii="宋体" w:hAnsi="宋体" w:cs="宋体"/>
      <w:sz w:val="28"/>
      <w:szCs w:val="28"/>
      <w:lang w:val="zh-TW" w:eastAsia="zh-TW" w:bidi="zh-TW"/>
    </w:rPr>
  </w:style>
  <w:style w:type="paragraph" w:styleId="930" w:customStyle="1">
    <w:name w:val="正文缩进1"/>
    <w:basedOn w:val="931"/>
    <w:uiPriority w:val="0"/>
    <w:qFormat/>
    <w:pPr>
      <w:ind w:firstLine="420"/>
      <w:jc w:val="left"/>
    </w:pPr>
    <w:rPr>
      <w:sz w:val="24"/>
    </w:rPr>
  </w:style>
  <w:style w:type="paragraph" w:styleId="931" w:customStyle="1">
    <w:name w:val="正文11"/>
    <w:next w:val="932"/>
    <w:link w:val="934"/>
    <w:uiPriority w:val="0"/>
    <w:qFormat/>
    <w:pPr>
      <w:jc w:val="both"/>
      <w:widowControl w:val="off"/>
    </w:pPr>
    <w:rPr>
      <w:rFonts w:ascii="Times New Roman" w:hAnsi="Times New Roman" w:eastAsia="楷体_GB2312" w:cs="Times New Roman"/>
      <w:sz w:val="26"/>
      <w:lang w:val="en-US" w:eastAsia="zh-CN" w:bidi="ar-SA"/>
    </w:rPr>
  </w:style>
  <w:style w:type="paragraph" w:styleId="932" w:customStyle="1">
    <w:name w:val="段"/>
    <w:next w:val="931"/>
    <w:uiPriority w:val="0"/>
    <w:qFormat/>
    <w:pPr>
      <w:ind w:firstLine="200"/>
      <w:jc w:val="both"/>
    </w:pPr>
    <w:rPr>
      <w:rFonts w:ascii="宋体" w:hAnsi="Times New Roman" w:eastAsia="宋体" w:cs="Times New Roman"/>
      <w:sz w:val="21"/>
      <w:szCs w:val="22"/>
      <w:lang w:val="en-US" w:eastAsia="zh-CN" w:bidi="ar-SA"/>
    </w:rPr>
  </w:style>
  <w:style w:type="paragraph" w:styleId="933" w:customStyle="1">
    <w:name w:val="标题 11"/>
    <w:basedOn w:val="931"/>
    <w:next w:val="931"/>
    <w:uiPriority w:val="0"/>
    <w:qFormat/>
    <w:pPr>
      <w:keepLines/>
      <w:keepNext/>
      <w:spacing w:before="340" w:after="330" w:line="578" w:lineRule="auto"/>
      <w:outlineLvl w:val="0"/>
    </w:pPr>
    <w:rPr>
      <w:b/>
      <w:sz w:val="44"/>
    </w:rPr>
  </w:style>
  <w:style w:type="character" w:styleId="934" w:customStyle="1">
    <w:name w:val="要点1"/>
    <w:link w:val="931"/>
    <w:uiPriority w:val="0"/>
    <w:qFormat/>
    <w:rPr>
      <w:rFonts w:ascii="Times New Roman" w:hAnsi="Times New Roman" w:eastAsia="楷体_GB2312" w:cs="Times New Roman"/>
      <w:sz w:val="26"/>
      <w:lang w:val="en-US" w:eastAsia="zh-CN" w:bidi="ar-SA"/>
    </w:rPr>
  </w:style>
  <w:style w:type="paragraph" w:styleId="935" w:customStyle="1">
    <w:name w:val="普通(网站)1"/>
    <w:basedOn w:val="931"/>
    <w:uiPriority w:val="0"/>
    <w:qFormat/>
    <w:pPr>
      <w:jc w:val="left"/>
      <w:spacing w:before="100" w:beforeAutospacing="1" w:after="100" w:afterAutospacing="1"/>
      <w:widowControl/>
    </w:pPr>
    <w:rPr>
      <w:rFonts w:ascii="宋体" w:hAnsi="宋体"/>
      <w:sz w:val="24"/>
    </w:rPr>
  </w:style>
  <w:style w:type="paragraph" w:styleId="936" w:customStyle="1">
    <w:name w:val="正文文本缩进 21"/>
    <w:basedOn w:val="931"/>
    <w:uiPriority w:val="0"/>
    <w:qFormat/>
    <w:pPr>
      <w:ind w:left="420"/>
      <w:spacing w:after="120" w:line="480" w:lineRule="auto"/>
    </w:pPr>
  </w:style>
  <w:style w:type="paragraph" w:styleId="937" w:customStyle="1">
    <w:name w:val="纯文本11"/>
    <w:basedOn w:val="931"/>
    <w:uiPriority w:val="0"/>
    <w:qFormat/>
    <w:rPr>
      <w:rFonts w:ascii="宋体" w:hAnsi="Courier New"/>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2E7E3A-3808-4A3B-A40B-2355B3A69D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陈晓盼</cp:lastModifiedBy>
  <cp:revision>39</cp:revision>
  <dcterms:created xsi:type="dcterms:W3CDTF">2024-03-25T07:29:00Z</dcterms:created>
  <dcterms:modified xsi:type="dcterms:W3CDTF">2024-07-06T08:48:44Z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0E5E4D8637F34A6B8DD2068F43770BA1_13</vt:lpwstr>
  </property>
</Properties>
</file>