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1034"/>
        <w:ind w:firstLine="0"/>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公 开 招 标 文 件</w:t>
      </w:r>
      <w:r/>
    </w:p>
    <w:p>
      <w:pPr>
        <w:pStyle w:val="1034"/>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103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103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103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项目编号：JSZC-320200-XWJC-G2025-</w:t>
      </w:r>
      <w:r>
        <w:rPr>
          <w:rFonts w:hint="eastAsia" w:ascii="黑体" w:hAnsi="华文中宋" w:eastAsia="黑体"/>
          <w:bCs/>
          <w:color w:val="000000" w:themeColor="text1"/>
          <w:sz w:val="32"/>
          <w:szCs w:val="32"/>
          <w:lang w:eastAsia="zh-CN"/>
          <w14:textFill>
            <w14:solidFill>
              <w14:schemeClr w14:val="tx1"/>
            </w14:solidFill>
          </w14:textFill>
        </w:rPr>
        <w:t xml:space="preserve">0092</w:t>
      </w:r>
      <w:r/>
    </w:p>
    <w:p>
      <w:pPr>
        <w:ind w:left="3200" w:hanging="1600"/>
        <w:jc w:val="left"/>
        <w:spacing w:line="360" w:lineRule="auto"/>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项目名称：无锡市妇幼保健院双人工作站项目</w:t>
      </w:r>
      <w:r/>
    </w:p>
    <w:p>
      <w:pPr>
        <w:ind w:firstLine="1600"/>
        <w:jc w:val="left"/>
        <w:spacing w:line="360" w:lineRule="auto"/>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人：无锡市妇幼保健院</w:t>
      </w:r>
      <w:r/>
    </w:p>
    <w:p>
      <w:pPr>
        <w:pStyle w:val="1034"/>
        <w:ind w:firstLine="1600"/>
        <w:jc w:val="both"/>
        <w:spacing w:before="0" w:after="0"/>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采购代理机构：无锡市卫生健康综合服务中心</w:t>
      </w:r>
      <w:r/>
    </w:p>
    <w:p>
      <w:pPr>
        <w:pStyle w:val="1034"/>
        <w:ind w:firstLine="1600"/>
        <w:jc w:val="both"/>
        <w:spacing w:before="0" w:after="0"/>
        <w:rPr>
          <w:rFonts w:ascii="黑体" w:hAnsi="华文中宋" w:eastAsia="黑体"/>
          <w:bCs/>
          <w:color w:val="000000" w:themeColor="text1"/>
          <w:sz w:val="32"/>
          <w:szCs w:val="32"/>
          <w14:textFill>
            <w14:solidFill>
              <w14:schemeClr w14:val="tx1"/>
            </w14:solidFill>
          </w14:textFill>
        </w:rPr>
      </w:pPr>
      <w:r>
        <w:rPr>
          <w:rFonts w:ascii="黑体" w:hAnsi="华文中宋" w:eastAsia="黑体"/>
          <w:bCs/>
          <w:color w:val="000000" w:themeColor="text1"/>
          <w:sz w:val="32"/>
          <w:szCs w:val="32"/>
          <w14:textFill>
            <w14:solidFill>
              <w14:schemeClr w14:val="tx1"/>
            </w14:solidFill>
          </w14:textFill>
        </w:rPr>
      </w:r>
      <w:r/>
    </w:p>
    <w:p>
      <w:pPr>
        <w:pStyle w:val="1034"/>
        <w:ind w:firstLine="1600"/>
        <w:jc w:val="both"/>
        <w:spacing w:before="0" w:after="0"/>
        <w:rPr>
          <w:rFonts w:ascii="黑体" w:hAnsi="华文中宋" w:eastAsia="黑体"/>
          <w:bCs/>
          <w:color w:val="000000" w:themeColor="text1"/>
          <w:sz w:val="32"/>
          <w:szCs w:val="32"/>
          <w14:textFill>
            <w14:solidFill>
              <w14:schemeClr w14:val="tx1"/>
            </w14:solidFill>
          </w14:textFill>
        </w:rPr>
      </w:pPr>
      <w:r>
        <w:rPr>
          <w:rFonts w:ascii="黑体" w:hAnsi="华文中宋" w:eastAsia="黑体"/>
          <w:bCs/>
          <w:color w:val="000000" w:themeColor="text1"/>
          <w:sz w:val="32"/>
          <w:szCs w:val="32"/>
          <w14:textFill>
            <w14:solidFill>
              <w14:schemeClr w14:val="tx1"/>
            </w14:solidFill>
          </w14:textFill>
        </w:rPr>
      </w:r>
      <w:r/>
    </w:p>
    <w:p>
      <w:pPr>
        <w:pStyle w:val="1034"/>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二〇二五年</w:t>
      </w:r>
      <w:r>
        <w:rPr>
          <w:rFonts w:hint="eastAsia" w:ascii="黑体" w:hAnsi="华文中宋" w:eastAsia="黑体"/>
          <w:bCs/>
          <w:color w:val="000000" w:themeColor="text1"/>
          <w:sz w:val="32"/>
          <w:szCs w:val="32"/>
          <w:lang w:val="en-US" w:eastAsia="zh-CN"/>
          <w14:textFill>
            <w14:solidFill>
              <w14:schemeClr w14:val="tx1"/>
            </w14:solidFill>
          </w14:textFill>
        </w:rPr>
        <w:t xml:space="preserve">十</w:t>
      </w:r>
      <w:r>
        <w:rPr>
          <w:rFonts w:hint="eastAsia" w:ascii="黑体" w:hAnsi="华文中宋" w:eastAsia="黑体"/>
          <w:bCs/>
          <w:color w:val="000000" w:themeColor="text1"/>
          <w:sz w:val="32"/>
          <w:szCs w:val="32"/>
          <w14:textFill>
            <w14:solidFill>
              <w14:schemeClr w14:val="tx1"/>
            </w14:solidFill>
          </w14:textFill>
        </w:rPr>
        <w:t xml:space="preserve">月</w:t>
      </w:r>
      <w:r/>
    </w:p>
    <w:p>
      <w:pPr>
        <w:pStyle w:val="1034"/>
        <w:ind w:firstLine="0"/>
        <w:jc w:val="center"/>
        <w:rPr>
          <w:rFonts w:ascii="黑体" w:hAnsi="黑体" w:eastAsia="黑体"/>
          <w:color w:val="000000" w:themeColor="text1"/>
          <w:sz w:val="36"/>
          <w:szCs w:val="36"/>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20823272"/>
      <w:r/>
      <w:bookmarkStart w:id="3" w:name="_Toc523127445"/>
      <w:r/>
      <w:bookmarkStart w:id="4" w:name="_Toc513029200"/>
      <w:r/>
      <w:bookmarkStart w:id="5" w:name="_Toc16938516"/>
      <w:r/>
      <w:r/>
    </w:p>
    <w:p>
      <w:pPr>
        <w:pStyle w:val="1034"/>
        <w:ind w:firstLine="0"/>
        <w:jc w:val="center"/>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投标邀请----------------------------------（5）</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投标人须知--------------------------------（9）</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合同文本---------------------------------（23）</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采购需求---------------------------------（29）</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评标方法与评标标准-----------------------（36）</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投标文件内容与格式-----------------------（41）</w:t>
      </w:r>
      <w:r/>
    </w:p>
    <w:p>
      <w:pPr>
        <w:pStyle w:val="769"/>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shd w:val="clear" w:color="auto" w:fill="ffffff"/>
          <w14:textFill>
            <w14:solidFill>
              <w14:schemeClr w14:val="tx1"/>
            </w14:solidFill>
          </w14:textFill>
        </w:rPr>
      </w:pPr>
      <w:r>
        <w:rPr>
          <w:rFonts w:ascii="黑体" w:hAnsi="Showcard Gothic" w:eastAsia="黑体"/>
          <w:color w:val="000000" w:themeColor="text1"/>
          <w:sz w:val="30"/>
          <w:szCs w:val="30"/>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14:textFill>
            <w14:solidFill>
              <w14:schemeClr w14:val="tx1"/>
            </w14:solidFill>
          </w14:textFill>
        </w:rPr>
        <w:t xml:space="preserve">政府采购提醒函</w:t>
      </w:r>
      <w:r/>
    </w:p>
    <w:p>
      <w:pPr>
        <w:pStyle w:val="769"/>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各投标供应商：</w:t>
      </w:r>
      <w:r/>
    </w:p>
    <w:p>
      <w:pPr>
        <w:pStyle w:val="751"/>
        <w:ind w:firstLine="560"/>
        <w:spacing w:line="560" w:lineRule="exact"/>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51"/>
        <w:ind w:firstLine="560"/>
        <w:spacing w:line="560" w:lineRule="exact"/>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一、串标情形</w:t>
      </w:r>
      <w:r/>
    </w:p>
    <w:p>
      <w:pPr>
        <w:pStyle w:val="769"/>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1. 《中华人民共和国政府采购法实施条例》第七十四条</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（二）供应商按照采购人或者采购代理机构的授意撤换、修改投标文件或者响应文件。</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（三）供应商之间协商报价、技术方案等投标文件或者响应文件的实质性内容。</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（五）供应商之间事先约定由某一特定供应商中标、成交。</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（六）供应商之间商定部分供应商放弃参加政府采购活动或者放弃中标、成交。</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69"/>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2. 《货物和服务招标投标管理办法》（财政部87号令）第三十七条</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有下列情形之一的，视为投标人串通投标，其投标无效：</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（一）不同投标人的投标文件由同一单位或者个人编制。</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（二）不同投标人委托同一单位或者个人办理投标事宜。</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（三）不同投标人的投标文件载明的项目管理成员或者联系人员为同一人。</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（四）不同投标人的投标文件异常一致或者投标报价呈规律性差异。</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（五）不同投标人的投标文件相互混装。</w:t>
      </w:r>
      <w:r/>
    </w:p>
    <w:p>
      <w:pPr>
        <w:pStyle w:val="769"/>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（六）不同投标人的投标保证金从同一单位或者个人的账户转出。</w:t>
      </w:r>
      <w:r/>
    </w:p>
    <w:p>
      <w:pPr>
        <w:pStyle w:val="751"/>
        <w:ind w:firstLine="560"/>
        <w:spacing w:line="560" w:lineRule="exact"/>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二、后果 </w:t>
      </w:r>
      <w:r/>
    </w:p>
    <w:p>
      <w:pPr>
        <w:pStyle w:val="769"/>
        <w:ind w:firstLine="560"/>
        <w:spacing w:before="0" w:beforeAutospacing="0" w:after="0" w:afterAutospacing="0" w:line="559"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69"/>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69"/>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黑体" w:eastAsia="黑体"/>
          <w:color w:val="000000" w:themeColor="text1"/>
          <w:sz w:val="36"/>
          <w:szCs w:val="36"/>
          <w14:textFill>
            <w14:solidFill>
              <w14:schemeClr w14:val="tx1"/>
            </w14:solidFill>
          </w14:textFill>
        </w:rPr>
      </w:r>
      <w:r/>
    </w:p>
    <w:p>
      <w:pPr>
        <w:pStyle w:val="752"/>
        <w:ind w:firstLine="0"/>
      </w:pPr>
      <w:r/>
      <w:r/>
    </w:p>
    <w:p>
      <w:pPr>
        <w:pStyle w:val="752"/>
        <w:ind w:firstLine="0"/>
      </w:pPr>
      <w:r/>
      <w:r/>
    </w:p>
    <w:p>
      <w:pPr>
        <w:pStyle w:val="752"/>
        <w:ind w:firstLine="0"/>
      </w:p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受无锡市妇幼保健院的委托，无锡市卫生健康综合服务中心就无锡市妇幼保健院双人工作站项目（JSZC-320200-XWJC-G2025-</w:t>
      </w:r>
      <w:r>
        <w:rPr>
          <w:rFonts w:hint="eastAsia" w:ascii="宋体" w:hAnsi="宋体"/>
          <w:color w:val="000000" w:themeColor="text1"/>
          <w:sz w:val="24"/>
          <w:szCs w:val="24"/>
          <w:lang w:eastAsia="zh-CN"/>
          <w14:textFill>
            <w14:solidFill>
              <w14:schemeClr w14:val="tx1"/>
            </w14:solidFill>
          </w14:textFill>
        </w:rPr>
        <w:t xml:space="preserve">0092</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无锡市妇幼保健院双人工作站项目的潜在投标人应在“江苏政府采购网”自行浏览招标文件，如有投标意向须在本招标文件有效获取期内通过登录</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下载的方式依法获取招标文件，并于2025年</w:t>
      </w:r>
      <w:r>
        <w:rPr>
          <w:rFonts w:hint="eastAsia" w:ascii="宋体" w:hAnsi="宋体"/>
          <w:color w:val="000000" w:themeColor="text1"/>
          <w:sz w:val="24"/>
          <w:szCs w:val="24"/>
          <w:lang w:eastAsia="zh-CN"/>
          <w14:textFill>
            <w14:solidFill>
              <w14:schemeClr w14:val="tx1"/>
            </w14:solidFill>
          </w14:textFill>
        </w:rPr>
        <w:t xml:space="preserve">11月18日</w:t>
      </w:r>
      <w:r>
        <w:rPr>
          <w:rFonts w:hint="eastAsia" w:ascii="宋体" w:hAnsi="宋体"/>
          <w:color w:val="000000" w:themeColor="text1"/>
          <w:sz w:val="24"/>
          <w:szCs w:val="24"/>
          <w14:textFill>
            <w14:solidFill>
              <w14:schemeClr w14:val="tx1"/>
            </w14:solidFill>
          </w14:textFill>
        </w:rPr>
        <w:t xml:space="preserve">13点30分</w:t>
      </w:r>
      <w:r>
        <w:rPr>
          <w:rFonts w:hint="eastAsia" w:ascii="宋体" w:hAnsi="宋体"/>
          <w:bCs/>
          <w:color w:val="000000" w:themeColor="text1"/>
          <w:sz w:val="24"/>
          <w:szCs w:val="24"/>
          <w14:textFill>
            <w14:solidFill>
              <w14:schemeClr w14:val="tx1"/>
            </w14:solidFill>
          </w14:textFill>
        </w:rPr>
        <w:t xml:space="preserve">（北京时间）前递交投标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color w:val="000000" w:themeColor="text1"/>
          <w:sz w:val="30"/>
          <w:szCs w:val="30"/>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1.项目编号：JSZC-320200-XWJC-G2025-</w:t>
      </w:r>
      <w:r>
        <w:rPr>
          <w:rFonts w:hint="eastAsia" w:ascii="宋体" w:hAnsi="宋体"/>
          <w:color w:val="000000" w:themeColor="text1"/>
          <w:sz w:val="24"/>
          <w:szCs w:val="24"/>
          <w:lang w:eastAsia="zh-CN"/>
          <w14:textFill>
            <w14:solidFill>
              <w14:schemeClr w14:val="tx1"/>
            </w14:solidFill>
          </w14:textFill>
        </w:rPr>
        <w:t xml:space="preserve">0092</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bookmarkEnd w:id="11"/>
      <w:r>
        <w:rPr>
          <w:rFonts w:hint="eastAsia" w:ascii="宋体" w:hAnsi="宋体"/>
          <w:color w:val="000000" w:themeColor="text1"/>
          <w:sz w:val="24"/>
          <w:szCs w:val="24"/>
          <w14:textFill>
            <w14:solidFill>
              <w14:schemeClr w14:val="tx1"/>
            </w14:solidFill>
          </w14:textFill>
        </w:rPr>
        <w:t xml:space="preserve">无锡市妇幼保健院双人工作站项目</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3.项目预算金额：95万元/1台</w:t>
      </w:r>
      <w:r/>
    </w:p>
    <w:p>
      <w:pPr>
        <w:ind w:firstLine="480"/>
        <w:spacing w:line="500" w:lineRule="exact"/>
        <w:rPr>
          <w:rFonts w:ascii="宋体" w:hAnsi="宋体" w:cs="宋体"/>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4.项目最高限价：95万元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7.本项目不接受联合体投标。</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2" w:name="_Toc28359080"/>
      <w:r/>
      <w:bookmarkStart w:id="13" w:name="_Toc35393791"/>
      <w:r/>
      <w:bookmarkStart w:id="14" w:name="_Toc35393622"/>
      <w:r/>
      <w:bookmarkStart w:id="15" w:name="_Toc38985264"/>
      <w:r/>
      <w:bookmarkStart w:id="16" w:name="_Toc28359003"/>
      <w:r>
        <w:rPr>
          <w:rFonts w:hint="eastAsia"/>
          <w:color w:val="000000" w:themeColor="text1"/>
          <w:sz w:val="30"/>
          <w:szCs w:val="30"/>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14:textFill>
            <w14:solidFill>
              <w14:schemeClr w14:val="tx1"/>
            </w14:solidFill>
          </w14:textFill>
        </w:rPr>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2.1中小企业政策：本项目非专门面向中小企业； </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 </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3.3.2二类医疗器械：投标人第二类医疗器械经营备案凭证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14:textFill>
            <w14:solidFill>
              <w14:schemeClr w14:val="tx1"/>
            </w14:solidFill>
          </w14:textFill>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w:t>
      </w:r>
      <w:r>
        <w:rPr>
          <w:rFonts w:hint="eastAsia" w:ascii="宋体" w:hAnsi="宋体" w:cs="宋体"/>
          <w:color w:val="000000" w:themeColor="text1"/>
          <w:sz w:val="24"/>
          <w:szCs w:val="24"/>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540"/>
        <w:spacing w:line="500" w:lineRule="exact"/>
        <w:rPr>
          <w:rStyle w:val="1023"/>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四、提交投标文件</w:t>
      </w:r>
      <w:bookmarkEnd w:id="22"/>
      <w:r/>
      <w:bookmarkEnd w:id="23"/>
      <w:r>
        <w:rPr>
          <w:rFonts w:hint="eastAsia"/>
          <w:color w:val="000000" w:themeColor="text1"/>
          <w:sz w:val="30"/>
          <w:szCs w:val="30"/>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2025年</w:t>
      </w:r>
      <w:r>
        <w:rPr>
          <w:rFonts w:hint="eastAsia" w:ascii="宋体" w:hAnsi="宋体"/>
          <w:color w:val="000000" w:themeColor="text1"/>
          <w:sz w:val="24"/>
          <w:szCs w:val="24"/>
          <w:lang w:eastAsia="zh-CN"/>
          <w14:textFill>
            <w14:solidFill>
              <w14:schemeClr w14:val="tx1"/>
            </w14:solidFill>
          </w14:textFill>
        </w:rPr>
        <w:t xml:space="preserve">11月18日</w:t>
      </w:r>
      <w:r>
        <w:rPr>
          <w:rFonts w:hint="eastAsia" w:ascii="宋体" w:hAnsi="宋体"/>
          <w:color w:val="000000" w:themeColor="text1"/>
          <w:sz w:val="24"/>
          <w:szCs w:val="24"/>
          <w14:textFill>
            <w14:solidFill>
              <w14:schemeClr w14:val="tx1"/>
            </w14:solidFill>
          </w14:textFill>
        </w:rPr>
        <w:t xml:space="preserve">13点30分</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27" w:name="_Toc28359007"/>
      <w:r/>
      <w:bookmarkStart w:id="28" w:name="_Toc35393794"/>
      <w:r/>
      <w:bookmarkStart w:id="29" w:name="_Toc28359084"/>
      <w:r/>
      <w:bookmarkStart w:id="30" w:name="_Toc35393625"/>
      <w:r/>
      <w:bookmarkStart w:id="31" w:name="_Toc38985267"/>
      <w:r>
        <w:rPr>
          <w:rFonts w:hint="eastAsia"/>
          <w:color w:val="000000" w:themeColor="text1"/>
          <w:sz w:val="30"/>
          <w:szCs w:val="30"/>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35" w:name="_Toc28359008"/>
      <w:r/>
      <w:bookmarkStart w:id="36" w:name="_Toc35393627"/>
      <w:r/>
      <w:bookmarkStart w:id="37" w:name="_Toc28359085"/>
      <w:r/>
      <w:bookmarkStart w:id="38" w:name="_Toc38985269"/>
      <w:r/>
      <w:bookmarkStart w:id="39" w:name="_Toc35393796"/>
      <w:r>
        <w:rPr>
          <w:rFonts w:hint="eastAsia"/>
          <w:color w:val="000000" w:themeColor="text1"/>
          <w:sz w:val="30"/>
          <w:szCs w:val="30"/>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称：无锡市妇幼保健院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址：无锡市梁溪区槐树巷48号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称：无锡市卫生健康综合服务中心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址：无锡市滨湖区建筑路450号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采购人项目咨询联系人：联系人姓名：张老师；电话：0510-81910719</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采购人质疑受理联系人：受理人姓名：张老师；电话：0510-81910719</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无锡市卫生健康综合服务中心项目联系人：孙老师；电话：0510-85757946</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号楼二楼</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号窗口</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“苏采云”系统账号登录</w:t>
      </w:r>
      <w:r>
        <w:rPr>
          <w:rFonts w:ascii="宋体" w:hAnsi="宋体"/>
          <w:color w:val="000000" w:themeColor="text1"/>
          <w:sz w:val="24"/>
          <w:szCs w:val="24"/>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技术支持QQ：孙先生：442456465；王先生：1476328133</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47" w:name="_Toc16938519"/>
      <w:r/>
      <w:bookmarkStart w:id="48" w:name="_Toc120614214"/>
      <w:r/>
      <w:bookmarkStart w:id="49" w:name="_Toc513029203"/>
      <w:r/>
      <w:bookmarkStart w:id="50" w:name="_Toc20823275"/>
      <w:r>
        <w:rPr>
          <w:rFonts w:hint="eastAsia"/>
          <w:color w:val="000000" w:themeColor="text1"/>
          <w:sz w:val="30"/>
          <w:szCs w:val="30"/>
          <w:lang w:eastAsia="zh-CN"/>
          <w14:textFill>
            <w14:solidFill>
              <w14:schemeClr w14:val="tx1"/>
            </w14:solidFill>
          </w14:textFill>
        </w:rPr>
        <w:t xml:space="preserve">一、总则</w:t>
      </w:r>
      <w:bookmarkEnd w:id="47"/>
      <w:r/>
      <w:bookmarkEnd w:id="48"/>
      <w:r/>
      <w:bookmarkEnd w:id="49"/>
      <w:r/>
      <w:bookmarkEnd w:id="50"/>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14:textFill>
            <w14:solidFill>
              <w14:schemeClr w14:val="tx1"/>
            </w14:solidFill>
          </w14:textFill>
        </w:rPr>
        <w:t xml:space="preserve">。</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61" w:name="_Toc513029207"/>
      <w:r/>
      <w:bookmarkStart w:id="62" w:name="_Toc462564067"/>
      <w:r/>
      <w:bookmarkStart w:id="63" w:name="_Toc20823279"/>
      <w:r/>
      <w:bookmarkStart w:id="64" w:name="_Toc16938523"/>
      <w:r>
        <w:rPr>
          <w:rFonts w:hint="eastAsia" w:ascii="宋体" w:hAnsi="宋体" w:eastAsia="宋体"/>
          <w:bCs w:val="0"/>
          <w:color w:val="000000" w:themeColor="text1"/>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65" w:name="_Toc16938525"/>
      <w:r/>
      <w:bookmarkStart w:id="66" w:name="_Toc120614215"/>
      <w:r/>
      <w:bookmarkStart w:id="67" w:name="_Toc20823281"/>
      <w:r/>
      <w:bookmarkStart w:id="68" w:name="_Toc513029209"/>
      <w:r>
        <w:rPr>
          <w:rFonts w:hint="eastAsia"/>
          <w:color w:val="000000" w:themeColor="text1"/>
          <w:sz w:val="30"/>
          <w:szCs w:val="30"/>
          <w:lang w:eastAsia="zh-CN"/>
          <w14:textFill>
            <w14:solidFill>
              <w14:schemeClr w14:val="tx1"/>
            </w14:solidFill>
          </w14:textFill>
        </w:rPr>
        <w:t xml:space="preserve">二、招标文件</w:t>
      </w:r>
      <w:bookmarkEnd w:id="65"/>
      <w:r/>
      <w:bookmarkEnd w:id="66"/>
      <w:r/>
      <w:bookmarkEnd w:id="67"/>
      <w:r/>
      <w:bookmarkEnd w:id="68"/>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72" w:name="_Toc462564070"/>
      <w:r/>
      <w:bookmarkStart w:id="73" w:name="_Toc20823283"/>
      <w:r/>
      <w:bookmarkStart w:id="74" w:name="_Toc513029211"/>
      <w:r/>
      <w:bookmarkStart w:id="75" w:name="_Toc16938527"/>
      <w:r>
        <w:rPr>
          <w:rFonts w:hint="eastAsia" w:ascii="宋体" w:hAnsi="宋体" w:eastAsia="宋体"/>
          <w:bCs w:val="0"/>
          <w:color w:val="000000" w:themeColor="text1"/>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76" w:name="_Toc462564071"/>
      <w:r/>
      <w:bookmarkStart w:id="77" w:name="_Toc20823284"/>
      <w:r/>
      <w:bookmarkStart w:id="78" w:name="_Toc513029212"/>
      <w:r/>
      <w:bookmarkStart w:id="79" w:name="_Toc16938528"/>
      <w:r>
        <w:rPr>
          <w:rFonts w:hint="eastAsia" w:ascii="宋体" w:hAnsi="宋体" w:eastAsia="宋体"/>
          <w:bCs w:val="0"/>
          <w:color w:val="000000" w:themeColor="text1"/>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80" w:name="_Toc20823285"/>
      <w:r/>
      <w:bookmarkStart w:id="81" w:name="_Toc120614216"/>
      <w:r/>
      <w:bookmarkStart w:id="82" w:name="_Toc513029213"/>
      <w:r/>
      <w:bookmarkStart w:id="83" w:name="_Toc462564072"/>
      <w:r/>
      <w:bookmarkStart w:id="84" w:name="_Toc16938529"/>
      <w:r>
        <w:rPr>
          <w:rFonts w:hint="eastAsia"/>
          <w:color w:val="000000" w:themeColor="text1"/>
          <w:sz w:val="30"/>
          <w:szCs w:val="30"/>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85" w:name="_Toc20823286"/>
      <w:r/>
      <w:bookmarkStart w:id="86" w:name="_Toc513029214"/>
      <w:r/>
      <w:bookmarkStart w:id="87" w:name="_Toc16938530"/>
      <w:r/>
      <w:bookmarkStart w:id="88" w:name="_Toc462564073"/>
      <w:r>
        <w:rPr>
          <w:rFonts w:hint="eastAsia" w:ascii="宋体" w:hAnsi="宋体" w:eastAsia="宋体"/>
          <w:bCs w:val="0"/>
          <w:color w:val="000000" w:themeColor="text1"/>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89" w:name="_Toc16938531"/>
      <w:r/>
      <w:bookmarkStart w:id="90" w:name="_Toc513029215"/>
      <w:r/>
      <w:bookmarkStart w:id="91" w:name="_Toc20823287"/>
      <w:r/>
      <w:bookmarkStart w:id="92" w:name="_Toc462564074"/>
      <w:r>
        <w:rPr>
          <w:rFonts w:hint="eastAsia" w:ascii="宋体" w:hAnsi="宋体" w:eastAsia="宋体"/>
          <w:bCs w:val="0"/>
          <w:color w:val="000000" w:themeColor="text1"/>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7"/>
      <w:r/>
      <w:bookmarkStart w:id="98" w:name="_Toc49090509"/>
      <w:r/>
      <w:bookmarkStart w:id="99" w:name="_Toc14577354"/>
      <w:r/>
      <w:bookmarkStart w:id="100" w:name="_Toc14577357"/>
      <w:r/>
      <w:bookmarkStart w:id="101" w:name="_Toc513029216"/>
      <w:r>
        <w:rPr>
          <w:rFonts w:hint="eastAsia" w:ascii="宋体" w:hAnsi="宋体" w:eastAsia="宋体"/>
          <w:bCs w:val="0"/>
          <w:color w:val="000000" w:themeColor="text1"/>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14:textFill>
            <w14:solidFill>
              <w14:schemeClr w14:val="tx1"/>
            </w14:solidFill>
          </w14:textFill>
        </w:rPr>
      </w:pPr>
      <w:r/>
      <w:bookmarkStart w:id="102" w:name="_Toc49090508"/>
      <w:r/>
      <w:bookmarkStart w:id="103"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细目报价表。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08" w:name="_Hlt26954848"/>
      <w:r/>
      <w:bookmarkEnd w:id="108"/>
      <w:r/>
      <w:bookmarkStart w:id="109" w:name="_Hlt26670403"/>
      <w:r/>
      <w:bookmarkEnd w:id="109"/>
      <w:r/>
      <w:bookmarkStart w:id="110" w:name="_Hlt26954731"/>
      <w:r/>
      <w:bookmarkEnd w:id="110"/>
      <w:r/>
      <w:bookmarkStart w:id="111" w:name="_Hlt26954846"/>
      <w:r/>
      <w:bookmarkEnd w:id="111"/>
      <w:r/>
      <w:bookmarkStart w:id="112" w:name="_Hlt26954844"/>
      <w:r/>
      <w:bookmarkEnd w:id="112"/>
      <w:r/>
      <w:bookmarkStart w:id="113" w:name="_Hlt26670486"/>
      <w:r/>
      <w:bookmarkEnd w:id="113"/>
      <w:r/>
      <w:bookmarkStart w:id="114" w:name="_Hlt26670425"/>
      <w:r/>
      <w:bookmarkEnd w:id="114"/>
      <w:r/>
      <w:bookmarkStart w:id="115" w:name="_Hlt26670482"/>
      <w:r/>
      <w:bookmarkEnd w:id="115"/>
      <w:r/>
      <w:bookmarkStart w:id="116" w:name="_Hlt26668983"/>
      <w:r/>
      <w:bookmarkEnd w:id="116"/>
      <w:r/>
      <w:bookmarkStart w:id="117" w:name="_Hlt26954842"/>
      <w:r/>
      <w:bookmarkEnd w:id="117"/>
      <w:r>
        <w:rPr>
          <w:rFonts w:hint="eastAsia" w:ascii="宋体" w:hAnsi="宋体" w:eastAsia="宋体"/>
          <w:bCs w:val="0"/>
          <w:color w:val="000000" w:themeColor="text1"/>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lang w:val="zh-CN"/>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lang w:eastAsia="zh-CN"/>
          <w14:textFill>
            <w14:solidFill>
              <w14:schemeClr w14:val="tx1"/>
            </w14:solidFill>
          </w14:textFill>
        </w:rPr>
        <w:t xml:space="preserve">四、投标文件的递交</w:t>
      </w:r>
      <w:bookmarkEnd w:id="125"/>
      <w:r/>
      <w:bookmarkEnd w:id="126"/>
      <w:r/>
      <w:bookmarkEnd w:id="127"/>
      <w:r/>
      <w:bookmarkEnd w:id="128"/>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29" w:name="_Toc20823297"/>
      <w:r/>
      <w:bookmarkStart w:id="130" w:name="_Toc462564084"/>
      <w:r/>
      <w:bookmarkStart w:id="131" w:name="_Toc513029225"/>
      <w:r/>
      <w:bookmarkStart w:id="132" w:name="_Toc16938541"/>
      <w:r>
        <w:rPr>
          <w:rFonts w:hint="eastAsia" w:ascii="宋体" w:hAnsi="宋体" w:eastAsia="宋体"/>
          <w:bCs w:val="0"/>
          <w:color w:val="000000" w:themeColor="text1"/>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1059"/>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16938542"/>
      <w:r/>
      <w:bookmarkStart w:id="134" w:name="_Toc513029226"/>
      <w:r/>
      <w:bookmarkStart w:id="135" w:name="_Toc20823298"/>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color w:val="000000" w:themeColor="text1"/>
          <w:sz w:val="24"/>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36" w:name="_Toc513029227"/>
      <w:r/>
      <w:bookmarkStart w:id="137" w:name="_Toc20823299"/>
      <w:r/>
      <w:bookmarkStart w:id="138" w:name="_Toc16938543"/>
      <w:r>
        <w:rPr>
          <w:rFonts w:hint="eastAsia" w:ascii="宋体" w:hAnsi="宋体" w:eastAsia="宋体"/>
          <w:bCs w:val="0"/>
          <w:color w:val="000000" w:themeColor="text1"/>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color w:val="000000" w:themeColor="text1"/>
          <w:sz w:val="24"/>
          <w14:textFill>
            <w14:solidFill>
              <w14:schemeClr w14:val="tx1"/>
            </w14:solidFill>
          </w14:textFill>
        </w:rPr>
        <w:t xml:space="preserve">无锡市卫生健康综合服务中心拒绝接收在其规定的投标截止时间后上传的任何投标文件。</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42" w:name="_Toc16938545"/>
      <w:r/>
      <w:bookmarkStart w:id="143" w:name="_Toc20823301"/>
      <w:r/>
      <w:bookmarkStart w:id="144" w:name="_Toc513029229"/>
      <w:r/>
      <w:bookmarkStart w:id="145" w:name="_Toc120614218"/>
      <w:r>
        <w:rPr>
          <w:rFonts w:hint="eastAsia"/>
          <w:color w:val="000000" w:themeColor="text1"/>
          <w:sz w:val="30"/>
          <w:szCs w:val="30"/>
          <w:lang w:eastAsia="zh-CN"/>
          <w14:textFill>
            <w14:solidFill>
              <w14:schemeClr w14:val="tx1"/>
            </w14:solidFill>
          </w14:textFill>
        </w:rPr>
        <w:t xml:space="preserve">五、开标与评标</w:t>
      </w:r>
      <w:bookmarkEnd w:id="142"/>
      <w:r/>
      <w:bookmarkEnd w:id="143"/>
      <w:r/>
      <w:bookmarkEnd w:id="144"/>
      <w:r/>
      <w:bookmarkEnd w:id="145"/>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22.3评委会独立工作，负责评审所有投标文件并确定中标候选人。</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24.3接到评委会澄清、说明和补正要求的投标人如未按规定及时作出澄清、说明和补正，其风险由投标人自行承担。</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ascii="宋体" w:hAnsi="宋体"/>
          <w:bCs/>
          <w:color w:val="000000" w:themeColor="text1"/>
          <w:sz w:val="24"/>
          <w14:textFill>
            <w14:solidFill>
              <w14:schemeClr w14:val="tx1"/>
            </w14:solidFill>
          </w14:textFill>
        </w:rPr>
      </w:pPr>
      <w:r/>
      <w:bookmarkStart w:id="158" w:name="_Toc513029234"/>
      <w:r/>
      <w:bookmarkStart w:id="159" w:name="_Toc20823306"/>
      <w:r/>
      <w:bookmarkStart w:id="160" w:name="_Toc16938550"/>
      <w:r>
        <w:rPr>
          <w:rFonts w:hint="eastAsia" w:ascii="宋体" w:hAnsi="宋体"/>
          <w:bCs/>
          <w:color w:val="000000" w:themeColor="text1"/>
          <w:sz w:val="24"/>
          <w14:textFill>
            <w14:solidFill>
              <w14:schemeClr w14:val="tx1"/>
            </w14:solidFill>
          </w14:textFill>
        </w:rPr>
        <w:t xml:space="preserve">25.6政府采购异常低价审查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25.6.1评标过程中出现下列情形之一的，评标委员会应当启动异常低价投标审查程序： </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（1）投标报价低于招标项目预算50%的，即投标报价&lt;招标项目预算×50%； </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（2）投标报价低于招标项目最高限价45%的，即投标报价&lt;招标项目最高限价×45% ； </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25.6.2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3"/>
        <w:ind w:firstLine="422"/>
        <w:keepLines w:val="0"/>
        <w:keepNext w:val="0"/>
        <w:spacing w:before="0" w:after="0" w:line="500" w:lineRule="exact"/>
        <w:rPr>
          <w:rFonts w:ascii="宋体" w:hAnsi="宋体" w:eastAsia="宋体"/>
          <w:b w:val="0"/>
          <w:color w:val="000000" w:themeColor="text1"/>
          <w:sz w:val="24"/>
          <w:szCs w:val="21"/>
          <w:lang w:eastAsia="zh-CN"/>
          <w14:textFill>
            <w14:solidFill>
              <w14:schemeClr w14:val="tx1"/>
            </w14:solidFill>
          </w14:textFill>
        </w:rPr>
      </w:pPr>
      <w:r>
        <w:rPr>
          <w:rFonts w:hint="eastAsia" w:ascii="宋体" w:hAnsi="宋体" w:eastAsia="宋体"/>
          <w:b w:val="0"/>
          <w:color w:val="000000" w:themeColor="text1"/>
          <w:sz w:val="24"/>
          <w:szCs w:val="21"/>
          <w:lang w:eastAsia="zh-CN"/>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在评标现场</w:t>
      </w:r>
      <w:r>
        <w:rPr>
          <w:rFonts w:hint="eastAsia" w:ascii="宋体" w:hAnsi="宋体"/>
          <w:color w:val="000000" w:themeColor="text1"/>
          <w:sz w:val="24"/>
          <w:szCs w:val="24"/>
          <w14:textFill>
            <w14:solidFill>
              <w14:schemeClr w14:val="tx1"/>
            </w14:solidFill>
          </w14:textFill>
        </w:rPr>
        <w:t xml:space="preserve">）给定的</w:t>
      </w:r>
      <w:r>
        <w:rPr>
          <w:rFonts w:hint="eastAsia" w:ascii="宋体" w:hAnsi="宋体"/>
          <w:bCs/>
          <w:color w:val="000000" w:themeColor="text1"/>
          <w:sz w:val="24"/>
          <w:szCs w:val="24"/>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14:textFill>
            <w14:solidFill>
              <w14:schemeClr w14:val="tx1"/>
            </w14:solidFill>
          </w14:textFill>
        </w:rPr>
        <w:t xml:space="preserve">，评标委员会应当将其作为无效投标处理。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26.1.24其他法律法规及本招标文件规定的属无效投标的情形。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26.2.1符合专业条件的供应商或者对招标文件做实质响应的供应商不足三家的。</w:t>
      </w:r>
      <w:r/>
    </w:p>
    <w:p>
      <w:pPr>
        <w:ind w:left="479"/>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64" w:name="_Toc120614219"/>
      <w:r>
        <w:rPr>
          <w:rFonts w:hint="eastAsia"/>
          <w:color w:val="000000" w:themeColor="text1"/>
          <w:sz w:val="30"/>
          <w:szCs w:val="30"/>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lang w:eastAsia="zh-CN"/>
          <w14:textFill>
            <w14:solidFill>
              <w14:schemeClr w14:val="tx1"/>
            </w14:solidFill>
          </w14:textFill>
        </w:rPr>
        <w:t xml:space="preserve">定标</w:t>
      </w:r>
      <w:bookmarkEnd w:id="164"/>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lang w:eastAsia="zh-CN"/>
          <w14:textFill>
            <w14:solidFill>
              <w14:schemeClr w14:val="tx1"/>
            </w14:solidFill>
          </w14:textFill>
        </w:rPr>
        <w:t xml:space="preserve">27</w:t>
      </w:r>
      <w:bookmarkEnd w:id="165"/>
      <w:r>
        <w:rPr>
          <w:rFonts w:hint="eastAsia" w:ascii="宋体" w:hAnsi="宋体" w:eastAsia="宋体"/>
          <w:bCs w:val="0"/>
          <w:color w:val="000000" w:themeColor="text1"/>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color w:val="000000" w:themeColor="text1"/>
          <w:sz w:val="24"/>
          <w:szCs w:val="24"/>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14:textFill>
            <w14:solidFill>
              <w14:schemeClr w14:val="tx1"/>
            </w14:solidFill>
          </w14:textFill>
        </w:rPr>
        <w:t xml:space="preserve">（采购文件，采购过程或结果）</w:t>
      </w:r>
      <w:r>
        <w:rPr>
          <w:rFonts w:hint="eastAsia" w:ascii="宋体" w:hAnsi="宋体"/>
          <w:color w:val="000000" w:themeColor="text1"/>
          <w:sz w:val="24"/>
          <w:szCs w:val="24"/>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hAnsi="宋体" w:cs="宋体"/>
          <w:color w:val="000000" w:themeColor="text1"/>
          <w:sz w:val="24"/>
          <w:szCs w:val="24"/>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69" w:name="_Toc513029236"/>
      <w:r/>
      <w:bookmarkStart w:id="170" w:name="_Toc120614220"/>
      <w:r/>
      <w:bookmarkStart w:id="171" w:name="_Toc20823308"/>
      <w:r/>
      <w:bookmarkStart w:id="172" w:name="_Toc16938552"/>
      <w:r>
        <w:rPr>
          <w:rFonts w:hint="eastAsia"/>
          <w:color w:val="000000" w:themeColor="text1"/>
          <w:sz w:val="30"/>
          <w:szCs w:val="30"/>
          <w:lang w:eastAsia="zh-CN"/>
          <w14:textFill>
            <w14:solidFill>
              <w14:schemeClr w14:val="tx1"/>
            </w14:solidFill>
          </w14:textFill>
        </w:rPr>
        <w:t xml:space="preserve">七、授予合同</w:t>
      </w:r>
      <w:bookmarkEnd w:id="169"/>
      <w:r/>
      <w:bookmarkEnd w:id="170"/>
      <w:r/>
      <w:bookmarkEnd w:id="171"/>
      <w:r/>
      <w:bookmarkEnd w:id="172"/>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3"/>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1"/>
        <w:jc w:val="center"/>
        <w:spacing w:line="500" w:lineRule="exact"/>
        <w:rPr>
          <w:rFonts w:ascii="黑体" w:eastAsia="黑体"/>
          <w:bCs/>
          <w:color w:val="000000" w:themeColor="text1"/>
          <w:sz w:val="36"/>
          <w:szCs w:val="36"/>
          <w:lang w:eastAsia="zh-CN"/>
          <w14:textFill>
            <w14:solidFill>
              <w14:schemeClr w14:val="tx1"/>
            </w14:solidFill>
          </w14:textFill>
        </w:rPr>
      </w:pPr>
      <w:r/>
      <w:bookmarkStart w:id="176" w:name="_Toc120614221"/>
      <w:r/>
      <w:bookmarkStart w:id="177" w:name="_Toc20823314"/>
      <w:r/>
      <w:bookmarkStart w:id="178" w:name="_Toc16938558"/>
      <w:r/>
      <w:bookmarkStart w:id="179" w:name="_Toc513029242"/>
      <w:r/>
      <w:bookmarkStart w:id="180" w:name="_Toc479757207"/>
      <w:r>
        <w:rPr>
          <w:rFonts w:ascii="宋体" w:hAnsi="宋体"/>
          <w:bCs/>
          <w:color w:val="000000" w:themeColor="text1"/>
          <w:sz w:val="24"/>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lang w:eastAsia="zh-CN"/>
          <w14:textFill>
            <w14:solidFill>
              <w14:schemeClr w14:val="tx1"/>
            </w14:solidFill>
          </w14:textFill>
        </w:rPr>
        <w:t xml:space="preserve">文本</w:t>
      </w:r>
      <w:r/>
    </w:p>
    <w:p>
      <w:pPr>
        <w:spacing w:line="400" w:lineRule="exact"/>
        <w:rPr>
          <w:bCs/>
          <w:sz w:val="24"/>
          <w:szCs w:val="24"/>
        </w:rPr>
      </w:pPr>
      <w:r/>
      <w:bookmarkStart w:id="181" w:name="_Hlt16619350"/>
      <w:r/>
      <w:bookmarkStart w:id="182" w:name="_Toc120614244"/>
      <w:r/>
      <w:bookmarkStart w:id="183" w:name="_Toc20823346"/>
      <w:r/>
      <w:bookmarkStart w:id="184" w:name="_Toc16938590"/>
      <w:r/>
      <w:bookmarkStart w:id="185" w:name="_Toc462564139"/>
      <w:r/>
      <w:bookmarkStart w:id="186" w:name="_Toc479757211"/>
      <w:r>
        <w:rPr>
          <w:rFonts w:hint="eastAsia"/>
          <w:bCs/>
          <w:sz w:val="24"/>
          <w:szCs w:val="24"/>
        </w:rPr>
        <w:t xml:space="preserve">项目名称：</w:t>
      </w:r>
      <w:r/>
    </w:p>
    <w:p>
      <w:pPr>
        <w:spacing w:line="400" w:lineRule="exact"/>
        <w:rPr>
          <w:sz w:val="24"/>
          <w:szCs w:val="24"/>
        </w:rPr>
      </w:pPr>
      <w:r>
        <w:rPr>
          <w:rFonts w:hint="eastAsia"/>
          <w:sz w:val="24"/>
          <w:szCs w:val="24"/>
        </w:rPr>
        <w:t xml:space="preserve">项目编号：</w:t>
      </w:r>
      <w:r/>
    </w:p>
    <w:p>
      <w:pPr>
        <w:spacing w:line="400" w:lineRule="exact"/>
        <w:rPr>
          <w:sz w:val="24"/>
          <w:szCs w:val="24"/>
        </w:rPr>
      </w:pPr>
      <w:r>
        <w:rPr>
          <w:rFonts w:hint="eastAsia"/>
          <w:sz w:val="24"/>
          <w:szCs w:val="24"/>
        </w:rPr>
        <w:t xml:space="preserve">甲方：（采购人）_________</w:t>
      </w:r>
      <w:r/>
    </w:p>
    <w:p>
      <w:pPr>
        <w:spacing w:line="400" w:lineRule="exact"/>
        <w:rPr>
          <w:sz w:val="24"/>
          <w:szCs w:val="24"/>
        </w:rPr>
      </w:pPr>
      <w:r>
        <w:rPr>
          <w:rFonts w:hint="eastAsia"/>
          <w:sz w:val="24"/>
          <w:szCs w:val="24"/>
        </w:rPr>
        <w:t xml:space="preserve">乙方：（成交方）_________</w:t>
      </w:r>
      <w:r/>
    </w:p>
    <w:p>
      <w:pPr>
        <w:ind w:firstLine="480"/>
        <w:spacing w:line="400" w:lineRule="exact"/>
        <w:rPr>
          <w:b/>
          <w:sz w:val="24"/>
          <w:szCs w:val="24"/>
        </w:rPr>
      </w:pPr>
      <w:r>
        <w:rPr>
          <w:rFonts w:hint="eastAsia"/>
          <w:sz w:val="24"/>
          <w:szCs w:val="24"/>
        </w:rPr>
        <w:t xml:space="preserve">甲、乙双方根据无锡市卫生健康综合服务中心</w:t>
      </w:r>
      <w:r>
        <w:rPr>
          <w:rFonts w:hint="eastAsia"/>
          <w:sz w:val="24"/>
          <w:szCs w:val="24"/>
          <w:u w:val="single"/>
        </w:rPr>
        <w:t xml:space="preserve">           </w:t>
      </w:r>
      <w:r>
        <w:rPr>
          <w:rFonts w:hint="eastAsia"/>
          <w:sz w:val="24"/>
          <w:szCs w:val="24"/>
        </w:rPr>
        <w:t xml:space="preserve">项目招标的结果，签署本合同。</w:t>
      </w:r>
      <w:r/>
    </w:p>
    <w:p>
      <w:pPr>
        <w:ind w:firstLine="482"/>
        <w:spacing w:line="400" w:lineRule="exact"/>
        <w:rPr>
          <w:b/>
          <w:sz w:val="24"/>
          <w:szCs w:val="24"/>
        </w:rPr>
      </w:pPr>
      <w:r>
        <w:rPr>
          <w:rFonts w:hint="eastAsia"/>
          <w:b/>
          <w:sz w:val="24"/>
          <w:szCs w:val="24"/>
        </w:rPr>
        <w:t xml:space="preserve">一、合同内容</w:t>
      </w:r>
      <w:r/>
    </w:p>
    <w:p>
      <w:pPr>
        <w:ind w:firstLine="480"/>
        <w:spacing w:line="400" w:lineRule="exact"/>
        <w:rPr>
          <w:sz w:val="24"/>
          <w:szCs w:val="24"/>
        </w:rPr>
      </w:pPr>
      <w:r>
        <w:rPr>
          <w:rFonts w:hint="eastAsia"/>
          <w:sz w:val="24"/>
          <w:szCs w:val="24"/>
        </w:rPr>
        <w:t xml:space="preserve">1.1 采购内容：货物名称、规格型号、数量、单价、成交总价</w:t>
      </w:r>
      <w:r/>
    </w:p>
    <w:tbl>
      <w:tblPr>
        <w:tblStyle w:val="7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1417"/>
        <w:gridCol w:w="1560"/>
        <w:gridCol w:w="1417"/>
        <w:gridCol w:w="1181"/>
        <w:gridCol w:w="1421"/>
      </w:tblGrid>
      <w:tr>
        <w:trPr/>
        <w:tc>
          <w:tcPr>
            <w:tcW w:w="1526" w:type="dxa"/>
            <w:vAlign w:val="center"/>
            <w:textDirection w:val="lrTb"/>
            <w:noWrap w:val="false"/>
          </w:tcPr>
          <w:p>
            <w:pPr>
              <w:jc w:val="center"/>
              <w:spacing w:line="400" w:lineRule="exact"/>
              <w:rPr>
                <w:sz w:val="24"/>
                <w:szCs w:val="24"/>
              </w:rPr>
            </w:pPr>
            <w:r>
              <w:rPr>
                <w:rFonts w:hint="eastAsia"/>
                <w:sz w:val="24"/>
                <w:szCs w:val="24"/>
              </w:rPr>
              <w:t xml:space="preserve">设备名称</w:t>
            </w:r>
            <w:r/>
          </w:p>
        </w:tc>
        <w:tc>
          <w:tcPr>
            <w:tcW w:w="1417" w:type="dxa"/>
            <w:vAlign w:val="center"/>
            <w:textDirection w:val="lrTb"/>
            <w:noWrap w:val="false"/>
          </w:tcPr>
          <w:p>
            <w:pPr>
              <w:jc w:val="center"/>
              <w:spacing w:line="400" w:lineRule="exact"/>
              <w:rPr>
                <w:sz w:val="24"/>
                <w:szCs w:val="24"/>
              </w:rPr>
            </w:pPr>
            <w:r>
              <w:rPr>
                <w:rFonts w:hint="eastAsia"/>
                <w:sz w:val="24"/>
                <w:szCs w:val="24"/>
              </w:rPr>
              <w:t xml:space="preserve">生产厂家</w:t>
            </w:r>
            <w:r/>
          </w:p>
        </w:tc>
        <w:tc>
          <w:tcPr>
            <w:tcW w:w="1560" w:type="dxa"/>
            <w:vAlign w:val="center"/>
            <w:textDirection w:val="lrTb"/>
            <w:noWrap w:val="false"/>
          </w:tcPr>
          <w:p>
            <w:pPr>
              <w:jc w:val="center"/>
              <w:spacing w:line="400" w:lineRule="exact"/>
              <w:rPr>
                <w:sz w:val="24"/>
                <w:szCs w:val="24"/>
              </w:rPr>
            </w:pPr>
            <w:r>
              <w:rPr>
                <w:rFonts w:hint="eastAsia"/>
                <w:sz w:val="24"/>
                <w:szCs w:val="24"/>
              </w:rPr>
              <w:t xml:space="preserve">规格型号</w:t>
            </w:r>
            <w:r/>
          </w:p>
        </w:tc>
        <w:tc>
          <w:tcPr>
            <w:tcW w:w="1417" w:type="dxa"/>
            <w:vAlign w:val="center"/>
            <w:textDirection w:val="lrTb"/>
            <w:noWrap w:val="false"/>
          </w:tcPr>
          <w:p>
            <w:pPr>
              <w:jc w:val="center"/>
              <w:spacing w:line="300" w:lineRule="exact"/>
              <w:rPr>
                <w:sz w:val="24"/>
                <w:szCs w:val="24"/>
              </w:rPr>
            </w:pPr>
            <w:r>
              <w:rPr>
                <w:rFonts w:hint="eastAsia"/>
                <w:sz w:val="24"/>
                <w:szCs w:val="24"/>
              </w:rPr>
              <w:t xml:space="preserve">数量</w:t>
            </w:r>
            <w:r/>
          </w:p>
          <w:p>
            <w:pPr>
              <w:jc w:val="center"/>
              <w:spacing w:line="300" w:lineRule="exact"/>
              <w:rPr>
                <w:sz w:val="24"/>
                <w:szCs w:val="24"/>
              </w:rPr>
            </w:pPr>
            <w:r>
              <w:rPr>
                <w:rFonts w:hint="eastAsia"/>
                <w:sz w:val="24"/>
                <w:szCs w:val="24"/>
              </w:rPr>
              <w:t xml:space="preserve">（台/套）</w:t>
            </w:r>
            <w:r/>
          </w:p>
        </w:tc>
        <w:tc>
          <w:tcPr>
            <w:tcW w:w="1181" w:type="dxa"/>
            <w:vAlign w:val="center"/>
            <w:textDirection w:val="lrTb"/>
            <w:noWrap w:val="false"/>
          </w:tcPr>
          <w:p>
            <w:pPr>
              <w:jc w:val="center"/>
              <w:spacing w:line="300" w:lineRule="exact"/>
              <w:rPr>
                <w:sz w:val="24"/>
                <w:szCs w:val="24"/>
              </w:rPr>
            </w:pPr>
            <w:r>
              <w:rPr>
                <w:rFonts w:hint="eastAsia"/>
                <w:sz w:val="24"/>
                <w:szCs w:val="24"/>
              </w:rPr>
              <w:t xml:space="preserve">单价</w:t>
            </w:r>
            <w:r/>
          </w:p>
          <w:p>
            <w:pPr>
              <w:jc w:val="center"/>
              <w:spacing w:line="300" w:lineRule="exact"/>
              <w:rPr>
                <w:sz w:val="24"/>
                <w:szCs w:val="24"/>
              </w:rPr>
            </w:pPr>
            <w:r>
              <w:rPr>
                <w:rFonts w:hint="eastAsia"/>
                <w:sz w:val="24"/>
                <w:szCs w:val="24"/>
              </w:rPr>
              <w:t xml:space="preserve">（元）</w:t>
            </w:r>
            <w:r/>
          </w:p>
        </w:tc>
        <w:tc>
          <w:tcPr>
            <w:tcW w:w="1421" w:type="dxa"/>
            <w:vAlign w:val="center"/>
            <w:textDirection w:val="lrTb"/>
            <w:noWrap w:val="false"/>
          </w:tcPr>
          <w:p>
            <w:pPr>
              <w:jc w:val="center"/>
              <w:spacing w:line="300" w:lineRule="exact"/>
              <w:rPr>
                <w:sz w:val="24"/>
                <w:szCs w:val="24"/>
              </w:rPr>
            </w:pPr>
            <w:r>
              <w:rPr>
                <w:rFonts w:hint="eastAsia"/>
                <w:sz w:val="24"/>
                <w:szCs w:val="24"/>
              </w:rPr>
              <w:t xml:space="preserve">成交总价</w:t>
            </w:r>
            <w:r/>
          </w:p>
          <w:p>
            <w:pPr>
              <w:jc w:val="center"/>
              <w:spacing w:line="300" w:lineRule="exact"/>
              <w:rPr>
                <w:sz w:val="24"/>
                <w:szCs w:val="24"/>
              </w:rPr>
            </w:pPr>
            <w:r>
              <w:rPr>
                <w:rFonts w:hint="eastAsia"/>
                <w:sz w:val="24"/>
                <w:szCs w:val="24"/>
              </w:rPr>
              <w:t xml:space="preserve">（元）</w:t>
            </w:r>
            <w:r/>
          </w:p>
        </w:tc>
      </w:tr>
      <w:tr>
        <w:trPr/>
        <w:tc>
          <w:tcPr>
            <w:tcW w:w="1526" w:type="dxa"/>
            <w:textDirection w:val="lrTb"/>
            <w:noWrap w:val="false"/>
          </w:tcPr>
          <w:p>
            <w:pPr>
              <w:spacing w:line="400" w:lineRule="exact"/>
              <w:rPr>
                <w:sz w:val="24"/>
                <w:szCs w:val="24"/>
              </w:rPr>
            </w:pPr>
            <w:r>
              <w:rPr>
                <w:sz w:val="24"/>
                <w:szCs w:val="24"/>
              </w:rPr>
            </w:r>
            <w:r/>
          </w:p>
        </w:tc>
        <w:tc>
          <w:tcPr>
            <w:tcW w:w="1417" w:type="dxa"/>
            <w:textDirection w:val="lrTb"/>
            <w:noWrap w:val="false"/>
          </w:tcPr>
          <w:p>
            <w:pPr>
              <w:spacing w:line="400" w:lineRule="exact"/>
              <w:rPr>
                <w:sz w:val="24"/>
                <w:szCs w:val="24"/>
              </w:rPr>
            </w:pPr>
            <w:r>
              <w:rPr>
                <w:sz w:val="24"/>
                <w:szCs w:val="24"/>
              </w:rPr>
            </w:r>
            <w:r/>
          </w:p>
        </w:tc>
        <w:tc>
          <w:tcPr>
            <w:tcW w:w="1560" w:type="dxa"/>
            <w:textDirection w:val="lrTb"/>
            <w:noWrap w:val="false"/>
          </w:tcPr>
          <w:p>
            <w:pPr>
              <w:spacing w:line="400" w:lineRule="exact"/>
              <w:rPr>
                <w:sz w:val="24"/>
                <w:szCs w:val="24"/>
              </w:rPr>
            </w:pPr>
            <w:r>
              <w:rPr>
                <w:sz w:val="24"/>
                <w:szCs w:val="24"/>
              </w:rPr>
            </w:r>
            <w:r/>
          </w:p>
        </w:tc>
        <w:tc>
          <w:tcPr>
            <w:tcW w:w="1417" w:type="dxa"/>
            <w:textDirection w:val="lrTb"/>
            <w:noWrap w:val="false"/>
          </w:tcPr>
          <w:p>
            <w:pPr>
              <w:spacing w:line="400" w:lineRule="exact"/>
              <w:rPr>
                <w:sz w:val="24"/>
                <w:szCs w:val="24"/>
              </w:rPr>
            </w:pPr>
            <w:r>
              <w:rPr>
                <w:sz w:val="24"/>
                <w:szCs w:val="24"/>
              </w:rPr>
            </w:r>
            <w:r/>
          </w:p>
        </w:tc>
        <w:tc>
          <w:tcPr>
            <w:tcW w:w="1181" w:type="dxa"/>
            <w:textDirection w:val="lrTb"/>
            <w:noWrap w:val="false"/>
          </w:tcPr>
          <w:p>
            <w:pPr>
              <w:spacing w:line="400" w:lineRule="exact"/>
              <w:rPr>
                <w:sz w:val="24"/>
                <w:szCs w:val="24"/>
              </w:rPr>
            </w:pPr>
            <w:r>
              <w:rPr>
                <w:sz w:val="24"/>
                <w:szCs w:val="24"/>
              </w:rPr>
            </w:r>
            <w:r/>
          </w:p>
        </w:tc>
        <w:tc>
          <w:tcPr>
            <w:tcW w:w="1421" w:type="dxa"/>
            <w:textDirection w:val="lrTb"/>
            <w:noWrap w:val="false"/>
          </w:tcPr>
          <w:p>
            <w:pPr>
              <w:spacing w:line="400" w:lineRule="exact"/>
              <w:rPr>
                <w:sz w:val="24"/>
                <w:szCs w:val="24"/>
              </w:rPr>
            </w:pPr>
            <w:r>
              <w:rPr>
                <w:sz w:val="24"/>
                <w:szCs w:val="24"/>
              </w:rPr>
            </w:r>
            <w:r/>
          </w:p>
        </w:tc>
      </w:tr>
      <w:tr>
        <w:trPr/>
        <w:tc>
          <w:tcPr>
            <w:gridSpan w:val="4"/>
            <w:tcW w:w="5920" w:type="dxa"/>
            <w:textDirection w:val="lrTb"/>
            <w:noWrap w:val="false"/>
          </w:tcPr>
          <w:p>
            <w:pPr>
              <w:spacing w:line="400" w:lineRule="exact"/>
              <w:rPr>
                <w:sz w:val="24"/>
                <w:szCs w:val="24"/>
              </w:rPr>
            </w:pPr>
            <w:r>
              <w:rPr>
                <w:rFonts w:hint="eastAsia"/>
                <w:sz w:val="24"/>
                <w:szCs w:val="24"/>
              </w:rPr>
              <w:t xml:space="preserve">总计（大写）：</w:t>
            </w:r>
            <w:r/>
          </w:p>
        </w:tc>
        <w:tc>
          <w:tcPr>
            <w:gridSpan w:val="2"/>
            <w:tcW w:w="2602" w:type="dxa"/>
            <w:textDirection w:val="lrTb"/>
            <w:noWrap w:val="false"/>
          </w:tcPr>
          <w:p>
            <w:pPr>
              <w:spacing w:line="400" w:lineRule="exact"/>
              <w:rPr>
                <w:sz w:val="24"/>
                <w:szCs w:val="24"/>
              </w:rPr>
            </w:pPr>
            <w:r>
              <w:rPr>
                <w:rFonts w:hint="eastAsia"/>
                <w:sz w:val="24"/>
                <w:szCs w:val="24"/>
              </w:rPr>
              <w:t xml:space="preserve">（小写）：</w:t>
            </w:r>
            <w:r/>
          </w:p>
        </w:tc>
      </w:tr>
    </w:tbl>
    <w:p>
      <w:pPr>
        <w:ind w:firstLine="480"/>
        <w:spacing w:line="400" w:lineRule="exact"/>
        <w:rPr>
          <w:sz w:val="24"/>
          <w:szCs w:val="24"/>
        </w:rPr>
      </w:pPr>
      <w:r>
        <w:rPr>
          <w:rFonts w:hint="eastAsia"/>
          <w:sz w:val="24"/>
          <w:szCs w:val="24"/>
        </w:rPr>
        <w:t xml:space="preserve">以上价格均为含税价格。</w:t>
      </w:r>
      <w:r/>
    </w:p>
    <w:p>
      <w:pPr>
        <w:ind w:firstLine="480"/>
        <w:spacing w:line="400" w:lineRule="exact"/>
        <w:rPr>
          <w:i/>
          <w:iCs/>
          <w:sz w:val="24"/>
          <w:szCs w:val="24"/>
        </w:rPr>
      </w:pPr>
      <w:r>
        <w:rPr>
          <w:rFonts w:hint="eastAsia"/>
          <w:sz w:val="24"/>
          <w:szCs w:val="24"/>
        </w:rPr>
        <w:t xml:space="preserve">1.2 标的质量与检验：</w:t>
      </w:r>
      <w:r>
        <w:rPr>
          <w:rFonts w:hint="eastAsia"/>
          <w:i/>
          <w:iCs/>
          <w:sz w:val="24"/>
          <w:szCs w:val="24"/>
        </w:rPr>
        <w:t xml:space="preserve"> </w:t>
      </w:r>
      <w:r/>
    </w:p>
    <w:p>
      <w:pPr>
        <w:ind w:firstLine="480"/>
        <w:spacing w:line="336" w:lineRule="auto"/>
        <w:tabs>
          <w:tab w:val="left" w:pos="525" w:leader="none"/>
          <w:tab w:val="left" w:pos="1050" w:leader="none"/>
          <w:tab w:val="left" w:pos="1155" w:leader="none"/>
        </w:tabs>
        <w:rPr>
          <w:bCs/>
          <w:sz w:val="24"/>
          <w:szCs w:val="24"/>
        </w:rPr>
      </w:pPr>
      <w:r>
        <w:rPr>
          <w:rFonts w:hint="eastAsia"/>
          <w:bCs/>
          <w:sz w:val="24"/>
          <w:szCs w:val="24"/>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bCs/>
          <w:sz w:val="24"/>
          <w:szCs w:val="24"/>
        </w:rPr>
      </w:pPr>
      <w:r>
        <w:rPr>
          <w:rFonts w:hint="eastAsia"/>
          <w:bCs/>
          <w:sz w:val="24"/>
          <w:szCs w:val="24"/>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1.2.4货物和系统调试验收标准：按行业通行标准、厂方出厂标准、招标文件要求和甲方投标文件的承诺，并不低于国家相关标准。</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sz w:val="24"/>
          <w:szCs w:val="24"/>
        </w:rPr>
      </w:pPr>
      <w:r>
        <w:rPr>
          <w:rFonts w:hint="eastAsia"/>
          <w:sz w:val="24"/>
          <w:szCs w:val="24"/>
        </w:rPr>
        <w:t xml:space="preserve">1.3履行时间（交货或完工期限）：合同生效之日起</w:t>
      </w:r>
      <w:r>
        <w:rPr>
          <w:rFonts w:hint="eastAsia"/>
          <w:sz w:val="24"/>
          <w:szCs w:val="24"/>
          <w:u w:val="single"/>
        </w:rPr>
        <w:t xml:space="preserve">         </w:t>
      </w:r>
      <w:r>
        <w:rPr>
          <w:rFonts w:hint="eastAsia"/>
          <w:sz w:val="24"/>
          <w:szCs w:val="24"/>
        </w:rPr>
        <w:t xml:space="preserve">天内，交货并完成安装调试。</w:t>
      </w:r>
      <w:r/>
    </w:p>
    <w:p>
      <w:pPr>
        <w:ind w:firstLine="480"/>
        <w:spacing w:line="400" w:lineRule="exact"/>
        <w:rPr>
          <w:sz w:val="24"/>
          <w:szCs w:val="24"/>
        </w:rPr>
      </w:pPr>
      <w:r>
        <w:rPr>
          <w:rFonts w:hint="eastAsia"/>
          <w:sz w:val="24"/>
          <w:szCs w:val="24"/>
        </w:rPr>
        <w:t xml:space="preserve">1.4履行地点： 甲方所在地指定地点。</w:t>
      </w:r>
      <w:r/>
    </w:p>
    <w:p>
      <w:pPr>
        <w:ind w:firstLine="480"/>
        <w:spacing w:line="400" w:lineRule="exact"/>
        <w:rPr>
          <w:sz w:val="24"/>
          <w:szCs w:val="24"/>
        </w:rPr>
      </w:pPr>
      <w:r>
        <w:rPr>
          <w:rFonts w:hint="eastAsia"/>
          <w:sz w:val="24"/>
          <w:szCs w:val="24"/>
        </w:rPr>
        <w:t xml:space="preserve">1.5履行方式：由乙方负责办理运输及装卸，直接送至甲方所在地，并负责安装、调试、使用维护培训、售后服务等，所有费用由乙方承担。</w:t>
      </w:r>
      <w:r/>
    </w:p>
    <w:p>
      <w:pPr>
        <w:ind w:firstLine="480"/>
        <w:spacing w:line="336" w:lineRule="auto"/>
        <w:rPr>
          <w:bCs/>
          <w:sz w:val="24"/>
          <w:szCs w:val="24"/>
        </w:rPr>
      </w:pPr>
      <w:r>
        <w:rPr>
          <w:rFonts w:hint="eastAsia"/>
          <w:bCs/>
          <w:sz w:val="24"/>
          <w:szCs w:val="24"/>
        </w:rPr>
        <w:t xml:space="preserve">1.5.1交货条件：</w:t>
      </w:r>
      <w:r/>
    </w:p>
    <w:p>
      <w:pPr>
        <w:ind w:firstLine="480"/>
        <w:spacing w:line="336" w:lineRule="auto"/>
        <w:tabs>
          <w:tab w:val="left" w:pos="420" w:leader="none"/>
          <w:tab w:val="left" w:pos="1155" w:leader="none"/>
        </w:tabs>
        <w:rPr>
          <w:bCs/>
          <w:sz w:val="24"/>
          <w:szCs w:val="24"/>
        </w:rPr>
      </w:pPr>
      <w:r/>
      <w:bookmarkStart w:id="187" w:name="_Hlk167283710"/>
      <w:r>
        <w:rPr>
          <w:rFonts w:hint="eastAsia"/>
          <w:bCs/>
          <w:sz w:val="24"/>
          <w:szCs w:val="24"/>
        </w:rPr>
        <w:t xml:space="preserve">1.5.1.</w:t>
      </w:r>
      <w:bookmarkEnd w:id="187"/>
      <w:r>
        <w:rPr>
          <w:rFonts w:hint="eastAsia"/>
          <w:bCs/>
          <w:sz w:val="24"/>
          <w:szCs w:val="24"/>
        </w:rPr>
        <w:t xml:space="preserve">1乙方在验收时应先用信函、传真、电子邮件等书面方式通知甲方。</w:t>
      </w:r>
      <w:r/>
    </w:p>
    <w:p>
      <w:pPr>
        <w:ind w:firstLine="480"/>
        <w:spacing w:line="336" w:lineRule="auto"/>
        <w:tabs>
          <w:tab w:val="left" w:pos="1155" w:leader="none"/>
        </w:tabs>
        <w:rPr>
          <w:bCs/>
          <w:sz w:val="24"/>
          <w:szCs w:val="24"/>
        </w:rPr>
      </w:pPr>
      <w:r>
        <w:rPr>
          <w:rFonts w:hint="eastAsia"/>
          <w:bCs/>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bCs/>
          <w:sz w:val="24"/>
          <w:szCs w:val="24"/>
        </w:rPr>
      </w:pPr>
      <w:r>
        <w:rPr>
          <w:rFonts w:hint="eastAsia"/>
          <w:bCs/>
          <w:sz w:val="24"/>
          <w:szCs w:val="24"/>
        </w:rPr>
        <w:t xml:space="preserve">1.5.1.3货物交货时，所有货物必须带有货物质量检验合格证书、中文质保单、装箱单、中文货物安装使用说明书。其他附件所有部件必须原包装。</w:t>
      </w:r>
      <w:r/>
    </w:p>
    <w:p>
      <w:pPr>
        <w:ind w:firstLine="480"/>
        <w:spacing w:line="336" w:lineRule="auto"/>
        <w:tabs>
          <w:tab w:val="left" w:pos="1155" w:leader="none"/>
        </w:tabs>
        <w:rPr>
          <w:bCs/>
          <w:sz w:val="24"/>
          <w:szCs w:val="24"/>
        </w:rPr>
      </w:pPr>
      <w:r>
        <w:rPr>
          <w:rFonts w:hint="eastAsia"/>
          <w:bCs/>
          <w:sz w:val="24"/>
          <w:szCs w:val="24"/>
        </w:rPr>
        <w:t xml:space="preserve">1.5.1.4运输及到货地点：由乙方负责办理运输并承担所有费用，直接送到甲方指定地点，即：以合同书上的地点为准。</w:t>
      </w:r>
      <w:r/>
    </w:p>
    <w:p>
      <w:pPr>
        <w:ind w:firstLine="480"/>
        <w:spacing w:line="336" w:lineRule="auto"/>
        <w:rPr>
          <w:bCs/>
          <w:sz w:val="24"/>
          <w:szCs w:val="24"/>
        </w:rPr>
      </w:pPr>
      <w:r>
        <w:rPr>
          <w:rFonts w:hint="eastAsia"/>
          <w:bCs/>
          <w:sz w:val="24"/>
          <w:szCs w:val="24"/>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bCs/>
          <w:sz w:val="24"/>
          <w:szCs w:val="24"/>
        </w:rPr>
      </w:pPr>
      <w:r/>
      <w:bookmarkStart w:id="188" w:name="_Hlk167283769"/>
      <w:r>
        <w:rPr>
          <w:rFonts w:hint="eastAsia"/>
          <w:bCs/>
          <w:sz w:val="24"/>
          <w:szCs w:val="24"/>
        </w:rPr>
        <w:t xml:space="preserve">1.5</w:t>
      </w:r>
      <w:bookmarkStart w:id="189" w:name="_Hlk167283812"/>
      <w:r>
        <w:rPr>
          <w:rFonts w:hint="eastAsia"/>
          <w:bCs/>
          <w:sz w:val="24"/>
          <w:szCs w:val="24"/>
        </w:rPr>
        <w:t xml:space="preserve">.</w:t>
      </w:r>
      <w:bookmarkEnd w:id="189"/>
      <w:r>
        <w:rPr>
          <w:rFonts w:hint="eastAsia"/>
          <w:bCs/>
          <w:sz w:val="24"/>
          <w:szCs w:val="24"/>
        </w:rPr>
        <w:t xml:space="preserve">2</w:t>
      </w:r>
      <w:bookmarkEnd w:id="188"/>
      <w:r>
        <w:rPr>
          <w:rFonts w:hint="eastAsia"/>
          <w:bCs/>
          <w:sz w:val="24"/>
          <w:szCs w:val="24"/>
        </w:rPr>
        <w:t xml:space="preserve">.1乙方负责本项目的安装和调试，并保证其提供的货物符合国家、行业、地方、招投标文件及合同规定的质量、性能和标准，并正确且安全地安装。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1.5.2.3质保期后的货物维护由双方协商再定。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w:t>
      </w:r>
      <w:r>
        <w:rPr>
          <w:rFonts w:hint="eastAsia"/>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sz w:val="24"/>
          <w:szCs w:val="24"/>
        </w:rPr>
      </w:pPr>
      <w:r>
        <w:rPr>
          <w:rFonts w:hint="eastAsia"/>
          <w:sz w:val="24"/>
          <w:szCs w:val="24"/>
        </w:rPr>
        <w:t xml:space="preserve">1.6 包装方式：</w:t>
      </w:r>
      <w:r>
        <w:rPr>
          <w:rFonts w:hint="eastAsia"/>
          <w:iCs/>
          <w:sz w:val="24"/>
          <w:szCs w:val="24"/>
          <w:u w:val="single"/>
        </w:rPr>
        <w:t xml:space="preserve">箱板包装。</w:t>
      </w:r>
      <w:r/>
    </w:p>
    <w:p>
      <w:pPr>
        <w:ind w:firstLine="482"/>
        <w:spacing w:line="400" w:lineRule="exact"/>
        <w:rPr>
          <w:b/>
          <w:sz w:val="24"/>
          <w:szCs w:val="24"/>
        </w:rPr>
      </w:pPr>
      <w:r>
        <w:rPr>
          <w:rFonts w:hint="eastAsia"/>
          <w:b/>
          <w:sz w:val="24"/>
          <w:szCs w:val="24"/>
        </w:rPr>
        <w:t xml:space="preserve">二、合同金额</w:t>
      </w:r>
      <w:r/>
    </w:p>
    <w:p>
      <w:pPr>
        <w:ind w:firstLine="480"/>
        <w:spacing w:line="400" w:lineRule="exact"/>
        <w:rPr>
          <w:sz w:val="24"/>
          <w:szCs w:val="24"/>
        </w:rPr>
      </w:pPr>
      <w:r>
        <w:rPr>
          <w:rFonts w:hint="eastAsia"/>
          <w:sz w:val="24"/>
          <w:szCs w:val="24"/>
        </w:rPr>
        <w:t xml:space="preserve">2.1本合同金额为（大写）： _____________圆（______元）人民币。</w:t>
      </w:r>
      <w:r/>
    </w:p>
    <w:p>
      <w:pPr>
        <w:ind w:firstLine="482"/>
        <w:spacing w:line="400" w:lineRule="exact"/>
        <w:rPr>
          <w:b/>
          <w:sz w:val="24"/>
          <w:szCs w:val="24"/>
        </w:rPr>
      </w:pPr>
      <w:r>
        <w:rPr>
          <w:rFonts w:hint="eastAsia"/>
          <w:b/>
          <w:sz w:val="24"/>
          <w:szCs w:val="24"/>
        </w:rPr>
        <w:t xml:space="preserve">三、技术资料</w:t>
      </w:r>
      <w:r/>
    </w:p>
    <w:p>
      <w:pPr>
        <w:ind w:firstLine="480"/>
        <w:spacing w:line="400" w:lineRule="exact"/>
        <w:rPr>
          <w:sz w:val="24"/>
          <w:szCs w:val="24"/>
        </w:rPr>
      </w:pPr>
      <w:r>
        <w:rPr>
          <w:rFonts w:hint="eastAsia"/>
          <w:sz w:val="24"/>
          <w:szCs w:val="24"/>
        </w:rPr>
        <w:t xml:space="preserve">3.1乙方应按招标文件规定的时间向甲方提供使用货物（包含与货物相关的服务）的有关技术资料。</w:t>
      </w:r>
      <w:r/>
    </w:p>
    <w:p>
      <w:pPr>
        <w:ind w:firstLine="480"/>
        <w:spacing w:line="400" w:lineRule="exact"/>
        <w:rPr>
          <w:sz w:val="24"/>
          <w:szCs w:val="24"/>
        </w:rPr>
      </w:pPr>
      <w:r>
        <w:rPr>
          <w:rFonts w:hint="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b/>
          <w:sz w:val="24"/>
          <w:szCs w:val="24"/>
        </w:rPr>
      </w:pPr>
      <w:r>
        <w:rPr>
          <w:rFonts w:hint="eastAsia"/>
          <w:b/>
          <w:sz w:val="24"/>
          <w:szCs w:val="24"/>
        </w:rPr>
        <w:t xml:space="preserve">四、知识产权</w:t>
      </w:r>
      <w:r/>
    </w:p>
    <w:p>
      <w:pPr>
        <w:ind w:firstLine="480"/>
        <w:spacing w:line="400" w:lineRule="exact"/>
        <w:rPr>
          <w:sz w:val="24"/>
          <w:szCs w:val="24"/>
        </w:rPr>
      </w:pPr>
      <w:r>
        <w:rPr>
          <w:rFonts w:hint="eastAsia"/>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sz w:val="24"/>
          <w:szCs w:val="24"/>
        </w:rPr>
      </w:pPr>
      <w:r>
        <w:rPr>
          <w:rFonts w:hint="eastAsia"/>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sz w:val="24"/>
          <w:szCs w:val="24"/>
          <w:u w:val="single"/>
        </w:rPr>
      </w:pPr>
      <w:r>
        <w:rPr>
          <w:rFonts w:hint="eastAsia"/>
          <w:b/>
          <w:sz w:val="24"/>
          <w:szCs w:val="24"/>
        </w:rPr>
        <w:t xml:space="preserve">五、产权担保</w:t>
      </w:r>
      <w:r/>
    </w:p>
    <w:p>
      <w:pPr>
        <w:ind w:firstLine="480"/>
        <w:spacing w:line="400" w:lineRule="exact"/>
        <w:rPr>
          <w:sz w:val="24"/>
          <w:szCs w:val="24"/>
          <w:u w:val="single"/>
        </w:rPr>
      </w:pPr>
      <w:r>
        <w:rPr>
          <w:rFonts w:hint="eastAsia"/>
          <w:sz w:val="24"/>
          <w:szCs w:val="24"/>
        </w:rPr>
        <w:t xml:space="preserve">5.1 乙方保证所交付的货物（包含与货物相关的服务）的所有权完全属于乙方且无任何抵押、查封等产权瑕疵。</w:t>
      </w:r>
      <w:r/>
    </w:p>
    <w:p>
      <w:pPr>
        <w:ind w:firstLine="482"/>
        <w:spacing w:line="400" w:lineRule="exact"/>
        <w:rPr>
          <w:b/>
          <w:sz w:val="24"/>
          <w:szCs w:val="24"/>
        </w:rPr>
      </w:pPr>
      <w:r>
        <w:rPr>
          <w:rFonts w:hint="eastAsia"/>
          <w:b/>
          <w:sz w:val="24"/>
          <w:szCs w:val="24"/>
        </w:rPr>
        <w:t xml:space="preserve">六、履约保证金</w:t>
      </w:r>
      <w:r/>
    </w:p>
    <w:p>
      <w:pPr>
        <w:ind w:firstLine="482"/>
        <w:spacing w:line="400" w:lineRule="exact"/>
        <w:rPr>
          <w:sz w:val="24"/>
          <w:szCs w:val="24"/>
        </w:rPr>
      </w:pPr>
      <w:r>
        <w:rPr>
          <w:rFonts w:hint="eastAsia"/>
          <w:sz w:val="24"/>
          <w:szCs w:val="24"/>
        </w:rPr>
        <w:t xml:space="preserve">不再收取履约保证金。</w:t>
      </w:r>
      <w:r/>
    </w:p>
    <w:p>
      <w:pPr>
        <w:ind w:firstLine="482"/>
        <w:spacing w:line="400" w:lineRule="exact"/>
        <w:rPr>
          <w:b/>
          <w:sz w:val="24"/>
          <w:szCs w:val="24"/>
        </w:rPr>
      </w:pPr>
      <w:r>
        <w:rPr>
          <w:rFonts w:hint="eastAsia"/>
          <w:b/>
          <w:sz w:val="24"/>
          <w:szCs w:val="24"/>
        </w:rPr>
        <w:t xml:space="preserve">七、合同转包或分包</w:t>
      </w:r>
      <w:r/>
    </w:p>
    <w:p>
      <w:pPr>
        <w:ind w:firstLine="480"/>
        <w:spacing w:line="400" w:lineRule="exact"/>
        <w:rPr>
          <w:sz w:val="24"/>
          <w:szCs w:val="24"/>
        </w:rPr>
      </w:pPr>
      <w:r>
        <w:rPr>
          <w:rFonts w:hint="eastAsia"/>
          <w:sz w:val="24"/>
          <w:szCs w:val="24"/>
        </w:rPr>
        <w:t xml:space="preserve">7.1乙方不得将合同标的转包给他人履行。</w:t>
      </w:r>
      <w:r/>
    </w:p>
    <w:p>
      <w:pPr>
        <w:ind w:firstLine="480"/>
        <w:spacing w:line="400" w:lineRule="exact"/>
        <w:rPr>
          <w:sz w:val="24"/>
          <w:szCs w:val="24"/>
        </w:rPr>
      </w:pPr>
      <w:r>
        <w:rPr>
          <w:rFonts w:hint="eastAsia"/>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sz w:val="24"/>
          <w:szCs w:val="24"/>
        </w:rPr>
      </w:pPr>
      <w:r>
        <w:rPr>
          <w:rFonts w:hint="eastAsia"/>
          <w:sz w:val="24"/>
          <w:szCs w:val="24"/>
        </w:rPr>
        <w:t xml:space="preserve">7.3乙方如有转包或未经甲方同意的分包行为，甲方有权给予终止合同。</w:t>
      </w:r>
      <w:r/>
    </w:p>
    <w:p>
      <w:pPr>
        <w:ind w:firstLine="482"/>
        <w:spacing w:line="400" w:lineRule="exact"/>
        <w:rPr>
          <w:b/>
          <w:sz w:val="24"/>
          <w:szCs w:val="24"/>
        </w:rPr>
      </w:pPr>
      <w:r>
        <w:rPr>
          <w:rFonts w:hint="eastAsia"/>
          <w:b/>
          <w:sz w:val="24"/>
          <w:szCs w:val="24"/>
        </w:rPr>
        <w:t xml:space="preserve">八、合同款项支付</w:t>
      </w:r>
      <w:r/>
    </w:p>
    <w:p>
      <w:pPr>
        <w:ind w:firstLine="480"/>
        <w:spacing w:line="400" w:lineRule="exact"/>
        <w:rPr>
          <w:bCs/>
          <w:sz w:val="24"/>
          <w:szCs w:val="24"/>
        </w:rPr>
      </w:pPr>
      <w:r>
        <w:rPr>
          <w:rFonts w:hint="eastAsia"/>
          <w:bCs/>
          <w:sz w:val="24"/>
          <w:szCs w:val="24"/>
        </w:rPr>
        <w:t xml:space="preserve">8.1合同款项的支付方式及进度安排</w:t>
      </w:r>
      <w:r/>
    </w:p>
    <w:p>
      <w:pPr>
        <w:ind w:firstLine="480"/>
        <w:spacing w:line="400" w:lineRule="exact"/>
        <w:rPr>
          <w:sz w:val="24"/>
          <w:szCs w:val="24"/>
        </w:rPr>
      </w:pPr>
      <w:r>
        <w:rPr>
          <w:rFonts w:hint="eastAsia"/>
          <w:sz w:val="24"/>
          <w:szCs w:val="24"/>
        </w:rPr>
        <w:t xml:space="preserve">合同签订后30日内预支付合同金额的30%；产品验收通过，正常使用6个月后30日内，采购人收到发票后，支付合同金额的60%；产品正常使用12个月后30日内，支付合同金额的10%。 </w:t>
      </w:r>
      <w:r/>
    </w:p>
    <w:p>
      <w:pPr>
        <w:ind w:firstLine="480"/>
        <w:spacing w:line="400" w:lineRule="exact"/>
        <w:rPr>
          <w:sz w:val="24"/>
          <w:szCs w:val="24"/>
        </w:rPr>
      </w:pPr>
      <w:r>
        <w:rPr>
          <w:rFonts w:hint="eastAsia"/>
          <w:sz w:val="24"/>
          <w:szCs w:val="24"/>
        </w:rPr>
        <w:t xml:space="preserve">如果中标人为中小企业，按《保障中小企业款项支付条例》（</w:t>
      </w:r>
      <w:r>
        <w:rPr>
          <w:sz w:val="24"/>
          <w:szCs w:val="24"/>
        </w:rPr>
        <w:t xml:space="preserve">国令第 802号</w:t>
      </w:r>
      <w:r>
        <w:rPr>
          <w:rFonts w:hint="eastAsia"/>
          <w:sz w:val="24"/>
          <w:szCs w:val="24"/>
        </w:rPr>
        <w:t xml:space="preserve">）</w:t>
      </w:r>
      <w:r>
        <w:rPr>
          <w:sz w:val="24"/>
          <w:szCs w:val="24"/>
        </w:rPr>
        <w:t xml:space="preserve">相</w:t>
      </w:r>
      <w:r>
        <w:rPr>
          <w:rFonts w:hint="eastAsia"/>
          <w:sz w:val="24"/>
          <w:szCs w:val="24"/>
        </w:rPr>
        <w:t xml:space="preserve">关</w:t>
      </w:r>
      <w:r>
        <w:rPr>
          <w:sz w:val="24"/>
          <w:szCs w:val="24"/>
        </w:rPr>
        <w:t xml:space="preserve">要求执行。</w:t>
      </w:r>
      <w:r>
        <w:rPr>
          <w:rFonts w:hint="eastAsia"/>
          <w:sz w:val="24"/>
          <w:szCs w:val="24"/>
        </w:rPr>
        <w:t xml:space="preserve"> </w:t>
      </w:r>
      <w:r/>
    </w:p>
    <w:p>
      <w:pPr>
        <w:ind w:firstLine="480"/>
        <w:spacing w:line="400" w:lineRule="exact"/>
        <w:rPr>
          <w:sz w:val="24"/>
          <w:szCs w:val="24"/>
        </w:rPr>
      </w:pPr>
      <w:r>
        <w:rPr>
          <w:rFonts w:hint="eastAsia"/>
          <w:bCs/>
          <w:sz w:val="24"/>
          <w:szCs w:val="24"/>
        </w:rPr>
        <w:t xml:space="preserve">8.2</w:t>
      </w:r>
      <w:r>
        <w:rPr>
          <w:rFonts w:hint="eastAsia"/>
          <w:sz w:val="24"/>
          <w:szCs w:val="24"/>
        </w:rPr>
        <w:t xml:space="preserve">当采购数量与实际使用数量不一致时，乙方应根据实际使用量供货，合同的最终结算金额按实际使用量乘以成交单价进行计算。</w:t>
      </w:r>
      <w:r/>
    </w:p>
    <w:p>
      <w:pPr>
        <w:ind w:firstLine="482"/>
        <w:spacing w:line="400" w:lineRule="exact"/>
        <w:rPr>
          <w:b/>
          <w:sz w:val="24"/>
          <w:szCs w:val="24"/>
        </w:rPr>
      </w:pPr>
      <w:r>
        <w:rPr>
          <w:rFonts w:hint="eastAsia"/>
          <w:b/>
          <w:sz w:val="24"/>
          <w:szCs w:val="24"/>
        </w:rPr>
        <w:t xml:space="preserve">九、税费</w:t>
      </w:r>
      <w:r/>
    </w:p>
    <w:p>
      <w:pPr>
        <w:ind w:firstLine="480"/>
        <w:spacing w:line="400" w:lineRule="exact"/>
        <w:rPr>
          <w:sz w:val="24"/>
          <w:szCs w:val="24"/>
        </w:rPr>
      </w:pPr>
      <w:r>
        <w:rPr>
          <w:rFonts w:hint="eastAsia"/>
          <w:sz w:val="24"/>
          <w:szCs w:val="24"/>
        </w:rPr>
        <w:t xml:space="preserve">9.1本合同执行中相关的一切税费均由乙方负担。</w:t>
      </w:r>
      <w:r/>
    </w:p>
    <w:p>
      <w:pPr>
        <w:ind w:firstLine="482"/>
        <w:spacing w:line="400" w:lineRule="exact"/>
        <w:rPr>
          <w:sz w:val="24"/>
          <w:szCs w:val="24"/>
        </w:rPr>
      </w:pPr>
      <w:r>
        <w:rPr>
          <w:rFonts w:hint="eastAsia"/>
          <w:b/>
          <w:sz w:val="24"/>
          <w:szCs w:val="24"/>
        </w:rPr>
        <w:t xml:space="preserve">十、质量保修范围和保修期及售后服务</w:t>
      </w:r>
      <w:r/>
    </w:p>
    <w:p>
      <w:pPr>
        <w:ind w:firstLine="480"/>
        <w:spacing w:line="400" w:lineRule="exact"/>
        <w:rPr>
          <w:sz w:val="24"/>
          <w:szCs w:val="24"/>
        </w:rPr>
      </w:pPr>
      <w:r>
        <w:rPr>
          <w:rFonts w:hint="eastAsia"/>
          <w:sz w:val="24"/>
          <w:szCs w:val="24"/>
        </w:rPr>
        <w:t xml:space="preserve">10.1乙方应按招标文件规定的货物性能、技术要求、质量标准向甲方提供未经使用的全新产品。</w:t>
      </w:r>
      <w:r/>
    </w:p>
    <w:p>
      <w:pPr>
        <w:ind w:firstLine="480"/>
        <w:spacing w:line="400" w:lineRule="exact"/>
        <w:rPr>
          <w:sz w:val="24"/>
          <w:szCs w:val="24"/>
        </w:rPr>
      </w:pPr>
      <w:r>
        <w:rPr>
          <w:rFonts w:hint="eastAsia"/>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sz w:val="24"/>
          <w:szCs w:val="24"/>
        </w:rPr>
      </w:pPr>
      <w:r>
        <w:rPr>
          <w:rFonts w:hint="eastAsia"/>
          <w:sz w:val="24"/>
          <w:szCs w:val="24"/>
        </w:rPr>
        <w:t xml:space="preserve">⑴更换：由乙方承担所发生的全部费用。</w:t>
      </w:r>
      <w:r/>
    </w:p>
    <w:p>
      <w:pPr>
        <w:ind w:firstLine="480"/>
        <w:spacing w:line="400" w:lineRule="exact"/>
        <w:rPr>
          <w:sz w:val="24"/>
          <w:szCs w:val="24"/>
        </w:rPr>
      </w:pPr>
      <w:r>
        <w:rPr>
          <w:rFonts w:hint="eastAsia"/>
          <w:sz w:val="24"/>
          <w:szCs w:val="24"/>
        </w:rPr>
        <w:t xml:space="preserve">⑵贬值处理：由甲乙双方合议定价。</w:t>
      </w:r>
      <w:r/>
    </w:p>
    <w:p>
      <w:pPr>
        <w:ind w:firstLine="480"/>
        <w:spacing w:line="400" w:lineRule="exact"/>
        <w:rPr>
          <w:sz w:val="24"/>
          <w:szCs w:val="24"/>
        </w:rPr>
      </w:pPr>
      <w:r>
        <w:rPr>
          <w:rFonts w:hint="eastAsia"/>
          <w:sz w:val="24"/>
          <w:szCs w:val="24"/>
        </w:rPr>
        <w:t xml:space="preserve">⑶退货处理：乙方应退还甲方支付的合同款，同时应承担该货物的直接费用（运输、保险、检验、货款利息及银行手续费等）。</w:t>
      </w:r>
      <w:r/>
    </w:p>
    <w:p>
      <w:pPr>
        <w:ind w:firstLine="480"/>
        <w:spacing w:line="400" w:lineRule="exact"/>
        <w:rPr>
          <w:sz w:val="24"/>
          <w:szCs w:val="24"/>
        </w:rPr>
      </w:pPr>
      <w:r>
        <w:rPr>
          <w:rFonts w:hint="eastAsia"/>
          <w:sz w:val="24"/>
          <w:szCs w:val="24"/>
        </w:rPr>
        <w:t xml:space="preserve">10.3如在使用过程中发生质量问题，乙方在接到甲方通知后在_________小时内到达甲方现场。</w:t>
      </w:r>
      <w:r/>
    </w:p>
    <w:p>
      <w:pPr>
        <w:ind w:firstLine="480"/>
        <w:spacing w:line="400" w:lineRule="exact"/>
        <w:rPr>
          <w:sz w:val="24"/>
          <w:szCs w:val="24"/>
        </w:rPr>
      </w:pPr>
      <w:r>
        <w:rPr>
          <w:rFonts w:hint="eastAsia"/>
          <w:sz w:val="24"/>
          <w:szCs w:val="24"/>
        </w:rPr>
        <w:t xml:space="preserve">10.4在质保期内，乙方应对货物出现的质量及安全问题负责处理解决并承担一切费用。</w:t>
      </w:r>
      <w:r/>
    </w:p>
    <w:p>
      <w:pPr>
        <w:ind w:firstLine="480"/>
        <w:spacing w:line="400" w:lineRule="exact"/>
        <w:rPr>
          <w:sz w:val="24"/>
          <w:szCs w:val="24"/>
        </w:rPr>
      </w:pPr>
      <w:r>
        <w:rPr>
          <w:rFonts w:hint="eastAsia"/>
          <w:sz w:val="24"/>
          <w:szCs w:val="24"/>
        </w:rPr>
        <w:t xml:space="preserve">10.5上述的货物免费保修期为</w:t>
      </w:r>
      <w:r>
        <w:rPr>
          <w:rFonts w:hint="eastAsia"/>
          <w:sz w:val="24"/>
          <w:szCs w:val="24"/>
          <w:u w:val="single"/>
        </w:rPr>
        <w:t xml:space="preserve">     </w:t>
      </w:r>
      <w:r>
        <w:rPr>
          <w:rFonts w:hint="eastAsia"/>
          <w:sz w:val="24"/>
          <w:szCs w:val="24"/>
        </w:rPr>
        <w:t xml:space="preserve">年（自交货验收合格之日起计），因人为因素出现的故障不在免费保修范围内。超过保修期的机器设备，终身维修，维修时只收部件成本费。</w:t>
      </w:r>
      <w:r/>
    </w:p>
    <w:p>
      <w:pPr>
        <w:ind w:firstLine="482"/>
        <w:spacing w:line="400" w:lineRule="exact"/>
        <w:rPr>
          <w:b/>
          <w:sz w:val="24"/>
          <w:szCs w:val="24"/>
        </w:rPr>
      </w:pPr>
      <w:r>
        <w:rPr>
          <w:rFonts w:hint="eastAsia"/>
          <w:b/>
          <w:sz w:val="24"/>
          <w:szCs w:val="24"/>
        </w:rPr>
        <w:t xml:space="preserve">十一、项目验收</w:t>
      </w:r>
      <w:r/>
    </w:p>
    <w:p>
      <w:pPr>
        <w:ind w:firstLine="480"/>
        <w:spacing w:line="400" w:lineRule="exact"/>
        <w:rPr>
          <w:sz w:val="24"/>
          <w:szCs w:val="24"/>
        </w:rPr>
      </w:pPr>
      <w:r>
        <w:rPr>
          <w:rFonts w:hint="eastAsia"/>
          <w:sz w:val="24"/>
          <w:szCs w:val="24"/>
        </w:rPr>
        <w:t xml:space="preserve">11.1甲方依法组织履约验收工作。</w:t>
      </w:r>
      <w:r/>
    </w:p>
    <w:p>
      <w:pPr>
        <w:ind w:firstLine="480"/>
        <w:spacing w:line="400" w:lineRule="exact"/>
        <w:rPr>
          <w:sz w:val="24"/>
          <w:szCs w:val="24"/>
        </w:rPr>
      </w:pPr>
      <w:r>
        <w:rPr>
          <w:rFonts w:hint="eastAsia"/>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sz w:val="24"/>
          <w:szCs w:val="24"/>
        </w:rPr>
      </w:pPr>
      <w:r>
        <w:rPr>
          <w:rFonts w:hint="eastAsia"/>
          <w:sz w:val="24"/>
          <w:szCs w:val="24"/>
        </w:rPr>
        <w:t xml:space="preserve">11.3对于实际使用人和甲方分离的项目，甲方邀请实际使用人参与验收。</w:t>
      </w:r>
      <w:r/>
    </w:p>
    <w:p>
      <w:pPr>
        <w:ind w:firstLine="480"/>
        <w:spacing w:line="400" w:lineRule="exact"/>
        <w:rPr>
          <w:sz w:val="24"/>
          <w:szCs w:val="24"/>
        </w:rPr>
      </w:pPr>
      <w:r>
        <w:rPr>
          <w:rFonts w:hint="eastAsia"/>
          <w:sz w:val="24"/>
          <w:szCs w:val="24"/>
        </w:rPr>
        <w:t xml:space="preserve">11.4如有必要，甲方邀请参加本项目的其他供应商或第三方专业机构及专家参与验收，相关意见将作为验收书的参考资料。</w:t>
      </w:r>
      <w:r/>
    </w:p>
    <w:p>
      <w:pPr>
        <w:ind w:firstLine="480"/>
        <w:spacing w:line="400" w:lineRule="exact"/>
        <w:rPr>
          <w:sz w:val="24"/>
          <w:szCs w:val="24"/>
          <w:highlight w:val="none"/>
        </w:rPr>
      </w:pPr>
      <w:r>
        <w:rPr>
          <w:rFonts w:hint="eastAsia"/>
          <w:sz w:val="24"/>
          <w:szCs w:val="24"/>
        </w:rPr>
        <w:t xml:space="preserve">11.5甲方成立验收小组，按照采购合同的约定对乙方的履约情况进行验收。验收时间、验收标准见招标文件验收内容，要求设备到货日期距其生产日期不超过一年（以铭牌为准）。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w:t>
      </w:r>
      <w:r>
        <w:rPr>
          <w:rFonts w:hint="eastAsia"/>
          <w:sz w:val="24"/>
          <w:szCs w:val="24"/>
          <w:highlight w:val="none"/>
        </w:rPr>
        <w:t xml:space="preserve">收的各项资料存档备查。</w:t>
      </w:r>
      <w:r/>
    </w:p>
    <w:p>
      <w:pPr>
        <w:ind w:firstLine="480"/>
        <w:spacing w:line="400" w:lineRule="exact"/>
        <w:rPr>
          <w:sz w:val="24"/>
          <w:szCs w:val="24"/>
          <w:highlight w:val="none"/>
        </w:rPr>
      </w:pPr>
      <w:r>
        <w:rPr>
          <w:rFonts w:hint="eastAsia"/>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2"/>
        <w:spacing w:line="400" w:lineRule="exact"/>
        <w:rPr>
          <w:b/>
          <w:sz w:val="24"/>
          <w:szCs w:val="24"/>
          <w:highlight w:val="none"/>
        </w:rPr>
      </w:pPr>
      <w:r>
        <w:rPr>
          <w:rFonts w:hint="eastAsia"/>
          <w:b/>
          <w:sz w:val="24"/>
          <w:szCs w:val="24"/>
          <w:highlight w:val="none"/>
        </w:rPr>
        <w:t xml:space="preserve">十二、货物的包装、发运及运输</w:t>
      </w:r>
      <w:r/>
    </w:p>
    <w:p>
      <w:pPr>
        <w:ind w:firstLine="480"/>
        <w:spacing w:line="400" w:lineRule="exact"/>
        <w:rPr>
          <w:sz w:val="24"/>
          <w:szCs w:val="24"/>
          <w:highlight w:val="none"/>
        </w:rPr>
      </w:pPr>
      <w:r>
        <w:rPr>
          <w:rFonts w:hint="eastAsia"/>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sz w:val="24"/>
          <w:szCs w:val="24"/>
          <w:highlight w:val="none"/>
        </w:rPr>
      </w:pPr>
      <w:r>
        <w:rPr>
          <w:rFonts w:hint="eastAsia"/>
          <w:sz w:val="24"/>
          <w:szCs w:val="24"/>
          <w:highlight w:val="none"/>
        </w:rPr>
        <w:t xml:space="preserve">12.2使用说明书、质量检验证明书、随配附件和工具以及清单一并附于货物内。</w:t>
      </w:r>
      <w:r/>
    </w:p>
    <w:p>
      <w:pPr>
        <w:ind w:firstLine="480"/>
        <w:spacing w:line="400" w:lineRule="exact"/>
        <w:rPr>
          <w:sz w:val="24"/>
          <w:szCs w:val="24"/>
          <w:highlight w:val="none"/>
        </w:rPr>
      </w:pPr>
      <w:r>
        <w:rPr>
          <w:rFonts w:hint="eastAsia"/>
          <w:sz w:val="24"/>
          <w:szCs w:val="24"/>
          <w:highlight w:val="none"/>
        </w:rPr>
        <w:t xml:space="preserve">12.3乙方在货物发运手续办理完毕后24小时内或货到甲方48小时前通知甲方，以准备接货。</w:t>
      </w:r>
      <w:r/>
    </w:p>
    <w:p>
      <w:pPr>
        <w:ind w:firstLine="480"/>
        <w:spacing w:line="400" w:lineRule="exact"/>
        <w:rPr>
          <w:sz w:val="24"/>
          <w:szCs w:val="24"/>
          <w:highlight w:val="none"/>
        </w:rPr>
      </w:pPr>
      <w:r>
        <w:rPr>
          <w:rFonts w:hint="eastAsia"/>
          <w:sz w:val="24"/>
          <w:szCs w:val="24"/>
          <w:highlight w:val="none"/>
        </w:rPr>
        <w:t xml:space="preserve">12.4货物在交付甲方前发生的风险均由乙方负责。</w:t>
      </w:r>
      <w:r/>
    </w:p>
    <w:p>
      <w:pPr>
        <w:ind w:firstLine="480"/>
        <w:spacing w:line="400" w:lineRule="exact"/>
        <w:rPr>
          <w:sz w:val="24"/>
          <w:szCs w:val="24"/>
          <w:highlight w:val="none"/>
        </w:rPr>
      </w:pPr>
      <w:r>
        <w:rPr>
          <w:rFonts w:hint="eastAsia"/>
          <w:sz w:val="24"/>
          <w:szCs w:val="24"/>
          <w:highlight w:val="none"/>
        </w:rPr>
        <w:t xml:space="preserve">12.5货物在规定的交付期限内由乙方送达甲方指定的地点视为交付，乙方同时需通知甲方货物已送达。</w:t>
      </w:r>
      <w:r/>
    </w:p>
    <w:p>
      <w:pPr>
        <w:ind w:firstLine="482"/>
        <w:spacing w:line="400" w:lineRule="exact"/>
        <w:rPr>
          <w:b/>
          <w:sz w:val="24"/>
          <w:szCs w:val="24"/>
          <w:highlight w:val="none"/>
        </w:rPr>
      </w:pPr>
      <w:r>
        <w:rPr>
          <w:rFonts w:hint="eastAsia"/>
          <w:b/>
          <w:sz w:val="24"/>
          <w:szCs w:val="24"/>
          <w:highlight w:val="none"/>
        </w:rPr>
        <w:t xml:space="preserve">十三、违约责任</w:t>
      </w:r>
      <w:r/>
    </w:p>
    <w:p>
      <w:pPr>
        <w:ind w:firstLine="480"/>
        <w:spacing w:line="400" w:lineRule="exact"/>
        <w:rPr>
          <w:sz w:val="24"/>
          <w:szCs w:val="24"/>
          <w:highlight w:val="none"/>
        </w:rPr>
      </w:pPr>
      <w:r>
        <w:rPr>
          <w:rFonts w:hint="eastAsia"/>
          <w:sz w:val="24"/>
          <w:szCs w:val="24"/>
          <w:highlight w:val="none"/>
        </w:rPr>
        <w:t xml:space="preserve">13.1甲方无正当理由拒收货物的，甲方向乙方偿付拒收货款总值</w:t>
      </w:r>
      <w:r>
        <w:rPr>
          <w:rFonts w:hint="eastAsia"/>
          <w:sz w:val="24"/>
          <w:szCs w:val="24"/>
          <w:highlight w:val="none"/>
          <w:u w:val="single"/>
        </w:rPr>
        <w:t xml:space="preserve">    </w:t>
      </w:r>
      <w:r>
        <w:rPr>
          <w:rFonts w:hint="eastAsia"/>
          <w:sz w:val="24"/>
          <w:szCs w:val="24"/>
          <w:highlight w:val="none"/>
        </w:rPr>
        <w:t xml:space="preserve">的违约金。</w:t>
      </w:r>
      <w:r/>
    </w:p>
    <w:p>
      <w:pPr>
        <w:ind w:firstLine="480"/>
        <w:spacing w:line="400" w:lineRule="exact"/>
        <w:rPr>
          <w:sz w:val="24"/>
          <w:szCs w:val="24"/>
          <w:highlight w:val="none"/>
        </w:rPr>
      </w:pPr>
      <w:r>
        <w:rPr>
          <w:rFonts w:hint="eastAsia"/>
          <w:sz w:val="24"/>
          <w:szCs w:val="24"/>
          <w:highlight w:val="none"/>
        </w:rPr>
        <w:t xml:space="preserve">13.2甲方无故逾期验收和办理货款支付手续的，甲方应按逾期付款总额每日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p>
    <w:p>
      <w:pPr>
        <w:ind w:firstLine="480"/>
        <w:spacing w:line="400" w:lineRule="exact"/>
        <w:rPr>
          <w:sz w:val="24"/>
          <w:szCs w:val="24"/>
          <w:highlight w:val="none"/>
        </w:rPr>
      </w:pPr>
      <w:r>
        <w:rPr>
          <w:rFonts w:hint="eastAsia"/>
          <w:sz w:val="24"/>
          <w:szCs w:val="24"/>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highlight w:val="none"/>
          <w:u w:val="single"/>
        </w:rPr>
        <w:t xml:space="preserve">    </w:t>
      </w:r>
      <w:r>
        <w:rPr>
          <w:rFonts w:hint="eastAsia"/>
          <w:sz w:val="24"/>
          <w:szCs w:val="24"/>
          <w:highlight w:val="none"/>
        </w:rPr>
        <w:t xml:space="preserve">的违约金，如造成甲方损失超过违约金的，超出部分由乙方继续承担赔偿责任。 </w:t>
      </w:r>
      <w:r/>
    </w:p>
    <w:p>
      <w:pPr>
        <w:ind w:firstLine="480"/>
        <w:spacing w:line="400" w:lineRule="exact"/>
        <w:rPr>
          <w:sz w:val="24"/>
          <w:szCs w:val="24"/>
          <w:highlight w:val="none"/>
        </w:rPr>
      </w:pPr>
      <w:r>
        <w:rPr>
          <w:rFonts w:hint="eastAsia"/>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b/>
          <w:sz w:val="24"/>
          <w:szCs w:val="24"/>
          <w:highlight w:val="none"/>
        </w:rPr>
      </w:pPr>
      <w:r>
        <w:rPr>
          <w:rFonts w:hint="eastAsia"/>
          <w:b/>
          <w:sz w:val="24"/>
          <w:szCs w:val="24"/>
          <w:highlight w:val="none"/>
        </w:rPr>
        <w:t xml:space="preserve">十四、不可抗力事件处理</w:t>
      </w:r>
      <w:r/>
    </w:p>
    <w:p>
      <w:pPr>
        <w:ind w:firstLine="480"/>
        <w:spacing w:line="400" w:lineRule="exact"/>
        <w:rPr>
          <w:sz w:val="24"/>
          <w:szCs w:val="24"/>
          <w:highlight w:val="none"/>
        </w:rPr>
      </w:pPr>
      <w:r>
        <w:rPr>
          <w:rFonts w:hint="eastAsia"/>
          <w:sz w:val="24"/>
          <w:szCs w:val="24"/>
          <w:highlight w:val="none"/>
        </w:rPr>
        <w:t xml:space="preserve">14.1在合同有效期内，任何一方因不可抗力事件导致不能履行合同，则合同履行期可延长，其延长期与不可抗力影响期相同。</w:t>
      </w:r>
      <w:r/>
    </w:p>
    <w:p>
      <w:pPr>
        <w:ind w:firstLine="480"/>
        <w:spacing w:line="400" w:lineRule="exact"/>
        <w:rPr>
          <w:sz w:val="24"/>
          <w:szCs w:val="24"/>
          <w:highlight w:val="none"/>
        </w:rPr>
      </w:pPr>
      <w:r>
        <w:rPr>
          <w:rFonts w:hint="eastAsia"/>
          <w:sz w:val="24"/>
          <w:szCs w:val="24"/>
          <w:highlight w:val="none"/>
        </w:rPr>
        <w:t xml:space="preserve">14.2不可抗力事件发生后，应立即通知对方，并寄送有关权威机构出具的证明。</w:t>
      </w:r>
      <w:r/>
    </w:p>
    <w:p>
      <w:pPr>
        <w:ind w:firstLine="480"/>
        <w:spacing w:line="400" w:lineRule="exact"/>
        <w:rPr>
          <w:sz w:val="24"/>
          <w:szCs w:val="24"/>
          <w:highlight w:val="none"/>
        </w:rPr>
      </w:pPr>
      <w:r>
        <w:rPr>
          <w:rFonts w:hint="eastAsia"/>
          <w:sz w:val="24"/>
          <w:szCs w:val="24"/>
          <w:highlight w:val="none"/>
        </w:rPr>
        <w:t xml:space="preserve">14.3不可抗力事件延续120天以上，双方应通过友好协商，确定是否继续履行合同。</w:t>
      </w:r>
      <w:r/>
    </w:p>
    <w:p>
      <w:pPr>
        <w:ind w:firstLine="482"/>
        <w:spacing w:line="400" w:lineRule="exact"/>
        <w:rPr>
          <w:b/>
          <w:sz w:val="24"/>
          <w:szCs w:val="24"/>
          <w:highlight w:val="none"/>
        </w:rPr>
      </w:pPr>
      <w:r>
        <w:rPr>
          <w:rFonts w:hint="eastAsia"/>
          <w:b/>
          <w:sz w:val="24"/>
          <w:szCs w:val="24"/>
          <w:highlight w:val="none"/>
        </w:rPr>
        <w:t xml:space="preserve">十五、解决争议的方法</w:t>
      </w:r>
      <w:r/>
    </w:p>
    <w:p>
      <w:pPr>
        <w:ind w:firstLine="480"/>
        <w:spacing w:line="400" w:lineRule="exact"/>
        <w:rPr>
          <w:sz w:val="24"/>
          <w:szCs w:val="24"/>
          <w:highlight w:val="none"/>
        </w:rPr>
      </w:pPr>
      <w:r>
        <w:rPr>
          <w:rFonts w:hint="eastAsia"/>
          <w:sz w:val="24"/>
          <w:szCs w:val="24"/>
          <w:highlight w:val="none"/>
        </w:rPr>
        <w:t xml:space="preserve">15.1甲乙双方因合同签订、履行而发生的一切争议，应通过友好协商解决。如协商不成由甲方住所地人民法院管辖。</w:t>
      </w:r>
      <w:r/>
    </w:p>
    <w:p>
      <w:pPr>
        <w:ind w:firstLine="482"/>
        <w:spacing w:line="400" w:lineRule="exact"/>
        <w:rPr>
          <w:b/>
          <w:sz w:val="24"/>
          <w:szCs w:val="24"/>
          <w:highlight w:val="none"/>
        </w:rPr>
      </w:pPr>
      <w:r>
        <w:rPr>
          <w:rFonts w:hint="eastAsia"/>
          <w:b/>
          <w:sz w:val="24"/>
          <w:szCs w:val="24"/>
          <w:highlight w:val="none"/>
        </w:rPr>
        <w:t xml:space="preserve">十六、合同生效及其它</w:t>
      </w:r>
      <w:r/>
    </w:p>
    <w:p>
      <w:pPr>
        <w:ind w:firstLine="480"/>
        <w:spacing w:line="400" w:lineRule="exact"/>
        <w:rPr>
          <w:sz w:val="24"/>
          <w:szCs w:val="24"/>
          <w:highlight w:val="none"/>
        </w:rPr>
      </w:pPr>
      <w:r>
        <w:rPr>
          <w:rFonts w:hint="eastAsia"/>
          <w:sz w:val="24"/>
          <w:szCs w:val="24"/>
          <w:highlight w:val="none"/>
        </w:rPr>
        <w:t xml:space="preserve">16.1 合同经双方法定代表人或授权委托代表人签字并加盖单位公章后生效。</w:t>
      </w:r>
      <w:r/>
    </w:p>
    <w:p>
      <w:pPr>
        <w:ind w:firstLine="480"/>
        <w:spacing w:line="400" w:lineRule="exact"/>
        <w:rPr>
          <w:sz w:val="24"/>
          <w:szCs w:val="24"/>
          <w:highlight w:val="none"/>
        </w:rPr>
      </w:pPr>
      <w:r>
        <w:rPr>
          <w:rFonts w:hint="eastAsia"/>
          <w:sz w:val="24"/>
          <w:szCs w:val="24"/>
          <w:highlight w:val="none"/>
        </w:rPr>
        <w:t xml:space="preserve">16.2本合同未尽事宜，遵照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《中华人民共和国民法典》《中华人民共和国政府采购法》</w:t>
      </w:r>
      <w:r>
        <w:rPr>
          <w:rFonts w:hint="eastAsia"/>
          <w:sz w:val="24"/>
          <w:szCs w:val="24"/>
          <w:highlight w:val="none"/>
        </w:rPr>
        <w:t xml:space="preserve">有关条文执行。</w:t>
      </w:r>
      <w:r/>
    </w:p>
    <w:p>
      <w:pPr>
        <w:ind w:firstLine="480"/>
        <w:spacing w:line="400" w:lineRule="exact"/>
        <w:rPr>
          <w:sz w:val="24"/>
          <w:szCs w:val="24"/>
          <w:highlight w:val="none"/>
        </w:rPr>
      </w:pPr>
      <w:r>
        <w:rPr>
          <w:rFonts w:hint="eastAsia"/>
          <w:sz w:val="24"/>
          <w:szCs w:val="24"/>
          <w:highlight w:val="none"/>
        </w:rPr>
        <w:t xml:space="preserve">16.3 本合同正本一式四份，具有同等法律效力，甲方三份、乙方一份。</w:t>
      </w:r>
      <w:r/>
    </w:p>
    <w:p>
      <w:pPr>
        <w:ind w:firstLine="482"/>
        <w:spacing w:line="400" w:lineRule="exact"/>
        <w:rPr>
          <w:b/>
          <w:sz w:val="24"/>
          <w:szCs w:val="24"/>
        </w:rPr>
      </w:pPr>
      <w:r>
        <w:rPr>
          <w:rFonts w:hint="eastAsia"/>
          <w:b/>
          <w:sz w:val="24"/>
          <w:szCs w:val="24"/>
        </w:rPr>
        <w:t xml:space="preserve">十七、合同附件（注：可按需添加附件）</w:t>
      </w:r>
      <w:r/>
    </w:p>
    <w:p>
      <w:pPr>
        <w:spacing w:line="400" w:lineRule="exact"/>
        <w:rPr>
          <w:sz w:val="24"/>
          <w:szCs w:val="24"/>
        </w:rPr>
      </w:pPr>
      <w:r>
        <w:rPr>
          <w:sz w:val="24"/>
          <w:szCs w:val="24"/>
        </w:rPr>
      </w:r>
      <w:r/>
    </w:p>
    <w:p>
      <w:pPr>
        <w:spacing w:line="400" w:lineRule="exact"/>
        <w:rPr>
          <w:sz w:val="24"/>
          <w:szCs w:val="24"/>
        </w:rPr>
      </w:pPr>
      <w:r>
        <w:rPr>
          <w:sz w:val="24"/>
          <w:szCs w:val="24"/>
        </w:rPr>
      </w:r>
      <w:r/>
    </w:p>
    <w:p>
      <w:pPr>
        <w:ind w:left="480" w:hanging="480"/>
        <w:spacing w:line="480" w:lineRule="auto"/>
        <w:rPr>
          <w:sz w:val="24"/>
          <w:szCs w:val="24"/>
        </w:rPr>
      </w:pPr>
      <w:r>
        <w:rPr>
          <w:rFonts w:hint="eastAsia"/>
          <w:sz w:val="24"/>
          <w:szCs w:val="24"/>
        </w:rPr>
        <w:t xml:space="preserve">  甲方：无锡市妇幼保健院                  乙方： </w:t>
      </w:r>
      <w:r/>
    </w:p>
    <w:p>
      <w:pPr>
        <w:spacing w:line="480" w:lineRule="auto"/>
        <w:rPr>
          <w:sz w:val="24"/>
          <w:szCs w:val="24"/>
        </w:rPr>
      </w:pPr>
      <w:r>
        <w:rPr>
          <w:rFonts w:hint="eastAsia"/>
          <w:sz w:val="24"/>
          <w:szCs w:val="24"/>
        </w:rPr>
        <w:t xml:space="preserve">  地址：无锡市槐树巷48号                 地址： </w:t>
      </w:r>
      <w:r/>
    </w:p>
    <w:p>
      <w:pPr>
        <w:spacing w:line="480" w:lineRule="auto"/>
        <w:rPr>
          <w:sz w:val="24"/>
          <w:szCs w:val="24"/>
        </w:rPr>
      </w:pPr>
      <w:r>
        <w:rPr>
          <w:rFonts w:hint="eastAsia"/>
          <w:sz w:val="24"/>
          <w:szCs w:val="24"/>
        </w:rPr>
        <w:t xml:space="preserve">  法定代表人或授权代表：                  法定代表人或授权代表：</w:t>
      </w:r>
      <w:r/>
    </w:p>
    <w:p>
      <w:pPr>
        <w:ind w:firstLine="240"/>
        <w:spacing w:line="400" w:lineRule="exact"/>
        <w:rPr>
          <w:sz w:val="24"/>
          <w:szCs w:val="24"/>
        </w:rPr>
      </w:pPr>
      <w:r>
        <w:rPr>
          <w:rFonts w:hint="eastAsia"/>
          <w:sz w:val="24"/>
          <w:szCs w:val="24"/>
        </w:rPr>
        <w:t xml:space="preserve">                       </w:t>
      </w:r>
      <w:r/>
    </w:p>
    <w:p>
      <w:pPr>
        <w:ind w:firstLine="1200"/>
        <w:spacing w:line="400" w:lineRule="exact"/>
        <w:rPr>
          <w:sz w:val="24"/>
          <w:szCs w:val="24"/>
        </w:rPr>
      </w:pPr>
      <w:r/>
      <w:bookmarkStart w:id="190" w:name="_Hlk167282194"/>
      <w:r>
        <w:rPr>
          <w:rFonts w:hint="eastAsia"/>
          <w:sz w:val="24"/>
          <w:szCs w:val="24"/>
        </w:rPr>
        <w:t xml:space="preserve">年    月   日                   年    月   日</w:t>
      </w:r>
      <w:bookmarkEnd w:id="190"/>
      <w:r/>
      <w:r/>
    </w:p>
    <w:p>
      <w:pPr>
        <w:ind w:firstLine="240"/>
        <w:spacing w:line="400" w:lineRule="exact"/>
        <w:rPr>
          <w:sz w:val="24"/>
          <w:szCs w:val="24"/>
        </w:rPr>
      </w:pPr>
      <w:r>
        <w:rPr>
          <w:sz w:val="24"/>
          <w:szCs w:val="24"/>
        </w:rPr>
      </w:r>
      <w:r/>
    </w:p>
    <w:p>
      <w:pPr>
        <w:jc w:val="center"/>
        <w:spacing w:line="360" w:lineRule="auto"/>
        <w:rPr>
          <w:sz w:val="24"/>
          <w:szCs w:val="24"/>
        </w:rPr>
      </w:pPr>
      <w:r>
        <w:rPr>
          <w:rFonts w:hint="eastAsia"/>
          <w:sz w:val="24"/>
          <w:szCs w:val="24"/>
        </w:rPr>
        <w:t xml:space="preserve">          </w:t>
      </w:r>
      <w:bookmarkStart w:id="191" w:name="_Hlk176765009"/>
      <w:r>
        <w:rPr>
          <w:rFonts w:hint="eastAsia"/>
          <w:sz w:val="24"/>
          <w:szCs w:val="24"/>
        </w:rPr>
        <w:t xml:space="preserve">         乙方户名：</w:t>
      </w:r>
      <w:r/>
    </w:p>
    <w:p>
      <w:pPr>
        <w:ind w:firstLine="480"/>
        <w:spacing w:line="360" w:lineRule="auto"/>
        <w:rPr>
          <w:bCs/>
          <w:sz w:val="24"/>
          <w:szCs w:val="24"/>
        </w:rPr>
      </w:pPr>
      <w:r>
        <w:rPr>
          <w:rFonts w:hint="eastAsia"/>
          <w:sz w:val="24"/>
          <w:szCs w:val="24"/>
        </w:rPr>
        <w:t xml:space="preserve">                                      乙方开户银行：</w:t>
      </w:r>
      <w:r/>
    </w:p>
    <w:p>
      <w:pPr>
        <w:ind w:firstLine="480"/>
        <w:spacing w:line="400" w:lineRule="exact"/>
        <w:rPr>
          <w:rFonts w:ascii="宋体" w:hAnsi="宋体" w:cs="Courier New"/>
          <w:color w:val="000000" w:themeColor="text1"/>
          <w:sz w:val="24"/>
          <w:szCs w:val="24"/>
          <w14:textFill>
            <w14:solidFill>
              <w14:schemeClr w14:val="tx1"/>
            </w14:solidFill>
          </w14:textFill>
        </w:rPr>
      </w:pPr>
      <w:r>
        <w:rPr>
          <w:rFonts w:hint="eastAsia"/>
          <w:sz w:val="24"/>
          <w:szCs w:val="24"/>
        </w:rPr>
        <w:t xml:space="preserve">                                      乙方账号</w:t>
      </w:r>
      <w:bookmarkEnd w:id="191"/>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r>
      <w:r/>
    </w:p>
    <w:p>
      <w:pPr>
        <w:ind w:firstLine="720"/>
        <w:jc w:val="center"/>
        <w:spacing w:line="288" w:lineRule="auto"/>
        <w:rPr>
          <w:rFonts w:hAnsi="宋体"/>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w:t>
      </w:r>
      <w:bookmarkEnd w:id="181"/>
      <w:r>
        <w:rPr>
          <w:rFonts w:hint="eastAsia" w:ascii="黑体" w:eastAsia="黑体"/>
          <w:bCs/>
          <w:color w:val="000000" w:themeColor="text1"/>
          <w:sz w:val="36"/>
          <w:szCs w:val="36"/>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ascii="黑体" w:hAnsi="黑体" w:eastAsia="黑体"/>
          <w:color w:val="000000" w:themeColor="text1"/>
          <w:sz w:val="30"/>
          <w:szCs w:val="30"/>
          <w14:textFill>
            <w14:solidFill>
              <w14:schemeClr w14:val="tx1"/>
            </w14:solidFill>
          </w14:textFill>
        </w:rPr>
      </w:pPr>
      <w:r/>
      <w:bookmarkStart w:id="192" w:name="_Toc26554093"/>
      <w:r/>
      <w:bookmarkStart w:id="193" w:name="_Toc49090575"/>
      <w:r>
        <w:rPr>
          <w:rFonts w:hint="eastAsia" w:ascii="黑体" w:hAnsi="黑体" w:eastAsia="黑体"/>
          <w:color w:val="000000" w:themeColor="text1"/>
          <w:sz w:val="30"/>
          <w:szCs w:val="30"/>
          <w14:textFill>
            <w14:solidFill>
              <w14:schemeClr w14:val="tx1"/>
            </w14:solidFill>
          </w14:textFill>
        </w:rPr>
        <w:t xml:space="preserve">本项目属性：货物类项目</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本项目中的</w:t>
      </w:r>
      <w:r>
        <w:rPr>
          <w:rFonts w:hint="eastAsia" w:ascii="宋体" w:hAnsi="宋体"/>
          <w:bCs/>
          <w:color w:val="000000" w:themeColor="text1"/>
          <w:sz w:val="24"/>
          <w:szCs w:val="24"/>
          <w14:textFill>
            <w14:solidFill>
              <w14:schemeClr w14:val="tx1"/>
            </w14:solidFill>
          </w14:textFill>
        </w:rPr>
        <w:t xml:space="preserve">双人工作站</w:t>
      </w:r>
      <w:r>
        <w:rPr>
          <w:rFonts w:hint="eastAsia" w:ascii="宋体" w:hAnsi="宋体"/>
          <w:color w:val="000000" w:themeColor="text1"/>
          <w:sz w:val="24"/>
          <w:szCs w:val="24"/>
          <w14:textFill>
            <w14:solidFill>
              <w14:schemeClr w14:val="tx1"/>
            </w14:solidFill>
          </w14:textFill>
        </w:rPr>
        <w:t xml:space="preserve">为核心产品。</w:t>
      </w:r>
      <w:r/>
    </w:p>
    <w:p>
      <w:pPr>
        <w:ind w:firstLine="300"/>
        <w:jc w:val="left"/>
        <w:spacing w:line="360" w:lineRule="auto"/>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 xml:space="preserve">第一部分 项目技术要求</w:t>
      </w:r>
      <w:r/>
    </w:p>
    <w:p>
      <w:pPr>
        <w:ind w:firstLine="420"/>
        <w:jc w:val="left"/>
        <w:spacing w:line="360" w:lineRule="auto"/>
        <w:shd w:val="clear" w:color="auto" w:fill="ffffff"/>
        <w:widowControl/>
        <w:rPr>
          <w:rFonts w:ascii="宋体" w:hAnsi="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b/>
          <w:bCs/>
          <w:color w:val="000000" w:themeColor="text1"/>
          <w:sz w:val="24"/>
          <w:szCs w:val="24"/>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u w:val="single"/>
          <w14:textFill>
            <w14:solidFill>
              <w14:schemeClr w14:val="tx1"/>
            </w14:solidFill>
          </w14:textFill>
        </w:rPr>
        <w:t xml:space="preserve">“配置要求”“技术要求”“其他要求”等</w:t>
      </w:r>
      <w:r>
        <w:rPr>
          <w:rFonts w:hint="eastAsia" w:ascii="宋体" w:hAnsi="宋体"/>
          <w:color w:val="000000" w:themeColor="text1"/>
          <w:sz w:val="24"/>
          <w:szCs w:val="24"/>
          <w:u w:val="single"/>
          <w14:textFill>
            <w14:solidFill>
              <w14:schemeClr w14:val="tx1"/>
            </w14:solidFill>
          </w14:textFill>
        </w:rPr>
        <w:t xml:space="preserve">内容</w:t>
      </w:r>
      <w:r>
        <w:rPr>
          <w:rFonts w:hint="eastAsia" w:ascii="宋体" w:hAnsi="宋体"/>
          <w:b/>
          <w:bCs/>
          <w:color w:val="000000" w:themeColor="text1"/>
          <w:sz w:val="24"/>
          <w:szCs w:val="24"/>
          <w:u w:val="single"/>
          <w14:textFill>
            <w14:solidFill>
              <w14:schemeClr w14:val="tx1"/>
            </w14:solidFill>
          </w14:textFill>
        </w:rPr>
        <w:t xml:space="preserve">逐条标明</w:t>
      </w:r>
      <w:r>
        <w:rPr>
          <w:rFonts w:hint="eastAsia" w:ascii="宋体" w:hAnsi="宋体"/>
          <w:color w:val="000000" w:themeColor="text1"/>
          <w:sz w:val="24"/>
          <w:szCs w:val="24"/>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u w:val="single"/>
          <w14:textFill>
            <w14:solidFill>
              <w14:schemeClr w14:val="tx1"/>
            </w14:solidFill>
          </w14:textFill>
        </w:rPr>
        <w:t xml:space="preserve">必须</w:t>
      </w:r>
      <w:r>
        <w:rPr>
          <w:rFonts w:hint="eastAsia" w:ascii="宋体" w:hAnsi="宋体"/>
          <w:color w:val="000000" w:themeColor="text1"/>
          <w:sz w:val="24"/>
          <w:szCs w:val="24"/>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cs="宋体"/>
          <w:color w:val="000000"/>
          <w:sz w:val="24"/>
          <w:szCs w:val="24"/>
          <w:u w:val="single"/>
        </w:rPr>
        <w:t xml:space="preserve">（须体现所投产品品牌型号）</w:t>
      </w:r>
      <w:r>
        <w:rPr>
          <w:rFonts w:hint="eastAsia" w:ascii="宋体" w:hAnsi="宋体"/>
          <w:color w:val="000000" w:themeColor="text1"/>
          <w:sz w:val="24"/>
          <w:szCs w:val="24"/>
          <w:u w:val="single"/>
          <w14:textFill>
            <w14:solidFill>
              <w14:schemeClr w14:val="tx1"/>
            </w14:solidFill>
          </w14:textFill>
        </w:rPr>
        <w:t xml:space="preserve">等），未提供技术支持资料或提供的技术支持资料不能佐证偏离表内容的，评审时不予认可。</w:t>
      </w:r>
      <w:r/>
    </w:p>
    <w:p>
      <w:pPr>
        <w:rPr>
          <w:rFonts w:ascii="宋体" w:hAnsi="宋体" w:cs="宋体"/>
          <w:b/>
          <w:bCs/>
          <w:color w:val="000000"/>
          <w:sz w:val="24"/>
          <w:szCs w:val="24"/>
          <w:lang w:bidi="ar"/>
        </w:rPr>
      </w:pPr>
      <w:r>
        <w:rPr>
          <w:rFonts w:hint="eastAsia" w:ascii="宋体" w:hAnsi="宋体" w:cs="宋体"/>
          <w:b/>
          <w:bCs/>
          <w:color w:val="000000"/>
          <w:sz w:val="24"/>
          <w:szCs w:val="24"/>
          <w:lang w:bidi="ar"/>
        </w:rPr>
        <w:t xml:space="preserve">★一、配置要求：</w:t>
      </w:r>
      <w:r/>
    </w:p>
    <w:tbl>
      <w:tblPr>
        <w:tblStyle w:val="7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3250"/>
        <w:gridCol w:w="1016"/>
        <w:gridCol w:w="1513"/>
      </w:tblGrid>
      <w:tr>
        <w:trPr>
          <w:jc w:val="center"/>
          <w:trHeight w:val="2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数量</w:t>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双人工作站</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1</w:t>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体视显微镜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w:t>
            </w:r>
            <w:r/>
          </w:p>
        </w:tc>
      </w:tr>
    </w:tbl>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hint="eastAsia" w:ascii="宋体" w:hAnsi="宋体" w:cs="宋体"/>
          <w:b/>
          <w:bCs/>
          <w:sz w:val="24"/>
          <w:szCs w:val="24"/>
        </w:rPr>
        <w:t xml:space="preserve">★二、技术要求：</w:t>
      </w:r>
      <w:r/>
    </w:p>
    <w:tbl>
      <w:tblPr>
        <w:tblStyle w:val="747"/>
        <w:tblW w:w="9540" w:type="dxa"/>
        <w:jc w:val="center"/>
        <w:tblLayout w:type="autofit"/>
        <w:tblCellMar>
          <w:left w:w="108" w:type="dxa"/>
          <w:top w:w="0" w:type="dxa"/>
          <w:right w:w="108" w:type="dxa"/>
          <w:bottom w:w="0" w:type="dxa"/>
        </w:tblCellMar>
        <w:tblLook w:val="04A0" w:firstRow="1" w:lastRow="0" w:firstColumn="1" w:lastColumn="0" w:noHBand="0" w:noVBand="1"/>
      </w:tblPr>
      <w:tblGrid>
        <w:gridCol w:w="704"/>
        <w:gridCol w:w="8836"/>
      </w:tblGrid>
      <w:tr>
        <w:trPr>
          <w:jc w:val="center"/>
          <w:trHeight w:val="170"/>
        </w:trPr>
        <w:tc>
          <w:tcPr>
            <w:tcBorders>
              <w:top w:val="single" w:color="auto" w:sz="4" w:space="0"/>
              <w:left w:val="single" w:color="auto" w:sz="4" w:space="0"/>
              <w:bottom w:val="none" w:color="000000" w:sz="4" w:space="0"/>
              <w:right w:val="none" w:color="000000" w:sz="4" w:space="0"/>
            </w:tcBorders>
            <w:tcW w:w="704" w:type="dxa"/>
            <w:vAlign w:val="center"/>
            <w:textDirection w:val="lrTb"/>
            <w:noWrap/>
          </w:tcPr>
          <w:p>
            <w:pPr>
              <w:jc w:val="center"/>
              <w:rPr>
                <w:b/>
                <w:bCs/>
                <w:sz w:val="22"/>
                <w:szCs w:val="22"/>
              </w:rPr>
            </w:pPr>
            <w:r>
              <w:rPr>
                <w:rFonts w:hint="eastAsia"/>
                <w:b/>
                <w:bCs/>
                <w:sz w:val="22"/>
                <w:szCs w:val="22"/>
              </w:rPr>
              <w:t xml:space="preserve">序号</w:t>
            </w:r>
            <w:r/>
          </w:p>
        </w:tc>
        <w:tc>
          <w:tcPr>
            <w:tcBorders>
              <w:top w:val="single" w:color="auto" w:sz="4" w:space="0"/>
              <w:left w:val="single" w:color="auto" w:sz="4" w:space="0"/>
              <w:bottom w:val="none" w:color="000000" w:sz="4" w:space="0"/>
              <w:right w:val="single" w:color="auto" w:sz="4" w:space="0"/>
            </w:tcBorders>
            <w:tcW w:w="8836" w:type="dxa"/>
            <w:vAlign w:val="center"/>
            <w:textDirection w:val="lrTb"/>
            <w:noWrap w:val="false"/>
          </w:tcPr>
          <w:p>
            <w:pPr>
              <w:jc w:val="center"/>
              <w:rPr>
                <w:b/>
                <w:bCs/>
                <w:sz w:val="22"/>
                <w:szCs w:val="22"/>
              </w:rPr>
            </w:pPr>
            <w:r>
              <w:rPr>
                <w:rFonts w:hint="eastAsia"/>
                <w:b/>
                <w:bCs/>
                <w:sz w:val="22"/>
                <w:szCs w:val="22"/>
              </w:rPr>
              <w:t xml:space="preserve">技术参数要求</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1</w:t>
            </w:r>
            <w:r/>
          </w:p>
        </w:tc>
        <w:tc>
          <w:tcPr>
            <w:tcBorders>
              <w:top w:val="single" w:color="auto"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百级超净工作台主机一</w:t>
            </w:r>
            <w:r>
              <w:rPr>
                <w:rFonts w:hint="eastAsia"/>
                <w:sz w:val="22"/>
                <w:szCs w:val="22"/>
                <w:highlight w:val="none"/>
              </w:rPr>
              <w:t xml:space="preserve">台，</w:t>
            </w:r>
            <w:bookmarkStart w:id="194" w:name="OLE_LINK10"/>
            <w:r/>
            <w:bookmarkStart w:id="195" w:name="OLE_LINK9"/>
            <w:r>
              <w:rPr>
                <w:rFonts w:hint="eastAsia"/>
                <w:sz w:val="22"/>
                <w:szCs w:val="22"/>
                <w:highlight w:val="none"/>
              </w:rPr>
              <w:t xml:space="preserve">工作站外部尺寸长（W）≥1900，宽（D）≥7</w:t>
            </w:r>
            <w:r>
              <w:rPr>
                <w:sz w:val="22"/>
                <w:szCs w:val="22"/>
                <w:highlight w:val="none"/>
              </w:rPr>
              <w:t xml:space="preserve">00</w:t>
            </w:r>
            <w:r>
              <w:rPr>
                <w:rFonts w:hint="eastAsia"/>
                <w:sz w:val="22"/>
                <w:szCs w:val="22"/>
                <w:highlight w:val="none"/>
              </w:rPr>
              <w:t xml:space="preserve">，高（H）</w:t>
            </w:r>
            <w:bookmarkStart w:id="196" w:name="OLE_LINK2"/>
            <w:r>
              <w:rPr>
                <w:rFonts w:hint="eastAsia"/>
                <w:sz w:val="22"/>
                <w:szCs w:val="22"/>
                <w:highlight w:val="none"/>
              </w:rPr>
              <w:t xml:space="preserve">≤</w:t>
            </w:r>
            <w:r>
              <w:rPr>
                <w:sz w:val="22"/>
                <w:szCs w:val="22"/>
                <w:highlight w:val="none"/>
              </w:rPr>
              <w:t xml:space="preserve">2100</w:t>
            </w:r>
            <w:bookmarkEnd w:id="196"/>
            <w:r>
              <w:rPr>
                <w:rFonts w:hint="eastAsia"/>
                <w:sz w:val="22"/>
                <w:szCs w:val="22"/>
                <w:highlight w:val="none"/>
              </w:rPr>
              <w:t xml:space="preserve">（单位：mm）；</w:t>
            </w:r>
            <w:bookmarkEnd w:id="194"/>
            <w:r/>
            <w:bookmarkEnd w:id="195"/>
            <w:r>
              <w:rPr>
                <w:sz w:val="22"/>
                <w:szCs w:val="22"/>
                <w:highlight w:val="none"/>
              </w:rPr>
              <w:t xml:space="preserve"> </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2</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工作站内部操作区域（W×D×H）≥1800×600×</w:t>
            </w:r>
            <w:r>
              <w:rPr>
                <w:sz w:val="22"/>
                <w:szCs w:val="22"/>
              </w:rPr>
              <w:t xml:space="preserve">70</w:t>
            </w:r>
            <w:r>
              <w:rPr>
                <w:rFonts w:hint="eastAsia"/>
                <w:sz w:val="22"/>
                <w:szCs w:val="22"/>
              </w:rPr>
              <w:t xml:space="preserve">0（单位：mm）；</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3</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bookmarkStart w:id="197" w:name="OLE_LINK4"/>
            <w:r/>
            <w:bookmarkStart w:id="198" w:name="OLE_LINK3"/>
            <w:r>
              <w:rPr>
                <w:rFonts w:hint="eastAsia"/>
                <w:sz w:val="22"/>
                <w:szCs w:val="22"/>
              </w:rPr>
              <w:t xml:space="preserve">操作台面采用</w:t>
            </w:r>
            <w:bookmarkEnd w:id="197"/>
            <w:r/>
            <w:bookmarkEnd w:id="198"/>
            <w:r>
              <w:rPr>
                <w:rFonts w:hint="eastAsia"/>
                <w:sz w:val="22"/>
                <w:szCs w:val="22"/>
              </w:rPr>
              <w:t xml:space="preserve">医用级不锈钢材质，抗划痕抗指纹处理，抗腐蚀，不易变形，无接缝和螺丝，无污染死角；</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4</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bookmarkStart w:id="199" w:name="OLE_LINK6"/>
            <w:r>
              <w:rPr>
                <w:rFonts w:hint="eastAsia"/>
                <w:sz w:val="22"/>
                <w:szCs w:val="22"/>
              </w:rPr>
              <w:t xml:space="preserve">台面加热系统可分区域加热，分区数量≥3个；</w:t>
            </w:r>
            <w:bookmarkEnd w:id="199"/>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5</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工作台面加热区温度控制误差、波动度、均匀度≤±0.</w:t>
            </w:r>
            <w:r>
              <w:rPr>
                <w:sz w:val="22"/>
                <w:szCs w:val="22"/>
              </w:rPr>
              <w:t xml:space="preserve">2</w:t>
            </w:r>
            <w:r>
              <w:rPr>
                <w:rFonts w:hint="eastAsia"/>
                <w:sz w:val="22"/>
                <w:szCs w:val="22"/>
              </w:rPr>
              <w:t xml:space="preserve">℃，温控稳定性有利于胚胎存活；</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6</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操作加热台面尺寸≥</w:t>
            </w:r>
            <w:r>
              <w:rPr>
                <w:sz w:val="22"/>
                <w:szCs w:val="22"/>
              </w:rPr>
              <w:t xml:space="preserve">65</w:t>
            </w:r>
            <w:r>
              <w:rPr>
                <w:rFonts w:hint="eastAsia"/>
                <w:sz w:val="22"/>
                <w:szCs w:val="22"/>
              </w:rPr>
              <w:t xml:space="preserve">0×400㎜；</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7</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台面体视显微镜位置配置显微镜玻璃加热板，透光率高，直径≥</w:t>
            </w:r>
            <w:r>
              <w:rPr>
                <w:sz w:val="22"/>
                <w:szCs w:val="22"/>
              </w:rPr>
              <w:t xml:space="preserve">80</w:t>
            </w:r>
            <w:r>
              <w:rPr>
                <w:rFonts w:hint="eastAsia"/>
                <w:sz w:val="22"/>
                <w:szCs w:val="22"/>
              </w:rPr>
              <w:t xml:space="preserve">mm，温控控制精度达±0.2℃；</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8</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至少包含初效过滤以及高效过滤器双重过滤，保证工作站内百级洁净度；</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9</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bookmarkStart w:id="200" w:name="OLE_LINK15"/>
            <w:r/>
            <w:bookmarkStart w:id="201" w:name="OLE_LINK14"/>
            <w:r>
              <w:rPr>
                <w:rFonts w:hint="eastAsia"/>
                <w:sz w:val="22"/>
                <w:szCs w:val="22"/>
              </w:rPr>
              <w:t xml:space="preserve">工作区域提供均匀气流流速</w:t>
            </w:r>
            <w:bookmarkEnd w:id="200"/>
            <w:r/>
            <w:bookmarkEnd w:id="201"/>
            <w:r>
              <w:rPr>
                <w:rFonts w:hint="eastAsia"/>
                <w:sz w:val="22"/>
                <w:szCs w:val="22"/>
              </w:rPr>
              <w:t xml:space="preserve">，垂直层流，流速多档可调；</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10</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显微镜光源采用</w:t>
            </w:r>
            <w:r>
              <w:rPr>
                <w:sz w:val="22"/>
                <w:szCs w:val="22"/>
              </w:rPr>
              <w:t xml:space="preserve">LED白光光源且</w:t>
            </w:r>
            <w:r>
              <w:rPr>
                <w:rFonts w:hint="eastAsia"/>
                <w:sz w:val="22"/>
                <w:szCs w:val="22"/>
              </w:rPr>
              <w:t xml:space="preserve">亮度</w:t>
            </w:r>
            <w:r>
              <w:rPr>
                <w:sz w:val="22"/>
                <w:szCs w:val="22"/>
              </w:rPr>
              <w:t xml:space="preserve">连续可调</w:t>
            </w:r>
            <w:r>
              <w:rPr>
                <w:rFonts w:hint="eastAsia"/>
                <w:sz w:val="22"/>
                <w:szCs w:val="22"/>
              </w:rPr>
              <w:t xml:space="preserve">；</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11</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采用高速静音的直流无刷电动风机，全速工作时噪音不超过</w:t>
            </w:r>
            <w:r>
              <w:rPr>
                <w:sz w:val="22"/>
                <w:szCs w:val="22"/>
              </w:rPr>
              <w:t xml:space="preserve">55dB（A</w:t>
            </w:r>
            <w:r>
              <w:rPr>
                <w:rFonts w:hint="eastAsia"/>
                <w:sz w:val="22"/>
                <w:szCs w:val="22"/>
              </w:rPr>
              <w:t xml:space="preserve">）；</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1</w:t>
            </w:r>
            <w:r>
              <w:rPr>
                <w:sz w:val="22"/>
                <w:szCs w:val="22"/>
              </w:rPr>
              <w:t xml:space="preserve">2</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拥有完善报警系统，超温或低温报警、高效过滤器寿命报警等报警功能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13</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≥21寸</w:t>
            </w:r>
            <w:bookmarkStart w:id="202" w:name="OLE_LINK5"/>
            <w:r/>
            <w:bookmarkStart w:id="203" w:name="OLE_LINK7"/>
            <w:r>
              <w:rPr>
                <w:rFonts w:hint="eastAsia"/>
                <w:sz w:val="22"/>
                <w:szCs w:val="22"/>
              </w:rPr>
              <w:t xml:space="preserve">内嵌式</w:t>
            </w:r>
            <w:bookmarkEnd w:id="202"/>
            <w:r/>
            <w:bookmarkEnd w:id="203"/>
            <w:r>
              <w:rPr>
                <w:rFonts w:hint="eastAsia"/>
                <w:sz w:val="22"/>
                <w:szCs w:val="22"/>
              </w:rPr>
              <w:t xml:space="preserve">液晶显示屏，可实时显示操作过程和设备运行的参数，配套摄像系统可录制胚胎操作过程；</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14</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内置控制器和稳压器，以及多路电路保护装置，自动断电保护；</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15</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数显控制面板可设置自动开关机、控制风速大小以及照明亮度等功能；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1</w:t>
            </w:r>
            <w:r>
              <w:rPr>
                <w:sz w:val="22"/>
                <w:szCs w:val="22"/>
              </w:rPr>
              <w:t xml:space="preserve">6</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在不影响工作站稳定性的条件下，可根据日常所需进行移动和搬运；</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1</w:t>
            </w:r>
            <w:r>
              <w:rPr>
                <w:sz w:val="22"/>
                <w:szCs w:val="22"/>
              </w:rPr>
              <w:t xml:space="preserve">7</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tcPr>
          <w:p>
            <w:pPr>
              <w:rPr>
                <w:sz w:val="22"/>
                <w:szCs w:val="22"/>
              </w:rPr>
            </w:pPr>
            <w:r>
              <w:rPr>
                <w:rFonts w:hint="eastAsia"/>
                <w:sz w:val="22"/>
                <w:szCs w:val="22"/>
              </w:rPr>
              <w:t xml:space="preserve">配备两台体视显微镜，至少包含一台三目显微镜及配套摄像系统；</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18</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双目体视显微镜，放大倍数满足</w:t>
            </w:r>
            <w:r>
              <w:rPr>
                <w:sz w:val="22"/>
                <w:szCs w:val="22"/>
              </w:rPr>
              <w:t xml:space="preserve">6.3x—55x，变倍比≥9 : 1，复消色差光路，连续变倍</w:t>
            </w:r>
            <w:r>
              <w:rPr>
                <w:rFonts w:hint="eastAsia"/>
                <w:sz w:val="22"/>
                <w:szCs w:val="22"/>
              </w:rPr>
              <w:t xml:space="preserve">；</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rFonts w:hint="eastAsia"/>
                <w:sz w:val="22"/>
                <w:szCs w:val="22"/>
              </w:rPr>
              <w:t xml:space="preserve">1</w:t>
            </w:r>
            <w:r>
              <w:rPr>
                <w:sz w:val="22"/>
                <w:szCs w:val="22"/>
              </w:rPr>
              <w:t xml:space="preserve">9</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三目体视显微镜，配置专用摄像头，放大倍数满足6.</w:t>
            </w:r>
            <w:r>
              <w:rPr>
                <w:sz w:val="22"/>
                <w:szCs w:val="22"/>
              </w:rPr>
              <w:t xml:space="preserve">3</w:t>
            </w:r>
            <w:r>
              <w:rPr>
                <w:rFonts w:hint="eastAsia"/>
                <w:sz w:val="22"/>
                <w:szCs w:val="22"/>
              </w:rPr>
              <w:t xml:space="preserve">x—63x，变倍比≥</w:t>
            </w:r>
            <w:r>
              <w:rPr>
                <w:sz w:val="22"/>
                <w:szCs w:val="22"/>
              </w:rPr>
              <w:t xml:space="preserve">9</w:t>
            </w:r>
            <w:r>
              <w:rPr>
                <w:rFonts w:hint="eastAsia"/>
                <w:sz w:val="22"/>
                <w:szCs w:val="22"/>
              </w:rPr>
              <w:t xml:space="preserve"> : 1，复消色差光路，连续变倍；</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20</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光学系统：整体100％复消色差光学系统；</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21</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rPr>
                <w:rFonts w:hint="eastAsia"/>
                <w:sz w:val="22"/>
                <w:szCs w:val="22"/>
              </w:rPr>
              <w:t xml:space="preserve">需配置1</w:t>
            </w:r>
            <w:r>
              <w:rPr>
                <w:sz w:val="22"/>
                <w:szCs w:val="22"/>
              </w:rPr>
              <w:t xml:space="preserve">0</w:t>
            </w:r>
            <w:r>
              <w:rPr>
                <w:rFonts w:hint="eastAsia"/>
                <w:sz w:val="22"/>
                <w:szCs w:val="22"/>
              </w:rPr>
              <w:t xml:space="preserve">x目镜，FOV≥2</w:t>
            </w:r>
            <w:r>
              <w:rPr>
                <w:sz w:val="22"/>
                <w:szCs w:val="22"/>
              </w:rPr>
              <w:t xml:space="preserve">2</w:t>
            </w:r>
            <w:r>
              <w:rPr>
                <w:rFonts w:hint="eastAsia"/>
                <w:sz w:val="22"/>
                <w:szCs w:val="22"/>
              </w:rPr>
              <w:t xml:space="preserve">，可调屈光度；</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sz w:val="22"/>
                <w:szCs w:val="22"/>
              </w:rPr>
            </w:pPr>
            <w:r>
              <w:rPr>
                <w:sz w:val="22"/>
                <w:szCs w:val="22"/>
              </w:rPr>
              <w:t xml:space="preserve">22</w:t>
            </w:r>
            <w:r/>
          </w:p>
        </w:tc>
        <w:tc>
          <w:tcPr>
            <w:tcBorders>
              <w:top w:val="none" w:color="000000" w:sz="4" w:space="0"/>
              <w:left w:val="none" w:color="000000" w:sz="4" w:space="0"/>
              <w:bottom w:val="single" w:color="auto" w:sz="4" w:space="0"/>
              <w:right w:val="single" w:color="auto" w:sz="4" w:space="0"/>
            </w:tcBorders>
            <w:tcW w:w="8836" w:type="dxa"/>
            <w:vAlign w:val="center"/>
            <w:textDirection w:val="lrTb"/>
            <w:noWrap w:val="false"/>
          </w:tcPr>
          <w:p>
            <w:pPr>
              <w:rPr>
                <w:sz w:val="22"/>
                <w:szCs w:val="22"/>
              </w:rPr>
            </w:pPr>
            <w:r/>
            <w:bookmarkStart w:id="204" w:name="OLE_LINK8"/>
            <w:r>
              <w:rPr>
                <w:rFonts w:hint="eastAsia"/>
                <w:sz w:val="22"/>
                <w:szCs w:val="22"/>
              </w:rPr>
              <w:t xml:space="preserve">需配置</w:t>
            </w:r>
            <w:bookmarkEnd w:id="204"/>
            <w:r>
              <w:rPr>
                <w:rFonts w:hint="eastAsia"/>
                <w:sz w:val="22"/>
                <w:szCs w:val="22"/>
              </w:rPr>
              <w:t xml:space="preserve">1x物镜，最大工作距离≥</w:t>
            </w:r>
            <w:r>
              <w:rPr>
                <w:sz w:val="22"/>
                <w:szCs w:val="22"/>
              </w:rPr>
              <w:t xml:space="preserve">70</w:t>
            </w:r>
            <w:r>
              <w:rPr>
                <w:rFonts w:hint="eastAsia"/>
                <w:sz w:val="22"/>
                <w:szCs w:val="22"/>
              </w:rPr>
              <w:t xml:space="preserve">mm；</w:t>
            </w:r>
            <w:r/>
          </w:p>
        </w:tc>
      </w:tr>
    </w:tbl>
    <w:p>
      <w:pPr>
        <w:pStyle w:val="829"/>
        <w:ind w:left="0"/>
        <w:rPr>
          <w:rFonts w:ascii="宋体" w:hAnsi="宋体" w:cs="宋体"/>
          <w:sz w:val="24"/>
          <w:szCs w:val="24"/>
        </w:rPr>
      </w:pPr>
      <w:r>
        <w:rPr>
          <w:rFonts w:ascii="宋体" w:hAnsi="宋体" w:cs="宋体"/>
          <w:sz w:val="24"/>
          <w:szCs w:val="24"/>
        </w:rPr>
      </w:r>
      <w:r/>
    </w:p>
    <w:p>
      <w:pPr>
        <w:pStyle w:val="750"/>
        <w:ind w:left="16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bookmarkStart w:id="205" w:name="_Hlk181177549"/>
      <w:r>
        <w:rPr>
          <w:rFonts w:hint="eastAsia" w:ascii="宋体" w:hAnsi="宋体" w:cs="宋体"/>
          <w:b/>
          <w:bCs/>
          <w:sz w:val="24"/>
          <w:szCs w:val="24"/>
        </w:rPr>
        <w:t xml:space="preserve">★</w:t>
      </w:r>
      <w:bookmarkEnd w:id="205"/>
      <w:r>
        <w:rPr>
          <w:rFonts w:hint="eastAsia" w:ascii="宋体" w:hAnsi="宋体" w:cs="宋体"/>
          <w:b/>
          <w:bCs/>
          <w:sz w:val="24"/>
          <w:szCs w:val="24"/>
        </w:rPr>
        <w:t xml:space="preserve">三、其他要求：</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1.维修保证：</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（1）设备原厂免费保修期≥叁年，自设备验收合</w:t>
      </w:r>
      <w:r>
        <w:rPr>
          <w:rFonts w:hint="eastAsia" w:ascii="宋体" w:hAnsi="宋体" w:cs="宋体"/>
          <w:sz w:val="24"/>
          <w:szCs w:val="24"/>
          <w:highlight w:val="none"/>
        </w:rPr>
        <w:t xml:space="preserve">格之日起算。</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（2）在质保期内，每年提供≥2次定期巡检服务。如发生故障，要求供方在接报后 2 小时内作出有效响应， 12 小时之内维修人员到达现场提供服务；须提供故障不能排除时的解决方案。</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2.交货时间：合同签订后 60 天内。</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3.验收标准：供方提供的商品必须符合我国最新颁布的与之相关的技术规范与标准，进口设备生产日期距交货日期不得大于6个月，国产设备生产日期距交货日期不得大于3个月，同时必须满足招标书中所列全部规格、型号、具体配置、技术条件及功能要求和供方承诺的其他指标。 </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5.交货条件：产品交货时，包装完整无破损，还必须提供以下材料：</w:t>
      </w:r>
      <w:r/>
    </w:p>
    <w:p>
      <w:pPr>
        <w:pStyle w:val="829"/>
        <w:ind w:left="0" w:firstLine="420"/>
        <w:spacing w:line="360" w:lineRule="auto"/>
        <w:rPr>
          <w:rFonts w:ascii="宋体" w:hAnsi="宋体" w:cs="宋体"/>
          <w:sz w:val="24"/>
          <w:szCs w:val="24"/>
        </w:rPr>
      </w:pPr>
      <w:r>
        <w:rPr>
          <w:rFonts w:hint="eastAsia" w:ascii="宋体" w:hAnsi="宋体" w:cs="宋体"/>
          <w:sz w:val="24"/>
          <w:szCs w:val="24"/>
        </w:rPr>
        <w:t xml:space="preserve">（1）装箱单</w:t>
      </w:r>
      <w:r/>
    </w:p>
    <w:p>
      <w:pPr>
        <w:pStyle w:val="829"/>
        <w:ind w:left="0" w:firstLine="420"/>
        <w:spacing w:line="360" w:lineRule="auto"/>
        <w:rPr>
          <w:rFonts w:ascii="宋体" w:hAnsi="宋体" w:cs="宋体"/>
          <w:sz w:val="24"/>
          <w:szCs w:val="24"/>
        </w:rPr>
      </w:pPr>
      <w:r>
        <w:rPr>
          <w:rFonts w:hint="eastAsia" w:ascii="宋体" w:hAnsi="宋体" w:cs="宋体"/>
          <w:sz w:val="24"/>
          <w:szCs w:val="24"/>
        </w:rPr>
        <w:t xml:space="preserve">（2）产品质检合格证明</w:t>
      </w:r>
      <w:r/>
    </w:p>
    <w:p>
      <w:pPr>
        <w:pStyle w:val="829"/>
        <w:ind w:left="0" w:firstLine="420"/>
        <w:spacing w:line="360" w:lineRule="auto"/>
        <w:rPr>
          <w:rFonts w:ascii="宋体" w:hAnsi="宋体" w:cs="宋体"/>
          <w:sz w:val="24"/>
          <w:szCs w:val="24"/>
        </w:rPr>
      </w:pPr>
      <w:r>
        <w:rPr>
          <w:rFonts w:hint="eastAsia" w:ascii="宋体" w:hAnsi="宋体" w:cs="宋体"/>
          <w:sz w:val="24"/>
          <w:szCs w:val="24"/>
        </w:rPr>
        <w:t xml:space="preserve">（3）供方需要提供进口商品检验检疫证明（进口产品适用）</w:t>
      </w:r>
      <w:r/>
    </w:p>
    <w:p>
      <w:pPr>
        <w:pStyle w:val="829"/>
        <w:ind w:left="0" w:firstLine="420"/>
        <w:spacing w:line="360" w:lineRule="auto"/>
        <w:rPr>
          <w:rFonts w:ascii="宋体" w:hAnsi="宋体" w:cs="宋体"/>
          <w:sz w:val="24"/>
          <w:szCs w:val="24"/>
        </w:rPr>
      </w:pPr>
      <w:r>
        <w:rPr>
          <w:rFonts w:hint="eastAsia" w:ascii="宋体" w:hAnsi="宋体" w:cs="宋体"/>
          <w:sz w:val="24"/>
          <w:szCs w:val="24"/>
        </w:rPr>
        <w:t xml:space="preserve">（4）需要提供维护手册、维修手册、软件备份、故障代码表、备件清单、零部件、维修密码等维护维修必需的材料和信息 （详询采购人）</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6.运输及到货地点：由供方负责办理运输及装卸，直接送至需方所在地，所有费用由供方承担。</w:t>
      </w:r>
      <w:r/>
    </w:p>
    <w:p>
      <w:pPr>
        <w:pStyle w:val="829"/>
        <w:ind w:left="0" w:firstLine="480"/>
        <w:spacing w:line="360" w:lineRule="auto"/>
        <w:rPr>
          <w:rFonts w:ascii="宋体" w:hAnsi="宋体" w:cs="宋体"/>
          <w:sz w:val="24"/>
          <w:szCs w:val="24"/>
        </w:rPr>
      </w:pPr>
      <w:r>
        <w:rPr>
          <w:rFonts w:hint="eastAsia" w:ascii="宋体" w:hAnsi="宋体" w:cs="宋体"/>
          <w:sz w:val="24"/>
          <w:szCs w:val="24"/>
        </w:rPr>
        <w:t xml:space="preserve">7.安装、调试及售后服务：供方负责本次采购设备的免费安装、调试。供方应提供现场技术培训，保证使用人员正常操作设备的各种功能，供方提供设备操作规范张贴设备上，提供设备操作规范电子档交于采购人。</w:t>
      </w:r>
      <w:r/>
    </w:p>
    <w:p>
      <w:pPr>
        <w:ind w:firstLine="480"/>
        <w:spacing w:line="360" w:lineRule="auto"/>
        <w:rPr>
          <w:rFonts w:ascii="宋体" w:hAnsi="宋体" w:cs="宋体"/>
          <w:sz w:val="24"/>
          <w:szCs w:val="24"/>
        </w:rPr>
      </w:pPr>
      <w:r>
        <w:rPr>
          <w:rFonts w:hint="eastAsia" w:ascii="宋体" w:hAnsi="宋体" w:cs="宋体"/>
          <w:sz w:val="24"/>
          <w:szCs w:val="24"/>
        </w:rPr>
        <w:t xml:space="preserve">8. </w:t>
      </w:r>
      <w:r>
        <w:rPr>
          <w:rFonts w:hint="eastAsia" w:ascii="宋体" w:hAnsi="宋体" w:cs="宋体"/>
          <w:bCs/>
          <w:sz w:val="24"/>
          <w:szCs w:val="24"/>
        </w:rPr>
        <w:t xml:space="preserve">款项的支付方式：</w:t>
      </w:r>
      <w:r>
        <w:rPr>
          <w:rFonts w:hint="eastAsia" w:ascii="宋体" w:hAnsi="宋体" w:cs="宋体"/>
          <w:sz w:val="24"/>
          <w:szCs w:val="24"/>
        </w:rPr>
        <w:t xml:space="preserve">合同签订后30日内预支付合同金额的30%；产品验收通过，正常使用6个月后30日内，采购人收到发票后，支付合同金额的60%；产品正常使用12个月后30日内，支付合同金额的10%。</w:t>
      </w:r>
      <w:r/>
    </w:p>
    <w:p>
      <w:pPr>
        <w:ind w:firstLine="480"/>
        <w:spacing w:line="360" w:lineRule="auto"/>
        <w:rPr>
          <w:rFonts w:ascii="宋体" w:hAnsi="宋体" w:cs="宋体"/>
          <w:sz w:val="24"/>
          <w:szCs w:val="24"/>
        </w:rPr>
      </w:pPr>
      <w:r>
        <w:rPr>
          <w:rFonts w:hint="eastAsia" w:ascii="宋体" w:hAnsi="宋体" w:cs="宋体"/>
          <w:sz w:val="24"/>
          <w:szCs w:val="24"/>
        </w:rPr>
        <w:t xml:space="preserve">如果中标人为中小企业，按《保障中小企业款项支付条例》（国令第 802号）相关要求执行。</w:t>
      </w:r>
      <w:r/>
    </w:p>
    <w:p>
      <w:pPr>
        <w:pStyle w:val="829"/>
        <w:ind w:left="0" w:firstLine="480"/>
        <w:spacing w:line="360" w:lineRule="auto"/>
        <w:rPr>
          <w:rFonts w:ascii="宋体" w:hAnsi="宋体" w:cs="宋体"/>
          <w:color w:val="ff0000"/>
          <w:sz w:val="24"/>
          <w:szCs w:val="24"/>
        </w:rPr>
      </w:pPr>
      <w:r>
        <w:rPr>
          <w:rFonts w:hint="eastAsia" w:ascii="宋体" w:hAnsi="宋体" w:cs="宋体"/>
          <w:sz w:val="24"/>
          <w:szCs w:val="24"/>
        </w:rPr>
        <w:t xml:space="preserve">9.设备随机耗材要求：投标供应商应列明能确保设备正常使用的，所需耗材及维修配件的清单及价格（格式可自拟），承诺所有耗材已通过江苏省阳光采购平台挂网并列明产品编码，未列其中的，视为免费维保范围之材料，和设备拥有同等保修期及保修服务。</w:t>
      </w:r>
      <w:r/>
    </w:p>
    <w:p>
      <w:pPr>
        <w:pStyle w:val="829"/>
        <w:ind w:left="0" w:firstLine="480"/>
        <w:spacing w:line="360" w:lineRule="auto"/>
        <w:rPr>
          <w:rFonts w:ascii="宋体" w:hAnsi="宋体" w:cs="宋体"/>
          <w:sz w:val="24"/>
          <w:szCs w:val="24"/>
          <w:highlight w:val="none"/>
        </w:rPr>
      </w:pPr>
      <w:r>
        <w:rPr>
          <w:rFonts w:hint="eastAsia" w:ascii="宋体" w:hAnsi="宋体" w:cs="宋体"/>
          <w:sz w:val="24"/>
          <w:szCs w:val="24"/>
        </w:rPr>
        <w:t xml:space="preserve">10.具备数字化接口</w:t>
      </w:r>
      <w:r>
        <w:rPr>
          <w:rFonts w:hint="eastAsia" w:ascii="宋体" w:hAnsi="宋体" w:cs="宋体"/>
          <w:sz w:val="24"/>
          <w:szCs w:val="24"/>
          <w:highlight w:val="none"/>
        </w:rPr>
        <w:t xml:space="preserve">的设备应承诺免费开放该接口，由供应商配合与医院信息系统相连接并承担相应费用。（提供承诺书，格式可自拟）。</w:t>
      </w:r>
      <w:r/>
    </w:p>
    <w:p>
      <w:pPr>
        <w:pStyle w:val="829"/>
        <w:ind w:left="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11.供应商承担设备与医院设备实时监控系统相连的相关费用，达到医院实时监控要求。（提供承诺书，格式可自拟）。</w:t>
      </w:r>
      <w:r/>
    </w:p>
    <w:p>
      <w:pPr>
        <w:pStyle w:val="829"/>
        <w:ind w:left="0" w:firstLine="420"/>
        <w:spacing w:line="360" w:lineRule="auto"/>
        <w:rPr>
          <w:rFonts w:ascii="宋体" w:hAnsi="宋体" w:cs="宋体"/>
          <w:color w:val="auto"/>
          <w:sz w:val="24"/>
          <w:szCs w:val="24"/>
          <w:highlight w:val="none"/>
        </w:rPr>
      </w:pPr>
      <w:r>
        <w:rPr>
          <w:rFonts w:hint="eastAsia" w:ascii="宋体" w:hAnsi="宋体" w:cs="宋体"/>
          <w:sz w:val="24"/>
          <w:szCs w:val="24"/>
          <w:highlight w:val="none"/>
        </w:rPr>
        <w:t xml:space="preserve">12.具有汉字字库、中文支持的系统及中文文档的设备应承诺免费提供该系统，暂不具备的应承诺日后具备此系统后免费向用</w:t>
      </w:r>
      <w:r>
        <w:rPr>
          <w:rFonts w:hint="eastAsia" w:ascii="宋体" w:hAnsi="宋体" w:cs="宋体"/>
          <w:color w:val="auto"/>
          <w:sz w:val="24"/>
          <w:szCs w:val="24"/>
          <w:highlight w:val="none"/>
        </w:rPr>
        <w:t xml:space="preserve">户提供。（提供承诺书，格式可自拟）。</w:t>
      </w:r>
      <w:r/>
    </w:p>
    <w:p>
      <w:pPr>
        <w:pStyle w:val="829"/>
        <w:ind w:left="0" w:firstLine="420"/>
        <w:spacing w:line="360" w:lineRule="auto"/>
        <w:rPr>
          <w:rFonts w:ascii="宋体" w:hAnsi="宋体" w:cs="宋体"/>
          <w:sz w:val="24"/>
          <w:szCs w:val="24"/>
        </w:rPr>
      </w:pPr>
      <w:r>
        <w:rPr>
          <w:rFonts w:hint="eastAsia" w:ascii="宋体" w:hAnsi="宋体" w:cs="宋体"/>
          <w:color w:val="auto"/>
          <w:sz w:val="24"/>
          <w:szCs w:val="24"/>
          <w:highlight w:val="none"/>
        </w:rPr>
        <w:t xml:space="preserve">13.设备使用年限内（本次所投产品的年限为</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年</w:t>
      </w:r>
      <w:r>
        <w:rPr>
          <w:rFonts w:hint="eastAsia" w:ascii="宋体" w:hAnsi="宋体" w:cs="宋体"/>
          <w:sz w:val="24"/>
          <w:szCs w:val="24"/>
          <w:highlight w:val="none"/>
        </w:rPr>
        <w:t xml:space="preserve">），生产厂家应承诺保证配件、耗材的供应；若因设备升级等原因导致配件、耗材价格提高，或已无法正常供应配件、耗材时，采购人有权要求生产厂家按折旧后的价格将设备回购（提供《关于所投设备的配件、耗材供应情况的承诺函》参考格式）。</w:t>
      </w:r>
      <w:r/>
    </w:p>
    <w:p>
      <w:p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ascii="宋体" w:hAnsi="宋体" w:cs="宋体"/>
          <w:color w:val="000000"/>
          <w:sz w:val="24"/>
        </w:rPr>
      </w:pPr>
      <w:r>
        <w:rPr>
          <w:rFonts w:hint="eastAsia" w:ascii="宋体" w:hAnsi="宋体" w:cs="宋体"/>
          <w:color w:val="000000"/>
          <w:sz w:val="24"/>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一、</w:t>
      </w:r>
      <w:r>
        <w:rPr>
          <w:rFonts w:hint="eastAsia" w:ascii="宋体" w:hAnsi="宋体"/>
          <w:bCs/>
          <w:color w:val="000000" w:themeColor="text1"/>
          <w:sz w:val="24"/>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七、本项目中如有涉及数据库、操作系</w:t>
      </w:r>
      <w:r>
        <w:rPr>
          <w:rFonts w:hint="eastAsia" w:ascii="宋体" w:hAnsi="宋体"/>
          <w:bCs/>
          <w:color w:val="000000" w:themeColor="text1"/>
          <w:sz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采购人原则上应当自收到发票后10个工作日内将资金支付到合同约定的供应商账户。</w:t>
      </w:r>
      <w:bookmarkStart w:id="206"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sz w:val="36"/>
          <w:szCs w:val="36"/>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Cs/>
          <w:color w:val="000000" w:themeColor="text1"/>
          <w:sz w:val="36"/>
          <w:szCs w:val="36"/>
          <w14:textFill>
            <w14:solidFill>
              <w14:schemeClr w14:val="tx1"/>
            </w14:solidFill>
          </w14:textFill>
        </w:rPr>
        <w:t xml:space="preserve">第五章  </w:t>
      </w:r>
      <w:r>
        <w:rPr>
          <w:rFonts w:hint="eastAsia" w:ascii="黑体" w:hAnsi="黑体" w:eastAsia="黑体"/>
          <w:b/>
          <w:bCs/>
          <w:color w:val="000000" w:themeColor="text1"/>
          <w:sz w:val="36"/>
          <w:szCs w:val="36"/>
          <w14:textFill>
            <w14:solidFill>
              <w14:schemeClr w14:val="tx1"/>
            </w14:solidFill>
          </w14:textFill>
        </w:rPr>
        <w:t xml:space="preserve">评标方法与评标标准</w:t>
      </w:r>
      <w:r/>
    </w:p>
    <w:p>
      <w:pPr>
        <w:pStyle w:val="1034"/>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103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103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103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shd w:val="clear" w:color="ffffff" w:fill="d9d9d9"/>
          <w14:textFill>
            <w14:solidFill>
              <w14:schemeClr w14:val="tx1"/>
            </w14:solidFill>
          </w14:textFill>
        </w:rPr>
      </w:pPr>
      <w:r>
        <w:rPr>
          <w:rFonts w:cs="Arial"/>
          <w:color w:val="000000" w:themeColor="text1"/>
          <w:shd w:val="clear" w:color="ffffff" w:fill="d9d9d9"/>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    </w:t>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1034"/>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1034"/>
        <w:ind w:firstLine="281"/>
        <w:spacing w:before="0" w:after="0" w:line="500" w:lineRule="exact"/>
        <w:rPr>
          <w:rFonts w:ascii="宋体" w:hAnsi="宋体"/>
          <w:b/>
          <w:bCs/>
          <w:color w:val="000000" w:themeColor="text1"/>
          <w:sz w:val="28"/>
          <w:szCs w:val="28"/>
          <w:shd w:val="clear" w:color="ffffff" w:fill="d9d9d9"/>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w:t>
      </w:r>
      <w:r/>
    </w:p>
    <w:p>
      <w:pPr>
        <w:pStyle w:val="1034"/>
        <w:ind w:firstLine="281"/>
        <w:spacing w:before="0" w:after="0" w:line="500" w:lineRule="exact"/>
        <w:rPr>
          <w:rFonts w:ascii="宋体" w:hAnsi="宋体"/>
          <w:b/>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二、评分标准</w:t>
      </w:r>
      <w:r/>
    </w:p>
    <w:p>
      <w:pPr>
        <w:ind w:firstLine="480"/>
        <w:jc w:val="left"/>
        <w:spacing w:line="500" w:lineRule="exact"/>
        <w:rPr>
          <w:rFonts w:ascii="宋体" w:hAnsi="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1.价格（40分）</w:t>
      </w:r>
      <w:r/>
    </w:p>
    <w:p>
      <w:pPr>
        <w:ind w:firstLine="480"/>
        <w:jc w:val="left"/>
        <w:spacing w:line="360"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360" w:lineRule="auto"/>
        <w:rPr>
          <w:rFonts w:ascii="宋体" w:hAnsi="宋体" w:cs="宋体"/>
          <w:sz w:val="24"/>
        </w:rPr>
      </w:pPr>
      <w:r>
        <w:rPr>
          <w:rFonts w:hint="eastAsia" w:ascii="宋体" w:hAnsi="宋体" w:cs="宋体"/>
          <w:sz w:val="24"/>
        </w:rPr>
        <w:t xml:space="preserve">投标报价得分=（评标基准价/投标报价）×40（保留两位小数）。</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关于价格扣除详见本章第二部分“一、落实政府采购政策的价格调整”。</w:t>
      </w:r>
      <w:r/>
    </w:p>
    <w:p>
      <w:pPr>
        <w:numPr>
          <w:ilvl w:val="0"/>
          <w:numId w:val="5"/>
        </w:numPr>
        <w:ind w:firstLine="482"/>
        <w:jc w:val="left"/>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技术（40分）</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b/>
          <w:bCs/>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47"/>
        <w:tblW w:w="8613" w:type="dxa"/>
        <w:jc w:val="center"/>
        <w:tblLayout w:type="autofit"/>
        <w:tblCellMar>
          <w:left w:w="108" w:type="dxa"/>
          <w:top w:w="0" w:type="dxa"/>
          <w:right w:w="108" w:type="dxa"/>
          <w:bottom w:w="0" w:type="dxa"/>
        </w:tblCellMar>
        <w:tblLook w:val="04A0" w:firstRow="1" w:lastRow="0" w:firstColumn="1" w:lastColumn="0" w:noHBand="0" w:noVBand="1"/>
      </w:tblPr>
      <w:tblGrid>
        <w:gridCol w:w="817"/>
        <w:gridCol w:w="6992"/>
        <w:gridCol w:w="804"/>
      </w:tblGrid>
      <w:tr>
        <w:trPr>
          <w:jc w:val="center"/>
          <w:trHeight w:val="170"/>
        </w:trPr>
        <w:tc>
          <w:tcPr>
            <w:tcBorders>
              <w:top w:val="single" w:color="auto" w:sz="4" w:space="0"/>
              <w:left w:val="single" w:color="auto" w:sz="4" w:space="0"/>
              <w:bottom w:val="none" w:color="000000" w:sz="4" w:space="0"/>
              <w:right w:val="none" w:color="000000" w:sz="4" w:space="0"/>
            </w:tcBorders>
            <w:tcW w:w="817" w:type="dxa"/>
            <w:textDirection w:val="lrTb"/>
            <w:noWrap/>
          </w:tcPr>
          <w:p>
            <w:pPr>
              <w:jc w:val="center"/>
              <w:rPr>
                <w:b/>
                <w:bCs/>
                <w:sz w:val="22"/>
              </w:rPr>
            </w:pPr>
            <w:r>
              <w:rPr>
                <w:rFonts w:hint="eastAsia"/>
                <w:b/>
              </w:rPr>
              <w:t xml:space="preserve">序号</w:t>
            </w:r>
            <w:r/>
          </w:p>
        </w:tc>
        <w:tc>
          <w:tcPr>
            <w:tcBorders>
              <w:top w:val="single" w:color="auto" w:sz="4" w:space="0"/>
              <w:left w:val="single" w:color="auto" w:sz="4" w:space="0"/>
              <w:bottom w:val="none" w:color="000000" w:sz="4" w:space="0"/>
              <w:right w:val="single" w:color="auto" w:sz="4" w:space="0"/>
            </w:tcBorders>
            <w:tcW w:w="6992" w:type="dxa"/>
            <w:textDirection w:val="lrTb"/>
            <w:noWrap w:val="false"/>
          </w:tcPr>
          <w:p>
            <w:pPr>
              <w:jc w:val="center"/>
              <w:rPr>
                <w:b/>
                <w:bCs/>
                <w:sz w:val="22"/>
              </w:rPr>
            </w:pPr>
            <w:r>
              <w:rPr>
                <w:b/>
              </w:rPr>
              <w:t xml:space="preserve">评分标准</w:t>
            </w:r>
            <w:r/>
          </w:p>
        </w:tc>
        <w:tc>
          <w:tcPr>
            <w:tcBorders>
              <w:top w:val="single" w:color="auto" w:sz="4" w:space="0"/>
              <w:left w:val="none" w:color="000000" w:sz="4" w:space="0"/>
              <w:bottom w:val="single" w:color="auto" w:sz="4" w:space="0"/>
              <w:right w:val="single" w:color="auto" w:sz="4" w:space="0"/>
            </w:tcBorders>
            <w:tcW w:w="804" w:type="dxa"/>
            <w:textDirection w:val="lrTb"/>
            <w:noWrap w:val="false"/>
          </w:tcPr>
          <w:p>
            <w:pPr>
              <w:jc w:val="center"/>
              <w:rPr>
                <w:b/>
                <w:bCs/>
                <w:sz w:val="22"/>
              </w:rPr>
            </w:pPr>
            <w:r>
              <w:rPr>
                <w:b/>
              </w:rPr>
              <w:t xml:space="preserve">分值</w:t>
            </w:r>
            <w:r/>
          </w:p>
        </w:tc>
      </w:tr>
      <w:tr>
        <w:trPr>
          <w:jc w:val="center"/>
          <w:trHeight w:val="170"/>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1</w:t>
            </w:r>
            <w:r/>
          </w:p>
        </w:tc>
        <w:tc>
          <w:tcPr>
            <w:tcBorders>
              <w:top w:val="single" w:color="auto" w:sz="4" w:space="0"/>
              <w:left w:val="none" w:color="000000" w:sz="4" w:space="0"/>
              <w:bottom w:val="single" w:color="auto" w:sz="4" w:space="0"/>
              <w:right w:val="single" w:color="auto" w:sz="4" w:space="0"/>
            </w:tcBorders>
            <w:tcW w:w="6992" w:type="dxa"/>
            <w:textDirection w:val="lrTb"/>
            <w:noWrap w:val="false"/>
          </w:tcPr>
          <w:p>
            <w:r>
              <w:rPr>
                <w:rFonts w:hint="eastAsia"/>
              </w:rPr>
              <w:t xml:space="preserve">工作站外部尺寸高度（</w:t>
            </w:r>
            <w:r>
              <w:t xml:space="preserve">H）≤1950（单位：mm），便于医院安装得2分，其他不得分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2</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2</w:t>
            </w:r>
            <w:r/>
          </w:p>
        </w:tc>
        <w:tc>
          <w:tcPr>
            <w:tcBorders>
              <w:top w:val="none" w:color="000000" w:sz="4" w:space="0"/>
              <w:left w:val="none" w:color="000000" w:sz="4" w:space="0"/>
              <w:bottom w:val="single" w:color="auto" w:sz="4" w:space="0"/>
              <w:right w:val="single" w:color="auto" w:sz="4" w:space="0"/>
            </w:tcBorders>
            <w:tcW w:w="6992" w:type="dxa"/>
            <w:textDirection w:val="lrTb"/>
            <w:noWrap/>
          </w:tcPr>
          <w:p>
            <w:r>
              <w:rPr>
                <w:rFonts w:hint="eastAsia"/>
              </w:rPr>
              <w:t xml:space="preserve">工作站使用期限≥</w:t>
            </w:r>
            <w:r>
              <w:t xml:space="preserve">10年得2分，其他不得分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2</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3</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加热系统分区数量≥</w:t>
            </w:r>
            <w:r>
              <w:t xml:space="preserve">4个得2分，分区数量≥5个得4分</w:t>
            </w:r>
            <w:r>
              <w:rPr>
                <w:rFonts w:hint="eastAsia"/>
              </w:rPr>
              <w:t xml:space="preserve">，</w:t>
            </w:r>
            <w:r>
              <w:t xml:space="preserve">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4</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4</w:t>
            </w:r>
            <w:r/>
          </w:p>
        </w:tc>
        <w:tc>
          <w:tcPr>
            <w:tcBorders>
              <w:top w:val="none" w:color="000000" w:sz="4" w:space="0"/>
              <w:left w:val="none" w:color="000000" w:sz="4" w:space="0"/>
              <w:bottom w:val="single" w:color="auto" w:sz="4" w:space="0"/>
              <w:right w:val="single" w:color="auto" w:sz="4" w:space="0"/>
            </w:tcBorders>
            <w:tcW w:w="6992" w:type="dxa"/>
            <w:textDirection w:val="lrTb"/>
            <w:noWrap/>
          </w:tcPr>
          <w:p>
            <w:r>
              <w:rPr>
                <w:rFonts w:hint="eastAsia"/>
              </w:rPr>
              <w:t xml:space="preserve">操作加热台面，尺寸≥</w:t>
            </w:r>
            <w:r>
              <w:t xml:space="preserve">28平方分米得2分，尺寸≥34平方分米得3分，其他不得分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5</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采用完全垂直进风设计，进风口及预过滤膜位于工作站顶端得</w:t>
            </w:r>
            <w:r>
              <w:t xml:space="preserve">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6</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带有滚轮设计，可根据临床需求进行移动和搬运得</w:t>
            </w:r>
            <w:r>
              <w:t xml:space="preserve">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7</w:t>
            </w:r>
            <w:r/>
          </w:p>
        </w:tc>
        <w:tc>
          <w:tcPr>
            <w:tcBorders>
              <w:top w:val="none" w:color="000000" w:sz="4" w:space="0"/>
              <w:left w:val="none" w:color="000000" w:sz="4" w:space="0"/>
              <w:bottom w:val="single" w:color="auto" w:sz="4" w:space="0"/>
              <w:right w:val="single" w:color="auto" w:sz="4" w:space="0"/>
            </w:tcBorders>
            <w:tcW w:w="6992" w:type="dxa"/>
            <w:textDirection w:val="lrTb"/>
            <w:noWrap/>
          </w:tcPr>
          <w:p>
            <w:r>
              <w:rPr>
                <w:rFonts w:hint="eastAsia"/>
              </w:rPr>
              <w:t xml:space="preserve">全速工作时噪音≤</w:t>
            </w:r>
            <w:r>
              <w:t xml:space="preserve">54dB（A</w:t>
            </w:r>
            <w:r>
              <w:rPr>
                <w:rFonts w:hint="eastAsia"/>
              </w:rPr>
              <w:t xml:space="preserve">）</w:t>
            </w:r>
            <w:r>
              <w:t xml:space="preserve">得1分，≤52dB（A</w:t>
            </w:r>
            <w:r>
              <w:rPr>
                <w:rFonts w:hint="eastAsia"/>
              </w:rPr>
              <w:t xml:space="preserve">）</w:t>
            </w:r>
            <w:r>
              <w:t xml:space="preserve">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8</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显微镜玻璃加热板直径≥</w:t>
            </w:r>
            <w:r>
              <w:t xml:space="preserve">90mm得2分，显微镜玻璃加热板直径≥100mm得3分，其他不得分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9</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工作区域气流流速三档可调得</w:t>
            </w:r>
            <w:r>
              <w:t xml:space="preserve">2分，流速四档及以上可调或连续可调得3分，其他不得分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10</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体视显微镜变倍比≥</w:t>
            </w:r>
            <w:r>
              <w:t xml:space="preserve">10∶1得2分，变倍比≥12∶1得3分，其他不得分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11</w:t>
            </w:r>
            <w:r/>
          </w:p>
        </w:tc>
        <w:tc>
          <w:tcPr>
            <w:tcBorders>
              <w:top w:val="none" w:color="000000" w:sz="4" w:space="0"/>
              <w:left w:val="none" w:color="000000" w:sz="4" w:space="0"/>
              <w:bottom w:val="single" w:color="auto" w:sz="4" w:space="0"/>
              <w:right w:val="single" w:color="auto" w:sz="4" w:space="0"/>
            </w:tcBorders>
            <w:tcW w:w="6992" w:type="dxa"/>
            <w:textDirection w:val="lrTb"/>
            <w:noWrap/>
          </w:tcPr>
          <w:p>
            <w:r>
              <w:t xml:space="preserve">1x物镜工作距离≥80mm得2分，≥120mm得3分，其他不得分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12</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t xml:space="preserve">10x目镜FOV≥23得3分，其他不得分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t xml:space="preserve">13</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显微镜摄像头≥</w:t>
            </w:r>
            <w:r>
              <w:t xml:space="preserve">2000万像素得3分，其他不得分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3</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pPr>
            <w:r>
              <w:rPr>
                <w:rFonts w:hint="eastAsia"/>
              </w:rPr>
              <w:t xml:space="preserve">1</w:t>
            </w:r>
            <w:r>
              <w:t xml:space="preserve">4</w:t>
            </w:r>
            <w:r/>
          </w:p>
        </w:tc>
        <w:tc>
          <w:tcPr>
            <w:tcBorders>
              <w:top w:val="none" w:color="000000" w:sz="4" w:space="0"/>
              <w:left w:val="none" w:color="000000" w:sz="4" w:space="0"/>
              <w:bottom w:val="single" w:color="auto" w:sz="4" w:space="0"/>
              <w:right w:val="single" w:color="auto" w:sz="4" w:space="0"/>
            </w:tcBorders>
            <w:tcW w:w="6992" w:type="dxa"/>
            <w:textDirection w:val="lrTb"/>
            <w:noWrap w:val="false"/>
          </w:tcPr>
          <w:p>
            <w:r>
              <w:rPr>
                <w:rFonts w:hint="eastAsia"/>
              </w:rPr>
              <w:t xml:space="preserve">图文工作站内嵌式显示屏≥</w:t>
            </w:r>
            <w:r>
              <w:t xml:space="preserve">22寸、硬盘≥2T得2分，其他不得分</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pPr>
            <w:r>
              <w:t xml:space="preserve">2</w:t>
            </w:r>
            <w:r/>
          </w:p>
        </w:tc>
      </w:tr>
      <w:tr>
        <w:trPr>
          <w:jc w:val="center"/>
          <w:trHeight w:val="170"/>
        </w:trPr>
        <w:tc>
          <w:tcPr>
            <w:tcBorders>
              <w:top w:val="none" w:color="000000" w:sz="4" w:space="0"/>
              <w:left w:val="single" w:color="auto" w:sz="4" w:space="0"/>
              <w:bottom w:val="single" w:color="auto" w:sz="4" w:space="0"/>
              <w:right w:val="single" w:color="auto" w:sz="4" w:space="0"/>
            </w:tcBorders>
            <w:tcW w:w="817" w:type="dxa"/>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6992" w:type="dxa"/>
            <w:vAlign w:val="center"/>
            <w:textDirection w:val="lrTb"/>
            <w:noWrap/>
          </w:tcPr>
          <w:p>
            <w:pPr>
              <w:jc w:val="center"/>
              <w:rPr>
                <w:sz w:val="22"/>
              </w:rPr>
            </w:pPr>
            <w:r>
              <w:t xml:space="preserve">合计</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sz w:val="22"/>
              </w:rPr>
            </w:pPr>
            <w:r>
              <w:t xml:space="preserve">40</w:t>
            </w:r>
            <w:r/>
          </w:p>
        </w:tc>
      </w:tr>
    </w:tbl>
    <w:p>
      <w:pPr>
        <w:jc w:val="left"/>
        <w:spacing w:line="360" w:lineRule="auto"/>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ind w:firstLine="482"/>
        <w:spacing w:line="360" w:lineRule="auto"/>
        <w:tabs>
          <w:tab w:val="left" w:pos="1155" w:leader="none"/>
        </w:tabs>
        <w:rPr>
          <w:rFonts w:ascii="宋体" w:hAnsi="宋体" w:cs="宋体"/>
          <w:b/>
          <w:bCs/>
          <w:sz w:val="24"/>
          <w:szCs w:val="24"/>
        </w:rPr>
      </w:pPr>
      <w:r>
        <w:rPr>
          <w:rFonts w:hint="eastAsia" w:ascii="宋体" w:hAnsi="宋体" w:cs="宋体"/>
          <w:b/>
          <w:bCs/>
          <w:sz w:val="24"/>
          <w:szCs w:val="24"/>
        </w:rPr>
        <w:t xml:space="preserve">3.售后和服务能力（13分）</w:t>
      </w:r>
      <w:r/>
    </w:p>
    <w:p>
      <w:pPr>
        <w:ind w:firstLine="480"/>
        <w:jc w:val="left"/>
        <w:spacing w:line="360" w:lineRule="auto"/>
        <w:rPr>
          <w:rFonts w:ascii="宋体" w:hAnsi="宋体" w:cs="宋体"/>
          <w:color w:val="auto"/>
          <w:sz w:val="24"/>
          <w:szCs w:val="24"/>
          <w:highlight w:val="none"/>
        </w:rPr>
      </w:pPr>
      <w:r>
        <w:rPr>
          <w:rFonts w:hint="eastAsia" w:ascii="宋体" w:hAnsi="宋体" w:cs="宋体"/>
          <w:sz w:val="24"/>
          <w:szCs w:val="24"/>
        </w:rPr>
        <w:t xml:space="preserve">3.1质</w:t>
      </w:r>
      <w:r>
        <w:rPr>
          <w:rFonts w:hint="eastAsia" w:ascii="宋体" w:hAnsi="宋体" w:cs="宋体"/>
          <w:color w:val="auto"/>
          <w:sz w:val="24"/>
          <w:szCs w:val="24"/>
          <w:highlight w:val="none"/>
        </w:rPr>
        <w:t xml:space="preserve">保期（</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分）：以招标文件要求（3年）为基准，每多一年加1分，不超过</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分，须提供制造厂商出具的《质量保证及售后服务承诺书》（给定格式）并加盖投标人公章，所投若为进口设备，则由国内总代理出具。</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服务方案体系（</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分）：投标人保障采购项目能够达到招标文件设定的使用和运行状态而提供的①配送、安装、②调试、培训、③响应时间、④咨询（技术支持）、⑤维修以及应急保障措施等一系列服务方案，无方案不得分。提供的方案内容全面，不漏项且有针对性解释说明：</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分；提供的方案内容较为全面，漏缺1项或2项或有1处或2处瑕疵，有针对性解释说明：</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分；提供的方案基本全面，漏缺3项或4项或有3处或4处瑕疵，针对性解释说明不强：</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分；提供的方案内容不全面，缺漏项或瑕疵过多，缺乏有效的针对性解释说明：不得分。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服务保障体系（</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分）：①投标人保障服务方案的实施而设立的服务机构、配备的相应服务人员、设施装备（</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分），②相应的服务细则和规范的管理制度（1分），③确保兑现服务承诺、保证服务质量的措施（1分）。以上内容不存在瑕疵、漏项得相应分。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360" w:lineRule="auto"/>
        <w:rPr>
          <w:rFonts w:ascii="宋体" w:hAnsi="宋体" w:cs="宋体"/>
          <w:b/>
          <w:bCs/>
          <w:sz w:val="24"/>
          <w:szCs w:val="24"/>
        </w:rPr>
      </w:pPr>
      <w:r>
        <w:rPr>
          <w:rFonts w:hint="eastAsia" w:ascii="宋体" w:hAnsi="宋体" w:cs="宋体"/>
          <w:b/>
          <w:bCs/>
          <w:sz w:val="24"/>
          <w:szCs w:val="24"/>
        </w:rPr>
        <w:t xml:space="preserve">4.业绩（5分）</w:t>
      </w:r>
      <w:r/>
    </w:p>
    <w:p>
      <w:pPr>
        <w:ind w:firstLine="480"/>
        <w:spacing w:line="360" w:lineRule="auto"/>
        <w:tabs>
          <w:tab w:val="left" w:pos="1155" w:leader="none"/>
        </w:tabs>
        <w:rPr>
          <w:rFonts w:ascii="宋体" w:hAnsi="宋体" w:cs="宋体"/>
          <w:sz w:val="24"/>
          <w:szCs w:val="24"/>
          <w:highlight w:val="none"/>
        </w:rPr>
      </w:pPr>
      <w:r>
        <w:rPr>
          <w:rFonts w:hint="eastAsia" w:ascii="宋体" w:hAnsi="宋体" w:cs="宋体"/>
          <w:sz w:val="24"/>
          <w:szCs w:val="24"/>
        </w:rPr>
        <w:t xml:space="preserve">销售业绩及客户评价比较，近二年主要业绩（5分）：提供投标人与终端用户签订的与本次招标采购项</w:t>
      </w:r>
      <w:r>
        <w:rPr>
          <w:rFonts w:hint="eastAsia" w:ascii="宋体" w:hAnsi="宋体" w:cs="宋体"/>
          <w:sz w:val="24"/>
          <w:szCs w:val="24"/>
          <w:highlight w:val="none"/>
        </w:rPr>
        <w:t xml:space="preserve">目同类产品的完整销售合同复印件，有一例得2.5分，最高不超过5分，须加盖投标单位电子公章。</w:t>
      </w:r>
      <w:r>
        <w:rPr>
          <w:rFonts w:hint="eastAsia" w:ascii="宋体" w:hAnsi="宋体" w:cs="宋体"/>
          <w:color w:val="000000"/>
          <w:sz w:val="24"/>
          <w:szCs w:val="24"/>
          <w:highlight w:val="none"/>
        </w:rPr>
        <w:t xml:space="preserve">合同金额如在50万元以上（含50万元），还须提供</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公告</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rPr>
        <w:t xml:space="preserve">合同公示页面截图进行佐证。截图内容含公示网站名称或地址、公示日期、完整公示内容。</w:t>
      </w:r>
      <w:r/>
    </w:p>
    <w:p>
      <w:pPr>
        <w:ind w:firstLine="480"/>
        <w:jc w:val="left"/>
        <w:spacing w:line="360" w:lineRule="auto"/>
        <w:rPr>
          <w:rFonts w:ascii="宋体" w:hAnsi="宋体" w:cs="宋体"/>
          <w:sz w:val="24"/>
          <w:szCs w:val="24"/>
        </w:rPr>
      </w:pPr>
      <w:r>
        <w:rPr>
          <w:rFonts w:hint="eastAsia" w:ascii="宋体" w:hAnsi="宋体" w:cs="宋体"/>
          <w:b/>
          <w:bCs/>
          <w:sz w:val="24"/>
          <w:szCs w:val="24"/>
        </w:rPr>
        <w:t xml:space="preserve">5.政策性因素（2分）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5.1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hint="eastAsia" w:ascii="宋体" w:hAnsi="宋体" w:cs="宋体"/>
          <w:sz w:val="24"/>
          <w:szCs w:val="24"/>
        </w:rPr>
      </w:pPr>
      <w:r>
        <w:rPr>
          <w:rFonts w:hint="eastAsia" w:ascii="宋体" w:hAnsi="宋体" w:cs="宋体"/>
          <w:sz w:val="24"/>
          <w:szCs w:val="24"/>
        </w:rPr>
      </w:r>
      <w:r/>
    </w:p>
    <w:p>
      <w:pPr>
        <w:jc w:val="left"/>
        <w:spacing w:line="500" w:lineRule="exact"/>
        <w:rPr>
          <w:rFonts w:hint="eastAsia" w:ascii="宋体" w:hAnsi="宋体" w:cs="宋体"/>
          <w:sz w:val="24"/>
          <w:szCs w:val="24"/>
        </w:rPr>
      </w:pPr>
      <w:r/>
      <w:bookmarkStart w:id="218" w:name="_GoBack"/>
      <w:r/>
      <w:bookmarkEnd w:id="218"/>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bookmarkEnd w:id="185"/>
      <w:r/>
      <w:bookmarkEnd w:id="186"/>
      <w:r/>
      <w:bookmarkEnd w:id="192"/>
      <w:r/>
      <w:bookmarkEnd w:id="193"/>
      <w:r/>
      <w:bookmarkEnd w:id="206"/>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4"/>
        <w:ind w:firstLine="602"/>
        <w:spacing w:before="0" w:after="0" w:line="500" w:lineRule="exact"/>
        <w:rPr>
          <w:rFonts w:cs="Arial"/>
          <w:b/>
          <w:color w:val="000000" w:themeColor="text1"/>
          <w:sz w:val="30"/>
          <w:szCs w:val="30"/>
          <w14:textFill>
            <w14:solidFill>
              <w14:schemeClr w14:val="tx1"/>
            </w14:solidFill>
          </w14:textFill>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34"/>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4"/>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3"/>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4"/>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4"/>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4"/>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4"/>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4"/>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4"/>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4"/>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4"/>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项目编号：JSZC-320200-XWJC-G2025-</w:t>
      </w:r>
      <w:r>
        <w:rPr>
          <w:rFonts w:hint="eastAsia" w:ascii="黑体" w:hAnsi="华文中宋" w:eastAsia="黑体"/>
          <w:bCs/>
          <w:color w:val="000000" w:themeColor="text1"/>
          <w:sz w:val="30"/>
          <w:szCs w:val="30"/>
          <w:lang w:eastAsia="zh-CN"/>
          <w14:textFill>
            <w14:solidFill>
              <w14:schemeClr w14:val="tx1"/>
            </w14:solidFill>
          </w14:textFill>
        </w:rPr>
        <w:t xml:space="preserve">0092</w:t>
      </w:r>
      <w:r/>
    </w:p>
    <w:p>
      <w:pPr>
        <w:ind w:left="3300" w:hanging="15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14:textFill>
            <w14:solidFill>
              <w14:schemeClr w14:val="tx1"/>
            </w14:solidFill>
          </w14:textFill>
        </w:rPr>
        <w:t xml:space="preserve">无锡市妇幼保健院双人工作站项目</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JSZC-320200-XWJC-G2025-</w:t>
      </w:r>
      <w:r>
        <w:rPr>
          <w:rFonts w:hint="eastAsia" w:ascii="宋体" w:hAnsi="宋体"/>
          <w:bCs/>
          <w:color w:val="000000" w:themeColor="text1"/>
          <w:sz w:val="24"/>
          <w:szCs w:val="24"/>
          <w:lang w:eastAsia="zh-CN"/>
          <w14:textFill>
            <w14:solidFill>
              <w14:schemeClr w14:val="tx1"/>
            </w14:solidFill>
          </w14:textFill>
        </w:rPr>
        <w:t xml:space="preserve">0092</w:t>
      </w:r>
      <w:r>
        <w:rPr>
          <w:rFonts w:hint="eastAsia" w:ascii="宋体" w:hAnsi="宋体"/>
          <w:bCs/>
          <w:color w:val="000000" w:themeColor="text1"/>
          <w:sz w:val="24"/>
          <w:szCs w:val="24"/>
          <w14:textFill>
            <w14:solidFill>
              <w14:schemeClr w14:val="tx1"/>
            </w14:solidFill>
          </w14:textFill>
        </w:rPr>
        <w:t xml:space="preserve">项目，兹授权：</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32"/>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32"/>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32"/>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32"/>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32"/>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32"/>
        <w:numPr>
          <w:ilvl w:val="0"/>
          <w:numId w:val="7"/>
        </w:numPr>
        <w:ind w:firstLine="48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32"/>
        <w:numPr>
          <w:ilvl w:val="0"/>
          <w:numId w:val="7"/>
        </w:numPr>
        <w:ind w:firstLine="48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32"/>
        <w:numPr>
          <w:ilvl w:val="0"/>
          <w:numId w:val="7"/>
        </w:numPr>
        <w:ind w:firstLine="48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32"/>
        <w:numPr>
          <w:ilvl w:val="0"/>
          <w:numId w:val="7"/>
        </w:numPr>
        <w:ind w:firstLine="480"/>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2"/>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12" w:name="报价方关于资格的声明函（格式）"/>
      <w:r/>
      <w:bookmarkEnd w:id="212"/>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我公司（单位）针对本次项目JSZC-320200-XWJC-G2025-</w:t>
      </w:r>
      <w:r>
        <w:rPr>
          <w:rFonts w:hint="eastAsia" w:ascii="宋体" w:hAnsi="宋体"/>
          <w:bCs/>
          <w:color w:val="000000" w:themeColor="text1"/>
          <w:sz w:val="24"/>
          <w:szCs w:val="24"/>
          <w:lang w:eastAsia="zh-CN"/>
          <w14:textFill>
            <w14:solidFill>
              <w14:schemeClr w14:val="tx1"/>
            </w14:solidFill>
          </w14:textFill>
        </w:rPr>
        <w:t xml:space="preserve">0092</w:t>
      </w:r>
      <w:r>
        <w:rPr>
          <w:rFonts w:hint="eastAsia" w:ascii="宋体" w:hAnsi="宋体"/>
          <w:bCs/>
          <w:color w:val="000000" w:themeColor="text1"/>
          <w:sz w:val="24"/>
          <w:szCs w:val="24"/>
          <w14:textFill>
            <w14:solidFill>
              <w14:schemeClr w14:val="tx1"/>
            </w14:solidFill>
          </w14:textFill>
        </w:rPr>
        <w:t xml:space="preserve">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我方收到贵方JSZC-320200-XWJC-G2025-</w:t>
      </w:r>
      <w:r>
        <w:rPr>
          <w:rFonts w:hint="eastAsia" w:ascii="宋体" w:hAnsi="宋体"/>
          <w:bCs/>
          <w:color w:val="000000" w:themeColor="text1"/>
          <w:sz w:val="24"/>
          <w:szCs w:val="24"/>
          <w:lang w:eastAsia="zh-CN"/>
          <w14:textFill>
            <w14:solidFill>
              <w14:schemeClr w14:val="tx1"/>
            </w14:solidFill>
          </w14:textFill>
        </w:rPr>
        <w:t xml:space="preserve">0092</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1"/>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JSZC-320200-XWJC-G2025-</w:t>
      </w:r>
      <w:r>
        <w:rPr>
          <w:rFonts w:hint="eastAsia" w:ascii="宋体" w:hAnsi="宋体"/>
          <w:bCs/>
          <w:color w:val="000000" w:themeColor="text1"/>
          <w:sz w:val="24"/>
          <w:szCs w:val="24"/>
          <w:lang w:eastAsia="zh-CN"/>
          <w14:textFill>
            <w14:solidFill>
              <w14:schemeClr w14:val="tx1"/>
            </w14:solidFill>
          </w14:textFill>
        </w:rPr>
        <w:t xml:space="preserve">0092</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照《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项目编号：JSZC-320200-XWJC-G2025-</w:t>
      </w:r>
      <w:r>
        <w:rPr>
          <w:rFonts w:hint="eastAsia" w:ascii="黑体" w:eastAsia="黑体"/>
          <w:bCs/>
          <w:color w:val="000000" w:themeColor="text1"/>
          <w:sz w:val="24"/>
          <w:szCs w:val="24"/>
          <w:lang w:eastAsia="zh-CN"/>
          <w14:textFill>
            <w14:solidFill>
              <w14:schemeClr w14:val="tx1"/>
            </w14:solidFill>
          </w14:textFill>
        </w:rPr>
        <w:t xml:space="preserve">0092</w:t>
      </w:r>
      <w:r/>
    </w:p>
    <w:tbl>
      <w:tblPr>
        <w:tblStyle w:val="7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0"/>
              <w:jc w:val="center"/>
              <w:spacing w:line="400" w:lineRule="exact"/>
              <w:rPr>
                <w:rFonts w:hAnsi="宋体"/>
                <w:bCs/>
                <w:color w:val="000000" w:themeColor="text1"/>
                <w:szCs w:val="24"/>
                <w14:textFill>
                  <w14:solidFill>
                    <w14:schemeClr w14:val="tx1"/>
                  </w14:solidFill>
                </w14:textFill>
              </w:rPr>
            </w:pPr>
            <w:r>
              <w:rPr>
                <w:rFonts w:hAnsi="宋体"/>
                <w:bCs/>
                <w:color w:val="000000" w:themeColor="text1"/>
                <w:szCs w:val="24"/>
                <w14:textFill>
                  <w14:solidFill>
                    <w14:schemeClr w14:val="tx1"/>
                  </w14:solidFill>
                </w14:textFill>
              </w:rPr>
            </w:r>
            <w:r/>
          </w:p>
        </w:tc>
        <w:tc>
          <w:tcPr>
            <w:tcW w:w="3188" w:type="dxa"/>
            <w:vAlign w:val="center"/>
            <w:textDirection w:val="lrTb"/>
            <w:noWrap w:val="false"/>
          </w:tcPr>
          <w:p>
            <w:pPr>
              <w:pStyle w:val="1060"/>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209"/>
      <w:r/>
      <w:bookmarkEnd w:id="210"/>
      <w:r/>
      <w:bookmarkEnd w:id="211"/>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213"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项目编号：JSZC-320200-XWJC-G2025-</w:t>
      </w:r>
      <w:r>
        <w:rPr>
          <w:rFonts w:hint="eastAsia" w:ascii="黑体" w:eastAsia="黑体"/>
          <w:bCs/>
          <w:color w:val="000000" w:themeColor="text1"/>
          <w:sz w:val="24"/>
          <w:szCs w:val="24"/>
          <w:lang w:eastAsia="zh-CN"/>
          <w14:textFill>
            <w14:solidFill>
              <w14:schemeClr w14:val="tx1"/>
            </w14:solidFill>
          </w14:textFill>
        </w:rPr>
        <w:t xml:space="preserve">0092</w:t>
      </w:r>
      <w:r/>
    </w:p>
    <w:tbl>
      <w:tblPr>
        <w:tblStyle w:val="74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3"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3"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项目编号：JSZC-320200-XWJC-G2025-</w:t>
      </w:r>
      <w:r>
        <w:rPr>
          <w:rFonts w:hint="eastAsia" w:ascii="黑体" w:eastAsia="黑体"/>
          <w:bCs/>
          <w:color w:val="000000" w:themeColor="text1"/>
          <w:sz w:val="24"/>
          <w:szCs w:val="24"/>
          <w:lang w:eastAsia="zh-CN"/>
          <w14:textFill>
            <w14:solidFill>
              <w14:schemeClr w14:val="tx1"/>
            </w14:solidFill>
          </w14:textFill>
        </w:rPr>
        <w:t xml:space="preserve">0092</w:t>
      </w:r>
      <w:r/>
    </w:p>
    <w:tbl>
      <w:tblPr>
        <w:tblStyle w:val="74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213"/>
      <w:r/>
      <w:bookmarkStart w:id="214" w:name="_Hlt26671374"/>
      <w:r/>
      <w:bookmarkEnd w:id="214"/>
      <w:r/>
      <w:bookmarkStart w:id="215" w:name="_Hlt26955066"/>
      <w:r/>
      <w:bookmarkEnd w:id="215"/>
      <w:r/>
      <w:bookmarkStart w:id="216" w:name="_Hlt26609389"/>
      <w:r/>
      <w:bookmarkEnd w:id="216"/>
      <w:r/>
      <w:bookmarkStart w:id="217" w:name="_格式2__法定代表人授权书"/>
      <w:r/>
      <w:bookmarkEnd w:id="217"/>
      <w:r/>
      <w:r/>
    </w:p>
    <w:p>
      <w:pPr>
        <w:ind w:firstLine="96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项目编号：JSZC-320200-XWJC-G2025-</w:t>
      </w:r>
      <w:r>
        <w:rPr>
          <w:rFonts w:hint="eastAsia" w:ascii="黑体" w:eastAsia="黑体"/>
          <w:bCs/>
          <w:color w:val="000000" w:themeColor="text1"/>
          <w:sz w:val="24"/>
          <w:szCs w:val="24"/>
          <w:lang w:eastAsia="zh-CN"/>
          <w14:textFill>
            <w14:solidFill>
              <w14:schemeClr w14:val="tx1"/>
            </w14:solidFill>
          </w14:textFill>
        </w:rPr>
        <w:t xml:space="preserve">0092</w:t>
      </w:r>
      <w:r/>
    </w:p>
    <w:tbl>
      <w:tblPr>
        <w:tblStyle w:val="7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1.代表我方在中华人民共和国办理贵方</w:t>
      </w:r>
      <w:r>
        <w:rPr>
          <w:rFonts w:hint="eastAsia" w:ascii="宋体" w:hAnsi="宋体"/>
          <w:color w:val="000000" w:themeColor="text1"/>
          <w:sz w:val="24"/>
          <w:szCs w:val="24"/>
          <w14:textFill>
            <w14:solidFill>
              <w14:schemeClr w14:val="tx1"/>
            </w14:solidFill>
          </w14:textFill>
        </w:rPr>
        <w:t xml:space="preserve">无锡市妇幼保健院双人工作站项目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14:textFill>
            <w14:solidFill>
              <w14:schemeClr w14:val="tx1"/>
            </w14:solidFill>
          </w14:textFill>
        </w:rPr>
        <w:t xml:space="preserve">JSZC-320200-XWJC-G2025-</w:t>
      </w:r>
      <w:r>
        <w:rPr>
          <w:rFonts w:hint="eastAsia" w:ascii="黑体" w:eastAsia="黑体"/>
          <w:bCs/>
          <w:color w:val="000000" w:themeColor="text1"/>
          <w:sz w:val="24"/>
          <w:szCs w:val="24"/>
          <w:lang w:eastAsia="zh-CN"/>
          <w14:textFill>
            <w14:solidFill>
              <w14:schemeClr w14:val="tx1"/>
            </w14:solidFill>
          </w14:textFill>
        </w:rPr>
        <w:t xml:space="preserve">0092</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2.作为制造商，我方保证以报价合作者来约束自己，并对该报价共同和分别承担采购文件中所规定的义务。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3.我方兹授予（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52"/>
        <w:rPr>
          <w:color w:val="000000" w:themeColor="text1"/>
          <w14:textFill>
            <w14:solidFill>
              <w14:schemeClr w14:val="tx1"/>
            </w14:solidFill>
          </w14:textFill>
        </w:rPr>
      </w:pPr>
      <w:r>
        <w:rPr>
          <w:color w:val="000000" w:themeColor="text1"/>
          <w14:textFill>
            <w14:solidFill>
              <w14:schemeClr w14:val="tx1"/>
            </w14:solidFill>
          </w14:textFill>
        </w:rPr>
      </w:r>
      <w:r/>
    </w:p>
    <w:p>
      <w:pPr>
        <w:pStyle w:val="759"/>
        <w:rPr>
          <w:color w:val="000000" w:themeColor="text1"/>
          <w14:textFill>
            <w14:solidFill>
              <w14:schemeClr w14:val="tx1"/>
            </w14:solidFill>
          </w14:textFill>
        </w:rPr>
      </w:pPr>
      <w:r>
        <w:rPr>
          <w:color w:val="000000" w:themeColor="text1"/>
          <w14:textFill>
            <w14:solidFill>
              <w14:schemeClr w14:val="tx1"/>
            </w14:solidFill>
          </w14:textFill>
        </w:rPr>
      </w:r>
      <w:r/>
    </w:p>
    <w:p>
      <w:pPr>
        <w:pStyle w:val="759"/>
        <w:rPr>
          <w:color w:val="000000" w:themeColor="text1"/>
          <w14:textFill>
            <w14:solidFill>
              <w14:schemeClr w14:val="tx1"/>
            </w14:solidFill>
          </w14:textFill>
        </w:rPr>
      </w:pPr>
      <w:r>
        <w:rPr>
          <w:color w:val="000000" w:themeColor="text1"/>
          <w14:textFill>
            <w14:solidFill>
              <w14:schemeClr w14:val="tx1"/>
            </w14:solidFill>
          </w14:textFill>
        </w:rPr>
      </w:r>
      <w:r/>
    </w:p>
    <w:p>
      <w:pPr>
        <w:pStyle w:val="759"/>
        <w:rPr>
          <w:color w:val="000000" w:themeColor="text1"/>
          <w14:textFill>
            <w14:solidFill>
              <w14:schemeClr w14:val="tx1"/>
            </w14:solidFill>
          </w14:textFill>
        </w:rPr>
      </w:pPr>
      <w:r>
        <w:rPr>
          <w:color w:val="000000" w:themeColor="text1"/>
          <w14:textFill>
            <w14:solidFill>
              <w14:schemeClr w14:val="tx1"/>
            </w14:solidFill>
          </w14:textFill>
        </w:rPr>
      </w:r>
      <w:r/>
    </w:p>
    <w:p>
      <w:pPr>
        <w:pStyle w:val="759"/>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59"/>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59"/>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59"/>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0"/>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59"/>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t xml:space="preserve">26</w:t>
    </w:r>
    <w:r>
      <w:fldChar w:fldCharType="end"/>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6">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5">
    <w:name w:val="TOC Heading"/>
    <w:uiPriority w:val="39"/>
    <w:unhideWhenUsed/>
  </w:style>
  <w:style w:type="paragraph" w:styleId="73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7">
    <w:name w:val="Heading 1"/>
    <w:basedOn w:val="736"/>
    <w:next w:val="736"/>
    <w:link w:val="820"/>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21"/>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22"/>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23"/>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24"/>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25"/>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7"/>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8"/>
    <w:uiPriority w:val="9"/>
    <w:unhideWhenUsed/>
    <w:qFormat/>
    <w:pPr>
      <w:keepLines/>
      <w:keepNext/>
      <w:spacing w:before="320" w:after="200"/>
      <w:outlineLvl w:val="8"/>
    </w:pPr>
    <w:rPr>
      <w:rFonts w:ascii="Arial" w:hAnsi="Arial" w:eastAsia="Arial" w:cs="Arial"/>
      <w:i/>
      <w:iCs/>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index 5"/>
    <w:basedOn w:val="736"/>
    <w:next w:val="736"/>
    <w:uiPriority w:val="0"/>
    <w:qFormat/>
    <w:pPr>
      <w:ind w:left="800"/>
    </w:pPr>
    <w:rPr>
      <w:szCs w:val="20"/>
    </w:rPr>
  </w:style>
  <w:style w:type="paragraph" w:styleId="751">
    <w:name w:val="Body Text"/>
    <w:basedOn w:val="736"/>
    <w:uiPriority w:val="0"/>
    <w:unhideWhenUsed/>
    <w:qFormat/>
    <w:pPr>
      <w:spacing w:after="120"/>
    </w:pPr>
    <w:rPr>
      <w:rFonts w:ascii="Calibri" w:hAnsi="Calibri"/>
      <w:szCs w:val="22"/>
    </w:rPr>
  </w:style>
  <w:style w:type="paragraph" w:styleId="752">
    <w:name w:val="Body Text Indent"/>
    <w:basedOn w:val="736"/>
    <w:uiPriority w:val="99"/>
    <w:qFormat/>
    <w:pPr>
      <w:ind w:firstLine="576"/>
    </w:pPr>
    <w:rPr>
      <w:sz w:val="20"/>
      <w:szCs w:val="20"/>
    </w:rPr>
  </w:style>
  <w:style w:type="paragraph" w:styleId="753">
    <w:name w:val="toc 5"/>
    <w:basedOn w:val="736"/>
    <w:next w:val="736"/>
    <w:uiPriority w:val="39"/>
    <w:unhideWhenUsed/>
    <w:qFormat/>
    <w:pPr>
      <w:ind w:left="1134"/>
      <w:spacing w:after="57"/>
    </w:pPr>
  </w:style>
  <w:style w:type="paragraph" w:styleId="754">
    <w:name w:val="toc 3"/>
    <w:basedOn w:val="736"/>
    <w:next w:val="736"/>
    <w:uiPriority w:val="39"/>
    <w:unhideWhenUsed/>
    <w:qFormat/>
    <w:pPr>
      <w:ind w:left="567"/>
      <w:spacing w:after="57"/>
    </w:pPr>
  </w:style>
  <w:style w:type="paragraph" w:styleId="755">
    <w:name w:val="Plain Text"/>
    <w:basedOn w:val="736"/>
    <w:uiPriority w:val="0"/>
    <w:qFormat/>
    <w:rPr>
      <w:rFonts w:ascii="宋体" w:hAnsi="Courier New" w:cs="Courier New"/>
    </w:rPr>
  </w:style>
  <w:style w:type="paragraph" w:styleId="756">
    <w:name w:val="toc 8"/>
    <w:basedOn w:val="736"/>
    <w:next w:val="736"/>
    <w:uiPriority w:val="39"/>
    <w:unhideWhenUsed/>
    <w:qFormat/>
    <w:pPr>
      <w:ind w:left="1984"/>
      <w:spacing w:after="57"/>
    </w:pPr>
  </w:style>
  <w:style w:type="paragraph" w:styleId="757">
    <w:name w:val="endnote text"/>
    <w:basedOn w:val="736"/>
    <w:link w:val="947"/>
    <w:uiPriority w:val="99"/>
    <w:semiHidden/>
    <w:unhideWhenUsed/>
    <w:qFormat/>
    <w:rPr>
      <w:sz w:val="20"/>
    </w:rPr>
  </w:style>
  <w:style w:type="paragraph" w:styleId="758">
    <w:name w:val="Footer"/>
    <w:basedOn w:val="736"/>
    <w:link w:val="839"/>
    <w:uiPriority w:val="99"/>
    <w:unhideWhenUsed/>
    <w:qFormat/>
    <w:pPr>
      <w:tabs>
        <w:tab w:val="center" w:pos="7143" w:leader="none"/>
        <w:tab w:val="right" w:pos="14287" w:leader="none"/>
      </w:tabs>
    </w:pPr>
  </w:style>
  <w:style w:type="paragraph" w:styleId="759">
    <w:name w:val="envelope return"/>
    <w:basedOn w:val="736"/>
    <w:uiPriority w:val="0"/>
    <w:qFormat/>
    <w:rPr>
      <w:rFonts w:ascii="Arial" w:hAnsi="Arial" w:eastAsia="楷体_GB2312"/>
      <w:sz w:val="26"/>
      <w:szCs w:val="20"/>
    </w:rPr>
  </w:style>
  <w:style w:type="paragraph" w:styleId="760">
    <w:name w:val="Header"/>
    <w:basedOn w:val="736"/>
    <w:link w:val="837"/>
    <w:uiPriority w:val="99"/>
    <w:unhideWhenUsed/>
    <w:qFormat/>
    <w:pPr>
      <w:tabs>
        <w:tab w:val="center" w:pos="7143" w:leader="none"/>
        <w:tab w:val="right" w:pos="14287" w:leader="none"/>
      </w:tabs>
    </w:pPr>
  </w:style>
  <w:style w:type="paragraph" w:styleId="761">
    <w:name w:val="toc 1"/>
    <w:basedOn w:val="736"/>
    <w:next w:val="736"/>
    <w:uiPriority w:val="39"/>
    <w:unhideWhenUsed/>
    <w:qFormat/>
    <w:pPr>
      <w:spacing w:after="57"/>
    </w:pPr>
  </w:style>
  <w:style w:type="paragraph" w:styleId="762">
    <w:name w:val="toc 4"/>
    <w:basedOn w:val="736"/>
    <w:next w:val="736"/>
    <w:uiPriority w:val="39"/>
    <w:unhideWhenUsed/>
    <w:qFormat/>
    <w:pPr>
      <w:ind w:left="850"/>
      <w:spacing w:after="57"/>
    </w:pPr>
  </w:style>
  <w:style w:type="paragraph" w:styleId="763">
    <w:name w:val="Subtitle"/>
    <w:basedOn w:val="736"/>
    <w:next w:val="736"/>
    <w:link w:val="832"/>
    <w:uiPriority w:val="11"/>
    <w:qFormat/>
    <w:pPr>
      <w:spacing w:before="200" w:after="200"/>
    </w:pPr>
    <w:rPr>
      <w:sz w:val="24"/>
      <w:szCs w:val="24"/>
    </w:rPr>
  </w:style>
  <w:style w:type="paragraph" w:styleId="764">
    <w:name w:val="footnote text"/>
    <w:basedOn w:val="736"/>
    <w:link w:val="946"/>
    <w:uiPriority w:val="99"/>
    <w:semiHidden/>
    <w:unhideWhenUsed/>
    <w:qFormat/>
    <w:pPr>
      <w:spacing w:after="40"/>
    </w:pPr>
    <w:rPr>
      <w:sz w:val="18"/>
    </w:rPr>
  </w:style>
  <w:style w:type="paragraph" w:styleId="765">
    <w:name w:val="toc 6"/>
    <w:basedOn w:val="736"/>
    <w:next w:val="736"/>
    <w:uiPriority w:val="39"/>
    <w:unhideWhenUsed/>
    <w:qFormat/>
    <w:pPr>
      <w:ind w:left="1417"/>
      <w:spacing w:after="57"/>
    </w:pPr>
  </w:style>
  <w:style w:type="paragraph" w:styleId="766">
    <w:name w:val="table of figures"/>
    <w:basedOn w:val="736"/>
    <w:next w:val="736"/>
    <w:uiPriority w:val="99"/>
    <w:unhideWhenUsed/>
    <w:qFormat/>
  </w:style>
  <w:style w:type="paragraph" w:styleId="767">
    <w:name w:val="toc 2"/>
    <w:basedOn w:val="736"/>
    <w:next w:val="736"/>
    <w:uiPriority w:val="39"/>
    <w:unhideWhenUsed/>
    <w:qFormat/>
    <w:pPr>
      <w:ind w:left="283"/>
      <w:spacing w:after="57"/>
    </w:pPr>
  </w:style>
  <w:style w:type="paragraph" w:styleId="768">
    <w:name w:val="toc 9"/>
    <w:basedOn w:val="736"/>
    <w:next w:val="736"/>
    <w:uiPriority w:val="39"/>
    <w:unhideWhenUsed/>
    <w:qFormat/>
    <w:pPr>
      <w:ind w:left="2268"/>
      <w:spacing w:after="57"/>
    </w:pPr>
  </w:style>
  <w:style w:type="paragraph" w:styleId="769">
    <w:name w:val="Normal (Web)"/>
    <w:basedOn w:val="736"/>
    <w:uiPriority w:val="99"/>
    <w:qFormat/>
    <w:pPr>
      <w:jc w:val="left"/>
      <w:spacing w:before="100" w:beforeAutospacing="1" w:after="100" w:afterAutospacing="1"/>
      <w:widowControl/>
    </w:pPr>
    <w:rPr>
      <w:rFonts w:ascii="宋体" w:hAnsi="宋体" w:cs="宋体"/>
      <w:sz w:val="24"/>
      <w:szCs w:val="24"/>
    </w:rPr>
  </w:style>
  <w:style w:type="paragraph" w:styleId="770">
    <w:name w:val="Title"/>
    <w:basedOn w:val="736"/>
    <w:next w:val="736"/>
    <w:link w:val="831"/>
    <w:uiPriority w:val="10"/>
    <w:qFormat/>
    <w:pPr>
      <w:contextualSpacing/>
      <w:spacing w:before="300" w:after="200"/>
    </w:pPr>
    <w:rPr>
      <w:sz w:val="48"/>
      <w:szCs w:val="48"/>
    </w:rPr>
  </w:style>
  <w:style w:type="paragraph" w:styleId="771">
    <w:name w:val="Body Text First Indent"/>
    <w:basedOn w:val="751"/>
    <w:uiPriority w:val="0"/>
    <w:qFormat/>
    <w:pPr>
      <w:ind w:firstLine="420"/>
      <w:spacing w:line="360" w:lineRule="auto"/>
    </w:pPr>
    <w:rPr>
      <w:rFonts w:ascii="Times New Roman" w:hAnsi="Times New Roman"/>
      <w:szCs w:val="21"/>
    </w:rPr>
  </w:style>
  <w:style w:type="table" w:styleId="77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Emphasis"/>
    <w:basedOn w:val="746"/>
    <w:uiPriority w:val="20"/>
    <w:qFormat/>
    <w:rPr>
      <w:i/>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table" w:styleId="777"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4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4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4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TOC 标题114"/>
    <w:uiPriority w:val="39"/>
    <w:unhideWhenUsed/>
    <w:qFormat/>
    <w:rPr>
      <w:rFonts w:ascii="Times New Roman" w:hAnsi="Times New Roman" w:eastAsia="宋体" w:cs="Times New Roman"/>
      <w:lang w:val="en-US" w:eastAsia="zh-CN" w:bidi="ar-SA"/>
    </w:rPr>
  </w:style>
  <w:style w:type="paragraph" w:styleId="798" w:customStyle="1">
    <w:name w:val="TOC 标题113"/>
    <w:uiPriority w:val="39"/>
    <w:unhideWhenUsed/>
    <w:qFormat/>
    <w:rPr>
      <w:rFonts w:ascii="Times New Roman" w:hAnsi="Times New Roman" w:eastAsia="宋体" w:cs="Times New Roman"/>
      <w:lang w:val="en-US" w:eastAsia="zh-CN" w:bidi="ar-SA"/>
    </w:rPr>
  </w:style>
  <w:style w:type="paragraph" w:styleId="799" w:customStyle="1">
    <w:name w:val="TOC 标题112"/>
    <w:uiPriority w:val="39"/>
    <w:unhideWhenUsed/>
    <w:qFormat/>
    <w:rPr>
      <w:rFonts w:ascii="Times New Roman" w:hAnsi="Times New Roman" w:eastAsia="宋体" w:cs="Times New Roman"/>
      <w:lang w:val="en-US" w:eastAsia="zh-CN" w:bidi="ar-SA"/>
    </w:rPr>
  </w:style>
  <w:style w:type="character" w:styleId="800" w:customStyle="1">
    <w:name w:val="Heading 1 Char"/>
    <w:basedOn w:val="746"/>
    <w:uiPriority w:val="9"/>
    <w:qFormat/>
    <w:rPr>
      <w:rFonts w:ascii="Arial" w:hAnsi="Arial" w:eastAsia="Arial" w:cs="Arial"/>
      <w:sz w:val="40"/>
      <w:szCs w:val="40"/>
    </w:rPr>
  </w:style>
  <w:style w:type="character" w:styleId="801" w:customStyle="1">
    <w:name w:val="Heading 2 Char"/>
    <w:basedOn w:val="746"/>
    <w:uiPriority w:val="9"/>
    <w:qFormat/>
    <w:rPr>
      <w:rFonts w:ascii="Arial" w:hAnsi="Arial" w:eastAsia="Arial" w:cs="Arial"/>
      <w:sz w:val="34"/>
    </w:rPr>
  </w:style>
  <w:style w:type="character" w:styleId="802" w:customStyle="1">
    <w:name w:val="Heading 3 Char"/>
    <w:basedOn w:val="746"/>
    <w:uiPriority w:val="9"/>
    <w:qFormat/>
    <w:rPr>
      <w:rFonts w:ascii="Arial" w:hAnsi="Arial" w:eastAsia="Arial" w:cs="Arial"/>
      <w:sz w:val="30"/>
      <w:szCs w:val="30"/>
    </w:rPr>
  </w:style>
  <w:style w:type="character" w:styleId="803" w:customStyle="1">
    <w:name w:val="Heading 4 Char"/>
    <w:basedOn w:val="746"/>
    <w:uiPriority w:val="9"/>
    <w:qFormat/>
    <w:rPr>
      <w:rFonts w:ascii="Arial" w:hAnsi="Arial" w:eastAsia="Arial" w:cs="Arial"/>
      <w:b/>
      <w:bCs/>
      <w:sz w:val="26"/>
      <w:szCs w:val="26"/>
    </w:rPr>
  </w:style>
  <w:style w:type="character" w:styleId="804" w:customStyle="1">
    <w:name w:val="Heading 5 Char"/>
    <w:basedOn w:val="746"/>
    <w:uiPriority w:val="9"/>
    <w:qFormat/>
    <w:rPr>
      <w:rFonts w:ascii="Arial" w:hAnsi="Arial" w:eastAsia="Arial" w:cs="Arial"/>
      <w:b/>
      <w:bCs/>
      <w:sz w:val="24"/>
      <w:szCs w:val="24"/>
    </w:rPr>
  </w:style>
  <w:style w:type="character" w:styleId="805" w:customStyle="1">
    <w:name w:val="Heading 6 Char"/>
    <w:basedOn w:val="746"/>
    <w:uiPriority w:val="9"/>
    <w:qFormat/>
    <w:rPr>
      <w:rFonts w:ascii="Arial" w:hAnsi="Arial" w:eastAsia="Arial" w:cs="Arial"/>
      <w:b/>
      <w:bCs/>
      <w:sz w:val="22"/>
      <w:szCs w:val="22"/>
    </w:rPr>
  </w:style>
  <w:style w:type="character" w:styleId="806" w:customStyle="1">
    <w:name w:val="Heading 7 Char"/>
    <w:basedOn w:val="746"/>
    <w:uiPriority w:val="9"/>
    <w:qFormat/>
    <w:rPr>
      <w:rFonts w:ascii="Arial" w:hAnsi="Arial" w:eastAsia="Arial" w:cs="Arial"/>
      <w:b/>
      <w:bCs/>
      <w:i/>
      <w:iCs/>
      <w:sz w:val="22"/>
      <w:szCs w:val="22"/>
    </w:rPr>
  </w:style>
  <w:style w:type="character" w:styleId="807" w:customStyle="1">
    <w:name w:val="Heading 8 Char"/>
    <w:basedOn w:val="746"/>
    <w:uiPriority w:val="9"/>
    <w:qFormat/>
    <w:rPr>
      <w:rFonts w:ascii="Arial" w:hAnsi="Arial" w:eastAsia="Arial" w:cs="Arial"/>
      <w:i/>
      <w:iCs/>
      <w:sz w:val="22"/>
      <w:szCs w:val="22"/>
    </w:rPr>
  </w:style>
  <w:style w:type="character" w:styleId="808" w:customStyle="1">
    <w:name w:val="Heading 9 Char"/>
    <w:basedOn w:val="746"/>
    <w:uiPriority w:val="9"/>
    <w:qFormat/>
    <w:rPr>
      <w:rFonts w:ascii="Arial" w:hAnsi="Arial" w:eastAsia="Arial" w:cs="Arial"/>
      <w:i/>
      <w:iCs/>
      <w:sz w:val="21"/>
      <w:szCs w:val="21"/>
    </w:rPr>
  </w:style>
  <w:style w:type="character" w:styleId="809" w:customStyle="1">
    <w:name w:val="Title Char"/>
    <w:basedOn w:val="746"/>
    <w:uiPriority w:val="10"/>
    <w:qFormat/>
    <w:rPr>
      <w:sz w:val="48"/>
      <w:szCs w:val="48"/>
    </w:rPr>
  </w:style>
  <w:style w:type="character" w:styleId="810" w:customStyle="1">
    <w:name w:val="Subtitle Char"/>
    <w:basedOn w:val="746"/>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46"/>
    <w:uiPriority w:val="99"/>
    <w:qFormat/>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ascii="Times New Roman" w:hAnsi="Times New Roman" w:eastAsia="宋体" w:cs="Times New Roman"/>
      <w:lang w:val="en-US" w:eastAsia="zh-CN" w:bidi="ar-SA"/>
    </w:rPr>
  </w:style>
  <w:style w:type="paragraph" w:styleId="818" w:customStyle="1">
    <w:name w:val="正文文本缩进1"/>
    <w:basedOn w:val="736"/>
    <w:link w:val="981"/>
    <w:uiPriority w:val="0"/>
    <w:qFormat/>
    <w:pPr>
      <w:ind w:firstLine="645"/>
    </w:pPr>
    <w:rPr>
      <w:rFonts w:ascii="楷体_GB2312" w:eastAsia="楷体_GB2312"/>
      <w:sz w:val="32"/>
      <w:szCs w:val="32"/>
      <w:lang w:eastAsia="en-US"/>
    </w:rPr>
  </w:style>
  <w:style w:type="paragraph" w:styleId="8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20" w:customStyle="1">
    <w:name w:val="标题 1 字符"/>
    <w:link w:val="737"/>
    <w:uiPriority w:val="9"/>
    <w:qFormat/>
    <w:rPr>
      <w:rFonts w:ascii="Arial" w:hAnsi="Arial" w:eastAsia="Arial" w:cs="Arial"/>
      <w:sz w:val="40"/>
      <w:szCs w:val="40"/>
    </w:rPr>
  </w:style>
  <w:style w:type="character" w:styleId="821" w:customStyle="1">
    <w:name w:val="标题 2 字符"/>
    <w:link w:val="738"/>
    <w:uiPriority w:val="9"/>
    <w:qFormat/>
    <w:rPr>
      <w:rFonts w:ascii="Arial" w:hAnsi="Arial" w:eastAsia="Arial" w:cs="Arial"/>
      <w:sz w:val="34"/>
    </w:rPr>
  </w:style>
  <w:style w:type="character" w:styleId="822" w:customStyle="1">
    <w:name w:val="标题 3 字符"/>
    <w:link w:val="739"/>
    <w:uiPriority w:val="9"/>
    <w:qFormat/>
    <w:rPr>
      <w:rFonts w:ascii="Arial" w:hAnsi="Arial" w:eastAsia="Arial" w:cs="Arial"/>
      <w:sz w:val="30"/>
      <w:szCs w:val="30"/>
    </w:rPr>
  </w:style>
  <w:style w:type="character" w:styleId="823" w:customStyle="1">
    <w:name w:val="标题 4 字符"/>
    <w:link w:val="740"/>
    <w:uiPriority w:val="9"/>
    <w:qFormat/>
    <w:rPr>
      <w:rFonts w:ascii="Arial" w:hAnsi="Arial" w:eastAsia="Arial" w:cs="Arial"/>
      <w:b/>
      <w:bCs/>
      <w:sz w:val="26"/>
      <w:szCs w:val="26"/>
    </w:rPr>
  </w:style>
  <w:style w:type="character" w:styleId="824" w:customStyle="1">
    <w:name w:val="标题 5 字符"/>
    <w:link w:val="741"/>
    <w:uiPriority w:val="9"/>
    <w:qFormat/>
    <w:rPr>
      <w:rFonts w:ascii="Arial" w:hAnsi="Arial" w:eastAsia="Arial" w:cs="Arial"/>
      <w:b/>
      <w:bCs/>
      <w:sz w:val="24"/>
      <w:szCs w:val="24"/>
    </w:rPr>
  </w:style>
  <w:style w:type="character" w:styleId="825" w:customStyle="1">
    <w:name w:val="标题 6 字符"/>
    <w:link w:val="742"/>
    <w:uiPriority w:val="9"/>
    <w:qFormat/>
    <w:rPr>
      <w:rFonts w:ascii="Arial" w:hAnsi="Arial" w:eastAsia="Arial" w:cs="Arial"/>
      <w:b/>
      <w:bCs/>
      <w:sz w:val="22"/>
      <w:szCs w:val="22"/>
    </w:rPr>
  </w:style>
  <w:style w:type="character" w:styleId="826" w:customStyle="1">
    <w:name w:val="标题 7 字符"/>
    <w:link w:val="743"/>
    <w:uiPriority w:val="9"/>
    <w:qFormat/>
    <w:rPr>
      <w:rFonts w:ascii="Arial" w:hAnsi="Arial" w:eastAsia="Arial" w:cs="Arial"/>
      <w:b/>
      <w:bCs/>
      <w:i/>
      <w:iCs/>
      <w:sz w:val="22"/>
      <w:szCs w:val="22"/>
    </w:rPr>
  </w:style>
  <w:style w:type="character" w:styleId="827" w:customStyle="1">
    <w:name w:val="标题 8 字符"/>
    <w:link w:val="744"/>
    <w:uiPriority w:val="9"/>
    <w:qFormat/>
    <w:rPr>
      <w:rFonts w:ascii="Arial" w:hAnsi="Arial" w:eastAsia="Arial" w:cs="Arial"/>
      <w:i/>
      <w:iCs/>
      <w:sz w:val="22"/>
      <w:szCs w:val="22"/>
    </w:rPr>
  </w:style>
  <w:style w:type="character" w:styleId="828" w:customStyle="1">
    <w:name w:val="标题 9 字符"/>
    <w:link w:val="745"/>
    <w:uiPriority w:val="9"/>
    <w:qFormat/>
    <w:rPr>
      <w:rFonts w:ascii="Arial" w:hAnsi="Arial" w:eastAsia="Arial" w:cs="Arial"/>
      <w:i/>
      <w:iCs/>
      <w:sz w:val="21"/>
      <w:szCs w:val="21"/>
    </w:rPr>
  </w:style>
  <w:style w:type="paragraph" w:styleId="829">
    <w:name w:val="List Paragraph"/>
    <w:basedOn w:val="736"/>
    <w:next w:val="750"/>
    <w:uiPriority w:val="34"/>
    <w:qFormat/>
    <w:pPr>
      <w:contextualSpacing/>
      <w:ind w:left="720"/>
    </w:pPr>
  </w:style>
  <w:style w:type="paragraph" w:styleId="830">
    <w:name w:val="No Spacing"/>
    <w:uiPriority w:val="1"/>
    <w:qFormat/>
    <w:rPr>
      <w:rFonts w:ascii="Calibri" w:hAnsi="Calibri" w:eastAsia="宋体" w:cs="Times New Roman"/>
      <w:lang w:val="en-US" w:eastAsia="zh-CN" w:bidi="ar-SA"/>
    </w:rPr>
  </w:style>
  <w:style w:type="character" w:styleId="831" w:customStyle="1">
    <w:name w:val="标题 字符"/>
    <w:link w:val="770"/>
    <w:uiPriority w:val="10"/>
    <w:qFormat/>
    <w:rPr>
      <w:sz w:val="48"/>
      <w:szCs w:val="48"/>
    </w:rPr>
  </w:style>
  <w:style w:type="character" w:styleId="832" w:customStyle="1">
    <w:name w:val="副标题 字符"/>
    <w:link w:val="763"/>
    <w:uiPriority w:val="11"/>
    <w:qFormat/>
    <w:rPr>
      <w:sz w:val="24"/>
      <w:szCs w:val="24"/>
    </w:rPr>
  </w:style>
  <w:style w:type="paragraph" w:styleId="833">
    <w:name w:val="Quote"/>
    <w:basedOn w:val="736"/>
    <w:next w:val="736"/>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36"/>
    <w:next w:val="736"/>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页眉 字符"/>
    <w:link w:val="760"/>
    <w:uiPriority w:val="99"/>
    <w:qFormat/>
  </w:style>
  <w:style w:type="character" w:styleId="838" w:customStyle="1">
    <w:name w:val="Footer Char"/>
    <w:uiPriority w:val="99"/>
    <w:qFormat/>
  </w:style>
  <w:style w:type="character" w:styleId="839" w:customStyle="1">
    <w:name w:val="页脚 字符"/>
    <w:link w:val="758"/>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64"/>
    <w:uiPriority w:val="99"/>
    <w:qFormat/>
    <w:rPr>
      <w:sz w:val="18"/>
    </w:rPr>
  </w:style>
  <w:style w:type="character" w:styleId="947" w:customStyle="1">
    <w:name w:val="尾注文本 字符"/>
    <w:link w:val="757"/>
    <w:uiPriority w:val="99"/>
    <w:qFormat/>
    <w:rPr>
      <w:sz w:val="20"/>
    </w:rPr>
  </w:style>
  <w:style w:type="paragraph" w:styleId="948" w:customStyle="1">
    <w:name w:val="TOC 标题11"/>
    <w:uiPriority w:val="39"/>
    <w:unhideWhenUsed/>
    <w:qFormat/>
    <w:rPr>
      <w:rFonts w:ascii="Calibri" w:hAnsi="Calibri" w:eastAsia="宋体" w:cs="Times New Roman"/>
      <w:lang w:val="en-US" w:eastAsia="zh-CN" w:bidi="ar-SA"/>
    </w:rPr>
  </w:style>
  <w:style w:type="paragraph" w:styleId="949" w:customStyle="1">
    <w:name w:val="标题 11"/>
    <w:basedOn w:val="736"/>
    <w:next w:val="736"/>
    <w:link w:val="961"/>
    <w:uiPriority w:val="0"/>
    <w:qFormat/>
    <w:pPr>
      <w:jc w:val="center"/>
      <w:keepNext/>
      <w:outlineLvl w:val="0"/>
    </w:pPr>
    <w:rPr>
      <w:rFonts w:ascii="楷体_GB2312" w:eastAsia="楷体_GB2312"/>
      <w:sz w:val="28"/>
      <w:szCs w:val="28"/>
      <w:lang w:eastAsia="en-US"/>
    </w:rPr>
  </w:style>
  <w:style w:type="paragraph" w:styleId="950" w:customStyle="1">
    <w:name w:val="标题 21"/>
    <w:basedOn w:val="736"/>
    <w:next w:val="951"/>
    <w:link w:val="96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1" w:customStyle="1">
    <w:name w:val="正文缩进1"/>
    <w:basedOn w:val="736"/>
    <w:link w:val="963"/>
    <w:uiPriority w:val="0"/>
    <w:qFormat/>
    <w:pPr>
      <w:ind w:firstLine="420"/>
    </w:pPr>
    <w:rPr>
      <w:sz w:val="20"/>
      <w:lang w:eastAsia="en-US"/>
    </w:rPr>
  </w:style>
  <w:style w:type="paragraph" w:styleId="952" w:customStyle="1">
    <w:name w:val="标题 31"/>
    <w:basedOn w:val="736"/>
    <w:next w:val="951"/>
    <w:link w:val="964"/>
    <w:uiPriority w:val="0"/>
    <w:qFormat/>
    <w:pPr>
      <w:keepLines/>
      <w:keepNext/>
      <w:spacing w:before="260" w:after="260" w:line="416" w:lineRule="auto"/>
      <w:outlineLvl w:val="2"/>
    </w:pPr>
    <w:rPr>
      <w:b/>
      <w:bCs/>
      <w:sz w:val="32"/>
      <w:szCs w:val="32"/>
      <w:lang w:eastAsia="en-US"/>
    </w:rPr>
  </w:style>
  <w:style w:type="paragraph" w:styleId="953" w:customStyle="1">
    <w:name w:val="标题 41"/>
    <w:basedOn w:val="736"/>
    <w:next w:val="951"/>
    <w:link w:val="965"/>
    <w:uiPriority w:val="0"/>
    <w:qFormat/>
    <w:pPr>
      <w:keepLines/>
      <w:keepNext/>
      <w:spacing w:before="280" w:after="290" w:line="376" w:lineRule="auto"/>
      <w:outlineLvl w:val="3"/>
    </w:pPr>
    <w:rPr>
      <w:rFonts w:ascii="Arial" w:hAnsi="Arial" w:eastAsia="黑体"/>
      <w:b/>
      <w:bCs/>
      <w:sz w:val="28"/>
      <w:szCs w:val="28"/>
      <w:lang w:eastAsia="en-US"/>
    </w:rPr>
  </w:style>
  <w:style w:type="paragraph" w:styleId="954" w:customStyle="1">
    <w:name w:val="标题 51"/>
    <w:basedOn w:val="736"/>
    <w:next w:val="951"/>
    <w:link w:val="966"/>
    <w:uiPriority w:val="0"/>
    <w:qFormat/>
    <w:pPr>
      <w:keepNext/>
      <w:outlineLvl w:val="4"/>
    </w:pPr>
    <w:rPr>
      <w:rFonts w:ascii="宋体"/>
      <w:color w:val="000000"/>
      <w:sz w:val="28"/>
      <w:szCs w:val="28"/>
      <w:lang w:eastAsia="en-US"/>
    </w:rPr>
  </w:style>
  <w:style w:type="paragraph" w:styleId="955" w:customStyle="1">
    <w:name w:val="标题 61"/>
    <w:basedOn w:val="736"/>
    <w:next w:val="736"/>
    <w:link w:val="96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6" w:customStyle="1">
    <w:name w:val="标题 71"/>
    <w:basedOn w:val="736"/>
    <w:next w:val="736"/>
    <w:link w:val="968"/>
    <w:uiPriority w:val="0"/>
    <w:qFormat/>
    <w:pPr>
      <w:numPr>
        <w:ilvl w:val="6"/>
        <w:numId w:val="1"/>
      </w:numPr>
      <w:keepLines/>
      <w:keepNext/>
      <w:spacing w:before="240" w:after="64" w:line="320" w:lineRule="auto"/>
      <w:outlineLvl w:val="6"/>
    </w:pPr>
    <w:rPr>
      <w:b/>
      <w:bCs/>
      <w:sz w:val="24"/>
      <w:szCs w:val="24"/>
      <w:lang w:eastAsia="en-US"/>
    </w:rPr>
  </w:style>
  <w:style w:type="paragraph" w:styleId="957" w:customStyle="1">
    <w:name w:val="标题 81"/>
    <w:basedOn w:val="736"/>
    <w:next w:val="736"/>
    <w:link w:val="96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8" w:customStyle="1">
    <w:name w:val="标题 91"/>
    <w:basedOn w:val="736"/>
    <w:next w:val="736"/>
    <w:link w:val="97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标题 1 Char"/>
    <w:link w:val="949"/>
    <w:uiPriority w:val="0"/>
    <w:qFormat/>
    <w:rPr>
      <w:rFonts w:ascii="楷体_GB2312" w:hAnsi="Times New Roman" w:eastAsia="楷体_GB2312" w:cs="Times New Roman"/>
      <w:sz w:val="28"/>
      <w:szCs w:val="28"/>
    </w:rPr>
  </w:style>
  <w:style w:type="character" w:styleId="962" w:customStyle="1">
    <w:name w:val="标题 2 Char"/>
    <w:link w:val="950"/>
    <w:uiPriority w:val="0"/>
    <w:qFormat/>
    <w:rPr>
      <w:rFonts w:ascii="Arial" w:hAnsi="Arial" w:eastAsia="幼圆" w:cs="Arial"/>
      <w:b/>
      <w:bCs/>
      <w:sz w:val="44"/>
      <w:szCs w:val="44"/>
    </w:rPr>
  </w:style>
  <w:style w:type="character" w:styleId="963" w:customStyle="1">
    <w:name w:val="正文缩进 Char"/>
    <w:link w:val="951"/>
    <w:uiPriority w:val="0"/>
    <w:qFormat/>
    <w:rPr>
      <w:rFonts w:ascii="Times New Roman" w:hAnsi="Times New Roman" w:eastAsia="宋体" w:cs="Times New Roman"/>
      <w:szCs w:val="21"/>
    </w:rPr>
  </w:style>
  <w:style w:type="character" w:styleId="964" w:customStyle="1">
    <w:name w:val="标题 3 Char"/>
    <w:link w:val="952"/>
    <w:uiPriority w:val="0"/>
    <w:qFormat/>
    <w:rPr>
      <w:rFonts w:ascii="Times New Roman" w:hAnsi="Times New Roman" w:eastAsia="宋体" w:cs="Times New Roman"/>
      <w:b/>
      <w:bCs/>
      <w:sz w:val="32"/>
      <w:szCs w:val="32"/>
    </w:rPr>
  </w:style>
  <w:style w:type="character" w:styleId="965" w:customStyle="1">
    <w:name w:val="标题 4 Char"/>
    <w:link w:val="953"/>
    <w:uiPriority w:val="0"/>
    <w:qFormat/>
    <w:rPr>
      <w:rFonts w:ascii="Arial" w:hAnsi="Arial" w:eastAsia="黑体" w:cs="Arial"/>
      <w:b/>
      <w:bCs/>
      <w:sz w:val="28"/>
      <w:szCs w:val="28"/>
    </w:rPr>
  </w:style>
  <w:style w:type="character" w:styleId="966" w:customStyle="1">
    <w:name w:val="标题 5 Char"/>
    <w:link w:val="954"/>
    <w:uiPriority w:val="0"/>
    <w:qFormat/>
    <w:rPr>
      <w:rFonts w:ascii="宋体" w:hAnsi="Times New Roman" w:eastAsia="宋体" w:cs="Times New Roman"/>
      <w:color w:val="000000"/>
      <w:sz w:val="28"/>
      <w:szCs w:val="28"/>
    </w:rPr>
  </w:style>
  <w:style w:type="character" w:styleId="967" w:customStyle="1">
    <w:name w:val="标题 6 Char"/>
    <w:link w:val="955"/>
    <w:uiPriority w:val="0"/>
    <w:qFormat/>
    <w:rPr>
      <w:rFonts w:ascii="Arial" w:hAnsi="Arial" w:eastAsia="黑体" w:cs="Times New Roman"/>
      <w:b/>
      <w:bCs/>
      <w:sz w:val="24"/>
      <w:szCs w:val="24"/>
    </w:rPr>
  </w:style>
  <w:style w:type="character" w:styleId="968" w:customStyle="1">
    <w:name w:val="标题 7 Char"/>
    <w:link w:val="956"/>
    <w:uiPriority w:val="0"/>
    <w:qFormat/>
    <w:rPr>
      <w:rFonts w:ascii="Times New Roman" w:hAnsi="Times New Roman" w:eastAsia="宋体" w:cs="Times New Roman"/>
      <w:b/>
      <w:bCs/>
      <w:sz w:val="24"/>
      <w:szCs w:val="24"/>
    </w:rPr>
  </w:style>
  <w:style w:type="character" w:styleId="969" w:customStyle="1">
    <w:name w:val="标题 8 Char"/>
    <w:link w:val="957"/>
    <w:uiPriority w:val="0"/>
    <w:qFormat/>
    <w:rPr>
      <w:rFonts w:ascii="Arial" w:hAnsi="Arial" w:eastAsia="黑体" w:cs="Times New Roman"/>
      <w:sz w:val="24"/>
      <w:szCs w:val="24"/>
    </w:rPr>
  </w:style>
  <w:style w:type="character" w:styleId="970" w:customStyle="1">
    <w:name w:val="标题 9 Char"/>
    <w:link w:val="958"/>
    <w:uiPriority w:val="0"/>
    <w:qFormat/>
    <w:rPr>
      <w:rFonts w:ascii="Arial" w:hAnsi="Arial" w:eastAsia="黑体" w:cs="Times New Roman"/>
      <w:szCs w:val="21"/>
    </w:rPr>
  </w:style>
  <w:style w:type="paragraph" w:styleId="971" w:customStyle="1">
    <w:name w:val="列表 31"/>
    <w:basedOn w:val="736"/>
    <w:uiPriority w:val="0"/>
    <w:qFormat/>
    <w:pPr>
      <w:ind w:left="100" w:hanging="200"/>
    </w:pPr>
  </w:style>
  <w:style w:type="paragraph" w:styleId="972" w:customStyle="1">
    <w:name w:val="目录 71"/>
    <w:basedOn w:val="736"/>
    <w:next w:val="736"/>
    <w:uiPriority w:val="0"/>
    <w:semiHidden/>
    <w:qFormat/>
    <w:pPr>
      <w:ind w:left="1260"/>
      <w:jc w:val="left"/>
    </w:pPr>
  </w:style>
  <w:style w:type="paragraph" w:styleId="973" w:customStyle="1">
    <w:name w:val="文档结构图1"/>
    <w:basedOn w:val="736"/>
    <w:link w:val="974"/>
    <w:uiPriority w:val="0"/>
    <w:semiHidden/>
    <w:qFormat/>
    <w:pPr>
      <w:shd w:val="clear" w:color="auto" w:fill="000080"/>
    </w:pPr>
    <w:rPr>
      <w:sz w:val="20"/>
      <w:lang w:eastAsia="en-US"/>
    </w:rPr>
  </w:style>
  <w:style w:type="character" w:styleId="974" w:customStyle="1">
    <w:name w:val="文档结构图 Char"/>
    <w:link w:val="973"/>
    <w:uiPriority w:val="0"/>
    <w:semiHidden/>
    <w:qFormat/>
    <w:rPr>
      <w:rFonts w:ascii="Times New Roman" w:hAnsi="Times New Roman" w:eastAsia="宋体" w:cs="Times New Roman"/>
      <w:szCs w:val="21"/>
      <w:shd w:val="clear" w:color="auto" w:fill="000080"/>
    </w:rPr>
  </w:style>
  <w:style w:type="paragraph" w:styleId="975" w:customStyle="1">
    <w:name w:val="批注文字1"/>
    <w:basedOn w:val="736"/>
    <w:link w:val="976"/>
    <w:uiPriority w:val="0"/>
    <w:semiHidden/>
    <w:qFormat/>
    <w:pPr>
      <w:jc w:val="left"/>
    </w:pPr>
    <w:rPr>
      <w:sz w:val="20"/>
      <w:lang w:eastAsia="en-US"/>
    </w:rPr>
  </w:style>
  <w:style w:type="character" w:styleId="976" w:customStyle="1">
    <w:name w:val="批注文字 Char"/>
    <w:link w:val="975"/>
    <w:uiPriority w:val="0"/>
    <w:semiHidden/>
    <w:qFormat/>
    <w:rPr>
      <w:rFonts w:ascii="Times New Roman" w:hAnsi="Times New Roman" w:eastAsia="宋体" w:cs="Times New Roman"/>
      <w:szCs w:val="21"/>
    </w:rPr>
  </w:style>
  <w:style w:type="paragraph" w:styleId="977" w:customStyle="1">
    <w:name w:val="正文文本 31"/>
    <w:basedOn w:val="736"/>
    <w:link w:val="978"/>
    <w:uiPriority w:val="0"/>
    <w:qFormat/>
    <w:rPr>
      <w:rFonts w:ascii="仿宋_GB2312" w:hAnsi="Arial" w:eastAsia="仿宋_GB2312"/>
      <w:sz w:val="32"/>
      <w:szCs w:val="32"/>
      <w:lang w:eastAsia="en-US"/>
    </w:rPr>
  </w:style>
  <w:style w:type="character" w:styleId="978" w:customStyle="1">
    <w:name w:val="正文文本 3 Char"/>
    <w:link w:val="977"/>
    <w:uiPriority w:val="0"/>
    <w:qFormat/>
    <w:rPr>
      <w:rFonts w:ascii="仿宋_GB2312" w:hAnsi="Arial" w:eastAsia="仿宋_GB2312" w:cs="Times New Roman"/>
      <w:sz w:val="32"/>
      <w:szCs w:val="32"/>
    </w:rPr>
  </w:style>
  <w:style w:type="paragraph" w:styleId="979" w:customStyle="1">
    <w:name w:val="正文文本1"/>
    <w:basedOn w:val="736"/>
    <w:link w:val="980"/>
    <w:uiPriority w:val="0"/>
    <w:qFormat/>
    <w:rPr>
      <w:rFonts w:ascii="楷体_GB2312" w:hAnsi="Arial" w:eastAsia="楷体_GB2312"/>
      <w:sz w:val="28"/>
      <w:szCs w:val="28"/>
      <w:lang w:eastAsia="en-US"/>
    </w:rPr>
  </w:style>
  <w:style w:type="character" w:styleId="980" w:customStyle="1">
    <w:name w:val="正文文本 Char"/>
    <w:link w:val="979"/>
    <w:uiPriority w:val="0"/>
    <w:qFormat/>
    <w:rPr>
      <w:rFonts w:ascii="楷体_GB2312" w:hAnsi="Arial" w:eastAsia="楷体_GB2312" w:cs="Times New Roman"/>
      <w:sz w:val="28"/>
      <w:szCs w:val="28"/>
    </w:rPr>
  </w:style>
  <w:style w:type="character" w:styleId="981" w:customStyle="1">
    <w:name w:val="正文文本缩进 Char"/>
    <w:link w:val="818"/>
    <w:uiPriority w:val="0"/>
    <w:qFormat/>
    <w:rPr>
      <w:rFonts w:ascii="楷体_GB2312" w:hAnsi="Times New Roman" w:eastAsia="楷体_GB2312" w:cs="Times New Roman"/>
      <w:sz w:val="32"/>
      <w:szCs w:val="32"/>
    </w:rPr>
  </w:style>
  <w:style w:type="paragraph" w:styleId="982" w:customStyle="1">
    <w:name w:val="列表 21"/>
    <w:basedOn w:val="736"/>
    <w:uiPriority w:val="0"/>
    <w:qFormat/>
    <w:pPr>
      <w:ind w:left="100" w:hanging="200"/>
    </w:pPr>
  </w:style>
  <w:style w:type="paragraph" w:styleId="983" w:customStyle="1">
    <w:name w:val="目录 51"/>
    <w:basedOn w:val="736"/>
    <w:next w:val="736"/>
    <w:uiPriority w:val="0"/>
    <w:semiHidden/>
    <w:qFormat/>
    <w:pPr>
      <w:ind w:left="840"/>
      <w:jc w:val="left"/>
    </w:pPr>
  </w:style>
  <w:style w:type="paragraph" w:styleId="984" w:customStyle="1">
    <w:name w:val="目录 31"/>
    <w:basedOn w:val="736"/>
    <w:next w:val="736"/>
    <w:uiPriority w:val="0"/>
    <w:semiHidden/>
    <w:qFormat/>
    <w:pPr>
      <w:ind w:left="420"/>
      <w:jc w:val="left"/>
    </w:pPr>
    <w:rPr>
      <w:i/>
      <w:iCs/>
      <w:szCs w:val="24"/>
    </w:rPr>
  </w:style>
  <w:style w:type="paragraph" w:styleId="985" w:customStyle="1">
    <w:name w:val="纯文本1"/>
    <w:basedOn w:val="736"/>
    <w:link w:val="986"/>
    <w:uiPriority w:val="0"/>
    <w:qFormat/>
    <w:rPr>
      <w:rFonts w:ascii="宋体" w:hAnsi="Courier New"/>
      <w:sz w:val="20"/>
      <w:lang w:eastAsia="en-US"/>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36"/>
    <w:next w:val="736"/>
    <w:uiPriority w:val="0"/>
    <w:semiHidden/>
    <w:qFormat/>
    <w:pPr>
      <w:ind w:left="1470"/>
      <w:jc w:val="left"/>
    </w:pPr>
  </w:style>
  <w:style w:type="paragraph" w:styleId="988" w:customStyle="1">
    <w:name w:val="日期1"/>
    <w:basedOn w:val="736"/>
    <w:next w:val="736"/>
    <w:link w:val="989"/>
    <w:uiPriority w:val="0"/>
    <w:qFormat/>
    <w:rPr>
      <w:sz w:val="24"/>
      <w:szCs w:val="24"/>
      <w:lang w:eastAsia="en-US"/>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36"/>
    <w:link w:val="991"/>
    <w:uiPriority w:val="0"/>
    <w:qFormat/>
    <w:pPr>
      <w:ind w:left="630" w:firstLine="645"/>
    </w:pPr>
    <w:rPr>
      <w:rFonts w:ascii="Arial" w:hAnsi="Arial" w:eastAsia="仿宋_GB2312"/>
      <w:sz w:val="32"/>
      <w:szCs w:val="32"/>
      <w:lang w:eastAsia="en-US"/>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36"/>
    <w:link w:val="993"/>
    <w:uiPriority w:val="0"/>
    <w:qFormat/>
    <w:rPr>
      <w:sz w:val="18"/>
      <w:szCs w:val="18"/>
      <w:lang w:eastAsia="en-US"/>
    </w:rPr>
  </w:style>
  <w:style w:type="character" w:styleId="993" w:customStyle="1">
    <w:name w:val="批注框文本 Char"/>
    <w:link w:val="992"/>
    <w:uiPriority w:val="0"/>
    <w:qFormat/>
    <w:rPr>
      <w:rFonts w:ascii="Times New Roman" w:hAnsi="Times New Roman" w:eastAsia="宋体" w:cs="Times New Roman"/>
      <w:sz w:val="18"/>
      <w:szCs w:val="18"/>
    </w:rPr>
  </w:style>
  <w:style w:type="paragraph" w:styleId="994" w:customStyle="1">
    <w:name w:val="页脚1"/>
    <w:basedOn w:val="736"/>
    <w:link w:val="995"/>
    <w:uiPriority w:val="0"/>
    <w:qFormat/>
    <w:pPr>
      <w:jc w:val="left"/>
      <w:tabs>
        <w:tab w:val="center" w:pos="4153" w:leader="none"/>
        <w:tab w:val="right" w:pos="8306" w:leader="none"/>
      </w:tabs>
    </w:pPr>
    <w:rPr>
      <w:sz w:val="18"/>
      <w:szCs w:val="18"/>
      <w:lang w:eastAsia="en-US"/>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36"/>
    <w:link w:val="99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999" w:customStyle="1">
    <w:name w:val="目录 41"/>
    <w:basedOn w:val="736"/>
    <w:next w:val="736"/>
    <w:uiPriority w:val="0"/>
    <w:semiHidden/>
    <w:qFormat/>
    <w:pPr>
      <w:ind w:left="630"/>
      <w:jc w:val="left"/>
    </w:pPr>
  </w:style>
  <w:style w:type="paragraph" w:styleId="1000" w:customStyle="1">
    <w:name w:val="列表1"/>
    <w:basedOn w:val="736"/>
    <w:uiPriority w:val="0"/>
    <w:qFormat/>
    <w:pPr>
      <w:ind w:left="200" w:hanging="200"/>
    </w:pPr>
  </w:style>
  <w:style w:type="paragraph" w:styleId="1001" w:customStyle="1">
    <w:name w:val="目录 61"/>
    <w:basedOn w:val="736"/>
    <w:next w:val="736"/>
    <w:uiPriority w:val="0"/>
    <w:semiHidden/>
    <w:qFormat/>
    <w:pPr>
      <w:ind w:left="1050"/>
      <w:jc w:val="left"/>
    </w:pPr>
  </w:style>
  <w:style w:type="paragraph" w:styleId="1002" w:customStyle="1">
    <w:name w:val="正文文本缩进 31"/>
    <w:basedOn w:val="736"/>
    <w:link w:val="1003"/>
    <w:uiPriority w:val="0"/>
    <w:qFormat/>
    <w:pPr>
      <w:ind w:left="645" w:firstLine="645"/>
    </w:pPr>
    <w:rPr>
      <w:rFonts w:ascii="Arial" w:hAnsi="Arial" w:eastAsia="仿宋_GB2312"/>
      <w:color w:val="ffff00"/>
      <w:sz w:val="32"/>
      <w:szCs w:val="32"/>
      <w:lang w:eastAsia="en-US"/>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36"/>
    <w:next w:val="736"/>
    <w:uiPriority w:val="0"/>
    <w:semiHidden/>
    <w:qFormat/>
    <w:pPr>
      <w:ind w:left="840" w:hanging="420"/>
    </w:pPr>
  </w:style>
  <w:style w:type="paragraph" w:styleId="1005" w:customStyle="1">
    <w:name w:val="目录 21"/>
    <w:basedOn w:val="736"/>
    <w:next w:val="736"/>
    <w:uiPriority w:val="0"/>
    <w:semiHidden/>
    <w:qFormat/>
    <w:pPr>
      <w:ind w:left="210"/>
      <w:jc w:val="left"/>
    </w:pPr>
    <w:rPr>
      <w:smallCaps/>
      <w:szCs w:val="24"/>
    </w:rPr>
  </w:style>
  <w:style w:type="paragraph" w:styleId="1006" w:customStyle="1">
    <w:name w:val="目录 91"/>
    <w:basedOn w:val="736"/>
    <w:next w:val="736"/>
    <w:uiPriority w:val="0"/>
    <w:semiHidden/>
    <w:qFormat/>
    <w:pPr>
      <w:ind w:left="1680"/>
      <w:jc w:val="left"/>
    </w:pPr>
  </w:style>
  <w:style w:type="paragraph" w:styleId="1007" w:customStyle="1">
    <w:name w:val="正文文本 21"/>
    <w:basedOn w:val="736"/>
    <w:link w:val="1008"/>
    <w:uiPriority w:val="0"/>
    <w:qFormat/>
    <w:pPr>
      <w:jc w:val="center"/>
      <w:widowControl/>
    </w:pPr>
    <w:rPr>
      <w:rFonts w:ascii="楷体_GB2312" w:eastAsia="楷体_GB2312"/>
      <w:sz w:val="28"/>
      <w:szCs w:val="28"/>
      <w:lang w:eastAsia="en-US"/>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36"/>
    <w:next w:val="736"/>
    <w:uiPriority w:val="0"/>
    <w:semiHidden/>
    <w:qFormat/>
    <w:pPr>
      <w:spacing w:line="240" w:lineRule="atLeast"/>
    </w:pPr>
    <w:rPr>
      <w:b/>
      <w:bCs/>
    </w:rPr>
  </w:style>
  <w:style w:type="paragraph" w:styleId="1011" w:customStyle="1">
    <w:name w:val="批注主题1"/>
    <w:basedOn w:val="975"/>
    <w:next w:val="975"/>
    <w:link w:val="1012"/>
    <w:uiPriority w:val="0"/>
    <w:semiHidden/>
    <w:qFormat/>
    <w:rPr>
      <w:b/>
      <w:bC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1"/>
    <w:basedOn w:val="979"/>
    <w:link w:val="1014"/>
    <w:uiPriority w:val="0"/>
    <w:qFormat/>
    <w:pPr>
      <w:ind w:firstLine="200"/>
      <w:spacing w:line="360" w:lineRule="auto"/>
    </w:pPr>
    <w:rPr>
      <w:rFonts w:ascii="仿宋_GB2312" w:eastAsia="仿宋_GB2312"/>
      <w:sz w:val="30"/>
      <w:szCs w:val="30"/>
    </w:rPr>
  </w:style>
  <w:style w:type="character" w:styleId="1014" w:customStyle="1">
    <w:name w:val="正文首行缩进 Char"/>
    <w:link w:val="1013"/>
    <w:uiPriority w:val="0"/>
    <w:qFormat/>
    <w:rPr>
      <w:rFonts w:ascii="仿宋_GB2312" w:hAnsi="Times New Roman" w:eastAsia="仿宋_GB2312" w:cs="Times New Roman"/>
      <w:sz w:val="30"/>
      <w:szCs w:val="30"/>
    </w:rPr>
  </w:style>
  <w:style w:type="paragraph" w:styleId="1015" w:customStyle="1">
    <w:name w:val="正文首行缩进 21"/>
    <w:basedOn w:val="818"/>
    <w:link w:val="1016"/>
    <w:uiPriority w:val="0"/>
    <w:qFormat/>
    <w:pPr>
      <w:ind w:firstLine="420"/>
      <w:spacing w:line="360" w:lineRule="auto"/>
    </w:pPr>
    <w:rPr>
      <w:rFonts w:ascii="宋体" w:hAnsi="宋体" w:eastAsia="宋体"/>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60"/>
    <w:uiPriority w:val="0"/>
    <w:qFormat/>
    <w:pPr>
      <w:jc w:val="both"/>
      <w:widowControl w:val="off"/>
    </w:pPr>
    <w:tblPr/>
  </w:style>
  <w:style w:type="character" w:styleId="1018" w:customStyle="1">
    <w:name w:val="要点1"/>
    <w:uiPriority w:val="0"/>
    <w:qFormat/>
    <w:rPr>
      <w:b/>
      <w:bCs/>
    </w:rPr>
  </w:style>
  <w:style w:type="character" w:styleId="1019" w:customStyle="1">
    <w:name w:val="页码1"/>
    <w:uiPriority w:val="0"/>
    <w:qFormat/>
  </w:style>
  <w:style w:type="character" w:styleId="1020" w:customStyle="1">
    <w:name w:val="已访问的超链接1"/>
    <w:uiPriority w:val="0"/>
    <w:qFormat/>
    <w:rPr>
      <w:color w:val="800080"/>
      <w:u w:val="single"/>
    </w:rPr>
  </w:style>
  <w:style w:type="character" w:styleId="1021" w:customStyle="1">
    <w:name w:val="HTML 打字机1"/>
    <w:uiPriority w:val="99"/>
    <w:qFormat/>
    <w:rPr>
      <w:rFonts w:ascii="宋体" w:hAnsi="宋体" w:eastAsia="宋体" w:cs="宋体"/>
      <w:sz w:val="24"/>
      <w:szCs w:val="24"/>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rFonts w:ascii="Calibri" w:hAnsi="Calibri"/>
      <w:b/>
      <w:sz w:val="30"/>
      <w:szCs w:val="28"/>
    </w:rPr>
  </w:style>
  <w:style w:type="paragraph" w:styleId="1026" w:customStyle="1">
    <w:name w:val="二级目录"/>
    <w:next w:val="736"/>
    <w:link w:val="102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736"/>
    <w:link w:val="1027"/>
    <w:uiPriority w:val="0"/>
    <w:qFormat/>
    <w:pPr>
      <w:contextualSpacing/>
      <w:ind w:left="720"/>
      <w:jc w:val="left"/>
      <w:widowControl/>
    </w:pPr>
    <w:rPr>
      <w:rFonts w:ascii="Calibri" w:hAnsi="Calibri"/>
      <w:sz w:val="24"/>
      <w:szCs w:val="24"/>
      <w:lang w:eastAsia="en-US" w:bidi="en-US"/>
    </w:rPr>
  </w:style>
  <w:style w:type="paragraph" w:styleId="1029" w:customStyle="1">
    <w:name w:val="Body Text(ch)"/>
    <w:basedOn w:val="736"/>
    <w:next w:val="979"/>
    <w:uiPriority w:val="0"/>
    <w:qFormat/>
    <w:pPr>
      <w:spacing w:after="120"/>
    </w:pPr>
    <w:rPr>
      <w:rFonts w:ascii="宋体" w:hAnsi="Arial"/>
      <w:bCs/>
      <w:iCs/>
      <w:szCs w:val="24"/>
    </w:rPr>
  </w:style>
  <w:style w:type="paragraph" w:styleId="1030"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736"/>
    <w:uiPriority w:val="0"/>
    <w:qFormat/>
    <w:pPr>
      <w:ind w:firstLine="200"/>
      <w:tabs>
        <w:tab w:val="left" w:pos="360" w:leader="none"/>
      </w:tabs>
    </w:pPr>
    <w:rPr>
      <w:sz w:val="28"/>
      <w:szCs w:val="30"/>
    </w:rPr>
  </w:style>
  <w:style w:type="paragraph" w:styleId="1033" w:customStyle="1">
    <w:name w:val="Char1"/>
    <w:basedOn w:val="973"/>
    <w:uiPriority w:val="0"/>
    <w:qFormat/>
    <w:rPr>
      <w:rFonts w:ascii="Tahoma" w:hAnsi="Tahoma"/>
      <w:sz w:val="24"/>
      <w:szCs w:val="24"/>
    </w:rPr>
  </w:style>
  <w:style w:type="paragraph" w:styleId="1034"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35" w:customStyle="1">
    <w:name w:val="table_lines"/>
    <w:basedOn w:val="736"/>
    <w:uiPriority w:val="0"/>
    <w:qFormat/>
    <w:pPr>
      <w:jc w:val="left"/>
      <w:widowControl/>
    </w:pPr>
    <w:rPr>
      <w:sz w:val="20"/>
      <w:szCs w:val="20"/>
      <w:lang w:val="de-DE" w:eastAsia="de-DE"/>
    </w:rPr>
  </w:style>
  <w:style w:type="paragraph" w:styleId="103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7" w:customStyle="1">
    <w:name w:val="font7"/>
    <w:basedOn w:val="736"/>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973"/>
    <w:uiPriority w:val="0"/>
    <w:qFormat/>
    <w:pPr>
      <w:spacing w:line="360" w:lineRule="auto"/>
    </w:pPr>
    <w:rPr>
      <w:rFonts w:ascii="Tahoma" w:hAnsi="Tahoma"/>
      <w:sz w:val="24"/>
      <w:szCs w:val="24"/>
    </w:rPr>
  </w:style>
  <w:style w:type="paragraph" w:styleId="1039" w:customStyle="1">
    <w:name w:val="列出段落2"/>
    <w:basedOn w:val="736"/>
    <w:uiPriority w:val="99"/>
    <w:qFormat/>
    <w:pPr>
      <w:contextualSpacing/>
      <w:ind w:left="720"/>
      <w:jc w:val="left"/>
      <w:widowControl/>
    </w:pPr>
    <w:rPr>
      <w:rFonts w:ascii="Calibri" w:hAnsi="Calibri"/>
      <w:sz w:val="24"/>
      <w:szCs w:val="24"/>
      <w:lang w:eastAsia="en-US" w:bidi="en-US"/>
    </w:rPr>
  </w:style>
  <w:style w:type="paragraph" w:styleId="1040" w:customStyle="1">
    <w:name w:val="4"/>
    <w:basedOn w:val="736"/>
    <w:next w:val="1002"/>
    <w:uiPriority w:val="0"/>
    <w:qFormat/>
    <w:pPr>
      <w:ind w:firstLine="420"/>
      <w:spacing w:line="360" w:lineRule="auto"/>
    </w:pPr>
    <w:rPr>
      <w:color w:val="ff0000"/>
      <w:sz w:val="24"/>
      <w:szCs w:val="24"/>
    </w:rPr>
  </w:style>
  <w:style w:type="paragraph" w:styleId="1041"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1042" w:customStyle="1">
    <w:name w:val="Char Char Char Char Char Char Char Char Char Char"/>
    <w:basedOn w:val="736"/>
    <w:uiPriority w:val="0"/>
    <w:qFormat/>
    <w:pPr>
      <w:spacing w:line="360" w:lineRule="auto"/>
    </w:pPr>
    <w:rPr>
      <w:sz w:val="24"/>
      <w:szCs w:val="20"/>
    </w:rPr>
  </w:style>
  <w:style w:type="paragraph" w:styleId="1043" w:customStyle="1">
    <w:name w:val="样式1"/>
    <w:basedOn w:val="736"/>
    <w:uiPriority w:val="0"/>
    <w:qFormat/>
    <w:pPr>
      <w:numPr>
        <w:ilvl w:val="0"/>
        <w:numId w:val="3"/>
      </w:numPr>
    </w:pPr>
    <w:rPr>
      <w:rFonts w:ascii="宋体" w:hAnsi="宋体"/>
    </w:rPr>
  </w:style>
  <w:style w:type="paragraph" w:styleId="1044" w:customStyle="1">
    <w:name w:val="font6"/>
    <w:basedOn w:val="736"/>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48"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51"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053" w:customStyle="1">
    <w:name w:val="xl30"/>
    <w:basedOn w:val="736"/>
    <w:uiPriority w:val="0"/>
    <w:qFormat/>
    <w:pPr>
      <w:jc w:val="center"/>
      <w:spacing w:before="100" w:beforeAutospacing="1" w:after="100" w:afterAutospacing="1"/>
      <w:widowControl/>
    </w:pPr>
    <w:rPr>
      <w:rFonts w:ascii="宋体" w:hAnsi="宋体"/>
      <w:b/>
      <w:bCs/>
      <w:sz w:val="36"/>
      <w:szCs w:val="36"/>
    </w:rPr>
  </w:style>
  <w:style w:type="paragraph" w:styleId="1054" w:customStyle="1">
    <w:name w:val="Char Char Char Char1"/>
    <w:basedOn w:val="973"/>
    <w:uiPriority w:val="0"/>
    <w:qFormat/>
    <w:pPr>
      <w:spacing w:line="360" w:lineRule="auto"/>
    </w:pPr>
    <w:rPr>
      <w:rFonts w:ascii="Tahoma" w:hAnsi="Tahoma"/>
      <w:sz w:val="24"/>
      <w:szCs w:val="24"/>
    </w:rPr>
  </w:style>
  <w:style w:type="paragraph" w:styleId="1055" w:customStyle="1">
    <w:name w:val="table_1stline"/>
    <w:basedOn w:val="736"/>
    <w:uiPriority w:val="0"/>
    <w:qFormat/>
    <w:pPr>
      <w:jc w:val="left"/>
      <w:spacing w:before="120"/>
      <w:widowControl/>
    </w:pPr>
    <w:rPr>
      <w:bCs/>
      <w:sz w:val="20"/>
      <w:szCs w:val="20"/>
      <w:lang w:val="de-DE" w:eastAsia="de-DE"/>
    </w:rPr>
  </w:style>
  <w:style w:type="paragraph" w:styleId="1056" w:customStyle="1">
    <w:name w:val="font5"/>
    <w:basedOn w:val="736"/>
    <w:uiPriority w:val="0"/>
    <w:qFormat/>
    <w:pPr>
      <w:jc w:val="left"/>
      <w:spacing w:before="100" w:beforeAutospacing="1" w:after="100" w:afterAutospacing="1"/>
      <w:widowControl/>
    </w:pPr>
    <w:rPr>
      <w:rFonts w:hint="eastAsia" w:ascii="宋体" w:hAnsi="宋体"/>
      <w:sz w:val="28"/>
      <w:szCs w:val="28"/>
    </w:rPr>
  </w:style>
  <w:style w:type="paragraph" w:styleId="1057"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customStyle="1">
    <w:name w:val="修订1"/>
    <w:uiPriority w:val="99"/>
    <w:semiHidden/>
    <w:qFormat/>
    <w:rPr>
      <w:rFonts w:ascii="Times New Roman" w:hAnsi="Times New Roman" w:eastAsia="宋体" w:cs="Times New Roman"/>
      <w:sz w:val="21"/>
      <w:szCs w:val="21"/>
      <w:lang w:val="en-US" w:eastAsia="zh-CN" w:bidi="ar-SA"/>
    </w:rPr>
  </w:style>
  <w:style w:type="paragraph" w:styleId="105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0" w:customStyle="1">
    <w:name w:val="普通文字"/>
    <w:basedOn w:val="736"/>
    <w:next w:val="736"/>
    <w:uiPriority w:val="99"/>
    <w:qFormat/>
    <w:rPr>
      <w:rFonts w:ascii="宋体"/>
      <w:sz w:val="24"/>
      <w:szCs w:val="20"/>
    </w:rPr>
  </w:style>
  <w:style w:type="paragraph" w:styleId="1061" w:customStyle="1">
    <w:name w:val="目录 111"/>
    <w:basedOn w:val="736"/>
    <w:next w:val="736"/>
    <w:uiPriority w:val="39"/>
    <w:unhideWhenUsed/>
    <w:qFormat/>
    <w:pPr>
      <w:jc w:val="left"/>
      <w:spacing w:after="100" w:line="259" w:lineRule="auto"/>
      <w:widowControl/>
    </w:pPr>
    <w:rPr>
      <w:rFonts w:ascii="Calibri" w:hAnsi="Calibri"/>
      <w:sz w:val="22"/>
      <w:szCs w:val="22"/>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15</cp:revision>
  <dcterms:created xsi:type="dcterms:W3CDTF">2025-09-15T03:01:00Z</dcterms:created>
  <dcterms:modified xsi:type="dcterms:W3CDTF">2025-10-22T05:10:35Z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F50A835AEE5A45EC8916889381A41DF6_13</vt:lpwstr>
  </property>
  <property fmtid="{D5CDD505-2E9C-101B-9397-08002B2CF9AE}" pid="4" name="KSOTemplateDocerSaveRecord">
    <vt:lpwstr>eyJoZGlkIjoiYWEwNDBkZDVjMDI2NzVhN2Q2ZjdkYzk3NDg0ZWQ4YWQiLCJ1c2VySWQiOiI1Mzk3NjA2MDAifQ==</vt:lpwstr>
  </property>
</Properties>
</file>