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right"/>
        <w:rPr>
          <w:rFonts w:ascii="宋体" w:hAnsi="宋体" w:cs="宋体"/>
        </w:rPr>
      </w:pPr>
      <w:r>
        <w:rPr>
          <w:rFonts w:hint="eastAsia" w:ascii="宋体" w:hAnsi="宋体" w:cs="宋体"/>
        </w:rPr>
        <w:t xml:space="preserve">                                                                                                       </w:t>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ind w:firstLine="320"/>
        <w:jc w:val="right"/>
        <w:rPr>
          <w:rFonts w:ascii="宋体" w:hAnsi="宋体" w:cs="宋体"/>
        </w:rPr>
      </w:pPr>
      <w:r>
        <w:rPr>
          <w:rFonts w:hint="eastAsia" w:ascii="宋体" w:hAnsi="宋体" w:cs="宋体"/>
          <w:sz w:val="32"/>
        </w:rPr>
        <w:t xml:space="preserve">           </w:t>
      </w:r>
      <w:r/>
    </w:p>
    <w:p>
      <w:pPr>
        <w:pStyle w:val="810"/>
        <w:jc w:val="center"/>
        <w:rPr>
          <w:rFonts w:ascii="宋体" w:hAnsi="宋体" w:cs="宋体"/>
          <w:b/>
          <w:spacing w:val="76"/>
          <w:sz w:val="96"/>
          <w:szCs w:val="22"/>
        </w:rPr>
      </w:pPr>
      <w:r>
        <w:rPr>
          <w:rFonts w:hint="eastAsia" w:ascii="宋体" w:hAnsi="宋体" w:cs="宋体"/>
          <w:spacing w:val="76"/>
          <w:sz w:val="144"/>
        </w:rPr>
        <w:t xml:space="preserve">招标文件</w:t>
      </w:r>
      <w:r/>
    </w:p>
    <w:p>
      <w:pPr>
        <w:pStyle w:val="970"/>
        <w:rPr>
          <w:rFonts w:ascii="宋体" w:hAnsi="宋体" w:cs="宋体"/>
          <w:spacing w:val="76"/>
          <w:sz w:val="156"/>
        </w:rPr>
      </w:pPr>
      <w:r>
        <w:rPr>
          <w:rFonts w:ascii="宋体" w:hAnsi="宋体" w:cs="宋体"/>
          <w:spacing w:val="76"/>
          <w:sz w:val="156"/>
        </w:rPr>
      </w:r>
      <w:r/>
    </w:p>
    <w:p>
      <w:pPr>
        <w:pStyle w:val="810"/>
        <w:rPr>
          <w:rFonts w:ascii="宋体" w:hAnsi="宋体" w:cs="宋体"/>
        </w:rPr>
      </w:pPr>
      <w:r>
        <w:rPr>
          <w:rFonts w:ascii="宋体" w:hAnsi="宋体" w:cs="宋体"/>
        </w:rPr>
      </w:r>
      <w:r/>
    </w:p>
    <w:p>
      <w:pPr>
        <w:pStyle w:val="810"/>
        <w:rPr>
          <w:rFonts w:ascii="宋体" w:hAnsi="宋体" w:cs="宋体"/>
        </w:rPr>
      </w:pPr>
      <w:r>
        <w:rPr>
          <w:rFonts w:ascii="宋体" w:hAnsi="宋体" w:cs="宋体"/>
        </w:rPr>
      </w:r>
      <w:r/>
    </w:p>
    <w:p>
      <w:pPr>
        <w:pStyle w:val="810"/>
        <w:ind w:left="2699" w:hanging="1506"/>
        <w:spacing w:line="360" w:lineRule="auto"/>
        <w:rPr>
          <w:rFonts w:ascii="宋体" w:hAnsi="宋体" w:cs="宋体"/>
          <w:b/>
          <w:bCs/>
          <w:sz w:val="30"/>
          <w:szCs w:val="30"/>
        </w:rPr>
        <w:outlineLvl w:val="0"/>
      </w:pPr>
      <w:r/>
      <w:bookmarkStart w:id="0" w:name="_Toc8600"/>
      <w:r>
        <w:rPr>
          <w:rFonts w:hint="eastAsia" w:ascii="宋体" w:hAnsi="宋体" w:cs="宋体"/>
          <w:b/>
          <w:bCs/>
          <w:sz w:val="30"/>
          <w:szCs w:val="30"/>
        </w:rPr>
        <w:t xml:space="preserve">项目名称：</w:t>
      </w:r>
      <w:bookmarkEnd w:id="0"/>
      <w:r>
        <w:rPr>
          <w:rFonts w:hint="eastAsia" w:ascii="宋体" w:hAnsi="宋体" w:cs="宋体"/>
          <w:b/>
          <w:bCs/>
          <w:sz w:val="30"/>
          <w:szCs w:val="30"/>
          <w:lang w:eastAsia="zh-CN"/>
        </w:rPr>
        <w:t xml:space="preserve">农村镇级生活垃圾分类处置中心市场化运维</w:t>
      </w:r>
      <w:r/>
    </w:p>
    <w:p>
      <w:pPr>
        <w:pStyle w:val="810"/>
        <w:ind w:firstLine="1205"/>
        <w:spacing w:line="360" w:lineRule="auto"/>
        <w:rPr>
          <w:rFonts w:ascii="宋体" w:hAnsi="宋体" w:cs="宋体"/>
          <w:b/>
          <w:bCs/>
          <w:sz w:val="30"/>
          <w:szCs w:val="30"/>
        </w:rPr>
        <w:outlineLvl w:val="0"/>
      </w:pPr>
      <w:r/>
      <w:bookmarkStart w:id="1" w:name="_Toc3036"/>
      <w:r>
        <w:rPr>
          <w:rFonts w:hint="eastAsia" w:ascii="宋体" w:hAnsi="宋体" w:cs="宋体"/>
          <w:b/>
          <w:bCs/>
          <w:sz w:val="30"/>
          <w:szCs w:val="30"/>
        </w:rPr>
        <w:t xml:space="preserve">项目编号：</w:t>
      </w:r>
      <w:bookmarkEnd w:id="1"/>
      <w:r>
        <w:rPr>
          <w:rFonts w:hint="eastAsia" w:ascii="宋体" w:hAnsi="宋体" w:cs="宋体"/>
          <w:b/>
          <w:bCs/>
          <w:sz w:val="30"/>
          <w:szCs w:val="30"/>
          <w:lang w:eastAsia="zh-CN"/>
        </w:rPr>
        <w:t xml:space="preserve">JSZC-320382-JSXY-G2024-0001 </w:t>
      </w:r>
      <w:r/>
    </w:p>
    <w:p>
      <w:pPr>
        <w:pStyle w:val="810"/>
        <w:ind w:firstLine="1205"/>
        <w:spacing w:line="360" w:lineRule="auto"/>
        <w:rPr>
          <w:rFonts w:hint="eastAsia" w:ascii="宋体" w:hAnsi="宋体" w:eastAsia="宋体" w:cs="宋体"/>
          <w:b/>
          <w:bCs/>
          <w:sz w:val="30"/>
          <w:szCs w:val="30"/>
          <w:lang w:eastAsia="zh-CN"/>
        </w:rPr>
        <w:outlineLvl w:val="0"/>
      </w:pPr>
      <w:r/>
      <w:bookmarkStart w:id="2" w:name="_Toc23347"/>
      <w:r>
        <w:rPr>
          <w:rFonts w:hint="eastAsia" w:ascii="宋体" w:hAnsi="宋体" w:cs="宋体"/>
          <w:b/>
          <w:bCs/>
          <w:sz w:val="30"/>
          <w:szCs w:val="30"/>
        </w:rPr>
        <w:t xml:space="preserve">招 标 人：</w:t>
      </w:r>
      <w:bookmarkEnd w:id="2"/>
      <w:r>
        <w:rPr>
          <w:rFonts w:hint="eastAsia" w:ascii="宋体" w:hAnsi="宋体" w:cs="宋体"/>
          <w:b/>
          <w:bCs/>
          <w:sz w:val="30"/>
          <w:szCs w:val="30"/>
          <w:lang w:eastAsia="zh-CN"/>
        </w:rPr>
        <w:t xml:space="preserve">邳州市城市管理局</w:t>
      </w:r>
      <w:r/>
    </w:p>
    <w:p>
      <w:pPr>
        <w:pStyle w:val="969"/>
        <w:ind w:left="0" w:right="1470"/>
        <w:rPr>
          <w:rFonts w:ascii="宋体" w:hAnsi="宋体" w:eastAsia="宋体" w:cs="宋体"/>
          <w:sz w:val="30"/>
          <w:szCs w:val="30"/>
        </w:rPr>
      </w:pPr>
      <w:r>
        <w:rPr>
          <w:rFonts w:ascii="宋体" w:hAnsi="宋体" w:eastAsia="宋体" w:cs="宋体"/>
          <w:sz w:val="30"/>
          <w:szCs w:val="30"/>
        </w:rPr>
      </w:r>
      <w:r/>
    </w:p>
    <w:p>
      <w:pPr>
        <w:pStyle w:val="969"/>
        <w:ind w:left="0" w:right="1470"/>
        <w:rPr>
          <w:rFonts w:ascii="宋体" w:hAnsi="宋体" w:eastAsia="宋体" w:cs="宋体"/>
          <w:sz w:val="30"/>
          <w:szCs w:val="30"/>
        </w:rPr>
      </w:pPr>
      <w:r>
        <w:rPr>
          <w:rFonts w:ascii="宋体" w:hAnsi="宋体" w:eastAsia="宋体" w:cs="宋体"/>
          <w:sz w:val="30"/>
          <w:szCs w:val="30"/>
        </w:rPr>
      </w:r>
      <w:r/>
    </w:p>
    <w:p>
      <w:pPr>
        <w:pStyle w:val="969"/>
        <w:ind w:left="0" w:right="1470"/>
        <w:rPr>
          <w:rFonts w:ascii="宋体" w:hAnsi="宋体" w:eastAsia="宋体" w:cs="宋体"/>
          <w:sz w:val="30"/>
          <w:szCs w:val="30"/>
        </w:rPr>
      </w:pPr>
      <w:r>
        <w:rPr>
          <w:rFonts w:ascii="宋体" w:hAnsi="宋体" w:eastAsia="宋体" w:cs="宋体"/>
          <w:sz w:val="30"/>
          <w:szCs w:val="30"/>
        </w:rPr>
      </w:r>
      <w:r/>
    </w:p>
    <w:p>
      <w:pPr>
        <w:pStyle w:val="969"/>
        <w:ind w:left="0" w:right="1470"/>
        <w:rPr>
          <w:rFonts w:ascii="宋体" w:hAnsi="宋体" w:eastAsia="宋体" w:cs="宋体"/>
          <w:sz w:val="30"/>
          <w:szCs w:val="30"/>
        </w:rPr>
      </w:pPr>
      <w:r>
        <w:rPr>
          <w:rFonts w:ascii="宋体" w:hAnsi="宋体" w:eastAsia="宋体" w:cs="宋体"/>
          <w:sz w:val="30"/>
          <w:szCs w:val="30"/>
        </w:rPr>
      </w:r>
      <w:r/>
    </w:p>
    <w:p>
      <w:pPr>
        <w:pStyle w:val="969"/>
        <w:ind w:left="0" w:right="1470"/>
        <w:rPr>
          <w:rFonts w:ascii="宋体" w:hAnsi="宋体" w:eastAsia="宋体" w:cs="宋体"/>
          <w:sz w:val="30"/>
          <w:szCs w:val="30"/>
        </w:rPr>
      </w:pPr>
      <w:r>
        <w:rPr>
          <w:rFonts w:ascii="宋体" w:hAnsi="宋体" w:eastAsia="宋体" w:cs="宋体"/>
          <w:sz w:val="30"/>
          <w:szCs w:val="30"/>
        </w:rPr>
      </w:r>
      <w:r/>
    </w:p>
    <w:p>
      <w:pPr>
        <w:pStyle w:val="969"/>
        <w:ind w:left="0" w:right="1470" w:firstLine="0"/>
        <w:rPr>
          <w:rFonts w:ascii="宋体" w:hAnsi="宋体" w:eastAsia="宋体" w:cs="宋体"/>
          <w:sz w:val="30"/>
          <w:szCs w:val="30"/>
        </w:rPr>
      </w:pPr>
      <w:r>
        <w:rPr>
          <w:rFonts w:ascii="宋体" w:hAnsi="宋体" w:eastAsia="宋体" w:cs="宋体"/>
          <w:sz w:val="30"/>
          <w:szCs w:val="30"/>
        </w:rPr>
      </w:r>
      <w:r/>
    </w:p>
    <w:p>
      <w:pPr>
        <w:pStyle w:val="810"/>
        <w:ind w:firstLine="1205"/>
        <w:spacing w:line="500" w:lineRule="exact"/>
        <w:rPr>
          <w:rFonts w:hint="eastAsia" w:ascii="宋体" w:hAnsi="宋体" w:eastAsia="宋体" w:cs="宋体"/>
          <w:b/>
          <w:bCs/>
          <w:sz w:val="30"/>
          <w:szCs w:val="30"/>
          <w:lang w:eastAsia="zh-CN"/>
        </w:rPr>
      </w:pPr>
      <w:r>
        <w:rPr>
          <w:rFonts w:hint="eastAsia" w:ascii="宋体" w:hAnsi="宋体" w:cs="宋体"/>
          <w:b/>
          <w:bCs/>
          <w:sz w:val="30"/>
          <w:szCs w:val="30"/>
        </w:rPr>
        <w:t xml:space="preserve">采购代理机构：</w:t>
      </w:r>
      <w:r>
        <w:rPr>
          <w:rFonts w:hint="eastAsia" w:ascii="宋体" w:hAnsi="宋体" w:cs="宋体"/>
          <w:b/>
          <w:bCs/>
          <w:sz w:val="30"/>
          <w:szCs w:val="30"/>
          <w:lang w:eastAsia="zh-CN"/>
        </w:rPr>
        <w:t xml:space="preserve">江苏雪岩招标有限公司</w:t>
      </w:r>
      <w:r/>
    </w:p>
    <w:p>
      <w:pPr>
        <w:pStyle w:val="971"/>
        <w:ind w:firstLine="0"/>
        <w:jc w:val="center"/>
        <w:spacing w:line="500" w:lineRule="exact"/>
        <w:rPr>
          <w:rFonts w:ascii="宋体" w:hAnsi="宋体" w:cs="宋体"/>
          <w:b/>
          <w:bCs/>
          <w:sz w:val="32"/>
          <w:szCs w:val="32"/>
        </w:rPr>
      </w:pPr>
      <w:r>
        <w:rPr>
          <w:rFonts w:hint="eastAsia" w:ascii="宋体" w:hAnsi="宋体" w:cs="宋体"/>
          <w:b/>
          <w:bCs/>
          <w:sz w:val="30"/>
          <w:szCs w:val="30"/>
        </w:rPr>
        <w:t xml:space="preserve">二〇二</w:t>
      </w:r>
      <w:r>
        <w:rPr>
          <w:rFonts w:hint="eastAsia" w:ascii="宋体" w:hAnsi="宋体" w:cs="宋体"/>
          <w:b/>
          <w:bCs/>
          <w:sz w:val="30"/>
          <w:szCs w:val="30"/>
          <w:lang w:val="en-US" w:eastAsia="zh-CN"/>
        </w:rPr>
        <w:t xml:space="preserve">四</w:t>
      </w:r>
      <w:r>
        <w:rPr>
          <w:rFonts w:hint="eastAsia" w:ascii="宋体" w:hAnsi="宋体" w:cs="宋体"/>
          <w:b/>
          <w:bCs/>
          <w:sz w:val="30"/>
          <w:szCs w:val="30"/>
        </w:rPr>
        <w:t xml:space="preserve">年</w:t>
      </w:r>
      <w:r>
        <w:rPr>
          <w:rFonts w:hint="eastAsia" w:ascii="宋体" w:hAnsi="宋体" w:cs="宋体"/>
          <w:b/>
          <w:bCs/>
          <w:sz w:val="30"/>
          <w:szCs w:val="30"/>
          <w:lang w:val="en-US" w:eastAsia="zh-CN"/>
        </w:rPr>
        <w:t xml:space="preserve">四</w:t>
      </w:r>
      <w:r>
        <w:rPr>
          <w:rFonts w:hint="eastAsia" w:ascii="宋体" w:hAnsi="宋体" w:cs="宋体"/>
          <w:b/>
          <w:bCs/>
          <w:sz w:val="30"/>
          <w:szCs w:val="30"/>
        </w:rPr>
        <w:t xml:space="preserve">月</w:t>
      </w:r>
      <w:r/>
    </w:p>
    <w:p>
      <w:pPr>
        <w:pStyle w:val="971"/>
        <w:ind w:firstLine="0"/>
        <w:jc w:val="center"/>
        <w:rPr>
          <w:rFonts w:ascii="宋体" w:hAnsi="宋体" w:cs="宋体"/>
          <w:b/>
          <w:sz w:val="44"/>
        </w:rPr>
      </w:pPr>
      <w:r>
        <w:rPr>
          <w:rFonts w:ascii="宋体" w:hAnsi="宋体" w:cs="宋体"/>
          <w:b/>
          <w:sz w:val="44"/>
        </w:rPr>
      </w:r>
      <w:r/>
    </w:p>
    <w:p>
      <w:pPr>
        <w:pStyle w:val="971"/>
        <w:ind w:firstLine="0"/>
        <w:jc w:val="center"/>
        <w:rPr>
          <w:rFonts w:ascii="宋体" w:hAnsi="宋体" w:cs="宋体"/>
          <w:b/>
          <w:sz w:val="44"/>
        </w:rPr>
        <w:sectPr>
          <w:headerReference w:type="default" r:id="rId9"/>
          <w:footerReference w:type="even" r:id="rId15"/>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b/>
          <w:sz w:val="44"/>
        </w:rPr>
      </w:r>
      <w:r/>
    </w:p>
    <w:sdt>
      <w:sdtPr>
        <w15:appearance w15:val="boundingBox"/>
        <w15:color w:val="dbdbdb"/>
        <w:id w:val="147470218"/>
        <w:lock w:val="sdtContentLocked"/>
        <w:docPartObj>
          <w:docPartGallery w:val="Table of Contents"/>
          <w:docPartUnique w:val="true"/>
        </w:docPartObj>
        <w:rPr>
          <w:rFonts w:hint="eastAsia" w:ascii="宋体" w:hAnsi="宋体" w:eastAsia="宋体" w:cs="宋体"/>
        </w:rPr>
      </w:sdtPr>
      <w:sdtContent>
        <w:p>
          <w:pPr>
            <w:jc w:val="center"/>
            <w:spacing w:line="360" w:lineRule="auto"/>
            <w:rPr>
              <w:rFonts w:ascii="宋体" w:hAnsi="宋体" w:eastAsia="宋体" w:cs="宋体"/>
              <w:b/>
              <w:bCs/>
              <w:sz w:val="36"/>
              <w:szCs w:val="36"/>
            </w:rPr>
          </w:pPr>
          <w:r>
            <w:rPr>
              <w:rFonts w:hint="eastAsia" w:ascii="宋体" w:hAnsi="宋体" w:eastAsia="宋体" w:cs="宋体"/>
              <w:b/>
              <w:bCs/>
              <w:sz w:val="36"/>
              <w:szCs w:val="36"/>
            </w:rPr>
            <w:t xml:space="preserve">目录</w:t>
          </w:r>
          <w:r/>
        </w:p>
        <w:p>
          <w:pPr>
            <w:pStyle w:val="972"/>
            <w:spacing w:line="360" w:lineRule="auto"/>
            <w:tabs>
              <w:tab w:val="right" w:pos="9014" w:leader="dot"/>
            </w:tabs>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"_Toc9783" </w:instrText>
          </w:r>
          <w: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_Toc9783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"_Toc12224" </w:instrText>
          </w:r>
          <w: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_Toc12224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"_Toc21083" </w:instrText>
          </w:r>
          <w:r>
            <w:fldChar w:fldCharType="separate"/>
          </w:r>
          <w:r>
            <w:rPr>
              <w:rFonts w:hint="eastAsia" w:ascii="宋体" w:hAnsi="宋体" w:eastAsia="宋体" w:cs="宋体"/>
              <w:sz w:val="28"/>
              <w:szCs w:val="28"/>
            </w:rPr>
            <w:t xml:space="preserve">第三章  投标资料表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_Toc21083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"_Toc28693" </w:instrText>
          </w:r>
          <w:r>
            <w:fldChar w:fldCharType="separate"/>
          </w:r>
          <w:r>
            <w:rPr>
              <w:rFonts w:hint="eastAsia" w:ascii="宋体" w:hAnsi="宋体" w:eastAsia="宋体" w:cs="宋体"/>
              <w:sz w:val="28"/>
              <w:szCs w:val="28"/>
            </w:rPr>
            <w:t xml:space="preserve">第四章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_Toc28693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"_Toc31925" </w:instrText>
          </w:r>
          <w:r>
            <w:fldChar w:fldCharType="separate"/>
          </w:r>
          <w:r>
            <w:rPr>
              <w:rFonts w:hint="eastAsia" w:ascii="宋体" w:hAnsi="宋体" w:eastAsia="宋体" w:cs="宋体"/>
              <w:bCs/>
              <w:sz w:val="28"/>
              <w:szCs w:val="28"/>
            </w:rPr>
            <w:t xml:space="preserve">第五章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_Toc31925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"_Toc535" </w:instrText>
          </w:r>
          <w:r>
            <w:fldChar w:fldCharType="separate"/>
          </w:r>
          <w:r>
            <w:rPr>
              <w:rFonts w:hint="eastAsia" w:ascii="宋体" w:hAnsi="宋体" w:eastAsia="宋体" w:cs="宋体"/>
              <w:sz w:val="28"/>
              <w:szCs w:val="28"/>
            </w:rPr>
            <w:t xml:space="preserve">第六章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_Toc535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fldChar w:fldCharType="begin"/>
          </w:r>
          <w:r>
            <w:instrText xml:space="preserve"> HYPERLINK \l "_Toc6685" </w:instrText>
          </w:r>
          <w:r>
            <w:fldChar w:fldCharType="separate"/>
          </w:r>
          <w:r>
            <w:rPr>
              <w:rFonts w:hint="eastAsia" w:ascii="宋体" w:hAnsi="宋体" w:eastAsia="宋体" w:cs="宋体"/>
              <w:sz w:val="28"/>
              <w:szCs w:val="28"/>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72"/>
            <w:spacing w:line="360" w:lineRule="auto"/>
            <w:tabs>
              <w:tab w:val="right" w:pos="9014" w:leader="dot"/>
            </w:tabs>
            <w:rPr>
              <w:rFonts w:ascii="宋体" w:hAnsi="宋体" w:eastAsia="宋体" w:cs="宋体"/>
              <w:sz w:val="28"/>
              <w:szCs w:val="28"/>
            </w:rPr>
          </w:pPr>
          <w:r>
            <w:rPr>
              <w:rFonts w:ascii="宋体" w:hAnsi="宋体" w:eastAsia="宋体" w:cs="宋体"/>
              <w:sz w:val="28"/>
              <w:szCs w:val="28"/>
            </w:rPr>
          </w:r>
          <w:r/>
        </w:p>
        <w:p>
          <w:pPr>
            <w:spacing w:line="360" w:lineRule="auto"/>
            <w:rPr>
              <w:rFonts w:ascii="宋体" w:hAnsi="宋体" w:eastAsia="宋体" w:cs="宋体"/>
            </w:rPr>
          </w:pPr>
          <w:r>
            <w:rPr>
              <w:rFonts w:hint="eastAsia" w:ascii="宋体" w:hAnsi="宋体" w:eastAsia="宋体" w:cs="宋体"/>
              <w:sz w:val="28"/>
              <w:szCs w:val="28"/>
            </w:rPr>
            <w:fldChar w:fldCharType="end"/>
          </w:r>
          <w:r/>
        </w:p>
      </w:sdtContent>
    </w:sdt>
    <w:p>
      <w:pPr>
        <w:rPr>
          <w:rFonts w:ascii="宋体" w:hAnsi="宋体" w:eastAsia="宋体" w:cs="宋体"/>
        </w:rPr>
      </w:pPr>
      <w:r>
        <w:rPr>
          <w:rFonts w:ascii="宋体" w:hAnsi="宋体" w:eastAsia="宋体" w:cs="宋体"/>
        </w:rPr>
      </w:r>
      <w:r/>
    </w:p>
    <w:p>
      <w:pPr>
        <w:pStyle w:val="755"/>
        <w:spacing w:line="520" w:lineRule="exact"/>
        <w:rPr>
          <w:rFonts w:ascii="宋体" w:hAnsi="宋体" w:eastAsia="宋体" w:cs="宋体"/>
          <w:sz w:val="24"/>
          <w:szCs w:val="24"/>
        </w:rPr>
        <w:sectPr>
          <w:headerReference w:type="default" r:id="rId10"/>
          <w:footerReference w:type="default" r:id="rId16"/>
          <w:footnotePr/>
          <w:endnotePr/>
          <w:type w:val="nextPage"/>
          <w:pgSz w:w="11906" w:h="16838" w:orient="portrait"/>
          <w:pgMar w:top="1588" w:right="1418" w:bottom="1474" w:left="1474" w:header="851" w:footer="992" w:gutter="0"/>
          <w:pgNumType w:start="1"/>
          <w:cols w:num="1" w:sep="0" w:space="1701" w:equalWidth="1"/>
          <w:docGrid w:linePitch="360"/>
        </w:sectPr>
      </w:pPr>
      <w:r>
        <w:rPr>
          <w:rFonts w:ascii="宋体" w:hAnsi="宋体" w:eastAsia="宋体" w:cs="宋体"/>
          <w:sz w:val="24"/>
          <w:szCs w:val="24"/>
        </w:rPr>
      </w:r>
      <w:r/>
    </w:p>
    <w:p>
      <w:pPr>
        <w:pStyle w:val="755"/>
        <w:spacing w:line="520" w:lineRule="exact"/>
        <w:rPr>
          <w:rFonts w:ascii="宋体" w:hAnsi="宋体" w:eastAsia="宋体" w:cs="宋体"/>
          <w:color w:val="auto"/>
          <w:sz w:val="24"/>
          <w:szCs w:val="24"/>
          <w:highlight w:val="none"/>
        </w:rPr>
      </w:pPr>
      <w:r/>
      <w:bookmarkStart w:id="3" w:name="_Toc9783"/>
      <w:r>
        <w:rPr>
          <w:rFonts w:hint="eastAsia" w:ascii="宋体" w:hAnsi="宋体" w:eastAsia="宋体" w:cs="宋体"/>
          <w:color w:val="auto"/>
          <w:sz w:val="24"/>
          <w:szCs w:val="24"/>
          <w:highlight w:val="none"/>
        </w:rPr>
        <w:t xml:space="preserve">第一章  投标邀请</w:t>
      </w:r>
      <w:bookmarkEnd w:id="3"/>
      <w:r/>
      <w:r/>
    </w:p>
    <w:p>
      <w:pPr>
        <w:jc w:val="center"/>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江苏雪岩招标有限公司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邳州市城市管理局</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lang w:eastAsia="zh-CN"/>
        </w:rPr>
        <w:t xml:space="preserve">农村镇级生活垃圾分类处置中心市场化运维</w:t>
      </w:r>
      <w:r>
        <w:rPr>
          <w:rFonts w:hint="eastAsia" w:ascii="宋体" w:hAnsi="宋体" w:eastAsia="宋体" w:cs="宋体"/>
          <w:color w:val="auto"/>
          <w:sz w:val="24"/>
          <w:highlight w:val="none"/>
        </w:rPr>
        <w:t xml:space="preserve">进行公开招标采购，现邀请符合相关条件的供应商投标。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(一)项目名称：</w:t>
      </w:r>
      <w:r>
        <w:rPr>
          <w:rFonts w:hint="eastAsia" w:ascii="宋体" w:hAnsi="宋体" w:eastAsia="宋体" w:cs="宋体"/>
          <w:color w:val="auto"/>
          <w:sz w:val="24"/>
          <w:highlight w:val="none"/>
          <w:lang w:eastAsia="zh-CN"/>
        </w:rPr>
        <w:t xml:space="preserve">农村镇级生活垃圾分类处置中心市场化运维</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(二)项目编号：</w:t>
      </w:r>
      <w:r>
        <w:rPr>
          <w:rFonts w:hint="eastAsia" w:ascii="宋体" w:hAnsi="宋体" w:eastAsia="宋体" w:cs="宋体"/>
          <w:color w:val="auto"/>
          <w:sz w:val="24"/>
          <w:highlight w:val="none"/>
          <w:lang w:eastAsia="zh-CN"/>
        </w:rPr>
        <w:t xml:space="preserve">JSZC-320382-JSXY-G2024-0001</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Cs w:val="21"/>
          <w:highlight w:val="none"/>
        </w:rPr>
      </w:pPr>
      <w:r>
        <w:rPr>
          <w:rFonts w:hint="eastAsia" w:ascii="宋体" w:hAnsi="宋体" w:eastAsia="宋体" w:cs="宋体"/>
          <w:color w:val="auto"/>
          <w:sz w:val="24"/>
          <w:highlight w:val="none"/>
        </w:rPr>
        <w:t xml:space="preserve">二、对投标人的资格要求：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详见本项目公开招标公告。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本项目采用网上注册登记方式。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（5）招标代理机构（采购代理机构）将数据电文形式的招标文件加载至“苏采云”系统，供潜在投标人下载或者查阅。</w:t>
      </w:r>
      <w:r/>
    </w:p>
    <w:p>
      <w:pPr>
        <w:pStyle w:val="809"/>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2、苏采云系统使用谷歌浏览器参与不见面开标。</w:t>
      </w:r>
      <w:r/>
    </w:p>
    <w:p>
      <w:pPr>
        <w:pStyle w:val="809"/>
        <w:ind w:firstLine="600"/>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3、售价：免费。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（一）投标截止时间：</w:t>
      </w:r>
      <w:r>
        <w:rPr>
          <w:rFonts w:hint="eastAsia" w:ascii="宋体" w:hAnsi="宋体" w:eastAsia="宋体" w:cs="宋体"/>
          <w:color w:val="auto"/>
          <w:sz w:val="24"/>
          <w:highlight w:val="none"/>
          <w:lang w:eastAsia="zh-CN"/>
        </w:rPr>
        <w:t xml:space="preserve">2024年5月27日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09:30</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（二）线上开标时间：</w:t>
      </w:r>
      <w:r>
        <w:rPr>
          <w:rFonts w:hint="eastAsia" w:ascii="宋体" w:hAnsi="宋体" w:eastAsia="宋体" w:cs="宋体"/>
          <w:color w:val="auto"/>
          <w:sz w:val="24"/>
          <w:highlight w:val="none"/>
          <w:lang w:eastAsia="zh-CN"/>
        </w:rPr>
        <w:t xml:space="preserve">2024年5月27日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09:30</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（三）线上开标地点：“苏采云”系统（网址： http://jszfcg.jsczt.cn/）“开标大厅”或进入徐州政府采购网（网址：http://czj.xz.gov.cn/Home/HomeIndex）-业务工作-用户登录，点击“苏采云”进入系统“开标大厅”。</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（一）名称：</w:t>
      </w:r>
      <w:r>
        <w:rPr>
          <w:rFonts w:hint="eastAsia" w:ascii="宋体" w:hAnsi="宋体" w:eastAsia="宋体" w:cs="宋体"/>
          <w:color w:val="auto"/>
          <w:sz w:val="24"/>
          <w:highlight w:val="none"/>
          <w:lang w:eastAsia="zh-CN"/>
        </w:rPr>
        <w:t xml:space="preserve">邳州市城市管理局</w:t>
      </w:r>
      <w:r>
        <w:rPr>
          <w:rFonts w:hint="eastAsia" w:ascii="宋体" w:hAnsi="宋体" w:eastAsia="宋体" w:cs="宋体"/>
          <w:color w:val="auto"/>
          <w:sz w:val="24"/>
          <w:highlight w:val="none"/>
        </w:rPr>
        <w:t xml:space="preserve">。</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（二）地址：</w:t>
      </w:r>
      <w:r>
        <w:rPr>
          <w:rFonts w:hint="eastAsia" w:ascii="宋体" w:hAnsi="宋体" w:eastAsia="宋体" w:cs="宋体"/>
          <w:color w:val="auto"/>
          <w:sz w:val="24"/>
          <w:highlight w:val="none"/>
          <w:lang w:eastAsia="zh-CN"/>
        </w:rPr>
        <w:t xml:space="preserve">江苏省徐州市邳州市花园路40号</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（三）联系方法：</w:t>
      </w:r>
      <w:r>
        <w:rPr>
          <w:rFonts w:hint="eastAsia" w:ascii="宋体" w:hAnsi="宋体" w:eastAsia="宋体" w:cs="宋体"/>
          <w:sz w:val="24"/>
          <w:szCs w:val="32"/>
          <w:highlight w:val="none"/>
          <w:lang w:eastAsia="zh-CN"/>
        </w:rPr>
        <w:t xml:space="preserve">18752199501</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（四）采购项目联系人：</w:t>
      </w:r>
      <w:r>
        <w:rPr>
          <w:rFonts w:hint="eastAsia" w:ascii="宋体" w:hAnsi="宋体" w:eastAsia="宋体" w:cs="宋体"/>
          <w:color w:val="auto"/>
          <w:sz w:val="24"/>
          <w:highlight w:val="none"/>
          <w:lang w:val="en-US" w:eastAsia="zh-CN"/>
        </w:rPr>
        <w:t xml:space="preserve">李馥均 </w:t>
      </w:r>
      <w:r>
        <w:rPr>
          <w:rFonts w:hint="eastAsia" w:ascii="宋体" w:hAnsi="宋体" w:eastAsia="宋体" w:cs="宋体"/>
          <w:color w:val="auto"/>
          <w:sz w:val="24"/>
          <w:highlight w:val="none"/>
        </w:rPr>
        <w:t xml:space="preserve"> ；  联系电话：18752199501</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（一）名称：</w:t>
      </w:r>
      <w:r>
        <w:rPr>
          <w:rFonts w:hint="eastAsia" w:ascii="宋体" w:hAnsi="宋体" w:eastAsia="宋体" w:cs="宋体"/>
          <w:color w:val="auto"/>
          <w:sz w:val="24"/>
          <w:highlight w:val="none"/>
          <w:lang w:eastAsia="zh-CN"/>
        </w:rPr>
        <w:t xml:space="preserve">江苏雪岩招标有限公司</w:t>
      </w:r>
      <w:r>
        <w:rPr>
          <w:rFonts w:hint="eastAsia" w:ascii="宋体" w:hAnsi="宋体" w:eastAsia="宋体" w:cs="宋体"/>
          <w:color w:val="auto"/>
          <w:sz w:val="24"/>
          <w:highlight w:val="none"/>
        </w:rPr>
        <w:t xml:space="preserve">。</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（二）地址：</w:t>
      </w:r>
      <w:r>
        <w:rPr>
          <w:rFonts w:hint="eastAsia" w:ascii="宋体" w:hAnsi="宋体" w:eastAsia="宋体" w:cs="宋体"/>
          <w:color w:val="auto"/>
          <w:sz w:val="24"/>
          <w:highlight w:val="none"/>
          <w:lang w:eastAsia="zh-CN"/>
        </w:rPr>
        <w:t xml:space="preserve">徐州市鼓楼区奔腾大道7号（鼓楼数字产业园7号楼310室）</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（三）联系方法：</w:t>
      </w:r>
      <w:r>
        <w:rPr>
          <w:rFonts w:hint="eastAsia" w:ascii="宋体" w:hAnsi="宋体" w:eastAsia="宋体" w:cs="宋体"/>
          <w:color w:val="auto"/>
          <w:sz w:val="24"/>
          <w:highlight w:val="none"/>
          <w:lang w:eastAsia="zh-CN"/>
        </w:rPr>
        <w:t xml:space="preserve">18136001038</w:t>
      </w:r>
      <w:r>
        <w:rPr>
          <w:rFonts w:hint="eastAsia" w:ascii="宋体" w:hAnsi="宋体" w:eastAsia="宋体" w:cs="宋体"/>
          <w:color w:val="auto"/>
          <w:sz w:val="24"/>
          <w:highlight w:val="none"/>
        </w:rPr>
        <w:t xml:space="preserve">；</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（四）采购项目联系人：</w:t>
      </w:r>
      <w:r>
        <w:rPr>
          <w:rFonts w:hint="eastAsia" w:ascii="宋体" w:hAnsi="宋体" w:eastAsia="宋体" w:cs="宋体"/>
          <w:color w:val="auto"/>
          <w:sz w:val="24"/>
          <w:highlight w:val="none"/>
          <w:lang w:eastAsia="zh-CN"/>
        </w:rPr>
        <w:t xml:space="preserve">袁亚年</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18136001038</w:t>
      </w:r>
      <w:r>
        <w:rPr>
          <w:rFonts w:hint="eastAsia" w:ascii="宋体" w:hAnsi="宋体" w:eastAsia="宋体" w:cs="宋体"/>
          <w:color w:val="auto"/>
          <w:sz w:val="24"/>
          <w:highlight w:val="none"/>
        </w:rPr>
        <w:t xml:space="preserve">。</w:t>
      </w:r>
      <w:bookmarkStart w:id="4" w:name="_Toc32161"/>
      <w:r/>
      <w:bookmarkStart w:id="5" w:name="_Toc8307"/>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5"/>
        <w:rPr>
          <w:rFonts w:ascii="宋体" w:hAnsi="宋体" w:eastAsia="宋体" w:cs="宋体"/>
          <w:color w:val="auto"/>
          <w:sz w:val="24"/>
          <w:szCs w:val="24"/>
          <w:highlight w:val="none"/>
        </w:rPr>
      </w:pPr>
      <w:r/>
      <w:bookmarkStart w:id="6" w:name="_Toc12224"/>
      <w:r>
        <w:rPr>
          <w:rFonts w:hint="eastAsia" w:ascii="宋体" w:hAnsi="宋体" w:eastAsia="宋体" w:cs="宋体"/>
          <w:color w:val="auto"/>
          <w:sz w:val="24"/>
          <w:szCs w:val="24"/>
          <w:highlight w:val="none"/>
        </w:rPr>
        <w:t xml:space="preserve">第二章  投标人须知</w:t>
      </w:r>
      <w:bookmarkEnd w:id="4"/>
      <w:r/>
      <w:bookmarkEnd w:id="5"/>
      <w:r/>
      <w:bookmarkEnd w:id="6"/>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一、总则</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二、招标</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三、投标</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四、开标</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五、评标</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六、定标</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七、政府采购合同</w:t>
      </w:r>
      <w:r/>
    </w:p>
    <w:p>
      <w:pPr>
        <w:pStyle w:val="809"/>
        <w:ind w:left="420"/>
        <w:spacing w:line="60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erReference w:type="default" r:id="rId17"/>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cs="宋体"/>
          <w:color w:val="auto"/>
          <w:sz w:val="28"/>
          <w:szCs w:val="28"/>
          <w:highlight w:val="none"/>
        </w:rPr>
        <w:t xml:space="preserve">八、询问和质疑</w:t>
      </w:r>
      <w:r/>
    </w:p>
    <w:p>
      <w:pPr>
        <w:ind w:firstLine="480"/>
        <w:spacing w:line="3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562"/>
        <w:jc w:val="center"/>
        <w:spacing w:line="5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一、总则</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（一）采购人。采购人即指依法进行政府采购的国家机关、事业单位和团体组织。</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（二）政府招标采购方式。政府采购货物或服务（以下简称“货物服务”）的招标方式，分为公开招标和邀请招标。</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（五）采购人委托采购代理机构代理招标的，采购代理机构必须在采购人委托的范围内依法开展采购活动。</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（六）投标人的资格条件：</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投标人是指响应招标、参加投标竞争的法人、其他组织或者自然人。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2.投标人授权代表系指法定代表人或受法人委托的受托人。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line="5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二、招标</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（八）招标文件应包括以下内容：</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第三章，投标资料表；</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第四章，评标标准；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第五章，拟签订的合同文本；</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第六章，采购需求；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第七章，投标文件相关格式。</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（九）招标文件澄清或者修改：</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2.现场考察以本文件第三章《投标资料表》中的要求为准。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3.开标前答疑会以本文件第三章《投标资料表》中的要求为准。</w:t>
      </w:r>
      <w:r/>
    </w:p>
    <w:p>
      <w:pPr>
        <w:ind w:firstLine="562"/>
        <w:jc w:val="center"/>
        <w:spacing w:line="5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三、投标</w:t>
      </w:r>
      <w:r/>
    </w:p>
    <w:p>
      <w:pPr>
        <w:ind w:firstLine="60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（十二）投标文件的构成：</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1.投标文件的构成以本文件第三章《投标资料表》中的要求为准。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2.投标人应当提交的资格、资信证明文件，以本文件第三章《投标资料表》中的所提要求为准。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（十三）投标函和价格表、商务条件、交货和提供服务的时间：</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1.投标函和价格表的要求见本章（十二）、（十三），格式见本文件第七章《投标文件相关格式》中《投标函》和《开标一览表》。</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2.商务条件以本文件第三章《投标资料表》中的要求为准。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3.交货和提供服务的时间，以本文件第三章《投标资料表》中所提要求为准。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（十四）投标报价要求：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1.投标人应按照招标文件的要求报出分项价格和总价。</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2.投标人应按照招标文件的要求进行报价，如投标人作出偏离，应在《偏离表》中列出。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3.采购人不支付报价以外的任何费用。</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5.投标人只能提交一个投标价格，投标人提交多个价格的投标文件，在资格性、符合性检查时按照无效投标处理。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（十五）投标货币。以本文件第三章《投标资料表》中所提要求为准。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（十六）投标有效期：</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1.投标有效期</w:t>
      </w:r>
      <w:r>
        <w:rPr>
          <w:rFonts w:hint="eastAsia" w:ascii="宋体" w:hAnsi="宋体" w:eastAsia="宋体" w:cs="宋体"/>
          <w:b/>
          <w:bCs/>
          <w:color w:val="auto"/>
          <w:sz w:val="24"/>
          <w:highlight w:val="none"/>
        </w:rPr>
        <w:t xml:space="preserve">为开标之日后90天。</w:t>
      </w:r>
      <w:r>
        <w:rPr>
          <w:rFonts w:hint="eastAsia" w:ascii="宋体" w:hAnsi="宋体" w:eastAsia="宋体" w:cs="宋体"/>
          <w:color w:val="auto"/>
          <w:sz w:val="24"/>
          <w:highlight w:val="none"/>
        </w:rPr>
        <w:t xml:space="preserve">采购人可以要求对投标有效期延长一次，但该延长期最长不得超过30天。</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（十七）投标文件的编制要求和签署要求：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（2）投标人应对 CA 证书妥善保管，如被他人盗用投标，因此带来的结果均由投标人自行承担。</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（3）投标人应当对招标文件提出的要求和条件作出实质性响应，并在电子投标系统逐条应答。</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（十八）投标文件的盖章要求：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投标文件的盖章要求，以本文件第三章《投标资料表》中所提要求为准。</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520" w:lineRule="exact"/>
        <w:rPr>
          <w:rFonts w:ascii="宋体" w:hAnsi="宋体" w:eastAsia="宋体" w:cs="宋体"/>
          <w:color w:val="auto"/>
          <w:sz w:val="28"/>
          <w:szCs w:val="28"/>
          <w:highlight w:val="none"/>
        </w:rPr>
      </w:pPr>
      <w:r>
        <w:rPr>
          <w:rFonts w:hint="eastAsia" w:ascii="宋体" w:hAnsi="宋体" w:eastAsia="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（二十二）本项目不允许分包。</w:t>
      </w:r>
      <w:r/>
    </w:p>
    <w:p>
      <w:pPr>
        <w:ind w:firstLine="480"/>
        <w:spacing w:line="520" w:lineRule="exact"/>
        <w:shd w:val="clear" w:color="auto" w:fill="ffff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jc w:val="left"/>
        <w:spacing w:line="520" w:lineRule="exact"/>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在评标过程中发现投标人有上述情形的，评标委员会应当认定其投标无效，并书面报告本级财政部门。</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（二十四）有下列情形之一的，其投标无效。</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3.不同投标人的投标文件中，所载明的项目管理成员或联系人为同一人；</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6.电子投标文件未按规定期限投标的；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7.电子投标文件未按招标文件要求签章的；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8.投标人未在规定时间内解密电子投标文件的；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9.投标文件未按招标文件规定的内容和要求填写的；没有在投标系统指定位置上传对应文件、材料的；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10.不具备招标文件中规定的资格要求的；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11.报价超过招标文件中规定的预算金额或者最高限价的；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12.投标文件含有采购人不能接受的附加条件的；</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13.法律、法规和招标文件规定的其他无效情形。</w:t>
      </w:r>
      <w:r/>
    </w:p>
    <w:p>
      <w:pPr>
        <w:jc w:val="center"/>
        <w:spacing w:line="5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四、开标</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（二十五）开标：</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2.开标由采购代理机构主持，邀请投标人参加。</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3.所有投标单位使用 CA 证书在开标时间时，解密各自投标文件，投标人不足3家的，不得评标。</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line="520" w:lineRule="exact"/>
        <w:rPr>
          <w:rFonts w:ascii="宋体" w:hAnsi="宋体" w:eastAsia="宋体" w:cs="宋体"/>
          <w:b/>
          <w:bCs/>
          <w:color w:val="auto"/>
          <w:sz w:val="28"/>
          <w:szCs w:val="28"/>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8"/>
          <w:szCs w:val="28"/>
          <w:highlight w:val="none"/>
        </w:rPr>
        <w:t xml:space="preserve">五、评标</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（二十六）公开招标采购项目开标结束后，采购人依法对投标人的资格进行审查。</w:t>
      </w:r>
      <w:r>
        <w:rPr>
          <w:rFonts w:hint="eastAsia" w:ascii="宋体" w:hAnsi="宋体" w:eastAsia="宋体" w:cs="宋体"/>
          <w:b/>
          <w:bCs/>
          <w:color w:val="auto"/>
          <w:sz w:val="24"/>
          <w:highlight w:val="none"/>
        </w:rPr>
        <w:t xml:space="preserve">合格投标人不足3家的，</w:t>
      </w:r>
      <w:r>
        <w:rPr>
          <w:rFonts w:hint="eastAsia" w:ascii="宋体" w:hAnsi="宋体" w:eastAsia="宋体" w:cs="宋体"/>
          <w:color w:val="auto"/>
          <w:sz w:val="24"/>
          <w:highlight w:val="none"/>
        </w:rPr>
        <w:t xml:space="preserve">不得评标。</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1.评标工作由采购代理机构负责组织，并履行下列职责：</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（8）核对评标结果，对有《</w:t>
      </w:r>
      <w:r>
        <w:rPr>
          <w:color w:val="auto"/>
          <w:highlight w:val="none"/>
        </w:rPr>
        <w:fldChar w:fldCharType="begin"/>
      </w:r>
      <w:r>
        <w:rPr>
          <w:color w:val="auto"/>
          <w:highlight w:val="none"/>
        </w:rPr>
        <w:instrText xml:space="preserve">HYPERLINK "http://www.caigou2003.com/" \t "_blank"</w:instrText>
      </w:r>
      <w:r>
        <w:rPr>
          <w:color w:val="auto"/>
          <w:highlight w:val="none"/>
        </w:rPr>
        <w:fldChar w:fldCharType="separate"/>
      </w:r>
      <w:r>
        <w:rPr>
          <w:rFonts w:hint="eastAsia" w:ascii="宋体" w:hAnsi="宋体" w:eastAsia="宋体" w:cs="宋体"/>
          <w:color w:val="auto"/>
          <w:sz w:val="24"/>
          <w:highlight w:val="none"/>
        </w:rPr>
        <w:t xml:space="preserve">政府采购</w:t>
      </w:r>
      <w:r>
        <w:rPr>
          <w:rFonts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2.评标委员会负责具体评标事务，并独立履行下列职责：</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（5）向采购人、采购代理机构或有关部门报告评标中发现的违法行为。</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（二十七）评标方法分为</w:t>
      </w:r>
      <w:r>
        <w:rPr>
          <w:rFonts w:hint="eastAsia" w:ascii="宋体" w:hAnsi="宋体" w:eastAsia="宋体" w:cs="宋体"/>
          <w:b/>
          <w:bCs/>
          <w:color w:val="auto"/>
          <w:sz w:val="24"/>
          <w:highlight w:val="none"/>
        </w:rPr>
        <w:t xml:space="preserve">最低评标价法和综合评分法。</w:t>
      </w:r>
      <w:r/>
    </w:p>
    <w:p>
      <w:pPr>
        <w:ind w:firstLine="36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（二十八）评标</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1.评标工作程序：</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（1）投标文件初审。</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①资格性审查。</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②符合性审查。</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（2）澄清有关问题。</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（3）比较与评价。</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（4）推荐中标候选供应商名单。</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（5）编写评审报告（评标报告）。</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3.采用</w:t>
      </w:r>
      <w:r>
        <w:rPr>
          <w:color w:val="auto"/>
          <w:highlight w:val="none"/>
        </w:rPr>
        <w:fldChar w:fldCharType="begin"/>
      </w:r>
      <w:r>
        <w:rPr>
          <w:color w:val="auto"/>
          <w:highlight w:val="none"/>
        </w:rPr>
        <w:instrText xml:space="preserve">HYPERLINK "http://lilun.caigou2003.com/recijiedu/2365668.html" \t "_blank"</w:instrText>
      </w:r>
      <w:r>
        <w:rPr>
          <w:color w:val="auto"/>
          <w:highlight w:val="none"/>
        </w:rPr>
        <w:fldChar w:fldCharType="separate"/>
      </w:r>
      <w:r>
        <w:rPr>
          <w:rFonts w:hint="eastAsia" w:ascii="宋体" w:hAnsi="宋体" w:eastAsia="宋体" w:cs="宋体"/>
          <w:color w:val="auto"/>
          <w:sz w:val="24"/>
          <w:highlight w:val="none"/>
        </w:rPr>
        <w:t xml:space="preserve">最低评标价法</w:t>
      </w:r>
      <w:r>
        <w:rPr>
          <w:rFonts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（二十九）投标文件报价出现前后不一致的，按照下列规定修正：</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4.总价金额与按单价合计金额不一致的，以单价金额计算结果为准。</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ascii="宋体" w:hAnsi="宋体" w:eastAsia="宋体" w:cs="宋体"/>
          <w:i/>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457"/>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（三十二）废标条款：</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w:t>
      </w:r>
      <w:r/>
    </w:p>
    <w:p>
      <w:pPr>
        <w:ind w:firstLine="562"/>
        <w:jc w:val="center"/>
        <w:spacing w:line="5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六、定标</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（三十三）采购代理机构应当在评标结束后2个工作日内将评标报告送采购人。</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9"/>
        <w:ind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19"/>
      </w:pPr>
      <w:r/>
      <w:r/>
    </w:p>
    <w:p>
      <w:pPr>
        <w:ind w:firstLine="562"/>
        <w:jc w:val="center"/>
        <w:spacing w:line="52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七、政府采购合同</w:t>
      </w:r>
      <w:r/>
    </w:p>
    <w:p>
      <w:pPr>
        <w:ind w:firstLine="480"/>
        <w:spacing w:line="5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（三十六）签订政府采购合同（合同签订方式）：</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（三十八）履约保证金：</w:t>
      </w:r>
      <w:r/>
    </w:p>
    <w:p>
      <w:pPr>
        <w:pStyle w:val="809"/>
        <w:ind w:firstLine="600"/>
        <w:jc w:val="left"/>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详见《第三章 投标资料表</w:t>
      </w:r>
      <w:bookmarkStart w:id="36" w:name="_GoBack"/>
      <w:r>
        <w:rPr>
          <w:rFonts w:hint="eastAsia" w:ascii="宋体" w:hAnsi="宋体" w:eastAsia="宋体" w:cs="宋体"/>
          <w:color w:val="auto"/>
          <w:sz w:val="24"/>
          <w:szCs w:val="24"/>
          <w:highlight w:val="none"/>
          <w:lang w:val="en-US" w:eastAsia="zh-CN" w:bidi="ar-SA"/>
        </w:rPr>
        <w:t xml:space="preserve">》</w:t>
      </w:r>
      <w:bookmarkEnd w:id="36"/>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（三十九）腐败和欺诈行为：</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（1）腐败和欺诈行为的含义：</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（2）如果被推荐的中标人有腐败和欺诈行为，将取消其中标资格。</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562"/>
        <w:jc w:val="center"/>
        <w:spacing w:line="520" w:lineRule="exact"/>
        <w:widowControl/>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八、询问和质疑</w:t>
      </w:r>
      <w:r/>
    </w:p>
    <w:p>
      <w:pPr>
        <w:ind w:firstLine="480"/>
        <w:jc w:val="left"/>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（四十）询问和质疑</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7" w:name="_Toc3607"/>
      <w:r/>
      <w:bookmarkEnd w:id="7"/>
      <w:r/>
      <w:r/>
    </w:p>
    <w:p>
      <w:pPr>
        <w:pStyle w:val="809"/>
        <w:ind w:left="42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九、电子招标投标交易平台</w:t>
      </w:r>
      <w:r/>
    </w:p>
    <w:p>
      <w:pPr>
        <w:pStyle w:val="809"/>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Fonts w:hint="eastAsia" w:ascii="宋体" w:hAnsi="宋体" w:cs="宋体"/>
          <w:color w:val="auto"/>
          <w:sz w:val="24"/>
          <w:szCs w:val="24"/>
          <w:highlight w:val="none"/>
        </w:rPr>
        <w:t xml:space="preserve">http://jszfcg.jsczt.cn/</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）相关要求是本招标文件的组成部分。</w:t>
      </w:r>
      <w:r/>
    </w:p>
    <w:p>
      <w:pPr>
        <w:rPr>
          <w:rFonts w:ascii="宋体" w:hAnsi="宋体" w:eastAsia="宋体" w:cs="宋体"/>
          <w:color w:val="auto"/>
          <w:sz w:val="24"/>
          <w:highlight w:val="none"/>
        </w:rPr>
      </w:pPr>
      <w:r/>
      <w:bookmarkStart w:id="8" w:name="_Toc21083"/>
      <w:r>
        <w:rPr>
          <w:rFonts w:hint="eastAsia" w:ascii="宋体" w:hAnsi="宋体" w:eastAsia="宋体" w:cs="宋体"/>
          <w:color w:val="auto"/>
          <w:sz w:val="24"/>
          <w:highlight w:val="none"/>
        </w:rPr>
        <w:br w:type="page" w:clear="all"/>
      </w:r>
      <w:r/>
    </w:p>
    <w:p>
      <w:pPr>
        <w:pStyle w:val="75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投标资料表</w:t>
      </w:r>
      <w:bookmarkEnd w:id="8"/>
      <w:r/>
      <w:r/>
    </w:p>
    <w:p>
      <w:pPr>
        <w:pStyle w:val="780"/>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eastAsia="宋体" w:cs="宋体"/>
          <w:color w:val="auto"/>
          <w:sz w:val="24"/>
          <w:highlight w:val="none"/>
        </w:rPr>
      </w:pPr>
      <w:r>
        <w:rPr>
          <w:rFonts w:ascii="宋体" w:hAnsi="宋体" w:eastAsia="宋体" w:cs="宋体"/>
          <w:color w:val="auto"/>
          <w:sz w:val="24"/>
          <w:highlight w:val="none"/>
        </w:rPr>
      </w:r>
      <w:r/>
    </w:p>
    <w:tbl>
      <w:tblPr>
        <w:tblStyle w:val="765"/>
        <w:tblW w:w="985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9"/>
        <w:gridCol w:w="8013"/>
      </w:tblGrid>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jc w:val="cente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邳州市城市管理局</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w:t>
            </w:r>
            <w:r>
              <w:rPr>
                <w:rFonts w:hint="eastAsia" w:ascii="宋体" w:hAnsi="宋体" w:eastAsia="宋体" w:cs="宋体"/>
                <w:color w:val="auto"/>
                <w:sz w:val="24"/>
                <w:highlight w:val="none"/>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江苏雪岩招标有限公司</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(六)</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投标人的资格条件：</w:t>
            </w:r>
            <w:r/>
          </w:p>
          <w:p>
            <w:pPr>
              <w:spacing w:line="400" w:lineRule="exact"/>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一、符合《中华人民共和国政府采购法》第二十二条的规定；</w:t>
            </w:r>
            <w:r/>
          </w:p>
          <w:p>
            <w:pPr>
              <w:spacing w:line="400" w:lineRule="exact"/>
              <w:rPr>
                <w:rFonts w:ascii="宋体" w:hAnsi="宋体" w:cs="宋体"/>
                <w:b/>
                <w:bCs/>
                <w:color w:val="auto"/>
                <w:sz w:val="28"/>
                <w:szCs w:val="28"/>
                <w:highlight w:val="none"/>
              </w:rPr>
            </w:pPr>
            <w:r>
              <w:rPr>
                <w:rFonts w:hint="eastAsia" w:ascii="宋体" w:hAnsi="宋体" w:cs="宋体"/>
                <w:color w:val="auto"/>
                <w:sz w:val="24"/>
                <w:szCs w:val="32"/>
                <w:highlight w:val="none"/>
              </w:rPr>
              <w:t xml:space="preserve">二、落实政府采购政策需满足的资格要求：</w:t>
            </w:r>
            <w:r>
              <w:rPr>
                <w:rFonts w:hint="eastAsia" w:ascii="宋体" w:hAnsi="宋体" w:cs="宋体"/>
                <w:b/>
                <w:bCs/>
                <w:color w:val="auto"/>
                <w:sz w:val="24"/>
                <w:szCs w:val="32"/>
                <w:highlight w:val="none"/>
              </w:rPr>
              <w:t xml:space="preserve">此项目属于专门面向中小微企业采购的项目</w:t>
            </w:r>
            <w:r>
              <w:rPr>
                <w:rFonts w:hint="eastAsia" w:ascii="宋体" w:hAnsi="宋体" w:cs="宋体"/>
                <w:b/>
                <w:bCs/>
                <w:color w:val="auto"/>
                <w:sz w:val="24"/>
                <w:szCs w:val="32"/>
                <w:highlight w:val="none"/>
                <w:lang w:eastAsia="zh-CN"/>
              </w:rPr>
              <w:t xml:space="preserve">，</w:t>
            </w:r>
            <w:r>
              <w:rPr>
                <w:rFonts w:hint="eastAsia" w:ascii="宋体" w:hAnsi="宋体" w:cs="宋体"/>
                <w:b/>
                <w:bCs/>
                <w:color w:val="auto"/>
                <w:sz w:val="24"/>
                <w:szCs w:val="32"/>
                <w:highlight w:val="none"/>
              </w:rPr>
              <w:t xml:space="preserve">提供的服务全部由符合政策要求的中小企业承接。</w:t>
            </w:r>
            <w:r>
              <w:rPr>
                <w:rFonts w:hint="eastAsia" w:ascii="宋体" w:hAnsi="宋体" w:eastAsia="宋体" w:cs="宋体"/>
                <w:b/>
                <w:bCs/>
                <w:color w:val="auto"/>
                <w:sz w:val="24"/>
                <w:szCs w:val="32"/>
                <w:highlight w:val="none"/>
                <w:lang w:val="en-US" w:eastAsia="zh-CN"/>
              </w:rPr>
              <w:t xml:space="preserve">投标人</w:t>
            </w:r>
            <w:r>
              <w:rPr>
                <w:rFonts w:hint="eastAsia" w:ascii="宋体" w:hAnsi="宋体" w:cs="宋体"/>
                <w:b/>
                <w:bCs/>
                <w:color w:val="auto"/>
                <w:sz w:val="24"/>
                <w:szCs w:val="32"/>
                <w:highlight w:val="none"/>
              </w:rPr>
              <w:t xml:space="preserve">应为中小微企业、监狱企业、残疾人福利性单位。</w:t>
            </w:r>
            <w:r/>
          </w:p>
          <w:p>
            <w:pPr>
              <w:spacing w:line="400" w:lineRule="exact"/>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三、本项目的特定资格要求：无；</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同时明确相关事项如下：</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1、本项目不接受联合体参与采购活动。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2、单位负责人为同一人或者存在实际控制、直接控股、管理关系的不同供应商，不得参加同一合同项下的政府采购活动。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3、为本采购项目提供整体设计、规范编制或者项目管理、监理、检测等服务的供应商，不得再参加本采购项目的采购活动。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4、查询及使用供应商信用记录：</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⑴由采购人查询信用信息。</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⑵查询渠道包括：</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①“信用中国”网（www.creditchina.gov.cn）；</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②中国政府采购网（www.ccgp.gov.cn）；</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③“信用江苏”网（www.jscredit.gov.cn）；</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④“诚信徐州”网（ http：//www.xuzhoucredit.gov.cn）；</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⑶截止时点（查询环节）：资格审查结束前。</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⑷信用信息查询记录和证据留存的具体方式：</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⑸信用信息的使用规则：</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400" w:lineRule="exact"/>
              <w:rPr>
                <w:rFonts w:ascii="宋体" w:hAnsi="宋体" w:eastAsia="宋体" w:cs="宋体"/>
                <w:color w:val="auto"/>
                <w:sz w:val="24"/>
                <w:szCs w:val="32"/>
                <w:highlight w:val="none"/>
              </w:rPr>
            </w:pPr>
            <w:r>
              <w:rPr>
                <w:rFonts w:hint="eastAsia" w:ascii="宋体" w:hAnsi="宋体" w:eastAsia="宋体" w:cs="宋体"/>
                <w:color w:val="auto"/>
                <w:sz w:val="24"/>
                <w:highlight w:val="none"/>
              </w:rPr>
              <w:t xml:space="preserve">供应商信用评价结果参考期限从项目开标之日前三年起算，具体按照《江苏省政府采购信用管理暂行办法》（苏财规[2018]18号）执行。</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pStyle w:val="975"/>
              <w:jc w:val="center"/>
              <w:spacing w:line="288" w:lineRule="auto"/>
              <w:rPr>
                <w:rFonts w:ascii="宋体" w:hAnsi="宋体" w:cs="宋体"/>
                <w:color w:val="auto"/>
                <w:sz w:val="24"/>
                <w:highlight w:val="none"/>
              </w:rPr>
            </w:pPr>
            <w:r>
              <w:rPr>
                <w:rFonts w:hint="eastAsia" w:ascii="宋体" w:hAnsi="宋体" w:cs="宋体"/>
                <w:color w:val="auto"/>
                <w:sz w:val="22"/>
                <w:szCs w:val="22"/>
                <w:highlight w:val="none"/>
              </w:rPr>
              <w:t xml:space="preserve">（九）1</w:t>
            </w:r>
            <w:r/>
          </w:p>
        </w:tc>
        <w:tc>
          <w:tcPr>
            <w:tcBorders>
              <w:top w:val="single" w:color="auto" w:sz="4" w:space="0"/>
              <w:left w:val="single" w:color="auto" w:sz="4" w:space="0"/>
              <w:bottom w:val="single" w:color="auto" w:sz="4" w:space="0"/>
              <w:right w:val="single" w:color="auto" w:sz="4" w:space="0"/>
            </w:tcBorders>
            <w:tcW w:w="8013" w:type="dxa"/>
            <w:vAlign w:val="center"/>
            <w:textDirection w:val="lrTb"/>
            <w:noWrap w:val="false"/>
          </w:tcPr>
          <w:p>
            <w:pPr>
              <w:pStyle w:val="975"/>
              <w:rPr>
                <w:rFonts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pStyle w:val="975"/>
              <w:rPr>
                <w:rFonts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pStyle w:val="975"/>
              <w:jc w:val="center"/>
              <w:spacing w:line="288" w:lineRule="auto"/>
              <w:rPr>
                <w:rFonts w:ascii="宋体" w:hAnsi="宋体" w:cs="宋体"/>
                <w:color w:val="auto"/>
                <w:sz w:val="24"/>
                <w:highlight w:val="none"/>
              </w:rPr>
            </w:pPr>
            <w:r>
              <w:rPr>
                <w:rFonts w:hint="eastAsia" w:ascii="宋体" w:hAnsi="宋体" w:cs="宋体"/>
                <w:color w:val="auto"/>
                <w:sz w:val="22"/>
                <w:szCs w:val="22"/>
                <w:highlight w:val="none"/>
              </w:rPr>
              <w:t xml:space="preserve">（九）2</w:t>
            </w:r>
            <w:r/>
          </w:p>
        </w:tc>
        <w:tc>
          <w:tcPr>
            <w:tcBorders>
              <w:top w:val="single" w:color="auto" w:sz="4" w:space="0"/>
              <w:left w:val="single" w:color="auto" w:sz="4" w:space="0"/>
              <w:bottom w:val="single" w:color="auto" w:sz="4" w:space="0"/>
              <w:right w:val="single" w:color="auto" w:sz="4" w:space="0"/>
            </w:tcBorders>
            <w:tcW w:w="8013" w:type="dxa"/>
            <w:vAlign w:val="center"/>
            <w:textDirection w:val="lrTb"/>
            <w:noWrap w:val="false"/>
          </w:tcPr>
          <w:p>
            <w:pPr>
              <w:pStyle w:val="975"/>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pStyle w:val="975"/>
              <w:jc w:val="center"/>
              <w:spacing w:line="288" w:lineRule="auto"/>
              <w:rPr>
                <w:rFonts w:ascii="宋体" w:hAnsi="宋体" w:cs="宋体"/>
                <w:color w:val="auto"/>
                <w:sz w:val="24"/>
                <w:highlight w:val="none"/>
              </w:rPr>
            </w:pPr>
            <w:r>
              <w:rPr>
                <w:rFonts w:hint="eastAsia" w:ascii="宋体" w:hAnsi="宋体" w:cs="宋体"/>
                <w:color w:val="auto"/>
                <w:sz w:val="22"/>
                <w:szCs w:val="22"/>
                <w:highlight w:val="none"/>
              </w:rPr>
              <w:t xml:space="preserve">（九）3</w:t>
            </w:r>
            <w:r/>
          </w:p>
        </w:tc>
        <w:tc>
          <w:tcPr>
            <w:tcBorders>
              <w:top w:val="single" w:color="auto" w:sz="4" w:space="0"/>
              <w:left w:val="single" w:color="auto" w:sz="4" w:space="0"/>
              <w:bottom w:val="single" w:color="auto" w:sz="4" w:space="0"/>
              <w:right w:val="single" w:color="auto" w:sz="4" w:space="0"/>
            </w:tcBorders>
            <w:tcW w:w="8013" w:type="dxa"/>
            <w:vAlign w:val="center"/>
            <w:textDirection w:val="lrTb"/>
            <w:noWrap w:val="false"/>
          </w:tcPr>
          <w:p>
            <w:pPr>
              <w:pStyle w:val="975"/>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tc>
      </w:tr>
      <w:tr>
        <w:trPr>
          <w:trHeight w:val="482"/>
        </w:trPr>
        <w:tc>
          <w:tcPr>
            <w:tcBorders>
              <w:top w:val="single" w:color="auto" w:sz="4" w:space="0"/>
              <w:left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(十一)</w:t>
            </w:r>
            <w:r/>
          </w:p>
        </w:tc>
        <w:tc>
          <w:tcPr>
            <w:tcBorders>
              <w:top w:val="single" w:color="auto" w:sz="4" w:space="0"/>
              <w:left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839" w:type="dxa"/>
            <w:vAlign w:val="center"/>
            <w:textDirection w:val="lrTb"/>
            <w:noWrap w:val="false"/>
          </w:tcPr>
          <w:p>
            <w:pPr>
              <w:pStyle w:val="975"/>
              <w:jc w:val="center"/>
              <w:spacing w:line="288"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Borders>
              <w:top w:val="single" w:color="auto" w:sz="4" w:space="0"/>
              <w:left w:val="single" w:color="auto" w:sz="4" w:space="0"/>
              <w:bottom w:val="single" w:color="auto" w:sz="4" w:space="0"/>
              <w:right w:val="single" w:color="auto" w:sz="4" w:space="0"/>
            </w:tcBorders>
            <w:tcW w:w="8013" w:type="dxa"/>
            <w:vAlign w:val="center"/>
            <w:textDirection w:val="lrTb"/>
            <w:noWrap w:val="false"/>
          </w:tcPr>
          <w:p>
            <w:pPr>
              <w:pStyle w:val="809"/>
              <w:spacing w:line="264" w:lineRule="auto"/>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rFonts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5"/>
              <w:jc w:val="left"/>
              <w:spacing w:line="264" w:lineRule="auto"/>
              <w:rPr>
                <w:rFonts w:ascii="宋体" w:hAnsi="宋体" w:cs="宋体"/>
                <w:color w:val="auto"/>
                <w:sz w:val="24"/>
                <w:highlight w:val="none"/>
              </w:rPr>
            </w:pPr>
            <w:r>
              <w:rPr>
                <w:rFonts w:hint="eastAsia" w:ascii="宋体" w:hAnsi="宋体" w:cs="宋体"/>
                <w:b/>
                <w:bCs/>
                <w:color w:val="auto"/>
                <w:sz w:val="24"/>
                <w:highlight w:val="none"/>
              </w:rPr>
              <w:t xml:space="preserve">特别说明：政府采购客户端工具需要导出加密的投标文件（后缀名为zip）。投标文件不得超过150M！（以系统为准）</w:t>
            </w:r>
            <w:r/>
          </w:p>
        </w:tc>
      </w:tr>
      <w:tr>
        <w:trPr>
          <w:trHeight w:val="90"/>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(十二)</w:t>
            </w:r>
            <w:r/>
          </w:p>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线上投标文件编制要求：</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请按照以下要求（包括但不限于以下要求）制作：</w:t>
            </w:r>
            <w:r/>
          </w:p>
          <w:p>
            <w:pPr>
              <w:pStyle w:val="975"/>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一、基本目录</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1、《开标一览表》（加盖电子签章，政府采购客户端工具输入报价自动生成）；</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2、所投产品的环境标志产品认证证书原件的扫描件（如有）。</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（2）环境标志产品认证证书是否符合要求，采购人评标时查询中国政府采购网（www.ccgp.gov.cn）相关内容后确定。</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3、所投产品的节能产品认证证书原件的扫描件（如有）。</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（2）节能产品认证证书是否符合要求，采购人评标时查询中国政府采购网（www.ccgp.gov.cn）相关内容后确定。</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5、投标人认为需要提供的其他资料（如有）</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二、资格条件（1-6必须提供原件扫描件，否则投标无效）</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1、投标人合法有效的法人的营业执照(或事业单位法人证书)或其他组织应提供合法证明文件的原件扫描件(加盖电子签章)。</w:t>
            </w:r>
            <w:r/>
          </w:p>
          <w:p>
            <w:pPr>
              <w:pStyle w:val="975"/>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2、财务状况报告：</w:t>
            </w:r>
            <w:r>
              <w:rPr>
                <w:rFonts w:hint="eastAsia" w:ascii="宋体" w:hAnsi="宋体" w:cs="宋体"/>
                <w:color w:val="auto"/>
                <w:sz w:val="24"/>
                <w:szCs w:val="24"/>
                <w:highlight w:val="none"/>
              </w:rPr>
              <w:t xml:space="preserve">（即提供投标人的本项目开标时间前6个月内任何时间的资产负债表、利润表各一份或提供投标人上年度财务报告或投标人的本项目开标时间前6个月内银行出具的资信证明扫描件）；</w:t>
            </w:r>
            <w:r/>
          </w:p>
          <w:p>
            <w:pPr>
              <w:pStyle w:val="975"/>
              <w:spacing w:line="264" w:lineRule="auto"/>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3、投标人的本项目开标时间前6个月内（不含开标当月）任何1月的依法缴纳税收和社会保障资金的相关材料</w:t>
            </w:r>
            <w:r>
              <w:rPr>
                <w:rFonts w:hint="eastAsia" w:ascii="宋体" w:hAnsi="宋体" w:cs="宋体"/>
                <w:b/>
                <w:color w:val="auto"/>
                <w:sz w:val="24"/>
                <w:highlight w:val="none"/>
              </w:rPr>
              <w:t xml:space="preserve">原件</w:t>
            </w:r>
            <w:r>
              <w:rPr>
                <w:rFonts w:hint="eastAsia" w:ascii="宋体" w:hAnsi="宋体" w:cs="宋体"/>
                <w:color w:val="auto"/>
                <w:sz w:val="24"/>
                <w:highlight w:val="none"/>
              </w:rPr>
              <w:t xml:space="preserve">扫描件；依法免税或不需要缴纳社会保障资金的投标人应提供相应其依法免税或不需要缴纳社会保障资金的证明文件</w:t>
            </w:r>
            <w:r>
              <w:rPr>
                <w:rFonts w:hint="eastAsia" w:ascii="宋体" w:hAnsi="宋体" w:cs="宋体"/>
                <w:b/>
                <w:color w:val="auto"/>
                <w:sz w:val="24"/>
                <w:highlight w:val="none"/>
              </w:rPr>
              <w:t xml:space="preserve">原件</w:t>
            </w:r>
            <w:r>
              <w:rPr>
                <w:rFonts w:hint="eastAsia" w:ascii="宋体" w:hAnsi="宋体" w:cs="宋体"/>
                <w:color w:val="auto"/>
                <w:sz w:val="24"/>
                <w:highlight w:val="none"/>
              </w:rPr>
              <w:t xml:space="preserve">扫描件；</w:t>
            </w:r>
            <w:r/>
          </w:p>
          <w:p>
            <w:pPr>
              <w:pStyle w:val="809"/>
              <w:spacing w:line="400" w:lineRule="exact"/>
              <w:rPr>
                <w:rFonts w:hint="default"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4、具备履行合同所必需的设备和专业技术能力的证明材料（即提供投标人的至少2名为本项目服务的人员的劳动合同（书）扫描件）</w:t>
            </w:r>
            <w:r>
              <w:rPr>
                <w:rFonts w:hint="eastAsia" w:ascii="宋体" w:hAnsi="宋体" w:cs="宋体"/>
                <w:color w:val="0000ff"/>
                <w:sz w:val="24"/>
                <w:szCs w:val="24"/>
                <w:highlight w:val="none"/>
                <w:lang w:val="en-US" w:eastAsia="zh-CN"/>
              </w:rPr>
              <w:t xml:space="preserve">。</w:t>
            </w:r>
            <w:r/>
          </w:p>
          <w:p>
            <w:pPr>
              <w:pStyle w:val="975"/>
              <w:spacing w:line="264" w:lineRule="auto"/>
              <w:rPr>
                <w:rFonts w:ascii="宋体" w:hAnsi="宋体" w:cs="宋体"/>
                <w:b/>
                <w:bCs/>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Cs/>
                <w:sz w:val="24"/>
              </w:rPr>
              <w:t xml:space="preserve">投标人为中小企业（含中型、小型、微型企业，下同）的，提供《中小企业声明函》（加盖电子签章，格式见招标文件第七章《投标文件相关格式》）（必须提供，请填写完整）。”《中小企业声明函》查询渠道参考工业和信息化部发布的中小企业规模自测小程序。</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注：中小企业（含中型、小型、微型企业，下同），应当同时符合以下条件：</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① 符合中小企业划分标准；</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② 提供本企业制造的货物、承担的工程或者服务，或者提供其他中小企业制造的货物。本项所称货物不包括使用大型企业注册商标的货物。</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小型、微型企业提供中型企业制造的货物的，视同为中型企业。</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w:t>
            </w:r>
            <w:r>
              <w:rPr>
                <w:rFonts w:hint="eastAsia" w:ascii="宋体" w:hAnsi="宋体" w:cs="宋体"/>
                <w:color w:val="auto"/>
                <w:sz w:val="24"/>
                <w:highlight w:val="none"/>
                <w:lang w:eastAsia="zh-CN"/>
              </w:rPr>
              <w:t xml:space="preserve">291.18</w:t>
            </w:r>
            <w:r>
              <w:rPr>
                <w:rFonts w:hint="eastAsia" w:ascii="宋体" w:hAnsi="宋体" w:cs="宋体"/>
                <w:color w:val="auto"/>
                <w:sz w:val="24"/>
                <w:highlight w:val="none"/>
              </w:rPr>
              <w:t xml:space="preserve">号）的规定为准。</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　　（一）安置的残疾人占本单位在职职工人数的比例不低于25%（含25%），并且安置的残疾人人数不少于10人（含10人）；</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　　（二）依法与安置的每位残疾人签订了一年以上（含一年）的劳动合同或服务协议；</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　　（三）为安置的每位残疾人按月足额缴纳了基本养老保险、基本医疗保险、失业保险、工伤保险和生育保险等社会保险费；</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　　（四）通过银行等金融机构向安置的每位残疾人，按月支付了不低于单位所在区县适用的经省级人民政府批准的月最低工资标准的工资；</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975"/>
              <w:ind w:firstLine="487"/>
              <w:spacing w:line="264" w:lineRule="auto"/>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5"/>
              <w:ind w:firstLine="487"/>
              <w:spacing w:line="264" w:lineRule="auto"/>
              <w:rPr>
                <w:rFonts w:ascii="宋体" w:hAnsi="宋体" w:cs="宋体"/>
                <w:b/>
                <w:bCs/>
                <w:color w:val="auto"/>
                <w:sz w:val="24"/>
                <w:highlight w:val="none"/>
              </w:rPr>
            </w:pPr>
            <w:r>
              <w:rPr>
                <w:rFonts w:hint="eastAsia" w:ascii="宋体" w:hAnsi="宋体" w:cs="宋体"/>
                <w:color w:val="auto"/>
                <w:sz w:val="24"/>
                <w:highlight w:val="none"/>
              </w:rPr>
              <w:t xml:space="preserve">具体以《三部门联合发布关于促进残疾人就业政府采购政策的通知》（财库〔2017〕141号）规定为准。</w:t>
            </w:r>
            <w:r/>
          </w:p>
          <w:p>
            <w:pPr>
              <w:pStyle w:val="975"/>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三、符合条件（必须提供，否则投标无效）</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（一）报价</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1、《开标一览表》（加盖电子签章，格式见招标文件第七章《投标文件相关格式》。）</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2、《分项价格表》（加盖电子签章，格式见招标文件第七章《投标文件相关格式》。）</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（二）商务资信</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1、《投标函》（加盖电子签章，格式见招标文件第七章《投标文件相关格式》。）</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2、《授权委托书》（加盖电子签章，格式见招标文件第七章《投标文件相关格式》）</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（三）技术响应</w:t>
            </w:r>
            <w:r/>
          </w:p>
          <w:p>
            <w:pPr>
              <w:pStyle w:val="975"/>
              <w:spacing w:line="264"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1、《偏离表》（加盖电子签章，格式见招标文件第七章《投标文件相关格式》。）</w:t>
            </w:r>
            <w:r/>
          </w:p>
          <w:p>
            <w:pPr>
              <w:pStyle w:val="975"/>
              <w:spacing w:line="264"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四、综合评审评分项</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（一）技术部分</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szCs w:val="24"/>
              </w:rPr>
              <w:t xml:space="preserve">项目管理方案</w:t>
            </w:r>
            <w:r>
              <w:rPr>
                <w:rFonts w:ascii="宋体" w:hAnsi="宋体" w:eastAsia="宋体" w:cs="宋体"/>
                <w:color w:val="auto"/>
                <w:sz w:val="24"/>
                <w:highlight w:val="none"/>
              </w:rPr>
              <w:t xml:space="preserve">（格式自拟，要求见招标文件第六章《采购需求》）</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szCs w:val="24"/>
              </w:rPr>
              <w:t xml:space="preserve">对本项目整体分析方案</w:t>
            </w:r>
            <w:r>
              <w:rPr>
                <w:rFonts w:ascii="宋体" w:hAnsi="宋体" w:eastAsia="宋体" w:cs="宋体"/>
                <w:color w:val="auto"/>
                <w:sz w:val="24"/>
                <w:highlight w:val="none"/>
              </w:rPr>
              <w:t xml:space="preserve">（格式自拟，要求见招标文件第六章《采购需求》）</w:t>
            </w:r>
            <w:r/>
          </w:p>
          <w:p>
            <w:pPr>
              <w:spacing w:line="400" w:lineRule="atLeast"/>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szCs w:val="24"/>
              </w:rPr>
              <w:t xml:space="preserve">管理</w:t>
            </w:r>
            <w:r>
              <w:rPr>
                <w:rFonts w:hint="eastAsia" w:ascii="宋体" w:hAnsi="宋体" w:eastAsia="宋体" w:cs="宋体"/>
                <w:color w:val="auto"/>
                <w:sz w:val="24"/>
                <w:szCs w:val="24"/>
                <w:lang w:val="en-US" w:eastAsia="zh-CN"/>
              </w:rPr>
              <w:t xml:space="preserve">运行</w:t>
            </w:r>
            <w:r>
              <w:rPr>
                <w:rFonts w:hint="eastAsia" w:ascii="宋体" w:hAnsi="宋体" w:eastAsia="宋体" w:cs="宋体"/>
                <w:color w:val="auto"/>
                <w:sz w:val="24"/>
                <w:szCs w:val="24"/>
              </w:rPr>
              <w:t xml:space="preserve">方案</w:t>
            </w:r>
            <w:r>
              <w:rPr>
                <w:rFonts w:ascii="宋体" w:hAnsi="宋体" w:eastAsia="宋体" w:cs="宋体"/>
                <w:color w:val="auto"/>
                <w:sz w:val="24"/>
                <w:highlight w:val="none"/>
              </w:rPr>
              <w:t xml:space="preserve">（格式自拟，要求见招标文件第六章《采购需求》）</w:t>
            </w:r>
            <w:r/>
          </w:p>
          <w:p>
            <w:pPr>
              <w:spacing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ascii="宋体" w:hAnsi="宋体" w:eastAsia="宋体" w:cs="宋体"/>
                <w:color w:val="auto"/>
                <w:sz w:val="24"/>
                <w:highlight w:val="none"/>
              </w:rPr>
              <w:t xml:space="preserve">.</w:t>
            </w:r>
            <w:r>
              <w:rPr>
                <w:rFonts w:hint="eastAsia" w:ascii="宋体" w:hAnsi="宋体" w:eastAsia="宋体" w:cs="宋体"/>
                <w:color w:val="auto"/>
                <w:sz w:val="24"/>
                <w:szCs w:val="24"/>
                <w:lang w:val="en-US" w:eastAsia="zh-CN"/>
              </w:rPr>
              <w:t xml:space="preserve">回收</w:t>
            </w:r>
            <w:r>
              <w:rPr>
                <w:rFonts w:hint="eastAsia" w:ascii="宋体" w:hAnsi="宋体" w:eastAsia="宋体" w:cs="宋体"/>
                <w:color w:val="auto"/>
                <w:sz w:val="24"/>
                <w:szCs w:val="24"/>
              </w:rPr>
              <w:t xml:space="preserve">方案</w:t>
            </w:r>
            <w:r>
              <w:rPr>
                <w:rFonts w:ascii="宋体" w:hAnsi="宋体" w:eastAsia="宋体" w:cs="宋体"/>
                <w:color w:val="auto"/>
                <w:sz w:val="24"/>
                <w:highlight w:val="none"/>
              </w:rPr>
              <w:t xml:space="preserve">（格式自拟，要求见招标文件第六章《采购需求》）</w:t>
            </w:r>
            <w:r/>
          </w:p>
          <w:p>
            <w:pPr>
              <w:pStyle w:val="78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lang w:val="en-US" w:eastAsia="zh-CN" w:bidi="ar-SA"/>
              </w:rPr>
              <w:t xml:space="preserve">5.人员配置作业要求方案</w:t>
            </w:r>
            <w:r>
              <w:rPr>
                <w:rFonts w:hint="eastAsia" w:ascii="宋体" w:hAnsi="宋体" w:eastAsia="宋体" w:cs="宋体"/>
                <w:b w:val="0"/>
                <w:bCs w:val="0"/>
                <w:color w:val="auto"/>
                <w:sz w:val="24"/>
                <w:szCs w:val="24"/>
                <w:highlight w:val="none"/>
                <w:lang w:val="en-US" w:eastAsia="zh-CN" w:bidi="ar-SA"/>
              </w:rPr>
              <w:t xml:space="preserve">（格式自拟，要求见招标文件第六章《采购需求》）</w:t>
            </w:r>
            <w:r>
              <w:rPr>
                <w:rFonts w:hint="eastAsia" w:ascii="宋体" w:hAnsi="宋体"/>
                <w:b w:val="0"/>
                <w:bCs w:val="0"/>
                <w:color w:val="auto"/>
                <w:sz w:val="28"/>
                <w:szCs w:val="28"/>
                <w:lang w:val="en-US" w:eastAsia="zh-CN"/>
              </w:rPr>
              <w:br/>
            </w:r>
            <w:r>
              <w:rPr>
                <w:rFonts w:hint="eastAsia" w:ascii="宋体" w:hAnsi="宋体" w:eastAsia="宋体" w:cs="宋体"/>
                <w:b w:val="0"/>
                <w:bCs w:val="0"/>
                <w:color w:val="auto"/>
                <w:sz w:val="24"/>
                <w:szCs w:val="24"/>
                <w:lang w:val="en-US" w:eastAsia="zh-CN" w:bidi="ar-SA"/>
              </w:rPr>
              <w:t xml:space="preserve">6</w:t>
            </w:r>
            <w:r>
              <w:rPr>
                <w:rFonts w:hint="eastAsia" w:ascii="宋体" w:hAnsi="宋体"/>
                <w:b w:val="0"/>
                <w:bCs w:val="0"/>
                <w:color w:val="auto"/>
                <w:sz w:val="28"/>
                <w:szCs w:val="28"/>
                <w:lang w:val="en-US" w:eastAsia="zh-CN"/>
              </w:rPr>
              <w:t xml:space="preserve">.</w:t>
            </w:r>
            <w:r>
              <w:rPr>
                <w:rFonts w:hint="eastAsia" w:ascii="宋体" w:hAnsi="宋体" w:eastAsia="宋体" w:cs="宋体"/>
                <w:b w:val="0"/>
                <w:bCs w:val="0"/>
                <w:color w:val="auto"/>
                <w:sz w:val="24"/>
                <w:szCs w:val="24"/>
                <w:lang w:val="en-US" w:eastAsia="zh-CN" w:bidi="ar-SA"/>
              </w:rPr>
              <w:t xml:space="preserve">人员培训、考核等管理方案</w:t>
            </w:r>
            <w:r>
              <w:rPr>
                <w:rFonts w:hint="eastAsia" w:ascii="宋体" w:hAnsi="宋体" w:eastAsia="宋体" w:cs="宋体"/>
                <w:b w:val="0"/>
                <w:bCs w:val="0"/>
                <w:color w:val="auto"/>
                <w:sz w:val="24"/>
                <w:szCs w:val="24"/>
                <w:highlight w:val="none"/>
                <w:lang w:val="en-US" w:eastAsia="zh-CN" w:bidi="ar-SA"/>
              </w:rPr>
              <w:t xml:space="preserve">（格式自拟，要求见招标文件第六章《采购需求》）</w:t>
            </w:r>
            <w:r/>
          </w:p>
          <w:p>
            <w:pPr>
              <w:rPr>
                <w:rFonts w:hint="default"/>
                <w:lang w:val="en-US" w:eastAsia="zh-CN"/>
              </w:rPr>
            </w:pPr>
            <w:r>
              <w:rPr>
                <w:rFonts w:hint="eastAsia" w:ascii="宋体" w:hAnsi="宋体"/>
                <w:b w:val="0"/>
                <w:bCs w:val="0"/>
                <w:color w:val="auto"/>
                <w:sz w:val="28"/>
                <w:szCs w:val="28"/>
                <w:lang w:val="en-US" w:eastAsia="zh-CN"/>
              </w:rPr>
              <w:t xml:space="preserve">7.</w:t>
            </w:r>
            <w:r>
              <w:rPr>
                <w:rFonts w:hint="eastAsia" w:ascii="宋体" w:hAnsi="宋体" w:eastAsia="宋体" w:cs="宋体"/>
                <w:b w:val="0"/>
                <w:bCs w:val="0"/>
                <w:color w:val="auto"/>
                <w:sz w:val="24"/>
                <w:szCs w:val="24"/>
                <w:lang w:val="en-US" w:eastAsia="zh-CN" w:bidi="ar-SA"/>
              </w:rPr>
              <w:t xml:space="preserve">安全文明生产</w:t>
            </w:r>
            <w:r>
              <w:rPr>
                <w:rFonts w:hint="eastAsia" w:ascii="宋体" w:hAnsi="宋体" w:eastAsia="宋体" w:cs="宋体"/>
                <w:b w:val="0"/>
                <w:bCs w:val="0"/>
                <w:color w:val="auto"/>
                <w:sz w:val="24"/>
                <w:szCs w:val="24"/>
                <w:highlight w:val="none"/>
                <w:lang w:val="en-US" w:eastAsia="zh-CN" w:bidi="ar-SA"/>
              </w:rPr>
              <w:t xml:space="preserve">（格式自拟，要求见招标文件第六章《采购需求》）</w:t>
            </w:r>
            <w:r/>
          </w:p>
          <w:p>
            <w:pPr>
              <w:spacing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（二）商务部分</w:t>
            </w:r>
            <w:r/>
          </w:p>
          <w:p>
            <w:pPr>
              <w:spacing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1.投标人业绩（要求见招标文件第四章《评标标准》）</w:t>
            </w:r>
            <w:r>
              <w:rPr>
                <w:rFonts w:hint="eastAsia" w:ascii="宋体" w:hAnsi="宋体" w:eastAsia="宋体" w:cs="宋体"/>
                <w:color w:val="auto"/>
                <w:sz w:val="24"/>
                <w:highlight w:val="none"/>
              </w:rPr>
              <w:t xml:space="preserve">；</w:t>
            </w:r>
            <w:r/>
          </w:p>
          <w:p>
            <w:pPr>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w:t>
            </w:r>
            <w:r>
              <w:rPr>
                <w:rFonts w:hint="eastAsia" w:ascii="宋体" w:hAnsi="宋体" w:eastAsia="宋体" w:cs="宋体"/>
                <w:color w:val="auto"/>
                <w:sz w:val="24"/>
                <w:highlight w:val="none"/>
                <w:lang w:val="en-US" w:eastAsia="zh-CN"/>
              </w:rPr>
              <w:t xml:space="preserve">综合实力</w:t>
            </w:r>
            <w:r>
              <w:rPr>
                <w:rFonts w:ascii="宋体" w:hAnsi="宋体" w:eastAsia="宋体" w:cs="宋体"/>
                <w:color w:val="auto"/>
                <w:sz w:val="24"/>
                <w:highlight w:val="none"/>
              </w:rPr>
              <w:t xml:space="preserve">（要求见招标文件第四章《评标标准》）</w:t>
            </w:r>
            <w:r>
              <w:rPr>
                <w:rFonts w:hint="eastAsia" w:ascii="宋体" w:hAnsi="宋体" w:cs="宋体"/>
                <w:color w:val="auto"/>
                <w:sz w:val="24"/>
                <w:highlight w:val="none"/>
              </w:rPr>
              <w:t xml:space="preserve">。</w:t>
            </w:r>
            <w:r/>
          </w:p>
          <w:p>
            <w:pPr>
              <w:pStyle w:val="975"/>
              <w:spacing w:line="264" w:lineRule="auto"/>
              <w:rPr>
                <w:rFonts w:ascii="宋体" w:hAnsi="宋体" w:cs="宋体"/>
                <w:b/>
                <w:color w:val="auto"/>
                <w:sz w:val="24"/>
                <w:highlight w:val="none"/>
              </w:rPr>
            </w:pPr>
            <w:r>
              <w:rPr>
                <w:rFonts w:hint="eastAsia" w:ascii="宋体" w:hAnsi="宋体" w:cs="宋体"/>
                <w:b/>
                <w:color w:val="auto"/>
                <w:sz w:val="24"/>
                <w:highlight w:val="none"/>
              </w:rPr>
              <w:t xml:space="preserve">五、报价折扣证明</w:t>
            </w:r>
            <w:r/>
          </w:p>
          <w:p>
            <w:pPr>
              <w:pStyle w:val="975"/>
              <w:spacing w:line="264"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1、投标人应对以上文件的合法性、真实性负责。</w:t>
            </w:r>
            <w:r/>
          </w:p>
          <w:p>
            <w:pPr>
              <w:pStyle w:val="975"/>
              <w:ind w:firstLine="480"/>
              <w:spacing w:line="264"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签订合同前，中标人必须向采购人提交其投标文件中所有扫描件的原件，采购人核查无误后，签订合同。如中标人不能在采购人规定的时间内向采购人提供，将被采购人视为放弃中标资格。</w:t>
            </w:r>
            <w:r/>
          </w:p>
          <w:p>
            <w:pPr>
              <w:spacing w:line="400" w:lineRule="exact"/>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3、线下纸质投标文件：中标人领取中标通知书时须向代理机构提交纸质胶装投标文件一正一副，后期招标人如有需要中标人仍需免费提供。</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(十三)</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商务条件见：</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1.招标文件第四章《评标标准》中《评分细则》</w:t>
            </w:r>
            <w:r/>
          </w:p>
          <w:p>
            <w:pPr>
              <w:ind w:right="28" w:firstLine="360"/>
              <w:jc w:val="left"/>
              <w:spacing w:line="400" w:lineRule="exact"/>
              <w:widowControl/>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2.本文件第三章《投标资料表》中(十二)</w:t>
            </w:r>
            <w:r/>
          </w:p>
        </w:tc>
      </w:tr>
      <w:tr>
        <w:trPr>
          <w:trHeight w:val="762"/>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(十四)</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交货和</w:t>
            </w:r>
            <w:r>
              <w:rPr>
                <w:rFonts w:hint="eastAsia" w:ascii="宋体" w:hAnsi="宋体" w:eastAsia="宋体" w:cs="宋体"/>
                <w:color w:val="auto"/>
                <w:sz w:val="24"/>
                <w:highlight w:val="none"/>
              </w:rPr>
              <w:t xml:space="preserve">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(十五)</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520" w:lineRule="exact"/>
              <w:rPr>
                <w:rFonts w:ascii="宋体" w:hAnsi="宋体" w:eastAsia="宋体" w:cs="宋体"/>
                <w:color w:val="auto"/>
                <w:highlight w:val="none"/>
              </w:rPr>
            </w:pPr>
            <w:r>
              <w:rPr>
                <w:rFonts w:hint="eastAsia" w:ascii="宋体" w:hAnsi="宋体" w:eastAsia="宋体" w:cs="宋体"/>
                <w:b/>
                <w:bCs/>
                <w:color w:val="auto"/>
                <w:sz w:val="24"/>
                <w:highlight w:val="none"/>
              </w:rPr>
              <w:t xml:space="preserve">本项目不接受超过</w:t>
            </w:r>
            <w:r>
              <w:rPr>
                <w:rFonts w:hint="eastAsia" w:ascii="宋体" w:hAnsi="宋体" w:eastAsia="宋体" w:cs="宋体"/>
                <w:b/>
                <w:bCs/>
                <w:color w:val="auto"/>
                <w:sz w:val="24"/>
                <w:highlight w:val="none"/>
                <w:lang w:val="en-US" w:eastAsia="zh-CN"/>
              </w:rPr>
              <w:t xml:space="preserve">291.18</w:t>
            </w:r>
            <w:r>
              <w:rPr>
                <w:rFonts w:hint="eastAsia" w:ascii="宋体" w:hAnsi="宋体" w:eastAsia="宋体" w:cs="宋体"/>
                <w:b/>
                <w:bCs/>
                <w:color w:val="auto"/>
                <w:sz w:val="24"/>
                <w:highlight w:val="none"/>
              </w:rPr>
              <w:t xml:space="preserve">万元人民币（采购项目预算金额）的投标报价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不再支付报价以外的任何费用。</w:t>
            </w:r>
            <w:r>
              <w:rPr>
                <w:rFonts w:hint="eastAsia" w:ascii="宋体" w:hAnsi="宋体" w:eastAsia="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投标货币：以人民币报价。</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投标人应当通过“苏采云”系统提交数据电文形式的投标文件（即电子投标）。</w:t>
            </w:r>
            <w:r/>
          </w:p>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特别说明：通过“苏采云”系统提交政府采购客户端工具导出加密的投标文件（后缀名为zip）。</w:t>
            </w:r>
            <w:r>
              <w:rPr>
                <w:rFonts w:hint="eastAsia" w:ascii="宋体" w:hAnsi="宋体" w:cs="宋体"/>
                <w:b/>
                <w:color w:val="auto"/>
                <w:sz w:val="24"/>
                <w:szCs w:val="24"/>
                <w:highlight w:val="none"/>
              </w:rPr>
              <w:t xml:space="preserve">投标文件不得超过150M</w:t>
            </w:r>
            <w:r>
              <w:rPr>
                <w:rFonts w:hint="eastAsia" w:ascii="宋体" w:hAnsi="宋体" w:cs="宋体"/>
                <w:bCs/>
                <w:color w:val="auto"/>
                <w:sz w:val="24"/>
                <w:szCs w:val="24"/>
                <w:highlight w:val="none"/>
              </w:rPr>
              <w:t xml:space="preserve">！</w:t>
            </w:r>
            <w:r/>
          </w:p>
          <w:p>
            <w:pPr>
              <w:spacing w:line="40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(十八)</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电子投标文件应由其法定代表人或法定代表人授权代表在规定的网上投标时间内，凭 CA 证书登陆“苏采云”系统在线编制投标文件，并在投标截止时间之前上传投标文件。</w:t>
            </w:r>
            <w:r/>
          </w:p>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一、线上开标时间：</w:t>
            </w:r>
            <w:r>
              <w:rPr>
                <w:rFonts w:hint="eastAsia" w:ascii="宋体" w:hAnsi="宋体" w:eastAsia="宋体" w:cs="宋体"/>
                <w:color w:val="auto"/>
                <w:sz w:val="24"/>
                <w:highlight w:val="none"/>
                <w:lang w:eastAsia="zh-CN"/>
              </w:rPr>
              <w:t xml:space="preserve">2024年5月27日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eastAsia="zh-CN"/>
              </w:rPr>
              <w:t xml:space="preserve">09:30</w:t>
            </w:r>
            <w:r>
              <w:rPr>
                <w:rFonts w:hint="eastAsia" w:ascii="宋体" w:hAnsi="宋体" w:eastAsia="宋体" w:cs="宋体"/>
                <w:color w:val="auto"/>
                <w:sz w:val="24"/>
                <w:highlight w:val="none"/>
              </w:rPr>
              <w:t xml:space="preserve">。</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二、线上开标地点：“苏采云”系统（网址：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9"/>
              <w:spacing w:line="400" w:lineRule="exact"/>
              <w:rPr>
                <w:rFonts w:ascii="宋体" w:hAnsi="宋体" w:cs="宋体"/>
                <w:color w:val="auto"/>
                <w:sz w:val="24"/>
                <w:highlight w:val="none"/>
              </w:rPr>
            </w:pPr>
            <w:r>
              <w:rPr>
                <w:rFonts w:hint="eastAsia" w:ascii="宋体" w:hAnsi="宋体" w:cs="宋体"/>
                <w:bCs/>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（二十一）</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jc w:val="lef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(二十二)</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(二十三)</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ind w:left="480" w:hanging="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ind w:left="480" w:hanging="480"/>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二、采用综合评分法的，按评审后得分由高到低顺序排列。得分相同的，按投标报价由低到高顺序排列。得分且投标报价相同的，按技术部分综合得分顺序排列。</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1.评标中需要投标人对投标文件澄清或者说明的，应当通过“苏采云”系统交换数据电文。在评标期间，请投标人保持在线。</w:t>
            </w:r>
            <w:r/>
          </w:p>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09"/>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9"/>
              <w:spacing w:line="400" w:lineRule="exact"/>
              <w:rPr>
                <w:rFonts w:ascii="宋体" w:hAnsi="宋体" w:cs="宋体"/>
                <w:color w:val="auto"/>
                <w:sz w:val="24"/>
                <w:highlight w:val="none"/>
              </w:rPr>
            </w:pPr>
            <w:r>
              <w:rPr>
                <w:rFonts w:hint="eastAsia" w:ascii="宋体" w:hAnsi="宋体" w:cs="宋体"/>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(二十四)</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采购人与中标、成交供应商应当在中标、成交通知书发出之日起30日内，按照采购文件确定的事项签订政府采购合同。</w:t>
            </w:r>
            <w:r/>
          </w:p>
        </w:tc>
      </w:tr>
      <w:tr>
        <w:trPr>
          <w:trHeight w:val="465"/>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（二十五）</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hint="default" w:ascii="宋体" w:hAnsi="宋体" w:eastAsia="宋体" w:cs="宋体"/>
                <w:b w:val="0"/>
                <w:bCs/>
                <w:color w:val="auto"/>
                <w:sz w:val="24"/>
                <w:highlight w:val="none"/>
                <w:lang w:val="en-US"/>
              </w:rPr>
            </w:pPr>
            <w:r>
              <w:rPr>
                <w:rFonts w:hint="eastAsia" w:ascii="宋体" w:hAnsi="宋体" w:eastAsia="宋体" w:cs="宋体"/>
                <w:b w:val="0"/>
                <w:bCs/>
                <w:color w:val="auto"/>
                <w:sz w:val="24"/>
                <w:highlight w:val="none"/>
              </w:rPr>
              <w:t xml:space="preserve">履约保证金：无。</w:t>
            </w:r>
            <w:r/>
          </w:p>
        </w:tc>
      </w:tr>
      <w:tr>
        <w:trPr>
          <w:trHeight w:val="402"/>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八</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询问和质疑</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(二十六)</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供应商在法定质疑期内一次性提出针对同一采购程序环节的质疑。</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val="en-US" w:eastAsia="zh-CN"/>
              </w:rPr>
              <w:t xml:space="preserve">袁亚年</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18136001038</w:t>
            </w:r>
            <w:r>
              <w:rPr>
                <w:rFonts w:hint="eastAsia" w:ascii="宋体" w:hAnsi="宋体" w:eastAsia="宋体" w:cs="宋体"/>
                <w:color w:val="auto"/>
                <w:sz w:val="24"/>
                <w:highlight w:val="none"/>
              </w:rPr>
              <w:t xml:space="preserve">；</w:t>
            </w:r>
            <w:r/>
          </w:p>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办公地址：</w:t>
            </w:r>
            <w:r>
              <w:rPr>
                <w:rFonts w:hint="eastAsia" w:ascii="宋体" w:hAnsi="宋体" w:eastAsia="宋体" w:cs="宋体"/>
                <w:color w:val="auto"/>
                <w:sz w:val="24"/>
                <w:highlight w:val="none"/>
                <w:lang w:eastAsia="zh-CN"/>
              </w:rPr>
              <w:t xml:space="preserve">徐州市鼓楼区奔腾大道7号（鼓楼数字产业园7号楼310室）</w:t>
            </w:r>
            <w:r/>
          </w:p>
        </w:tc>
      </w:tr>
      <w:tr>
        <w:trPr/>
        <w:tc>
          <w:tcPr>
            <w:tcBorders>
              <w:top w:val="single" w:color="auto" w:sz="4" w:space="0"/>
              <w:left w:val="single" w:color="auto" w:sz="4" w:space="0"/>
              <w:bottom w:val="single" w:color="auto" w:sz="4" w:space="0"/>
              <w:right w:val="single" w:color="auto" w:sz="4" w:space="0"/>
            </w:tcBorders>
            <w:tcW w:w="1839" w:type="dxa"/>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附件说明</w:t>
            </w:r>
            <w:r/>
          </w:p>
        </w:tc>
        <w:tc>
          <w:tcPr>
            <w:tcBorders>
              <w:top w:val="single" w:color="auto" w:sz="4" w:space="0"/>
              <w:left w:val="single" w:color="auto" w:sz="4" w:space="0"/>
              <w:bottom w:val="single" w:color="auto" w:sz="4" w:space="0"/>
              <w:right w:val="single" w:color="auto" w:sz="4" w:space="0"/>
            </w:tcBorders>
            <w:tcW w:w="8013" w:type="dxa"/>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rPr>
          <w:rFonts w:ascii="宋体" w:hAnsi="宋体" w:eastAsia="宋体" w:cs="宋体"/>
          <w:color w:val="auto"/>
          <w:sz w:val="24"/>
          <w:highlight w:val="none"/>
        </w:rPr>
      </w:pPr>
      <w:r/>
      <w:bookmarkStart w:id="9" w:name="_Toc17427"/>
      <w:r/>
      <w:bookmarkStart w:id="10" w:name="_Toc31872"/>
      <w:r>
        <w:rPr>
          <w:rFonts w:hint="eastAsia" w:ascii="宋体" w:hAnsi="宋体" w:eastAsia="宋体" w:cs="宋体"/>
          <w:color w:val="auto"/>
          <w:sz w:val="24"/>
          <w:highlight w:val="none"/>
        </w:rPr>
        <w:br w:type="page" w:clear="all"/>
      </w:r>
      <w:r/>
    </w:p>
    <w:tbl>
      <w:tblPr>
        <w:tblStyle w:val="765"/>
        <w:tblpPr w:horzAnchor="page" w:tblpX="1830" w:vertAnchor="text" w:tblpY="872" w:leftFromText="180" w:topFromText="0" w:rightFromText="180" w:bottomFromText="0"/>
        <w:tblW w:w="8309"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Borders>
              <w:top w:val="single" w:color="auto" w:sz="4" w:space="0"/>
            </w:tcBorders>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货物</w:t>
            </w:r>
            <w:r/>
          </w:p>
        </w:tc>
        <w:tc>
          <w:tcPr>
            <w:tcBorders>
              <w:top w:val="single" w:color="auto" w:sz="4" w:space="0"/>
            </w:tcBorders>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w:t>
            </w:r>
            <w:r/>
          </w:p>
        </w:tc>
        <w:tc>
          <w:tcPr>
            <w:tcBorders>
              <w:top w:val="single" w:color="auto" w:sz="4" w:space="0"/>
            </w:tcBorders>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工程</w:t>
            </w:r>
            <w:r/>
          </w:p>
        </w:tc>
        <w:tc>
          <w:tcPr>
            <w:tcBorders>
              <w:top w:val="single" w:color="auto" w:sz="4" w:space="0"/>
            </w:tcBorders>
            <w:tcW w:w="197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收费上下限</w:t>
            </w:r>
            <w:r/>
          </w:p>
        </w:tc>
      </w:tr>
      <w:tr>
        <w:trPr>
          <w:trHeight w:val="24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100万以下</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1.50%</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w:t>
            </w:r>
            <w:r/>
          </w:p>
        </w:tc>
        <w:tc>
          <w:tcPr>
            <w:tcW w:w="1971" w:type="dxa"/>
            <w:vAlign w:val="center"/>
            <w:vMerge w:val="restart"/>
            <w:textDirection w:val="lrTb"/>
            <w:noWrap w:val="false"/>
          </w:tcPr>
          <w:p>
            <w:pP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最低5千元</w:t>
            </w:r>
            <w:r/>
          </w:p>
          <w:p>
            <w:pP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最高15万元</w:t>
            </w:r>
            <w:r/>
          </w:p>
          <w:p>
            <w:pPr>
              <w:ind w:firstLine="280"/>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4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500万</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0.80%</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0.70%</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24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1000万</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0.45%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0.55%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l000万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5000万</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0.50%</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0.35%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5000万</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l亿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0.10%</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0.20%</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10亿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0.035%</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0.035%</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0.035%</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10亿</w:t>
            </w:r>
            <w:r>
              <w:rPr>
                <w:rFonts w:hint="eastAsia" w:ascii="宋体" w:hAnsi="宋体" w:eastAsia="宋体" w:cs="宋体"/>
                <w:color w:val="333333"/>
                <w:sz w:val="28"/>
                <w:szCs w:val="28"/>
              </w:rPr>
              <w:t xml:space="preserve">~</w:t>
            </w:r>
            <w:r>
              <w:rPr>
                <w:rFonts w:hint="eastAsia" w:ascii="宋体" w:hAnsi="宋体" w:eastAsia="宋体" w:cs="宋体"/>
                <w:color w:val="000000"/>
                <w:sz w:val="28"/>
                <w:szCs w:val="28"/>
              </w:rPr>
              <w:t xml:space="preserve">50亿</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0.008%</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0.008%</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0.008%</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0"/>
        </w:trPr>
        <w:tc>
          <w:tcPr>
            <w:tcW w:w="2447"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w:t>
            </w:r>
            <w:r>
              <w:rPr>
                <w:rFonts w:hint="eastAsia" w:ascii="宋体" w:hAnsi="宋体" w:eastAsia="宋体" w:cs="宋体"/>
                <w:color w:val="333333"/>
                <w:sz w:val="28"/>
                <w:szCs w:val="28"/>
              </w:rPr>
              <w:t xml:space="preserve">以上</w:t>
            </w:r>
            <w:r/>
          </w:p>
        </w:tc>
        <w:tc>
          <w:tcPr>
            <w:tcW w:w="132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0.006%</w:t>
            </w:r>
            <w:r/>
          </w:p>
        </w:tc>
        <w:tc>
          <w:tcPr>
            <w:tcW w:w="1260"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0.006%</w:t>
            </w:r>
            <w:r/>
          </w:p>
        </w:tc>
        <w:tc>
          <w:tcPr>
            <w:tcW w:w="1311" w:type="dxa"/>
            <w:vAlign w:val="center"/>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0.006%</w:t>
            </w:r>
            <w:r/>
          </w:p>
        </w:tc>
        <w:tc>
          <w:tcPr>
            <w:tcW w:w="1971" w:type="dxa"/>
            <w:vAlign w:val="center"/>
            <w:vMerge w:val="continue"/>
            <w:textDirection w:val="lrTb"/>
            <w:noWrap w:val="false"/>
          </w:tcPr>
          <w:p>
            <w:pPr>
              <w:jc w:val="center"/>
              <w:spacing w:line="6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600"/>
        <w:jc w:val="left"/>
        <w:spacing w:line="51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highlight w:val="none"/>
        </w:rPr>
        <w:t xml:space="preserve">本</w:t>
      </w:r>
      <w:r>
        <w:rPr>
          <w:rFonts w:hint="eastAsia" w:ascii="宋体" w:hAnsi="宋体" w:eastAsia="宋体" w:cs="宋体"/>
          <w:color w:val="auto"/>
          <w:sz w:val="24"/>
          <w:highlight w:val="none"/>
        </w:rPr>
        <w:t xml:space="preserve">章附件：</w:t>
      </w:r>
      <w:r>
        <w:rPr>
          <w:rFonts w:hint="eastAsia" w:ascii="宋体" w:hAnsi="宋体" w:eastAsia="宋体" w:cs="宋体"/>
          <w:b/>
          <w:color w:val="auto"/>
          <w:sz w:val="24"/>
          <w:highlight w:val="none"/>
        </w:rPr>
        <w:t xml:space="preserve">招标代理服务收费标准</w:t>
      </w:r>
      <w:bookmarkStart w:id="11" w:name="_Toc28693"/>
      <w:r/>
      <w:r/>
    </w:p>
    <w:p>
      <w:pPr>
        <w:ind w:firstLine="600"/>
        <w:jc w:val="left"/>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ind w:firstLine="677"/>
        <w:spacing w:line="560" w:lineRule="exact"/>
        <w:widowControl/>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ind w:firstLine="630"/>
        <w:spacing w:line="600" w:lineRule="exact"/>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2.代理服务费按差额定率累进法计算。</w:t>
      </w:r>
      <w:r/>
    </w:p>
    <w:p>
      <w:pPr>
        <w:ind w:left="67" w:firstLine="56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3.代理服务费基准金额（按差额定率累进法计算的）=中标金额（按差额定率累进法计算的） * 费率（%）</w:t>
      </w:r>
      <w:r/>
    </w:p>
    <w:p>
      <w:pPr>
        <w:ind w:left="67" w:firstLine="56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4.代理服务费应收取金额=代理服务费基准金额（按差额定率累进法计算的）的合计数。</w:t>
      </w:r>
      <w:r/>
    </w:p>
    <w:p>
      <w:pPr>
        <w:ind w:left="-1" w:firstLine="560"/>
        <w:spacing w:line="6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5.计算出的代理服务费应收取金额如低于5千元，按5千元收取；如高于15万元，按15万元收取。</w:t>
      </w:r>
      <w:r/>
    </w:p>
    <w:p>
      <w:pPr>
        <w:ind w:firstLine="630"/>
        <w:spacing w:line="6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6.定点类等无金额或事先不能计算出价格总额的项目，按中标（成交）金额100万元计算服务费。</w:t>
      </w:r>
      <w:r/>
    </w:p>
    <w:p>
      <w:pPr>
        <w:ind w:firstLine="630"/>
        <w:spacing w:line="600" w:lineRule="exact"/>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7.多个采购包（标段）项目按总项目中标（成交）金额收费，最高不超过15万元。</w:t>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8.以上价格为协会指导价，具体价格双方可协商确定。</w:t>
      </w:r>
      <w:r/>
    </w:p>
    <w:p>
      <w:pPr>
        <w:ind w:left="4" w:firstLine="479"/>
        <w:spacing w:before="75"/>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9.账户信息：</w:t>
      </w:r>
      <w:r/>
    </w:p>
    <w:p>
      <w:pPr>
        <w:ind w:left="4" w:firstLine="479"/>
        <w:spacing w:before="75"/>
        <w:rPr>
          <w:rFonts w:hint="eastAsia" w:ascii="宋体" w:hAnsi="宋体" w:eastAsia="宋体" w:cs="宋体"/>
          <w:spacing w:val="5"/>
          <w:sz w:val="24"/>
        </w:rPr>
      </w:pPr>
      <w:r>
        <w:rPr>
          <w:rFonts w:hint="eastAsia" w:ascii="宋体" w:hAnsi="宋体" w:eastAsia="宋体" w:cs="宋体"/>
          <w:spacing w:val="5"/>
          <w:sz w:val="24"/>
        </w:rPr>
        <w:t xml:space="preserve">账户名称：江苏雪岩招标有限公司</w:t>
      </w:r>
      <w:r/>
    </w:p>
    <w:p>
      <w:pPr>
        <w:ind w:left="4" w:firstLine="479"/>
        <w:spacing w:before="75"/>
        <w:rPr>
          <w:rFonts w:hint="eastAsia" w:ascii="宋体" w:hAnsi="宋体" w:eastAsia="宋体" w:cs="宋体"/>
          <w:spacing w:val="5"/>
          <w:sz w:val="24"/>
        </w:rPr>
      </w:pPr>
      <w:r>
        <w:rPr>
          <w:rFonts w:hint="eastAsia" w:ascii="宋体" w:hAnsi="宋体" w:eastAsia="宋体" w:cs="宋体"/>
          <w:spacing w:val="5"/>
          <w:sz w:val="24"/>
        </w:rPr>
        <w:t xml:space="preserve">开户行：中国银行股份有限公司徐州鼓楼支行</w:t>
      </w:r>
      <w:r/>
    </w:p>
    <w:p>
      <w:pPr>
        <w:ind w:left="4" w:firstLine="479"/>
        <w:spacing w:before="75"/>
        <w:rPr>
          <w:rFonts w:hint="eastAsia" w:ascii="宋体" w:hAnsi="宋体" w:eastAsia="宋体" w:cs="宋体"/>
        </w:rPr>
      </w:pPr>
      <w:r>
        <w:rPr>
          <w:rFonts w:hint="eastAsia" w:ascii="宋体" w:hAnsi="宋体" w:eastAsia="宋体" w:cs="宋体"/>
          <w:spacing w:val="5"/>
          <w:sz w:val="24"/>
        </w:rPr>
        <w:t xml:space="preserve">账号：528775344801</w:t>
      </w:r>
      <w:r/>
    </w:p>
    <w:p>
      <w:pPr>
        <w:pStyle w:val="775"/>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50" w:lineRule="atLeast"/>
        <w:rPr>
          <w:rStyle w:val="801"/>
          <w:rFonts w:ascii="宋体" w:hAnsi="宋体" w:eastAsia="宋体" w:cs="宋体"/>
          <w:b/>
          <w:color w:val="auto"/>
          <w:sz w:val="28"/>
          <w:szCs w:val="28"/>
          <w:highlight w:val="none"/>
          <w:u w:val="none"/>
        </w:rPr>
        <w:pBdr>
          <w:top w:val="none" w:color="000000" w:sz="0" w:space="0"/>
          <w:left w:val="none" w:color="000000" w:sz="0" w:space="0"/>
          <w:bottom w:val="none" w:color="000000" w:sz="0" w:space="0"/>
          <w:right w:val="none" w:color="000000" w:sz="0" w:space="0"/>
        </w:pBdr>
        <w:outlineLvl w:val="0"/>
      </w:pPr>
      <w:r>
        <w:rPr>
          <w:rFonts w:hint="eastAsia"/>
          <w:color w:val="auto"/>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w:instrText>
      </w:r>
      <w:r>
        <w:rPr>
          <w:rFonts w:hint="eastAsia" w:ascii="宋体" w:hAnsi="宋体" w:eastAsia="宋体" w:cs="宋体"/>
          <w:color w:val="auto"/>
          <w:sz w:val="28"/>
          <w:szCs w:val="28"/>
          <w:highlight w:val="none"/>
        </w:rPr>
        <w:instrText xml:space="preserve">&amp;parentOrigin=http://jszfcg.jsczt.cn#_Toc32057" \o "http://jszfcg.jsczt.cn/jszc/onlyoffice/6.4.2-6/web-apps/apps/documenteditor/main/index.html?_dc=6.4.2-6&amp;lang=zh&amp;customer=ONLYOFFICE&amp;frameEditorId=iframePage&amp;parentOrigin=http://jszfcg.jsczt.cn#_Toc32057" </w:instrText>
      </w:r>
      <w:r>
        <w:rPr>
          <w:rFonts w:hint="eastAsia"/>
          <w:color w:val="auto"/>
          <w:highlight w:val="none"/>
        </w:rPr>
        <w:fldChar w:fldCharType="separate"/>
      </w:r>
      <w:r>
        <w:rPr>
          <w:rStyle w:val="801"/>
          <w:rFonts w:hint="eastAsia" w:ascii="宋体" w:hAnsi="宋体" w:eastAsia="宋体" w:cs="宋体"/>
          <w:b/>
          <w:color w:val="auto"/>
          <w:sz w:val="28"/>
          <w:szCs w:val="28"/>
          <w:highlight w:val="none"/>
          <w:u w:val="none"/>
        </w:rPr>
        <w:t xml:space="preserve">第四章  评标标准</w:t>
      </w:r>
      <w:r>
        <w:rPr>
          <w:rStyle w:val="801"/>
          <w:rFonts w:hint="eastAsia" w:ascii="宋体" w:hAnsi="宋体" w:eastAsia="宋体" w:cs="宋体"/>
          <w:b/>
          <w:color w:val="auto"/>
          <w:sz w:val="28"/>
          <w:szCs w:val="28"/>
          <w:highlight w:val="none"/>
          <w:u w:val="none"/>
        </w:rPr>
        <w:fldChar w:fldCharType="end"/>
      </w:r>
      <w:bookmarkEnd w:id="11"/>
      <w:r/>
      <w:r/>
    </w:p>
    <w:tbl>
      <w:tblPr>
        <w:tblStyle w:val="765"/>
        <w:tblW w:w="99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27"/>
        <w:gridCol w:w="7363"/>
      </w:tblGrid>
      <w:tr>
        <w:trPr>
          <w:jc w:val="center"/>
          <w:trHeight w:val="860"/>
        </w:trPr>
        <w:tc>
          <w:tcPr>
            <w:tcBorders>
              <w:top w:val="single" w:color="auto" w:sz="4" w:space="0"/>
              <w:left w:val="single" w:color="auto" w:sz="4" w:space="0"/>
            </w:tcBorders>
            <w:tcW w:w="262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评分项目</w:t>
            </w:r>
            <w:r/>
          </w:p>
        </w:tc>
        <w:tc>
          <w:tcPr>
            <w:tcBorders>
              <w:top w:val="single" w:color="auto" w:sz="4" w:space="0"/>
            </w:tcBorders>
            <w:tcW w:w="736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评分细则</w:t>
            </w:r>
            <w:r/>
          </w:p>
        </w:tc>
      </w:tr>
      <w:tr>
        <w:trPr>
          <w:jc w:val="center"/>
          <w:trHeight w:val="1773"/>
        </w:trPr>
        <w:tc>
          <w:tcPr>
            <w:tcBorders>
              <w:left w:val="single" w:color="auto" w:sz="4" w:space="0"/>
              <w:bottom w:val="single" w:color="auto" w:sz="4" w:space="0"/>
            </w:tcBorders>
            <w:tcW w:w="2627" w:type="dxa"/>
            <w:vAlign w:val="center"/>
            <w:textDirection w:val="lrTb"/>
            <w:noWrap w:val="false"/>
          </w:tcPr>
          <w:p>
            <w:pPr>
              <w:numPr>
                <w:ilvl w:val="0"/>
                <w:numId w:val="1"/>
              </w:num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投标价格</w:t>
            </w:r>
            <w:r/>
          </w:p>
          <w:p>
            <w:pPr>
              <w:numPr>
                <w:ilvl w:val="0"/>
                <w:numId w:val="0"/>
              </w:num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分）</w:t>
            </w:r>
            <w:r/>
          </w:p>
        </w:tc>
        <w:tc>
          <w:tcPr>
            <w:tcBorders>
              <w:bottom w:val="single" w:color="auto" w:sz="4" w:space="0"/>
            </w:tcBorders>
            <w:tcW w:w="7363" w:type="dxa"/>
            <w:vAlign w:val="center"/>
            <w:textDirection w:val="lrTb"/>
            <w:noWrap w:val="false"/>
          </w:tcPr>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采用低价优先法计算，即满足招标文件要求且投标人评审价格最低的投标报价为评标基准价，其价格得分为满分；</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各投标人价格得分=评标基准价（投标人的最低评审价格）÷各投标人评审价格×</w:t>
            </w: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得分四舍五入保留小数点后2位。</w:t>
            </w:r>
            <w:r/>
          </w:p>
        </w:tc>
      </w:tr>
      <w:tr>
        <w:trPr>
          <w:jc w:val="center"/>
          <w:trHeight w:val="1850"/>
        </w:trPr>
        <w:tc>
          <w:tcPr>
            <w:tcBorders>
              <w:left w:val="single" w:color="auto" w:sz="4" w:space="0"/>
              <w:bottom w:val="single" w:color="auto" w:sz="4" w:space="0"/>
            </w:tcBorders>
            <w:tcW w:w="262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投标人综合实力</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Borders>
              <w:bottom w:val="single" w:color="auto" w:sz="4" w:space="0"/>
            </w:tcBorders>
            <w:tcW w:w="7363" w:type="dxa"/>
            <w:vAlign w:val="center"/>
            <w:textDirection w:val="lrTb"/>
            <w:noWrap w:val="false"/>
          </w:tcPr>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投标文件中提供投标人的：ISO9001质量体系认证证书、ISO14001环境体系认证证书、GB/T28001（OHSAS18001）（ISO450001）职业健康体系认证证</w:t>
            </w:r>
            <w:r>
              <w:rPr>
                <w:rFonts w:hint="eastAsia" w:ascii="宋体" w:hAnsi="宋体" w:eastAsia="宋体" w:cs="宋体"/>
                <w:color w:val="auto"/>
                <w:sz w:val="24"/>
                <w:szCs w:val="24"/>
                <w:lang w:eastAsia="zh-CN"/>
              </w:rPr>
              <w:t xml:space="preserve">书</w:t>
            </w:r>
            <w:r>
              <w:rPr>
                <w:rFonts w:hint="eastAsia" w:ascii="宋体" w:hAnsi="宋体" w:eastAsia="宋体" w:cs="宋体"/>
                <w:color w:val="auto"/>
                <w:sz w:val="24"/>
                <w:szCs w:val="24"/>
              </w:rPr>
              <w:t xml:space="preserve">，每提供一个得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p>
            <w:pPr>
              <w:pStyle w:val="991"/>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不提供或提供不全的不得分，本项最高得</w:t>
            </w:r>
            <w:r>
              <w:rPr>
                <w:rFonts w:hint="eastAsia" w:ascii="宋体" w:hAnsi="宋体" w:eastAsia="宋体" w:cs="宋体"/>
                <w:color w:val="auto"/>
                <w:sz w:val="24"/>
                <w:szCs w:val="24"/>
                <w:lang w:val="en-US" w:eastAsia="zh-CN" w:bidi="ar-SA"/>
              </w:rPr>
              <w:t xml:space="preserve">1.5</w:t>
            </w:r>
            <w:r>
              <w:rPr>
                <w:rFonts w:hint="eastAsia" w:ascii="宋体" w:hAnsi="宋体" w:eastAsia="宋体" w:cs="宋体"/>
                <w:color w:val="auto"/>
                <w:sz w:val="24"/>
                <w:szCs w:val="24"/>
              </w:rPr>
              <w:t xml:space="preserve">分,最低得0分；</w:t>
            </w:r>
            <w:r/>
          </w:p>
        </w:tc>
      </w:tr>
      <w:tr>
        <w:trPr>
          <w:jc w:val="center"/>
          <w:trHeight w:val="1850"/>
        </w:trPr>
        <w:tc>
          <w:tcPr>
            <w:tcBorders>
              <w:left w:val="single" w:color="auto" w:sz="4" w:space="0"/>
              <w:bottom w:val="single" w:color="auto" w:sz="4" w:space="0"/>
            </w:tcBorders>
            <w:tcW w:w="262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业绩</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Borders>
              <w:bottom w:val="single" w:color="auto" w:sz="4" w:space="0"/>
            </w:tcBorders>
            <w:tcW w:w="7363" w:type="dxa"/>
            <w:vAlign w:val="center"/>
            <w:textDirection w:val="lrTb"/>
            <w:noWrap w:val="false"/>
          </w:tcPr>
          <w:p>
            <w:pPr>
              <w:pStyle w:val="991"/>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投标人提供自202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年1月1日以来合同服务范围中包含</w:t>
            </w:r>
            <w:r>
              <w:rPr>
                <w:rFonts w:hint="eastAsia" w:ascii="宋体" w:hAnsi="宋体" w:cs="宋体"/>
                <w:color w:val="auto"/>
                <w:sz w:val="24"/>
                <w:szCs w:val="24"/>
                <w:lang w:val="en-US" w:eastAsia="zh-CN"/>
              </w:rPr>
              <w:t xml:space="preserve">环卫垃圾处置中心</w:t>
            </w:r>
            <w:r>
              <w:rPr>
                <w:rFonts w:hint="eastAsia" w:ascii="宋体" w:hAnsi="宋体" w:eastAsia="宋体" w:cs="宋体"/>
                <w:color w:val="auto"/>
                <w:sz w:val="24"/>
                <w:szCs w:val="24"/>
                <w:lang w:eastAsia="zh-CN"/>
              </w:rPr>
              <w:t xml:space="preserve">市场化运维</w:t>
            </w:r>
            <w:r>
              <w:rPr>
                <w:rFonts w:hint="eastAsia" w:ascii="宋体" w:hAnsi="宋体" w:eastAsia="宋体" w:cs="宋体"/>
                <w:color w:val="auto"/>
                <w:sz w:val="24"/>
                <w:szCs w:val="24"/>
              </w:rPr>
              <w:t xml:space="preserve">内容的合同及中标通知书</w:t>
            </w:r>
            <w:r>
              <w:rPr>
                <w:rFonts w:hint="eastAsia" w:ascii="宋体" w:hAnsi="宋体" w:eastAsia="宋体" w:cs="宋体"/>
                <w:color w:val="auto"/>
                <w:sz w:val="24"/>
                <w:szCs w:val="24"/>
                <w:lang w:eastAsia="zh-CN"/>
              </w:rPr>
              <w:t xml:space="preserve">原件的扫描件</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时间以合同签订时间为准，</w:t>
            </w:r>
            <w:r>
              <w:rPr>
                <w:rFonts w:hint="eastAsia" w:ascii="宋体" w:hAnsi="宋体" w:eastAsia="宋体" w:cs="宋体"/>
                <w:color w:val="auto"/>
                <w:sz w:val="24"/>
                <w:szCs w:val="24"/>
              </w:rPr>
              <w:t xml:space="preserve">每提供一份得</w:t>
            </w:r>
            <w:r>
              <w:rPr>
                <w:rFonts w:hint="eastAsia" w:ascii="宋体" w:hAnsi="宋体" w:cs="宋体"/>
                <w:color w:val="auto"/>
                <w:sz w:val="24"/>
                <w:szCs w:val="24"/>
                <w:lang w:val="en-US" w:eastAsia="zh-CN" w:bidi="ar-SA"/>
              </w:rPr>
              <w:t xml:space="preserve">0.5</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bidi="ar-SA"/>
              </w:rPr>
              <w:t xml:space="preserve">1.5</w:t>
            </w:r>
            <w:r>
              <w:rPr>
                <w:rFonts w:hint="eastAsia" w:ascii="宋体" w:hAnsi="宋体" w:eastAsia="宋体" w:cs="宋体"/>
                <w:color w:val="auto"/>
                <w:sz w:val="24"/>
                <w:szCs w:val="24"/>
              </w:rPr>
              <w:t xml:space="preserve">分，未提供的不得分。</w:t>
            </w:r>
            <w:r/>
          </w:p>
        </w:tc>
      </w:tr>
      <w:tr>
        <w:trPr>
          <w:jc w:val="center"/>
          <w:trHeight w:val="1850"/>
        </w:trPr>
        <w:tc>
          <w:tcPr>
            <w:tcBorders>
              <w:left w:val="single" w:color="auto" w:sz="4" w:space="0"/>
              <w:bottom w:val="single" w:color="auto" w:sz="4" w:space="0"/>
            </w:tcBorders>
            <w:tcW w:w="262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二、</w:t>
            </w:r>
            <w:r>
              <w:rPr>
                <w:rFonts w:hint="eastAsia" w:ascii="宋体" w:hAnsi="宋体" w:eastAsia="宋体" w:cs="宋体"/>
                <w:color w:val="auto"/>
                <w:sz w:val="24"/>
                <w:szCs w:val="24"/>
              </w:rPr>
              <w:t xml:space="preserve">项目管理方案</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分）</w:t>
            </w:r>
            <w:r/>
          </w:p>
        </w:tc>
        <w:tc>
          <w:tcPr>
            <w:tcBorders>
              <w:bottom w:val="single" w:color="auto" w:sz="4" w:space="0"/>
            </w:tcBorders>
            <w:tcW w:w="7363" w:type="dxa"/>
            <w:vAlign w:val="center"/>
            <w:textDirection w:val="lrTb"/>
            <w:noWrap w:val="false"/>
          </w:tcPr>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提供本项目组织架构，合理的日常管理制度及各岗位作业规范，按照</w:t>
            </w:r>
            <w:r>
              <w:rPr>
                <w:rFonts w:hint="eastAsia" w:ascii="宋体" w:hAnsi="宋体" w:eastAsia="宋体" w:cs="宋体"/>
                <w:color w:val="000000"/>
                <w:sz w:val="24"/>
                <w:szCs w:val="24"/>
                <w:lang w:eastAsia="zh-CN"/>
              </w:rPr>
              <w:t xml:space="preserve">方案全面性、针对性、可行性</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eastAsia="zh-CN"/>
              </w:rPr>
              <w:t xml:space="preserve">评价：</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1.全面性(</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：全</w:t>
            </w:r>
            <w:r>
              <w:rPr>
                <w:rFonts w:hint="eastAsia" w:ascii="宋体" w:hAnsi="宋体" w:eastAsia="宋体" w:cs="宋体"/>
                <w:color w:val="000000"/>
                <w:sz w:val="24"/>
                <w:szCs w:val="24"/>
                <w:lang w:eastAsia="zh-CN"/>
              </w:rPr>
              <w:t xml:space="preserve">面具体详实得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分；较全面得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分；不全面得 </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2.针对性(</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分)：针对性强得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分；针对性较强得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分；针对性不强得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3.可行性(</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分)：符合实际切实可行得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分；较切实可行得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分；可行性欠缺得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w:t>
            </w:r>
            <w:r/>
          </w:p>
          <w:p>
            <w:pPr>
              <w:pStyle w:val="991"/>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eastAsia="zh-CN"/>
              </w:rPr>
              <w:t xml:space="preserve">4.未提供的得 0 分。</w:t>
            </w:r>
            <w:r/>
          </w:p>
        </w:tc>
      </w:tr>
      <w:tr>
        <w:trPr>
          <w:jc w:val="center"/>
          <w:trHeight w:val="673"/>
        </w:trPr>
        <w:tc>
          <w:tcPr>
            <w:tcBorders>
              <w:top w:val="single" w:color="auto" w:sz="4" w:space="0"/>
              <w:left w:val="single" w:color="auto" w:sz="4" w:space="0"/>
              <w:bottom w:val="single" w:color="auto" w:sz="4" w:space="0"/>
            </w:tcBorders>
            <w:tcW w:w="2627"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三、</w:t>
            </w:r>
            <w:r>
              <w:rPr>
                <w:rFonts w:hint="eastAsia" w:ascii="宋体" w:hAnsi="宋体" w:eastAsia="宋体" w:cs="宋体"/>
                <w:color w:val="auto"/>
                <w:sz w:val="24"/>
                <w:szCs w:val="24"/>
              </w:rPr>
              <w:t xml:space="preserve">项目实施方案</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7363" w:type="dxa"/>
            <w:vAlign w:val="center"/>
            <w:textDirection w:val="lrTb"/>
            <w:noWrap w:val="false"/>
          </w:tcPr>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1、对本项目整体分析方案（</w:t>
            </w:r>
            <w:r>
              <w:rPr>
                <w:rFonts w:hint="eastAsia" w:ascii="宋体" w:hAnsi="宋体" w:eastAsia="宋体" w:cs="宋体"/>
                <w:b/>
                <w:color w:val="auto"/>
                <w:sz w:val="24"/>
                <w:szCs w:val="24"/>
                <w:lang w:val="en-US" w:eastAsia="zh-CN"/>
              </w:rPr>
              <w:t xml:space="preserve">12</w:t>
            </w:r>
            <w:r>
              <w:rPr>
                <w:rFonts w:hint="eastAsia" w:ascii="宋体" w:hAnsi="宋体" w:eastAsia="宋体" w:cs="宋体"/>
                <w:b/>
                <w:color w:val="auto"/>
                <w:sz w:val="24"/>
                <w:szCs w:val="24"/>
              </w:rPr>
              <w:t xml:space="preserve">分）</w:t>
            </w:r>
            <w:r/>
          </w:p>
          <w:p>
            <w:pPr>
              <w:ind w:firstLine="48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根据本项目特点，对项目实施过程有准确全面的分析、对潜在的、重点的、难点问题提出预见性的分析及提出提高服务质量的专业化建议及应对措施</w:t>
            </w:r>
            <w:r>
              <w:rPr>
                <w:rFonts w:hint="eastAsia" w:ascii="宋体" w:hAnsi="宋体" w:eastAsia="宋体" w:cs="宋体"/>
                <w:color w:val="auto"/>
                <w:sz w:val="24"/>
                <w:szCs w:val="24"/>
                <w:lang w:eastAsia="zh-CN"/>
              </w:rPr>
              <w:t xml:space="preserve">进行</w:t>
            </w:r>
            <w:r>
              <w:rPr>
                <w:rFonts w:hint="eastAsia" w:ascii="宋体" w:hAnsi="宋体" w:eastAsia="宋体" w:cs="宋体"/>
                <w:color w:val="000000"/>
                <w:sz w:val="24"/>
                <w:szCs w:val="24"/>
                <w:lang w:eastAsia="zh-CN"/>
              </w:rPr>
              <w:t xml:space="preserve">全面性、针对性、可行性</w:t>
            </w:r>
            <w:r>
              <w:rPr>
                <w:rFonts w:hint="eastAsia" w:ascii="宋体" w:hAnsi="宋体" w:eastAsia="宋体" w:cs="宋体"/>
                <w:color w:val="auto"/>
                <w:sz w:val="24"/>
                <w:szCs w:val="24"/>
                <w:lang w:eastAsia="zh-CN"/>
              </w:rPr>
              <w:t xml:space="preserve">评价：</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1.全面性(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：全</w:t>
            </w:r>
            <w:r>
              <w:rPr>
                <w:rFonts w:hint="eastAsia" w:ascii="宋体" w:hAnsi="宋体" w:eastAsia="宋体" w:cs="宋体"/>
                <w:color w:val="000000"/>
                <w:sz w:val="24"/>
                <w:szCs w:val="24"/>
                <w:lang w:eastAsia="zh-CN"/>
              </w:rPr>
              <w:t xml:space="preserve">面具体详实得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分；较全面得 </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分；不全面得 1分；</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2.针对性(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分)：针对性强得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分；针对性较强得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分；针对性不强得1分；</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3.可行性(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分)：符合实际切实可行得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分；较切实可行得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分；可行性欠缺得1分；</w:t>
            </w:r>
            <w:r/>
          </w:p>
          <w:p>
            <w:pPr>
              <w:pStyle w:val="991"/>
              <w:spacing w:line="36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4.未提供的得 0 分。</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2、管理</w:t>
            </w:r>
            <w:r>
              <w:rPr>
                <w:rFonts w:hint="eastAsia" w:ascii="宋体" w:hAnsi="宋体" w:eastAsia="宋体" w:cs="宋体"/>
                <w:b/>
                <w:color w:val="auto"/>
                <w:sz w:val="24"/>
                <w:szCs w:val="24"/>
                <w:lang w:val="en-US" w:eastAsia="zh-CN"/>
              </w:rPr>
              <w:t xml:space="preserve">运行</w:t>
            </w:r>
            <w:r>
              <w:rPr>
                <w:rFonts w:hint="eastAsia" w:ascii="宋体" w:hAnsi="宋体" w:eastAsia="宋体" w:cs="宋体"/>
                <w:b/>
                <w:color w:val="auto"/>
                <w:sz w:val="24"/>
                <w:szCs w:val="24"/>
              </w:rPr>
              <w:t xml:space="preserve">方案（</w:t>
            </w:r>
            <w:r>
              <w:rPr>
                <w:rFonts w:hint="eastAsia" w:ascii="宋体" w:hAnsi="宋体" w:eastAsia="宋体" w:cs="宋体"/>
                <w:b/>
                <w:color w:val="auto"/>
                <w:sz w:val="24"/>
                <w:szCs w:val="24"/>
                <w:lang w:val="en-US" w:eastAsia="zh-CN"/>
              </w:rPr>
              <w:t xml:space="preserve">12</w:t>
            </w:r>
            <w:r>
              <w:rPr>
                <w:rFonts w:hint="eastAsia" w:ascii="宋体" w:hAnsi="宋体" w:eastAsia="宋体" w:cs="宋体"/>
                <w:b/>
                <w:color w:val="auto"/>
                <w:sz w:val="24"/>
                <w:szCs w:val="24"/>
              </w:rPr>
              <w:t xml:space="preserve">分）</w:t>
            </w:r>
            <w:r/>
          </w:p>
          <w:p>
            <w:pPr>
              <w:ind w:firstLine="480"/>
              <w:spacing w:line="360" w:lineRule="auto"/>
              <w:rPr>
                <w:rFonts w:hint="eastAsia" w:ascii="宋体" w:hAnsi="宋体" w:eastAsia="宋体" w:cs="宋体"/>
                <w:color w:val="auto"/>
                <w:sz w:val="24"/>
                <w:szCs w:val="24"/>
                <w:lang w:eastAsia="zh-CN"/>
              </w:rPr>
              <w:outlineLvl w:val="0"/>
            </w:pP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val="en-US" w:eastAsia="zh-CN"/>
              </w:rPr>
              <w:t xml:space="preserve">针对该项目的相关的</w:t>
            </w:r>
            <w:r>
              <w:rPr>
                <w:rFonts w:hint="eastAsia" w:ascii="宋体" w:hAnsi="宋体" w:eastAsia="宋体" w:cs="宋体"/>
                <w:color w:val="auto"/>
                <w:sz w:val="24"/>
                <w:szCs w:val="24"/>
              </w:rPr>
              <w:t xml:space="preserve">管理方案，等</w:t>
            </w:r>
            <w:r>
              <w:rPr>
                <w:rFonts w:hint="eastAsia" w:ascii="宋体" w:hAnsi="宋体" w:eastAsia="宋体" w:cs="宋体"/>
                <w:color w:val="auto"/>
                <w:sz w:val="24"/>
                <w:szCs w:val="24"/>
                <w:lang w:eastAsia="zh-CN"/>
              </w:rPr>
              <w:t xml:space="preserve">进行全面性、针对性、可行性评价：</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1.全面性(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：全</w:t>
            </w:r>
            <w:r>
              <w:rPr>
                <w:rFonts w:hint="eastAsia" w:ascii="宋体" w:hAnsi="宋体" w:eastAsia="宋体" w:cs="宋体"/>
                <w:color w:val="000000"/>
                <w:sz w:val="24"/>
                <w:szCs w:val="24"/>
                <w:lang w:eastAsia="zh-CN"/>
              </w:rPr>
              <w:t xml:space="preserve">面具体详实得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分；较全面得 </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分；不全面得 1分；</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2.针对性(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分)：针对性强得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分；针对性较强得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分；针对性不强得1分；</w:t>
            </w:r>
            <w:r/>
          </w:p>
          <w:p>
            <w:pPr>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3.可行性(</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分)：符合实际切实可行得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分；较切实可行得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分；可行性欠缺得1分；</w:t>
            </w:r>
            <w:r/>
          </w:p>
          <w:p>
            <w:pPr>
              <w:pStyle w:val="991"/>
              <w:spacing w:line="36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4.未提供的得 0 分。</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w:t>
            </w:r>
            <w:r>
              <w:rPr>
                <w:rFonts w:hint="eastAsia" w:ascii="宋体" w:hAnsi="宋体" w:eastAsia="宋体" w:cs="宋体"/>
                <w:b/>
                <w:color w:val="auto"/>
                <w:sz w:val="24"/>
                <w:szCs w:val="24"/>
                <w:lang w:val="en-US" w:eastAsia="zh-CN"/>
              </w:rPr>
              <w:t xml:space="preserve">回收</w:t>
            </w:r>
            <w:r>
              <w:rPr>
                <w:rFonts w:hint="eastAsia" w:ascii="宋体" w:hAnsi="宋体" w:eastAsia="宋体" w:cs="宋体"/>
                <w:b/>
                <w:color w:val="auto"/>
                <w:sz w:val="24"/>
                <w:szCs w:val="24"/>
              </w:rPr>
              <w:t xml:space="preserve">方案（</w:t>
            </w:r>
            <w:r>
              <w:rPr>
                <w:rFonts w:hint="eastAsia" w:ascii="宋体" w:hAnsi="宋体" w:eastAsia="宋体" w:cs="宋体"/>
                <w:b/>
                <w:color w:val="auto"/>
                <w:sz w:val="24"/>
                <w:szCs w:val="24"/>
                <w:lang w:val="en-US" w:eastAsia="zh-CN"/>
              </w:rPr>
              <w:t xml:space="preserve">9</w:t>
            </w:r>
            <w:r>
              <w:rPr>
                <w:rFonts w:hint="eastAsia" w:ascii="宋体" w:hAnsi="宋体" w:eastAsia="宋体" w:cs="宋体"/>
                <w:b/>
                <w:color w:val="auto"/>
                <w:sz w:val="24"/>
                <w:szCs w:val="24"/>
              </w:rPr>
              <w:t xml:space="preserve">分）</w:t>
            </w:r>
            <w:r/>
          </w:p>
          <w:p>
            <w:pPr>
              <w:ind w:firstLine="480"/>
              <w:spacing w:line="360" w:lineRule="auto"/>
              <w:rPr>
                <w:rFonts w:hint="eastAsia" w:ascii="宋体" w:hAnsi="宋体" w:eastAsia="宋体" w:cs="宋体"/>
                <w:color w:val="auto"/>
                <w:sz w:val="24"/>
                <w:szCs w:val="24"/>
                <w:lang w:eastAsia="zh-CN"/>
              </w:rPr>
              <w:outlineLvl w:val="0"/>
            </w:pPr>
            <w:r/>
            <w:bookmarkStart w:id="12" w:name="_Toc6420"/>
            <w:r>
              <w:rPr>
                <w:rFonts w:hint="eastAsia" w:ascii="宋体" w:hAnsi="宋体" w:eastAsia="宋体" w:cs="宋体"/>
                <w:color w:val="000000"/>
                <w:sz w:val="24"/>
                <w:lang w:eastAsia="zh-CN"/>
              </w:rPr>
              <w:t xml:space="preserve">负责进站垃圾的压缩和装卸、可回收物和大件垃圾的收集分拣处置、有机易腐（含厨余）垃圾的处置、有害垃圾的暂存转运、各类进站垃圾（含可回收物、大件垃圾）的质量管控，确保无其它不符合生活垃圾定义的物品（含工业垃圾、建筑垃圾泥土、危废等）进站。负责进站环卫车辆与停放车辆秩序管理 </w:t>
            </w:r>
            <w:r>
              <w:rPr>
                <w:rFonts w:hint="eastAsia" w:ascii="宋体" w:hAnsi="宋体" w:eastAsia="宋体" w:cs="宋体"/>
                <w:color w:val="auto"/>
                <w:sz w:val="24"/>
                <w:szCs w:val="24"/>
              </w:rPr>
              <w:t xml:space="preserve">根据方案中提供清运方案的</w:t>
            </w:r>
            <w:r>
              <w:rPr>
                <w:rFonts w:hint="eastAsia" w:ascii="宋体" w:hAnsi="宋体" w:eastAsia="宋体" w:cs="宋体"/>
                <w:color w:val="auto"/>
                <w:sz w:val="24"/>
                <w:szCs w:val="24"/>
                <w:lang w:eastAsia="zh-CN"/>
              </w:rPr>
              <w:t xml:space="preserve">全面性、</w:t>
            </w:r>
            <w:r>
              <w:rPr>
                <w:rFonts w:hint="eastAsia" w:ascii="宋体" w:hAnsi="宋体" w:eastAsia="宋体" w:cs="宋体"/>
                <w:color w:val="auto"/>
                <w:sz w:val="24"/>
                <w:szCs w:val="24"/>
              </w:rPr>
              <w:t xml:space="preserve">合理性、</w:t>
            </w:r>
            <w:r>
              <w:rPr>
                <w:rFonts w:hint="eastAsia" w:ascii="宋体" w:hAnsi="宋体" w:eastAsia="宋体" w:cs="宋体"/>
                <w:color w:val="auto"/>
                <w:sz w:val="24"/>
                <w:szCs w:val="24"/>
                <w:lang w:eastAsia="zh-CN"/>
              </w:rPr>
              <w:t xml:space="preserve">针对</w:t>
            </w:r>
            <w:r>
              <w:rPr>
                <w:rFonts w:hint="eastAsia" w:ascii="宋体" w:hAnsi="宋体" w:eastAsia="宋体" w:cs="宋体"/>
                <w:color w:val="auto"/>
                <w:sz w:val="24"/>
                <w:szCs w:val="24"/>
              </w:rPr>
              <w:t xml:space="preserve">性（分类运输车标识符合徐州市垃圾分类视觉识别系统标识）</w:t>
            </w:r>
            <w:r>
              <w:rPr>
                <w:rFonts w:hint="eastAsia" w:ascii="宋体" w:hAnsi="宋体" w:eastAsia="宋体" w:cs="宋体"/>
                <w:color w:val="auto"/>
                <w:sz w:val="24"/>
                <w:szCs w:val="24"/>
                <w:lang w:eastAsia="zh-CN"/>
              </w:rPr>
              <w:t xml:space="preserve">进行评价：</w:t>
            </w:r>
            <w:bookmarkEnd w:id="12"/>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eastAsia="zh-CN"/>
              </w:rPr>
              <w:t xml:space="preserve">1.全面性(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：全</w:t>
            </w:r>
            <w:r>
              <w:rPr>
                <w:rFonts w:hint="eastAsia" w:ascii="宋体" w:hAnsi="宋体" w:eastAsia="宋体" w:cs="宋体"/>
                <w:color w:val="000000"/>
                <w:sz w:val="24"/>
                <w:szCs w:val="24"/>
                <w:lang w:eastAsia="zh-CN"/>
              </w:rPr>
              <w:t xml:space="preserve">面具体详实得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分；较全面得 </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分；不全面得 1分；</w:t>
            </w:r>
            <w:r/>
          </w:p>
          <w:p>
            <w:pPr>
              <w:spacing w:line="360" w:lineRule="auto"/>
              <w:rPr>
                <w:rFonts w:hint="eastAsia" w:ascii="宋体" w:hAnsi="宋体" w:eastAsia="宋体" w:cs="宋体"/>
                <w:color w:val="auto"/>
                <w:sz w:val="24"/>
                <w:szCs w:val="24"/>
                <w:lang w:val="en-US" w:eastAsia="zh-CN"/>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合理性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color w:val="auto"/>
                <w:sz w:val="24"/>
                <w:szCs w:val="24"/>
                <w:lang w:val="en-US" w:eastAsia="zh-CN"/>
              </w:rPr>
              <w:t xml:space="preserve">方案科学合理的得3分；较为科学合理的得2分；欠缺的得1分；</w:t>
            </w:r>
            <w:r/>
          </w:p>
          <w:p>
            <w:pPr>
              <w:spacing w:line="360" w:lineRule="auto"/>
              <w:rPr>
                <w:rFonts w:hint="eastAsia" w:ascii="宋体" w:hAnsi="宋体" w:eastAsia="宋体" w:cs="宋体"/>
                <w:color w:val="000000"/>
                <w:sz w:val="24"/>
                <w:szCs w:val="24"/>
                <w:lang w:eastAsia="zh-CN"/>
              </w:rPr>
              <w:outlineLvl w:val="0"/>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分)：针对性强</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分；针对性较强得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分；针对性不强得1分；</w:t>
            </w:r>
            <w:r/>
          </w:p>
          <w:p>
            <w:pPr>
              <w:pStyle w:val="991"/>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eastAsia="zh-CN"/>
              </w:rPr>
              <w:t xml:space="preserve">4.未提供的得 0 分。</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4、</w:t>
            </w:r>
            <w:r>
              <w:rPr>
                <w:rFonts w:hint="eastAsia" w:ascii="宋体" w:hAnsi="宋体" w:eastAsia="宋体" w:cs="宋体"/>
                <w:b/>
                <w:bCs/>
                <w:color w:val="auto"/>
                <w:sz w:val="24"/>
                <w:szCs w:val="24"/>
              </w:rPr>
              <w:t xml:space="preserve">人员配置作业要求方案（</w:t>
            </w:r>
            <w:r>
              <w:rPr>
                <w:rFonts w:hint="eastAsia" w:ascii="宋体" w:hAnsi="宋体" w:eastAsia="宋体" w:cs="宋体"/>
                <w:b/>
                <w:bCs/>
                <w:color w:val="auto"/>
                <w:sz w:val="24"/>
                <w:szCs w:val="24"/>
                <w:lang w:val="en-US" w:eastAsia="zh-CN"/>
              </w:rPr>
              <w:t xml:space="preserve">9</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color w:val="auto"/>
                <w:sz w:val="24"/>
                <w:szCs w:val="24"/>
                <w:lang w:eastAsia="zh-CN"/>
              </w:rPr>
              <w:outlineLvl w:val="0"/>
            </w:pPr>
            <w:r>
              <w:rPr>
                <w:rFonts w:hint="eastAsia" w:ascii="宋体" w:hAnsi="宋体" w:eastAsia="宋体" w:cs="宋体"/>
                <w:color w:val="auto"/>
                <w:sz w:val="24"/>
                <w:szCs w:val="24"/>
              </w:rPr>
              <w:t xml:space="preserve">（1）投标人提供点位引导员、分类运输员等作业过程方案，根据方案的</w:t>
            </w:r>
            <w:r>
              <w:rPr>
                <w:rFonts w:hint="eastAsia" w:ascii="宋体" w:hAnsi="宋体" w:eastAsia="宋体" w:cs="宋体"/>
                <w:color w:val="auto"/>
                <w:sz w:val="24"/>
                <w:szCs w:val="24"/>
                <w:lang w:eastAsia="zh-CN"/>
              </w:rPr>
              <w:t xml:space="preserve">全面性、</w:t>
            </w:r>
            <w:r>
              <w:rPr>
                <w:rFonts w:hint="eastAsia" w:ascii="宋体" w:hAnsi="宋体" w:eastAsia="宋体" w:cs="宋体"/>
                <w:color w:val="auto"/>
                <w:sz w:val="24"/>
                <w:szCs w:val="24"/>
              </w:rPr>
              <w:t xml:space="preserve">合理性、</w:t>
            </w:r>
            <w:r>
              <w:rPr>
                <w:rFonts w:hint="eastAsia" w:ascii="宋体" w:hAnsi="宋体" w:eastAsia="宋体" w:cs="宋体"/>
                <w:color w:val="auto"/>
                <w:sz w:val="24"/>
                <w:szCs w:val="24"/>
                <w:lang w:eastAsia="zh-CN"/>
              </w:rPr>
              <w:t xml:space="preserve">可操作</w:t>
            </w:r>
            <w:r>
              <w:rPr>
                <w:rFonts w:hint="eastAsia" w:ascii="宋体" w:hAnsi="宋体" w:eastAsia="宋体" w:cs="宋体"/>
                <w:color w:val="auto"/>
                <w:sz w:val="24"/>
                <w:szCs w:val="24"/>
              </w:rPr>
              <w:t xml:space="preserve">性</w:t>
            </w:r>
            <w:r>
              <w:rPr>
                <w:rFonts w:hint="eastAsia" w:ascii="宋体" w:hAnsi="宋体" w:eastAsia="宋体" w:cs="宋体"/>
                <w:color w:val="auto"/>
                <w:sz w:val="24"/>
                <w:szCs w:val="24"/>
                <w:lang w:eastAsia="zh-CN"/>
              </w:rPr>
              <w:t xml:space="preserve">进行评价：</w:t>
            </w:r>
            <w:r/>
          </w:p>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1.全面性(</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：全</w:t>
            </w:r>
            <w:r>
              <w:rPr>
                <w:rFonts w:hint="eastAsia" w:ascii="宋体" w:hAnsi="宋体" w:eastAsia="宋体" w:cs="宋体"/>
                <w:color w:val="000000"/>
                <w:sz w:val="24"/>
                <w:szCs w:val="24"/>
                <w:lang w:eastAsia="zh-CN"/>
              </w:rPr>
              <w:t xml:space="preserve">面具体详实得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分；较全面得 </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分；不全面得 1分；</w:t>
            </w:r>
            <w:r/>
          </w:p>
          <w:p>
            <w:pPr>
              <w:spacing w:line="360" w:lineRule="auto"/>
              <w:rPr>
                <w:rFonts w:hint="eastAsia" w:ascii="宋体" w:hAnsi="宋体" w:eastAsia="宋体" w:cs="宋体"/>
                <w:color w:val="auto"/>
                <w:sz w:val="24"/>
                <w:szCs w:val="24"/>
                <w:lang w:val="en-US" w:eastAsia="zh-CN"/>
              </w:rPr>
              <w:outlineLvl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合理性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color w:val="auto"/>
                <w:sz w:val="24"/>
                <w:szCs w:val="24"/>
                <w:lang w:val="en-US" w:eastAsia="zh-CN"/>
              </w:rPr>
              <w:t xml:space="preserve">方案科学合理的得3分；较为科学合理的得3分；欠缺的得1分；</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可操作性(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分)：操作性强得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分；操作性一般得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操作性差</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pStyle w:val="991"/>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eastAsia="zh-CN"/>
              </w:rPr>
              <w:t xml:space="preserve">4.未提供的得 0 分。</w:t>
            </w:r>
            <w:r/>
          </w:p>
          <w:p>
            <w:pPr>
              <w:ind w:firstLine="482"/>
              <w:jc w:val="left"/>
              <w:spacing w:line="360" w:lineRule="auto"/>
              <w:rPr>
                <w:rFonts w:hint="eastAsia" w:ascii="宋体" w:hAnsi="宋体" w:eastAsia="宋体" w:cs="宋体"/>
                <w:color w:val="auto"/>
                <w:sz w:val="24"/>
                <w:szCs w:val="24"/>
              </w:rPr>
              <w:outlineLvl w:val="0"/>
            </w:pPr>
            <w:r/>
            <w:bookmarkStart w:id="13" w:name="_Toc6692"/>
            <w:r>
              <w:rPr>
                <w:rFonts w:hint="eastAsia" w:ascii="宋体" w:hAnsi="宋体" w:eastAsia="宋体" w:cs="宋体"/>
                <w:b/>
                <w:color w:val="auto"/>
                <w:sz w:val="24"/>
                <w:szCs w:val="24"/>
              </w:rPr>
              <w:t xml:space="preserve">5、人员培训、考核等管理方案（</w:t>
            </w:r>
            <w:r>
              <w:rPr>
                <w:rFonts w:hint="eastAsia" w:ascii="宋体" w:hAnsi="宋体" w:eastAsia="宋体" w:cs="宋体"/>
                <w:b/>
                <w:color w:val="auto"/>
                <w:sz w:val="24"/>
                <w:szCs w:val="24"/>
                <w:lang w:val="en-US" w:eastAsia="zh-CN"/>
              </w:rPr>
              <w:t xml:space="preserve">9</w:t>
            </w:r>
            <w:r>
              <w:rPr>
                <w:rFonts w:hint="eastAsia" w:ascii="宋体" w:hAnsi="宋体" w:eastAsia="宋体" w:cs="宋体"/>
                <w:b/>
                <w:color w:val="auto"/>
                <w:sz w:val="24"/>
                <w:szCs w:val="24"/>
              </w:rPr>
              <w:t xml:space="preserve">分）</w:t>
            </w:r>
            <w:bookmarkEnd w:id="13"/>
            <w:r/>
            <w:r/>
          </w:p>
          <w:p>
            <w:pPr>
              <w:ind w:firstLine="480"/>
              <w:spacing w:line="360" w:lineRule="auto"/>
              <w:rPr>
                <w:rFonts w:hint="eastAsia" w:ascii="宋体" w:hAnsi="宋体" w:eastAsia="宋体" w:cs="宋体"/>
                <w:color w:val="auto"/>
                <w:sz w:val="24"/>
                <w:szCs w:val="24"/>
                <w:lang w:eastAsia="zh-CN"/>
              </w:rPr>
              <w:outlineLvl w:val="0"/>
            </w:pPr>
            <w:r/>
            <w:bookmarkStart w:id="14" w:name="_Toc10221"/>
            <w:r>
              <w:rPr>
                <w:rFonts w:hint="eastAsia" w:ascii="宋体" w:hAnsi="宋体" w:eastAsia="宋体" w:cs="宋体"/>
                <w:color w:val="auto"/>
                <w:sz w:val="24"/>
                <w:szCs w:val="24"/>
              </w:rPr>
              <w:t xml:space="preserve">针对本项目的内部人员培训、考核管理方案（含岗位责任制度、考核制度、统一着装、文明上岗等）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考核工种</w:t>
            </w:r>
            <w:r>
              <w:rPr>
                <w:rFonts w:hint="eastAsia" w:ascii="宋体" w:hAnsi="宋体" w:eastAsia="宋体" w:cs="宋体"/>
                <w:color w:val="auto"/>
                <w:sz w:val="24"/>
                <w:szCs w:val="24"/>
                <w:lang w:eastAsia="zh-CN"/>
              </w:rPr>
              <w:t xml:space="preserve">进行综合评价：</w:t>
            </w:r>
            <w:r/>
          </w:p>
          <w:p>
            <w:pPr>
              <w:ind w:firstLine="48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lang w:eastAsia="zh-CN"/>
              </w:rPr>
              <w:t xml:space="preserve">综合评定</w:t>
            </w:r>
            <w:r>
              <w:rPr>
                <w:rFonts w:hint="eastAsia" w:ascii="宋体" w:hAnsi="宋体" w:eastAsia="宋体" w:cs="宋体"/>
                <w:color w:val="auto"/>
                <w:sz w:val="24"/>
                <w:szCs w:val="24"/>
              </w:rPr>
              <w:t xml:space="preserve">全面，考核标准科学合理，程序规范合理，描述详细有依据</w:t>
            </w:r>
            <w:r>
              <w:rPr>
                <w:rFonts w:hint="eastAsia" w:ascii="宋体" w:hAnsi="宋体" w:eastAsia="宋体" w:cs="宋体"/>
                <w:color w:val="auto"/>
                <w:sz w:val="24"/>
                <w:szCs w:val="24"/>
                <w:lang w:eastAsia="zh-CN"/>
              </w:rPr>
              <w:t xml:space="preserve">的得</w:t>
            </w:r>
            <w:r>
              <w:rPr>
                <w:rFonts w:hint="eastAsia" w:ascii="宋体" w:hAnsi="宋体" w:eastAsia="宋体" w:cs="宋体"/>
                <w:color w:val="auto"/>
                <w:sz w:val="24"/>
                <w:szCs w:val="24"/>
                <w:lang w:val="en-US" w:eastAsia="zh-CN"/>
              </w:rPr>
              <w:t xml:space="preserve">9-7分</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综合评定良好的，具有考核方案，描述较为全面，标准基本合理的得</w:t>
            </w:r>
            <w:r>
              <w:rPr>
                <w:rFonts w:hint="eastAsia" w:ascii="宋体" w:hAnsi="宋体" w:eastAsia="宋体" w:cs="宋体"/>
                <w:color w:val="auto"/>
                <w:sz w:val="24"/>
                <w:szCs w:val="24"/>
                <w:lang w:val="en-US" w:eastAsia="zh-CN"/>
              </w:rPr>
              <w:t xml:space="preserve">6-4</w:t>
            </w:r>
            <w:r>
              <w:rPr>
                <w:rFonts w:hint="eastAsia" w:ascii="宋体" w:hAnsi="宋体" w:eastAsia="宋体" w:cs="宋体"/>
                <w:color w:val="auto"/>
                <w:sz w:val="24"/>
                <w:szCs w:val="24"/>
              </w:rPr>
              <w:t xml:space="preserve">分；</w:t>
            </w:r>
            <w:r/>
          </w:p>
          <w:p>
            <w:pPr>
              <w:ind w:firstLine="48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综合评定一般的，具备考核方案，描述较为简单，能基本满足项目实施需要的得</w:t>
            </w: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p>
            <w:pPr>
              <w:ind w:firstLine="48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具备考核方案，描述较差的得</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分；未提供的得0分。</w:t>
            </w:r>
            <w:r/>
          </w:p>
          <w:p>
            <w:pPr>
              <w:ind w:firstLine="482"/>
              <w:spacing w:line="360" w:lineRule="auto"/>
              <w:rPr>
                <w:rFonts w:hint="eastAsia" w:ascii="宋体" w:hAnsi="宋体" w:eastAsia="宋体" w:cs="宋体"/>
                <w:color w:val="auto"/>
                <w:sz w:val="24"/>
                <w:szCs w:val="24"/>
              </w:rPr>
              <w:outlineLvl w:val="0"/>
            </w:pPr>
            <w:r>
              <w:rPr>
                <w:rFonts w:hint="eastAsia" w:ascii="宋体" w:hAnsi="宋体" w:eastAsia="宋体" w:cs="宋体"/>
                <w:b/>
                <w:color w:val="auto"/>
                <w:sz w:val="24"/>
                <w:szCs w:val="24"/>
              </w:rPr>
              <w:t xml:space="preserve">6、安全文明生产（</w:t>
            </w:r>
            <w:r>
              <w:rPr>
                <w:rFonts w:hint="eastAsia" w:ascii="宋体" w:hAnsi="宋体" w:eastAsia="宋体" w:cs="宋体"/>
                <w:b/>
                <w:color w:val="auto"/>
                <w:sz w:val="24"/>
                <w:szCs w:val="24"/>
                <w:lang w:val="en-US" w:eastAsia="zh-CN"/>
              </w:rPr>
              <w:t xml:space="preserve">9</w:t>
            </w:r>
            <w:r>
              <w:rPr>
                <w:rFonts w:hint="eastAsia" w:ascii="宋体" w:hAnsi="宋体" w:eastAsia="宋体" w:cs="宋体"/>
                <w:b/>
                <w:color w:val="auto"/>
                <w:sz w:val="24"/>
                <w:szCs w:val="24"/>
              </w:rPr>
              <w:t xml:space="preserve">）</w:t>
            </w:r>
            <w:bookmarkEnd w:id="14"/>
            <w:r/>
            <w:r/>
          </w:p>
          <w:p>
            <w:pPr>
              <w:ind w:firstLine="480"/>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针对本项目的安全文明生产方案</w:t>
            </w:r>
            <w:r>
              <w:rPr>
                <w:rFonts w:hint="eastAsia" w:ascii="宋体" w:hAnsi="宋体" w:eastAsia="宋体" w:cs="宋体"/>
                <w:color w:val="auto"/>
                <w:sz w:val="24"/>
                <w:szCs w:val="24"/>
                <w:lang w:val="en-US" w:eastAsia="zh-CN"/>
              </w:rPr>
              <w:t xml:space="preserve">完整性、合理性、可行性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eastAsia="zh-CN"/>
              </w:rPr>
              <w:t xml:space="preserve">评审</w:t>
            </w:r>
            <w:r>
              <w:rPr>
                <w:rFonts w:hint="eastAsia" w:ascii="宋体" w:hAnsi="宋体" w:eastAsia="宋体" w:cs="宋体"/>
                <w:color w:val="auto"/>
                <w:sz w:val="24"/>
                <w:szCs w:val="24"/>
              </w:rPr>
              <w:t xml:space="preserve">，方案应当包括且不限于项目实施过程中的安全生产专班组成、安全防火措施、事故应急处理措施、人员及财产损害应对措施、安全生产培训措施、法务善后措施等，</w:t>
            </w:r>
            <w:r/>
          </w:p>
          <w:p>
            <w:pPr>
              <w:numPr>
                <w:ilvl w:val="0"/>
                <w:numId w:val="2"/>
              </w:numPr>
              <w:spacing w:line="360" w:lineRule="auto"/>
              <w:rPr>
                <w:rFonts w:hint="eastAsia" w:ascii="宋体" w:hAnsi="宋体" w:eastAsia="宋体" w:cs="宋体"/>
                <w:color w:val="auto"/>
                <w:sz w:val="24"/>
                <w:szCs w:val="24"/>
                <w:lang w:val="en-US" w:eastAsia="zh-CN"/>
              </w:rPr>
              <w:outlineLvl w:val="0"/>
            </w:pPr>
            <w:r>
              <w:rPr>
                <w:rFonts w:hint="eastAsia" w:ascii="宋体" w:hAnsi="宋体" w:eastAsia="宋体" w:cs="宋体"/>
                <w:color w:val="auto"/>
                <w:sz w:val="24"/>
                <w:szCs w:val="24"/>
                <w:lang w:val="en-US" w:eastAsia="zh-CN"/>
              </w:rPr>
              <w:t xml:space="preserve">方案完整性（3分）方案完整完全符合项目特点的得3分；</w:t>
            </w:r>
            <w:r>
              <w:rPr>
                <w:rFonts w:hint="eastAsia" w:ascii="宋体" w:hAnsi="宋体" w:eastAsia="宋体" w:cs="宋体"/>
                <w:color w:val="auto"/>
                <w:sz w:val="24"/>
                <w:szCs w:val="24"/>
              </w:rPr>
              <w:t xml:space="preserve">较</w:t>
            </w:r>
            <w:r>
              <w:rPr>
                <w:rFonts w:hint="eastAsia" w:ascii="宋体" w:hAnsi="宋体" w:eastAsia="宋体" w:cs="宋体"/>
                <w:color w:val="auto"/>
                <w:sz w:val="24"/>
                <w:szCs w:val="24"/>
                <w:lang w:val="en-US" w:eastAsia="zh-CN"/>
              </w:rPr>
              <w:t xml:space="preserve">为完整</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不完整的得1分；</w:t>
            </w:r>
            <w:r/>
          </w:p>
          <w:p>
            <w:pPr>
              <w:numPr>
                <w:ilvl w:val="0"/>
                <w:numId w:val="0"/>
              </w:numPr>
              <w:spacing w:line="360" w:lineRule="auto"/>
              <w:rPr>
                <w:rFonts w:hint="eastAsia" w:ascii="宋体" w:hAnsi="宋体" w:eastAsia="宋体" w:cs="宋体"/>
                <w:color w:val="auto"/>
                <w:sz w:val="24"/>
                <w:szCs w:val="24"/>
                <w:lang w:val="en-US" w:eastAsia="zh-CN"/>
              </w:rPr>
              <w:outlineLvl w:val="0"/>
            </w:pPr>
            <w:r>
              <w:rPr>
                <w:rFonts w:hint="eastAsia" w:ascii="宋体" w:hAnsi="宋体" w:eastAsia="宋体" w:cs="宋体"/>
                <w:color w:val="auto"/>
                <w:sz w:val="24"/>
                <w:szCs w:val="24"/>
                <w:lang w:val="en-US" w:eastAsia="zh-CN"/>
              </w:rPr>
              <w:t xml:space="preserve">2.合理性（3分）方案科学合理的得3分；较为科学合理的得2分；欠缺的得1分；</w:t>
            </w:r>
            <w:r/>
          </w:p>
          <w:p>
            <w:pPr>
              <w:spacing w:line="360" w:lineRule="auto"/>
              <w:rPr>
                <w:rFonts w:hint="eastAsia" w:ascii="宋体" w:hAnsi="宋体" w:eastAsia="宋体" w:cs="宋体"/>
                <w:color w:val="auto"/>
                <w:sz w:val="24"/>
                <w:szCs w:val="24"/>
                <w:lang w:val="en-US" w:eastAsia="zh-CN"/>
              </w:rPr>
              <w:outlineLvl w:val="0"/>
            </w:pPr>
            <w:r>
              <w:rPr>
                <w:rFonts w:hint="eastAsia" w:ascii="宋体" w:hAnsi="宋体" w:eastAsia="宋体" w:cs="宋体"/>
                <w:color w:val="auto"/>
                <w:sz w:val="24"/>
                <w:szCs w:val="24"/>
                <w:lang w:val="en-US" w:eastAsia="zh-CN"/>
              </w:rPr>
              <w:t xml:space="preserve">3.可行性（3分）方案可行性强的得3分；较强的得2分；欠缺的得1分；</w:t>
            </w:r>
            <w:r/>
          </w:p>
          <w:p>
            <w:pPr>
              <w:spacing w:line="360" w:lineRule="auto"/>
              <w:rPr>
                <w:rFonts w:hint="eastAsia" w:ascii="宋体" w:hAnsi="宋体" w:eastAsia="宋体" w:cs="宋体"/>
                <w:color w:val="auto"/>
                <w:sz w:val="24"/>
                <w:szCs w:val="24"/>
              </w:rPr>
              <w:outlineLvl w:val="0"/>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未提供的得0分。</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本章说明：</w:t>
      </w:r>
      <w:r/>
    </w:p>
    <w:p>
      <w:pPr>
        <w:ind w:firstLine="241"/>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1、本项目采用综合评分法。</w:t>
      </w:r>
      <w:r/>
    </w:p>
    <w:p>
      <w:pPr>
        <w:ind w:firstLine="241"/>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2、评分结果精确到小数点后两位。</w:t>
      </w:r>
      <w:bookmarkEnd w:id="9"/>
      <w:r/>
      <w:bookmarkEnd w:id="10"/>
      <w:r/>
      <w:r/>
    </w:p>
    <w:p>
      <w:pPr>
        <w:rPr>
          <w:rFonts w:ascii="宋体" w:hAnsi="宋体" w:eastAsia="宋体" w:cs="宋体"/>
          <w:b/>
          <w:bCs/>
          <w:color w:val="auto"/>
          <w:sz w:val="28"/>
          <w:szCs w:val="28"/>
          <w:highlight w:val="none"/>
        </w:rPr>
      </w:pPr>
      <w:r/>
      <w:bookmarkStart w:id="15" w:name="_Toc1731"/>
      <w:r/>
      <w:bookmarkStart w:id="16" w:name="_Toc21810"/>
      <w:r>
        <w:rPr>
          <w:rFonts w:hint="eastAsia" w:ascii="宋体" w:hAnsi="宋体" w:eastAsia="宋体" w:cs="宋体"/>
          <w:b/>
          <w:bCs/>
          <w:color w:val="auto"/>
          <w:sz w:val="28"/>
          <w:szCs w:val="28"/>
          <w:highlight w:val="none"/>
        </w:rPr>
        <w:br w:type="page" w:clear="all"/>
      </w:r>
      <w:r/>
    </w:p>
    <w:p>
      <w:pPr>
        <w:jc w:val="center"/>
        <w:rPr>
          <w:rFonts w:ascii="宋体" w:hAnsi="宋体" w:eastAsia="宋体" w:cs="宋体"/>
          <w:b/>
          <w:bCs/>
          <w:color w:val="auto"/>
          <w:sz w:val="48"/>
          <w:szCs w:val="48"/>
          <w:highlight w:val="none"/>
        </w:rPr>
        <w:outlineLvl w:val="0"/>
      </w:pPr>
      <w:r/>
      <w:bookmarkStart w:id="17" w:name="_Toc31925"/>
      <w:r>
        <w:rPr>
          <w:rFonts w:hint="eastAsia" w:ascii="宋体" w:hAnsi="宋体" w:eastAsia="宋体" w:cs="宋体"/>
          <w:b/>
          <w:bCs/>
          <w:color w:val="auto"/>
          <w:sz w:val="28"/>
          <w:szCs w:val="28"/>
          <w:highlight w:val="none"/>
        </w:rPr>
        <w:t xml:space="preserve">第五章  拟签订的合同文本</w:t>
      </w:r>
      <w:bookmarkEnd w:id="17"/>
      <w:r/>
      <w:r/>
    </w:p>
    <w:p>
      <w:pPr>
        <w:spacing w:line="297" w:lineRule="auto"/>
        <w:rPr>
          <w:rFonts w:ascii="Arial"/>
          <w:sz w:val="21"/>
        </w:rPr>
      </w:pPr>
      <w:r/>
      <w:bookmarkStart w:id="18" w:name="_Toc535"/>
      <w:r/>
      <w:r/>
    </w:p>
    <w:p>
      <w:pPr>
        <w:pStyle w:val="772"/>
        <w:jc w:val="center"/>
        <w:keepLines w:val="0"/>
        <w:keepNext w:val="0"/>
        <w:pageBreakBefore w:val="0"/>
        <w:spacing w:before="91" w:line="360" w:lineRule="auto"/>
        <w:widowControl w:val="off"/>
        <w:rPr>
          <w:rFonts w:hint="eastAsia" w:ascii="宋体" w:hAnsi="宋体" w:eastAsia="宋体" w:cs="宋体"/>
          <w:sz w:val="32"/>
          <w:szCs w:val="32"/>
        </w:rPr>
      </w:pPr>
      <w:r>
        <w:rPr>
          <w:rFonts w:hint="eastAsia" w:ascii="宋体" w:hAnsi="宋体" w:eastAsia="宋体" w:cs="宋体"/>
          <w:spacing w:val="18"/>
          <w:sz w:val="32"/>
          <w:szCs w:val="32"/>
        </w:rPr>
        <w:t xml:space="preserve">邳州市生活垃圾分类试点镇生活垃圾分类处置中心一体化运营服务</w:t>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jc w:val="center"/>
        <w:spacing w:line="241" w:lineRule="auto"/>
        <w:rPr>
          <w:rFonts w:ascii="Arial"/>
          <w:sz w:val="56"/>
          <w:szCs w:val="96"/>
        </w:rPr>
      </w:pPr>
      <w:r>
        <w:rPr>
          <w:rFonts w:ascii="Arial"/>
          <w:sz w:val="56"/>
          <w:szCs w:val="96"/>
        </w:rPr>
      </w:r>
      <w:r/>
    </w:p>
    <w:p>
      <w:pPr>
        <w:jc w:val="center"/>
        <w:spacing w:line="241" w:lineRule="auto"/>
        <w:rPr>
          <w:rFonts w:hint="eastAsia" w:ascii="Arial" w:eastAsia="宋体"/>
          <w:sz w:val="56"/>
          <w:szCs w:val="96"/>
          <w:lang w:val="en-US" w:eastAsia="zh-CN"/>
        </w:rPr>
      </w:pPr>
      <w:r>
        <w:rPr>
          <w:rFonts w:hint="eastAsia" w:ascii="Arial" w:eastAsia="宋体"/>
          <w:sz w:val="56"/>
          <w:szCs w:val="96"/>
          <w:lang w:val="en-US" w:eastAsia="zh-CN"/>
        </w:rPr>
        <w:t xml:space="preserve">政</w:t>
      </w:r>
      <w:r/>
    </w:p>
    <w:p>
      <w:pPr>
        <w:jc w:val="center"/>
        <w:spacing w:line="241" w:lineRule="auto"/>
        <w:rPr>
          <w:rFonts w:hint="eastAsia" w:ascii="Arial" w:eastAsia="宋体"/>
          <w:sz w:val="56"/>
          <w:szCs w:val="96"/>
          <w:lang w:val="en-US" w:eastAsia="zh-CN"/>
        </w:rPr>
      </w:pPr>
      <w:r>
        <w:rPr>
          <w:rFonts w:hint="eastAsia" w:ascii="Arial" w:eastAsia="宋体"/>
          <w:sz w:val="56"/>
          <w:szCs w:val="96"/>
          <w:lang w:val="en-US" w:eastAsia="zh-CN"/>
        </w:rPr>
        <w:t xml:space="preserve">府</w:t>
      </w:r>
      <w:r/>
    </w:p>
    <w:p>
      <w:pPr>
        <w:jc w:val="center"/>
        <w:spacing w:line="241" w:lineRule="auto"/>
        <w:rPr>
          <w:rFonts w:hint="eastAsia" w:ascii="Arial" w:eastAsia="宋体"/>
          <w:sz w:val="56"/>
          <w:szCs w:val="96"/>
          <w:lang w:val="en-US" w:eastAsia="zh-CN"/>
        </w:rPr>
      </w:pPr>
      <w:r>
        <w:rPr>
          <w:rFonts w:hint="eastAsia" w:ascii="Arial" w:eastAsia="宋体"/>
          <w:sz w:val="56"/>
          <w:szCs w:val="96"/>
          <w:lang w:val="en-US" w:eastAsia="zh-CN"/>
        </w:rPr>
        <w:t xml:space="preserve">采</w:t>
      </w:r>
      <w:r/>
    </w:p>
    <w:p>
      <w:pPr>
        <w:jc w:val="center"/>
        <w:spacing w:line="241" w:lineRule="auto"/>
        <w:rPr>
          <w:rFonts w:hint="eastAsia" w:ascii="Arial" w:eastAsia="宋体"/>
          <w:sz w:val="56"/>
          <w:szCs w:val="96"/>
          <w:lang w:val="en-US" w:eastAsia="zh-CN"/>
        </w:rPr>
      </w:pPr>
      <w:r>
        <w:rPr>
          <w:rFonts w:hint="eastAsia" w:ascii="Arial" w:eastAsia="宋体"/>
          <w:sz w:val="56"/>
          <w:szCs w:val="96"/>
          <w:lang w:val="en-US" w:eastAsia="zh-CN"/>
        </w:rPr>
        <w:t xml:space="preserve">购</w:t>
      </w:r>
      <w:r/>
    </w:p>
    <w:p>
      <w:pPr>
        <w:jc w:val="center"/>
        <w:spacing w:line="241" w:lineRule="auto"/>
        <w:rPr>
          <w:rFonts w:hint="eastAsia" w:ascii="Arial" w:eastAsia="宋体"/>
          <w:sz w:val="56"/>
          <w:szCs w:val="96"/>
          <w:lang w:val="en-US" w:eastAsia="zh-CN"/>
        </w:rPr>
      </w:pPr>
      <w:r>
        <w:rPr>
          <w:rFonts w:hint="eastAsia" w:ascii="Arial" w:eastAsia="宋体"/>
          <w:sz w:val="56"/>
          <w:szCs w:val="96"/>
          <w:lang w:val="en-US" w:eastAsia="zh-CN"/>
        </w:rPr>
        <w:t xml:space="preserve">合</w:t>
      </w:r>
      <w:r/>
    </w:p>
    <w:p>
      <w:pPr>
        <w:jc w:val="center"/>
        <w:spacing w:line="241" w:lineRule="auto"/>
        <w:rPr>
          <w:rFonts w:ascii="Arial"/>
          <w:sz w:val="56"/>
          <w:szCs w:val="96"/>
        </w:rPr>
      </w:pPr>
      <w:r>
        <w:rPr>
          <w:rFonts w:hint="eastAsia" w:ascii="Arial" w:eastAsia="宋体"/>
          <w:sz w:val="56"/>
          <w:szCs w:val="96"/>
          <w:lang w:val="en-US" w:eastAsia="zh-CN"/>
        </w:rPr>
        <w:t xml:space="preserve">同</w:t>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772"/>
        <w:ind w:left="1734"/>
        <w:spacing w:before="91" w:line="219" w:lineRule="auto"/>
        <w:rPr>
          <w:rFonts w:ascii="Times New Roman" w:hAnsi="Times New Roman" w:eastAsia="Times New Roman" w:cs="Times New Roman"/>
        </w:rPr>
      </w:pPr>
      <w:r>
        <w:rPr>
          <w:b/>
          <w:bCs/>
          <w:spacing w:val="-4"/>
        </w:rPr>
        <w:t xml:space="preserve">项</w:t>
      </w:r>
      <w:r>
        <w:rPr>
          <w:spacing w:val="56"/>
        </w:rPr>
        <w:t xml:space="preserve"> </w:t>
      </w:r>
      <w:r>
        <w:rPr>
          <w:b/>
          <w:bCs/>
          <w:spacing w:val="-4"/>
        </w:rPr>
        <w:t xml:space="preserve">目</w:t>
      </w:r>
      <w:r>
        <w:rPr>
          <w:spacing w:val="-4"/>
        </w:rPr>
        <w:t xml:space="preserve"> </w:t>
      </w:r>
      <w:r>
        <w:rPr>
          <w:b/>
          <w:bCs/>
          <w:spacing w:val="-4"/>
        </w:rPr>
        <w:t xml:space="preserve">编</w:t>
      </w:r>
      <w:r>
        <w:rPr>
          <w:spacing w:val="-4"/>
        </w:rPr>
        <w:t xml:space="preserve"> </w:t>
      </w:r>
      <w:r>
        <w:rPr>
          <w:b/>
          <w:bCs/>
          <w:spacing w:val="-4"/>
        </w:rPr>
        <w:t xml:space="preserve">号</w:t>
      </w:r>
      <w:r>
        <w:rPr>
          <w:spacing w:val="-27"/>
        </w:rPr>
        <w:t xml:space="preserve"> </w:t>
      </w:r>
      <w:r>
        <w:rPr>
          <w:b/>
          <w:bCs/>
          <w:spacing w:val="-4"/>
        </w:rPr>
        <w:t xml:space="preserve">：</w:t>
      </w:r>
      <w:r/>
    </w:p>
    <w:p>
      <w:pPr>
        <w:pStyle w:val="772"/>
        <w:ind w:left="1734"/>
        <w:spacing w:before="267" w:line="219" w:lineRule="auto"/>
      </w:pPr>
      <w:r>
        <w:rPr>
          <w:b/>
          <w:bCs/>
          <w:spacing w:val="-7"/>
        </w:rPr>
        <w:t xml:space="preserve">采</w:t>
      </w:r>
      <w:r>
        <w:rPr>
          <w:spacing w:val="-7"/>
        </w:rPr>
        <w:t xml:space="preserve">  </w:t>
      </w:r>
      <w:r>
        <w:rPr>
          <w:b/>
          <w:bCs/>
          <w:spacing w:val="-7"/>
        </w:rPr>
        <w:t xml:space="preserve">购</w:t>
      </w:r>
      <w:r>
        <w:rPr>
          <w:spacing w:val="-7"/>
        </w:rPr>
        <w:t xml:space="preserve">  </w:t>
      </w:r>
      <w:r>
        <w:rPr>
          <w:b/>
          <w:bCs/>
          <w:spacing w:val="-7"/>
        </w:rPr>
        <w:t xml:space="preserve">人：</w:t>
      </w:r>
      <w:r>
        <w:rPr>
          <w:spacing w:val="-55"/>
        </w:rPr>
        <w:t xml:space="preserve"> </w:t>
      </w:r>
      <w:r/>
    </w:p>
    <w:p>
      <w:pPr>
        <w:pStyle w:val="772"/>
        <w:ind w:left="1734"/>
        <w:spacing w:before="307" w:line="219" w:lineRule="auto"/>
      </w:pPr>
      <w:r>
        <w:rPr>
          <w:b/>
          <w:bCs/>
          <w:spacing w:val="-15"/>
        </w:rPr>
        <w:t xml:space="preserve">成交供应商：</w:t>
      </w:r>
      <w:r>
        <w:rPr>
          <w:spacing w:val="40"/>
        </w:rPr>
        <w:t xml:space="preserve"> </w:t>
      </w:r>
      <w:r/>
    </w:p>
    <w:p>
      <w:pPr>
        <w:pStyle w:val="772"/>
        <w:ind w:left="1734"/>
        <w:spacing w:before="311" w:line="219" w:lineRule="auto"/>
      </w:pPr>
      <w:r>
        <w:rPr>
          <w:b/>
          <w:bCs/>
          <w:spacing w:val="-13"/>
        </w:rPr>
        <w:t xml:space="preserve">合同签订日期：</w:t>
      </w:r>
      <w:r>
        <w:rPr>
          <w:spacing w:val="-13"/>
        </w:rPr>
        <w:t xml:space="preserve"> </w:t>
      </w:r>
      <w:r/>
    </w:p>
    <w:p>
      <w:pPr>
        <w:spacing w:line="219" w:lineRule="auto"/>
        <w:sectPr>
          <w:footnotePr/>
          <w:endnotePr/>
          <w:type w:val="nextPage"/>
          <w:pgSz w:w="12060" w:h="16950" w:orient="portrait"/>
          <w:pgMar w:top="1440" w:right="1800" w:bottom="1440" w:left="1800" w:header="0" w:footer="0" w:gutter="0"/>
          <w:cols w:num="1" w:sep="0" w:space="720" w:equalWidth="1"/>
          <w:docGrid w:linePitch="360"/>
        </w:sectPr>
      </w:pPr>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采购人(下称甲方):</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供应商(下称乙方):</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为保证邳州市</w:t>
      </w:r>
      <w:r>
        <w:rPr>
          <w:rFonts w:hint="eastAsia" w:ascii="仿宋" w:hAnsi="仿宋" w:eastAsia="仿宋" w:cs="仿宋"/>
          <w:b w:val="0"/>
          <w:bCs w:val="0"/>
          <w:spacing w:val="-1"/>
          <w:sz w:val="32"/>
          <w:szCs w:val="32"/>
          <w:lang w:val="en-US" w:eastAsia="zh-CN"/>
        </w:rPr>
        <w:t xml:space="preserve">6</w:t>
      </w:r>
      <w:r>
        <w:rPr>
          <w:rFonts w:hint="eastAsia" w:ascii="仿宋" w:hAnsi="仿宋" w:eastAsia="仿宋" w:cs="仿宋"/>
          <w:b w:val="0"/>
          <w:bCs w:val="0"/>
          <w:spacing w:val="-1"/>
          <w:sz w:val="32"/>
          <w:szCs w:val="32"/>
        </w:rPr>
        <w:t xml:space="preserve">个农村生活垃圾分类试点镇生活垃圾分类处 置中心正常规范运行，明确甲、乙双方的权利和义务，依据《中华人民共和国民法典》、《中华人民共和国政府采购法》与项目行业有关的法律法规，甲乙双方恪守公平、公正、诚信的原则，友好协商，签订本合同。</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合同编号：</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签订地点：</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签订时间：</w:t>
      </w:r>
      <w:r>
        <w:rPr>
          <w:rFonts w:hint="eastAsia" w:ascii="仿宋" w:hAnsi="仿宋" w:eastAsia="仿宋" w:cs="仿宋"/>
          <w:b w:val="0"/>
          <w:bCs w:val="0"/>
          <w:spacing w:val="-1"/>
          <w:sz w:val="32"/>
          <w:szCs w:val="32"/>
          <w:lang w:val="en-US" w:eastAsia="zh-CN"/>
        </w:rPr>
        <w:t xml:space="preserve"> </w:t>
      </w:r>
      <w:r/>
    </w:p>
    <w:p>
      <w:pPr>
        <w:ind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第一条  运营范围</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邳州市</w:t>
      </w:r>
      <w:r>
        <w:rPr>
          <w:rFonts w:hint="eastAsia" w:ascii="仿宋" w:hAnsi="仿宋" w:eastAsia="仿宋" w:cs="仿宋"/>
          <w:b w:val="0"/>
          <w:bCs w:val="0"/>
          <w:spacing w:val="-1"/>
          <w:sz w:val="32"/>
          <w:szCs w:val="32"/>
          <w:lang w:val="en-US" w:eastAsia="zh-CN"/>
        </w:rPr>
        <w:t xml:space="preserve">八义集镇</w:t>
      </w:r>
      <w:r>
        <w:rPr>
          <w:rFonts w:hint="eastAsia" w:ascii="仿宋" w:hAnsi="仿宋" w:eastAsia="仿宋" w:cs="仿宋"/>
          <w:b w:val="0"/>
          <w:bCs w:val="0"/>
          <w:spacing w:val="-1"/>
          <w:sz w:val="32"/>
          <w:szCs w:val="32"/>
        </w:rPr>
        <w:t xml:space="preserve">、</w:t>
      </w:r>
      <w:r>
        <w:rPr>
          <w:rFonts w:hint="eastAsia" w:ascii="仿宋" w:hAnsi="仿宋" w:eastAsia="仿宋" w:cs="仿宋"/>
          <w:b w:val="0"/>
          <w:bCs w:val="0"/>
          <w:spacing w:val="-1"/>
          <w:sz w:val="32"/>
          <w:szCs w:val="32"/>
          <w:lang w:val="en-US" w:eastAsia="zh-CN"/>
        </w:rPr>
        <w:t xml:space="preserve">新河镇</w:t>
      </w:r>
      <w:r>
        <w:rPr>
          <w:rFonts w:hint="eastAsia" w:ascii="仿宋" w:hAnsi="仿宋" w:eastAsia="仿宋" w:cs="仿宋"/>
          <w:b w:val="0"/>
          <w:bCs w:val="0"/>
          <w:spacing w:val="-1"/>
          <w:sz w:val="32"/>
          <w:szCs w:val="32"/>
        </w:rPr>
        <w:t xml:space="preserve">、</w:t>
      </w:r>
      <w:r>
        <w:rPr>
          <w:rFonts w:hint="eastAsia" w:ascii="仿宋" w:hAnsi="仿宋" w:eastAsia="仿宋" w:cs="仿宋"/>
          <w:b w:val="0"/>
          <w:bCs w:val="0"/>
          <w:spacing w:val="-1"/>
          <w:sz w:val="32"/>
          <w:szCs w:val="32"/>
          <w:lang w:val="en-US" w:eastAsia="zh-CN"/>
        </w:rPr>
        <w:t xml:space="preserve">宿羊山镇</w:t>
      </w:r>
      <w:r>
        <w:rPr>
          <w:rFonts w:hint="eastAsia" w:ascii="仿宋" w:hAnsi="仿宋" w:eastAsia="仿宋" w:cs="仿宋"/>
          <w:b w:val="0"/>
          <w:bCs w:val="0"/>
          <w:spacing w:val="-1"/>
          <w:sz w:val="32"/>
          <w:szCs w:val="32"/>
        </w:rPr>
        <w:t xml:space="preserve">、</w:t>
      </w:r>
      <w:r>
        <w:rPr>
          <w:rFonts w:hint="eastAsia" w:ascii="仿宋" w:hAnsi="仿宋" w:eastAsia="仿宋" w:cs="仿宋"/>
          <w:b w:val="0"/>
          <w:bCs w:val="0"/>
          <w:spacing w:val="-1"/>
          <w:sz w:val="32"/>
          <w:szCs w:val="32"/>
          <w:lang w:val="en-US" w:eastAsia="zh-CN"/>
        </w:rPr>
        <w:t xml:space="preserve">车辐山镇、赵墩镇、邢楼镇</w:t>
      </w:r>
      <w:r>
        <w:rPr>
          <w:rFonts w:hint="eastAsia" w:ascii="仿宋" w:hAnsi="仿宋" w:eastAsia="仿宋" w:cs="仿宋"/>
          <w:b w:val="0"/>
          <w:bCs w:val="0"/>
          <w:spacing w:val="-1"/>
          <w:sz w:val="32"/>
          <w:szCs w:val="32"/>
        </w:rPr>
        <w:t xml:space="preserve">共</w:t>
      </w:r>
      <w:r>
        <w:rPr>
          <w:rFonts w:hint="eastAsia" w:ascii="仿宋" w:hAnsi="仿宋" w:eastAsia="仿宋" w:cs="仿宋"/>
          <w:b w:val="0"/>
          <w:bCs w:val="0"/>
          <w:spacing w:val="-1"/>
          <w:sz w:val="32"/>
          <w:szCs w:val="32"/>
          <w:lang w:val="en-US" w:eastAsia="zh-CN"/>
        </w:rPr>
        <w:t xml:space="preserve">6</w:t>
      </w:r>
      <w:r>
        <w:rPr>
          <w:rFonts w:hint="eastAsia" w:ascii="仿宋" w:hAnsi="仿宋" w:eastAsia="仿宋" w:cs="仿宋"/>
          <w:b w:val="0"/>
          <w:bCs w:val="0"/>
          <w:spacing w:val="-1"/>
          <w:sz w:val="32"/>
          <w:szCs w:val="32"/>
        </w:rPr>
        <w:t xml:space="preserve">个农村生活垃圾分类试点镇生活垃圾分类处置中心(每个处置中心均包含其他垃圾中转站、有机易腐垃圾处置站、可回收物和大件垃圾分拣站、有害垃圾临时存放点及地磅、监控设备、停车场地等其它设施设备)的一体化管理运营，负责处置中心所在镇全域各类生活垃圾的终端处置工作。</w:t>
      </w:r>
      <w:r/>
    </w:p>
    <w:p>
      <w:pPr>
        <w:ind w:left="0" w:firstLine="614"/>
        <w:keepLines w:val="0"/>
        <w:keepNext w:val="0"/>
        <w:pageBreakBefore w:val="0"/>
        <w:spacing w:line="560" w:lineRule="exact"/>
        <w:widowControl/>
        <w:rPr>
          <w:rFonts w:ascii="黑体" w:hAnsi="黑体" w:eastAsia="黑体" w:cs="黑体"/>
          <w:sz w:val="30"/>
          <w:szCs w:val="30"/>
        </w:rPr>
      </w:pPr>
      <w:r>
        <w:rPr>
          <w:rFonts w:ascii="黑体" w:hAnsi="黑体" w:eastAsia="黑体" w:cs="黑体"/>
          <w:b/>
          <w:bCs/>
          <w:spacing w:val="3"/>
          <w:sz w:val="30"/>
          <w:szCs w:val="30"/>
        </w:rPr>
        <w:t xml:space="preserve">第二条</w:t>
      </w:r>
      <w:r>
        <w:rPr>
          <w:rFonts w:ascii="黑体" w:hAnsi="黑体" w:eastAsia="黑体" w:cs="黑体"/>
          <w:spacing w:val="23"/>
          <w:sz w:val="30"/>
          <w:szCs w:val="30"/>
        </w:rPr>
        <w:t xml:space="preserve">  </w:t>
      </w:r>
      <w:r>
        <w:rPr>
          <w:rFonts w:ascii="黑体" w:hAnsi="黑体" w:eastAsia="黑体" w:cs="黑体"/>
          <w:b/>
          <w:bCs/>
          <w:spacing w:val="3"/>
          <w:sz w:val="30"/>
          <w:szCs w:val="30"/>
        </w:rPr>
        <w:t xml:space="preserve">合同期限</w:t>
      </w:r>
      <w:r/>
    </w:p>
    <w:p>
      <w:pPr>
        <w:ind w:left="0" w:firstLine="660"/>
        <w:keepLines w:val="0"/>
        <w:keepNext w:val="0"/>
        <w:pageBreakBefore w:val="0"/>
        <w:spacing w:line="560" w:lineRule="exact"/>
        <w:widowControl/>
        <w:rPr>
          <w:rFonts w:ascii="仿宋" w:hAnsi="仿宋" w:eastAsia="仿宋" w:cs="仿宋"/>
          <w:sz w:val="30"/>
          <w:szCs w:val="30"/>
        </w:rPr>
      </w:pPr>
      <w:r>
        <w:rPr>
          <w:rFonts w:ascii="仿宋" w:hAnsi="仿宋" w:eastAsia="仿宋" w:cs="仿宋"/>
          <w:spacing w:val="15"/>
          <w:sz w:val="30"/>
          <w:szCs w:val="30"/>
        </w:rPr>
        <w:t xml:space="preserve">合同期限：3年。自202</w:t>
      </w:r>
      <w:r>
        <w:rPr>
          <w:rFonts w:hint="eastAsia" w:ascii="仿宋" w:hAnsi="仿宋" w:eastAsia="仿宋" w:cs="仿宋"/>
          <w:spacing w:val="15"/>
          <w:sz w:val="30"/>
          <w:szCs w:val="30"/>
          <w:lang w:val="en-US" w:eastAsia="zh-CN"/>
        </w:rPr>
        <w:t xml:space="preserve">4</w:t>
      </w:r>
      <w:r>
        <w:rPr>
          <w:rFonts w:ascii="仿宋" w:hAnsi="仿宋" w:eastAsia="仿宋" w:cs="仿宋"/>
          <w:spacing w:val="15"/>
          <w:sz w:val="30"/>
          <w:szCs w:val="30"/>
        </w:rPr>
        <w:t xml:space="preserve">年</w:t>
      </w:r>
      <w:r>
        <w:rPr>
          <w:rFonts w:hint="eastAsia" w:ascii="仿宋" w:hAnsi="仿宋" w:eastAsia="仿宋" w:cs="仿宋"/>
          <w:spacing w:val="15"/>
          <w:sz w:val="30"/>
          <w:szCs w:val="30"/>
          <w:lang w:val="en-US" w:eastAsia="zh-CN"/>
        </w:rPr>
        <w:t xml:space="preserve"> </w:t>
      </w:r>
      <w:r>
        <w:rPr>
          <w:rFonts w:ascii="仿宋" w:hAnsi="仿宋" w:eastAsia="仿宋" w:cs="仿宋"/>
          <w:spacing w:val="15"/>
          <w:sz w:val="30"/>
          <w:szCs w:val="30"/>
        </w:rPr>
        <w:t xml:space="preserve">月</w:t>
      </w:r>
      <w:r>
        <w:rPr>
          <w:rFonts w:hint="eastAsia" w:ascii="仿宋" w:hAnsi="仿宋" w:eastAsia="仿宋" w:cs="仿宋"/>
          <w:spacing w:val="15"/>
          <w:sz w:val="30"/>
          <w:szCs w:val="30"/>
          <w:lang w:val="en-US" w:eastAsia="zh-CN"/>
        </w:rPr>
        <w:t xml:space="preserve"> </w:t>
      </w:r>
      <w:r>
        <w:rPr>
          <w:rFonts w:ascii="仿宋" w:hAnsi="仿宋" w:eastAsia="仿宋" w:cs="仿宋"/>
          <w:spacing w:val="15"/>
          <w:sz w:val="30"/>
          <w:szCs w:val="30"/>
        </w:rPr>
        <w:t xml:space="preserve">日起至2</w:t>
      </w:r>
      <w:r>
        <w:rPr>
          <w:rFonts w:hint="eastAsia" w:ascii="仿宋" w:hAnsi="仿宋" w:eastAsia="仿宋" w:cs="仿宋"/>
          <w:spacing w:val="15"/>
          <w:sz w:val="30"/>
          <w:szCs w:val="30"/>
          <w:lang w:val="en-US" w:eastAsia="zh-CN"/>
        </w:rPr>
        <w:t xml:space="preserve">027</w:t>
      </w:r>
      <w:r>
        <w:rPr>
          <w:rFonts w:ascii="仿宋" w:hAnsi="仿宋" w:eastAsia="仿宋" w:cs="仿宋"/>
          <w:spacing w:val="15"/>
          <w:sz w:val="30"/>
          <w:szCs w:val="30"/>
        </w:rPr>
        <w:t xml:space="preserve">年</w:t>
      </w:r>
      <w:r>
        <w:rPr>
          <w:rFonts w:hint="eastAsia" w:ascii="仿宋" w:hAnsi="仿宋" w:eastAsia="仿宋" w:cs="仿宋"/>
          <w:spacing w:val="15"/>
          <w:sz w:val="30"/>
          <w:szCs w:val="30"/>
          <w:lang w:val="en-US" w:eastAsia="zh-CN"/>
        </w:rPr>
        <w:t xml:space="preserve"> </w:t>
      </w:r>
      <w:r>
        <w:rPr>
          <w:rFonts w:ascii="仿宋" w:hAnsi="仿宋" w:eastAsia="仿宋" w:cs="仿宋"/>
          <w:spacing w:val="15"/>
          <w:sz w:val="30"/>
          <w:szCs w:val="30"/>
        </w:rPr>
        <w:t xml:space="preserve">月</w:t>
      </w:r>
      <w:r>
        <w:rPr>
          <w:rFonts w:hint="eastAsia" w:ascii="仿宋" w:hAnsi="仿宋" w:eastAsia="仿宋" w:cs="仿宋"/>
          <w:spacing w:val="15"/>
          <w:sz w:val="30"/>
          <w:szCs w:val="30"/>
          <w:lang w:val="en-US" w:eastAsia="zh-CN"/>
        </w:rPr>
        <w:t xml:space="preserve"> </w:t>
      </w:r>
      <w:r>
        <w:rPr>
          <w:rFonts w:ascii="仿宋" w:hAnsi="仿宋" w:eastAsia="仿宋" w:cs="仿宋"/>
          <w:spacing w:val="15"/>
          <w:sz w:val="30"/>
          <w:szCs w:val="30"/>
        </w:rPr>
        <w:t xml:space="preserve">日止。</w:t>
      </w:r>
      <w:r/>
    </w:p>
    <w:p>
      <w:pPr>
        <w:ind w:left="0" w:firstLine="634"/>
        <w:keepLines w:val="0"/>
        <w:keepNext w:val="0"/>
        <w:pageBreakBefore w:val="0"/>
        <w:spacing w:line="560" w:lineRule="exact"/>
        <w:widowControl/>
        <w:rPr>
          <w:rFonts w:ascii="黑体" w:hAnsi="黑体" w:eastAsia="黑体" w:cs="黑体"/>
          <w:sz w:val="30"/>
          <w:szCs w:val="30"/>
        </w:rPr>
      </w:pPr>
      <w:r>
        <w:rPr>
          <w:rFonts w:ascii="黑体" w:hAnsi="黑体" w:eastAsia="黑体" w:cs="黑体"/>
          <w:b/>
          <w:bCs/>
          <w:spacing w:val="8"/>
          <w:sz w:val="30"/>
          <w:szCs w:val="30"/>
        </w:rPr>
        <w:t xml:space="preserve">第三条</w:t>
      </w:r>
      <w:r>
        <w:rPr>
          <w:rFonts w:ascii="黑体" w:hAnsi="黑体" w:eastAsia="黑体" w:cs="黑体"/>
          <w:spacing w:val="8"/>
          <w:sz w:val="30"/>
          <w:szCs w:val="30"/>
        </w:rPr>
        <w:t xml:space="preserve">  </w:t>
      </w:r>
      <w:r>
        <w:rPr>
          <w:rFonts w:ascii="黑体" w:hAnsi="黑体" w:eastAsia="黑体" w:cs="黑体"/>
          <w:b/>
          <w:bCs/>
          <w:spacing w:val="8"/>
          <w:sz w:val="30"/>
          <w:szCs w:val="30"/>
        </w:rPr>
        <w:t xml:space="preserve">服务内容与质量标准</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1.乙方服务内容：</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(1)负责协助所在镇环卫车辆将垃圾倒入压缩设备内。</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(2)负责环卫车辆倒放垃圾时的秩序管理与其他车辆的停放秩序管理。</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(3)负责保持各处置中心站内及周边环境卫生。 (4)负责各处置中心水电、除臭、消杀等管理。</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(5)负责各处置中心站内排污管网的畅通。</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(6)按政府要求，做好政府布置的临时性阶段性任务(含检查、突击整治、重大节假日及活动等)涉及处置中心的有关工作。</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lang w:eastAsia="zh-CN"/>
        </w:rPr>
        <w:t xml:space="preserve">（</w:t>
      </w:r>
      <w:r>
        <w:rPr>
          <w:rFonts w:hint="eastAsia" w:ascii="仿宋" w:hAnsi="仿宋" w:eastAsia="仿宋" w:cs="仿宋"/>
          <w:b w:val="0"/>
          <w:bCs w:val="0"/>
          <w:spacing w:val="-1"/>
          <w:sz w:val="32"/>
          <w:szCs w:val="32"/>
          <w:lang w:val="en-US" w:eastAsia="zh-CN"/>
        </w:rPr>
        <w:t xml:space="preserve">7</w:t>
      </w:r>
      <w:r>
        <w:rPr>
          <w:rFonts w:hint="eastAsia" w:ascii="仿宋" w:hAnsi="仿宋" w:eastAsia="仿宋" w:cs="仿宋"/>
          <w:b w:val="0"/>
          <w:bCs w:val="0"/>
          <w:spacing w:val="-1"/>
          <w:sz w:val="32"/>
          <w:szCs w:val="32"/>
          <w:lang w:eastAsia="zh-CN"/>
        </w:rPr>
        <w:t xml:space="preserve">）</w:t>
      </w:r>
      <w:r>
        <w:rPr>
          <w:rFonts w:hint="eastAsia" w:ascii="仿宋" w:hAnsi="仿宋" w:eastAsia="仿宋" w:cs="仿宋"/>
          <w:b w:val="0"/>
          <w:bCs w:val="0"/>
          <w:spacing w:val="-1"/>
          <w:sz w:val="32"/>
          <w:szCs w:val="32"/>
        </w:rPr>
        <w:t xml:space="preserve">负责各处置中心内设备和基础设施的正常运行、养护、 维修、故障排除、渗滤液及污水转运等，承担单项维修费用1000元以内的支出。</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(8)负责进站垃圾的压缩和装卸、可回收物和大件垃圾的收集分拣处置、有机易腐(含厨余)垃圾的处置、有害垃圾的暂存 转运、各类进站垃圾(含可回收物、大件垃圾)的质量管控，确保无其它不符合生活垃圾定义的物品(含工业垃圾、建筑垃圾泥土、危废等)进站。</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(9)负责与服务范围内的其他相关联业务单位的业务对接， 确保属地乡镇各类生活垃圾(含可回收物及大件垃圾)正常进入， 其他垃圾日产日清，有机易腐垃圾和可回收物(及大件垃圾)及 时处置，有害垃圾规范存放，并建立以上各类垃圾进出站“联单制度”。</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(10)负责各处置中心所有人员的配备和管理、工资福利发 放、服装配备、安全管理措施落实等方面的工作，建立企业内部考核管理机制。</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(11)负责各类进站垃圾(含可回收物及大件垃圾)电子和 纸质台账的建立和归集，并及时将各类进站垃圾(含可回收物及大件垃圾)信息数据录入甲方设立的邳州市生活垃圾分类和治理综合管理信息平台。</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(12)负责建立辖区内可回收物和有害垃圾有偿巡回回收和电话预约回收制度。</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(13)负责各处置中心办公用品包括电脑、桌椅、文件柜等的配备。</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(14)负责各处置中心内所有站点管理制度和操作规程的制订和上墙。</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(15)甲方交办的其他任务。</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2.工作标准及要求：</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(1)环卫作业应做到文明、安全、有序，最大限度地减少对环境的污染和居民群众生活的影响。</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(2)环卫作业人员应做好劳动防护，作业时穿工作服、雨靴、戴口罩，做到着装整齐规范。</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(3)处置中心内垃圾进站有秩序，禁止乱倒垃圾、积存垃圾、乱堆杂物、站内翻捡垃圾。</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(4)及时清扫清洗处置中心地面、平台、压缩、设备等设施设备，及时清理垃圾渗滤液、下水道垃圾及积存污水。</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(5)保持处置中心内及周边20米范围内卫生整洁、无散落积存垃圾及污水，无乱堆乱放杂物。</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(6)保持处置中心内设施设备完整和正常运行，及时上报设施损坏和维修情况。</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en-US"/>
        </w:rPr>
      </w:pPr>
      <w:r>
        <w:rPr>
          <w:rFonts w:hint="eastAsia" w:ascii="仿宋" w:hAnsi="仿宋" w:eastAsia="仿宋" w:cs="仿宋"/>
          <w:b w:val="0"/>
          <w:bCs w:val="0"/>
          <w:spacing w:val="-1"/>
          <w:sz w:val="32"/>
          <w:szCs w:val="32"/>
        </w:rPr>
        <w:t xml:space="preserve">(7)保证各类进站垃圾及时压缩、装卸、分拣、贮存，有机 易腐(含厨余)垃圾及时处置，有害垃圾按规定存放管理，确保 各类进站垃圾(含可回收物、大件垃圾)质量管控到位，确保无 其它不符合生活垃圾定义的物品(含工业垃圾、各类危废等)进</w:t>
      </w:r>
      <w:r>
        <w:rPr>
          <w:rFonts w:hint="eastAsia" w:ascii="仿宋" w:hAnsi="仿宋" w:eastAsia="仿宋" w:cs="仿宋"/>
          <w:b w:val="0"/>
          <w:bCs w:val="0"/>
          <w:spacing w:val="-1"/>
          <w:sz w:val="32"/>
          <w:szCs w:val="32"/>
          <w:lang w:val="en-US" w:eastAsia="en-US"/>
        </w:rPr>
        <w:t xml:space="preserve">站。</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(8)与各相关联业务单位建立稳定、流畅的工作渠道，确保属地镇各类生活垃圾(含可回收物、大件垃圾、有机易腐垃圾、 有害垃圾)正常进入、及时处置、规范存放，各类垃圾进出站“三联单制度”规范、齐备、及时。</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(9)负责各处置中心工作人员的配备和管理、工资福利发放、 服装配备、安全管理措施落实等方面的工作，确保各处置中心工 作人员管理到位，服务企业雇佣人员工资不得低于江苏省最低工 资标准(含保险)。内部考核机制健全，有专人、专车落实各中心考核管理工作。</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(10)按照监管方要求及时建立各类进站垃圾(含可回收物、 大件垃圾、有害垃圾、有机易腐垃圾)电子和纸质台账，及时将 各类进站垃圾信息数据录入甲方设立的邳州市生活垃圾分类和治理综合管理信息平台。</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(11)在服务范围内公布可回收物有偿回收专线电话，公示回收价格，建立并有效落实可回收物有偿巡回回收和电话预约回收制度。</w:t>
      </w:r>
      <w:r/>
    </w:p>
    <w:p>
      <w:pPr>
        <w:ind w:left="0"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第四条监管考核</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甲方依据相关国家法律法规、行业规范标准和本合同制订本服务项目实施过程中的具体监管考核办法及和考核细则(见附件), 享有和本合同同等法律效力，甲方人员依据考核办法和考核细则对乙方履约过程实施监管和考核，甲方依据考核结果(百分制)</w:t>
      </w:r>
      <w:r/>
    </w:p>
    <w:p>
      <w:pPr>
        <w:ind w:firstLine="636"/>
        <w:jc w:val="left"/>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按比例拨付乙方服务经费，乙方积极配合甲方监管和考核工作。乙方服务费用=合同约定额度*(考核得分/100)*100%</w:t>
      </w:r>
      <w:r/>
    </w:p>
    <w:p>
      <w:pPr>
        <w:ind w:left="0"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第五条  服务费用及支付方式</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1、本合同总价款为：人民币</w:t>
      </w:r>
      <w:r>
        <w:rPr>
          <w:rFonts w:hint="eastAsia" w:ascii="仿宋" w:hAnsi="仿宋" w:eastAsia="仿宋" w:cs="仿宋"/>
          <w:b w:val="0"/>
          <w:bCs w:val="0"/>
          <w:spacing w:val="-1"/>
          <w:sz w:val="32"/>
          <w:szCs w:val="32"/>
          <w:lang w:val="en-US" w:eastAsia="zh-CN"/>
        </w:rPr>
        <w:t xml:space="preserve">     </w:t>
      </w:r>
      <w:r>
        <w:rPr>
          <w:rFonts w:hint="eastAsia" w:ascii="仿宋" w:hAnsi="仿宋" w:eastAsia="仿宋" w:cs="仿宋"/>
          <w:b w:val="0"/>
          <w:bCs w:val="0"/>
          <w:spacing w:val="-1"/>
          <w:sz w:val="32"/>
          <w:szCs w:val="32"/>
        </w:rPr>
        <w:t xml:space="preserve">万元(大写：),每年合同价</w:t>
      </w:r>
      <w:r>
        <w:rPr>
          <w:rFonts w:hint="eastAsia" w:ascii="仿宋" w:hAnsi="仿宋" w:eastAsia="仿宋" w:cs="仿宋"/>
          <w:b w:val="0"/>
          <w:bCs w:val="0"/>
          <w:spacing w:val="-1"/>
          <w:sz w:val="32"/>
          <w:szCs w:val="32"/>
          <w:lang w:val="en-US" w:eastAsia="zh-CN"/>
        </w:rPr>
        <w:t xml:space="preserve">     </w:t>
      </w:r>
      <w:r>
        <w:rPr>
          <w:rFonts w:hint="eastAsia" w:ascii="仿宋" w:hAnsi="仿宋" w:eastAsia="仿宋" w:cs="仿宋"/>
          <w:b w:val="0"/>
          <w:bCs w:val="0"/>
          <w:spacing w:val="-1"/>
          <w:sz w:val="32"/>
          <w:szCs w:val="32"/>
        </w:rPr>
        <w:t xml:space="preserve">万元(大写：),每季度支付一次。</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2、乙方于每季度结束后10日内向甲方提出本季度服务情况明细清单，经甲方审核后按照考核结果，由甲方向财政部门申报，经财政部门批准后，次月一次性支付价款。</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3、乙方应在甲方办理支付手续前5个工作日内提供等额的正式发票给甲方，以便甲方及时办理支付手续。</w:t>
      </w:r>
      <w:r/>
    </w:p>
    <w:p>
      <w:pPr>
        <w:ind w:firstLine="636"/>
        <w:keepLines w:val="0"/>
        <w:keepNext w:val="0"/>
        <w:pageBreakBefore w:val="0"/>
        <w:spacing w:line="560" w:lineRule="exact"/>
        <w:widowControl/>
        <w:rPr>
          <w:rFonts w:hint="default"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4、乙方需向甲方缴纳合同保证金（具体金额等待签订合同时确定）。</w:t>
      </w:r>
      <w:r/>
    </w:p>
    <w:p>
      <w:pPr>
        <w:ind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第六条 知识产权</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乙方应保证所提供的服务或其任何一部分均不会侵犯任何第三方的专利权、商标权或著作权。</w:t>
      </w:r>
      <w:r/>
    </w:p>
    <w:p>
      <w:pPr>
        <w:ind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第七条  无产权瑕疵条款</w:t>
      </w:r>
      <w:r/>
    </w:p>
    <w:p>
      <w:pPr>
        <w:ind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乙方保证所提供的服务的所有权完全属于乙方且无任何抵押、 查封等产权瑕疵。如有产权瑕疵的，视为乙方违约。乙方应负担由此而产生的一切损失。</w:t>
      </w:r>
      <w:r/>
    </w:p>
    <w:p>
      <w:pPr>
        <w:ind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第八条   甲方的权利和义务</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1、甲方有权对合同规定范围内乙方的服务行为进行监督、检查，拥有监管权。有权定期核对乙方提供服务所配备的人员数量 和服务质量。对认为不合理的部分有权下达整改通知书，并要求乙方限期整改。</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2、甲方有权依据双方签订的考核办法对乙方提供的服务进行 定期考核，并依据考核结果拨付乙方服务费用和实施双方约定的 其它处罚措施。甲方按照现行法律法规对乙方的违反法律法规行为进行处罚。</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3、甲方根据本合同约定，无正当理由(乙方违约等)不得超期或拖欠乙方服务费用。</w:t>
      </w:r>
      <w:r/>
    </w:p>
    <w:p>
      <w:pPr>
        <w:ind w:left="0"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第九条  乙方的权利和义务</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1、乙方对本合同规定的委托服务范围内的项目享有管理权及 服务义务，不得将承揽的服务项目分包、转包，如乙方违反，甲方有权终止合同。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2、乙方根据本合同的规定向甲方收取相关服务费用，并有权在本项目管理范围内管理及合理使用。</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3、乙方及时向甲方通告本项目服务范围内的重大事项，配合处理投诉。</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4、乙方接受监管方和项目行业管理部门及政府有关部门的指导，积极配合甲方的监督、指导和考核，不得阻碍。</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5、乙方应遵守《劳动法》及相关法律法规的规定，若有违反，责任由乙方自行承担。</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6、全面负责人员的劳动安全教育、培训和管理，乙方确保安全生产制度健全并有效落实。</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7、乙方服务合同期满后，须保证各处置中心所配备的所有建 筑物、设施、设备完好无缺、功能正常，3日内移交给甲方，否则乙方照价赔偿。</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8、国家法律、法规所规定由乙方承担的其它责任。</w:t>
      </w:r>
      <w:r/>
    </w:p>
    <w:p>
      <w:pPr>
        <w:ind w:left="0" w:firstLine="639"/>
        <w:keepLines w:val="0"/>
        <w:keepNext w:val="0"/>
        <w:pageBreakBefore w:val="0"/>
        <w:spacing w:line="560" w:lineRule="exact"/>
        <w:widowControl/>
        <w:rPr>
          <w:rFonts w:hint="eastAsia" w:ascii="黑体" w:hAnsi="黑体" w:eastAsia="黑体" w:cs="黑体"/>
          <w:b/>
          <w:bCs/>
          <w:spacing w:val="-1"/>
          <w:sz w:val="32"/>
          <w:szCs w:val="32"/>
        </w:rPr>
      </w:pPr>
      <w:r>
        <w:rPr>
          <w:rFonts w:hint="eastAsia" w:ascii="黑体" w:hAnsi="黑体" w:eastAsia="黑体" w:cs="黑体"/>
          <w:b/>
          <w:bCs/>
          <w:spacing w:val="-1"/>
          <w:sz w:val="32"/>
          <w:szCs w:val="32"/>
        </w:rPr>
        <w:t xml:space="preserve">第十条  违约责任</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1、甲乙双方必须遵守本合同并执行合同中的各项规定，保证本合同的正常履行。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rPr>
      </w:pPr>
      <w:r>
        <w:rPr>
          <w:rFonts w:hint="eastAsia" w:ascii="仿宋" w:hAnsi="仿宋" w:eastAsia="仿宋" w:cs="仿宋"/>
          <w:b w:val="0"/>
          <w:bCs w:val="0"/>
          <w:spacing w:val="-1"/>
          <w:sz w:val="32"/>
          <w:szCs w:val="32"/>
        </w:rPr>
        <w:t xml:space="preserve">2、如因乙方工作人员在履行服务过程中的的疏忽、失职、过错等故意或者过失原因给甲方造成损失或侵害，包括但不限于甲方本身的财产损失、由此而导致的甲方对任何第三方的法律责任等，乙方对此均应承担全部的赔偿责任。</w:t>
      </w:r>
      <w:r/>
    </w:p>
    <w:p>
      <w:pPr>
        <w:ind w:left="0" w:firstLine="636"/>
        <w:keepLines w:val="0"/>
        <w:keepNext w:val="0"/>
        <w:pageBreakBefore w:val="0"/>
        <w:spacing w:line="560" w:lineRule="exact"/>
        <w:widowControl/>
        <w:rPr>
          <w:rFonts w:hint="default"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3、乙方必须按月及时支付所有聘用人员的工资、福利待遇及</w:t>
      </w:r>
      <w:r>
        <w:rPr>
          <w:rFonts w:hint="eastAsia" w:ascii="仿宋" w:hAnsi="仿宋" w:eastAsia="仿宋" w:cs="仿宋"/>
          <w:b w:val="0"/>
          <w:bCs w:val="0"/>
          <w:spacing w:val="-1"/>
          <w:sz w:val="32"/>
          <w:szCs w:val="32"/>
        </w:rPr>
        <w:t xml:space="preserve">缴纳保险</w:t>
      </w:r>
      <w:r>
        <w:rPr>
          <w:rFonts w:hint="eastAsia" w:ascii="仿宋" w:hAnsi="仿宋" w:eastAsia="仿宋" w:cs="仿宋"/>
          <w:b w:val="0"/>
          <w:bCs w:val="0"/>
          <w:spacing w:val="-1"/>
          <w:sz w:val="32"/>
          <w:szCs w:val="32"/>
          <w:lang w:val="en-US" w:eastAsia="zh-CN"/>
        </w:rPr>
        <w:t xml:space="preserve">，在合同履约一个年度内拖欠人员工资达3个月或以上的，甲方有权终止本合同，且乙方须支付甲方本合同约定的一年度服务费用（  万元/年）的50%作为甲方损失的补偿。</w:t>
      </w:r>
      <w:r/>
    </w:p>
    <w:p>
      <w:pPr>
        <w:ind w:left="0" w:firstLine="636"/>
        <w:keepLines w:val="0"/>
        <w:keepNext w:val="0"/>
        <w:pageBreakBefore w:val="0"/>
        <w:spacing w:line="560" w:lineRule="exact"/>
        <w:widowControl/>
        <w:rPr>
          <w:rFonts w:hint="default"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4、乙方单方面终止履行本合同的，乙方须支付甲方本合同约定的一年度服务费用（  万元/年）的50%作为甲方损失的补偿。</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乙方不服从甲方管理，甲方有权终止合同。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乙方擅自转包和分包的，甲方有权终止合同。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5、乙方在合同期内累计3次以上(含3次)违反合同约定受到城管局书面通报批评的，甲方有权终止合同。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6、乙方工作被新闻媒体曝光及群众投诉造成重大影响的或受到上级部门书面通报的，经查实有责且3次及以上的，甲方有权终止合同。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7、乙方在用工等方面如违反《劳动法》及相关规定，甲方有权终止本合同。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8、因上班期间发生的交通安全、工伤等意外事故，乙方未按 照有关规定处理，引起矛盾的由乙方承担，在下期应付经费中扣除相关费用。</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9、甲方或乙方如有其他违约，应按《中华人民共和国合同法》承担其违约责任，赔偿因其违约给对方造成的损失。</w:t>
      </w:r>
      <w:r/>
    </w:p>
    <w:p>
      <w:pPr>
        <w:ind w:left="0" w:firstLine="639"/>
        <w:keepLines w:val="0"/>
        <w:keepNext w:val="0"/>
        <w:pageBreakBefore w:val="0"/>
        <w:spacing w:line="560" w:lineRule="exact"/>
        <w:widowControl/>
        <w:rPr>
          <w:rFonts w:hint="eastAsia" w:ascii="仿宋" w:hAnsi="仿宋" w:eastAsia="仿宋" w:cs="仿宋"/>
          <w:b/>
          <w:bCs/>
          <w:spacing w:val="-1"/>
          <w:sz w:val="32"/>
          <w:szCs w:val="32"/>
          <w:lang w:val="en-US" w:eastAsia="zh-CN"/>
        </w:rPr>
      </w:pPr>
      <w:r>
        <w:rPr>
          <w:rFonts w:hint="eastAsia" w:ascii="黑体" w:hAnsi="黑体" w:eastAsia="黑体" w:cs="黑体"/>
          <w:b/>
          <w:bCs/>
          <w:spacing w:val="-1"/>
          <w:sz w:val="32"/>
          <w:szCs w:val="32"/>
          <w:lang w:val="en-US" w:eastAsia="zh-CN"/>
        </w:rPr>
        <w:t xml:space="preserve">第十一条安全责任</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1、乙方承担经营期间本项目实施过程中产生的所有安全责任，甲方概不负责。</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2、 乙方应做好公司内部管理，加强安全生产教育。每月必须进行一次安全教育宣传、会议、检查，并建立台账备查。</w:t>
      </w:r>
      <w:r/>
    </w:p>
    <w:p>
      <w:pPr>
        <w:ind w:left="0" w:firstLine="639"/>
        <w:keepLines w:val="0"/>
        <w:keepNext w:val="0"/>
        <w:pageBreakBefore w:val="0"/>
        <w:spacing w:line="560" w:lineRule="exact"/>
        <w:widowControl/>
        <w:rPr>
          <w:rFonts w:hint="eastAsia" w:ascii="黑体" w:hAnsi="黑体" w:eastAsia="黑体" w:cs="黑体"/>
          <w:b/>
          <w:bCs/>
          <w:spacing w:val="-1"/>
          <w:sz w:val="32"/>
          <w:szCs w:val="32"/>
          <w:lang w:val="en-US" w:eastAsia="zh-CN"/>
        </w:rPr>
      </w:pPr>
      <w:r>
        <w:rPr>
          <w:rFonts w:hint="eastAsia" w:ascii="黑体" w:hAnsi="黑体" w:eastAsia="黑体" w:cs="黑体"/>
          <w:b/>
          <w:bCs/>
          <w:spacing w:val="-1"/>
          <w:sz w:val="32"/>
          <w:szCs w:val="32"/>
          <w:lang w:val="en-US" w:eastAsia="zh-CN"/>
        </w:rPr>
        <w:t xml:space="preserve">第十二条  不可抗力事件处理</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1、在合同有效期内，任何一方因不可抗力事件导致不能履行合同，则合同履行期可延长，其延长期与不可抗力影响期相同。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2、不可抗力事件发生后，应立即通知对方，并在不可抗力因素消除后的15个工作日内提供有关权威机构出具的证明材料。</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3、 不可抗力事件延续30 天以上，双方应通过友好协商，确定是否继续履行合同。</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4、如不可抗力因素持续存在，致使合同无法继续履行，双方应同意解除合同并互不追责。</w:t>
      </w:r>
      <w:r/>
    </w:p>
    <w:p>
      <w:pPr>
        <w:ind w:left="0" w:firstLine="639"/>
        <w:keepLines w:val="0"/>
        <w:keepNext w:val="0"/>
        <w:pageBreakBefore w:val="0"/>
        <w:spacing w:line="560" w:lineRule="exact"/>
        <w:widowControl/>
        <w:rPr>
          <w:rFonts w:hint="eastAsia" w:ascii="黑体" w:hAnsi="黑体" w:eastAsia="黑体" w:cs="黑体"/>
          <w:b/>
          <w:bCs/>
          <w:spacing w:val="-1"/>
          <w:sz w:val="32"/>
          <w:szCs w:val="32"/>
          <w:lang w:val="en-US" w:eastAsia="zh-CN"/>
        </w:rPr>
      </w:pPr>
      <w:r>
        <w:rPr>
          <w:rFonts w:hint="eastAsia" w:ascii="黑体" w:hAnsi="黑体" w:eastAsia="黑体" w:cs="黑体"/>
          <w:b/>
          <w:bCs/>
          <w:spacing w:val="-1"/>
          <w:sz w:val="32"/>
          <w:szCs w:val="32"/>
          <w:lang w:val="en-US" w:eastAsia="zh-CN"/>
        </w:rPr>
        <w:t xml:space="preserve">第十三条  解决合同纠纷的方式</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在执行本合同中发生的或与本合同有关的争端，双方应通过 友好协商解决，经协商在30天内不能达成协议时，可向项目所在地人民法院提起诉讼解决。</w:t>
      </w:r>
      <w:r/>
    </w:p>
    <w:p>
      <w:pPr>
        <w:ind w:left="0" w:firstLine="639"/>
        <w:keepLines w:val="0"/>
        <w:keepNext w:val="0"/>
        <w:pageBreakBefore w:val="0"/>
        <w:spacing w:line="560" w:lineRule="exact"/>
        <w:widowControl/>
        <w:rPr>
          <w:rFonts w:hint="eastAsia" w:ascii="黑体" w:hAnsi="黑体" w:eastAsia="黑体" w:cs="黑体"/>
          <w:b/>
          <w:bCs/>
          <w:spacing w:val="-1"/>
          <w:sz w:val="32"/>
          <w:szCs w:val="32"/>
          <w:lang w:val="en-US" w:eastAsia="zh-CN"/>
        </w:rPr>
      </w:pPr>
      <w:r>
        <w:rPr>
          <w:rFonts w:hint="eastAsia" w:ascii="黑体" w:hAnsi="黑体" w:eastAsia="黑体" w:cs="黑体"/>
          <w:b/>
          <w:bCs/>
          <w:spacing w:val="-1"/>
          <w:sz w:val="32"/>
          <w:szCs w:val="32"/>
          <w:lang w:val="en-US" w:eastAsia="zh-CN"/>
        </w:rPr>
        <w:t xml:space="preserve">第十四条  合同生效及其他</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1、合同经双方法定代表人或授权委托代理人签字并加盖单位公章后生效。</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2、合同执行中涉及采购资金和采购内容修改或补充的，须经政府采购监管部门审批，并签书面补充协议报政府采购监督管理部门备案，方可作为主合同不可分割的一部分。</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3、本合同一式6份，自双方签章之日起起效。甲方2份，乙方2份，采购代理机构1份，财政部门备案1份，具有同等法律效力。</w:t>
      </w:r>
      <w:r/>
    </w:p>
    <w:p>
      <w:pPr>
        <w:ind w:left="0" w:firstLine="639"/>
        <w:keepLines w:val="0"/>
        <w:keepNext w:val="0"/>
        <w:pageBreakBefore w:val="0"/>
        <w:spacing w:line="560" w:lineRule="exact"/>
        <w:widowControl/>
        <w:rPr>
          <w:rFonts w:hint="eastAsia" w:ascii="黑体" w:hAnsi="黑体" w:eastAsia="黑体" w:cs="黑体"/>
          <w:b/>
          <w:bCs/>
          <w:spacing w:val="-1"/>
          <w:sz w:val="32"/>
          <w:szCs w:val="32"/>
          <w:lang w:val="en-US" w:eastAsia="zh-CN"/>
        </w:rPr>
      </w:pPr>
      <w:r>
        <w:rPr>
          <w:rFonts w:hint="eastAsia" w:ascii="黑体" w:hAnsi="黑体" w:eastAsia="黑体" w:cs="黑体"/>
          <w:b/>
          <w:bCs/>
          <w:spacing w:val="-1"/>
          <w:sz w:val="32"/>
          <w:szCs w:val="32"/>
          <w:lang w:val="en-US" w:eastAsia="zh-CN"/>
        </w:rPr>
        <w:t xml:space="preserve">第十五条  附  件</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pPr>
      <w:r>
        <w:rPr>
          <w:rFonts w:hint="eastAsia" w:ascii="仿宋" w:hAnsi="仿宋" w:eastAsia="仿宋" w:cs="仿宋"/>
          <w:b w:val="0"/>
          <w:bCs w:val="0"/>
          <w:spacing w:val="-1"/>
          <w:sz w:val="32"/>
          <w:szCs w:val="32"/>
          <w:lang w:val="en-US" w:eastAsia="zh-CN"/>
        </w:rPr>
        <w:t xml:space="preserve">为保证乙方服务质量，由甲方制定乙方服务考评办法和考评细则（百分制），本考评办法和细则作为本服务合同附件，享有此次所签合同主体同等法律地位。</w:t>
      </w:r>
      <w:r/>
    </w:p>
    <w:p>
      <w:pPr>
        <w:ind w:left="0" w:firstLine="636"/>
        <w:keepLines w:val="0"/>
        <w:keepNext w:val="0"/>
        <w:pageBreakBefore w:val="0"/>
        <w:spacing w:line="560" w:lineRule="exact"/>
        <w:widowControl/>
        <w:rPr>
          <w:rFonts w:hint="eastAsia" w:ascii="仿宋" w:hAnsi="仿宋" w:eastAsia="仿宋" w:cs="仿宋"/>
          <w:b w:val="0"/>
          <w:bCs w:val="0"/>
          <w:spacing w:val="-1"/>
          <w:sz w:val="32"/>
          <w:szCs w:val="32"/>
          <w:lang w:val="en-US" w:eastAsia="zh-CN"/>
        </w:rPr>
        <w:sectPr>
          <w:footnotePr/>
          <w:endnotePr/>
          <w:type w:val="nextPage"/>
          <w:pgSz w:w="11910" w:h="16840" w:orient="portrait"/>
          <w:pgMar w:top="1440" w:right="1800" w:bottom="1440" w:left="1800" w:header="0" w:footer="0" w:gutter="0"/>
          <w:cols w:num="1" w:sep="0" w:space="720" w:equalWidth="1"/>
          <w:docGrid w:linePitch="360"/>
        </w:sectPr>
      </w:pPr>
      <w:r>
        <w:rPr>
          <w:rFonts w:hint="eastAsia" w:ascii="仿宋" w:hAnsi="仿宋" w:eastAsia="仿宋" w:cs="仿宋"/>
          <w:b w:val="0"/>
          <w:bCs w:val="0"/>
          <w:spacing w:val="-1"/>
          <w:sz w:val="32"/>
          <w:szCs w:val="32"/>
          <w:lang w:val="en-US" w:eastAsia="zh-CN"/>
        </w:rPr>
      </w:r>
      <w:r/>
    </w:p>
    <w:p>
      <w:pPr>
        <w:sectPr>
          <w:headerReference w:type="default" r:id="rId11"/>
          <w:footnotePr/>
          <w:endnotePr/>
          <w:type w:val="nextPage"/>
          <w:pgSz w:w="12080" w:h="16960" w:orient="portrait"/>
          <w:pgMar w:top="1440" w:right="1800" w:bottom="1440" w:left="1800" w:header="0" w:footer="0" w:gutter="0"/>
          <w:cols w:num="1" w:sep="0" w:space="1701" w:equalWidth="0">
            <w:col w:w="10471" w:space="0"/>
          </w:cols>
          <w:docGrid w:linePitch="360"/>
        </w:sectPr>
      </w:pPr>
      <w:r/>
      <w:r/>
    </w:p>
    <w:p>
      <w:pPr>
        <w:ind w:left="39"/>
        <w:spacing w:before="97" w:line="222" w:lineRule="auto"/>
        <w:rPr>
          <w:rFonts w:hint="eastAsia" w:ascii="仿宋" w:hAnsi="仿宋" w:eastAsia="仿宋" w:cs="仿宋"/>
          <w:sz w:val="32"/>
          <w:szCs w:val="32"/>
        </w:rPr>
      </w:pPr>
      <w:r>
        <w:rPr>
          <w:rFonts w:hint="eastAsia" w:ascii="仿宋" w:hAnsi="仿宋" w:eastAsia="仿宋" w:cs="仿宋"/>
          <w:spacing w:val="-8"/>
          <w:sz w:val="32"/>
          <w:szCs w:val="32"/>
        </w:rPr>
        <w:t xml:space="preserve">甲方：</w:t>
      </w:r>
      <w:r>
        <w:rPr>
          <w:rFonts w:hint="eastAsia" w:ascii="仿宋" w:hAnsi="仿宋" w:eastAsia="仿宋" w:cs="仿宋"/>
          <w:spacing w:val="24"/>
          <w:sz w:val="32"/>
          <w:szCs w:val="32"/>
        </w:rPr>
        <w:t xml:space="preserve">     </w:t>
      </w:r>
      <w:r>
        <w:rPr>
          <w:rFonts w:hint="eastAsia" w:ascii="仿宋" w:hAnsi="仿宋" w:eastAsia="仿宋" w:cs="仿宋"/>
          <w:spacing w:val="-8"/>
          <w:sz w:val="32"/>
          <w:szCs w:val="32"/>
        </w:rPr>
        <w:t xml:space="preserve">(盖章)</w:t>
      </w:r>
      <w:r/>
    </w:p>
    <w:p>
      <w:pPr>
        <w:ind w:left="39"/>
        <w:spacing w:before="198" w:line="575" w:lineRule="exact"/>
        <w:rPr>
          <w:rFonts w:hint="eastAsia" w:ascii="仿宋" w:hAnsi="仿宋" w:eastAsia="仿宋" w:cs="仿宋"/>
          <w:sz w:val="32"/>
          <w:szCs w:val="32"/>
        </w:rPr>
      </w:pPr>
      <w:r>
        <w:rPr>
          <w:rFonts w:hint="eastAsia" w:ascii="仿宋" w:hAnsi="仿宋" w:eastAsia="仿宋" w:cs="仿宋"/>
          <w:spacing w:val="29"/>
          <w:position w:val="20"/>
          <w:sz w:val="32"/>
          <w:szCs w:val="32"/>
        </w:rPr>
        <w:t xml:space="preserve">法定代表人(授权代表)</w:t>
      </w:r>
      <w:r/>
    </w:p>
    <w:p>
      <w:pPr>
        <w:ind w:left="39"/>
        <w:spacing w:before="1" w:line="231" w:lineRule="auto"/>
        <w:rPr>
          <w:rFonts w:hint="eastAsia" w:ascii="仿宋" w:hAnsi="仿宋" w:eastAsia="仿宋" w:cs="仿宋"/>
          <w:sz w:val="32"/>
          <w:szCs w:val="32"/>
        </w:rPr>
      </w:pPr>
      <w:r>
        <w:rPr>
          <w:rFonts w:hint="eastAsia" w:ascii="仿宋" w:hAnsi="仿宋" w:eastAsia="仿宋" w:cs="仿宋"/>
          <w:spacing w:val="-11"/>
          <w:sz w:val="32"/>
          <w:szCs w:val="32"/>
        </w:rPr>
        <w:t xml:space="preserve">地</w:t>
      </w:r>
      <w:r>
        <w:rPr>
          <w:rFonts w:hint="eastAsia" w:ascii="仿宋" w:hAnsi="仿宋" w:eastAsia="仿宋" w:cs="仿宋"/>
          <w:spacing w:val="12"/>
          <w:sz w:val="32"/>
          <w:szCs w:val="32"/>
        </w:rPr>
        <w:t xml:space="preserve">    </w:t>
      </w:r>
      <w:r>
        <w:rPr>
          <w:rFonts w:hint="eastAsia" w:ascii="仿宋" w:hAnsi="仿宋" w:eastAsia="仿宋" w:cs="仿宋"/>
          <w:spacing w:val="-11"/>
          <w:sz w:val="32"/>
          <w:szCs w:val="32"/>
        </w:rPr>
        <w:t xml:space="preserve">址</w:t>
      </w:r>
      <w:r/>
    </w:p>
    <w:p>
      <w:pPr>
        <w:ind w:left="39"/>
        <w:spacing w:before="166" w:line="178" w:lineRule="auto"/>
        <w:rPr>
          <w:rFonts w:hint="eastAsia" w:ascii="仿宋" w:hAnsi="仿宋" w:eastAsia="仿宋" w:cs="仿宋"/>
          <w:sz w:val="32"/>
          <w:szCs w:val="32"/>
        </w:rPr>
      </w:pPr>
      <w:r>
        <w:rPr>
          <w:rFonts w:hint="eastAsia" w:ascii="仿宋" w:hAnsi="仿宋" w:eastAsia="仿宋" w:cs="仿宋"/>
          <w:spacing w:val="22"/>
          <w:sz w:val="32"/>
          <w:szCs w:val="32"/>
        </w:rPr>
        <w:t xml:space="preserve">开户银行</w:t>
      </w:r>
      <w:r/>
    </w:p>
    <w:p>
      <w:pPr>
        <w:spacing w:line="663" w:lineRule="exact"/>
        <w:rPr>
          <w:rFonts w:hint="eastAsia" w:ascii="仿宋" w:hAnsi="仿宋" w:eastAsia="仿宋" w:cs="仿宋"/>
          <w:sz w:val="32"/>
          <w:szCs w:val="32"/>
        </w:rPr>
      </w:pPr>
      <w:r>
        <w:rPr>
          <w:rFonts w:hint="eastAsia" w:ascii="仿宋" w:hAnsi="仿宋" w:eastAsia="仿宋" w:cs="仿宋"/>
          <w:spacing w:val="-1"/>
          <w:sz w:val="32"/>
          <w:szCs w:val="32"/>
        </w:rPr>
        <w:t xml:space="preserve">账号：</w:t>
      </w:r>
      <w:r/>
    </w:p>
    <w:p>
      <w:pPr>
        <w:pStyle w:val="772"/>
        <w:ind w:left="39"/>
        <w:spacing w:before="175" w:line="566" w:lineRule="exact"/>
        <w:rPr>
          <w:rFonts w:hint="eastAsia" w:ascii="仿宋" w:hAnsi="仿宋" w:eastAsia="仿宋" w:cs="仿宋"/>
          <w:sz w:val="32"/>
          <w:szCs w:val="32"/>
        </w:rPr>
      </w:pPr>
      <w:r>
        <w:rPr>
          <w:rFonts w:hint="eastAsia" w:ascii="仿宋" w:hAnsi="仿宋" w:eastAsia="仿宋" w:cs="仿宋"/>
          <w:spacing w:val="-12"/>
          <w:position w:val="19"/>
          <w:sz w:val="32"/>
          <w:szCs w:val="32"/>
        </w:rPr>
        <w:t xml:space="preserve">电话：</w:t>
      </w:r>
      <w:r/>
    </w:p>
    <w:p>
      <w:pPr>
        <w:ind w:left="39"/>
        <w:spacing w:line="223" w:lineRule="auto"/>
        <w:rPr>
          <w:rFonts w:hint="eastAsia" w:ascii="仿宋" w:hAnsi="仿宋" w:eastAsia="仿宋" w:cs="仿宋"/>
          <w:sz w:val="32"/>
          <w:szCs w:val="32"/>
        </w:rPr>
      </w:pPr>
      <w:r>
        <w:rPr>
          <w:rFonts w:hint="eastAsia" w:ascii="仿宋" w:hAnsi="仿宋" w:eastAsia="仿宋" w:cs="仿宋"/>
          <w:spacing w:val="-7"/>
          <w:sz w:val="32"/>
          <w:szCs w:val="32"/>
        </w:rPr>
        <w:t xml:space="preserve">传真：</w:t>
      </w:r>
      <w:r/>
    </w:p>
    <w:p>
      <w:pPr>
        <w:ind w:left="39"/>
        <w:spacing w:before="218" w:line="223" w:lineRule="auto"/>
        <w:rPr>
          <w:rFonts w:hint="eastAsia" w:ascii="仿宋" w:hAnsi="仿宋" w:eastAsia="仿宋" w:cs="仿宋"/>
          <w:sz w:val="32"/>
          <w:szCs w:val="32"/>
        </w:rPr>
      </w:pPr>
      <w:r>
        <w:rPr>
          <w:rFonts w:hint="eastAsia" w:ascii="仿宋" w:hAnsi="仿宋" w:eastAsia="仿宋" w:cs="仿宋"/>
          <w:spacing w:val="-2"/>
          <w:sz w:val="32"/>
          <w:szCs w:val="32"/>
        </w:rPr>
        <w:t xml:space="preserve">签约日期：</w:t>
      </w:r>
      <w:r/>
    </w:p>
    <w:p>
      <w:pPr>
        <w:spacing w:line="14" w:lineRule="auto"/>
        <w:rPr>
          <w:rFonts w:hint="eastAsia" w:ascii="仿宋" w:hAnsi="仿宋" w:eastAsia="仿宋" w:cs="仿宋"/>
          <w:sz w:val="32"/>
          <w:szCs w:val="32"/>
        </w:rPr>
      </w:pPr>
      <w:r>
        <w:rPr>
          <w:rFonts w:hint="eastAsia" w:ascii="仿宋" w:hAnsi="仿宋" w:eastAsia="仿宋" w:cs="仿宋"/>
          <w:sz w:val="32"/>
          <w:szCs w:val="32"/>
        </w:rPr>
        <w:br w:type="column"/>
      </w:r>
      <w:r/>
    </w:p>
    <w:p>
      <w:pPr>
        <w:ind w:left="39"/>
        <w:spacing w:before="97" w:line="222" w:lineRule="auto"/>
        <w:rPr>
          <w:rFonts w:hint="eastAsia" w:ascii="仿宋" w:hAnsi="仿宋" w:eastAsia="仿宋" w:cs="仿宋"/>
          <w:sz w:val="32"/>
          <w:szCs w:val="32"/>
        </w:rPr>
      </w:pPr>
      <w:r>
        <w:rPr>
          <w:rFonts w:hint="eastAsia" w:ascii="仿宋" w:hAnsi="仿宋" w:eastAsia="仿宋" w:cs="仿宋"/>
          <w:spacing w:val="-8"/>
          <w:sz w:val="32"/>
          <w:szCs w:val="32"/>
          <w:lang w:val="en-US" w:eastAsia="zh-CN"/>
        </w:rPr>
        <w:t xml:space="preserve">乙</w:t>
      </w:r>
      <w:r>
        <w:rPr>
          <w:rFonts w:hint="eastAsia" w:ascii="仿宋" w:hAnsi="仿宋" w:eastAsia="仿宋" w:cs="仿宋"/>
          <w:spacing w:val="-8"/>
          <w:sz w:val="32"/>
          <w:szCs w:val="32"/>
        </w:rPr>
        <w:t xml:space="preserve">方：</w:t>
      </w:r>
      <w:r>
        <w:rPr>
          <w:rFonts w:hint="eastAsia" w:ascii="仿宋" w:hAnsi="仿宋" w:eastAsia="仿宋" w:cs="仿宋"/>
          <w:spacing w:val="24"/>
          <w:sz w:val="32"/>
          <w:szCs w:val="32"/>
        </w:rPr>
        <w:t xml:space="preserve">     </w:t>
      </w:r>
      <w:r>
        <w:rPr>
          <w:rFonts w:hint="eastAsia" w:ascii="仿宋" w:hAnsi="仿宋" w:eastAsia="仿宋" w:cs="仿宋"/>
          <w:spacing w:val="-8"/>
          <w:sz w:val="32"/>
          <w:szCs w:val="32"/>
        </w:rPr>
        <w:t xml:space="preserve">(盖章)</w:t>
      </w:r>
      <w:r/>
    </w:p>
    <w:p>
      <w:pPr>
        <w:ind w:left="39"/>
        <w:spacing w:before="198" w:line="575" w:lineRule="exact"/>
        <w:rPr>
          <w:rFonts w:hint="eastAsia" w:ascii="仿宋" w:hAnsi="仿宋" w:eastAsia="仿宋" w:cs="仿宋"/>
          <w:sz w:val="32"/>
          <w:szCs w:val="32"/>
        </w:rPr>
      </w:pPr>
      <w:r>
        <w:rPr>
          <w:rFonts w:hint="eastAsia" w:ascii="仿宋" w:hAnsi="仿宋" w:eastAsia="仿宋" w:cs="仿宋"/>
          <w:spacing w:val="29"/>
          <w:position w:val="20"/>
          <w:sz w:val="32"/>
          <w:szCs w:val="32"/>
        </w:rPr>
        <w:t xml:space="preserve">法定代表人(授权代表)</w:t>
      </w:r>
      <w:r/>
    </w:p>
    <w:p>
      <w:pPr>
        <w:ind w:left="39"/>
        <w:spacing w:before="1" w:line="231" w:lineRule="auto"/>
        <w:rPr>
          <w:rFonts w:hint="eastAsia" w:ascii="仿宋" w:hAnsi="仿宋" w:eastAsia="仿宋" w:cs="仿宋"/>
          <w:sz w:val="32"/>
          <w:szCs w:val="32"/>
        </w:rPr>
      </w:pPr>
      <w:r>
        <w:rPr>
          <w:rFonts w:hint="eastAsia" w:ascii="仿宋" w:hAnsi="仿宋" w:eastAsia="仿宋" w:cs="仿宋"/>
          <w:spacing w:val="-11"/>
          <w:sz w:val="32"/>
          <w:szCs w:val="32"/>
        </w:rPr>
        <w:t xml:space="preserve">地</w:t>
      </w:r>
      <w:r>
        <w:rPr>
          <w:rFonts w:hint="eastAsia" w:ascii="仿宋" w:hAnsi="仿宋" w:eastAsia="仿宋" w:cs="仿宋"/>
          <w:spacing w:val="12"/>
          <w:sz w:val="32"/>
          <w:szCs w:val="32"/>
        </w:rPr>
        <w:t xml:space="preserve">    </w:t>
      </w:r>
      <w:r>
        <w:rPr>
          <w:rFonts w:hint="eastAsia" w:ascii="仿宋" w:hAnsi="仿宋" w:eastAsia="仿宋" w:cs="仿宋"/>
          <w:spacing w:val="-11"/>
          <w:sz w:val="32"/>
          <w:szCs w:val="32"/>
        </w:rPr>
        <w:t xml:space="preserve">址</w:t>
      </w:r>
      <w:r/>
    </w:p>
    <w:p>
      <w:pPr>
        <w:ind w:left="39"/>
        <w:spacing w:before="166" w:line="178" w:lineRule="auto"/>
        <w:rPr>
          <w:rFonts w:hint="eastAsia" w:ascii="仿宋" w:hAnsi="仿宋" w:eastAsia="仿宋" w:cs="仿宋"/>
          <w:sz w:val="32"/>
          <w:szCs w:val="32"/>
        </w:rPr>
      </w:pPr>
      <w:r>
        <w:rPr>
          <w:rFonts w:hint="eastAsia" w:ascii="仿宋" w:hAnsi="仿宋" w:eastAsia="仿宋" w:cs="仿宋"/>
          <w:spacing w:val="22"/>
          <w:sz w:val="32"/>
          <w:szCs w:val="32"/>
        </w:rPr>
        <w:t xml:space="preserve">开户银行</w:t>
      </w:r>
      <w:r/>
    </w:p>
    <w:p>
      <w:pPr>
        <w:spacing w:line="663" w:lineRule="exact"/>
        <w:rPr>
          <w:rFonts w:hint="eastAsia" w:ascii="仿宋" w:hAnsi="仿宋" w:eastAsia="仿宋" w:cs="仿宋"/>
          <w:sz w:val="32"/>
          <w:szCs w:val="32"/>
        </w:rPr>
      </w:pPr>
      <w:r>
        <w:rPr>
          <w:rFonts w:hint="eastAsia" w:ascii="仿宋" w:hAnsi="仿宋" w:eastAsia="仿宋" w:cs="仿宋"/>
          <w:spacing w:val="-1"/>
          <w:sz w:val="32"/>
          <w:szCs w:val="32"/>
        </w:rPr>
        <w:t xml:space="preserve">账号：</w:t>
      </w:r>
      <w:r/>
    </w:p>
    <w:p>
      <w:pPr>
        <w:pStyle w:val="772"/>
        <w:ind w:left="39"/>
        <w:spacing w:before="175" w:line="566" w:lineRule="exact"/>
        <w:rPr>
          <w:rFonts w:hint="eastAsia" w:ascii="仿宋" w:hAnsi="仿宋" w:eastAsia="仿宋" w:cs="仿宋"/>
          <w:sz w:val="32"/>
          <w:szCs w:val="32"/>
        </w:rPr>
      </w:pPr>
      <w:r>
        <w:rPr>
          <w:rFonts w:hint="eastAsia" w:ascii="仿宋" w:hAnsi="仿宋" w:eastAsia="仿宋" w:cs="仿宋"/>
          <w:spacing w:val="-12"/>
          <w:position w:val="19"/>
          <w:sz w:val="32"/>
          <w:szCs w:val="32"/>
        </w:rPr>
        <w:t xml:space="preserve">电话：</w:t>
      </w:r>
      <w:r/>
    </w:p>
    <w:p>
      <w:pPr>
        <w:ind w:left="39"/>
        <w:spacing w:line="223" w:lineRule="auto"/>
        <w:rPr>
          <w:rFonts w:hint="eastAsia" w:ascii="仿宋" w:hAnsi="仿宋" w:eastAsia="仿宋" w:cs="仿宋"/>
          <w:sz w:val="32"/>
          <w:szCs w:val="32"/>
        </w:rPr>
      </w:pPr>
      <w:r>
        <w:rPr>
          <w:rFonts w:hint="eastAsia" w:ascii="仿宋" w:hAnsi="仿宋" w:eastAsia="仿宋" w:cs="仿宋"/>
          <w:spacing w:val="-7"/>
          <w:sz w:val="32"/>
          <w:szCs w:val="32"/>
        </w:rPr>
        <w:t xml:space="preserve">传真：</w:t>
      </w:r>
      <w:r/>
    </w:p>
    <w:p>
      <w:pPr>
        <w:ind w:left="39"/>
        <w:spacing w:before="218" w:line="223" w:lineRule="auto"/>
        <w:rPr>
          <w:rFonts w:hint="eastAsia" w:ascii="仿宋" w:hAnsi="仿宋" w:eastAsia="仿宋" w:cs="仿宋"/>
          <w:spacing w:val="-2"/>
          <w:sz w:val="32"/>
          <w:szCs w:val="32"/>
        </w:rPr>
        <w:sectPr>
          <w:footnotePr/>
          <w:endnotePr/>
          <w:type w:val="continuous"/>
          <w:pgSz w:w="12080" w:h="16960" w:orient="portrait"/>
          <w:pgMar w:top="400" w:right="69" w:bottom="0" w:left="1539" w:header="0" w:footer="0" w:gutter="0"/>
          <w:cols w:num="3" w:sep="0" w:space="1701" w:equalWidth="0">
            <w:col w:w="4541" w:space="100"/>
            <w:col w:w="5011" w:space="100"/>
            <w:col w:w="720" w:space="0"/>
          </w:cols>
          <w:docGrid w:linePitch="360"/>
        </w:sectPr>
      </w:pPr>
      <w:r>
        <w:rPr>
          <w:rFonts w:hint="eastAsia" w:ascii="仿宋" w:hAnsi="仿宋" w:eastAsia="仿宋" w:cs="仿宋"/>
          <w:spacing w:val="-2"/>
          <w:sz w:val="32"/>
          <w:szCs w:val="32"/>
        </w:rPr>
        <w:t xml:space="preserve">签约日期：</w:t>
      </w:r>
      <w:r/>
    </w:p>
    <w:p>
      <w:pPr>
        <w:pStyle w:val="772"/>
        <w:jc w:val="center"/>
        <w:spacing w:line="219" w:lineRule="auto"/>
        <w:rPr>
          <w:rFonts w:hint="eastAsia" w:ascii="方正小标宋简体" w:hAnsi="方正小标宋简体" w:eastAsia="方正小标宋简体" w:cs="方正小标宋简体"/>
          <w:b w:val="0"/>
          <w:bCs w:val="0"/>
          <w:spacing w:val="-4"/>
          <w:sz w:val="44"/>
          <w:szCs w:val="44"/>
        </w:rPr>
      </w:pPr>
      <w:r>
        <w:rPr>
          <w:rFonts w:hint="eastAsia" w:ascii="方正小标宋简体" w:hAnsi="方正小标宋简体" w:eastAsia="方正小标宋简体" w:cs="方正小标宋简体"/>
          <w:b w:val="0"/>
          <w:bCs w:val="0"/>
          <w:spacing w:val="-4"/>
          <w:sz w:val="44"/>
          <w:szCs w:val="44"/>
        </w:rPr>
        <w:t xml:space="preserve">邳州市农村生活垃圾分类处置中心</w:t>
      </w:r>
      <w:r/>
    </w:p>
    <w:p>
      <w:pPr>
        <w:pStyle w:val="772"/>
        <w:jc w:val="center"/>
        <w:spacing w:line="219" w:lineRule="auto"/>
        <w:rPr>
          <w:rFonts w:hint="eastAsia" w:ascii="方正小标宋简体" w:hAnsi="方正小标宋简体" w:eastAsia="方正小标宋简体" w:cs="方正小标宋简体"/>
          <w:b w:val="0"/>
          <w:bCs w:val="0"/>
          <w:spacing w:val="-4"/>
          <w:sz w:val="44"/>
          <w:szCs w:val="44"/>
        </w:rPr>
      </w:pPr>
      <w:r>
        <w:rPr>
          <w:rFonts w:hint="eastAsia" w:ascii="方正小标宋简体" w:hAnsi="方正小标宋简体" w:eastAsia="方正小标宋简体" w:cs="方正小标宋简体"/>
          <w:b w:val="0"/>
          <w:bCs w:val="0"/>
          <w:spacing w:val="-4"/>
          <w:sz w:val="44"/>
          <w:szCs w:val="44"/>
        </w:rPr>
        <w:t xml:space="preserve">市场化运营</w:t>
      </w:r>
      <w:r/>
    </w:p>
    <w:p>
      <w:pPr>
        <w:pStyle w:val="772"/>
        <w:ind w:left="2066"/>
        <w:jc w:val="center"/>
        <w:spacing w:line="219" w:lineRule="auto"/>
        <w:rPr>
          <w:b/>
          <w:bCs/>
          <w:spacing w:val="-4"/>
          <w:sz w:val="43"/>
          <w:szCs w:val="43"/>
        </w:rPr>
      </w:pPr>
      <w:r>
        <w:rPr>
          <w:b/>
          <w:bCs/>
          <w:spacing w:val="-4"/>
          <w:sz w:val="43"/>
          <w:szCs w:val="43"/>
        </w:rPr>
      </w:r>
      <w:r/>
    </w:p>
    <w:p>
      <w:pPr>
        <w:pStyle w:val="772"/>
        <w:jc w:val="center"/>
        <w:spacing w:line="219" w:lineRule="auto"/>
        <w:rPr>
          <w:rFonts w:ascii="Arial"/>
          <w:sz w:val="21"/>
        </w:rPr>
      </w:pPr>
      <w:r>
        <w:rPr>
          <w:b/>
          <w:bCs/>
          <w:spacing w:val="-4"/>
          <w:sz w:val="43"/>
          <w:szCs w:val="43"/>
        </w:rPr>
        <w:t xml:space="preserve">服务考核办法及考核细则</w:t>
      </w:r>
      <w:r>
        <w:rPr>
          <w:rFonts w:hint="eastAsia" w:eastAsia="宋体"/>
          <w:b/>
          <w:bCs/>
          <w:spacing w:val="-4"/>
          <w:sz w:val="43"/>
          <w:szCs w:val="43"/>
          <w:lang w:val="en-US" w:eastAsia="zh-CN"/>
        </w:rPr>
        <w:t xml:space="preserve"> </w:t>
      </w:r>
      <w:r>
        <w:rPr>
          <w:rFonts w:hint="eastAsia" w:eastAsia="宋体"/>
          <w:b/>
          <w:bCs/>
          <w:spacing w:val="-4"/>
          <w:sz w:val="43"/>
          <w:szCs w:val="43"/>
          <w:lang w:eastAsia="zh-CN"/>
        </w:rPr>
        <w:t xml:space="preserve">（拟订）</w:t>
      </w:r>
      <w:r/>
    </w:p>
    <w:p>
      <w:pPr>
        <w:pStyle w:val="772"/>
        <w:ind w:left="2066"/>
        <w:spacing w:line="219" w:lineRule="auto"/>
        <w:rPr>
          <w:rFonts w:hint="eastAsia" w:eastAsia="宋体"/>
          <w:b/>
          <w:bCs/>
          <w:spacing w:val="-4"/>
          <w:sz w:val="43"/>
          <w:szCs w:val="43"/>
          <w:lang w:val="en-US" w:eastAsia="zh-CN"/>
        </w:rPr>
      </w:pPr>
      <w:r>
        <w:rPr>
          <w:rFonts w:hint="eastAsia" w:eastAsia="宋体"/>
          <w:b/>
          <w:bCs/>
          <w:spacing w:val="-4"/>
          <w:sz w:val="43"/>
          <w:szCs w:val="43"/>
          <w:lang w:val="en-US" w:eastAsia="zh-CN"/>
        </w:rPr>
      </w:r>
      <w:r/>
    </w:p>
    <w:p>
      <w:pPr>
        <w:spacing w:line="273" w:lineRule="auto"/>
        <w:rPr>
          <w:rFonts w:ascii="Arial"/>
          <w:sz w:val="21"/>
        </w:rPr>
      </w:pPr>
      <w:r>
        <w:rPr>
          <w:rFonts w:ascii="Arial"/>
          <w:sz w:val="21"/>
        </w:rPr>
      </w:r>
      <w:r/>
    </w:p>
    <w:p>
      <w:pPr>
        <w:ind w:left="0" w:right="0" w:firstLine="644"/>
        <w:jc w:val="both"/>
        <w:keepLines w:val="0"/>
        <w:keepNext w:val="0"/>
        <w:pageBreakBefore w:val="0"/>
        <w:spacing w:line="560" w:lineRule="exact"/>
        <w:widowControl/>
        <w:rPr>
          <w:rFonts w:ascii="仿宋" w:hAnsi="仿宋" w:eastAsia="仿宋" w:cs="仿宋"/>
          <w:sz w:val="31"/>
          <w:szCs w:val="31"/>
        </w:rPr>
      </w:pPr>
      <w:r>
        <w:rPr>
          <w:rFonts w:ascii="仿宋" w:hAnsi="仿宋" w:eastAsia="仿宋" w:cs="仿宋"/>
          <w:spacing w:val="6"/>
          <w:sz w:val="31"/>
          <w:szCs w:val="31"/>
        </w:rPr>
        <w:t xml:space="preserve">为规范开展农村生活垃圾分类处置中心运行管理工作，</w:t>
      </w:r>
      <w:r>
        <w:rPr>
          <w:rFonts w:ascii="仿宋" w:hAnsi="仿宋" w:eastAsia="仿宋" w:cs="仿宋"/>
          <w:spacing w:val="5"/>
          <w:sz w:val="31"/>
          <w:szCs w:val="31"/>
        </w:rPr>
        <w:t xml:space="preserve">进一</w:t>
      </w:r>
      <w:r>
        <w:rPr>
          <w:rFonts w:ascii="仿宋" w:hAnsi="仿宋" w:eastAsia="仿宋" w:cs="仿宋"/>
          <w:spacing w:val="6"/>
          <w:sz w:val="31"/>
          <w:szCs w:val="31"/>
        </w:rPr>
        <w:t xml:space="preserve">步提升农村生活垃圾分类和处置工作水平，特就邳州市农村生活</w:t>
      </w:r>
      <w:r>
        <w:rPr>
          <w:rFonts w:ascii="仿宋" w:hAnsi="仿宋" w:eastAsia="仿宋" w:cs="仿宋"/>
          <w:spacing w:val="4"/>
          <w:sz w:val="31"/>
          <w:szCs w:val="31"/>
        </w:rPr>
        <w:t xml:space="preserve">垃圾分类处置中心市场化运营制订本考核本法和考核细则。</w:t>
      </w:r>
      <w:r/>
    </w:p>
    <w:p>
      <w:pPr>
        <w:ind w:left="0" w:right="0" w:firstLine="614"/>
        <w:keepLines w:val="0"/>
        <w:keepNext w:val="0"/>
        <w:pageBreakBefore w:val="0"/>
        <w:spacing w:line="560" w:lineRule="exact"/>
        <w:widowControl/>
        <w:rPr>
          <w:rFonts w:ascii="黑体" w:hAnsi="黑体" w:eastAsia="黑体" w:cs="黑体"/>
          <w:sz w:val="31"/>
          <w:szCs w:val="31"/>
        </w:rPr>
        <w:outlineLvl w:val="0"/>
      </w:pPr>
      <w:r>
        <w:rPr>
          <w:rFonts w:ascii="黑体" w:hAnsi="黑体" w:eastAsia="黑体" w:cs="黑体"/>
          <w:b/>
          <w:bCs/>
          <w:spacing w:val="-2"/>
          <w:sz w:val="31"/>
          <w:szCs w:val="31"/>
        </w:rPr>
        <w:t xml:space="preserve">一、监管考核对象</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负责实施邳州市农村生活垃圾分类处置中心日常运营和管理的市场化服务企业(单位)。</w:t>
      </w:r>
      <w:r/>
    </w:p>
    <w:p>
      <w:pPr>
        <w:ind w:left="0" w:right="0" w:firstLine="622"/>
        <w:keepLines w:val="0"/>
        <w:keepNext w:val="0"/>
        <w:pageBreakBefore w:val="0"/>
        <w:spacing w:line="560" w:lineRule="exact"/>
        <w:widowControl/>
        <w:rPr>
          <w:rFonts w:ascii="黑体" w:hAnsi="黑体" w:eastAsia="黑体" w:cs="黑体"/>
          <w:sz w:val="31"/>
          <w:szCs w:val="31"/>
        </w:rPr>
        <w:outlineLvl w:val="0"/>
      </w:pPr>
      <w:r>
        <w:rPr>
          <w:rFonts w:ascii="黑体" w:hAnsi="黑体" w:eastAsia="黑体" w:cs="黑体"/>
          <w:b/>
          <w:bCs/>
          <w:sz w:val="31"/>
          <w:szCs w:val="31"/>
        </w:rPr>
        <w:t xml:space="preserve">二、监管考核时间</w:t>
      </w:r>
      <w:r/>
    </w:p>
    <w:p>
      <w:pPr>
        <w:ind w:left="0" w:right="0" w:firstLine="688"/>
        <w:keepLines w:val="0"/>
        <w:keepNext w:val="0"/>
        <w:pageBreakBefore w:val="0"/>
        <w:spacing w:line="560" w:lineRule="exact"/>
        <w:widowControl/>
        <w:rPr>
          <w:rFonts w:ascii="仿宋" w:hAnsi="仿宋" w:eastAsia="仿宋" w:cs="仿宋"/>
          <w:sz w:val="31"/>
          <w:szCs w:val="31"/>
        </w:rPr>
      </w:pPr>
      <w:r>
        <w:rPr>
          <w:rFonts w:ascii="仿宋" w:hAnsi="仿宋" w:eastAsia="仿宋" w:cs="仿宋"/>
          <w:spacing w:val="17"/>
          <w:position w:val="19"/>
          <w:sz w:val="31"/>
          <w:szCs w:val="31"/>
        </w:rPr>
        <w:t xml:space="preserve">市场化服务企业(单位)履行服务合同期间或在邳州市城市</w:t>
      </w:r>
      <w:r/>
    </w:p>
    <w:p>
      <w:pPr>
        <w:ind w:left="0" w:right="0" w:firstLine="608"/>
        <w:keepLines w:val="0"/>
        <w:keepNext w:val="0"/>
        <w:pageBreakBefore w:val="0"/>
        <w:spacing w:line="560" w:lineRule="exact"/>
        <w:widowControl/>
        <w:rPr>
          <w:rFonts w:ascii="仿宋" w:hAnsi="仿宋" w:eastAsia="仿宋" w:cs="仿宋"/>
          <w:sz w:val="31"/>
          <w:szCs w:val="31"/>
        </w:rPr>
      </w:pPr>
      <w:r>
        <w:rPr>
          <w:rFonts w:ascii="仿宋" w:hAnsi="仿宋" w:eastAsia="仿宋" w:cs="仿宋"/>
          <w:spacing w:val="-3"/>
          <w:sz w:val="31"/>
          <w:szCs w:val="31"/>
        </w:rPr>
        <w:t xml:space="preserve">管理局许可服务期内。</w:t>
      </w:r>
      <w:r/>
    </w:p>
    <w:p>
      <w:pPr>
        <w:ind w:left="0" w:right="0" w:firstLine="618"/>
        <w:keepLines w:val="0"/>
        <w:keepNext w:val="0"/>
        <w:pageBreakBefore w:val="0"/>
        <w:spacing w:line="560" w:lineRule="exact"/>
        <w:widowControl/>
        <w:rPr>
          <w:rFonts w:ascii="黑体" w:hAnsi="黑体" w:eastAsia="黑体" w:cs="黑体"/>
          <w:sz w:val="31"/>
          <w:szCs w:val="31"/>
        </w:rPr>
        <w:outlineLvl w:val="0"/>
      </w:pPr>
      <w:r>
        <w:rPr>
          <w:rFonts w:ascii="黑体" w:hAnsi="黑体" w:eastAsia="黑体" w:cs="黑体"/>
          <w:b/>
          <w:bCs/>
          <w:spacing w:val="-1"/>
          <w:sz w:val="31"/>
          <w:szCs w:val="31"/>
        </w:rPr>
        <w:t xml:space="preserve">三、监管考核实施单位</w:t>
      </w:r>
      <w:r/>
    </w:p>
    <w:p>
      <w:pPr>
        <w:ind w:left="0" w:right="0" w:firstLine="620"/>
        <w:keepLines w:val="0"/>
        <w:keepNext w:val="0"/>
        <w:pageBreakBefore w:val="0"/>
        <w:spacing w:line="560" w:lineRule="exact"/>
        <w:widowControl/>
        <w:rPr>
          <w:rFonts w:ascii="仿宋" w:hAnsi="仿宋" w:eastAsia="仿宋" w:cs="仿宋"/>
          <w:sz w:val="31"/>
          <w:szCs w:val="31"/>
        </w:rPr>
      </w:pPr>
      <w:r>
        <w:rPr>
          <w:rFonts w:ascii="仿宋" w:hAnsi="仿宋" w:eastAsia="仿宋" w:cs="仿宋"/>
          <w:sz w:val="31"/>
          <w:szCs w:val="31"/>
        </w:rPr>
        <w:t xml:space="preserve">邳州市城市管理局环境卫生管理科。</w:t>
      </w:r>
      <w:r/>
    </w:p>
    <w:p>
      <w:pPr>
        <w:ind w:left="0" w:right="0" w:firstLine="606"/>
        <w:keepLines w:val="0"/>
        <w:keepNext w:val="0"/>
        <w:pageBreakBefore w:val="0"/>
        <w:spacing w:line="560" w:lineRule="exact"/>
        <w:widowControl/>
        <w:rPr>
          <w:rFonts w:ascii="黑体" w:hAnsi="黑体" w:eastAsia="黑体" w:cs="黑体"/>
          <w:sz w:val="31"/>
          <w:szCs w:val="31"/>
        </w:rPr>
        <w:outlineLvl w:val="0"/>
      </w:pPr>
      <w:r>
        <w:rPr>
          <w:rFonts w:ascii="黑体" w:hAnsi="黑体" w:eastAsia="黑体" w:cs="黑体"/>
          <w:b/>
          <w:bCs/>
          <w:spacing w:val="-4"/>
          <w:sz w:val="31"/>
          <w:szCs w:val="31"/>
        </w:rPr>
        <w:t xml:space="preserve">四、监管考核内容</w:t>
      </w:r>
      <w:r/>
    </w:p>
    <w:p>
      <w:pPr>
        <w:ind w:left="0" w:right="0" w:firstLine="683"/>
        <w:keepLines w:val="0"/>
        <w:keepNext w:val="0"/>
        <w:pageBreakBefore w:val="0"/>
        <w:spacing w:line="560" w:lineRule="exact"/>
        <w:widowControl/>
        <w:rPr>
          <w:rFonts w:ascii="楷体" w:hAnsi="楷体" w:eastAsia="楷体" w:cs="楷体"/>
          <w:b/>
          <w:bCs/>
          <w:spacing w:val="10"/>
          <w:sz w:val="32"/>
          <w:szCs w:val="32"/>
        </w:rPr>
      </w:pPr>
      <w:r>
        <w:rPr>
          <w:rFonts w:ascii="楷体" w:hAnsi="楷体" w:eastAsia="楷体" w:cs="楷体"/>
          <w:b/>
          <w:bCs/>
          <w:spacing w:val="10"/>
          <w:sz w:val="32"/>
          <w:szCs w:val="32"/>
        </w:rPr>
        <w:t xml:space="preserve">(一)服务企业资质。</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服务企业具备合法有效的专业服务资质、审批手续等行政许可手续，服务企业承揽的服务项目不得分包、转包。</w:t>
      </w:r>
      <w:r/>
    </w:p>
    <w:p>
      <w:pPr>
        <w:ind w:left="0" w:right="0" w:firstLine="683"/>
        <w:keepLines w:val="0"/>
        <w:keepNext w:val="0"/>
        <w:pageBreakBefore w:val="0"/>
        <w:spacing w:line="560" w:lineRule="exact"/>
        <w:widowControl/>
        <w:rPr>
          <w:rFonts w:ascii="楷体" w:hAnsi="楷体" w:eastAsia="楷体" w:cs="楷体"/>
          <w:sz w:val="32"/>
          <w:szCs w:val="32"/>
        </w:rPr>
      </w:pPr>
      <w:r>
        <w:rPr>
          <w:rFonts w:ascii="楷体" w:hAnsi="楷体" w:eastAsia="楷体" w:cs="楷体"/>
          <w:b/>
          <w:bCs/>
          <w:spacing w:val="10"/>
          <w:sz w:val="32"/>
          <w:szCs w:val="32"/>
        </w:rPr>
        <w:t xml:space="preserve">(二)服务企业人员及管理设施设备配备</w:t>
      </w:r>
      <w:r>
        <w:rPr>
          <w:rFonts w:ascii="楷体" w:hAnsi="楷体" w:eastAsia="楷体" w:cs="楷体"/>
          <w:spacing w:val="10"/>
          <w:sz w:val="32"/>
          <w:szCs w:val="32"/>
        </w:rPr>
        <w:t xml:space="preserve">。</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服务企业配备足够的工作人员及相应的服务设施设备和车辆，满足履行合同需要。</w:t>
      </w:r>
      <w:r/>
    </w:p>
    <w:p>
      <w:pPr>
        <w:ind w:left="0" w:right="0" w:firstLine="687"/>
        <w:keepLines w:val="0"/>
        <w:keepNext w:val="0"/>
        <w:pageBreakBefore w:val="0"/>
        <w:spacing w:line="560" w:lineRule="exact"/>
        <w:widowControl/>
        <w:rPr>
          <w:rFonts w:ascii="楷体" w:hAnsi="楷体" w:eastAsia="楷体" w:cs="楷体"/>
          <w:sz w:val="32"/>
          <w:szCs w:val="32"/>
        </w:rPr>
      </w:pPr>
      <w:r>
        <w:rPr>
          <w:rFonts w:ascii="楷体" w:hAnsi="楷体" w:eastAsia="楷体" w:cs="楷体"/>
          <w:b/>
          <w:bCs/>
          <w:spacing w:val="11"/>
          <w:sz w:val="32"/>
          <w:szCs w:val="32"/>
        </w:rPr>
        <w:t xml:space="preserve">(三)服务企业日常服务业务。</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(1)负责接收所在镇各类生活垃圾。</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(2)负责环卫车辆倒放垃圾时的秩序管理与其他车辆的停放秩序管理。</w:t>
      </w:r>
      <w:r/>
    </w:p>
    <w:p>
      <w:pPr>
        <w:ind w:left="0" w:right="0" w:firstLine="644"/>
        <w:jc w:val="both"/>
        <w:keepLines w:val="0"/>
        <w:keepNext w:val="0"/>
        <w:pageBreakBefore w:val="0"/>
        <w:spacing w:line="560" w:lineRule="exact"/>
        <w:widowControl/>
        <w:rPr>
          <w:rFonts w:hint="eastAsia" w:ascii="仿宋" w:hAnsi="仿宋" w:eastAsia="仿宋" w:cs="仿宋"/>
          <w:spacing w:val="6"/>
          <w:sz w:val="31"/>
          <w:szCs w:val="31"/>
          <w:lang w:eastAsia="zh-CN"/>
        </w:rPr>
      </w:pPr>
      <w:r>
        <w:rPr>
          <w:rFonts w:ascii="仿宋" w:hAnsi="仿宋" w:eastAsia="仿宋" w:cs="仿宋"/>
          <w:spacing w:val="6"/>
          <w:sz w:val="31"/>
          <w:szCs w:val="31"/>
        </w:rPr>
        <w:t xml:space="preserve">(3)负责保持各处置中心站内及周边环境卫生</w:t>
      </w:r>
      <w:r>
        <w:rPr>
          <w:rFonts w:hint="eastAsia" w:ascii="仿宋" w:hAnsi="仿宋" w:eastAsia="仿宋" w:cs="仿宋"/>
          <w:spacing w:val="6"/>
          <w:sz w:val="31"/>
          <w:szCs w:val="31"/>
          <w:lang w:eastAsia="zh-CN"/>
        </w:rPr>
        <w:t xml:space="preserve">。</w:t>
      </w:r>
      <w:r/>
    </w:p>
    <w:p>
      <w:pPr>
        <w:ind w:left="0" w:right="0" w:firstLine="644"/>
        <w:jc w:val="both"/>
        <w:keepLines w:val="0"/>
        <w:keepNext w:val="0"/>
        <w:pageBreakBefore w:val="0"/>
        <w:spacing w:line="560" w:lineRule="exact"/>
        <w:widowControl/>
        <w:rPr>
          <w:rFonts w:hint="eastAsia" w:ascii="仿宋" w:hAnsi="仿宋" w:eastAsia="仿宋" w:cs="仿宋"/>
          <w:spacing w:val="6"/>
          <w:sz w:val="31"/>
          <w:szCs w:val="31"/>
          <w:lang w:eastAsia="zh-CN"/>
        </w:rPr>
      </w:pPr>
      <w:r>
        <w:rPr>
          <w:rFonts w:ascii="仿宋" w:hAnsi="仿宋" w:eastAsia="仿宋" w:cs="仿宋"/>
          <w:spacing w:val="6"/>
          <w:sz w:val="31"/>
          <w:szCs w:val="31"/>
        </w:rPr>
        <w:t xml:space="preserve">(4)负责各处置中心水电、除臭、消杀等管理</w:t>
      </w:r>
      <w:r>
        <w:rPr>
          <w:rFonts w:hint="eastAsia" w:ascii="仿宋" w:hAnsi="仿宋" w:eastAsia="仿宋" w:cs="仿宋"/>
          <w:spacing w:val="6"/>
          <w:sz w:val="31"/>
          <w:szCs w:val="31"/>
          <w:lang w:eastAsia="zh-CN"/>
        </w:rPr>
        <w:t xml:space="preserve">。</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(5)负责各处置中心站内排污管网的畅通。</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(6)按政府要求，做好政府布置的临时性阶段性任务(含检查、突击整治、重大节假日及活动等)涉及处置中心的有关工作。</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(7)负责各处置中心站内设备的正常运行、养护、维修和故障排除等。</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(8)负责进站垃圾的压缩和装卸、可回收物和大件垃圾的收集分拣处置、有机易腐(含厨余)垃圾的处置、有害垃圾的暂存转运、各类进站垃圾(含可回收物、大件垃圾)的质量管控，确保无其它不符合生活垃圾定义的物品(含工业垃圾、建筑垃圾泥土、危废等)进站。</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(9)负责与服务范围内的其他相关联业务单位的业务对接，确保属地乡镇各类生活垃圾(含可回收物及大件垃圾)正常进入</w:t>
      </w:r>
      <w:r>
        <w:rPr>
          <w:rFonts w:hint="eastAsia" w:ascii="仿宋" w:hAnsi="仿宋" w:eastAsia="仿宋" w:cs="仿宋"/>
          <w:spacing w:val="6"/>
          <w:sz w:val="31"/>
          <w:szCs w:val="31"/>
          <w:lang w:eastAsia="zh-CN"/>
        </w:rPr>
        <w:t xml:space="preserve">，</w:t>
      </w:r>
      <w:r>
        <w:rPr>
          <w:rFonts w:ascii="仿宋" w:hAnsi="仿宋" w:eastAsia="仿宋" w:cs="仿宋"/>
          <w:spacing w:val="6"/>
          <w:sz w:val="31"/>
          <w:szCs w:val="31"/>
        </w:rPr>
        <w:t xml:space="preserve">其他垃圾日产日清，有机易腐垃圾和可回收物(及大件垃圾)及时处置，有害垃圾规范存放，并建立以上各类垃圾进出站“联单制度”。</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(10)负责各处置中心所有人员的配备和管理、工资福利发放、服装配备、安全管理措施落实等方面的工作，建立企业内部考核管理机制。</w:t>
      </w:r>
      <w:r/>
    </w:p>
    <w:p>
      <w:pPr>
        <w:ind w:left="0" w:right="0" w:firstLine="644"/>
        <w:jc w:val="both"/>
        <w:keepLines w:val="0"/>
        <w:keepNext w:val="0"/>
        <w:pageBreakBefore w:val="0"/>
        <w:spacing w:line="560" w:lineRule="exact"/>
        <w:widowControl/>
        <w:rPr>
          <w:rFonts w:ascii="仿宋" w:hAnsi="仿宋" w:eastAsia="仿宋" w:cs="仿宋"/>
          <w:sz w:val="32"/>
          <w:szCs w:val="32"/>
        </w:rPr>
      </w:pPr>
      <w:r>
        <w:rPr>
          <w:rFonts w:ascii="仿宋" w:hAnsi="仿宋" w:eastAsia="仿宋" w:cs="仿宋"/>
          <w:spacing w:val="6"/>
          <w:sz w:val="31"/>
          <w:szCs w:val="31"/>
        </w:rPr>
        <w:t xml:space="preserve">(11)负责各类进站垃圾(含可回收物及大件垃圾)电子和 纸质台账的建立和归集，并及时将各类进站垃圾(含可回收物及 大件垃圾)信息数据录入甲方设立的邳州市生活垃圾分类和治理综合管理信息平台。</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(12)负责建立辖区内可回收物和有害垃圾有偿巡回回收和电话预约回收制度。</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(13)负责各处置中心办公用品包括电脑、桌椅、文件柜等的配备。</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(14)负责各处置中心内所有站点管理制度和操作规程的制订和上墙。</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(15)主管部门交办的其他任务。</w:t>
      </w:r>
      <w:r/>
    </w:p>
    <w:p>
      <w:pPr>
        <w:ind w:left="0" w:right="0" w:firstLine="687"/>
        <w:keepLines w:val="0"/>
        <w:keepNext w:val="0"/>
        <w:pageBreakBefore w:val="0"/>
        <w:spacing w:line="560" w:lineRule="exact"/>
        <w:widowControl/>
        <w:rPr>
          <w:rFonts w:hint="eastAsia" w:ascii="楷体" w:hAnsi="楷体" w:eastAsia="楷体" w:cs="楷体"/>
          <w:b/>
          <w:bCs/>
          <w:spacing w:val="11"/>
          <w:sz w:val="32"/>
          <w:szCs w:val="32"/>
        </w:rPr>
      </w:pPr>
      <w:r>
        <w:rPr>
          <w:rFonts w:hint="eastAsia" w:ascii="楷体" w:hAnsi="楷体" w:eastAsia="楷体" w:cs="楷体"/>
          <w:b/>
          <w:bCs/>
          <w:spacing w:val="11"/>
          <w:sz w:val="32"/>
          <w:szCs w:val="32"/>
          <w:lang w:eastAsia="zh-CN"/>
        </w:rPr>
        <w:t xml:space="preserve">（</w:t>
      </w:r>
      <w:r>
        <w:rPr>
          <w:rFonts w:hint="eastAsia" w:ascii="楷体" w:hAnsi="楷体" w:eastAsia="楷体" w:cs="楷体"/>
          <w:b/>
          <w:bCs/>
          <w:spacing w:val="11"/>
          <w:sz w:val="32"/>
          <w:szCs w:val="32"/>
          <w:lang w:val="en-US" w:eastAsia="zh-CN"/>
        </w:rPr>
        <w:t xml:space="preserve">四</w:t>
      </w:r>
      <w:r>
        <w:rPr>
          <w:rFonts w:hint="eastAsia" w:ascii="楷体" w:hAnsi="楷体" w:eastAsia="楷体" w:cs="楷体"/>
          <w:b/>
          <w:bCs/>
          <w:spacing w:val="11"/>
          <w:sz w:val="32"/>
          <w:szCs w:val="32"/>
          <w:lang w:eastAsia="zh-CN"/>
        </w:rPr>
        <w:t xml:space="preserve">）</w:t>
      </w:r>
      <w:r>
        <w:rPr>
          <w:rFonts w:hint="eastAsia" w:ascii="楷体" w:hAnsi="楷体" w:eastAsia="楷体" w:cs="楷体"/>
          <w:b/>
          <w:bCs/>
          <w:spacing w:val="11"/>
          <w:sz w:val="32"/>
          <w:szCs w:val="32"/>
        </w:rPr>
        <w:t xml:space="preserve">管理责任。</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服务企业(单位)对本合同规定的委托服务范围内的项目享有管理权及服务义务，不得将承揽的服务项目分包、转包。</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考核具体内容及评分标准详见《邳州市农村生活垃圾分类处置中心市场化运营服务考核细则》</w:t>
      </w:r>
      <w:r/>
    </w:p>
    <w:p>
      <w:pPr>
        <w:ind w:left="0" w:right="0" w:firstLine="646"/>
        <w:jc w:val="both"/>
        <w:keepLines w:val="0"/>
        <w:keepNext w:val="0"/>
        <w:pageBreakBefore w:val="0"/>
        <w:spacing w:line="560" w:lineRule="exact"/>
        <w:widowControl/>
        <w:rPr>
          <w:rFonts w:hint="eastAsia" w:ascii="黑体" w:hAnsi="黑体" w:eastAsia="黑体" w:cs="黑体"/>
          <w:b/>
          <w:bCs/>
          <w:spacing w:val="6"/>
          <w:sz w:val="31"/>
          <w:szCs w:val="31"/>
        </w:rPr>
      </w:pPr>
      <w:r>
        <w:rPr>
          <w:rFonts w:hint="eastAsia" w:ascii="黑体" w:hAnsi="黑体" w:eastAsia="黑体" w:cs="黑体"/>
          <w:b/>
          <w:bCs/>
          <w:spacing w:val="6"/>
          <w:sz w:val="31"/>
          <w:szCs w:val="31"/>
        </w:rPr>
        <w:t xml:space="preserve">五、 监管考核结果运用</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1、本考核为月考核、百分制，每月考核结果由考核人及考 核单位负责人签字后发服务企业备案，并报邳州市城市管理局局 党组审议，其结果作为当月农村生活垃圾分类处置中心服务费用 拨付依据，服务费用结算公式为：合同约定的服务费用*(考核得分/100)*100%;</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2、服务企业(单位)有违反现行法律法规行为的，监管考核单位依法查处，行政处罚款项由服务企业(单位)另行缴纳，服务企业存在严重违法违规行为的，由考评单位报局党组研究处理。</w:t>
      </w:r>
      <w:r/>
    </w:p>
    <w:p>
      <w:pPr>
        <w:ind w:left="0" w:right="0" w:firstLine="644"/>
        <w:jc w:val="both"/>
        <w:keepLines w:val="0"/>
        <w:keepNext w:val="0"/>
        <w:pageBreakBefore w:val="0"/>
        <w:spacing w:line="560" w:lineRule="exact"/>
        <w:widowControl/>
        <w:rPr>
          <w:rFonts w:hint="eastAsia" w:ascii="仿宋" w:hAnsi="仿宋" w:eastAsia="仿宋" w:cs="仿宋"/>
          <w:spacing w:val="6"/>
          <w:sz w:val="31"/>
          <w:szCs w:val="31"/>
        </w:rPr>
      </w:pPr>
      <w:r>
        <w:rPr>
          <w:rFonts w:hint="eastAsia" w:ascii="仿宋" w:hAnsi="仿宋" w:eastAsia="仿宋" w:cs="仿宋"/>
          <w:spacing w:val="6"/>
          <w:sz w:val="31"/>
          <w:szCs w:val="31"/>
        </w:rPr>
      </w:r>
      <w:r/>
    </w:p>
    <w:p>
      <w:pPr>
        <w:ind w:right="0" w:firstLine="644"/>
        <w:jc w:val="both"/>
        <w:keepLines w:val="0"/>
        <w:keepNext w:val="0"/>
        <w:pageBreakBefore w:val="0"/>
        <w:spacing w:line="560" w:lineRule="exact"/>
        <w:widowControl/>
        <w:rPr>
          <w:rFonts w:hint="eastAsia" w:ascii="仿宋" w:hAnsi="仿宋" w:eastAsia="仿宋" w:cs="仿宋"/>
          <w:spacing w:val="6"/>
          <w:sz w:val="31"/>
          <w:szCs w:val="31"/>
          <w:lang w:eastAsia="zh-CN"/>
        </w:rPr>
      </w:pPr>
      <w:r>
        <w:rPr>
          <w:rFonts w:hint="eastAsia" w:ascii="仿宋" w:hAnsi="仿宋" w:eastAsia="仿宋" w:cs="仿宋"/>
          <w:spacing w:val="6"/>
          <w:sz w:val="31"/>
          <w:szCs w:val="31"/>
        </w:rPr>
        <w:t xml:space="preserve">以上考核内容根据甲方具体要求进行细化调整</w:t>
      </w:r>
      <w:r>
        <w:rPr>
          <w:rFonts w:hint="eastAsia" w:ascii="仿宋" w:hAnsi="仿宋" w:eastAsia="仿宋" w:cs="仿宋"/>
          <w:spacing w:val="6"/>
          <w:sz w:val="31"/>
          <w:szCs w:val="31"/>
          <w:lang w:eastAsia="zh-CN"/>
        </w:rPr>
        <w:t xml:space="preserve">。</w:t>
      </w:r>
      <w:r/>
    </w:p>
    <w:p>
      <w:pPr>
        <w:ind w:left="1583" w:right="0" w:hanging="966"/>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r>
      <w:r/>
    </w:p>
    <w:p>
      <w:pPr>
        <w:ind w:left="1583" w:right="0" w:hanging="966"/>
        <w:jc w:val="both"/>
        <w:keepLines w:val="0"/>
        <w:keepNext w:val="0"/>
        <w:pageBreakBefore w:val="0"/>
        <w:spacing w:line="560" w:lineRule="exact"/>
        <w:widowControl/>
        <w:rPr>
          <w:rFonts w:ascii="仿宋" w:hAnsi="仿宋" w:eastAsia="仿宋" w:cs="仿宋"/>
          <w:spacing w:val="6"/>
          <w:sz w:val="31"/>
          <w:szCs w:val="31"/>
        </w:rPr>
      </w:pPr>
      <w:r>
        <w:rPr>
          <w:rFonts w:ascii="仿宋" w:hAnsi="仿宋" w:eastAsia="仿宋" w:cs="仿宋"/>
          <w:spacing w:val="6"/>
          <w:sz w:val="31"/>
          <w:szCs w:val="31"/>
        </w:rPr>
        <w:t xml:space="preserve">附件：邳州市农村生活垃圾分类处置中心市场化运营服务考核细则</w:t>
      </w:r>
      <w:r/>
    </w:p>
    <w:p>
      <w:pPr>
        <w:ind w:left="0" w:right="0" w:firstLine="644"/>
        <w:jc w:val="both"/>
        <w:keepLines w:val="0"/>
        <w:keepNext w:val="0"/>
        <w:pageBreakBefore w:val="0"/>
        <w:spacing w:line="560" w:lineRule="exact"/>
        <w:widowControl/>
        <w:rPr>
          <w:rFonts w:ascii="仿宋" w:hAnsi="仿宋" w:eastAsia="仿宋" w:cs="仿宋"/>
          <w:spacing w:val="6"/>
          <w:sz w:val="31"/>
          <w:szCs w:val="31"/>
        </w:rPr>
        <w:sectPr>
          <w:headerReference w:type="default" r:id="rId12"/>
          <w:footnotePr/>
          <w:endnotePr/>
          <w:type w:val="nextPage"/>
          <w:pgSz w:w="11910" w:h="16840" w:orient="portrait"/>
          <w:pgMar w:top="1440" w:right="1800" w:bottom="1440" w:left="1800" w:header="0" w:footer="0" w:gutter="0"/>
          <w:cols w:num="1" w:sep="0" w:space="720" w:equalWidth="1"/>
          <w:docGrid w:linePitch="360"/>
        </w:sectPr>
      </w:pPr>
      <w:r>
        <w:rPr>
          <w:rFonts w:ascii="仿宋" w:hAnsi="仿宋" w:eastAsia="仿宋" w:cs="仿宋"/>
          <w:spacing w:val="6"/>
          <w:sz w:val="31"/>
          <w:szCs w:val="31"/>
        </w:rPr>
      </w:r>
      <w:r/>
    </w:p>
    <w:p>
      <w:pPr>
        <w:spacing w:line="267" w:lineRule="auto"/>
        <w:rPr>
          <w:rFonts w:ascii="Arial"/>
          <w:sz w:val="21"/>
        </w:rPr>
      </w:pPr>
      <w:r>
        <w:rPr>
          <w:rFonts w:ascii="Arial"/>
          <w:sz w:val="21"/>
        </w:rPr>
      </w:r>
      <w:r/>
    </w:p>
    <w:p>
      <w:pPr>
        <w:pStyle w:val="772"/>
        <w:ind w:left="279"/>
        <w:spacing w:before="143" w:line="219" w:lineRule="auto"/>
        <w:rPr>
          <w:sz w:val="44"/>
          <w:szCs w:val="44"/>
        </w:rPr>
      </w:pPr>
      <w:r>
        <w:rPr>
          <w:rFonts w:ascii="黑体" w:hAnsi="黑体" w:eastAsia="黑体" w:cs="黑体"/>
          <w:b/>
          <w:bCs/>
          <w:spacing w:val="-7"/>
          <w:position w:val="1"/>
          <w:sz w:val="32"/>
          <w:szCs w:val="32"/>
        </w:rPr>
        <w:t xml:space="preserve">附件：</w:t>
      </w:r>
      <w:r>
        <w:rPr>
          <w:rFonts w:ascii="黑体" w:hAnsi="黑体" w:eastAsia="黑体" w:cs="黑体"/>
          <w:spacing w:val="-7"/>
          <w:position w:val="1"/>
          <w:sz w:val="32"/>
          <w:szCs w:val="32"/>
        </w:rPr>
        <w:t xml:space="preserve">     </w:t>
      </w:r>
      <w:r>
        <w:rPr>
          <w:b/>
          <w:bCs/>
          <w:spacing w:val="-7"/>
          <w:sz w:val="44"/>
          <w:szCs w:val="44"/>
        </w:rPr>
        <w:t xml:space="preserve">邳州市农村生活垃圾分类处置</w:t>
      </w:r>
      <w:r>
        <w:rPr>
          <w:b/>
          <w:bCs/>
          <w:spacing w:val="-8"/>
          <w:sz w:val="44"/>
          <w:szCs w:val="44"/>
        </w:rPr>
        <w:t xml:space="preserve">中心市场化运营服务考核细则</w:t>
      </w:r>
      <w:r/>
    </w:p>
    <w:p>
      <w:pPr>
        <w:spacing w:line="193" w:lineRule="exact"/>
      </w:pPr>
      <w:r/>
      <w:r/>
    </w:p>
    <w:tbl>
      <w:tblPr>
        <w:tblStyle w:val="990"/>
        <w:tblW w:w="14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5"/>
        <w:gridCol w:w="1769"/>
        <w:gridCol w:w="4417"/>
        <w:gridCol w:w="6715"/>
        <w:gridCol w:w="1224"/>
      </w:tblGrid>
      <w:tr>
        <w:trPr>
          <w:trHeight w:val="754"/>
        </w:trPr>
        <w:tc>
          <w:tcPr>
            <w:tcW w:w="725" w:type="dxa"/>
            <w:vAlign w:val="top"/>
            <w:textDirection w:val="lrTb"/>
            <w:noWrap w:val="false"/>
          </w:tcPr>
          <w:p>
            <w:pPr>
              <w:pStyle w:val="992"/>
              <w:ind w:left="148"/>
              <w:spacing w:before="271" w:line="221" w:lineRule="auto"/>
            </w:pPr>
            <w:r>
              <w:rPr>
                <w:b/>
                <w:bCs/>
                <w:spacing w:val="-5"/>
              </w:rPr>
              <w:t xml:space="preserve">序号</w:t>
            </w:r>
            <w:r/>
          </w:p>
        </w:tc>
        <w:tc>
          <w:tcPr>
            <w:tcW w:w="1769" w:type="dxa"/>
            <w:vAlign w:val="top"/>
            <w:textDirection w:val="lrTb"/>
            <w:noWrap w:val="false"/>
          </w:tcPr>
          <w:p>
            <w:pPr>
              <w:pStyle w:val="992"/>
              <w:ind w:left="452"/>
              <w:spacing w:before="270" w:line="219" w:lineRule="auto"/>
            </w:pPr>
            <w:r>
              <w:rPr>
                <w:b/>
                <w:bCs/>
                <w:spacing w:val="6"/>
              </w:rPr>
              <w:t xml:space="preserve">考核项目</w:t>
            </w:r>
            <w:r/>
          </w:p>
        </w:tc>
        <w:tc>
          <w:tcPr>
            <w:tcW w:w="4417" w:type="dxa"/>
            <w:vAlign w:val="top"/>
            <w:textDirection w:val="lrTb"/>
            <w:noWrap w:val="false"/>
          </w:tcPr>
          <w:p>
            <w:pPr>
              <w:pStyle w:val="992"/>
              <w:ind w:left="1784"/>
              <w:spacing w:before="270" w:line="219" w:lineRule="auto"/>
            </w:pPr>
            <w:r>
              <w:rPr>
                <w:b/>
                <w:bCs/>
                <w:spacing w:val="-4"/>
              </w:rPr>
              <w:t xml:space="preserve">考核标准</w:t>
            </w:r>
            <w:r/>
          </w:p>
        </w:tc>
        <w:tc>
          <w:tcPr>
            <w:tcW w:w="6715" w:type="dxa"/>
            <w:vAlign w:val="top"/>
            <w:textDirection w:val="lrTb"/>
            <w:noWrap w:val="false"/>
          </w:tcPr>
          <w:p>
            <w:pPr>
              <w:pStyle w:val="992"/>
              <w:ind w:left="2946"/>
              <w:spacing w:before="271" w:line="220" w:lineRule="auto"/>
            </w:pPr>
            <w:r>
              <w:rPr>
                <w:b/>
                <w:bCs/>
                <w:spacing w:val="-5"/>
              </w:rPr>
              <w:t xml:space="preserve">处罚标准</w:t>
            </w:r>
            <w:r/>
          </w:p>
        </w:tc>
        <w:tc>
          <w:tcPr>
            <w:tcW w:w="1224" w:type="dxa"/>
            <w:vAlign w:val="top"/>
            <w:textDirection w:val="lrTb"/>
            <w:noWrap w:val="false"/>
          </w:tcPr>
          <w:p>
            <w:pPr>
              <w:pStyle w:val="992"/>
              <w:ind w:left="412"/>
              <w:spacing w:before="271" w:line="220" w:lineRule="auto"/>
            </w:pPr>
            <w:r>
              <w:rPr>
                <w:b/>
                <w:bCs/>
                <w:spacing w:val="-6"/>
              </w:rPr>
              <w:t xml:space="preserve">扣分</w:t>
            </w:r>
            <w:r/>
          </w:p>
        </w:tc>
      </w:tr>
      <w:tr>
        <w:trPr>
          <w:trHeight w:val="2507"/>
        </w:trPr>
        <w:tc>
          <w:tcPr>
            <w:tcW w:w="725" w:type="dxa"/>
            <w:vAlign w:val="top"/>
            <w:textDirection w:val="lrTb"/>
            <w:noWrap w:val="false"/>
          </w:tcPr>
          <w:p>
            <w:pPr>
              <w:spacing w:line="281" w:lineRule="auto"/>
              <w:rPr>
                <w:rFonts w:ascii="Arial"/>
                <w:sz w:val="21"/>
              </w:rPr>
            </w:pPr>
            <w:r>
              <w:rPr>
                <w:rFonts w:ascii="Arial"/>
                <w:sz w:val="21"/>
              </w:rPr>
            </w:r>
            <w:r/>
          </w:p>
          <w:p>
            <w:pPr>
              <w:spacing w:line="282" w:lineRule="auto"/>
              <w:rPr>
                <w:rFonts w:ascii="Arial"/>
                <w:sz w:val="21"/>
              </w:rPr>
            </w:pPr>
            <w:r>
              <w:rPr>
                <w:rFonts w:ascii="Arial"/>
                <w:sz w:val="21"/>
              </w:rPr>
            </w:r>
            <w:r/>
          </w:p>
          <w:p>
            <w:pPr>
              <w:spacing w:line="282" w:lineRule="auto"/>
              <w:rPr>
                <w:rFonts w:ascii="Arial"/>
                <w:sz w:val="21"/>
              </w:rPr>
            </w:pPr>
            <w:r>
              <w:rPr>
                <w:rFonts w:ascii="Arial"/>
                <w:sz w:val="21"/>
              </w:rPr>
            </w:r>
            <w:r/>
          </w:p>
          <w:p>
            <w:pPr>
              <w:spacing w:line="282" w:lineRule="auto"/>
              <w:rPr>
                <w:rFonts w:ascii="Arial"/>
                <w:sz w:val="21"/>
              </w:rPr>
            </w:pPr>
            <w:r>
              <w:rPr>
                <w:rFonts w:ascii="Arial"/>
                <w:sz w:val="21"/>
              </w:rPr>
            </w:r>
            <w:r/>
          </w:p>
          <w:p>
            <w:pPr>
              <w:pStyle w:val="992"/>
              <w:ind w:left="295"/>
              <w:spacing w:before="68" w:line="184" w:lineRule="auto"/>
            </w:pPr>
            <w:r>
              <w:t xml:space="preserve">1</w:t>
            </w:r>
            <w:r/>
          </w:p>
        </w:tc>
        <w:tc>
          <w:tcPr>
            <w:tcW w:w="1769" w:type="dxa"/>
            <w:vAlign w:val="top"/>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pStyle w:val="992"/>
              <w:ind w:left="242"/>
              <w:spacing w:before="68" w:line="219" w:lineRule="auto"/>
            </w:pPr>
            <w:r>
              <w:rPr>
                <w:b/>
                <w:bCs/>
              </w:rPr>
              <w:t xml:space="preserve">服务企业资质</w:t>
            </w:r>
            <w:r/>
          </w:p>
        </w:tc>
        <w:tc>
          <w:tcPr>
            <w:tcW w:w="4417" w:type="dxa"/>
            <w:vAlign w:val="top"/>
            <w:textDirection w:val="lrTb"/>
            <w:noWrap w:val="false"/>
          </w:tcPr>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9" w:lineRule="auto"/>
              <w:rPr>
                <w:rFonts w:ascii="Arial"/>
                <w:sz w:val="21"/>
              </w:rPr>
            </w:pPr>
            <w:r>
              <w:rPr>
                <w:rFonts w:ascii="Arial"/>
                <w:sz w:val="21"/>
              </w:rPr>
            </w:r>
            <w:r/>
          </w:p>
          <w:p>
            <w:pPr>
              <w:pStyle w:val="992"/>
              <w:ind w:left="40" w:firstLine="158"/>
              <w:spacing w:before="69" w:line="252" w:lineRule="auto"/>
            </w:pPr>
            <w:r>
              <w:rPr>
                <w:spacing w:val="-4"/>
              </w:rPr>
              <w:t xml:space="preserve">服务企业(单位)营业执照等必备行政审批许   </w:t>
            </w:r>
            <w:r>
              <w:rPr>
                <w:spacing w:val="-1"/>
              </w:rPr>
              <w:t xml:space="preserve">可手续证照齐备、合法、有效，在邳州市设</w:t>
            </w:r>
            <w:r>
              <w:rPr>
                <w:spacing w:val="-2"/>
              </w:rPr>
              <w:t xml:space="preserve">立  </w:t>
            </w:r>
            <w:r>
              <w:rPr>
                <w:spacing w:val="-3"/>
              </w:rPr>
              <w:t xml:space="preserve">运营服务公司或设立分公司，有专用办公场所。</w:t>
            </w:r>
            <w:r/>
          </w:p>
        </w:tc>
        <w:tc>
          <w:tcPr>
            <w:tcW w:w="6715" w:type="dxa"/>
            <w:vAlign w:val="top"/>
            <w:textDirection w:val="lrTb"/>
            <w:noWrap w:val="false"/>
          </w:tcPr>
          <w:p>
            <w:pPr>
              <w:pStyle w:val="992"/>
              <w:ind w:left="154" w:right="14" w:firstLine="429"/>
              <w:spacing w:before="71" w:line="262" w:lineRule="auto"/>
            </w:pPr>
            <w:r>
              <w:t xml:space="preserve">1、服务企业营业执照等必备的相关审批手续证照缺少或不在有效</w:t>
            </w:r>
            <w:r>
              <w:rPr>
                <w:spacing w:val="1"/>
              </w:rPr>
              <w:t xml:space="preserve"> </w:t>
            </w:r>
            <w:r>
              <w:t xml:space="preserve">期内的，并限时整改并依法处罚，限期仍未整改到位的视为自动放</w:t>
            </w:r>
            <w:r>
              <w:rPr>
                <w:spacing w:val="-1"/>
              </w:rPr>
              <w:t xml:space="preserve">弃服</w:t>
            </w:r>
            <w:r>
              <w:t xml:space="preserve"> 务服务合同履行权，甲方有权终止合同，甲方因此造 成的损失由服务企业承担；2、服务企业承揽的服务项目不得分包、转</w:t>
            </w:r>
            <w:r>
              <w:rPr>
                <w:spacing w:val="1"/>
              </w:rPr>
              <w:t xml:space="preserve">包，违反的依法罚款，并终止合同，甲</w:t>
            </w:r>
            <w:r>
              <w:t xml:space="preserve">方因此造成的 </w:t>
            </w:r>
            <w:r>
              <w:rPr>
                <w:spacing w:val="1"/>
              </w:rPr>
              <w:t xml:space="preserve">损失由服务企业承担；3、未在邳州市设立运营服</w:t>
            </w:r>
            <w:r>
              <w:t xml:space="preserve">务公司或设立分公司 的，视为放弃本服务合同；4、公司内无人办公的一例扣5分，办公秩序不正常的一例扣2分，管理制度未上墙的一例扣2分。</w:t>
            </w:r>
            <w:r/>
          </w:p>
        </w:tc>
        <w:tc>
          <w:tcPr>
            <w:tcW w:w="1224" w:type="dxa"/>
            <w:vAlign w:val="top"/>
            <w:textDirection w:val="lrTb"/>
            <w:noWrap w:val="false"/>
          </w:tcPr>
          <w:p>
            <w:pPr>
              <w:rPr>
                <w:rFonts w:ascii="Arial"/>
                <w:sz w:val="21"/>
              </w:rPr>
            </w:pPr>
            <w:r>
              <w:rPr>
                <w:rFonts w:ascii="Arial"/>
                <w:sz w:val="21"/>
              </w:rPr>
            </w:r>
            <w:r/>
          </w:p>
        </w:tc>
      </w:tr>
      <w:tr>
        <w:trPr>
          <w:trHeight w:val="2507"/>
        </w:trPr>
        <w:tc>
          <w:tcPr>
            <w:tcBorders>
              <w:bottom w:val="none" w:color="000000" w:sz="4" w:space="0"/>
            </w:tcBorders>
            <w:tcW w:w="725" w:type="dxa"/>
            <w:vAlign w:val="top"/>
            <w:vMerge w:val="restart"/>
            <w:textDirection w:val="lrTb"/>
            <w:noWrap w:val="false"/>
          </w:tcPr>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992"/>
              <w:ind w:left="295"/>
              <w:spacing w:before="68" w:line="183" w:lineRule="auto"/>
            </w:pPr>
            <w:r>
              <w:t xml:space="preserve">2</w:t>
            </w:r>
            <w:r/>
          </w:p>
        </w:tc>
        <w:tc>
          <w:tcPr>
            <w:tcBorders>
              <w:bottom w:val="none" w:color="000000" w:sz="4" w:space="0"/>
            </w:tcBorders>
            <w:tcW w:w="1769" w:type="dxa"/>
            <w:vAlign w:val="top"/>
            <w:vMerge w:val="restart"/>
            <w:textDirection w:val="lrTb"/>
            <w:noWrap w:val="false"/>
          </w:tcPr>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pStyle w:val="992"/>
              <w:ind w:left="452"/>
              <w:spacing w:before="68" w:line="219" w:lineRule="auto"/>
            </w:pPr>
            <w:r>
              <w:rPr>
                <w:b/>
                <w:bCs/>
                <w:spacing w:val="-2"/>
              </w:rPr>
              <w:t xml:space="preserve">日常管理</w:t>
            </w:r>
            <w:r/>
          </w:p>
        </w:tc>
        <w:tc>
          <w:tcPr>
            <w:tcW w:w="4417"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pStyle w:val="992"/>
              <w:ind w:left="101"/>
              <w:spacing w:before="68" w:line="262" w:lineRule="auto"/>
            </w:pPr>
            <w:r>
              <w:t xml:space="preserve">各处置中心有日保洁制度，内外环境整洁，制</w:t>
            </w:r>
            <w:r>
              <w:rPr>
                <w:spacing w:val="8"/>
              </w:rPr>
              <w:t xml:space="preserve">  </w:t>
            </w:r>
            <w:r>
              <w:rPr>
                <w:spacing w:val="5"/>
              </w:rPr>
              <w:t xml:space="preserve">度规范齐全，制度上墙，管理人员着装规范、</w:t>
            </w:r>
            <w:r>
              <w:rPr>
                <w:spacing w:val="4"/>
              </w:rPr>
              <w:t xml:space="preserve"> 满员在岗；服务企业(单位)工作人员积极配</w:t>
            </w:r>
            <w:r>
              <w:rPr>
                <w:spacing w:val="3"/>
              </w:rPr>
              <w:t xml:space="preserve">   </w:t>
            </w:r>
            <w:r>
              <w:t xml:space="preserve">合甲方日常监管，对监管单位发出的口头和书</w:t>
            </w:r>
            <w:r>
              <w:rPr>
                <w:spacing w:val="6"/>
              </w:rPr>
              <w:t xml:space="preserve">  </w:t>
            </w:r>
            <w:r>
              <w:rPr>
                <w:spacing w:val="3"/>
              </w:rPr>
              <w:t xml:space="preserve">面整改意见及时整改到位。</w:t>
            </w:r>
            <w:r/>
          </w:p>
        </w:tc>
        <w:tc>
          <w:tcPr>
            <w:tcW w:w="6715" w:type="dxa"/>
            <w:vAlign w:val="top"/>
            <w:textDirection w:val="lrTb"/>
            <w:noWrap w:val="false"/>
          </w:tcPr>
          <w:p>
            <w:pPr>
              <w:pStyle w:val="992"/>
              <w:ind w:left="154" w:right="14" w:firstLine="429"/>
              <w:spacing w:before="71" w:line="262" w:lineRule="auto"/>
            </w:pPr>
            <w:r>
              <w:rPr>
                <w:rFonts w:hint="eastAsia"/>
                <w:lang w:val="en-US" w:eastAsia="zh-CN"/>
              </w:rPr>
              <w:t xml:space="preserve">1、</w:t>
            </w:r>
            <w:r>
              <w:t xml:space="preserve">未落实日保洁的，发现一次扣2分；2、有杂物乱堆放的，发现 一次扣2分；3、站内积存其他垃圾的一例扣10分，地面有污水(渗滤液)的，一例扣3分，构成违法的按照现行相关法规处罚；4、人员不在岗的，发现一例扣2分；5、制度不健全或未上墙的，发现一次扣1分；6、工作人员不配合甲方监管的，一次扣5分；未及时落实甲方整改要求的，一次扣5分，连续3次未整改到位的，视为服务企业(单位)  自行放弃履行合同，甲方有权单方面结束合同，由此造成的损失由服务 企业(单位)承担。</w:t>
            </w:r>
            <w:r/>
          </w:p>
        </w:tc>
        <w:tc>
          <w:tcPr>
            <w:tcW w:w="1224" w:type="dxa"/>
            <w:vAlign w:val="top"/>
            <w:textDirection w:val="lrTb"/>
            <w:noWrap w:val="false"/>
          </w:tcPr>
          <w:p>
            <w:pPr>
              <w:rPr>
                <w:rFonts w:ascii="Arial"/>
                <w:sz w:val="21"/>
              </w:rPr>
            </w:pPr>
            <w:r>
              <w:rPr>
                <w:rFonts w:ascii="Arial"/>
                <w:sz w:val="21"/>
              </w:rPr>
            </w:r>
            <w:r/>
          </w:p>
        </w:tc>
      </w:tr>
      <w:tr>
        <w:trPr>
          <w:trHeight w:val="2072"/>
        </w:trPr>
        <w:tc>
          <w:tcPr>
            <w:tcBorders>
              <w:top w:val="none" w:color="000000" w:sz="4" w:space="0"/>
            </w:tcBorders>
            <w:tcW w:w="725"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769" w:type="dxa"/>
            <w:vAlign w:val="top"/>
            <w:vMerge w:val="continue"/>
            <w:textDirection w:val="lrTb"/>
            <w:noWrap w:val="false"/>
          </w:tcPr>
          <w:p>
            <w:pPr>
              <w:rPr>
                <w:rFonts w:ascii="Arial"/>
                <w:sz w:val="21"/>
              </w:rPr>
            </w:pPr>
            <w:r>
              <w:rPr>
                <w:rFonts w:ascii="Arial"/>
                <w:sz w:val="21"/>
              </w:rPr>
            </w:r>
            <w:r/>
          </w:p>
        </w:tc>
        <w:tc>
          <w:tcPr>
            <w:tcW w:w="4417" w:type="dxa"/>
            <w:vAlign w:val="top"/>
            <w:textDirection w:val="lrTb"/>
            <w:noWrap w:val="false"/>
          </w:tcPr>
          <w:p>
            <w:pPr>
              <w:pStyle w:val="992"/>
              <w:ind w:left="101" w:right="90"/>
              <w:spacing w:before="182" w:line="259" w:lineRule="auto"/>
            </w:pPr>
            <w:r>
              <w:t xml:space="preserve">处置中心内所有建筑物、设施、设备运行正常</w:t>
            </w:r>
            <w:r>
              <w:rPr>
                <w:spacing w:val="10"/>
              </w:rPr>
              <w:t xml:space="preserve"> </w:t>
            </w:r>
            <w:r>
              <w:t xml:space="preserve">外观整洁，有运行和保养日志；其他垃圾、有</w:t>
            </w:r>
            <w:r>
              <w:rPr>
                <w:spacing w:val="9"/>
              </w:rPr>
              <w:t xml:space="preserve"> 机易腐(厨余)垃圾、可回收物(大件)垃圾、</w:t>
            </w:r>
            <w:r>
              <w:rPr>
                <w:spacing w:val="15"/>
              </w:rPr>
              <w:t xml:space="preserve"> </w:t>
            </w:r>
            <w:r>
              <w:t xml:space="preserve">有害垃圾进站及处置台账完整、齐备，并及时</w:t>
            </w:r>
            <w:r>
              <w:rPr>
                <w:spacing w:val="11"/>
              </w:rPr>
              <w:t xml:space="preserve"> </w:t>
            </w:r>
            <w:r>
              <w:t xml:space="preserve">录入邳州市生活垃圾分类和治理综合管理信息</w:t>
            </w:r>
            <w:r>
              <w:rPr>
                <w:spacing w:val="14"/>
              </w:rPr>
              <w:t xml:space="preserve"> </w:t>
            </w:r>
            <w:r>
              <w:rPr>
                <w:spacing w:val="-1"/>
              </w:rPr>
              <w:t xml:space="preserve">平 台</w:t>
            </w:r>
            <w:r>
              <w:rPr>
                <w:spacing w:val="-23"/>
              </w:rPr>
              <w:t xml:space="preserve"> </w:t>
            </w:r>
            <w:r>
              <w:rPr>
                <w:spacing w:val="-1"/>
              </w:rPr>
              <w:t xml:space="preserve">；</w:t>
            </w:r>
            <w:r/>
          </w:p>
        </w:tc>
        <w:tc>
          <w:tcPr>
            <w:tcW w:w="6715" w:type="dxa"/>
            <w:vAlign w:val="top"/>
            <w:textDirection w:val="lrTb"/>
            <w:noWrap w:val="false"/>
          </w:tcPr>
          <w:p>
            <w:pPr>
              <w:pStyle w:val="992"/>
              <w:ind w:left="154" w:right="14" w:firstLine="429"/>
              <w:spacing w:before="71" w:line="262" w:lineRule="auto"/>
            </w:pPr>
            <w:r>
              <w:t xml:space="preserve">1、处置中心有设备未正常运行，且乙方未报备的，发现一次扣3  分；2、未及时建立工作台账的，发现一次扣2分；3、未及时将其他垃 圾、有机易腐(厨余)垃圾、可回收物(大件)垃圾、有害垃圾进站及处置信息及时录入综合管理平台的，发现一次扣2分，5天及以上未录入的每次扣10分，并以5天计累计扣分；建筑物、机器、设备、设施外观不整洁的一例扣1分。</w:t>
            </w:r>
            <w:r/>
          </w:p>
        </w:tc>
        <w:tc>
          <w:tcPr>
            <w:tcW w:w="1224"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pPr>
        <w:rPr>
          <w:rFonts w:ascii="Arial" w:hAnsi="Arial" w:eastAsia="Arial" w:cs="Arial"/>
          <w:sz w:val="21"/>
          <w:szCs w:val="21"/>
        </w:rPr>
        <w:sectPr>
          <w:footnotePr/>
          <w:endnotePr/>
          <w:type w:val="nextPage"/>
          <w:pgSz w:w="16840" w:h="11910" w:orient="landscape"/>
          <w:pgMar w:top="400" w:right="1245" w:bottom="0" w:left="734" w:header="0" w:footer="0" w:gutter="0"/>
          <w:cols w:num="1" w:sep="0" w:space="720" w:equalWidth="1"/>
          <w:docGrid w:linePitch="360"/>
        </w:sectPr>
      </w:pPr>
      <w:r>
        <w:rPr>
          <w:rFonts w:ascii="Arial" w:hAnsi="Arial" w:eastAsia="Arial" w:cs="Arial"/>
          <w:sz w:val="21"/>
          <w:szCs w:val="21"/>
        </w:rPr>
      </w:r>
      <w:r/>
    </w:p>
    <w:p>
      <w:pPr>
        <w:spacing w:before="116"/>
      </w:pPr>
      <w:r/>
      <w:r/>
    </w:p>
    <w:p>
      <w:pPr>
        <w:spacing w:before="116"/>
      </w:pPr>
      <w:r/>
      <w:r/>
    </w:p>
    <w:tbl>
      <w:tblPr>
        <w:tblStyle w:val="990"/>
        <w:tblW w:w="149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4"/>
        <w:gridCol w:w="1779"/>
        <w:gridCol w:w="4427"/>
        <w:gridCol w:w="6735"/>
        <w:gridCol w:w="1254"/>
      </w:tblGrid>
      <w:tr>
        <w:trPr>
          <w:trHeight w:val="2082"/>
        </w:trPr>
        <w:tc>
          <w:tcPr>
            <w:tcBorders>
              <w:bottom w:val="none" w:color="000000" w:sz="4" w:space="0"/>
            </w:tcBorders>
            <w:tcW w:w="714" w:type="dxa"/>
            <w:vAlign w:val="top"/>
            <w:vMerge w:val="restart"/>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pStyle w:val="992"/>
              <w:ind w:left="244"/>
              <w:spacing w:before="72" w:line="183" w:lineRule="auto"/>
              <w:rPr>
                <w:sz w:val="22"/>
                <w:szCs w:val="22"/>
              </w:rPr>
            </w:pPr>
            <w:r>
              <w:rPr>
                <w:sz w:val="22"/>
                <w:szCs w:val="22"/>
              </w:rPr>
              <w:t xml:space="preserve">2</w:t>
            </w:r>
            <w:r/>
          </w:p>
        </w:tc>
        <w:tc>
          <w:tcPr>
            <w:tcBorders>
              <w:bottom w:val="none" w:color="000000" w:sz="4" w:space="0"/>
            </w:tcBorders>
            <w:tcW w:w="1779" w:type="dxa"/>
            <w:vAlign w:val="top"/>
            <w:vMerge w:val="restart"/>
            <w:textDirection w:val="lrTb"/>
            <w:noWrap w:val="false"/>
          </w:tcPr>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spacing w:line="248" w:lineRule="auto"/>
              <w:rPr>
                <w:rFonts w:ascii="Arial"/>
                <w:sz w:val="21"/>
              </w:rPr>
            </w:pPr>
            <w:r>
              <w:rPr>
                <w:rFonts w:ascii="Arial"/>
                <w:sz w:val="21"/>
              </w:rPr>
            </w:r>
            <w:r/>
          </w:p>
          <w:p>
            <w:pPr>
              <w:pStyle w:val="992"/>
              <w:ind w:left="504"/>
              <w:spacing w:before="71" w:line="219" w:lineRule="auto"/>
              <w:rPr>
                <w:sz w:val="22"/>
                <w:szCs w:val="22"/>
              </w:rPr>
            </w:pPr>
            <w:r>
              <w:rPr>
                <w:b/>
                <w:bCs/>
                <w:spacing w:val="-2"/>
                <w:sz w:val="22"/>
                <w:szCs w:val="22"/>
              </w:rPr>
              <w:t xml:space="preserve">日常管理</w:t>
            </w:r>
            <w:r/>
          </w:p>
        </w:tc>
        <w:tc>
          <w:tcPr>
            <w:tcW w:w="4427" w:type="dxa"/>
            <w:vAlign w:val="top"/>
            <w:textDirection w:val="lrTb"/>
            <w:noWrap w:val="false"/>
          </w:tcPr>
          <w:p>
            <w:pPr>
              <w:spacing w:line="358" w:lineRule="auto"/>
              <w:rPr>
                <w:rFonts w:ascii="Arial"/>
                <w:sz w:val="21"/>
              </w:rPr>
            </w:pPr>
            <w:r>
              <w:rPr>
                <w:rFonts w:ascii="Arial"/>
                <w:sz w:val="21"/>
              </w:rPr>
            </w:r>
            <w:r/>
          </w:p>
          <w:p>
            <w:pPr>
              <w:spacing w:line="359" w:lineRule="auto"/>
              <w:rPr>
                <w:rFonts w:ascii="Arial"/>
                <w:sz w:val="21"/>
              </w:rPr>
            </w:pPr>
            <w:r>
              <w:rPr>
                <w:rFonts w:ascii="Arial"/>
                <w:sz w:val="21"/>
              </w:rPr>
            </w:r>
            <w:r/>
          </w:p>
          <w:p>
            <w:pPr>
              <w:pStyle w:val="992"/>
              <w:ind w:left="141" w:right="5" w:hanging="140"/>
              <w:spacing w:before="72" w:line="244" w:lineRule="auto"/>
              <w:rPr>
                <w:sz w:val="22"/>
                <w:szCs w:val="22"/>
              </w:rPr>
            </w:pPr>
            <w:r>
              <w:rPr>
                <w:sz w:val="22"/>
                <w:szCs w:val="22"/>
              </w:rPr>
              <w:t xml:space="preserve">建立规范完整的垃圾收处“三联单”制度和可</w:t>
            </w:r>
            <w:r>
              <w:rPr>
                <w:spacing w:val="8"/>
                <w:sz w:val="22"/>
                <w:szCs w:val="22"/>
              </w:rPr>
              <w:t xml:space="preserve"> </w:t>
            </w:r>
            <w:r>
              <w:rPr>
                <w:spacing w:val="-1"/>
                <w:sz w:val="22"/>
                <w:szCs w:val="22"/>
              </w:rPr>
              <w:t xml:space="preserve">回收物及有害垃圾回收制度。</w:t>
            </w:r>
            <w:r/>
          </w:p>
        </w:tc>
        <w:tc>
          <w:tcPr>
            <w:tcW w:w="6735" w:type="dxa"/>
            <w:vAlign w:val="top"/>
            <w:textDirection w:val="lrTb"/>
            <w:noWrap w:val="false"/>
          </w:tcPr>
          <w:p>
            <w:pPr>
              <w:pStyle w:val="992"/>
              <w:ind w:firstLine="424"/>
              <w:jc w:val="both"/>
              <w:spacing w:before="71" w:line="247" w:lineRule="auto"/>
              <w:rPr>
                <w:spacing w:val="-4"/>
                <w:sz w:val="22"/>
                <w:szCs w:val="22"/>
              </w:rPr>
            </w:pPr>
            <w:r>
              <w:rPr>
                <w:spacing w:val="-4"/>
                <w:sz w:val="22"/>
                <w:szCs w:val="22"/>
              </w:rPr>
            </w:r>
            <w:r/>
          </w:p>
          <w:p>
            <w:pPr>
              <w:pStyle w:val="992"/>
              <w:ind w:firstLine="420"/>
              <w:jc w:val="both"/>
              <w:spacing w:before="71" w:line="247" w:lineRule="auto"/>
              <w:rPr>
                <w:sz w:val="22"/>
                <w:szCs w:val="22"/>
              </w:rPr>
            </w:pPr>
            <w:r>
              <w:t xml:space="preserve">服务企业按照监管方要求建立规范、完整、及时的各类进出站垃圾 和处置“联单制度”,联单分别由处置中心管理方、送货方和运输方(处置方)留存，服务企业未落实“联单制度”的，视为放弃本服务 合同，未按监管方要求填写联单的，每一例扣3分。</w:t>
            </w:r>
            <w:r/>
          </w:p>
        </w:tc>
        <w:tc>
          <w:tcPr>
            <w:tcW w:w="1254" w:type="dxa"/>
            <w:vAlign w:val="top"/>
            <w:textDirection w:val="lrTb"/>
            <w:noWrap w:val="false"/>
          </w:tcPr>
          <w:p>
            <w:pPr>
              <w:rPr>
                <w:rFonts w:ascii="Arial"/>
                <w:sz w:val="21"/>
              </w:rPr>
            </w:pPr>
            <w:r>
              <w:rPr>
                <w:rFonts w:ascii="Arial"/>
                <w:sz w:val="21"/>
              </w:rPr>
            </w:r>
            <w:r/>
          </w:p>
        </w:tc>
      </w:tr>
      <w:tr>
        <w:trPr>
          <w:trHeight w:val="2067"/>
        </w:trPr>
        <w:tc>
          <w:tcPr>
            <w:tcBorders>
              <w:top w:val="none" w:color="000000" w:sz="4" w:space="0"/>
              <w:bottom w:val="none" w:color="000000" w:sz="4" w:space="0"/>
            </w:tcBorders>
            <w:tcW w:w="714"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779" w:type="dxa"/>
            <w:vAlign w:val="top"/>
            <w:vMerge w:val="continue"/>
            <w:textDirection w:val="lrTb"/>
            <w:noWrap w:val="false"/>
          </w:tcPr>
          <w:p>
            <w:pPr>
              <w:rPr>
                <w:rFonts w:ascii="Arial"/>
                <w:sz w:val="21"/>
              </w:rPr>
            </w:pPr>
            <w:r>
              <w:rPr>
                <w:rFonts w:ascii="Arial"/>
                <w:sz w:val="21"/>
              </w:rPr>
            </w:r>
            <w:r/>
          </w:p>
        </w:tc>
        <w:tc>
          <w:tcPr>
            <w:tcW w:w="4427" w:type="dxa"/>
            <w:vAlign w:val="top"/>
            <w:textDirection w:val="lrTb"/>
            <w:noWrap w:val="false"/>
          </w:tcPr>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spacing w:line="285" w:lineRule="auto"/>
              <w:rPr>
                <w:rFonts w:ascii="Arial"/>
                <w:sz w:val="21"/>
              </w:rPr>
            </w:pPr>
            <w:r>
              <w:rPr>
                <w:rFonts w:ascii="Arial"/>
                <w:sz w:val="21"/>
              </w:rPr>
            </w:r>
            <w:r/>
          </w:p>
          <w:p>
            <w:pPr>
              <w:pStyle w:val="992"/>
              <w:ind w:left="1762"/>
              <w:spacing w:before="71" w:line="219" w:lineRule="auto"/>
              <w:rPr>
                <w:sz w:val="22"/>
                <w:szCs w:val="22"/>
              </w:rPr>
            </w:pPr>
            <w:r>
              <w:rPr>
                <w:spacing w:val="2"/>
                <w:sz w:val="22"/>
                <w:szCs w:val="22"/>
              </w:rPr>
              <w:t xml:space="preserve">消毒消杀</w:t>
            </w:r>
            <w:r/>
          </w:p>
        </w:tc>
        <w:tc>
          <w:tcPr>
            <w:tcW w:w="6735" w:type="dxa"/>
            <w:vAlign w:val="top"/>
            <w:textDirection w:val="lrTb"/>
            <w:noWrap w:val="false"/>
          </w:tcPr>
          <w:p>
            <w:pPr>
              <w:spacing w:line="247" w:lineRule="auto"/>
              <w:rPr>
                <w:rFonts w:ascii="Arial"/>
                <w:sz w:val="21"/>
              </w:rPr>
            </w:pPr>
            <w:r>
              <w:rPr>
                <w:rFonts w:ascii="Arial"/>
                <w:sz w:val="21"/>
              </w:rPr>
            </w:r>
            <w:r/>
          </w:p>
          <w:p>
            <w:pPr>
              <w:pStyle w:val="992"/>
              <w:ind w:firstLine="420"/>
              <w:jc w:val="both"/>
              <w:spacing w:before="71" w:line="247" w:lineRule="auto"/>
              <w:rPr>
                <w:sz w:val="22"/>
                <w:szCs w:val="22"/>
              </w:rPr>
            </w:pPr>
            <w:r>
              <w:t xml:space="preserve">各处置中心严格建立场地及设施设备消杀制度(每天3次),次数未达要求的，发现一次扣2分；2、对站垃圾、运输车辆每次进行消杀，未按要求的发现一例扣2分；3、消杀物资应储备齐全充分，储备量少(不足3天量)或种类不全的发现一次扣3分；4、未建立消杀台账的一次扣5分，未及时填写台账的发现一次扣2分。</w:t>
            </w:r>
            <w:r/>
          </w:p>
        </w:tc>
        <w:tc>
          <w:tcPr>
            <w:tcW w:w="1254" w:type="dxa"/>
            <w:vAlign w:val="top"/>
            <w:textDirection w:val="lrTb"/>
            <w:noWrap w:val="false"/>
          </w:tcPr>
          <w:p>
            <w:pPr>
              <w:rPr>
                <w:rFonts w:ascii="Arial"/>
                <w:sz w:val="21"/>
              </w:rPr>
            </w:pPr>
            <w:r>
              <w:rPr>
                <w:rFonts w:ascii="Arial"/>
                <w:sz w:val="21"/>
              </w:rPr>
            </w:r>
            <w:r/>
          </w:p>
        </w:tc>
      </w:tr>
      <w:tr>
        <w:trPr>
          <w:trHeight w:val="2058"/>
        </w:trPr>
        <w:tc>
          <w:tcPr>
            <w:tcBorders>
              <w:top w:val="none" w:color="000000" w:sz="4" w:space="0"/>
              <w:bottom w:val="none" w:color="000000" w:sz="4" w:space="0"/>
            </w:tcBorders>
            <w:tcW w:w="714"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779" w:type="dxa"/>
            <w:vAlign w:val="top"/>
            <w:vMerge w:val="continue"/>
            <w:textDirection w:val="lrTb"/>
            <w:noWrap w:val="false"/>
          </w:tcPr>
          <w:p>
            <w:pPr>
              <w:rPr>
                <w:rFonts w:ascii="Arial"/>
                <w:sz w:val="21"/>
              </w:rPr>
            </w:pPr>
            <w:r>
              <w:rPr>
                <w:rFonts w:ascii="Arial"/>
                <w:sz w:val="21"/>
              </w:rPr>
            </w:r>
            <w:r/>
          </w:p>
        </w:tc>
        <w:tc>
          <w:tcPr>
            <w:tcW w:w="4427" w:type="dxa"/>
            <w:vAlign w:val="top"/>
            <w:textDirection w:val="lrTb"/>
            <w:noWrap w:val="false"/>
          </w:tcPr>
          <w:p>
            <w:pPr>
              <w:spacing w:line="282" w:lineRule="auto"/>
              <w:rPr>
                <w:rFonts w:ascii="Arial"/>
                <w:sz w:val="21"/>
              </w:rPr>
            </w:pPr>
            <w:r>
              <w:rPr>
                <w:rFonts w:ascii="Arial"/>
                <w:sz w:val="21"/>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pStyle w:val="992"/>
              <w:ind w:left="1541"/>
              <w:spacing w:before="71" w:line="219" w:lineRule="auto"/>
              <w:rPr>
                <w:sz w:val="22"/>
                <w:szCs w:val="22"/>
              </w:rPr>
            </w:pPr>
            <w:r>
              <w:rPr>
                <w:spacing w:val="2"/>
                <w:sz w:val="22"/>
                <w:szCs w:val="22"/>
              </w:rPr>
              <w:t xml:space="preserve">车辆停放有序</w:t>
            </w:r>
            <w:r/>
          </w:p>
        </w:tc>
        <w:tc>
          <w:tcPr>
            <w:tcW w:w="6735" w:type="dxa"/>
            <w:vAlign w:val="top"/>
            <w:textDirection w:val="lrTb"/>
            <w:noWrap w:val="false"/>
          </w:tcPr>
          <w:p>
            <w:pPr>
              <w:spacing w:line="282" w:lineRule="auto"/>
              <w:rPr>
                <w:rFonts w:ascii="Arial"/>
                <w:sz w:val="21"/>
              </w:rPr>
            </w:pPr>
            <w:r>
              <w:rPr>
                <w:rFonts w:ascii="Arial"/>
                <w:sz w:val="21"/>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pStyle w:val="992"/>
              <w:ind w:firstLine="436"/>
              <w:jc w:val="both"/>
              <w:spacing w:before="71" w:line="219" w:lineRule="auto"/>
              <w:rPr>
                <w:sz w:val="22"/>
                <w:szCs w:val="22"/>
              </w:rPr>
            </w:pPr>
            <w:r>
              <w:rPr>
                <w:spacing w:val="-1"/>
                <w:sz w:val="22"/>
                <w:szCs w:val="22"/>
              </w:rPr>
              <w:t xml:space="preserve">处置中心内车辆按区顺向停放，发现车辆乱停乱放的一例扣2</w:t>
            </w:r>
            <w:r>
              <w:rPr>
                <w:spacing w:val="-2"/>
                <w:sz w:val="22"/>
                <w:szCs w:val="22"/>
              </w:rPr>
              <w:t xml:space="preserve">分。</w:t>
            </w:r>
            <w:r/>
          </w:p>
        </w:tc>
        <w:tc>
          <w:tcPr>
            <w:tcW w:w="1254" w:type="dxa"/>
            <w:vAlign w:val="top"/>
            <w:textDirection w:val="lrTb"/>
            <w:noWrap w:val="false"/>
          </w:tcPr>
          <w:p>
            <w:pPr>
              <w:rPr>
                <w:rFonts w:ascii="Arial"/>
                <w:sz w:val="21"/>
              </w:rPr>
            </w:pPr>
            <w:r>
              <w:rPr>
                <w:rFonts w:ascii="Arial"/>
                <w:sz w:val="21"/>
              </w:rPr>
            </w:r>
            <w:r/>
          </w:p>
        </w:tc>
      </w:tr>
      <w:tr>
        <w:trPr>
          <w:trHeight w:val="2082"/>
        </w:trPr>
        <w:tc>
          <w:tcPr>
            <w:tcBorders>
              <w:top w:val="none" w:color="000000" w:sz="4" w:space="0"/>
            </w:tcBorders>
            <w:tcW w:w="714"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779" w:type="dxa"/>
            <w:vAlign w:val="top"/>
            <w:vMerge w:val="continue"/>
            <w:textDirection w:val="lrTb"/>
            <w:noWrap w:val="false"/>
          </w:tcPr>
          <w:p>
            <w:pPr>
              <w:rPr>
                <w:rFonts w:ascii="Arial"/>
                <w:sz w:val="21"/>
              </w:rPr>
            </w:pPr>
            <w:r>
              <w:rPr>
                <w:rFonts w:ascii="Arial"/>
                <w:sz w:val="21"/>
              </w:rPr>
            </w:r>
            <w:r/>
          </w:p>
        </w:tc>
        <w:tc>
          <w:tcPr>
            <w:tcW w:w="4427" w:type="dxa"/>
            <w:vAlign w:val="top"/>
            <w:textDirection w:val="lrTb"/>
            <w:noWrap w:val="false"/>
          </w:tcPr>
          <w:p>
            <w:pPr>
              <w:spacing w:line="286" w:lineRule="auto"/>
              <w:rPr>
                <w:rFonts w:ascii="Arial"/>
                <w:sz w:val="21"/>
              </w:rPr>
            </w:pPr>
            <w:r>
              <w:rPr>
                <w:rFonts w:ascii="Arial"/>
                <w:sz w:val="21"/>
              </w:rPr>
            </w:r>
            <w:r/>
          </w:p>
          <w:p>
            <w:pPr>
              <w:spacing w:line="287" w:lineRule="auto"/>
              <w:rPr>
                <w:rFonts w:ascii="Arial"/>
                <w:sz w:val="21"/>
              </w:rPr>
            </w:pPr>
            <w:r>
              <w:rPr>
                <w:rFonts w:ascii="Arial"/>
                <w:sz w:val="21"/>
              </w:rPr>
            </w:r>
            <w:r/>
          </w:p>
          <w:p>
            <w:pPr>
              <w:spacing w:line="287" w:lineRule="auto"/>
              <w:rPr>
                <w:rFonts w:ascii="Arial"/>
                <w:sz w:val="21"/>
              </w:rPr>
            </w:pPr>
            <w:r>
              <w:rPr>
                <w:rFonts w:ascii="Arial"/>
                <w:sz w:val="21"/>
              </w:rPr>
            </w:r>
            <w:r/>
          </w:p>
          <w:p>
            <w:pPr>
              <w:pStyle w:val="992"/>
              <w:ind w:left="1101"/>
              <w:spacing w:before="71" w:line="219" w:lineRule="auto"/>
              <w:rPr>
                <w:sz w:val="22"/>
                <w:szCs w:val="22"/>
              </w:rPr>
            </w:pPr>
            <w:r>
              <w:rPr>
                <w:spacing w:val="1"/>
                <w:sz w:val="22"/>
                <w:szCs w:val="22"/>
              </w:rPr>
              <w:t xml:space="preserve">企业内部管理考核制度</w:t>
            </w:r>
            <w:r/>
          </w:p>
        </w:tc>
        <w:tc>
          <w:tcPr>
            <w:tcW w:w="6735" w:type="dxa"/>
            <w:vAlign w:val="top"/>
            <w:textDirection w:val="lrTb"/>
            <w:noWrap w:val="false"/>
          </w:tcPr>
          <w:p>
            <w:pPr>
              <w:spacing w:line="290" w:lineRule="auto"/>
              <w:rPr>
                <w:rFonts w:ascii="Arial"/>
                <w:sz w:val="21"/>
              </w:rPr>
            </w:pPr>
            <w:r>
              <w:rPr>
                <w:rFonts w:ascii="Arial"/>
                <w:sz w:val="21"/>
              </w:rPr>
            </w:r>
            <w:r/>
          </w:p>
          <w:p>
            <w:pPr>
              <w:spacing w:line="291" w:lineRule="auto"/>
              <w:rPr>
                <w:rFonts w:ascii="Arial"/>
                <w:sz w:val="21"/>
              </w:rPr>
            </w:pPr>
            <w:r>
              <w:rPr>
                <w:rFonts w:ascii="Arial"/>
                <w:sz w:val="21"/>
              </w:rPr>
            </w:r>
            <w:r/>
          </w:p>
          <w:p>
            <w:pPr>
              <w:pStyle w:val="992"/>
              <w:ind w:firstLine="420"/>
              <w:jc w:val="both"/>
              <w:spacing w:before="71" w:line="241" w:lineRule="auto"/>
              <w:rPr>
                <w:sz w:val="22"/>
                <w:szCs w:val="22"/>
              </w:rPr>
            </w:pPr>
            <w:r>
              <w:t xml:space="preserve">服务企业内部有完整的考核管理机制，且有效落实。未建立内部管 理考核制度的，发现一次扣5分，未落实考核管理措施的发现一次扣3 分；未配备专职巡回考核人员和专用车辆的， 一次扣10分。</w:t>
            </w:r>
            <w:r/>
          </w:p>
        </w:tc>
        <w:tc>
          <w:tcPr>
            <w:tcW w:w="1254" w:type="dxa"/>
            <w:vAlign w:val="top"/>
            <w:textDirection w:val="lrTb"/>
            <w:noWrap w:val="false"/>
          </w:tcPr>
          <w:p>
            <w:pPr>
              <w:rPr>
                <w:rFonts w:ascii="Arial"/>
                <w:sz w:val="21"/>
              </w:rPr>
            </w:pPr>
            <w:r>
              <w:rPr>
                <w:rFonts w:ascii="Arial"/>
                <w:sz w:val="21"/>
              </w:rPr>
            </w:r>
            <w:r/>
          </w:p>
        </w:tc>
      </w:tr>
    </w:tbl>
    <w:p>
      <w:pPr>
        <w:rPr>
          <w:rFonts w:ascii="Arial" w:hAnsi="Arial" w:eastAsia="Arial" w:cs="Arial"/>
          <w:sz w:val="21"/>
          <w:szCs w:val="21"/>
        </w:rPr>
      </w:pPr>
      <w:r>
        <w:rPr>
          <w:rFonts w:ascii="Arial" w:hAnsi="Arial" w:eastAsia="Arial" w:cs="Arial"/>
          <w:sz w:val="21"/>
          <w:szCs w:val="21"/>
        </w:rPr>
      </w:r>
      <w:r/>
    </w:p>
    <w:p>
      <w:pPr>
        <w:pStyle w:val="772"/>
        <w:ind w:left="279"/>
        <w:spacing w:before="143" w:line="219" w:lineRule="auto"/>
        <w:rPr>
          <w:rFonts w:ascii="黑体" w:hAnsi="黑体" w:eastAsia="黑体" w:cs="黑体"/>
          <w:b/>
          <w:bCs/>
          <w:spacing w:val="-7"/>
          <w:position w:val="1"/>
          <w:sz w:val="32"/>
          <w:szCs w:val="32"/>
        </w:rPr>
        <w:sectPr>
          <w:footnotePr/>
          <w:endnotePr/>
          <w:type w:val="nextPage"/>
          <w:pgSz w:w="16840" w:h="11910" w:orient="landscape"/>
          <w:pgMar w:top="400" w:right="1245" w:bottom="0" w:left="734" w:header="0" w:footer="0" w:gutter="0"/>
          <w:cols w:num="1" w:sep="0" w:space="720" w:equalWidth="1"/>
          <w:docGrid w:linePitch="360"/>
        </w:sectPr>
      </w:pPr>
      <w:r>
        <w:rPr>
          <w:rFonts w:ascii="黑体" w:hAnsi="黑体" w:eastAsia="黑体" w:cs="黑体"/>
          <w:b/>
          <w:bCs/>
          <w:spacing w:val="-7"/>
          <w:position w:val="1"/>
          <w:sz w:val="32"/>
          <w:szCs w:val="32"/>
        </w:rPr>
      </w:r>
      <w:r/>
    </w:p>
    <w:tbl>
      <w:tblPr>
        <w:tblStyle w:val="990"/>
        <w:tblW w:w="14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4"/>
        <w:gridCol w:w="1749"/>
        <w:gridCol w:w="4407"/>
        <w:gridCol w:w="6725"/>
        <w:gridCol w:w="1224"/>
      </w:tblGrid>
      <w:tr>
        <w:trPr>
          <w:trHeight w:val="2751"/>
        </w:trPr>
        <w:tc>
          <w:tcPr>
            <w:tcW w:w="714" w:type="dxa"/>
            <w:vAlign w:val="top"/>
            <w:textDirection w:val="lrTb"/>
            <w:noWrap w:val="false"/>
          </w:tcPr>
          <w:p>
            <w:pPr>
              <w:spacing w:before="116"/>
              <w:rPr>
                <w:rFonts w:ascii="Arial"/>
                <w:sz w:val="21"/>
              </w:rPr>
            </w:pPr>
            <w:r>
              <w:rPr>
                <w:rFonts w:ascii="黑体" w:hAnsi="黑体" w:eastAsia="黑体" w:cs="黑体"/>
                <w:b/>
                <w:bCs/>
                <w:spacing w:val="-7"/>
                <w:position w:val="1"/>
                <w:sz w:val="32"/>
                <w:szCs w:val="32"/>
              </w:rPr>
              <w:br w:type="page" w:clear="all"/>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pStyle w:val="992"/>
              <w:ind w:left="294"/>
              <w:spacing w:before="69" w:line="183" w:lineRule="auto"/>
            </w:pPr>
            <w:r>
              <w:t xml:space="preserve">3</w:t>
            </w:r>
            <w:r/>
          </w:p>
        </w:tc>
        <w:tc>
          <w:tcPr>
            <w:tcW w:w="1749" w:type="dxa"/>
            <w:vAlign w:val="top"/>
            <w:textDirection w:val="lrTb"/>
            <w:noWrap w:val="false"/>
          </w:tcPr>
          <w:p>
            <w:pPr>
              <w:spacing w:line="298" w:lineRule="auto"/>
              <w:rPr>
                <w:rFonts w:ascii="Arial"/>
                <w:sz w:val="21"/>
              </w:rPr>
            </w:pPr>
            <w:r>
              <w:rPr>
                <w:rFonts w:ascii="Arial"/>
                <w:sz w:val="21"/>
              </w:rPr>
            </w:r>
            <w:r/>
          </w:p>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pStyle w:val="992"/>
              <w:ind w:left="443"/>
              <w:spacing w:before="68" w:line="220" w:lineRule="auto"/>
            </w:pPr>
            <w:r>
              <w:rPr>
                <w:b/>
                <w:bCs/>
                <w:spacing w:val="-5"/>
              </w:rPr>
              <w:t xml:space="preserve">处置情况</w:t>
            </w:r>
            <w:r/>
          </w:p>
        </w:tc>
        <w:tc>
          <w:tcPr>
            <w:tcW w:w="4407" w:type="dxa"/>
            <w:vAlign w:val="top"/>
            <w:textDirection w:val="lrTb"/>
            <w:noWrap w:val="false"/>
          </w:tcPr>
          <w:p>
            <w:pPr>
              <w:spacing w:line="295" w:lineRule="auto"/>
              <w:rPr>
                <w:rFonts w:ascii="Arial"/>
                <w:sz w:val="21"/>
              </w:rPr>
            </w:pPr>
            <w:r>
              <w:rPr>
                <w:rFonts w:ascii="Arial"/>
                <w:sz w:val="21"/>
              </w:rPr>
            </w:r>
            <w:r/>
          </w:p>
          <w:p>
            <w:pPr>
              <w:spacing w:line="296" w:lineRule="auto"/>
              <w:rPr>
                <w:rFonts w:ascii="Arial"/>
                <w:sz w:val="21"/>
              </w:rPr>
            </w:pPr>
            <w:r>
              <w:rPr>
                <w:rFonts w:ascii="Arial"/>
                <w:sz w:val="21"/>
              </w:rPr>
            </w:r>
            <w:r/>
          </w:p>
          <w:p>
            <w:pPr>
              <w:pStyle w:val="992"/>
              <w:ind w:left="91" w:right="114"/>
              <w:spacing w:before="68" w:line="246" w:lineRule="auto"/>
            </w:pPr>
            <w:r>
              <w:rPr>
                <w:spacing w:val="-1"/>
              </w:rPr>
              <w:t xml:space="preserve">保证服务范围内符合进站要求的垃圾等及时进</w:t>
            </w:r>
            <w:r>
              <w:rPr>
                <w:spacing w:val="9"/>
              </w:rPr>
              <w:t xml:space="preserve"> </w:t>
            </w:r>
            <w:r>
              <w:rPr>
                <w:spacing w:val="-1"/>
              </w:rPr>
              <w:t xml:space="preserve">站处置；进站垃圾质量管控措施有效落实，无</w:t>
            </w:r>
            <w:r/>
          </w:p>
          <w:p>
            <w:pPr>
              <w:pStyle w:val="992"/>
              <w:ind w:left="91" w:right="88" w:firstLine="110"/>
              <w:spacing w:before="59" w:line="253" w:lineRule="auto"/>
            </w:pPr>
            <w:r>
              <w:rPr>
                <w:spacing w:val="-1"/>
              </w:rPr>
              <w:t xml:space="preserve">合同约定以外的其它物品(垃圾)进站；不得</w:t>
            </w:r>
            <w:r>
              <w:rPr>
                <w:spacing w:val="4"/>
              </w:rPr>
              <w:t xml:space="preserve">  </w:t>
            </w:r>
            <w:r>
              <w:t xml:space="preserve">在进出站的垃圾中掺杂合同约定以外的其它杂</w:t>
            </w:r>
            <w:r>
              <w:rPr>
                <w:spacing w:val="15"/>
              </w:rPr>
              <w:t xml:space="preserve"> </w:t>
            </w:r>
            <w:r>
              <w:rPr>
                <w:spacing w:val="2"/>
              </w:rPr>
              <w:t xml:space="preserve">物。</w:t>
            </w:r>
            <w:r/>
          </w:p>
        </w:tc>
        <w:tc>
          <w:tcPr>
            <w:tcW w:w="6725" w:type="dxa"/>
            <w:vAlign w:val="top"/>
            <w:textDirection w:val="lrTb"/>
            <w:noWrap w:val="false"/>
          </w:tcPr>
          <w:p>
            <w:pPr>
              <w:spacing w:line="300" w:lineRule="auto"/>
              <w:rPr>
                <w:rFonts w:ascii="Arial"/>
                <w:sz w:val="21"/>
              </w:rPr>
            </w:pPr>
            <w:r>
              <w:rPr>
                <w:rFonts w:ascii="Arial"/>
                <w:sz w:val="21"/>
              </w:rPr>
            </w:r>
            <w:r/>
          </w:p>
          <w:p>
            <w:pPr>
              <w:spacing w:line="300" w:lineRule="auto"/>
              <w:rPr>
                <w:rFonts w:ascii="Arial"/>
                <w:sz w:val="21"/>
              </w:rPr>
            </w:pPr>
            <w:r>
              <w:rPr>
                <w:rFonts w:ascii="Arial"/>
                <w:sz w:val="21"/>
              </w:rPr>
            </w:r>
            <w:r/>
          </w:p>
          <w:p>
            <w:pPr>
              <w:pStyle w:val="992"/>
              <w:ind w:left="144" w:right="151" w:firstLine="419"/>
              <w:spacing w:before="69" w:line="264" w:lineRule="auto"/>
            </w:pPr>
            <w:r>
              <w:t xml:space="preserve">1、服务对象反映有符合进站要求的其他垃圾、有机易腐(厨余)垃圾、可回收物(大件)垃圾、有害垃圾未能及时进站且经查实的，发现一次扣5分；2、发现有违规物品(其他垃圾、有机易腐(厨余)垃圾、可回收物(大件)垃圾、有害垃圾以外)进站的，发现一次扣20 分；3、有域外垃圾进站的，按照相关法规对乙方进行处罚。</w:t>
            </w:r>
            <w:r/>
          </w:p>
        </w:tc>
        <w:tc>
          <w:tcPr>
            <w:tcW w:w="1224" w:type="dxa"/>
            <w:vAlign w:val="top"/>
            <w:textDirection w:val="lrTb"/>
            <w:noWrap w:val="false"/>
          </w:tcPr>
          <w:p>
            <w:pPr>
              <w:rPr>
                <w:rFonts w:ascii="Arial"/>
                <w:sz w:val="21"/>
              </w:rPr>
            </w:pPr>
            <w:r>
              <w:rPr>
                <w:rFonts w:ascii="Arial"/>
                <w:sz w:val="21"/>
              </w:rPr>
            </w:r>
            <w:r/>
          </w:p>
        </w:tc>
      </w:tr>
      <w:tr>
        <w:trPr>
          <w:trHeight w:val="2786"/>
        </w:trPr>
        <w:tc>
          <w:tcPr>
            <w:tcW w:w="714" w:type="dxa"/>
            <w:vAlign w:val="top"/>
            <w:textDirection w:val="lrTb"/>
            <w:noWrap w:val="false"/>
          </w:tcPr>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pStyle w:val="992"/>
              <w:ind w:left="297"/>
              <w:spacing w:before="68" w:line="183" w:lineRule="auto"/>
            </w:pPr>
            <w:r>
              <w:rPr>
                <w:b/>
                <w:bCs/>
                <w:spacing w:val="-3"/>
              </w:rPr>
              <w:t xml:space="preserve">4</w:t>
            </w:r>
            <w:r/>
          </w:p>
        </w:tc>
        <w:tc>
          <w:tcPr>
            <w:tcW w:w="1749" w:type="dxa"/>
            <w:vAlign w:val="top"/>
            <w:textDirection w:val="lrTb"/>
            <w:noWrap w:val="false"/>
          </w:tcPr>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pStyle w:val="992"/>
              <w:ind w:left="133"/>
              <w:spacing w:before="68" w:line="219" w:lineRule="auto"/>
            </w:pPr>
            <w:r>
              <w:rPr>
                <w:b/>
                <w:bCs/>
                <w:spacing w:val="-4"/>
              </w:rPr>
              <w:t xml:space="preserve">人员配备及管理</w:t>
            </w:r>
            <w:r/>
          </w:p>
        </w:tc>
        <w:tc>
          <w:tcPr>
            <w:tcW w:w="4407" w:type="dxa"/>
            <w:vAlign w:val="top"/>
            <w:textDirection w:val="lrTb"/>
            <w:noWrap w:val="false"/>
          </w:tcPr>
          <w:p>
            <w:pPr>
              <w:spacing w:line="462" w:lineRule="auto"/>
              <w:rPr>
                <w:rFonts w:ascii="Arial"/>
                <w:sz w:val="21"/>
              </w:rPr>
            </w:pPr>
            <w:r>
              <w:rPr>
                <w:rFonts w:ascii="Arial"/>
                <w:sz w:val="21"/>
              </w:rPr>
            </w:r>
            <w:r/>
          </w:p>
          <w:p>
            <w:pPr>
              <w:pStyle w:val="992"/>
              <w:ind w:left="91"/>
              <w:jc w:val="both"/>
              <w:spacing w:before="68" w:line="262" w:lineRule="auto"/>
            </w:pPr>
            <w:r>
              <w:rPr>
                <w:spacing w:val="5"/>
              </w:rPr>
              <w:t xml:space="preserve">各处置中心人员配备情况须提前报备至甲方；</w:t>
            </w:r>
            <w:r>
              <w:rPr>
                <w:spacing w:val="4"/>
              </w:rPr>
              <w:t xml:space="preserve"> </w:t>
            </w:r>
            <w:r>
              <w:t xml:space="preserve">各处置中心工作人员工资、福利、工服、工具</w:t>
            </w:r>
            <w:r>
              <w:rPr>
                <w:spacing w:val="5"/>
              </w:rPr>
              <w:t xml:space="preserve">  </w:t>
            </w:r>
            <w:r>
              <w:rPr>
                <w:spacing w:val="-1"/>
              </w:rPr>
              <w:t xml:space="preserve">及时发放，不得低于江苏省最低工资标准；处</w:t>
            </w:r>
            <w:r>
              <w:rPr>
                <w:spacing w:val="5"/>
              </w:rPr>
              <w:t xml:space="preserve">  </w:t>
            </w:r>
            <w:r>
              <w:rPr>
                <w:spacing w:val="-1"/>
              </w:rPr>
              <w:t xml:space="preserve">置中心人员管理考核措施有效落实，安全生产</w:t>
            </w:r>
            <w:r>
              <w:rPr>
                <w:spacing w:val="6"/>
              </w:rPr>
              <w:t xml:space="preserve">  </w:t>
            </w:r>
            <w:r>
              <w:rPr>
                <w:spacing w:val="-1"/>
              </w:rPr>
              <w:t xml:space="preserve">教育定时进行，确保安全生产无事故；服务企</w:t>
            </w:r>
            <w:r>
              <w:rPr>
                <w:spacing w:val="4"/>
              </w:rPr>
              <w:t xml:space="preserve">  </w:t>
            </w:r>
            <w:r>
              <w:rPr>
                <w:spacing w:val="2"/>
              </w:rPr>
              <w:t xml:space="preserve">业积极配合监管方监督管理和考核工作。</w:t>
            </w:r>
            <w:r/>
          </w:p>
        </w:tc>
        <w:tc>
          <w:tcPr>
            <w:tcW w:w="6725" w:type="dxa"/>
            <w:vAlign w:val="top"/>
            <w:textDirection w:val="lrTb"/>
            <w:noWrap w:val="false"/>
          </w:tcPr>
          <w:p>
            <w:pPr>
              <w:pStyle w:val="992"/>
              <w:ind w:left="144" w:right="151" w:firstLine="419"/>
              <w:spacing w:before="69" w:line="264" w:lineRule="auto"/>
            </w:pPr>
            <w:r>
              <w:t xml:space="preserve">1、工作人员未经报备的，发现一次扣2分；2、拖欠工作人员工资</w:t>
            </w:r>
            <w:r>
              <w:rPr>
                <w:spacing w:val="9"/>
              </w:rPr>
              <w:t xml:space="preserve"> </w:t>
            </w:r>
            <w:r>
              <w:rPr>
                <w:spacing w:val="2"/>
              </w:rPr>
              <w:t xml:space="preserve">的，发现一次扣3分；3、未按需求发放工作人员工服、工具的，发现</w:t>
            </w:r>
            <w:r>
              <w:rPr>
                <w:spacing w:val="5"/>
              </w:rPr>
              <w:t xml:space="preserve"> </w:t>
            </w:r>
            <w:r>
              <w:t xml:space="preserve">一次扣2分；未建立安全生产制度、有效落实安全生产措施的，</w:t>
            </w:r>
            <w:r>
              <w:rPr>
                <w:spacing w:val="-1"/>
              </w:rPr>
              <w:t xml:space="preserve">发现一</w:t>
            </w:r>
            <w:r>
              <w:t xml:space="preserve"> </w:t>
            </w:r>
            <w:r>
              <w:rPr>
                <w:spacing w:val="2"/>
              </w:rPr>
              <w:t xml:space="preserve">次扣5分；4、安全生产措施落实不力导致安全生产事故的，服务企业</w:t>
            </w:r>
            <w:r>
              <w:rPr>
                <w:spacing w:val="4"/>
              </w:rPr>
              <w:t xml:space="preserve"> </w:t>
            </w:r>
            <w:r>
              <w:t xml:space="preserve">除全部承担安全事故责任外，还需承担甲方损失；5、处置中心工作人</w:t>
            </w:r>
            <w:r>
              <w:rPr>
                <w:spacing w:val="12"/>
              </w:rPr>
              <w:t xml:space="preserve"> </w:t>
            </w:r>
            <w:r>
              <w:rPr>
                <w:spacing w:val="-5"/>
              </w:rPr>
              <w:t xml:space="preserve">员不积极配合监管考核工作的或无故阻挠的，一例扣5分，限期未整改</w:t>
            </w:r>
            <w:r>
              <w:t xml:space="preserve"> </w:t>
            </w:r>
            <w:r>
              <w:rPr>
                <w:spacing w:val="-3"/>
              </w:rPr>
              <w:t xml:space="preserve">到位的， 一例扣10分，连续3次尚不能整改到位的，视为服</w:t>
            </w:r>
            <w:r>
              <w:rPr>
                <w:spacing w:val="-4"/>
              </w:rPr>
              <w:t xml:space="preserve">务企业主</w:t>
            </w:r>
            <w:r/>
          </w:p>
          <w:p>
            <w:pPr>
              <w:pStyle w:val="992"/>
              <w:ind w:left="134" w:right="143" w:firstLine="19"/>
              <w:spacing w:before="51" w:line="243" w:lineRule="auto"/>
            </w:pPr>
            <w:r>
              <w:t xml:space="preserve">动放弃服务合同；6、处置中心工作人员不能及时出示监管方要求的相</w:t>
            </w:r>
            <w:r>
              <w:rPr>
                <w:spacing w:val="10"/>
              </w:rPr>
              <w:t xml:space="preserve"> </w:t>
            </w:r>
            <w:r>
              <w:t xml:space="preserve">关工作台账的一例扣5分。</w:t>
            </w:r>
            <w:r/>
          </w:p>
        </w:tc>
        <w:tc>
          <w:tcPr>
            <w:tcW w:w="1224" w:type="dxa"/>
            <w:vAlign w:val="top"/>
            <w:textDirection w:val="lrTb"/>
            <w:noWrap w:val="false"/>
          </w:tcPr>
          <w:p>
            <w:pPr>
              <w:rPr>
                <w:rFonts w:ascii="Arial"/>
                <w:sz w:val="21"/>
              </w:rPr>
            </w:pPr>
            <w:r>
              <w:rPr>
                <w:rFonts w:ascii="Arial"/>
                <w:sz w:val="21"/>
              </w:rPr>
            </w:r>
            <w:r/>
          </w:p>
        </w:tc>
      </w:tr>
      <w:tr>
        <w:trPr>
          <w:trHeight w:val="1982"/>
        </w:trPr>
        <w:tc>
          <w:tcPr>
            <w:tcW w:w="714" w:type="dxa"/>
            <w:vAlign w:val="top"/>
            <w:textDirection w:val="lrTb"/>
            <w:noWrap w:val="false"/>
          </w:tcPr>
          <w:p>
            <w:pPr>
              <w:spacing w:line="292" w:lineRule="auto"/>
              <w:rPr>
                <w:rFonts w:ascii="Arial"/>
                <w:sz w:val="21"/>
              </w:rPr>
            </w:pPr>
            <w:r>
              <w:rPr>
                <w:rFonts w:ascii="Arial"/>
                <w:sz w:val="21"/>
              </w:rPr>
            </w:r>
            <w:r/>
          </w:p>
          <w:p>
            <w:pPr>
              <w:spacing w:line="293" w:lineRule="auto"/>
              <w:rPr>
                <w:rFonts w:ascii="Arial"/>
                <w:sz w:val="21"/>
              </w:rPr>
            </w:pPr>
            <w:r>
              <w:rPr>
                <w:rFonts w:ascii="Arial"/>
                <w:sz w:val="21"/>
              </w:rPr>
            </w:r>
            <w:r/>
          </w:p>
          <w:p>
            <w:pPr>
              <w:spacing w:line="293" w:lineRule="auto"/>
              <w:rPr>
                <w:rFonts w:ascii="Arial"/>
                <w:sz w:val="21"/>
              </w:rPr>
            </w:pPr>
            <w:r>
              <w:rPr>
                <w:rFonts w:ascii="Arial"/>
                <w:sz w:val="21"/>
              </w:rPr>
            </w:r>
            <w:r/>
          </w:p>
          <w:p>
            <w:pPr>
              <w:pStyle w:val="992"/>
              <w:ind w:left="294"/>
              <w:spacing w:before="68" w:line="182" w:lineRule="auto"/>
            </w:pPr>
            <w:r>
              <w:t xml:space="preserve">5</w:t>
            </w:r>
            <w:r/>
          </w:p>
        </w:tc>
        <w:tc>
          <w:tcPr>
            <w:tcW w:w="1749" w:type="dxa"/>
            <w:vAlign w:val="top"/>
            <w:textDirection w:val="lrTb"/>
            <w:noWrap w:val="false"/>
          </w:tcPr>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4" w:lineRule="auto"/>
              <w:rPr>
                <w:rFonts w:ascii="Arial"/>
                <w:sz w:val="21"/>
              </w:rPr>
            </w:pPr>
            <w:r>
              <w:rPr>
                <w:rFonts w:ascii="Arial"/>
                <w:sz w:val="21"/>
              </w:rPr>
            </w:r>
            <w:r/>
          </w:p>
          <w:p>
            <w:pPr>
              <w:pStyle w:val="992"/>
              <w:ind w:left="443"/>
              <w:spacing w:before="68" w:line="219" w:lineRule="auto"/>
            </w:pPr>
            <w:r>
              <w:rPr>
                <w:b/>
                <w:bCs/>
                <w:spacing w:val="-5"/>
              </w:rPr>
              <w:t xml:space="preserve">管理责任</w:t>
            </w:r>
            <w:r/>
          </w:p>
        </w:tc>
        <w:tc>
          <w:tcPr>
            <w:tcW w:w="4407" w:type="dxa"/>
            <w:vAlign w:val="top"/>
            <w:textDirection w:val="lrTb"/>
            <w:noWrap w:val="false"/>
          </w:tcPr>
          <w:p>
            <w:pPr>
              <w:spacing w:line="342" w:lineRule="auto"/>
              <w:rPr>
                <w:rFonts w:ascii="Arial"/>
                <w:sz w:val="21"/>
              </w:rPr>
            </w:pPr>
            <w:r>
              <w:rPr>
                <w:rFonts w:ascii="Arial"/>
                <w:sz w:val="21"/>
              </w:rPr>
            </w:r>
            <w:r/>
          </w:p>
          <w:p>
            <w:pPr>
              <w:spacing w:line="342" w:lineRule="auto"/>
              <w:rPr>
                <w:rFonts w:ascii="Arial"/>
                <w:sz w:val="21"/>
              </w:rPr>
            </w:pPr>
            <w:r>
              <w:rPr>
                <w:rFonts w:ascii="Arial"/>
                <w:sz w:val="21"/>
              </w:rPr>
            </w:r>
            <w:r/>
          </w:p>
          <w:p>
            <w:pPr>
              <w:pStyle w:val="992"/>
              <w:ind w:left="131" w:right="213" w:firstLine="70"/>
              <w:spacing w:before="68" w:line="242" w:lineRule="auto"/>
            </w:pPr>
            <w:r>
              <w:rPr>
                <w:spacing w:val="-1"/>
              </w:rPr>
              <w:t xml:space="preserve">服务企业(单位)不得将承揽的服务外包、转</w:t>
            </w:r>
            <w:r>
              <w:rPr>
                <w:spacing w:val="10"/>
              </w:rPr>
              <w:t xml:space="preserve"> </w:t>
            </w:r>
            <w:r>
              <w:rPr>
                <w:spacing w:val="-1"/>
              </w:rPr>
              <w:t xml:space="preserve">包、分包。</w:t>
            </w:r>
            <w:r/>
          </w:p>
        </w:tc>
        <w:tc>
          <w:tcPr>
            <w:tcW w:w="6725"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992"/>
              <w:ind w:left="144" w:right="154" w:firstLine="419"/>
              <w:spacing w:before="68" w:line="255" w:lineRule="auto"/>
            </w:pPr>
            <w:r>
              <w:t xml:space="preserve">发现服务企业(单位)将承揽的服务项目即其中之一外包或转包的</w:t>
            </w:r>
            <w:r>
              <w:rPr>
                <w:spacing w:val="7"/>
              </w:rPr>
              <w:t xml:space="preserve">  </w:t>
            </w:r>
            <w:r>
              <w:rPr>
                <w:spacing w:val="4"/>
              </w:rPr>
              <w:t xml:space="preserve">视为服务企业(单位)自动放弃履行合同，甲方</w:t>
            </w:r>
            <w:r>
              <w:rPr>
                <w:spacing w:val="3"/>
              </w:rPr>
              <w:t xml:space="preserve">有权单方面终止合同</w:t>
            </w:r>
            <w:r>
              <w:rPr>
                <w:spacing w:val="-1"/>
              </w:rPr>
              <w:t xml:space="preserve">。</w:t>
            </w:r>
            <w:r/>
          </w:p>
        </w:tc>
        <w:tc>
          <w:tcPr>
            <w:tcW w:w="1224" w:type="dxa"/>
            <w:vAlign w:val="top"/>
            <w:textDirection w:val="lrTb"/>
            <w:noWrap w:val="false"/>
          </w:tcPr>
          <w:p>
            <w:pPr>
              <w:rPr>
                <w:rFonts w:ascii="Arial"/>
                <w:sz w:val="21"/>
              </w:rPr>
            </w:pPr>
            <w:r>
              <w:rPr>
                <w:rFonts w:ascii="Arial"/>
                <w:sz w:val="21"/>
              </w:rPr>
            </w:r>
            <w:r/>
          </w:p>
        </w:tc>
      </w:tr>
    </w:tbl>
    <w:p>
      <w:pPr>
        <w:jc w:val="right"/>
        <w:spacing w:before="220" w:line="562" w:lineRule="exact"/>
        <w:rPr>
          <w:rFonts w:ascii="仿宋" w:hAnsi="仿宋" w:eastAsia="仿宋" w:cs="仿宋"/>
          <w:sz w:val="24"/>
          <w:szCs w:val="24"/>
        </w:rPr>
      </w:pPr>
      <w:r>
        <w:rPr>
          <w:rFonts w:ascii="仿宋" w:hAnsi="仿宋" w:eastAsia="仿宋" w:cs="仿宋"/>
          <w:spacing w:val="4"/>
          <w:position w:val="24"/>
          <w:sz w:val="24"/>
          <w:szCs w:val="24"/>
        </w:rPr>
        <w:t xml:space="preserve">说明：本考评细则总分100分，实行减分制，每月汇总的考评结果即为拨付当月服务费用的依据，服务费用拨付计算公式为：合同约</w:t>
      </w:r>
      <w:r/>
    </w:p>
    <w:p>
      <w:pPr>
        <w:ind w:left="324"/>
        <w:spacing w:line="222" w:lineRule="auto"/>
        <w:rPr>
          <w:rFonts w:ascii="仿宋" w:hAnsi="仿宋" w:eastAsia="仿宋" w:cs="仿宋"/>
          <w:sz w:val="24"/>
          <w:szCs w:val="24"/>
        </w:rPr>
      </w:pPr>
      <w:r>
        <w:rPr>
          <w:rFonts w:ascii="仿宋" w:hAnsi="仿宋" w:eastAsia="仿宋" w:cs="仿宋"/>
          <w:spacing w:val="18"/>
          <w:sz w:val="24"/>
          <w:szCs w:val="24"/>
        </w:rPr>
        <w:t xml:space="preserve">定月服务费用(万元)*(考核得分/10</w:t>
      </w:r>
      <w:r>
        <w:rPr>
          <w:rFonts w:ascii="仿宋" w:hAnsi="仿宋" w:eastAsia="仿宋" w:cs="仿宋"/>
          <w:spacing w:val="17"/>
          <w:sz w:val="24"/>
          <w:szCs w:val="24"/>
        </w:rPr>
        <w:t xml:space="preserve">0)*100%。</w:t>
      </w:r>
      <w:r/>
    </w:p>
    <w:p>
      <w:pPr>
        <w:rPr>
          <w:rFonts w:ascii="Arial" w:hAnsi="Arial" w:eastAsia="Arial" w:cs="Arial"/>
          <w:sz w:val="21"/>
          <w:szCs w:val="21"/>
        </w:rPr>
      </w:pPr>
      <w:r>
        <w:rPr>
          <w:rFonts w:ascii="Arial" w:hAnsi="Arial" w:eastAsia="Arial" w:cs="Arial"/>
          <w:sz w:val="21"/>
          <w:szCs w:val="21"/>
        </w:rPr>
      </w:r>
      <w:r/>
    </w:p>
    <w:p>
      <w:pPr>
        <w:ind w:left="324"/>
        <w:spacing w:line="222" w:lineRule="auto"/>
        <w:rPr>
          <w:rFonts w:hint="eastAsia" w:ascii="仿宋" w:hAnsi="仿宋" w:eastAsia="仿宋" w:cs="仿宋"/>
          <w:spacing w:val="18"/>
          <w:sz w:val="24"/>
          <w:szCs w:val="24"/>
          <w:lang w:val="en-US" w:eastAsia="zh-CN"/>
        </w:rPr>
        <w:sectPr>
          <w:footnotePr/>
          <w:endnotePr/>
          <w:type w:val="nextPage"/>
          <w:pgSz w:w="16840" w:h="11910" w:orient="landscape"/>
          <w:pgMar w:top="400" w:right="1174" w:bottom="0" w:left="745" w:header="0" w:footer="0" w:gutter="0"/>
          <w:cols w:num="1" w:sep="0" w:space="720" w:equalWidth="1"/>
          <w:docGrid w:linePitch="360"/>
        </w:sectPr>
      </w:pPr>
      <w:r>
        <w:rPr>
          <w:rFonts w:hint="eastAsia" w:ascii="仿宋" w:hAnsi="仿宋" w:eastAsia="仿宋" w:cs="仿宋"/>
          <w:spacing w:val="18"/>
          <w:sz w:val="24"/>
          <w:szCs w:val="24"/>
          <w:lang w:val="en-US" w:eastAsia="zh-CN"/>
        </w:rPr>
        <w:t xml:space="preserve">注：以上考核内容根据甲方具体要求进行细化调整。</w:t>
      </w:r>
      <w:r/>
    </w:p>
    <w:p>
      <w:pPr>
        <w:pStyle w:val="755"/>
        <w:rPr>
          <w:rFonts w:hint="eastAsia" w:ascii="宋体" w:hAnsi="宋体" w:eastAsia="宋体" w:cs="宋体"/>
          <w:b w:val="0"/>
          <w:bCs w:val="0"/>
          <w:color w:val="auto"/>
          <w:sz w:val="24"/>
          <w:szCs w:val="24"/>
          <w:highlight w:val="none"/>
        </w:rPr>
      </w:pPr>
      <w:r>
        <w:rPr>
          <w:rFonts w:hint="eastAsia" w:ascii="宋体" w:hAnsi="宋体" w:eastAsia="宋体" w:cs="宋体"/>
          <w:color w:val="auto"/>
          <w:sz w:val="28"/>
          <w:szCs w:val="28"/>
          <w:highlight w:val="none"/>
        </w:rPr>
        <w:t xml:space="preserve">第六章  采购需求</w:t>
      </w:r>
      <w:bookmarkEnd w:id="15"/>
      <w:r/>
      <w:bookmarkEnd w:id="16"/>
      <w:r/>
      <w:bookmarkEnd w:id="18"/>
      <w:r/>
      <w:r/>
    </w:p>
    <w:p>
      <w:pPr>
        <w:pStyle w:val="985"/>
        <w:numPr>
          <w:ilvl w:val="0"/>
          <w:numId w:val="0"/>
        </w:numPr>
        <w:ind w:firstLine="60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一、项目概况</w:t>
      </w:r>
      <w:r/>
    </w:p>
    <w:p>
      <w:pPr>
        <w:pStyle w:val="810"/>
        <w:ind w:firstLine="600"/>
        <w:jc w:val="left"/>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农村镇级生活垃圾分类处置中心市场化运维</w:t>
      </w:r>
      <w:r/>
    </w:p>
    <w:p>
      <w:pPr>
        <w:pStyle w:val="810"/>
        <w:ind w:firstLine="60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、项目预算：本项目不接受超过</w:t>
      </w:r>
      <w:r>
        <w:rPr>
          <w:rFonts w:hint="eastAsia" w:ascii="宋体" w:hAnsi="宋体" w:eastAsia="宋体" w:cs="宋体"/>
          <w:bCs/>
          <w:color w:val="000000"/>
          <w:sz w:val="24"/>
          <w:szCs w:val="24"/>
          <w:highlight w:val="none"/>
          <w:lang w:val="en-US" w:eastAsia="zh-CN"/>
        </w:rPr>
        <w:t xml:space="preserve">291.18</w:t>
      </w:r>
      <w:r>
        <w:rPr>
          <w:rFonts w:hint="eastAsia" w:ascii="宋体" w:hAnsi="宋体" w:eastAsia="宋体" w:cs="宋体"/>
          <w:bCs/>
          <w:color w:val="000000"/>
          <w:sz w:val="24"/>
          <w:szCs w:val="24"/>
          <w:highlight w:val="none"/>
        </w:rPr>
        <w:t xml:space="preserve">万元人民币（采购项目预算金额）的投标报价。报价包括全部费用，采购人不再支付报价以外的任何费用。</w:t>
      </w:r>
      <w:r/>
    </w:p>
    <w:p>
      <w:pPr>
        <w:pStyle w:val="810"/>
        <w:ind w:firstLine="60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3、项目服务期限：三年。</w:t>
      </w:r>
      <w:r/>
    </w:p>
    <w:p>
      <w:pPr>
        <w:ind w:firstLine="484"/>
        <w:jc w:val="left"/>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四、服务要求：</w:t>
      </w:r>
      <w:r>
        <w:rPr>
          <w:rFonts w:hint="eastAsia" w:ascii="宋体" w:hAnsi="宋体" w:eastAsia="宋体" w:cs="宋体"/>
          <w:color w:val="000000"/>
          <w:sz w:val="24"/>
          <w:szCs w:val="24"/>
          <w:lang w:eastAsia="zh-CN"/>
        </w:rPr>
        <w:br/>
      </w:r>
      <w:r>
        <w:rPr>
          <w:rFonts w:hint="eastAsia" w:ascii="宋体" w:hAnsi="宋体" w:eastAsia="宋体" w:cs="宋体"/>
          <w:color w:val="000000"/>
          <w:sz w:val="24"/>
          <w:szCs w:val="24"/>
          <w:lang w:eastAsia="zh-CN"/>
        </w:rPr>
        <w:t xml:space="preserve">1、（八义集镇、新河镇、赵墩镇、车辐山镇、宿羊山镇、邢楼镇）6座农村镇级生活垃圾分类处置中心建设工作，目的在于满足第二批分类试点镇镇域生活垃圾就地分类处置需求。以上6座处置中心建成后，因镇级财政困难且缺少管理力量，导致新建处置中心大部分功能处于闲置状态，基础设施和机器设备日常维护管理也严重缺失，存在建设成果流失隐患，同时，也因处置中心未全面启用，导致农村生活垃圾分类工作不能开展，导致市对县考核压力较大。鉴于以上原因，特拟订第二批农村镇级生活垃圾分类处置中心市场化运维工作方案。</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一、市场化运维范围</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2022年度新建的八义集镇、新河镇、赵墩镇、车辐山镇、宿羊山镇、邢楼镇共6座镇级生活垃圾分类处置中心。</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二、市场化运维时间</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2024年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月1日-2027年</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月3</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日，三年期（拟订）。</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三、市场化运维方式</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由局属采购部门采取</w:t>
      </w:r>
      <w:r>
        <w:rPr>
          <w:rFonts w:hint="eastAsia" w:ascii="宋体" w:hAnsi="宋体" w:eastAsia="宋体" w:cs="宋体"/>
          <w:color w:val="000000"/>
          <w:sz w:val="24"/>
          <w:szCs w:val="24"/>
          <w:lang w:val="en-US" w:eastAsia="zh-CN"/>
        </w:rPr>
        <w:t xml:space="preserve">公开招标的方式</w:t>
      </w:r>
      <w:r>
        <w:rPr>
          <w:rFonts w:hint="eastAsia" w:ascii="宋体" w:hAnsi="宋体" w:eastAsia="宋体" w:cs="宋体"/>
          <w:color w:val="000000"/>
          <w:sz w:val="24"/>
          <w:szCs w:val="24"/>
          <w:lang w:eastAsia="zh-CN"/>
        </w:rPr>
        <w:t xml:space="preserve">确定一家运维方实施以上6座镇级分类处置中心3年期市场化运维服务。</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2、市场化运维服务期间由市城管局和驻地镇协同管理运维方、监管运维质量。</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3、市城管局制订监管考评办法和考评细则，开展市场化运维的日常监管考评，每季度按照考评结果拨付市场化运维服务经费。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四、市场化运维服务内容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市场化运维服务单位负责上述6座处置中心的一体化运营管理、负责处置中心所在镇全域各类生活垃圾的终端处置工作，各处置中心内所有机器设备和基础设施的运行、管护都由运维方负责，镇级财政只承担水电费用及单项修理维护壹仟元以上的费用支出。具体如下：</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负责进站垃圾的压缩和装卸、可回收物和大件垃圾的收集分拣处置、有机易腐（含厨余）垃圾的处置、有害垃圾的暂存转运、各类进站垃圾（含可回收物、大件垃圾）的质量管控，确保无其它不符合生活垃圾定义的物品（含工业垃圾、建筑垃圾泥土、危废等）进站。负责进站环卫车辆与停放车辆秩序管理。</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2、负责处置中心站内及周边环境卫生管理工作，处置中心内水电、除臭、消杀等管理，负责各处置中心站内排污管网的畅通。按监管方要求，做好临时性阶段性任务按成工作。</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负责各处置中心内设备和基础设施的正常运行、养护、维修、故障排除、</w:t>
      </w:r>
      <w:r>
        <w:rPr>
          <w:rFonts w:hint="eastAsia" w:ascii="宋体" w:hAnsi="宋体" w:eastAsia="宋体" w:cs="宋体"/>
          <w:color w:val="000000"/>
          <w:sz w:val="24"/>
          <w:szCs w:val="24"/>
          <w:lang w:val="en-US" w:eastAsia="zh-CN"/>
        </w:rPr>
        <w:t xml:space="preserve">生活垃圾</w:t>
      </w:r>
      <w:r>
        <w:rPr>
          <w:rFonts w:hint="eastAsia" w:ascii="宋体" w:hAnsi="宋体" w:eastAsia="宋体" w:cs="宋体"/>
          <w:color w:val="000000"/>
          <w:sz w:val="24"/>
          <w:szCs w:val="24"/>
          <w:lang w:eastAsia="zh-CN"/>
        </w:rPr>
        <w:t xml:space="preserve">及污水</w:t>
      </w:r>
      <w:r>
        <w:rPr>
          <w:rFonts w:hint="eastAsia" w:ascii="宋体" w:hAnsi="宋体" w:eastAsia="宋体" w:cs="宋体"/>
          <w:color w:val="000000"/>
          <w:sz w:val="24"/>
          <w:szCs w:val="24"/>
          <w:lang w:val="en-US" w:eastAsia="zh-CN"/>
        </w:rPr>
        <w:t xml:space="preserve">清运</w:t>
      </w:r>
      <w:r>
        <w:rPr>
          <w:rFonts w:hint="eastAsia" w:ascii="宋体" w:hAnsi="宋体" w:eastAsia="宋体" w:cs="宋体"/>
          <w:color w:val="000000"/>
          <w:sz w:val="24"/>
          <w:szCs w:val="24"/>
          <w:lang w:eastAsia="zh-CN"/>
        </w:rPr>
        <w:t xml:space="preserve">等，承担单项维修费用1000元以内的支出。</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负责与服务范围内的其他相关联业务单位的业务对接，确保属地乡镇各类生活垃圾(含可回收物及大件垃圾)正常进入，其他垃圾日产日清，有机易腐垃圾和可回收物(及大件垃圾)及时处置，有害垃圾规范存放，并建立以上各类垃圾进出站“三联单制度”。</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5、负责各处置中心所有人员的配备和管理、工资福利发放、服装配备、安全管理措施落实等方面的工作，建立企业内部考核管理机制，负责安全生产责任。</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6、负责各类进站垃圾(含可回收物及大件垃圾)电子和纸质台账的建立和归集，并及时将各类进站垃圾(含可回收物及大件垃圾)信息数据录入甲方设立的邳州市生活垃圾分类和治理综合管理信息平台。</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7、负责建立辖区内可回收物和有害垃圾有偿巡回回收和电话预约回收制度。</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8、负责各处置中心办公用品包括电脑、桌椅、文件柜等的配备和使用管理。</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9、负责各处置中心内所有站点管理制度和操作规程的制订和上墙。</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10、运维方合同结束后保持所有设施设备完好并移交甲方。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五、市场化运维经费概算及经费出处</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1、概算本期市场化运维服务费用约97.06万元/年。</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2、本期市场化运维费用从城乡环卫保洁经费中支出。</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六、其它</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日常监管考评办法和考评细则</w:t>
      </w:r>
      <w:r>
        <w:rPr>
          <w:rFonts w:hint="eastAsia" w:ascii="宋体" w:hAnsi="宋体" w:eastAsia="宋体" w:cs="宋体"/>
          <w:color w:val="000000"/>
          <w:sz w:val="24"/>
          <w:szCs w:val="24"/>
          <w:lang w:val="en-US" w:eastAsia="zh-CN"/>
        </w:rPr>
        <w:t xml:space="preserve">由</w:t>
      </w:r>
      <w:r>
        <w:rPr>
          <w:rFonts w:hint="eastAsia" w:ascii="宋体" w:hAnsi="宋体" w:eastAsia="宋体" w:cs="宋体"/>
          <w:sz w:val="24"/>
          <w:szCs w:val="32"/>
          <w:lang w:eastAsia="zh-CN"/>
        </w:rPr>
        <w:t xml:space="preserve">邳州市城市管理局</w:t>
      </w:r>
      <w:r>
        <w:rPr>
          <w:rFonts w:hint="eastAsia" w:ascii="宋体" w:hAnsi="宋体" w:eastAsia="宋体" w:cs="宋体"/>
          <w:color w:val="000000"/>
          <w:sz w:val="24"/>
          <w:szCs w:val="24"/>
          <w:lang w:eastAsia="zh-CN"/>
        </w:rPr>
        <w:t xml:space="preserve">制定。</w:t>
      </w:r>
      <w:r/>
    </w:p>
    <w:p>
      <w:pPr>
        <w:ind w:firstLine="363"/>
        <w:keepLines w:val="0"/>
        <w:keepNext w:val="0"/>
        <w:pageBreakBefore w:val="0"/>
        <w:spacing w:line="360" w:lineRule="auto"/>
        <w:widowControl w:val="off"/>
        <w:tabs>
          <w:tab w:val="left" w:pos="0" w:leader="none"/>
        </w:tabs>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r>
      <w:r/>
    </w:p>
    <w:p>
      <w:pPr>
        <w:ind w:firstLine="363"/>
        <w:keepLines w:val="0"/>
        <w:keepNext w:val="0"/>
        <w:pageBreakBefore w:val="0"/>
        <w:spacing w:line="360" w:lineRule="auto"/>
        <w:widowControl w:val="off"/>
        <w:tabs>
          <w:tab w:val="left" w:pos="0" w:leader="none"/>
        </w:tabs>
        <w:rPr>
          <w:rFonts w:hint="eastAsia" w:ascii="宋体" w:hAnsi="宋体" w:eastAsia="宋体" w:cs="宋体"/>
          <w:color w:val="000000"/>
          <w:sz w:val="18"/>
          <w:szCs w:val="18"/>
          <w:lang w:eastAsia="zh-CN"/>
        </w:rPr>
        <w:sectPr>
          <w:headerReference w:type="default" r:id="rId13"/>
          <w:footerReference w:type="default" r:id="rId18"/>
          <w:footnotePr/>
          <w:endnotePr/>
          <w:type w:val="nextPage"/>
          <w:pgSz w:w="11880" w:h="17000" w:orient="portrait"/>
          <w:pgMar w:top="838" w:right="1474" w:bottom="1984" w:left="1587" w:header="0" w:footer="892" w:gutter="0"/>
          <w:cols w:num="1" w:sep="0" w:space="720" w:equalWidth="1"/>
          <w:docGrid w:linePitch="360"/>
        </w:sectPr>
      </w:pPr>
      <w:r>
        <w:rPr>
          <w:rFonts w:hint="eastAsia" w:ascii="宋体" w:hAnsi="宋体" w:eastAsia="宋体" w:cs="宋体"/>
          <w:color w:val="000000"/>
          <w:sz w:val="18"/>
          <w:szCs w:val="18"/>
          <w:lang w:eastAsia="zh-CN"/>
        </w:rPr>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最低人数要求：人员配备要求不低于15人，其中（</w:t>
      </w:r>
      <w:r>
        <w:rPr>
          <w:rFonts w:hint="eastAsia" w:ascii="宋体" w:hAnsi="宋体" w:eastAsia="宋体" w:cs="宋体"/>
          <w:color w:val="000000"/>
          <w:sz w:val="24"/>
          <w:szCs w:val="24"/>
          <w:lang w:eastAsia="zh-CN"/>
        </w:rPr>
        <w:t xml:space="preserve">处置中心名单）：八义集镇处置中心(3人)、新河镇处置中心(2人)、赵墩镇处置中心(2人)、宿羊山镇处置中心(3人)、车辐山镇处置中心(3人)、邢楼镇处置中心(2人)共计6座分类处置中心。</w:t>
      </w:r>
      <w:r/>
    </w:p>
    <w:p>
      <w:pPr>
        <w:ind w:firstLine="363"/>
        <w:tabs>
          <w:tab w:val="left" w:pos="0" w:leader="none"/>
        </w:tabs>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r>
      <w:r/>
    </w:p>
    <w:p>
      <w:pPr>
        <w:ind w:firstLine="484"/>
        <w:tabs>
          <w:tab w:val="left" w:pos="0"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775"/>
        <w:ind w:left="1400" w:right="1400" w:firstLine="482"/>
        <w:jc w:val="both"/>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jc w:val="both"/>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七、其他要求：见</w:t>
      </w:r>
      <w:r>
        <w:rPr>
          <w:rFonts w:hint="eastAsia" w:ascii="宋体" w:hAnsi="宋体" w:eastAsia="宋体" w:cs="宋体"/>
          <w:b/>
          <w:sz w:val="24"/>
          <w:szCs w:val="24"/>
          <w:lang w:val="en-US" w:eastAsia="zh-CN"/>
        </w:rPr>
        <w:t xml:space="preserve">招标</w:t>
      </w:r>
      <w:r>
        <w:rPr>
          <w:rFonts w:hint="eastAsia" w:ascii="宋体" w:hAnsi="宋体" w:eastAsia="宋体" w:cs="宋体"/>
          <w:b/>
          <w:sz w:val="24"/>
          <w:szCs w:val="24"/>
        </w:rPr>
        <w:t xml:space="preserve">文件第五章《拟签订的合同文本》和《合同附件》</w:t>
      </w:r>
      <w:r/>
    </w:p>
    <w:p>
      <w:pPr>
        <w:pStyle w:val="770"/>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8"/>
          <w:szCs w:val="28"/>
          <w:highlight w:val="none"/>
        </w:rPr>
      </w:pPr>
      <w:r/>
      <w:bookmarkStart w:id="19" w:name="_Toc22112"/>
      <w:r>
        <w:rPr>
          <w:rFonts w:hint="eastAsia" w:ascii="宋体" w:hAnsi="宋体" w:eastAsia="宋体" w:cs="宋体"/>
          <w:color w:val="auto"/>
          <w:sz w:val="28"/>
          <w:szCs w:val="28"/>
          <w:highlight w:val="none"/>
        </w:rPr>
        <w:br w:type="page" w:clear="all"/>
      </w:r>
      <w:r/>
    </w:p>
    <w:p>
      <w:pPr>
        <w:pStyle w:val="755"/>
        <w:ind w:firstLine="1968"/>
        <w:jc w:val="both"/>
        <w:rPr>
          <w:rFonts w:hint="eastAsia" w:ascii="宋体" w:hAnsi="宋体" w:eastAsia="宋体" w:cs="宋体"/>
          <w:color w:val="auto"/>
          <w:sz w:val="28"/>
          <w:szCs w:val="28"/>
          <w:highlight w:val="none"/>
        </w:rPr>
      </w:pPr>
      <w:r/>
      <w:bookmarkStart w:id="20" w:name="_Toc6685"/>
      <w:r>
        <w:rPr>
          <w:rFonts w:hint="eastAsia" w:ascii="宋体" w:hAnsi="宋体" w:eastAsia="宋体" w:cs="宋体"/>
          <w:color w:val="auto"/>
          <w:sz w:val="28"/>
          <w:szCs w:val="28"/>
          <w:highlight w:val="none"/>
        </w:rPr>
        <w:t xml:space="preserve">第七章  投标文件相关格式</w:t>
      </w:r>
      <w:bookmarkEnd w:id="19"/>
      <w:r/>
      <w:bookmarkEnd w:id="2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after="200" w:line="250" w:lineRule="atLeast"/>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szCs w:val="36"/>
          <w:highlight w:val="none"/>
        </w:rPr>
        <w:t xml:space="preserve">目   录</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1、投标函格式</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2、开标一览表格式</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3、分项价格表格式</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4、偏离表格式</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5、法定代表人授权书格式</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6、中小企业声明函格式</w:t>
      </w:r>
      <w:r/>
    </w:p>
    <w:p>
      <w:pPr>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7、残疾人福利性单位声明函格式</w:t>
      </w:r>
      <w:r/>
    </w:p>
    <w:p>
      <w:pPr>
        <w:ind w:left="420" w:hanging="420"/>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8、投标人参加政府采购活动前3年内在经营活动中没有重大违法记录的书面声明格式</w:t>
      </w:r>
      <w:r/>
    </w:p>
    <w:p>
      <w:pPr>
        <w:ind w:left="420" w:hanging="420"/>
        <w:spacing w:after="20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9、具备履行合同所必需的设备和专业技术能力的书面声明</w:t>
      </w:r>
      <w:r/>
    </w:p>
    <w:p>
      <w:pPr>
        <w:spacing w:after="200" w:line="85"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10、预付款保函支付条款格式</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3092"/>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一、投标函</w:t>
      </w:r>
      <w:r/>
    </w:p>
    <w:p>
      <w:pPr>
        <w:pStyle w:val="775"/>
        <w:ind w:left="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江苏雪岩招标有限公司</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农村镇级生活垃圾分类处置中心市场化运维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lang w:eastAsia="zh-CN"/>
        </w:rPr>
        <w:t xml:space="preserve">JSZC-320382-JSXY-G2024-0001</w:t>
      </w:r>
      <w:r>
        <w:rPr>
          <w:rFonts w:hint="eastAsia" w:ascii="宋体" w:hAnsi="宋体" w:eastAsia="宋体" w:cs="宋体"/>
          <w:color w:val="auto"/>
          <w:sz w:val="24"/>
          <w:highlight w:val="none"/>
        </w:rPr>
        <w:t xml:space="preserve">号]招标文件，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投标人唯一投标报价见《开标一览表》。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投标人将按招标文件的规定履行合同责任和义务。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投标有效期为开标之日后90天。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投标人同意提供按照贵方可能要求的与其投标有关的一切数据或资料，完全理解贵方不一定接受最低价的投标或收到的任何投标。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投标人同意在授予合同后，按照有关规定支付公证费(如有)。</w:t>
      </w:r>
      <w:r/>
    </w:p>
    <w:p>
      <w:pPr>
        <w:ind w:right="29"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w:t>
      </w:r>
      <w:r>
        <w:rPr>
          <w:rFonts w:hint="eastAsia" w:ascii="宋体" w:hAnsi="宋体" w:eastAsia="宋体" w:cs="宋体"/>
          <w:color w:val="auto"/>
          <w:sz w:val="24"/>
          <w:highlight w:val="none"/>
          <w:lang w:eastAsia="zh-CN"/>
        </w:rPr>
        <w:t xml:space="preserve">江苏雪岩招标有限公司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江苏雪岩招标有限公司</w:t>
      </w:r>
      <w:r>
        <w:rPr>
          <w:rFonts w:hint="eastAsia" w:ascii="宋体" w:hAnsi="宋体" w:eastAsia="宋体" w:cs="宋体"/>
          <w:color w:val="auto"/>
          <w:sz w:val="24"/>
          <w:highlight w:val="none"/>
        </w:rPr>
        <w:t xml:space="preserve">确定。</w:t>
      </w:r>
      <w:r/>
    </w:p>
    <w:p>
      <w:pPr>
        <w:ind w:right="29"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与本投标有关的一切正式往来信函请寄：</w:t>
      </w:r>
      <w:r/>
    </w:p>
    <w:p>
      <w:pPr>
        <w:ind w:firstLine="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电话：           传真： </w:t>
      </w:r>
      <w:r/>
    </w:p>
    <w:p>
      <w:pPr>
        <w:ind w:firstLine="21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（签字或签章）  </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二、开标一览表</w:t>
      </w:r>
      <w:r/>
    </w:p>
    <w:p>
      <w:pPr>
        <w:ind w:firstLine="480"/>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农村镇级生活垃圾分类处置中心市场化运维</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JSZC-320382-JSXY-G2024-0001</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Pr>
      <w:r>
        <w:rPr>
          <w:rFonts w:hint="eastAsia" w:ascii="宋体" w:hAnsi="宋体" w:eastAsia="宋体" w:cs="宋体"/>
          <w:b/>
          <w:bCs/>
          <w:color w:val="auto"/>
          <w:sz w:val="30"/>
          <w:szCs w:val="30"/>
          <w:highlight w:val="none"/>
        </w:rPr>
        <w:t xml:space="preserve">详见苏采云系统。</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8"/>
          <w:szCs w:val="28"/>
          <w:highlight w:val="none"/>
        </w:rPr>
        <w:t xml:space="preserve">三、分项价格表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农村镇级生活垃圾分类处置中心市场化运维</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JSZC-320382-JSXY-G2024-0001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格式自拟（分项报价内容包含了项目涉及的一切税、费、投标人利润等全部费用。采购人不再支付报价以外的任何费用。）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1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2.享受政府采购支持政策的残疾人福利性单位应满足的条件以《关于促进残疾人就业政府采购政策的通知》（财库〔2017〕141号）的规定为准。</w:t>
      </w:r>
      <w:r/>
    </w:p>
    <w:p>
      <w:pPr>
        <w:ind w:firstLine="53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3．投标人为“微型”或“小型”或“残疾人福利性单位”的，须算出“小型和微型和监狱企业和残疾人福利性单位” 总价合计”。</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注：1．如果不提供详细分项报价将视为没有实质性响应招标文件。</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投标人对以上数据的真实性负责。</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采购人或采购代理机构有权将以上内容进行公示。</w:t>
      </w:r>
      <w:r/>
    </w:p>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四、偏离表</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农村镇级生活垃圾分类处置中心市场化运维</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JSZC-320382-JSXY-G2024-0001</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765"/>
        <w:tblW w:w="9000"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2"/>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8"/>
          <w:highlight w:val="none"/>
        </w:rPr>
        <w:t xml:space="preserve">五、法定代表人授权书</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职务：</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性别：男（女）  </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  岁                 民族：   族</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eastAsia="宋体" w:cs="宋体"/>
          <w:color w:val="auto"/>
          <w:sz w:val="24"/>
          <w:highlight w:val="none"/>
          <w:lang w:eastAsia="zh-CN"/>
        </w:rPr>
        <w:t xml:space="preserve">农村镇级生活垃圾分类处置中心市场化运维</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lang w:eastAsia="zh-CN"/>
        </w:rPr>
        <w:t xml:space="preserve">JSZC-320382-JSXY-G2024-0001</w:t>
      </w:r>
      <w:r>
        <w:rPr>
          <w:rFonts w:hint="eastAsia" w:ascii="宋体" w:hAnsi="宋体" w:eastAsia="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特此授权委托。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               受托人（签字或签章）：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 </w:t>
      </w:r>
      <w:r/>
    </w:p>
    <w:p>
      <w:pPr>
        <w:ind w:right="600"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ind w:firstLine="44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2"/>
        <w:jc w:val="center"/>
        <w:spacing w:before="100" w:beforeAutospacing="1" w:after="100" w:afterAutospacing="1"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六、中小企业声明函</w:t>
      </w:r>
      <w:r/>
    </w:p>
    <w:p>
      <w:pPr>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（联合体）郑重声明，根据《政府采购促进中小企业发展管理办法》（财库 (2020)46号）的规定，本公司（联合体）参加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采购活动，提供的服务全部由符合政策要求的中小企业承接。相关企业（含联合体中的中小企业、签订分包意向协议的中小企业）的具体情况如下：</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1.（标的名称）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（采购文件中明确的所属行业）行业</w:t>
      </w:r>
      <w:r>
        <w:rPr>
          <w:rFonts w:hint="eastAsia" w:ascii="宋体" w:hAnsi="宋体" w:eastAsia="宋体" w:cs="宋体"/>
          <w:color w:val="auto"/>
          <w:sz w:val="24"/>
          <w:highlight w:val="none"/>
        </w:rPr>
        <w:t xml:space="preserve">；制造商为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 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2.（标的名称）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（采购文件中明确的所属行业）行业</w:t>
      </w:r>
      <w:r>
        <w:rPr>
          <w:rFonts w:hint="eastAsia" w:ascii="宋体" w:hAnsi="宋体" w:eastAsia="宋体" w:cs="宋体"/>
          <w:color w:val="auto"/>
          <w:sz w:val="24"/>
          <w:highlight w:val="none"/>
        </w:rPr>
        <w:t xml:space="preserve">；制造商为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 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7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注：本项目属于其他未列明行业</w:t>
      </w:r>
      <w:r>
        <w:rPr>
          <w:rFonts w:hint="eastAsia" w:ascii="宋体" w:hAnsi="宋体" w:eastAsia="宋体" w:cs="宋体"/>
          <w:color w:val="auto"/>
          <w:sz w:val="24"/>
          <w:highlight w:val="none"/>
        </w:rPr>
        <w:t xml:space="preserve">。</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企业名称（供应商名称）（电子签章）：</w:t>
      </w:r>
      <w:r/>
    </w:p>
    <w:p>
      <w:pPr>
        <w:ind w:firstLine="480"/>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2、《中小企业声明函》查询渠道参考工业和信息化部发布的中小企业规模自测小程序。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4"/>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697480" cy="5394960"/>
                <wp:effectExtent l="0" t="0" r="7620" b="15240"/>
                <wp:docPr id="1"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0"/>
                        <a:stretch/>
                      </pic:blipFill>
                      <pic:spPr bwMode="auto">
                        <a:xfrm>
                          <a:off x="0" y="0"/>
                          <a:ext cx="2697480" cy="539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2.4pt;height:424.8pt;mso-wrap-distance-left:0.0pt;mso-wrap-distance-top:0.0pt;mso-wrap-distance-right:0.0pt;mso-wrap-distance-bottom:0.0pt;" stroked="f">
                <v:path textboxrect="0,0,0,0"/>
                <v:imagedata r:id="rId20" o:title=""/>
              </v:shape>
            </w:pict>
          </mc:Fallback>
        </mc:AlternateContent>
      </w:r>
      <w:r/>
    </w:p>
    <w:p>
      <w:pPr>
        <w:ind w:firstLine="480"/>
        <w:jc w:val="center"/>
        <w:spacing w:line="480" w:lineRule="exact"/>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七、残疾人福利性单位声明函格式</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z w:val="24"/>
          <w:highlight w:val="none"/>
          <w:lang w:eastAsia="zh-CN"/>
        </w:rPr>
        <w:t xml:space="preserve">农村镇级生活垃圾分类处置中心市场化运维</w:t>
      </w:r>
      <w:r>
        <w:rPr>
          <w:rFonts w:hint="eastAsia" w:ascii="宋体" w:hAnsi="宋体" w:eastAsia="宋体" w:cs="宋体"/>
          <w:color w:val="auto"/>
          <w:spacing w:val="6"/>
          <w:sz w:val="24"/>
          <w:highlight w:val="none"/>
        </w:rPr>
        <w:t xml:space="preserve"> </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项目编号：</w:t>
      </w:r>
      <w:r>
        <w:rPr>
          <w:rFonts w:hint="eastAsia" w:ascii="宋体" w:hAnsi="宋体" w:eastAsia="宋体" w:cs="宋体"/>
          <w:color w:val="auto"/>
          <w:sz w:val="24"/>
          <w:highlight w:val="none"/>
          <w:lang w:eastAsia="zh-CN"/>
        </w:rPr>
        <w:t xml:space="preserve">JSZC-320382-JSXY-G2024-0001</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20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农村镇级生活垃圾分类处置中心市场化运维</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JSZC-320382-JSXY-G2024-0001</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94"/>
        <w:ind w:firstLine="480"/>
        <w:spacing w:before="0" w:beforeAutospacing="0" w:after="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九、具备履行合同所必需的设备和专业技术能力的书面声明</w:t>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（附证明材料原件的扫描件）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投标人郑重声明：投标人具备履行合同（项目名称：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所必需的设备和专业技术能力，具体为：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（证明材料原件的扫描件附后）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5"/>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十、预付款保函支付条款模板</w:t>
      </w:r>
      <w:r/>
    </w:p>
    <w:p>
      <w:pPr>
        <w:ind w:firstLine="424"/>
        <w:spacing w:line="480" w:lineRule="exact"/>
        <w:rPr>
          <w:rFonts w:hint="eastAsia" w:ascii="宋体" w:hAnsi="宋体" w:eastAsia="宋体" w:cs="宋体"/>
          <w:b/>
          <w:color w:val="auto"/>
          <w:highlight w:val="none"/>
        </w:rPr>
        <w:outlineLvl w:val="9"/>
      </w:pPr>
      <w:r/>
      <w:bookmarkStart w:id="21" w:name="_Toc12973"/>
      <w:r/>
      <w:bookmarkStart w:id="22" w:name="_Toc7098"/>
      <w:r/>
      <w:bookmarkStart w:id="23" w:name="_Toc8265"/>
      <w:r>
        <w:rPr>
          <w:rFonts w:hint="eastAsia" w:ascii="宋体" w:hAnsi="宋体" w:eastAsia="宋体" w:cs="宋体"/>
          <w:b/>
          <w:color w:val="auto"/>
          <w:highlight w:val="none"/>
        </w:rPr>
        <w:t xml:space="preserve">符合条件一：提交预付款保函的</w:t>
      </w:r>
      <w:bookmarkEnd w:id="21"/>
      <w:r/>
      <w:bookmarkEnd w:id="22"/>
      <w:r/>
      <w:bookmarkEnd w:id="23"/>
      <w:r/>
      <w:r/>
    </w:p>
    <w:p>
      <w:pPr>
        <w:ind w:firstLine="422"/>
        <w:spacing w:line="48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        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140" w:firstLine="422"/>
        <w:spacing w:line="48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乙方需提交的支付文件：乙方出具的全额正式发票。</w:t>
      </w:r>
      <w:r/>
    </w:p>
    <w:p>
      <w:pPr>
        <w:ind w:left="140" w:firstLine="422"/>
        <w:spacing w:line="48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4"/>
        <w:spacing w:line="480" w:lineRule="exact"/>
        <w:rPr>
          <w:rFonts w:hint="eastAsia" w:ascii="宋体" w:hAnsi="宋体" w:eastAsia="宋体" w:cs="宋体"/>
          <w:b/>
          <w:color w:val="auto"/>
          <w:highlight w:val="none"/>
        </w:rPr>
        <w:outlineLvl w:val="9"/>
      </w:pPr>
      <w:r/>
      <w:bookmarkStart w:id="24" w:name="_Toc28930"/>
      <w:r/>
      <w:bookmarkStart w:id="25" w:name="_Toc13123"/>
      <w:r/>
      <w:bookmarkStart w:id="26" w:name="_Toc25772"/>
      <w:r>
        <w:rPr>
          <w:rFonts w:hint="eastAsia" w:ascii="宋体" w:hAnsi="宋体" w:eastAsia="宋体" w:cs="宋体"/>
          <w:b/>
          <w:color w:val="auto"/>
          <w:highlight w:val="none"/>
        </w:rPr>
        <w:t xml:space="preserve">……</w:t>
      </w:r>
      <w:bookmarkEnd w:id="24"/>
      <w:r/>
      <w:bookmarkEnd w:id="25"/>
      <w:r/>
      <w:bookmarkEnd w:id="26"/>
      <w:r/>
      <w:r/>
    </w:p>
    <w:p>
      <w:pPr>
        <w:ind w:firstLine="424"/>
        <w:spacing w:line="480" w:lineRule="exact"/>
        <w:rPr>
          <w:rFonts w:hint="eastAsia" w:ascii="宋体" w:hAnsi="宋体" w:eastAsia="宋体" w:cs="宋体"/>
          <w:b/>
          <w:color w:val="auto"/>
          <w:highlight w:val="none"/>
        </w:rPr>
        <w:outlineLvl w:val="9"/>
      </w:pPr>
      <w:r/>
      <w:bookmarkStart w:id="27" w:name="_Toc27445"/>
      <w:r/>
      <w:bookmarkStart w:id="28" w:name="_Toc10601"/>
      <w:r/>
      <w:bookmarkStart w:id="29" w:name="_Toc2332"/>
      <w:r>
        <w:rPr>
          <w:rFonts w:hint="eastAsia" w:ascii="宋体" w:hAnsi="宋体" w:eastAsia="宋体" w:cs="宋体"/>
          <w:b/>
          <w:color w:val="auto"/>
          <w:highlight w:val="none"/>
        </w:rPr>
        <w:t xml:space="preserve">符合条件二：不提交预付款保函的</w:t>
      </w:r>
      <w:bookmarkEnd w:id="27"/>
      <w:r/>
      <w:bookmarkEnd w:id="28"/>
      <w:r/>
      <w:bookmarkEnd w:id="29"/>
      <w:r/>
      <w:r/>
    </w:p>
    <w:p>
      <w:pPr>
        <w:ind w:firstLine="422"/>
        <w:spacing w:line="48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140" w:firstLine="422"/>
        <w:spacing w:line="48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乙方需提交的支付文件：乙方出具的全额正式发票。</w:t>
      </w:r>
      <w:r/>
    </w:p>
    <w:p>
      <w:pPr>
        <w:ind w:left="140" w:firstLine="422"/>
        <w:spacing w:line="48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4"/>
        <w:spacing w:line="480" w:lineRule="exact"/>
        <w:rPr>
          <w:rFonts w:hint="eastAsia" w:ascii="宋体" w:hAnsi="宋体" w:eastAsia="宋体" w:cs="宋体"/>
          <w:b/>
          <w:color w:val="auto"/>
          <w:highlight w:val="none"/>
        </w:rPr>
        <w:outlineLvl w:val="9"/>
      </w:pPr>
      <w:r/>
      <w:bookmarkStart w:id="30" w:name="_Toc7855"/>
      <w:r/>
      <w:bookmarkStart w:id="31" w:name="_Toc24051"/>
      <w:r/>
      <w:bookmarkStart w:id="32" w:name="_Toc3242"/>
      <w:r>
        <w:rPr>
          <w:rFonts w:hint="eastAsia" w:ascii="宋体" w:hAnsi="宋体" w:eastAsia="宋体" w:cs="宋体"/>
          <w:b/>
          <w:color w:val="auto"/>
          <w:highlight w:val="none"/>
        </w:rPr>
        <w:t xml:space="preserve">……</w:t>
      </w:r>
      <w:bookmarkEnd w:id="30"/>
      <w:r/>
      <w:bookmarkEnd w:id="31"/>
      <w:r/>
      <w:bookmarkEnd w:id="32"/>
      <w:r/>
      <w:r/>
    </w:p>
    <w:p>
      <w:pPr>
        <w:ind w:left="140" w:firstLine="424"/>
        <w:spacing w:line="480" w:lineRule="exact"/>
        <w:rPr>
          <w:rFonts w:hint="eastAsia" w:ascii="宋体" w:hAnsi="宋体" w:eastAsia="宋体" w:cs="宋体"/>
          <w:b/>
          <w:color w:val="auto"/>
          <w:highlight w:val="none"/>
        </w:rPr>
        <w:outlineLvl w:val="9"/>
      </w:pPr>
      <w:r/>
      <w:bookmarkStart w:id="33" w:name="_Toc1193"/>
      <w:r/>
      <w:bookmarkStart w:id="34" w:name="_Toc18652"/>
      <w:r/>
      <w:bookmarkStart w:id="35" w:name="_Toc15772"/>
      <w:r>
        <w:rPr>
          <w:rFonts w:hint="eastAsia" w:ascii="宋体" w:hAnsi="宋体" w:eastAsia="宋体" w:cs="宋体"/>
          <w:b/>
          <w:color w:val="auto"/>
          <w:highlight w:val="none"/>
        </w:rPr>
        <w:t xml:space="preserve">注:</w:t>
      </w:r>
      <w:bookmarkEnd w:id="33"/>
      <w:r/>
      <w:bookmarkEnd w:id="34"/>
      <w:r/>
      <w:bookmarkEnd w:id="35"/>
      <w:r/>
      <w:r/>
    </w:p>
    <w:p>
      <w:pPr>
        <w:ind w:left="140" w:firstLine="422"/>
        <w:spacing w:line="48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1、付款条件一中，出具预付款保函后支付的合同款应当与保函金额一致。</w:t>
      </w:r>
      <w:r/>
    </w:p>
    <w:p>
      <w:pPr>
        <w:ind w:left="140" w:firstLine="422"/>
        <w:spacing w:line="48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4"/>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楷体">
    <w:panose1 w:val="02010609060101010101"/>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83"/>
      </w:rPr>
      <w:framePr w:wrap="around" w:vAnchor="text" w:hAnchor="margin" w:xAlign="center" w:y="1"/>
    </w:pPr>
    <w:r>
      <w:fldChar w:fldCharType="begin"/>
    </w:r>
    <w:r>
      <w:rPr>
        <w:rStyle w:val="983"/>
      </w:rPr>
      <w:instrText xml:space="preserve">PAGE  </w:instrTex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9"/>
      <w:spacing w:line="168" w:lineRule="auto"/>
      <w:rPr>
        <w:rFonts w:ascii="宋体" w:hAnsi="宋体" w:eastAsia="宋体" w:cs="宋体"/>
        <w:sz w:val="13"/>
        <w:szCs w:val="13"/>
      </w:rPr>
    </w:pPr>
    <w:r>
      <w:rPr>
        <w:rFonts w:ascii="宋体" w:hAnsi="宋体" w:eastAsia="宋体" w:cs="宋体"/>
        <w:sz w:val="13"/>
        <w:szCs w:val="13"/>
      </w:rPr>
      <w:t xml:space="preserve">4</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rFonts w:hint="eastAsia"/>
      </w:rP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55">
    <w:name w:val="Heading 1"/>
    <w:basedOn w:val="754"/>
    <w:next w:val="754"/>
    <w:uiPriority w:val="99"/>
    <w:qFormat/>
    <w:pPr>
      <w:jc w:val="center"/>
      <w:keepLines/>
      <w:keepNext/>
      <w:spacing w:line="578" w:lineRule="auto"/>
      <w:outlineLvl w:val="0"/>
    </w:pPr>
    <w:rPr>
      <w:rFonts w:eastAsia="新宋体"/>
      <w:b/>
      <w:bCs/>
      <w:sz w:val="30"/>
      <w:szCs w:val="44"/>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0"/>
    <w:qFormat/>
    <w:pPr>
      <w:keepLines/>
      <w:keepNext/>
      <w:spacing w:before="280" w:after="290" w:line="376" w:lineRule="auto"/>
      <w:outlineLvl w:val="3"/>
    </w:pPr>
    <w:rPr>
      <w:rFonts w:ascii="Cambria" w:hAnsi="Cambria"/>
      <w:b/>
      <w:bCs/>
      <w:sz w:val="28"/>
      <w:szCs w:val="28"/>
    </w:rPr>
  </w:style>
  <w:style w:type="paragraph" w:styleId="759">
    <w:name w:val="Heading 5"/>
    <w:basedOn w:val="754"/>
    <w:next w:val="754"/>
    <w:link w:val="825"/>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26"/>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28"/>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9"/>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0"/>
    <w:semiHidden/>
    <w:qFormat/>
  </w:style>
  <w:style w:type="table" w:styleId="765" w:default="1">
    <w:name w:val="Normal Table"/>
    <w:uiPriority w:val="0"/>
    <w:semiHidden/>
    <w:qFormat/>
    <w:tblPr>
      <w:tblCellMar>
        <w:left w:w="108" w:type="dxa"/>
        <w:top w:w="0" w:type="dxa"/>
        <w:right w:w="108" w:type="dxa"/>
        <w:bottom w:w="0" w:type="dxa"/>
      </w:tblCellMar>
    </w:tblPr>
  </w:style>
  <w:style w:type="paragraph" w:styleId="766" w:customStyle="1">
    <w:name w:val="文本块11"/>
    <w:basedOn w:val="767"/>
    <w:uiPriority w:val="6"/>
    <w:unhideWhenUsed/>
    <w:qFormat/>
    <w:pPr>
      <w:ind w:left="1440" w:right="1440"/>
      <w:spacing w:after="120"/>
    </w:pPr>
  </w:style>
  <w:style w:type="paragraph" w:styleId="767" w:customStyle="1">
    <w:name w:val="正文12"/>
    <w:next w:val="76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8">
    <w:name w:val="toc 7"/>
    <w:basedOn w:val="754"/>
    <w:next w:val="754"/>
    <w:uiPriority w:val="39"/>
    <w:unhideWhenUsed/>
    <w:qFormat/>
    <w:pPr>
      <w:ind w:left="1701" w:right="0" w:firstLine="0"/>
      <w:spacing w:after="57"/>
    </w:pPr>
  </w:style>
  <w:style w:type="paragraph" w:styleId="769">
    <w:name w:val="Caption"/>
    <w:basedOn w:val="754"/>
    <w:next w:val="75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index 5"/>
    <w:basedOn w:val="754"/>
    <w:next w:val="754"/>
    <w:uiPriority w:val="0"/>
    <w:qFormat/>
    <w:pPr>
      <w:ind w:left="798"/>
      <w:jc w:val="left"/>
    </w:pPr>
    <w:rPr>
      <w:rFonts w:ascii="Calibri" w:hAnsi="Calibri"/>
    </w:rPr>
  </w:style>
  <w:style w:type="paragraph" w:styleId="771">
    <w:name w:val="annotation text"/>
    <w:basedOn w:val="754"/>
    <w:uiPriority w:val="99"/>
    <w:semiHidden/>
    <w:unhideWhenUsed/>
    <w:qFormat/>
    <w:pPr>
      <w:jc w:val="left"/>
    </w:pPr>
  </w:style>
  <w:style w:type="paragraph" w:styleId="772">
    <w:name w:val="Body Text"/>
    <w:basedOn w:val="754"/>
    <w:uiPriority w:val="0"/>
    <w:qFormat/>
    <w:pPr>
      <w:spacing w:after="120"/>
    </w:pPr>
  </w:style>
  <w:style w:type="paragraph" w:styleId="773">
    <w:name w:val="Body Text Indent"/>
    <w:basedOn w:val="754"/>
    <w:next w:val="774"/>
    <w:uiPriority w:val="0"/>
    <w:qFormat/>
    <w:pPr>
      <w:ind w:left="420"/>
      <w:spacing w:after="120"/>
    </w:pPr>
    <w:rPr>
      <w:rFonts w:ascii="Calibri" w:hAnsi="Calibri"/>
    </w:rPr>
  </w:style>
  <w:style w:type="paragraph" w:styleId="774">
    <w:name w:val="envelope return"/>
    <w:basedOn w:val="754"/>
    <w:uiPriority w:val="0"/>
    <w:qFormat/>
    <w:rPr>
      <w:rFonts w:ascii="Arial" w:hAnsi="Arial"/>
    </w:rPr>
  </w:style>
  <w:style w:type="paragraph" w:styleId="775">
    <w:name w:val="Block Text"/>
    <w:basedOn w:val="754"/>
    <w:uiPriority w:val="99"/>
    <w:unhideWhenUsed/>
    <w:qFormat/>
    <w:pPr>
      <w:ind w:left="1440" w:right="1440"/>
      <w:spacing w:after="120"/>
    </w:pPr>
    <w:rPr>
      <w:rFonts w:ascii="Calibri" w:hAnsi="Calibri"/>
    </w:rPr>
  </w:style>
  <w:style w:type="paragraph" w:styleId="776">
    <w:name w:val="toc 5"/>
    <w:basedOn w:val="754"/>
    <w:next w:val="754"/>
    <w:uiPriority w:val="39"/>
    <w:unhideWhenUsed/>
    <w:qFormat/>
    <w:pPr>
      <w:ind w:left="1134" w:right="0" w:firstLine="0"/>
      <w:spacing w:after="57"/>
    </w:pPr>
  </w:style>
  <w:style w:type="paragraph" w:styleId="777">
    <w:name w:val="toc 3"/>
    <w:basedOn w:val="754"/>
    <w:next w:val="754"/>
    <w:uiPriority w:val="39"/>
    <w:unhideWhenUsed/>
    <w:qFormat/>
    <w:pPr>
      <w:ind w:left="567" w:right="0" w:firstLine="0"/>
      <w:spacing w:after="57"/>
    </w:pPr>
  </w:style>
  <w:style w:type="paragraph" w:styleId="778">
    <w:name w:val="Plain Text"/>
    <w:basedOn w:val="754"/>
    <w:uiPriority w:val="0"/>
    <w:qFormat/>
    <w:rPr>
      <w:rFonts w:ascii="宋体" w:hAnsi="Courier New"/>
    </w:rPr>
  </w:style>
  <w:style w:type="paragraph" w:styleId="779">
    <w:name w:val="toc 8"/>
    <w:basedOn w:val="754"/>
    <w:next w:val="754"/>
    <w:uiPriority w:val="39"/>
    <w:unhideWhenUsed/>
    <w:qFormat/>
    <w:pPr>
      <w:ind w:left="1984" w:right="0" w:firstLine="0"/>
      <w:spacing w:after="57"/>
    </w:pPr>
  </w:style>
  <w:style w:type="paragraph" w:styleId="780">
    <w:name w:val="Date"/>
    <w:basedOn w:val="754"/>
    <w:next w:val="754"/>
    <w:uiPriority w:val="0"/>
    <w:qFormat/>
    <w:rPr>
      <w:rFonts w:eastAsia="仿宋_GB2312"/>
      <w:sz w:val="28"/>
      <w:szCs w:val="20"/>
    </w:rPr>
  </w:style>
  <w:style w:type="paragraph" w:styleId="781">
    <w:name w:val="endnote text"/>
    <w:basedOn w:val="754"/>
    <w:link w:val="966"/>
    <w:uiPriority w:val="99"/>
    <w:semiHidden/>
    <w:unhideWhenUsed/>
    <w:qFormat/>
    <w:pPr>
      <w:spacing w:after="0" w:line="240" w:lineRule="auto"/>
    </w:pPr>
    <w:rPr>
      <w:sz w:val="20"/>
    </w:rPr>
  </w:style>
  <w:style w:type="paragraph" w:styleId="782">
    <w:name w:val="Footer"/>
    <w:basedOn w:val="754"/>
    <w:uiPriority w:val="99"/>
    <w:qFormat/>
    <w:pPr>
      <w:jc w:val="left"/>
      <w:tabs>
        <w:tab w:val="center" w:pos="4153" w:leader="none"/>
        <w:tab w:val="right" w:pos="8306" w:leader="none"/>
      </w:tabs>
    </w:pPr>
    <w:rPr>
      <w:sz w:val="18"/>
      <w:szCs w:val="18"/>
    </w:rPr>
  </w:style>
  <w:style w:type="paragraph" w:styleId="783">
    <w:name w:val="Header"/>
    <w:basedOn w:val="754"/>
    <w:link w:val="837"/>
    <w:uiPriority w:val="99"/>
    <w:unhideWhenUsed/>
    <w:qFormat/>
    <w:pPr>
      <w:spacing w:after="0" w:line="240" w:lineRule="auto"/>
      <w:tabs>
        <w:tab w:val="center" w:pos="7143" w:leader="none"/>
        <w:tab w:val="right" w:pos="14287" w:leader="none"/>
      </w:tabs>
    </w:pPr>
  </w:style>
  <w:style w:type="paragraph" w:styleId="784">
    <w:name w:val="toc 1"/>
    <w:basedOn w:val="754"/>
    <w:next w:val="754"/>
    <w:uiPriority w:val="39"/>
    <w:unhideWhenUsed/>
    <w:qFormat/>
    <w:pPr>
      <w:ind w:left="0" w:right="0" w:firstLine="0"/>
      <w:spacing w:after="57"/>
    </w:pPr>
  </w:style>
  <w:style w:type="paragraph" w:styleId="785">
    <w:name w:val="toc 4"/>
    <w:basedOn w:val="754"/>
    <w:next w:val="754"/>
    <w:uiPriority w:val="39"/>
    <w:unhideWhenUsed/>
    <w:qFormat/>
    <w:pPr>
      <w:ind w:left="850" w:right="0" w:firstLine="0"/>
      <w:spacing w:after="57"/>
    </w:pPr>
  </w:style>
  <w:style w:type="paragraph" w:styleId="786">
    <w:name w:val="index heading"/>
    <w:basedOn w:val="754"/>
    <w:next w:val="787"/>
    <w:uiPriority w:val="0"/>
    <w:qFormat/>
    <w:pPr>
      <w:tabs>
        <w:tab w:val="left" w:pos="560" w:leader="none"/>
      </w:tabs>
    </w:pPr>
    <w:rPr>
      <w:rFonts w:ascii="Arial" w:hAnsi="Arial" w:cs="Arial"/>
      <w:b/>
      <w:bCs/>
    </w:rPr>
  </w:style>
  <w:style w:type="paragraph" w:styleId="787">
    <w:name w:val="index 1"/>
    <w:basedOn w:val="754"/>
    <w:next w:val="754"/>
    <w:uiPriority w:val="0"/>
    <w:qFormat/>
    <w:pPr>
      <w:jc w:val="center"/>
      <w:tabs>
        <w:tab w:val="left" w:pos="560" w:leader="none"/>
      </w:tabs>
    </w:pPr>
    <w:rPr>
      <w:rFonts w:ascii="宋体" w:hAnsi="宋体"/>
    </w:rPr>
  </w:style>
  <w:style w:type="paragraph" w:styleId="788">
    <w:name w:val="Subtitle"/>
    <w:basedOn w:val="754"/>
    <w:next w:val="754"/>
    <w:link w:val="832"/>
    <w:uiPriority w:val="11"/>
    <w:qFormat/>
    <w:pPr>
      <w:spacing w:before="200" w:after="200"/>
    </w:pPr>
    <w:rPr>
      <w:sz w:val="24"/>
      <w:szCs w:val="24"/>
    </w:rPr>
  </w:style>
  <w:style w:type="paragraph" w:styleId="789">
    <w:name w:val="footnote text"/>
    <w:basedOn w:val="754"/>
    <w:link w:val="965"/>
    <w:uiPriority w:val="99"/>
    <w:semiHidden/>
    <w:unhideWhenUsed/>
    <w:qFormat/>
    <w:pPr>
      <w:spacing w:after="40" w:line="240" w:lineRule="auto"/>
    </w:pPr>
    <w:rPr>
      <w:sz w:val="18"/>
    </w:rPr>
  </w:style>
  <w:style w:type="paragraph" w:styleId="790">
    <w:name w:val="toc 6"/>
    <w:basedOn w:val="754"/>
    <w:next w:val="754"/>
    <w:uiPriority w:val="39"/>
    <w:unhideWhenUsed/>
    <w:qFormat/>
    <w:pPr>
      <w:ind w:left="1417" w:right="0" w:firstLine="0"/>
      <w:spacing w:after="57"/>
    </w:pPr>
  </w:style>
  <w:style w:type="paragraph" w:styleId="791">
    <w:name w:val="table of figures"/>
    <w:basedOn w:val="754"/>
    <w:next w:val="754"/>
    <w:uiPriority w:val="99"/>
    <w:unhideWhenUsed/>
    <w:qFormat/>
    <w:pPr>
      <w:spacing w:after="0" w:afterAutospacing="0"/>
    </w:pPr>
  </w:style>
  <w:style w:type="paragraph" w:styleId="792">
    <w:name w:val="toc 2"/>
    <w:basedOn w:val="754"/>
    <w:next w:val="754"/>
    <w:uiPriority w:val="39"/>
    <w:unhideWhenUsed/>
    <w:qFormat/>
    <w:pPr>
      <w:ind w:left="283" w:right="0" w:firstLine="0"/>
      <w:spacing w:after="57"/>
    </w:pPr>
  </w:style>
  <w:style w:type="paragraph" w:styleId="793">
    <w:name w:val="toc 9"/>
    <w:basedOn w:val="754"/>
    <w:next w:val="754"/>
    <w:uiPriority w:val="39"/>
    <w:unhideWhenUsed/>
    <w:qFormat/>
    <w:pPr>
      <w:ind w:left="2268" w:right="0" w:firstLine="0"/>
      <w:spacing w:after="57"/>
    </w:pPr>
  </w:style>
  <w:style w:type="paragraph" w:styleId="794">
    <w:name w:val="Normal (Web)"/>
    <w:basedOn w:val="754"/>
    <w:uiPriority w:val="99"/>
    <w:qFormat/>
    <w:pPr>
      <w:jc w:val="left"/>
      <w:spacing w:before="100" w:beforeAutospacing="1" w:after="100" w:afterAutospacing="1"/>
      <w:widowControl/>
    </w:pPr>
    <w:rPr>
      <w:rFonts w:ascii="宋体" w:hAnsi="宋体" w:cs="宋体"/>
      <w:sz w:val="24"/>
    </w:rPr>
  </w:style>
  <w:style w:type="paragraph" w:styleId="795">
    <w:name w:val="Title"/>
    <w:basedOn w:val="754"/>
    <w:next w:val="754"/>
    <w:link w:val="831"/>
    <w:uiPriority w:val="10"/>
    <w:qFormat/>
    <w:pPr>
      <w:contextualSpacing/>
      <w:spacing w:before="300" w:after="200"/>
    </w:pPr>
    <w:rPr>
      <w:sz w:val="48"/>
      <w:szCs w:val="48"/>
    </w:rPr>
  </w:style>
  <w:style w:type="paragraph" w:styleId="796">
    <w:name w:val="Body Text First Indent"/>
    <w:basedOn w:val="772"/>
    <w:next w:val="797"/>
    <w:uiPriority w:val="99"/>
    <w:qFormat/>
    <w:pPr>
      <w:ind w:firstLine="420"/>
      <w:spacing w:after="120" w:line="440" w:lineRule="exact"/>
    </w:pPr>
    <w:rPr>
      <w:rFonts w:ascii="宋体"/>
      <w:sz w:val="24"/>
    </w:rPr>
  </w:style>
  <w:style w:type="paragraph" w:styleId="797">
    <w:name w:val="Body Text First Indent 2"/>
    <w:basedOn w:val="773"/>
    <w:next w:val="754"/>
    <w:uiPriority w:val="0"/>
    <w:qFormat/>
    <w:pPr>
      <w:ind w:firstLine="420"/>
      <w:spacing w:line="360" w:lineRule="auto"/>
    </w:pPr>
    <w:rPr>
      <w:color w:val="000000"/>
      <w:sz w:val="20"/>
    </w:rPr>
  </w:style>
  <w:style w:type="table" w:styleId="798">
    <w:name w:val="Table Grid"/>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endnote reference"/>
    <w:basedOn w:val="764"/>
    <w:uiPriority w:val="99"/>
    <w:semiHidden/>
    <w:unhideWhenUsed/>
    <w:qFormat/>
    <w:rPr>
      <w:vertAlign w:val="superscript"/>
    </w:rPr>
  </w:style>
  <w:style w:type="character" w:styleId="800">
    <w:name w:val="page number"/>
    <w:uiPriority w:val="0"/>
    <w:qFormat/>
  </w:style>
  <w:style w:type="character" w:styleId="801">
    <w:name w:val="Hyperlink"/>
    <w:uiPriority w:val="99"/>
    <w:unhideWhenUsed/>
    <w:qFormat/>
    <w:rPr>
      <w:color w:val="0563c1" w:themeColor="hyperlink"/>
      <w:u w:val="single"/>
      <w14:textFill>
        <w14:solidFill>
          <w14:schemeClr w14:val="hlink"/>
        </w14:solidFill>
      </w14:textFill>
    </w:rPr>
  </w:style>
  <w:style w:type="character" w:styleId="802">
    <w:name w:val="footnote reference"/>
    <w:basedOn w:val="764"/>
    <w:uiPriority w:val="99"/>
    <w:unhideWhenUsed/>
    <w:qFormat/>
    <w:rPr>
      <w:vertAlign w:val="superscript"/>
    </w:rPr>
  </w:style>
  <w:style w:type="paragraph" w:styleId="803" w:customStyle="1">
    <w:name w:val="一级条标题"/>
    <w:basedOn w:val="804"/>
    <w:next w:val="8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05" w:customStyle="1">
    <w:name w:val="段"/>
    <w:basedOn w:val="806"/>
    <w:next w:val="754"/>
    <w:uiPriority w:val="0"/>
    <w:qFormat/>
    <w:pPr>
      <w:ind w:firstLine="200"/>
      <w:widowControl/>
    </w:pPr>
    <w:rPr>
      <w:rFonts w:ascii="宋体"/>
      <w:sz w:val="20"/>
      <w:szCs w:val="20"/>
    </w:rPr>
  </w:style>
  <w:style w:type="paragraph" w:styleId="806" w:customStyle="1">
    <w:name w:val="正文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标题 211"/>
    <w:basedOn w:val="806"/>
    <w:next w:val="806"/>
    <w:uiPriority w:val="0"/>
    <w:qFormat/>
    <w:pPr>
      <w:keepLines/>
      <w:keepNext/>
      <w:spacing w:before="260" w:after="260" w:line="416" w:lineRule="auto"/>
      <w:outlineLvl w:val="1"/>
    </w:pPr>
    <w:rPr>
      <w:rFonts w:ascii="Calibri Light" w:hAnsi="Calibri Light"/>
      <w:bCs/>
      <w:sz w:val="32"/>
      <w:szCs w:val="32"/>
    </w:rPr>
  </w:style>
  <w:style w:type="paragraph" w:styleId="808" w:customStyle="1">
    <w:name w:val="目录 11"/>
    <w:basedOn w:val="809"/>
    <w:next w:val="809"/>
    <w:uiPriority w:val="0"/>
    <w:qFormat/>
    <w:pPr>
      <w:jc w:val="left"/>
      <w:spacing w:after="100" w:line="259" w:lineRule="auto"/>
      <w:widowControl/>
    </w:pPr>
    <w:rPr>
      <w:rFonts w:ascii="Calibri" w:hAnsi="Calibri"/>
      <w:sz w:val="22"/>
      <w:szCs w:val="22"/>
    </w:rPr>
  </w:style>
  <w:style w:type="paragraph" w:styleId="809" w:customStyle="1">
    <w:name w:val="正文1"/>
    <w:basedOn w:val="810"/>
    <w:next w:val="808"/>
    <w:link w:val="983"/>
    <w:uiPriority w:val="0"/>
    <w:qFormat/>
    <w:rPr>
      <w:rFonts w:hint="default" w:ascii="Times New Roman" w:hAnsi="Times New Roman" w:eastAsia="宋体" w:cs="Times New Roman"/>
      <w:lang w:val="en-US" w:eastAsia="zh-CN" w:bidi="ar-SA"/>
    </w:rPr>
  </w:style>
  <w:style w:type="paragraph" w:styleId="810" w:customStyle="1">
    <w:name w:val="正文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首行缩进1"/>
    <w:basedOn w:val="812"/>
    <w:next w:val="814"/>
    <w:uiPriority w:val="0"/>
    <w:qFormat/>
    <w:pPr>
      <w:ind w:firstLine="420"/>
    </w:pPr>
    <w:rPr>
      <w:rFonts w:ascii="仿宋_GB2312" w:hAnsi="Times New Roman" w:eastAsia="仿宋_GB2312"/>
      <w:sz w:val="30"/>
      <w:szCs w:val="30"/>
    </w:rPr>
  </w:style>
  <w:style w:type="paragraph" w:styleId="812" w:customStyle="1">
    <w:name w:val="正文文本11"/>
    <w:basedOn w:val="813"/>
    <w:next w:val="806"/>
    <w:uiPriority w:val="0"/>
    <w:qFormat/>
    <w:pPr>
      <w:spacing w:after="120"/>
    </w:pPr>
  </w:style>
  <w:style w:type="paragraph" w:styleId="813" w:customStyle="1">
    <w:name w:val="正文112"/>
    <w:next w:val="812"/>
    <w:uiPriority w:val="0"/>
    <w:qFormat/>
    <w:rPr>
      <w:rFonts w:hint="default" w:ascii="宋体" w:hAnsi="宋体" w:eastAsia="宋体" w:cs="Times New Roman"/>
      <w:sz w:val="24"/>
      <w:szCs w:val="24"/>
      <w:lang w:val="en-US" w:eastAsia="zh-CN" w:bidi="ar-SA"/>
    </w:rPr>
  </w:style>
  <w:style w:type="paragraph" w:styleId="814" w:customStyle="1">
    <w:name w:val="正文首行缩进 21"/>
    <w:basedOn w:val="815"/>
    <w:next w:val="810"/>
    <w:uiPriority w:val="0"/>
    <w:qFormat/>
    <w:pPr>
      <w:ind w:firstLine="420"/>
    </w:pPr>
    <w:rPr>
      <w:rFonts w:ascii="宋体" w:hAnsi="宋体"/>
      <w:sz w:val="20"/>
      <w:szCs w:val="20"/>
    </w:rPr>
  </w:style>
  <w:style w:type="paragraph" w:styleId="815" w:customStyle="1">
    <w:name w:val="正文文本缩进1"/>
    <w:basedOn w:val="810"/>
    <w:next w:val="816"/>
    <w:uiPriority w:val="0"/>
    <w:qFormat/>
    <w:pPr>
      <w:ind w:left="420"/>
      <w:spacing w:after="120"/>
    </w:pPr>
  </w:style>
  <w:style w:type="paragraph" w:styleId="816" w:customStyle="1">
    <w:name w:val="寄信人地址1"/>
    <w:basedOn w:val="810"/>
    <w:uiPriority w:val="0"/>
    <w:qFormat/>
    <w:pPr>
      <w:ind w:firstLine="200"/>
    </w:pPr>
    <w:rPr>
      <w:rFonts w:ascii="Arial" w:hAnsi="Arial" w:eastAsia="仿宋_GB2312"/>
    </w:rPr>
  </w:style>
  <w:style w:type="paragraph" w:styleId="817" w:customStyle="1">
    <w:name w:val="无间隔1"/>
    <w:uiPriority w:val="0"/>
    <w:qFormat/>
    <w:rPr>
      <w:rFonts w:ascii="Times New Roman" w:hAnsi="Times New Roman" w:eastAsia="宋体" w:cs="Times New Roman"/>
      <w:sz w:val="22"/>
      <w:szCs w:val="22"/>
      <w:lang w:val="en-US" w:eastAsia="en-US" w:bidi="ar-SA"/>
    </w:rPr>
  </w:style>
  <w:style w:type="paragraph" w:styleId="818" w:customStyle="1">
    <w:name w:val="正文文本1"/>
    <w:basedOn w:val="809"/>
    <w:next w:val="809"/>
    <w:uiPriority w:val="0"/>
    <w:qFormat/>
    <w:pPr>
      <w:ind w:firstLine="200"/>
      <w:spacing w:after="120" w:line="274" w:lineRule="auto"/>
    </w:pPr>
  </w:style>
  <w:style w:type="paragraph" w:styleId="81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20" w:customStyle="1">
    <w:name w:val="文本块111"/>
    <w:basedOn w:val="754"/>
    <w:uiPriority w:val="99"/>
    <w:qFormat/>
    <w:pPr>
      <w:ind w:left="256" w:right="6" w:firstLine="624"/>
    </w:pPr>
    <w:rPr>
      <w:rFonts w:eastAsia="仿宋_GB2312"/>
      <w:sz w:val="28"/>
    </w:rPr>
  </w:style>
  <w:style w:type="character" w:styleId="821" w:customStyle="1">
    <w:name w:val="Heading 1 Char"/>
    <w:basedOn w:val="764"/>
    <w:uiPriority w:val="9"/>
    <w:qFormat/>
    <w:rPr>
      <w:rFonts w:ascii="Arial" w:hAnsi="Arial" w:eastAsia="Arial" w:cs="Arial"/>
      <w:sz w:val="40"/>
      <w:szCs w:val="40"/>
    </w:rPr>
  </w:style>
  <w:style w:type="character" w:styleId="822" w:customStyle="1">
    <w:name w:val="Heading 2 Char"/>
    <w:basedOn w:val="764"/>
    <w:uiPriority w:val="9"/>
    <w:qFormat/>
    <w:rPr>
      <w:rFonts w:ascii="Arial" w:hAnsi="Arial" w:eastAsia="Arial" w:cs="Arial"/>
      <w:sz w:val="34"/>
    </w:rPr>
  </w:style>
  <w:style w:type="character" w:styleId="823" w:customStyle="1">
    <w:name w:val="Heading 3 Char"/>
    <w:basedOn w:val="764"/>
    <w:uiPriority w:val="9"/>
    <w:qFormat/>
    <w:rPr>
      <w:rFonts w:ascii="Arial" w:hAnsi="Arial" w:eastAsia="Arial" w:cs="Arial"/>
      <w:sz w:val="30"/>
      <w:szCs w:val="30"/>
    </w:rPr>
  </w:style>
  <w:style w:type="character" w:styleId="824" w:customStyle="1">
    <w:name w:val="Heading 4 Char"/>
    <w:basedOn w:val="764"/>
    <w:uiPriority w:val="9"/>
    <w:qFormat/>
    <w:rPr>
      <w:rFonts w:ascii="Arial" w:hAnsi="Arial" w:eastAsia="Arial" w:cs="Arial"/>
      <w:b/>
      <w:bCs/>
      <w:sz w:val="26"/>
      <w:szCs w:val="26"/>
    </w:rPr>
  </w:style>
  <w:style w:type="character" w:styleId="825" w:customStyle="1">
    <w:name w:val="Heading 5 Char"/>
    <w:basedOn w:val="764"/>
    <w:link w:val="759"/>
    <w:uiPriority w:val="9"/>
    <w:qFormat/>
    <w:rPr>
      <w:rFonts w:ascii="Arial" w:hAnsi="Arial" w:eastAsia="Arial" w:cs="Arial"/>
      <w:b/>
      <w:bCs/>
      <w:sz w:val="24"/>
      <w:szCs w:val="24"/>
    </w:rPr>
  </w:style>
  <w:style w:type="character" w:styleId="826" w:customStyle="1">
    <w:name w:val="Heading 6 Char"/>
    <w:basedOn w:val="764"/>
    <w:link w:val="760"/>
    <w:uiPriority w:val="9"/>
    <w:qFormat/>
    <w:rPr>
      <w:rFonts w:ascii="Arial" w:hAnsi="Arial" w:eastAsia="Arial" w:cs="Arial"/>
      <w:b/>
      <w:bCs/>
      <w:sz w:val="22"/>
      <w:szCs w:val="22"/>
    </w:rPr>
  </w:style>
  <w:style w:type="character" w:styleId="827" w:customStyle="1">
    <w:name w:val="Heading 7 Char"/>
    <w:basedOn w:val="764"/>
    <w:link w:val="761"/>
    <w:uiPriority w:val="9"/>
    <w:qFormat/>
    <w:rPr>
      <w:rFonts w:ascii="Arial" w:hAnsi="Arial" w:eastAsia="Arial" w:cs="Arial"/>
      <w:b/>
      <w:bCs/>
      <w:i/>
      <w:iCs/>
      <w:sz w:val="22"/>
      <w:szCs w:val="22"/>
    </w:rPr>
  </w:style>
  <w:style w:type="character" w:styleId="828" w:customStyle="1">
    <w:name w:val="Heading 8 Char"/>
    <w:basedOn w:val="764"/>
    <w:link w:val="762"/>
    <w:uiPriority w:val="9"/>
    <w:qFormat/>
    <w:rPr>
      <w:rFonts w:ascii="Arial" w:hAnsi="Arial" w:eastAsia="Arial" w:cs="Arial"/>
      <w:i/>
      <w:iCs/>
      <w:sz w:val="22"/>
      <w:szCs w:val="22"/>
    </w:rPr>
  </w:style>
  <w:style w:type="character" w:styleId="829" w:customStyle="1">
    <w:name w:val="Heading 9 Char"/>
    <w:basedOn w:val="764"/>
    <w:link w:val="763"/>
    <w:uiPriority w:val="9"/>
    <w:qFormat/>
    <w:rPr>
      <w:rFonts w:ascii="Arial" w:hAnsi="Arial" w:eastAsia="Arial" w:cs="Arial"/>
      <w:i/>
      <w:iCs/>
      <w:sz w:val="21"/>
      <w:szCs w:val="21"/>
    </w:rPr>
  </w:style>
  <w:style w:type="paragraph" w:styleId="830">
    <w:name w:val="No Spacing"/>
    <w:uiPriority w:val="1"/>
    <w:qFormat/>
    <w:pPr>
      <w:spacing w:before="0" w:after="0" w:line="240" w:lineRule="auto"/>
    </w:pPr>
    <w:rPr>
      <w:rFonts w:hint="default" w:ascii="Times New Roman" w:hAnsi="Times New Roman" w:eastAsia="宋体" w:cs="Times New Roman"/>
    </w:rPr>
  </w:style>
  <w:style w:type="character" w:styleId="831" w:customStyle="1">
    <w:name w:val="Title Char"/>
    <w:basedOn w:val="764"/>
    <w:link w:val="795"/>
    <w:uiPriority w:val="10"/>
    <w:qFormat/>
    <w:rPr>
      <w:sz w:val="48"/>
      <w:szCs w:val="48"/>
    </w:rPr>
  </w:style>
  <w:style w:type="character" w:styleId="832" w:customStyle="1">
    <w:name w:val="Subtitle Char"/>
    <w:basedOn w:val="764"/>
    <w:link w:val="788"/>
    <w:uiPriority w:val="11"/>
    <w:qFormat/>
    <w:rPr>
      <w:sz w:val="24"/>
      <w:szCs w:val="24"/>
    </w:rPr>
  </w:style>
  <w:style w:type="paragraph" w:styleId="833">
    <w:name w:val="Quote"/>
    <w:basedOn w:val="754"/>
    <w:next w:val="754"/>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54"/>
    <w:next w:val="754"/>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64"/>
    <w:link w:val="783"/>
    <w:uiPriority w:val="99"/>
    <w:qFormat/>
  </w:style>
  <w:style w:type="character" w:styleId="838" w:customStyle="1">
    <w:name w:val="Footer Char"/>
    <w:basedOn w:val="764"/>
    <w:uiPriority w:val="99"/>
    <w:qFormat/>
  </w:style>
  <w:style w:type="character" w:styleId="839" w:customStyle="1">
    <w:name w:val="Caption Char"/>
    <w:uiPriority w:val="99"/>
    <w:qFormat/>
  </w:style>
  <w:style w:type="table" w:styleId="840"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6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6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6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6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6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6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6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6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6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6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6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6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6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6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6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6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6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6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6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9" w:customStyle="1">
    <w:name w:val="Grid Table 4 - Accent 2"/>
    <w:basedOn w:val="76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0" w:customStyle="1">
    <w:name w:val="Grid Table 4 - Accent 3"/>
    <w:basedOn w:val="76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1" w:customStyle="1">
    <w:name w:val="Grid Table 4 - Accent 4"/>
    <w:basedOn w:val="76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2" w:customStyle="1">
    <w:name w:val="Grid Table 4 - Accent 5"/>
    <w:basedOn w:val="76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3" w:customStyle="1">
    <w:name w:val="Grid Table 4 - Accent 6"/>
    <w:basedOn w:val="76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4"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6"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7"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8"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9"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0"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1"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6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6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6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6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6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7" w:customStyle="1">
    <w:name w:val="Grid Table 6 Colorful - Accent 6"/>
    <w:basedOn w:val="76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8"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6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6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6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6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6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6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6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6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6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6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6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6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2"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6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4" w:customStyle="1">
    <w:name w:val="List Table 2 - Accent 2"/>
    <w:basedOn w:val="76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5" w:customStyle="1">
    <w:name w:val="List Table 2 - Accent 3"/>
    <w:basedOn w:val="76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6" w:customStyle="1">
    <w:name w:val="List Table 2 - Accent 4"/>
    <w:basedOn w:val="76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7" w:customStyle="1">
    <w:name w:val="List Table 2 - Accent 5"/>
    <w:basedOn w:val="76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8" w:customStyle="1">
    <w:name w:val="List Table 2 - Accent 6"/>
    <w:basedOn w:val="76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9"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6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3 - Accent 2"/>
    <w:basedOn w:val="76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6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6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6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6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6"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6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4 - Accent 2"/>
    <w:basedOn w:val="76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9" w:customStyle="1">
    <w:name w:val="List Table 4 - Accent 3"/>
    <w:basedOn w:val="76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0" w:customStyle="1">
    <w:name w:val="List Table 4 - Accent 4"/>
    <w:basedOn w:val="76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1" w:customStyle="1">
    <w:name w:val="List Table 4 - Accent 5"/>
    <w:basedOn w:val="76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2" w:customStyle="1">
    <w:name w:val="List Table 4 - Accent 6"/>
    <w:basedOn w:val="76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3"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6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6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6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6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6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6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6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2" w:customStyle="1">
    <w:name w:val="List Table 6 Colorful - Accent 2"/>
    <w:basedOn w:val="76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3" w:customStyle="1">
    <w:name w:val="List Table 6 Colorful - Accent 3"/>
    <w:basedOn w:val="76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4" w:customStyle="1">
    <w:name w:val="List Table 6 Colorful - Accent 4"/>
    <w:basedOn w:val="76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5" w:customStyle="1">
    <w:name w:val="List Table 6 Colorful - Accent 5"/>
    <w:basedOn w:val="76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6" w:customStyle="1">
    <w:name w:val="List Table 6 Colorful - Accent 6"/>
    <w:basedOn w:val="76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7"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6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6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6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6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6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6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6"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6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3" w:customStyle="1">
    <w:name w:val="Bordered &amp; Lined - Accent 2"/>
    <w:basedOn w:val="76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4" w:customStyle="1">
    <w:name w:val="Bordered &amp; Lined - Accent 3"/>
    <w:basedOn w:val="76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Bordered &amp; Lined - Accent 4"/>
    <w:basedOn w:val="76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6" w:customStyle="1">
    <w:name w:val="Bordered &amp; Lined - Accent 5"/>
    <w:basedOn w:val="76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7" w:customStyle="1">
    <w:name w:val="Bordered &amp; Lined - Accent 6"/>
    <w:basedOn w:val="76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6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0" w:customStyle="1">
    <w:name w:val="Bordered - Accent 2"/>
    <w:basedOn w:val="76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1" w:customStyle="1">
    <w:name w:val="Bordered - Accent 3"/>
    <w:basedOn w:val="76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2" w:customStyle="1">
    <w:name w:val="Bordered - Accent 4"/>
    <w:basedOn w:val="76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3" w:customStyle="1">
    <w:name w:val="Bordered - Accent 5"/>
    <w:basedOn w:val="76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4" w:customStyle="1">
    <w:name w:val="Bordered - Accent 6"/>
    <w:basedOn w:val="76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5" w:customStyle="1">
    <w:name w:val="Footnote Text Char"/>
    <w:link w:val="789"/>
    <w:uiPriority w:val="99"/>
    <w:qFormat/>
    <w:rPr>
      <w:sz w:val="18"/>
    </w:rPr>
  </w:style>
  <w:style w:type="character" w:styleId="966" w:customStyle="1">
    <w:name w:val="Endnote Text Char"/>
    <w:link w:val="781"/>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paragraph" w:styleId="968" w:customStyle="1">
    <w:name w:val="标题 41"/>
    <w:basedOn w:val="810"/>
    <w:next w:val="810"/>
    <w:uiPriority w:val="0"/>
    <w:qFormat/>
    <w:pPr>
      <w:keepLines/>
      <w:keepNext/>
      <w:spacing w:before="280" w:after="290" w:line="376" w:lineRule="auto"/>
      <w:outlineLvl w:val="3"/>
    </w:pPr>
    <w:rPr>
      <w:rFonts w:ascii="Cambria" w:hAnsi="Cambria" w:eastAsia="宋体"/>
      <w:b/>
      <w:bCs/>
      <w:sz w:val="28"/>
      <w:szCs w:val="28"/>
    </w:rPr>
  </w:style>
  <w:style w:type="paragraph" w:styleId="969" w:customStyle="1">
    <w:name w:val="文本块1"/>
    <w:basedOn w:val="810"/>
    <w:uiPriority w:val="0"/>
    <w:qFormat/>
    <w:pPr>
      <w:ind w:left="256" w:right="6" w:firstLine="624"/>
    </w:pPr>
    <w:rPr>
      <w:rFonts w:eastAsia="仿宋"/>
      <w:sz w:val="28"/>
      <w:szCs w:val="20"/>
    </w:rPr>
  </w:style>
  <w:style w:type="paragraph" w:styleId="970" w:customStyle="1">
    <w:name w:val="UserStyle_0"/>
    <w:basedOn w:val="810"/>
    <w:next w:val="810"/>
    <w:uiPriority w:val="0"/>
    <w:qFormat/>
  </w:style>
  <w:style w:type="paragraph" w:styleId="971" w:customStyle="1">
    <w:name w:val="正文缩进1"/>
    <w:basedOn w:val="810"/>
    <w:next w:val="810"/>
    <w:uiPriority w:val="0"/>
    <w:qFormat/>
    <w:pPr>
      <w:ind w:firstLine="420"/>
    </w:pPr>
    <w:rPr>
      <w:lang w:val="zh-CN"/>
    </w:rPr>
  </w:style>
  <w:style w:type="paragraph" w:styleId="972" w:customStyle="1">
    <w:name w:val="WPSOffice手动目录 1"/>
    <w:uiPriority w:val="0"/>
    <w:qFormat/>
    <w:rPr>
      <w:rFonts w:hint="default" w:asciiTheme="minorHAnsi" w:hAnsiTheme="minorHAnsi" w:eastAsiaTheme="minorEastAsia" w:cstheme="minorBidi"/>
      <w:lang w:val="en-US" w:eastAsia="zh-CN" w:bidi="ar-SA"/>
    </w:rPr>
  </w:style>
  <w:style w:type="paragraph" w:styleId="973" w:customStyle="1">
    <w:name w:val="脚注文本1"/>
    <w:basedOn w:val="809"/>
    <w:next w:val="974"/>
    <w:uiPriority w:val="0"/>
    <w:qFormat/>
    <w:rPr>
      <w:rFonts w:ascii="宋体" w:eastAsia="Times New Roman"/>
      <w:sz w:val="18"/>
      <w:szCs w:val="18"/>
    </w:rPr>
  </w:style>
  <w:style w:type="paragraph" w:styleId="974" w:customStyle="1">
    <w:name w:val="索引 51"/>
    <w:basedOn w:val="809"/>
    <w:next w:val="809"/>
    <w:uiPriority w:val="0"/>
    <w:qFormat/>
    <w:pPr>
      <w:ind w:left="798"/>
    </w:pPr>
    <w:rPr>
      <w:rFonts w:ascii="Calibri" w:hAnsi="Calibri"/>
    </w:rPr>
  </w:style>
  <w:style w:type="paragraph" w:styleId="975" w:customStyle="1">
    <w:name w:val="正文121"/>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BlockQuote"/>
    <w:basedOn w:val="975"/>
    <w:uiPriority w:val="0"/>
    <w:qFormat/>
    <w:pPr>
      <w:ind w:left="256" w:right="6" w:firstLine="624"/>
    </w:pPr>
    <w:rPr>
      <w:rFonts w:eastAsia="仿宋_GB2312"/>
      <w:sz w:val="28"/>
    </w:rPr>
  </w:style>
  <w:style w:type="paragraph" w:styleId="977" w:customStyle="1">
    <w:name w:val="正文 A"/>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paragraph" w:styleId="978">
    <w:name w:val="List Paragraph"/>
    <w:basedOn w:val="754"/>
    <w:uiPriority w:val="34"/>
    <w:qFormat/>
    <w:pPr>
      <w:contextualSpacing/>
      <w:ind w:left="720"/>
    </w:pPr>
  </w:style>
  <w:style w:type="paragraph" w:styleId="979" w:customStyle="1">
    <w:name w:val="表"/>
    <w:basedOn w:val="754"/>
    <w:uiPriority w:val="0"/>
    <w:qFormat/>
    <w:pPr>
      <w:jc w:val="center"/>
      <w:spacing w:before="5" w:after="5"/>
    </w:pPr>
    <w:rPr>
      <w:rFonts w:eastAsia="宋体" w:cs="Times New Roman"/>
    </w:rPr>
  </w:style>
  <w:style w:type="paragraph" w:styleId="980" w:customStyle="1">
    <w:name w:val="页眉1"/>
    <w:basedOn w:val="806"/>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标题 111"/>
    <w:basedOn w:val="806"/>
    <w:next w:val="806"/>
    <w:uiPriority w:val="0"/>
    <w:qFormat/>
    <w:pPr>
      <w:jc w:val="center"/>
      <w:keepLines/>
      <w:keepNext/>
      <w:spacing w:line="578" w:lineRule="auto"/>
      <w:outlineLvl w:val="0"/>
    </w:pPr>
    <w:rPr>
      <w:rFonts w:eastAsia="新宋体"/>
      <w:b/>
      <w:bCs/>
      <w:sz w:val="30"/>
      <w:szCs w:val="44"/>
    </w:rPr>
  </w:style>
  <w:style w:type="paragraph" w:styleId="982" w:customStyle="1">
    <w:name w:val="页脚1"/>
    <w:basedOn w:val="809"/>
    <w:uiPriority w:val="0"/>
    <w:qFormat/>
    <w:pPr>
      <w:tabs>
        <w:tab w:val="center" w:pos="4153" w:leader="none"/>
        <w:tab w:val="right" w:pos="8306" w:leader="none"/>
      </w:tabs>
    </w:pPr>
    <w:rPr>
      <w:sz w:val="18"/>
      <w:szCs w:val="18"/>
    </w:rPr>
  </w:style>
  <w:style w:type="character" w:styleId="983" w:customStyle="1">
    <w:name w:val="页码1"/>
    <w:basedOn w:val="984"/>
    <w:link w:val="809"/>
    <w:uiPriority w:val="0"/>
    <w:qFormat/>
    <w:rPr>
      <w:rFonts w:ascii="Times New Roman" w:hAnsi="Times New Roman" w:eastAsia="宋体" w:cs="Times New Roman"/>
      <w:lang w:val="en-US" w:eastAsia="zh-CN" w:bidi="ar-SA"/>
    </w:rPr>
  </w:style>
  <w:style w:type="character" w:styleId="984" w:customStyle="1">
    <w:name w:val="默认段落字体1"/>
    <w:uiPriority w:val="0"/>
    <w:qFormat/>
  </w:style>
  <w:style w:type="paragraph" w:styleId="985" w:customStyle="1">
    <w:name w:val="首行缩进"/>
    <w:basedOn w:val="810"/>
    <w:next w:val="810"/>
    <w:uiPriority w:val="0"/>
    <w:qFormat/>
    <w:pPr>
      <w:ind w:firstLine="480"/>
    </w:pPr>
    <w:rPr>
      <w:lang w:val="zh-CN"/>
    </w:rPr>
  </w:style>
  <w:style w:type="character" w:styleId="986" w:customStyle="1">
    <w:name w:val="font11"/>
    <w:basedOn w:val="764"/>
    <w:uiPriority w:val="0"/>
    <w:qFormat/>
    <w:rPr>
      <w:rFonts w:hint="eastAsia" w:ascii="宋体" w:hAnsi="宋体" w:eastAsia="宋体" w:cs="宋体"/>
      <w:color w:val="000000"/>
      <w:sz w:val="22"/>
      <w:szCs w:val="22"/>
      <w:u w:val="none"/>
    </w:rPr>
  </w:style>
  <w:style w:type="character" w:styleId="987" w:customStyle="1">
    <w:name w:val="font01"/>
    <w:basedOn w:val="764"/>
    <w:uiPriority w:val="0"/>
    <w:qFormat/>
    <w:rPr>
      <w:rFonts w:ascii="仿宋" w:hAnsi="仿宋" w:eastAsia="仿宋"/>
      <w:color w:val="000000"/>
      <w:sz w:val="20"/>
      <w:szCs w:val="20"/>
      <w:u w:val="none"/>
    </w:rPr>
  </w:style>
  <w:style w:type="character" w:styleId="988" w:customStyle="1">
    <w:name w:val="NormalCharacter"/>
    <w:uiPriority w:val="0"/>
    <w:semiHidden/>
    <w:qFormat/>
    <w:rPr>
      <w:sz w:val="28"/>
      <w:lang w:val="en-US" w:eastAsia="zh-CN" w:bidi="ar-SA"/>
    </w:rPr>
  </w:style>
  <w:style w:type="paragraph" w:styleId="989" w:customStyle="1">
    <w:name w:val="页脚11"/>
    <w:basedOn w:val="754"/>
    <w:uiPriority w:val="99"/>
    <w:unhideWhenUsed/>
    <w:qFormat/>
    <w:pPr>
      <w:tabs>
        <w:tab w:val="center" w:pos="7143" w:leader="none"/>
        <w:tab w:val="right" w:pos="14287" w:leader="none"/>
      </w:tabs>
    </w:pPr>
  </w:style>
  <w:style w:type="table" w:styleId="990" w:customStyle="1">
    <w:name w:val="Table Normal"/>
    <w:uiPriority w:val="0"/>
    <w:semiHidden/>
    <w:unhideWhenUsed/>
    <w:qFormat/>
    <w:tblPr>
      <w:tblCellMar>
        <w:left w:w="0" w:type="dxa"/>
        <w:top w:w="0" w:type="dxa"/>
        <w:right w:w="0" w:type="dxa"/>
        <w:bottom w:w="0" w:type="dxa"/>
      </w:tblCellMar>
    </w:tblPr>
  </w:style>
  <w:style w:type="paragraph" w:styleId="991" w:customStyle="1">
    <w:name w:val="目录 111"/>
    <w:basedOn w:val="810"/>
    <w:next w:val="754"/>
    <w:uiPriority w:val="0"/>
    <w:qFormat/>
  </w:style>
  <w:style w:type="paragraph" w:styleId="992" w:customStyle="1">
    <w:name w:val="Table Text"/>
    <w:basedOn w:val="754"/>
    <w:uiPriority w:val="0"/>
    <w:semiHidden/>
    <w:qFormat/>
    <w:rPr>
      <w:rFonts w:ascii="宋体" w:hAnsi="宋体" w:eastAsia="宋体" w:cs="宋体"/>
      <w:sz w:val="21"/>
      <w:szCs w:val="21"/>
      <w:lang w:val="en-US" w:eastAsia="en-US" w:bidi="ar-SA"/>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袁亚年</cp:lastModifiedBy>
  <cp:revision>7</cp:revision>
  <dcterms:created xsi:type="dcterms:W3CDTF">2022-04-13T03:48:00Z</dcterms:created>
  <dcterms:modified xsi:type="dcterms:W3CDTF">2024-04-30T06:21:12Z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99BF891C3AA34E94AF03DE8543B49FEF</vt:lpwstr>
  </property>
</Properties>
</file>