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jc w:val="center"/>
        <w:spacing w:before="75" w:beforeAutospacing="0" w:after="75" w:afterAutospacing="0"/>
        <w:widowControl/>
        <w:rPr>
          <w:rStyle w:val="83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58"/>
        <w:jc w:val="center"/>
        <w:spacing w:before="75" w:beforeAutospacing="0" w:after="75" w:afterAutospacing="0"/>
        <w:widowControl/>
        <w:rPr>
          <w:rStyle w:val="83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58"/>
        <w:jc w:val="center"/>
        <w:spacing w:before="75" w:beforeAutospacing="0" w:after="75" w:afterAutospacing="0"/>
        <w:widowControl/>
        <w:rPr>
          <w:rStyle w:val="830"/>
          <w:rFonts w:hint="eastAsia" w:ascii="宋体" w:hAnsi="宋体" w:eastAsia="宋体" w:cs="宋体"/>
          <w:color w:val="auto"/>
          <w:sz w:val="72"/>
          <w:szCs w:val="72"/>
          <w:highlight w:val="none"/>
        </w:rPr>
      </w:pPr>
      <w:r>
        <w:rPr>
          <w:rStyle w:val="830"/>
          <w:rFonts w:hint="eastAsia" w:ascii="宋体" w:hAnsi="宋体" w:eastAsia="宋体" w:cs="宋体"/>
          <w:color w:val="auto"/>
          <w:sz w:val="72"/>
          <w:szCs w:val="72"/>
          <w:highlight w:val="none"/>
        </w:rPr>
        <w:t xml:space="preserve">苏州市政府采购</w:t>
      </w:r>
      <w:r/>
    </w:p>
    <w:p>
      <w:pPr>
        <w:pStyle w:val="858"/>
        <w:jc w:val="center"/>
        <w:spacing w:before="75" w:beforeAutospacing="0" w:after="75" w:afterAutospacing="0"/>
        <w:widowControl/>
        <w:rPr>
          <w:rStyle w:val="830"/>
          <w:rFonts w:hint="eastAsia" w:ascii="宋体" w:hAnsi="宋体" w:eastAsia="宋体" w:cs="宋体"/>
          <w:color w:val="auto"/>
          <w:sz w:val="72"/>
          <w:szCs w:val="72"/>
          <w:highlight w:val="none"/>
        </w:rPr>
      </w:pPr>
      <w:r>
        <w:rPr>
          <w:rStyle w:val="830"/>
          <w:rFonts w:hint="eastAsia" w:ascii="宋体" w:hAnsi="宋体" w:cs="宋体"/>
          <w:color w:val="auto"/>
          <w:sz w:val="72"/>
          <w:szCs w:val="72"/>
          <w:highlight w:val="none"/>
          <w:lang w:val="en-US" w:eastAsia="zh-CN"/>
        </w:rPr>
        <w:t xml:space="preserve">服务类</w:t>
      </w:r>
      <w:r>
        <w:rPr>
          <w:rStyle w:val="830"/>
          <w:rFonts w:hint="eastAsia" w:ascii="宋体" w:hAnsi="宋体" w:eastAsia="宋体" w:cs="宋体"/>
          <w:color w:val="auto"/>
          <w:sz w:val="72"/>
          <w:szCs w:val="72"/>
          <w:highlight w:val="none"/>
        </w:rPr>
        <w:t xml:space="preserve">公开招标项目</w:t>
      </w:r>
      <w:r/>
    </w:p>
    <w:p>
      <w:pPr>
        <w:pStyle w:val="858"/>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8"/>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8"/>
        <w:spacing w:before="75" w:beforeAutospacing="0" w:after="75" w:afterAutospacing="0"/>
        <w:widowControl/>
        <w:rPr>
          <w:rStyle w:val="83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58"/>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ind w:firstLine="1205"/>
        <w:spacing w:before="75" w:beforeAutospacing="0" w:after="75" w:afterAutospacing="0"/>
        <w:widowControl/>
        <w:rPr>
          <w:rStyle w:val="830"/>
          <w:rFonts w:hint="eastAsia" w:ascii="宋体" w:hAnsi="宋体" w:eastAsia="宋体" w:cs="宋体"/>
          <w:color w:val="auto"/>
          <w:sz w:val="30"/>
          <w:szCs w:val="30"/>
          <w:highlight w:val="none"/>
        </w:rPr>
      </w:pPr>
      <w:r>
        <w:rPr>
          <w:rStyle w:val="830"/>
          <w:rFonts w:hint="eastAsia" w:ascii="宋体" w:hAnsi="宋体" w:eastAsia="宋体" w:cs="宋体"/>
          <w:color w:val="auto"/>
          <w:sz w:val="30"/>
          <w:szCs w:val="30"/>
          <w:highlight w:val="none"/>
        </w:rPr>
        <w:t xml:space="preserve">采购编号：</w:t>
      </w:r>
      <w:r>
        <w:rPr>
          <w:rStyle w:val="830"/>
          <w:rFonts w:hint="eastAsia" w:ascii="宋体" w:hAnsi="宋体" w:eastAsia="宋体" w:cs="宋体"/>
          <w:color w:val="auto"/>
          <w:sz w:val="30"/>
          <w:szCs w:val="30"/>
          <w:highlight w:val="none"/>
          <w:u w:val="single"/>
        </w:rPr>
        <w:t xml:space="preserve">  </w:t>
      </w:r>
      <w:r>
        <w:rPr>
          <w:rStyle w:val="830"/>
          <w:rFonts w:hint="eastAsia" w:ascii="宋体" w:hAnsi="宋体" w:cs="宋体"/>
          <w:color w:val="auto"/>
          <w:sz w:val="30"/>
          <w:szCs w:val="30"/>
          <w:highlight w:val="none"/>
          <w:u w:val="single"/>
          <w:lang w:eastAsia="zh-CN"/>
        </w:rPr>
        <w:t xml:space="preserve">JSZC-320500-SZRQ-G2024-0047</w:t>
      </w:r>
      <w:r>
        <w:rPr>
          <w:rStyle w:val="830"/>
          <w:rFonts w:hint="eastAsia" w:ascii="宋体" w:hAnsi="宋体" w:eastAsia="宋体" w:cs="宋体"/>
          <w:color w:val="auto"/>
          <w:sz w:val="30"/>
          <w:szCs w:val="30"/>
          <w:highlight w:val="none"/>
          <w:u w:val="single"/>
        </w:rPr>
        <w:t xml:space="preserve">  </w:t>
      </w:r>
      <w:r/>
    </w:p>
    <w:p>
      <w:pPr>
        <w:pStyle w:val="858"/>
        <w:ind w:firstLine="1205"/>
        <w:spacing w:before="75" w:beforeAutospacing="0" w:after="75" w:afterAutospacing="0"/>
        <w:widowControl/>
        <w:rPr>
          <w:rFonts w:hint="eastAsia" w:ascii="宋体" w:hAnsi="宋体" w:eastAsia="宋体" w:cs="宋体"/>
          <w:color w:val="auto"/>
          <w:highlight w:val="none"/>
        </w:rPr>
      </w:pPr>
      <w:r>
        <w:rPr>
          <w:rStyle w:val="830"/>
          <w:rFonts w:hint="eastAsia" w:ascii="宋体" w:hAnsi="宋体" w:eastAsia="宋体" w:cs="宋体"/>
          <w:color w:val="auto"/>
          <w:sz w:val="30"/>
          <w:szCs w:val="30"/>
          <w:highlight w:val="none"/>
        </w:rPr>
        <w:t xml:space="preserve">项目名称：</w:t>
      </w:r>
      <w:r>
        <w:rPr>
          <w:rStyle w:val="830"/>
          <w:rFonts w:hint="eastAsia" w:ascii="宋体" w:hAnsi="宋体" w:eastAsia="宋体" w:cs="宋体"/>
          <w:color w:val="auto"/>
          <w:sz w:val="30"/>
          <w:szCs w:val="30"/>
          <w:highlight w:val="none"/>
          <w:u w:val="single"/>
        </w:rPr>
        <w:t xml:space="preserve"> </w:t>
      </w:r>
      <w:r>
        <w:rPr>
          <w:rStyle w:val="830"/>
          <w:rFonts w:hint="eastAsia" w:ascii="宋体" w:hAnsi="宋体" w:cs="宋体"/>
          <w:color w:val="auto"/>
          <w:sz w:val="30"/>
          <w:szCs w:val="30"/>
          <w:highlight w:val="none"/>
          <w:u w:val="single"/>
          <w:lang w:val="en-US" w:eastAsia="zh-CN"/>
        </w:rPr>
        <w:t xml:space="preserve"> </w:t>
      </w:r>
      <w:r>
        <w:rPr>
          <w:rStyle w:val="830"/>
          <w:rFonts w:hint="eastAsia" w:ascii="宋体" w:hAnsi="宋体" w:cs="宋体"/>
          <w:color w:val="auto"/>
          <w:sz w:val="30"/>
          <w:szCs w:val="30"/>
          <w:highlight w:val="none"/>
          <w:u w:val="single"/>
          <w:lang w:eastAsia="zh-CN"/>
        </w:rPr>
        <w:t xml:space="preserve">桐泾公园儿童乐园管理与经营服务采购</w:t>
      </w:r>
      <w:r>
        <w:rPr>
          <w:rStyle w:val="830"/>
          <w:rFonts w:hint="eastAsia" w:ascii="宋体" w:hAnsi="宋体" w:eastAsia="宋体" w:cs="宋体"/>
          <w:color w:val="auto"/>
          <w:sz w:val="30"/>
          <w:szCs w:val="30"/>
          <w:highlight w:val="none"/>
          <w:u w:val="single"/>
        </w:rPr>
        <w:t xml:space="preserve">   </w:t>
      </w:r>
      <w:r/>
    </w:p>
    <w:p>
      <w:pPr>
        <w:pStyle w:val="858"/>
        <w:ind w:firstLine="1205"/>
        <w:spacing w:before="75" w:beforeAutospacing="0" w:after="75" w:afterAutospacing="0"/>
        <w:widowControl/>
        <w:rPr>
          <w:rFonts w:hint="eastAsia" w:ascii="宋体" w:hAnsi="宋体" w:eastAsia="宋体" w:cs="宋体"/>
          <w:color w:val="auto"/>
          <w:highlight w:val="none"/>
        </w:rPr>
      </w:pPr>
      <w:r>
        <w:rPr>
          <w:rStyle w:val="830"/>
          <w:rFonts w:hint="eastAsia" w:ascii="宋体" w:hAnsi="宋体" w:eastAsia="宋体" w:cs="宋体"/>
          <w:color w:val="auto"/>
          <w:sz w:val="30"/>
          <w:szCs w:val="30"/>
          <w:highlight w:val="none"/>
        </w:rPr>
        <w:t xml:space="preserve">采 购 人：</w:t>
      </w:r>
      <w:r>
        <w:rPr>
          <w:rStyle w:val="830"/>
          <w:rFonts w:hint="eastAsia" w:ascii="宋体" w:hAnsi="宋体" w:eastAsia="宋体" w:cs="宋体"/>
          <w:color w:val="auto"/>
          <w:sz w:val="30"/>
          <w:szCs w:val="30"/>
          <w:highlight w:val="none"/>
          <w:u w:val="single"/>
        </w:rPr>
        <w:t xml:space="preserve">  </w:t>
      </w:r>
      <w:r>
        <w:rPr>
          <w:rStyle w:val="830"/>
          <w:rFonts w:hint="eastAsia" w:ascii="宋体" w:hAnsi="宋体" w:cs="宋体"/>
          <w:color w:val="auto"/>
          <w:sz w:val="30"/>
          <w:szCs w:val="30"/>
          <w:highlight w:val="none"/>
          <w:u w:val="single"/>
          <w:lang w:eastAsia="zh-CN"/>
        </w:rPr>
        <w:t xml:space="preserve">苏州市城市公园管理处（苏州市绿化指导站）</w:t>
      </w:r>
      <w:r>
        <w:rPr>
          <w:rStyle w:val="830"/>
          <w:rFonts w:hint="eastAsia" w:ascii="宋体" w:hAnsi="宋体" w:eastAsia="宋体" w:cs="宋体"/>
          <w:color w:val="auto"/>
          <w:sz w:val="30"/>
          <w:szCs w:val="30"/>
          <w:highlight w:val="none"/>
          <w:u w:val="single"/>
        </w:rPr>
        <w:t xml:space="preserve">     </w:t>
      </w:r>
      <w:r/>
    </w:p>
    <w:p>
      <w:pPr>
        <w:pStyle w:val="858"/>
        <w:ind w:firstLine="1205"/>
        <w:spacing w:before="75" w:beforeAutospacing="0" w:after="75" w:afterAutospacing="0"/>
        <w:widowControl/>
        <w:rPr>
          <w:rStyle w:val="830"/>
          <w:rFonts w:hint="eastAsia" w:ascii="宋体" w:hAnsi="宋体" w:eastAsia="宋体" w:cs="宋体"/>
          <w:color w:val="auto"/>
          <w:sz w:val="30"/>
          <w:szCs w:val="30"/>
          <w:highlight w:val="none"/>
        </w:rPr>
      </w:pPr>
      <w:r>
        <w:rPr>
          <w:rStyle w:val="830"/>
          <w:rFonts w:hint="eastAsia" w:ascii="宋体" w:hAnsi="宋体" w:eastAsia="宋体" w:cs="宋体"/>
          <w:color w:val="auto"/>
          <w:sz w:val="30"/>
          <w:szCs w:val="30"/>
          <w:highlight w:val="none"/>
        </w:rPr>
        <w:t xml:space="preserve">采购代理机构：</w:t>
      </w:r>
      <w:r>
        <w:rPr>
          <w:rStyle w:val="830"/>
          <w:rFonts w:hint="eastAsia" w:ascii="宋体" w:hAnsi="宋体" w:eastAsia="宋体" w:cs="宋体"/>
          <w:color w:val="auto"/>
          <w:sz w:val="30"/>
          <w:szCs w:val="30"/>
          <w:highlight w:val="none"/>
          <w:u w:val="single"/>
        </w:rPr>
        <w:t xml:space="preserve">苏州睿乔招投标咨询服务有限公司    </w:t>
      </w:r>
      <w:r/>
    </w:p>
    <w:p>
      <w:pPr>
        <w:pStyle w:val="858"/>
        <w:ind w:firstLine="1205"/>
        <w:spacing w:before="75" w:beforeAutospacing="0" w:after="75" w:afterAutospacing="0"/>
        <w:widowControl/>
        <w:rPr>
          <w:rFonts w:hint="eastAsia" w:ascii="宋体" w:hAnsi="宋体" w:eastAsia="宋体" w:cs="宋体"/>
          <w:color w:val="auto"/>
          <w:highlight w:val="none"/>
        </w:rPr>
      </w:pPr>
      <w:r>
        <w:rPr>
          <w:rStyle w:val="830"/>
          <w:rFonts w:hint="eastAsia" w:ascii="宋体" w:hAnsi="宋体" w:eastAsia="宋体" w:cs="宋体"/>
          <w:color w:val="auto"/>
          <w:sz w:val="30"/>
          <w:szCs w:val="30"/>
          <w:highlight w:val="none"/>
        </w:rPr>
        <w:t xml:space="preserve">采购类别：</w:t>
      </w:r>
      <w:r>
        <w:rPr>
          <w:rStyle w:val="830"/>
          <w:rFonts w:hint="eastAsia" w:ascii="宋体" w:hAnsi="宋体" w:eastAsia="宋体" w:cs="宋体"/>
          <w:color w:val="auto"/>
          <w:sz w:val="30"/>
          <w:szCs w:val="30"/>
          <w:highlight w:val="none"/>
          <w:u w:val="single"/>
        </w:rPr>
        <w:t xml:space="preserve">  </w:t>
      </w:r>
      <w:r>
        <w:rPr>
          <w:rStyle w:val="830"/>
          <w:rFonts w:hint="eastAsia" w:ascii="宋体" w:hAnsi="宋体" w:cs="宋体"/>
          <w:color w:val="auto"/>
          <w:sz w:val="30"/>
          <w:szCs w:val="30"/>
          <w:highlight w:val="none"/>
          <w:u w:val="single"/>
          <w:lang w:val="en-US" w:eastAsia="zh-CN"/>
        </w:rPr>
        <w:t xml:space="preserve">服务</w:t>
      </w:r>
      <w:r>
        <w:rPr>
          <w:rStyle w:val="830"/>
          <w:rFonts w:hint="eastAsia" w:ascii="宋体" w:hAnsi="宋体" w:eastAsia="宋体" w:cs="宋体"/>
          <w:color w:val="auto"/>
          <w:sz w:val="30"/>
          <w:szCs w:val="30"/>
          <w:highlight w:val="none"/>
          <w:u w:val="single"/>
        </w:rPr>
        <w:t xml:space="preserve">类    </w:t>
      </w:r>
      <w:r/>
    </w:p>
    <w:p>
      <w:pPr>
        <w:pStyle w:val="858"/>
        <w:spacing w:before="75" w:beforeAutospacing="0" w:after="75" w:afterAutospacing="0"/>
        <w:widowControl/>
        <w:rPr>
          <w:rStyle w:val="830"/>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858"/>
        <w:jc w:val="center"/>
        <w:spacing w:before="75" w:beforeAutospacing="0" w:after="75" w:afterAutospacing="0"/>
        <w:widowControl/>
        <w:rPr>
          <w:rStyle w:val="83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8"/>
        <w:jc w:val="center"/>
        <w:spacing w:before="75" w:beforeAutospacing="0" w:after="75" w:afterAutospacing="0"/>
        <w:widowControl/>
        <w:rPr>
          <w:rStyle w:val="83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8"/>
        <w:jc w:val="both"/>
        <w:spacing w:before="75" w:beforeAutospacing="0" w:after="75" w:afterAutospacing="0"/>
        <w:widowControl/>
        <w:rPr>
          <w:rStyle w:val="83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8"/>
        <w:jc w:val="both"/>
        <w:spacing w:before="75" w:beforeAutospacing="0" w:after="75" w:afterAutospacing="0"/>
        <w:widowControl/>
        <w:rPr>
          <w:rStyle w:val="83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8"/>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35"/>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JSZC-320500-SZRQ-G2024-0047</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桐泾公园儿童乐园管理与经营服务采购</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val="en-US" w:eastAsia="zh-CN"/>
              </w:rPr>
              <w:t xml:space="preserve">陆佰万元整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lang w:eastAsia="zh-CN"/>
              </w:rPr>
              <w:t xml:space="preserve">00000.00）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苏州市城市公园管理处（苏州市绿化指导站）</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苏州市姑苏区公园路111号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陆雯华</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（0512）65119623</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李也菲、曹玲</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投标有效期：提交投标文件截止之日起　　</w:t>
            </w:r>
            <w:r>
              <w:rPr>
                <w:rFonts w:hint="eastAsia" w:ascii="宋体" w:hAnsi="宋体" w:eastAsia="宋体" w:cs="宋体"/>
                <w:color w:val="auto"/>
                <w:sz w:val="24"/>
                <w:highlight w:val="none"/>
              </w:rPr>
              <w:t xml:space="preserve">45</w:t>
            </w:r>
            <w:r>
              <w:rPr>
                <w:rFonts w:hint="eastAsia" w:ascii="宋体" w:hAnsi="宋体" w:eastAsia="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网上报名截止时间：</w:t>
            </w:r>
            <w:r>
              <w:rPr>
                <w:rFonts w:hint="eastAsia" w:ascii="宋体" w:hAnsi="宋体" w:cs="宋体"/>
                <w:color w:val="auto"/>
                <w:sz w:val="24"/>
                <w:highlight w:val="none"/>
                <w:lang w:eastAsia="zh-CN"/>
              </w:rPr>
              <w:t xml:space="preserve">2024年12月17日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2024年12月31日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w:t>
            </w:r>
            <w:r>
              <w:rPr>
                <w:rFonts w:hint="eastAsia" w:ascii="宋体" w:hAnsi="宋体" w:cs="宋体"/>
                <w:color w:val="auto"/>
                <w:sz w:val="24"/>
                <w:highlight w:val="none"/>
                <w:lang w:eastAsia="zh-CN"/>
              </w:rPr>
              <w:t xml:space="preserve">2024年12月31日</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根据苏财购告【2017】23号文件的收取中标服务费。领取中标通知书时供应商向招标代理机构一次性付清。由中标供应商支付，按照采购预算100万元以内1.5%、100～500万元以1.1%、500~1000万元以0.8%，1000万元~5000万元以0.5%，差额定率累进法计算并支付中标服务费。本项目代理服务费按人民币￥</w:t>
            </w:r>
            <w:r>
              <w:rPr>
                <w:rFonts w:hint="eastAsia" w:ascii="宋体" w:hAnsi="宋体" w:cs="宋体"/>
                <w:bCs/>
                <w:color w:val="auto"/>
                <w:sz w:val="24"/>
                <w:highlight w:val="none"/>
                <w:lang w:val="en-US" w:eastAsia="zh-CN"/>
              </w:rPr>
              <w:t xml:space="preserve">67000.00</w:t>
            </w:r>
            <w:r>
              <w:rPr>
                <w:rFonts w:hint="eastAsia" w:ascii="宋体" w:hAnsi="宋体" w:eastAsia="宋体" w:cs="宋体"/>
                <w:bCs/>
                <w:color w:val="auto"/>
                <w:sz w:val="24"/>
                <w:highlight w:val="none"/>
              </w:rPr>
              <w:t xml:space="preserve">计收</w:t>
            </w:r>
            <w:r>
              <w:rPr>
                <w:rFonts w:hint="eastAsia" w:ascii="宋体" w:hAnsi="宋体" w:eastAsia="宋体" w:cs="宋体"/>
                <w:bCs/>
                <w:color w:val="auto"/>
                <w:sz w:val="24"/>
                <w:highlight w:val="none"/>
                <w:shd w:val="clear" w:color="auto" w:fill="auto"/>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858"/>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675"/>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5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85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5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5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5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52"/>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8"/>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8"/>
        <w:jc w:val="center"/>
        <w:spacing w:before="75" w:beforeAutospacing="0" w:after="75" w:afterAutospacing="0" w:line="405" w:lineRule="atLeast"/>
        <w:widowControl/>
        <w:rPr>
          <w:rFonts w:hint="eastAsia" w:ascii="宋体" w:hAnsi="宋体" w:eastAsia="宋体" w:cs="宋体"/>
          <w:color w:val="auto"/>
          <w:highlight w:val="none"/>
        </w:rPr>
      </w:pPr>
      <w:r>
        <w:rPr>
          <w:rFonts w:hint="eastAsia" w:ascii="宋体" w:hAnsi="宋体" w:eastAsia="宋体" w:cs="宋体"/>
          <w:color w:val="auto"/>
          <w:sz w:val="36"/>
          <w:highlight w:val="none"/>
        </w:rPr>
        <w:t xml:space="preserve">第一章  投标邀请函</w:t>
      </w:r>
      <w:r/>
    </w:p>
    <w:p>
      <w:pPr>
        <w:pStyle w:val="848"/>
        <w:ind w:firstLine="7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苏州睿乔招投标咨询服务有限公司受</w:t>
      </w:r>
      <w:r>
        <w:rPr>
          <w:rFonts w:hint="eastAsia" w:ascii="宋体" w:hAnsi="宋体" w:eastAsia="宋体" w:cs="宋体"/>
          <w:bCs/>
          <w:color w:val="auto"/>
          <w:highlight w:val="none"/>
          <w:u w:val="single"/>
        </w:rPr>
        <w:t xml:space="preserve">  </w:t>
      </w:r>
      <w:r>
        <w:rPr>
          <w:rFonts w:hint="eastAsia" w:ascii="宋体" w:hAnsi="宋体" w:cs="宋体"/>
          <w:bCs/>
          <w:color w:val="auto"/>
          <w:highlight w:val="none"/>
          <w:u w:val="single"/>
          <w:lang w:eastAsia="zh-CN"/>
        </w:rPr>
        <w:t xml:space="preserve">苏州市城市公园管理处（苏州市绿化指导站）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委托，对</w:t>
      </w:r>
      <w:r>
        <w:rPr>
          <w:rFonts w:hint="eastAsia" w:ascii="宋体" w:hAnsi="宋体" w:cs="宋体"/>
          <w:bCs/>
          <w:color w:val="auto"/>
          <w:highlight w:val="none"/>
          <w:lang w:eastAsia="zh-CN"/>
        </w:rPr>
        <w:t xml:space="preserve">桐泾公园儿童乐园管理与经营服务采购</w:t>
      </w:r>
      <w:r>
        <w:rPr>
          <w:rFonts w:hint="eastAsia" w:ascii="宋体" w:hAnsi="宋体" w:eastAsia="宋体" w:cs="宋体"/>
          <w:bCs/>
          <w:color w:val="auto"/>
          <w:highlight w:val="none"/>
        </w:rPr>
        <w:t xml:space="preserve">进行国内公开招标，欢迎符合投标资格条件的供应商前来投标。</w:t>
      </w:r>
      <w:r/>
    </w:p>
    <w:p>
      <w:pPr>
        <w:pStyle w:val="848"/>
        <w:ind w:firstLine="482"/>
        <w:jc w:val="left"/>
        <w:keepLines w:val="0"/>
        <w:keepNext w:val="0"/>
        <w:pageBreakBefore w:val="0"/>
        <w:spacing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一、采购编号：</w:t>
      </w:r>
      <w:r>
        <w:rPr>
          <w:rFonts w:hint="eastAsia" w:ascii="宋体" w:hAnsi="宋体" w:cs="宋体"/>
          <w:b/>
          <w:bCs/>
          <w:color w:val="auto"/>
          <w:highlight w:val="none"/>
          <w:lang w:eastAsia="zh-CN"/>
        </w:rPr>
        <w:t xml:space="preserve">JSZC-320500-SZRQ-G2024-0047</w:t>
      </w:r>
      <w:r/>
    </w:p>
    <w:p>
      <w:pPr>
        <w:pStyle w:val="848"/>
        <w:ind w:firstLine="482"/>
        <w:jc w:val="left"/>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二、项目名称：</w:t>
      </w:r>
      <w:r>
        <w:rPr>
          <w:rFonts w:hint="eastAsia" w:ascii="宋体" w:hAnsi="宋体" w:cs="宋体"/>
          <w:b/>
          <w:bCs/>
          <w:color w:val="auto"/>
          <w:highlight w:val="none"/>
          <w:lang w:eastAsia="zh-CN"/>
        </w:rPr>
        <w:t xml:space="preserve">桐泾公园儿童乐园管理与经营服务采购</w:t>
      </w:r>
      <w:r>
        <w:rPr>
          <w:rFonts w:hint="eastAsia" w:ascii="宋体" w:hAnsi="宋体" w:eastAsia="宋体" w:cs="宋体"/>
          <w:b/>
          <w:bCs/>
          <w:color w:val="auto"/>
          <w:highlight w:val="none"/>
        </w:rPr>
        <w:t xml:space="preserve"> </w:t>
      </w:r>
      <w:r/>
    </w:p>
    <w:p>
      <w:pPr>
        <w:ind w:firstLine="482"/>
        <w:jc w:val="left"/>
        <w:keepLines w:val="0"/>
        <w:keepNext w:val="0"/>
        <w:pageBreakBefore w:val="0"/>
        <w:spacing w:line="360" w:lineRule="auto"/>
        <w:widowControl w:val="off"/>
        <w:rPr>
          <w:rFonts w:hint="default" w:ascii="宋体" w:hAnsi="宋体" w:cs="宋体"/>
          <w:color w:val="auto"/>
          <w:sz w:val="24"/>
          <w:highlight w:val="none"/>
          <w:lang w:val="en-US" w:eastAsia="zh-CN"/>
        </w:rPr>
        <w:outlineLvl w:val="9"/>
      </w:pPr>
      <w:r>
        <w:rPr>
          <w:rFonts w:hint="eastAsia" w:ascii="宋体" w:hAnsi="宋体" w:eastAsia="宋体" w:cs="宋体"/>
          <w:b/>
          <w:bCs/>
          <w:color w:val="auto"/>
          <w:sz w:val="24"/>
          <w:highlight w:val="none"/>
        </w:rPr>
        <w:t xml:space="preserve">三、预算金额</w:t>
      </w:r>
      <w:r>
        <w:rPr>
          <w:rFonts w:hint="eastAsia" w:ascii="宋体" w:hAnsi="宋体" w:eastAsia="宋体" w:cs="宋体"/>
          <w:bCs/>
          <w:color w:val="auto"/>
          <w:sz w:val="24"/>
          <w:highlight w:val="none"/>
        </w:rPr>
        <w:t xml:space="preserve">：</w:t>
      </w:r>
      <w:r>
        <w:rPr>
          <w:rFonts w:hint="eastAsia" w:ascii="宋体" w:hAnsi="宋体" w:cs="宋体"/>
          <w:color w:val="auto"/>
          <w:sz w:val="24"/>
          <w:highlight w:val="none"/>
          <w:lang w:val="en-US" w:eastAsia="zh-CN"/>
        </w:rPr>
        <w:t xml:space="preserve">陆佰万元整（¥：6000000.00）</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rPr>
        <w:outlineLvl w:val="9"/>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w:t>
      </w:r>
      <w:r/>
    </w:p>
    <w:p>
      <w:pPr>
        <w:pStyle w:val="848"/>
        <w:ind w:firstLine="482"/>
        <w:jc w:val="left"/>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四、采购需求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lang w:eastAsia="zh-CN"/>
        </w:rPr>
        <w:t xml:space="preserve">桐泾公园儿童乐园管理与经营服务采购</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三年（具体起始时间以签订合同为准）</w:t>
      </w:r>
      <w:r/>
    </w:p>
    <w:p>
      <w:pPr>
        <w:pStyle w:val="848"/>
        <w:ind w:firstLine="48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五、供应商的资格要求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（一）供应商应当具备下列一般条件：</w:t>
      </w:r>
      <w:r/>
    </w:p>
    <w:p>
      <w:pPr>
        <w:pStyle w:val="848"/>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pStyle w:val="848"/>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pStyle w:val="848"/>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pStyle w:val="848"/>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pStyle w:val="8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p>
      <w:pPr>
        <w:pStyle w:val="8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pStyle w:val="8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（二）供应商应当具备下列特殊条件：无</w:t>
      </w:r>
      <w:r/>
    </w:p>
    <w:p>
      <w:pPr>
        <w:pStyle w:val="8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本项目落实政府采购政策需满足的资格要求：</w:t>
      </w:r>
      <w:r>
        <w:rPr>
          <w:rFonts w:hint="eastAsia" w:ascii="宋体" w:hAnsi="宋体"/>
          <w:color w:val="auto"/>
          <w:sz w:val="24"/>
          <w:highlight w:val="none"/>
          <w:lang w:val="en-US" w:eastAsia="zh-CN"/>
        </w:rPr>
        <w:t xml:space="preserve">根据《政府采购促进中小企业发展管理办法》的相关规定，本项目专门面向中小企业，所属行业为其他未列明行业，供应商应为中小微企业、监狱企业、残疾人福利性单位。</w:t>
      </w:r>
      <w:r/>
    </w:p>
    <w:p>
      <w:pPr>
        <w:pStyle w:val="8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（三）拒绝下述供应商参加本次采购活动：</w:t>
      </w:r>
      <w:r/>
    </w:p>
    <w:p>
      <w:pPr>
        <w:pStyle w:val="8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highlight w:val="none"/>
        </w:rPr>
        <w:t xml:space="preserve">。</w:t>
      </w:r>
      <w:r/>
    </w:p>
    <w:p>
      <w:pPr>
        <w:pStyle w:val="8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4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（四）本项目不接受联合体投标。</w:t>
      </w:r>
      <w:r/>
    </w:p>
    <w:p>
      <w:pPr>
        <w:pStyle w:val="848"/>
        <w:ind w:firstLine="482"/>
        <w:spacing w:line="360" w:lineRule="auto"/>
        <w:rPr>
          <w:rFonts w:hint="eastAsia" w:ascii="宋体" w:hAnsi="宋体" w:eastAsia="宋体" w:cs="宋体"/>
          <w:color w:val="auto"/>
          <w:sz w:val="20"/>
          <w:highlight w:val="none"/>
        </w:rPr>
      </w:pPr>
      <w:r>
        <w:rPr>
          <w:rFonts w:hint="eastAsia" w:ascii="宋体" w:hAnsi="宋体" w:eastAsia="宋体" w:cs="宋体"/>
          <w:b/>
          <w:color w:val="auto"/>
          <w:highlight w:val="none"/>
        </w:rPr>
        <w:t xml:space="preserve">六、投标文件上传截止时间：</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投标文件上传截止时间：</w:t>
      </w:r>
      <w:r>
        <w:rPr>
          <w:rFonts w:hint="eastAsia" w:ascii="宋体" w:hAnsi="宋体" w:cs="宋体"/>
          <w:color w:val="auto"/>
          <w:sz w:val="24"/>
          <w:highlight w:val="none"/>
          <w:lang w:eastAsia="zh-CN"/>
        </w:rPr>
        <w:t xml:space="preserve">2024年12月31日</w:t>
      </w:r>
      <w:r>
        <w:rPr>
          <w:rFonts w:hint="eastAsia" w:ascii="宋体" w:hAnsi="宋体" w:cs="宋体"/>
          <w:color w:val="auto"/>
          <w:sz w:val="24"/>
          <w:highlight w:val="none"/>
          <w:lang w:val="en-US" w:eastAsia="zh-CN"/>
        </w:rPr>
        <w:t xml:space="preserve">10:30</w:t>
      </w:r>
      <w:r>
        <w:rPr>
          <w:rFonts w:hint="eastAsia" w:ascii="宋体" w:hAnsi="宋体" w:eastAsia="宋体" w:cs="宋体"/>
          <w:color w:val="auto"/>
          <w:sz w:val="24"/>
          <w:highlight w:val="none"/>
        </w:rPr>
        <w:t xml:space="preserve">（北京时间）</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637"/>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637"/>
        <w:ind w:left="0" w:firstLine="482"/>
        <w:keepLines w:val="0"/>
        <w:keepNext w:val="0"/>
        <w:pageBreakBefore w:val="0"/>
        <w:spacing w:line="360" w:lineRule="auto"/>
        <w:rPr>
          <w:rFonts w:hint="eastAsia" w:ascii="宋体" w:hAnsi="宋体" w:eastAsia="宋体" w:cs="宋体"/>
          <w:b/>
          <w:bCs/>
          <w:color w:val="auto"/>
          <w:sz w:val="24"/>
          <w:szCs w:val="22"/>
          <w:highlight w:val="none"/>
          <w:lang w:val="en-US" w:eastAsia="zh-CN" w:bidi="ar-SA"/>
        </w:rPr>
        <w:outlineLvl w:val="9"/>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、开标时间和地点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lang w:eastAsia="zh-CN"/>
        </w:rPr>
        <w:t xml:space="preserve">2024年12月31日</w:t>
      </w:r>
      <w:r>
        <w:rPr>
          <w:rFonts w:hint="eastAsia" w:ascii="宋体" w:hAnsi="宋体" w:cs="宋体"/>
          <w:color w:val="auto"/>
          <w:sz w:val="24"/>
          <w:highlight w:val="none"/>
          <w:lang w:val="en-US" w:eastAsia="zh-CN"/>
        </w:rPr>
        <w:t xml:space="preserve">10:30</w:t>
      </w:r>
      <w:r>
        <w:rPr>
          <w:rFonts w:hint="eastAsia" w:ascii="宋体" w:hAnsi="宋体" w:eastAsia="宋体" w:cs="宋体"/>
          <w:color w:val="auto"/>
          <w:sz w:val="24"/>
          <w:highlight w:val="none"/>
        </w:rPr>
        <w:t xml:space="preserve">（北京时间）</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lang w:val="en-US"/>
        </w:rPr>
        <w:outlineLvl w:val="9"/>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“苏采云”系统（网址：http://jszfcg.jsczt.cn/），响应文件网上递交，不需要现场参加采购活动，无需提供纸质响应文件。</w:t>
      </w:r>
      <w:r/>
    </w:p>
    <w:p>
      <w:pPr>
        <w:ind w:firstLine="482"/>
        <w:jc w:val="left"/>
        <w:keepLines w:val="0"/>
        <w:keepNext w:val="0"/>
        <w:pageBreakBefore w:val="0"/>
        <w:spacing w:line="360" w:lineRule="auto"/>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、采购项目联系人及联系方式：</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苏州市城市公园管理处（苏州市绿化指导站）</w:t>
      </w:r>
      <w:r>
        <w:rPr>
          <w:rFonts w:hint="eastAsia" w:ascii="宋体" w:hAnsi="宋体" w:eastAsia="宋体" w:cs="宋体"/>
          <w:color w:val="auto"/>
          <w:sz w:val="24"/>
          <w:highlight w:val="none"/>
        </w:rPr>
        <w:t xml:space="preserve"> </w:t>
      </w:r>
      <w:r/>
    </w:p>
    <w:p>
      <w:pPr>
        <w:ind w:firstLine="36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苏州市姑苏区公园路111号</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陆雯华</w:t>
      </w:r>
      <w:r>
        <w:rPr>
          <w:rFonts w:hint="eastAsia" w:ascii="宋体" w:hAnsi="宋体" w:eastAsia="宋体" w:cs="宋体"/>
          <w:color w:val="auto"/>
          <w:sz w:val="24"/>
          <w:highlight w:val="none"/>
        </w:rPr>
        <w:t xml:space="preserve">  </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（0512）65119623</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（二）采购代理机构：苏州睿乔招投标咨询服务有限公司</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址：苏州市吴中区南湖路71号天贸大厦西9楼</w:t>
      </w:r>
      <w:r/>
    </w:p>
    <w:p>
      <w:pPr>
        <w:ind w:firstLine="36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李也菲、曹玲</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215000</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请贵单位获取本次</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文件后，认真阅读各项内容，进行必要的投标准备，并按</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文件的要求详细填写和编制投标文件，准时参加投标。</w:t>
      </w:r>
      <w:r/>
    </w:p>
    <w:p>
      <w:pP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br w:type="page" w:clear="all"/>
      </w:r>
      <w:r/>
    </w:p>
    <w:p>
      <w:pPr>
        <w:pStyle w:val="858"/>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2.4响应：投标人根据采购代理机构或采购代理机构发布的</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6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3.1.6法律、行政法规规定的其他条件；</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3.2本项目落实政府采购政策需满足的资格要求：根据《政府采购促进中小企业发展管理办法》的相关规定，本项目专门面向中小企业采购</w:t>
      </w:r>
      <w:r>
        <w:rPr>
          <w:rFonts w:hint="eastAsia" w:ascii="宋体" w:hAnsi="宋体" w:eastAsia="宋体" w:cs="宋体"/>
          <w:color w:val="auto"/>
          <w:sz w:val="24"/>
          <w:szCs w:val="22"/>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6、联合体投标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w:t>
      </w:r>
      <w:r>
        <w:rPr>
          <w:rFonts w:hint="eastAsia" w:ascii="宋体" w:hAnsi="宋体" w:eastAsia="宋体" w:cs="宋体"/>
          <w:b/>
          <w:bCs/>
          <w:color w:val="auto"/>
          <w:sz w:val="24"/>
          <w:highlight w:val="none"/>
          <w:lang w:val="zh-CN" w:eastAsia="zh-CN"/>
        </w:rPr>
        <w:t xml:space="preserve">招标</w:t>
      </w:r>
      <w:r>
        <w:rPr>
          <w:rFonts w:hint="eastAsia" w:ascii="宋体" w:hAnsi="宋体" w:eastAsia="宋体" w:cs="宋体"/>
          <w:b/>
          <w:bCs/>
          <w:color w:val="auto"/>
          <w:sz w:val="24"/>
          <w:highlight w:val="none"/>
          <w:lang w:val="zh-CN"/>
        </w:rPr>
        <w:t xml:space="preserve">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w:t>
      </w:r>
      <w:r>
        <w:rPr>
          <w:rFonts w:hint="eastAsia" w:ascii="宋体" w:hAnsi="宋体" w:eastAsia="宋体" w:cs="宋体"/>
          <w:b/>
          <w:bCs/>
          <w:color w:val="auto"/>
          <w:sz w:val="24"/>
          <w:highlight w:val="none"/>
          <w:lang w:val="zh-CN" w:eastAsia="zh-CN"/>
        </w:rPr>
        <w:t xml:space="preserve">招标</w:t>
      </w:r>
      <w:r>
        <w:rPr>
          <w:rFonts w:hint="eastAsia" w:ascii="宋体" w:hAnsi="宋体" w:eastAsia="宋体" w:cs="宋体"/>
          <w:b/>
          <w:bCs/>
          <w:color w:val="auto"/>
          <w:sz w:val="24"/>
          <w:highlight w:val="none"/>
          <w:lang w:val="zh-CN"/>
        </w:rPr>
        <w:t xml:space="preserve">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文件由</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文件目录所列内容组成。投标人应详细阅读</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文件的全部内容，并认真审阅</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文件中所有的事项、格式、条款和规范要求等，若投标人的投标文件没有按</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文件要求提交全部资料，或投标文件没有对</w:t>
      </w:r>
      <w:r>
        <w:rPr>
          <w:rFonts w:hint="eastAsia" w:ascii="宋体" w:hAnsi="宋体" w:eastAsia="宋体" w:cs="宋体"/>
          <w:color w:val="auto"/>
          <w:sz w:val="24"/>
          <w:highlight w:val="none"/>
          <w:lang w:val="zh-CN" w:eastAsia="zh-CN"/>
        </w:rPr>
        <w:t xml:space="preserve">招标</w:t>
      </w:r>
      <w:r>
        <w:rPr>
          <w:rFonts w:hint="eastAsia" w:ascii="宋体" w:hAnsi="宋体" w:cs="宋体"/>
          <w:color w:val="auto"/>
          <w:sz w:val="24"/>
          <w:highlight w:val="none"/>
          <w:lang w:val="en-US" w:eastAsia="zh-CN"/>
        </w:rPr>
        <w:t xml:space="preserve">文</w:t>
      </w:r>
      <w:r>
        <w:rPr>
          <w:rFonts w:hint="eastAsia" w:ascii="宋体" w:hAnsi="宋体" w:eastAsia="宋体" w:cs="宋体"/>
          <w:color w:val="auto"/>
          <w:sz w:val="24"/>
          <w:highlight w:val="none"/>
          <w:lang w:val="zh-CN"/>
        </w:rPr>
        <w:t xml:space="preserve">件做出实质性响应，其风险由投标人自行承担，并根据有关条款规定，该投标有可能被拒绝。</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江苏政府采购网、苏州政府采购网</w:t>
      </w:r>
      <w:r>
        <w:rPr>
          <w:rFonts w:hint="eastAsia" w:ascii="宋体" w:hAnsi="宋体" w:eastAsia="宋体" w:cs="宋体"/>
          <w:bCs/>
          <w:color w:val="auto"/>
          <w:sz w:val="24"/>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rPr>
          <w:rFonts w:hint="eastAsia" w:ascii="宋体" w:hAnsi="宋体" w:cs="宋体"/>
          <w:bCs/>
          <w:color w:val="auto"/>
          <w:sz w:val="24"/>
          <w:highlight w:val="none"/>
          <w:lang w:val="en-US" w:eastAsia="zh-CN"/>
        </w:rPr>
        <w:t xml:space="preserve">若项目涉及</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（1）供应商的姓名或者名称（以营业执照副本复印件为准）、地址、邮编、联系人及联系电话；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曹玲</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文件的所有内容，按</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文件的要求提供投标文件，并保证所提供的全部资料的真实性，以使其投标对</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rPr>
          <w:rFonts w:hint="eastAsia" w:ascii="宋体" w:hAnsi="宋体" w:eastAsia="宋体" w:cs="宋体"/>
          <w:b/>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w:t>
      </w:r>
      <w:r>
        <w:rPr>
          <w:rFonts w:hint="eastAsia" w:ascii="宋体" w:hAnsi="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lang w:val="en-US" w:eastAsia="zh-CN"/>
        </w:rPr>
        <w:t xml:space="preserve">资格审查文件（资格审查文件中不可出现价格内容）</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投标单位《营业执照》</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响应单位证明其满足合格投标人条件的证书、证明、文件等资料以及响应单位所具备的专业设备和专业技术能力</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.12未被“信用中国”网站（www.creditchina.gov.cn）列入失信被执行人、重大税收违法案件当事人名单、政府采购严重失信行为记录名单；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w:t>
      </w:r>
      <w:r>
        <w:rPr>
          <w:rFonts w:hint="eastAsia" w:ascii="宋体" w:hAnsi="宋体" w:cs="宋体"/>
          <w:b/>
          <w:bCs w:val="0"/>
          <w:color w:val="auto"/>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2"/>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采购需求偏离表</w:t>
      </w:r>
      <w:r>
        <w:rPr>
          <w:rFonts w:hint="eastAsia" w:ascii="宋体" w:hAnsi="宋体" w:eastAsia="宋体" w:cs="宋体"/>
          <w:color w:val="auto"/>
          <w:sz w:val="24"/>
          <w:highlight w:val="none"/>
        </w:rPr>
        <w:t xml:space="preserve">；</w:t>
      </w:r>
      <w:r/>
    </w:p>
    <w:p>
      <w:pPr>
        <w:ind w:firstLine="482"/>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人员配备一览表</w:t>
      </w:r>
      <w:r>
        <w:rPr>
          <w:rFonts w:hint="eastAsia" w:ascii="宋体" w:hAnsi="宋体" w:eastAsia="宋体" w:cs="宋体"/>
          <w:color w:val="auto"/>
          <w:sz w:val="24"/>
          <w:highlight w:val="none"/>
        </w:rPr>
        <w:t xml:space="preserve">；</w:t>
      </w:r>
      <w:r/>
    </w:p>
    <w:p>
      <w:pPr>
        <w:ind w:firstLine="482"/>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.4其他有关符合性证明的文件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若有</w:t>
      </w:r>
      <w:r>
        <w:rPr>
          <w:rFonts w:hint="eastAsia" w:ascii="宋体" w:hAnsi="宋体" w:eastAsia="宋体" w:cs="宋体"/>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13.6.1评分标准中所涉及到的各项方案、相关制度及其他材料、证明等。</w:t>
      </w:r>
      <w:r/>
    </w:p>
    <w:p>
      <w:pPr>
        <w:ind w:left="0" w:firstLine="49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注：（1）以上13.</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13.</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ind w:left="0" w:firstLine="49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（2）以上13.</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.1-13.</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.3为符合性审查须提供的资料，投标人必须提供并加盖电子公章。否则，投标文件将被认定为未实质性响应。</w:t>
      </w:r>
      <w:r/>
    </w:p>
    <w:p>
      <w:pPr>
        <w:ind w:left="0" w:firstLine="49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（3）制作电子投标文件时必须与投标文件制作软件目录一一对应，将相关资料上传至相应模块。</w:t>
      </w:r>
      <w:r/>
    </w:p>
    <w:p>
      <w:pPr>
        <w:ind w:left="0" w:firstLine="49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p>
    <w:p>
      <w:pPr>
        <w:pStyle w:val="86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0"/>
      <w:r/>
      <w:bookmarkEnd w:id="1"/>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14.3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14.3.1除非合同中另有规定，投标人对《</w:t>
      </w:r>
      <w:r>
        <w:rPr>
          <w:rFonts w:hint="eastAsia" w:ascii="宋体" w:hAnsi="宋体" w:eastAsia="宋体" w:cs="宋体"/>
          <w:color w:val="auto"/>
          <w:sz w:val="24"/>
          <w:highlight w:val="none"/>
          <w:lang w:val="en-US" w:eastAsia="zh-CN"/>
        </w:rPr>
        <w:t xml:space="preserve">开标一览表</w:t>
      </w:r>
      <w:r>
        <w:rPr>
          <w:rFonts w:hint="eastAsia" w:ascii="宋体" w:hAnsi="宋体" w:eastAsia="宋体" w:cs="宋体"/>
          <w:color w:val="auto"/>
          <w:sz w:val="24"/>
          <w:highlight w:val="none"/>
          <w:lang w:val="zh-CN"/>
        </w:rPr>
        <w:t xml:space="preserve">》 中的全部内容的报价应</w:t>
      </w:r>
      <w:r>
        <w:rPr>
          <w:rFonts w:hint="eastAsia" w:ascii="宋体" w:hAnsi="宋体" w:cs="宋体"/>
          <w:color w:val="auto"/>
          <w:sz w:val="24"/>
          <w:szCs w:val="24"/>
          <w:highlight w:val="none"/>
          <w:lang w:val="en-US" w:eastAsia="zh-CN"/>
        </w:rPr>
        <w:t xml:space="preserve">包括但不限于完成该项目全部内容所需的人工费（含工资、奖金、社会保障金、人身意外险、加班费、等）其它在管理过程中发生的一切费用，还包括伙食费、设备、车辆、耗材、劳保、各种税费及政策性文件规定及合同包含的所有风险、责任、代理服务费等各项应有费用。</w:t>
      </w:r>
      <w:r>
        <w:rPr>
          <w:rFonts w:hint="eastAsia" w:ascii="宋体" w:hAnsi="宋体" w:eastAsia="宋体" w:cs="宋体"/>
          <w:color w:val="auto"/>
          <w:sz w:val="24"/>
          <w:highlight w:val="none"/>
          <w:lang w:val="zh-CN"/>
        </w:rPr>
        <w:t xml:space="preserve">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》中的全部内容计算单价和总价。《</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》中的每一单项均应计算并填写单价和总价，并由法定代表人或代理人签署</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本项目无需提供《公开分项报价》</w:t>
      </w:r>
      <w:r>
        <w:rPr>
          <w:rFonts w:hint="eastAsia" w:ascii="宋体" w:hAnsi="宋体" w:eastAsia="宋体" w:cs="宋体"/>
          <w:color w:val="auto"/>
          <w:sz w:val="24"/>
          <w:highlight w:val="none"/>
          <w:lang w:val="zh-CN"/>
        </w:rPr>
        <w:t xml:space="preserve">。</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14.3.3投标人应对</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文件内所要采购的全部内容进行报价，只投其中部分内容者，其标书将被拒绝。但如果</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文件要求分标段投标的，则各标段应分别计算填写单价和总价。</w:t>
      </w:r>
      <w:r>
        <w:rPr>
          <w:rFonts w:hint="eastAsia" w:ascii="宋体" w:hAnsi="宋体" w:cs="宋体"/>
          <w:color w:val="auto"/>
          <w:sz w:val="24"/>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14.3.6最低的投标报价或最高的折扣比例是中标的重要条件，但不是中标的唯一条件。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15、投标文件的签署</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    投标文件每一页均应加盖供应商电子签章.</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17.1自投标截止时间之日起__</w:t>
      </w:r>
      <w:r>
        <w:rPr>
          <w:rFonts w:hint="eastAsia" w:ascii="宋体" w:hAnsi="宋体" w:eastAsia="宋体" w:cs="宋体"/>
          <w:color w:val="auto"/>
          <w:sz w:val="24"/>
          <w:highlight w:val="none"/>
          <w:u w:val="single"/>
        </w:rPr>
        <w:t xml:space="preserve">45</w:t>
      </w:r>
      <w:r>
        <w:rPr>
          <w:rFonts w:hint="eastAsia" w:ascii="宋体" w:hAnsi="宋体" w:eastAsia="宋体" w:cs="宋体"/>
          <w:color w:val="auto"/>
          <w:sz w:val="24"/>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866"/>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p>
    <w:p>
      <w:pPr>
        <w:pStyle w:val="866"/>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p>
    <w:p>
      <w:pPr>
        <w:pStyle w:val="637"/>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866"/>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p>
    <w:p>
      <w:pPr>
        <w:pStyle w:val="86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86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6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866"/>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86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66"/>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p>
    <w:p>
      <w:pPr>
        <w:pStyle w:val="866"/>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Style w:val="831"/>
          <w:rFonts w:hint="eastAsia" w:ascii="宋体" w:hAnsi="宋体" w:eastAsia="宋体" w:cs="宋体"/>
          <w:bCs/>
          <w:color w:val="auto"/>
          <w:sz w:val="24"/>
          <w:highlight w:val="none"/>
        </w:rPr>
        <w:t xml:space="preserve">www.jscredit.gov.cn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）、诚信苏州（www.szcredit.gov.cn）的网站输入供应商全称或统一社会信用代码查询信用记录，并将查询结果递交评审小组</w:t>
      </w:r>
      <w:r>
        <w:rPr>
          <w:rFonts w:hint="eastAsia" w:ascii="宋体" w:hAnsi="宋体" w:eastAsia="宋体" w:cs="宋体"/>
          <w:color w:val="auto"/>
          <w:sz w:val="24"/>
          <w:highlight w:val="none"/>
          <w:lang w:val="zh-CN"/>
        </w:rPr>
        <w:t xml:space="preserve">。</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.4单位负责人为同一人或者存在直接控股、管理关系的不同供应商，不得参与同一合同项下的投标活动。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签署评标报告、推荐中标候选人并根据采购方委托从中</w:t>
      </w:r>
      <w:r>
        <w:rPr>
          <w:rFonts w:hint="eastAsia" w:ascii="宋体" w:hAnsi="宋体" w:eastAsia="宋体" w:cs="宋体"/>
          <w:color w:val="auto"/>
          <w:sz w:val="24"/>
          <w:highlight w:val="none"/>
          <w:lang w:val="zh-CN"/>
        </w:rPr>
        <w:t xml:space="preserve">确定中标人；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（三）评标方法和标准；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文件规定，从投标文件的有效性、完整性和对</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文件的响应程度进行审查，以确定是否对</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文件的实质性要求作出响应。投标人存在下列情况之一的，投标无效：</w:t>
      </w:r>
      <w:r/>
    </w:p>
    <w:p>
      <w:pPr>
        <w:ind w:firstLine="480"/>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（五）法律、法规和招标文件规定的其他无效情形。</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在系统中出现供应商“机器码一致”情形的。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866"/>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66"/>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w:t>
      </w:r>
      <w:r>
        <w:rPr>
          <w:rFonts w:hint="eastAsia" w:ascii="宋体" w:hAnsi="宋体" w:cs="宋体"/>
          <w:b/>
          <w:color w:val="auto"/>
          <w:sz w:val="24"/>
          <w:highlight w:val="none"/>
          <w:lang w:val="en-US" w:eastAsia="zh-CN"/>
        </w:rPr>
        <w:t xml:space="preserve">招标</w:t>
      </w:r>
      <w:r>
        <w:rPr>
          <w:rFonts w:hint="eastAsia" w:ascii="宋体" w:hAnsi="宋体" w:eastAsia="宋体" w:cs="宋体"/>
          <w:b/>
          <w:color w:val="auto"/>
          <w:sz w:val="24"/>
          <w:highlight w:val="none"/>
          <w:lang w:val="zh-CN"/>
        </w:rPr>
        <w:t xml:space="preserve">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在系统中出现供应商“机器码一致”情形的。</w:t>
      </w:r>
      <w:r/>
    </w:p>
    <w:p>
      <w:pPr>
        <w:ind w:firstLine="420"/>
        <w:spacing w:line="360" w:lineRule="auto"/>
        <w:tabs>
          <w:tab w:val="left" w:pos="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.2 废标后，采购代理机构将发布废标公告。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.2评价和比较采用综合评分法，评委会严格按照</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在满足招标文件实质性要求前提下，按照招标文件中规定的评分标准和各项因素进行综合评审后，以评标总得分最高的投标人作为中标候选人。</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八、发出中标通知书</w:t>
      </w:r>
      <w:r/>
    </w:p>
    <w:p>
      <w:pPr>
        <w:pStyle w:val="866"/>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苏财购告【2017】23号文件的收取中标服务费。领取中标通知书时供应商向招标代理机构一次性付清。由中标供应商支付，按照采购预算100万元以内1.5%、100～500万元以1.1%、500~1000万元以0.8%，1000万元~5000万元以0.5%，差额定率累进法计算并支付中标服务费。本项目代理服务费按人民币￥</w:t>
      </w:r>
      <w:r>
        <w:rPr>
          <w:rFonts w:hint="eastAsia" w:ascii="宋体" w:hAnsi="宋体" w:eastAsia="宋体" w:cs="宋体"/>
          <w:bCs/>
          <w:color w:val="auto"/>
          <w:sz w:val="24"/>
          <w:highlight w:val="none"/>
          <w:lang w:val="en-US" w:eastAsia="zh-CN"/>
        </w:rPr>
        <w:t xml:space="preserve">67000.00</w:t>
      </w:r>
      <w:r>
        <w:rPr>
          <w:rFonts w:hint="eastAsia" w:ascii="宋体" w:hAnsi="宋体" w:eastAsia="宋体" w:cs="宋体"/>
          <w:bCs/>
          <w:color w:val="auto"/>
          <w:sz w:val="24"/>
          <w:highlight w:val="none"/>
        </w:rPr>
        <w:t xml:space="preserve">计收。</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账户名：苏州睿乔招投标咨询服务有限公司 </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  号：1102020209000937813</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开户行：中国工商银行苏州道前支行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监督和公证</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p>
    <w:p>
      <w:pPr>
        <w:ind w:left="420" w:firstLine="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zh-CN"/>
        </w:rPr>
        <w:t xml:space="preserve">采购代理机构的开标、评标过程将通过公证机关进行公证。</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p>
    <w:p>
      <w:pPr>
        <w:ind w:firstLine="480"/>
        <w:spacing w:line="360" w:lineRule="auto"/>
        <w:rPr>
          <w:rStyle w:val="830"/>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p>
    <w:p>
      <w:pP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br w:type="page" w:clear="all"/>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对本章所有的投标书格式，投标方可根据自身情况进行补充和修改，但补充和修改不得造成与本格式内容有实质性的违背。</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备注：供应商如有授权委托，必须提供该法人授权委托书及</w:t>
      </w:r>
      <w:r>
        <w:rPr>
          <w:rFonts w:hint="eastAsia" w:ascii="宋体" w:hAnsi="宋体" w:eastAsia="宋体" w:cs="宋体"/>
          <w:b/>
          <w:color w:val="auto"/>
          <w:sz w:val="24"/>
          <w:szCs w:val="24"/>
          <w:highlight w:val="none"/>
          <w:lang w:val="en-US" w:eastAsia="zh-CN"/>
        </w:rPr>
        <w:t xml:space="preserve">法人和</w:t>
      </w:r>
      <w:r>
        <w:rPr>
          <w:rFonts w:hint="eastAsia" w:ascii="宋体" w:hAnsi="宋体" w:eastAsia="宋体" w:cs="宋体"/>
          <w:b/>
          <w:color w:val="auto"/>
          <w:sz w:val="24"/>
          <w:szCs w:val="24"/>
          <w:highlight w:val="none"/>
        </w:rPr>
        <w:t xml:space="preserve">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p>
    <w:p>
      <w:pPr>
        <w:pStyle w:val="666"/>
        <w:ind w:left="0" w:firstLine="482"/>
        <w:jc w:val="both"/>
        <w:keepLines w:val="0"/>
        <w:keepNext w:val="0"/>
        <w:pageBreakBefore w:val="0"/>
        <w:spacing w:before="0" w:beforeAutospacing="0" w:after="0" w:afterAutospacing="0" w:line="360" w:lineRule="auto"/>
        <w:widowControl/>
        <w:rPr>
          <w:rFonts w:hint="eastAsia" w:ascii="宋体" w:hAnsi="宋体" w:eastAsia="宋体" w:cs="宋体"/>
          <w:i w:val="0"/>
          <w:caps w:val="0"/>
          <w:color w:val="auto"/>
          <w:spacing w:val="0"/>
          <w:sz w:val="24"/>
          <w:szCs w:val="24"/>
          <w:highlight w:val="none"/>
          <w:lang w:eastAsia="zh-CN"/>
        </w:rPr>
        <w:outlineLvl w:val="9"/>
        <w:suppressLineNumbers w:val="0"/>
      </w:pPr>
      <w:r>
        <w:rPr>
          <w:rFonts w:hint="eastAsia" w:ascii="宋体" w:hAnsi="宋体" w:eastAsia="宋体" w:cs="宋体"/>
          <w:b/>
          <w:color w:val="auto"/>
          <w:sz w:val="24"/>
          <w:szCs w:val="24"/>
          <w:highlight w:val="none"/>
        </w:rPr>
        <w:t xml:space="preserve">供应商无授权委托的情况下，必须提供法定代表人身份证，否则响应无效。</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p>
      <w:pPr>
        <w:pStyle w:val="865"/>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1、我们愿意按照招标文件的一切要求，提供以上项目的所有内容，我们的投标</w:t>
      </w:r>
      <w:r>
        <w:rPr>
          <w:rFonts w:hint="eastAsia" w:ascii="宋体" w:hAnsi="宋体" w:eastAsia="宋体" w:cs="宋体"/>
          <w:bCs/>
          <w:color w:val="auto"/>
          <w:sz w:val="24"/>
          <w:highlight w:val="none"/>
        </w:rPr>
        <w:t xml:space="preserve">价格</w:t>
      </w:r>
      <w:r>
        <w:rPr>
          <w:rFonts w:hint="eastAsia" w:ascii="宋体" w:hAnsi="宋体" w:cs="宋体"/>
          <w:color w:val="auto"/>
          <w:sz w:val="24"/>
          <w:szCs w:val="24"/>
          <w:highlight w:val="none"/>
          <w:lang w:val="en-US" w:eastAsia="zh-CN"/>
        </w:rPr>
        <w:t xml:space="preserve">包括但不限于完成该项目全部内容所需的人工费（含工资、奖金、社会保障金、人身意外险、加班费、等）其它在管理过程中发生的一切费用，还包括伙食费、设备、车辆、耗材、劳保、各种税费及政策性文件规定及合同包含的所有风险、责任、代理服务费等各项应有费用。</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862"/>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3、我们同意按招标文件规定，本投标书的有效期限为自提交投标文件截止日起</w:t>
      </w:r>
      <w:r/>
    </w:p>
    <w:p>
      <w:pPr>
        <w:pStyle w:val="862"/>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4、我们愿意提供招标方在招标文件中要求的所有资料。</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5、我们认为你们有权决定中标者，还认为你们有权接受或拒绝所有的投标者。</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6、我们承诺人员上岗按国家规定执行。</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7、我们愿意遵守招标文件中所列的收费标准。</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9、如果我们中标，我们愿意在签订合同时按招标文件规定的标准向招标代理机构支付中标服务费；</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pStyle w:val="86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pStyle w:val="865"/>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p>
    <w:p>
      <w:pPr>
        <w:pStyle w:val="865"/>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p>
    <w:p>
      <w:pPr>
        <w:pStyle w:val="865"/>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        邮箱：                                     </w:t>
      </w:r>
      <w:r/>
    </w:p>
    <w:p>
      <w:pPr>
        <w:pStyle w:val="865"/>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865"/>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865"/>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highlight w:val="none"/>
        </w:rPr>
        <w:t xml:space="preserve">3、开标一览表：</w:t>
      </w:r>
      <w:r>
        <w:rPr>
          <w:rFonts w:hint="eastAsia" w:ascii="宋体" w:hAnsi="宋体" w:eastAsia="宋体" w:cs="宋体"/>
          <w:b/>
          <w:color w:val="auto"/>
          <w:sz w:val="24"/>
          <w:highlight w:val="none"/>
        </w:rPr>
        <w:t xml:space="preserve">按投标系统内统一格式</w:t>
      </w:r>
      <w:r/>
    </w:p>
    <w:p>
      <w:pPr>
        <w:numPr>
          <w:ilvl w:val="0"/>
          <w:numId w:val="0"/>
        </w:numPr>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r>
      <w:r/>
    </w:p>
    <w:p>
      <w:pPr>
        <w:numPr>
          <w:ilvl w:val="0"/>
          <w:numId w:val="0"/>
        </w:numPr>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注：</w:t>
      </w:r>
      <w:r/>
    </w:p>
    <w:p>
      <w:pPr>
        <w:numPr>
          <w:ilvl w:val="0"/>
          <w:numId w:val="0"/>
        </w:numPr>
        <w:ind w:firstLine="482"/>
        <w:spacing w:line="360" w:lineRule="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1、本项目以优惠率形式报价，项目营业收入分成方式采购单位与成交单位分成比例为52:48（成交单位最高分成比例为48%）。各供应商按照48%为基准价格投报优惠率，如：项目优惠5%，报价表中报价填写优惠率5%，则成交结算金额=营业收入*48%*（1-5%），以此类推。</w:t>
      </w:r>
      <w:r/>
    </w:p>
    <w:p>
      <w:pPr>
        <w:pStyle w:val="649"/>
        <w:ind w:firstLine="482"/>
        <w:spacing w:line="360" w:lineRule="auto"/>
        <w:rPr>
          <w:rFonts w:hint="default" w:ascii="宋体" w:hAnsi="宋体" w:eastAsia="宋体" w:cs="宋体"/>
          <w:b/>
          <w:bCs/>
          <w:color w:val="auto"/>
          <w:sz w:val="24"/>
          <w:highlight w:val="none"/>
          <w:lang w:val="en-US" w:eastAsia="zh-CN"/>
        </w:rPr>
      </w:pPr>
      <w:r>
        <w:rPr>
          <w:rFonts w:hint="eastAsia" w:hAnsi="宋体" w:cs="宋体"/>
          <w:b/>
          <w:bCs/>
          <w:color w:val="auto"/>
          <w:sz w:val="24"/>
          <w:highlight w:val="none"/>
          <w:lang w:val="en-US" w:eastAsia="zh-CN"/>
        </w:rPr>
        <w:t xml:space="preserve">2、本项目结算按照成交的营收分成比例进行结算，结算总金额不超过预算金额陆佰万元整（¥：6000000.00）</w:t>
      </w:r>
      <w:r/>
    </w:p>
    <w:p>
      <w:pPr>
        <w:pStyle w:val="64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649"/>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cs="宋体"/>
          <w:color w:val="auto"/>
          <w:sz w:val="24"/>
          <w:highlight w:val="none"/>
          <w:lang w:val="en-US" w:eastAsia="zh-CN"/>
        </w:rPr>
        <w:t xml:space="preserve">4</w:t>
      </w:r>
      <w:r>
        <w:rPr>
          <w:rFonts w:hint="eastAsia" w:hAnsi="宋体" w:eastAsia="宋体" w:cs="宋体"/>
          <w:color w:val="auto"/>
          <w:sz w:val="24"/>
          <w:highlight w:val="none"/>
        </w:rPr>
        <w:t xml:space="preserve">、</w:t>
      </w:r>
      <w:r>
        <w:rPr>
          <w:rFonts w:hint="eastAsia" w:hAnsi="宋体" w:eastAsia="宋体" w:cs="宋体"/>
          <w:color w:val="auto"/>
          <w:sz w:val="24"/>
          <w:highlight w:val="none"/>
          <w:lang w:val="en-US" w:eastAsia="zh-CN"/>
        </w:rPr>
        <w:t xml:space="preserve">采购需求偏离表</w:t>
      </w:r>
      <w:r/>
    </w:p>
    <w:p>
      <w:pPr>
        <w:pStyle w:val="649"/>
        <w:jc w:val="center"/>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649"/>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lang w:val="en-US" w:eastAsia="zh-CN"/>
        </w:rPr>
        <w:t xml:space="preserve">采购需求偏离表</w:t>
      </w:r>
      <w:r/>
    </w:p>
    <w:p>
      <w:pPr>
        <w:pStyle w:val="649"/>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649"/>
        <w:spacing w:line="360" w:lineRule="auto"/>
        <w:tabs>
          <w:tab w:val="left" w:pos="8930" w:leader="none"/>
          <w:tab w:val="left" w:pos="9306" w:leader="none"/>
        </w:tabs>
        <w:rPr>
          <w:rFonts w:hint="eastAsia" w:hAnsi="宋体" w:eastAsia="宋体" w:cs="宋体"/>
          <w:color w:val="auto"/>
          <w:sz w:val="24"/>
          <w:highlight w:val="none"/>
          <w:u w:val="single"/>
        </w:rPr>
      </w:pPr>
      <w:r>
        <w:rPr>
          <w:rFonts w:hint="eastAsia" w:hAnsi="宋体" w:eastAsia="宋体" w:cs="宋体"/>
          <w:color w:val="auto"/>
          <w:sz w:val="24"/>
          <w:highlight w:val="none"/>
        </w:rPr>
        <w:t xml:space="preserve">采购编号：</w:t>
      </w:r>
      <w:r>
        <w:rPr>
          <w:rFonts w:hint="eastAsia" w:hAnsi="宋体" w:eastAsia="宋体" w:cs="宋体"/>
          <w:color w:val="auto"/>
          <w:sz w:val="24"/>
          <w:highlight w:val="none"/>
          <w:u w:val="single"/>
        </w:rPr>
        <w:t xml:space="preserve">                      </w:t>
      </w:r>
      <w:r/>
    </w:p>
    <w:tbl>
      <w:tblPr>
        <w:tblStyle w:val="635"/>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5"/>
        <w:gridCol w:w="2555"/>
        <w:gridCol w:w="1931"/>
        <w:gridCol w:w="1771"/>
      </w:tblGrid>
      <w:tr>
        <w:trPr>
          <w:jc w:val="center"/>
          <w:trHeight w:val="454"/>
        </w:trPr>
        <w:tc>
          <w:tcPr>
            <w:tcW w:w="8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需求</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响应内容</w:t>
            </w:r>
            <w:r/>
          </w:p>
        </w:tc>
        <w:tc>
          <w:tcPr>
            <w:tcW w:w="19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7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bCs/>
          <w:color w:val="auto"/>
          <w:sz w:val="24"/>
          <w:highlight w:val="none"/>
        </w:rPr>
      </w:pPr>
      <w:r>
        <w:rPr>
          <w:rFonts w:hint="eastAsia"/>
          <w:bCs/>
          <w:color w:val="auto"/>
          <w:sz w:val="24"/>
          <w:highlight w:val="none"/>
        </w:rPr>
      </w:r>
      <w:r/>
    </w:p>
    <w:p>
      <w:pPr>
        <w:spacing w:line="360" w:lineRule="auto"/>
        <w:rPr>
          <w:rFonts w:hint="eastAsia"/>
          <w:bCs/>
          <w:color w:val="auto"/>
          <w:sz w:val="24"/>
          <w:highlight w:val="none"/>
        </w:rPr>
      </w:pPr>
      <w:r>
        <w:rPr>
          <w:rFonts w:hint="eastAsia"/>
          <w:bCs/>
          <w:color w:val="auto"/>
          <w:sz w:val="24"/>
          <w:highlight w:val="none"/>
        </w:rPr>
      </w:r>
      <w:r/>
    </w:p>
    <w:p>
      <w:pPr>
        <w:spacing w:line="360" w:lineRule="auto"/>
        <w:rPr>
          <w:rFonts w:hint="eastAsia"/>
          <w:bCs/>
          <w:color w:val="auto"/>
          <w:sz w:val="24"/>
          <w:highlight w:val="none"/>
        </w:rPr>
      </w:pPr>
      <w:r>
        <w:rPr>
          <w:rFonts w:hint="eastAsia"/>
          <w:bCs/>
          <w:color w:val="auto"/>
          <w:sz w:val="24"/>
          <w:highlight w:val="none"/>
        </w:rPr>
      </w:r>
      <w:r/>
    </w:p>
    <w:p>
      <w:pPr>
        <w:spacing w:line="360" w:lineRule="auto"/>
        <w:rPr>
          <w:bCs/>
          <w:color w:val="auto"/>
          <w:sz w:val="24"/>
          <w:highlight w:val="none"/>
        </w:rPr>
      </w:pPr>
      <w:r>
        <w:rPr>
          <w:rFonts w:hint="eastAsia"/>
          <w:bCs/>
          <w:color w:val="auto"/>
          <w:sz w:val="24"/>
          <w:highlight w:val="none"/>
        </w:rPr>
        <w:t xml:space="preserve">注：投标人应对照招标文件技术规格，逐条说明所提供货物和服务已对招标文件的技术规格做出了实质性的响应，并声明与技术规格条文的偏差和例外。特别对有具体参数要求的指标，投标人必须提供所投产品的具体参数值。未在上表中说明的，将被认为完全响应招标文件的规定。</w:t>
      </w:r>
      <w:r/>
    </w:p>
    <w:p>
      <w:pPr>
        <w:pStyle w:val="649"/>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865"/>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65"/>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67"/>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Cs/>
          <w:color w:val="auto"/>
          <w:sz w:val="24"/>
          <w:highlight w:val="none"/>
        </w:rPr>
      </w:pPr>
      <w:r>
        <w:rPr>
          <w:b/>
          <w:bCs/>
          <w:color w:val="auto"/>
          <w:sz w:val="24"/>
          <w:highlight w:val="none"/>
        </w:rPr>
        <w:br w:type="page" w:clear="all"/>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、人员配备一览表</w:t>
      </w:r>
      <w:r/>
    </w:p>
    <w:p>
      <w:pPr>
        <w:jc w:val="center"/>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人员配备一览表</w:t>
      </w:r>
      <w:r/>
    </w:p>
    <w:p>
      <w:pPr>
        <w:jc w:val="both"/>
        <w:spacing w:line="360" w:lineRule="auto"/>
        <w:widowControl w:val="off"/>
        <w:tabs>
          <w:tab w:val="left" w:pos="8930" w:leader="none"/>
          <w:tab w:val="left" w:pos="9306"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采购编号：</w:t>
      </w:r>
      <w:r>
        <w:rPr>
          <w:rFonts w:hint="eastAsia" w:ascii="宋体" w:hAnsi="宋体" w:eastAsia="宋体" w:cs="宋体"/>
          <w:color w:val="auto"/>
          <w:sz w:val="24"/>
          <w:szCs w:val="24"/>
          <w:highlight w:val="none"/>
          <w:u w:val="single"/>
          <w:lang w:val="en-US" w:eastAsia="zh-CN" w:bidi="ar-SA"/>
        </w:rPr>
        <w:t xml:space="preserve">                      </w:t>
      </w:r>
      <w:r/>
    </w:p>
    <w:p>
      <w:pPr>
        <w:pStyle w:val="637"/>
        <w:ind w:left="0" w:firstLine="0"/>
        <w:rPr>
          <w:rFonts w:hint="eastAsia"/>
          <w:color w:val="auto"/>
          <w:highlight w:val="none"/>
        </w:rPr>
      </w:pPr>
      <w:r>
        <w:rPr>
          <w:rFonts w:hint="eastAsia"/>
          <w:color w:val="auto"/>
          <w:highlight w:val="none"/>
        </w:rPr>
      </w:r>
      <w:r/>
    </w:p>
    <w:tbl>
      <w:tblPr>
        <w:tblStyle w:val="635"/>
        <w:tblW w:w="939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基本要求</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bl>
    <w:p>
      <w:pPr>
        <w:spacing w:line="360" w:lineRule="auto"/>
        <w:rPr>
          <w:bCs/>
          <w:color w:val="auto"/>
          <w:sz w:val="24"/>
          <w:highlight w:val="none"/>
        </w:rPr>
      </w:pPr>
      <w:r>
        <w:rPr>
          <w:bCs/>
          <w:color w:val="auto"/>
          <w:sz w:val="24"/>
          <w:highlight w:val="none"/>
        </w:rPr>
      </w:r>
      <w:r/>
    </w:p>
    <w:p>
      <w:pPr>
        <w:pStyle w:val="865"/>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65"/>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67"/>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b/>
          <w:bCs/>
          <w:color w:val="auto"/>
          <w:sz w:val="24"/>
          <w:highlight w:val="none"/>
        </w:rPr>
      </w:pPr>
      <w:r>
        <w:rPr>
          <w:b/>
          <w:bCs/>
          <w:color w:val="auto"/>
          <w:sz w:val="24"/>
          <w:highlight w:val="none"/>
        </w:rPr>
      </w:r>
      <w:r/>
    </w:p>
    <w:p>
      <w:pPr>
        <w:rPr>
          <w:rFonts w:hint="eastAsia"/>
          <w:color w:val="auto"/>
          <w:highlight w:val="none"/>
        </w:rPr>
      </w:pPr>
      <w:r/>
      <w:bookmarkStart w:id="2" w:name="_Toc73427854"/>
      <w:r>
        <w:rPr>
          <w:rFonts w:hint="eastAsia"/>
          <w:color w:val="auto"/>
          <w:highlight w:val="none"/>
        </w:rPr>
        <w:br w:type="page" w:clear="all"/>
      </w:r>
      <w:bookmarkEnd w:id="2"/>
      <w:r/>
    </w:p>
    <w:p>
      <w:pPr>
        <w:spacing w:line="360" w:lineRule="auto"/>
        <w:rPr>
          <w:rFonts w:hint="eastAsia" w:ascii="宋体" w:hAnsi="宋体" w:eastAsia="宋体" w:cs="宋体"/>
          <w:bCs/>
          <w:color w:val="auto"/>
          <w:sz w:val="24"/>
          <w:szCs w:val="24"/>
          <w:highlight w:val="none"/>
        </w:rPr>
      </w:pPr>
      <w:r>
        <w:rPr>
          <w:rFonts w:hint="eastAsia"/>
          <w:bCs/>
          <w:color w:val="auto"/>
          <w:sz w:val="24"/>
          <w:highlight w:val="none"/>
          <w:lang w:val="en-US" w:eastAsia="zh-CN"/>
        </w:rPr>
        <w:t xml:space="preserve">6</w:t>
      </w:r>
      <w:r>
        <w:rPr>
          <w:bCs/>
          <w:color w:val="auto"/>
          <w:sz w:val="24"/>
          <w:highlight w:val="none"/>
        </w:rPr>
        <w:t xml:space="preserve">、</w:t>
      </w:r>
      <w:r>
        <w:rPr>
          <w:rFonts w:hint="eastAsia" w:ascii="宋体" w:hAnsi="宋体" w:eastAsia="宋体" w:cs="宋体"/>
          <w:bCs/>
          <w:color w:val="auto"/>
          <w:sz w:val="24"/>
          <w:szCs w:val="24"/>
          <w:highlight w:val="none"/>
        </w:rPr>
        <w:t xml:space="preserve">服务方案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服务方案</w:t>
      </w:r>
      <w:r/>
    </w:p>
    <w:tbl>
      <w:tblPr>
        <w:tblStyle w:val="635"/>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numPr>
                <w:ilvl w:val="0"/>
                <w:numId w:val="0"/>
              </w:num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应针对本次招标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项目特点及区域的具体情况编写拟采取的服务方案。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可根据自身情况编写，本页不够可另加页附后。</w:t>
            </w:r>
            <w:r/>
          </w:p>
        </w:tc>
      </w:tr>
      <w:tr>
        <w:trPr>
          <w:trHeight w:val="970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rPr>
                <w:rFonts w:hint="eastAsia" w:ascii="宋体" w:hAnsi="宋体" w:eastAsia="宋体" w:cs="宋体"/>
                <w:color w:val="auto"/>
                <w:sz w:val="24"/>
                <w:highlight w:val="none"/>
                <w:u w:val="single"/>
              </w:rPr>
              <w:t xml:space="preserve">                              </w:t>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61"/>
        <w:spacing w:line="360" w:lineRule="auto"/>
        <w:tabs>
          <w:tab w:val="left" w:pos="8930" w:leader="none"/>
          <w:tab w:val="left" w:pos="9306" w:leader="none"/>
        </w:tabs>
        <w:rPr>
          <w:rStyle w:val="844"/>
          <w:rFonts w:hint="eastAsia" w:ascii="宋体" w:hAnsi="宋体" w:eastAsia="宋体" w:cs="宋体"/>
          <w:color w:val="auto"/>
          <w:sz w:val="24"/>
          <w:szCs w:val="24"/>
          <w:highlight w:val="none"/>
          <w:lang w:val="en-US" w:eastAsia="zh-CN"/>
        </w:rPr>
      </w:pPr>
      <w:r>
        <w:rPr>
          <w:rStyle w:val="844"/>
          <w:rFonts w:hint="eastAsia" w:hAnsi="宋体" w:eastAsia="宋体" w:cs="宋体"/>
          <w:color w:val="auto"/>
          <w:sz w:val="24"/>
          <w:szCs w:val="24"/>
          <w:highlight w:val="none"/>
          <w:lang w:val="en-US" w:eastAsia="zh-CN"/>
        </w:rPr>
        <w:t xml:space="preserve">7</w:t>
      </w:r>
      <w:r>
        <w:rPr>
          <w:rStyle w:val="844"/>
          <w:rFonts w:hint="eastAsia" w:ascii="宋体" w:hAnsi="宋体" w:eastAsia="宋体" w:cs="宋体"/>
          <w:color w:val="auto"/>
          <w:sz w:val="24"/>
          <w:szCs w:val="24"/>
          <w:highlight w:val="none"/>
          <w:lang w:val="en-US" w:eastAsia="zh-CN"/>
        </w:rPr>
        <w:t xml:space="preserve">、参加政府采购活动前三年内，在经营活动中没有重大违法记录声明</w:t>
      </w:r>
      <w:r/>
    </w:p>
    <w:p>
      <w:pPr>
        <w:pStyle w:val="861"/>
        <w:spacing w:line="360" w:lineRule="auto"/>
        <w:tabs>
          <w:tab w:val="left" w:pos="8930" w:leader="none"/>
          <w:tab w:val="left" w:pos="9306" w:leader="none"/>
        </w:tabs>
        <w:rPr>
          <w:rStyle w:val="844"/>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1"/>
        <w:spacing w:line="360" w:lineRule="auto"/>
        <w:tabs>
          <w:tab w:val="left" w:pos="8930" w:leader="none"/>
          <w:tab w:val="left" w:pos="9306" w:leader="none"/>
        </w:tabs>
        <w:rPr>
          <w:rStyle w:val="844"/>
          <w:rFonts w:hint="eastAsia" w:ascii="宋体" w:hAnsi="宋体" w:eastAsia="宋体" w:cs="宋体"/>
          <w:color w:val="auto"/>
          <w:sz w:val="24"/>
          <w:szCs w:val="24"/>
          <w:highlight w:val="none"/>
          <w:lang w:val="en-US" w:eastAsia="zh-CN"/>
        </w:rPr>
      </w:pPr>
      <w:r>
        <w:rPr>
          <w:rStyle w:val="844"/>
          <w:rFonts w:hint="eastAsia" w:ascii="宋体" w:hAnsi="宋体" w:eastAsia="宋体" w:cs="宋体"/>
          <w:color w:val="auto"/>
          <w:sz w:val="24"/>
          <w:szCs w:val="24"/>
          <w:highlight w:val="none"/>
          <w:u w:val="single"/>
          <w:lang w:val="en-US" w:eastAsia="zh-CN"/>
        </w:rPr>
        <w:t xml:space="preserve">苏州睿乔招投标咨询服务有限公司</w:t>
      </w:r>
      <w:r>
        <w:rPr>
          <w:rStyle w:val="844"/>
          <w:rFonts w:hint="eastAsia" w:ascii="宋体" w:hAnsi="宋体" w:eastAsia="宋体" w:cs="宋体"/>
          <w:color w:val="auto"/>
          <w:sz w:val="24"/>
          <w:szCs w:val="24"/>
          <w:highlight w:val="none"/>
          <w:lang w:val="en-US" w:eastAsia="zh-CN"/>
        </w:rPr>
        <w:t xml:space="preserve">：</w:t>
      </w:r>
      <w:r/>
    </w:p>
    <w:p>
      <w:pPr>
        <w:pStyle w:val="861"/>
        <w:ind w:firstLine="480"/>
        <w:keepLines w:val="0"/>
        <w:keepNext w:val="0"/>
        <w:pageBreakBefore w:val="0"/>
        <w:spacing w:line="360" w:lineRule="auto"/>
        <w:widowControl/>
        <w:tabs>
          <w:tab w:val="left" w:pos="8930" w:leader="none"/>
          <w:tab w:val="left" w:pos="9306" w:leader="none"/>
        </w:tabs>
        <w:rPr>
          <w:rStyle w:val="844"/>
          <w:rFonts w:hint="eastAsia" w:ascii="宋体" w:hAnsi="宋体" w:eastAsia="宋体" w:cs="宋体"/>
          <w:color w:val="auto"/>
          <w:sz w:val="24"/>
          <w:szCs w:val="24"/>
          <w:highlight w:val="none"/>
          <w:lang w:val="en-US" w:eastAsia="zh-CN"/>
        </w:rPr>
        <w:outlineLvl w:val="9"/>
      </w:pPr>
      <w:r>
        <w:rPr>
          <w:rStyle w:val="844"/>
          <w:rFonts w:hint="eastAsia" w:ascii="宋体" w:hAnsi="宋体" w:eastAsia="宋体" w:cs="宋体"/>
          <w:color w:val="auto"/>
          <w:sz w:val="24"/>
          <w:szCs w:val="24"/>
          <w:highlight w:val="none"/>
          <w:lang w:val="en-US" w:eastAsia="zh-CN"/>
        </w:rPr>
        <w:t xml:space="preserve">我单位</w:t>
      </w:r>
      <w:r>
        <w:rPr>
          <w:rStyle w:val="844"/>
          <w:rFonts w:hint="eastAsia" w:ascii="宋体" w:hAnsi="宋体" w:eastAsia="宋体" w:cs="宋体"/>
          <w:color w:val="auto"/>
          <w:sz w:val="24"/>
          <w:szCs w:val="24"/>
          <w:highlight w:val="none"/>
          <w:u w:val="single"/>
          <w:lang w:val="en-US" w:eastAsia="zh-CN"/>
        </w:rPr>
        <w:t xml:space="preserve">              </w:t>
      </w:r>
      <w:r>
        <w:rPr>
          <w:rStyle w:val="844"/>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844"/>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5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5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5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51"/>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br w:type="page" w:clear="all"/>
      </w:r>
      <w:r>
        <w:rPr>
          <w:rFonts w:hint="eastAsia" w:hAnsi="宋体" w:eastAsia="宋体" w:cs="宋体"/>
          <w:bCs/>
          <w:color w:val="auto"/>
          <w:sz w:val="24"/>
          <w:highlight w:val="none"/>
          <w:lang w:val="en-US" w:eastAsia="zh-CN"/>
        </w:rPr>
        <w:t xml:space="preserve">8</w:t>
      </w:r>
      <w:r>
        <w:rPr>
          <w:rFonts w:hint="eastAsia" w:ascii="宋体" w:hAnsi="宋体" w:eastAsia="宋体" w:cs="宋体"/>
          <w:color w:val="auto"/>
          <w:sz w:val="24"/>
          <w:highlight w:val="none"/>
        </w:rPr>
        <w:t xml:space="preserve">、资格证明文件</w:t>
      </w:r>
      <w:r/>
    </w:p>
    <w:p>
      <w:pPr>
        <w:pStyle w:val="637"/>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（1）关于资格文件的声明函</w:t>
      </w:r>
      <w:r/>
    </w:p>
    <w:p>
      <w:pPr>
        <w:pStyle w:val="637"/>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637"/>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37"/>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637"/>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37"/>
        <w:ind w:firstLine="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（2）投标单位情况表</w:t>
      </w:r>
      <w:r/>
    </w:p>
    <w:p>
      <w:pPr>
        <w:ind w:firstLine="4226"/>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635"/>
        <w:tblW w:w="94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       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最近3年内主要负责人有无经济犯罪被司法机关追究的情意及说明</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中小企业声明函（格式）</w:t>
      </w:r>
      <w:r/>
    </w:p>
    <w:p>
      <w:pPr>
        <w:numPr>
          <w:ilvl w:val="0"/>
          <w:numId w:val="0"/>
        </w:num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中小企业声明函（货物）</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（项目名称）采购活动，提供的货物全部由符合政策要求的中小企业制造。相关企业（含联合体中的中小企业、签订分包意向协议的中小企业） 的具体情况如下：</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文件中明确的所属行业） 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 型企业、微型企业）； </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文件中明确的所属行业）行业；制造商为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 企业、微型企业）；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企业名称（盖章）：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5"/>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中小企业声明函（工程、服务）</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文件中明确的所属行业）；承建（承接）企业为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文件中明确的所属行业）；承建（承接）企业为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 小型企业、微型企业）；</w:t>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r/>
    </w:p>
    <w:p>
      <w:pPr>
        <w:ind w:firstLine="6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5"/>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5"/>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5"/>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供应商：（单位盖章）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Style w:val="830"/>
          <w:rFonts w:hint="eastAsia" w:ascii="宋体" w:hAnsi="宋体" w:eastAsia="宋体" w:cs="宋体"/>
          <w:b w:val="0"/>
          <w:bCs/>
          <w:color w:val="auto"/>
          <w:sz w:val="36"/>
          <w:szCs w:val="36"/>
          <w:highlight w:val="none"/>
        </w:rPr>
      </w:pPr>
      <w:r>
        <w:rPr>
          <w:rStyle w:val="830"/>
          <w:rFonts w:hint="eastAsia" w:ascii="宋体" w:hAnsi="宋体" w:eastAsia="宋体" w:cs="宋体"/>
          <w:b w:val="0"/>
          <w:bCs/>
          <w:color w:val="auto"/>
          <w:sz w:val="36"/>
          <w:szCs w:val="36"/>
          <w:highlight w:val="none"/>
        </w:rPr>
        <w:br w:type="page" w:clear="all"/>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、投标（响应）保证承诺书（参考格式）</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投标（响应）保证承诺书</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文件规定向采购人提交履约保证金；</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文件规定向贵方缴纳采购代理费。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投标（响应）人：（盖公章）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Style w:val="830"/>
          <w:rFonts w:hint="eastAsia" w:ascii="宋体" w:hAnsi="宋体" w:eastAsia="宋体" w:cs="宋体"/>
          <w:b w:val="0"/>
          <w:bCs/>
          <w:color w:val="auto"/>
          <w:sz w:val="36"/>
          <w:szCs w:val="36"/>
          <w:highlight w:val="none"/>
        </w:rPr>
      </w:pPr>
      <w:r>
        <w:rPr>
          <w:rStyle w:val="830"/>
          <w:rFonts w:hint="eastAsia" w:ascii="宋体" w:hAnsi="宋体" w:eastAsia="宋体" w:cs="宋体"/>
          <w:b w:val="0"/>
          <w:bCs/>
          <w:color w:val="auto"/>
          <w:sz w:val="36"/>
          <w:szCs w:val="36"/>
          <w:highlight w:val="none"/>
        </w:rPr>
        <w:br w:type="page" w:clear="all"/>
      </w:r>
      <w:r/>
    </w:p>
    <w:p>
      <w:pPr>
        <w:pStyle w:val="858"/>
        <w:jc w:val="center"/>
        <w:spacing w:before="75" w:beforeAutospacing="0" w:after="75" w:afterAutospacing="0"/>
        <w:widowControl/>
        <w:rPr>
          <w:rStyle w:val="830"/>
          <w:rFonts w:hint="eastAsia" w:ascii="宋体" w:hAnsi="宋体" w:eastAsia="宋体" w:cs="宋体"/>
          <w:b w:val="0"/>
          <w:bCs/>
          <w:color w:val="auto"/>
          <w:sz w:val="36"/>
          <w:szCs w:val="36"/>
          <w:highlight w:val="none"/>
        </w:rPr>
      </w:pPr>
      <w:r>
        <w:rPr>
          <w:rStyle w:val="830"/>
          <w:rFonts w:hint="eastAsia" w:ascii="宋体" w:hAnsi="宋体" w:eastAsia="宋体" w:cs="宋体"/>
          <w:b w:val="0"/>
          <w:bCs/>
          <w:color w:val="auto"/>
          <w:sz w:val="36"/>
          <w:szCs w:val="36"/>
          <w:highlight w:val="none"/>
        </w:rPr>
        <w:t xml:space="preserve">第四章 招标书</w:t>
      </w:r>
      <w:r/>
    </w:p>
    <w:p>
      <w:pPr>
        <w:pStyle w:val="856"/>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苏州市城市公园管理处（苏州市绿化指导站）</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桐泾公园儿童乐园管理与经营服务采购</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JSZC-320500-SZRQ-G2024-0047</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桐泾公园儿童乐园管理与经营服务采购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三、招标项目内容：</w:t>
      </w:r>
      <w:r/>
    </w:p>
    <w:p>
      <w:pPr>
        <w:ind w:firstLine="482"/>
        <w:spacing w:line="360" w:lineRule="auto"/>
        <w:rPr>
          <w:rFonts w:hint="default" w:ascii="宋体" w:hAnsi="宋体" w:eastAsia="宋体" w:cs="宋体"/>
          <w:b/>
          <w:bCs/>
          <w:color w:val="auto"/>
          <w:sz w:val="24"/>
          <w:highlight w:val="none"/>
        </w:rPr>
      </w:pPr>
      <w:r/>
      <w:bookmarkStart w:id="3" w:name="_Toc5922"/>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桐泾公园儿童游乐区基本情况</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1、公园基本情况描述</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桐泾公园位于桐泾路与解放路交界处东北角，占地约20万平方米，是苏州市中心城区最大的市级公园，全年免费开放。整个公园以一条环行双向车道为主干道环绕四周，沿主干道分布有入口区、儿童游乐区、中心景区、科学植物园区、生态休闲区和水景区等六大功能区。儿童游乐区占地面积约</w:t>
      </w:r>
      <w:r>
        <w:rPr>
          <w:rFonts w:hint="eastAsia" w:ascii="宋体" w:hAnsi="宋体" w:eastAsia="宋体" w:cs="宋体"/>
          <w:b/>
          <w:bCs/>
          <w:color w:val="auto"/>
          <w:sz w:val="24"/>
          <w:highlight w:val="none"/>
        </w:rPr>
        <w:t xml:space="preserve">8800㎡</w:t>
      </w:r>
      <w:r>
        <w:rPr>
          <w:rFonts w:hint="eastAsia" w:ascii="宋体" w:hAnsi="宋体" w:eastAsia="宋体" w:cs="宋体"/>
          <w:color w:val="auto"/>
          <w:sz w:val="24"/>
          <w:highlight w:val="none"/>
        </w:rPr>
        <w:t xml:space="preserve">，现有自控飞机、海底世界、儿童爬山车等儿童游乐项目，乐园计划于2024年底进行场地改造，改造预算约300万。包含整体地面改造；乐园入口提升;咖啡馆改造；新增游乐设施的配套；场地水电改造等。同时还将预算320万引进海盗船、碰碰车、高架车等游乐设施。</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2、游乐设备清单（此清单为乐园改造后设备清单）</w:t>
      </w:r>
      <w:r/>
    </w:p>
    <w:tbl>
      <w:tblPr>
        <w:tblStyle w:val="674"/>
        <w:tblW w:w="95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1920"/>
        <w:gridCol w:w="1920"/>
        <w:gridCol w:w="1920"/>
        <w:gridCol w:w="1912"/>
      </w:tblGrid>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游乐设备</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自控飞机</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B类</w:t>
            </w:r>
            <w:r>
              <w:rPr>
                <w:rFonts w:hint="eastAsia" w:ascii="宋体" w:hAnsi="宋体" w:cs="宋体"/>
                <w:color w:val="auto"/>
                <w:sz w:val="24"/>
                <w:highlight w:val="none"/>
                <w:lang w:val="en-US" w:eastAsia="zh-CN"/>
              </w:rPr>
              <w:t xml:space="preserve">设备</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海底世界</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碰碰车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B类</w:t>
            </w:r>
            <w:r>
              <w:rPr>
                <w:rFonts w:hint="eastAsia" w:ascii="宋体" w:hAnsi="宋体" w:eastAsia="宋体" w:cs="宋体"/>
                <w:color w:val="auto"/>
                <w:sz w:val="24"/>
                <w:highlight w:val="none"/>
                <w:lang w:val="en-US" w:eastAsia="zh-CN"/>
              </w:rPr>
              <w:t xml:space="preserve">设备</w:t>
            </w:r>
            <w:r/>
          </w:p>
        </w:tc>
      </w:tr>
      <w:tr>
        <w:trPr/>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海盗船</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B类</w:t>
            </w:r>
            <w:r>
              <w:rPr>
                <w:rFonts w:hint="eastAsia" w:ascii="宋体" w:hAnsi="宋体" w:eastAsia="宋体" w:cs="宋体"/>
                <w:color w:val="auto"/>
                <w:sz w:val="24"/>
                <w:highlight w:val="none"/>
                <w:lang w:val="en-US" w:eastAsia="zh-CN"/>
              </w:rPr>
              <w:t xml:space="preserve">设备</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太空漫步</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B类</w:t>
            </w:r>
            <w:r>
              <w:rPr>
                <w:rFonts w:hint="eastAsia" w:ascii="宋体" w:hAnsi="宋体" w:eastAsia="宋体" w:cs="宋体"/>
                <w:color w:val="auto"/>
                <w:sz w:val="24"/>
                <w:highlight w:val="none"/>
                <w:lang w:val="en-US" w:eastAsia="zh-CN"/>
              </w:rPr>
              <w:t xml:space="preserve">设备</w:t>
            </w:r>
            <w:r/>
          </w:p>
        </w:tc>
      </w:tr>
      <w:tr>
        <w:trPr/>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卡通车</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挖掘机</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儿童乐园管理内容及要求</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将儿童乐园内的卫生保洁、设施维护修缮等各类活动场所的日常管理，园区内一应游</w:t>
      </w:r>
      <w:r>
        <w:rPr>
          <w:rFonts w:hint="eastAsia" w:ascii="宋体" w:hAnsi="宋体" w:eastAsia="宋体" w:cs="宋体"/>
          <w:color w:val="auto"/>
          <w:sz w:val="24"/>
          <w:highlight w:val="none"/>
        </w:rPr>
        <w:t xml:space="preserve">乐设施运营；游客服务和安全管理。</w:t>
      </w:r>
      <w:r/>
    </w:p>
    <w:p>
      <w:pPr>
        <w:ind w:firstLine="480"/>
        <w:jc w:val="both"/>
        <w:spacing w:line="360" w:lineRule="auto"/>
        <w:widowControl w:val="off"/>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服务期限：三年</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1、游乐设备运行管理</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（1）游乐设备接待游客过程的检验票、安全操作、接待服务、秩序维护、卫生清洁、消毒消杀、应急处置等。</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（2）维修保养：日检、周检、月检、游乐设施隐患排查治理；常备易损耗零配件，及时处理机械故障</w:t>
      </w:r>
      <w:r>
        <w:rPr>
          <w:rFonts w:hint="eastAsia" w:ascii="宋体" w:hAnsi="宋体" w:cs="宋体"/>
          <w:color w:val="auto"/>
          <w:sz w:val="24"/>
          <w:szCs w:val="24"/>
          <w:highlight w:val="none"/>
          <w:lang w:val="en-US" w:eastAsia="zh-CN" w:bidi="ar-SA"/>
        </w:rPr>
        <w:t xml:space="preserve">，项目所涉及的维修材料配件费用均由中标方负责</w:t>
      </w:r>
      <w:bookmarkStart w:id="7" w:name="_GoBack"/>
      <w:r/>
      <w:bookmarkEnd w:id="7"/>
      <w:r>
        <w:rPr>
          <w:rFonts w:hint="eastAsia" w:ascii="宋体" w:hAnsi="宋体" w:cs="宋体"/>
          <w:color w:val="auto"/>
          <w:sz w:val="24"/>
          <w:szCs w:val="24"/>
          <w:highlight w:val="none"/>
          <w:lang w:val="en-US" w:eastAsia="zh-CN" w:bidi="ar-SA"/>
        </w:rPr>
        <w:t xml:space="preserve">。</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（3）为游乐设施的延期维修和报废更新提供必要的人力支持，做好过程的质量把控，安全监督，跟进进度。</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（4）保证游乐设备全运行</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（5）每年按要求完成相关设备年检</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（6）水电费由中标单位承担</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（7）收银刷卡系统费用及卡费由中标单位承担</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2、安全生产管理台账</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（1）完善儿童乐园应急预案体系：综合预案，专项应急预案及现场处置方案的修订；安全生产台账的及时更新。</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（2）落实上级单位关于电气火灾防治、节前安全防护、特别防护期、极端天气防护等专项行动的要求，并按要求上报所需的资料台账。每年整理年度安全生产考核台账，上交上级检查。</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3、基础设施维护</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儿童游乐区内供水、供电系统的巡查检修、维护保养，及时排除安全隐患，确保儿童游乐区配电房内电力设施、发电机房内发电设施、儿童游乐区配电箱及各建筑物的电力系统正常运行及各供水设施、儿童游乐区水管管道及水表运作正常，确保儿童游乐区绿化、消防、办公等正常供水供电。</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（2）确保儿童游乐区内票务系统、自助取票机等设备正常运行。</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人员要求</w:t>
      </w:r>
      <w:r/>
    </w:p>
    <w:p>
      <w:pPr>
        <w:ind w:firstLine="482"/>
        <w:jc w:val="both"/>
        <w:spacing w:line="360" w:lineRule="auto"/>
        <w:widowControl w:val="off"/>
        <w:rPr>
          <w:rFonts w:ascii="Times New Roman" w:hAnsi="Times New Roman" w:eastAsia="宋体" w:cs="Times New Roman"/>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1、项目经理（1人）</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（1）法定退休年龄以下，具有综合管理服务项目项目负责人经验，有良好沟通能力及管理能力。</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（2）须持有中华人民共和国特种设备作业人员（特种设备安全管理）证书，投标文件中提供证书复印件。</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对儿童乐园管理负责，按管理要求，全面开展好本服务项目；对管理部门指出的问题，在要求的期限内全面完成整改，并及时将整改情况反馈城市公园管理处；对儿童乐园综合管理服务项目提出完善性建议性意见，供城市公园管理处参考，以实现本服务项目的质量持续改进的目标；配合城市公园管理处开展相关管理活动；管理处要求的其它与本项目服务内容有关的工作。</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对执行队伍中的作业人员进行全面管理，制定各项管理制度，对其开展的各专项工作进行检查、考评，确保人员到位、服务质量达标；负责对执行队伍人员进行聘用、人员培训、合理分工、应急演练等；及时支付执行队伍人员的工资待遇福利，提供组织关怀，奖优罚劣，使各专业组人员积极主动勤勉工作；既直接管理又服务好执行队伍，使作业人员持续提升专业作业能力和作业效率；及时妥善解决好城市公园管理处及市民游客反馈的园内执行队伍在一线作业中存在的各类问题。</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定期收集市民游客对儿童乐园综合管理服务相关的各类意见和建议，对属于本服务项目服务范围内的合理意见和建议，提出相应措施方案，在工作中予以完善改进；对不属于本服务项目服务范围内的，书面整理后反馈城市公园管理处，并为完善改进市民游客服务体验提供技术指导支持。</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（6）积极配合乐园所涉及的特种设备安全监督检查工作，根据上级市场监督管理部门部署或者实际工作需要（包括不限于国检、省检、市检、机构的检测等），配合开展监督检查。</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须做好游乐设备日检、周检、月检和年度自检工作，并做好相应记录存档，负责按照游乐设备使用要求做好无损探伤和年度定期检验，并向招标单位提供相关报告。如游乐设备因日常使用导致部件损坏、损耗的，中标方负责维修和更换零配件。</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）儿童乐园管理部门要求完成的与本项目服务相关的其它工作。</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2、维修人员（3人）</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（1）法定退休年龄以下，具有相关维修经验。</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（2）本项目涉及游乐设备检修维护，至少配备一名专职游乐设备维修人员，须持有中华人民共和国特种设备作业人员（大型游乐设施维修）证书（旧证Y1），投标文件中提供证书复印件。</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负责游乐区水电等设施设备日常检修及维护、各类设施的日常维护及修缮、游乐设施（含操作室、围栏）维护保养工作。设备维护保养内容包含：设备检查、保养、维修、定期更换受力构件（零部件）、防腐除锈、油漆及玻璃钢构件翻新等工作。游乐园售票系统、自助取票机等设备维修维护弱电维修维护工作。</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3、游乐设备操作员14人（1项设备2个操作员标准，后续人员安排随设备变更而变化）</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（1）设备清单（此清单为乐园改造后设备清单）</w:t>
      </w:r>
      <w:r/>
    </w:p>
    <w:tbl>
      <w:tblPr>
        <w:tblStyle w:val="674"/>
        <w:tblW w:w="95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1920"/>
        <w:gridCol w:w="1920"/>
        <w:gridCol w:w="1920"/>
        <w:gridCol w:w="1912"/>
      </w:tblGrid>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游乐设备</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备注</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自控飞机</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B类</w:t>
            </w:r>
            <w:r>
              <w:rPr>
                <w:rFonts w:hint="eastAsia" w:ascii="宋体" w:hAnsi="宋体" w:cs="宋体"/>
                <w:color w:val="auto"/>
                <w:sz w:val="24"/>
                <w:highlight w:val="none"/>
                <w:lang w:val="en-US" w:eastAsia="zh-CN"/>
              </w:rPr>
              <w:t xml:space="preserve">设备，操作员须具有大型游乐设施操作证书</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海底世界</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碰碰车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B类</w:t>
            </w:r>
            <w:r>
              <w:rPr>
                <w:rFonts w:hint="eastAsia" w:ascii="宋体" w:hAnsi="宋体" w:eastAsia="宋体" w:cs="宋体"/>
                <w:color w:val="auto"/>
                <w:sz w:val="24"/>
                <w:highlight w:val="none"/>
                <w:lang w:val="en-US" w:eastAsia="zh-CN"/>
              </w:rPr>
              <w:t xml:space="preserve">设备</w:t>
            </w:r>
            <w:r>
              <w:rPr>
                <w:rFonts w:hint="eastAsia" w:ascii="宋体" w:hAnsi="宋体" w:cs="宋体"/>
                <w:color w:val="auto"/>
                <w:sz w:val="24"/>
                <w:highlight w:val="none"/>
                <w:lang w:val="en-US" w:eastAsia="zh-CN"/>
              </w:rPr>
              <w:t xml:space="preserve">，操作员须具有大型游乐设施操作证书</w:t>
            </w:r>
            <w:r/>
          </w:p>
        </w:tc>
      </w:tr>
      <w:tr>
        <w:trPr/>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海盗船</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B类</w:t>
            </w:r>
            <w:r>
              <w:rPr>
                <w:rFonts w:hint="eastAsia" w:ascii="宋体" w:hAnsi="宋体" w:eastAsia="宋体" w:cs="宋体"/>
                <w:color w:val="auto"/>
                <w:sz w:val="24"/>
                <w:highlight w:val="none"/>
                <w:lang w:val="en-US" w:eastAsia="zh-CN"/>
              </w:rPr>
              <w:t xml:space="preserve">设备</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操作员须具有大型游乐设施操作证书</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太空漫步</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B类</w:t>
            </w:r>
            <w:r>
              <w:rPr>
                <w:rFonts w:hint="eastAsia" w:ascii="宋体" w:hAnsi="宋体" w:eastAsia="宋体" w:cs="宋体"/>
                <w:color w:val="auto"/>
                <w:sz w:val="24"/>
                <w:highlight w:val="none"/>
                <w:lang w:val="en-US" w:eastAsia="zh-CN"/>
              </w:rPr>
              <w:t xml:space="preserve">设备</w:t>
            </w:r>
            <w:r>
              <w:rPr>
                <w:rFonts w:hint="eastAsia" w:ascii="宋体" w:hAnsi="宋体" w:cs="宋体"/>
                <w:color w:val="auto"/>
                <w:sz w:val="24"/>
                <w:highlight w:val="none"/>
                <w:lang w:val="en-US" w:eastAsia="zh-CN"/>
              </w:rPr>
              <w:t xml:space="preserve">，操作员须具有大型游乐设施操作证书</w:t>
            </w:r>
            <w:r/>
          </w:p>
        </w:tc>
      </w:tr>
      <w:tr>
        <w:trPr/>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卡通车</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shd w:val="clear" w:color="auto" w:fill="auto"/>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shd w:val="clear" w:color="auto" w:fill="auto"/>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挖掘机</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（1）男女不限，法定退休年龄以下，具备大型游乐设施操作经验。</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（2）检票、验票工作；负责维持排队区秩序；负责对游客的温馨提示；负责游乐设备区域的卫生清洁；负责检查游客是否符合乘坐条件；负责现场秩序的维护等。</w:t>
      </w:r>
      <w:r/>
    </w:p>
    <w:p>
      <w:pPr>
        <w:ind w:firstLine="480"/>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（3）负责突发事件的上报与初期应急处理；负责检查游客的安全装置是否系稳等安全运营工作。</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（4）本项目涉及游乐设备操作</w:t>
      </w:r>
      <w:r>
        <w:rPr>
          <w:rFonts w:hint="eastAsia" w:ascii="宋体" w:hAnsi="宋体" w:eastAsia="宋体" w:cs="宋体"/>
          <w:b w:val="0"/>
          <w:bCs w:val="0"/>
          <w:color w:val="auto"/>
          <w:sz w:val="24"/>
          <w:szCs w:val="24"/>
          <w:highlight w:val="none"/>
          <w:lang w:val="en-US" w:eastAsia="zh-CN" w:bidi="ar-SA"/>
        </w:rPr>
        <w:t xml:space="preserve">，至少配备10名专业人员，</w:t>
      </w:r>
      <w:r>
        <w:rPr>
          <w:rFonts w:hint="eastAsia" w:ascii="宋体" w:hAnsi="宋体" w:eastAsia="宋体" w:cs="宋体"/>
          <w:color w:val="auto"/>
          <w:sz w:val="24"/>
          <w:szCs w:val="24"/>
          <w:highlight w:val="none"/>
          <w:lang w:val="en-US" w:eastAsia="zh-CN" w:bidi="ar-SA"/>
        </w:rPr>
        <w:t xml:space="preserve">须持有中华人民共和国特种设备作业人员（大型游乐设施操作）证书（旧证Y2），投标文件中提供证书复印件。</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ascii="宋体" w:hAnsi="宋体" w:eastAsia="宋体" w:cs="宋体"/>
          <w:color w:val="auto"/>
          <w:sz w:val="24"/>
          <w:szCs w:val="24"/>
          <w:highlight w:val="none"/>
          <w:lang w:val="en-US" w:eastAsia="zh-CN" w:bidi="ar-SA"/>
        </w:rPr>
        <w:t xml:space="preserve">接受管理团队统一管理和专业培训，持续提升自身专业服务能力。</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在作业过程中，为市民游客提供力所能及的便利，包括但不限于解答市民游客疑问；听取市民游客提出的有关意见和建议及面临急需解决的问题，能立即整改的，马上解决，不能解决的代为反馈</w:t>
      </w:r>
      <w:r>
        <w:rPr>
          <w:rFonts w:hint="eastAsia" w:ascii="宋体" w:hAnsi="宋体" w:eastAsia="宋体" w:cs="宋体"/>
          <w:color w:val="auto"/>
          <w:sz w:val="24"/>
          <w:szCs w:val="24"/>
          <w:highlight w:val="none"/>
          <w:lang w:val="en-US" w:eastAsia="zh-CN" w:bidi="ar-SA"/>
        </w:rPr>
        <w:t xml:space="preserve">城市公园管理处</w:t>
      </w:r>
      <w:r>
        <w:rPr>
          <w:rFonts w:ascii="宋体" w:hAnsi="宋体" w:eastAsia="宋体" w:cs="宋体"/>
          <w:color w:val="auto"/>
          <w:sz w:val="24"/>
          <w:szCs w:val="24"/>
          <w:highlight w:val="none"/>
          <w:lang w:val="en-US" w:eastAsia="zh-CN" w:bidi="ar-SA"/>
        </w:rPr>
        <w:t xml:space="preserve">；遇到市民游客的不良游园行为，及时劝止，不听从的应立即向上反映，使问题得到第一时间处理；其它突发现场事件的应急处置。</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（7）每天安排一人负责闭园后设备关闭，电源上锁。</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做好“管理团队”和</w:t>
      </w:r>
      <w:r>
        <w:rPr>
          <w:rFonts w:hint="eastAsia" w:ascii="宋体" w:hAnsi="宋体" w:eastAsia="宋体" w:cs="宋体"/>
          <w:color w:val="auto"/>
          <w:sz w:val="24"/>
          <w:szCs w:val="24"/>
          <w:highlight w:val="none"/>
          <w:lang w:val="en-US" w:eastAsia="zh-CN" w:bidi="ar-SA"/>
        </w:rPr>
        <w:t xml:space="preserve">城市公园管理处</w:t>
      </w:r>
      <w:r>
        <w:rPr>
          <w:rFonts w:ascii="宋体" w:hAnsi="宋体" w:eastAsia="宋体" w:cs="宋体"/>
          <w:color w:val="auto"/>
          <w:sz w:val="24"/>
          <w:szCs w:val="24"/>
          <w:highlight w:val="none"/>
          <w:lang w:val="en-US" w:eastAsia="zh-CN" w:bidi="ar-SA"/>
        </w:rPr>
        <w:t xml:space="preserve">要求的与本服务项目相关的其它工作。</w:t>
      </w:r>
      <w:r/>
    </w:p>
    <w:p>
      <w:pPr>
        <w:ind w:firstLine="482"/>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4、儿童游乐区保洁、安保（2名保洁、2名保安）</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（1）男女不限，法定退休年龄以下，具备相关经验。</w:t>
      </w:r>
      <w:r/>
    </w:p>
    <w:p>
      <w:pPr>
        <w:ind w:firstLine="480"/>
        <w:spacing w:line="360" w:lineRule="auto"/>
        <w:rPr>
          <w:rFonts w:hint="default" w:ascii="宋体" w:hAnsi="宋体" w:eastAsia="宋体" w:cs="宋体"/>
          <w:b/>
          <w:bCs/>
          <w:color w:val="auto"/>
          <w:sz w:val="24"/>
          <w:highlight w:val="none"/>
        </w:rPr>
      </w:pPr>
      <w:r>
        <w:rPr>
          <w:rFonts w:hint="eastAsia" w:ascii="宋体" w:hAnsi="宋体" w:eastAsia="宋体" w:cs="宋体"/>
          <w:color w:val="auto"/>
          <w:sz w:val="24"/>
          <w:highlight w:val="none"/>
        </w:rPr>
        <w:t xml:space="preserve">（2）保安人员须持有保安员证书，投标文件中提供证书复印件。</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认真做好儿童游乐区内的安全保卫和环境卫生保洁工作。保安工作要做到切实保障游客生命财产的安全，保证良好的秩序；保洁工作要做到日清日扫、随时保洁，无垃圾和杂物，有其他任务时服从乐园安排。</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shd w:val="clear" w:color="auto" w:fill="auto"/>
          <w:lang w:val="en-US" w:eastAsia="zh-CN"/>
        </w:rPr>
        <w:t xml:space="preserve">（4）服务时间以成交后儿童游乐区实际开放时间为准，安保人员在闭园后需巡查整个儿童游乐区，确保离开时专业人员已把所有设备关闭且电源上锁。</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服务质量要求</w:t>
      </w:r>
      <w:r/>
    </w:p>
    <w:tbl>
      <w:tblPr>
        <w:tblStyle w:val="63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1014"/>
        <w:gridCol w:w="5323"/>
        <w:gridCol w:w="3081"/>
      </w:tblGrid>
      <w:tr>
        <w:trPr>
          <w:trHeight w:val="270"/>
        </w:trPr>
        <w:tc>
          <w:tcPr>
            <w:gridSpan w:val="2"/>
            <w:tcW w:w="1558"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服务内容</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质量要求</w:t>
            </w:r>
            <w:r/>
          </w:p>
        </w:tc>
      </w:tr>
      <w:tr>
        <w:trPr>
          <w:trHeight w:val="1350"/>
        </w:trPr>
        <w:tc>
          <w:tcPr>
            <w:tcW w:w="544" w:type="dxa"/>
            <w:vAlign w:val="center"/>
            <w:vMerge w:val="restart"/>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卫生保洁</w:t>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绿地保洁</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草坪、低矮地被、花坛、绿篱等绿地，一天打扫两次，早上下午各一次；其他时间连续保洁，随见随扫。</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应做到无建筑垃圾、无生活垃圾，无枯枝枯叶，落叶。</w:t>
            </w:r>
            <w:r/>
          </w:p>
        </w:tc>
      </w:tr>
      <w:tr>
        <w:trPr>
          <w:trHeight w:val="1135"/>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硬质地面保洁</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1、铺装场地早上下午各打扫一次，其他时间连续保洁，随见随扫。</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做到无积水、无积尘、无口香糖痕迹，无污迹见底色。</w:t>
            </w:r>
            <w:r/>
          </w:p>
        </w:tc>
      </w:tr>
      <w:tr>
        <w:trPr>
          <w:trHeight w:val="81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设施</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标示牌、园灯、围栏、宣传栏、橱窗、通讯设备箱等设施的外表面每两周抹洗一次。</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应做到洁净干爽，无灰尘、无污渍、无乱张贴、无乱涂画、无蛛网。</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建筑</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立柱面、内表面及屋顶、景墙、雕塑等一周保洁一次。</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应做到洁净干爽，无蛛网、无污渍、无张贴。</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垃圾清运</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1、每日定时清理垃圾，未能及时清运出场的垃圾应在当天转运至垃圾中转站，禁止随意堆放。</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2、运送垃圾的车辆符合相关部门要求。</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园内垃圾应做到日产日清。</w:t>
            </w:r>
            <w:r/>
          </w:p>
        </w:tc>
      </w:tr>
      <w:tr>
        <w:trPr>
          <w:trHeight w:val="2159"/>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转梯/转轮、滑梯等游乐设施</w:t>
            </w:r>
            <w:r/>
          </w:p>
        </w:tc>
        <w:tc>
          <w:tcPr>
            <w:tcW w:w="5323" w:type="dxa"/>
            <w:vAlign w:val="center"/>
            <w:textDirection w:val="lrTb"/>
            <w:noWrap w:val="false"/>
          </w:tcPr>
          <w:p>
            <w:pPr>
              <w:numPr>
                <w:ilvl w:val="0"/>
                <w:numId w:val="3"/>
              </w:num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用湿毛巾把转梯/转轮、滑梯等游乐设施表面上灰尘擦抺干净,如有污迹,倒少量清洁剂,用湿毛巾擦洗干净,再用干毛巾抹干</w:t>
            </w:r>
            <w:r/>
          </w:p>
          <w:p>
            <w:pPr>
              <w:numPr>
                <w:ilvl w:val="0"/>
                <w:numId w:val="3"/>
              </w:num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滑梯每半月清洗消毒一次以上</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表面干净光亮、无灰尘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污渍。</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沙池</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每月定期清理一次。</w:t>
            </w:r>
            <w:r/>
          </w:p>
        </w:tc>
        <w:tc>
          <w:tcPr>
            <w:tcW w:w="308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水环境保洁</w:t>
            </w:r>
            <w:r/>
          </w:p>
        </w:tc>
        <w:tc>
          <w:tcPr>
            <w:tcW w:w="5323"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涉水的游乐设备内水池，漂浮物及垃圾及时清理。</w:t>
            </w:r>
            <w:r/>
          </w:p>
        </w:tc>
        <w:tc>
          <w:tcPr>
            <w:tcW w:w="308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做到水面清洁无异味</w:t>
            </w:r>
            <w:r>
              <w:rPr>
                <w:rFonts w:hint="eastAsia" w:ascii="宋体" w:hAnsi="宋体" w:cs="宋体"/>
                <w:color w:val="auto"/>
                <w:sz w:val="24"/>
                <w:highlight w:val="none"/>
                <w:lang w:val="en-US" w:eastAsia="zh-CN"/>
              </w:rPr>
              <w:t xml:space="preserve">。</w:t>
            </w:r>
            <w:r/>
          </w:p>
        </w:tc>
      </w:tr>
      <w:tr>
        <w:trPr>
          <w:trHeight w:val="1076"/>
        </w:trPr>
        <w:tc>
          <w:tcPr>
            <w:tcW w:w="544" w:type="dxa"/>
            <w:vAlign w:val="center"/>
            <w:vMerge w:val="restart"/>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设施维护修缮</w:t>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特种设施</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变压器、水泵等专项设备定期检修，做好相关记录。</w:t>
            </w:r>
            <w:r/>
          </w:p>
        </w:tc>
        <w:tc>
          <w:tcPr>
            <w:tcW w:w="3081" w:type="dxa"/>
            <w:vAlign w:val="center"/>
            <w:vMerge w:val="restart"/>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1、确保各项设施设备完好及正常使用，常刷常新，干净整洁。</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2、修缮刷新所需物料须经管理处确认，并与原有材料同等或以上规格。</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3、安全文明施工，严格遵守儿童乐园相关规定。</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4、刷新维护需铲除原有底漆，刮腻子，刷漆三遍，确保表面均匀、光滑、整洁。</w:t>
            </w:r>
            <w:r/>
          </w:p>
        </w:tc>
      </w:tr>
      <w:tr>
        <w:trPr>
          <w:trHeight w:val="175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基础设施</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道路、广场、桥梁、照明、广播、标识等基础设施，游客中心、亭廊、座椅、雕塑等游憩、服务设施定期维护，外立面或内墙及时刷新。</w:t>
            </w:r>
            <w:r/>
          </w:p>
        </w:tc>
        <w:tc>
          <w:tcPr>
            <w:tcW w:w="3081"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27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水电抢修</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及时排查抢修水电等特殊设施设备。</w:t>
            </w:r>
            <w:r/>
          </w:p>
        </w:tc>
        <w:tc>
          <w:tcPr>
            <w:tcW w:w="3081"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540"/>
        </w:trPr>
        <w:tc>
          <w:tcPr>
            <w:tcW w:w="544" w:type="dxa"/>
            <w:vAlign w:val="center"/>
            <w:vMerge w:val="restart"/>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游乐设施运营管理</w:t>
            </w:r>
            <w:r/>
          </w:p>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服务管理</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统一着装，文明用语，做好游乐设施区域内的清洁卫生，维持秩序，不与游客产生冲突，统计游客数据</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做到无游客投诉</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安全管理</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每天接待游客前各游乐设施试运行不少于三次，操作员持证上岗，</w:t>
            </w:r>
            <w:r>
              <w:rPr>
                <w:rFonts w:hint="eastAsia" w:ascii="宋体" w:hAnsi="宋体" w:cs="宋体"/>
                <w:color w:val="auto"/>
                <w:sz w:val="24"/>
                <w:highlight w:val="none"/>
                <w:lang w:val="en-US" w:eastAsia="zh-CN"/>
              </w:rPr>
              <w:t xml:space="preserve">确保</w:t>
            </w:r>
            <w:r>
              <w:rPr>
                <w:rFonts w:hint="eastAsia" w:ascii="宋体" w:hAnsi="宋体" w:eastAsia="宋体" w:cs="宋体"/>
                <w:color w:val="auto"/>
                <w:sz w:val="24"/>
                <w:highlight w:val="none"/>
              </w:rPr>
              <w:t xml:space="preserve">做好应急处置，定期开展应急演练，完善安全管理台账，接受上级主管部门的安全检查</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无安全生产事故，及时整改上级主管部门的安全检查隐患</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滑梯等设施安全管理</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滑滑梯安全标识标牌应该要有“当心滑跌”、“安全有序滑滑梯”等字样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安保人员每天巡逻。</w:t>
            </w:r>
            <w:r/>
          </w:p>
        </w:tc>
        <w:tc>
          <w:tcPr>
            <w:tcW w:w="308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无安全生产事故，及时整改上级主管部门的安全检查隐患</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维护保养</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落实日检、周检、月检记录，做好相关记录完善维护保养台账；保证设备不带病运行，及时处理突发机械故障</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每月每台游乐设施突发故障不超过1次，无发生设备带病运行现象，发生故障时能及时处理</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检测检验</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做好游乐设施的年度自检、无损探伤、年度检验</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保证各大型游乐设施不超过检验期限</w:t>
            </w:r>
            <w:r/>
          </w:p>
        </w:tc>
      </w:tr>
      <w:tr>
        <w:trPr>
          <w:trHeight w:val="540"/>
        </w:trPr>
        <w:tc>
          <w:tcPr>
            <w:gridSpan w:val="2"/>
            <w:tcW w:w="1558"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公众服务</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根据城市公园管理处需求，配合管理处做好相关活动服务工作。</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确保相关活动安全顺利开展</w:t>
            </w:r>
            <w:r/>
          </w:p>
        </w:tc>
      </w:tr>
      <w:tr>
        <w:trPr>
          <w:trHeight w:val="540"/>
        </w:trPr>
        <w:tc>
          <w:tcPr>
            <w:gridSpan w:val="2"/>
            <w:tcW w:w="1558"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弱电系统维护</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定期检查弱电系统的运行稳定性，做到系统24小时的平稳运行。</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所有问题须在2小时内解决。若系统软件的故障在2小时内仍未处理完毕，须免费采取应急措施，并提供待用产品，在1个工作日内保证系统恢复正常运行，不影响儿童乐园的正常工作业务。</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确保弱电系统正常运行。</w:t>
            </w:r>
            <w:r/>
          </w:p>
        </w:tc>
      </w:tr>
      <w:tr>
        <w:trPr>
          <w:trHeight w:val="365"/>
        </w:trPr>
        <w:tc>
          <w:tcPr>
            <w:gridSpan w:val="2"/>
            <w:tcW w:w="1558"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电力保障系统维护保养检测</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定期（周、月）检查配电房内、发电机房内发电设施，园区配电箱及各建筑物的电力系统，消除安全隐患，消除故障</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确保各设施无安全隐患、无故障</w:t>
            </w:r>
            <w:r/>
          </w:p>
        </w:tc>
      </w:tr>
    </w:tbl>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）考核标准</w:t>
      </w:r>
      <w:r/>
    </w:p>
    <w:tbl>
      <w:tblPr>
        <w:tblStyle w:val="635"/>
        <w:tblW w:w="97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3"/>
        <w:gridCol w:w="1239"/>
        <w:gridCol w:w="4654"/>
        <w:gridCol w:w="3240"/>
      </w:tblGrid>
      <w:tr>
        <w:trPr>
          <w:jc w:val="center"/>
          <w:trHeight w:val="312"/>
        </w:trPr>
        <w:tc>
          <w:tcPr>
            <w:gridSpan w:val="2"/>
            <w:tcMar>
              <w:left w:w="10" w:type="dxa"/>
              <w:top w:w="10" w:type="dxa"/>
              <w:right w:w="10" w:type="dxa"/>
            </w:tcMar>
            <w:tcW w:w="1872"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问题类型</w:t>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扣罚内容</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扣款标准</w:t>
            </w:r>
            <w:r/>
          </w:p>
        </w:tc>
      </w:tr>
      <w:tr>
        <w:trPr>
          <w:jc w:val="center"/>
          <w:trHeight w:val="614"/>
        </w:trPr>
        <w:tc>
          <w:tcPr>
            <w:tcMar>
              <w:left w:w="10" w:type="dxa"/>
              <w:top w:w="10" w:type="dxa"/>
              <w:right w:w="10" w:type="dxa"/>
            </w:tcMar>
            <w:tcW w:w="633"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人员管理</w:t>
            </w:r>
            <w:r/>
          </w:p>
        </w:tc>
        <w:tc>
          <w:tcPr>
            <w:tcMar>
              <w:left w:w="10" w:type="dxa"/>
              <w:top w:w="10" w:type="dxa"/>
              <w:right w:w="10" w:type="dxa"/>
            </w:tcMar>
            <w:tcW w:w="1239"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人员资质</w:t>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项目</w:t>
            </w:r>
            <w:r>
              <w:rPr>
                <w:rFonts w:hint="eastAsia" w:ascii="宋体" w:hAnsi="宋体" w:eastAsia="宋体" w:cs="宋体"/>
                <w:color w:val="auto"/>
                <w:sz w:val="24"/>
                <w:szCs w:val="24"/>
                <w:highlight w:val="none"/>
                <w:lang w:val="en-US" w:eastAsia="zh-CN" w:bidi="ar-SA"/>
              </w:rPr>
              <w:t xml:space="preserve">经理</w:t>
            </w:r>
            <w:r>
              <w:rPr>
                <w:rFonts w:ascii="宋体" w:hAnsi="宋体" w:eastAsia="宋体" w:cs="宋体"/>
                <w:color w:val="auto"/>
                <w:sz w:val="24"/>
                <w:szCs w:val="24"/>
                <w:highlight w:val="none"/>
                <w:lang w:val="en-US" w:eastAsia="zh-CN" w:bidi="ar-SA"/>
              </w:rPr>
              <w:t xml:space="preserve">不能胜任岗位要求、不符合合同任职条件或未按中心规定履行变更审批手续。</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w:t>
            </w:r>
            <w:r>
              <w:rPr>
                <w:rFonts w:hint="eastAsia" w:ascii="宋体" w:hAnsi="宋体" w:eastAsia="宋体"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000元（每月扣减一次）。</w:t>
            </w:r>
            <w:r/>
          </w:p>
        </w:tc>
      </w:tr>
      <w:tr>
        <w:trPr>
          <w:jc w:val="center"/>
          <w:trHeight w:val="614"/>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要求持证上岗的人员未按规定持证上岗。</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每人每次扣减200元。（每月每人扣罚3次）</w:t>
            </w:r>
            <w:r/>
          </w:p>
        </w:tc>
      </w:tr>
      <w:tr>
        <w:trPr>
          <w:jc w:val="center"/>
          <w:trHeight w:val="314"/>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执行团队人员资质不符合合同要求。</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每人每次扣减500元。</w:t>
            </w:r>
            <w:r/>
          </w:p>
        </w:tc>
      </w:tr>
      <w:tr>
        <w:trPr>
          <w:jc w:val="center"/>
          <w:trHeight w:val="323"/>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人员</w:t>
            </w:r>
            <w:r/>
          </w:p>
        </w:tc>
        <w:tc>
          <w:tcP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项目负责人缺岗。</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每次扣减300元。</w:t>
            </w:r>
            <w:r/>
          </w:p>
        </w:tc>
      </w:tr>
      <w:tr>
        <w:trPr>
          <w:jc w:val="center"/>
          <w:trHeight w:val="270"/>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执行队伍月末统计不满勤。</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每班次扣500元（每班次指工作8小时）。</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考勤数据有误或打卡数据不符合要求</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每次扣减1000元。</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未依法发放人员工资或发放不及时（未依法发放人员工资待遇、津贴补贴、加班费、经济补偿金、代通知金等），造成不良影响、负面舆情或群众上访等情况。</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每次扣减1000元。</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未按要求定期开展培训或应急演练的。</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每次扣减500元。</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人员在岗存在不负责、不文明现象，如在岗时间玩手机、扎堆闲聊、吸烟，对待游客态度恶劣或言语粗鲁、发生语言或者肢体冲突，威胁游客安全等情况。</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每人每次扣减100元。</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在岗人员着装、装备及工具使用摆放不规范。</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每人次或每次扣减100元。</w:t>
            </w:r>
            <w:r/>
          </w:p>
        </w:tc>
      </w:tr>
      <w:tr>
        <w:trPr>
          <w:jc w:val="center"/>
          <w:trHeight w:val="312"/>
        </w:trPr>
        <w:tc>
          <w:tcPr>
            <w:gridSpan w:val="2"/>
            <w:tcMar>
              <w:left w:w="10" w:type="dxa"/>
              <w:top w:w="10" w:type="dxa"/>
              <w:right w:w="10" w:type="dxa"/>
            </w:tcMar>
            <w:tcW w:w="1872"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台账</w:t>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台账发现造假的。</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每次扣减200元。</w:t>
            </w:r>
            <w:r/>
          </w:p>
        </w:tc>
      </w:tr>
      <w:tr>
        <w:trPr>
          <w:jc w:val="center"/>
          <w:trHeight w:val="90"/>
        </w:trPr>
        <w:tc>
          <w:tcPr>
            <w:gridSpan w:val="2"/>
            <w:tcW w:w="1872"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机械设备管理</w:t>
            </w:r>
            <w:r/>
          </w:p>
        </w:tc>
        <w:tc>
          <w:tcP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未在规定时间内按合同约定配齐，或检查有缺少的。</w:t>
            </w:r>
            <w:r/>
          </w:p>
        </w:tc>
        <w:tc>
          <w:tcP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每台每次扣减200元。</w:t>
            </w:r>
            <w:r/>
          </w:p>
        </w:tc>
      </w:tr>
      <w:tr>
        <w:trPr>
          <w:jc w:val="center"/>
          <w:trHeight w:val="90"/>
        </w:trPr>
        <w:tc>
          <w:tcPr>
            <w:gridSpan w:val="2"/>
            <w:tcW w:w="1872"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未及时维修保养不能正常使用，或维保、使用台账不全的。</w:t>
            </w:r>
            <w:r/>
          </w:p>
        </w:tc>
        <w:tc>
          <w:tcP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每台每次扣减100元。</w:t>
            </w:r>
            <w:r/>
          </w:p>
        </w:tc>
      </w:tr>
      <w:tr>
        <w:trPr>
          <w:jc w:val="center"/>
          <w:trHeight w:val="90"/>
        </w:trPr>
        <w:tc>
          <w:tcPr>
            <w:gridSpan w:val="2"/>
            <w:shd w:val="clear" w:color="auto" w:fill="auto"/>
            <w:tcW w:w="1872"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响应情况</w:t>
            </w:r>
            <w:r/>
          </w:p>
        </w:tc>
        <w:tc>
          <w:tcPr>
            <w:shd w:val="clear" w:color="auto" w:fill="ffffff"/>
            <w:tcW w:w="4654"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各类检查、投诉、信访、媒体曝光等问题未处理、处理不及时或整改不到位等情况。出现其他未及时响应儿童乐园工作要求的情形。</w:t>
            </w:r>
            <w:r/>
          </w:p>
        </w:tc>
        <w:tc>
          <w:tcPr>
            <w:tcW w:w="3240"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经核实属中标单位责任的，每项扣减2000元。</w:t>
            </w:r>
            <w:r/>
          </w:p>
        </w:tc>
      </w:tr>
      <w:tr>
        <w:trPr>
          <w:jc w:val="center"/>
          <w:trHeight w:val="90"/>
        </w:trPr>
        <w:tc>
          <w:tcPr>
            <w:gridSpan w:val="2"/>
            <w:tcW w:w="1872"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4654"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未在规定时间内整改或整改不合格的，加扣100元。</w:t>
            </w:r>
            <w:r/>
          </w:p>
        </w:tc>
      </w:tr>
    </w:tbl>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四</w:t>
      </w:r>
      <w:r>
        <w:rPr>
          <w:rFonts w:hint="eastAsia" w:ascii="宋体" w:hAnsi="宋体" w:eastAsia="宋体" w:cs="宋体"/>
          <w:b w:val="0"/>
          <w:bCs/>
          <w:color w:val="auto"/>
          <w:sz w:val="24"/>
          <w:highlight w:val="none"/>
        </w:rPr>
        <w:t xml:space="preserve">、综合说明及其它要求：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1、本项目严禁将承包的服务转包他人。</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2、中标单位必须给上述人员按照国家及苏州市的有关规定支付工资和交纳正常的社会保险等。</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3、投标单位所提供的相关货物或服务应符合国家有关标准和规范，遵循招标文件的要求，并提供详细说明。</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4、供应商提供的技术资料必须真实、准确，如提供的参数虚假或对</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en-US" w:eastAsia="zh-CN"/>
        </w:rPr>
        <w:t xml:space="preserve">文件所要求说明的情况故意隐瞒或虚报，按《中华人民共和国政府采购法》第七十七条的相关办法处理。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TW" w:eastAsia="zh-CN"/>
        </w:rPr>
        <w:t xml:space="preserve">、</w:t>
      </w:r>
      <w:r>
        <w:rPr>
          <w:rFonts w:hint="eastAsia" w:ascii="宋体" w:hAnsi="宋体" w:eastAsia="宋体" w:cs="宋体"/>
          <w:color w:val="auto"/>
          <w:sz w:val="24"/>
          <w:highlight w:val="none"/>
          <w:lang w:val="en-US" w:eastAsia="zh-CN"/>
        </w:rPr>
        <w:t xml:space="preserve">投标单位必须说明其是否响应招标文件中提出的全部服务内容与要求，如果以其中某些条款不响应时，应在文件中逐条列出，未列出的视同响应。</w:t>
      </w:r>
      <w:bookmarkEnd w:id="3"/>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根据苏州市财政局《关于贯彻执行绿色采购、促进残疾人就业和支持监狱企业发展有关政策的通知》（苏财购〔2019〕10号）规定：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1、关于节能环保产品政府采购要求：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2、进一步明确政府采购促进残疾人就业政策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2.1本次招标中，投标单位如为残疾人福利性单位，则视同小型、微型企业。向残疾人福利性单位采购的金额，计入面向中小企业采购的统计数据。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2.3中标、成交供应商为残疾人福利性单位的，采购人或者其委托的采购代理机构应当随中标、成交结果同时公告其《残疾人福利性单位声明函》，接受社会监督。</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3、进一步明确政府采购支持监狱企业发展政策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3.1在本次招标中，投标单位如为监狱企业，则视同小型、微型企业。向监狱企业采购的金额，计入面向中小企业采购的统计数据。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、根据苏州市财政局《关于进一步做好政府采购正常贯彻执行工作的通知》（苏财购（2017）10号）文件规定：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1、关于政府采购促进中小企业发展政策要求：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1.1不同行业的中小微企业划分标准以工信部、国家统计局、国家发改委、财政部《关于印发中小企业划型标准规定的通知》（工信部联企业〔2011〕300号）为准。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1.2小微企业提供中型企业制造或使用中型企业注册商标的货物的，视同为中型企业。小微企业提供大型企业制造或使用大型企业注册商标的货物的，视同为大型企业。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bookmarkStart w:id="4" w:name="_Toc28359028"/>
      <w:r>
        <w:rPr>
          <w:rFonts w:hint="eastAsia" w:ascii="宋体" w:hAnsi="宋体" w:eastAsia="宋体" w:cs="宋体"/>
          <w:color w:val="auto"/>
          <w:sz w:val="24"/>
          <w:highlight w:val="none"/>
        </w:rPr>
        <w:t xml:space="preserve">中小微企业在投标（响应）文件中，签署《中小企业声明函》，并根据工信部联企业〔2011〕300号通知，未在投标（响应）文件中提供《中小企业声明函》的，不享受促进中小微企业发展的相关政府采购政策。</w:t>
      </w:r>
      <w:bookmarkEnd w:id="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1.4根据《关于印发&lt;苏州市政府采购促进中小企业发展实施意见&gt;的通知》（苏财购〔2022〕16号）相关要求，本项目为专门面向中小企业采购的项目，不再执行价格评审优惠的扶持政策。</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w:t>
      </w:r>
      <w:r>
        <w:rPr>
          <w:rFonts w:hint="eastAsia" w:ascii="宋体" w:hAnsi="宋体" w:eastAsia="宋体" w:cs="Times New Roman"/>
          <w:b/>
          <w:bCs w:val="0"/>
          <w:color w:val="auto"/>
          <w:sz w:val="24"/>
          <w:highlight w:val="none"/>
          <w:lang w:val="en-US" w:eastAsia="zh-CN"/>
        </w:rPr>
        <w:t xml:space="preserve">本项目属于专门面向中小企业采购，根据《政府采购促进中小企业发展管理办法》的相关规定，本项目所属行业为其他未列明行业。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1.1采购代理机构会在接收响应文件截止时间后，在中国政府采购网（www.ccgp.gov.cn）、信用中国（www.creditchina.gov.cn）、信用江苏（</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"http://www.jscredit.gov.cn/"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www.jscredit.gov.cn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）、诚信苏州（www.szcredit.gov.cn）的网站输入供应商全称或统一社会信用代码查询信用记录，并将查询结果递交评审小组。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right="-290"/>
        <w:jc w:val="both"/>
        <w:spacing w:line="400" w:lineRule="exact"/>
        <w:widowControl w:val="off"/>
        <w:tabs>
          <w:tab w:val="left" w:pos="9000" w:leader="none"/>
        </w:tabs>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九、凡涉及</w:t>
      </w:r>
      <w:r>
        <w:rPr>
          <w:rFonts w:hint="eastAsia" w:ascii="宋体" w:hAnsi="宋体"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en-US" w:eastAsia="zh-CN" w:bidi="ar-SA"/>
        </w:rPr>
        <w:t xml:space="preserve">文件的补充说明和修改，均以</w:t>
      </w:r>
      <w:r>
        <w:rPr>
          <w:rFonts w:hint="eastAsia" w:ascii="宋体" w:hAnsi="宋体" w:eastAsia="宋体" w:cs="宋体"/>
          <w:bCs/>
          <w:color w:val="auto"/>
          <w:sz w:val="24"/>
          <w:szCs w:val="20"/>
          <w:highlight w:val="none"/>
          <w:lang w:val="en-US" w:eastAsia="zh-CN" w:bidi="ar-SA"/>
        </w:rPr>
        <w:t xml:space="preserve">中国政府采购网中央主网、江苏政府采购网、苏州政府采购网</w:t>
      </w:r>
      <w:r>
        <w:rPr>
          <w:rFonts w:hint="eastAsia" w:ascii="宋体" w:hAnsi="宋体" w:eastAsia="宋体" w:cs="宋体"/>
          <w:color w:val="auto"/>
          <w:sz w:val="24"/>
          <w:szCs w:val="24"/>
          <w:highlight w:val="none"/>
          <w:lang w:val="en-US" w:eastAsia="zh-CN" w:bidi="ar-SA"/>
        </w:rPr>
        <w:t xml:space="preserve">发布的文件为准。</w:t>
      </w:r>
      <w:r/>
    </w:p>
    <w:p>
      <w:pPr>
        <w:ind w:right="0"/>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p>
      <w:pPr>
        <w:ind w:right="0"/>
        <w:keepLines w:val="0"/>
        <w:keepNext w:val="0"/>
        <w:pageBreakBefore w:val="0"/>
        <w:spacing w:line="360" w:lineRule="auto"/>
        <w:widowControl w:val="off"/>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outlineLvl w:val="9"/>
      </w:pPr>
      <w:r>
        <w:rPr>
          <w:rFonts w:hint="eastAsia" w:ascii="宋体" w:hAnsi="宋体" w:eastAsia="宋体" w:cs="宋体"/>
          <w:b/>
          <w:bCs/>
          <w:color w:val="auto"/>
          <w:sz w:val="24"/>
          <w:highlight w:val="none"/>
        </w:rPr>
      </w:r>
      <w:r/>
    </w:p>
    <w:p>
      <w:pPr>
        <w:pStyle w:val="852"/>
        <w:jc w:val="center"/>
        <w:keepLines w:val="0"/>
        <w:keepNext w:val="0"/>
        <w:pageBreakBefore w:val="0"/>
        <w:spacing w:line="480" w:lineRule="auto"/>
        <w:widowControl w:val="off"/>
        <w:tabs>
          <w:tab w:val="right" w:pos="8302" w:leader="dot"/>
        </w:tabs>
        <w:rPr>
          <w:rStyle w:val="830"/>
          <w:rFonts w:hint="eastAsia" w:ascii="宋体" w:hAnsi="宋体" w:eastAsia="宋体" w:cs="宋体"/>
          <w:b w:val="0"/>
          <w:bCs/>
          <w:color w:val="auto"/>
          <w:sz w:val="36"/>
          <w:szCs w:val="36"/>
          <w:highlight w:val="none"/>
        </w:rPr>
        <w:outlineLvl w:val="9"/>
      </w:pPr>
      <w:r>
        <w:rPr>
          <w:rStyle w:val="830"/>
          <w:rFonts w:hint="eastAsia" w:ascii="宋体" w:hAnsi="宋体" w:eastAsia="宋体" w:cs="宋体"/>
          <w:b w:val="0"/>
          <w:bCs/>
          <w:color w:val="auto"/>
          <w:sz w:val="36"/>
          <w:szCs w:val="36"/>
          <w:highlight w:val="none"/>
        </w:rPr>
        <w:t xml:space="preserve">第五章  合同文本</w:t>
      </w:r>
      <w:r/>
    </w:p>
    <w:p>
      <w:pPr>
        <w:pStyle w:val="654"/>
        <w:ind w:firstLine="442"/>
        <w:rPr>
          <w:rFonts w:hint="eastAsia" w:eastAsia="宋体"/>
          <w:b/>
          <w:bCs/>
          <w:color w:val="auto"/>
          <w:sz w:val="24"/>
          <w:szCs w:val="24"/>
          <w:highlight w:val="none"/>
          <w:lang w:eastAsia="zh-CN"/>
        </w:rPr>
      </w:pPr>
      <w:r>
        <w:rPr>
          <w:rFonts w:hint="eastAsia"/>
          <w:b/>
          <w:bCs/>
          <w:color w:val="auto"/>
          <w:sz w:val="24"/>
          <w:szCs w:val="24"/>
          <w:highlight w:val="none"/>
        </w:rPr>
        <w:t xml:space="preserve">项目名称：</w:t>
      </w:r>
      <w:r>
        <w:rPr>
          <w:rFonts w:hint="eastAsia"/>
          <w:b/>
          <w:bCs/>
          <w:color w:val="auto"/>
          <w:sz w:val="24"/>
          <w:szCs w:val="24"/>
          <w:highlight w:val="none"/>
          <w:lang w:eastAsia="zh-CN"/>
        </w:rPr>
        <w:t xml:space="preserve">桐泾公园儿童乐园管理与经营服务采购</w:t>
      </w:r>
      <w:r/>
    </w:p>
    <w:p>
      <w:pPr>
        <w:pStyle w:val="654"/>
        <w:ind w:firstLine="442"/>
        <w:rPr>
          <w:rFonts w:hint="eastAsia" w:eastAsia="宋体"/>
          <w:b/>
          <w:bCs/>
          <w:color w:val="auto"/>
          <w:sz w:val="24"/>
          <w:szCs w:val="24"/>
          <w:highlight w:val="none"/>
          <w:lang w:eastAsia="zh-CN"/>
        </w:rPr>
      </w:pPr>
      <w:r>
        <w:rPr>
          <w:rFonts w:hint="eastAsia"/>
          <w:b/>
          <w:bCs/>
          <w:color w:val="auto"/>
          <w:sz w:val="24"/>
          <w:szCs w:val="24"/>
          <w:highlight w:val="none"/>
        </w:rPr>
        <w:t xml:space="preserve">项目编号：</w:t>
      </w:r>
      <w:r>
        <w:rPr>
          <w:rFonts w:hint="eastAsia"/>
          <w:b/>
          <w:bCs/>
          <w:color w:val="auto"/>
          <w:sz w:val="24"/>
          <w:szCs w:val="24"/>
          <w:highlight w:val="none"/>
          <w:lang w:eastAsia="zh-CN"/>
        </w:rPr>
        <w:t xml:space="preserve">JSZC-320500-SZRQ-G2024-0047</w:t>
      </w:r>
      <w:r/>
    </w:p>
    <w:p>
      <w:pPr>
        <w:pStyle w:val="654"/>
        <w:rPr>
          <w:color w:val="auto"/>
          <w:sz w:val="24"/>
          <w:szCs w:val="24"/>
          <w:highlight w:val="none"/>
        </w:rPr>
      </w:pPr>
      <w:r>
        <w:rPr>
          <w:rFonts w:hint="eastAsia"/>
          <w:color w:val="auto"/>
          <w:sz w:val="24"/>
          <w:szCs w:val="24"/>
          <w:highlight w:val="none"/>
        </w:rPr>
        <w:t xml:space="preserve">甲方：</w:t>
      </w:r>
      <w:r/>
    </w:p>
    <w:p>
      <w:pPr>
        <w:pStyle w:val="654"/>
        <w:rPr>
          <w:color w:val="auto"/>
          <w:sz w:val="24"/>
          <w:szCs w:val="24"/>
          <w:highlight w:val="none"/>
        </w:rPr>
      </w:pPr>
      <w:r>
        <w:rPr>
          <w:rFonts w:hint="eastAsia"/>
          <w:color w:val="auto"/>
          <w:sz w:val="24"/>
          <w:szCs w:val="24"/>
          <w:highlight w:val="none"/>
        </w:rPr>
        <w:t xml:space="preserve">地址：</w:t>
      </w:r>
      <w:r/>
    </w:p>
    <w:p>
      <w:pPr>
        <w:pStyle w:val="654"/>
        <w:rPr>
          <w:color w:val="auto"/>
          <w:sz w:val="24"/>
          <w:szCs w:val="24"/>
          <w:highlight w:val="none"/>
        </w:rPr>
      </w:pPr>
      <w:r>
        <w:rPr>
          <w:rFonts w:hint="eastAsia"/>
          <w:color w:val="auto"/>
          <w:sz w:val="24"/>
          <w:szCs w:val="24"/>
          <w:highlight w:val="none"/>
        </w:rPr>
        <w:t xml:space="preserve">电话：</w:t>
      </w:r>
      <w:r/>
    </w:p>
    <w:p>
      <w:pPr>
        <w:pStyle w:val="654"/>
        <w:rPr>
          <w:rFonts w:hint="eastAsia"/>
          <w:color w:val="auto"/>
          <w:sz w:val="24"/>
          <w:szCs w:val="24"/>
          <w:highlight w:val="none"/>
        </w:rPr>
      </w:pPr>
      <w:r>
        <w:rPr>
          <w:rFonts w:hint="eastAsia"/>
          <w:color w:val="auto"/>
          <w:sz w:val="24"/>
          <w:szCs w:val="24"/>
          <w:highlight w:val="none"/>
        </w:rPr>
      </w:r>
      <w:r/>
    </w:p>
    <w:p>
      <w:pPr>
        <w:pStyle w:val="654"/>
        <w:rPr>
          <w:color w:val="auto"/>
          <w:sz w:val="24"/>
          <w:szCs w:val="24"/>
          <w:highlight w:val="none"/>
        </w:rPr>
      </w:pPr>
      <w:r>
        <w:rPr>
          <w:rFonts w:hint="eastAsia"/>
          <w:color w:val="auto"/>
          <w:sz w:val="24"/>
          <w:szCs w:val="24"/>
          <w:highlight w:val="none"/>
        </w:rPr>
        <w:t xml:space="preserve">乙方：</w:t>
      </w:r>
      <w:r/>
    </w:p>
    <w:p>
      <w:pPr>
        <w:pStyle w:val="654"/>
        <w:rPr>
          <w:color w:val="auto"/>
          <w:sz w:val="24"/>
          <w:szCs w:val="24"/>
          <w:highlight w:val="none"/>
        </w:rPr>
      </w:pPr>
      <w:r>
        <w:rPr>
          <w:rFonts w:hint="eastAsia"/>
          <w:color w:val="auto"/>
          <w:sz w:val="24"/>
          <w:szCs w:val="24"/>
          <w:highlight w:val="none"/>
        </w:rPr>
        <w:t xml:space="preserve">地址：</w:t>
      </w:r>
      <w:r/>
    </w:p>
    <w:p>
      <w:pPr>
        <w:pStyle w:val="654"/>
        <w:rPr>
          <w:rFonts w:hint="eastAsia"/>
          <w:color w:val="auto"/>
          <w:sz w:val="24"/>
          <w:szCs w:val="24"/>
          <w:highlight w:val="none"/>
        </w:rPr>
      </w:pPr>
      <w:r>
        <w:rPr>
          <w:rFonts w:hint="eastAsia"/>
          <w:color w:val="auto"/>
          <w:sz w:val="24"/>
          <w:szCs w:val="24"/>
          <w:highlight w:val="none"/>
        </w:rPr>
        <w:t xml:space="preserve">电话：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根据苏州睿乔招投标咨询服务有限公司采购编号</w:t>
      </w:r>
      <w:r>
        <w:rPr>
          <w:rFonts w:hint="eastAsia" w:ascii="宋体" w:hAnsi="宋体" w:cs="宋体"/>
          <w:color w:val="auto"/>
          <w:sz w:val="24"/>
          <w:szCs w:val="24"/>
          <w:highlight w:val="none"/>
          <w:u w:val="single"/>
          <w:lang w:eastAsia="zh-CN"/>
        </w:rPr>
        <w:t xml:space="preserve">JSZC-320500-SZRQ-G2024-0047</w:t>
      </w:r>
      <w:r>
        <w:rPr>
          <w:rFonts w:hint="eastAsia" w:ascii="宋体" w:hAnsi="宋体" w:eastAsia="宋体" w:cs="宋体"/>
          <w:color w:val="auto"/>
          <w:sz w:val="24"/>
          <w:szCs w:val="24"/>
          <w:highlight w:val="none"/>
        </w:rPr>
        <w:t xml:space="preserve">政府</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文件及中标单位的投标文件和中标通知书，甲乙双方就此次成交项目的采购事宜，签订本合同书。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下列文件为本合同不可分割部分：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中标通知书；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乙方的投标文件；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乙方在招投标过程中所作的其它承诺、声明、书面澄清等；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招标文件及其附件；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合同附件。</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与合同具有同等法律效力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2、服务期限：</w:t>
      </w:r>
      <w:r>
        <w:rPr>
          <w:rFonts w:hint="eastAsia" w:ascii="宋体" w:hAnsi="宋体" w:cs="宋体"/>
          <w:color w:val="auto"/>
          <w:sz w:val="24"/>
          <w:szCs w:val="24"/>
          <w:highlight w:val="none"/>
          <w:lang w:val="en-US" w:eastAsia="zh-CN"/>
        </w:rPr>
        <w:t xml:space="preserve">三年（具体起始时间以签订合同为准）</w:t>
      </w:r>
      <w:r>
        <w:rPr>
          <w:rFonts w:hint="eastAsia" w:ascii="宋体" w:hAnsi="宋体" w:eastAsia="宋体" w:cs="宋体"/>
          <w:color w:val="auto"/>
          <w:sz w:val="24"/>
          <w:szCs w:val="24"/>
          <w:highlight w:val="none"/>
          <w:lang w:val="en-US" w:eastAsia="zh-CN"/>
        </w:rPr>
        <w:t xml:space="preserve">。</w:t>
      </w:r>
      <w:r/>
    </w:p>
    <w:p>
      <w:pPr>
        <w:spacing w:line="360" w:lineRule="auto"/>
        <w:rPr>
          <w:rFonts w:ascii="宋体" w:hAnsi="宋体" w:eastAsia="宋体" w:cs="Times New Roman"/>
          <w:b/>
          <w:bCs/>
          <w:color w:val="auto"/>
          <w:sz w:val="24"/>
          <w:highlight w:val="none"/>
        </w:rPr>
      </w:pPr>
      <w:r>
        <w:rPr>
          <w:rFonts w:hint="eastAsia" w:ascii="宋体" w:hAnsi="宋体" w:eastAsia="宋体" w:cs="Times New Roman"/>
          <w:b w:val="0"/>
          <w:bCs w:val="0"/>
          <w:color w:val="auto"/>
          <w:sz w:val="24"/>
          <w:highlight w:val="none"/>
        </w:rPr>
        <w:t xml:space="preserve">二、价格及结算</w:t>
      </w:r>
      <w:r/>
    </w:p>
    <w:p>
      <w:pPr>
        <w:ind w:firstLine="480"/>
        <w:spacing w:line="360" w:lineRule="auto"/>
        <w:rPr>
          <w:rFonts w:hint="default" w:ascii="宋体" w:hAnsi="宋体" w:eastAsia="宋体" w:cs="Times New Roman"/>
          <w:bCs/>
          <w:color w:val="auto"/>
          <w:sz w:val="24"/>
          <w:highlight w:val="none"/>
          <w:lang w:val="en-US" w:eastAsia="zh-CN" w:bidi="en-US"/>
        </w:rPr>
      </w:pPr>
      <w:r>
        <w:rPr>
          <w:rFonts w:hint="eastAsia" w:ascii="宋体" w:hAnsi="宋体" w:eastAsia="宋体" w:cs="Times New Roman"/>
          <w:bCs/>
          <w:color w:val="auto"/>
          <w:sz w:val="24"/>
          <w:szCs w:val="24"/>
          <w:highlight w:val="none"/>
          <w:lang w:bidi="en-US"/>
        </w:rPr>
        <w:t xml:space="preserve">1、</w:t>
      </w:r>
      <w:r>
        <w:rPr>
          <w:rFonts w:hint="eastAsia" w:ascii="宋体" w:hAnsi="宋体" w:eastAsia="宋体" w:cs="宋体"/>
          <w:bCs/>
          <w:color w:val="auto"/>
          <w:sz w:val="24"/>
          <w:highlight w:val="none"/>
        </w:rPr>
        <w:t xml:space="preserve">本合同总价款为</w:t>
      </w: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）。以上费用包括</w:t>
      </w:r>
      <w:r>
        <w:rPr>
          <w:rFonts w:hint="eastAsia" w:ascii="宋体" w:hAnsi="宋体" w:eastAsia="宋体" w:cs="宋体"/>
          <w:color w:val="auto"/>
          <w:sz w:val="24"/>
          <w:highlight w:val="none"/>
          <w:lang w:val="en-US" w:eastAsia="zh-CN"/>
        </w:rPr>
        <w:t xml:space="preserve">但不限于</w:t>
      </w:r>
      <w:r>
        <w:rPr>
          <w:rFonts w:hint="eastAsia" w:ascii="宋体" w:hAnsi="宋体" w:eastAsia="宋体" w:cs="宋体"/>
          <w:color w:val="auto"/>
          <w:sz w:val="24"/>
          <w:highlight w:val="none"/>
        </w:rPr>
        <w:t xml:space="preserve">完成该项目全部内容所需的人工费（含</w:t>
      </w:r>
      <w:r>
        <w:rPr>
          <w:rFonts w:hint="eastAsia" w:ascii="宋体" w:hAnsi="宋体" w:eastAsia="宋体" w:cs="宋体"/>
          <w:color w:val="auto"/>
          <w:sz w:val="24"/>
          <w:highlight w:val="none"/>
          <w:lang w:val="en-US" w:eastAsia="zh-CN"/>
        </w:rPr>
        <w:t xml:space="preserve">工资、</w:t>
      </w:r>
      <w:r>
        <w:rPr>
          <w:rFonts w:hint="eastAsia" w:ascii="宋体" w:hAnsi="宋体" w:eastAsia="宋体" w:cs="宋体"/>
          <w:color w:val="auto"/>
          <w:sz w:val="24"/>
          <w:highlight w:val="none"/>
        </w:rPr>
        <w:t xml:space="preserve">奖金、社会保障金、人身意外险、加班费等）其它在管理过程中发生的一切费用，还包括</w:t>
      </w:r>
      <w:r>
        <w:rPr>
          <w:rFonts w:hint="eastAsia" w:ascii="宋体" w:hAnsi="宋体" w:eastAsia="宋体" w:cs="宋体"/>
          <w:color w:val="auto"/>
          <w:sz w:val="24"/>
          <w:highlight w:val="none"/>
          <w:lang w:val="en-US" w:eastAsia="zh-CN"/>
        </w:rPr>
        <w:t xml:space="preserve">伙食费、设备、车辆、</w:t>
      </w:r>
      <w:r>
        <w:rPr>
          <w:rFonts w:hint="eastAsia" w:ascii="宋体" w:hAnsi="宋体" w:eastAsia="宋体" w:cs="宋体"/>
          <w:color w:val="auto"/>
          <w:sz w:val="24"/>
          <w:highlight w:val="none"/>
        </w:rPr>
        <w:t xml:space="preserve">耗材、劳保、各种税费及政策性文件规定及合同包含的所有风险、责任、代理服务费等各项应有费用。</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合同价款的支付及付款方式：合同签订后乙方可以向甲方申请合同金额的30%作为预付款。在签订合同时，乙方明确表示无需预付款或者主动要求降低预付款比例的，甲方可不适用上述关于预付款的规定。具体实施要求按苏财购【2020】52号：一、建立政府采购资金预付款制度的相关规定。</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（2）合同签订后，每</w:t>
      </w:r>
      <w:r>
        <w:rPr>
          <w:rFonts w:hint="eastAsia" w:ascii="宋体" w:hAnsi="宋体" w:cs="宋体"/>
          <w:bCs/>
          <w:color w:val="auto"/>
          <w:sz w:val="24"/>
          <w:highlight w:val="none"/>
          <w:lang w:val="en-US" w:eastAsia="zh-CN"/>
        </w:rPr>
        <w:t xml:space="preserve">年结算</w:t>
      </w:r>
      <w:r>
        <w:rPr>
          <w:rFonts w:hint="eastAsia" w:ascii="宋体" w:hAnsi="宋体" w:eastAsia="宋体" w:cs="宋体"/>
          <w:bCs/>
          <w:color w:val="auto"/>
          <w:sz w:val="24"/>
          <w:highlight w:val="none"/>
          <w:lang w:val="en-US" w:eastAsia="zh-CN"/>
        </w:rPr>
        <w:t xml:space="preserve">金额为=</w:t>
      </w:r>
      <w:r>
        <w:rPr>
          <w:rFonts w:hint="eastAsia" w:ascii="宋体" w:hAnsi="宋体" w:cs="宋体"/>
          <w:bCs/>
          <w:color w:val="auto"/>
          <w:sz w:val="24"/>
          <w:highlight w:val="none"/>
          <w:lang w:val="en-US" w:eastAsia="zh-CN"/>
        </w:rPr>
        <w:t xml:space="preserve">当年营业收入×48%×（1-成交优惠率）</w:t>
      </w: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考核扣款</w:t>
      </w:r>
      <w:r>
        <w:rPr>
          <w:rFonts w:hint="eastAsia" w:ascii="宋体" w:hAnsi="宋体" w:eastAsia="宋体" w:cs="宋体"/>
          <w:bCs/>
          <w:color w:val="auto"/>
          <w:sz w:val="24"/>
          <w:highlight w:val="none"/>
          <w:lang w:val="en-US" w:eastAsia="zh-CN"/>
        </w:rPr>
        <w:t xml:space="preserve">，甲方于下一</w:t>
      </w:r>
      <w:r>
        <w:rPr>
          <w:rFonts w:hint="eastAsia" w:ascii="宋体" w:hAnsi="宋体" w:cs="宋体"/>
          <w:bCs/>
          <w:color w:val="auto"/>
          <w:sz w:val="24"/>
          <w:highlight w:val="none"/>
          <w:lang w:val="en-US" w:eastAsia="zh-CN"/>
        </w:rPr>
        <w:t xml:space="preserve">年度</w:t>
      </w:r>
      <w:r>
        <w:rPr>
          <w:rFonts w:hint="eastAsia" w:ascii="宋体" w:hAnsi="宋体" w:eastAsia="宋体" w:cs="宋体"/>
          <w:bCs/>
          <w:color w:val="auto"/>
          <w:sz w:val="24"/>
          <w:highlight w:val="none"/>
          <w:lang w:val="en-US" w:eastAsia="zh-CN"/>
        </w:rPr>
        <w:t xml:space="preserve">首月10日前支付上</w:t>
      </w:r>
      <w:r>
        <w:rPr>
          <w:rFonts w:hint="eastAsia" w:ascii="宋体" w:hAnsi="宋体" w:cs="宋体"/>
          <w:bCs/>
          <w:color w:val="auto"/>
          <w:sz w:val="24"/>
          <w:highlight w:val="none"/>
          <w:lang w:val="en-US" w:eastAsia="zh-CN"/>
        </w:rPr>
        <w:t xml:space="preserve">一年度</w:t>
      </w:r>
      <w:r>
        <w:rPr>
          <w:rFonts w:hint="eastAsia" w:ascii="宋体" w:hAnsi="宋体" w:eastAsia="宋体" w:cs="宋体"/>
          <w:bCs/>
          <w:color w:val="auto"/>
          <w:sz w:val="24"/>
          <w:highlight w:val="none"/>
          <w:lang w:val="en-US" w:eastAsia="zh-CN"/>
        </w:rPr>
        <w:t xml:space="preserve">应付费用。</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3、甲方支付此项费用外不再承担其它任何费用（包括个人），服务人员的薪金、福利、休假日补贴等由乙方付给，与甲方无关。</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4、付款方式：银行汇票或转帐支票或数字人民币。</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outlineLvl w:val="9"/>
      </w:pPr>
      <w:r>
        <w:rPr>
          <w:rFonts w:hint="eastAsia" w:ascii="宋体" w:hAnsi="宋体" w:eastAsia="宋体" w:cs="Times New Roman"/>
          <w:bCs/>
          <w:color w:val="auto"/>
          <w:sz w:val="24"/>
          <w:highlight w:val="none"/>
          <w:lang w:val="en-US" w:eastAsia="zh-CN"/>
        </w:rPr>
        <w:t xml:space="preserve">5、乙方银行开户信息：</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outlineLvl w:val="9"/>
      </w:pPr>
      <w:r>
        <w:rPr>
          <w:rFonts w:hint="eastAsia" w:ascii="宋体" w:hAnsi="宋体" w:eastAsia="宋体" w:cs="Times New Roman"/>
          <w:bCs/>
          <w:color w:val="auto"/>
          <w:sz w:val="24"/>
          <w:highlight w:val="none"/>
          <w:lang w:val="en-US" w:eastAsia="zh-CN"/>
        </w:rPr>
        <w:t xml:space="preserve">乙方账号名称：</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outlineLvl w:val="9"/>
      </w:pPr>
      <w:r>
        <w:rPr>
          <w:rFonts w:hint="eastAsia" w:ascii="宋体" w:hAnsi="宋体" w:eastAsia="宋体" w:cs="Times New Roman"/>
          <w:bCs/>
          <w:color w:val="auto"/>
          <w:sz w:val="24"/>
          <w:highlight w:val="none"/>
          <w:lang w:val="en-US" w:eastAsia="zh-CN"/>
        </w:rPr>
        <w:t xml:space="preserve">银行账号：</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outlineLvl w:val="9"/>
      </w:pPr>
      <w:r>
        <w:rPr>
          <w:rFonts w:hint="eastAsia" w:ascii="宋体" w:hAnsi="宋体" w:eastAsia="宋体" w:cs="Times New Roman"/>
          <w:bCs/>
          <w:color w:val="auto"/>
          <w:sz w:val="24"/>
          <w:highlight w:val="none"/>
          <w:lang w:val="en-US" w:eastAsia="zh-CN"/>
        </w:rPr>
        <w:t xml:space="preserve">银行开户行：</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三、服务内容及要求</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详见招标文件</w:t>
      </w:r>
      <w:r/>
    </w:p>
    <w:p>
      <w:pPr>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四、甲、乙双方的责任</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（一）甲方责任：</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1、为乙方提供所需相关设备及资料，并指定专人作为甲方联系人予以协调工作。加强与乙方沟通，交流情况，互通信息。</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（二）乙方责任：</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（1）乙方根据甲方有关要求，积极主动保质保量地完成服务工作。</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（2）乙方必须满足本招标文件要求。</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（3）接受并主动配合甲方及行业主管部门的检查。</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（4）服务范围之外的突击性、突发性工作，乙方须服从甲方的安排，不得无故拖延。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（5）因乙方管理不善而损坏的硬件、设施应负责及时修复，或照价赔偿。</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（6）本项目运营全过程所需布置、维护、设备更新、人员报酬、人员安全等各项全部费用由乙方自行承担。</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（7）须为游客购买公众责任险，年度累计赔付保险金额不低于伍佰万元，单人单次赔付限额不低于伍拾万元。</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2"/>
          <w:highlight w:val="none"/>
          <w:lang w:val="en-US" w:eastAsia="zh-CN"/>
        </w:rPr>
        <w:t xml:space="preserve">五</w:t>
      </w:r>
      <w:r>
        <w:rPr>
          <w:rFonts w:hint="eastAsia" w:ascii="宋体" w:hAnsi="宋体" w:eastAsia="宋体" w:cs="宋体"/>
          <w:b w:val="0"/>
          <w:bCs w:val="0"/>
          <w:color w:val="auto"/>
          <w:sz w:val="24"/>
          <w:szCs w:val="22"/>
          <w:highlight w:val="none"/>
        </w:rPr>
        <w:t xml:space="preserve">、</w:t>
      </w:r>
      <w:r>
        <w:rPr>
          <w:rFonts w:hint="eastAsia" w:ascii="宋体" w:hAnsi="宋体" w:eastAsia="宋体" w:cs="宋体"/>
          <w:b w:val="0"/>
          <w:bCs w:val="0"/>
          <w:color w:val="auto"/>
          <w:sz w:val="24"/>
          <w:szCs w:val="24"/>
          <w:highlight w:val="none"/>
        </w:rPr>
        <w:t xml:space="preserve">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甲方违约责任及违约金支付：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（2）甲方逾期付款的应按照逾期付款金额的每天万分之四支付逾期付款违约金</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（3）甲方违反合同规定，拒绝接受乙方提供服务，应当承担乙方由此造成的损失</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乙方违约责任及违约金支付：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（1）乙方不能提供服务的，或服务不到位的，应向甲方偿付合同总价款5%的违约金，违约金不足以补偿损失的甲方有权要求乙方补足。</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color w:val="auto"/>
          <w:sz w:val="24"/>
          <w:szCs w:val="24"/>
          <w:highlight w:val="none"/>
        </w:rPr>
        <w:t xml:space="preserve">（2）乙方逾期提供服务的，应与甲方和政府采购管理部门协商，甲方仍需求的，乙方应立即提供服务按照逾期服务的每天万分之四支付逾期违约金，同时承担甲方因此遭致的损失费用。</w:t>
      </w:r>
      <w:r/>
    </w:p>
    <w:p>
      <w:pPr>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六</w:t>
      </w:r>
      <w:r>
        <w:rPr>
          <w:rFonts w:hint="eastAsia" w:ascii="宋体" w:hAnsi="宋体" w:eastAsia="宋体" w:cs="宋体"/>
          <w:bCs/>
          <w:color w:val="auto"/>
          <w:sz w:val="24"/>
          <w:highlight w:val="none"/>
        </w:rPr>
        <w:t xml:space="preserve">、其它</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1、乙方除应为相关人员提供必要的劳动保护条件外，还应为其办理作业时的人身安全保险和意外伤害险。一切安全责任事故均由乙方负责（保险种类由乙方自行选择）。</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2、乙方应做好职工的安全生产教育，并配备一定的劳动保护必需品以供职工使用。</w:t>
      </w:r>
      <w:r/>
    </w:p>
    <w:p>
      <w:pPr>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七</w:t>
      </w:r>
      <w:r>
        <w:rPr>
          <w:rFonts w:hint="eastAsia" w:ascii="宋体" w:hAnsi="宋体" w:eastAsia="宋体" w:cs="宋体"/>
          <w:bCs/>
          <w:color w:val="auto"/>
          <w:sz w:val="24"/>
          <w:highlight w:val="none"/>
        </w:rPr>
        <w:t xml:space="preserve">、合同的生效</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合同经甲乙双方代表签字并加盖公章（或合同章），并在网上</w:t>
      </w:r>
      <w:r>
        <w:rPr>
          <w:rFonts w:hint="eastAsia" w:ascii="宋体" w:hAnsi="宋体" w:eastAsia="宋体" w:cs="宋体"/>
          <w:bCs/>
          <w:color w:val="auto"/>
          <w:sz w:val="24"/>
          <w:highlight w:val="none"/>
          <w:lang w:val="en-US" w:eastAsia="zh-CN"/>
        </w:rPr>
        <w:t xml:space="preserve">公示</w:t>
      </w:r>
      <w:r>
        <w:rPr>
          <w:rFonts w:hint="eastAsia" w:ascii="宋体" w:hAnsi="宋体" w:eastAsia="宋体" w:cs="宋体"/>
          <w:bCs/>
          <w:color w:val="auto"/>
          <w:sz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、附则</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1、合同份数：本合同一式六份，甲乙双方各执二份，招标代理机构一份，政府采购监管部门一份。</w:t>
      </w:r>
      <w:r/>
    </w:p>
    <w:p>
      <w:pPr>
        <w:ind w:firstLine="480"/>
        <w:jc w:val="left"/>
        <w:keepLines w:val="0"/>
        <w:keepNext w:val="0"/>
        <w:pageBreakBefore w:val="0"/>
        <w:spacing w:line="360" w:lineRule="auto"/>
        <w:widowControl w:val="off"/>
        <w:tabs>
          <w:tab w:val="right" w:pos="8302" w:leader="dot"/>
        </w:tabs>
        <w:rPr>
          <w:rFonts w:hint="eastAsia" w:ascii="宋体" w:hAnsi="宋体" w:eastAsia="宋体" w:cs="宋体"/>
          <w:color w:val="auto"/>
          <w:sz w:val="32"/>
          <w:szCs w:val="32"/>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2、未尽事宜：本合同未尽事宜应按《中华人民共和国民法典》、《中华人民共和国政府采购法》以及其同相关法律、法规之规定解释。</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乙方：（盖章）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代表签名：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代表签名：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rPr>
          <w:rStyle w:val="830"/>
          <w:rFonts w:hint="eastAsia" w:ascii="宋体" w:hAnsi="宋体" w:eastAsia="宋体" w:cs="宋体"/>
          <w:color w:val="auto"/>
          <w:sz w:val="32"/>
          <w:szCs w:val="32"/>
          <w:highlight w:val="none"/>
        </w:rPr>
      </w:pPr>
      <w:r>
        <w:rPr>
          <w:rStyle w:val="830"/>
          <w:rFonts w:hint="eastAsia" w:ascii="宋体" w:hAnsi="宋体" w:eastAsia="宋体" w:cs="宋体"/>
          <w:color w:val="auto"/>
          <w:sz w:val="32"/>
          <w:szCs w:val="32"/>
          <w:highlight w:val="none"/>
        </w:rPr>
        <w:br w:type="page" w:clear="all"/>
      </w:r>
      <w:r/>
    </w:p>
    <w:p>
      <w:pPr>
        <w:pStyle w:val="852"/>
        <w:jc w:val="center"/>
        <w:spacing w:after="312" w:line="480" w:lineRule="auto"/>
        <w:tabs>
          <w:tab w:val="right" w:pos="8302" w:leader="dot"/>
        </w:tabs>
        <w:rPr>
          <w:rFonts w:hint="eastAsia" w:ascii="宋体" w:hAnsi="宋体" w:eastAsia="宋体" w:cs="宋体"/>
          <w:b/>
          <w:color w:val="auto"/>
          <w:sz w:val="32"/>
          <w:szCs w:val="32"/>
          <w:highlight w:val="none"/>
        </w:rPr>
      </w:pPr>
      <w:r>
        <w:rPr>
          <w:rStyle w:val="830"/>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5" w:name="_Toc179806444"/>
      <w:r/>
      <w:bookmarkStart w:id="6" w:name="_Toc163571923"/>
      <w:r>
        <w:rPr>
          <w:rFonts w:hint="eastAsia" w:ascii="宋体" w:hAnsi="宋体" w:eastAsia="宋体" w:cs="宋体"/>
          <w:bCs/>
          <w:color w:val="auto"/>
          <w:sz w:val="24"/>
          <w:highlight w:val="none"/>
        </w:rPr>
        <w:t xml:space="preserve">一、评标办法</w:t>
      </w:r>
      <w:bookmarkEnd w:id="5"/>
      <w:r/>
      <w:bookmarkEnd w:id="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3、对评委的评分（除价格分外）进行统计汇总，评委人数在</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人的，直接算术平均计算得分。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5、针对小型、微型企业的价格评审办法：</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根据《关于印发&lt;苏州市政府采购促进中小企业发展实施意见&gt;的通知》（苏财购〔2022〕16号）相关要求，本项目为专门面向中小企业采购的项目，不再执行价格评审优惠的扶持政策。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本次招标中，投标单位如为残疾人福利性单位，则视同小型、微型企业。向残疾人福利性单位采购的金额，计入面向中小企业采购的统计数据。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本次招标中，投标单位如为监狱企业，则视同小型、微型企业。向监狱企业采购的金额，计入面向中小企业采购的统计数据。</w:t>
      </w:r>
      <w:r/>
    </w:p>
    <w:p>
      <w:pPr>
        <w:ind w:right="-15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②若投标人提供的 “中小企业声明函” 或认定证明为虚假声明则视同提供虚假材料，按“政府采购法”相关规定处理并报请政府监管部门给予行政处罚。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numPr>
          <w:ilvl w:val="0"/>
          <w:numId w:val="4"/>
        </w:numPr>
        <w:ind w:right="-15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评分标准</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（一）价格基准分</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第一步：投标总报价低于或等于采购预算价格的，为有效投标报价。超采购预算的投标报价为无效投标报价。无效投标报价的投标文件不进行评审，也不得标。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优惠率</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得分=（评标基准价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优惠率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优惠率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）*价格权值*100，小数点后保留两位（价格权值为</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p>
    <w:p>
      <w:pPr>
        <w:spacing w:line="360" w:lineRule="auto"/>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（二）服务方案比较（</w:t>
      </w:r>
      <w:r>
        <w:rPr>
          <w:rFonts w:hint="eastAsia" w:ascii="宋体" w:hAnsi="宋体" w:eastAsia="宋体" w:cs="Times New Roman"/>
          <w:b/>
          <w:color w:val="auto"/>
          <w:sz w:val="24"/>
          <w:highlight w:val="none"/>
          <w:lang w:val="en-US" w:eastAsia="zh-CN"/>
        </w:rPr>
        <w:t xml:space="preserve">5</w:t>
      </w:r>
      <w:r>
        <w:rPr>
          <w:rFonts w:hint="eastAsia" w:ascii="宋体" w:hAnsi="宋体" w:cs="Times New Roman"/>
          <w:b/>
          <w:color w:val="auto"/>
          <w:sz w:val="24"/>
          <w:highlight w:val="none"/>
          <w:lang w:val="en-US" w:eastAsia="zh-CN"/>
        </w:rPr>
        <w:t xml:space="preserve">4</w:t>
      </w:r>
      <w:r>
        <w:rPr>
          <w:rFonts w:hint="eastAsia" w:ascii="宋体" w:hAnsi="宋体" w:eastAsia="宋体" w:cs="Times New Roman"/>
          <w:b/>
          <w:color w:val="auto"/>
          <w:sz w:val="24"/>
          <w:highlight w:val="none"/>
        </w:rPr>
        <w:t xml:space="preserve">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1、根据投标单位提供的服务总体模式清晰，配套措施周全，运作设计合理方案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2、根据投标单位提供的运营管理方案，包括但不限于：游乐设备运营管理、安全台账管理、基础设施维护、乐园日常运营等进行综合评分；提供内容全面完善、科学合理、针对性强操作性强、切实可行的得</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分，提供内容全面完善、科学合理的得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分，有方案但不合理的得1分；未提供不得分。最高</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3、根据投标单位提供的营销方案进行综合评分；提供内容全面完善、科学合理、针对性强操作性强、切实可行的得</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分，提供内容全面完善、科学合理的得</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分，有方案但不合理的得1分；未提供不得分。最高</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4、根据投标单位提供的服务理念及整体组织架构方案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5、根据投标单位提供的服务质量保障措施及方案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6、根据投标单位提供的进退场方案的完整性、可操作性、合理性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7、根据投标单位提供的详细的年度培训计划、培训及支持方案的完整性、可操作性、合理性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8、根据投标单位提供的</w:t>
      </w:r>
      <w:r>
        <w:rPr>
          <w:rFonts w:hint="eastAsia" w:ascii="宋体" w:hAnsi="宋体" w:eastAsia="宋体" w:cs="宋体"/>
          <w:bCs/>
          <w:color w:val="auto"/>
          <w:sz w:val="24"/>
          <w:highlight w:val="none"/>
          <w:lang w:val="zh-CN"/>
        </w:rPr>
        <w:t xml:space="preserve">有详细的突发事件应急措施，包括</w:t>
      </w:r>
      <w:r>
        <w:rPr>
          <w:rFonts w:hint="eastAsia" w:ascii="宋体" w:hAnsi="宋体" w:eastAsia="宋体" w:cs="宋体"/>
          <w:bCs/>
          <w:color w:val="auto"/>
          <w:sz w:val="24"/>
          <w:highlight w:val="none"/>
        </w:rPr>
        <w:t xml:space="preserve">但不限于</w:t>
      </w:r>
      <w:r>
        <w:rPr>
          <w:rFonts w:hint="eastAsia" w:ascii="宋体" w:hAnsi="宋体" w:eastAsia="宋体" w:cs="宋体"/>
          <w:bCs/>
          <w:color w:val="auto"/>
          <w:sz w:val="24"/>
          <w:highlight w:val="none"/>
          <w:lang w:val="zh-CN"/>
        </w:rPr>
        <w:t xml:space="preserve">：特殊事故（情况）措施、治安应急措施、消防应急措施等</w:t>
      </w:r>
      <w:r>
        <w:rPr>
          <w:rFonts w:hint="eastAsia" w:ascii="宋体" w:hAnsi="宋体" w:eastAsia="宋体" w:cs="宋体"/>
          <w:bCs/>
          <w:color w:val="auto"/>
          <w:sz w:val="24"/>
          <w:highlight w:val="none"/>
        </w:rPr>
        <w:t xml:space="preserve">方案的完整性、可操作性、合理性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9、根据投标单位提供的服务人员安全文明规范的完整性、可操作性、合理性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10、根据投标单位提供的管理制度，包括但不限于：档案管理、考核制度、人员管理制度等的完整性、可操作性、合理性等进行综合评分；提供内容全面完善、科学合理、针对性强操作性强、切实可行的得5分，提供内容全面完善、科学合理的得3分，有方案但不合理的得1分；未提供不得分。最高5分</w:t>
      </w:r>
      <w:r/>
    </w:p>
    <w:p>
      <w:pPr>
        <w:spacing w:line="360" w:lineRule="auto"/>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（三）投标单位综合实力（</w:t>
      </w:r>
      <w:r>
        <w:rPr>
          <w:rFonts w:hint="eastAsia" w:ascii="宋体" w:hAnsi="宋体" w:eastAsia="宋体" w:cs="Times New Roman"/>
          <w:b/>
          <w:color w:val="auto"/>
          <w:sz w:val="24"/>
          <w:highlight w:val="none"/>
          <w:lang w:val="en-US" w:eastAsia="zh-CN"/>
        </w:rPr>
        <w:t xml:space="preserve">1</w:t>
      </w:r>
      <w:r>
        <w:rPr>
          <w:rFonts w:hint="eastAsia" w:ascii="宋体" w:hAnsi="宋体" w:cs="Times New Roman"/>
          <w:b/>
          <w:color w:val="auto"/>
          <w:sz w:val="24"/>
          <w:highlight w:val="none"/>
          <w:lang w:val="en-US" w:eastAsia="zh-CN"/>
        </w:rPr>
        <w:t xml:space="preserve">6</w:t>
      </w:r>
      <w:r>
        <w:rPr>
          <w:rFonts w:hint="eastAsia" w:ascii="宋体" w:hAnsi="宋体" w:eastAsia="宋体" w:cs="Times New Roman"/>
          <w:b/>
          <w:color w:val="auto"/>
          <w:sz w:val="24"/>
          <w:highlight w:val="none"/>
        </w:rPr>
        <w:t xml:space="preserve">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项目经理具备中华人民共和国特种设备作业人员（大型游乐设施维修）证书（旧证Y1）、中华人民共和国特种设备作业人员（大型游乐设施操作）证书（旧证Y2），每具备一项证书得2分，最高得4分。（响应文件中必须提供人员证书扫描件（或复印件）及响应单位为其缴纳的近期社保证明扫描件（或复印件）,否则对应项不得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2、维修人员在满足招标文件基本要求基础上，具备中华人民共和国特种设备作业人员（大型游乐设施维修）证书（旧证Y1），有一人得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分。（响应文件中必须提供人员证书扫描件（或复印件）及响应单位为其缴纳的近期社保证明扫描件（或复印件）,否则对应项不得分。）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游乐设备操作员在满足招标文件基本要求基础上，具备中华人民共和国特种设备作业人员（大型游乐设施操作）证书（旧证Y2），有一人得2分，最高得4分。（响应文件中必须提供人员证书扫描件（或复印件）及响应单位为其缴纳的近期社保证明扫描件（或复印件）,否则对应项不得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4、投标单位获得过相关的荣誉或表彰或奖项的有一份得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分，最高</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分。（投标文件中需提供证明材料扫描件，未提供的不得分）。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5、投标单位自20</w:t>
      </w:r>
      <w:r>
        <w:rPr>
          <w:rFonts w:hint="default" w:ascii="宋体" w:hAnsi="宋体" w:eastAsia="宋体" w:cs="宋体"/>
          <w:color w:val="auto"/>
          <w:sz w:val="24"/>
          <w:highlight w:val="none"/>
        </w:rPr>
        <w:t xml:space="preserve">19</w:t>
      </w:r>
      <w:r>
        <w:rPr>
          <w:rFonts w:hint="eastAsia" w:ascii="宋体" w:hAnsi="宋体" w:eastAsia="宋体" w:cs="宋体"/>
          <w:color w:val="auto"/>
          <w:sz w:val="24"/>
          <w:highlight w:val="none"/>
        </w:rPr>
        <w:t xml:space="preserve">年1月1日至今（类似业绩日期认定：以合同签订日期为准），承担过类似项目业绩的，提供1份合同的得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分，最高</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分。（投标文件中需提供合同扫描件，未提供或资料提供不全的均不得分。）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注：针对评分标准中评分的每一条，投标人在投标文件中均应提供真实的资料并做出相应说明供评委评判，不提供相关资料的视为不具备该项得分的条件。</w:t>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华文仿宋">
    <w:panose1 w:val="02010600040101010101"/>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etween w:val="none" w:color="000000" w:sz="0" w:space="0"/>
      </w:pBdr>
      <w:framePr w:wrap="around" w:vAnchor="text" w:hAnchor="margin" w:xAlign="center" w:y="1"/>
    </w:pPr>
    <w:r>
      <w:fldChar w:fldCharType="begin"/>
    </w:r>
    <w:r>
      <w:rPr>
        <w:rStyle w:val="836"/>
      </w:rPr>
      <w:instrText xml:space="preserve"> PAGE  </w:instrText>
    </w:r>
    <w:r>
      <w:fldChar w:fldCharType="separate"/>
    </w:r>
    <w:r>
      <w:rPr>
        <w:rStyle w:val="836"/>
      </w:rPr>
      <w:t xml:space="preserve">- 195 -</w:t>
    </w:r>
    <w:r>
      <w:fldChar w:fldCharType="end"/>
    </w:r>
    <w:r/>
  </w:p>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4" w:default="1">
    <w:name w:val="Normal"/>
    <w:next w:val="636"/>
    <w:link w:val="847"/>
    <w:uiPriority w:val="0"/>
    <w:qFormat/>
    <w:pPr>
      <w:jc w:val="both"/>
      <w:widowControl w:val="off"/>
    </w:pPr>
    <w:rPr>
      <w:rFonts w:hint="default" w:ascii="Calibri" w:hAnsi="Calibri" w:eastAsia="宋体" w:cs="Times New Roman"/>
      <w:sz w:val="21"/>
      <w:szCs w:val="24"/>
      <w:lang w:val="en-US" w:eastAsia="zh-CN" w:bidi="ar-SA"/>
    </w:rPr>
  </w:style>
  <w:style w:type="paragraph" w:styleId="625">
    <w:name w:val="Heading 1"/>
    <w:basedOn w:val="624"/>
    <w:next w:val="624"/>
    <w:link w:val="679"/>
    <w:uiPriority w:val="9"/>
    <w:qFormat/>
    <w:pPr>
      <w:keepLines/>
      <w:keepNext/>
      <w:spacing w:before="480" w:after="200"/>
      <w:outlineLvl w:val="0"/>
    </w:pPr>
    <w:rPr>
      <w:rFonts w:ascii="Arial" w:hAnsi="Arial" w:eastAsia="Arial" w:cs="Arial"/>
      <w:sz w:val="40"/>
      <w:szCs w:val="40"/>
    </w:rPr>
  </w:style>
  <w:style w:type="paragraph" w:styleId="626">
    <w:name w:val="Heading 2"/>
    <w:basedOn w:val="624"/>
    <w:next w:val="624"/>
    <w:link w:val="680"/>
    <w:uiPriority w:val="9"/>
    <w:unhideWhenUsed/>
    <w:qFormat/>
    <w:pPr>
      <w:keepLines/>
      <w:keepNext/>
      <w:spacing w:before="360" w:after="200"/>
      <w:outlineLvl w:val="1"/>
    </w:pPr>
    <w:rPr>
      <w:rFonts w:ascii="Arial" w:hAnsi="Arial" w:eastAsia="Arial" w:cs="Arial"/>
      <w:sz w:val="34"/>
    </w:rPr>
  </w:style>
  <w:style w:type="paragraph" w:styleId="627">
    <w:name w:val="Heading 3"/>
    <w:basedOn w:val="624"/>
    <w:next w:val="624"/>
    <w:link w:val="681"/>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link w:val="682"/>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683"/>
    <w:uiPriority w:val="9"/>
    <w:unhideWhenUsed/>
    <w:qFormat/>
    <w:pPr>
      <w:keepLines/>
      <w:keepNext/>
      <w:spacing w:before="320" w:after="200"/>
      <w:outlineLvl w:val="4"/>
    </w:pPr>
    <w:rPr>
      <w:rFonts w:ascii="Arial" w:hAnsi="Arial" w:eastAsia="Arial" w:cs="Arial"/>
      <w:b/>
      <w:bCs/>
      <w:sz w:val="24"/>
      <w:szCs w:val="24"/>
    </w:rPr>
  </w:style>
  <w:style w:type="paragraph" w:styleId="630">
    <w:name w:val="Heading 6"/>
    <w:basedOn w:val="624"/>
    <w:next w:val="624"/>
    <w:link w:val="684"/>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685"/>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686"/>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687"/>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Layout w:type="fixed"/>
      <w:tblCellMar>
        <w:left w:w="108" w:type="dxa"/>
        <w:top w:w="0" w:type="dxa"/>
        <w:right w:w="108" w:type="dxa"/>
        <w:bottom w:w="0" w:type="dxa"/>
      </w:tblCellMar>
    </w:tblPr>
  </w:style>
  <w:style w:type="paragraph" w:styleId="636" w:customStyle="1">
    <w:name w:val="正文文本1"/>
    <w:basedOn w:val="624"/>
    <w:next w:val="637"/>
    <w:uiPriority w:val="0"/>
    <w:qFormat/>
    <w:pPr>
      <w:spacing w:line="400" w:lineRule="exact"/>
    </w:pPr>
    <w:rPr>
      <w:rFonts w:ascii="楷体_GB2312" w:hAnsi="Times New Roman" w:eastAsia="楷体_GB2312" w:cs="Times New Roman"/>
      <w:sz w:val="28"/>
      <w:szCs w:val="20"/>
    </w:rPr>
  </w:style>
  <w:style w:type="paragraph" w:styleId="637" w:customStyle="1">
    <w:name w:val="正文缩进1"/>
    <w:basedOn w:val="624"/>
    <w:next w:val="624"/>
    <w:uiPriority w:val="0"/>
    <w:qFormat/>
    <w:pPr>
      <w:ind w:firstLine="420"/>
      <w:jc w:val="left"/>
    </w:pPr>
    <w:rPr>
      <w:rFonts w:ascii="Times New Roman" w:hAnsi="Times New Roman" w:eastAsia="楷体_GB2312" w:cs="Times New Roman"/>
      <w:sz w:val="24"/>
      <w:szCs w:val="20"/>
    </w:rPr>
  </w:style>
  <w:style w:type="paragraph" w:styleId="638">
    <w:name w:val="toc 7"/>
    <w:basedOn w:val="624"/>
    <w:next w:val="624"/>
    <w:uiPriority w:val="39"/>
    <w:unhideWhenUsed/>
    <w:qFormat/>
    <w:pPr>
      <w:ind w:left="1701" w:right="0" w:firstLine="0"/>
      <w:spacing w:after="57"/>
    </w:pPr>
  </w:style>
  <w:style w:type="paragraph" w:styleId="639">
    <w:name w:val="Normal Indent"/>
    <w:basedOn w:val="624"/>
    <w:next w:val="624"/>
    <w:uiPriority w:val="0"/>
    <w:qFormat/>
    <w:pPr>
      <w:ind w:firstLine="200"/>
    </w:pPr>
    <w:rPr>
      <w:sz w:val="24"/>
    </w:rPr>
  </w:style>
  <w:style w:type="paragraph" w:styleId="640">
    <w:name w:val="Caption"/>
    <w:basedOn w:val="624"/>
    <w:next w:val="6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1">
    <w:name w:val="annotation text"/>
    <w:basedOn w:val="624"/>
    <w:uiPriority w:val="99"/>
    <w:semiHidden/>
    <w:unhideWhenUsed/>
    <w:qFormat/>
    <w:pPr>
      <w:jc w:val="left"/>
    </w:pPr>
  </w:style>
  <w:style w:type="paragraph" w:styleId="642">
    <w:name w:val="Body Text"/>
    <w:basedOn w:val="624"/>
    <w:next w:val="643"/>
    <w:uiPriority w:val="0"/>
    <w:qFormat/>
    <w:pPr>
      <w:spacing w:after="120"/>
    </w:pPr>
  </w:style>
  <w:style w:type="paragraph" w:styleId="643">
    <w:name w:val="Body Text 2"/>
    <w:basedOn w:val="624"/>
    <w:uiPriority w:val="0"/>
    <w:qFormat/>
    <w:pPr>
      <w:spacing w:line="360" w:lineRule="auto"/>
    </w:pPr>
    <w:rPr>
      <w:sz w:val="24"/>
    </w:rPr>
  </w:style>
  <w:style w:type="paragraph" w:styleId="644">
    <w:name w:val="Body Text Indent"/>
    <w:basedOn w:val="624"/>
    <w:next w:val="645"/>
    <w:uiPriority w:val="0"/>
    <w:unhideWhenUsed/>
    <w:qFormat/>
    <w:pPr>
      <w:ind w:left="420"/>
      <w:spacing w:after="120"/>
    </w:pPr>
    <w:rPr>
      <w:rFonts w:ascii="宋体" w:hAnsi="宋体" w:cs="宋体"/>
    </w:rPr>
  </w:style>
  <w:style w:type="paragraph" w:styleId="645">
    <w:name w:val="envelope return"/>
    <w:basedOn w:val="624"/>
    <w:uiPriority w:val="0"/>
    <w:qFormat/>
    <w:rPr>
      <w:rFonts w:ascii="Arial" w:hAnsi="Arial" w:eastAsia="楷体_GB2312"/>
      <w:sz w:val="26"/>
      <w:szCs w:val="20"/>
    </w:rPr>
  </w:style>
  <w:style w:type="paragraph" w:styleId="646">
    <w:name w:val="Block Text"/>
    <w:basedOn w:val="624"/>
    <w:uiPriority w:val="0"/>
    <w:qFormat/>
    <w:pPr>
      <w:ind w:left="630" w:right="-609" w:firstLine="420"/>
      <w:spacing w:line="360" w:lineRule="auto"/>
    </w:pPr>
    <w:rPr>
      <w:rFonts w:hint="eastAsia" w:ascii="仿宋_GB2312" w:hAnsi="Times New Roman" w:eastAsia="仿宋_GB2312" w:cs="Times New Roman"/>
      <w:szCs w:val="20"/>
    </w:rPr>
  </w:style>
  <w:style w:type="paragraph" w:styleId="647">
    <w:name w:val="toc 5"/>
    <w:basedOn w:val="624"/>
    <w:next w:val="624"/>
    <w:uiPriority w:val="39"/>
    <w:unhideWhenUsed/>
    <w:qFormat/>
    <w:pPr>
      <w:ind w:left="1134" w:right="0" w:firstLine="0"/>
      <w:spacing w:after="57"/>
    </w:pPr>
  </w:style>
  <w:style w:type="paragraph" w:styleId="648">
    <w:name w:val="toc 3"/>
    <w:basedOn w:val="624"/>
    <w:next w:val="624"/>
    <w:uiPriority w:val="39"/>
    <w:unhideWhenUsed/>
    <w:qFormat/>
    <w:pPr>
      <w:ind w:left="567" w:right="0" w:firstLine="0"/>
      <w:spacing w:after="57"/>
    </w:pPr>
  </w:style>
  <w:style w:type="paragraph" w:styleId="649">
    <w:name w:val="Plain Text"/>
    <w:basedOn w:val="624"/>
    <w:uiPriority w:val="0"/>
    <w:qFormat/>
    <w:rPr>
      <w:rFonts w:ascii="宋体" w:hAnsi="Courier New" w:cs="Times New Roman"/>
    </w:rPr>
  </w:style>
  <w:style w:type="paragraph" w:styleId="650">
    <w:name w:val="toc 8"/>
    <w:basedOn w:val="624"/>
    <w:next w:val="624"/>
    <w:uiPriority w:val="39"/>
    <w:unhideWhenUsed/>
    <w:qFormat/>
    <w:pPr>
      <w:ind w:left="1984" w:right="0" w:firstLine="0"/>
      <w:spacing w:after="57"/>
    </w:pPr>
  </w:style>
  <w:style w:type="paragraph" w:styleId="651">
    <w:name w:val="Body Text Indent 2"/>
    <w:basedOn w:val="624"/>
    <w:uiPriority w:val="0"/>
    <w:qFormat/>
    <w:pPr>
      <w:ind w:left="1" w:firstLine="480"/>
      <w:spacing w:line="400" w:lineRule="exact"/>
      <w:tabs>
        <w:tab w:val="left" w:pos="360" w:leader="none"/>
      </w:tabs>
    </w:pPr>
    <w:rPr>
      <w:rFonts w:ascii="Times New Roman" w:hAnsi="Times New Roman" w:cs="Times New Roman"/>
      <w:sz w:val="24"/>
    </w:rPr>
  </w:style>
  <w:style w:type="paragraph" w:styleId="652">
    <w:name w:val="endnote text"/>
    <w:basedOn w:val="624"/>
    <w:link w:val="825"/>
    <w:uiPriority w:val="99"/>
    <w:semiHidden/>
    <w:unhideWhenUsed/>
    <w:qFormat/>
    <w:pPr>
      <w:spacing w:after="0" w:line="240" w:lineRule="auto"/>
    </w:pPr>
    <w:rPr>
      <w:sz w:val="20"/>
    </w:rPr>
  </w:style>
  <w:style w:type="paragraph" w:styleId="653">
    <w:name w:val="Footer"/>
    <w:basedOn w:val="624"/>
    <w:link w:val="698"/>
    <w:uiPriority w:val="99"/>
    <w:unhideWhenUsed/>
    <w:qFormat/>
    <w:pPr>
      <w:spacing w:after="0" w:line="240" w:lineRule="auto"/>
      <w:tabs>
        <w:tab w:val="center" w:pos="7143" w:leader="none"/>
        <w:tab w:val="right" w:pos="14287" w:leader="none"/>
      </w:tabs>
    </w:pPr>
  </w:style>
  <w:style w:type="paragraph" w:styleId="654">
    <w:name w:val="Body Text First Indent 2"/>
    <w:basedOn w:val="644"/>
    <w:uiPriority w:val="99"/>
    <w:unhideWhenUsed/>
    <w:qFormat/>
    <w:pPr>
      <w:ind w:firstLine="420"/>
    </w:pPr>
  </w:style>
  <w:style w:type="paragraph" w:styleId="655">
    <w:name w:val="Header"/>
    <w:basedOn w:val="624"/>
    <w:link w:val="696"/>
    <w:uiPriority w:val="99"/>
    <w:unhideWhenUsed/>
    <w:qFormat/>
    <w:pPr>
      <w:spacing w:after="0" w:line="240" w:lineRule="auto"/>
      <w:tabs>
        <w:tab w:val="center" w:pos="7143" w:leader="none"/>
        <w:tab w:val="right" w:pos="14287" w:leader="none"/>
      </w:tabs>
    </w:pPr>
  </w:style>
  <w:style w:type="paragraph" w:styleId="656">
    <w:name w:val="toc 1"/>
    <w:basedOn w:val="624"/>
    <w:next w:val="624"/>
    <w:uiPriority w:val="39"/>
    <w:unhideWhenUsed/>
    <w:qFormat/>
    <w:pPr>
      <w:ind w:left="0" w:right="0" w:firstLine="0"/>
      <w:spacing w:after="57"/>
    </w:pPr>
  </w:style>
  <w:style w:type="paragraph" w:styleId="657">
    <w:name w:val="toc 4"/>
    <w:basedOn w:val="624"/>
    <w:next w:val="624"/>
    <w:uiPriority w:val="39"/>
    <w:unhideWhenUsed/>
    <w:qFormat/>
    <w:pPr>
      <w:ind w:left="850" w:right="0" w:firstLine="0"/>
      <w:spacing w:after="57"/>
    </w:pPr>
  </w:style>
  <w:style w:type="paragraph" w:styleId="658">
    <w:name w:val="Subtitle"/>
    <w:basedOn w:val="624"/>
    <w:next w:val="624"/>
    <w:link w:val="691"/>
    <w:uiPriority w:val="11"/>
    <w:qFormat/>
    <w:pPr>
      <w:spacing w:before="200" w:after="200"/>
    </w:pPr>
    <w:rPr>
      <w:sz w:val="24"/>
      <w:szCs w:val="24"/>
    </w:rPr>
  </w:style>
  <w:style w:type="paragraph" w:styleId="659">
    <w:name w:val="List"/>
    <w:basedOn w:val="624"/>
    <w:uiPriority w:val="0"/>
    <w:qFormat/>
    <w:pPr>
      <w:jc w:val="center"/>
      <w:spacing w:line="20" w:lineRule="atLeast"/>
    </w:pPr>
    <w:rPr>
      <w:rFonts w:ascii="Arial" w:hAnsi="Arial" w:eastAsia="幼圆_GB2312"/>
      <w:sz w:val="18"/>
      <w:szCs w:val="24"/>
    </w:rPr>
  </w:style>
  <w:style w:type="paragraph" w:styleId="660">
    <w:name w:val="footnote text"/>
    <w:basedOn w:val="624"/>
    <w:link w:val="824"/>
    <w:uiPriority w:val="99"/>
    <w:semiHidden/>
    <w:unhideWhenUsed/>
    <w:qFormat/>
    <w:pPr>
      <w:spacing w:after="40" w:line="240" w:lineRule="auto"/>
    </w:pPr>
    <w:rPr>
      <w:sz w:val="18"/>
    </w:rPr>
  </w:style>
  <w:style w:type="paragraph" w:styleId="661">
    <w:name w:val="toc 6"/>
    <w:basedOn w:val="624"/>
    <w:next w:val="624"/>
    <w:uiPriority w:val="39"/>
    <w:unhideWhenUsed/>
    <w:qFormat/>
    <w:pPr>
      <w:ind w:left="1417" w:right="0" w:firstLine="0"/>
      <w:spacing w:after="57"/>
    </w:pPr>
  </w:style>
  <w:style w:type="paragraph" w:styleId="662">
    <w:name w:val="Body Text Indent 3"/>
    <w:basedOn w:val="624"/>
    <w:uiPriority w:val="0"/>
    <w:qFormat/>
    <w:pPr>
      <w:ind w:firstLine="480"/>
      <w:jc w:val="left"/>
      <w:spacing w:line="440" w:lineRule="atLeast"/>
    </w:pPr>
    <w:rPr>
      <w:rFonts w:ascii="Times New Roman" w:hAnsi="Times New Roman" w:cs="宋体"/>
      <w:sz w:val="24"/>
    </w:rPr>
  </w:style>
  <w:style w:type="paragraph" w:styleId="663">
    <w:name w:val="table of figures"/>
    <w:basedOn w:val="624"/>
    <w:next w:val="624"/>
    <w:uiPriority w:val="99"/>
    <w:unhideWhenUsed/>
    <w:qFormat/>
    <w:pPr>
      <w:spacing w:after="0" w:afterAutospacing="0"/>
    </w:pPr>
  </w:style>
  <w:style w:type="paragraph" w:styleId="664">
    <w:name w:val="toc 2"/>
    <w:basedOn w:val="624"/>
    <w:next w:val="624"/>
    <w:uiPriority w:val="39"/>
    <w:unhideWhenUsed/>
    <w:qFormat/>
    <w:pPr>
      <w:ind w:left="283" w:right="0" w:firstLine="0"/>
      <w:spacing w:after="57"/>
    </w:pPr>
  </w:style>
  <w:style w:type="paragraph" w:styleId="665">
    <w:name w:val="toc 9"/>
    <w:basedOn w:val="624"/>
    <w:next w:val="624"/>
    <w:uiPriority w:val="39"/>
    <w:unhideWhenUsed/>
    <w:qFormat/>
    <w:pPr>
      <w:ind w:left="2268" w:right="0" w:firstLine="0"/>
      <w:spacing w:after="57"/>
    </w:pPr>
  </w:style>
  <w:style w:type="paragraph" w:styleId="666">
    <w:name w:val="Normal (Web)"/>
    <w:basedOn w:val="624"/>
    <w:uiPriority w:val="0"/>
    <w:qFormat/>
    <w:pPr>
      <w:jc w:val="left"/>
      <w:spacing w:before="100" w:beforeAutospacing="1" w:after="100" w:afterAutospacing="1"/>
      <w:widowControl/>
    </w:pPr>
    <w:rPr>
      <w:rFonts w:ascii="宋体" w:hAnsi="宋体" w:eastAsia="宋体" w:cs="Times New Roman"/>
      <w:sz w:val="24"/>
    </w:rPr>
  </w:style>
  <w:style w:type="paragraph" w:styleId="667">
    <w:name w:val="Title"/>
    <w:basedOn w:val="624"/>
    <w:next w:val="624"/>
    <w:link w:val="690"/>
    <w:uiPriority w:val="10"/>
    <w:qFormat/>
    <w:pPr>
      <w:contextualSpacing/>
      <w:spacing w:before="300" w:after="200"/>
    </w:pPr>
    <w:rPr>
      <w:sz w:val="48"/>
      <w:szCs w:val="48"/>
    </w:rPr>
  </w:style>
  <w:style w:type="character" w:styleId="668">
    <w:name w:val="Strong"/>
    <w:basedOn w:val="634"/>
    <w:uiPriority w:val="22"/>
    <w:qFormat/>
    <w:rPr>
      <w:b/>
    </w:rPr>
  </w:style>
  <w:style w:type="character" w:styleId="669">
    <w:name w:val="endnote reference"/>
    <w:uiPriority w:val="99"/>
    <w:semiHidden/>
    <w:unhideWhenUsed/>
    <w:qFormat/>
    <w:rPr>
      <w:vertAlign w:val="superscript"/>
    </w:rPr>
  </w:style>
  <w:style w:type="character" w:styleId="670">
    <w:name w:val="FollowedHyperlink"/>
    <w:basedOn w:val="634"/>
    <w:uiPriority w:val="99"/>
    <w:semiHidden/>
    <w:unhideWhenUsed/>
    <w:qFormat/>
    <w:rPr>
      <w:color w:val="333333"/>
      <w:u w:val="none"/>
    </w:rPr>
  </w:style>
  <w:style w:type="character" w:styleId="671">
    <w:name w:val="Emphasis"/>
    <w:basedOn w:val="634"/>
    <w:uiPriority w:val="20"/>
    <w:qFormat/>
  </w:style>
  <w:style w:type="character" w:styleId="672">
    <w:name w:val="Hyperlink"/>
    <w:uiPriority w:val="99"/>
    <w:unhideWhenUsed/>
    <w:qFormat/>
    <w:rPr>
      <w:color w:val="0000ff" w:themeColor="hyperlink"/>
      <w:u w:val="single"/>
      <w14:textFill>
        <w14:solidFill>
          <w14:schemeClr w14:val="hlink"/>
        </w14:solidFill>
      </w14:textFill>
    </w:rPr>
  </w:style>
  <w:style w:type="character" w:styleId="673">
    <w:name w:val="footnote reference"/>
    <w:uiPriority w:val="99"/>
    <w:unhideWhenUsed/>
    <w:qFormat/>
    <w:rPr>
      <w:vertAlign w:val="superscript"/>
    </w:rPr>
  </w:style>
  <w:style w:type="table" w:styleId="6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675" w:customStyle="1">
    <w:name w:val="段"/>
    <w:next w:val="624"/>
    <w:uiPriority w:val="0"/>
    <w:qFormat/>
    <w:pPr>
      <w:ind w:firstLine="200"/>
      <w:jc w:val="both"/>
    </w:pPr>
    <w:rPr>
      <w:rFonts w:hint="default" w:ascii="宋体" w:hAnsi="Calibri" w:eastAsia="宋体" w:cs="Times New Roman"/>
      <w:sz w:val="21"/>
      <w:lang w:val="en-US" w:eastAsia="zh-CN" w:bidi="ar-SA"/>
    </w:rPr>
  </w:style>
  <w:style w:type="paragraph" w:styleId="676" w:customStyle="1">
    <w:name w:val="目录 51"/>
    <w:next w:val="624"/>
    <w:uiPriority w:val="0"/>
    <w:qFormat/>
    <w:pPr>
      <w:ind w:left="1275"/>
      <w:jc w:val="both"/>
    </w:pPr>
    <w:rPr>
      <w:rFonts w:hint="default" w:ascii="Calibri" w:hAnsi="Calibri" w:eastAsia="宋体" w:cs="Times New Roman"/>
      <w:sz w:val="21"/>
      <w:lang w:val="en-US" w:eastAsia="zh-CN" w:bidi="ar-SA"/>
    </w:rPr>
  </w:style>
  <w:style w:type="paragraph" w:styleId="677" w:customStyle="1">
    <w:name w:val="正文1"/>
    <w:basedOn w:val="624"/>
    <w:next w:val="624"/>
    <w:uiPriority w:val="0"/>
    <w:qFormat/>
    <w:pPr>
      <w:ind w:firstLine="480"/>
      <w:spacing w:line="440" w:lineRule="exact"/>
    </w:pPr>
    <w:rPr>
      <w:rFonts w:ascii="Times New Roman" w:hAnsi="Times New Roman" w:cs="Times New Roman"/>
      <w:bCs/>
      <w:color w:val="000000"/>
      <w:sz w:val="24"/>
      <w:szCs w:val="32"/>
    </w:rPr>
  </w:style>
  <w:style w:type="paragraph" w:styleId="678" w:customStyle="1">
    <w:name w:val="文本块1"/>
    <w:basedOn w:val="624"/>
    <w:uiPriority w:val="0"/>
    <w:qFormat/>
    <w:pPr>
      <w:ind w:left="630" w:right="-609" w:firstLine="420"/>
      <w:spacing w:line="360" w:lineRule="auto"/>
    </w:pPr>
    <w:rPr>
      <w:rFonts w:hint="eastAsia" w:ascii="仿宋_GB2312" w:hAnsi="Times New Roman" w:eastAsia="仿宋_GB2312" w:cs="Times New Roman"/>
      <w:szCs w:val="20"/>
    </w:rPr>
  </w:style>
  <w:style w:type="character" w:styleId="679" w:customStyle="1">
    <w:name w:val="Heading 1 Char"/>
    <w:link w:val="625"/>
    <w:uiPriority w:val="9"/>
    <w:qFormat/>
    <w:rPr>
      <w:rFonts w:ascii="Arial" w:hAnsi="Arial" w:eastAsia="Arial" w:cs="Arial"/>
      <w:sz w:val="40"/>
      <w:szCs w:val="40"/>
    </w:rPr>
  </w:style>
  <w:style w:type="character" w:styleId="680" w:customStyle="1">
    <w:name w:val="Heading 2 Char"/>
    <w:link w:val="626"/>
    <w:uiPriority w:val="9"/>
    <w:qFormat/>
    <w:rPr>
      <w:rFonts w:ascii="Arial" w:hAnsi="Arial" w:eastAsia="Arial" w:cs="Arial"/>
      <w:sz w:val="34"/>
    </w:rPr>
  </w:style>
  <w:style w:type="character" w:styleId="681" w:customStyle="1">
    <w:name w:val="Heading 3 Char"/>
    <w:link w:val="627"/>
    <w:uiPriority w:val="9"/>
    <w:qFormat/>
    <w:rPr>
      <w:rFonts w:ascii="Arial" w:hAnsi="Arial" w:eastAsia="Arial" w:cs="Arial"/>
      <w:sz w:val="30"/>
      <w:szCs w:val="30"/>
    </w:rPr>
  </w:style>
  <w:style w:type="character" w:styleId="682" w:customStyle="1">
    <w:name w:val="Heading 4 Char"/>
    <w:link w:val="628"/>
    <w:uiPriority w:val="9"/>
    <w:qFormat/>
    <w:rPr>
      <w:rFonts w:ascii="Arial" w:hAnsi="Arial" w:eastAsia="Arial" w:cs="Arial"/>
      <w:b/>
      <w:bCs/>
      <w:sz w:val="26"/>
      <w:szCs w:val="26"/>
    </w:rPr>
  </w:style>
  <w:style w:type="character" w:styleId="683" w:customStyle="1">
    <w:name w:val="Heading 5 Char"/>
    <w:link w:val="629"/>
    <w:uiPriority w:val="9"/>
    <w:qFormat/>
    <w:rPr>
      <w:rFonts w:ascii="Arial" w:hAnsi="Arial" w:eastAsia="Arial" w:cs="Arial"/>
      <w:b/>
      <w:bCs/>
      <w:sz w:val="24"/>
      <w:szCs w:val="24"/>
    </w:rPr>
  </w:style>
  <w:style w:type="character" w:styleId="684" w:customStyle="1">
    <w:name w:val="Heading 6 Char"/>
    <w:link w:val="630"/>
    <w:uiPriority w:val="9"/>
    <w:qFormat/>
    <w:rPr>
      <w:rFonts w:ascii="Arial" w:hAnsi="Arial" w:eastAsia="Arial" w:cs="Arial"/>
      <w:b/>
      <w:bCs/>
      <w:sz w:val="22"/>
      <w:szCs w:val="22"/>
    </w:rPr>
  </w:style>
  <w:style w:type="character" w:styleId="685" w:customStyle="1">
    <w:name w:val="Heading 7 Char"/>
    <w:link w:val="631"/>
    <w:uiPriority w:val="9"/>
    <w:qFormat/>
    <w:rPr>
      <w:rFonts w:ascii="Arial" w:hAnsi="Arial" w:eastAsia="Arial" w:cs="Arial"/>
      <w:b/>
      <w:bCs/>
      <w:i/>
      <w:iCs/>
      <w:sz w:val="22"/>
      <w:szCs w:val="22"/>
    </w:rPr>
  </w:style>
  <w:style w:type="character" w:styleId="686" w:customStyle="1">
    <w:name w:val="Heading 8 Char"/>
    <w:link w:val="632"/>
    <w:uiPriority w:val="9"/>
    <w:qFormat/>
    <w:rPr>
      <w:rFonts w:ascii="Arial" w:hAnsi="Arial" w:eastAsia="Arial" w:cs="Arial"/>
      <w:i/>
      <w:iCs/>
      <w:sz w:val="22"/>
      <w:szCs w:val="22"/>
    </w:rPr>
  </w:style>
  <w:style w:type="character" w:styleId="687" w:customStyle="1">
    <w:name w:val="Heading 9 Char"/>
    <w:link w:val="633"/>
    <w:uiPriority w:val="9"/>
    <w:qFormat/>
    <w:rPr>
      <w:rFonts w:ascii="Arial" w:hAnsi="Arial" w:eastAsia="Arial" w:cs="Arial"/>
      <w:i/>
      <w:iCs/>
      <w:sz w:val="21"/>
      <w:szCs w:val="21"/>
    </w:rPr>
  </w:style>
  <w:style w:type="paragraph" w:styleId="688">
    <w:name w:val="List Paragraph"/>
    <w:basedOn w:val="624"/>
    <w:uiPriority w:val="34"/>
    <w:qFormat/>
    <w:pPr>
      <w:contextualSpacing/>
      <w:ind w:left="720"/>
    </w:pPr>
  </w:style>
  <w:style w:type="paragraph" w:styleId="689">
    <w:name w:val="No Spacing"/>
    <w:uiPriority w:val="1"/>
    <w:qFormat/>
    <w:pPr>
      <w:spacing w:before="0" w:after="0" w:line="240" w:lineRule="auto"/>
    </w:pPr>
    <w:rPr>
      <w:rFonts w:hint="default" w:ascii="Calibri" w:hAnsi="Calibri" w:eastAsia="宋体" w:cs="Times New Roman"/>
    </w:rPr>
  </w:style>
  <w:style w:type="character" w:styleId="690" w:customStyle="1">
    <w:name w:val="Title Char"/>
    <w:link w:val="667"/>
    <w:uiPriority w:val="10"/>
    <w:qFormat/>
    <w:rPr>
      <w:sz w:val="48"/>
      <w:szCs w:val="48"/>
    </w:rPr>
  </w:style>
  <w:style w:type="character" w:styleId="691" w:customStyle="1">
    <w:name w:val="Subtitle Char"/>
    <w:link w:val="658"/>
    <w:uiPriority w:val="11"/>
    <w:qFormat/>
    <w:rPr>
      <w:sz w:val="24"/>
      <w:szCs w:val="24"/>
    </w:rPr>
  </w:style>
  <w:style w:type="paragraph" w:styleId="692">
    <w:name w:val="Quote"/>
    <w:basedOn w:val="624"/>
    <w:next w:val="624"/>
    <w:link w:val="693"/>
    <w:uiPriority w:val="29"/>
    <w:qFormat/>
    <w:pPr>
      <w:ind w:left="720" w:right="720"/>
    </w:pPr>
    <w:rPr>
      <w:i/>
    </w:rPr>
  </w:style>
  <w:style w:type="character" w:styleId="693" w:customStyle="1">
    <w:name w:val="Quote Char"/>
    <w:link w:val="692"/>
    <w:uiPriority w:val="29"/>
    <w:qFormat/>
    <w:rPr>
      <w:i/>
    </w:rPr>
  </w:style>
  <w:style w:type="paragraph" w:styleId="694">
    <w:name w:val="Intense Quote"/>
    <w:basedOn w:val="624"/>
    <w:next w:val="624"/>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Intense Quote Char"/>
    <w:link w:val="694"/>
    <w:uiPriority w:val="30"/>
    <w:qFormat/>
    <w:rPr>
      <w:i/>
    </w:rPr>
  </w:style>
  <w:style w:type="character" w:styleId="696" w:customStyle="1">
    <w:name w:val="Header Char"/>
    <w:link w:val="655"/>
    <w:uiPriority w:val="99"/>
    <w:qFormat/>
  </w:style>
  <w:style w:type="character" w:styleId="697" w:customStyle="1">
    <w:name w:val="Footer Char"/>
    <w:link w:val="653"/>
    <w:uiPriority w:val="99"/>
    <w:qFormat/>
  </w:style>
  <w:style w:type="character" w:styleId="698" w:customStyle="1">
    <w:name w:val="Caption Char"/>
    <w:link w:val="653"/>
    <w:uiPriority w:val="99"/>
    <w:qFormat/>
  </w:style>
  <w:style w:type="table" w:styleId="6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4"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6"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7"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8"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9"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0"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2"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3"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5"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6"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7"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8"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9"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4" w:customStyle="1">
    <w:name w:val="Footnote Text Char"/>
    <w:link w:val="660"/>
    <w:uiPriority w:val="99"/>
    <w:qFormat/>
    <w:rPr>
      <w:sz w:val="18"/>
    </w:rPr>
  </w:style>
  <w:style w:type="character" w:styleId="825" w:customStyle="1">
    <w:name w:val="Endnote Text Char"/>
    <w:link w:val="652"/>
    <w:uiPriority w:val="99"/>
    <w:qFormat/>
    <w:rPr>
      <w:sz w:val="20"/>
    </w:rPr>
  </w:style>
  <w:style w:type="paragraph" w:styleId="826" w:customStyle="1">
    <w:name w:val="TOC Heading"/>
    <w:uiPriority w:val="39"/>
    <w:unhideWhenUsed/>
    <w:qFormat/>
    <w:rPr>
      <w:rFonts w:hint="default" w:ascii="Calibri" w:hAnsi="Calibri" w:eastAsia="宋体" w:cs="Times New Roman"/>
    </w:rPr>
  </w:style>
  <w:style w:type="paragraph" w:styleId="827" w:customStyle="1">
    <w:name w:val="标题 21"/>
    <w:basedOn w:val="624"/>
    <w:next w:val="624"/>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28" w:customStyle="1">
    <w:name w:val="默认段落字体1"/>
    <w:link w:val="624"/>
    <w:uiPriority w:val="0"/>
    <w:semiHidden/>
    <w:qFormat/>
  </w:style>
  <w:style w:type="table" w:styleId="829" w:customStyle="1">
    <w:name w:val="普通表格1"/>
    <w:uiPriority w:val="0"/>
    <w:semiHidden/>
    <w:qFormat/>
    <w:tblPr/>
  </w:style>
  <w:style w:type="character" w:styleId="830" w:customStyle="1">
    <w:name w:val="要点1"/>
    <w:link w:val="624"/>
    <w:uiPriority w:val="0"/>
    <w:qFormat/>
    <w:rPr>
      <w:rFonts w:ascii="Times New Roman" w:hAnsi="Times New Roman" w:eastAsia="宋体" w:cs="Times New Roman"/>
      <w:b/>
    </w:rPr>
  </w:style>
  <w:style w:type="character" w:styleId="831" w:customStyle="1">
    <w:name w:val="超链接1"/>
    <w:link w:val="624"/>
    <w:uiPriority w:val="0"/>
    <w:qFormat/>
    <w:rPr>
      <w:color w:val="333333"/>
      <w:u w:val="none"/>
    </w:rPr>
  </w:style>
  <w:style w:type="character" w:styleId="832" w:customStyle="1">
    <w:name w:val="强调1"/>
    <w:link w:val="624"/>
    <w:uiPriority w:val="0"/>
    <w:qFormat/>
  </w:style>
  <w:style w:type="character" w:styleId="833" w:customStyle="1">
    <w:name w:val="font31"/>
    <w:link w:val="624"/>
    <w:uiPriority w:val="0"/>
    <w:qFormat/>
    <w:rPr>
      <w:rFonts w:ascii="Times New Roman" w:hAnsi="Times New Roman" w:cs="Times New Roman"/>
      <w:color w:val="000000"/>
      <w:sz w:val="22"/>
      <w:szCs w:val="22"/>
      <w:u w:val="none"/>
    </w:rPr>
  </w:style>
  <w:style w:type="character" w:styleId="834" w:customStyle="1">
    <w:name w:val="font91"/>
    <w:link w:val="624"/>
    <w:uiPriority w:val="0"/>
    <w:qFormat/>
    <w:rPr>
      <w:rFonts w:ascii="Times New Roman" w:hAnsi="Times New Roman" w:cs="Times New Roman"/>
      <w:color w:val="000000"/>
      <w:sz w:val="22"/>
      <w:szCs w:val="22"/>
      <w:u w:val="none"/>
    </w:rPr>
  </w:style>
  <w:style w:type="character" w:styleId="835" w:customStyle="1">
    <w:name w:val="已访问的超链接1"/>
    <w:link w:val="624"/>
    <w:uiPriority w:val="0"/>
    <w:qFormat/>
    <w:rPr>
      <w:color w:val="333333"/>
      <w:u w:val="none"/>
    </w:rPr>
  </w:style>
  <w:style w:type="character" w:styleId="836" w:customStyle="1">
    <w:name w:val="页码1"/>
    <w:link w:val="624"/>
    <w:uiPriority w:val="0"/>
    <w:qFormat/>
  </w:style>
  <w:style w:type="character" w:styleId="837" w:customStyle="1">
    <w:name w:val="font21"/>
    <w:basedOn w:val="634"/>
    <w:link w:val="624"/>
    <w:uiPriority w:val="0"/>
    <w:qFormat/>
    <w:rPr>
      <w:rFonts w:ascii="Times New Roman" w:hAnsi="Times New Roman" w:cs="Times New Roman"/>
      <w:color w:val="000000"/>
      <w:sz w:val="22"/>
      <w:szCs w:val="22"/>
      <w:u w:val="none"/>
    </w:rPr>
  </w:style>
  <w:style w:type="character" w:styleId="838" w:customStyle="1">
    <w:name w:val="font61"/>
    <w:basedOn w:val="634"/>
    <w:link w:val="624"/>
    <w:uiPriority w:val="0"/>
    <w:qFormat/>
    <w:rPr>
      <w:rFonts w:hint="eastAsia" w:ascii="宋体" w:hAnsi="宋体" w:eastAsia="宋体" w:cs="宋体"/>
      <w:color w:val="000000"/>
      <w:sz w:val="22"/>
      <w:szCs w:val="22"/>
      <w:u w:val="none"/>
    </w:rPr>
  </w:style>
  <w:style w:type="character" w:styleId="839" w:customStyle="1">
    <w:name w:val="font11"/>
    <w:link w:val="624"/>
    <w:uiPriority w:val="0"/>
    <w:qFormat/>
    <w:rPr>
      <w:rFonts w:hint="eastAsia" w:ascii="宋体" w:hAnsi="宋体" w:eastAsia="宋体" w:cs="宋体"/>
      <w:color w:val="000000"/>
      <w:sz w:val="20"/>
      <w:szCs w:val="20"/>
      <w:u w:val="none"/>
    </w:rPr>
  </w:style>
  <w:style w:type="character" w:styleId="840" w:customStyle="1">
    <w:name w:val="font41"/>
    <w:link w:val="624"/>
    <w:uiPriority w:val="0"/>
    <w:qFormat/>
    <w:rPr>
      <w:rFonts w:ascii="Times New Roman" w:hAnsi="Times New Roman" w:cs="Times New Roman"/>
      <w:color w:val="000000"/>
      <w:sz w:val="22"/>
      <w:szCs w:val="22"/>
      <w:u w:val="none"/>
    </w:rPr>
  </w:style>
  <w:style w:type="character" w:styleId="841" w:customStyle="1">
    <w:name w:val="font51"/>
    <w:link w:val="624"/>
    <w:uiPriority w:val="0"/>
    <w:qFormat/>
    <w:rPr>
      <w:rFonts w:ascii="Times New Roman" w:hAnsi="Times New Roman" w:cs="Times New Roman"/>
      <w:color w:val="000000"/>
      <w:sz w:val="22"/>
      <w:szCs w:val="22"/>
      <w:u w:val="none"/>
    </w:rPr>
  </w:style>
  <w:style w:type="character" w:styleId="842" w:customStyle="1">
    <w:name w:val="批注框文本 Char"/>
    <w:link w:val="843"/>
    <w:uiPriority w:val="0"/>
    <w:qFormat/>
    <w:rPr>
      <w:sz w:val="18"/>
      <w:szCs w:val="18"/>
    </w:rPr>
  </w:style>
  <w:style w:type="paragraph" w:styleId="843" w:customStyle="1">
    <w:name w:val="批注框文本1"/>
    <w:basedOn w:val="624"/>
    <w:link w:val="842"/>
    <w:uiPriority w:val="0"/>
    <w:qFormat/>
    <w:rPr>
      <w:sz w:val="18"/>
      <w:szCs w:val="18"/>
    </w:rPr>
  </w:style>
  <w:style w:type="character" w:styleId="844" w:customStyle="1">
    <w:name w:val="NormalCharacter1"/>
    <w:link w:val="624"/>
    <w:uiPriority w:val="0"/>
    <w:qFormat/>
  </w:style>
  <w:style w:type="character" w:styleId="845" w:customStyle="1">
    <w:name w:val="font81"/>
    <w:basedOn w:val="634"/>
    <w:link w:val="624"/>
    <w:uiPriority w:val="0"/>
    <w:qFormat/>
    <w:rPr>
      <w:rFonts w:hint="eastAsia" w:ascii="宋体" w:hAnsi="宋体" w:eastAsia="宋体" w:cs="宋体"/>
      <w:color w:val="000000"/>
      <w:sz w:val="22"/>
      <w:szCs w:val="22"/>
      <w:u w:val="none"/>
    </w:rPr>
  </w:style>
  <w:style w:type="character" w:styleId="846" w:customStyle="1">
    <w:name w:val="font71"/>
    <w:link w:val="624"/>
    <w:uiPriority w:val="0"/>
    <w:qFormat/>
    <w:rPr>
      <w:rFonts w:hint="eastAsia" w:ascii="宋体" w:hAnsi="宋体" w:eastAsia="宋体" w:cs="宋体"/>
      <w:color w:val="000000"/>
      <w:sz w:val="22"/>
      <w:szCs w:val="22"/>
      <w:u w:val="none"/>
    </w:rPr>
  </w:style>
  <w:style w:type="character" w:styleId="847" w:customStyle="1">
    <w:name w:val="font01"/>
    <w:link w:val="624"/>
    <w:uiPriority w:val="0"/>
    <w:qFormat/>
    <w:rPr>
      <w:rFonts w:ascii="Times New Roman" w:hAnsi="Times New Roman" w:cs="Times New Roman"/>
      <w:color w:val="000000"/>
      <w:sz w:val="22"/>
      <w:szCs w:val="22"/>
      <w:u w:val="none"/>
    </w:rPr>
  </w:style>
  <w:style w:type="paragraph" w:styleId="848" w:customStyle="1">
    <w:name w:val="正文文本缩进 31"/>
    <w:basedOn w:val="624"/>
    <w:uiPriority w:val="0"/>
    <w:qFormat/>
    <w:pPr>
      <w:ind w:firstLine="480"/>
      <w:jc w:val="left"/>
      <w:spacing w:line="440" w:lineRule="atLeast"/>
    </w:pPr>
    <w:rPr>
      <w:rFonts w:ascii="Times New Roman" w:hAnsi="Times New Roman"/>
      <w:sz w:val="24"/>
    </w:rPr>
  </w:style>
  <w:style w:type="paragraph" w:styleId="849" w:customStyle="1">
    <w:name w:val="正文首行缩进 21"/>
    <w:basedOn w:val="850"/>
    <w:uiPriority w:val="99"/>
    <w:unhideWhenUsed/>
    <w:qFormat/>
    <w:pPr>
      <w:ind w:firstLine="420"/>
    </w:pPr>
  </w:style>
  <w:style w:type="paragraph" w:styleId="850" w:customStyle="1">
    <w:name w:val="正文文本缩进1"/>
    <w:basedOn w:val="624"/>
    <w:next w:val="676"/>
    <w:uiPriority w:val="0"/>
    <w:unhideWhenUsed/>
    <w:qFormat/>
    <w:pPr>
      <w:ind w:left="420"/>
      <w:spacing w:after="120"/>
    </w:pPr>
  </w:style>
  <w:style w:type="paragraph" w:styleId="851" w:customStyle="1">
    <w:name w:val="纯文本111"/>
    <w:basedOn w:val="624"/>
    <w:uiPriority w:val="0"/>
    <w:qFormat/>
    <w:pPr>
      <w:jc w:val="left"/>
      <w:widowControl/>
    </w:pPr>
    <w:rPr>
      <w:rFonts w:ascii="宋体" w:hAnsi="Courier New" w:eastAsia="楷体_GB2312" w:cs="Times New Roman"/>
      <w:sz w:val="26"/>
    </w:rPr>
  </w:style>
  <w:style w:type="paragraph" w:styleId="852" w:customStyle="1">
    <w:name w:val="目录 11"/>
    <w:basedOn w:val="624"/>
    <w:next w:val="624"/>
    <w:uiPriority w:val="0"/>
    <w:qFormat/>
    <w:pPr>
      <w:jc w:val="left"/>
    </w:pPr>
    <w:rPr>
      <w:rFonts w:ascii="Times New Roman" w:hAnsi="Times New Roman" w:eastAsia="楷体_GB2312" w:cs="Times New Roman"/>
      <w:sz w:val="24"/>
      <w:szCs w:val="20"/>
    </w:rPr>
  </w:style>
  <w:style w:type="paragraph" w:styleId="853" w:customStyle="1">
    <w:name w:val="页眉1"/>
    <w:basedOn w:val="624"/>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4" w:customStyle="1">
    <w:name w:val="文档结构图1"/>
    <w:basedOn w:val="624"/>
    <w:uiPriority w:val="99"/>
    <w:qFormat/>
    <w:pPr>
      <w:shd w:val="clear" w:color="auto" w:fill="000080"/>
    </w:pPr>
  </w:style>
  <w:style w:type="paragraph" w:styleId="855" w:customStyle="1">
    <w:name w:val="列表1"/>
    <w:basedOn w:val="624"/>
    <w:uiPriority w:val="0"/>
    <w:qFormat/>
    <w:pPr>
      <w:jc w:val="center"/>
      <w:spacing w:line="20" w:lineRule="atLeast"/>
    </w:pPr>
    <w:rPr>
      <w:rFonts w:ascii="Arial" w:hAnsi="Arial" w:eastAsia="幼圆_GB2312"/>
      <w:sz w:val="18"/>
      <w:szCs w:val="24"/>
    </w:rPr>
  </w:style>
  <w:style w:type="paragraph" w:styleId="856" w:customStyle="1">
    <w:name w:val="正文文本缩进 21"/>
    <w:basedOn w:val="624"/>
    <w:uiPriority w:val="0"/>
    <w:qFormat/>
    <w:pPr>
      <w:ind w:left="1" w:firstLine="480"/>
      <w:spacing w:line="400" w:lineRule="exact"/>
      <w:tabs>
        <w:tab w:val="left" w:pos="360" w:leader="none"/>
      </w:tabs>
    </w:pPr>
    <w:rPr>
      <w:rFonts w:ascii="Times New Roman" w:hAnsi="Times New Roman" w:cs="Times New Roman"/>
      <w:sz w:val="24"/>
    </w:rPr>
  </w:style>
  <w:style w:type="paragraph" w:styleId="857"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58" w:customStyle="1">
    <w:name w:val="普通(网站)1"/>
    <w:basedOn w:val="624"/>
    <w:uiPriority w:val="99"/>
    <w:qFormat/>
    <w:pPr>
      <w:jc w:val="left"/>
      <w:spacing w:beforeAutospacing="1" w:afterAutospacing="1"/>
    </w:pPr>
    <w:rPr>
      <w:rFonts w:ascii="Times New Roman" w:hAnsi="Times New Roman" w:cs="Times New Roman"/>
      <w:sz w:val="24"/>
    </w:rPr>
  </w:style>
  <w:style w:type="paragraph" w:styleId="859" w:customStyle="1">
    <w:name w:val="页脚1"/>
    <w:basedOn w:val="624"/>
    <w:uiPriority w:val="0"/>
    <w:qFormat/>
    <w:pPr>
      <w:jc w:val="left"/>
      <w:tabs>
        <w:tab w:val="center" w:pos="4153" w:leader="none"/>
        <w:tab w:val="right" w:pos="8306" w:leader="none"/>
      </w:tabs>
    </w:pPr>
    <w:rPr>
      <w:sz w:val="18"/>
    </w:rPr>
  </w:style>
  <w:style w:type="paragraph" w:styleId="860" w:customStyle="1">
    <w:name w:val="p0"/>
    <w:basedOn w:val="624"/>
    <w:uiPriority w:val="0"/>
    <w:qFormat/>
    <w:rPr>
      <w:rFonts w:ascii="Times New Roman" w:hAnsi="Times New Roman"/>
      <w:szCs w:val="24"/>
    </w:rPr>
  </w:style>
  <w:style w:type="paragraph" w:styleId="861" w:customStyle="1">
    <w:name w:val="PlainText1"/>
    <w:basedOn w:val="624"/>
    <w:uiPriority w:val="0"/>
    <w:qFormat/>
    <w:rPr>
      <w:rFonts w:ascii="宋体" w:hAnsi="Courier New" w:eastAsia="楷体_GB2312"/>
      <w:sz w:val="28"/>
    </w:rPr>
  </w:style>
  <w:style w:type="paragraph" w:styleId="862" w:customStyle="1">
    <w:name w:val="纯文本2"/>
    <w:basedOn w:val="624"/>
    <w:uiPriority w:val="0"/>
    <w:qFormat/>
    <w:rPr>
      <w:rFonts w:ascii="宋体" w:hAnsi="Courier New" w:eastAsia="宋体" w:cs="Times New Roman"/>
    </w:rPr>
  </w:style>
  <w:style w:type="paragraph" w:styleId="863" w:customStyle="1">
    <w:name w:val="Plain Text1"/>
    <w:basedOn w:val="624"/>
    <w:uiPriority w:val="0"/>
    <w:qFormat/>
    <w:rPr>
      <w:rFonts w:ascii="宋体" w:hAnsi="Courier New" w:eastAsia="宋体" w:cs="Times New Roman"/>
      <w:sz w:val="26"/>
      <w:szCs w:val="20"/>
    </w:rPr>
  </w:style>
  <w:style w:type="paragraph" w:styleId="864" w:customStyle="1">
    <w:name w:val="纯文本4"/>
    <w:basedOn w:val="624"/>
    <w:uiPriority w:val="0"/>
    <w:qFormat/>
    <w:rPr>
      <w:rFonts w:ascii="宋体" w:hAnsi="Courier New" w:eastAsia="楷体_GB2312" w:cs="Times New Roman"/>
      <w:sz w:val="26"/>
      <w:szCs w:val="20"/>
    </w:rPr>
  </w:style>
  <w:style w:type="paragraph" w:styleId="865" w:customStyle="1">
    <w:name w:val="纯文本1"/>
    <w:basedOn w:val="624"/>
    <w:uiPriority w:val="0"/>
    <w:qFormat/>
    <w:rPr>
      <w:rFonts w:ascii="宋体" w:hAnsi="Courier New" w:eastAsia="楷体_GB2312" w:cs="Times New Roman"/>
      <w:sz w:val="28"/>
      <w:szCs w:val="20"/>
    </w:rPr>
  </w:style>
  <w:style w:type="paragraph" w:styleId="866" w:customStyle="1">
    <w:name w:val="首行缩进"/>
    <w:basedOn w:val="624"/>
    <w:uiPriority w:val="0"/>
    <w:qFormat/>
    <w:pPr>
      <w:ind w:firstLine="480"/>
    </w:pPr>
    <w:rPr>
      <w:rFonts w:ascii="Times New Roman" w:hAnsi="Times New Roman" w:cs="Times New Roman"/>
      <w:lang w:val="zh-CN"/>
    </w:rPr>
  </w:style>
  <w:style w:type="paragraph" w:styleId="867" w:customStyle="1">
    <w:name w:val="纯文本11"/>
    <w:basedOn w:val="624"/>
    <w:uiPriority w:val="0"/>
    <w:qFormat/>
    <w:pPr>
      <w:jc w:val="left"/>
      <w:widowControl/>
    </w:pPr>
    <w:rPr>
      <w:rFonts w:ascii="宋体" w:hAnsi="Courier New" w:eastAsia="楷体_GB2312"/>
      <w:sz w:val="26"/>
      <w:szCs w:val="20"/>
    </w:rPr>
  </w:style>
  <w:style w:type="paragraph" w:styleId="868" w:customStyle="1">
    <w:name w:val="列出段落1"/>
    <w:basedOn w:val="624"/>
    <w:uiPriority w:val="34"/>
    <w:qFormat/>
    <w:pPr>
      <w:ind w:firstLine="420"/>
    </w:pPr>
  </w:style>
  <w:style w:type="table" w:styleId="869" w:customStyle="1">
    <w:name w:val="网格型1"/>
    <w:basedOn w:val="829"/>
    <w:uiPriority w:val="59"/>
    <w:qFormat/>
    <w:pPr>
      <w:jc w:val="both"/>
      <w:widowControl w:val="off"/>
    </w:pPr>
    <w:rPr>
      <w:rFonts w:ascii="Times New Roman" w:hAnsi="Times New Roman" w:eastAsia="宋体" w:cs="Times New Roman"/>
      <w:sz w:val="20"/>
      <w:szCs w:val="20"/>
    </w:rPr>
    <w:tblPr/>
  </w:style>
  <w:style w:type="character" w:styleId="870" w:customStyle="1">
    <w:name w:val="font12"/>
    <w:basedOn w:val="634"/>
    <w:uiPriority w:val="0"/>
    <w:qFormat/>
    <w:rPr>
      <w:rFonts w:hint="eastAsia" w:ascii="华文仿宋" w:hAnsi="华文仿宋" w:eastAsia="华文仿宋" w:cs="华文仿宋"/>
      <w:color w:val="000000"/>
      <w:sz w:val="32"/>
      <w:szCs w:val="32"/>
      <w:u w:val="none"/>
    </w:rPr>
  </w:style>
  <w:style w:type="character" w:styleId="871" w:customStyle="1">
    <w:name w:val="font111"/>
    <w:basedOn w:val="634"/>
    <w:uiPriority w:val="0"/>
    <w:qFormat/>
    <w:rPr>
      <w:rFonts w:hint="default" w:ascii="Times New Roman" w:hAnsi="Times New Roman" w:cs="Times New Roman"/>
      <w:color w:val="000000"/>
      <w:sz w:val="22"/>
      <w:szCs w:val="22"/>
      <w:u w:val="none"/>
    </w:rPr>
  </w:style>
  <w:style w:type="character" w:styleId="872" w:customStyle="1">
    <w:name w:val="font101"/>
    <w:basedOn w:val="634"/>
    <w:uiPriority w:val="0"/>
    <w:qFormat/>
    <w:rPr>
      <w:rFonts w:hint="default" w:ascii="Times New Roman" w:hAnsi="Times New Roman" w:cs="Times New Roman"/>
      <w:color w:val="000000"/>
      <w:sz w:val="32"/>
      <w:szCs w:val="32"/>
      <w:u w:val="none"/>
    </w:rPr>
  </w:style>
  <w:style w:type="paragraph" w:styleId="873" w:customStyle="1">
    <w:name w:val="一级条标题"/>
    <w:basedOn w:val="874"/>
    <w:next w:val="675"/>
    <w:uiPriority w:val="0"/>
    <w:qFormat/>
    <w:pPr>
      <w:ind w:left="3675"/>
      <w:outlineLvl w:val="2"/>
    </w:pPr>
    <w:rPr>
      <w:rFonts w:ascii="Times New Roman" w:hAnsi="Times New Roman" w:eastAsia="黑体"/>
      <w:sz w:val="21"/>
      <w:lang w:val="en-US" w:eastAsia="zh-CN" w:bidi="ar-SA"/>
    </w:rPr>
  </w:style>
  <w:style w:type="paragraph" w:styleId="874" w:customStyle="1">
    <w:name w:val="章标题"/>
    <w:next w:val="624"/>
    <w:uiPriority w:val="0"/>
    <w:qFormat/>
    <w:pPr>
      <w:jc w:val="both"/>
      <w:outlineLvl w:val="1"/>
    </w:pPr>
    <w:rPr>
      <w:rFonts w:ascii="黑体" w:hAnsi="Times New Roman" w:eastAsia="黑体" w:cs="Times New Roman"/>
      <w:sz w:val="21"/>
      <w:lang w:val="en-US" w:eastAsia="zh-CN" w:bidi="ar-SA"/>
    </w:rPr>
  </w:style>
  <w:style w:type="numbering" w:styleId="85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李也菲</cp:lastModifiedBy>
  <cp:revision>9</cp:revision>
  <dcterms:created xsi:type="dcterms:W3CDTF">2023-11-15T00:51:00Z</dcterms:created>
  <dcterms:modified xsi:type="dcterms:W3CDTF">2024-12-06T02:19:41Z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