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4"/>
        <w:pageBreakBefore w:val="0"/>
        <w:spacing w:before="120" w:beforeAutospacing="0" w:after="120" w:afterAutospacing="0" w:line="360" w:lineRule="auto"/>
        <w:ind w:firstLine="204"/>
        <w:rPr>
          <w:color w:val="auto"/>
          <w:highlight w:val="none"/>
        </w:rPr>
      </w:pPr>
      <w:r>
        <w:rPr>
          <w:color w:val="auto"/>
          <w:highlight w:val="none"/>
        </w:rPr>
        <w:t> </w:t>
      </w:r>
    </w:p>
    <w:p>
      <w:pPr>
        <w:pStyle w:val="34"/>
        <w:pageBreakBefore w:val="0"/>
        <w:tabs>
          <w:tab w:val="left" w:pos="910"/>
          <w:tab w:val="center" w:pos="4212"/>
        </w:tabs>
        <w:spacing w:before="120" w:beforeAutospacing="0" w:after="120" w:afterAutospacing="0" w:line="360" w:lineRule="auto"/>
        <w:ind w:firstLine="717"/>
        <w:jc w:val="left"/>
        <w:rPr>
          <w:rFonts w:ascii="Arial" w:hAnsi="Arial" w:cs="Arial"/>
          <w:b/>
          <w:color w:val="auto"/>
          <w:sz w:val="84"/>
          <w:szCs w:val="84"/>
          <w:highlight w:val="none"/>
        </w:rPr>
      </w:pPr>
      <w:r>
        <w:rPr>
          <w:rFonts w:hint="eastAsia" w:ascii="Arial" w:hAnsi="Arial" w:eastAsia="宋体" w:cs="Arial"/>
          <w:b/>
          <w:color w:val="auto"/>
          <w:sz w:val="84"/>
          <w:szCs w:val="84"/>
          <w:highlight w:val="none"/>
          <w:lang w:eastAsia="zh-CN"/>
        </w:rPr>
        <w:tab/>
      </w:r>
      <w:r>
        <w:rPr>
          <w:rFonts w:hint="eastAsia" w:ascii="Arial" w:hAnsi="Arial" w:eastAsia="宋体" w:cs="Arial"/>
          <w:b/>
          <w:color w:val="auto"/>
          <w:sz w:val="84"/>
          <w:szCs w:val="84"/>
          <w:highlight w:val="none"/>
          <w:lang w:eastAsia="zh-CN"/>
        </w:rPr>
        <w:tab/>
      </w:r>
      <w:r>
        <w:rPr>
          <w:rFonts w:ascii="Arial" w:hAnsi="Arial" w:cs="Arial"/>
          <w:b/>
          <w:color w:val="auto"/>
          <w:sz w:val="84"/>
          <w:szCs w:val="84"/>
          <w:highlight w:val="none"/>
        </w:rPr>
        <w:t>招 标 文 件</w:t>
      </w:r>
    </w:p>
    <w:p>
      <w:pPr>
        <w:pStyle w:val="34"/>
        <w:pageBreakBefore w:val="0"/>
        <w:spacing w:before="120" w:beforeAutospacing="0" w:after="120" w:afterAutospacing="0" w:line="360" w:lineRule="auto"/>
        <w:ind w:firstLine="714"/>
        <w:jc w:val="center"/>
        <w:rPr>
          <w:rFonts w:ascii="Arial" w:hAnsi="Arial" w:cs="Arial"/>
          <w:b/>
          <w:color w:val="auto"/>
          <w:sz w:val="84"/>
          <w:szCs w:val="84"/>
          <w:highlight w:val="none"/>
        </w:rPr>
      </w:pPr>
    </w:p>
    <w:p>
      <w:pPr>
        <w:pStyle w:val="34"/>
        <w:pageBreakBefore w:val="0"/>
        <w:spacing w:before="120" w:beforeAutospacing="0" w:after="120" w:afterAutospacing="0" w:line="360" w:lineRule="auto"/>
        <w:ind w:firstLine="714"/>
        <w:jc w:val="center"/>
        <w:rPr>
          <w:rFonts w:ascii="Arial" w:hAnsi="Arial" w:cs="Arial"/>
          <w:b/>
          <w:color w:val="auto"/>
          <w:sz w:val="84"/>
          <w:szCs w:val="84"/>
          <w:highlight w:val="none"/>
        </w:rPr>
      </w:pPr>
    </w:p>
    <w:p>
      <w:pPr>
        <w:pStyle w:val="34"/>
        <w:pageBreakBefore w:val="0"/>
        <w:spacing w:before="120" w:beforeAutospacing="0" w:after="120" w:afterAutospacing="0" w:line="360" w:lineRule="auto"/>
        <w:ind w:firstLine="272"/>
        <w:jc w:val="center"/>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盐城市亭湖区人民法院食堂餐饮服务外包项目</w:t>
      </w:r>
    </w:p>
    <w:p>
      <w:pPr>
        <w:pStyle w:val="34"/>
        <w:pageBreakBefore w:val="0"/>
        <w:spacing w:beforeAutospacing="0" w:afterAutospacing="0"/>
        <w:ind w:firstLine="272"/>
        <w:jc w:val="center"/>
        <w:rPr>
          <w:rFonts w:hint="eastAsia" w:ascii="Arial" w:hAnsi="Arial" w:cs="Arial"/>
          <w:b/>
          <w:color w:val="auto"/>
          <w:sz w:val="32"/>
          <w:szCs w:val="32"/>
          <w:highlight w:val="none"/>
          <w:lang w:eastAsia="zh-CN"/>
        </w:rPr>
      </w:pPr>
      <w:r>
        <w:rPr>
          <w:rFonts w:ascii="Times New Roman" w:hAnsi="Times New Roman"/>
          <w:b/>
          <w:color w:val="auto"/>
          <w:sz w:val="32"/>
          <w:szCs w:val="32"/>
          <w:highlight w:val="none"/>
        </w:rPr>
        <w:t>项目编号</w:t>
      </w:r>
      <w:r>
        <w:rPr>
          <w:rFonts w:hint="eastAsia" w:ascii="Arial" w:hAnsi="Arial" w:cs="Arial"/>
          <w:b/>
          <w:color w:val="auto"/>
          <w:sz w:val="32"/>
          <w:szCs w:val="32"/>
          <w:highlight w:val="none"/>
          <w:lang w:eastAsia="zh-CN"/>
        </w:rPr>
        <w:t>：JSZC-320902-YDZJ-G2024-0001</w:t>
      </w:r>
      <w:r>
        <w:rPr>
          <w:rFonts w:hint="default" w:ascii="Arial" w:hAnsi="Arial" w:cs="Arial"/>
          <w:b/>
          <w:color w:val="auto"/>
          <w:sz w:val="32"/>
          <w:szCs w:val="32"/>
          <w:highlight w:val="none"/>
          <w:lang w:val="en-US" w:eastAsia="zh-CN"/>
        </w:rPr>
        <w:t xml:space="preserve"> </w:t>
      </w:r>
    </w:p>
    <w:p>
      <w:pPr>
        <w:pStyle w:val="34"/>
        <w:pageBreakBefore w:val="0"/>
        <w:spacing w:beforeAutospacing="0" w:afterAutospacing="0" w:line="360" w:lineRule="auto"/>
        <w:ind w:firstLine="204"/>
        <w:rPr>
          <w:color w:val="auto"/>
          <w:highlight w:val="none"/>
        </w:rPr>
      </w:pPr>
      <w:r>
        <w:rPr>
          <w:color w:val="auto"/>
          <w:highlight w:val="none"/>
        </w:rPr>
        <w:t> </w:t>
      </w:r>
    </w:p>
    <w:p>
      <w:pPr>
        <w:pStyle w:val="34"/>
        <w:pageBreakBefore w:val="0"/>
        <w:spacing w:beforeAutospacing="0" w:afterAutospacing="0" w:line="360" w:lineRule="auto"/>
        <w:ind w:firstLine="204"/>
        <w:rPr>
          <w:color w:val="auto"/>
          <w:highlight w:val="none"/>
        </w:rPr>
      </w:pPr>
      <w:r>
        <w:rPr>
          <w:color w:val="auto"/>
          <w:highlight w:val="none"/>
        </w:rPr>
        <w:t> </w:t>
      </w:r>
    </w:p>
    <w:p>
      <w:pPr>
        <w:pStyle w:val="34"/>
        <w:pageBreakBefore w:val="0"/>
        <w:spacing w:beforeAutospacing="0" w:afterAutospacing="0" w:line="360" w:lineRule="auto"/>
        <w:ind w:firstLine="204"/>
        <w:rPr>
          <w:color w:val="auto"/>
          <w:highlight w:val="none"/>
        </w:rPr>
      </w:pPr>
      <w:r>
        <w:rPr>
          <w:color w:val="auto"/>
          <w:highlight w:val="none"/>
        </w:rPr>
        <w:t> </w:t>
      </w:r>
    </w:p>
    <w:p>
      <w:pPr>
        <w:pStyle w:val="34"/>
        <w:pageBreakBefore w:val="0"/>
        <w:spacing w:beforeAutospacing="0" w:afterAutospacing="0" w:line="360" w:lineRule="auto"/>
        <w:ind w:firstLine="204"/>
        <w:rPr>
          <w:color w:val="auto"/>
          <w:highlight w:val="none"/>
        </w:rPr>
      </w:pPr>
      <w:r>
        <w:rPr>
          <w:color w:val="auto"/>
          <w:highlight w:val="none"/>
        </w:rPr>
        <w:t> </w:t>
      </w:r>
    </w:p>
    <w:p>
      <w:pPr>
        <w:pStyle w:val="34"/>
        <w:pageBreakBefore w:val="0"/>
        <w:spacing w:beforeAutospacing="0" w:afterAutospacing="0" w:line="360" w:lineRule="auto"/>
        <w:ind w:firstLine="204"/>
        <w:rPr>
          <w:color w:val="auto"/>
          <w:highlight w:val="none"/>
        </w:rPr>
      </w:pPr>
      <w:r>
        <w:rPr>
          <w:color w:val="auto"/>
          <w:highlight w:val="none"/>
        </w:rPr>
        <w:t> </w:t>
      </w:r>
    </w:p>
    <w:p>
      <w:pPr>
        <w:pStyle w:val="34"/>
        <w:pageBreakBefore w:val="0"/>
        <w:spacing w:beforeAutospacing="0" w:afterAutospacing="0" w:line="360" w:lineRule="auto"/>
        <w:ind w:firstLine="204"/>
        <w:rPr>
          <w:color w:val="auto"/>
          <w:highlight w:val="none"/>
        </w:rPr>
      </w:pPr>
      <w:r>
        <w:rPr>
          <w:color w:val="auto"/>
          <w:highlight w:val="none"/>
        </w:rPr>
        <w:t> </w:t>
      </w:r>
    </w:p>
    <w:p>
      <w:pPr>
        <w:pStyle w:val="34"/>
        <w:pageBreakBefore w:val="0"/>
        <w:spacing w:beforeAutospacing="0" w:afterAutospacing="0" w:line="360" w:lineRule="auto"/>
        <w:ind w:firstLine="204"/>
        <w:rPr>
          <w:color w:val="auto"/>
          <w:highlight w:val="none"/>
        </w:rPr>
      </w:pPr>
      <w:r>
        <w:rPr>
          <w:color w:val="auto"/>
          <w:highlight w:val="none"/>
        </w:rPr>
        <w:t> </w:t>
      </w:r>
    </w:p>
    <w:p>
      <w:pPr>
        <w:pStyle w:val="34"/>
        <w:pageBreakBefore w:val="0"/>
        <w:spacing w:beforeAutospacing="0" w:afterAutospacing="0" w:line="360" w:lineRule="auto"/>
        <w:ind w:firstLine="204"/>
        <w:rPr>
          <w:color w:val="auto"/>
          <w:highlight w:val="none"/>
        </w:rPr>
      </w:pPr>
    </w:p>
    <w:p>
      <w:pPr>
        <w:pStyle w:val="34"/>
        <w:pageBreakBefore w:val="0"/>
        <w:spacing w:beforeAutospacing="0" w:afterAutospacing="0" w:line="360" w:lineRule="auto"/>
        <w:ind w:firstLine="204"/>
        <w:rPr>
          <w:color w:val="auto"/>
          <w:highlight w:val="none"/>
        </w:rPr>
      </w:pPr>
    </w:p>
    <w:p>
      <w:pPr>
        <w:pStyle w:val="34"/>
        <w:pageBreakBefore w:val="0"/>
        <w:spacing w:before="120" w:beforeAutospacing="0" w:after="120" w:afterAutospacing="0" w:line="360" w:lineRule="auto"/>
        <w:ind w:firstLine="272"/>
        <w:jc w:val="center"/>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采购单位</w:t>
      </w:r>
      <w:r>
        <w:rPr>
          <w:rFonts w:hint="eastAsia" w:ascii="Arial" w:hAnsi="Arial" w:eastAsia="宋体" w:cs="Arial"/>
          <w:b/>
          <w:color w:val="auto"/>
          <w:sz w:val="32"/>
          <w:szCs w:val="32"/>
          <w:highlight w:val="none"/>
          <w:lang w:val="en-US" w:eastAsia="zh-CN"/>
        </w:rPr>
        <w:t>:</w:t>
      </w:r>
      <w:r>
        <w:rPr>
          <w:rFonts w:hint="eastAsia" w:ascii="Arial" w:hAnsi="Arial" w:cs="Arial"/>
          <w:b/>
          <w:color w:val="auto"/>
          <w:sz w:val="32"/>
          <w:szCs w:val="32"/>
          <w:highlight w:val="none"/>
          <w:lang w:val="en-US" w:eastAsia="zh-CN"/>
        </w:rPr>
        <w:t>盐城市亭湖区人民法院</w:t>
      </w:r>
    </w:p>
    <w:p>
      <w:pPr>
        <w:pStyle w:val="34"/>
        <w:pageBreakBefore w:val="0"/>
        <w:spacing w:before="120" w:beforeAutospacing="0" w:after="120" w:afterAutospacing="0" w:line="360" w:lineRule="auto"/>
        <w:ind w:firstLine="272"/>
        <w:jc w:val="center"/>
        <w:rPr>
          <w:color w:val="auto"/>
          <w:highlight w:val="none"/>
        </w:rPr>
      </w:pPr>
      <w:r>
        <w:rPr>
          <w:rFonts w:hint="eastAsia" w:ascii="Arial" w:hAnsi="Arial" w:cs="Arial"/>
          <w:b/>
          <w:color w:val="auto"/>
          <w:sz w:val="32"/>
          <w:szCs w:val="32"/>
          <w:highlight w:val="none"/>
          <w:u w:val="single"/>
          <w:lang w:val="en-US" w:eastAsia="zh-CN"/>
        </w:rPr>
        <w:t>2024</w:t>
      </w:r>
      <w:r>
        <w:rPr>
          <w:rFonts w:ascii="Arial" w:hAnsi="Arial" w:cs="Arial"/>
          <w:b/>
          <w:color w:val="auto"/>
          <w:sz w:val="32"/>
          <w:szCs w:val="32"/>
          <w:highlight w:val="none"/>
        </w:rPr>
        <w:t>年</w:t>
      </w:r>
      <w:r>
        <w:rPr>
          <w:rFonts w:hint="eastAsia" w:ascii="Arial" w:hAnsi="Arial" w:cs="Arial"/>
          <w:b/>
          <w:color w:val="auto"/>
          <w:sz w:val="32"/>
          <w:szCs w:val="32"/>
          <w:highlight w:val="none"/>
          <w:u w:val="single"/>
          <w:lang w:val="en-US" w:eastAsia="zh-CN"/>
        </w:rPr>
        <w:t xml:space="preserve"> </w:t>
      </w:r>
      <w:r>
        <w:rPr>
          <w:rFonts w:hint="default" w:ascii="Arial" w:hAnsi="Arial" w:cs="Arial"/>
          <w:b/>
          <w:color w:val="auto"/>
          <w:sz w:val="32"/>
          <w:szCs w:val="32"/>
          <w:highlight w:val="none"/>
          <w:u w:val="single"/>
          <w:lang w:val="en-US" w:eastAsia="zh-CN"/>
        </w:rPr>
        <w:t>9</w:t>
      </w:r>
      <w:r>
        <w:rPr>
          <w:rFonts w:hint="eastAsia" w:ascii="Arial" w:hAnsi="Arial" w:cs="Arial"/>
          <w:b/>
          <w:color w:val="auto"/>
          <w:sz w:val="32"/>
          <w:szCs w:val="32"/>
          <w:highlight w:val="none"/>
          <w:u w:val="single"/>
          <w:lang w:val="en-US" w:eastAsia="zh-CN"/>
        </w:rPr>
        <w:t xml:space="preserve"> </w:t>
      </w:r>
      <w:r>
        <w:rPr>
          <w:rFonts w:ascii="Arial" w:hAnsi="Arial" w:cs="Arial"/>
          <w:b/>
          <w:color w:val="auto"/>
          <w:sz w:val="32"/>
          <w:szCs w:val="32"/>
          <w:highlight w:val="none"/>
        </w:rPr>
        <w:t>月</w:t>
      </w:r>
    </w:p>
    <w:p>
      <w:pPr>
        <w:pStyle w:val="34"/>
        <w:pageBreakBefore w:val="0"/>
        <w:spacing w:before="120" w:beforeAutospacing="0" w:after="120" w:afterAutospacing="0" w:line="360" w:lineRule="auto"/>
        <w:ind w:firstLine="204"/>
        <w:rPr>
          <w:color w:val="auto"/>
          <w:highlight w:val="none"/>
        </w:rPr>
      </w:pPr>
      <w:r>
        <w:rPr>
          <w:rFonts w:ascii="Arial" w:hAnsi="Arial" w:cs="Arial"/>
          <w:color w:val="auto"/>
          <w:highlight w:val="none"/>
        </w:rPr>
        <w:t xml:space="preserve">                        </w:t>
      </w:r>
    </w:p>
    <w:p>
      <w:pPr>
        <w:pStyle w:val="34"/>
        <w:pageBreakBefore w:val="0"/>
        <w:spacing w:before="120" w:beforeAutospacing="0" w:after="120" w:afterAutospacing="0" w:line="360" w:lineRule="auto"/>
        <w:ind w:firstLine="204"/>
        <w:jc w:val="center"/>
        <w:rPr>
          <w:color w:val="auto"/>
          <w:highlight w:val="none"/>
        </w:rPr>
      </w:pPr>
      <w:r>
        <w:rPr>
          <w:color w:val="auto"/>
          <w:highlight w:val="none"/>
        </w:rPr>
        <w:t> </w:t>
      </w:r>
    </w:p>
    <w:p>
      <w:pPr>
        <w:pStyle w:val="34"/>
        <w:pageBreakBefore w:val="0"/>
        <w:spacing w:beforeAutospacing="0" w:afterAutospacing="0" w:line="480" w:lineRule="auto"/>
        <w:ind w:firstLine="178"/>
        <w:jc w:val="center"/>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w:t>
      </w:r>
      <w:bookmarkStart w:id="0" w:name="_Toc16938516"/>
      <w:bookmarkStart w:id="1" w:name="_Toc479757206"/>
      <w:bookmarkStart w:id="2" w:name="_Toc523127445"/>
      <w:bookmarkStart w:id="3" w:name="_Toc20823272"/>
      <w:bookmarkStart w:id="4" w:name="_Toc513029200"/>
      <w:bookmarkStart w:id="5" w:name="_Toc120614210"/>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pPr>
        <w:pStyle w:val="34"/>
        <w:pageBreakBefore w:val="0"/>
        <w:spacing w:beforeAutospacing="0" w:afterAutospacing="0" w:line="480" w:lineRule="auto"/>
        <w:ind w:firstLine="204"/>
        <w:jc w:val="both"/>
        <w:rPr>
          <w:color w:val="auto"/>
          <w:highlight w:val="none"/>
        </w:rPr>
      </w:pPr>
      <w:r>
        <w:rPr>
          <w:color w:val="auto"/>
          <w:highlight w:val="none"/>
        </w:rPr>
        <w:t> </w:t>
      </w:r>
    </w:p>
    <w:p>
      <w:pPr>
        <w:pStyle w:val="34"/>
        <w:pageBreakBefore w:val="0"/>
        <w:tabs>
          <w:tab w:val="left" w:pos="1441"/>
        </w:tabs>
        <w:spacing w:beforeAutospacing="0" w:afterAutospacing="0" w:line="480" w:lineRule="auto"/>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r>
        <w:rPr>
          <w:rFonts w:hint="eastAsia" w:ascii="黑体" w:hAnsi="宋体" w:eastAsia="黑体" w:cs="黑体"/>
          <w:color w:val="auto"/>
          <w:sz w:val="36"/>
          <w:szCs w:val="36"/>
          <w:highlight w:val="none"/>
        </w:rPr>
        <w:t xml:space="preserve"> </w:t>
      </w:r>
    </w:p>
    <w:p>
      <w:pPr>
        <w:pStyle w:val="34"/>
        <w:pageBreakBefore w:val="0"/>
        <w:tabs>
          <w:tab w:val="left" w:pos="1441"/>
        </w:tabs>
        <w:spacing w:beforeAutospacing="0" w:afterAutospacing="0" w:line="480" w:lineRule="auto"/>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7</w:t>
      </w:r>
      <w:r>
        <w:rPr>
          <w:rFonts w:hint="eastAsia" w:ascii="黑体" w:hAnsi="宋体" w:eastAsia="黑体" w:cs="黑体"/>
          <w:color w:val="auto"/>
          <w:sz w:val="36"/>
          <w:szCs w:val="36"/>
          <w:highlight w:val="none"/>
        </w:rPr>
        <w:t xml:space="preserve">  </w:t>
      </w:r>
    </w:p>
    <w:p>
      <w:pPr>
        <w:pStyle w:val="34"/>
        <w:pageBreakBefore w:val="0"/>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20</w:t>
      </w:r>
    </w:p>
    <w:p>
      <w:pPr>
        <w:pStyle w:val="34"/>
        <w:pageBreakBefore w:val="0"/>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26</w:t>
      </w:r>
    </w:p>
    <w:p>
      <w:pPr>
        <w:pStyle w:val="34"/>
        <w:pageBreakBefore w:val="0"/>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29</w:t>
      </w:r>
    </w:p>
    <w:p>
      <w:pPr>
        <w:pStyle w:val="34"/>
        <w:pageBreakBefore w:val="0"/>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32</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r>
        <w:rPr>
          <w:color w:val="auto"/>
          <w:highlight w:val="none"/>
        </w:rPr>
        <w:t> </w:t>
      </w:r>
    </w:p>
    <w:p>
      <w:pPr>
        <w:pStyle w:val="34"/>
        <w:keepNext/>
        <w:pageBreakBefore w:val="0"/>
        <w:spacing w:beforeAutospacing="0" w:afterAutospacing="0"/>
        <w:ind w:firstLine="374"/>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pPr>
        <w:pStyle w:val="34"/>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pPr>
        <w:pStyle w:val="34"/>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盐城市亭湖区人民法院食堂餐饮服务外包项目</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bidi="ar-SA"/>
        </w:rPr>
        <w:t>中国政府采购网</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“江苏政府采购网、盐城市政府采购网”</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2024</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default" w:ascii="宋体" w:hAnsi="宋体" w:eastAsia="宋体" w:cs="宋体"/>
          <w:color w:val="auto"/>
          <w:sz w:val="24"/>
          <w:szCs w:val="24"/>
          <w:highlight w:val="none"/>
          <w:u w:val="single"/>
          <w:lang w:val="en-US" w:eastAsia="zh-CN"/>
        </w:rPr>
        <w:t>27</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pPr>
        <w:pStyle w:val="34"/>
        <w:keepNext/>
        <w:keepLines/>
        <w:pageBreakBefore w:val="0"/>
        <w:widowControl w:val="0"/>
        <w:spacing w:before="145" w:beforeAutospacing="0" w:after="145" w:afterAutospacing="0" w:line="500" w:lineRule="exact"/>
        <w:ind w:firstLine="272"/>
        <w:jc w:val="both"/>
        <w:rPr>
          <w:color w:val="auto"/>
          <w:highlight w:val="none"/>
        </w:rPr>
      </w:pPr>
      <w:bookmarkStart w:id="6" w:name="_Toc28359079"/>
      <w:bookmarkStart w:id="7" w:name="_Toc38985263"/>
      <w:bookmarkStart w:id="8" w:name="_Toc35393790"/>
      <w:bookmarkStart w:id="9" w:name="_Toc35393621"/>
      <w:bookmarkStart w:id="10" w:name="_Toc28359002"/>
      <w:bookmarkStart w:id="11" w:name="_Hlk24379207"/>
      <w:r>
        <w:rPr>
          <w:rFonts w:ascii="Times New Roman" w:hAnsi="Times New Roman"/>
          <w:b/>
          <w:color w:val="auto"/>
          <w:sz w:val="32"/>
          <w:szCs w:val="32"/>
          <w:highlight w:val="none"/>
        </w:rPr>
        <w:t>一、项目基本情况</w:t>
      </w:r>
      <w:bookmarkEnd w:id="6"/>
      <w:bookmarkEnd w:id="7"/>
      <w:bookmarkEnd w:id="8"/>
      <w:bookmarkEnd w:id="9"/>
      <w:bookmarkEnd w:id="10"/>
      <w:bookmarkEnd w:id="11"/>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1.项目编号：JSZC-320902-YDZJ-G2024-0001 </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2.项目名称：盐城市亭湖区人民法院食堂餐饮服务外包项目</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3.采购方式：公开招标</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4.项目规模：人民币</w:t>
      </w:r>
      <w:r>
        <w:rPr>
          <w:rFonts w:hint="default" w:ascii="宋体" w:hAnsi="宋体" w:eastAsia="宋体" w:cs="宋体"/>
          <w:color w:val="000000"/>
          <w:sz w:val="24"/>
          <w:szCs w:val="24"/>
          <w:highlight w:val="none"/>
          <w:lang w:val="en-US" w:eastAsia="zh-CN"/>
        </w:rPr>
        <w:t>216</w:t>
      </w:r>
      <w:r>
        <w:rPr>
          <w:rFonts w:hint="eastAsia" w:ascii="宋体" w:hAnsi="宋体" w:eastAsia="宋体" w:cs="宋体"/>
          <w:color w:val="000000"/>
          <w:sz w:val="24"/>
          <w:szCs w:val="24"/>
          <w:highlight w:val="none"/>
          <w:lang w:val="en-US" w:eastAsia="zh-CN"/>
        </w:rPr>
        <w:t>万元</w:t>
      </w:r>
      <w:r>
        <w:rPr>
          <w:rFonts w:hint="default"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三年。</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5.最高限价：人民币</w:t>
      </w:r>
      <w:r>
        <w:rPr>
          <w:rFonts w:hint="default" w:ascii="宋体" w:hAnsi="宋体" w:eastAsia="宋体" w:cs="宋体"/>
          <w:color w:val="000000"/>
          <w:sz w:val="24"/>
          <w:szCs w:val="24"/>
          <w:highlight w:val="none"/>
          <w:lang w:val="en-US" w:eastAsia="zh-CN"/>
        </w:rPr>
        <w:t>72</w:t>
      </w:r>
      <w:r>
        <w:rPr>
          <w:rFonts w:hint="eastAsia" w:ascii="宋体" w:hAnsi="宋体" w:eastAsia="宋体" w:cs="宋体"/>
          <w:color w:val="000000"/>
          <w:sz w:val="24"/>
          <w:szCs w:val="24"/>
          <w:highlight w:val="none"/>
          <w:lang w:val="en-US" w:eastAsia="zh-CN"/>
        </w:rPr>
        <w:t>万元</w:t>
      </w:r>
      <w:r>
        <w:rPr>
          <w:rFonts w:hint="default"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年。</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6.采购需求（简介）：亭湖区人民法院食堂餐饮管理等，具体服务范围及要求详见项目需求，现场详细情况由投标人自行勘察现场。</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7.合同履行期限：</w:t>
      </w:r>
      <w:r>
        <w:rPr>
          <w:rFonts w:hint="eastAsia"/>
          <w:szCs w:val="21"/>
          <w:highlight w:val="none"/>
        </w:rPr>
        <w:t>3年，自合同签订之日起计算。合同一年一签。首个季度为试用期，如在试用期内未通过考核，甲方有权解除合同。年度考核合格可续签下一年合同，如年度考核不合格，不再续签</w:t>
      </w:r>
      <w:r>
        <w:rPr>
          <w:rFonts w:hint="eastAsia" w:eastAsia="宋体"/>
          <w:szCs w:val="21"/>
          <w:highlight w:val="none"/>
          <w:lang w:eastAsia="zh-CN"/>
        </w:rPr>
        <w:t>。</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8.本项目</w:t>
      </w:r>
      <w:r>
        <w:rPr>
          <w:rFonts w:hint="eastAsia" w:ascii="宋体" w:hAnsi="宋体" w:eastAsia="宋体" w:cs="宋体"/>
          <w:color w:val="000000"/>
          <w:sz w:val="24"/>
          <w:szCs w:val="24"/>
          <w:highlight w:val="none"/>
          <w:u w:val="single"/>
          <w:lang w:val="en-US" w:eastAsia="zh-CN"/>
        </w:rPr>
        <w:t>不接受</w:t>
      </w:r>
      <w:r>
        <w:rPr>
          <w:rFonts w:hint="eastAsia" w:ascii="宋体" w:hAnsi="宋体" w:eastAsia="宋体" w:cs="宋体"/>
          <w:color w:val="000000"/>
          <w:sz w:val="24"/>
          <w:szCs w:val="24"/>
          <w:highlight w:val="none"/>
          <w:lang w:val="en-US" w:eastAsia="zh-CN"/>
        </w:rPr>
        <w:t>联合体参与招标。</w:t>
      </w:r>
    </w:p>
    <w:p>
      <w:pPr>
        <w:pStyle w:val="34"/>
        <w:keepNext/>
        <w:keepLines/>
        <w:pageBreakBefore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bookmarkStart w:id="12" w:name="_Toc35393622"/>
      <w:bookmarkStart w:id="13" w:name="_Toc38985264"/>
      <w:bookmarkStart w:id="14" w:name="_Toc28359080"/>
      <w:bookmarkStart w:id="15" w:name="_Toc35393791"/>
      <w:bookmarkStart w:id="16" w:name="_Toc28359003"/>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1.2上一年度的财务状况报表（成立不满一年无需提供）；</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w:t>
      </w:r>
      <w:r>
        <w:rPr>
          <w:rFonts w:hint="eastAsia" w:ascii="宋体" w:hAnsi="宋体" w:eastAsia="宋体" w:cs="宋体"/>
          <w:color w:val="000000"/>
          <w:sz w:val="24"/>
          <w:szCs w:val="24"/>
          <w:highlight w:val="none"/>
          <w:lang w:val="en-US" w:eastAsia="zh-CN"/>
        </w:rPr>
        <w:t>任意</w:t>
      </w:r>
      <w:r>
        <w:rPr>
          <w:rFonts w:hint="eastAsia" w:ascii="宋体" w:hAnsi="宋体" w:eastAsia="宋体" w:cs="宋体"/>
          <w:color w:val="000000"/>
          <w:sz w:val="24"/>
          <w:szCs w:val="24"/>
          <w:highlight w:val="none"/>
        </w:rPr>
        <w:t>一个月依法缴纳税收及缴纳社会保障资金的证明材料。供应商依法享受缓缴、免缴税收、社会保障资金的提供证明材料。）；</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pPr>
        <w:widowControl/>
        <w:numPr>
          <w:ilvl w:val="0"/>
          <w:numId w:val="2"/>
        </w:numPr>
        <w:spacing w:line="560" w:lineRule="exact"/>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落实政府采购政策需满足的资格要求：本项目专门面向中小企业采购。采购标的的所属行业为餐饮业，投标人需按照采购文件的要求提供相应的《中小企业声明函》。企业标准请参照《关于印发中小企业划型标准规定的通知》（工信部联企业[2011]300号）文件规定自行填写。</w:t>
      </w:r>
    </w:p>
    <w:p>
      <w:pPr>
        <w:pStyle w:val="34"/>
        <w:pageBreakBefore w:val="0"/>
        <w:numPr>
          <w:ilvl w:val="0"/>
          <w:numId w:val="2"/>
        </w:numPr>
        <w:spacing w:beforeAutospacing="0" w:afterAutospacing="0" w:line="500" w:lineRule="exact"/>
        <w:ind w:left="0" w:leftChars="0" w:firstLine="480" w:firstLineChars="0"/>
        <w:jc w:val="both"/>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本</w:t>
      </w:r>
      <w:r>
        <w:rPr>
          <w:rFonts w:hint="eastAsia" w:ascii="宋体" w:hAnsi="宋体" w:eastAsia="宋体" w:cs="宋体"/>
          <w:color w:val="000000"/>
          <w:sz w:val="24"/>
          <w:szCs w:val="24"/>
          <w:highlight w:val="none"/>
          <w:lang w:val="en-US" w:eastAsia="zh-CN"/>
        </w:rPr>
        <w:t>项目的特定资格</w:t>
      </w:r>
      <w:r>
        <w:rPr>
          <w:rFonts w:hint="eastAsia" w:ascii="宋体" w:hAnsi="宋体" w:eastAsia="宋体" w:cs="宋体"/>
          <w:color w:val="000000"/>
          <w:sz w:val="24"/>
          <w:szCs w:val="24"/>
          <w:highlight w:val="none"/>
        </w:rPr>
        <w:t>要求：</w:t>
      </w:r>
    </w:p>
    <w:p>
      <w:pPr>
        <w:pStyle w:val="34"/>
        <w:pageBreakBefore w:val="0"/>
        <w:numPr>
          <w:ilvl w:val="0"/>
          <w:numId w:val="0"/>
        </w:numPr>
        <w:spacing w:beforeAutospacing="0" w:afterAutospacing="0" w:line="500" w:lineRule="exact"/>
        <w:ind w:firstLine="480" w:firstLineChars="200"/>
        <w:jc w:val="both"/>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rPr>
        <w:t>3.1</w:t>
      </w:r>
      <w:r>
        <w:rPr>
          <w:rFonts w:hint="default" w:ascii="宋体" w:hAnsi="宋体" w:eastAsia="宋体" w:cs="宋体"/>
          <w:color w:val="000000"/>
          <w:sz w:val="24"/>
          <w:szCs w:val="24"/>
          <w:highlight w:val="none"/>
          <w:lang w:val="en-US" w:eastAsia="zh-CN"/>
        </w:rPr>
        <w:t>投标人须是在中华人民共和国境内注册，营业执照经营范围含餐饮服务管理等相关业务且具备有效的《食品经营许可证》或《食品生产许可证》资格证书的独立法人</w:t>
      </w:r>
      <w:r>
        <w:rPr>
          <w:rFonts w:hint="eastAsia" w:ascii="宋体" w:hAnsi="宋体" w:eastAsia="宋体" w:cs="宋体"/>
          <w:color w:val="000000"/>
          <w:sz w:val="24"/>
          <w:szCs w:val="24"/>
          <w:highlight w:val="none"/>
          <w:lang w:val="en-US" w:eastAsia="zh-CN"/>
        </w:rPr>
        <w:t>；</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default"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3.</w:t>
      </w:r>
      <w:r>
        <w:rPr>
          <w:rFonts w:hint="default"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单位负责人为同一人或者存在直接控股、管理关系的不同供应商，不得参加同一合同项下的政府采购活动。</w:t>
      </w:r>
    </w:p>
    <w:p>
      <w:pPr>
        <w:pStyle w:val="34"/>
        <w:keepNext/>
        <w:keepLines/>
        <w:pageBreakBefore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bookmarkStart w:id="17" w:name="_Toc35393624"/>
      <w:bookmarkStart w:id="18" w:name="_Toc28359005"/>
      <w:bookmarkStart w:id="19" w:name="_Toc28359082"/>
      <w:bookmarkStart w:id="20" w:name="_Toc35393793"/>
      <w:bookmarkStart w:id="21" w:name="_Toc38985266"/>
      <w:r>
        <w:rPr>
          <w:rFonts w:hint="eastAsia" w:ascii="宋体" w:hAnsi="宋体" w:eastAsia="宋体" w:cs="宋体"/>
          <w:color w:val="000000"/>
          <w:sz w:val="24"/>
          <w:szCs w:val="24"/>
          <w:highlight w:val="none"/>
        </w:rPr>
        <w:t>1.时间：</w:t>
      </w:r>
      <w:bookmarkEnd w:id="17"/>
      <w:bookmarkEnd w:id="18"/>
      <w:bookmarkEnd w:id="19"/>
      <w:bookmarkEnd w:id="20"/>
      <w:bookmarkEnd w:id="21"/>
      <w:r>
        <w:rPr>
          <w:rFonts w:hint="eastAsia" w:ascii="宋体" w:hAnsi="宋体" w:eastAsia="宋体" w:cs="宋体"/>
          <w:color w:val="000000"/>
          <w:sz w:val="24"/>
          <w:szCs w:val="24"/>
          <w:highlight w:val="none"/>
        </w:rPr>
        <w:t>自采购文件公告发布之日起至提交响应文件截止之日止</w:t>
      </w:r>
      <w:r>
        <w:rPr>
          <w:rFonts w:hint="eastAsia" w:ascii="宋体" w:hAnsi="宋体" w:eastAsia="宋体" w:cs="宋体"/>
          <w:color w:val="000000"/>
          <w:sz w:val="24"/>
          <w:szCs w:val="24"/>
          <w:highlight w:val="none"/>
          <w:lang w:val="en-US" w:eastAsia="zh-CN"/>
        </w:rPr>
        <w:t>。</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2.地点：中国政府采购网、江苏政府采购网、盐城市政府采购网</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.方式：在“</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“江苏政府采购网”、“盐城市政府采购网”自行免费下载</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4.售价：0元</w:t>
      </w:r>
    </w:p>
    <w:p>
      <w:pPr>
        <w:pStyle w:val="34"/>
        <w:keepNext/>
        <w:keepLines/>
        <w:pageBreakBefore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2024</w:t>
      </w:r>
      <w:r>
        <w:rPr>
          <w:rFonts w:hint="eastAsia" w:ascii="宋体" w:hAnsi="宋体" w:eastAsia="宋体" w:cs="宋体"/>
          <w:i w:val="0"/>
          <w:iCs w:val="0"/>
          <w:caps w:val="0"/>
          <w:color w:val="auto"/>
          <w:spacing w:val="0"/>
          <w:sz w:val="24"/>
          <w:szCs w:val="24"/>
          <w:highlight w:val="none"/>
          <w:u w:val="single"/>
          <w:shd w:val="clear" w:color="auto" w:fill="FFFFFF"/>
        </w:rPr>
        <w:t>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9</w:t>
      </w:r>
      <w:r>
        <w:rPr>
          <w:rFonts w:hint="eastAsia" w:ascii="宋体" w:hAnsi="宋体" w:eastAsia="宋体" w:cs="宋体"/>
          <w:i w:val="0"/>
          <w:iCs w:val="0"/>
          <w:caps w:val="0"/>
          <w:color w:val="auto"/>
          <w:spacing w:val="0"/>
          <w:sz w:val="24"/>
          <w:szCs w:val="24"/>
          <w:highlight w:val="none"/>
          <w:u w:val="single"/>
          <w:shd w:val="clear" w:color="auto" w:fill="FFFFFF"/>
        </w:rPr>
        <w:t>月</w:t>
      </w:r>
      <w:r>
        <w:rPr>
          <w:rFonts w:hint="default" w:ascii="宋体" w:hAnsi="宋体" w:eastAsia="宋体" w:cs="宋体"/>
          <w:i w:val="0"/>
          <w:iCs w:val="0"/>
          <w:caps w:val="0"/>
          <w:color w:val="auto"/>
          <w:spacing w:val="0"/>
          <w:sz w:val="24"/>
          <w:szCs w:val="24"/>
          <w:highlight w:val="none"/>
          <w:u w:val="single"/>
          <w:shd w:val="clear" w:color="auto" w:fill="FFFFFF"/>
          <w:lang w:val="en-US" w:eastAsia="zh-CN"/>
        </w:rPr>
        <w:t>27</w:t>
      </w:r>
      <w:r>
        <w:rPr>
          <w:rFonts w:hint="eastAsia" w:ascii="宋体" w:hAnsi="宋体" w:eastAsia="宋体" w:cs="宋体"/>
          <w:i w:val="0"/>
          <w:iCs w:val="0"/>
          <w:caps w:val="0"/>
          <w:color w:val="auto"/>
          <w:spacing w:val="0"/>
          <w:sz w:val="24"/>
          <w:szCs w:val="24"/>
          <w:highlight w:val="none"/>
          <w:u w:val="single"/>
          <w:shd w:val="clear" w:color="auto" w:fill="FFFFFF"/>
        </w:rPr>
        <w:t>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9时00分</w:t>
      </w:r>
      <w:r>
        <w:rPr>
          <w:rFonts w:hint="eastAsia" w:ascii="宋体" w:hAnsi="宋体" w:eastAsia="宋体" w:cs="宋体"/>
          <w:color w:val="auto"/>
          <w:sz w:val="24"/>
          <w:szCs w:val="24"/>
          <w:highlight w:val="none"/>
        </w:rPr>
        <w:t>（北京时间）</w:t>
      </w:r>
    </w:p>
    <w:p>
      <w:pPr>
        <w:pStyle w:val="34"/>
        <w:pageBreakBefore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2.地点：“苏采云”政府采购交易系统网上开标大厅</w:t>
      </w:r>
      <w:r>
        <w:rPr>
          <w:rFonts w:hint="eastAsia" w:ascii="宋体" w:hAnsi="宋体" w:eastAsia="宋体" w:cs="宋体"/>
          <w:color w:val="auto"/>
          <w:sz w:val="24"/>
          <w:szCs w:val="24"/>
          <w:highlight w:val="none"/>
          <w:lang w:eastAsia="zh-CN"/>
        </w:rPr>
        <w:t>。</w:t>
      </w:r>
    </w:p>
    <w:p>
      <w:pPr>
        <w:pStyle w:val="34"/>
        <w:keepNext/>
        <w:keepLines/>
        <w:pageBreakBefore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bookmarkStart w:id="22" w:name="_Toc35393625"/>
      <w:bookmarkStart w:id="23" w:name="_Toc28359084"/>
      <w:bookmarkStart w:id="24" w:name="_Toc38985267"/>
      <w:bookmarkStart w:id="25" w:name="_Toc35393794"/>
      <w:bookmarkStart w:id="26" w:name="_Toc28359007"/>
      <w:r>
        <w:rPr>
          <w:rFonts w:hint="eastAsia" w:ascii="宋体" w:hAnsi="宋体" w:eastAsia="宋体" w:cs="宋体"/>
          <w:b/>
          <w:color w:val="auto"/>
          <w:sz w:val="24"/>
          <w:szCs w:val="24"/>
          <w:highlight w:val="none"/>
        </w:rPr>
        <w:t>五、公告期限</w:t>
      </w:r>
      <w:bookmarkEnd w:id="22"/>
      <w:bookmarkEnd w:id="23"/>
      <w:bookmarkEnd w:id="24"/>
      <w:bookmarkEnd w:id="25"/>
      <w:bookmarkEnd w:id="26"/>
    </w:p>
    <w:p>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204"/>
        <w:jc w:val="both"/>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7" w:name="_Toc38985268"/>
      <w:bookmarkStart w:id="28" w:name="_Toc35393795"/>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7"/>
      <w:bookmarkEnd w:id="28"/>
      <w:bookmarkEnd w:id="29"/>
    </w:p>
    <w:p>
      <w:pPr>
        <w:pStyle w:val="34"/>
        <w:keepNext/>
        <w:keepLines/>
        <w:pageBreakBefore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bookmarkStart w:id="30" w:name="_Toc28359018"/>
      <w:r>
        <w:rPr>
          <w:rFonts w:hint="eastAsia" w:ascii="宋体" w:hAnsi="宋体" w:eastAsia="宋体" w:cs="宋体"/>
          <w:color w:val="000000"/>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2.有关本次招标的事项若存在变动或修改，敬请及时关注采购人在“中国政府采购网”、“江苏政府采购网”、“盐城市政府采购网”发布的更正公告。</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3.本次招标不收取投标保证金，不收取质量保证金。</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4、正本份数：1份，副本份数：4份，由投标人中标后书面送至采购代理机构。</w:t>
      </w:r>
    </w:p>
    <w:p>
      <w:pPr>
        <w:pStyle w:val="34"/>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5、投标人存在串通投标、以他人名义投标、弄虚作假等违法违规行为，或者无正当理由放弃投标、中标资格，造成项目招标失败的，不得参加该项目重新招标的投标。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204"/>
        <w:jc w:val="both"/>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color="auto" w:fill="FFFFFF"/>
        </w:rPr>
        <w:t>、对本次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color="auto" w:fill="FFFFFF"/>
        </w:rPr>
        <w:t>提出询问，请按以下方式联系。</w:t>
      </w:r>
      <w:bookmarkEnd w:id="30"/>
    </w:p>
    <w:p>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204"/>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rPr>
        <w:t>  </w:t>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pPr>
        <w:tabs>
          <w:tab w:val="left" w:pos="900"/>
        </w:tabs>
        <w:spacing w:line="560" w:lineRule="exact"/>
        <w:ind w:firstLine="480" w:firstLineChars="200"/>
        <w:rPr>
          <w:rFonts w:hint="eastAsia" w:ascii="宋体" w:hAnsi="宋体" w:cs="宋体"/>
          <w:sz w:val="24"/>
          <w:szCs w:val="24"/>
        </w:rPr>
      </w:pPr>
      <w:r>
        <w:rPr>
          <w:rFonts w:hint="eastAsia" w:ascii="宋体" w:hAnsi="宋体" w:cs="宋体"/>
          <w:sz w:val="24"/>
          <w:szCs w:val="24"/>
        </w:rPr>
        <w:t>1、采购人信息</w:t>
      </w:r>
    </w:p>
    <w:p>
      <w:pPr>
        <w:tabs>
          <w:tab w:val="left" w:pos="900"/>
        </w:tabs>
        <w:spacing w:line="560" w:lineRule="exact"/>
        <w:ind w:firstLine="480" w:firstLineChars="200"/>
        <w:rPr>
          <w:rFonts w:hint="eastAsia" w:ascii="宋体" w:hAnsi="宋体" w:cs="宋体"/>
          <w:sz w:val="24"/>
          <w:szCs w:val="24"/>
          <w:lang w:val="en-US" w:eastAsia="zh-CN"/>
        </w:rPr>
      </w:pPr>
      <w:r>
        <w:rPr>
          <w:rFonts w:hint="eastAsia" w:ascii="宋体" w:hAnsi="宋体" w:cs="宋体"/>
          <w:sz w:val="24"/>
          <w:szCs w:val="24"/>
        </w:rPr>
        <w:t>名    称：盐城市亭湖区</w:t>
      </w:r>
      <w:r>
        <w:rPr>
          <w:rFonts w:hint="eastAsia" w:ascii="宋体" w:hAnsi="宋体" w:cs="宋体"/>
          <w:sz w:val="24"/>
          <w:szCs w:val="24"/>
          <w:lang w:val="en-US" w:eastAsia="zh-CN"/>
        </w:rPr>
        <w:t>人民法院</w:t>
      </w:r>
    </w:p>
    <w:p>
      <w:pPr>
        <w:tabs>
          <w:tab w:val="left" w:pos="900"/>
        </w:tabs>
        <w:spacing w:line="560" w:lineRule="exact"/>
        <w:ind w:firstLine="480" w:firstLineChars="200"/>
        <w:rPr>
          <w:rFonts w:hint="eastAsia" w:ascii="宋体" w:hAnsi="宋体" w:cs="宋体"/>
          <w:sz w:val="24"/>
          <w:szCs w:val="24"/>
        </w:rPr>
      </w:pPr>
      <w:r>
        <w:rPr>
          <w:rFonts w:hint="eastAsia" w:ascii="宋体" w:hAnsi="宋体" w:cs="宋体"/>
          <w:sz w:val="24"/>
          <w:szCs w:val="24"/>
        </w:rPr>
        <w:t>地    址：盐城市亭湖区西亭路与青年东路交叉口西150米</w:t>
      </w:r>
    </w:p>
    <w:p>
      <w:pPr>
        <w:tabs>
          <w:tab w:val="left" w:pos="900"/>
        </w:tabs>
        <w:spacing w:line="560" w:lineRule="exact"/>
        <w:ind w:firstLine="480" w:firstLineChars="200"/>
        <w:rPr>
          <w:rFonts w:hint="eastAsia" w:ascii="宋体" w:hAnsi="宋体" w:cs="宋体"/>
          <w:sz w:val="24"/>
          <w:szCs w:val="24"/>
          <w:lang w:val="en-US" w:eastAsia="zh-CN"/>
        </w:rPr>
      </w:pPr>
      <w:r>
        <w:rPr>
          <w:rFonts w:hint="eastAsia" w:ascii="宋体" w:hAnsi="宋体" w:cs="宋体"/>
          <w:sz w:val="24"/>
          <w:szCs w:val="24"/>
        </w:rPr>
        <w:t>联 系 人：</w:t>
      </w:r>
      <w:r>
        <w:rPr>
          <w:rFonts w:hint="eastAsia" w:ascii="宋体" w:hAnsi="宋体" w:cs="宋体"/>
          <w:sz w:val="24"/>
          <w:szCs w:val="24"/>
          <w:lang w:val="en-US" w:eastAsia="zh-CN"/>
        </w:rPr>
        <w:t>马先生</w:t>
      </w:r>
    </w:p>
    <w:p>
      <w:pPr>
        <w:tabs>
          <w:tab w:val="left" w:pos="900"/>
        </w:tabs>
        <w:spacing w:line="560" w:lineRule="exact"/>
        <w:ind w:firstLine="480" w:firstLineChars="200"/>
        <w:rPr>
          <w:rFonts w:hint="default" w:ascii="宋体" w:hAnsi="宋体" w:cs="宋体"/>
          <w:sz w:val="24"/>
          <w:szCs w:val="24"/>
          <w:lang w:val="en-US"/>
        </w:rPr>
      </w:pPr>
      <w:r>
        <w:rPr>
          <w:rFonts w:hint="eastAsia" w:ascii="宋体" w:hAnsi="宋体" w:cs="宋体"/>
          <w:sz w:val="24"/>
          <w:szCs w:val="24"/>
        </w:rPr>
        <w:t>联系电话：</w:t>
      </w:r>
      <w:r>
        <w:rPr>
          <w:rFonts w:hint="default" w:ascii="宋体" w:hAnsi="宋体" w:cs="宋体"/>
          <w:sz w:val="24"/>
          <w:szCs w:val="24"/>
          <w:lang w:val="en-US"/>
        </w:rPr>
        <w:t>0515-68558113</w:t>
      </w:r>
    </w:p>
    <w:p>
      <w:pPr>
        <w:tabs>
          <w:tab w:val="left" w:pos="900"/>
        </w:tabs>
        <w:spacing w:line="560" w:lineRule="exact"/>
        <w:ind w:firstLine="480" w:firstLineChars="200"/>
        <w:rPr>
          <w:rFonts w:hint="eastAsia" w:ascii="宋体" w:hAnsi="宋体" w:cs="宋体"/>
          <w:sz w:val="24"/>
          <w:szCs w:val="24"/>
        </w:rPr>
      </w:pPr>
      <w:r>
        <w:rPr>
          <w:rFonts w:hint="eastAsia" w:ascii="宋体" w:hAnsi="宋体" w:cs="宋体"/>
          <w:sz w:val="24"/>
          <w:szCs w:val="24"/>
        </w:rPr>
        <w:t>2、招标代理机构信息</w:t>
      </w:r>
    </w:p>
    <w:p>
      <w:pPr>
        <w:tabs>
          <w:tab w:val="left" w:pos="900"/>
        </w:tabs>
        <w:spacing w:line="560" w:lineRule="exact"/>
        <w:ind w:firstLine="480" w:firstLineChars="200"/>
        <w:rPr>
          <w:rFonts w:hint="eastAsia" w:ascii="宋体" w:hAnsi="宋体" w:cs="宋体"/>
          <w:sz w:val="24"/>
          <w:szCs w:val="24"/>
        </w:rPr>
      </w:pPr>
      <w:r>
        <w:rPr>
          <w:rFonts w:hint="eastAsia" w:ascii="宋体" w:hAnsi="宋体" w:cs="宋体"/>
          <w:sz w:val="24"/>
          <w:szCs w:val="24"/>
        </w:rPr>
        <w:t>名    称：</w:t>
      </w:r>
      <w:r>
        <w:rPr>
          <w:rFonts w:hint="eastAsia" w:ascii="宋体" w:hAnsi="宋体" w:cs="宋体"/>
          <w:sz w:val="24"/>
          <w:szCs w:val="24"/>
          <w:lang w:val="en-US" w:eastAsia="zh-CN"/>
        </w:rPr>
        <w:t>江苏盐渎工程咨询有限公司</w:t>
      </w:r>
    </w:p>
    <w:p>
      <w:pPr>
        <w:tabs>
          <w:tab w:val="left" w:pos="900"/>
        </w:tabs>
        <w:spacing w:line="560" w:lineRule="exact"/>
        <w:ind w:firstLine="480" w:firstLineChars="200"/>
        <w:rPr>
          <w:rFonts w:hint="eastAsia" w:ascii="宋体" w:hAnsi="宋体" w:cs="宋体"/>
          <w:sz w:val="24"/>
          <w:szCs w:val="24"/>
        </w:rPr>
      </w:pPr>
      <w:r>
        <w:rPr>
          <w:rFonts w:hint="eastAsia" w:ascii="宋体" w:hAnsi="宋体" w:cs="宋体"/>
          <w:sz w:val="24"/>
          <w:szCs w:val="24"/>
        </w:rPr>
        <w:t>地　　址：</w:t>
      </w:r>
      <w:r>
        <w:rPr>
          <w:rFonts w:hint="eastAsia" w:ascii="宋体" w:hAnsi="宋体" w:cs="宋体"/>
          <w:sz w:val="24"/>
          <w:szCs w:val="24"/>
          <w:lang w:val="en-US" w:eastAsia="zh-CN"/>
        </w:rPr>
        <w:t>盐城市盐南高新区青年中路57号钱江财富广场东区B座21楼</w:t>
      </w:r>
    </w:p>
    <w:p>
      <w:pPr>
        <w:tabs>
          <w:tab w:val="left" w:pos="900"/>
        </w:tabs>
        <w:spacing w:line="560" w:lineRule="exact"/>
        <w:ind w:firstLine="480" w:firstLineChars="200"/>
        <w:rPr>
          <w:rFonts w:hint="eastAsia" w:ascii="宋体" w:hAnsi="宋体" w:cs="宋体"/>
          <w:sz w:val="24"/>
          <w:szCs w:val="24"/>
        </w:rPr>
      </w:pPr>
      <w:r>
        <w:rPr>
          <w:rFonts w:hint="eastAsia" w:ascii="宋体" w:hAnsi="宋体" w:cs="宋体"/>
          <w:sz w:val="24"/>
          <w:szCs w:val="24"/>
        </w:rPr>
        <w:t>联 系  人：</w:t>
      </w:r>
      <w:r>
        <w:rPr>
          <w:rFonts w:hint="eastAsia" w:ascii="宋体" w:hAnsi="宋体" w:cs="宋体"/>
          <w:sz w:val="24"/>
          <w:szCs w:val="24"/>
          <w:lang w:val="en-US" w:eastAsia="zh-CN"/>
        </w:rPr>
        <w:t>熊先生</w:t>
      </w:r>
      <w:r>
        <w:rPr>
          <w:rFonts w:hint="eastAsia" w:ascii="宋体" w:hAnsi="宋体" w:cs="宋体"/>
          <w:sz w:val="24"/>
          <w:szCs w:val="24"/>
        </w:rPr>
        <w:t xml:space="preserve"> </w:t>
      </w:r>
    </w:p>
    <w:p>
      <w:pPr>
        <w:tabs>
          <w:tab w:val="left" w:pos="900"/>
        </w:tabs>
        <w:spacing w:line="560" w:lineRule="exact"/>
        <w:ind w:firstLine="480" w:firstLineChars="200"/>
        <w:rPr>
          <w:rFonts w:hint="eastAsia" w:ascii="宋体" w:hAnsi="宋体" w:cs="宋体"/>
          <w:sz w:val="24"/>
          <w:szCs w:val="24"/>
        </w:rPr>
      </w:pPr>
      <w:r>
        <w:rPr>
          <w:rFonts w:hint="eastAsia" w:ascii="宋体" w:hAnsi="宋体" w:cs="宋体"/>
          <w:sz w:val="24"/>
          <w:szCs w:val="24"/>
        </w:rPr>
        <w:t>联系电话：</w:t>
      </w:r>
      <w:r>
        <w:rPr>
          <w:rFonts w:hint="eastAsia" w:ascii="宋体" w:hAnsi="宋体" w:cs="宋体"/>
          <w:sz w:val="24"/>
          <w:szCs w:val="24"/>
          <w:lang w:val="en-US" w:eastAsia="zh-CN"/>
        </w:rPr>
        <w:t>18905109016</w:t>
      </w:r>
      <w:r>
        <w:rPr>
          <w:rFonts w:hint="eastAsia" w:ascii="宋体" w:hAnsi="宋体" w:cs="宋体"/>
          <w:sz w:val="24"/>
          <w:szCs w:val="24"/>
        </w:rPr>
        <w:t>（微信同号）</w:t>
      </w:r>
    </w:p>
    <w:p>
      <w:pPr>
        <w:tabs>
          <w:tab w:val="left" w:pos="900"/>
        </w:tabs>
        <w:spacing w:line="560" w:lineRule="exact"/>
        <w:ind w:firstLine="480" w:firstLineChars="200"/>
        <w:rPr>
          <w:rFonts w:hint="eastAsia" w:ascii="宋体" w:hAnsi="宋体" w:eastAsia="宋体" w:cs="宋体"/>
          <w:sz w:val="24"/>
          <w:szCs w:val="24"/>
          <w:lang w:val="en-US" w:eastAsia="zh-CN"/>
        </w:rPr>
      </w:pPr>
      <w:r>
        <w:rPr>
          <w:rFonts w:hint="eastAsia" w:ascii="宋体" w:hAnsi="宋体" w:cs="宋体"/>
          <w:sz w:val="24"/>
          <w:szCs w:val="24"/>
        </w:rPr>
        <w:t>3、项目联系</w:t>
      </w:r>
      <w:r>
        <w:rPr>
          <w:rFonts w:hint="eastAsia" w:ascii="宋体" w:hAnsi="宋体" w:eastAsia="宋体" w:cs="宋体"/>
          <w:sz w:val="24"/>
          <w:szCs w:val="24"/>
          <w:lang w:val="en-US" w:eastAsia="zh-CN"/>
        </w:rPr>
        <w:t>方式</w:t>
      </w:r>
    </w:p>
    <w:p>
      <w:pPr>
        <w:tabs>
          <w:tab w:val="left" w:pos="900"/>
        </w:tabs>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 系 人：马先生</w:t>
      </w:r>
    </w:p>
    <w:p>
      <w:pPr>
        <w:tabs>
          <w:tab w:val="left" w:pos="900"/>
        </w:tabs>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w:t>
      </w:r>
      <w:r>
        <w:rPr>
          <w:rFonts w:hint="default" w:ascii="宋体" w:hAnsi="宋体" w:cs="宋体"/>
          <w:sz w:val="24"/>
          <w:szCs w:val="24"/>
          <w:lang w:val="en-US"/>
        </w:rPr>
        <w:t>0515-68558113</w:t>
      </w:r>
    </w:p>
    <w:p>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204"/>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w:t>
      </w:r>
      <w:r>
        <w:rPr>
          <w:rFonts w:hint="eastAsia" w:ascii="仿宋" w:hAnsi="仿宋" w:eastAsia="仿宋" w:cs="仿宋"/>
          <w:i w:val="0"/>
          <w:iCs w:val="0"/>
          <w:caps w:val="0"/>
          <w:color w:val="auto"/>
          <w:spacing w:val="0"/>
          <w:sz w:val="28"/>
          <w:szCs w:val="28"/>
          <w:highlight w:val="none"/>
          <w:shd w:val="clear" w:color="auto" w:fill="FFFFFF"/>
          <w:lang w:val="en-US" w:eastAsia="zh-CN"/>
        </w:rPr>
        <w:t>　　　　　　　</w:t>
      </w:r>
    </w:p>
    <w:p>
      <w:pPr>
        <w:pageBreakBefore w:val="0"/>
        <w:ind w:firstLine="178"/>
        <w:rPr>
          <w:color w:val="auto"/>
          <w:highlight w:val="none"/>
        </w:rPr>
      </w:pPr>
      <w:r>
        <w:rPr>
          <w:color w:val="auto"/>
          <w:highlight w:val="none"/>
        </w:rPr>
        <w:t> </w:t>
      </w:r>
    </w:p>
    <w:p>
      <w:pPr>
        <w:pStyle w:val="34"/>
        <w:pageBreakBefore w:val="0"/>
        <w:spacing w:beforeAutospacing="0" w:afterAutospacing="0"/>
        <w:ind w:right="840" w:firstLine="204"/>
        <w:jc w:val="both"/>
        <w:rPr>
          <w:color w:val="auto"/>
          <w:highlight w:val="none"/>
        </w:rPr>
      </w:pPr>
      <w:r>
        <w:rPr>
          <w:rFonts w:hint="eastAsia" w:ascii="宋体" w:hAnsi="宋体" w:eastAsia="宋体" w:cs="宋体"/>
          <w:color w:val="auto"/>
          <w:highlight w:val="none"/>
        </w:rPr>
        <w:br w:type="page" w:clear="all"/>
      </w:r>
    </w:p>
    <w:p>
      <w:pPr>
        <w:pStyle w:val="34"/>
        <w:keepNext/>
        <w:keepLines/>
        <w:pageBreakBefore w:val="0"/>
        <w:spacing w:before="260" w:beforeAutospacing="0" w:after="260" w:afterAutospacing="0" w:line="415" w:lineRule="auto"/>
        <w:ind w:firstLine="375"/>
        <w:jc w:val="center"/>
        <w:rPr>
          <w:color w:val="auto"/>
          <w:highlight w:val="none"/>
        </w:rPr>
      </w:pPr>
      <w:bookmarkStart w:id="32" w:name="_Toc120614211"/>
      <w:r>
        <w:rPr>
          <w:rFonts w:hint="eastAsia" w:ascii="黑体" w:hAnsi="宋体" w:eastAsia="黑体" w:cs="黑体"/>
          <w:b/>
          <w:color w:val="auto"/>
          <w:sz w:val="44"/>
          <w:szCs w:val="44"/>
          <w:highlight w:val="none"/>
        </w:rPr>
        <w:t xml:space="preserve">第二章  </w:t>
      </w:r>
      <w:bookmarkEnd w:id="32"/>
      <w:bookmarkStart w:id="33" w:name="_Toc120614213"/>
      <w:bookmarkStart w:id="34" w:name="_Toc20823274"/>
      <w:bookmarkStart w:id="35" w:name="_Toc16938518"/>
      <w:bookmarkStart w:id="36" w:name="_Toc513029202"/>
      <w:r>
        <w:rPr>
          <w:rFonts w:hint="eastAsia" w:ascii="黑体" w:hAnsi="宋体" w:eastAsia="黑体" w:cs="黑体"/>
          <w:b/>
          <w:color w:val="auto"/>
          <w:sz w:val="44"/>
          <w:szCs w:val="44"/>
          <w:highlight w:val="none"/>
        </w:rPr>
        <w:t>投标人须知</w:t>
      </w:r>
      <w:bookmarkEnd w:id="33"/>
      <w:bookmarkEnd w:id="34"/>
      <w:bookmarkEnd w:id="35"/>
      <w:bookmarkEnd w:id="36"/>
    </w:p>
    <w:p>
      <w:pPr>
        <w:widowControl/>
        <w:spacing w:line="520" w:lineRule="exact"/>
        <w:ind w:firstLine="480"/>
        <w:rPr>
          <w:rFonts w:eastAsia="Arial"/>
          <w:b/>
          <w:bCs/>
          <w:sz w:val="24"/>
          <w:szCs w:val="20"/>
          <w:lang w:val="zh-CN"/>
        </w:rPr>
      </w:pPr>
      <w:bookmarkStart w:id="37" w:name="_Toc16938519"/>
      <w:bookmarkStart w:id="38" w:name="_Toc20823275"/>
      <w:bookmarkStart w:id="39" w:name="_Toc120614214"/>
      <w:bookmarkStart w:id="40" w:name="_Toc513029203"/>
      <w:bookmarkStart w:id="41" w:name="_Toc20823281"/>
      <w:bookmarkStart w:id="42" w:name="_Toc120614215"/>
      <w:bookmarkStart w:id="43" w:name="_Toc16938525"/>
      <w:bookmarkStart w:id="44" w:name="_Toc513029209"/>
      <w:bookmarkStart w:id="45" w:name="_Hlt16619475"/>
      <w:r>
        <w:rPr>
          <w:rFonts w:hint="eastAsia" w:eastAsia="Arial"/>
          <w:b/>
          <w:bCs/>
          <w:sz w:val="24"/>
          <w:szCs w:val="20"/>
          <w:lang w:val="zh-CN"/>
        </w:rPr>
        <w:t>一、总则</w:t>
      </w:r>
      <w:bookmarkEnd w:id="37"/>
      <w:bookmarkEnd w:id="38"/>
      <w:bookmarkEnd w:id="39"/>
      <w:bookmarkEnd w:id="40"/>
    </w:p>
    <w:p>
      <w:pPr>
        <w:widowControl/>
        <w:spacing w:line="520" w:lineRule="exact"/>
        <w:ind w:firstLine="480"/>
        <w:rPr>
          <w:rFonts w:eastAsia="Arial"/>
          <w:b/>
          <w:bCs/>
          <w:sz w:val="24"/>
          <w:szCs w:val="20"/>
          <w:lang w:val="zh-CN"/>
        </w:rPr>
      </w:pPr>
      <w:bookmarkStart w:id="46" w:name="_Toc16938520"/>
      <w:bookmarkStart w:id="47" w:name="_Toc513029204"/>
      <w:bookmarkStart w:id="48" w:name="_Toc458694821"/>
      <w:bookmarkStart w:id="49" w:name="_Toc20823276"/>
      <w:r>
        <w:rPr>
          <w:rFonts w:hint="eastAsia" w:eastAsia="Arial"/>
          <w:b/>
          <w:bCs/>
          <w:sz w:val="24"/>
          <w:szCs w:val="20"/>
          <w:lang w:val="zh-CN"/>
        </w:rPr>
        <w:t>1</w:t>
      </w:r>
      <w:bookmarkEnd w:id="46"/>
      <w:r>
        <w:rPr>
          <w:rFonts w:hint="eastAsia" w:eastAsia="Arial"/>
          <w:b/>
          <w:bCs/>
          <w:sz w:val="24"/>
          <w:szCs w:val="20"/>
          <w:lang w:val="zh-CN"/>
        </w:rPr>
        <w:t>、招标方式</w:t>
      </w:r>
      <w:bookmarkEnd w:id="47"/>
      <w:bookmarkEnd w:id="48"/>
      <w:bookmarkEnd w:id="49"/>
    </w:p>
    <w:p>
      <w:pPr>
        <w:widowControl/>
        <w:spacing w:line="520" w:lineRule="exact"/>
        <w:ind w:firstLine="480"/>
        <w:rPr>
          <w:rFonts w:eastAsia="Arial"/>
          <w:sz w:val="24"/>
          <w:szCs w:val="20"/>
        </w:rPr>
      </w:pPr>
      <w:r>
        <w:rPr>
          <w:rFonts w:hint="eastAsia" w:eastAsia="Arial"/>
          <w:sz w:val="24"/>
          <w:szCs w:val="20"/>
        </w:rPr>
        <w:t>1.1本次招标采取公开招标方式，本招标文件仅适用于招标公告中所述项目。</w:t>
      </w:r>
    </w:p>
    <w:p>
      <w:pPr>
        <w:widowControl/>
        <w:spacing w:line="520" w:lineRule="exact"/>
        <w:ind w:firstLine="480"/>
        <w:rPr>
          <w:rFonts w:eastAsia="Arial"/>
          <w:b/>
          <w:bCs/>
          <w:sz w:val="24"/>
          <w:szCs w:val="20"/>
          <w:lang w:val="zh-CN"/>
        </w:rPr>
      </w:pPr>
      <w:bookmarkStart w:id="50" w:name="_Toc513029205"/>
      <w:bookmarkStart w:id="51" w:name="_Toc16938521"/>
      <w:bookmarkStart w:id="52" w:name="_Toc20823277"/>
      <w:r>
        <w:rPr>
          <w:rFonts w:hint="eastAsia" w:eastAsia="Arial"/>
          <w:b/>
          <w:bCs/>
          <w:sz w:val="24"/>
          <w:szCs w:val="20"/>
          <w:lang w:val="zh-CN"/>
        </w:rPr>
        <w:t>2、合格的投标人</w:t>
      </w:r>
      <w:bookmarkEnd w:id="50"/>
      <w:bookmarkEnd w:id="51"/>
      <w:bookmarkEnd w:id="52"/>
    </w:p>
    <w:p>
      <w:pPr>
        <w:widowControl/>
        <w:spacing w:line="520" w:lineRule="exact"/>
        <w:ind w:firstLine="480"/>
        <w:rPr>
          <w:rFonts w:eastAsia="Arial"/>
          <w:sz w:val="24"/>
          <w:szCs w:val="20"/>
        </w:rPr>
      </w:pPr>
      <w:r>
        <w:rPr>
          <w:rFonts w:hint="eastAsia" w:eastAsia="Arial"/>
          <w:sz w:val="24"/>
          <w:szCs w:val="20"/>
        </w:rPr>
        <w:t>2.1满足招标公告中供应商的资格要求的规定。</w:t>
      </w:r>
    </w:p>
    <w:p>
      <w:pPr>
        <w:widowControl/>
        <w:spacing w:line="520" w:lineRule="exact"/>
        <w:ind w:firstLine="480"/>
        <w:rPr>
          <w:rFonts w:eastAsia="Arial"/>
          <w:sz w:val="24"/>
          <w:szCs w:val="20"/>
        </w:rPr>
      </w:pPr>
      <w:r>
        <w:rPr>
          <w:rFonts w:hint="eastAsia" w:eastAsia="Arial"/>
          <w:sz w:val="24"/>
          <w:szCs w:val="20"/>
        </w:rPr>
        <w:t>2.2满足本文件实质性要求和条件的规定。</w:t>
      </w:r>
    </w:p>
    <w:p>
      <w:pPr>
        <w:widowControl/>
        <w:spacing w:line="520" w:lineRule="exact"/>
        <w:ind w:firstLine="480"/>
        <w:rPr>
          <w:rFonts w:eastAsia="Arial"/>
          <w:b/>
          <w:bCs/>
          <w:sz w:val="24"/>
          <w:szCs w:val="20"/>
          <w:lang w:val="zh-CN"/>
        </w:rPr>
      </w:pPr>
      <w:bookmarkStart w:id="53" w:name="_Toc16938522"/>
      <w:bookmarkStart w:id="54" w:name="_Toc20823278"/>
      <w:bookmarkStart w:id="55" w:name="_Toc513029206"/>
      <w:r>
        <w:rPr>
          <w:rFonts w:hint="eastAsia" w:eastAsia="Arial"/>
          <w:b/>
          <w:bCs/>
          <w:sz w:val="24"/>
          <w:szCs w:val="20"/>
          <w:lang w:val="zh-CN"/>
        </w:rPr>
        <w:t>3、适用法律</w:t>
      </w:r>
      <w:bookmarkEnd w:id="53"/>
      <w:bookmarkEnd w:id="54"/>
      <w:bookmarkEnd w:id="55"/>
    </w:p>
    <w:p>
      <w:pPr>
        <w:widowControl/>
        <w:spacing w:line="520" w:lineRule="exact"/>
        <w:ind w:firstLine="480"/>
        <w:rPr>
          <w:rFonts w:eastAsia="Arial"/>
          <w:sz w:val="24"/>
          <w:szCs w:val="20"/>
        </w:rPr>
      </w:pPr>
      <w:r>
        <w:rPr>
          <w:rFonts w:hint="eastAsia" w:eastAsia="Arial"/>
          <w:sz w:val="24"/>
          <w:szCs w:val="20"/>
        </w:rPr>
        <w:t>3.1本次招标及由此产生的合同受中华人民共和国有关的法律法规制约和保护。</w:t>
      </w:r>
    </w:p>
    <w:p>
      <w:pPr>
        <w:widowControl/>
        <w:spacing w:line="520" w:lineRule="exact"/>
        <w:ind w:firstLine="480"/>
        <w:rPr>
          <w:rFonts w:eastAsia="Arial"/>
          <w:b/>
          <w:bCs/>
          <w:sz w:val="24"/>
          <w:szCs w:val="20"/>
          <w:lang w:val="zh-CN"/>
        </w:rPr>
      </w:pPr>
      <w:bookmarkStart w:id="56" w:name="_Toc513029207"/>
      <w:bookmarkStart w:id="57" w:name="_Toc20823279"/>
      <w:bookmarkStart w:id="58" w:name="_Toc16938523"/>
      <w:bookmarkStart w:id="59" w:name="_Toc462564067"/>
      <w:r>
        <w:rPr>
          <w:rFonts w:hint="eastAsia" w:eastAsia="Arial"/>
          <w:b/>
          <w:bCs/>
          <w:sz w:val="24"/>
          <w:szCs w:val="20"/>
          <w:lang w:val="zh-CN"/>
        </w:rPr>
        <w:t>4、投标费用</w:t>
      </w:r>
      <w:bookmarkEnd w:id="56"/>
      <w:bookmarkEnd w:id="57"/>
      <w:bookmarkEnd w:id="58"/>
      <w:bookmarkEnd w:id="59"/>
    </w:p>
    <w:p>
      <w:pPr>
        <w:widowControl/>
        <w:spacing w:line="520" w:lineRule="exact"/>
        <w:ind w:firstLine="480"/>
        <w:rPr>
          <w:rFonts w:hint="eastAsia"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4.1投标人应自行承担所有与参加投标有关的费用，无论投标过程中的做法和结果如何，采购人和采购代理机构在任何情况下均无义务和责任承担这些费用。</w:t>
      </w:r>
    </w:p>
    <w:p>
      <w:pPr>
        <w:widowControl/>
        <w:spacing w:line="520" w:lineRule="exact"/>
        <w:ind w:firstLine="480"/>
        <w:rPr>
          <w:rFonts w:hint="eastAsia"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4.2本次招标采购人和采购代理机构不收取标书工本费。</w:t>
      </w:r>
    </w:p>
    <w:p>
      <w:pPr>
        <w:widowControl/>
        <w:spacing w:line="520" w:lineRule="exact"/>
        <w:ind w:firstLine="480"/>
        <w:rPr>
          <w:rFonts w:eastAsia="Arial"/>
          <w:b/>
          <w:bCs/>
          <w:sz w:val="24"/>
          <w:szCs w:val="20"/>
          <w:lang w:val="zh-CN"/>
        </w:rPr>
      </w:pPr>
      <w:r>
        <w:rPr>
          <w:rFonts w:hint="eastAsia" w:eastAsia="Arial"/>
          <w:b/>
          <w:bCs/>
          <w:sz w:val="24"/>
          <w:szCs w:val="20"/>
          <w:lang w:val="zh-CN"/>
        </w:rPr>
        <w:t>5、招标文件的约束力</w:t>
      </w:r>
    </w:p>
    <w:p>
      <w:pPr>
        <w:widowControl/>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5.1投标人一旦参加本项目采购活动，即被认为接受了本招标文件的规定和约束。</w:t>
      </w:r>
    </w:p>
    <w:p>
      <w:pPr>
        <w:pStyle w:val="34"/>
        <w:keepNext/>
        <w:keepLines/>
        <w:pageBreakBefore w:val="0"/>
        <w:widowControl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二、招标文件</w:t>
      </w:r>
      <w:bookmarkEnd w:id="41"/>
      <w:bookmarkEnd w:id="42"/>
      <w:bookmarkEnd w:id="43"/>
      <w:bookmarkEnd w:id="44"/>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60" w:name="_Toc20823282"/>
      <w:bookmarkStart w:id="61" w:name="_Toc16938526"/>
      <w:bookmarkStart w:id="62" w:name="_Toc513029210"/>
      <w:r>
        <w:rPr>
          <w:rFonts w:hint="eastAsia" w:ascii="宋体" w:hAnsi="宋体" w:eastAsia="宋体" w:cs="宋体"/>
          <w:color w:val="auto"/>
          <w:sz w:val="24"/>
          <w:szCs w:val="24"/>
          <w:highlight w:val="none"/>
        </w:rPr>
        <w:t>6、招标文件构成</w:t>
      </w:r>
      <w:bookmarkEnd w:id="60"/>
      <w:bookmarkEnd w:id="61"/>
      <w:bookmarkEnd w:id="62"/>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联系解决。</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34"/>
        <w:keepNext/>
        <w:keepLines/>
        <w:pageBreakBefore w:val="0"/>
        <w:widowControl w:val="0"/>
        <w:spacing w:beforeAutospacing="0" w:afterAutospacing="0" w:line="500" w:lineRule="exact"/>
        <w:ind w:firstLine="205"/>
        <w:jc w:val="both"/>
        <w:rPr>
          <w:rFonts w:hint="eastAsia" w:ascii="宋体" w:hAnsi="宋体" w:eastAsia="宋体" w:cs="宋体"/>
          <w:b/>
          <w:bCs/>
          <w:color w:val="auto"/>
          <w:sz w:val="24"/>
          <w:szCs w:val="24"/>
          <w:highlight w:val="none"/>
        </w:rPr>
      </w:pPr>
      <w:bookmarkStart w:id="63" w:name="_Toc16938527"/>
      <w:bookmarkStart w:id="64" w:name="_Toc462564070"/>
      <w:bookmarkStart w:id="65" w:name="_Toc513029211"/>
      <w:bookmarkStart w:id="66" w:name="_Toc20823283"/>
      <w:r>
        <w:rPr>
          <w:rFonts w:hint="eastAsia" w:ascii="宋体" w:hAnsi="宋体" w:eastAsia="宋体" w:cs="宋体"/>
          <w:b/>
          <w:bCs/>
          <w:color w:val="auto"/>
          <w:sz w:val="24"/>
          <w:szCs w:val="24"/>
          <w:highlight w:val="none"/>
        </w:rPr>
        <w:t>7、招标文件的澄清</w:t>
      </w:r>
      <w:bookmarkEnd w:id="63"/>
      <w:bookmarkEnd w:id="64"/>
      <w:bookmarkEnd w:id="65"/>
      <w:bookmarkEnd w:id="66"/>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pPr>
        <w:pStyle w:val="34"/>
        <w:keepNext/>
        <w:keepLines/>
        <w:pageBreakBefore w:val="0"/>
        <w:widowControl w:val="0"/>
        <w:spacing w:beforeAutospacing="0" w:afterAutospacing="0" w:line="500" w:lineRule="exact"/>
        <w:ind w:firstLine="205"/>
        <w:jc w:val="both"/>
        <w:rPr>
          <w:rFonts w:hint="eastAsia" w:ascii="宋体" w:hAnsi="宋体" w:eastAsia="宋体" w:cs="宋体"/>
          <w:b/>
          <w:bCs/>
          <w:color w:val="auto"/>
          <w:sz w:val="24"/>
          <w:szCs w:val="24"/>
          <w:highlight w:val="none"/>
        </w:rPr>
      </w:pPr>
      <w:bookmarkStart w:id="67" w:name="_Toc16938528"/>
      <w:bookmarkStart w:id="68" w:name="_Toc513029212"/>
      <w:bookmarkStart w:id="69" w:name="_Toc462564071"/>
      <w:bookmarkStart w:id="70" w:name="_Toc20823284"/>
      <w:r>
        <w:rPr>
          <w:rFonts w:hint="eastAsia" w:ascii="宋体" w:hAnsi="宋体" w:eastAsia="宋体" w:cs="宋体"/>
          <w:b/>
          <w:bCs/>
          <w:color w:val="auto"/>
          <w:sz w:val="24"/>
          <w:szCs w:val="24"/>
          <w:highlight w:val="none"/>
        </w:rPr>
        <w:t>8、招标文件的修改</w:t>
      </w:r>
      <w:bookmarkEnd w:id="67"/>
      <w:bookmarkEnd w:id="68"/>
      <w:bookmarkEnd w:id="69"/>
      <w:bookmarkEnd w:id="70"/>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可以对招标文件进行修改。</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有权按照法定的要求推迟投标截止日期和开标日期。</w:t>
      </w:r>
    </w:p>
    <w:p>
      <w:pPr>
        <w:pageBreakBefore w:val="0"/>
        <w:widowControl/>
        <w:spacing w:line="520" w:lineRule="exact"/>
        <w:ind w:firstLine="204"/>
        <w:rPr>
          <w:rFonts w:hint="eastAsia" w:ascii="宋体" w:hAnsi="宋体" w:eastAsia="宋体" w:cs="宋体"/>
          <w:color w:val="auto"/>
          <w:sz w:val="24"/>
          <w:szCs w:val="24"/>
          <w:highlight w:val="none"/>
        </w:rPr>
      </w:pPr>
      <w:r>
        <w:rPr>
          <w:rFonts w:hint="eastAsia" w:eastAsia="Arial"/>
          <w:sz w:val="24"/>
          <w:szCs w:val="20"/>
        </w:rPr>
        <w:t>8.3招标文件的修改将在</w:t>
      </w:r>
      <w:r>
        <w:rPr>
          <w:rFonts w:hint="eastAsia"/>
          <w:sz w:val="24"/>
          <w:szCs w:val="20"/>
        </w:rPr>
        <w:t>“中国政府采购网”、“江苏政府采购网”、“盐城市政府采购网”</w:t>
      </w:r>
      <w:r>
        <w:rPr>
          <w:rFonts w:hint="eastAsia" w:eastAsia="Arial"/>
          <w:sz w:val="24"/>
          <w:szCs w:val="20"/>
        </w:rPr>
        <w:t>公布，补充文件将作为招标文件的组成部分，并对投标人具有约束力。</w:t>
      </w:r>
    </w:p>
    <w:p>
      <w:pPr>
        <w:pStyle w:val="34"/>
        <w:keepNext/>
        <w:keepLines/>
        <w:pageBreakBefore w:val="0"/>
        <w:widowControl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bookmarkStart w:id="71" w:name="_Toc20823285"/>
      <w:bookmarkStart w:id="72" w:name="_Toc462564072"/>
      <w:bookmarkStart w:id="73" w:name="_Toc120614216"/>
      <w:bookmarkStart w:id="74" w:name="_Toc513029213"/>
      <w:bookmarkStart w:id="75" w:name="_Toc16938529"/>
      <w:r>
        <w:rPr>
          <w:rFonts w:hint="eastAsia" w:ascii="宋体" w:hAnsi="宋体" w:eastAsia="宋体" w:cs="宋体"/>
          <w:b/>
          <w:color w:val="auto"/>
          <w:sz w:val="24"/>
          <w:szCs w:val="24"/>
          <w:highlight w:val="none"/>
        </w:rPr>
        <w:t>三、投标文件的编制</w:t>
      </w:r>
      <w:bookmarkEnd w:id="71"/>
      <w:bookmarkEnd w:id="72"/>
      <w:bookmarkEnd w:id="73"/>
      <w:bookmarkEnd w:id="74"/>
      <w:bookmarkEnd w:id="75"/>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76" w:name="_Toc462564073"/>
      <w:bookmarkStart w:id="77" w:name="_Toc16938530"/>
      <w:bookmarkStart w:id="78" w:name="_Toc513029214"/>
      <w:bookmarkStart w:id="79" w:name="_Toc20823286"/>
      <w:r>
        <w:rPr>
          <w:rFonts w:hint="eastAsia" w:ascii="宋体" w:hAnsi="宋体" w:eastAsia="宋体" w:cs="宋体"/>
          <w:color w:val="auto"/>
          <w:sz w:val="24"/>
          <w:szCs w:val="24"/>
          <w:highlight w:val="none"/>
        </w:rPr>
        <w:t>9、投标文件的语言及度量衡单位</w:t>
      </w:r>
      <w:bookmarkEnd w:id="76"/>
      <w:bookmarkEnd w:id="77"/>
      <w:bookmarkEnd w:id="78"/>
      <w:bookmarkEnd w:id="79"/>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9.1投标人提交的投标文件以及投标人与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80" w:name="_Toc513029215"/>
      <w:bookmarkStart w:id="81" w:name="_Toc462564074"/>
      <w:bookmarkStart w:id="82" w:name="_Toc20823287"/>
      <w:bookmarkStart w:id="83" w:name="_Toc16938531"/>
      <w:r>
        <w:rPr>
          <w:rFonts w:hint="eastAsia" w:ascii="宋体" w:hAnsi="宋体" w:eastAsia="宋体" w:cs="宋体"/>
          <w:color w:val="auto"/>
          <w:sz w:val="24"/>
          <w:szCs w:val="24"/>
          <w:highlight w:val="none"/>
        </w:rPr>
        <w:t>10、投标文件构成</w:t>
      </w:r>
      <w:bookmarkEnd w:id="80"/>
      <w:bookmarkEnd w:id="81"/>
      <w:bookmarkEnd w:id="82"/>
      <w:bookmarkEnd w:id="83"/>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“江苏政府采购网”、“盐城市政府采购网”发布的招标文件为准。</w:t>
      </w:r>
    </w:p>
    <w:p>
      <w:pPr>
        <w:widowControl/>
        <w:spacing w:line="520" w:lineRule="exact"/>
        <w:ind w:firstLine="480"/>
        <w:rPr>
          <w:rFonts w:eastAsia="Arial"/>
          <w:b/>
          <w:bCs/>
          <w:sz w:val="24"/>
          <w:szCs w:val="20"/>
          <w:lang w:val="zh-CN"/>
        </w:rPr>
      </w:pPr>
      <w:bookmarkStart w:id="84" w:name="_Hlt26668975"/>
      <w:bookmarkStart w:id="85" w:name="_Hlt26670360"/>
      <w:bookmarkStart w:id="86" w:name="_Hlt26954838"/>
      <w:r>
        <w:rPr>
          <w:rFonts w:hint="eastAsia" w:eastAsia="Arial"/>
          <w:b/>
          <w:bCs/>
          <w:sz w:val="24"/>
          <w:szCs w:val="20"/>
          <w:lang w:val="zh-CN"/>
        </w:rPr>
        <w:t>11、证明投标人及投标标的符合招标文件规定的文件</w:t>
      </w:r>
    </w:p>
    <w:p>
      <w:pPr>
        <w:widowControl/>
        <w:spacing w:line="520" w:lineRule="exact"/>
        <w:ind w:firstLine="480"/>
        <w:rPr>
          <w:rFonts w:hint="eastAsia" w:eastAsia="Arial"/>
          <w:sz w:val="24"/>
          <w:szCs w:val="20"/>
          <w:lang w:val="zh-CN"/>
        </w:rPr>
      </w:pPr>
      <w:bookmarkStart w:id="87" w:name="_Toc49090508"/>
      <w:bookmarkStart w:id="88" w:name="_Toc14577355"/>
      <w:r>
        <w:rPr>
          <w:rFonts w:hint="eastAsia" w:eastAsia="Arial"/>
          <w:sz w:val="24"/>
          <w:szCs w:val="20"/>
        </w:rPr>
        <w:t>11.1投标人应按照法律、法规、规章和规范性文件以及招标文件要求提交证明文件，证明</w:t>
      </w:r>
      <w:r>
        <w:rPr>
          <w:rFonts w:hint="eastAsia" w:eastAsia="Arial"/>
          <w:sz w:val="24"/>
          <w:szCs w:val="20"/>
          <w:lang w:val="zh-CN"/>
        </w:rPr>
        <w:t>其及投标标的符合招标文件规定。</w:t>
      </w:r>
      <w:bookmarkEnd w:id="87"/>
      <w:bookmarkEnd w:id="88"/>
    </w:p>
    <w:p>
      <w:pPr>
        <w:widowControl/>
        <w:spacing w:line="520" w:lineRule="exact"/>
        <w:ind w:firstLine="480"/>
        <w:rPr>
          <w:rFonts w:hint="eastAsia" w:eastAsia="Arial"/>
          <w:sz w:val="24"/>
          <w:szCs w:val="20"/>
          <w:lang w:val="zh-CN"/>
        </w:rPr>
      </w:pPr>
      <w:r>
        <w:rPr>
          <w:rFonts w:hint="eastAsia" w:eastAsia="Arial"/>
          <w:sz w:val="24"/>
          <w:szCs w:val="20"/>
          <w:lang w:val="zh-CN"/>
        </w:rPr>
        <w:t>11.2招标文件对证明文件无明确形式要求的，证明文件可以以文字资料、图纸和数据等形式提交。</w:t>
      </w:r>
    </w:p>
    <w:p>
      <w:pPr>
        <w:widowControl/>
        <w:spacing w:line="520" w:lineRule="exact"/>
        <w:ind w:firstLine="480"/>
        <w:rPr>
          <w:rFonts w:hint="eastAsia" w:eastAsia="Arial"/>
          <w:b/>
          <w:bCs/>
          <w:sz w:val="24"/>
          <w:szCs w:val="20"/>
          <w:lang w:val="zh-CN" w:eastAsia="zh-CN"/>
        </w:rPr>
      </w:pPr>
      <w:r>
        <w:rPr>
          <w:rFonts w:hint="eastAsia" w:eastAsia="Arial"/>
          <w:b/>
          <w:bCs/>
          <w:sz w:val="24"/>
          <w:szCs w:val="20"/>
          <w:lang w:val="zh-CN" w:eastAsia="zh-CN"/>
        </w:rPr>
        <w:t>12、投标分项报价</w:t>
      </w:r>
      <w:bookmarkStart w:id="89" w:name="_Hlt26670373"/>
      <w:r>
        <w:rPr>
          <w:rFonts w:hint="eastAsia" w:eastAsia="Arial"/>
          <w:b/>
          <w:bCs/>
          <w:sz w:val="24"/>
          <w:szCs w:val="20"/>
          <w:lang w:val="zh-CN" w:eastAsia="zh-CN"/>
        </w:rPr>
        <w:t>表</w:t>
      </w:r>
    </w:p>
    <w:p>
      <w:pPr>
        <w:widowControl/>
        <w:spacing w:line="520" w:lineRule="exact"/>
        <w:ind w:firstLine="480"/>
        <w:rPr>
          <w:rFonts w:hint="eastAsia" w:eastAsia="Arial"/>
          <w:sz w:val="24"/>
          <w:szCs w:val="20"/>
          <w:lang w:val="zh-CN"/>
        </w:rPr>
      </w:pPr>
      <w:r>
        <w:rPr>
          <w:rFonts w:hint="eastAsia" w:eastAsia="Arial"/>
          <w:sz w:val="24"/>
          <w:szCs w:val="20"/>
          <w:lang w:val="zh-CN"/>
        </w:rPr>
        <w:t>12.1投</w:t>
      </w:r>
      <w:bookmarkStart w:id="90" w:name="_Hlt26954840"/>
      <w:r>
        <w:rPr>
          <w:rFonts w:hint="eastAsia" w:eastAsia="Arial"/>
          <w:sz w:val="24"/>
          <w:szCs w:val="20"/>
          <w:lang w:val="zh-CN"/>
        </w:rPr>
        <w:t>标人应按照招标文件规定格式填报投标分项报价表</w:t>
      </w:r>
      <w:bookmarkStart w:id="91" w:name="_Hlt26670399"/>
      <w:r>
        <w:rPr>
          <w:rFonts w:hint="eastAsia" w:eastAsia="Arial"/>
          <w:sz w:val="24"/>
          <w:szCs w:val="20"/>
          <w:lang w:val="zh-CN"/>
        </w:rPr>
        <w:t>。</w:t>
      </w:r>
    </w:p>
    <w:p>
      <w:pPr>
        <w:widowControl/>
        <w:spacing w:line="520" w:lineRule="exact"/>
        <w:ind w:firstLine="480"/>
        <w:rPr>
          <w:rFonts w:hint="eastAsia" w:eastAsia="Arial"/>
          <w:sz w:val="24"/>
          <w:szCs w:val="20"/>
          <w:lang w:val="zh-CN"/>
        </w:rPr>
      </w:pPr>
      <w:r>
        <w:rPr>
          <w:rFonts w:hint="eastAsia" w:eastAsia="Arial"/>
          <w:sz w:val="24"/>
          <w:szCs w:val="20"/>
          <w:lang w:val="zh-CN"/>
        </w:rPr>
        <w:t>12.2投标货币。投标文件中的单价和总价无特殊规定的采用人民币报价，以元</w:t>
      </w:r>
      <w:r>
        <w:rPr>
          <w:rFonts w:hint="default" w:eastAsia="Arial"/>
          <w:sz w:val="24"/>
          <w:szCs w:val="20"/>
          <w:lang w:val="en-US"/>
        </w:rPr>
        <w:t>/</w:t>
      </w:r>
      <w:r>
        <w:rPr>
          <w:rFonts w:hint="eastAsia" w:eastAsia="Arial"/>
          <w:sz w:val="24"/>
          <w:szCs w:val="20"/>
          <w:lang w:val="en-US" w:eastAsia="zh-CN"/>
        </w:rPr>
        <w:t>年</w:t>
      </w:r>
      <w:r>
        <w:rPr>
          <w:rFonts w:hint="eastAsia" w:eastAsia="Arial"/>
          <w:sz w:val="24"/>
          <w:szCs w:val="20"/>
          <w:lang w:val="zh-CN"/>
        </w:rPr>
        <w:t>为单位标注。招标文件中另有规定的按规定执行。</w:t>
      </w:r>
    </w:p>
    <w:p>
      <w:pPr>
        <w:widowControl/>
        <w:spacing w:line="520" w:lineRule="exact"/>
        <w:ind w:firstLine="480"/>
        <w:rPr>
          <w:rFonts w:hint="eastAsia" w:eastAsia="Arial"/>
          <w:sz w:val="24"/>
          <w:szCs w:val="20"/>
        </w:rPr>
      </w:pPr>
      <w:r>
        <w:rPr>
          <w:rFonts w:hint="eastAsia" w:eastAsia="Arial"/>
          <w:sz w:val="24"/>
          <w:szCs w:val="20"/>
        </w:rPr>
        <w:t>12.1投标人应按照招标文件规定格式填报投标分项报价表。</w:t>
      </w:r>
    </w:p>
    <w:p>
      <w:pPr>
        <w:widowControl/>
        <w:spacing w:line="520" w:lineRule="exact"/>
        <w:ind w:firstLine="480"/>
        <w:rPr>
          <w:rFonts w:hint="eastAsia" w:eastAsia="Arial"/>
          <w:sz w:val="24"/>
          <w:szCs w:val="20"/>
        </w:rPr>
      </w:pPr>
      <w:r>
        <w:rPr>
          <w:rFonts w:hint="eastAsia" w:eastAsia="Arial"/>
          <w:sz w:val="24"/>
          <w:szCs w:val="20"/>
        </w:rPr>
        <w:t>12.2投标货币。投标文件中的单价和总价无特殊规定的采用人民币报价，以</w:t>
      </w:r>
      <w:r>
        <w:rPr>
          <w:rFonts w:hint="eastAsia" w:eastAsia="Arial"/>
          <w:sz w:val="24"/>
          <w:szCs w:val="20"/>
          <w:lang w:val="zh-CN"/>
        </w:rPr>
        <w:t>元</w:t>
      </w:r>
      <w:r>
        <w:rPr>
          <w:rFonts w:hint="default" w:eastAsia="Arial"/>
          <w:sz w:val="24"/>
          <w:szCs w:val="20"/>
          <w:lang w:val="en-US"/>
        </w:rPr>
        <w:t>/</w:t>
      </w:r>
      <w:r>
        <w:rPr>
          <w:rFonts w:hint="eastAsia" w:eastAsia="Arial"/>
          <w:sz w:val="24"/>
          <w:szCs w:val="20"/>
          <w:lang w:val="en-US" w:eastAsia="zh-CN"/>
        </w:rPr>
        <w:t>年</w:t>
      </w:r>
      <w:r>
        <w:rPr>
          <w:rFonts w:hint="eastAsia" w:eastAsia="Arial"/>
          <w:sz w:val="24"/>
          <w:szCs w:val="20"/>
        </w:rPr>
        <w:t>为单位标注。招标文件中另有规定的按规定执行。</w:t>
      </w:r>
    </w:p>
    <w:p>
      <w:pPr>
        <w:widowControl/>
        <w:spacing w:line="520" w:lineRule="exact"/>
        <w:ind w:firstLine="480"/>
        <w:rPr>
          <w:rFonts w:hint="eastAsia" w:eastAsia="Arial"/>
          <w:sz w:val="24"/>
          <w:szCs w:val="20"/>
        </w:rPr>
      </w:pPr>
      <w:r>
        <w:rPr>
          <w:rFonts w:hint="eastAsia" w:eastAsia="Arial"/>
          <w:sz w:val="24"/>
          <w:szCs w:val="20"/>
        </w:rPr>
        <w:t>12.3投标报价</w:t>
      </w:r>
    </w:p>
    <w:p>
      <w:pPr>
        <w:widowControl/>
        <w:spacing w:line="520" w:lineRule="exact"/>
        <w:ind w:firstLine="480"/>
        <w:rPr>
          <w:rFonts w:hint="eastAsia" w:eastAsia="Arial"/>
          <w:sz w:val="24"/>
          <w:szCs w:val="20"/>
        </w:rPr>
      </w:pPr>
      <w:r>
        <w:rPr>
          <w:rFonts w:hint="eastAsia" w:eastAsia="Arial"/>
          <w:sz w:val="24"/>
          <w:szCs w:val="20"/>
        </w:rPr>
        <w:t>12.3.1投标人应按照招标文件规定格式填报报价清单，只允许有一个报价，任何有选择的报价将不予接受。</w:t>
      </w:r>
    </w:p>
    <w:p>
      <w:pPr>
        <w:widowControl/>
        <w:spacing w:line="520" w:lineRule="exact"/>
        <w:ind w:firstLine="480"/>
        <w:rPr>
          <w:rFonts w:hint="eastAsia" w:eastAsia="Arial"/>
          <w:sz w:val="24"/>
          <w:szCs w:val="20"/>
        </w:rPr>
      </w:pPr>
      <w:r>
        <w:rPr>
          <w:rFonts w:hint="eastAsia" w:eastAsia="Arial"/>
          <w:sz w:val="24"/>
          <w:szCs w:val="20"/>
        </w:rPr>
        <w:t>12.3.2 标的物</w:t>
      </w:r>
    </w:p>
    <w:p>
      <w:pPr>
        <w:widowControl/>
        <w:spacing w:line="520" w:lineRule="exact"/>
        <w:ind w:firstLine="480"/>
        <w:rPr>
          <w:rFonts w:hint="eastAsia" w:eastAsia="Arial"/>
          <w:sz w:val="24"/>
          <w:szCs w:val="20"/>
        </w:rPr>
      </w:pPr>
      <w:r>
        <w:rPr>
          <w:rFonts w:hint="eastAsia" w:eastAsia="Arial"/>
          <w:sz w:val="24"/>
          <w:szCs w:val="20"/>
        </w:rPr>
        <w:t>采购人需求的设备供应、安装，调试及有关技术服务等。</w:t>
      </w:r>
    </w:p>
    <w:p>
      <w:pPr>
        <w:widowControl/>
        <w:spacing w:line="520" w:lineRule="exact"/>
        <w:ind w:firstLine="480"/>
        <w:rPr>
          <w:rFonts w:hint="eastAsia" w:eastAsia="Arial"/>
          <w:sz w:val="24"/>
          <w:szCs w:val="20"/>
        </w:rPr>
      </w:pPr>
      <w:r>
        <w:rPr>
          <w:rFonts w:hint="eastAsia" w:eastAsia="Arial"/>
          <w:sz w:val="24"/>
          <w:szCs w:val="20"/>
          <w:lang w:val="en-US" w:eastAsia="zh-CN"/>
        </w:rPr>
        <w:t>12</w:t>
      </w:r>
      <w:r>
        <w:rPr>
          <w:rFonts w:hint="eastAsia" w:eastAsia="Arial"/>
          <w:sz w:val="24"/>
          <w:szCs w:val="20"/>
        </w:rPr>
        <w:t>.3有关费用处理</w:t>
      </w:r>
    </w:p>
    <w:p>
      <w:pPr>
        <w:widowControl/>
        <w:spacing w:line="520" w:lineRule="exact"/>
        <w:ind w:firstLine="480"/>
        <w:rPr>
          <w:rFonts w:hint="eastAsia" w:eastAsia="Arial"/>
          <w:sz w:val="24"/>
          <w:szCs w:val="20"/>
          <w:lang w:val="en-US" w:eastAsia="zh-CN"/>
        </w:rPr>
      </w:pPr>
      <w:bookmarkStart w:id="92" w:name="OLE_LINK12"/>
      <w:r>
        <w:rPr>
          <w:rFonts w:hint="eastAsia" w:eastAsia="Arial"/>
          <w:sz w:val="24"/>
          <w:szCs w:val="20"/>
          <w:lang w:val="en-US" w:eastAsia="zh-CN"/>
        </w:rPr>
        <w:t>12.3.1</w:t>
      </w:r>
      <w:bookmarkEnd w:id="92"/>
      <w:r>
        <w:rPr>
          <w:rFonts w:hint="eastAsia" w:eastAsia="Arial"/>
          <w:sz w:val="24"/>
          <w:szCs w:val="20"/>
          <w:lang w:val="en-US" w:eastAsia="zh-CN"/>
        </w:rPr>
        <w:t xml:space="preserve">投标报价采用总承包方式，投标人所报价格应包括（但不限于）服务人员的工资、社会保险费(五险一金)、节假日加班费、福利费、现场管理费、税收、不可预见费等所需的全部费用的价格体现，凡漏项少计均视为优惠，采购人不另行增加费用。各类风险和政策性调整等风险已包括在投标报价中，最终结算时除合同约定调整外一律不予结算。（双方根据实际情况进行相应调整） </w:t>
      </w:r>
    </w:p>
    <w:p>
      <w:pPr>
        <w:widowControl/>
        <w:spacing w:line="520" w:lineRule="exact"/>
        <w:ind w:firstLine="480"/>
        <w:rPr>
          <w:rFonts w:hint="eastAsia" w:eastAsia="Arial"/>
          <w:sz w:val="24"/>
          <w:szCs w:val="20"/>
          <w:lang w:val="en-US" w:eastAsia="zh-CN"/>
        </w:rPr>
      </w:pPr>
      <w:r>
        <w:rPr>
          <w:rFonts w:hint="default" w:eastAsia="Arial"/>
          <w:sz w:val="24"/>
          <w:szCs w:val="20"/>
          <w:lang w:val="en-US" w:eastAsia="zh-CN"/>
        </w:rPr>
        <w:t>12.3.2</w:t>
      </w:r>
      <w:r>
        <w:rPr>
          <w:rFonts w:hint="eastAsia" w:eastAsia="Arial"/>
          <w:sz w:val="24"/>
          <w:szCs w:val="20"/>
          <w:lang w:val="en-US" w:eastAsia="zh-CN"/>
        </w:rPr>
        <w:t xml:space="preserve">所有人员必须足额缴纳保险费用，保险费用应满足执行苏人社发[2023]3号《关于 2023 年度社会保险缴费工资基数上下限暂行标准的通知》，社保(企业部分)不得低于上述文件标准及规定险种测算(规定险种为“五险”，指养老保险金 16%、医疗保险金 8%、工伤保险金 0.7%、生育保险金 0.9%、失业保险金 0.5%)即不得低于 1172.93 元/人/每月。 </w:t>
      </w:r>
    </w:p>
    <w:p>
      <w:pPr>
        <w:widowControl/>
        <w:spacing w:line="520" w:lineRule="exact"/>
        <w:ind w:firstLine="480"/>
        <w:rPr>
          <w:rFonts w:hint="eastAsia" w:eastAsia="Arial"/>
          <w:sz w:val="24"/>
          <w:szCs w:val="20"/>
          <w:lang w:val="en-US" w:eastAsia="zh-CN"/>
        </w:rPr>
      </w:pPr>
      <w:r>
        <w:rPr>
          <w:rFonts w:hint="default" w:eastAsia="Arial"/>
          <w:sz w:val="24"/>
          <w:szCs w:val="20"/>
          <w:lang w:val="en-US" w:eastAsia="zh-CN"/>
        </w:rPr>
        <w:t>12.3.3</w:t>
      </w:r>
      <w:r>
        <w:rPr>
          <w:rFonts w:hint="eastAsia" w:eastAsia="Arial"/>
          <w:sz w:val="24"/>
          <w:szCs w:val="20"/>
          <w:lang w:val="en-US" w:eastAsia="zh-CN"/>
        </w:rPr>
        <w:t xml:space="preserve">人员工资及相关费用测算依据根据苏人社规(2023)4号《省人力资源社会保障厅关于调整全省最低工资标准的通知》:所有工作人员工资不低于最新公布的最低工资标准(2260元/人/每月)，所有工作人员全年休息休假加班工资以不低于国家及本省相关规定测算。目前国家法定节假日全年为11天，法定加班工资不低于 3428.97元/人/每年。 </w:t>
      </w:r>
    </w:p>
    <w:p>
      <w:pPr>
        <w:widowControl/>
        <w:spacing w:line="520" w:lineRule="exact"/>
        <w:ind w:firstLine="480"/>
        <w:rPr>
          <w:rFonts w:hint="eastAsia" w:eastAsia="Arial"/>
          <w:sz w:val="24"/>
          <w:szCs w:val="20"/>
          <w:lang w:val="en-US" w:eastAsia="zh-CN"/>
        </w:rPr>
      </w:pPr>
      <w:r>
        <w:rPr>
          <w:rFonts w:hint="default" w:eastAsia="Arial"/>
          <w:sz w:val="24"/>
          <w:szCs w:val="20"/>
          <w:lang w:val="en-US" w:eastAsia="zh-CN"/>
        </w:rPr>
        <w:t>12.3.4</w:t>
      </w:r>
      <w:r>
        <w:rPr>
          <w:rFonts w:hint="eastAsia" w:eastAsia="Arial"/>
          <w:sz w:val="24"/>
          <w:szCs w:val="20"/>
          <w:lang w:val="en-US" w:eastAsia="zh-CN"/>
        </w:rPr>
        <w:t xml:space="preserve">服务人员须服从采购人管理，采购人安排的短期加班或活动不另行增加费用。 </w:t>
      </w:r>
    </w:p>
    <w:p>
      <w:pPr>
        <w:widowControl/>
        <w:spacing w:line="520" w:lineRule="exact"/>
        <w:ind w:firstLine="480"/>
        <w:rPr>
          <w:rFonts w:hint="eastAsia" w:eastAsia="Arial"/>
          <w:sz w:val="24"/>
          <w:szCs w:val="20"/>
          <w:lang w:val="en-US" w:eastAsia="zh-CN"/>
        </w:rPr>
      </w:pPr>
      <w:r>
        <w:rPr>
          <w:rFonts w:hint="default" w:eastAsia="Arial"/>
          <w:sz w:val="24"/>
          <w:szCs w:val="20"/>
          <w:lang w:val="en-US" w:eastAsia="zh-CN"/>
        </w:rPr>
        <w:t>12.3.5</w:t>
      </w:r>
      <w:r>
        <w:rPr>
          <w:rFonts w:hint="eastAsia" w:eastAsia="Arial"/>
          <w:sz w:val="24"/>
          <w:szCs w:val="20"/>
          <w:lang w:val="en-US" w:eastAsia="zh-CN"/>
        </w:rPr>
        <w:t xml:space="preserve">各投标人须为所有工作人员缴纳住房公积金（即：不得低于180.8元/人/每月）。 </w:t>
      </w:r>
    </w:p>
    <w:p>
      <w:pPr>
        <w:widowControl/>
        <w:spacing w:line="520" w:lineRule="exact"/>
        <w:ind w:firstLine="480"/>
        <w:rPr>
          <w:rFonts w:hint="eastAsia" w:eastAsia="Arial"/>
          <w:sz w:val="24"/>
          <w:szCs w:val="20"/>
          <w:lang w:val="en-US" w:eastAsia="zh-CN"/>
        </w:rPr>
      </w:pPr>
      <w:r>
        <w:rPr>
          <w:rFonts w:hint="default" w:eastAsia="Arial"/>
          <w:sz w:val="24"/>
          <w:szCs w:val="20"/>
          <w:lang w:val="en-US" w:eastAsia="zh-CN"/>
        </w:rPr>
        <w:t>12.3.6</w:t>
      </w:r>
      <w:r>
        <w:rPr>
          <w:rFonts w:hint="eastAsia" w:eastAsia="Arial"/>
          <w:sz w:val="24"/>
          <w:szCs w:val="20"/>
          <w:lang w:val="en-US" w:eastAsia="zh-CN"/>
        </w:rPr>
        <w:t xml:space="preserve">各投标人须为所有工作人员发放夏季高温补助（即：按盐城市标准6、7、8、9月四个月补贴夏季高温费用，不低于1200元/人/年）。 </w:t>
      </w:r>
    </w:p>
    <w:p>
      <w:pPr>
        <w:widowControl/>
        <w:spacing w:line="520" w:lineRule="exact"/>
        <w:ind w:firstLine="480"/>
        <w:rPr>
          <w:rFonts w:hint="eastAsia" w:eastAsia="Arial"/>
          <w:sz w:val="24"/>
          <w:szCs w:val="20"/>
          <w:lang w:val="en-US" w:eastAsia="zh-CN"/>
        </w:rPr>
      </w:pPr>
      <w:r>
        <w:rPr>
          <w:rFonts w:hint="default" w:eastAsia="Arial"/>
          <w:sz w:val="24"/>
          <w:szCs w:val="20"/>
          <w:lang w:val="en-US" w:eastAsia="zh-CN"/>
        </w:rPr>
        <w:t>12.3.7</w:t>
      </w:r>
      <w:r>
        <w:rPr>
          <w:rFonts w:hint="eastAsia" w:eastAsia="Arial"/>
          <w:sz w:val="24"/>
          <w:szCs w:val="20"/>
          <w:lang w:val="en-US" w:eastAsia="zh-CN"/>
        </w:rPr>
        <w:t>各投标人须为所有工作人员缴纳意外伤害险（即：不低于</w:t>
      </w:r>
      <w:r>
        <w:rPr>
          <w:rFonts w:hint="default" w:eastAsia="Arial"/>
          <w:sz w:val="24"/>
          <w:szCs w:val="20"/>
          <w:lang w:val="en-US" w:eastAsia="zh-CN"/>
        </w:rPr>
        <w:t>5</w:t>
      </w:r>
      <w:r>
        <w:rPr>
          <w:rFonts w:hint="eastAsia" w:eastAsia="Arial"/>
          <w:sz w:val="24"/>
          <w:szCs w:val="20"/>
          <w:lang w:val="en-US" w:eastAsia="zh-CN"/>
        </w:rPr>
        <w:t>00元/人/年）、服装费（即：不低于</w:t>
      </w:r>
      <w:r>
        <w:rPr>
          <w:rFonts w:hint="default" w:eastAsia="Arial"/>
          <w:sz w:val="24"/>
          <w:szCs w:val="20"/>
          <w:lang w:val="en-US" w:eastAsia="zh-CN"/>
        </w:rPr>
        <w:t>10</w:t>
      </w:r>
      <w:r>
        <w:rPr>
          <w:rFonts w:hint="eastAsia" w:eastAsia="Arial"/>
          <w:sz w:val="24"/>
          <w:szCs w:val="20"/>
          <w:lang w:val="en-US" w:eastAsia="zh-CN"/>
        </w:rPr>
        <w:t>00元/人/年）、福利费（即：不低于</w:t>
      </w:r>
      <w:r>
        <w:rPr>
          <w:rFonts w:hint="default" w:eastAsia="Arial"/>
          <w:sz w:val="24"/>
          <w:szCs w:val="20"/>
          <w:lang w:val="en-US" w:eastAsia="zh-CN"/>
        </w:rPr>
        <w:t>10</w:t>
      </w:r>
      <w:r>
        <w:rPr>
          <w:rFonts w:hint="eastAsia" w:eastAsia="Arial"/>
          <w:sz w:val="24"/>
          <w:szCs w:val="20"/>
          <w:lang w:val="en-US" w:eastAsia="zh-CN"/>
        </w:rPr>
        <w:t>00元/人/年）。</w:t>
      </w:r>
    </w:p>
    <w:p>
      <w:pPr>
        <w:widowControl/>
        <w:spacing w:line="520" w:lineRule="exact"/>
        <w:ind w:firstLine="480"/>
        <w:rPr>
          <w:rFonts w:hint="default" w:eastAsia="Arial"/>
          <w:sz w:val="24"/>
          <w:szCs w:val="20"/>
          <w:lang w:val="en-US" w:eastAsia="zh-CN"/>
        </w:rPr>
      </w:pPr>
      <w:r>
        <w:rPr>
          <w:rFonts w:hint="default" w:eastAsia="Arial"/>
          <w:sz w:val="24"/>
          <w:szCs w:val="20"/>
          <w:lang w:val="en-US" w:eastAsia="zh-CN"/>
        </w:rPr>
        <w:t>12.3.8</w:t>
      </w:r>
      <w:r>
        <w:rPr>
          <w:rFonts w:hint="eastAsia" w:eastAsia="Arial"/>
          <w:sz w:val="24"/>
          <w:szCs w:val="20"/>
          <w:lang w:val="en-US" w:eastAsia="zh-CN"/>
        </w:rPr>
        <w:t>其他费用：</w:t>
      </w:r>
      <w:r>
        <w:rPr>
          <w:rFonts w:hint="default" w:eastAsia="Arial"/>
          <w:sz w:val="24"/>
          <w:szCs w:val="20"/>
          <w:lang w:val="en-US" w:eastAsia="zh-CN"/>
        </w:rPr>
        <w:t>培训费、设备折旧费等各投标人须按不低于2000元/月填报</w:t>
      </w:r>
      <w:r>
        <w:rPr>
          <w:rFonts w:hint="eastAsia" w:eastAsia="Arial"/>
          <w:sz w:val="24"/>
          <w:szCs w:val="20"/>
          <w:lang w:val="en-US" w:eastAsia="zh-CN"/>
        </w:rPr>
        <w:t>。</w:t>
      </w:r>
    </w:p>
    <w:p>
      <w:pPr>
        <w:widowControl/>
        <w:spacing w:line="520" w:lineRule="exact"/>
        <w:ind w:firstLine="480"/>
        <w:rPr>
          <w:rFonts w:hint="eastAsia" w:eastAsia="Arial"/>
          <w:sz w:val="24"/>
          <w:szCs w:val="20"/>
          <w:lang w:val="en-US" w:eastAsia="zh-CN"/>
        </w:rPr>
      </w:pPr>
      <w:r>
        <w:rPr>
          <w:rFonts w:hint="eastAsia" w:eastAsia="Arial"/>
          <w:sz w:val="24"/>
          <w:szCs w:val="20"/>
          <w:lang w:val="en-US" w:eastAsia="zh-CN"/>
        </w:rPr>
        <w:t>用工制度必须按国家《劳动法》、《江苏省劳动管理条例》有关规定执行。</w:t>
      </w:r>
    </w:p>
    <w:p>
      <w:pPr>
        <w:widowControl/>
        <w:spacing w:line="520" w:lineRule="exact"/>
        <w:ind w:firstLine="480"/>
        <w:rPr>
          <w:rFonts w:hint="eastAsia" w:eastAsia="Arial"/>
          <w:sz w:val="24"/>
          <w:szCs w:val="20"/>
          <w:lang w:val="en-US" w:eastAsia="zh-CN"/>
        </w:rPr>
      </w:pPr>
      <w:r>
        <w:rPr>
          <w:rFonts w:hint="eastAsia" w:eastAsia="Arial"/>
          <w:sz w:val="24"/>
          <w:szCs w:val="20"/>
          <w:lang w:val="en-US" w:eastAsia="zh-CN"/>
        </w:rPr>
        <w:t>12.3.</w:t>
      </w:r>
      <w:r>
        <w:rPr>
          <w:rFonts w:hint="default" w:eastAsia="Arial"/>
          <w:sz w:val="24"/>
          <w:szCs w:val="20"/>
          <w:lang w:val="en-US" w:eastAsia="zh-CN"/>
        </w:rPr>
        <w:t>9</w:t>
      </w:r>
      <w:r>
        <w:rPr>
          <w:rFonts w:hint="eastAsia" w:eastAsia="Arial"/>
          <w:sz w:val="24"/>
          <w:szCs w:val="20"/>
          <w:lang w:val="en-US" w:eastAsia="zh-CN"/>
        </w:rPr>
        <w:t>其它费用处理</w:t>
      </w:r>
    </w:p>
    <w:p>
      <w:pPr>
        <w:widowControl/>
        <w:spacing w:line="520" w:lineRule="exact"/>
        <w:ind w:firstLine="480"/>
        <w:rPr>
          <w:rFonts w:hint="eastAsia" w:eastAsia="Arial"/>
          <w:b/>
          <w:bCs/>
          <w:sz w:val="24"/>
          <w:szCs w:val="20"/>
          <w:lang w:val="en-US" w:eastAsia="zh-CN"/>
        </w:rPr>
      </w:pPr>
      <w:r>
        <w:rPr>
          <w:rFonts w:hint="eastAsia" w:eastAsia="Arial"/>
          <w:sz w:val="24"/>
          <w:szCs w:val="20"/>
        </w:rPr>
        <w:t>本次招标代理服务费按[计价格 ［20</w:t>
      </w:r>
      <w:r>
        <w:rPr>
          <w:rFonts w:hint="eastAsia" w:eastAsia="Arial"/>
          <w:sz w:val="24"/>
          <w:szCs w:val="20"/>
          <w:lang w:val="en-US" w:eastAsia="zh-CN"/>
        </w:rPr>
        <w:t>2</w:t>
      </w:r>
      <w:r>
        <w:rPr>
          <w:rFonts w:hint="eastAsia" w:eastAsia="Arial"/>
          <w:sz w:val="24"/>
          <w:szCs w:val="20"/>
        </w:rPr>
        <w:t>2］</w:t>
      </w:r>
      <w:r>
        <w:rPr>
          <w:rFonts w:hint="eastAsia" w:eastAsia="Arial"/>
          <w:sz w:val="24"/>
          <w:szCs w:val="20"/>
          <w:lang w:val="en-US" w:eastAsia="zh-CN"/>
        </w:rPr>
        <w:t>002</w:t>
      </w:r>
      <w:r>
        <w:rPr>
          <w:rFonts w:hint="eastAsia" w:eastAsia="Arial"/>
          <w:sz w:val="24"/>
          <w:szCs w:val="20"/>
        </w:rPr>
        <w:t>号]文执行，此项费用由各供应商在投标报价时综合考虑，不单独列项报价。费用由成交供应商承担，在中标通知书发放前一次性支付给采购代理机构</w:t>
      </w:r>
      <w:r>
        <w:rPr>
          <w:rFonts w:hint="eastAsia" w:eastAsia="Arial"/>
          <w:sz w:val="24"/>
          <w:szCs w:val="20"/>
          <w:lang w:val="zh-CN"/>
        </w:rPr>
        <w:t>。</w:t>
      </w:r>
      <w:r>
        <w:rPr>
          <w:rFonts w:hint="eastAsia" w:eastAsia="Arial"/>
          <w:sz w:val="24"/>
          <w:szCs w:val="20"/>
        </w:rPr>
        <w:t>招标文件未列明，而投标人认为必需的费用也综合考虑在投标报价中。</w:t>
      </w:r>
      <w:r>
        <w:rPr>
          <w:rFonts w:hint="eastAsia" w:eastAsia="Arial"/>
          <w:b/>
          <w:bCs/>
          <w:sz w:val="24"/>
          <w:szCs w:val="20"/>
          <w:lang w:val="zh-CN"/>
        </w:rPr>
        <w:t xml:space="preserve"> </w:t>
      </w:r>
    </w:p>
    <w:p>
      <w:pPr>
        <w:widowControl/>
        <w:spacing w:line="520" w:lineRule="exact"/>
        <w:ind w:firstLine="480"/>
        <w:rPr>
          <w:rFonts w:hint="eastAsia" w:eastAsia="Arial"/>
          <w:b/>
          <w:bCs/>
          <w:sz w:val="24"/>
          <w:szCs w:val="20"/>
          <w:lang w:val="zh-CN"/>
        </w:rPr>
      </w:pPr>
      <w:bookmarkStart w:id="93" w:name="_Hlt26668983"/>
      <w:bookmarkStart w:id="94" w:name="_Hlt26954731"/>
      <w:bookmarkStart w:id="95" w:name="_Hlt26954844"/>
      <w:bookmarkStart w:id="96" w:name="_Hlt26954842"/>
      <w:bookmarkStart w:id="97" w:name="_Hlt26670486"/>
      <w:bookmarkStart w:id="98" w:name="_Hlt26670425"/>
      <w:bookmarkStart w:id="99" w:name="_Hlt26954846"/>
      <w:bookmarkStart w:id="100" w:name="_Hlt26670482"/>
      <w:bookmarkStart w:id="101" w:name="_Hlt26954848"/>
      <w:bookmarkStart w:id="102" w:name="_Hlt26670403"/>
      <w:r>
        <w:rPr>
          <w:rFonts w:hint="eastAsia" w:eastAsia="Arial"/>
          <w:b/>
          <w:bCs/>
          <w:sz w:val="24"/>
          <w:szCs w:val="20"/>
          <w:lang w:val="zh-CN"/>
        </w:rPr>
        <w:t>13、技术要求响应及偏离表、商务要求响应及偏离表</w:t>
      </w:r>
    </w:p>
    <w:p>
      <w:pPr>
        <w:widowControl/>
        <w:spacing w:line="520" w:lineRule="exact"/>
        <w:ind w:firstLine="480"/>
        <w:rPr>
          <w:rFonts w:hint="eastAsia" w:eastAsia="Arial"/>
          <w:sz w:val="24"/>
          <w:szCs w:val="20"/>
          <w:lang w:val="zh-CN"/>
        </w:rPr>
      </w:pPr>
      <w:r>
        <w:rPr>
          <w:rFonts w:hint="eastAsia" w:eastAsia="Arial"/>
          <w:sz w:val="24"/>
          <w:szCs w:val="20"/>
          <w:lang w:val="zh-CN"/>
        </w:rPr>
        <w:t>13.1投标人需对招标文件中的技术要求与商务要求逐项作出响应或偏离，并说明原因。</w:t>
      </w:r>
    </w:p>
    <w:p>
      <w:pPr>
        <w:widowControl/>
        <w:spacing w:line="520" w:lineRule="exact"/>
        <w:ind w:firstLine="480"/>
        <w:rPr>
          <w:rFonts w:hint="eastAsia" w:eastAsia="Arial"/>
          <w:sz w:val="24"/>
          <w:szCs w:val="20"/>
          <w:lang w:val="zh-CN"/>
        </w:rPr>
      </w:pPr>
      <w:r>
        <w:rPr>
          <w:rFonts w:hint="eastAsia" w:eastAsia="Arial"/>
          <w:sz w:val="24"/>
          <w:szCs w:val="20"/>
          <w:lang w:val="zh-CN"/>
        </w:rPr>
        <w:t>13.2投标人可在投标文件中提供认为需要的其他技术文件或说明。</w:t>
      </w:r>
    </w:p>
    <w:p>
      <w:pPr>
        <w:widowControl/>
        <w:spacing w:line="520" w:lineRule="exact"/>
        <w:ind w:firstLine="480"/>
        <w:rPr>
          <w:rFonts w:hint="eastAsia" w:eastAsia="Arial"/>
          <w:b/>
          <w:bCs/>
          <w:sz w:val="24"/>
          <w:szCs w:val="20"/>
          <w:lang w:val="zh-CN"/>
        </w:rPr>
      </w:pPr>
      <w:bookmarkStart w:id="103" w:name="_Toc14577360"/>
      <w:bookmarkStart w:id="104" w:name="_Toc49090511"/>
      <w:bookmarkStart w:id="105" w:name="_Hlt26954734"/>
      <w:bookmarkStart w:id="106" w:name="_Hlt26670489"/>
      <w:bookmarkStart w:id="107" w:name="_Hlt26954850"/>
      <w:r>
        <w:rPr>
          <w:rFonts w:hint="eastAsia" w:eastAsia="Arial"/>
          <w:b/>
          <w:bCs/>
          <w:sz w:val="24"/>
          <w:szCs w:val="20"/>
          <w:lang w:val="zh-CN"/>
        </w:rPr>
        <w:t>14、投标函和开标一览表</w:t>
      </w:r>
    </w:p>
    <w:p>
      <w:pPr>
        <w:widowControl/>
        <w:spacing w:line="520" w:lineRule="exact"/>
        <w:ind w:firstLine="480"/>
        <w:rPr>
          <w:rFonts w:hint="eastAsia" w:eastAsia="Arial"/>
          <w:sz w:val="24"/>
          <w:szCs w:val="20"/>
          <w:lang w:val="zh-CN"/>
        </w:rPr>
      </w:pPr>
      <w:r>
        <w:rPr>
          <w:rFonts w:hint="eastAsia" w:eastAsia="Arial"/>
          <w:sz w:val="24"/>
          <w:szCs w:val="20"/>
          <w:lang w:val="zh-CN"/>
        </w:rPr>
        <w:t>14.1投标人应按照招标文件中提供的格式完整、正确填写投标函、开标一览表。</w:t>
      </w:r>
    </w:p>
    <w:p>
      <w:pPr>
        <w:widowControl/>
        <w:spacing w:line="520" w:lineRule="exact"/>
        <w:ind w:firstLine="480"/>
        <w:rPr>
          <w:rFonts w:hint="eastAsia" w:eastAsia="Arial"/>
          <w:sz w:val="24"/>
          <w:szCs w:val="20"/>
          <w:lang w:val="zh-CN"/>
        </w:rPr>
      </w:pPr>
      <w:r>
        <w:rPr>
          <w:rFonts w:hint="eastAsia" w:eastAsia="Arial"/>
          <w:sz w:val="24"/>
          <w:szCs w:val="20"/>
          <w:lang w:val="zh-CN"/>
        </w:rPr>
        <w:t>14.2对于采用货币报价的项目，开标一览表中的投标总报价应与投标分项报价表中的投标总报价一致，如不一致，不作为无效投标处理，但评标时按开标一览表中价格为准。</w:t>
      </w:r>
    </w:p>
    <w:p>
      <w:pPr>
        <w:widowControl/>
        <w:spacing w:line="520" w:lineRule="exact"/>
        <w:ind w:firstLine="480"/>
        <w:rPr>
          <w:rFonts w:hint="eastAsia" w:eastAsia="Arial"/>
          <w:b/>
          <w:bCs/>
          <w:sz w:val="24"/>
          <w:szCs w:val="20"/>
          <w:lang w:val="zh-CN"/>
        </w:rPr>
      </w:pPr>
      <w:r>
        <w:rPr>
          <w:rFonts w:hint="eastAsia" w:eastAsia="Arial"/>
          <w:b/>
          <w:bCs/>
          <w:sz w:val="24"/>
          <w:szCs w:val="20"/>
          <w:lang w:val="zh-CN"/>
        </w:rPr>
        <w:t>15、投标有效期</w:t>
      </w:r>
      <w:bookmarkEnd w:id="103"/>
      <w:bookmarkEnd w:id="104"/>
    </w:p>
    <w:p>
      <w:pPr>
        <w:widowControl/>
        <w:spacing w:line="520" w:lineRule="exact"/>
        <w:ind w:firstLine="480"/>
        <w:rPr>
          <w:rFonts w:hint="eastAsia" w:eastAsia="Arial"/>
          <w:sz w:val="24"/>
          <w:szCs w:val="20"/>
          <w:lang w:val="zh-CN"/>
        </w:rPr>
      </w:pPr>
      <w:r>
        <w:rPr>
          <w:rFonts w:hint="eastAsia" w:eastAsia="Arial"/>
          <w:sz w:val="24"/>
          <w:szCs w:val="20"/>
          <w:lang w:val="zh-CN"/>
        </w:rPr>
        <w:t>15.1投标有效期为采购</w:t>
      </w:r>
      <w:r>
        <w:rPr>
          <w:rFonts w:hint="eastAsia" w:eastAsia="Arial"/>
          <w:sz w:val="24"/>
          <w:szCs w:val="20"/>
          <w:lang w:val="zh-CN" w:eastAsia="zh-CN"/>
        </w:rPr>
        <w:t>人</w:t>
      </w:r>
      <w:r>
        <w:rPr>
          <w:rFonts w:hint="eastAsia" w:eastAsia="Arial"/>
          <w:sz w:val="24"/>
          <w:szCs w:val="20"/>
          <w:lang w:val="zh-CN"/>
        </w:rPr>
        <w:t>规定的开标之日后六十（60）天。投标有效期比规定短的将被视为未实质性响应招标文件而予以拒绝。</w:t>
      </w:r>
    </w:p>
    <w:p>
      <w:pPr>
        <w:widowControl/>
        <w:spacing w:line="520" w:lineRule="exact"/>
        <w:ind w:firstLine="480"/>
        <w:rPr>
          <w:rFonts w:hint="eastAsia" w:eastAsia="Arial"/>
          <w:sz w:val="24"/>
          <w:szCs w:val="20"/>
          <w:lang w:val="zh-CN"/>
        </w:rPr>
      </w:pPr>
      <w:r>
        <w:rPr>
          <w:rFonts w:hint="eastAsia" w:eastAsia="Arial"/>
          <w:sz w:val="24"/>
          <w:szCs w:val="20"/>
          <w:lang w:val="zh-CN"/>
        </w:rPr>
        <w:t>16、投标有效期的延长</w:t>
      </w:r>
    </w:p>
    <w:p>
      <w:pPr>
        <w:widowControl/>
        <w:spacing w:line="520" w:lineRule="exact"/>
        <w:ind w:firstLine="480"/>
        <w:rPr>
          <w:rFonts w:hint="eastAsia" w:eastAsia="Arial"/>
          <w:sz w:val="24"/>
          <w:szCs w:val="20"/>
          <w:lang w:val="zh-CN"/>
        </w:rPr>
      </w:pPr>
      <w:r>
        <w:rPr>
          <w:rFonts w:hint="eastAsia" w:eastAsia="Arial"/>
          <w:sz w:val="24"/>
          <w:szCs w:val="20"/>
          <w:lang w:val="zh-CN"/>
        </w:rPr>
        <w:t>16.1在特殊情况下，采购</w:t>
      </w:r>
      <w:r>
        <w:rPr>
          <w:rFonts w:hint="eastAsia" w:eastAsia="Arial"/>
          <w:sz w:val="24"/>
          <w:szCs w:val="20"/>
          <w:lang w:val="zh-CN" w:eastAsia="zh-CN"/>
        </w:rPr>
        <w:t>人</w:t>
      </w:r>
      <w:r>
        <w:rPr>
          <w:rFonts w:hint="eastAsia" w:eastAsia="Arial"/>
          <w:sz w:val="24"/>
          <w:szCs w:val="20"/>
          <w:lang w:val="zh-CN"/>
        </w:rPr>
        <w:t>于原投标有效期满之前，可向投标人提出延长投标有效期的要求。这种要求与答复均应采用书面形式。投标人可以拒绝采购</w:t>
      </w:r>
      <w:r>
        <w:rPr>
          <w:rFonts w:hint="eastAsia" w:eastAsia="Arial"/>
          <w:sz w:val="24"/>
          <w:szCs w:val="20"/>
          <w:lang w:val="zh-CN" w:eastAsia="zh-CN"/>
        </w:rPr>
        <w:t>人</w:t>
      </w:r>
      <w:r>
        <w:rPr>
          <w:rFonts w:hint="eastAsia" w:eastAsia="Arial"/>
          <w:sz w:val="24"/>
          <w:szCs w:val="20"/>
          <w:lang w:val="zh-CN"/>
        </w:rPr>
        <w:t>的这一要求而放弃投标。同意延长投标有效期的投标人既不能要求也不允许修改其投标文件，同时受投标有效期约束的所有权利与义务均延长至新的有效期。</w:t>
      </w:r>
    </w:p>
    <w:p>
      <w:pPr>
        <w:pStyle w:val="34"/>
        <w:keepNext/>
        <w:keepLines/>
        <w:pageBreakBefore w:val="0"/>
        <w:widowControl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bookmarkStart w:id="108" w:name="_Toc120614217"/>
      <w:bookmarkStart w:id="109" w:name="_Toc16938540"/>
      <w:bookmarkStart w:id="110" w:name="_Toc513029224"/>
      <w:bookmarkStart w:id="111" w:name="_Toc20823296"/>
      <w:bookmarkStart w:id="112" w:name="_Hlt26954852"/>
      <w:bookmarkStart w:id="113" w:name="_Hlt26954739"/>
      <w:r>
        <w:rPr>
          <w:rFonts w:hint="eastAsia" w:ascii="宋体" w:hAnsi="宋体" w:eastAsia="宋体" w:cs="宋体"/>
          <w:b/>
          <w:color w:val="auto"/>
          <w:sz w:val="24"/>
          <w:szCs w:val="24"/>
          <w:highlight w:val="none"/>
        </w:rPr>
        <w:t>四、投标文件的递交</w:t>
      </w:r>
      <w:bookmarkEnd w:id="108"/>
      <w:bookmarkEnd w:id="109"/>
      <w:bookmarkEnd w:id="110"/>
      <w:bookmarkEnd w:id="111"/>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14" w:name="_Toc513029225"/>
      <w:bookmarkStart w:id="115" w:name="_Toc16938541"/>
      <w:bookmarkStart w:id="116" w:name="_Toc462564084"/>
      <w:bookmarkStart w:id="117" w:name="_Toc20823297"/>
      <w:r>
        <w:rPr>
          <w:rFonts w:hint="eastAsia" w:ascii="宋体" w:hAnsi="宋体" w:eastAsia="宋体" w:cs="宋体"/>
          <w:color w:val="auto"/>
          <w:sz w:val="24"/>
          <w:szCs w:val="24"/>
          <w:highlight w:val="none"/>
        </w:rPr>
        <w:t>17、投标文件</w:t>
      </w:r>
      <w:bookmarkEnd w:id="114"/>
      <w:bookmarkEnd w:id="115"/>
      <w:bookmarkEnd w:id="116"/>
      <w:bookmarkEnd w:id="117"/>
      <w:r>
        <w:rPr>
          <w:rFonts w:hint="eastAsia" w:ascii="宋体" w:hAnsi="宋体" w:eastAsia="宋体" w:cs="宋体"/>
          <w:color w:val="auto"/>
          <w:sz w:val="24"/>
          <w:szCs w:val="24"/>
          <w:highlight w:val="none"/>
        </w:rPr>
        <w:t>的递交</w:t>
      </w:r>
    </w:p>
    <w:p>
      <w:pPr>
        <w:pageBreakBefore w:val="0"/>
        <w:widowControl/>
        <w:spacing w:line="520" w:lineRule="exact"/>
        <w:ind w:firstLine="204"/>
        <w:rPr>
          <w:rFonts w:eastAsia="Arial"/>
          <w:sz w:val="24"/>
          <w:szCs w:val="20"/>
          <w:lang w:val="zh-CN"/>
        </w:rPr>
      </w:pPr>
      <w:bookmarkStart w:id="118" w:name="_Toc513029226"/>
      <w:r>
        <w:rPr>
          <w:rFonts w:hint="eastAsia" w:eastAsia="Arial"/>
          <w:sz w:val="24"/>
          <w:szCs w:val="20"/>
          <w:lang w:val="zh-CN"/>
        </w:rPr>
        <w:t>17.1 电子投标文件的递交</w:t>
      </w:r>
    </w:p>
    <w:p>
      <w:pPr>
        <w:pageBreakBefore w:val="0"/>
        <w:widowControl/>
        <w:spacing w:line="500" w:lineRule="exact"/>
        <w:ind w:firstLine="204"/>
        <w:rPr>
          <w:rFonts w:hint="eastAsia"/>
          <w:sz w:val="24"/>
          <w:szCs w:val="20"/>
        </w:rPr>
      </w:pPr>
      <w:r>
        <w:rPr>
          <w:rFonts w:hint="eastAsia" w:eastAsia="Arial"/>
          <w:sz w:val="24"/>
          <w:szCs w:val="20"/>
          <w:lang w:val="zh-CN"/>
        </w:rPr>
        <w:t>投标人应当按照《操作手册》规定，在投标截止时间前制作并上传电子投标</w:t>
      </w:r>
      <w:bookmarkStart w:id="119" w:name="_Toc20823298"/>
      <w:bookmarkEnd w:id="119"/>
      <w:bookmarkStart w:id="120" w:name="_Toc16938542"/>
      <w:bookmarkEnd w:id="120"/>
      <w:r>
        <w:rPr>
          <w:rFonts w:hint="eastAsia"/>
          <w:sz w:val="24"/>
          <w:szCs w:val="20"/>
        </w:rPr>
        <w:t>文件。</w:t>
      </w:r>
    </w:p>
    <w:p>
      <w:pPr>
        <w:pStyle w:val="34"/>
        <w:keepNext/>
        <w:keepLines/>
        <w:pageBreakBefore w:val="0"/>
        <w:widowControl w:val="0"/>
        <w:spacing w:beforeAutospacing="0" w:afterAutospacing="0" w:line="24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18.1投标人上传电子投标文件的时间不得迟于招标公告中规定的投标截止时间。</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21" w:name="_Toc16938543"/>
      <w:bookmarkStart w:id="122" w:name="_Toc513029227"/>
      <w:bookmarkStart w:id="123" w:name="_Toc20823299"/>
      <w:r>
        <w:rPr>
          <w:rFonts w:hint="eastAsia" w:ascii="宋体" w:hAnsi="宋体" w:eastAsia="宋体" w:cs="宋体"/>
          <w:color w:val="auto"/>
          <w:sz w:val="24"/>
          <w:szCs w:val="24"/>
          <w:highlight w:val="none"/>
        </w:rPr>
        <w:t>19、投标文件</w:t>
      </w:r>
      <w:bookmarkEnd w:id="121"/>
      <w:bookmarkEnd w:id="122"/>
      <w:bookmarkEnd w:id="123"/>
      <w:r>
        <w:rPr>
          <w:rFonts w:hint="eastAsia" w:ascii="宋体" w:hAnsi="宋体" w:eastAsia="宋体" w:cs="宋体"/>
          <w:color w:val="auto"/>
          <w:sz w:val="24"/>
          <w:szCs w:val="24"/>
          <w:highlight w:val="none"/>
        </w:rPr>
        <w:t>的拒收</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拒绝接收在其规定的投标截止时间后上传的任何投标文件。</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24" w:name="_Toc20823300"/>
      <w:bookmarkStart w:id="125" w:name="_Toc513029228"/>
      <w:bookmarkStart w:id="126" w:name="_Toc16938544"/>
      <w:r>
        <w:rPr>
          <w:rFonts w:hint="eastAsia" w:ascii="宋体" w:hAnsi="宋体" w:eastAsia="宋体" w:cs="宋体"/>
          <w:color w:val="auto"/>
          <w:sz w:val="24"/>
          <w:szCs w:val="24"/>
          <w:highlight w:val="none"/>
        </w:rPr>
        <w:t>20、投标文件的撤回和修改</w:t>
      </w:r>
      <w:bookmarkEnd w:id="124"/>
      <w:bookmarkEnd w:id="125"/>
      <w:bookmarkEnd w:id="126"/>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21.1.1电子投标文件的撤回</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pPr>
        <w:pStyle w:val="34"/>
        <w:keepNext/>
        <w:keepLines/>
        <w:pageBreakBefore w:val="0"/>
        <w:widowControl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bookmarkStart w:id="127" w:name="_Toc513029229"/>
      <w:bookmarkStart w:id="128" w:name="_Toc16938545"/>
      <w:bookmarkStart w:id="129" w:name="_Toc120614218"/>
      <w:bookmarkStart w:id="130" w:name="_Toc20823301"/>
      <w:r>
        <w:rPr>
          <w:rFonts w:hint="eastAsia" w:ascii="宋体" w:hAnsi="宋体" w:eastAsia="宋体" w:cs="宋体"/>
          <w:b/>
          <w:color w:val="auto"/>
          <w:sz w:val="24"/>
          <w:szCs w:val="24"/>
          <w:highlight w:val="none"/>
        </w:rPr>
        <w:t>五、开标与评标</w:t>
      </w:r>
      <w:bookmarkEnd w:id="127"/>
      <w:bookmarkEnd w:id="128"/>
      <w:bookmarkEnd w:id="129"/>
      <w:bookmarkEnd w:id="130"/>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31" w:name="_Toc16938546"/>
      <w:bookmarkStart w:id="132" w:name="_Toc20823302"/>
      <w:bookmarkStart w:id="133" w:name="_Toc513029230"/>
      <w:r>
        <w:rPr>
          <w:rFonts w:hint="eastAsia" w:ascii="宋体" w:hAnsi="宋体" w:eastAsia="宋体" w:cs="宋体"/>
          <w:color w:val="auto"/>
          <w:sz w:val="24"/>
          <w:szCs w:val="24"/>
          <w:highlight w:val="none"/>
        </w:rPr>
        <w:t>21、开标</w:t>
      </w:r>
      <w:bookmarkEnd w:id="131"/>
      <w:bookmarkEnd w:id="132"/>
      <w:bookmarkEnd w:id="133"/>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21.2开标仪式由采购</w:t>
      </w:r>
      <w:r>
        <w:rPr>
          <w:rFonts w:hint="eastAsia" w:ascii="宋体" w:hAnsi="宋体" w:eastAsia="宋体" w:cs="宋体"/>
          <w:color w:val="auto"/>
          <w:sz w:val="24"/>
          <w:szCs w:val="24"/>
          <w:highlight w:val="none"/>
          <w:lang w:eastAsia="zh-CN"/>
        </w:rPr>
        <w:t>人或采购代理机构</w:t>
      </w:r>
      <w:r>
        <w:rPr>
          <w:rFonts w:hint="eastAsia" w:ascii="宋体" w:hAnsi="宋体" w:eastAsia="宋体" w:cs="宋体"/>
          <w:color w:val="auto"/>
          <w:sz w:val="24"/>
          <w:szCs w:val="24"/>
          <w:highlight w:val="none"/>
        </w:rPr>
        <w:t>组织。苏采云系统将自动对项目进行开标，并宣布各投标人名称和投标价格。</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34" w:name="_Toc20823303"/>
      <w:bookmarkStart w:id="135" w:name="_Toc513029231"/>
      <w:bookmarkStart w:id="136" w:name="_Toc16938547"/>
      <w:r>
        <w:rPr>
          <w:rFonts w:hint="eastAsia" w:ascii="宋体" w:hAnsi="宋体" w:eastAsia="宋体" w:cs="宋体"/>
          <w:color w:val="auto"/>
          <w:sz w:val="24"/>
          <w:szCs w:val="24"/>
          <w:highlight w:val="none"/>
        </w:rPr>
        <w:t>22、评标委员会</w:t>
      </w:r>
      <w:bookmarkEnd w:id="134"/>
      <w:bookmarkEnd w:id="135"/>
      <w:bookmarkEnd w:id="136"/>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22.1开标后，采购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将立即组织评标委员会（以下简称评委会）进行评标。</w:t>
      </w:r>
    </w:p>
    <w:p>
      <w:pPr>
        <w:pStyle w:val="34"/>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pPr>
        <w:pStyle w:val="34"/>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22.3评委会独立工作，负责评审所有投标文件并确定中标侯选人。</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均不得向投标人或与评标无关的其他人员透露。</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和评标委员会不向未中标的投标人解释未中标原因，也不公布评标过程中的相关细节。</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37" w:name="_Toc513029232"/>
      <w:bookmarkStart w:id="138" w:name="_Toc20823304"/>
      <w:bookmarkStart w:id="139" w:name="_Toc16938548"/>
      <w:r>
        <w:rPr>
          <w:rFonts w:hint="eastAsia" w:ascii="宋体" w:hAnsi="宋体" w:eastAsia="宋体" w:cs="宋体"/>
          <w:color w:val="auto"/>
          <w:sz w:val="24"/>
          <w:szCs w:val="24"/>
          <w:highlight w:val="none"/>
        </w:rPr>
        <w:t>24、投标文件的澄清</w:t>
      </w:r>
      <w:bookmarkEnd w:id="137"/>
      <w:bookmarkEnd w:id="138"/>
      <w:bookmarkEnd w:id="139"/>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24.3接到评委会澄清、说明和补正要求的投标人如未按规定做出澄清、说明和补正，其风险由投标人自行承担。</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40" w:name="_Toc20823305"/>
      <w:bookmarkStart w:id="141" w:name="_Toc16938549"/>
      <w:bookmarkStart w:id="142" w:name="_Toc513029233"/>
      <w:r>
        <w:rPr>
          <w:rFonts w:hint="eastAsia" w:ascii="宋体" w:hAnsi="宋体" w:eastAsia="宋体" w:cs="宋体"/>
          <w:color w:val="auto"/>
          <w:sz w:val="24"/>
          <w:szCs w:val="24"/>
          <w:highlight w:val="none"/>
        </w:rPr>
        <w:t>25、对投标文件的初审</w:t>
      </w:r>
      <w:bookmarkEnd w:id="140"/>
      <w:bookmarkEnd w:id="141"/>
      <w:bookmarkEnd w:id="142"/>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将在苏采云系统中告知未通过资格审查或符合性审查的原因，评标结束后，采购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将不再告知未通过资格审查和符合性审查的原因。</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43" w:name="_Toc20823306"/>
      <w:bookmarkStart w:id="144" w:name="_Toc16938550"/>
      <w:bookmarkStart w:id="145" w:name="_Toc513029234"/>
      <w:r>
        <w:rPr>
          <w:rFonts w:hint="eastAsia" w:ascii="宋体" w:hAnsi="宋体" w:eastAsia="宋体" w:cs="宋体"/>
          <w:color w:val="auto"/>
          <w:sz w:val="24"/>
          <w:szCs w:val="24"/>
          <w:highlight w:val="none"/>
        </w:rPr>
        <w:t>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bookmarkEnd w:id="143"/>
      <w:bookmarkEnd w:id="144"/>
      <w:bookmarkEnd w:id="145"/>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46" w:name="_Toc513029235"/>
      <w:bookmarkStart w:id="147" w:name="_Toc16938551"/>
      <w:bookmarkStart w:id="148" w:name="_Toc20823307"/>
      <w:r>
        <w:rPr>
          <w:rFonts w:hint="eastAsia" w:ascii="宋体" w:hAnsi="宋体" w:eastAsia="宋体" w:cs="宋体"/>
          <w:color w:val="auto"/>
          <w:sz w:val="24"/>
          <w:szCs w:val="24"/>
          <w:highlight w:val="none"/>
        </w:rPr>
        <w:t>26.1无效投标条款</w:t>
      </w:r>
      <w:bookmarkEnd w:id="146"/>
      <w:bookmarkEnd w:id="147"/>
      <w:bookmarkEnd w:id="148"/>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pPr>
        <w:pStyle w:val="34"/>
        <w:keepNext/>
        <w:keepLines/>
        <w:pageBreakBefore w:val="0"/>
        <w:widowControl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bookmarkStart w:id="149" w:name="_Toc120614219"/>
      <w:r>
        <w:rPr>
          <w:rFonts w:hint="eastAsia" w:ascii="宋体" w:hAnsi="宋体" w:eastAsia="宋体" w:cs="宋体"/>
          <w:b/>
          <w:color w:val="auto"/>
          <w:sz w:val="24"/>
          <w:szCs w:val="24"/>
          <w:highlight w:val="none"/>
        </w:rPr>
        <w:t>六、定标</w:t>
      </w:r>
      <w:bookmarkEnd w:id="149"/>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50" w:name="_Toc20823310"/>
      <w:bookmarkStart w:id="151" w:name="_Toc513029238"/>
      <w:bookmarkStart w:id="152" w:name="_Toc16938554"/>
      <w:r>
        <w:rPr>
          <w:rFonts w:hint="eastAsia" w:ascii="宋体" w:hAnsi="宋体" w:eastAsia="宋体" w:cs="宋体"/>
          <w:color w:val="auto"/>
          <w:sz w:val="24"/>
          <w:szCs w:val="24"/>
          <w:highlight w:val="none"/>
        </w:rPr>
        <w:t>27、</w:t>
      </w:r>
      <w:bookmarkEnd w:id="150"/>
      <w:r>
        <w:rPr>
          <w:rFonts w:hint="eastAsia" w:ascii="宋体" w:hAnsi="宋体" w:eastAsia="宋体" w:cs="宋体"/>
          <w:color w:val="auto"/>
          <w:sz w:val="24"/>
          <w:szCs w:val="24"/>
          <w:highlight w:val="none"/>
        </w:rPr>
        <w:t>确定</w:t>
      </w:r>
      <w:bookmarkEnd w:id="151"/>
      <w:bookmarkEnd w:id="152"/>
      <w:r>
        <w:rPr>
          <w:rFonts w:hint="eastAsia" w:ascii="宋体" w:hAnsi="宋体" w:eastAsia="宋体" w:cs="宋体"/>
          <w:color w:val="auto"/>
          <w:sz w:val="24"/>
          <w:szCs w:val="24"/>
          <w:highlight w:val="none"/>
        </w:rPr>
        <w:t>中标单位</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“江苏政府采购网”、“盐城市政府采购网”发布中标公告，公告期限为1个工作日。</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行贿或者提供其他不正当利益的。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53" w:name="_Toc200451960"/>
      <w:r>
        <w:rPr>
          <w:rFonts w:hint="eastAsia" w:ascii="宋体" w:hAnsi="宋体" w:eastAsia="宋体" w:cs="宋体"/>
          <w:color w:val="auto"/>
          <w:sz w:val="24"/>
          <w:szCs w:val="24"/>
          <w:highlight w:val="none"/>
        </w:rPr>
        <w:t>27.5 有下列情形之一的，视为投标人串通投标，投标无效：</w:t>
      </w:r>
      <w:bookmarkEnd w:id="153"/>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28、质疑处理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或采购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提出质疑。上述应知其权益受到损害之日，是指：</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将只对供应商第一次质疑作出答复。</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负责答复。</w:t>
      </w:r>
    </w:p>
    <w:p>
      <w:pPr>
        <w:pageBreakBefore w:val="0"/>
        <w:widowControl w:val="0"/>
        <w:tabs>
          <w:tab w:val="left" w:pos="1331"/>
        </w:tabs>
        <w:spacing w:line="500" w:lineRule="exact"/>
        <w:ind w:firstLine="204"/>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采购人及采购代理机构只接收以纸质原件形式送达的质疑,采购人和采购代理机构不接受未填写快递运单的快件。</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29、中标通知书</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val="en-US" w:eastAsia="zh-CN" w:bidi="ar-SA"/>
        </w:rPr>
        <w:t>采购人</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pPr>
        <w:pStyle w:val="34"/>
        <w:keepNext/>
        <w:keepLines/>
        <w:pageBreakBefore w:val="0"/>
        <w:widowControl w:val="0"/>
        <w:spacing w:before="145" w:beforeAutospacing="0" w:after="145" w:afterAutospacing="0" w:line="500" w:lineRule="exact"/>
        <w:ind w:firstLine="205"/>
        <w:jc w:val="both"/>
        <w:rPr>
          <w:rFonts w:hint="eastAsia" w:ascii="宋体" w:hAnsi="宋体" w:eastAsia="宋体" w:cs="宋体"/>
          <w:color w:val="auto"/>
          <w:sz w:val="24"/>
          <w:szCs w:val="24"/>
          <w:highlight w:val="none"/>
        </w:rPr>
      </w:pPr>
      <w:bookmarkStart w:id="154" w:name="_Toc120614220"/>
      <w:bookmarkStart w:id="155" w:name="_Toc20823308"/>
      <w:bookmarkStart w:id="156" w:name="_Toc513029236"/>
      <w:bookmarkStart w:id="157" w:name="_Toc16938552"/>
      <w:r>
        <w:rPr>
          <w:rFonts w:hint="eastAsia" w:ascii="宋体" w:hAnsi="宋体" w:eastAsia="宋体" w:cs="宋体"/>
          <w:b/>
          <w:color w:val="auto"/>
          <w:sz w:val="24"/>
          <w:szCs w:val="24"/>
          <w:highlight w:val="none"/>
        </w:rPr>
        <w:t>七、授予合同</w:t>
      </w:r>
      <w:bookmarkEnd w:id="154"/>
      <w:bookmarkEnd w:id="155"/>
      <w:bookmarkEnd w:id="156"/>
      <w:bookmarkEnd w:id="157"/>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58" w:name="_Toc513029237"/>
      <w:bookmarkStart w:id="159" w:name="_Toc20823309"/>
      <w:bookmarkStart w:id="160" w:name="_Toc16938553"/>
      <w:r>
        <w:rPr>
          <w:rFonts w:hint="eastAsia" w:ascii="宋体" w:hAnsi="宋体" w:eastAsia="宋体" w:cs="宋体"/>
          <w:color w:val="auto"/>
          <w:sz w:val="24"/>
          <w:szCs w:val="24"/>
          <w:highlight w:val="none"/>
        </w:rPr>
        <w:t>30.签订合同</w:t>
      </w:r>
      <w:bookmarkEnd w:id="158"/>
      <w:bookmarkEnd w:id="159"/>
      <w:bookmarkEnd w:id="160"/>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pPr>
        <w:pStyle w:val="34"/>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pPr>
        <w:pStyle w:val="34"/>
        <w:keepNext/>
        <w:keepLines/>
        <w:pageBreakBefore w:val="0"/>
        <w:widowControl w:val="0"/>
        <w:spacing w:beforeAutospacing="0" w:afterAutospacing="0" w:line="500" w:lineRule="exact"/>
        <w:ind w:firstLine="204"/>
        <w:jc w:val="both"/>
        <w:rPr>
          <w:rFonts w:hint="eastAsia" w:ascii="宋体" w:hAnsi="宋体" w:eastAsia="宋体" w:cs="宋体"/>
          <w:color w:val="auto"/>
          <w:sz w:val="24"/>
          <w:szCs w:val="24"/>
          <w:highlight w:val="none"/>
        </w:rPr>
      </w:pPr>
      <w:bookmarkStart w:id="161" w:name="_Toc513029242"/>
      <w:bookmarkStart w:id="162" w:name="_Toc16938558"/>
      <w:bookmarkStart w:id="163" w:name="_Toc20823314"/>
      <w:bookmarkStart w:id="164" w:name="_Toc120614221"/>
      <w:bookmarkStart w:id="165" w:name="_Toc479757207"/>
      <w:r>
        <w:rPr>
          <w:rFonts w:hint="eastAsia" w:ascii="宋体" w:hAnsi="宋体" w:eastAsia="宋体" w:cs="宋体"/>
          <w:color w:val="auto"/>
          <w:sz w:val="24"/>
          <w:szCs w:val="24"/>
          <w:highlight w:val="none"/>
        </w:rPr>
        <w:t>32、政府采购履约资金扶持政策</w:t>
      </w:r>
      <w:bookmarkEnd w:id="161"/>
      <w:bookmarkEnd w:id="162"/>
      <w:bookmarkEnd w:id="163"/>
      <w:bookmarkEnd w:id="164"/>
      <w:bookmarkEnd w:id="165"/>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33、其他 </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33.1供应商对于投标产品的商品包装、快递包装应按照《关于印发《商品包装政府采购需求标准（试行）》、《快递包装政府采购需求标准（试行）》的通知》（财办库〔2020〕123号）执行。 </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33.2本文件中若涉及到数据中心采购，应按照《&lt;绿色数据中心政府采购需求标准（试行）&gt;的通知》（财库〔2023〕7号）执行。 </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33.3本项目落实预付款制度，预付款比例为30%。在签订合同时，中标、成交供应商明确书面表示无需预付款或者主动要求降低预付款比例的，采购人可就预付款比例作相应调整。 </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 确需收取履约保证金的，履约保证金的缴纳形式： </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 </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pPr>
        <w:pStyle w:val="34"/>
        <w:pageBreakBefore w:val="0"/>
        <w:widowControl w:val="0"/>
        <w:spacing w:beforeAutospacing="0" w:afterAutospacing="0" w:line="500" w:lineRule="exact"/>
        <w:ind w:firstLine="472" w:firstLineChars="197"/>
        <w:jc w:val="both"/>
        <w:rPr>
          <w:rFonts w:hint="eastAsia" w:ascii="宋体" w:hAnsi="宋体" w:eastAsia="宋体" w:cs="宋体"/>
          <w:color w:val="auto"/>
          <w:sz w:val="24"/>
          <w:szCs w:val="24"/>
          <w:highlight w:val="none"/>
        </w:rPr>
      </w:pPr>
    </w:p>
    <w:p>
      <w:pPr>
        <w:pStyle w:val="34"/>
        <w:pageBreakBefore w:val="0"/>
        <w:spacing w:beforeAutospacing="0" w:afterAutospacing="0"/>
        <w:ind w:firstLine="374"/>
        <w:jc w:val="left"/>
        <w:rPr>
          <w:rFonts w:hint="eastAsia" w:ascii="黑体" w:hAnsi="宋体" w:eastAsia="黑体" w:cs="黑体"/>
          <w:color w:val="auto"/>
          <w:sz w:val="44"/>
          <w:szCs w:val="44"/>
          <w:highlight w:val="none"/>
        </w:rPr>
      </w:pPr>
    </w:p>
    <w:p>
      <w:pPr>
        <w:spacing w:line="460" w:lineRule="exact"/>
        <w:jc w:val="center"/>
        <w:rPr>
          <w:rFonts w:hint="eastAsia" w:ascii="宋体" w:hAnsi="宋体" w:cs="宋体"/>
          <w:sz w:val="24"/>
          <w:szCs w:val="24"/>
          <w:lang w:val="zh-CN"/>
        </w:rPr>
      </w:pPr>
      <w:bookmarkStart w:id="166" w:name="_Hlt16619369"/>
      <w:r>
        <w:rPr>
          <w:rFonts w:hint="eastAsia" w:ascii="黑体" w:eastAsia="黑体"/>
          <w:bCs/>
          <w:sz w:val="44"/>
        </w:rPr>
        <w:t>第三章 合同条款及格式</w:t>
      </w:r>
    </w:p>
    <w:p>
      <w:pPr>
        <w:spacing w:line="440" w:lineRule="exact"/>
        <w:ind w:firstLine="480"/>
        <w:rPr>
          <w:rFonts w:ascii="宋体" w:hAnsi="宋体"/>
          <w:bCs/>
          <w:sz w:val="24"/>
          <w:szCs w:val="24"/>
        </w:rPr>
      </w:pPr>
    </w:p>
    <w:p>
      <w:pPr>
        <w:spacing w:line="440" w:lineRule="exact"/>
        <w:ind w:firstLine="480"/>
        <w:rPr>
          <w:rFonts w:hint="eastAsia" w:ascii="宋体" w:hAnsi="宋体"/>
          <w:bCs/>
          <w:sz w:val="24"/>
          <w:szCs w:val="24"/>
        </w:rPr>
      </w:pPr>
      <w:r>
        <w:rPr>
          <w:rFonts w:hint="eastAsia" w:ascii="宋体" w:hAnsi="宋体"/>
          <w:bCs/>
          <w:sz w:val="24"/>
          <w:szCs w:val="24"/>
        </w:rPr>
        <w:t>以下为中标后签订本项目合同的通用条款，中标供应商不得提出实质性的修改，关于专用条款将由采购人与中标供应商结合本项目具体情况协商后签订。</w:t>
      </w:r>
    </w:p>
    <w:p>
      <w:pPr>
        <w:snapToGrid w:val="0"/>
        <w:spacing w:line="560" w:lineRule="exact"/>
        <w:ind w:firstLine="600" w:firstLineChars="200"/>
        <w:jc w:val="center"/>
      </w:pPr>
      <w:r>
        <w:rPr>
          <w:rStyle w:val="214"/>
          <w:rFonts w:hint="eastAsia" w:ascii="宋体" w:hAnsi="宋体"/>
          <w:b/>
          <w:color w:val="000000"/>
          <w:sz w:val="30"/>
        </w:rPr>
        <w:t>政府采购合同</w:t>
      </w:r>
    </w:p>
    <w:p>
      <w:pPr>
        <w:snapToGrid w:val="0"/>
        <w:spacing w:before="120" w:after="120" w:line="360" w:lineRule="auto"/>
        <w:rPr>
          <w:rFonts w:ascii="宋体" w:hAnsi="宋体" w:cs="宋体"/>
          <w:sz w:val="24"/>
          <w:szCs w:val="24"/>
          <w:lang w:val="zh-CN"/>
        </w:rPr>
      </w:pPr>
      <w:r>
        <w:rPr>
          <w:rFonts w:hint="eastAsia" w:ascii="宋体" w:hAnsi="宋体" w:cs="宋体"/>
          <w:sz w:val="24"/>
          <w:szCs w:val="24"/>
          <w:lang w:val="zh-CN"/>
        </w:rPr>
        <w:t>项目编号：</w:t>
      </w:r>
      <w:r>
        <w:rPr>
          <w:rFonts w:hint="eastAsia" w:ascii="宋体" w:hAnsi="宋体" w:eastAsia="宋体" w:cs="宋体"/>
          <w:color w:val="000000"/>
          <w:sz w:val="24"/>
          <w:szCs w:val="24"/>
          <w:highlight w:val="none"/>
          <w:lang w:val="en-US" w:eastAsia="zh-CN"/>
        </w:rPr>
        <w:t>JSZC-320902-YDZJ-G2024-0001</w:t>
      </w:r>
      <w:r>
        <w:rPr>
          <w:rFonts w:ascii="宋体" w:hAnsi="宋体" w:cs="宋体"/>
          <w:sz w:val="24"/>
          <w:szCs w:val="24"/>
        </w:rPr>
        <w:t xml:space="preserve"> </w:t>
      </w:r>
    </w:p>
    <w:p>
      <w:pPr>
        <w:snapToGrid w:val="0"/>
        <w:spacing w:before="120" w:after="120" w:line="360" w:lineRule="auto"/>
        <w:rPr>
          <w:rFonts w:ascii="宋体" w:hAnsi="宋体" w:cs="宋体"/>
          <w:sz w:val="24"/>
          <w:szCs w:val="24"/>
        </w:rPr>
      </w:pPr>
      <w:r>
        <w:rPr>
          <w:rFonts w:hint="eastAsia" w:ascii="宋体" w:hAnsi="宋体" w:cs="宋体"/>
          <w:sz w:val="24"/>
          <w:szCs w:val="24"/>
          <w:lang w:val="zh-CN"/>
        </w:rPr>
        <w:t>项目名称：盐城市亭湖区人民法院</w:t>
      </w:r>
      <w:r>
        <w:rPr>
          <w:rFonts w:hint="eastAsia" w:ascii="宋体" w:hAnsi="宋体" w:cs="宋体"/>
          <w:sz w:val="24"/>
          <w:szCs w:val="24"/>
        </w:rPr>
        <w:t>食堂餐饮服务项目</w:t>
      </w:r>
    </w:p>
    <w:p>
      <w:pPr>
        <w:snapToGrid w:val="0"/>
        <w:spacing w:before="120" w:after="120" w:line="360" w:lineRule="auto"/>
        <w:rPr>
          <w:rFonts w:ascii="宋体" w:hAnsi="宋体" w:cs="宋体"/>
          <w:sz w:val="24"/>
          <w:szCs w:val="24"/>
          <w:lang w:val="zh-CN"/>
        </w:rPr>
      </w:pPr>
      <w:r>
        <w:rPr>
          <w:rFonts w:hint="eastAsia" w:ascii="宋体" w:hAnsi="宋体" w:cs="宋体"/>
          <w:sz w:val="24"/>
          <w:szCs w:val="24"/>
          <w:lang w:val="zh-CN"/>
        </w:rPr>
        <w:t>发包方：</w:t>
      </w:r>
      <w:r>
        <w:rPr>
          <w:rFonts w:hint="eastAsia" w:ascii="宋体" w:hAnsi="宋体" w:cs="宋体"/>
          <w:sz w:val="24"/>
          <w:szCs w:val="24"/>
          <w:u w:val="single"/>
          <w:lang w:val="zh-CN"/>
        </w:rPr>
        <w:t>盐城市亭湖区人民法院</w:t>
      </w:r>
    </w:p>
    <w:p>
      <w:pPr>
        <w:snapToGrid w:val="0"/>
        <w:spacing w:before="120" w:after="120" w:line="360" w:lineRule="auto"/>
        <w:rPr>
          <w:rFonts w:ascii="宋体" w:hAnsi="宋体" w:cs="宋体"/>
          <w:sz w:val="24"/>
          <w:szCs w:val="24"/>
          <w:u w:val="single"/>
        </w:rPr>
      </w:pPr>
      <w:r>
        <w:rPr>
          <w:rFonts w:hint="eastAsia" w:ascii="宋体" w:hAnsi="宋体" w:cs="宋体"/>
          <w:sz w:val="24"/>
          <w:szCs w:val="24"/>
          <w:lang w:val="zh-CN"/>
        </w:rPr>
        <w:t>承包方：</w:t>
      </w:r>
      <w:r>
        <w:rPr>
          <w:rFonts w:hint="eastAsia" w:ascii="宋体" w:hAnsi="宋体" w:cs="宋体"/>
          <w:sz w:val="24"/>
          <w:szCs w:val="24"/>
          <w:u w:val="single"/>
        </w:rPr>
        <w:t xml:space="preserve">                              </w:t>
      </w:r>
    </w:p>
    <w:p>
      <w:pPr>
        <w:spacing w:line="360" w:lineRule="auto"/>
        <w:ind w:firstLine="480" w:firstLineChars="200"/>
        <w:rPr>
          <w:rStyle w:val="214"/>
          <w:rFonts w:ascii="宋体" w:hAnsi="宋体"/>
          <w:sz w:val="24"/>
          <w:szCs w:val="24"/>
          <w:lang w:val="zh-CN"/>
        </w:rPr>
      </w:pPr>
      <w:r>
        <w:rPr>
          <w:rFonts w:hint="eastAsia" w:ascii="宋体" w:hAnsi="宋体" w:cs="宋体"/>
          <w:sz w:val="24"/>
          <w:szCs w:val="24"/>
          <w:lang w:val="zh-CN"/>
        </w:rPr>
        <w:t>甲、乙双方根据</w:t>
      </w:r>
      <w:r>
        <w:rPr>
          <w:rFonts w:hint="eastAsia" w:ascii="宋体" w:hAnsi="宋体" w:cs="宋体"/>
          <w:sz w:val="24"/>
          <w:szCs w:val="24"/>
        </w:rPr>
        <w:t>盐城市亭湖区公共资源交易中心</w:t>
      </w:r>
      <w:r>
        <w:rPr>
          <w:rFonts w:hint="eastAsia" w:ascii="宋体" w:hAnsi="宋体" w:cs="宋体"/>
          <w:sz w:val="24"/>
          <w:szCs w:val="24"/>
          <w:u w:val="single"/>
          <w:lang w:val="zh-CN"/>
        </w:rPr>
        <w:t>盐城市亭湖区人民法院</w:t>
      </w:r>
      <w:r>
        <w:rPr>
          <w:rFonts w:hint="eastAsia" w:ascii="宋体" w:hAnsi="宋体" w:cs="宋体"/>
          <w:sz w:val="24"/>
          <w:szCs w:val="24"/>
          <w:u w:val="single"/>
        </w:rPr>
        <w:t>食堂</w:t>
      </w:r>
      <w:r>
        <w:rPr>
          <w:rFonts w:hint="eastAsia" w:ascii="宋体" w:hAnsi="宋体" w:cs="宋体"/>
          <w:sz w:val="24"/>
          <w:szCs w:val="24"/>
          <w:u w:val="single"/>
          <w:lang w:val="zh-CN"/>
        </w:rPr>
        <w:t>餐饮服务项目</w:t>
      </w:r>
      <w:r>
        <w:rPr>
          <w:rFonts w:hint="eastAsia" w:ascii="宋体" w:hAnsi="宋体" w:cs="宋体"/>
          <w:sz w:val="24"/>
          <w:szCs w:val="24"/>
          <w:lang w:val="zh-CN"/>
        </w:rPr>
        <w:t>公</w:t>
      </w:r>
      <w:r>
        <w:rPr>
          <w:rStyle w:val="214"/>
          <w:rFonts w:hint="eastAsia" w:ascii="宋体" w:hAnsi="宋体"/>
          <w:sz w:val="24"/>
          <w:szCs w:val="24"/>
          <w:lang w:val="zh-CN"/>
        </w:rPr>
        <w:t>开招标的结果，签署本合同。</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一、服务方式</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1、甲方负责提供厨房、大小餐厅、全套厨房设备，负责水、电、气的正常运转和主副食原材采购。</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2、乙方负责提供服务，包括但不限于</w:t>
      </w:r>
      <w:r>
        <w:rPr>
          <w:rFonts w:hint="eastAsia" w:ascii="宋体" w:hAnsi="宋体"/>
          <w:sz w:val="24"/>
        </w:rPr>
        <w:t>制定每周菜谱、食材预购单、食材质量把关、</w:t>
      </w:r>
      <w:r>
        <w:rPr>
          <w:rFonts w:hint="eastAsia" w:ascii="宋体" w:hAnsi="宋体" w:cs="宋体"/>
          <w:sz w:val="24"/>
          <w:szCs w:val="24"/>
        </w:rPr>
        <w:t>菜品的清洗、菜肴的制作、饭菜的售卖、餐具的清洗、卫生保洁等一切服务内容。</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3、乙方安排主厨、副厨、面点师及其他从事餐厅工作的劳务人员负责甲方食堂的厨房及大、小餐厅日常管理和卫生保洁工作，负责对甲方提供的原材料进行验收和加工，按甲方要求及时供应工作日早餐、午餐，并根据甲方要求提供加班工作餐（工作日晚餐及节假日三餐），并提供优质服务。</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4、甲乙双方因特殊情况需终止合作关系的，须提前30天通知对方，并保证在协议终止前的食堂正常运转。</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二、双方权利及义务</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1、 甲方权利义务:</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(1)甲方按外包服务协议内容及配套的管理规定督促乙方认真履职，并做好相关协调工作。</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(2)甲方负责对乙方安排的菜谱进行审查，并及时提出调整意见，对乙方服务质量和安全卫生状况等工作进行督查，及时督促乙方整改存在问题。</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(3)甲方按照乙方提供的购菜清单及时采购，确保厨房加工不受影响。</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(4)甲方每季度组织对乙方的管理能力、服务水平，菜肴质量和环境卫生进行综合测评，并负责设备的正常运转。</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(5)甲方加强就餐人员的管理，协助乙方维持食堂正常秩序。</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(6)甲方按月支付劳务服务费用。</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2、乙方的权利义务:</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(1)乙方须按照国家有关规定交纳所属员工的养老、医疗等各项保险，负责甲方食堂的菜谱制定、环境卫生，安全管理、就餐秩序等日常工作，按时供应甲方工作日早餐、午餐、加班工作餐和小餐厅接待(如因厨房设备自然损坏或突发损坏而无法按时供应的除外)，并接受甲方督查和管理。</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(2) 早餐烹制品种：面食（包子、馒头、花卷、烧麦、油条、烧饼、煎饼、面包、蛋挞、面条等）任配选3个品种；粥（白米粥、小米粥、皮蛋瘦肉粥、地瓜粥、银耳羹、红豆粥、荞麦粥等）配选2个品种；牛奶、酸奶、豆浆等配选2个品种；煮鸡蛋或煎荷包蛋、茶叶蛋等配选1个品种；杂粮1个品种、咸菜、炒菜各一份。</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中餐烹制品种：三荤三素，其中荤菜（猪肉、鸡肉、鹅肉、鸭肉、鱼虾类等）任配选3个品种（二个大荤，一个小荤）；蔬菜搭配菜任配选3份；粗粮任配选1个品种；主食：三种米饭；水果配选1个品种。</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晚餐烹制品种：三荤二素，其中荤菜（猪肉、鸡肉、鹅肉、鸭肉、鱼虾类等）任配选3个品种；蔬菜搭配菜任配选2个品种；面食（包子、馒头、花卷、烧麦、煎饼类、饺子、面条等）任配选2个品种；主食：白米饭、粥饭。</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(3)</w:t>
      </w:r>
      <w:r>
        <w:rPr>
          <w:rFonts w:hint="eastAsia" w:ascii="宋体" w:hAnsi="宋体"/>
          <w:sz w:val="24"/>
        </w:rPr>
        <w:t>具有提供加班工作餐和接待工作餐的服务能力。</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(4)制定菜谱：菜谱必须一周一订，每周四上报甲方管理人员，经审核后于下周执行，菜式品种和菜肴搭配必须根据甲方的预算并达到健康化、多样化和科学化。制定三个档次的接待家常菜谱，每个档次菜谱备选，并根据季节变化适时调整。</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(5)服务人员：服务人员不得少于12人，其中必须有经理或主厨1人，副厨1人，面点1人，切配2人，服务员7人。上述人员需具备卫生部门认可的从事餐饮服务行业的健康证明等。服务人员须气质佳、举止端正。</w:t>
      </w:r>
      <w:r>
        <w:rPr>
          <w:rFonts w:hint="eastAsia" w:ascii="宋体" w:hAnsi="宋体"/>
          <w:sz w:val="24"/>
        </w:rPr>
        <w:t>如甲方有更换厨师或其他人员需求，乙方需在一周内落实到位。</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(6)乙方负责食堂环境卫生，按照《食堂卫生管理制度》的要求，认真督促食堂员工讲究个人卫生，上班时穿工作服、戴工作帽和口罩;就餐时安排专人随时打扫餐桌和地面卫生;餐后及时清洗食具并做好消毒工作，打扫餐厅和楼道等场所环境卫生，确保环境整洁，物品有序。</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(7)乙方负责食堂安全管理，乙方要严格执行《食品卫生管理法》，把好饭菜质量关，经常查看储存食品，防止腐烂变质，防止传染病和食物中毒事故发生。做好防火、消毒、用电等日常安全工作，制定《天然气使用操作流程》并严格执行，确保万无一失。上岗员工必须均已持健康和卫生许可证，并按照卫生防疫部门要求定期体检，取得健康合格证明，并公示以便监督检查。</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(8)乙方负责做好服务场所内和甲方指定的公共场所的保洁、防火防盗、防恐、防食物中毒以及用电设备安全工作，签订安全责任状。对甲方提供的房屋及其他设备未经甲方同意不得擅自改造，爱护炉灶、冰箱与桌椅等设施设备，人为损坏或因使用不当造成损坏的，照价赔偿。</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(9)乙方负责就餐秩序管理。乙方要认真学习甲方制定的《机关食堂管理规定》(试行)，每餐安排专人查验就餐人员的消费记录或就餐卡(券)，保证良好的就餐秩序。</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(10)禁止将食堂内物品带出本院，严禁将调料物品带进本院食堂。</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(11)乙方要服从甲方的临时加班安排。</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三、 结算方式</w:t>
      </w:r>
    </w:p>
    <w:p>
      <w:pPr>
        <w:autoSpaceDE w:val="0"/>
        <w:autoSpaceDN w:val="0"/>
        <w:adjustRightInd w:val="0"/>
        <w:spacing w:line="500" w:lineRule="exact"/>
        <w:ind w:firstLine="480"/>
        <w:jc w:val="left"/>
        <w:rPr>
          <w:rFonts w:ascii="宋体" w:hAnsi="宋体" w:cs="宋体"/>
          <w:sz w:val="24"/>
          <w:szCs w:val="24"/>
        </w:rPr>
      </w:pPr>
      <w:r>
        <w:rPr>
          <w:rFonts w:hint="eastAsia" w:ascii="宋体" w:hAnsi="宋体" w:cs="宋体"/>
          <w:sz w:val="24"/>
          <w:szCs w:val="24"/>
        </w:rPr>
        <w:t>甲方支付乙方劳务服务费用为每年</w:t>
      </w:r>
      <w:r>
        <w:rPr>
          <w:rFonts w:hint="eastAsia" w:ascii="宋体" w:hAnsi="宋体" w:cs="宋体"/>
          <w:sz w:val="24"/>
          <w:szCs w:val="24"/>
          <w:u w:val="single"/>
        </w:rPr>
        <w:t xml:space="preserve">      .00 </w:t>
      </w:r>
      <w:r>
        <w:rPr>
          <w:rFonts w:hint="eastAsia" w:ascii="宋体" w:hAnsi="宋体" w:cs="宋体"/>
          <w:sz w:val="24"/>
          <w:szCs w:val="24"/>
        </w:rPr>
        <w:t>元整（含税），</w:t>
      </w:r>
      <w:r>
        <w:rPr>
          <w:rFonts w:hint="eastAsia" w:ascii="宋体" w:hAnsi="宋体" w:cs="宋体"/>
          <w:color w:val="FF0000"/>
          <w:sz w:val="24"/>
          <w:szCs w:val="24"/>
        </w:rPr>
        <w:t>该费用中已包含所属员工的各项社保。</w:t>
      </w:r>
      <w:r>
        <w:rPr>
          <w:rFonts w:ascii="宋体" w:hAnsi="宋体" w:cs="宋体"/>
          <w:color w:val="FF0000"/>
          <w:sz w:val="24"/>
        </w:rPr>
        <w:t>合同签订后，甲方支付合同总价的</w:t>
      </w:r>
      <w:r>
        <w:rPr>
          <w:rFonts w:hint="eastAsia" w:ascii="宋体" w:hAnsi="宋体" w:cs="宋体"/>
          <w:color w:val="FF0000"/>
          <w:sz w:val="24"/>
          <w:lang w:val="en-US" w:eastAsia="zh-CN"/>
        </w:rPr>
        <w:t>30</w:t>
      </w:r>
      <w:r>
        <w:rPr>
          <w:rFonts w:ascii="宋体" w:hAnsi="宋体" w:cs="宋体"/>
          <w:color w:val="FF0000"/>
          <w:sz w:val="24"/>
        </w:rPr>
        <w:t>%作为预付款，乙方须提供相应的增值税发票</w:t>
      </w:r>
      <w:r>
        <w:rPr>
          <w:rFonts w:hint="eastAsia" w:ascii="宋体" w:hAnsi="宋体" w:eastAsia="宋体" w:cs="宋体"/>
          <w:color w:val="FF0000"/>
          <w:sz w:val="24"/>
          <w:lang w:eastAsia="zh-CN"/>
        </w:rPr>
        <w:t>，</w:t>
      </w:r>
      <w:r>
        <w:rPr>
          <w:rFonts w:hint="eastAsia" w:ascii="宋体" w:hAnsi="宋体" w:cs="宋体"/>
          <w:color w:val="FF0000"/>
          <w:sz w:val="24"/>
        </w:rPr>
        <w:t>剩余70%的</w:t>
      </w:r>
      <w:r>
        <w:rPr>
          <w:rFonts w:hint="eastAsia" w:ascii="宋体" w:hAnsi="宋体" w:cs="宋体"/>
          <w:color w:val="FF0000"/>
          <w:sz w:val="24"/>
          <w:szCs w:val="24"/>
        </w:rPr>
        <w:t>服务费</w:t>
      </w:r>
      <w:r>
        <w:rPr>
          <w:rFonts w:hint="eastAsia" w:ascii="宋体" w:hAnsi="宋体" w:cs="宋体"/>
          <w:sz w:val="24"/>
          <w:szCs w:val="24"/>
        </w:rPr>
        <w:t>为按月转账支付，每月25日前乙方将中标服务费的1/12的发票提供给甲方，甲方按时通过银行将服务费支付给乙方。服务费均通过银行结算。</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四、违约责任</w:t>
      </w:r>
    </w:p>
    <w:p>
      <w:pPr>
        <w:pStyle w:val="34"/>
        <w:keepNext w:val="0"/>
        <w:keepLines w:val="0"/>
        <w:pageBreakBefore w:val="0"/>
        <w:widowControl w:val="0"/>
        <w:spacing w:beforeAutospacing="0" w:afterAutospacing="0" w:line="540" w:lineRule="exact"/>
        <w:ind w:firstLine="480" w:firstLineChars="200"/>
        <w:jc w:val="both"/>
        <w:rPr>
          <w:rFonts w:hint="eastAsia" w:ascii="宋体" w:hAnsi="宋体" w:cs="宋体"/>
          <w:sz w:val="24"/>
          <w:szCs w:val="24"/>
        </w:rPr>
      </w:pPr>
      <w:r>
        <w:rPr>
          <w:rFonts w:hint="default" w:ascii="宋体" w:hAnsi="宋体" w:cs="宋体"/>
          <w:sz w:val="24"/>
          <w:szCs w:val="24"/>
          <w:lang w:val="en-US"/>
        </w:rPr>
        <w:t>4.1</w:t>
      </w:r>
      <w:r>
        <w:rPr>
          <w:rFonts w:hint="eastAsia" w:ascii="宋体" w:hAnsi="宋体" w:cs="宋体"/>
          <w:sz w:val="24"/>
          <w:szCs w:val="24"/>
        </w:rPr>
        <w:t>乙方与甲方签定合同时需向甲方缴纳</w:t>
      </w:r>
      <w:r>
        <w:rPr>
          <w:rFonts w:hint="eastAsia" w:ascii="宋体" w:hAnsi="宋体" w:cs="宋体"/>
          <w:sz w:val="24"/>
          <w:szCs w:val="24"/>
          <w:u w:val="single"/>
        </w:rPr>
        <w:t xml:space="preserve">       </w:t>
      </w:r>
      <w:r>
        <w:rPr>
          <w:rFonts w:hint="eastAsia" w:ascii="宋体" w:hAnsi="宋体" w:cs="宋体"/>
          <w:sz w:val="24"/>
          <w:szCs w:val="24"/>
        </w:rPr>
        <w:t>万元履约保证金，否则不予签定合同，并作废标处理。在承包期限满后，根据合同履行和考核结果无息退还。乙方在经营过程中必须服从甲方管理人员的管理，必须确保人员安全、菜肴安全、财产安全等，否则均由乙方负责处理并承担一切费用，甲方不承担任何责任</w:t>
      </w:r>
      <w:r>
        <w:rPr>
          <w:rFonts w:hint="eastAsia" w:ascii="宋体" w:hAnsi="宋体" w:eastAsia="宋体" w:cs="宋体"/>
          <w:sz w:val="24"/>
          <w:szCs w:val="24"/>
          <w:lang w:eastAsia="zh-CN"/>
        </w:rPr>
        <w:t>，</w:t>
      </w:r>
      <w:r>
        <w:rPr>
          <w:rFonts w:hint="eastAsia" w:ascii="宋体" w:hAnsi="宋体" w:cs="宋体"/>
          <w:sz w:val="24"/>
          <w:szCs w:val="24"/>
        </w:rPr>
        <w:t>乙方具有AA评级及以上信用管理部门备案的第三方信用报告，可降低履约保证金缴纳比例，履约保证金调整为中标价的5%。</w:t>
      </w:r>
    </w:p>
    <w:p>
      <w:pPr>
        <w:pStyle w:val="34"/>
        <w:keepNext w:val="0"/>
        <w:keepLines w:val="0"/>
        <w:pageBreakBefore w:val="0"/>
        <w:widowControl w:val="0"/>
        <w:spacing w:beforeAutospacing="0" w:afterAutospacing="0" w:line="540" w:lineRule="exact"/>
        <w:ind w:firstLine="480" w:firstLineChars="200"/>
        <w:jc w:val="both"/>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w:t>4.2</w:t>
      </w:r>
      <w:r>
        <w:rPr>
          <w:rFonts w:hint="eastAsia" w:ascii="宋体" w:hAnsi="宋体" w:eastAsia="宋体" w:cs="宋体"/>
          <w:color w:val="auto"/>
          <w:sz w:val="24"/>
          <w:szCs w:val="24"/>
          <w:highlight w:val="none"/>
        </w:rPr>
        <w:t xml:space="preserve">确需收取履约保证金的，履约保证金的缴纳形式： </w:t>
      </w:r>
    </w:p>
    <w:p>
      <w:pPr>
        <w:pStyle w:val="34"/>
        <w:keepNext w:val="0"/>
        <w:keepLines w:val="0"/>
        <w:pageBreakBefore w:val="0"/>
        <w:widowControl w:val="0"/>
        <w:spacing w:beforeAutospacing="0" w:afterAutospacing="0" w:line="540" w:lineRule="exact"/>
        <w:ind w:firstLine="480" w:firstLineChars="200"/>
        <w:jc w:val="both"/>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w:t>4.2.1</w:t>
      </w:r>
      <w:r>
        <w:rPr>
          <w:rFonts w:hint="eastAsia" w:ascii="宋体" w:hAnsi="宋体" w:eastAsia="宋体" w:cs="宋体"/>
          <w:color w:val="auto"/>
          <w:sz w:val="24"/>
          <w:szCs w:val="24"/>
          <w:highlight w:val="none"/>
        </w:rPr>
        <w:t xml:space="preserve">乙方应当以支票、汇票、本票或者金融机构、担保机构出具的保函等非现金形式提交履约保证金。依据《关于在全省政府采购领域推行电子履约保函（保险）的通知》，鼓励供应商自愿使用电子履约保函（保险）代替缴纳履约保证金。 </w:t>
      </w:r>
    </w:p>
    <w:p>
      <w:pPr>
        <w:autoSpaceDE w:val="0"/>
        <w:autoSpaceDN w:val="0"/>
        <w:adjustRightInd w:val="0"/>
        <w:spacing w:line="500" w:lineRule="exact"/>
        <w:ind w:firstLine="480"/>
        <w:rPr>
          <w:rFonts w:hint="eastAsia" w:ascii="宋体" w:hAnsi="宋体" w:eastAsia="宋体" w:cs="宋体"/>
          <w:sz w:val="24"/>
          <w:szCs w:val="24"/>
          <w:lang w:eastAsia="zh-CN"/>
        </w:rPr>
      </w:pPr>
      <w:r>
        <w:rPr>
          <w:rFonts w:hint="default" w:ascii="宋体" w:hAnsi="宋体" w:eastAsia="宋体" w:cs="宋体"/>
          <w:color w:val="auto"/>
          <w:sz w:val="24"/>
          <w:szCs w:val="24"/>
          <w:highlight w:val="none"/>
          <w:lang w:val="en-US"/>
        </w:rPr>
        <w:t>4</w:t>
      </w:r>
      <w:r>
        <w:rPr>
          <w:rFonts w:hint="eastAsia" w:ascii="宋体" w:hAnsi="宋体" w:eastAsia="宋体" w:cs="宋体"/>
          <w:color w:val="auto"/>
          <w:sz w:val="24"/>
          <w:szCs w:val="24"/>
          <w:highlight w:val="none"/>
        </w:rPr>
        <w:t>.2.2 如以履约保函（保险）形式缴纳履约保证金，乙方可通过政府采购电子履约保函（保险）平台（www.jsdzbh.com）在线申请履约保函（保险）。</w:t>
      </w:r>
    </w:p>
    <w:p>
      <w:pPr>
        <w:autoSpaceDE w:val="0"/>
        <w:autoSpaceDN w:val="0"/>
        <w:adjustRightInd w:val="0"/>
        <w:spacing w:line="500" w:lineRule="exact"/>
        <w:ind w:firstLine="480"/>
        <w:rPr>
          <w:rFonts w:ascii="宋体" w:hAnsi="宋体" w:cs="宋体"/>
          <w:sz w:val="24"/>
          <w:szCs w:val="24"/>
        </w:rPr>
      </w:pPr>
      <w:r>
        <w:rPr>
          <w:rFonts w:hint="default" w:ascii="宋体" w:hAnsi="宋体" w:cs="宋体"/>
          <w:sz w:val="24"/>
          <w:szCs w:val="24"/>
          <w:lang w:val="en-US"/>
        </w:rPr>
        <w:t>4.3</w:t>
      </w:r>
      <w:r>
        <w:rPr>
          <w:rFonts w:hint="eastAsia" w:ascii="宋体" w:hAnsi="宋体" w:cs="宋体"/>
          <w:sz w:val="24"/>
          <w:szCs w:val="24"/>
        </w:rPr>
        <w:t>甲方将实行就餐人脸识别及刷卡制，监督任务由乙方负责。</w:t>
      </w:r>
    </w:p>
    <w:p>
      <w:pPr>
        <w:autoSpaceDE w:val="0"/>
        <w:autoSpaceDN w:val="0"/>
        <w:adjustRightInd w:val="0"/>
        <w:spacing w:line="500" w:lineRule="exact"/>
        <w:ind w:firstLine="480"/>
        <w:rPr>
          <w:rFonts w:ascii="宋体" w:hAnsi="宋体" w:cs="宋体"/>
          <w:sz w:val="24"/>
          <w:szCs w:val="24"/>
        </w:rPr>
      </w:pPr>
      <w:r>
        <w:rPr>
          <w:rFonts w:hint="default" w:ascii="宋体" w:hAnsi="宋体" w:cs="宋体"/>
          <w:sz w:val="24"/>
          <w:szCs w:val="24"/>
          <w:lang w:val="en-US"/>
        </w:rPr>
        <w:t>4.4</w:t>
      </w:r>
      <w:r>
        <w:rPr>
          <w:rFonts w:hint="eastAsia" w:ascii="宋体" w:hAnsi="宋体" w:cs="宋体"/>
          <w:sz w:val="24"/>
          <w:szCs w:val="24"/>
        </w:rPr>
        <w:t>乙方离开工作岗位不及时关闭电源、水源的，查实每人次扣乙方人民币500元;不按《天然气使用操作流程》操作的发现一次扣乙方人民币1000元。</w:t>
      </w:r>
    </w:p>
    <w:p>
      <w:pPr>
        <w:autoSpaceDE w:val="0"/>
        <w:autoSpaceDN w:val="0"/>
        <w:adjustRightInd w:val="0"/>
        <w:spacing w:line="500" w:lineRule="exact"/>
        <w:ind w:firstLine="480"/>
        <w:rPr>
          <w:rFonts w:ascii="宋体" w:hAnsi="宋体" w:cs="宋体"/>
          <w:sz w:val="24"/>
          <w:szCs w:val="24"/>
        </w:rPr>
      </w:pPr>
      <w:r>
        <w:rPr>
          <w:rFonts w:hint="default" w:ascii="宋体" w:hAnsi="宋体" w:cs="宋体"/>
          <w:sz w:val="24"/>
          <w:szCs w:val="24"/>
          <w:lang w:val="en-US"/>
        </w:rPr>
        <w:t>4.5</w:t>
      </w:r>
      <w:r>
        <w:rPr>
          <w:rFonts w:hint="eastAsia" w:ascii="宋体" w:hAnsi="宋体" w:cs="宋体"/>
          <w:sz w:val="24"/>
          <w:szCs w:val="24"/>
        </w:rPr>
        <w:t xml:space="preserve"> 乙方未按照《食堂卫生管理制度》要求进行卫生保洁的，有一次扣乙方人民币当月管理费的5%，并责令整改连续二次卫生保洁不符合要求的，直接扣除乙方当月管理费，发现工作人员上班时不穿工作服和平跟鞋的，不戴工作帽和口罩的，有一人次扣乙方人民币当月管理费的5%。</w:t>
      </w:r>
    </w:p>
    <w:p>
      <w:pPr>
        <w:autoSpaceDE w:val="0"/>
        <w:autoSpaceDN w:val="0"/>
        <w:adjustRightInd w:val="0"/>
        <w:spacing w:line="500" w:lineRule="exact"/>
        <w:ind w:firstLine="480"/>
        <w:rPr>
          <w:rFonts w:ascii="宋体" w:hAnsi="宋体" w:cs="宋体"/>
          <w:sz w:val="24"/>
          <w:szCs w:val="24"/>
        </w:rPr>
      </w:pPr>
      <w:r>
        <w:rPr>
          <w:rFonts w:hint="default" w:ascii="宋体" w:hAnsi="宋体" w:cs="宋体"/>
          <w:sz w:val="24"/>
          <w:szCs w:val="24"/>
          <w:lang w:val="en-US"/>
        </w:rPr>
        <w:t>4.6</w:t>
      </w:r>
      <w:r>
        <w:rPr>
          <w:rFonts w:hint="eastAsia" w:ascii="宋体" w:hAnsi="宋体" w:cs="宋体"/>
          <w:sz w:val="24"/>
          <w:szCs w:val="24"/>
        </w:rPr>
        <w:t>甲方发现乙方在服务期内擅自从食堂内私自带出物品的每人次扣2000元，发现两次以上的，甲方有权立即终止劳务服务协议。</w:t>
      </w:r>
    </w:p>
    <w:p>
      <w:pPr>
        <w:autoSpaceDE w:val="0"/>
        <w:autoSpaceDN w:val="0"/>
        <w:adjustRightInd w:val="0"/>
        <w:spacing w:line="500" w:lineRule="exact"/>
        <w:ind w:firstLine="480"/>
        <w:rPr>
          <w:rFonts w:ascii="宋体" w:hAnsi="宋体" w:cs="宋体"/>
          <w:sz w:val="24"/>
          <w:szCs w:val="24"/>
        </w:rPr>
      </w:pPr>
      <w:r>
        <w:rPr>
          <w:rFonts w:hint="default" w:ascii="宋体" w:hAnsi="宋体" w:cs="宋体"/>
          <w:sz w:val="24"/>
          <w:szCs w:val="24"/>
          <w:lang w:val="en-US"/>
        </w:rPr>
        <w:t>4.7</w:t>
      </w:r>
      <w:r>
        <w:rPr>
          <w:rFonts w:hint="eastAsia" w:ascii="宋体" w:hAnsi="宋体" w:cs="宋体"/>
          <w:sz w:val="24"/>
          <w:szCs w:val="24"/>
        </w:rPr>
        <w:t>劳务服务期间，出现就餐人员食物中毒或发生天然气泄漏等重大安全事故的，查实原因是乙方管理不到位引起的，乙方承担全部赔偿责任，并立即终止劳务服务协议。</w:t>
      </w:r>
    </w:p>
    <w:p>
      <w:pPr>
        <w:autoSpaceDE w:val="0"/>
        <w:autoSpaceDN w:val="0"/>
        <w:adjustRightInd w:val="0"/>
        <w:spacing w:line="500" w:lineRule="exact"/>
        <w:ind w:firstLine="480"/>
        <w:rPr>
          <w:rFonts w:ascii="宋体" w:hAnsi="宋体" w:cs="宋体"/>
          <w:sz w:val="24"/>
          <w:szCs w:val="24"/>
        </w:rPr>
      </w:pPr>
      <w:r>
        <w:rPr>
          <w:rFonts w:hint="default" w:ascii="宋体" w:hAnsi="宋体" w:cs="宋体"/>
          <w:sz w:val="24"/>
          <w:szCs w:val="24"/>
          <w:lang w:val="en-US"/>
        </w:rPr>
        <w:t>4.8</w:t>
      </w:r>
      <w:r>
        <w:rPr>
          <w:rFonts w:hint="eastAsia" w:ascii="宋体" w:hAnsi="宋体" w:cs="宋体"/>
          <w:sz w:val="24"/>
          <w:szCs w:val="24"/>
        </w:rPr>
        <w:t>乙方违约发生的费用在甲方每月支付乙方的劳务承包费用中扣减。</w:t>
      </w:r>
    </w:p>
    <w:p>
      <w:pPr>
        <w:autoSpaceDE w:val="0"/>
        <w:autoSpaceDN w:val="0"/>
        <w:adjustRightInd w:val="0"/>
        <w:spacing w:line="500" w:lineRule="exact"/>
        <w:ind w:firstLine="480"/>
        <w:rPr>
          <w:rFonts w:ascii="宋体" w:hAnsi="宋体" w:cs="宋体"/>
          <w:sz w:val="24"/>
          <w:szCs w:val="24"/>
        </w:rPr>
      </w:pPr>
      <w:r>
        <w:rPr>
          <w:rFonts w:hint="default" w:ascii="宋体" w:hAnsi="宋体" w:cs="宋体"/>
          <w:sz w:val="24"/>
          <w:szCs w:val="24"/>
          <w:lang w:val="en-US"/>
        </w:rPr>
        <w:t>4.9</w:t>
      </w:r>
      <w:r>
        <w:rPr>
          <w:rFonts w:hint="eastAsia" w:ascii="宋体" w:hAnsi="宋体" w:cs="宋体"/>
          <w:sz w:val="24"/>
          <w:szCs w:val="24"/>
        </w:rPr>
        <w:t>乙方不得委托他人或变相转包经营。如违约，采购人将终止合同，并没收履约保证金。</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五、考核办法</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5.1按甲方制定的考核办法对乙方进行考核。</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5.2甲方牵头组织对食堂、餐厅的菜肴质量与服务水平分别进行测评，按月度考核，管理考核综合满意率低于80%为不合格。如服务期限内连续两次或累计三次考核不合格，则甲方有权终止合同,扣除履约保证金，乙方无条件退场。</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5.3如遇接待活动，乙方服务保障工作出现失误或服务不到位，视情节轻重每出现一次对乙方处500-1000元罚款。</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5.4乙方需按甲方要求及其投标文件承诺的食堂配备人数配备到位，甲方将随时抽查，若发现配备不到位，每少一位处以500元/次罚款，从服务费中直接扣除。</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5.5服务期限间，乙方有下列行为之一的，甲方有权扣除履约保证金并解除合同；由此造成甲方损失的，乙方还须承担赔偿责任:</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5.5.1 乙方故意规避甲方的监督，使甲方无法有效监督乙方服务的。</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5.5.2 发生损害甲方单位形象的行为或者影响甲方单位正常管理秩序的。</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5.5.3 如因乙方服务工作不到位，多次被甲方领导点名批评的。</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5.5.4 不服从甲方管理，导致服务质量下降，造成较大负面影响的。</w:t>
      </w:r>
    </w:p>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rPr>
        <w:t>5.5.5 发生食品安全、环保、消防、卫生等方面事故的。</w:t>
      </w:r>
    </w:p>
    <w:p>
      <w:pPr>
        <w:autoSpaceDE w:val="0"/>
        <w:autoSpaceDN w:val="0"/>
        <w:adjustRightInd w:val="0"/>
        <w:spacing w:line="500" w:lineRule="exact"/>
        <w:ind w:firstLine="480"/>
        <w:rPr>
          <w:rFonts w:hint="eastAsia" w:ascii="宋体" w:hAnsi="宋体" w:cs="宋体"/>
          <w:sz w:val="24"/>
          <w:szCs w:val="24"/>
        </w:rPr>
      </w:pPr>
      <w:bookmarkStart w:id="190" w:name="_GoBack"/>
      <w:r>
        <w:rPr>
          <w:rFonts w:hint="eastAsia" w:ascii="宋体" w:hAnsi="宋体" w:cs="宋体"/>
          <w:sz w:val="24"/>
          <w:szCs w:val="24"/>
          <w:lang w:val="en-US" w:eastAsia="zh-CN"/>
        </w:rPr>
        <w:t>六、</w:t>
      </w:r>
      <w:r>
        <w:rPr>
          <w:rFonts w:hint="eastAsia" w:ascii="宋体" w:hAnsi="宋体" w:cs="宋体"/>
          <w:sz w:val="24"/>
          <w:szCs w:val="24"/>
        </w:rPr>
        <w:t>政府采购履约资金扶持政策</w:t>
      </w:r>
    </w:p>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lang w:val="en-US" w:eastAsia="zh-CN"/>
        </w:rPr>
        <w:t>七、</w:t>
      </w:r>
      <w:r>
        <w:rPr>
          <w:rFonts w:hint="eastAsia" w:ascii="宋体" w:hAnsi="宋体" w:cs="宋体"/>
          <w:sz w:val="24"/>
          <w:szCs w:val="24"/>
        </w:rPr>
        <w:t xml:space="preserve">其他 </w:t>
      </w:r>
    </w:p>
    <w:p>
      <w:pPr>
        <w:autoSpaceDE w:val="0"/>
        <w:autoSpaceDN w:val="0"/>
        <w:adjustRightInd w:val="0"/>
        <w:spacing w:line="500" w:lineRule="exact"/>
        <w:ind w:firstLine="480"/>
        <w:rPr>
          <w:rFonts w:hint="eastAsia" w:ascii="宋体" w:hAnsi="宋体" w:cs="宋体"/>
          <w:sz w:val="24"/>
          <w:szCs w:val="24"/>
        </w:rPr>
      </w:pPr>
      <w:r>
        <w:rPr>
          <w:rFonts w:hint="default" w:ascii="宋体" w:hAnsi="宋体" w:cs="宋体"/>
          <w:sz w:val="24"/>
          <w:szCs w:val="24"/>
          <w:lang w:val="en-US"/>
        </w:rPr>
        <w:t>7.1</w:t>
      </w:r>
      <w:r>
        <w:rPr>
          <w:rFonts w:hint="eastAsia" w:ascii="宋体" w:hAnsi="宋体" w:cs="宋体"/>
          <w:sz w:val="24"/>
          <w:szCs w:val="24"/>
        </w:rPr>
        <w:t xml:space="preserve">供应商对于投标产品的商品包装、快递包装应按照《关于印发《商品包装政府采购需求标准（试行）》、《快递包装政府采购需求标准（试行）》的通知》（财办库〔2020〕123号）执行。 </w:t>
      </w:r>
    </w:p>
    <w:p>
      <w:pPr>
        <w:autoSpaceDE w:val="0"/>
        <w:autoSpaceDN w:val="0"/>
        <w:adjustRightInd w:val="0"/>
        <w:spacing w:line="500" w:lineRule="exact"/>
        <w:ind w:firstLine="480"/>
        <w:rPr>
          <w:rFonts w:hint="eastAsia" w:ascii="宋体" w:hAnsi="宋体" w:cs="宋体"/>
          <w:sz w:val="24"/>
          <w:szCs w:val="24"/>
        </w:rPr>
      </w:pPr>
      <w:r>
        <w:rPr>
          <w:rFonts w:hint="default" w:ascii="宋体" w:hAnsi="宋体" w:cs="宋体"/>
          <w:sz w:val="24"/>
          <w:szCs w:val="24"/>
          <w:lang w:val="en-US"/>
        </w:rPr>
        <w:t>7.2</w:t>
      </w:r>
      <w:r>
        <w:rPr>
          <w:rFonts w:hint="eastAsia" w:ascii="宋体" w:hAnsi="宋体" w:cs="宋体"/>
          <w:sz w:val="24"/>
          <w:szCs w:val="24"/>
        </w:rPr>
        <w:t xml:space="preserve">本文件中若涉及到数据中心采购，应按照《&lt;绿色数据中心政府采购需求标准（试行）&gt;的通知》（财库〔2023〕7号）执行。 </w:t>
      </w:r>
    </w:p>
    <w:p>
      <w:pPr>
        <w:autoSpaceDE w:val="0"/>
        <w:autoSpaceDN w:val="0"/>
        <w:adjustRightInd w:val="0"/>
        <w:spacing w:line="500" w:lineRule="exact"/>
        <w:ind w:firstLine="480"/>
        <w:rPr>
          <w:rFonts w:hint="eastAsia" w:ascii="宋体" w:hAnsi="宋体" w:cs="宋体"/>
          <w:sz w:val="24"/>
          <w:szCs w:val="24"/>
        </w:rPr>
      </w:pPr>
      <w:r>
        <w:rPr>
          <w:rFonts w:hint="default" w:ascii="宋体" w:hAnsi="宋体" w:cs="宋体"/>
          <w:sz w:val="24"/>
          <w:szCs w:val="24"/>
          <w:lang w:val="en-US"/>
        </w:rPr>
        <w:t>7.3</w:t>
      </w:r>
      <w:r>
        <w:rPr>
          <w:rFonts w:hint="eastAsia" w:ascii="宋体" w:hAnsi="宋体" w:cs="宋体"/>
          <w:sz w:val="24"/>
          <w:szCs w:val="24"/>
        </w:rPr>
        <w:t xml:space="preserve">本项目落实预付款制度，预付款比例为30%。在签订合同时，中标、成交供应商明确书面表示无需预付款或者主动要求降低预付款比例的，采购人可就预付款比例作相应调整。 </w:t>
      </w:r>
    </w:p>
    <w:p>
      <w:pPr>
        <w:autoSpaceDE w:val="0"/>
        <w:autoSpaceDN w:val="0"/>
        <w:adjustRightInd w:val="0"/>
        <w:spacing w:line="500" w:lineRule="exact"/>
        <w:ind w:firstLine="480"/>
        <w:rPr>
          <w:rFonts w:hint="eastAsia" w:ascii="宋体" w:hAnsi="宋体" w:cs="宋体"/>
          <w:sz w:val="24"/>
          <w:szCs w:val="24"/>
        </w:rPr>
      </w:pPr>
      <w:r>
        <w:rPr>
          <w:rFonts w:hint="default" w:ascii="宋体" w:hAnsi="宋体" w:cs="宋体"/>
          <w:sz w:val="24"/>
          <w:szCs w:val="24"/>
          <w:lang w:val="en-US"/>
        </w:rPr>
        <w:t>7.4</w:t>
      </w:r>
      <w:r>
        <w:rPr>
          <w:rFonts w:hint="eastAsia" w:ascii="宋体" w:hAnsi="宋体" w:cs="宋体"/>
          <w:sz w:val="24"/>
          <w:szCs w:val="24"/>
        </w:rPr>
        <w:t xml:space="preserve">确需收取履约保证金的，履约保证金的缴纳形式： </w:t>
      </w:r>
    </w:p>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p>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rPr>
        <w:t xml:space="preserve">如以履约保函（保险）形式缴纳履约保证金，供应商可通过政府采购电子履约保函（保险）平台（www.jsdzbh.com）在线申请履约保函（保险）。 </w:t>
      </w:r>
    </w:p>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bookmarkEnd w:id="190"/>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lang w:val="en-US" w:eastAsia="zh-CN"/>
        </w:rPr>
        <w:t>八</w:t>
      </w:r>
      <w:r>
        <w:rPr>
          <w:rFonts w:hint="eastAsia" w:ascii="宋体" w:hAnsi="宋体" w:cs="宋体"/>
          <w:sz w:val="24"/>
          <w:szCs w:val="24"/>
        </w:rPr>
        <w:t>、协议期限</w:t>
      </w:r>
    </w:p>
    <w:p>
      <w:pPr>
        <w:autoSpaceDE w:val="0"/>
        <w:autoSpaceDN w:val="0"/>
        <w:adjustRightInd w:val="0"/>
        <w:spacing w:line="500" w:lineRule="exact"/>
        <w:ind w:firstLine="480"/>
        <w:rPr>
          <w:rFonts w:hint="eastAsia" w:ascii="宋体" w:hAnsi="宋体" w:cs="宋体"/>
          <w:sz w:val="24"/>
          <w:szCs w:val="24"/>
        </w:rPr>
      </w:pPr>
      <w:r>
        <w:rPr>
          <w:rFonts w:hint="eastAsia" w:ascii="宋体" w:hAnsi="宋体" w:cs="宋体"/>
          <w:sz w:val="24"/>
          <w:szCs w:val="24"/>
        </w:rPr>
        <w:t xml:space="preserve">甲乙双方合作期限为 </w:t>
      </w:r>
      <w:r>
        <w:rPr>
          <w:rFonts w:hint="default" w:ascii="宋体" w:hAnsi="宋体" w:cs="宋体"/>
          <w:sz w:val="24"/>
          <w:szCs w:val="24"/>
          <w:lang w:val="en-US"/>
        </w:rPr>
        <w:t xml:space="preserve">  </w:t>
      </w:r>
      <w:r>
        <w:rPr>
          <w:rFonts w:hint="eastAsia" w:ascii="宋体" w:hAnsi="宋体" w:cs="宋体"/>
          <w:sz w:val="24"/>
          <w:szCs w:val="24"/>
        </w:rPr>
        <w:t>年，自202 年</w:t>
      </w:r>
      <w:r>
        <w:rPr>
          <w:rFonts w:hint="default" w:ascii="宋体" w:hAnsi="宋体" w:cs="宋体"/>
          <w:sz w:val="24"/>
          <w:szCs w:val="24"/>
          <w:lang w:val="en-US"/>
        </w:rPr>
        <w:t xml:space="preserve">  </w:t>
      </w:r>
      <w:r>
        <w:rPr>
          <w:rFonts w:hint="eastAsia" w:ascii="宋体" w:hAnsi="宋体" w:cs="宋体"/>
          <w:sz w:val="24"/>
          <w:szCs w:val="24"/>
        </w:rPr>
        <w:t>月</w:t>
      </w:r>
      <w:r>
        <w:rPr>
          <w:rFonts w:hint="default" w:ascii="宋体" w:hAnsi="宋体" w:cs="宋体"/>
          <w:sz w:val="24"/>
          <w:szCs w:val="24"/>
          <w:lang w:val="en-US"/>
        </w:rPr>
        <w:t xml:space="preserve">  </w:t>
      </w:r>
      <w:r>
        <w:rPr>
          <w:rFonts w:hint="eastAsia" w:ascii="宋体" w:hAnsi="宋体" w:cs="宋体"/>
          <w:sz w:val="24"/>
          <w:szCs w:val="24"/>
        </w:rPr>
        <w:t>日至202 年</w:t>
      </w:r>
      <w:r>
        <w:rPr>
          <w:rFonts w:hint="default" w:ascii="宋体" w:hAnsi="宋体" w:cs="宋体"/>
          <w:sz w:val="24"/>
          <w:szCs w:val="24"/>
          <w:lang w:val="en-US"/>
        </w:rPr>
        <w:t xml:space="preserve"> </w:t>
      </w:r>
      <w:r>
        <w:rPr>
          <w:rFonts w:hint="eastAsia" w:ascii="宋体" w:hAnsi="宋体" w:cs="宋体"/>
          <w:sz w:val="24"/>
          <w:szCs w:val="24"/>
        </w:rPr>
        <w:t>月</w:t>
      </w:r>
      <w:r>
        <w:rPr>
          <w:rFonts w:hint="default" w:ascii="宋体" w:hAnsi="宋体" w:cs="宋体"/>
          <w:sz w:val="24"/>
          <w:szCs w:val="24"/>
          <w:lang w:val="en-US"/>
        </w:rPr>
        <w:t xml:space="preserve">  </w:t>
      </w:r>
      <w:r>
        <w:rPr>
          <w:rFonts w:hint="eastAsia" w:ascii="宋体" w:hAnsi="宋体" w:cs="宋体"/>
          <w:sz w:val="24"/>
          <w:szCs w:val="24"/>
        </w:rPr>
        <w:t>日止。协议期满前一个月由甲方负责通过公开竞聘方式确定下一年度的劳务承包单位。</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本协议一式肆份，甲乙双方各执贰份，双方签章后生效。未尽事宜，双方协商解决。</w:t>
      </w:r>
    </w:p>
    <w:p>
      <w:pPr>
        <w:autoSpaceDE w:val="0"/>
        <w:autoSpaceDN w:val="0"/>
        <w:adjustRightInd w:val="0"/>
        <w:spacing w:line="500" w:lineRule="exact"/>
        <w:ind w:firstLine="480"/>
        <w:rPr>
          <w:rFonts w:ascii="宋体" w:hAnsi="宋体" w:cs="宋体"/>
          <w:sz w:val="24"/>
          <w:szCs w:val="24"/>
        </w:rPr>
      </w:pP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甲方（公章）：</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乙方（公章）：</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甲方代表(签字)：                      乙方代表（签字）：</w:t>
      </w:r>
    </w:p>
    <w:p>
      <w:pPr>
        <w:autoSpaceDE w:val="0"/>
        <w:autoSpaceDN w:val="0"/>
        <w:adjustRightInd w:val="0"/>
        <w:spacing w:line="500" w:lineRule="exact"/>
        <w:ind w:firstLine="480"/>
        <w:rPr>
          <w:rFonts w:ascii="宋体" w:hAnsi="宋体" w:cs="宋体"/>
          <w:sz w:val="24"/>
          <w:szCs w:val="24"/>
        </w:rPr>
      </w:pPr>
      <w:r>
        <w:rPr>
          <w:rFonts w:hint="eastAsia" w:ascii="宋体" w:hAnsi="宋体" w:cs="宋体"/>
          <w:sz w:val="24"/>
          <w:szCs w:val="24"/>
        </w:rPr>
        <w:t xml:space="preserve">  </w:t>
      </w:r>
    </w:p>
    <w:p>
      <w:pPr>
        <w:autoSpaceDE w:val="0"/>
        <w:autoSpaceDN w:val="0"/>
        <w:adjustRightInd w:val="0"/>
        <w:spacing w:line="500" w:lineRule="exact"/>
        <w:ind w:firstLine="960" w:firstLineChars="400"/>
        <w:rPr>
          <w:rFonts w:ascii="宋体" w:hAnsi="宋体" w:cs="宋体"/>
          <w:sz w:val="24"/>
          <w:szCs w:val="24"/>
        </w:rPr>
      </w:pPr>
      <w:r>
        <w:rPr>
          <w:rFonts w:hint="eastAsia" w:ascii="宋体" w:hAnsi="宋体" w:cs="宋体"/>
          <w:sz w:val="24"/>
          <w:szCs w:val="24"/>
        </w:rPr>
        <w:t>年   月   日                              年   月   日</w:t>
      </w:r>
    </w:p>
    <w:p>
      <w:pPr>
        <w:snapToGrid w:val="0"/>
        <w:spacing w:before="120" w:after="120" w:line="360" w:lineRule="auto"/>
        <w:jc w:val="center"/>
        <w:rPr>
          <w:rFonts w:hint="eastAsia" w:ascii="黑体" w:hAnsi="Times New Roman" w:eastAsia="黑体"/>
          <w:bCs/>
          <w:sz w:val="44"/>
          <w:highlight w:val="none"/>
        </w:rPr>
      </w:pPr>
      <w:r>
        <w:rPr>
          <w:rFonts w:hint="eastAsia" w:ascii="黑体" w:eastAsia="黑体"/>
          <w:bCs/>
          <w:color w:val="auto"/>
          <w:sz w:val="44"/>
          <w:highlight w:val="none"/>
        </w:rPr>
        <w:br w:type="page" w:clear="all"/>
      </w:r>
      <w:r>
        <w:rPr>
          <w:rFonts w:hint="eastAsia" w:ascii="黑体" w:hAnsi="Times New Roman" w:eastAsia="黑体"/>
          <w:bCs/>
          <w:sz w:val="44"/>
          <w:highlight w:val="none"/>
        </w:rPr>
        <w:t>第四章 项目需求</w:t>
      </w:r>
      <w:bookmarkStart w:id="167" w:name="_Toc120614281"/>
    </w:p>
    <w:p>
      <w:pPr>
        <w:pStyle w:val="36"/>
        <w:spacing w:line="500" w:lineRule="exact"/>
        <w:ind w:firstLine="280"/>
        <w:rPr>
          <w:rFonts w:ascii="宋体" w:hAnsi="宋体" w:eastAsia="宋体" w:cs="楷体"/>
          <w:sz w:val="24"/>
          <w:szCs w:val="21"/>
        </w:rPr>
      </w:pPr>
      <w:r>
        <w:rPr>
          <w:rFonts w:hint="eastAsia" w:ascii="宋体" w:hAnsi="宋体" w:eastAsia="宋体"/>
          <w:sz w:val="28"/>
          <w:szCs w:val="28"/>
        </w:rPr>
        <w:t xml:space="preserve"> </w:t>
      </w:r>
      <w:r>
        <w:rPr>
          <w:rFonts w:hint="eastAsia" w:ascii="宋体" w:hAnsi="宋体" w:eastAsia="宋体" w:cs="楷体"/>
          <w:sz w:val="24"/>
          <w:szCs w:val="21"/>
        </w:rPr>
        <w:t>1、服务范围：亭湖区法院食堂</w:t>
      </w:r>
    </w:p>
    <w:p>
      <w:pPr>
        <w:pStyle w:val="36"/>
        <w:spacing w:line="500" w:lineRule="exact"/>
        <w:ind w:firstLine="240"/>
        <w:rPr>
          <w:rFonts w:ascii="宋体" w:hAnsi="宋体" w:eastAsia="宋体" w:cs="楷体"/>
          <w:sz w:val="24"/>
          <w:szCs w:val="21"/>
        </w:rPr>
      </w:pPr>
      <w:r>
        <w:rPr>
          <w:rFonts w:hint="eastAsia" w:ascii="宋体" w:hAnsi="宋体" w:eastAsia="宋体" w:cs="楷体"/>
          <w:sz w:val="24"/>
          <w:szCs w:val="21"/>
        </w:rPr>
        <w:t xml:space="preserve">  2、服务要求：</w:t>
      </w:r>
    </w:p>
    <w:tbl>
      <w:tblPr>
        <w:tblStyle w:val="37"/>
        <w:tblW w:w="9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016"/>
        <w:gridCol w:w="7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9" w:hRule="atLeast"/>
          <w:jc w:val="center"/>
        </w:trPr>
        <w:tc>
          <w:tcPr>
            <w:tcW w:w="776" w:type="dxa"/>
            <w:vMerge w:val="restart"/>
            <w:vAlign w:val="center"/>
          </w:tcPr>
          <w:p>
            <w:pPr>
              <w:jc w:val="left"/>
              <w:rPr>
                <w:rFonts w:ascii="宋体" w:hAnsi="宋体" w:cs="宋体"/>
                <w:kern w:val="0"/>
                <w:sz w:val="21"/>
              </w:rPr>
            </w:pPr>
            <w:r>
              <w:rPr>
                <w:rFonts w:hint="eastAsia" w:ascii="宋体" w:hAnsi="宋体" w:cs="宋体"/>
                <w:kern w:val="0"/>
                <w:sz w:val="21"/>
              </w:rPr>
              <w:t>基本要求</w:t>
            </w:r>
          </w:p>
        </w:tc>
        <w:tc>
          <w:tcPr>
            <w:tcW w:w="1016" w:type="dxa"/>
            <w:vAlign w:val="center"/>
          </w:tcPr>
          <w:p>
            <w:pPr>
              <w:rPr>
                <w:rFonts w:ascii="宋体" w:hAnsi="宋体" w:cs="宋体"/>
                <w:kern w:val="0"/>
                <w:sz w:val="21"/>
              </w:rPr>
            </w:pPr>
            <w:r>
              <w:rPr>
                <w:rFonts w:hint="eastAsia" w:ascii="宋体" w:hAnsi="宋体" w:cs="宋体"/>
                <w:kern w:val="0"/>
                <w:sz w:val="21"/>
              </w:rPr>
              <w:t>基本要求</w:t>
            </w:r>
          </w:p>
        </w:tc>
        <w:tc>
          <w:tcPr>
            <w:tcW w:w="7271" w:type="dxa"/>
            <w:vAlign w:val="center"/>
          </w:tcPr>
          <w:p>
            <w:pPr>
              <w:rPr>
                <w:rFonts w:ascii="宋体" w:hAnsi="宋体" w:cs="宋体"/>
                <w:kern w:val="0"/>
                <w:sz w:val="21"/>
              </w:rPr>
            </w:pPr>
            <w:r>
              <w:rPr>
                <w:rFonts w:hint="eastAsia" w:ascii="宋体" w:hAnsi="宋体" w:cs="宋体"/>
                <w:kern w:val="0"/>
                <w:sz w:val="21"/>
              </w:rPr>
              <w:t>1、 为甲方食堂提供干警工作餐、公务接待餐、加班餐等。</w:t>
            </w:r>
          </w:p>
          <w:p>
            <w:pPr>
              <w:rPr>
                <w:rFonts w:ascii="宋体" w:hAnsi="宋体" w:cs="宋体"/>
                <w:kern w:val="0"/>
                <w:sz w:val="21"/>
              </w:rPr>
            </w:pPr>
            <w:r>
              <w:rPr>
                <w:rFonts w:hint="eastAsia" w:ascii="宋体" w:hAnsi="宋体" w:cs="宋体"/>
                <w:kern w:val="0"/>
                <w:sz w:val="21"/>
              </w:rPr>
              <w:t>2、 提供用餐人数：</w:t>
            </w:r>
            <w:r>
              <w:rPr>
                <w:rFonts w:ascii="宋体" w:hAnsi="宋体" w:cs="宋体"/>
                <w:kern w:val="0"/>
                <w:sz w:val="21"/>
              </w:rPr>
              <w:t>200</w:t>
            </w:r>
            <w:r>
              <w:rPr>
                <w:rFonts w:hint="eastAsia" w:ascii="宋体" w:hAnsi="宋体" w:cs="宋体"/>
                <w:kern w:val="0"/>
                <w:sz w:val="21"/>
              </w:rPr>
              <w:t>～</w:t>
            </w:r>
            <w:r>
              <w:rPr>
                <w:rFonts w:ascii="宋体" w:hAnsi="宋体" w:cs="宋体"/>
                <w:kern w:val="0"/>
                <w:sz w:val="21"/>
              </w:rPr>
              <w:t>25</w:t>
            </w:r>
            <w:r>
              <w:rPr>
                <w:rFonts w:hint="eastAsia" w:ascii="宋体" w:hAnsi="宋体" w:cs="宋体"/>
                <w:kern w:val="0"/>
                <w:sz w:val="21"/>
              </w:rPr>
              <w:t>0人。</w:t>
            </w:r>
          </w:p>
          <w:p>
            <w:pPr>
              <w:rPr>
                <w:rFonts w:ascii="宋体" w:hAnsi="宋体" w:cs="宋体"/>
                <w:kern w:val="0"/>
                <w:sz w:val="21"/>
              </w:rPr>
            </w:pPr>
            <w:r>
              <w:rPr>
                <w:rFonts w:hint="eastAsia" w:ascii="宋体" w:hAnsi="宋体" w:cs="宋体"/>
                <w:kern w:val="0"/>
                <w:sz w:val="21"/>
              </w:rPr>
              <w:t>3、烹饪服务时间：工作日早、中餐，节假日三餐及小厅接待。</w:t>
            </w:r>
          </w:p>
          <w:p>
            <w:pPr>
              <w:rPr>
                <w:rFonts w:ascii="宋体" w:hAnsi="宋体" w:cs="宋体"/>
                <w:kern w:val="0"/>
                <w:sz w:val="21"/>
              </w:rPr>
            </w:pPr>
            <w:r>
              <w:rPr>
                <w:rFonts w:hint="eastAsia" w:ascii="宋体" w:hAnsi="宋体" w:cs="宋体"/>
                <w:kern w:val="0"/>
                <w:sz w:val="21"/>
              </w:rPr>
              <w:t>4、因特殊情况（不论节假日）临时安排的加班、会议和公务接待（桌餐）需求供餐的，都需无条件提供服务。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776" w:type="dxa"/>
            <w:vMerge w:val="continue"/>
            <w:vAlign w:val="center"/>
          </w:tcPr>
          <w:p>
            <w:pPr>
              <w:rPr>
                <w:rFonts w:ascii="宋体" w:hAnsi="宋体" w:cs="宋体"/>
                <w:kern w:val="0"/>
                <w:sz w:val="21"/>
              </w:rPr>
            </w:pPr>
          </w:p>
        </w:tc>
        <w:tc>
          <w:tcPr>
            <w:tcW w:w="1016" w:type="dxa"/>
            <w:vAlign w:val="center"/>
          </w:tcPr>
          <w:p>
            <w:pPr>
              <w:widowControl/>
              <w:jc w:val="left"/>
              <w:rPr>
                <w:rFonts w:ascii="宋体" w:hAnsi="宋体" w:cs="宋体"/>
                <w:kern w:val="0"/>
                <w:sz w:val="21"/>
              </w:rPr>
            </w:pPr>
            <w:r>
              <w:rPr>
                <w:rFonts w:hint="eastAsia" w:ascii="宋体" w:hAnsi="宋体" w:cs="宋体"/>
                <w:kern w:val="0"/>
                <w:sz w:val="21"/>
              </w:rPr>
              <w:t>投标人提供食堂管理烹任服务内容</w:t>
            </w:r>
          </w:p>
        </w:tc>
        <w:tc>
          <w:tcPr>
            <w:tcW w:w="7271" w:type="dxa"/>
            <w:vAlign w:val="center"/>
          </w:tcPr>
          <w:p>
            <w:pPr>
              <w:widowControl/>
              <w:jc w:val="left"/>
              <w:rPr>
                <w:rFonts w:ascii="宋体" w:hAnsi="宋体" w:cs="宋体"/>
                <w:kern w:val="0"/>
                <w:sz w:val="21"/>
              </w:rPr>
            </w:pPr>
            <w:r>
              <w:rPr>
                <w:rFonts w:hint="eastAsia" w:ascii="宋体" w:hAnsi="宋体" w:cs="宋体"/>
                <w:kern w:val="0"/>
                <w:sz w:val="21"/>
              </w:rPr>
              <w:t>1、 食堂管理：食品品质管理、用餐管理、工作人员管理、食材成本控制、食堂卫生与食品安全管理、食堂炊具安全使用管理、食堂水电气节能管理。</w:t>
            </w:r>
          </w:p>
          <w:p>
            <w:pPr>
              <w:widowControl/>
              <w:jc w:val="left"/>
              <w:rPr>
                <w:rFonts w:ascii="宋体" w:hAnsi="宋体" w:cs="宋体"/>
                <w:kern w:val="0"/>
                <w:sz w:val="21"/>
              </w:rPr>
            </w:pPr>
            <w:r>
              <w:rPr>
                <w:rFonts w:hint="eastAsia" w:ascii="宋体" w:hAnsi="宋体" w:cs="宋体"/>
                <w:kern w:val="0"/>
                <w:sz w:val="21"/>
              </w:rPr>
              <w:t>2、 烹饪服务：职工的饭菜安排与烹制、食堂环境卫生维护与消毒和厨具、餐具清洗与消毒。</w:t>
            </w:r>
          </w:p>
          <w:p>
            <w:pPr>
              <w:widowControl/>
              <w:jc w:val="left"/>
              <w:rPr>
                <w:rFonts w:ascii="宋体" w:hAnsi="宋体" w:cs="宋体"/>
                <w:kern w:val="0"/>
              </w:rPr>
            </w:pPr>
            <w:r>
              <w:rPr>
                <w:rFonts w:hint="eastAsia" w:ascii="宋体" w:hAnsi="宋体" w:cs="宋体"/>
                <w:kern w:val="0"/>
                <w:sz w:val="21"/>
              </w:rPr>
              <w:t>3、 食堂突发事件应急处理。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76" w:type="dxa"/>
            <w:vMerge w:val="continue"/>
            <w:vAlign w:val="center"/>
          </w:tcPr>
          <w:p>
            <w:pPr>
              <w:rPr>
                <w:rFonts w:ascii="宋体" w:hAnsi="宋体" w:cs="宋体"/>
                <w:kern w:val="0"/>
                <w:sz w:val="21"/>
              </w:rPr>
            </w:pPr>
          </w:p>
        </w:tc>
        <w:tc>
          <w:tcPr>
            <w:tcW w:w="1016" w:type="dxa"/>
            <w:vAlign w:val="center"/>
          </w:tcPr>
          <w:p>
            <w:pPr>
              <w:widowControl/>
              <w:jc w:val="left"/>
              <w:rPr>
                <w:rFonts w:ascii="宋体" w:hAnsi="宋体" w:cs="宋体"/>
                <w:kern w:val="0"/>
                <w:sz w:val="21"/>
              </w:rPr>
            </w:pPr>
            <w:r>
              <w:rPr>
                <w:rFonts w:hint="eastAsia" w:ascii="宋体" w:hAnsi="宋体" w:cs="宋体"/>
                <w:kern w:val="0"/>
                <w:sz w:val="21"/>
              </w:rPr>
              <w:t>食堂岗位人员基本要求</w:t>
            </w:r>
          </w:p>
        </w:tc>
        <w:tc>
          <w:tcPr>
            <w:tcW w:w="7271" w:type="dxa"/>
            <w:vAlign w:val="center"/>
          </w:tcPr>
          <w:p>
            <w:pPr>
              <w:pStyle w:val="55"/>
              <w:widowControl/>
              <w:numPr>
                <w:ilvl w:val="0"/>
                <w:numId w:val="3"/>
              </w:numPr>
              <w:ind w:firstLineChars="0"/>
              <w:jc w:val="left"/>
              <w:rPr>
                <w:rFonts w:ascii="宋体" w:hAnsi="宋体" w:cs="宋体"/>
                <w:kern w:val="0"/>
                <w:sz w:val="21"/>
              </w:rPr>
            </w:pPr>
            <w:r>
              <w:rPr>
                <w:rFonts w:hint="eastAsia" w:ascii="宋体" w:hAnsi="宋体" w:cs="宋体"/>
                <w:kern w:val="0"/>
                <w:sz w:val="21"/>
              </w:rPr>
              <w:t>供应商须配备岗位人员12人：</w:t>
            </w:r>
          </w:p>
          <w:p>
            <w:pPr>
              <w:widowControl/>
              <w:jc w:val="left"/>
              <w:rPr>
                <w:rFonts w:ascii="宋体" w:hAnsi="宋体" w:cs="宋体"/>
                <w:kern w:val="0"/>
                <w:sz w:val="21"/>
              </w:rPr>
            </w:pPr>
            <w:r>
              <w:rPr>
                <w:rFonts w:hint="eastAsia" w:ascii="宋体" w:hAnsi="宋体" w:cs="宋体"/>
                <w:kern w:val="0"/>
                <w:sz w:val="21"/>
              </w:rPr>
              <w:t>其中必须有经理或主厨1人，副厨1人，面点1人，切配2人，服务员7人。其中1人协助招标方食堂管理员做好食堂管理工作。</w:t>
            </w:r>
          </w:p>
          <w:p>
            <w:pPr>
              <w:widowControl/>
              <w:jc w:val="left"/>
              <w:rPr>
                <w:rFonts w:ascii="宋体" w:hAnsi="宋体" w:cs="宋体"/>
                <w:kern w:val="0"/>
                <w:sz w:val="21"/>
              </w:rPr>
            </w:pPr>
            <w:r>
              <w:rPr>
                <w:rFonts w:hint="eastAsia" w:ascii="宋体" w:hAnsi="宋体" w:cs="宋体"/>
                <w:kern w:val="0"/>
                <w:sz w:val="21"/>
              </w:rPr>
              <w:t>2、岗位人</w:t>
            </w:r>
            <w:r>
              <w:rPr>
                <w:rFonts w:hint="eastAsia" w:ascii="宋体" w:hAnsi="宋体" w:cs="宋体"/>
                <w:color w:val="000000" w:themeColor="text1"/>
                <w:kern w:val="0"/>
                <w:sz w:val="21"/>
                <w14:textFill>
                  <w14:solidFill>
                    <w14:schemeClr w14:val="tx1"/>
                  </w14:solidFill>
                </w14:textFill>
              </w:rPr>
              <w:t>员上岗要求：</w:t>
            </w:r>
            <w:r>
              <w:rPr>
                <w:rFonts w:hint="eastAsia" w:ascii="宋体" w:hAnsi="宋体" w:cs="宋体"/>
                <w:color w:val="000000" w:themeColor="text1"/>
                <w:kern w:val="0"/>
                <w:sz w:val="21"/>
                <w:lang w:val="en-US" w:eastAsia="zh-CN"/>
                <w14:textFill>
                  <w14:solidFill>
                    <w14:schemeClr w14:val="tx1"/>
                  </w14:solidFill>
                </w14:textFill>
              </w:rPr>
              <w:t>拟派遣的厨师长兼负责人必须具有相关工作经验，知识面广，专业技能熟练，有较强的组织领导能力和协调能力，50周岁以下，可以担任本项目的厨师长兼负责人</w:t>
            </w:r>
            <w:r>
              <w:rPr>
                <w:rFonts w:hint="eastAsia" w:ascii="宋体" w:hAnsi="宋体" w:cs="宋体"/>
                <w:color w:val="000000" w:themeColor="text1"/>
                <w:kern w:val="0"/>
                <w:sz w:val="21"/>
                <w:lang w:eastAsia="zh-CN"/>
                <w14:textFill>
                  <w14:solidFill>
                    <w14:schemeClr w14:val="tx1"/>
                  </w14:solidFill>
                </w14:textFill>
              </w:rPr>
              <w:t>；</w:t>
            </w:r>
            <w:r>
              <w:rPr>
                <w:rFonts w:hint="eastAsia" w:ascii="宋体" w:hAnsi="宋体" w:cs="宋体"/>
                <w:color w:val="000000" w:themeColor="text1"/>
                <w:kern w:val="0"/>
                <w:sz w:val="21"/>
                <w14:textFill>
                  <w14:solidFill>
                    <w14:schemeClr w14:val="tx1"/>
                  </w14:solidFill>
                </w14:textFill>
              </w:rPr>
              <w:t>白案、红案厨师须持有健康证明，具有从事烹饪工作经验五年以上，具年龄在 50 岁以下。服务员须持有健康证明，具有从事餐饮行业相应岗位工作经验三年</w:t>
            </w:r>
            <w:r>
              <w:rPr>
                <w:rFonts w:hint="eastAsia" w:ascii="宋体" w:hAnsi="宋体" w:cs="宋体"/>
                <w:kern w:val="0"/>
                <w:sz w:val="21"/>
              </w:rPr>
              <w:t>以上，且年龄在 40 岁以下。</w:t>
            </w:r>
          </w:p>
          <w:p>
            <w:pPr>
              <w:widowControl/>
              <w:jc w:val="left"/>
              <w:rPr>
                <w:rFonts w:ascii="宋体" w:hAnsi="宋体" w:cs="宋体"/>
                <w:kern w:val="0"/>
                <w:sz w:val="21"/>
              </w:rPr>
            </w:pPr>
            <w:r>
              <w:rPr>
                <w:rFonts w:hint="eastAsia" w:ascii="宋体" w:hAnsi="宋体" w:cs="宋体"/>
                <w:kern w:val="0"/>
                <w:sz w:val="21"/>
              </w:rPr>
              <w:t>以上人员在食堂管理员的领导下工作，要服从管理。须无吸毒、赌博等违法犯罪不良记录，身体健康，无残疾，无传染病或无传染病史，讲究个人卫生，有胜任食堂工作的能力。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6" w:type="dxa"/>
            <w:vAlign w:val="center"/>
          </w:tcPr>
          <w:p>
            <w:pPr>
              <w:rPr>
                <w:rFonts w:ascii="宋体" w:hAnsi="宋体" w:cs="宋体"/>
                <w:kern w:val="0"/>
                <w:sz w:val="21"/>
              </w:rPr>
            </w:pPr>
            <w:r>
              <w:rPr>
                <w:rFonts w:hint="eastAsia" w:ascii="宋体" w:hAnsi="宋体" w:cs="宋体"/>
                <w:kern w:val="0"/>
                <w:sz w:val="21"/>
              </w:rPr>
              <w:t>投标人提供食堂管理烹饪服务技术、 质量要求</w:t>
            </w:r>
          </w:p>
        </w:tc>
        <w:tc>
          <w:tcPr>
            <w:tcW w:w="1016" w:type="dxa"/>
            <w:vAlign w:val="center"/>
          </w:tcPr>
          <w:p>
            <w:pPr>
              <w:rPr>
                <w:rFonts w:ascii="宋体" w:hAnsi="宋体" w:cs="宋体"/>
                <w:kern w:val="0"/>
                <w:sz w:val="21"/>
              </w:rPr>
            </w:pPr>
            <w:r>
              <w:rPr>
                <w:rStyle w:val="215"/>
                <w:rFonts w:hint="default" w:cs="宋体"/>
                <w:color w:val="auto"/>
                <w:kern w:val="0"/>
                <w:sz w:val="21"/>
                <w:szCs w:val="22"/>
              </w:rPr>
              <w:t>食堂服务具体要求</w:t>
            </w:r>
          </w:p>
        </w:tc>
        <w:tc>
          <w:tcPr>
            <w:tcW w:w="7271" w:type="dxa"/>
            <w:vAlign w:val="center"/>
          </w:tcPr>
          <w:p>
            <w:pPr>
              <w:rPr>
                <w:rFonts w:ascii="宋体" w:hAnsi="宋体" w:cs="宋体"/>
                <w:kern w:val="0"/>
                <w:sz w:val="21"/>
              </w:rPr>
            </w:pPr>
            <w:r>
              <w:rPr>
                <w:rFonts w:hint="eastAsia" w:ascii="宋体" w:hAnsi="宋体" w:cs="宋体"/>
                <w:kern w:val="0"/>
                <w:sz w:val="21"/>
              </w:rPr>
              <w:t>1、食堂烹饪服务：职工的饭菜烹制、食堂环境卫生维护、厨具餐具清洗与消毒。</w:t>
            </w:r>
          </w:p>
          <w:p>
            <w:pPr>
              <w:rPr>
                <w:rFonts w:ascii="宋体" w:hAnsi="宋体" w:cs="宋体"/>
                <w:kern w:val="0"/>
                <w:sz w:val="21"/>
              </w:rPr>
            </w:pPr>
            <w:r>
              <w:rPr>
                <w:rFonts w:hint="eastAsia" w:ascii="宋体" w:hAnsi="宋体" w:cs="宋体"/>
                <w:kern w:val="0"/>
                <w:sz w:val="21"/>
              </w:rPr>
              <w:t>（1）供餐方式：分餐。</w:t>
            </w:r>
          </w:p>
          <w:p>
            <w:pPr>
              <w:rPr>
                <w:rFonts w:ascii="宋体" w:hAnsi="宋体" w:cs="宋体"/>
                <w:kern w:val="0"/>
                <w:sz w:val="21"/>
              </w:rPr>
            </w:pPr>
            <w:r>
              <w:rPr>
                <w:rFonts w:hint="eastAsia" w:ascii="宋体" w:hAnsi="宋体" w:cs="宋体"/>
                <w:kern w:val="0"/>
                <w:sz w:val="21"/>
              </w:rPr>
              <w:t>（2）供餐时间：供餐时间：早餐：7:30～8:20；午餐:11:45～13:00；晚餐：18:30～19:30（遇特殊情况适当延时）。</w:t>
            </w:r>
            <w:r>
              <w:rPr>
                <w:rFonts w:ascii="宋体" w:hAnsi="宋体" w:cs="宋体"/>
                <w:kern w:val="0"/>
                <w:sz w:val="21"/>
              </w:rPr>
              <w:t xml:space="preserve"> </w:t>
            </w:r>
          </w:p>
          <w:p>
            <w:pPr>
              <w:rPr>
                <w:rFonts w:ascii="宋体" w:hAnsi="宋体" w:cs="宋体"/>
                <w:kern w:val="0"/>
                <w:sz w:val="21"/>
              </w:rPr>
            </w:pPr>
            <w:r>
              <w:rPr>
                <w:rFonts w:hint="eastAsia" w:ascii="宋体" w:hAnsi="宋体" w:cs="宋体"/>
                <w:kern w:val="0"/>
                <w:sz w:val="21"/>
              </w:rPr>
              <w:t>（3）因特殊情况（不论节假日）临时安排的加班、会议和公务接待（桌餐）需求供餐的，都需无条件提供服务。</w:t>
            </w:r>
          </w:p>
          <w:p>
            <w:pPr>
              <w:rPr>
                <w:rFonts w:ascii="宋体" w:hAnsi="宋体" w:cs="宋体"/>
                <w:kern w:val="0"/>
                <w:sz w:val="21"/>
              </w:rPr>
            </w:pPr>
            <w:r>
              <w:rPr>
                <w:rFonts w:hint="eastAsia" w:ascii="宋体" w:hAnsi="宋体" w:cs="宋体"/>
                <w:kern w:val="0"/>
                <w:sz w:val="21"/>
              </w:rPr>
              <w:t>（4）烹制供应品种：早餐烹制品种：面食（包子、馒头、花卷、烧麦、油条、烧饼、煎饼、面包、蛋挞、面条等）任配选3个品种；粥（白米粥、小米粥、皮蛋瘦肉粥、地瓜粥、银耳羹、红豆粥、荞麦粥等）配选2个品种；牛奶、酸奶、豆浆等配选2个品种；煮鸡蛋或煎荷包蛋、茶叶蛋等配选1个品种；杂粮1个品种、咸菜、炒菜各一份。中餐烹制品种：三荤三素，其中荤菜（猪肉、鸡肉、鹅肉、鸭肉、鱼虾类等）任配选3个品种（二个大荤，一个小荤）；蔬菜搭配菜任配选3份；粗粮任配选1个品种；主食：三种米饭；水果配选1个品种。晚餐烹制品种：三荤二素，其中荤菜（猪肉、鸡肉、鹅肉、鸭肉、鱼虾类等）任配选3个品种；蔬菜搭配菜任配选2个品种；面食（包子、馒头、花卷、烧麦、煎饼类、饺子、面条等）任配选2个品种；主食：白米饭、粥饭。</w:t>
            </w:r>
          </w:p>
          <w:p>
            <w:pPr>
              <w:rPr>
                <w:rFonts w:ascii="宋体" w:hAnsi="宋体" w:cs="宋体"/>
                <w:kern w:val="0"/>
                <w:sz w:val="21"/>
              </w:rPr>
            </w:pPr>
            <w:r>
              <w:rPr>
                <w:rFonts w:hint="eastAsia" w:ascii="宋体" w:hAnsi="宋体" w:cs="宋体"/>
                <w:kern w:val="0"/>
                <w:sz w:val="21"/>
              </w:rPr>
              <w:t>（5）食堂接待餐品种：食堂管理员根据接待餐标准和用餐人数以及口味的要求，临时安排品种报甲方审批后执行。</w:t>
            </w:r>
          </w:p>
          <w:p>
            <w:pPr>
              <w:rPr>
                <w:rFonts w:ascii="宋体" w:hAnsi="宋体" w:cs="宋体"/>
                <w:kern w:val="0"/>
                <w:sz w:val="21"/>
              </w:rPr>
            </w:pPr>
            <w:r>
              <w:rPr>
                <w:rFonts w:hint="eastAsia" w:ascii="宋体" w:hAnsi="宋体" w:cs="宋体"/>
                <w:kern w:val="0"/>
                <w:sz w:val="21"/>
              </w:rPr>
              <w:t>（6）每日烹制饭菜品种，由食堂管理员预先按周安排，出具食谱清单，并报甲方审核和公布后方可烹制。做到现做（炒）现吃，及时添加，既要做到防止浪费，又要严禁“烧一次吃一天”的现象。</w:t>
            </w:r>
          </w:p>
          <w:p>
            <w:pPr>
              <w:rPr>
                <w:rFonts w:ascii="宋体" w:hAnsi="宋体" w:cs="宋体"/>
                <w:kern w:val="0"/>
                <w:sz w:val="21"/>
              </w:rPr>
            </w:pPr>
            <w:r>
              <w:rPr>
                <w:rFonts w:hint="eastAsia" w:ascii="宋体" w:hAnsi="宋体" w:cs="宋体"/>
                <w:kern w:val="0"/>
                <w:sz w:val="21"/>
              </w:rPr>
              <w:t>（7）食堂饭菜质量基本要求：按报餐人数和原材料的采购标准，足量烹制饭菜，保证职工饭菜的食用份量。根据季节提供适时菜品和定期推出特色菜或新菜；每周公布菜普，品种不断翻新，烹饪的口味合众。每季度对干部职用进行饭菜质量进行问卷调查和广泛征求意见，满意率要达到90%以上。</w:t>
            </w:r>
          </w:p>
          <w:p>
            <w:pPr>
              <w:rPr>
                <w:rFonts w:ascii="宋体" w:hAnsi="宋体" w:cs="宋体"/>
                <w:kern w:val="0"/>
                <w:sz w:val="21"/>
              </w:rPr>
            </w:pPr>
            <w:r>
              <w:rPr>
                <w:rFonts w:hint="eastAsia" w:ascii="宋体" w:hAnsi="宋体" w:cs="宋体"/>
                <w:kern w:val="0"/>
                <w:sz w:val="21"/>
              </w:rPr>
              <w:t>（8）根据食堂管理员要求，做好分餐服务。</w:t>
            </w:r>
          </w:p>
          <w:p>
            <w:pPr>
              <w:rPr>
                <w:rFonts w:ascii="宋体" w:hAnsi="宋体" w:cs="宋体"/>
                <w:kern w:val="0"/>
                <w:sz w:val="21"/>
              </w:rPr>
            </w:pPr>
            <w:r>
              <w:rPr>
                <w:rFonts w:hint="eastAsia" w:ascii="宋体" w:hAnsi="宋体" w:cs="宋体"/>
                <w:kern w:val="0"/>
                <w:sz w:val="21"/>
              </w:rPr>
              <w:t>2、服务人员管理：</w:t>
            </w:r>
          </w:p>
          <w:p>
            <w:pPr>
              <w:rPr>
                <w:rFonts w:ascii="宋体" w:hAnsi="宋体" w:cs="宋体"/>
                <w:kern w:val="0"/>
                <w:sz w:val="21"/>
              </w:rPr>
            </w:pPr>
            <w:r>
              <w:rPr>
                <w:rFonts w:hint="eastAsia" w:ascii="宋体" w:hAnsi="宋体" w:cs="宋体"/>
                <w:kern w:val="0"/>
                <w:sz w:val="21"/>
              </w:rPr>
              <w:t>（1）食堂服务人员在食堂管理员的领导下工作，供应商在拟配服务岗位人员中委派一名同志协助食堂管理员做好食堂管理、监督工作。</w:t>
            </w:r>
          </w:p>
          <w:p>
            <w:pPr>
              <w:rPr>
                <w:rFonts w:ascii="宋体" w:hAnsi="宋体" w:cs="宋体"/>
                <w:kern w:val="0"/>
                <w:sz w:val="21"/>
              </w:rPr>
            </w:pPr>
            <w:r>
              <w:rPr>
                <w:rFonts w:hint="eastAsia" w:ascii="宋体" w:hAnsi="宋体" w:cs="宋体"/>
                <w:kern w:val="0"/>
                <w:sz w:val="21"/>
              </w:rPr>
              <w:t>（2）服从管理、认真执行各项规章制度，主动接受监督，虚心接受意见。严禁私自带无关人员进入食堂，不得把个人情绪带到工作中。</w:t>
            </w:r>
          </w:p>
          <w:p>
            <w:pPr>
              <w:rPr>
                <w:rFonts w:ascii="宋体" w:hAnsi="宋体" w:cs="宋体"/>
                <w:kern w:val="0"/>
                <w:sz w:val="21"/>
              </w:rPr>
            </w:pPr>
            <w:r>
              <w:rPr>
                <w:rFonts w:hint="eastAsia" w:ascii="宋体" w:hAnsi="宋体" w:cs="宋体"/>
                <w:kern w:val="0"/>
                <w:sz w:val="21"/>
              </w:rPr>
              <w:t>（3）严格遵守工作时间和请销假制度，食堂服务人员工作时间（节假日除外）为：上午6:00—14:00，下午16:30—19:30。如遇特殊情况（含节假日）需加班或因工作需要临时安排工作的，都应无条件服从安排。</w:t>
            </w:r>
          </w:p>
          <w:p>
            <w:pPr>
              <w:rPr>
                <w:rFonts w:ascii="宋体" w:hAnsi="宋体" w:cs="宋体"/>
                <w:kern w:val="0"/>
                <w:sz w:val="21"/>
              </w:rPr>
            </w:pPr>
            <w:r>
              <w:rPr>
                <w:rFonts w:hint="eastAsia" w:ascii="宋体" w:hAnsi="宋体" w:cs="宋体"/>
                <w:kern w:val="0"/>
                <w:sz w:val="21"/>
              </w:rPr>
              <w:t>（4）食堂服务人员之间要相互配合工作，端正服务态度，礼貌待人，文明分菜打菜，做到一视同仁，不搞特殊化。</w:t>
            </w:r>
          </w:p>
          <w:p>
            <w:pPr>
              <w:rPr>
                <w:rFonts w:ascii="宋体" w:hAnsi="宋体" w:cs="宋体"/>
                <w:kern w:val="0"/>
                <w:sz w:val="21"/>
              </w:rPr>
            </w:pPr>
            <w:r>
              <w:rPr>
                <w:rFonts w:hint="eastAsia" w:ascii="宋体" w:hAnsi="宋体" w:cs="宋体"/>
                <w:kern w:val="0"/>
                <w:sz w:val="21"/>
              </w:rPr>
              <w:t>（5）厨师有义务对配送的食材质量提出相关意见，供管理员参考改进。烹饪时要把握好饭菜的质量和数量，尽可能做到可口和色、香、味俱全。</w:t>
            </w:r>
          </w:p>
          <w:p>
            <w:pPr>
              <w:rPr>
                <w:rFonts w:ascii="宋体" w:hAnsi="宋体" w:cs="宋体"/>
                <w:kern w:val="0"/>
                <w:sz w:val="21"/>
              </w:rPr>
            </w:pPr>
            <w:r>
              <w:rPr>
                <w:rFonts w:hint="eastAsia" w:ascii="宋体" w:hAnsi="宋体" w:cs="宋体"/>
                <w:kern w:val="0"/>
                <w:sz w:val="21"/>
              </w:rPr>
              <w:t>（6）食堂采购食材由食堂管理员提前报采购人采购，服务员在粗加工时不得以任何理由拒绝加工。</w:t>
            </w:r>
          </w:p>
          <w:p>
            <w:pPr>
              <w:rPr>
                <w:rFonts w:ascii="宋体" w:hAnsi="宋体" w:cs="宋体"/>
                <w:kern w:val="0"/>
                <w:sz w:val="21"/>
              </w:rPr>
            </w:pPr>
            <w:r>
              <w:rPr>
                <w:rFonts w:hint="eastAsia" w:ascii="宋体" w:hAnsi="宋体" w:cs="宋体"/>
                <w:kern w:val="0"/>
                <w:sz w:val="21"/>
              </w:rPr>
              <w:t>食堂供应的面食、糕点和菜品的成品原则上不得外购，以自己加工为主。</w:t>
            </w:r>
          </w:p>
          <w:p>
            <w:pPr>
              <w:rPr>
                <w:rFonts w:ascii="宋体" w:hAnsi="宋体" w:cs="宋体"/>
                <w:kern w:val="0"/>
                <w:sz w:val="21"/>
              </w:rPr>
            </w:pPr>
            <w:r>
              <w:rPr>
                <w:rFonts w:hint="eastAsia" w:ascii="宋体" w:hAnsi="宋体" w:cs="宋体"/>
                <w:kern w:val="0"/>
                <w:sz w:val="21"/>
              </w:rPr>
              <w:t>（7）服务员做好食品原材料的验收、入库、登记建账工作。要认真执行食品留样制度，留取当日供应的所有菜肴，每份留样不少于100克，并按规定位置存放，保存时间不得少于48小时。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6" w:type="dxa"/>
            <w:vMerge w:val="restart"/>
            <w:vAlign w:val="center"/>
          </w:tcPr>
          <w:p>
            <w:pPr>
              <w:jc w:val="left"/>
              <w:rPr>
                <w:rFonts w:ascii="宋体" w:hAnsi="宋体" w:cs="宋体"/>
                <w:kern w:val="0"/>
                <w:sz w:val="21"/>
              </w:rPr>
            </w:pPr>
            <w:r>
              <w:rPr>
                <w:rStyle w:val="215"/>
                <w:rFonts w:hint="default" w:cs="宋体"/>
                <w:color w:val="auto"/>
                <w:kern w:val="0"/>
                <w:sz w:val="21"/>
                <w:szCs w:val="22"/>
              </w:rPr>
              <w:t>食堂管理技术、 服务质量基本要求</w:t>
            </w:r>
          </w:p>
        </w:tc>
        <w:tc>
          <w:tcPr>
            <w:tcW w:w="1016" w:type="dxa"/>
            <w:vAlign w:val="center"/>
          </w:tcPr>
          <w:p>
            <w:pPr>
              <w:rPr>
                <w:rFonts w:ascii="宋体" w:hAnsi="宋体" w:cs="宋体"/>
                <w:kern w:val="0"/>
                <w:sz w:val="21"/>
              </w:rPr>
            </w:pPr>
            <w:r>
              <w:rPr>
                <w:rStyle w:val="215"/>
                <w:rFonts w:hint="default" w:cs="宋体"/>
                <w:color w:val="auto"/>
                <w:kern w:val="0"/>
                <w:sz w:val="21"/>
                <w:szCs w:val="22"/>
              </w:rPr>
              <w:t>卫生管理要求</w:t>
            </w:r>
          </w:p>
        </w:tc>
        <w:tc>
          <w:tcPr>
            <w:tcW w:w="7271" w:type="dxa"/>
            <w:vAlign w:val="center"/>
          </w:tcPr>
          <w:p>
            <w:pPr>
              <w:rPr>
                <w:rStyle w:val="215"/>
                <w:rFonts w:hint="default" w:cs="宋体"/>
                <w:color w:val="auto"/>
                <w:kern w:val="0"/>
                <w:sz w:val="21"/>
                <w:szCs w:val="22"/>
              </w:rPr>
            </w:pPr>
            <w:r>
              <w:rPr>
                <w:rStyle w:val="215"/>
                <w:rFonts w:hint="default" w:cs="宋体"/>
                <w:color w:val="auto"/>
                <w:kern w:val="0"/>
                <w:sz w:val="21"/>
                <w:szCs w:val="22"/>
              </w:rPr>
              <w:t>（1）中标供应商须每年及时为配岗位服务人员身体进行体检，并于每年6月底前向采购方提交一份配岗位服务人员三甲医院体检报告。</w:t>
            </w:r>
          </w:p>
          <w:p>
            <w:pPr>
              <w:rPr>
                <w:rStyle w:val="215"/>
                <w:rFonts w:hint="default" w:cs="宋体"/>
                <w:color w:val="auto"/>
                <w:kern w:val="0"/>
                <w:sz w:val="21"/>
                <w:szCs w:val="22"/>
              </w:rPr>
            </w:pPr>
            <w:r>
              <w:rPr>
                <w:rStyle w:val="215"/>
                <w:rFonts w:hint="default" w:cs="宋体"/>
                <w:color w:val="auto"/>
                <w:kern w:val="0"/>
                <w:sz w:val="21"/>
                <w:szCs w:val="22"/>
              </w:rPr>
              <w:t>（2）严格按照《食品安全法》验收、清洗、加工要求制作食品，厨房用品用具严格实行一清、二洗、三冲、四消毒、五保洁的规程；认真执行食堂卫生管理制度，做到每天自查一次，一星期无死角检查一次，每次检查须有记录。</w:t>
            </w:r>
          </w:p>
          <w:p>
            <w:pPr>
              <w:rPr>
                <w:rStyle w:val="215"/>
                <w:rFonts w:hint="default" w:cs="宋体"/>
                <w:color w:val="auto"/>
                <w:kern w:val="0"/>
                <w:sz w:val="21"/>
                <w:szCs w:val="22"/>
              </w:rPr>
            </w:pPr>
            <w:r>
              <w:rPr>
                <w:rStyle w:val="215"/>
                <w:rFonts w:hint="default" w:cs="宋体"/>
                <w:color w:val="auto"/>
                <w:kern w:val="0"/>
                <w:sz w:val="21"/>
                <w:szCs w:val="22"/>
              </w:rPr>
              <w:t>（3）食堂服务人员每天上班前做好个人卫生工作，佩戴好帽子、口罩和手套，时刻注意个人的仪表、仪容。</w:t>
            </w:r>
          </w:p>
          <w:p>
            <w:pPr>
              <w:rPr>
                <w:rStyle w:val="215"/>
                <w:rFonts w:hint="default" w:cs="宋体"/>
                <w:color w:val="auto"/>
                <w:kern w:val="0"/>
                <w:sz w:val="21"/>
                <w:szCs w:val="22"/>
              </w:rPr>
            </w:pPr>
            <w:r>
              <w:rPr>
                <w:rStyle w:val="215"/>
                <w:rFonts w:hint="default" w:cs="宋体"/>
                <w:color w:val="auto"/>
                <w:kern w:val="0"/>
                <w:sz w:val="21"/>
                <w:szCs w:val="22"/>
              </w:rPr>
              <w:t>（4）对厨房、餐厅、包厢等所有区域的卫生实行分层负责，定置、定量、定位、定进出、定标识、责任到人。</w:t>
            </w:r>
          </w:p>
          <w:p>
            <w:pPr>
              <w:rPr>
                <w:rStyle w:val="215"/>
                <w:rFonts w:hint="default" w:cs="宋体"/>
                <w:color w:val="auto"/>
                <w:kern w:val="0"/>
                <w:sz w:val="21"/>
                <w:szCs w:val="22"/>
              </w:rPr>
            </w:pPr>
            <w:r>
              <w:rPr>
                <w:rStyle w:val="215"/>
                <w:rFonts w:hint="default" w:cs="宋体"/>
                <w:color w:val="auto"/>
                <w:kern w:val="0"/>
                <w:sz w:val="21"/>
                <w:szCs w:val="22"/>
              </w:rPr>
              <w:t>（5）自觉接受卫生管理部门和采购人对食堂内工作检查、监督；</w:t>
            </w:r>
          </w:p>
          <w:p>
            <w:pPr>
              <w:rPr>
                <w:rFonts w:ascii="宋体" w:hAnsi="宋体" w:cs="宋体"/>
                <w:kern w:val="0"/>
                <w:sz w:val="21"/>
              </w:rPr>
            </w:pPr>
            <w:r>
              <w:rPr>
                <w:rStyle w:val="215"/>
                <w:rFonts w:hint="default" w:cs="宋体"/>
                <w:color w:val="auto"/>
                <w:kern w:val="0"/>
                <w:sz w:val="21"/>
                <w:szCs w:val="22"/>
              </w:rPr>
              <w:t>（6）垃圾污物应按指定地点放置，不得随意弃放。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6" w:type="dxa"/>
            <w:vMerge w:val="continue"/>
            <w:vAlign w:val="center"/>
          </w:tcPr>
          <w:p>
            <w:pPr>
              <w:rPr>
                <w:rStyle w:val="215"/>
                <w:rFonts w:hint="default" w:cs="宋体"/>
                <w:color w:val="auto"/>
                <w:kern w:val="0"/>
                <w:sz w:val="21"/>
                <w:szCs w:val="22"/>
              </w:rPr>
            </w:pPr>
          </w:p>
        </w:tc>
        <w:tc>
          <w:tcPr>
            <w:tcW w:w="1016" w:type="dxa"/>
            <w:vAlign w:val="center"/>
          </w:tcPr>
          <w:p>
            <w:pPr>
              <w:rPr>
                <w:rStyle w:val="215"/>
                <w:rFonts w:hint="default" w:cs="宋体"/>
                <w:color w:val="auto"/>
                <w:kern w:val="0"/>
                <w:sz w:val="21"/>
                <w:szCs w:val="22"/>
              </w:rPr>
            </w:pPr>
            <w:r>
              <w:rPr>
                <w:rStyle w:val="215"/>
                <w:rFonts w:hint="default" w:cs="宋体"/>
                <w:color w:val="auto"/>
                <w:kern w:val="0"/>
                <w:sz w:val="21"/>
                <w:szCs w:val="22"/>
              </w:rPr>
              <w:t>食堂设施设备管理基本要求</w:t>
            </w:r>
          </w:p>
        </w:tc>
        <w:tc>
          <w:tcPr>
            <w:tcW w:w="7271" w:type="dxa"/>
            <w:vAlign w:val="center"/>
          </w:tcPr>
          <w:p>
            <w:pPr>
              <w:rPr>
                <w:rStyle w:val="215"/>
                <w:rFonts w:hint="default" w:cs="宋体"/>
                <w:color w:val="auto"/>
                <w:kern w:val="0"/>
                <w:sz w:val="21"/>
                <w:szCs w:val="22"/>
              </w:rPr>
            </w:pPr>
            <w:r>
              <w:rPr>
                <w:rStyle w:val="215"/>
                <w:rFonts w:hint="default" w:cs="宋体"/>
                <w:color w:val="auto"/>
                <w:kern w:val="0"/>
                <w:sz w:val="21"/>
                <w:szCs w:val="22"/>
              </w:rPr>
              <w:t>（1）正确使用采购人配备食堂设施设备和用具，并定期对食堂设施设备进行维护与保养，保障食堂设施设备正常使用。</w:t>
            </w:r>
          </w:p>
          <w:p>
            <w:pPr>
              <w:rPr>
                <w:rStyle w:val="215"/>
                <w:rFonts w:hint="default" w:cs="宋体"/>
                <w:color w:val="auto"/>
                <w:kern w:val="0"/>
                <w:sz w:val="21"/>
                <w:szCs w:val="22"/>
              </w:rPr>
            </w:pPr>
            <w:r>
              <w:rPr>
                <w:rStyle w:val="215"/>
                <w:rFonts w:hint="default" w:cs="宋体"/>
                <w:color w:val="auto"/>
                <w:kern w:val="0"/>
                <w:sz w:val="21"/>
                <w:szCs w:val="22"/>
              </w:rPr>
              <w:t>（2）妥善保管好食堂设施设备、用具、餐具、炊具，如有遗失、损坏，负责赔偿（属自然损耗、职工损坏等，应如实申报采购人处理）。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776" w:type="dxa"/>
            <w:vMerge w:val="continue"/>
            <w:vAlign w:val="center"/>
          </w:tcPr>
          <w:p>
            <w:pPr>
              <w:rPr>
                <w:rStyle w:val="215"/>
                <w:rFonts w:hint="default" w:cs="宋体"/>
                <w:color w:val="auto"/>
                <w:kern w:val="0"/>
                <w:sz w:val="21"/>
                <w:szCs w:val="22"/>
              </w:rPr>
            </w:pPr>
          </w:p>
        </w:tc>
        <w:tc>
          <w:tcPr>
            <w:tcW w:w="1016" w:type="dxa"/>
            <w:vAlign w:val="center"/>
          </w:tcPr>
          <w:p>
            <w:pPr>
              <w:rPr>
                <w:rStyle w:val="215"/>
                <w:rFonts w:hint="default" w:cs="宋体"/>
                <w:color w:val="auto"/>
                <w:kern w:val="0"/>
                <w:sz w:val="21"/>
                <w:szCs w:val="22"/>
              </w:rPr>
            </w:pPr>
            <w:r>
              <w:rPr>
                <w:rStyle w:val="215"/>
                <w:rFonts w:hint="default" w:cs="宋体"/>
                <w:color w:val="auto"/>
                <w:kern w:val="0"/>
                <w:sz w:val="21"/>
                <w:szCs w:val="22"/>
              </w:rPr>
              <w:t>食材采购与成本控制</w:t>
            </w:r>
          </w:p>
        </w:tc>
        <w:tc>
          <w:tcPr>
            <w:tcW w:w="7271" w:type="dxa"/>
            <w:vAlign w:val="center"/>
          </w:tcPr>
          <w:p>
            <w:pPr>
              <w:rPr>
                <w:rStyle w:val="215"/>
                <w:rFonts w:hint="default" w:cs="宋体"/>
                <w:color w:val="auto"/>
                <w:kern w:val="0"/>
                <w:sz w:val="21"/>
                <w:szCs w:val="22"/>
              </w:rPr>
            </w:pPr>
            <w:r>
              <w:rPr>
                <w:rStyle w:val="215"/>
                <w:rFonts w:hint="default" w:cs="宋体"/>
                <w:color w:val="auto"/>
                <w:kern w:val="0"/>
                <w:sz w:val="21"/>
                <w:szCs w:val="22"/>
              </w:rPr>
              <w:t>（1）依据用餐人数、采购标准和品种不断变换的原则，厨师需配合食堂管理员预先做好每餐采购计划单，原材料由采购人采购。</w:t>
            </w:r>
          </w:p>
          <w:p>
            <w:pPr>
              <w:rPr>
                <w:rStyle w:val="215"/>
                <w:rFonts w:hint="default" w:cs="宋体"/>
                <w:color w:val="auto"/>
                <w:kern w:val="0"/>
                <w:sz w:val="21"/>
                <w:szCs w:val="22"/>
              </w:rPr>
            </w:pPr>
            <w:r>
              <w:rPr>
                <w:rStyle w:val="215"/>
                <w:rFonts w:hint="default" w:cs="宋体"/>
                <w:color w:val="auto"/>
                <w:kern w:val="0"/>
                <w:sz w:val="21"/>
                <w:szCs w:val="22"/>
              </w:rPr>
              <w:t>（2）做好配送食品原材料的验收、登记建账。</w:t>
            </w:r>
          </w:p>
          <w:p>
            <w:pPr>
              <w:rPr>
                <w:rStyle w:val="215"/>
                <w:rFonts w:hint="default" w:cs="宋体"/>
                <w:color w:val="auto"/>
                <w:kern w:val="0"/>
                <w:sz w:val="21"/>
                <w:szCs w:val="22"/>
              </w:rPr>
            </w:pPr>
            <w:r>
              <w:rPr>
                <w:rStyle w:val="215"/>
                <w:rFonts w:hint="default" w:cs="宋体"/>
                <w:color w:val="auto"/>
                <w:kern w:val="0"/>
                <w:sz w:val="21"/>
                <w:szCs w:val="22"/>
              </w:rPr>
              <w:t>（3）厨师有义务对食材质量提出意见建议，供采购方改进。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776" w:type="dxa"/>
            <w:vMerge w:val="continue"/>
            <w:vAlign w:val="center"/>
          </w:tcPr>
          <w:p>
            <w:pPr>
              <w:rPr>
                <w:rStyle w:val="215"/>
                <w:rFonts w:hint="default" w:cs="宋体"/>
                <w:color w:val="auto"/>
                <w:kern w:val="0"/>
                <w:sz w:val="21"/>
                <w:szCs w:val="22"/>
              </w:rPr>
            </w:pPr>
          </w:p>
        </w:tc>
        <w:tc>
          <w:tcPr>
            <w:tcW w:w="1016" w:type="dxa"/>
            <w:vAlign w:val="center"/>
          </w:tcPr>
          <w:p>
            <w:pPr>
              <w:rPr>
                <w:rStyle w:val="215"/>
                <w:rFonts w:hint="default" w:cs="宋体"/>
                <w:color w:val="auto"/>
                <w:kern w:val="0"/>
                <w:sz w:val="21"/>
                <w:szCs w:val="22"/>
              </w:rPr>
            </w:pPr>
            <w:r>
              <w:rPr>
                <w:rStyle w:val="215"/>
                <w:rFonts w:hint="default" w:cs="宋体"/>
                <w:color w:val="auto"/>
                <w:kern w:val="0"/>
                <w:sz w:val="21"/>
                <w:szCs w:val="22"/>
              </w:rPr>
              <w:t>食堂安全管理基本要求</w:t>
            </w:r>
          </w:p>
        </w:tc>
        <w:tc>
          <w:tcPr>
            <w:tcW w:w="7271" w:type="dxa"/>
            <w:vAlign w:val="center"/>
          </w:tcPr>
          <w:p>
            <w:pPr>
              <w:rPr>
                <w:rStyle w:val="215"/>
                <w:rFonts w:hint="default" w:cs="宋体"/>
                <w:color w:val="auto"/>
                <w:kern w:val="0"/>
                <w:sz w:val="21"/>
                <w:szCs w:val="22"/>
              </w:rPr>
            </w:pPr>
            <w:r>
              <w:rPr>
                <w:rStyle w:val="215"/>
                <w:rFonts w:hint="default" w:cs="宋体"/>
                <w:color w:val="auto"/>
                <w:kern w:val="0"/>
                <w:sz w:val="21"/>
                <w:szCs w:val="22"/>
              </w:rPr>
              <w:t>（1）严禁使用变质或受污染的原料制作食品，防止食物中毒事件发生。</w:t>
            </w:r>
          </w:p>
          <w:p>
            <w:pPr>
              <w:rPr>
                <w:rStyle w:val="215"/>
                <w:rFonts w:hint="default" w:cs="宋体"/>
                <w:color w:val="auto"/>
                <w:kern w:val="0"/>
                <w:sz w:val="21"/>
                <w:szCs w:val="22"/>
              </w:rPr>
            </w:pPr>
            <w:r>
              <w:rPr>
                <w:rStyle w:val="215"/>
                <w:rFonts w:hint="default" w:cs="宋体"/>
                <w:color w:val="auto"/>
                <w:kern w:val="0"/>
                <w:sz w:val="21"/>
                <w:szCs w:val="22"/>
              </w:rPr>
              <w:t>（2）严格管理使用食品添加剂，注重职工身体健康。</w:t>
            </w:r>
          </w:p>
          <w:p>
            <w:pPr>
              <w:rPr>
                <w:rStyle w:val="215"/>
                <w:rFonts w:hint="default" w:cs="宋体"/>
                <w:color w:val="auto"/>
                <w:kern w:val="0"/>
                <w:sz w:val="21"/>
                <w:szCs w:val="22"/>
              </w:rPr>
            </w:pPr>
            <w:r>
              <w:rPr>
                <w:rStyle w:val="215"/>
                <w:rFonts w:hint="default" w:cs="宋体"/>
                <w:color w:val="auto"/>
                <w:kern w:val="0"/>
                <w:sz w:val="21"/>
                <w:szCs w:val="22"/>
              </w:rPr>
              <w:t>（3）严格执行索证制度、农药测试制度，预防食物中毒事件发生。</w:t>
            </w:r>
          </w:p>
          <w:p>
            <w:pPr>
              <w:rPr>
                <w:rStyle w:val="215"/>
                <w:rFonts w:hint="default" w:cs="宋体"/>
                <w:color w:val="auto"/>
                <w:kern w:val="0"/>
                <w:sz w:val="21"/>
                <w:szCs w:val="22"/>
              </w:rPr>
            </w:pPr>
            <w:r>
              <w:rPr>
                <w:rStyle w:val="215"/>
                <w:rFonts w:hint="default" w:cs="宋体"/>
                <w:color w:val="auto"/>
                <w:kern w:val="0"/>
                <w:sz w:val="21"/>
                <w:szCs w:val="22"/>
              </w:rPr>
              <w:t>（4）下班后和设备使用完后落实关气、关电、关水、关门检查制度，预防火灾、失窃事故发生。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76" w:type="dxa"/>
            <w:vMerge w:val="continue"/>
            <w:vAlign w:val="center"/>
          </w:tcPr>
          <w:p>
            <w:pPr>
              <w:rPr>
                <w:rStyle w:val="215"/>
                <w:rFonts w:hint="default" w:cs="宋体"/>
                <w:color w:val="auto"/>
                <w:kern w:val="0"/>
                <w:sz w:val="21"/>
                <w:szCs w:val="22"/>
              </w:rPr>
            </w:pPr>
          </w:p>
        </w:tc>
        <w:tc>
          <w:tcPr>
            <w:tcW w:w="1016" w:type="dxa"/>
            <w:vAlign w:val="center"/>
          </w:tcPr>
          <w:p>
            <w:pPr>
              <w:rPr>
                <w:rStyle w:val="215"/>
                <w:rFonts w:hint="default" w:cs="宋体"/>
                <w:color w:val="auto"/>
                <w:kern w:val="0"/>
                <w:sz w:val="21"/>
                <w:szCs w:val="22"/>
              </w:rPr>
            </w:pPr>
            <w:r>
              <w:rPr>
                <w:rStyle w:val="215"/>
                <w:rFonts w:hint="default" w:cs="宋体"/>
                <w:color w:val="auto"/>
                <w:kern w:val="0"/>
                <w:sz w:val="21"/>
                <w:szCs w:val="22"/>
              </w:rPr>
              <w:t>节能管理基本要求</w:t>
            </w:r>
          </w:p>
        </w:tc>
        <w:tc>
          <w:tcPr>
            <w:tcW w:w="7271" w:type="dxa"/>
            <w:vAlign w:val="center"/>
          </w:tcPr>
          <w:p>
            <w:pPr>
              <w:rPr>
                <w:rStyle w:val="215"/>
                <w:rFonts w:hint="default" w:cs="宋体"/>
                <w:color w:val="auto"/>
                <w:kern w:val="0"/>
                <w:sz w:val="21"/>
                <w:szCs w:val="22"/>
              </w:rPr>
            </w:pPr>
            <w:r>
              <w:rPr>
                <w:rStyle w:val="215"/>
                <w:rFonts w:hint="default" w:cs="宋体"/>
                <w:color w:val="auto"/>
                <w:kern w:val="0"/>
                <w:sz w:val="21"/>
                <w:szCs w:val="22"/>
              </w:rPr>
              <w:t>（1）餐厅未开餐期间，严禁使用空调设备，白天禁止开灯。</w:t>
            </w:r>
          </w:p>
          <w:p>
            <w:pPr>
              <w:rPr>
                <w:rStyle w:val="215"/>
                <w:rFonts w:hint="default" w:cs="宋体"/>
                <w:color w:val="auto"/>
                <w:kern w:val="0"/>
                <w:sz w:val="21"/>
                <w:szCs w:val="22"/>
              </w:rPr>
            </w:pPr>
            <w:r>
              <w:rPr>
                <w:rStyle w:val="215"/>
                <w:rFonts w:hint="default" w:cs="宋体"/>
                <w:color w:val="auto"/>
                <w:kern w:val="0"/>
                <w:sz w:val="21"/>
                <w:szCs w:val="22"/>
              </w:rPr>
              <w:t>（2）包厢就餐，提前20分钟开空调、电灯，用餐完毕及时将空调和主灯关闭。</w:t>
            </w:r>
          </w:p>
          <w:p>
            <w:pPr>
              <w:rPr>
                <w:rStyle w:val="215"/>
                <w:rFonts w:hint="default" w:cs="宋体"/>
                <w:color w:val="auto"/>
                <w:kern w:val="0"/>
                <w:sz w:val="21"/>
                <w:szCs w:val="22"/>
              </w:rPr>
            </w:pPr>
            <w:r>
              <w:rPr>
                <w:rStyle w:val="215"/>
                <w:rFonts w:hint="default" w:cs="宋体"/>
                <w:color w:val="auto"/>
                <w:kern w:val="0"/>
                <w:sz w:val="21"/>
                <w:szCs w:val="22"/>
              </w:rPr>
              <w:t>（3）原料和餐具清洗完后应立即关闭水源，禁止长流水。</w:t>
            </w:r>
          </w:p>
          <w:p>
            <w:pPr>
              <w:rPr>
                <w:rStyle w:val="215"/>
                <w:rFonts w:hint="default" w:cs="宋体"/>
                <w:color w:val="auto"/>
                <w:kern w:val="0"/>
                <w:sz w:val="21"/>
                <w:szCs w:val="22"/>
              </w:rPr>
            </w:pPr>
            <w:r>
              <w:rPr>
                <w:rStyle w:val="215"/>
                <w:rFonts w:hint="default" w:cs="宋体"/>
                <w:color w:val="auto"/>
                <w:kern w:val="0"/>
                <w:sz w:val="21"/>
                <w:szCs w:val="22"/>
              </w:rPr>
              <w:t>（4）天然气使用后，及时关闭阀门。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776" w:type="dxa"/>
            <w:vAlign w:val="center"/>
          </w:tcPr>
          <w:p>
            <w:pPr>
              <w:rPr>
                <w:rStyle w:val="215"/>
                <w:rFonts w:hint="default" w:cs="宋体"/>
                <w:color w:val="auto"/>
                <w:kern w:val="0"/>
                <w:sz w:val="21"/>
                <w:szCs w:val="22"/>
              </w:rPr>
            </w:pPr>
            <w:r>
              <w:rPr>
                <w:rStyle w:val="215"/>
                <w:rFonts w:hint="default" w:cs="宋体"/>
                <w:color w:val="auto"/>
                <w:kern w:val="0"/>
                <w:sz w:val="21"/>
                <w:szCs w:val="22"/>
              </w:rPr>
              <w:t>食堂服务质量考核</w:t>
            </w:r>
          </w:p>
        </w:tc>
        <w:tc>
          <w:tcPr>
            <w:tcW w:w="1016" w:type="dxa"/>
            <w:vAlign w:val="center"/>
          </w:tcPr>
          <w:p>
            <w:pPr>
              <w:rPr>
                <w:rStyle w:val="215"/>
                <w:rFonts w:hint="default" w:cs="宋体"/>
                <w:color w:val="auto"/>
                <w:kern w:val="0"/>
                <w:sz w:val="21"/>
                <w:szCs w:val="22"/>
              </w:rPr>
            </w:pPr>
          </w:p>
        </w:tc>
        <w:tc>
          <w:tcPr>
            <w:tcW w:w="7271" w:type="dxa"/>
            <w:vAlign w:val="center"/>
          </w:tcPr>
          <w:p>
            <w:pPr>
              <w:rPr>
                <w:rStyle w:val="215"/>
                <w:rFonts w:hint="default" w:cs="宋体"/>
                <w:color w:val="auto"/>
                <w:kern w:val="0"/>
                <w:sz w:val="21"/>
                <w:szCs w:val="22"/>
              </w:rPr>
            </w:pPr>
            <w:r>
              <w:rPr>
                <w:rStyle w:val="215"/>
                <w:rFonts w:hint="default" w:cs="宋体"/>
                <w:color w:val="auto"/>
                <w:kern w:val="0"/>
                <w:sz w:val="21"/>
                <w:szCs w:val="22"/>
              </w:rPr>
              <w:t>食堂服务质量考核由采购人膳食委员会进行，每季度进行一次。出现下列情况的，依约定扣除服务费或解除合同。</w:t>
            </w:r>
          </w:p>
          <w:p>
            <w:pPr>
              <w:rPr>
                <w:rStyle w:val="215"/>
                <w:rFonts w:hint="default" w:cs="宋体"/>
                <w:color w:val="auto"/>
                <w:kern w:val="0"/>
                <w:sz w:val="21"/>
                <w:szCs w:val="22"/>
              </w:rPr>
            </w:pPr>
            <w:r>
              <w:rPr>
                <w:rStyle w:val="215"/>
                <w:rFonts w:hint="default" w:cs="宋体"/>
                <w:color w:val="auto"/>
                <w:kern w:val="0"/>
                <w:sz w:val="21"/>
                <w:szCs w:val="22"/>
              </w:rPr>
              <w:t>（1）出现一次食物中毒事故，责任在中标人的解除合同，并赔偿采购人所有损失，并依据相关规定由相应部门追究当事人和中标人的责任。</w:t>
            </w:r>
          </w:p>
          <w:p>
            <w:pPr>
              <w:rPr>
                <w:rStyle w:val="215"/>
                <w:rFonts w:hint="default" w:cs="宋体"/>
                <w:color w:val="auto"/>
                <w:kern w:val="0"/>
                <w:sz w:val="21"/>
                <w:szCs w:val="22"/>
              </w:rPr>
            </w:pPr>
            <w:r>
              <w:rPr>
                <w:rStyle w:val="215"/>
                <w:rFonts w:hint="default" w:cs="宋体"/>
                <w:color w:val="auto"/>
                <w:kern w:val="0"/>
                <w:sz w:val="21"/>
                <w:szCs w:val="22"/>
              </w:rPr>
              <w:t>（2）不服从管理，工作中出现失误，按造成采购人的经济损失和声誉上影响的程度，每人次从服务费中扣除500元-1000元。</w:t>
            </w:r>
          </w:p>
          <w:p>
            <w:pPr>
              <w:rPr>
                <w:rStyle w:val="215"/>
                <w:rFonts w:hint="default" w:cs="宋体"/>
                <w:color w:val="auto"/>
                <w:kern w:val="0"/>
                <w:sz w:val="21"/>
                <w:szCs w:val="22"/>
              </w:rPr>
            </w:pPr>
            <w:r>
              <w:rPr>
                <w:rStyle w:val="215"/>
                <w:rFonts w:hint="default" w:cs="宋体"/>
                <w:color w:val="auto"/>
                <w:kern w:val="0"/>
                <w:sz w:val="21"/>
                <w:szCs w:val="22"/>
              </w:rPr>
              <w:t>（3）人为损坏设备的，由当事人或中标人按设备原价赔偿。</w:t>
            </w:r>
          </w:p>
          <w:p>
            <w:pPr>
              <w:rPr>
                <w:rStyle w:val="215"/>
                <w:rFonts w:hint="default" w:cs="宋体"/>
                <w:color w:val="auto"/>
                <w:kern w:val="0"/>
                <w:sz w:val="21"/>
                <w:szCs w:val="22"/>
              </w:rPr>
            </w:pPr>
            <w:r>
              <w:rPr>
                <w:rStyle w:val="215"/>
                <w:rFonts w:hint="default" w:cs="宋体"/>
                <w:color w:val="auto"/>
                <w:kern w:val="0"/>
                <w:sz w:val="21"/>
                <w:szCs w:val="22"/>
              </w:rPr>
              <w:t>（4）服务态度不好，与被服务人员打架吵架的，每出现一次视情节严重程度扣除服务费500元-1000元。</w:t>
            </w:r>
          </w:p>
          <w:p>
            <w:pPr>
              <w:rPr>
                <w:rStyle w:val="215"/>
                <w:rFonts w:hint="default" w:cs="宋体"/>
                <w:color w:val="auto"/>
                <w:kern w:val="0"/>
                <w:sz w:val="21"/>
                <w:szCs w:val="22"/>
              </w:rPr>
            </w:pPr>
            <w:r>
              <w:rPr>
                <w:rStyle w:val="215"/>
                <w:rFonts w:hint="default" w:cs="宋体"/>
                <w:color w:val="auto"/>
                <w:kern w:val="0"/>
                <w:sz w:val="21"/>
                <w:szCs w:val="22"/>
              </w:rPr>
              <w:t>（5）测评满意率低于90%的，每下降5%扣除2000元。</w:t>
            </w:r>
          </w:p>
        </w:tc>
      </w:tr>
    </w:tbl>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206"/>
        <w:spacing w:line="240" w:lineRule="auto"/>
        <w:ind w:firstLine="0"/>
        <w:rPr>
          <w:b w:val="0"/>
          <w:bCs/>
        </w:rPr>
      </w:pPr>
      <w:r>
        <w:rPr>
          <w:rFonts w:hint="eastAsia"/>
          <w:b w:val="0"/>
          <w:bCs/>
        </w:rPr>
        <w:t>第五章</w:t>
      </w:r>
      <w:r>
        <w:rPr>
          <w:rFonts w:ascii="Calibri" w:hAnsi="Calibri" w:cs="Calibri"/>
          <w:b w:val="0"/>
          <w:bCs/>
        </w:rPr>
        <w:t> </w:t>
      </w:r>
      <w:r>
        <w:rPr>
          <w:rFonts w:hint="eastAsia"/>
          <w:b w:val="0"/>
          <w:bCs/>
        </w:rPr>
        <w:t xml:space="preserve"> 评标方法与评标标准</w:t>
      </w:r>
    </w:p>
    <w:p>
      <w:pPr>
        <w:widowControl/>
        <w:spacing w:line="560" w:lineRule="exact"/>
        <w:ind w:firstLine="480"/>
        <w:rPr>
          <w:b/>
          <w:bCs/>
          <w:sz w:val="24"/>
          <w:szCs w:val="20"/>
        </w:rPr>
      </w:pPr>
      <w:r>
        <w:rPr>
          <w:rFonts w:hint="eastAsia"/>
          <w:b/>
          <w:bCs/>
          <w:sz w:val="24"/>
          <w:szCs w:val="20"/>
        </w:rPr>
        <w:t>一、定标原则</w:t>
      </w:r>
    </w:p>
    <w:p>
      <w:pPr>
        <w:widowControl/>
        <w:spacing w:line="560" w:lineRule="exact"/>
        <w:ind w:firstLine="480"/>
        <w:rPr>
          <w:sz w:val="24"/>
          <w:szCs w:val="20"/>
        </w:rPr>
      </w:pPr>
      <w:r>
        <w:rPr>
          <w:rFonts w:hint="eastAsia"/>
          <w:sz w:val="24"/>
          <w:szCs w:val="20"/>
        </w:rPr>
        <w:t>采用</w:t>
      </w:r>
      <w:r>
        <w:rPr>
          <w:rFonts w:hint="eastAsia"/>
          <w:sz w:val="24"/>
          <w:szCs w:val="20"/>
          <w:u w:val="single"/>
        </w:rPr>
        <w:t>综合评分法</w:t>
      </w:r>
      <w:r>
        <w:rPr>
          <w:rFonts w:hint="eastAsia"/>
          <w:sz w:val="24"/>
          <w:szCs w:val="20"/>
        </w:rPr>
        <w:t>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pPr>
        <w:widowControl/>
        <w:spacing w:line="560" w:lineRule="exact"/>
        <w:ind w:firstLine="480"/>
        <w:rPr>
          <w:b/>
          <w:bCs/>
          <w:sz w:val="24"/>
          <w:szCs w:val="20"/>
        </w:rPr>
      </w:pPr>
      <w:r>
        <w:rPr>
          <w:rFonts w:hint="eastAsia"/>
          <w:b/>
          <w:bCs/>
          <w:sz w:val="24"/>
          <w:szCs w:val="20"/>
        </w:rPr>
        <w:t>政府采购政策功能落实</w:t>
      </w:r>
    </w:p>
    <w:p>
      <w:pPr>
        <w:widowControl/>
        <w:spacing w:line="560" w:lineRule="exact"/>
        <w:ind w:firstLine="480"/>
        <w:rPr>
          <w:b/>
          <w:bCs/>
          <w:sz w:val="24"/>
          <w:szCs w:val="20"/>
        </w:rPr>
      </w:pPr>
      <w:r>
        <w:rPr>
          <w:rFonts w:hint="eastAsia"/>
          <w:b/>
          <w:bCs/>
          <w:sz w:val="24"/>
          <w:szCs w:val="20"/>
        </w:rPr>
        <w:t>1、小微型企业</w:t>
      </w:r>
    </w:p>
    <w:p>
      <w:pPr>
        <w:widowControl/>
        <w:spacing w:line="560" w:lineRule="exact"/>
        <w:ind w:firstLine="480"/>
        <w:rPr>
          <w:sz w:val="24"/>
          <w:szCs w:val="20"/>
        </w:rPr>
      </w:pPr>
      <w:r>
        <w:rPr>
          <w:rFonts w:hint="eastAsia"/>
          <w:sz w:val="24"/>
          <w:szCs w:val="20"/>
        </w:rPr>
        <w:t>（1）本项目专门面向中小企业采购，不再对</w:t>
      </w:r>
      <w:r>
        <w:rPr>
          <w:rFonts w:hint="eastAsia" w:eastAsia="宋体"/>
          <w:sz w:val="24"/>
          <w:szCs w:val="20"/>
          <w:lang w:val="en-US" w:eastAsia="zh-CN"/>
        </w:rPr>
        <w:t>中</w:t>
      </w:r>
      <w:r>
        <w:rPr>
          <w:rFonts w:hint="eastAsia"/>
          <w:sz w:val="24"/>
          <w:szCs w:val="20"/>
        </w:rPr>
        <w:t>小型和微型企业服务给予价格扣除。</w:t>
      </w:r>
    </w:p>
    <w:p>
      <w:pPr>
        <w:widowControl/>
        <w:spacing w:line="560" w:lineRule="exact"/>
        <w:ind w:firstLine="480"/>
        <w:rPr>
          <w:sz w:val="24"/>
          <w:szCs w:val="20"/>
        </w:rPr>
      </w:pPr>
      <w:r>
        <w:rPr>
          <w:rFonts w:hint="eastAsia"/>
          <w:sz w:val="24"/>
          <w:szCs w:val="20"/>
        </w:rPr>
        <w:t>（2）供应商需按照采购文件的要求提供相应的《企业声明函》。</w:t>
      </w:r>
    </w:p>
    <w:p>
      <w:pPr>
        <w:widowControl/>
        <w:spacing w:line="560" w:lineRule="exact"/>
        <w:ind w:firstLine="480"/>
        <w:rPr>
          <w:sz w:val="24"/>
          <w:szCs w:val="20"/>
        </w:rPr>
      </w:pPr>
      <w:r>
        <w:rPr>
          <w:rFonts w:hint="eastAsia"/>
          <w:sz w:val="24"/>
          <w:szCs w:val="20"/>
        </w:rPr>
        <w:t>（3）企业标准请参照《关于印发中小企业划型标准规定的通知》（工信部联企业[2011]300号）文件规定自行填写。</w:t>
      </w:r>
    </w:p>
    <w:p>
      <w:pPr>
        <w:widowControl/>
        <w:spacing w:line="560" w:lineRule="exact"/>
        <w:ind w:firstLine="480"/>
        <w:rPr>
          <w:b/>
          <w:bCs/>
          <w:sz w:val="24"/>
          <w:szCs w:val="20"/>
        </w:rPr>
      </w:pPr>
      <w:r>
        <w:rPr>
          <w:rFonts w:hint="eastAsia"/>
          <w:b/>
          <w:bCs/>
          <w:sz w:val="24"/>
          <w:szCs w:val="20"/>
        </w:rPr>
        <w:t>2、残疾人福利单位</w:t>
      </w:r>
    </w:p>
    <w:p>
      <w:pPr>
        <w:widowControl/>
        <w:spacing w:line="560" w:lineRule="exact"/>
        <w:ind w:firstLine="480"/>
        <w:rPr>
          <w:sz w:val="24"/>
          <w:szCs w:val="20"/>
        </w:rPr>
      </w:pPr>
      <w:r>
        <w:rPr>
          <w:rFonts w:hint="eastAsia"/>
          <w:sz w:val="24"/>
          <w:szCs w:val="20"/>
        </w:rPr>
        <w:t>（1）本项目对残疾人福利性单位视同小型、微型企业。</w:t>
      </w:r>
    </w:p>
    <w:p>
      <w:pPr>
        <w:widowControl/>
        <w:spacing w:line="560" w:lineRule="exact"/>
        <w:ind w:firstLine="480"/>
        <w:rPr>
          <w:sz w:val="24"/>
          <w:szCs w:val="20"/>
        </w:rPr>
      </w:pPr>
      <w:r>
        <w:rPr>
          <w:rFonts w:hint="eastAsia"/>
          <w:sz w:val="24"/>
          <w:szCs w:val="20"/>
        </w:rPr>
        <w:t>（2）残疾人福利单位标准请参照《关于促进残疾人就业政府采购政策的通知》（财库〔2017〕141号），需提供《残疾人福利性单位声明函》。</w:t>
      </w:r>
    </w:p>
    <w:p>
      <w:pPr>
        <w:widowControl/>
        <w:spacing w:line="560" w:lineRule="exact"/>
        <w:ind w:firstLine="480"/>
        <w:rPr>
          <w:b/>
          <w:bCs/>
          <w:sz w:val="24"/>
          <w:szCs w:val="20"/>
        </w:rPr>
      </w:pPr>
      <w:r>
        <w:rPr>
          <w:rFonts w:hint="eastAsia"/>
          <w:b/>
          <w:bCs/>
          <w:sz w:val="24"/>
          <w:szCs w:val="20"/>
        </w:rPr>
        <w:t>3、监狱和戒毒企业</w:t>
      </w:r>
    </w:p>
    <w:p>
      <w:pPr>
        <w:widowControl/>
        <w:spacing w:line="560" w:lineRule="exact"/>
        <w:ind w:firstLine="480"/>
        <w:rPr>
          <w:sz w:val="24"/>
          <w:szCs w:val="20"/>
        </w:rPr>
      </w:pPr>
      <w:r>
        <w:rPr>
          <w:rFonts w:hint="eastAsia"/>
          <w:sz w:val="24"/>
          <w:szCs w:val="20"/>
        </w:rPr>
        <w:t>（1）本项目对监狱和戒毒企业（简称监狱企业）视同小型、微型企业。</w:t>
      </w:r>
    </w:p>
    <w:p>
      <w:pPr>
        <w:widowControl/>
        <w:spacing w:line="560" w:lineRule="exact"/>
        <w:ind w:firstLine="480"/>
        <w:rPr>
          <w:sz w:val="24"/>
          <w:szCs w:val="20"/>
        </w:rPr>
      </w:pPr>
      <w:r>
        <w:rPr>
          <w:rFonts w:hint="eastAsia"/>
          <w:sz w:val="24"/>
          <w:szCs w:val="20"/>
        </w:rPr>
        <w:t>（2）监狱企业参加政府采购活动时，需提供由省级以上监狱管理局、戒毒管理局(含新疆生产建设兵团)出具的属于监狱企业的证明文件。</w:t>
      </w:r>
    </w:p>
    <w:p>
      <w:pPr>
        <w:widowControl/>
        <w:spacing w:line="560" w:lineRule="exact"/>
        <w:ind w:firstLine="480"/>
        <w:rPr>
          <w:sz w:val="24"/>
          <w:szCs w:val="20"/>
        </w:rPr>
      </w:pPr>
      <w:r>
        <w:rPr>
          <w:rFonts w:hint="eastAsia"/>
          <w:sz w:val="24"/>
          <w:szCs w:val="20"/>
        </w:rPr>
        <w:t>（3）监狱企业标准请参照《关于政府采购支持监狱企业发展有关问题的通知》（财库[2014]68号）。</w:t>
      </w:r>
    </w:p>
    <w:p>
      <w:pPr>
        <w:widowControl/>
        <w:spacing w:line="560" w:lineRule="exact"/>
        <w:ind w:firstLine="480"/>
        <w:rPr>
          <w:sz w:val="24"/>
          <w:szCs w:val="20"/>
        </w:rPr>
      </w:pPr>
      <w:r>
        <w:rPr>
          <w:rFonts w:hint="eastAsia"/>
          <w:sz w:val="24"/>
          <w:szCs w:val="20"/>
        </w:rPr>
        <w:t>4、残疾人福利单位、监狱企业属于小型、微型企业的，不重复享受政策。</w:t>
      </w:r>
    </w:p>
    <w:p>
      <w:pPr>
        <w:widowControl/>
        <w:spacing w:line="560" w:lineRule="exact"/>
        <w:ind w:firstLine="480"/>
        <w:rPr>
          <w:sz w:val="24"/>
          <w:szCs w:val="20"/>
        </w:rPr>
      </w:pPr>
      <w:r>
        <w:rPr>
          <w:rFonts w:hint="eastAsia"/>
          <w:sz w:val="24"/>
          <w:szCs w:val="20"/>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pPr>
        <w:widowControl/>
        <w:spacing w:line="560" w:lineRule="exact"/>
        <w:ind w:firstLine="480"/>
        <w:rPr>
          <w:sz w:val="24"/>
          <w:szCs w:val="20"/>
        </w:rPr>
      </w:pPr>
      <w:r>
        <w:rPr>
          <w:rFonts w:hint="eastAsia"/>
          <w:sz w:val="24"/>
          <w:szCs w:val="20"/>
        </w:rPr>
        <w:t>6、供应商对于投标产品的商品包装、快递包装应按照“财办库〔2020〕123号《关于印发《商品包装政府采购需求标准（试行）》、《快递包装政府采购需求标准（试行）》的通知》”执行。</w:t>
      </w:r>
    </w:p>
    <w:p>
      <w:pPr>
        <w:widowControl/>
        <w:spacing w:line="560" w:lineRule="exact"/>
        <w:ind w:firstLine="480"/>
        <w:rPr>
          <w:rFonts w:hint="eastAsia"/>
          <w:sz w:val="24"/>
          <w:szCs w:val="20"/>
        </w:rPr>
      </w:pPr>
      <w:r>
        <w:rPr>
          <w:rFonts w:hint="eastAsia"/>
          <w:sz w:val="24"/>
          <w:szCs w:val="20"/>
        </w:rPr>
        <w:t>7、本文件中若涉及到数据中心采购，应按照《&lt;绿色数据中心政府采购需求标准（试行）&gt;的通知》（财库〔2023〕7号）执行。</w:t>
      </w:r>
    </w:p>
    <w:p>
      <w:pPr>
        <w:widowControl/>
        <w:spacing w:line="560" w:lineRule="exact"/>
        <w:ind w:firstLine="480"/>
        <w:rPr>
          <w:rFonts w:hint="eastAsia"/>
          <w:sz w:val="24"/>
          <w:szCs w:val="20"/>
          <w:lang w:val="en-US" w:eastAsia="zh-CN"/>
        </w:rPr>
      </w:pPr>
      <w:r>
        <w:rPr>
          <w:rFonts w:hint="eastAsia"/>
          <w:sz w:val="24"/>
          <w:szCs w:val="20"/>
          <w:lang w:val="en-US" w:eastAsia="zh-CN"/>
        </w:rPr>
        <w:t>8、根据《江苏省政府采购信用管理暂行办法》的规定，供应商信用评价结果为三星的扣2分，评价结果为二星的扣3分，评价结果为一星的扣4分。</w:t>
      </w:r>
    </w:p>
    <w:p>
      <w:pPr>
        <w:spacing w:line="440" w:lineRule="exact"/>
        <w:ind w:firstLine="480"/>
        <w:rPr>
          <w:rStyle w:val="216"/>
          <w:rFonts w:hint="eastAsia" w:ascii="宋体"/>
          <w:b/>
          <w:bCs/>
          <w:color w:val="000000"/>
          <w:sz w:val="24"/>
          <w:szCs w:val="24"/>
          <w:lang w:val="en-US" w:eastAsia="zh-CN"/>
        </w:rPr>
      </w:pPr>
      <w:r>
        <w:rPr>
          <w:rFonts w:hint="eastAsia" w:ascii="宋体" w:hAnsi="宋体" w:eastAsia="宋体" w:cs="宋体"/>
          <w:b/>
          <w:color w:val="auto"/>
          <w:highlight w:val="none"/>
        </w:rPr>
        <w:t>评标方法与评标标准</w:t>
      </w:r>
    </w:p>
    <w:tbl>
      <w:tblPr>
        <w:tblStyle w:val="37"/>
        <w:tblW w:w="93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0"/>
        <w:gridCol w:w="723"/>
        <w:gridCol w:w="1116"/>
        <w:gridCol w:w="63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noWrap w:val="0"/>
            <w:vAlign w:val="center"/>
          </w:tcPr>
          <w:p>
            <w:pPr>
              <w:keepNext w:val="0"/>
              <w:keepLines w:val="0"/>
              <w:pageBreakBefore w:val="0"/>
              <w:spacing w:line="500" w:lineRule="exact"/>
              <w:jc w:val="center"/>
              <w:rPr>
                <w:rFonts w:ascii="宋体" w:hAnsi="宋体" w:cs="宋体"/>
                <w:b/>
                <w:bCs/>
                <w:color w:val="000000"/>
                <w:sz w:val="24"/>
                <w:szCs w:val="24"/>
              </w:rPr>
            </w:pPr>
            <w:r>
              <w:rPr>
                <w:rFonts w:hint="eastAsia" w:ascii="宋体" w:hAnsi="宋体" w:cs="宋体"/>
                <w:b/>
                <w:bCs/>
                <w:color w:val="000000"/>
                <w:sz w:val="24"/>
                <w:szCs w:val="24"/>
              </w:rPr>
              <w:t>评审项目</w:t>
            </w:r>
          </w:p>
        </w:tc>
        <w:tc>
          <w:tcPr>
            <w:tcW w:w="723" w:type="dxa"/>
            <w:noWrap w:val="0"/>
            <w:vAlign w:val="center"/>
          </w:tcPr>
          <w:p>
            <w:pPr>
              <w:keepNext w:val="0"/>
              <w:keepLines w:val="0"/>
              <w:pageBreakBefore w:val="0"/>
              <w:spacing w:line="500" w:lineRule="exact"/>
              <w:jc w:val="center"/>
              <w:rPr>
                <w:rFonts w:ascii="宋体" w:hAnsi="宋体" w:cs="宋体"/>
                <w:b/>
                <w:bCs/>
                <w:color w:val="000000"/>
                <w:sz w:val="24"/>
                <w:szCs w:val="24"/>
              </w:rPr>
            </w:pPr>
            <w:r>
              <w:rPr>
                <w:rFonts w:hint="eastAsia" w:ascii="宋体" w:hAnsi="宋体" w:cs="宋体"/>
                <w:b/>
                <w:bCs/>
                <w:color w:val="000000"/>
                <w:sz w:val="24"/>
                <w:szCs w:val="24"/>
              </w:rPr>
              <w:t>分值</w:t>
            </w:r>
          </w:p>
        </w:tc>
        <w:tc>
          <w:tcPr>
            <w:tcW w:w="7431" w:type="dxa"/>
            <w:gridSpan w:val="2"/>
            <w:noWrap w:val="0"/>
            <w:vAlign w:val="center"/>
          </w:tcPr>
          <w:p>
            <w:pPr>
              <w:keepNext w:val="0"/>
              <w:keepLines w:val="0"/>
              <w:pageBreakBefore w:val="0"/>
              <w:spacing w:line="500" w:lineRule="exact"/>
              <w:jc w:val="center"/>
              <w:rPr>
                <w:rFonts w:ascii="宋体" w:hAnsi="宋体" w:cs="宋体"/>
                <w:b/>
                <w:bCs/>
                <w:color w:val="000000"/>
                <w:sz w:val="24"/>
                <w:szCs w:val="24"/>
              </w:rPr>
            </w:pPr>
            <w:r>
              <w:rPr>
                <w:rFonts w:hint="eastAsia" w:ascii="宋体" w:hAnsi="宋体" w:cs="宋体"/>
                <w:b/>
                <w:bCs/>
                <w:color w:val="000000"/>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noWrap w:val="0"/>
            <w:vAlign w:val="center"/>
          </w:tcPr>
          <w:p>
            <w:pPr>
              <w:keepNext w:val="0"/>
              <w:keepLines w:val="0"/>
              <w:pageBreakBefore w:val="0"/>
              <w:widowControl/>
              <w:numPr>
                <w:ilvl w:val="0"/>
                <w:numId w:val="0"/>
              </w:numPr>
              <w:spacing w:line="360" w:lineRule="exact"/>
              <w:jc w:val="center"/>
              <w:rPr>
                <w:rFonts w:hint="eastAsia" w:ascii="Times New Roman" w:hAnsi="Times New Roman" w:eastAsia="宋体" w:cs="Times New Roman"/>
                <w:color w:val="auto"/>
                <w:sz w:val="21"/>
                <w:szCs w:val="21"/>
                <w:lang w:val="zh-TW" w:eastAsia="en-US"/>
              </w:rPr>
            </w:pPr>
            <w:r>
              <w:rPr>
                <w:rFonts w:hint="eastAsia" w:ascii="Times New Roman" w:hAnsi="Times New Roman" w:eastAsia="宋体" w:cs="Times New Roman"/>
                <w:color w:val="auto"/>
                <w:sz w:val="21"/>
                <w:szCs w:val="21"/>
                <w:lang w:val="zh-TW" w:eastAsia="en-US"/>
              </w:rPr>
              <w:t>报价</w:t>
            </w:r>
          </w:p>
        </w:tc>
        <w:tc>
          <w:tcPr>
            <w:tcW w:w="723" w:type="dxa"/>
            <w:noWrap w:val="0"/>
            <w:vAlign w:val="center"/>
          </w:tcPr>
          <w:p>
            <w:pPr>
              <w:keepNext w:val="0"/>
              <w:keepLines w:val="0"/>
              <w:pageBreakBefore w:val="0"/>
              <w:widowControl/>
              <w:numPr>
                <w:ilvl w:val="0"/>
                <w:numId w:val="0"/>
              </w:numPr>
              <w:spacing w:line="3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b/>
                <w:bCs/>
                <w:color w:val="auto"/>
                <w:sz w:val="21"/>
                <w:szCs w:val="21"/>
                <w:lang w:val="en-US" w:eastAsia="zh-CN"/>
              </w:rPr>
              <w:t>10</w:t>
            </w:r>
          </w:p>
        </w:tc>
        <w:tc>
          <w:tcPr>
            <w:tcW w:w="7431" w:type="dxa"/>
            <w:gridSpan w:val="2"/>
            <w:noWrap w:val="0"/>
            <w:vAlign w:val="center"/>
          </w:tcPr>
          <w:p>
            <w:pPr>
              <w:keepNext w:val="0"/>
              <w:keepLines w:val="0"/>
              <w:pageBreakBefore w:val="0"/>
              <w:widowControl/>
              <w:spacing w:line="360" w:lineRule="exact"/>
              <w:ind w:firstLine="0"/>
              <w:jc w:val="left"/>
              <w:rPr>
                <w:rFonts w:hint="eastAsia" w:ascii="Times New Roman" w:hAnsi="Times New Roman" w:eastAsia="宋体" w:cs="Times New Roman"/>
                <w:color w:val="auto"/>
                <w:sz w:val="21"/>
                <w:szCs w:val="21"/>
                <w:lang w:val="zh-TW" w:eastAsia="en-US"/>
              </w:rPr>
            </w:pPr>
            <w:r>
              <w:rPr>
                <w:rFonts w:hint="eastAsia" w:ascii="Times New Roman" w:hAnsi="Times New Roman" w:eastAsia="宋体" w:cs="Times New Roman"/>
                <w:color w:val="auto"/>
                <w:sz w:val="21"/>
                <w:szCs w:val="21"/>
                <w:lang w:val="zh-TW" w:eastAsia="en-US"/>
              </w:rPr>
              <w:t>采用低价优先法，即满足招标文件要求且投标价格最低的有效投标报价为评标基准价，其价格分为满分。</w:t>
            </w:r>
          </w:p>
          <w:p>
            <w:pPr>
              <w:keepNext w:val="0"/>
              <w:keepLines w:val="0"/>
              <w:pageBreakBefore w:val="0"/>
              <w:widowControl/>
              <w:spacing w:line="360" w:lineRule="exact"/>
              <w:ind w:firstLine="0"/>
              <w:jc w:val="left"/>
              <w:rPr>
                <w:rFonts w:hint="eastAsia" w:ascii="Times New Roman" w:hAnsi="Times New Roman" w:eastAsia="宋体" w:cs="Times New Roman"/>
                <w:color w:val="auto"/>
                <w:sz w:val="21"/>
                <w:szCs w:val="21"/>
                <w:lang w:val="zh-TW" w:eastAsia="en-US"/>
              </w:rPr>
            </w:pPr>
            <w:r>
              <w:rPr>
                <w:rFonts w:hint="eastAsia" w:ascii="Times New Roman" w:hAnsi="Times New Roman" w:eastAsia="宋体" w:cs="Times New Roman"/>
                <w:color w:val="auto"/>
                <w:sz w:val="21"/>
                <w:szCs w:val="21"/>
                <w:lang w:val="zh-TW" w:eastAsia="en-US"/>
              </w:rPr>
              <w:t>其他投标人的价格分统一按下列公式计算：投标报价得分＝（评标基准价/投标报价）×</w:t>
            </w:r>
            <w:r>
              <w:rPr>
                <w:rFonts w:hint="default" w:ascii="Times New Roman" w:hAnsi="Times New Roman" w:cs="Times New Roman"/>
                <w:b/>
                <w:bCs/>
                <w:color w:val="auto"/>
                <w:sz w:val="21"/>
                <w:szCs w:val="21"/>
                <w:lang w:val="en-US" w:eastAsia="zh-CN"/>
              </w:rPr>
              <w:t>10</w:t>
            </w:r>
            <w:r>
              <w:rPr>
                <w:rFonts w:hint="eastAsia" w:ascii="Times New Roman" w:hAnsi="Times New Roman" w:eastAsia="宋体" w:cs="Times New Roman"/>
                <w:color w:val="auto"/>
                <w:sz w:val="21"/>
                <w:szCs w:val="21"/>
                <w:lang w:val="zh-TW" w:eastAsia="en-US"/>
              </w:rPr>
              <w:t>（四舍五入后保留小数点后两位）。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noWrap w:val="0"/>
            <w:vAlign w:val="center"/>
          </w:tcPr>
          <w:p>
            <w:pPr>
              <w:keepNext w:val="0"/>
              <w:keepLines w:val="0"/>
              <w:pageBreakBefore w:val="0"/>
              <w:widowControl/>
              <w:numPr>
                <w:ilvl w:val="0"/>
                <w:numId w:val="0"/>
              </w:numPr>
              <w:spacing w:line="360" w:lineRule="exact"/>
              <w:jc w:val="center"/>
              <w:rPr>
                <w:rFonts w:hint="eastAsia" w:ascii="Times New Roman" w:hAnsi="Times New Roman" w:eastAsia="宋体" w:cs="Times New Roman"/>
                <w:color w:val="auto"/>
                <w:sz w:val="21"/>
                <w:szCs w:val="21"/>
                <w:lang w:val="zh-TW" w:eastAsia="en-US"/>
              </w:rPr>
            </w:pPr>
            <w:r>
              <w:rPr>
                <w:rFonts w:hint="eastAsia" w:ascii="Times New Roman" w:hAnsi="Times New Roman" w:eastAsia="宋体" w:cs="Times New Roman"/>
                <w:color w:val="auto"/>
                <w:sz w:val="21"/>
                <w:szCs w:val="21"/>
                <w:lang w:val="zh-TW" w:eastAsia="en-US"/>
              </w:rPr>
              <w:t>业绩</w:t>
            </w:r>
          </w:p>
        </w:tc>
        <w:tc>
          <w:tcPr>
            <w:tcW w:w="723" w:type="dxa"/>
            <w:noWrap w:val="0"/>
            <w:vAlign w:val="center"/>
          </w:tcPr>
          <w:p>
            <w:pPr>
              <w:keepNext w:val="0"/>
              <w:keepLines w:val="0"/>
              <w:pageBreakBefore w:val="0"/>
              <w:widowControl/>
              <w:numPr>
                <w:ilvl w:val="0"/>
                <w:numId w:val="0"/>
              </w:numPr>
              <w:spacing w:line="36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b/>
                <w:bCs/>
                <w:color w:val="auto"/>
                <w:sz w:val="21"/>
                <w:szCs w:val="21"/>
                <w:lang w:val="en-US" w:eastAsia="zh-CN"/>
              </w:rPr>
              <w:t>10</w:t>
            </w:r>
          </w:p>
        </w:tc>
        <w:tc>
          <w:tcPr>
            <w:tcW w:w="7431" w:type="dxa"/>
            <w:gridSpan w:val="2"/>
            <w:noWrap w:val="0"/>
            <w:vAlign w:val="center"/>
          </w:tcPr>
          <w:p>
            <w:pPr>
              <w:keepNext w:val="0"/>
              <w:keepLines w:val="0"/>
              <w:pageBreakBefore w:val="0"/>
              <w:widowControl/>
              <w:numPr>
                <w:ilvl w:val="0"/>
                <w:numId w:val="0"/>
              </w:numPr>
              <w:spacing w:line="360" w:lineRule="exact"/>
              <w:ind w:firstLine="0"/>
              <w:jc w:val="left"/>
              <w:rPr>
                <w:rFonts w:hint="eastAsia" w:ascii="Times New Roman" w:hAnsi="Times New Roman" w:eastAsia="宋体" w:cs="Times New Roman"/>
                <w:color w:val="auto"/>
                <w:lang w:val="zh-TW" w:eastAsia="en-US"/>
              </w:rPr>
            </w:pPr>
            <w:r>
              <w:rPr>
                <w:rFonts w:hint="eastAsia" w:ascii="Times New Roman" w:hAnsi="Times New Roman" w:eastAsia="宋体" w:cs="Times New Roman"/>
                <w:color w:val="auto"/>
                <w:sz w:val="21"/>
                <w:szCs w:val="21"/>
                <w:lang w:val="zh-TW" w:eastAsia="en-US"/>
              </w:rPr>
              <w:t>自</w:t>
            </w:r>
            <w:r>
              <w:rPr>
                <w:rFonts w:hint="eastAsia" w:ascii="Times New Roman" w:hAnsi="Times New Roman" w:eastAsia="宋体" w:cs="Times New Roman"/>
                <w:b/>
                <w:bCs/>
                <w:color w:val="auto"/>
                <w:sz w:val="21"/>
                <w:szCs w:val="21"/>
                <w:lang w:val="zh-TW" w:eastAsia="en-US"/>
              </w:rPr>
              <w:t>202</w:t>
            </w:r>
            <w:r>
              <w:rPr>
                <w:rFonts w:hint="eastAsia" w:ascii="Times New Roman" w:hAnsi="Times New Roman" w:cs="Times New Roman"/>
                <w:b/>
                <w:bCs/>
                <w:color w:val="auto"/>
                <w:sz w:val="21"/>
                <w:szCs w:val="21"/>
                <w:lang w:val="en-US" w:eastAsia="zh-CN"/>
              </w:rPr>
              <w:t>1</w:t>
            </w:r>
            <w:r>
              <w:rPr>
                <w:rFonts w:hint="eastAsia" w:ascii="Times New Roman" w:hAnsi="Times New Roman" w:eastAsia="宋体" w:cs="Times New Roman"/>
                <w:color w:val="auto"/>
                <w:sz w:val="21"/>
                <w:szCs w:val="21"/>
                <w:lang w:val="zh-TW" w:eastAsia="en-US"/>
              </w:rPr>
              <w:t>年1月1日以来（以合同签订日期为准），承接过机关单位、事业单位（不含工厂等)、国企单位</w:t>
            </w:r>
            <w:r>
              <w:rPr>
                <w:rFonts w:hint="eastAsia" w:ascii="Times New Roman" w:hAnsi="Times New Roman" w:eastAsia="宋体" w:cs="Times New Roman"/>
                <w:color w:val="auto"/>
                <w:sz w:val="21"/>
                <w:szCs w:val="21"/>
                <w:lang w:val="en-US" w:eastAsia="zh-CN"/>
              </w:rPr>
              <w:t>等类似食堂餐饮服务</w:t>
            </w:r>
            <w:r>
              <w:rPr>
                <w:rFonts w:hint="eastAsia" w:ascii="Times New Roman" w:hAnsi="Times New Roman" w:eastAsia="宋体" w:cs="Times New Roman"/>
                <w:color w:val="auto"/>
                <w:sz w:val="21"/>
                <w:szCs w:val="21"/>
                <w:lang w:val="zh-TW" w:eastAsia="en-US"/>
              </w:rPr>
              <w:t>项目的，每提供一个得2分，最高得</w:t>
            </w:r>
            <w:r>
              <w:rPr>
                <w:rFonts w:hint="eastAsia" w:ascii="Times New Roman" w:hAnsi="Times New Roman" w:cs="Times New Roman"/>
                <w:b/>
                <w:bCs/>
                <w:color w:val="auto"/>
                <w:sz w:val="21"/>
                <w:szCs w:val="21"/>
                <w:lang w:val="en-US" w:eastAsia="zh-CN"/>
              </w:rPr>
              <w:t>10</w:t>
            </w:r>
            <w:r>
              <w:rPr>
                <w:rFonts w:hint="eastAsia" w:ascii="Times New Roman" w:hAnsi="Times New Roman" w:eastAsia="宋体" w:cs="Times New Roman"/>
                <w:color w:val="auto"/>
                <w:sz w:val="21"/>
                <w:szCs w:val="21"/>
                <w:lang w:val="zh-TW" w:eastAsia="en-US"/>
              </w:rPr>
              <w:t>分。（</w:t>
            </w:r>
            <w:r>
              <w:rPr>
                <w:rFonts w:hint="eastAsia" w:ascii="宋体" w:hAnsi="宋体" w:eastAsia="宋体"/>
                <w:color w:val="auto"/>
                <w:szCs w:val="21"/>
                <w:highlight w:val="none"/>
                <w:lang w:val="zh-TW"/>
              </w:rPr>
              <w:t>每个类似业绩均提供</w:t>
            </w:r>
            <w:r>
              <w:rPr>
                <w:rFonts w:hint="eastAsia" w:ascii="宋体" w:hAnsi="宋体" w:eastAsia="宋体"/>
                <w:color w:val="auto"/>
                <w:szCs w:val="21"/>
                <w:highlight w:val="none"/>
                <w:lang w:val="en-US" w:eastAsia="zh-CN"/>
              </w:rPr>
              <w:t>中标通知书及</w:t>
            </w:r>
            <w:r>
              <w:rPr>
                <w:rFonts w:hint="eastAsia" w:ascii="宋体" w:hAnsi="宋体" w:eastAsia="宋体"/>
                <w:color w:val="auto"/>
                <w:szCs w:val="21"/>
                <w:highlight w:val="none"/>
                <w:lang w:val="zh-TW"/>
              </w:rPr>
              <w:t>合同扫描件并加盖投标人公章，时间以合同签订时间为准</w:t>
            </w:r>
            <w:r>
              <w:rPr>
                <w:rFonts w:hint="eastAsia" w:ascii="Times New Roman" w:hAnsi="Times New Roman" w:eastAsia="宋体" w:cs="Times New Roman"/>
                <w:color w:val="auto"/>
                <w:sz w:val="21"/>
                <w:szCs w:val="21"/>
                <w:lang w:val="zh-TW"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noWrap w:val="0"/>
            <w:vAlign w:val="center"/>
          </w:tcPr>
          <w:p>
            <w:pPr>
              <w:keepNext w:val="0"/>
              <w:keepLines w:val="0"/>
              <w:pageBreakBefore w:val="0"/>
              <w:widowControl/>
              <w:numPr>
                <w:ilvl w:val="0"/>
                <w:numId w:val="0"/>
              </w:numPr>
              <w:spacing w:line="360" w:lineRule="exact"/>
              <w:jc w:val="center"/>
              <w:rPr>
                <w:rFonts w:hint="eastAsia" w:ascii="Times New Roman" w:hAnsi="Times New Roman" w:eastAsia="宋体" w:cs="Times New Roman"/>
                <w:color w:val="auto"/>
                <w:sz w:val="21"/>
                <w:szCs w:val="21"/>
                <w:lang w:val="zh-TW" w:eastAsia="en-US"/>
              </w:rPr>
            </w:pPr>
            <w:r>
              <w:rPr>
                <w:rFonts w:hint="eastAsia" w:ascii="宋体" w:hAnsi="宋体" w:cs="宋体"/>
                <w:color w:val="auto"/>
                <w:sz w:val="21"/>
                <w:szCs w:val="21"/>
                <w:vertAlign w:val="baseline"/>
                <w:lang w:val="en-US" w:eastAsia="zh-CN"/>
              </w:rPr>
              <w:t>企业资质</w:t>
            </w:r>
          </w:p>
        </w:tc>
        <w:tc>
          <w:tcPr>
            <w:tcW w:w="723" w:type="dxa"/>
            <w:noWrap w:val="0"/>
            <w:vAlign w:val="center"/>
          </w:tcPr>
          <w:p>
            <w:pPr>
              <w:keepNext w:val="0"/>
              <w:keepLines w:val="0"/>
              <w:pageBreakBefore w:val="0"/>
              <w:widowControl/>
              <w:numPr>
                <w:ilvl w:val="0"/>
                <w:numId w:val="0"/>
              </w:numPr>
              <w:spacing w:line="3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b/>
                <w:bCs/>
                <w:color w:val="auto"/>
                <w:sz w:val="21"/>
                <w:szCs w:val="21"/>
                <w:lang w:val="en-US" w:eastAsia="zh-CN"/>
              </w:rPr>
              <w:t>5</w:t>
            </w:r>
          </w:p>
        </w:tc>
        <w:tc>
          <w:tcPr>
            <w:tcW w:w="7431" w:type="dxa"/>
            <w:gridSpan w:val="2"/>
            <w:noWrap w:val="0"/>
            <w:vAlign w:val="center"/>
          </w:tcPr>
          <w:p>
            <w:pPr>
              <w:spacing w:line="300" w:lineRule="exact"/>
              <w:ind w:firstLine="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投标人提供具有</w:t>
            </w:r>
            <w:r>
              <w:rPr>
                <w:rFonts w:hint="eastAsia" w:ascii="宋体" w:hAnsi="宋体" w:eastAsia="宋体" w:cs="宋体"/>
                <w:color w:val="auto"/>
                <w:sz w:val="21"/>
                <w:szCs w:val="21"/>
                <w:lang w:val="en-US" w:eastAsia="zh-CN"/>
              </w:rPr>
              <w:t>的认证证书的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本项最多得</w:t>
            </w:r>
            <w:r>
              <w:rPr>
                <w:rFonts w:ascii="宋体" w:hAnsi="宋体" w:eastAsia="宋体" w:cs="宋体"/>
                <w:color w:val="auto"/>
                <w:sz w:val="21"/>
                <w:szCs w:val="21"/>
                <w:lang w:val="en-US" w:eastAsia="zh-CN"/>
              </w:rPr>
              <w:t>5</w:t>
            </w:r>
            <w:r>
              <w:rPr>
                <w:rFonts w:hint="eastAsia" w:ascii="宋体" w:hAnsi="宋体" w:eastAsia="宋体" w:cs="宋体"/>
                <w:color w:val="auto"/>
                <w:sz w:val="21"/>
                <w:szCs w:val="21"/>
              </w:rPr>
              <w:t>分。</w:t>
            </w:r>
          </w:p>
          <w:p>
            <w:pPr>
              <w:spacing w:line="300" w:lineRule="exact"/>
              <w:ind w:firstLine="0"/>
              <w:rPr>
                <w:rFonts w:ascii="宋体" w:hAnsi="宋体" w:eastAsia="宋体" w:cs="宋体"/>
                <w:color w:val="auto"/>
                <w:sz w:val="21"/>
                <w:szCs w:val="21"/>
                <w:lang w:val="en-US" w:eastAsia="zh-CN"/>
              </w:rPr>
            </w:pPr>
            <w:r>
              <w:rPr>
                <w:rFonts w:hint="eastAsia" w:ascii="宋体" w:hAnsi="宋体" w:cs="宋体"/>
                <w:color w:val="auto"/>
                <w:sz w:val="21"/>
                <w:szCs w:val="21"/>
                <w:lang w:val="en-US" w:eastAsia="zh-CN"/>
              </w:rPr>
              <w:t>①</w:t>
            </w:r>
            <w:r>
              <w:rPr>
                <w:rFonts w:hint="eastAsia" w:ascii="宋体" w:hAnsi="宋体" w:eastAsia="宋体" w:cs="宋体"/>
                <w:color w:val="auto"/>
                <w:sz w:val="21"/>
                <w:szCs w:val="21"/>
              </w:rPr>
              <w:t>提供ISO9001质量管理体系认证</w:t>
            </w:r>
            <w:r>
              <w:rPr>
                <w:rFonts w:hint="eastAsia" w:ascii="宋体" w:hAnsi="宋体" w:eastAsia="宋体" w:cs="宋体"/>
                <w:color w:val="auto"/>
                <w:sz w:val="21"/>
                <w:szCs w:val="21"/>
                <w:lang w:val="en-US" w:eastAsia="zh-CN"/>
              </w:rPr>
              <w:t>（认证范围包含餐饮类）</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得1分。</w:t>
            </w:r>
          </w:p>
          <w:p>
            <w:pPr>
              <w:spacing w:line="300" w:lineRule="exact"/>
              <w:ind w:firstLine="0"/>
              <w:rPr>
                <w:rFonts w:hint="eastAsia" w:ascii="宋体" w:hAnsi="宋体" w:eastAsia="宋体" w:cs="宋体"/>
                <w:color w:val="auto"/>
                <w:sz w:val="21"/>
                <w:szCs w:val="21"/>
              </w:rPr>
            </w:pPr>
            <w:r>
              <w:rPr>
                <w:rFonts w:hint="eastAsia" w:ascii="宋体" w:hAnsi="宋体" w:cs="宋体"/>
                <w:color w:val="auto"/>
                <w:sz w:val="21"/>
                <w:szCs w:val="21"/>
                <w:lang w:val="en-US" w:eastAsia="zh-CN"/>
              </w:rPr>
              <w:t>②</w:t>
            </w:r>
            <w:r>
              <w:rPr>
                <w:rFonts w:hint="eastAsia" w:ascii="宋体" w:hAnsi="宋体" w:eastAsia="宋体" w:cs="宋体"/>
                <w:color w:val="auto"/>
                <w:sz w:val="21"/>
                <w:szCs w:val="21"/>
              </w:rPr>
              <w:t>提供ISO14001环境管理体系认证</w:t>
            </w:r>
            <w:r>
              <w:rPr>
                <w:rFonts w:hint="eastAsia" w:ascii="宋体" w:hAnsi="宋体" w:eastAsia="宋体" w:cs="宋体"/>
                <w:color w:val="auto"/>
                <w:sz w:val="21"/>
                <w:szCs w:val="21"/>
                <w:lang w:val="en-US" w:eastAsia="zh-CN"/>
              </w:rPr>
              <w:t>（认证范围包含餐饮类）</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得1分。</w:t>
            </w:r>
          </w:p>
          <w:p>
            <w:pPr>
              <w:spacing w:line="300" w:lineRule="exact"/>
              <w:ind w:firstLine="0"/>
              <w:rPr>
                <w:rFonts w:hint="eastAsia" w:ascii="宋体" w:hAnsi="宋体" w:eastAsia="宋体" w:cs="宋体"/>
                <w:color w:val="auto"/>
                <w:sz w:val="21"/>
                <w:szCs w:val="21"/>
              </w:rPr>
            </w:pPr>
            <w:r>
              <w:rPr>
                <w:rFonts w:hint="eastAsia" w:ascii="宋体" w:hAnsi="宋体" w:cs="宋体"/>
                <w:color w:val="auto"/>
                <w:sz w:val="21"/>
                <w:szCs w:val="21"/>
                <w:lang w:val="en-US" w:eastAsia="zh-CN"/>
              </w:rPr>
              <w:t>③</w:t>
            </w:r>
            <w:r>
              <w:rPr>
                <w:rFonts w:hint="eastAsia" w:ascii="宋体" w:hAnsi="宋体" w:eastAsia="宋体" w:cs="宋体"/>
                <w:color w:val="auto"/>
                <w:sz w:val="21"/>
                <w:szCs w:val="21"/>
              </w:rPr>
              <w:t>提供职业健康安全管理体系认证</w:t>
            </w:r>
            <w:r>
              <w:rPr>
                <w:rFonts w:hint="eastAsia" w:ascii="宋体" w:hAnsi="宋体" w:eastAsia="宋体" w:cs="宋体"/>
                <w:color w:val="auto"/>
                <w:sz w:val="21"/>
                <w:szCs w:val="21"/>
                <w:lang w:val="en-US" w:eastAsia="zh-CN"/>
              </w:rPr>
              <w:t>（认证范围包含餐饮类）</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得1分。</w:t>
            </w:r>
          </w:p>
          <w:p>
            <w:pPr>
              <w:spacing w:line="300" w:lineRule="exact"/>
              <w:ind w:firstLine="0"/>
              <w:rPr>
                <w:rFonts w:hint="eastAsia" w:ascii="宋体" w:hAnsi="宋体" w:eastAsia="宋体" w:cs="宋体"/>
                <w:color w:val="auto"/>
                <w:sz w:val="21"/>
                <w:szCs w:val="21"/>
              </w:rPr>
            </w:pPr>
            <w:r>
              <w:rPr>
                <w:rFonts w:hint="eastAsia" w:ascii="宋体" w:hAnsi="宋体" w:cs="宋体"/>
                <w:color w:val="auto"/>
                <w:sz w:val="21"/>
                <w:szCs w:val="21"/>
                <w:lang w:val="en-US" w:eastAsia="zh-CN"/>
              </w:rPr>
              <w:t>④</w:t>
            </w:r>
            <w:r>
              <w:rPr>
                <w:rFonts w:hint="eastAsia" w:ascii="宋体" w:hAnsi="宋体" w:eastAsia="宋体" w:cs="宋体"/>
                <w:color w:val="auto"/>
                <w:sz w:val="21"/>
                <w:szCs w:val="21"/>
              </w:rPr>
              <w:t>提供食品安全管理体系认证</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得</w:t>
            </w:r>
            <w:r>
              <w:rPr>
                <w:rFonts w:ascii="宋体" w:hAnsi="宋体" w:eastAsia="宋体" w:cs="宋体"/>
                <w:color w:val="auto"/>
                <w:sz w:val="21"/>
                <w:szCs w:val="21"/>
                <w:lang w:val="en-US" w:eastAsia="zh-CN"/>
              </w:rPr>
              <w:t>1</w:t>
            </w:r>
            <w:r>
              <w:rPr>
                <w:rFonts w:hint="eastAsia" w:ascii="宋体" w:hAnsi="宋体" w:eastAsia="宋体" w:cs="宋体"/>
                <w:color w:val="auto"/>
                <w:sz w:val="21"/>
                <w:szCs w:val="21"/>
                <w:lang w:val="en-US" w:eastAsia="zh-CN"/>
              </w:rPr>
              <w:t>分。</w:t>
            </w:r>
          </w:p>
          <w:p>
            <w:pPr>
              <w:spacing w:line="300" w:lineRule="exact"/>
              <w:ind w:firstLine="0"/>
              <w:rPr>
                <w:rFonts w:hint="eastAsia" w:ascii="宋体" w:hAnsi="宋体" w:eastAsia="宋体" w:cs="宋体"/>
                <w:color w:val="auto"/>
                <w:sz w:val="21"/>
                <w:szCs w:val="21"/>
              </w:rPr>
            </w:pPr>
            <w:r>
              <w:rPr>
                <w:rFonts w:hint="eastAsia" w:ascii="宋体" w:hAnsi="宋体" w:cs="宋体"/>
                <w:color w:val="auto"/>
                <w:sz w:val="21"/>
                <w:szCs w:val="21"/>
                <w:lang w:val="en-US" w:eastAsia="zh-CN"/>
              </w:rPr>
              <w:t>⑤</w:t>
            </w:r>
            <w:r>
              <w:rPr>
                <w:rFonts w:hint="eastAsia" w:ascii="宋体" w:hAnsi="宋体" w:eastAsia="宋体" w:cs="宋体"/>
                <w:color w:val="auto"/>
                <w:sz w:val="21"/>
                <w:szCs w:val="21"/>
              </w:rPr>
              <w:t>提供</w:t>
            </w:r>
            <w:r>
              <w:rPr>
                <w:rFonts w:hint="eastAsia" w:ascii="宋体" w:hAnsi="宋体" w:eastAsia="宋体" w:cs="宋体"/>
                <w:color w:val="auto"/>
                <w:sz w:val="21"/>
                <w:szCs w:val="21"/>
                <w:lang w:val="en-US" w:eastAsia="zh-CN"/>
              </w:rPr>
              <w:t>企业诚信管理体系认证</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得</w:t>
            </w:r>
            <w:r>
              <w:rPr>
                <w:rFonts w:ascii="宋体" w:hAnsi="宋体" w:eastAsia="宋体" w:cs="宋体"/>
                <w:color w:val="auto"/>
                <w:sz w:val="21"/>
                <w:szCs w:val="21"/>
                <w:lang w:val="en-US" w:eastAsia="zh-CN"/>
              </w:rPr>
              <w:t>1</w:t>
            </w:r>
            <w:r>
              <w:rPr>
                <w:rFonts w:hint="eastAsia" w:ascii="宋体" w:hAnsi="宋体" w:eastAsia="宋体" w:cs="宋体"/>
                <w:color w:val="auto"/>
                <w:sz w:val="21"/>
                <w:szCs w:val="21"/>
                <w:lang w:val="en-US" w:eastAsia="zh-CN"/>
              </w:rPr>
              <w:t>分。</w:t>
            </w:r>
          </w:p>
          <w:p>
            <w:pPr>
              <w:widowControl/>
              <w:spacing w:line="360" w:lineRule="exact"/>
              <w:ind w:firstLine="0"/>
              <w:jc w:val="left"/>
              <w:rPr>
                <w:rFonts w:hint="default"/>
                <w:color w:val="auto"/>
                <w:lang w:val="en-US" w:eastAsia="zh-CN"/>
              </w:rPr>
            </w:pPr>
            <w:r>
              <w:rPr>
                <w:rFonts w:hint="eastAsia" w:ascii="宋体" w:hAnsi="宋体" w:cs="宋体"/>
                <w:color w:val="auto"/>
                <w:kern w:val="0"/>
                <w:sz w:val="21"/>
                <w:szCs w:val="21"/>
                <w:lang w:val="en-US" w:eastAsia="zh-CN" w:bidi="ar-SA"/>
              </w:rPr>
              <w:t>注：</w:t>
            </w:r>
            <w:r>
              <w:rPr>
                <w:rFonts w:hint="eastAsia" w:ascii="宋体" w:hAnsi="宋体" w:eastAsia="宋体"/>
                <w:color w:val="auto"/>
                <w:szCs w:val="21"/>
                <w:highlight w:val="none"/>
                <w:lang w:val="en-US" w:eastAsia="zh-CN"/>
              </w:rPr>
              <w:t>注：上述证件均需在有效期内原件扫描盖章上传、上述证书覆盖范围应与本项目相关且须提供中国国家认证认可监督管理委员会网站http://www.cnca.gov.cn/查询页面完整截图扫描盖章后上传，否则不予认可。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noWrap w:val="0"/>
            <w:vAlign w:val="center"/>
          </w:tcPr>
          <w:p>
            <w:pPr>
              <w:keepNext w:val="0"/>
              <w:keepLines w:val="0"/>
              <w:pageBreakBefore w:val="0"/>
              <w:widowControl/>
              <w:numPr>
                <w:ilvl w:val="0"/>
                <w:numId w:val="0"/>
              </w:numPr>
              <w:spacing w:line="36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人员资格证书</w:t>
            </w:r>
          </w:p>
        </w:tc>
        <w:tc>
          <w:tcPr>
            <w:tcW w:w="723" w:type="dxa"/>
            <w:noWrap w:val="0"/>
            <w:vAlign w:val="center"/>
          </w:tcPr>
          <w:p>
            <w:pPr>
              <w:keepNext w:val="0"/>
              <w:keepLines w:val="0"/>
              <w:pageBreakBefore w:val="0"/>
              <w:widowControl/>
              <w:numPr>
                <w:ilvl w:val="0"/>
                <w:numId w:val="0"/>
              </w:numPr>
              <w:spacing w:line="360" w:lineRule="exact"/>
              <w:jc w:val="center"/>
              <w:rPr>
                <w:rFonts w:ascii="Times New Roman" w:hAnsi="Times New Roman" w:eastAsia="宋体" w:cs="Times New Roman"/>
                <w:color w:val="auto"/>
                <w:sz w:val="21"/>
                <w:szCs w:val="21"/>
                <w:lang w:val="en-US" w:eastAsia="zh-CN"/>
              </w:rPr>
            </w:pPr>
            <w:r>
              <w:rPr>
                <w:rFonts w:hint="default" w:ascii="Times New Roman" w:hAnsi="Times New Roman" w:cs="Times New Roman"/>
                <w:b/>
                <w:bCs/>
                <w:color w:val="auto"/>
                <w:sz w:val="21"/>
                <w:szCs w:val="21"/>
                <w:lang w:val="en-US" w:eastAsia="zh-CN"/>
              </w:rPr>
              <w:t>7</w:t>
            </w:r>
          </w:p>
        </w:tc>
        <w:tc>
          <w:tcPr>
            <w:tcW w:w="7431" w:type="dxa"/>
            <w:gridSpan w:val="2"/>
            <w:noWrap w:val="0"/>
            <w:vAlign w:val="center"/>
          </w:tcPr>
          <w:p>
            <w:pPr>
              <w:spacing w:line="300" w:lineRule="exact"/>
              <w:ind w:firstLine="0"/>
              <w:rPr>
                <w:rFonts w:hint="eastAsia" w:ascii="宋体" w:hAnsi="宋体" w:eastAsia="宋体" w:cs="宋体"/>
                <w:color w:val="auto"/>
                <w:sz w:val="21"/>
                <w:szCs w:val="21"/>
                <w:lang w:val="en-US" w:eastAsia="zh-CN"/>
              </w:rPr>
            </w:pPr>
            <w:r>
              <w:rPr>
                <w:rFonts w:ascii="宋体" w:hAnsi="宋体" w:eastAsia="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拟投入</w:t>
            </w:r>
            <w:r>
              <w:rPr>
                <w:rFonts w:hint="eastAsia" w:ascii="宋体" w:hAnsi="宋体" w:eastAsia="宋体" w:cs="宋体"/>
                <w:color w:val="auto"/>
                <w:sz w:val="21"/>
                <w:szCs w:val="21"/>
                <w:lang w:val="en-US" w:eastAsia="zh-CN"/>
              </w:rPr>
              <w:t>红案厨师中</w:t>
            </w:r>
            <w:r>
              <w:rPr>
                <w:rFonts w:hint="eastAsia" w:ascii="宋体" w:hAnsi="宋体" w:cs="宋体"/>
                <w:color w:val="auto"/>
                <w:sz w:val="21"/>
                <w:szCs w:val="21"/>
                <w:lang w:val="en-US" w:eastAsia="zh-CN"/>
              </w:rPr>
              <w:t>具有“中式烹调师”</w:t>
            </w:r>
            <w:r>
              <w:rPr>
                <w:rFonts w:hint="eastAsia" w:ascii="宋体" w:hAnsi="宋体" w:eastAsia="宋体" w:cs="宋体"/>
                <w:color w:val="auto"/>
                <w:sz w:val="21"/>
                <w:szCs w:val="21"/>
                <w:lang w:val="en-US" w:eastAsia="zh-CN"/>
              </w:rPr>
              <w:t>相关二级及以上</w:t>
            </w:r>
            <w:r>
              <w:rPr>
                <w:rFonts w:hint="eastAsia" w:ascii="宋体" w:hAnsi="宋体" w:eastAsia="宋体" w:cs="宋体"/>
                <w:color w:val="auto"/>
                <w:sz w:val="21"/>
                <w:szCs w:val="21"/>
              </w:rPr>
              <w:t>证书的，</w:t>
            </w:r>
            <w:r>
              <w:rPr>
                <w:rFonts w:hint="eastAsia" w:ascii="宋体" w:hAnsi="宋体" w:eastAsia="宋体" w:cs="宋体"/>
                <w:color w:val="auto"/>
                <w:sz w:val="21"/>
                <w:szCs w:val="21"/>
                <w:lang w:val="en-US" w:eastAsia="zh-CN"/>
              </w:rPr>
              <w:t>每提供一个</w:t>
            </w:r>
            <w:r>
              <w:rPr>
                <w:rFonts w:hint="eastAsia" w:ascii="宋体" w:hAnsi="宋体" w:cs="宋体"/>
                <w:color w:val="auto"/>
                <w:sz w:val="21"/>
                <w:szCs w:val="21"/>
                <w:lang w:val="en-US" w:eastAsia="zh-CN"/>
              </w:rPr>
              <w:t>得</w:t>
            </w:r>
            <w:r>
              <w:rPr>
                <w:rFonts w:hint="eastAsia" w:ascii="宋体" w:hAnsi="宋体" w:eastAsia="宋体" w:cs="宋体"/>
                <w:color w:val="auto"/>
                <w:sz w:val="21"/>
                <w:szCs w:val="21"/>
                <w:lang w:val="en-US" w:eastAsia="zh-CN"/>
              </w:rPr>
              <w:t>1分</w:t>
            </w:r>
            <w:r>
              <w:rPr>
                <w:rFonts w:hint="eastAsia" w:ascii="宋体" w:hAnsi="宋体" w:cs="宋体"/>
                <w:color w:val="auto"/>
                <w:sz w:val="21"/>
                <w:szCs w:val="21"/>
                <w:lang w:val="en-US" w:eastAsia="zh-CN"/>
              </w:rPr>
              <w:t>；本项</w:t>
            </w:r>
            <w:r>
              <w:rPr>
                <w:rFonts w:hint="eastAsia" w:ascii="宋体" w:hAnsi="宋体" w:eastAsia="宋体" w:cs="宋体"/>
                <w:color w:val="auto"/>
                <w:sz w:val="21"/>
                <w:szCs w:val="21"/>
                <w:lang w:val="en-US" w:eastAsia="zh-CN"/>
              </w:rPr>
              <w:t>最高得</w:t>
            </w:r>
            <w:r>
              <w:rPr>
                <w:rFonts w:ascii="宋体" w:hAnsi="宋体" w:eastAsia="宋体" w:cs="宋体"/>
                <w:color w:val="auto"/>
                <w:sz w:val="21"/>
                <w:szCs w:val="21"/>
                <w:lang w:val="en-US" w:eastAsia="zh-CN"/>
              </w:rPr>
              <w:t>3</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rPr>
              <w:t>。</w:t>
            </w:r>
          </w:p>
          <w:p>
            <w:pPr>
              <w:spacing w:line="300" w:lineRule="exact"/>
              <w:ind w:firstLine="0"/>
              <w:rPr>
                <w:rFonts w:hint="eastAsia" w:ascii="宋体" w:hAnsi="宋体" w:eastAsia="宋体" w:cs="宋体"/>
                <w:color w:val="auto"/>
                <w:sz w:val="21"/>
                <w:szCs w:val="21"/>
                <w:lang w:val="en-US" w:eastAsia="zh-CN"/>
              </w:rPr>
            </w:pPr>
            <w:r>
              <w:rPr>
                <w:rFonts w:ascii="宋体" w:hAnsi="宋体" w:eastAsia="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拟投入</w:t>
            </w:r>
            <w:r>
              <w:rPr>
                <w:rFonts w:hint="eastAsia" w:ascii="宋体" w:hAnsi="宋体" w:eastAsia="宋体" w:cs="宋体"/>
                <w:color w:val="auto"/>
                <w:sz w:val="21"/>
                <w:szCs w:val="21"/>
                <w:lang w:val="en-US" w:eastAsia="zh-CN"/>
              </w:rPr>
              <w:t>白案厨师</w:t>
            </w:r>
            <w:r>
              <w:rPr>
                <w:rFonts w:hint="eastAsia" w:ascii="宋体" w:hAnsi="宋体" w:eastAsia="宋体" w:cs="宋体"/>
                <w:color w:val="auto"/>
                <w:sz w:val="21"/>
                <w:szCs w:val="21"/>
              </w:rPr>
              <w:t>具备“中式</w:t>
            </w:r>
            <w:r>
              <w:rPr>
                <w:rFonts w:hint="eastAsia" w:ascii="宋体" w:hAnsi="宋体" w:eastAsia="宋体" w:cs="宋体"/>
                <w:color w:val="auto"/>
                <w:sz w:val="21"/>
                <w:szCs w:val="21"/>
                <w:lang w:val="en-US" w:eastAsia="zh-CN"/>
              </w:rPr>
              <w:t>面点</w:t>
            </w:r>
            <w:r>
              <w:rPr>
                <w:rFonts w:hint="eastAsia" w:ascii="宋体" w:hAnsi="宋体" w:eastAsia="宋体" w:cs="宋体"/>
                <w:color w:val="auto"/>
                <w:sz w:val="21"/>
                <w:szCs w:val="21"/>
              </w:rPr>
              <w:t>师”</w:t>
            </w:r>
            <w:r>
              <w:rPr>
                <w:rFonts w:hint="eastAsia" w:ascii="宋体" w:hAnsi="宋体" w:eastAsia="宋体" w:cs="宋体"/>
                <w:color w:val="auto"/>
                <w:sz w:val="21"/>
                <w:szCs w:val="21"/>
                <w:lang w:val="en-US" w:eastAsia="zh-CN"/>
              </w:rPr>
              <w:t>相关</w:t>
            </w:r>
            <w:r>
              <w:rPr>
                <w:rFonts w:hint="eastAsia" w:ascii="宋体" w:hAnsi="宋体" w:eastAsia="宋体" w:cs="宋体"/>
                <w:color w:val="auto"/>
                <w:sz w:val="21"/>
                <w:szCs w:val="21"/>
              </w:rPr>
              <w:t>证书的，</w:t>
            </w:r>
            <w:r>
              <w:rPr>
                <w:rFonts w:hint="eastAsia" w:ascii="宋体" w:hAnsi="宋体" w:eastAsia="宋体" w:cs="宋体"/>
                <w:color w:val="auto"/>
                <w:sz w:val="21"/>
                <w:szCs w:val="21"/>
                <w:lang w:val="en-US" w:eastAsia="zh-CN"/>
              </w:rPr>
              <w:t>每提供一个</w:t>
            </w:r>
            <w:r>
              <w:rPr>
                <w:rFonts w:hint="eastAsia" w:ascii="宋体" w:hAnsi="宋体" w:cs="宋体"/>
                <w:color w:val="auto"/>
                <w:sz w:val="21"/>
                <w:szCs w:val="21"/>
                <w:lang w:val="en-US" w:eastAsia="zh-CN"/>
              </w:rPr>
              <w:t>得</w:t>
            </w:r>
            <w:r>
              <w:rPr>
                <w:rFonts w:hint="eastAsia" w:ascii="宋体" w:hAnsi="宋体" w:eastAsia="宋体" w:cs="宋体"/>
                <w:color w:val="auto"/>
                <w:sz w:val="21"/>
                <w:szCs w:val="21"/>
                <w:lang w:val="en-US" w:eastAsia="zh-CN"/>
              </w:rPr>
              <w:t>1分，</w:t>
            </w:r>
            <w:r>
              <w:rPr>
                <w:rFonts w:hint="eastAsia" w:ascii="宋体" w:hAnsi="宋体" w:cs="宋体"/>
                <w:color w:val="auto"/>
                <w:sz w:val="21"/>
                <w:szCs w:val="21"/>
                <w:lang w:val="en-US" w:eastAsia="zh-CN"/>
              </w:rPr>
              <w:t>本项</w:t>
            </w:r>
            <w:r>
              <w:rPr>
                <w:rFonts w:hint="eastAsia" w:ascii="宋体" w:hAnsi="宋体" w:eastAsia="宋体" w:cs="宋体"/>
                <w:color w:val="auto"/>
                <w:sz w:val="21"/>
                <w:szCs w:val="21"/>
                <w:lang w:val="en-US" w:eastAsia="zh-CN"/>
              </w:rPr>
              <w:t>最高得2分</w:t>
            </w:r>
            <w:r>
              <w:rPr>
                <w:rFonts w:hint="eastAsia" w:ascii="宋体" w:hAnsi="宋体" w:eastAsia="宋体" w:cs="宋体"/>
                <w:color w:val="auto"/>
                <w:sz w:val="21"/>
                <w:szCs w:val="21"/>
              </w:rPr>
              <w:t>。</w:t>
            </w:r>
          </w:p>
          <w:p>
            <w:pPr>
              <w:spacing w:line="300" w:lineRule="exact"/>
              <w:ind w:firstLine="0"/>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auto"/>
                <w:sz w:val="21"/>
                <w:szCs w:val="21"/>
                <w:lang w:val="en-US" w:eastAsia="zh-CN"/>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拟投入人</w:t>
            </w:r>
            <w:r>
              <w:rPr>
                <w:rFonts w:hint="eastAsia" w:ascii="宋体" w:hAnsi="宋体" w:eastAsia="宋体" w:cs="宋体"/>
                <w:color w:val="000000" w:themeColor="text1"/>
                <w:sz w:val="21"/>
                <w:szCs w:val="21"/>
                <w:highlight w:val="none"/>
                <w14:textFill>
                  <w14:solidFill>
                    <w14:schemeClr w14:val="tx1"/>
                  </w14:solidFill>
                </w14:textFill>
              </w:rPr>
              <w:t>员中具备食品安全管理员证，</w:t>
            </w:r>
            <w:r>
              <w:rPr>
                <w:rFonts w:hint="eastAsia" w:ascii="宋体" w:hAnsi="宋体" w:cs="宋体"/>
                <w:color w:val="000000" w:themeColor="text1"/>
                <w:sz w:val="21"/>
                <w:szCs w:val="21"/>
                <w:highlight w:val="none"/>
                <w:lang w:val="en-US" w:eastAsia="zh-CN"/>
                <w14:textFill>
                  <w14:solidFill>
                    <w14:schemeClr w14:val="tx1"/>
                  </w14:solidFill>
                </w14:textFill>
              </w:rPr>
              <w:t>得2</w:t>
            </w:r>
            <w:r>
              <w:rPr>
                <w:rFonts w:hint="eastAsia" w:ascii="宋体" w:hAnsi="宋体" w:eastAsia="宋体" w:cs="宋体"/>
                <w:color w:val="000000" w:themeColor="text1"/>
                <w:sz w:val="21"/>
                <w:szCs w:val="21"/>
                <w:highlight w:val="none"/>
                <w14:textFill>
                  <w14:solidFill>
                    <w14:schemeClr w14:val="tx1"/>
                  </w14:solidFill>
                </w14:textFill>
              </w:rPr>
              <w:t>分。</w:t>
            </w:r>
          </w:p>
          <w:p>
            <w:pPr>
              <w:widowControl/>
              <w:spacing w:line="360" w:lineRule="exact"/>
              <w:ind w:firstLine="0"/>
              <w:jc w:val="left"/>
              <w:rPr>
                <w:rFonts w:hint="eastAsia" w:ascii="宋体" w:hAnsi="宋体" w:eastAsia="宋体" w:cs="宋体"/>
                <w:color w:val="auto"/>
                <w:sz w:val="21"/>
                <w:szCs w:val="21"/>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olor w:val="000000" w:themeColor="text1"/>
                <w:szCs w:val="21"/>
                <w:highlight w:val="none"/>
                <w14:textFill>
                  <w14:solidFill>
                    <w14:schemeClr w14:val="tx1"/>
                  </w14:solidFill>
                </w14:textFill>
              </w:rPr>
              <w:t>投标时提供</w:t>
            </w:r>
            <w:r>
              <w:rPr>
                <w:rFonts w:hint="eastAsia" w:ascii="宋体" w:hAnsi="宋体" w:eastAsia="宋体"/>
                <w:color w:val="000000" w:themeColor="text1"/>
                <w:szCs w:val="21"/>
                <w:highlight w:val="none"/>
                <w:lang w:val="en-US" w:eastAsia="zh-CN"/>
                <w14:textFill>
                  <w14:solidFill>
                    <w14:schemeClr w14:val="tx1"/>
                  </w14:solidFill>
                </w14:textFill>
              </w:rPr>
              <w:t>行政主管部门颁发的</w:t>
            </w:r>
            <w:r>
              <w:rPr>
                <w:rFonts w:hint="eastAsia" w:ascii="宋体" w:hAnsi="宋体" w:eastAsia="宋体"/>
                <w:color w:val="000000" w:themeColor="text1"/>
                <w:szCs w:val="21"/>
                <w:highlight w:val="none"/>
                <w14:textFill>
                  <w14:solidFill>
                    <w14:schemeClr w14:val="tx1"/>
                  </w14:solidFill>
                </w14:textFill>
              </w:rPr>
              <w:t>上述证书或相关证明材料的扫描件，以上人员必须为本单位正式职工，须提供</w:t>
            </w:r>
            <w:r>
              <w:rPr>
                <w:rFonts w:hint="eastAsia" w:ascii="宋体" w:hAnsi="宋体" w:eastAsia="宋体"/>
                <w:color w:val="000000" w:themeColor="text1"/>
                <w:szCs w:val="21"/>
                <w:highlight w:val="none"/>
                <w:lang w:val="en-US" w:eastAsia="zh-CN"/>
                <w14:textFill>
                  <w14:solidFill>
                    <w14:schemeClr w14:val="tx1"/>
                  </w14:solidFill>
                </w14:textFill>
              </w:rPr>
              <w:t>公告前近半年内任意一个月</w:t>
            </w:r>
            <w:r>
              <w:rPr>
                <w:rFonts w:hint="eastAsia" w:ascii="宋体" w:hAnsi="宋体" w:eastAsia="宋体"/>
                <w:color w:val="000000" w:themeColor="text1"/>
                <w:szCs w:val="21"/>
                <w:highlight w:val="none"/>
                <w14:textFill>
                  <w14:solidFill>
                    <w14:schemeClr w14:val="tx1"/>
                  </w14:solidFill>
                </w14:textFill>
              </w:rPr>
              <w:t>在本单位缴纳养老保险证明材料，不提供或提供不全的不得分；</w:t>
            </w:r>
            <w:r>
              <w:rPr>
                <w:rFonts w:hint="eastAsia" w:ascii="宋体" w:hAnsi="宋体" w:eastAsia="宋体"/>
                <w:color w:val="auto"/>
                <w:szCs w:val="21"/>
                <w:highlight w:val="none"/>
              </w:rPr>
              <w:t>本项所有投标人提供的材料均须加盖投标人公章。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vMerge w:val="restart"/>
            <w:noWrap w:val="0"/>
            <w:vAlign w:val="center"/>
          </w:tcPr>
          <w:p>
            <w:pPr>
              <w:keepNext w:val="0"/>
              <w:keepLines w:val="0"/>
              <w:pageBreakBefore w:val="0"/>
              <w:widowControl/>
              <w:numPr>
                <w:ilvl w:val="0"/>
                <w:numId w:val="0"/>
              </w:numPr>
              <w:spacing w:line="360" w:lineRule="exact"/>
              <w:jc w:val="center"/>
              <w:rPr>
                <w:rFonts w:hint="eastAsia" w:ascii="Times New Roman" w:hAnsi="Times New Roman" w:eastAsia="宋体" w:cs="Times New Roman"/>
                <w:bCs w:val="0"/>
                <w:color w:val="000000"/>
                <w:sz w:val="21"/>
                <w:szCs w:val="21"/>
                <w:lang w:val="zh-TW" w:eastAsia="en-US"/>
              </w:rPr>
            </w:pPr>
            <w:r>
              <w:rPr>
                <w:rFonts w:hint="eastAsia" w:ascii="Times New Roman" w:hAnsi="Times New Roman" w:eastAsia="宋体" w:cs="Times New Roman"/>
                <w:bCs w:val="0"/>
                <w:color w:val="000000"/>
                <w:sz w:val="21"/>
                <w:szCs w:val="21"/>
                <w:lang w:val="zh-TW" w:eastAsia="en-US"/>
              </w:rPr>
              <w:t>服务</w:t>
            </w:r>
          </w:p>
          <w:p>
            <w:pPr>
              <w:keepNext w:val="0"/>
              <w:keepLines w:val="0"/>
              <w:pageBreakBefore w:val="0"/>
              <w:widowControl/>
              <w:numPr>
                <w:ilvl w:val="0"/>
                <w:numId w:val="0"/>
              </w:numPr>
              <w:spacing w:line="360" w:lineRule="exact"/>
              <w:jc w:val="center"/>
              <w:rPr>
                <w:bCs/>
                <w:color w:val="000000"/>
                <w:sz w:val="24"/>
                <w:szCs w:val="24"/>
              </w:rPr>
            </w:pPr>
            <w:r>
              <w:rPr>
                <w:rFonts w:hint="eastAsia" w:ascii="Times New Roman" w:hAnsi="Times New Roman" w:eastAsia="宋体" w:cs="Times New Roman"/>
                <w:bCs w:val="0"/>
                <w:color w:val="000000"/>
                <w:sz w:val="21"/>
                <w:szCs w:val="21"/>
                <w:lang w:val="zh-TW" w:eastAsia="en-US"/>
              </w:rPr>
              <w:t>方案</w:t>
            </w:r>
          </w:p>
        </w:tc>
        <w:tc>
          <w:tcPr>
            <w:tcW w:w="723" w:type="dxa"/>
            <w:noWrap w:val="0"/>
            <w:vAlign w:val="center"/>
          </w:tcPr>
          <w:p>
            <w:pPr>
              <w:keepNext w:val="0"/>
              <w:keepLines w:val="0"/>
              <w:pageBreakBefore w:val="0"/>
              <w:widowControl/>
              <w:numPr>
                <w:ilvl w:val="0"/>
                <w:numId w:val="0"/>
              </w:numPr>
              <w:spacing w:line="360" w:lineRule="exact"/>
              <w:jc w:val="center"/>
              <w:rPr>
                <w:rFonts w:ascii="Times New Roman" w:hAnsi="Times New Roman" w:eastAsia="宋体" w:cs="Times New Roman"/>
                <w:color w:val="000000"/>
                <w:sz w:val="21"/>
                <w:szCs w:val="21"/>
                <w:lang w:val="en-US" w:eastAsia="en-US"/>
              </w:rPr>
            </w:pPr>
            <w:r>
              <w:rPr>
                <w:rFonts w:ascii="Times New Roman" w:hAnsi="Times New Roman" w:eastAsia="宋体" w:cs="Times New Roman"/>
                <w:color w:val="000000"/>
                <w:sz w:val="21"/>
                <w:szCs w:val="21"/>
                <w:lang w:val="en-US" w:eastAsia="en-US"/>
              </w:rPr>
              <w:t>1</w:t>
            </w:r>
            <w:r>
              <w:rPr>
                <w:rFonts w:hint="default" w:ascii="Times New Roman" w:hAnsi="Times New Roman" w:eastAsia="宋体" w:cs="Times New Roman"/>
                <w:color w:val="000000"/>
                <w:sz w:val="21"/>
                <w:szCs w:val="21"/>
                <w:lang w:val="en-US" w:eastAsia="en-US"/>
              </w:rPr>
              <w:t>5</w:t>
            </w:r>
          </w:p>
        </w:tc>
        <w:tc>
          <w:tcPr>
            <w:tcW w:w="1116" w:type="dxa"/>
            <w:noWrap w:val="0"/>
            <w:vAlign w:val="center"/>
          </w:tcPr>
          <w:p>
            <w:pPr>
              <w:keepNext w:val="0"/>
              <w:keepLines w:val="0"/>
              <w:pageBreakBefore w:val="0"/>
              <w:spacing w:line="360" w:lineRule="exact"/>
              <w:jc w:val="left"/>
              <w:rPr>
                <w:rFonts w:ascii="Times New Roman" w:hAnsi="Times New Roman" w:eastAsia="宋体" w:cs="Times New Roman"/>
                <w:color w:val="000000"/>
                <w:sz w:val="21"/>
                <w:szCs w:val="21"/>
                <w:lang w:val="zh-TW"/>
              </w:rPr>
            </w:pPr>
            <w:r>
              <w:rPr>
                <w:rFonts w:ascii="Times New Roman" w:hAnsi="Times New Roman" w:eastAsia="宋体" w:cs="Times New Roman"/>
                <w:color w:val="000000"/>
                <w:sz w:val="21"/>
                <w:szCs w:val="21"/>
                <w:lang w:val="zh-TW"/>
              </w:rPr>
              <w:t>项目认知</w:t>
            </w:r>
          </w:p>
        </w:tc>
        <w:tc>
          <w:tcPr>
            <w:tcW w:w="6315" w:type="dxa"/>
            <w:noWrap w:val="0"/>
            <w:vAlign w:val="center"/>
          </w:tcPr>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zh-TW" w:eastAsia="en-US"/>
              </w:rPr>
              <w:t>投标人根据本项目特点提出自己的服务理念、定位、计划、目标等情况进行综合</w:t>
            </w:r>
            <w:r>
              <w:rPr>
                <w:rFonts w:hint="eastAsia" w:ascii="Times New Roman" w:hAnsi="Times New Roman" w:eastAsia="宋体" w:cs="Times New Roman"/>
                <w:color w:val="000000"/>
                <w:sz w:val="21"/>
                <w:szCs w:val="21"/>
                <w:lang w:val="zh-TW" w:eastAsia="zh-CN"/>
              </w:rPr>
              <w:t>评审</w:t>
            </w:r>
            <w:r>
              <w:rPr>
                <w:rFonts w:hint="eastAsia" w:ascii="Times New Roman" w:hAnsi="Times New Roman" w:eastAsia="宋体" w:cs="Times New Roman"/>
                <w:color w:val="000000"/>
                <w:sz w:val="21"/>
                <w:szCs w:val="21"/>
                <w:lang w:val="zh-TW" w:eastAsia="en-US"/>
              </w:rPr>
              <w:t>。</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1、方案科学合理性强、内容详尽细致、针对性和落地性强，满足项目要求性强的得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2、方案科学合理性强、内容详尽细致、针对性和落地性强，满足项目要求性强的得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en-US"/>
              </w:rPr>
              <w:t>3、方案科学合理性强、内容详尽细致、针对性和落地性强，满足项目要求性强的得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14.0</w:t>
            </w:r>
            <w:r>
              <w:rPr>
                <w:rFonts w:hint="eastAsia" w:ascii="Times New Roman" w:hAnsi="Times New Roman" w:eastAsia="宋体" w:cs="Times New Roman"/>
                <w:color w:val="000000"/>
                <w:sz w:val="21"/>
                <w:szCs w:val="21"/>
                <w:lang w:val="en-US" w:eastAsia="en-US"/>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vMerge w:val="continue"/>
            <w:noWrap w:val="0"/>
            <w:vAlign w:val="center"/>
          </w:tcPr>
          <w:p>
            <w:pPr>
              <w:keepNext w:val="0"/>
              <w:keepLines w:val="0"/>
              <w:pageBreakBefore w:val="0"/>
              <w:spacing w:line="500" w:lineRule="exact"/>
              <w:rPr>
                <w:b/>
                <w:bCs/>
                <w:color w:val="000000"/>
                <w:sz w:val="24"/>
                <w:szCs w:val="24"/>
              </w:rPr>
            </w:pPr>
          </w:p>
        </w:tc>
        <w:tc>
          <w:tcPr>
            <w:tcW w:w="723" w:type="dxa"/>
            <w:noWrap w:val="0"/>
            <w:vAlign w:val="center"/>
          </w:tcPr>
          <w:p>
            <w:pPr>
              <w:keepNext w:val="0"/>
              <w:keepLines w:val="0"/>
              <w:pageBreakBefore w:val="0"/>
              <w:widowControl/>
              <w:numPr>
                <w:ilvl w:val="0"/>
                <w:numId w:val="0"/>
              </w:numPr>
              <w:spacing w:line="360" w:lineRule="exact"/>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1</w:t>
            </w:r>
            <w:r>
              <w:rPr>
                <w:rFonts w:hint="default" w:ascii="Times New Roman" w:hAnsi="Times New Roman" w:eastAsia="宋体" w:cs="Times New Roman"/>
                <w:color w:val="000000"/>
                <w:sz w:val="21"/>
                <w:szCs w:val="21"/>
                <w:lang w:val="en-US" w:eastAsia="zh-CN"/>
              </w:rPr>
              <w:t>5</w:t>
            </w:r>
          </w:p>
        </w:tc>
        <w:tc>
          <w:tcPr>
            <w:tcW w:w="1116" w:type="dxa"/>
            <w:noWrap w:val="0"/>
            <w:vAlign w:val="center"/>
          </w:tcPr>
          <w:p>
            <w:pPr>
              <w:keepNext w:val="0"/>
              <w:keepLines w:val="0"/>
              <w:pageBreakBefore w:val="0"/>
              <w:spacing w:line="360" w:lineRule="exact"/>
              <w:jc w:val="left"/>
              <w:rPr>
                <w:rFonts w:ascii="Times New Roman" w:hAnsi="Times New Roman" w:eastAsia="宋体" w:cs="Times New Roman"/>
                <w:color w:val="000000"/>
                <w:sz w:val="21"/>
                <w:szCs w:val="21"/>
                <w:lang w:val="zh-TW"/>
              </w:rPr>
            </w:pPr>
            <w:r>
              <w:rPr>
                <w:rFonts w:ascii="Times New Roman" w:hAnsi="Times New Roman" w:eastAsia="宋体" w:cs="Times New Roman"/>
                <w:color w:val="000000"/>
                <w:sz w:val="21"/>
                <w:szCs w:val="21"/>
                <w:lang w:val="zh-TW"/>
              </w:rPr>
              <w:t>整体方案</w:t>
            </w:r>
          </w:p>
        </w:tc>
        <w:tc>
          <w:tcPr>
            <w:tcW w:w="6315" w:type="dxa"/>
            <w:noWrap w:val="0"/>
            <w:vAlign w:val="center"/>
          </w:tcPr>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zh-TW" w:eastAsia="en-US"/>
              </w:rPr>
              <w:t>根据对组织架构，清晰简练地列出主要管理流程，包括对运作流程图、激励机制、监督机制、自我约束机制、信息反馈渠道及处理机制，管理指标承诺达到管理标准。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1、方案科学合理性强、内容详尽细致、针对性和落地性强，满足项目要求性强的得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2、方案科学合理性强、内容详尽细致、针对性和落地性强，满足项目要求性强的得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en-US"/>
              </w:rPr>
              <w:t>3、方案科学合理性强、内容详尽细致、针对性和落地性强，满足项目要求性强的得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14.0</w:t>
            </w:r>
            <w:r>
              <w:rPr>
                <w:rFonts w:hint="eastAsia" w:ascii="Times New Roman" w:hAnsi="Times New Roman" w:eastAsia="宋体" w:cs="Times New Roman"/>
                <w:color w:val="000000"/>
                <w:sz w:val="21"/>
                <w:szCs w:val="21"/>
                <w:lang w:val="en-US" w:eastAsia="en-US"/>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0" w:hRule="atLeast"/>
          <w:jc w:val="center"/>
        </w:trPr>
        <w:tc>
          <w:tcPr>
            <w:tcW w:w="1190" w:type="dxa"/>
            <w:vMerge w:val="continue"/>
            <w:noWrap w:val="0"/>
            <w:vAlign w:val="center"/>
          </w:tcPr>
          <w:p>
            <w:pPr>
              <w:keepNext w:val="0"/>
              <w:keepLines w:val="0"/>
              <w:pageBreakBefore w:val="0"/>
              <w:spacing w:line="500" w:lineRule="exact"/>
              <w:jc w:val="center"/>
              <w:rPr>
                <w:color w:val="000000"/>
                <w:sz w:val="24"/>
                <w:szCs w:val="24"/>
              </w:rPr>
            </w:pPr>
          </w:p>
        </w:tc>
        <w:tc>
          <w:tcPr>
            <w:tcW w:w="723" w:type="dxa"/>
            <w:noWrap w:val="0"/>
            <w:vAlign w:val="center"/>
          </w:tcPr>
          <w:p>
            <w:pPr>
              <w:keepNext w:val="0"/>
              <w:keepLines w:val="0"/>
              <w:pageBreakBefore w:val="0"/>
              <w:widowControl/>
              <w:numPr>
                <w:ilvl w:val="0"/>
                <w:numId w:val="0"/>
              </w:numPr>
              <w:spacing w:line="360" w:lineRule="exact"/>
              <w:jc w:val="center"/>
              <w:rPr>
                <w:rFonts w:ascii="Times New Roman" w:hAnsi="Times New Roman" w:eastAsia="宋体" w:cs="Times New Roman"/>
                <w:color w:val="000000"/>
                <w:sz w:val="21"/>
                <w:szCs w:val="21"/>
                <w:lang w:val="en-US" w:eastAsia="en-US"/>
              </w:rPr>
            </w:pPr>
            <w:r>
              <w:rPr>
                <w:rFonts w:hint="default" w:ascii="Times New Roman" w:hAnsi="Times New Roman" w:eastAsia="宋体" w:cs="Times New Roman"/>
                <w:color w:val="000000"/>
                <w:sz w:val="21"/>
                <w:szCs w:val="21"/>
                <w:lang w:val="en-US" w:eastAsia="en-US"/>
              </w:rPr>
              <w:t>8</w:t>
            </w:r>
          </w:p>
        </w:tc>
        <w:tc>
          <w:tcPr>
            <w:tcW w:w="1116" w:type="dxa"/>
            <w:noWrap w:val="0"/>
            <w:vAlign w:val="center"/>
          </w:tcPr>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zh-CN"/>
              </w:rPr>
              <w:t>菜式及出品方案</w:t>
            </w:r>
          </w:p>
        </w:tc>
        <w:tc>
          <w:tcPr>
            <w:tcW w:w="6315" w:type="dxa"/>
            <w:noWrap w:val="0"/>
            <w:vAlign w:val="center"/>
          </w:tcPr>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ascii="Times New Roman" w:hAnsi="Times New Roman" w:eastAsia="宋体" w:cs="Times New Roman"/>
                <w:color w:val="000000"/>
                <w:sz w:val="21"/>
                <w:szCs w:val="21"/>
                <w:lang w:val="zh-TW" w:eastAsia="zh-CN"/>
              </w:rPr>
              <w:t>进行横向对比投标人提供的菜式(包括但不限于不同时间段的菜式品种)及出品方案(包括但不限于不同时间段的菜式更新方案)</w:t>
            </w:r>
            <w:r>
              <w:rPr>
                <w:rFonts w:ascii="Times New Roman" w:hAnsi="Times New Roman" w:eastAsia="宋体" w:cs="Times New Roman"/>
                <w:color w:val="000000"/>
                <w:sz w:val="21"/>
                <w:szCs w:val="21"/>
                <w:lang w:val="zh-TW" w:eastAsia="en-US"/>
              </w:rPr>
              <w:t>。</w:t>
            </w:r>
          </w:p>
          <w:p>
            <w:pPr>
              <w:keepNext w:val="0"/>
              <w:keepLines w:val="0"/>
              <w:pageBreakBefore w:val="0"/>
              <w:spacing w:line="360" w:lineRule="exact"/>
              <w:ind w:firstLine="0"/>
              <w:rPr>
                <w:rFonts w:ascii="Times New Roman" w:hAnsi="Times New Roman" w:eastAsia="宋体" w:cs="Times New Roman"/>
                <w:color w:val="000000"/>
                <w:sz w:val="21"/>
                <w:szCs w:val="21"/>
                <w:lang w:val="en-US" w:eastAsia="en-US"/>
              </w:rPr>
            </w:pPr>
            <w:r>
              <w:rPr>
                <w:rFonts w:ascii="Times New Roman" w:hAnsi="Times New Roman" w:eastAsia="宋体" w:cs="Times New Roman"/>
                <w:color w:val="000000"/>
                <w:sz w:val="21"/>
                <w:szCs w:val="21"/>
                <w:lang w:val="en-US" w:eastAsia="en-US"/>
              </w:rPr>
              <w:t>1、</w:t>
            </w:r>
            <w:r>
              <w:rPr>
                <w:rFonts w:hint="eastAsia" w:ascii="Times New Roman" w:hAnsi="Times New Roman" w:eastAsia="宋体" w:cs="Times New Roman"/>
                <w:color w:val="000000"/>
                <w:sz w:val="21"/>
                <w:szCs w:val="21"/>
                <w:lang w:val="en-US" w:eastAsia="en-US"/>
              </w:rPr>
              <w:t>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8</w:t>
            </w:r>
            <w:r>
              <w:rPr>
                <w:rFonts w:hint="eastAsia" w:ascii="Times New Roman" w:hAnsi="Times New Roman" w:eastAsia="宋体" w:cs="Times New Roman"/>
                <w:color w:val="000000"/>
                <w:sz w:val="21"/>
                <w:szCs w:val="21"/>
                <w:lang w:val="en-US" w:eastAsia="en-US"/>
              </w:rPr>
              <w:t>分</w:t>
            </w:r>
            <w:r>
              <w:rPr>
                <w:rFonts w:ascii="Times New Roman" w:hAnsi="Times New Roman" w:eastAsia="宋体" w:cs="Times New Roman"/>
                <w:color w:val="000000"/>
                <w:sz w:val="21"/>
                <w:szCs w:val="21"/>
                <w:lang w:val="en-US" w:eastAsia="en-US"/>
              </w:rPr>
              <w:t>；</w:t>
            </w:r>
          </w:p>
          <w:p>
            <w:pPr>
              <w:keepNext w:val="0"/>
              <w:keepLines w:val="0"/>
              <w:pageBreakBefore w:val="0"/>
              <w:spacing w:line="360" w:lineRule="exact"/>
              <w:ind w:firstLine="0"/>
              <w:rPr>
                <w:rFonts w:ascii="Times New Roman" w:hAnsi="Times New Roman" w:eastAsia="宋体" w:cs="Times New Roman"/>
                <w:color w:val="000000"/>
                <w:sz w:val="21"/>
                <w:szCs w:val="21"/>
                <w:lang w:val="en-US" w:eastAsia="en-US"/>
              </w:rPr>
            </w:pPr>
            <w:r>
              <w:rPr>
                <w:rFonts w:ascii="Times New Roman" w:hAnsi="Times New Roman" w:eastAsia="宋体" w:cs="Times New Roman"/>
                <w:color w:val="000000"/>
                <w:sz w:val="21"/>
                <w:szCs w:val="21"/>
                <w:lang w:val="en-US" w:eastAsia="en-US"/>
              </w:rPr>
              <w:t>2、</w:t>
            </w:r>
            <w:r>
              <w:rPr>
                <w:rFonts w:hint="eastAsia" w:ascii="Times New Roman" w:hAnsi="Times New Roman" w:eastAsia="宋体" w:cs="Times New Roman"/>
                <w:color w:val="000000"/>
                <w:sz w:val="21"/>
                <w:szCs w:val="21"/>
                <w:lang w:val="en-US" w:eastAsia="en-US"/>
              </w:rPr>
              <w:t>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7.5</w:t>
            </w:r>
            <w:r>
              <w:rPr>
                <w:rFonts w:hint="eastAsia" w:ascii="Times New Roman" w:hAnsi="Times New Roman" w:eastAsia="宋体" w:cs="Times New Roman"/>
                <w:color w:val="000000"/>
                <w:sz w:val="21"/>
                <w:szCs w:val="21"/>
                <w:lang w:val="en-US" w:eastAsia="en-US"/>
              </w:rPr>
              <w:t>分</w:t>
            </w:r>
            <w:r>
              <w:rPr>
                <w:rFonts w:ascii="Times New Roman" w:hAnsi="Times New Roman" w:eastAsia="宋体" w:cs="Times New Roman"/>
                <w:color w:val="000000"/>
                <w:sz w:val="21"/>
                <w:szCs w:val="21"/>
                <w:lang w:val="en-US" w:eastAsia="en-US"/>
              </w:rPr>
              <w:t>；</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ascii="Times New Roman" w:hAnsi="Times New Roman" w:eastAsia="宋体" w:cs="Times New Roman"/>
                <w:color w:val="000000"/>
                <w:sz w:val="21"/>
                <w:szCs w:val="21"/>
                <w:lang w:val="en-US" w:eastAsia="en-US"/>
              </w:rPr>
              <w:t>3、</w:t>
            </w:r>
            <w:r>
              <w:rPr>
                <w:rFonts w:hint="eastAsia" w:ascii="Times New Roman" w:hAnsi="Times New Roman" w:eastAsia="宋体" w:cs="Times New Roman"/>
                <w:color w:val="000000"/>
                <w:sz w:val="21"/>
                <w:szCs w:val="21"/>
                <w:lang w:val="en-US" w:eastAsia="en-US"/>
              </w:rPr>
              <w:t>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7.0</w:t>
            </w:r>
            <w:r>
              <w:rPr>
                <w:rFonts w:hint="eastAsia" w:ascii="Times New Roman" w:hAnsi="Times New Roman" w:eastAsia="宋体" w:cs="Times New Roman"/>
                <w:color w:val="000000"/>
                <w:sz w:val="21"/>
                <w:szCs w:val="21"/>
                <w:lang w:val="en-US" w:eastAsia="en-US"/>
              </w:rPr>
              <w:t>分</w:t>
            </w:r>
            <w:r>
              <w:rPr>
                <w:rFonts w:ascii="Times New Roman" w:hAnsi="Times New Roman" w:eastAsia="宋体" w:cs="Times New Roman"/>
                <w:color w:val="000000"/>
                <w:sz w:val="21"/>
                <w:szCs w:val="21"/>
                <w:lang w:val="en-US"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0" w:type="dxa"/>
            <w:vMerge w:val="continue"/>
            <w:noWrap w:val="0"/>
            <w:vAlign w:val="center"/>
          </w:tcPr>
          <w:p>
            <w:pPr>
              <w:keepNext w:val="0"/>
              <w:keepLines w:val="0"/>
              <w:pageBreakBefore w:val="0"/>
              <w:spacing w:line="500" w:lineRule="exact"/>
              <w:jc w:val="center"/>
              <w:rPr>
                <w:color w:val="000000"/>
                <w:sz w:val="24"/>
                <w:szCs w:val="24"/>
              </w:rPr>
            </w:pPr>
          </w:p>
        </w:tc>
        <w:tc>
          <w:tcPr>
            <w:tcW w:w="723" w:type="dxa"/>
            <w:noWrap w:val="0"/>
            <w:vAlign w:val="center"/>
          </w:tcPr>
          <w:p>
            <w:pPr>
              <w:keepNext w:val="0"/>
              <w:keepLines w:val="0"/>
              <w:pageBreakBefore w:val="0"/>
              <w:spacing w:line="500" w:lineRule="exact"/>
              <w:jc w:val="center"/>
              <w:rPr>
                <w:rFonts w:eastAsia="宋体"/>
                <w:color w:val="000000"/>
                <w:sz w:val="24"/>
                <w:szCs w:val="24"/>
                <w:lang w:val="en-US" w:eastAsia="zh-CN"/>
              </w:rPr>
            </w:pPr>
            <w:r>
              <w:rPr>
                <w:color w:val="000000"/>
                <w:sz w:val="24"/>
                <w:szCs w:val="24"/>
                <w:lang w:val="en-US" w:eastAsia="zh-CN"/>
              </w:rPr>
              <w:t>1</w:t>
            </w:r>
            <w:r>
              <w:rPr>
                <w:rFonts w:hint="default"/>
                <w:color w:val="000000"/>
                <w:sz w:val="24"/>
                <w:szCs w:val="24"/>
                <w:lang w:val="en-US" w:eastAsia="zh-CN"/>
              </w:rPr>
              <w:t>5</w:t>
            </w:r>
          </w:p>
        </w:tc>
        <w:tc>
          <w:tcPr>
            <w:tcW w:w="1116" w:type="dxa"/>
            <w:noWrap w:val="0"/>
            <w:vAlign w:val="center"/>
          </w:tcPr>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zh-CN"/>
              </w:rPr>
              <w:t>应急预案</w:t>
            </w:r>
          </w:p>
        </w:tc>
        <w:tc>
          <w:tcPr>
            <w:tcW w:w="6315" w:type="dxa"/>
            <w:noWrap w:val="0"/>
            <w:vAlign w:val="center"/>
          </w:tcPr>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zh-CN"/>
              </w:rPr>
              <w:t>投标人须有能力应对突发事件应急预案、包括但不限于遭遇恶劣天气，突发事件临时紧急加班需食堂配合工作等突发事件，根据应答情况横向比较得分</w:t>
            </w:r>
            <w:r>
              <w:rPr>
                <w:rFonts w:ascii="Times New Roman" w:hAnsi="Times New Roman" w:eastAsia="宋体" w:cs="Times New Roman"/>
                <w:color w:val="000000"/>
                <w:sz w:val="21"/>
                <w:szCs w:val="21"/>
                <w:lang w:val="zh-TW" w:eastAsia="en-US"/>
              </w:rPr>
              <w:t>。</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1、方案科学合理性强、内容详尽细致、针对性和落地性强，满足项目要求性强的得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2、方案科学合理性强、内容详尽细致、针对性和落地性强，满足项目要求性强的得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en-US"/>
              </w:rPr>
              <w:t>3、方案科学合理性强、内容详尽细致、针对性和落地性强，满足项目要求性强的得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14.0</w:t>
            </w:r>
            <w:r>
              <w:rPr>
                <w:rFonts w:hint="eastAsia" w:ascii="Times New Roman" w:hAnsi="Times New Roman" w:eastAsia="宋体" w:cs="Times New Roman"/>
                <w:color w:val="000000"/>
                <w:sz w:val="21"/>
                <w:szCs w:val="21"/>
                <w:lang w:val="en-US" w:eastAsia="en-US"/>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vMerge w:val="continue"/>
            <w:noWrap w:val="0"/>
            <w:vAlign w:val="center"/>
          </w:tcPr>
          <w:p>
            <w:pPr>
              <w:keepNext w:val="0"/>
              <w:keepLines w:val="0"/>
              <w:pageBreakBefore w:val="0"/>
              <w:spacing w:line="500" w:lineRule="exact"/>
              <w:jc w:val="center"/>
              <w:rPr>
                <w:color w:val="000000"/>
                <w:sz w:val="24"/>
                <w:szCs w:val="24"/>
              </w:rPr>
            </w:pPr>
          </w:p>
        </w:tc>
        <w:tc>
          <w:tcPr>
            <w:tcW w:w="723" w:type="dxa"/>
            <w:noWrap w:val="0"/>
            <w:vAlign w:val="center"/>
          </w:tcPr>
          <w:p>
            <w:pPr>
              <w:keepNext w:val="0"/>
              <w:keepLines w:val="0"/>
              <w:pageBreakBefore w:val="0"/>
              <w:spacing w:line="500" w:lineRule="exact"/>
              <w:jc w:val="center"/>
              <w:rPr>
                <w:rFonts w:eastAsia="宋体"/>
                <w:b/>
                <w:color w:val="000000"/>
                <w:sz w:val="24"/>
                <w:szCs w:val="24"/>
                <w:lang w:val="en-US" w:eastAsia="zh-CN"/>
              </w:rPr>
            </w:pPr>
            <w:r>
              <w:rPr>
                <w:color w:val="000000"/>
                <w:sz w:val="24"/>
                <w:szCs w:val="24"/>
                <w:lang w:val="en-US" w:eastAsia="zh-CN"/>
              </w:rPr>
              <w:t>1</w:t>
            </w:r>
            <w:r>
              <w:rPr>
                <w:rFonts w:hint="default"/>
                <w:color w:val="000000"/>
                <w:sz w:val="24"/>
                <w:szCs w:val="24"/>
                <w:lang w:val="en-US" w:eastAsia="zh-CN"/>
              </w:rPr>
              <w:t>5</w:t>
            </w:r>
          </w:p>
        </w:tc>
        <w:tc>
          <w:tcPr>
            <w:tcW w:w="1116" w:type="dxa"/>
            <w:noWrap w:val="0"/>
            <w:vAlign w:val="center"/>
          </w:tcPr>
          <w:p>
            <w:pPr>
              <w:keepNext w:val="0"/>
              <w:keepLines w:val="0"/>
              <w:pageBreakBefore w:val="0"/>
              <w:spacing w:line="360" w:lineRule="exact"/>
              <w:jc w:val="left"/>
              <w:rPr>
                <w:rFonts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zh-CN"/>
              </w:rPr>
              <w:t>卫生安全管理方案</w:t>
            </w:r>
          </w:p>
        </w:tc>
        <w:tc>
          <w:tcPr>
            <w:tcW w:w="6315" w:type="dxa"/>
            <w:noWrap w:val="0"/>
            <w:vAlign w:val="center"/>
          </w:tcPr>
          <w:p>
            <w:pPr>
              <w:keepNext w:val="0"/>
              <w:keepLines w:val="0"/>
              <w:pageBreakBefore w:val="0"/>
              <w:spacing w:line="360" w:lineRule="exact"/>
              <w:ind w:firstLine="0"/>
              <w:rPr>
                <w:rFonts w:ascii="Times New Roman" w:hAnsi="Times New Roman" w:eastAsia="宋体" w:cs="Times New Roman"/>
                <w:color w:val="000000"/>
                <w:sz w:val="21"/>
                <w:szCs w:val="21"/>
                <w:lang w:val="zh-TW" w:eastAsia="en-US"/>
              </w:rPr>
            </w:pPr>
            <w:r>
              <w:rPr>
                <w:rFonts w:hint="eastAsia" w:ascii="Times New Roman" w:hAnsi="Times New Roman" w:eastAsia="宋体" w:cs="Times New Roman"/>
                <w:color w:val="000000"/>
                <w:sz w:val="21"/>
                <w:szCs w:val="21"/>
                <w:lang w:val="en-US" w:eastAsia="zh-CN"/>
              </w:rPr>
              <w:t>投标人须有一系列卫生安全的内部制度、实施方案和考核办法，根据应答情况横向比较得分</w:t>
            </w:r>
            <w:r>
              <w:rPr>
                <w:rFonts w:ascii="Times New Roman" w:hAnsi="Times New Roman" w:eastAsia="宋体" w:cs="Times New Roman"/>
                <w:color w:val="000000"/>
                <w:sz w:val="21"/>
                <w:szCs w:val="21"/>
                <w:lang w:val="zh-TW" w:eastAsia="en-US"/>
              </w:rPr>
              <w:t>。</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1、方案科学合理性强、内容详尽细致、针对性和落地性强，满足项目要求性强的得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hint="eastAsia"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2、方案科学合理性强、内容详尽细致、针对性和落地性强，满足项目要求性强的得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14.5</w:t>
            </w:r>
            <w:r>
              <w:rPr>
                <w:rFonts w:hint="eastAsia" w:ascii="Times New Roman" w:hAnsi="Times New Roman" w:eastAsia="宋体" w:cs="Times New Roman"/>
                <w:color w:val="000000"/>
                <w:sz w:val="21"/>
                <w:szCs w:val="21"/>
                <w:lang w:val="en-US" w:eastAsia="en-US"/>
              </w:rPr>
              <w:t>分；</w:t>
            </w:r>
          </w:p>
          <w:p>
            <w:pPr>
              <w:keepNext w:val="0"/>
              <w:keepLines w:val="0"/>
              <w:pageBreakBefore w:val="0"/>
              <w:spacing w:line="360" w:lineRule="exact"/>
              <w:ind w:firstLine="0"/>
              <w:rPr>
                <w:rFonts w:ascii="Times New Roman" w:hAnsi="Times New Roman" w:eastAsia="宋体" w:cs="Times New Roman"/>
                <w:color w:val="000000"/>
                <w:sz w:val="21"/>
                <w:szCs w:val="21"/>
                <w:lang w:val="en-US" w:eastAsia="en-US"/>
              </w:rPr>
            </w:pPr>
            <w:r>
              <w:rPr>
                <w:rFonts w:hint="eastAsia" w:ascii="Times New Roman" w:hAnsi="Times New Roman" w:eastAsia="宋体" w:cs="Times New Roman"/>
                <w:color w:val="000000"/>
                <w:sz w:val="21"/>
                <w:szCs w:val="21"/>
                <w:lang w:val="en-US" w:eastAsia="en-US"/>
              </w:rPr>
              <w:t>3、方案科学合理性强、内容详尽细致、针对性和落地性强，满足项目要求性强的得</w:t>
            </w:r>
            <w:r>
              <w:rPr>
                <w:rFonts w:hint="default" w:ascii="Times New Roman" w:hAnsi="Times New Roman" w:eastAsia="宋体" w:cs="Times New Roman"/>
                <w:color w:val="000000"/>
                <w:sz w:val="21"/>
                <w:szCs w:val="21"/>
                <w:lang w:val="en-US" w:eastAsia="en-US"/>
              </w:rPr>
              <w:t>14.0</w:t>
            </w:r>
            <w:r>
              <w:rPr>
                <w:rFonts w:hint="eastAsia" w:ascii="Times New Roman" w:hAnsi="Times New Roman" w:eastAsia="宋体" w:cs="Times New Roman"/>
                <w:color w:val="000000"/>
                <w:sz w:val="21"/>
                <w:szCs w:val="21"/>
                <w:lang w:val="en-US" w:eastAsia="en-US"/>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0" w:type="dxa"/>
            <w:noWrap w:val="0"/>
            <w:vAlign w:val="center"/>
          </w:tcPr>
          <w:p>
            <w:pPr>
              <w:keepNext w:val="0"/>
              <w:keepLines w:val="0"/>
              <w:pageBreakBefore w:val="0"/>
              <w:spacing w:line="500" w:lineRule="exact"/>
              <w:jc w:val="center"/>
              <w:rPr>
                <w:color w:val="000000"/>
                <w:sz w:val="24"/>
                <w:szCs w:val="24"/>
              </w:rPr>
            </w:pPr>
            <w:r>
              <w:rPr>
                <w:rFonts w:hint="eastAsia"/>
                <w:color w:val="000000"/>
                <w:sz w:val="24"/>
                <w:szCs w:val="24"/>
              </w:rPr>
              <w:t>总计</w:t>
            </w:r>
          </w:p>
        </w:tc>
        <w:tc>
          <w:tcPr>
            <w:tcW w:w="723" w:type="dxa"/>
            <w:noWrap w:val="0"/>
            <w:vAlign w:val="center"/>
          </w:tcPr>
          <w:p>
            <w:pPr>
              <w:keepNext w:val="0"/>
              <w:keepLines w:val="0"/>
              <w:pageBreakBefore w:val="0"/>
              <w:spacing w:line="500" w:lineRule="exact"/>
              <w:jc w:val="center"/>
              <w:rPr>
                <w:color w:val="000000"/>
                <w:sz w:val="24"/>
                <w:szCs w:val="24"/>
              </w:rPr>
            </w:pPr>
            <w:r>
              <w:rPr>
                <w:rFonts w:hint="eastAsia"/>
                <w:color w:val="000000"/>
                <w:sz w:val="24"/>
                <w:szCs w:val="24"/>
              </w:rPr>
              <w:t>100</w:t>
            </w:r>
          </w:p>
        </w:tc>
        <w:tc>
          <w:tcPr>
            <w:tcW w:w="7431" w:type="dxa"/>
            <w:gridSpan w:val="2"/>
            <w:noWrap w:val="0"/>
            <w:vAlign w:val="center"/>
          </w:tcPr>
          <w:p>
            <w:pPr>
              <w:keepNext w:val="0"/>
              <w:keepLines w:val="0"/>
              <w:pageBreakBefore w:val="0"/>
              <w:spacing w:line="500" w:lineRule="exact"/>
              <w:rPr>
                <w:color w:val="000000"/>
                <w:sz w:val="24"/>
                <w:szCs w:val="24"/>
              </w:rPr>
            </w:pPr>
          </w:p>
        </w:tc>
      </w:tr>
    </w:tbl>
    <w:p>
      <w:pPr>
        <w:pStyle w:val="34"/>
        <w:pageBreakBefore w:val="0"/>
        <w:spacing w:before="120" w:beforeAutospacing="0" w:after="120" w:afterAutospacing="0" w:line="0" w:lineRule="atLeast"/>
        <w:ind w:firstLine="205"/>
        <w:rPr>
          <w:color w:val="auto"/>
          <w:highlight w:val="none"/>
        </w:rPr>
      </w:pPr>
    </w:p>
    <w:p>
      <w:pPr>
        <w:pStyle w:val="44"/>
        <w:rPr>
          <w:rFonts w:hint="eastAsia" w:ascii="黑体" w:eastAsia="黑体" w:cs="黑体"/>
          <w:sz w:val="44"/>
          <w:szCs w:val="44"/>
        </w:rPr>
      </w:pPr>
      <w:bookmarkStart w:id="168" w:name="_Toc49090576"/>
      <w:bookmarkStart w:id="169" w:name="_Toc120614282"/>
    </w:p>
    <w:p>
      <w:pPr>
        <w:pStyle w:val="44"/>
        <w:rPr>
          <w:rFonts w:hint="eastAsia" w:ascii="黑体" w:eastAsia="黑体" w:cs="黑体"/>
          <w:sz w:val="44"/>
          <w:szCs w:val="44"/>
        </w:rPr>
      </w:pPr>
    </w:p>
    <w:p>
      <w:pPr>
        <w:pStyle w:val="44"/>
        <w:rPr>
          <w:rFonts w:hint="eastAsia" w:ascii="黑体" w:eastAsia="黑体" w:cs="黑体"/>
          <w:sz w:val="44"/>
          <w:szCs w:val="44"/>
        </w:rPr>
      </w:pPr>
    </w:p>
    <w:p>
      <w:pPr>
        <w:pStyle w:val="44"/>
        <w:rPr>
          <w:rFonts w:hint="eastAsia" w:ascii="黑体" w:eastAsia="黑体" w:cs="黑体"/>
          <w:sz w:val="44"/>
          <w:szCs w:val="44"/>
        </w:rPr>
      </w:pPr>
    </w:p>
    <w:p>
      <w:pPr>
        <w:pStyle w:val="44"/>
        <w:rPr>
          <w:rFonts w:hint="eastAsia" w:ascii="黑体" w:eastAsia="黑体" w:cs="黑体"/>
          <w:sz w:val="44"/>
          <w:szCs w:val="44"/>
        </w:rPr>
      </w:pPr>
    </w:p>
    <w:p>
      <w:pPr>
        <w:pStyle w:val="44"/>
        <w:rPr>
          <w:rFonts w:hint="eastAsia" w:ascii="黑体" w:eastAsia="黑体" w:cs="黑体"/>
          <w:sz w:val="44"/>
          <w:szCs w:val="44"/>
        </w:rPr>
      </w:pPr>
    </w:p>
    <w:p>
      <w:pPr>
        <w:pStyle w:val="44"/>
        <w:rPr>
          <w:rFonts w:hint="eastAsia" w:ascii="黑体" w:eastAsia="黑体" w:cs="黑体"/>
          <w:sz w:val="44"/>
          <w:szCs w:val="44"/>
        </w:rPr>
      </w:pPr>
    </w:p>
    <w:p>
      <w:pPr>
        <w:pStyle w:val="44"/>
        <w:rPr>
          <w:rFonts w:hint="eastAsia" w:ascii="黑体" w:eastAsia="黑体" w:cs="黑体"/>
          <w:sz w:val="44"/>
          <w:szCs w:val="44"/>
        </w:rPr>
      </w:pPr>
    </w:p>
    <w:p>
      <w:pPr>
        <w:pStyle w:val="44"/>
        <w:rPr>
          <w:rFonts w:hint="eastAsia" w:ascii="黑体" w:eastAsia="黑体" w:cs="黑体"/>
          <w:sz w:val="44"/>
          <w:szCs w:val="44"/>
        </w:rPr>
      </w:pPr>
    </w:p>
    <w:p>
      <w:pPr>
        <w:pStyle w:val="44"/>
        <w:rPr>
          <w:rFonts w:hint="eastAsia" w:ascii="黑体" w:eastAsia="黑体" w:cs="黑体"/>
          <w:sz w:val="44"/>
          <w:szCs w:val="44"/>
        </w:rPr>
      </w:pPr>
    </w:p>
    <w:p>
      <w:pPr>
        <w:keepNext/>
        <w:spacing w:line="240" w:lineRule="auto"/>
        <w:ind w:firstLine="0"/>
        <w:jc w:val="center"/>
        <w:rPr>
          <w:rFonts w:ascii="Calibri" w:hAnsi="Calibri" w:cs="Times New Roman"/>
          <w:color w:val="auto"/>
          <w:sz w:val="24"/>
          <w:szCs w:val="24"/>
        </w:rPr>
      </w:pPr>
      <w:r>
        <w:rPr>
          <w:rFonts w:hint="eastAsia" w:ascii="黑体" w:eastAsia="黑体" w:cs="黑体"/>
          <w:sz w:val="44"/>
          <w:szCs w:val="44"/>
        </w:rPr>
        <w:t xml:space="preserve">第六章  投标文件格式 </w:t>
      </w:r>
    </w:p>
    <w:p>
      <w:pPr>
        <w:spacing w:line="240" w:lineRule="auto"/>
        <w:ind w:firstLine="0"/>
        <w:jc w:val="center"/>
        <w:rPr>
          <w:b/>
          <w:sz w:val="72"/>
          <w:szCs w:val="72"/>
        </w:rPr>
      </w:pPr>
      <w:bookmarkStart w:id="170" w:name="_Hlt26955039"/>
      <w:bookmarkEnd w:id="170"/>
      <w:bookmarkStart w:id="171" w:name="_Toc26554094"/>
      <w:bookmarkEnd w:id="171"/>
      <w:bookmarkStart w:id="172" w:name="_Hlt26671244"/>
      <w:bookmarkEnd w:id="172"/>
    </w:p>
    <w:p>
      <w:pPr>
        <w:spacing w:line="240" w:lineRule="auto"/>
        <w:ind w:firstLine="0"/>
        <w:jc w:val="center"/>
        <w:rPr>
          <w:b/>
          <w:sz w:val="72"/>
          <w:szCs w:val="72"/>
        </w:rPr>
      </w:pPr>
    </w:p>
    <w:p>
      <w:pPr>
        <w:spacing w:line="240" w:lineRule="auto"/>
        <w:ind w:firstLine="0"/>
        <w:jc w:val="center"/>
        <w:rPr>
          <w:b/>
          <w:sz w:val="72"/>
          <w:szCs w:val="72"/>
        </w:rPr>
      </w:pPr>
    </w:p>
    <w:p>
      <w:pPr>
        <w:spacing w:line="240" w:lineRule="auto"/>
        <w:ind w:firstLine="0"/>
        <w:jc w:val="center"/>
        <w:rPr>
          <w:rFonts w:ascii="Calibri" w:hAnsi="Calibri" w:cs="Times New Roman"/>
          <w:color w:val="auto"/>
          <w:sz w:val="24"/>
          <w:szCs w:val="24"/>
        </w:rPr>
      </w:pPr>
      <w:r>
        <w:rPr>
          <w:rFonts w:hint="eastAsia"/>
          <w:b/>
          <w:sz w:val="72"/>
          <w:szCs w:val="72"/>
        </w:rPr>
        <w:t>投 标 文 件</w:t>
      </w:r>
    </w:p>
    <w:p>
      <w:pPr>
        <w:spacing w:line="240" w:lineRule="auto"/>
        <w:ind w:firstLine="0"/>
        <w:jc w:val="center"/>
        <w:rPr>
          <w:rFonts w:ascii="Calibri" w:hAnsi="Calibri" w:cs="Times New Roman"/>
          <w:color w:val="auto"/>
          <w:sz w:val="24"/>
          <w:szCs w:val="24"/>
        </w:rPr>
      </w:pPr>
      <w:r>
        <w:rPr>
          <w:rFonts w:ascii="Calibri" w:hAnsi="Calibri" w:cs="Times New Roman"/>
          <w:color w:val="auto"/>
          <w:sz w:val="24"/>
          <w:szCs w:val="24"/>
        </w:rPr>
        <w:t> </w:t>
      </w:r>
    </w:p>
    <w:p>
      <w:pPr>
        <w:spacing w:line="240" w:lineRule="auto"/>
        <w:ind w:firstLine="0"/>
        <w:jc w:val="center"/>
        <w:rPr>
          <w:rFonts w:ascii="Calibri" w:hAnsi="Calibri" w:cs="Times New Roman"/>
          <w:color w:val="auto"/>
          <w:sz w:val="24"/>
          <w:szCs w:val="24"/>
        </w:rPr>
      </w:pPr>
      <w:r>
        <w:rPr>
          <w:rFonts w:ascii="Calibri" w:hAnsi="Calibri" w:cs="Times New Roman"/>
          <w:color w:val="auto"/>
          <w:sz w:val="24"/>
          <w:szCs w:val="24"/>
        </w:rPr>
        <w:t> </w:t>
      </w:r>
    </w:p>
    <w:p>
      <w:pPr>
        <w:spacing w:line="240" w:lineRule="auto"/>
        <w:ind w:firstLine="0"/>
        <w:jc w:val="center"/>
        <w:rPr>
          <w:rFonts w:ascii="Calibri" w:hAnsi="Calibri" w:cs="Times New Roman"/>
          <w:color w:val="auto"/>
          <w:sz w:val="24"/>
          <w:szCs w:val="24"/>
        </w:rPr>
      </w:pPr>
      <w:r>
        <w:rPr>
          <w:rFonts w:ascii="Calibri" w:hAnsi="Calibri" w:cs="Times New Roman"/>
          <w:color w:val="auto"/>
          <w:sz w:val="24"/>
          <w:szCs w:val="24"/>
        </w:rPr>
        <w:t> </w:t>
      </w:r>
    </w:p>
    <w:p>
      <w:pPr>
        <w:spacing w:line="240" w:lineRule="auto"/>
        <w:ind w:firstLine="0"/>
        <w:jc w:val="center"/>
        <w:rPr>
          <w:rFonts w:ascii="Calibri" w:hAnsi="Calibri" w:cs="Times New Roman"/>
          <w:color w:val="auto"/>
          <w:sz w:val="24"/>
          <w:szCs w:val="24"/>
        </w:rPr>
      </w:pPr>
      <w:r>
        <w:rPr>
          <w:rFonts w:ascii="Calibri" w:hAnsi="Calibri" w:cs="Times New Roman"/>
          <w:color w:val="auto"/>
          <w:sz w:val="24"/>
          <w:szCs w:val="24"/>
        </w:rPr>
        <w:t> </w:t>
      </w:r>
    </w:p>
    <w:p>
      <w:pPr>
        <w:spacing w:line="240" w:lineRule="auto"/>
        <w:ind w:firstLine="0"/>
        <w:jc w:val="center"/>
        <w:rPr>
          <w:rFonts w:ascii="Calibri" w:hAnsi="Calibri" w:cs="Times New Roman"/>
          <w:color w:val="auto"/>
          <w:sz w:val="24"/>
          <w:szCs w:val="24"/>
        </w:rPr>
      </w:pPr>
      <w:r>
        <w:rPr>
          <w:rFonts w:ascii="Calibri" w:hAnsi="Calibri" w:cs="Times New Roman"/>
          <w:color w:val="auto"/>
          <w:sz w:val="24"/>
          <w:szCs w:val="24"/>
        </w:rPr>
        <w:t> </w:t>
      </w:r>
    </w:p>
    <w:p>
      <w:pPr>
        <w:spacing w:line="240" w:lineRule="auto"/>
        <w:ind w:firstLine="0"/>
        <w:jc w:val="both"/>
        <w:rPr>
          <w:b/>
          <w:sz w:val="36"/>
          <w:szCs w:val="36"/>
        </w:rPr>
      </w:pPr>
    </w:p>
    <w:p>
      <w:pPr>
        <w:spacing w:line="240" w:lineRule="auto"/>
        <w:ind w:firstLine="0"/>
        <w:jc w:val="both"/>
        <w:rPr>
          <w:b/>
          <w:sz w:val="36"/>
          <w:szCs w:val="36"/>
        </w:rPr>
      </w:pPr>
    </w:p>
    <w:p>
      <w:pPr>
        <w:ind w:firstLine="1547"/>
        <w:jc w:val="both"/>
        <w:rPr>
          <w:rFonts w:ascii="Calibri" w:hAnsi="Calibri" w:cs="Times New Roman"/>
          <w:color w:val="auto"/>
          <w:sz w:val="24"/>
          <w:szCs w:val="24"/>
        </w:rPr>
      </w:pPr>
      <w:r>
        <w:rPr>
          <w:rFonts w:hint="eastAsia"/>
          <w:b/>
          <w:sz w:val="36"/>
          <w:szCs w:val="36"/>
        </w:rPr>
        <w:t>项目 名 称：</w:t>
      </w:r>
      <w:r>
        <w:rPr>
          <w:rFonts w:hint="eastAsia"/>
          <w:b/>
          <w:sz w:val="36"/>
          <w:szCs w:val="36"/>
          <w:u w:val="single"/>
        </w:rPr>
        <w:t>                   </w:t>
      </w:r>
    </w:p>
    <w:p>
      <w:pPr>
        <w:ind w:firstLine="1547"/>
        <w:jc w:val="both"/>
        <w:rPr>
          <w:rFonts w:ascii="Calibri" w:hAnsi="Calibri" w:cs="Times New Roman"/>
          <w:color w:val="auto"/>
          <w:sz w:val="24"/>
          <w:szCs w:val="24"/>
        </w:rPr>
      </w:pPr>
      <w:r>
        <w:rPr>
          <w:rFonts w:hint="eastAsia"/>
          <w:b/>
          <w:sz w:val="36"/>
          <w:szCs w:val="36"/>
        </w:rPr>
        <w:t>项目 编 号：</w:t>
      </w:r>
      <w:r>
        <w:rPr>
          <w:rFonts w:hint="eastAsia"/>
          <w:b/>
          <w:sz w:val="36"/>
          <w:szCs w:val="36"/>
          <w:u w:val="single"/>
        </w:rPr>
        <w:t>                   </w:t>
      </w:r>
    </w:p>
    <w:p>
      <w:pPr>
        <w:ind w:firstLine="1547"/>
        <w:jc w:val="both"/>
        <w:rPr>
          <w:rFonts w:ascii="Calibri" w:hAnsi="Calibri" w:cs="Times New Roman"/>
          <w:color w:val="auto"/>
          <w:sz w:val="24"/>
          <w:szCs w:val="24"/>
        </w:rPr>
      </w:pPr>
      <w:r>
        <w:rPr>
          <w:rFonts w:hint="eastAsia"/>
          <w:b/>
          <w:sz w:val="36"/>
          <w:szCs w:val="36"/>
        </w:rPr>
        <w:t>投标人名称：</w:t>
      </w:r>
      <w:r>
        <w:rPr>
          <w:rFonts w:hint="eastAsia"/>
          <w:b/>
          <w:sz w:val="36"/>
          <w:szCs w:val="36"/>
          <w:u w:val="single"/>
        </w:rPr>
        <w:t xml:space="preserve">（加盖CA电子公章） </w:t>
      </w:r>
    </w:p>
    <w:p>
      <w:pPr>
        <w:ind w:firstLine="1547"/>
        <w:jc w:val="both"/>
        <w:rPr>
          <w:rFonts w:ascii="Calibri" w:hAnsi="Calibri" w:cs="Times New Roman"/>
          <w:color w:val="auto"/>
          <w:sz w:val="24"/>
          <w:szCs w:val="24"/>
        </w:rPr>
      </w:pPr>
      <w:r>
        <w:rPr>
          <w:rFonts w:hint="eastAsia"/>
          <w:b/>
          <w:sz w:val="36"/>
          <w:szCs w:val="36"/>
        </w:rPr>
        <w:t>日      期：</w:t>
      </w:r>
      <w:r>
        <w:rPr>
          <w:rFonts w:hint="eastAsia"/>
          <w:b/>
          <w:sz w:val="36"/>
          <w:szCs w:val="36"/>
          <w:u w:val="single"/>
        </w:rPr>
        <w:t xml:space="preserve">                   </w:t>
      </w: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line="0" w:lineRule="atLeast"/>
        <w:ind w:firstLine="273"/>
        <w:jc w:val="center"/>
        <w:rPr>
          <w:rFonts w:hint="eastAsia" w:ascii="宋体" w:hAnsi="宋体" w:eastAsia="宋体" w:cs="宋体"/>
          <w:b/>
          <w:color w:val="auto"/>
          <w:sz w:val="32"/>
          <w:szCs w:val="32"/>
          <w:highlight w:val="none"/>
        </w:rPr>
      </w:pPr>
    </w:p>
    <w:p>
      <w:pPr>
        <w:spacing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评分索引表</w:t>
      </w:r>
    </w:p>
    <w:p>
      <w:pPr>
        <w:pStyle w:val="44"/>
        <w:rPr>
          <w:rFonts w:hint="eastAsia"/>
          <w:color w:val="auto"/>
          <w:highlight w:val="none"/>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0"/>
        <w:gridCol w:w="3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center"/>
          </w:tcPr>
          <w:p>
            <w:pPr>
              <w:pStyle w:val="213"/>
              <w:shd w:val="clear" w:color="auto" w:fill="FFFFFF"/>
              <w:spacing w:line="265" w:lineRule="atLeast"/>
              <w:ind w:left="0" w:leftChars="0" w:firstLine="0" w:firstLineChars="0"/>
              <w:jc w:val="center"/>
              <w:rPr>
                <w:rFonts w:hint="eastAsia" w:ascii="宋体" w:hAnsi="宋体" w:eastAsia="宋体" w:cs="宋体"/>
                <w:b/>
                <w:bCs/>
                <w:color w:val="auto"/>
                <w:highlight w:val="none"/>
                <w:lang w:eastAsia="zh-CN"/>
              </w:rPr>
            </w:pPr>
            <w:r>
              <w:rPr>
                <w:rFonts w:hint="eastAsia" w:ascii="宋体" w:hAnsi="宋体" w:eastAsia="宋体" w:cs="宋体"/>
                <w:b/>
                <w:color w:val="auto"/>
                <w:highlight w:val="none"/>
              </w:rPr>
              <w:t>评分项目</w:t>
            </w:r>
          </w:p>
        </w:tc>
        <w:tc>
          <w:tcPr>
            <w:tcW w:w="3570" w:type="dxa"/>
            <w:noWrap w:val="0"/>
            <w:vAlign w:val="center"/>
          </w:tcPr>
          <w:p>
            <w:pPr>
              <w:jc w:val="center"/>
              <w:rPr>
                <w:rFonts w:hint="eastAsia" w:ascii="宋体" w:hAnsi="宋体" w:eastAsia="宋体" w:cs="宋体"/>
                <w:b/>
                <w:color w:val="auto"/>
                <w:highlight w:val="none"/>
              </w:rPr>
            </w:pPr>
            <w:r>
              <w:rPr>
                <w:rFonts w:hint="eastAsia" w:ascii="宋体" w:hAnsi="宋体" w:eastAsia="宋体" w:cs="宋体"/>
                <w:b/>
                <w:color w:val="auto"/>
                <w:sz w:val="24"/>
                <w:highlight w:val="none"/>
                <w:lang w:bidi="en-US"/>
              </w:rPr>
              <w:t>在投标文件中的页码位置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jc w:val="both"/>
              <w:rPr>
                <w:rFonts w:hint="eastAsia" w:ascii="宋体" w:hAnsi="宋体" w:eastAsia="宋体" w:cs="宋体"/>
                <w:b/>
                <w:color w:val="auto"/>
                <w:highlight w:val="none"/>
                <w:lang w:eastAsia="zh-CN"/>
              </w:rPr>
            </w:pPr>
          </w:p>
        </w:tc>
        <w:tc>
          <w:tcPr>
            <w:tcW w:w="3570" w:type="dxa"/>
            <w:noWrap w:val="0"/>
            <w:vAlign w:val="top"/>
          </w:tcPr>
          <w:p>
            <w:pPr>
              <w:rPr>
                <w:rFonts w:hint="eastAsia" w:ascii="宋体" w:hAnsi="宋体" w:eastAsia="宋体" w:cs="宋体"/>
                <w:b/>
                <w:color w:val="auto"/>
                <w:sz w:val="24"/>
                <w:highlight w:val="none"/>
                <w:lang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b/>
                <w:bCs/>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420"/>
              <w:rPr>
                <w:rFonts w:hint="eastAsia" w:ascii="宋体" w:hAnsi="宋体" w:eastAsia="宋体" w:cs="宋体"/>
                <w:b/>
                <w:bCs/>
                <w:color w:val="auto"/>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noWrap w:val="0"/>
            <w:vAlign w:val="top"/>
          </w:tcPr>
          <w:p>
            <w:pPr>
              <w:pStyle w:val="213"/>
              <w:shd w:val="clear" w:color="auto" w:fill="FFFFFF"/>
              <w:spacing w:line="265" w:lineRule="atLeast"/>
              <w:ind w:left="0" w:firstLine="480"/>
              <w:rPr>
                <w:rFonts w:hint="eastAsia" w:ascii="宋体" w:hAnsi="宋体" w:eastAsia="宋体" w:cs="宋体"/>
                <w:color w:val="auto"/>
                <w:szCs w:val="21"/>
                <w:highlight w:val="none"/>
                <w:lang w:eastAsia="zh-CN"/>
              </w:rPr>
            </w:pPr>
          </w:p>
        </w:tc>
        <w:tc>
          <w:tcPr>
            <w:tcW w:w="3570" w:type="dxa"/>
            <w:noWrap w:val="0"/>
            <w:vAlign w:val="top"/>
          </w:tcPr>
          <w:p>
            <w:pPr>
              <w:rPr>
                <w:rFonts w:hint="eastAsia"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5670" w:type="dxa"/>
            <w:tcBorders>
              <w:bottom w:val="single" w:color="000000" w:sz="4" w:space="0"/>
            </w:tcBorders>
            <w:noWrap w:val="0"/>
            <w:vAlign w:val="top"/>
          </w:tcPr>
          <w:p>
            <w:pPr>
              <w:pStyle w:val="213"/>
              <w:shd w:val="clear" w:color="auto" w:fill="FFFFFF"/>
              <w:spacing w:line="265" w:lineRule="atLeast"/>
              <w:ind w:left="0" w:firstLine="480"/>
              <w:rPr>
                <w:rFonts w:hint="eastAsia" w:ascii="宋体" w:hAnsi="宋体" w:eastAsia="宋体" w:cs="宋体"/>
                <w:color w:val="auto"/>
                <w:highlight w:val="none"/>
                <w:lang w:eastAsia="zh-CN"/>
              </w:rPr>
            </w:pPr>
          </w:p>
        </w:tc>
        <w:tc>
          <w:tcPr>
            <w:tcW w:w="3570" w:type="dxa"/>
            <w:tcBorders>
              <w:bottom w:val="single" w:color="000000" w:sz="4" w:space="0"/>
            </w:tcBorders>
            <w:noWrap w:val="0"/>
            <w:vAlign w:val="top"/>
          </w:tcPr>
          <w:p>
            <w:pPr>
              <w:rPr>
                <w:rFonts w:hint="eastAsia" w:ascii="宋体" w:hAnsi="宋体" w:eastAsia="宋体" w:cs="宋体"/>
                <w:color w:val="auto"/>
                <w:highlight w:val="none"/>
              </w:rPr>
            </w:pPr>
          </w:p>
        </w:tc>
      </w:tr>
    </w:tbl>
    <w:p>
      <w:pPr>
        <w:pStyle w:val="34"/>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pPr>
        <w:pStyle w:val="34"/>
        <w:spacing w:beforeAutospacing="0" w:afterAutospacing="0" w:line="0" w:lineRule="atLeast"/>
        <w:jc w:val="center"/>
        <w:rPr>
          <w:rFonts w:hint="eastAsia" w:asciiTheme="majorEastAsia" w:hAnsiTheme="majorEastAsia" w:eastAsiaTheme="majorEastAsia" w:cstheme="majorEastAsia"/>
          <w:b/>
          <w:color w:val="auto"/>
          <w:sz w:val="32"/>
          <w:szCs w:val="32"/>
          <w:highlight w:val="none"/>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rFonts w:hint="eastAsia"/>
          <w:b/>
          <w:bCs/>
          <w:sz w:val="28"/>
          <w:szCs w:val="22"/>
        </w:rPr>
      </w:pPr>
    </w:p>
    <w:p>
      <w:pPr>
        <w:spacing w:line="520" w:lineRule="exact"/>
        <w:ind w:firstLine="560"/>
        <w:jc w:val="center"/>
        <w:rPr>
          <w:b/>
          <w:bCs/>
          <w:sz w:val="28"/>
          <w:szCs w:val="22"/>
        </w:rPr>
      </w:pPr>
      <w:r>
        <w:rPr>
          <w:rFonts w:hint="eastAsia"/>
          <w:b/>
          <w:bCs/>
          <w:sz w:val="28"/>
          <w:szCs w:val="22"/>
        </w:rPr>
        <w:t>投标文件目录</w:t>
      </w:r>
    </w:p>
    <w:p>
      <w:pPr>
        <w:spacing w:line="520" w:lineRule="exact"/>
        <w:ind w:firstLine="480"/>
        <w:rPr>
          <w:sz w:val="24"/>
        </w:rPr>
      </w:pPr>
      <w:r>
        <w:rPr>
          <w:rFonts w:hint="eastAsia"/>
          <w:sz w:val="24"/>
        </w:rPr>
        <w:t>一、法人或者其他组织的营业执照等证明文件，自然人的身份证明</w:t>
      </w:r>
    </w:p>
    <w:p>
      <w:pPr>
        <w:spacing w:line="520" w:lineRule="exact"/>
        <w:ind w:firstLine="480"/>
        <w:rPr>
          <w:sz w:val="24"/>
        </w:rPr>
      </w:pPr>
      <w:r>
        <w:rPr>
          <w:rFonts w:hint="eastAsia"/>
          <w:sz w:val="24"/>
        </w:rPr>
        <w:t>二、上一年度的财务状况报表（至少提供资产负债表、利润表、现金流量表，投标人成立不满一年无需提供）</w:t>
      </w:r>
    </w:p>
    <w:p>
      <w:pPr>
        <w:spacing w:line="520" w:lineRule="exact"/>
        <w:ind w:firstLine="480"/>
        <w:rPr>
          <w:sz w:val="24"/>
        </w:rPr>
      </w:pPr>
      <w:r>
        <w:rPr>
          <w:rFonts w:hint="eastAsia"/>
          <w:sz w:val="24"/>
        </w:rPr>
        <w:t>三、具备履行合同所必需的设备和专业技术能力的书面声明</w:t>
      </w:r>
    </w:p>
    <w:p>
      <w:pPr>
        <w:spacing w:line="520" w:lineRule="exact"/>
        <w:ind w:firstLine="480"/>
        <w:rPr>
          <w:sz w:val="24"/>
        </w:rPr>
      </w:pPr>
      <w:r>
        <w:rPr>
          <w:rFonts w:hint="eastAsia"/>
          <w:sz w:val="24"/>
        </w:rPr>
        <w:t>四、依法缴纳税收和社会保障资金的相关材料（提供提交投标文件截止时间前一年内</w:t>
      </w:r>
      <w:r>
        <w:rPr>
          <w:rFonts w:hint="eastAsia"/>
          <w:sz w:val="24"/>
          <w:lang w:val="en-US" w:eastAsia="zh-CN"/>
        </w:rPr>
        <w:t>任意</w:t>
      </w:r>
      <w:r>
        <w:rPr>
          <w:rFonts w:hint="eastAsia"/>
          <w:sz w:val="24"/>
        </w:rPr>
        <w:t>一个月依法缴纳税收及缴纳社会保障资金的证明材料。投标人依法享受缓缴、免缴税收、社会保障资金的提供证明材料）</w:t>
      </w:r>
    </w:p>
    <w:p>
      <w:pPr>
        <w:spacing w:line="520" w:lineRule="exact"/>
        <w:ind w:firstLine="480"/>
        <w:rPr>
          <w:sz w:val="24"/>
        </w:rPr>
      </w:pPr>
      <w:r>
        <w:rPr>
          <w:rFonts w:hint="eastAsia"/>
          <w:sz w:val="24"/>
        </w:rPr>
        <w:t>五、参加政府采购活动前 3 年内在经营活动中没有重大违法记录的书面声明</w:t>
      </w:r>
    </w:p>
    <w:p>
      <w:pPr>
        <w:spacing w:line="520" w:lineRule="exact"/>
        <w:ind w:firstLine="480"/>
        <w:rPr>
          <w:sz w:val="24"/>
        </w:rPr>
      </w:pPr>
      <w:r>
        <w:rPr>
          <w:rFonts w:hint="eastAsia"/>
          <w:sz w:val="24"/>
        </w:rPr>
        <w:t>六、特定资格要求的证明文件（如果本项目设置特定资格要求，则需要提供）</w:t>
      </w:r>
    </w:p>
    <w:p>
      <w:pPr>
        <w:spacing w:line="520" w:lineRule="exact"/>
        <w:ind w:firstLine="480"/>
        <w:rPr>
          <w:sz w:val="24"/>
        </w:rPr>
      </w:pPr>
      <w:r>
        <w:rPr>
          <w:rFonts w:hint="eastAsia"/>
          <w:sz w:val="24"/>
        </w:rPr>
        <w:t>七、法人授权书</w:t>
      </w:r>
    </w:p>
    <w:p>
      <w:pPr>
        <w:spacing w:line="520" w:lineRule="exact"/>
        <w:ind w:firstLine="480"/>
        <w:rPr>
          <w:sz w:val="24"/>
        </w:rPr>
      </w:pPr>
      <w:r>
        <w:rPr>
          <w:rFonts w:hint="eastAsia"/>
          <w:sz w:val="24"/>
        </w:rPr>
        <w:t>八、投标函</w:t>
      </w:r>
    </w:p>
    <w:p>
      <w:pPr>
        <w:spacing w:line="520" w:lineRule="exact"/>
        <w:ind w:firstLine="480"/>
        <w:rPr>
          <w:rFonts w:hint="eastAsia"/>
          <w:sz w:val="24"/>
        </w:rPr>
      </w:pPr>
      <w:r>
        <w:rPr>
          <w:rFonts w:hint="eastAsia"/>
          <w:sz w:val="24"/>
        </w:rPr>
        <w:t>九、中小微企业声明函</w:t>
      </w:r>
    </w:p>
    <w:p>
      <w:pPr>
        <w:spacing w:line="520" w:lineRule="exact"/>
        <w:ind w:firstLine="480"/>
        <w:rPr>
          <w:rFonts w:hint="eastAsia"/>
          <w:sz w:val="24"/>
        </w:rPr>
      </w:pPr>
      <w:r>
        <w:rPr>
          <w:rFonts w:hint="eastAsia"/>
          <w:sz w:val="24"/>
        </w:rPr>
        <w:t>十、残疾人福利性单位声明函</w:t>
      </w:r>
    </w:p>
    <w:p>
      <w:pPr>
        <w:spacing w:line="520" w:lineRule="exact"/>
        <w:ind w:firstLine="480"/>
        <w:rPr>
          <w:rFonts w:hint="eastAsia"/>
          <w:sz w:val="24"/>
        </w:rPr>
      </w:pPr>
      <w:r>
        <w:rPr>
          <w:rFonts w:hint="eastAsia"/>
          <w:sz w:val="24"/>
        </w:rPr>
        <w:t>十</w:t>
      </w:r>
      <w:r>
        <w:rPr>
          <w:rFonts w:hint="eastAsia" w:eastAsia="宋体"/>
          <w:sz w:val="24"/>
          <w:lang w:val="en-US" w:eastAsia="zh-CN"/>
        </w:rPr>
        <w:t>一</w:t>
      </w:r>
      <w:r>
        <w:rPr>
          <w:rFonts w:hint="eastAsia"/>
          <w:sz w:val="24"/>
        </w:rPr>
        <w:t>、技术要求响应及偏离表</w:t>
      </w:r>
    </w:p>
    <w:p>
      <w:pPr>
        <w:spacing w:line="520" w:lineRule="exact"/>
        <w:ind w:firstLine="480"/>
        <w:rPr>
          <w:rFonts w:hint="eastAsia"/>
          <w:sz w:val="24"/>
        </w:rPr>
      </w:pPr>
      <w:r>
        <w:rPr>
          <w:rFonts w:hint="eastAsia"/>
          <w:sz w:val="24"/>
        </w:rPr>
        <w:t>十</w:t>
      </w:r>
      <w:r>
        <w:rPr>
          <w:rFonts w:hint="eastAsia" w:eastAsia="宋体"/>
          <w:sz w:val="24"/>
          <w:lang w:val="en-US" w:eastAsia="zh-CN"/>
        </w:rPr>
        <w:t>二</w:t>
      </w:r>
      <w:r>
        <w:rPr>
          <w:rFonts w:hint="eastAsia"/>
          <w:sz w:val="24"/>
        </w:rPr>
        <w:t>、商务要求响应及偏离表</w:t>
      </w:r>
    </w:p>
    <w:p>
      <w:pPr>
        <w:spacing w:line="520" w:lineRule="exact"/>
        <w:ind w:firstLine="480"/>
        <w:rPr>
          <w:rFonts w:hint="eastAsia"/>
          <w:sz w:val="24"/>
        </w:rPr>
      </w:pPr>
      <w:r>
        <w:rPr>
          <w:rFonts w:hint="eastAsia"/>
          <w:sz w:val="24"/>
        </w:rPr>
        <w:t>十</w:t>
      </w:r>
      <w:r>
        <w:rPr>
          <w:rFonts w:hint="eastAsia"/>
          <w:sz w:val="24"/>
          <w:lang w:val="en-US" w:eastAsia="zh-CN"/>
        </w:rPr>
        <w:t>三</w:t>
      </w:r>
      <w:r>
        <w:rPr>
          <w:rFonts w:hint="eastAsia"/>
          <w:sz w:val="24"/>
        </w:rPr>
        <w:t>、开标一览表</w:t>
      </w:r>
    </w:p>
    <w:p>
      <w:pPr>
        <w:spacing w:line="520" w:lineRule="exact"/>
        <w:ind w:firstLine="480"/>
        <w:rPr>
          <w:rFonts w:hint="eastAsia"/>
          <w:sz w:val="24"/>
        </w:rPr>
      </w:pPr>
      <w:r>
        <w:rPr>
          <w:rFonts w:hint="eastAsia"/>
          <w:sz w:val="24"/>
        </w:rPr>
        <w:t>十</w:t>
      </w:r>
      <w:r>
        <w:rPr>
          <w:rFonts w:hint="eastAsia"/>
          <w:sz w:val="24"/>
          <w:lang w:val="en-US" w:eastAsia="zh-CN"/>
        </w:rPr>
        <w:t>四</w:t>
      </w:r>
      <w:r>
        <w:rPr>
          <w:rFonts w:hint="eastAsia"/>
          <w:sz w:val="24"/>
        </w:rPr>
        <w:t>、综合分析及服务方案等</w:t>
      </w:r>
    </w:p>
    <w:p>
      <w:pPr>
        <w:spacing w:line="520" w:lineRule="exact"/>
        <w:ind w:firstLine="480"/>
        <w:rPr>
          <w:rFonts w:hint="eastAsia"/>
          <w:sz w:val="24"/>
        </w:rPr>
      </w:pPr>
      <w:r>
        <w:rPr>
          <w:rFonts w:hint="eastAsia"/>
          <w:sz w:val="24"/>
        </w:rPr>
        <w:t>十</w:t>
      </w:r>
      <w:r>
        <w:rPr>
          <w:rFonts w:hint="eastAsia"/>
          <w:sz w:val="24"/>
          <w:lang w:val="en-US" w:eastAsia="zh-CN"/>
        </w:rPr>
        <w:t>五</w:t>
      </w:r>
      <w:r>
        <w:rPr>
          <w:rFonts w:hint="eastAsia"/>
          <w:sz w:val="24"/>
        </w:rPr>
        <w:t>、盐城市亭湖区政府采购事前信用承诺书</w:t>
      </w:r>
    </w:p>
    <w:p>
      <w:pPr>
        <w:spacing w:line="520" w:lineRule="exact"/>
        <w:rPr>
          <w:rFonts w:hint="eastAsia"/>
          <w:sz w:val="24"/>
        </w:rPr>
      </w:pPr>
      <w:r>
        <w:rPr>
          <w:rFonts w:hint="eastAsia"/>
          <w:sz w:val="24"/>
        </w:rPr>
        <w:t>注： 招标文件中规定要求提供的证明材料和投标人认为需要提供的其他材料。</w:t>
      </w:r>
    </w:p>
    <w:p>
      <w:pPr>
        <w:spacing w:line="520" w:lineRule="exact"/>
        <w:ind w:firstLine="480"/>
        <w:rPr>
          <w:rFonts w:hint="eastAsia"/>
          <w:sz w:val="24"/>
        </w:rPr>
      </w:pPr>
    </w:p>
    <w:p>
      <w:pPr>
        <w:spacing w:line="520" w:lineRule="exact"/>
        <w:ind w:firstLine="480"/>
        <w:rPr>
          <w:rFonts w:hint="eastAsia"/>
          <w:sz w:val="24"/>
        </w:rPr>
      </w:pPr>
    </w:p>
    <w:p>
      <w:pPr>
        <w:pStyle w:val="34"/>
        <w:pageBreakBefore w:val="0"/>
        <w:spacing w:beforeAutospacing="0" w:afterAutospacing="0" w:line="0" w:lineRule="atLeast"/>
        <w:ind w:firstLine="204"/>
        <w:jc w:val="both"/>
        <w:rPr>
          <w:color w:val="auto"/>
          <w:highlight w:val="none"/>
        </w:rPr>
      </w:pPr>
      <w:r>
        <w:rPr>
          <w:color w:val="auto"/>
          <w:highlight w:val="none"/>
        </w:rPr>
        <w:t> </w:t>
      </w:r>
    </w:p>
    <w:p>
      <w:pPr>
        <w:pStyle w:val="34"/>
        <w:pageBreakBefore w:val="0"/>
        <w:spacing w:beforeAutospacing="0" w:afterAutospacing="0" w:line="0" w:lineRule="atLeast"/>
        <w:ind w:firstLine="204"/>
        <w:jc w:val="both"/>
        <w:rPr>
          <w:color w:val="auto"/>
          <w:highlight w:val="none"/>
        </w:rPr>
      </w:pPr>
      <w:r>
        <w:rPr>
          <w:color w:val="auto"/>
          <w:highlight w:val="none"/>
        </w:rPr>
        <w:t> </w:t>
      </w:r>
    </w:p>
    <w:p>
      <w:pPr>
        <w:pStyle w:val="34"/>
        <w:pageBreakBefore w:val="0"/>
        <w:spacing w:beforeAutospacing="0" w:afterAutospacing="0" w:line="0" w:lineRule="atLeast"/>
        <w:ind w:firstLine="204"/>
        <w:jc w:val="both"/>
        <w:rPr>
          <w:color w:val="auto"/>
          <w:highlight w:val="none"/>
        </w:rPr>
      </w:pPr>
      <w:r>
        <w:rPr>
          <w:color w:val="auto"/>
          <w:highlight w:val="none"/>
        </w:rPr>
        <w:t> </w:t>
      </w:r>
    </w:p>
    <w:p>
      <w:pPr>
        <w:pStyle w:val="34"/>
        <w:pageBreakBefore w:val="0"/>
        <w:spacing w:beforeAutospacing="0" w:afterAutospacing="0" w:line="0" w:lineRule="atLeast"/>
        <w:ind w:firstLine="204"/>
        <w:jc w:val="both"/>
        <w:rPr>
          <w:color w:val="auto"/>
          <w:highlight w:val="none"/>
        </w:rPr>
      </w:pPr>
      <w:r>
        <w:rPr>
          <w:color w:val="auto"/>
          <w:highlight w:val="none"/>
        </w:rPr>
        <w:t> </w:t>
      </w:r>
    </w:p>
    <w:p>
      <w:pPr>
        <w:pStyle w:val="34"/>
        <w:pageBreakBefore w:val="0"/>
        <w:spacing w:beforeAutospacing="0" w:afterAutospacing="0" w:line="0" w:lineRule="atLeast"/>
        <w:ind w:firstLine="204"/>
        <w:jc w:val="both"/>
        <w:rPr>
          <w:color w:val="auto"/>
          <w:highlight w:val="none"/>
        </w:rPr>
      </w:pPr>
    </w:p>
    <w:p>
      <w:pPr>
        <w:pStyle w:val="34"/>
        <w:pageBreakBefore w:val="0"/>
        <w:spacing w:beforeAutospacing="0" w:afterAutospacing="0" w:line="0" w:lineRule="atLeast"/>
        <w:ind w:firstLine="204"/>
        <w:jc w:val="both"/>
        <w:rPr>
          <w:color w:val="auto"/>
          <w:highlight w:val="none"/>
        </w:rPr>
      </w:pPr>
    </w:p>
    <w:p>
      <w:pPr>
        <w:pStyle w:val="34"/>
        <w:pageBreakBefore w:val="0"/>
        <w:spacing w:beforeAutospacing="0" w:afterAutospacing="0" w:line="0" w:lineRule="atLeast"/>
        <w:ind w:firstLine="204"/>
        <w:jc w:val="both"/>
        <w:rPr>
          <w:color w:val="auto"/>
          <w:highlight w:val="none"/>
        </w:rPr>
      </w:pPr>
    </w:p>
    <w:p>
      <w:pPr>
        <w:pStyle w:val="34"/>
        <w:pageBreakBefore w:val="0"/>
        <w:spacing w:beforeAutospacing="0" w:afterAutospacing="0" w:line="0" w:lineRule="atLeast"/>
        <w:ind w:firstLine="204"/>
        <w:jc w:val="both"/>
        <w:rPr>
          <w:color w:val="auto"/>
          <w:highlight w:val="none"/>
        </w:rPr>
      </w:pPr>
      <w:r>
        <w:rPr>
          <w:color w:val="auto"/>
          <w:highlight w:val="none"/>
        </w:rPr>
        <w:t> </w:t>
      </w:r>
    </w:p>
    <w:p>
      <w:pPr>
        <w:pStyle w:val="207"/>
        <w:ind w:firstLine="482"/>
        <w:jc w:val="center"/>
      </w:pPr>
      <w:r>
        <w:rPr>
          <w:rFonts w:hint="eastAsia" w:ascii="黑体" w:hAnsi="黑体" w:eastAsia="黑体" w:cs="黑体"/>
          <w:i/>
          <w:sz w:val="32"/>
          <w:szCs w:val="32"/>
          <w:u w:val="single"/>
        </w:rPr>
        <w:t>一、法人或者其他组织的营业执照等证明文件，自然人的身份证明</w:t>
      </w:r>
    </w:p>
    <w:p>
      <w:pPr>
        <w:pStyle w:val="208"/>
        <w:ind w:firstLine="480"/>
      </w:pPr>
      <w:r>
        <w:rPr>
          <w:rFonts w:hint="eastAsia"/>
        </w:rPr>
        <w:t> </w:t>
      </w:r>
    </w:p>
    <w:p>
      <w:pPr>
        <w:ind w:firstLine="440"/>
      </w:pPr>
    </w:p>
    <w:p>
      <w:pPr>
        <w:ind w:firstLine="440"/>
      </w:pPr>
    </w:p>
    <w:p>
      <w:pPr>
        <w:ind w:firstLine="440"/>
      </w:pPr>
      <w:r>
        <w:rPr>
          <w:rFonts w:hint="eastAsia"/>
        </w:rPr>
        <w:t xml:space="preserve">                                      </w:t>
      </w:r>
    </w:p>
    <w:p>
      <w:pPr>
        <w:pStyle w:val="208"/>
        <w:spacing w:beforeAutospacing="0" w:afterAutospacing="0" w:line="500" w:lineRule="exact"/>
        <w:jc w:val="center"/>
        <w:outlineLvl w:val="1"/>
        <w:rPr>
          <w:rFonts w:ascii="黑体" w:hAnsi="黑体" w:eastAsia="黑体" w:cs="黑体"/>
          <w:i/>
          <w:sz w:val="32"/>
          <w:szCs w:val="32"/>
          <w:u w:val="single"/>
        </w:rPr>
      </w:pPr>
      <w:r>
        <w:rPr>
          <w:rFonts w:hint="eastAsia"/>
        </w:rPr>
        <w:br w:type="page" w:clear="all"/>
      </w:r>
      <w:r>
        <w:rPr>
          <w:rFonts w:hint="eastAsia" w:ascii="黑体" w:hAnsi="黑体" w:eastAsia="黑体" w:cs="黑体"/>
          <w:i/>
          <w:sz w:val="32"/>
          <w:szCs w:val="32"/>
          <w:u w:val="single"/>
        </w:rPr>
        <w:t>二、上一年度的财务状况报表</w:t>
      </w:r>
    </w:p>
    <w:p>
      <w:pPr>
        <w:pageBreakBefore w:val="0"/>
        <w:pBdr>
          <w:top w:val="none" w:color="000000" w:sz="0" w:space="0"/>
          <w:left w:val="none" w:color="000000" w:sz="0" w:space="0"/>
          <w:bottom w:val="none" w:color="000000" w:sz="0" w:space="0"/>
          <w:right w:val="none" w:color="000000" w:sz="0" w:space="0"/>
        </w:pBdr>
        <w:spacing w:before="0" w:after="0"/>
        <w:ind w:left="0" w:right="0" w:firstLine="0"/>
        <w:rPr>
          <w:rFonts w:hint="eastAsia" w:asciiTheme="minorEastAsia" w:hAnsiTheme="minorEastAsia" w:eastAsiaTheme="minorEastAsia" w:cstheme="minorEastAsia"/>
          <w:i w:val="0"/>
          <w:iCs/>
          <w:color w:val="auto"/>
          <w:sz w:val="24"/>
          <w:highlight w:val="none"/>
          <w:u w:val="none"/>
        </w:rPr>
      </w:pPr>
      <w:r>
        <w:rPr>
          <w:rFonts w:hint="eastAsia" w:asciiTheme="minorEastAsia" w:hAnsiTheme="minorEastAsia" w:eastAsiaTheme="minorEastAsia" w:cstheme="minorEastAsia"/>
          <w:i w:val="0"/>
          <w:iCs/>
          <w:color w:val="auto"/>
          <w:sz w:val="24"/>
          <w:highlight w:val="none"/>
          <w:u w:val="none"/>
        </w:rPr>
        <w:t>（至少提供资产负债表、利润表、现金流量表，投标人成立不满一年无需提供）</w:t>
      </w:r>
    </w:p>
    <w:p>
      <w:pPr>
        <w:pStyle w:val="209"/>
        <w:spacing w:line="400" w:lineRule="exact"/>
        <w:ind w:firstLine="480"/>
        <w:jc w:val="center"/>
        <w:rPr>
          <w:sz w:val="24"/>
          <w:szCs w:val="21"/>
        </w:rPr>
      </w:pPr>
    </w:p>
    <w:p>
      <w:pPr>
        <w:ind w:firstLine="440"/>
      </w:pPr>
    </w:p>
    <w:p>
      <w:pPr>
        <w:ind w:firstLine="440"/>
      </w:pPr>
    </w:p>
    <w:p>
      <w:pPr>
        <w:ind w:firstLine="440"/>
      </w:pPr>
      <w:r>
        <w:rPr>
          <w:rFonts w:hint="eastAsia"/>
        </w:rPr>
        <w:t xml:space="preserve">                                      </w:t>
      </w:r>
    </w:p>
    <w:p>
      <w:pPr>
        <w:ind w:firstLine="440"/>
      </w:pPr>
    </w:p>
    <w:p>
      <w:pPr>
        <w:ind w:firstLine="440"/>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ind w:firstLine="440"/>
      </w:pPr>
    </w:p>
    <w:p>
      <w:pPr>
        <w:ind w:firstLine="440"/>
      </w:pPr>
    </w:p>
    <w:p>
      <w:pPr>
        <w:ind w:firstLine="440"/>
      </w:pPr>
    </w:p>
    <w:p>
      <w:pPr>
        <w:ind w:firstLine="440"/>
      </w:pPr>
    </w:p>
    <w:p>
      <w:pPr>
        <w:ind w:firstLine="440"/>
      </w:pPr>
    </w:p>
    <w:p>
      <w:pPr>
        <w:ind w:firstLine="44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spacing w:beforeAutospacing="0" w:afterAutospacing="0" w:line="500" w:lineRule="exact"/>
        <w:jc w:val="center"/>
        <w:outlineLvl w:val="1"/>
        <w:rPr>
          <w:rFonts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pPr>
        <w:pStyle w:val="208"/>
        <w:spacing w:beforeAutospacing="0" w:afterAutospacing="0" w:line="500" w:lineRule="exact"/>
        <w:ind w:firstLine="480"/>
        <w:jc w:val="both"/>
      </w:pPr>
      <w:r>
        <w:rPr>
          <w:rFonts w:hint="eastAsia"/>
        </w:rPr>
        <w:t>我单位郑重声明：我单位具备履行本项采购合同所必需的设备和专业技术能力，为履行本项采购合同我公司具备如下主要设备和主要专业技术能力：</w:t>
      </w:r>
    </w:p>
    <w:p>
      <w:pPr>
        <w:pStyle w:val="208"/>
        <w:spacing w:beforeAutospacing="0" w:afterAutospacing="0" w:line="500" w:lineRule="exact"/>
        <w:ind w:firstLine="480"/>
        <w:jc w:val="both"/>
      </w:pPr>
      <w:r>
        <w:rPr>
          <w:rFonts w:hint="eastAsia"/>
        </w:rPr>
        <w:t>主要设备有：</w:t>
      </w:r>
      <w:r>
        <w:rPr>
          <w:rFonts w:hint="eastAsia"/>
          <w:u w:val="single"/>
        </w:rPr>
        <w:t xml:space="preserve">            </w:t>
      </w:r>
      <w:r>
        <w:rPr>
          <w:rFonts w:hint="eastAsia"/>
        </w:rPr>
        <w:t>。</w:t>
      </w:r>
    </w:p>
    <w:p>
      <w:pPr>
        <w:pStyle w:val="208"/>
        <w:spacing w:beforeAutospacing="0" w:afterAutospacing="0" w:line="500" w:lineRule="exact"/>
        <w:ind w:firstLine="480"/>
        <w:jc w:val="both"/>
      </w:pPr>
      <w:r>
        <w:rPr>
          <w:rFonts w:hint="eastAsia"/>
        </w:rPr>
        <w:t>主要专业技术能力有：</w:t>
      </w:r>
      <w:r>
        <w:rPr>
          <w:rFonts w:hint="eastAsia"/>
          <w:u w:val="single"/>
        </w:rPr>
        <w:t xml:space="preserve">   </w:t>
      </w:r>
      <w:r>
        <w:rPr>
          <w:rFonts w:hint="eastAsia"/>
        </w:rPr>
        <w:t>。</w:t>
      </w:r>
    </w:p>
    <w:p>
      <w:pPr>
        <w:pStyle w:val="208"/>
        <w:spacing w:beforeAutospacing="0" w:afterAutospacing="0" w:line="500" w:lineRule="exact"/>
        <w:ind w:firstLine="480"/>
        <w:jc w:val="both"/>
      </w:pPr>
      <w:r>
        <w:rPr>
          <w:rFonts w:hint="eastAsia"/>
        </w:rPr>
        <w:t>                </w:t>
      </w:r>
    </w:p>
    <w:p>
      <w:pPr>
        <w:ind w:firstLine="440"/>
      </w:pPr>
      <w:r>
        <w:rPr>
          <w:rFonts w:hint="eastAsia"/>
        </w:rPr>
        <w:br w:type="page" w:clear="all"/>
      </w:r>
    </w:p>
    <w:p>
      <w:pPr>
        <w:pStyle w:val="208"/>
        <w:spacing w:beforeAutospacing="0" w:afterAutospacing="0" w:line="500" w:lineRule="exact"/>
        <w:ind w:firstLine="0"/>
        <w:jc w:val="center"/>
        <w:outlineLvl w:val="1"/>
        <w:rPr>
          <w:rFonts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pPr>
        <w:pStyle w:val="208"/>
        <w:spacing w:beforeAutospacing="0" w:afterAutospacing="0" w:line="440" w:lineRule="exact"/>
        <w:ind w:firstLine="480"/>
        <w:jc w:val="both"/>
        <w:rPr>
          <w:szCs w:val="24"/>
        </w:rPr>
      </w:pPr>
      <w:r>
        <w:rPr>
          <w:rFonts w:hint="eastAsia"/>
          <w:szCs w:val="24"/>
        </w:rPr>
        <w:t>提供提交投标文件截止时间前一年内</w:t>
      </w:r>
      <w:r>
        <w:rPr>
          <w:rFonts w:hint="eastAsia"/>
          <w:szCs w:val="24"/>
          <w:lang w:val="en-US" w:eastAsia="zh-CN"/>
        </w:rPr>
        <w:t>任意</w:t>
      </w:r>
      <w:r>
        <w:rPr>
          <w:rFonts w:hint="eastAsia"/>
          <w:szCs w:val="24"/>
        </w:rPr>
        <w:t>一个月依法缴纳税收及缴纳社会保障资金的证明材料。投标人依法享受缓缴、免缴税收、社会保障资金的提供证明材料。</w:t>
      </w:r>
    </w:p>
    <w:p>
      <w:pPr>
        <w:pStyle w:val="208"/>
        <w:ind w:firstLine="480"/>
      </w:pPr>
    </w:p>
    <w:p>
      <w:pPr>
        <w:pStyle w:val="195"/>
        <w:ind w:firstLine="643"/>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pStyle w:val="207"/>
        <w:ind w:firstLine="48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0"/>
        <w:rPr>
          <w:sz w:val="24"/>
          <w:szCs w:val="22"/>
        </w:rPr>
      </w:pPr>
    </w:p>
    <w:p>
      <w:pPr>
        <w:ind w:firstLine="480"/>
        <w:rPr>
          <w:sz w:val="24"/>
          <w:szCs w:val="22"/>
        </w:rPr>
      </w:pPr>
    </w:p>
    <w:p>
      <w:pPr>
        <w:ind w:firstLine="480"/>
        <w:rPr>
          <w:sz w:val="24"/>
          <w:szCs w:val="22"/>
        </w:rPr>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pStyle w:val="208"/>
        <w:ind w:firstLine="480"/>
      </w:pPr>
    </w:p>
    <w:p>
      <w:pPr>
        <w:pStyle w:val="208"/>
        <w:spacing w:beforeAutospacing="0" w:afterAutospacing="0" w:line="500" w:lineRule="exact"/>
        <w:jc w:val="center"/>
        <w:outlineLvl w:val="1"/>
        <w:rPr>
          <w:rFonts w:ascii="黑体" w:hAnsi="黑体" w:eastAsia="黑体" w:cs="黑体"/>
          <w:i/>
          <w:sz w:val="32"/>
          <w:szCs w:val="32"/>
          <w:u w:val="single"/>
        </w:rPr>
      </w:pPr>
      <w:r>
        <w:rPr>
          <w:rFonts w:hint="eastAsia" w:ascii="黑体" w:hAnsi="黑体" w:eastAsia="黑体" w:cs="黑体"/>
          <w:i/>
          <w:sz w:val="32"/>
          <w:szCs w:val="32"/>
          <w:u w:val="single"/>
        </w:rPr>
        <w:t>五、参加政府采购活动前 3 年内在经营活动中没有重大违法记录的书面声明</w:t>
      </w:r>
    </w:p>
    <w:p>
      <w:pPr>
        <w:pStyle w:val="208"/>
        <w:spacing w:beforeAutospacing="0" w:afterAutospacing="0" w:line="500" w:lineRule="exact"/>
        <w:ind w:firstLine="3618"/>
        <w:jc w:val="both"/>
      </w:pPr>
      <w:r>
        <w:rPr>
          <w:rFonts w:hint="eastAsia"/>
          <w:b/>
          <w:sz w:val="44"/>
          <w:szCs w:val="44"/>
        </w:rPr>
        <w:t>声  明</w:t>
      </w:r>
    </w:p>
    <w:p>
      <w:pPr>
        <w:pStyle w:val="208"/>
        <w:spacing w:beforeAutospacing="0" w:afterAutospacing="0" w:line="500" w:lineRule="exact"/>
        <w:ind w:firstLine="482"/>
        <w:jc w:val="both"/>
      </w:pPr>
      <w:r>
        <w:rPr>
          <w:rFonts w:hint="eastAsia"/>
        </w:rPr>
        <w:t>我单位郑重声明：参加本次政府采购活动前 3 年内，我单位在经营活动中没有因违法经营受到刑事处罚或者责令停产停业、吊销许可证或者执照、较大数额罚款等行政处罚。</w:t>
      </w: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pStyle w:val="208"/>
        <w:ind w:firstLine="480"/>
      </w:pPr>
    </w:p>
    <w:p>
      <w:pPr>
        <w:ind w:firstLine="440"/>
      </w:pPr>
      <w:r>
        <w:rPr>
          <w:rFonts w:hint="eastAsia"/>
        </w:rPr>
        <w:br w:type="page" w:clear="all"/>
      </w:r>
    </w:p>
    <w:p>
      <w:pPr>
        <w:pStyle w:val="208"/>
        <w:spacing w:beforeAutospacing="0" w:afterAutospacing="0" w:line="500" w:lineRule="exact"/>
        <w:jc w:val="center"/>
        <w:outlineLvl w:val="1"/>
        <w:rPr>
          <w:rFonts w:ascii="黑体" w:hAnsi="黑体" w:eastAsia="黑体" w:cs="黑体"/>
          <w:i/>
          <w:sz w:val="32"/>
          <w:szCs w:val="32"/>
          <w:u w:val="single"/>
        </w:rPr>
      </w:pPr>
      <w:r>
        <w:rPr>
          <w:rFonts w:hint="eastAsia" w:ascii="黑体" w:hAnsi="黑体" w:eastAsia="黑体" w:cs="黑体"/>
          <w:i/>
          <w:sz w:val="32"/>
          <w:szCs w:val="32"/>
          <w:u w:val="single"/>
        </w:rPr>
        <w:t>六、特定资格要求的证明文件</w:t>
      </w:r>
    </w:p>
    <w:p>
      <w:pPr>
        <w:pStyle w:val="208"/>
        <w:spacing w:beforeAutospacing="0" w:afterAutospacing="0" w:line="500" w:lineRule="exact"/>
        <w:ind w:firstLine="480"/>
        <w:jc w:val="center"/>
      </w:pPr>
      <w:r>
        <w:rPr>
          <w:rFonts w:hint="eastAsia"/>
        </w:rPr>
        <w:t>如果本项目申请人的特定资格要求中要求提供的，必须提供。</w:t>
      </w:r>
    </w:p>
    <w:p>
      <w:pPr>
        <w:pStyle w:val="210"/>
        <w:spacing w:line="240" w:lineRule="auto"/>
        <w:ind w:firstLine="883"/>
      </w:pPr>
    </w:p>
    <w:p>
      <w:pPr>
        <w:ind w:firstLine="440"/>
      </w:pPr>
    </w:p>
    <w:p>
      <w:pPr>
        <w:pStyle w:val="45"/>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ind w:firstLine="440"/>
      </w:pPr>
    </w:p>
    <w:p>
      <w:pPr>
        <w:pStyle w:val="208"/>
        <w:ind w:firstLine="480"/>
      </w:pPr>
    </w:p>
    <w:p>
      <w:pPr>
        <w:pStyle w:val="208"/>
        <w:ind w:firstLine="480"/>
      </w:pPr>
    </w:p>
    <w:p>
      <w:pPr>
        <w:pStyle w:val="208"/>
        <w:ind w:firstLine="480"/>
      </w:pPr>
    </w:p>
    <w:p>
      <w:pPr>
        <w:ind w:firstLine="560"/>
        <w:rPr>
          <w:sz w:val="28"/>
        </w:rPr>
      </w:pPr>
      <w:r>
        <w:rPr>
          <w:rFonts w:hint="eastAsia"/>
          <w:sz w:val="28"/>
        </w:rPr>
        <w:br w:type="page" w:clear="all"/>
      </w:r>
    </w:p>
    <w:p>
      <w:pPr>
        <w:pStyle w:val="208"/>
        <w:spacing w:beforeAutospacing="0" w:afterAutospacing="0" w:line="500" w:lineRule="exact"/>
        <w:ind w:firstLine="0"/>
        <w:jc w:val="center"/>
        <w:outlineLvl w:val="1"/>
        <w:rPr>
          <w:rFonts w:ascii="黑体" w:hAnsi="黑体" w:eastAsia="黑体" w:cs="黑体"/>
          <w:i/>
          <w:sz w:val="32"/>
          <w:szCs w:val="32"/>
          <w:u w:val="single"/>
        </w:rPr>
      </w:pPr>
      <w:bookmarkStart w:id="173" w:name="_Hlt26671380"/>
      <w:bookmarkStart w:id="174" w:name="_Hlt26955070"/>
      <w:bookmarkStart w:id="175" w:name="_格式3__银行出具的资信证明"/>
      <w:r>
        <w:rPr>
          <w:rFonts w:hint="eastAsia" w:ascii="黑体" w:hAnsi="黑体" w:eastAsia="黑体" w:cs="黑体"/>
          <w:i/>
          <w:sz w:val="32"/>
          <w:szCs w:val="32"/>
          <w:u w:val="single"/>
        </w:rPr>
        <w:t>七、法人授权书</w:t>
      </w:r>
    </w:p>
    <w:p>
      <w:pPr>
        <w:pStyle w:val="208"/>
        <w:ind w:firstLine="480"/>
      </w:pPr>
      <w:r>
        <w:rPr>
          <w:rFonts w:hint="eastAsia"/>
        </w:rPr>
        <w:t>本授权书声明：____________（投标人名称）授权________________（被授权人的姓名）为我方就</w:t>
      </w:r>
      <w:r>
        <w:rPr>
          <w:rFonts w:hint="eastAsia"/>
          <w:u w:val="single"/>
          <w:lang w:val="en-US" w:eastAsia="zh-CN"/>
        </w:rPr>
        <w:t>JSZC-320902-YDZJ-G2024-0001</w:t>
      </w:r>
      <w:r>
        <w:rPr>
          <w:rFonts w:hint="eastAsia" w:eastAsia="宋体"/>
          <w:highlight w:val="none"/>
          <w:u w:val="single"/>
          <w:lang w:val="en-US" w:eastAsia="zh-CN"/>
        </w:rPr>
        <w:t xml:space="preserve"> </w:t>
      </w:r>
      <w:r>
        <w:rPr>
          <w:rFonts w:hint="eastAsia"/>
        </w:rPr>
        <w:t>号</w:t>
      </w:r>
      <w:r>
        <w:rPr>
          <w:rFonts w:hint="eastAsia"/>
          <w:szCs w:val="20"/>
          <w:u w:val="single"/>
          <w:lang w:eastAsia="zh-CN"/>
        </w:rPr>
        <w:t>盐城市亭湖区人民法院食堂餐饮服务外包项目</w:t>
      </w:r>
      <w:r>
        <w:rPr>
          <w:rFonts w:hint="eastAsia"/>
        </w:rPr>
        <w:t>采购活动的合法代理人，以本单位名义全权处理一切与该项目采购有关的事务。</w:t>
      </w:r>
    </w:p>
    <w:p>
      <w:pPr>
        <w:pStyle w:val="208"/>
        <w:spacing w:line="240" w:lineRule="auto"/>
        <w:ind w:firstLine="480"/>
      </w:pPr>
      <w:r>
        <w:rPr>
          <w:rFonts w:hint="eastAsia"/>
        </w:rPr>
        <w:t>本授权书于______年____月____日起生效，特此声明。</w:t>
      </w:r>
    </w:p>
    <w:p>
      <w:pPr>
        <w:pStyle w:val="208"/>
        <w:spacing w:line="240" w:lineRule="auto"/>
        <w:ind w:firstLine="480"/>
      </w:pPr>
      <w:r>
        <w:rPr>
          <w:rFonts w:hint="eastAsia"/>
        </w:rPr>
        <w:t>被授权人身份证号码：</w:t>
      </w:r>
      <w:r>
        <w:rPr>
          <w:rFonts w:hint="eastAsia"/>
          <w:u w:val="single"/>
        </w:rPr>
        <w:t>                      </w:t>
      </w:r>
      <w:r>
        <w:rPr>
          <w:rFonts w:hint="eastAsia"/>
        </w:rPr>
        <w:t>              </w:t>
      </w:r>
    </w:p>
    <w:p>
      <w:pPr>
        <w:pStyle w:val="208"/>
        <w:spacing w:line="240" w:lineRule="auto"/>
        <w:ind w:firstLine="480"/>
      </w:pPr>
      <w:r>
        <w:rPr>
          <w:rFonts w:hint="eastAsia"/>
        </w:rPr>
        <w:t>被授权人联系电话：</w:t>
      </w:r>
      <w:r>
        <w:rPr>
          <w:rFonts w:hint="eastAsia"/>
          <w:u w:val="single"/>
        </w:rPr>
        <w:t xml:space="preserve">  （手机）              </w:t>
      </w:r>
      <w:r>
        <w:rPr>
          <w:rFonts w:hint="eastAsia"/>
        </w:rPr>
        <w:t xml:space="preserve">                   </w:t>
      </w:r>
    </w:p>
    <w:p>
      <w:pPr>
        <w:pStyle w:val="208"/>
        <w:spacing w:line="240" w:lineRule="auto"/>
        <w:ind w:firstLine="480"/>
      </w:pPr>
      <w:r>
        <w:rPr>
          <w:rFonts w:hint="eastAsia"/>
        </w:rPr>
        <w:t>授权单位名称：</w:t>
      </w:r>
      <w:r>
        <w:rPr>
          <w:rFonts w:hint="eastAsia"/>
          <w:u w:val="single"/>
        </w:rPr>
        <w:t xml:space="preserve">（加盖CA电子公章）          </w:t>
      </w:r>
      <w:r>
        <w:rPr>
          <w:rFonts w:hint="eastAsia"/>
        </w:rPr>
        <w:t xml:space="preserve">            </w:t>
      </w:r>
    </w:p>
    <w:p>
      <w:pPr>
        <w:pStyle w:val="208"/>
        <w:spacing w:line="240" w:lineRule="auto"/>
        <w:ind w:firstLine="480"/>
      </w:pPr>
      <w:r>
        <w:rPr>
          <w:rFonts w:hint="eastAsia"/>
        </w:rPr>
        <w:t>单 位 地 址：</w:t>
      </w:r>
      <w:r>
        <w:rPr>
          <w:rFonts w:hint="eastAsia"/>
          <w:u w:val="single"/>
        </w:rPr>
        <w:t>                            </w:t>
      </w:r>
      <w:r>
        <w:rPr>
          <w:rFonts w:hint="eastAsia"/>
        </w:rPr>
        <w:t xml:space="preserve">            </w:t>
      </w:r>
    </w:p>
    <w:p>
      <w:pPr>
        <w:pStyle w:val="208"/>
        <w:spacing w:line="240" w:lineRule="auto"/>
        <w:ind w:firstLine="480"/>
        <w:rPr>
          <w:szCs w:val="22"/>
        </w:rPr>
      </w:pPr>
      <w:r>
        <w:rPr>
          <w:rFonts w:hint="eastAsia"/>
          <w:szCs w:val="22"/>
        </w:rPr>
        <w:t>日       期：</w:t>
      </w:r>
      <w:r>
        <w:rPr>
          <w:rFonts w:hint="eastAsia"/>
          <w:szCs w:val="22"/>
          <w:u w:val="singl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r>
        <w:rPr>
          <w:color w:val="auto"/>
          <w:highlight w:val="none"/>
        </w:rPr>
        <w:t> </w:t>
      </w:r>
    </w:p>
    <w:p>
      <w:pPr>
        <w:ind w:firstLine="480"/>
        <w:jc w:val="center"/>
      </w:pPr>
      <w:r>
        <w:rPr>
          <w:rFonts w:hint="eastAsia" w:ascii="黑体" w:hAnsi="黑体" w:eastAsia="黑体" w:cs="黑体"/>
          <w:i/>
          <w:sz w:val="32"/>
          <w:szCs w:val="32"/>
          <w:u w:val="single"/>
        </w:rPr>
        <w:t>八、投标函</w:t>
      </w:r>
    </w:p>
    <w:p>
      <w:pPr>
        <w:ind w:firstLine="480"/>
        <w:rPr>
          <w:rFonts w:hint="eastAsia" w:eastAsia="宋体"/>
          <w:sz w:val="24"/>
          <w:szCs w:val="24"/>
          <w:lang w:eastAsia="zh-CN"/>
        </w:rPr>
      </w:pPr>
      <w:r>
        <w:rPr>
          <w:rFonts w:hint="eastAsia"/>
          <w:sz w:val="24"/>
          <w:szCs w:val="24"/>
        </w:rPr>
        <w:t>致：盐城市亭湖区</w:t>
      </w:r>
      <w:r>
        <w:rPr>
          <w:rFonts w:hint="eastAsia"/>
          <w:sz w:val="24"/>
          <w:szCs w:val="24"/>
          <w:lang w:val="en-US" w:eastAsia="zh-CN"/>
        </w:rPr>
        <w:t xml:space="preserve">人民法院 </w:t>
      </w:r>
    </w:p>
    <w:p>
      <w:pPr>
        <w:ind w:firstLine="480"/>
        <w:rPr>
          <w:sz w:val="24"/>
          <w:szCs w:val="24"/>
        </w:rPr>
      </w:pPr>
      <w:r>
        <w:rPr>
          <w:rFonts w:hint="eastAsia"/>
          <w:sz w:val="24"/>
          <w:szCs w:val="24"/>
        </w:rPr>
        <w:t>根据贵方的</w:t>
      </w:r>
      <w:r>
        <w:rPr>
          <w:rFonts w:hint="eastAsia" w:eastAsia="宋体"/>
          <w:sz w:val="24"/>
          <w:szCs w:val="24"/>
          <w:highlight w:val="none"/>
          <w:u w:val="single"/>
          <w:lang w:val="en-US" w:eastAsia="zh-CN"/>
        </w:rPr>
        <w:t>JSZC-320902-YDZJ-G2024-0001</w:t>
      </w:r>
      <w:r>
        <w:rPr>
          <w:rFonts w:hint="eastAsia" w:eastAsia="宋体"/>
          <w:sz w:val="24"/>
          <w:szCs w:val="24"/>
          <w:highlight w:val="none"/>
          <w:u w:val="single"/>
          <w:lang w:eastAsia="zh-CN"/>
        </w:rPr>
        <w:t xml:space="preserve"> </w:t>
      </w:r>
      <w:r>
        <w:rPr>
          <w:rFonts w:hint="eastAsia"/>
          <w:sz w:val="24"/>
          <w:szCs w:val="24"/>
        </w:rPr>
        <w:t>号招标文件，正式授权下述签字人______(姓名)代表我方______________（投标人的名称），全权处理本次项目投标的有关事宜。</w:t>
      </w:r>
    </w:p>
    <w:p>
      <w:pPr>
        <w:ind w:firstLine="480"/>
        <w:rPr>
          <w:sz w:val="24"/>
          <w:szCs w:val="24"/>
        </w:rPr>
      </w:pPr>
      <w:r>
        <w:rPr>
          <w:rFonts w:hint="eastAsia"/>
          <w:sz w:val="24"/>
          <w:szCs w:val="24"/>
        </w:rPr>
        <w:t>据此函，__________签字人兹宣布同意如下：</w:t>
      </w:r>
    </w:p>
    <w:p>
      <w:pPr>
        <w:ind w:firstLine="480"/>
        <w:rPr>
          <w:sz w:val="24"/>
          <w:szCs w:val="24"/>
        </w:rPr>
      </w:pPr>
      <w:r>
        <w:rPr>
          <w:rFonts w:hint="eastAsia"/>
          <w:sz w:val="24"/>
          <w:szCs w:val="24"/>
        </w:rPr>
        <w:t>1.按招标文件规定的各项要求，向买方提供所需服务（包含与服务相关的货物）。</w:t>
      </w:r>
    </w:p>
    <w:p>
      <w:pPr>
        <w:ind w:firstLine="480"/>
        <w:rPr>
          <w:sz w:val="24"/>
          <w:szCs w:val="24"/>
        </w:rPr>
      </w:pPr>
      <w:r>
        <w:rPr>
          <w:rFonts w:hint="eastAsia"/>
          <w:sz w:val="24"/>
          <w:szCs w:val="24"/>
        </w:rPr>
        <w:t>2.我们完全理解贵方不一定将合同授予最低报价的投标人。</w:t>
      </w:r>
    </w:p>
    <w:p>
      <w:pPr>
        <w:ind w:firstLine="480"/>
        <w:rPr>
          <w:sz w:val="24"/>
          <w:szCs w:val="24"/>
        </w:rPr>
      </w:pPr>
      <w:r>
        <w:rPr>
          <w:rFonts w:hint="eastAsia"/>
          <w:sz w:val="24"/>
          <w:szCs w:val="24"/>
        </w:rPr>
        <w:t>3.我们已详细审核全部招标文件及其有效补充文件，我们知道必须放弃提出含糊不清或误解问题的权利。</w:t>
      </w:r>
    </w:p>
    <w:p>
      <w:pPr>
        <w:ind w:firstLine="480"/>
        <w:rPr>
          <w:sz w:val="24"/>
          <w:szCs w:val="24"/>
        </w:rPr>
      </w:pPr>
      <w:r>
        <w:rPr>
          <w:rFonts w:hint="eastAsia"/>
          <w:sz w:val="24"/>
          <w:szCs w:val="24"/>
        </w:rPr>
        <w:t>4.我们同意从规定的开标日期起遵循本投标文件，并在规定的投标有效期期满之前均具有约束力。</w:t>
      </w:r>
    </w:p>
    <w:p>
      <w:pPr>
        <w:ind w:firstLine="480"/>
        <w:rPr>
          <w:sz w:val="24"/>
          <w:szCs w:val="24"/>
        </w:rPr>
      </w:pPr>
      <w:r>
        <w:rPr>
          <w:rFonts w:hint="eastAsia"/>
          <w:sz w:val="24"/>
          <w:szCs w:val="24"/>
        </w:rPr>
        <w:t>5.同意向贵方提供贵方可能另外要求的与投标有关的任何证据或资料，并保证我方已提供和将要提供的文件是真实的、准确的。</w:t>
      </w:r>
    </w:p>
    <w:p>
      <w:pPr>
        <w:ind w:firstLine="480"/>
        <w:rPr>
          <w:sz w:val="24"/>
          <w:szCs w:val="24"/>
        </w:rPr>
      </w:pPr>
      <w:r>
        <w:rPr>
          <w:rFonts w:hint="eastAsia"/>
          <w:sz w:val="24"/>
          <w:szCs w:val="24"/>
        </w:rPr>
        <w:t>6.一旦我方中标,我方将根据招标文件的规定，严格履行合同的责任和义务,并保证在招标文件规定的时间完成项目，交付买方验收、使用。</w:t>
      </w:r>
    </w:p>
    <w:p>
      <w:pPr>
        <w:ind w:firstLine="480"/>
        <w:rPr>
          <w:sz w:val="24"/>
          <w:szCs w:val="24"/>
        </w:rPr>
      </w:pPr>
      <w:r>
        <w:rPr>
          <w:rFonts w:hint="eastAsia"/>
          <w:sz w:val="24"/>
          <w:szCs w:val="24"/>
        </w:rPr>
        <w:t>7.与本投标有关的正式通讯地址为：</w:t>
      </w:r>
    </w:p>
    <w:p>
      <w:pPr>
        <w:ind w:firstLine="480"/>
        <w:rPr>
          <w:sz w:val="24"/>
          <w:szCs w:val="24"/>
        </w:rPr>
      </w:pPr>
      <w:r>
        <w:rPr>
          <w:rFonts w:hint="eastAsia"/>
          <w:sz w:val="24"/>
          <w:szCs w:val="24"/>
        </w:rPr>
        <w:t>地        址：</w:t>
      </w:r>
    </w:p>
    <w:p>
      <w:pPr>
        <w:ind w:firstLine="480"/>
        <w:rPr>
          <w:sz w:val="24"/>
          <w:szCs w:val="24"/>
        </w:rPr>
      </w:pPr>
      <w:r>
        <w:rPr>
          <w:rFonts w:hint="eastAsia"/>
          <w:sz w:val="24"/>
          <w:szCs w:val="24"/>
        </w:rPr>
        <w:t>邮        编：</w:t>
      </w:r>
    </w:p>
    <w:p>
      <w:pPr>
        <w:ind w:firstLine="480"/>
        <w:rPr>
          <w:sz w:val="24"/>
          <w:szCs w:val="24"/>
        </w:rPr>
      </w:pPr>
      <w:r>
        <w:rPr>
          <w:rFonts w:hint="eastAsia"/>
          <w:sz w:val="24"/>
          <w:szCs w:val="24"/>
        </w:rPr>
        <w:t>电        话：</w:t>
      </w:r>
    </w:p>
    <w:p>
      <w:pPr>
        <w:ind w:firstLine="480"/>
        <w:rPr>
          <w:sz w:val="24"/>
          <w:szCs w:val="24"/>
        </w:rPr>
      </w:pPr>
      <w:r>
        <w:rPr>
          <w:rFonts w:hint="eastAsia"/>
          <w:sz w:val="24"/>
          <w:szCs w:val="24"/>
        </w:rPr>
        <w:t>传        真：</w:t>
      </w:r>
    </w:p>
    <w:p>
      <w:pPr>
        <w:ind w:firstLine="480"/>
        <w:rPr>
          <w:sz w:val="24"/>
          <w:szCs w:val="24"/>
        </w:rPr>
      </w:pPr>
      <w:r>
        <w:rPr>
          <w:rFonts w:hint="eastAsia"/>
          <w:sz w:val="24"/>
          <w:szCs w:val="24"/>
        </w:rPr>
        <w:t>投标人开户行：</w:t>
      </w:r>
    </w:p>
    <w:p>
      <w:pPr>
        <w:ind w:firstLine="480"/>
        <w:rPr>
          <w:sz w:val="24"/>
          <w:szCs w:val="24"/>
        </w:rPr>
      </w:pPr>
      <w:r>
        <w:rPr>
          <w:rFonts w:hint="eastAsia"/>
          <w:sz w:val="24"/>
          <w:szCs w:val="24"/>
        </w:rPr>
        <w:t xml:space="preserve">账        号： </w:t>
      </w:r>
    </w:p>
    <w:p>
      <w:pPr>
        <w:ind w:firstLine="480"/>
        <w:rPr>
          <w:sz w:val="24"/>
          <w:szCs w:val="24"/>
        </w:rPr>
      </w:pPr>
      <w:r>
        <w:rPr>
          <w:rFonts w:hint="eastAsia"/>
          <w:sz w:val="24"/>
          <w:szCs w:val="24"/>
        </w:rPr>
        <w:t>日        期：______年____月____日</w:t>
      </w:r>
    </w:p>
    <w:p>
      <w:pPr>
        <w:pStyle w:val="34"/>
        <w:pageBreakBefore w:val="0"/>
        <w:spacing w:beforeAutospacing="0" w:afterAutospacing="0" w:line="0" w:lineRule="atLeast"/>
        <w:ind w:firstLine="204"/>
        <w:jc w:val="center"/>
        <w:rPr>
          <w:color w:val="auto"/>
          <w:highlight w:val="none"/>
        </w:rPr>
      </w:pPr>
      <w:r>
        <w:rPr>
          <w:color w:val="auto"/>
          <w:highlight w:val="none"/>
        </w:rPr>
        <w:t> </w:t>
      </w:r>
    </w:p>
    <w:p>
      <w:pPr>
        <w:pStyle w:val="34"/>
        <w:pageBreakBefore w:val="0"/>
        <w:spacing w:beforeAutospacing="0" w:afterAutospacing="0" w:line="0" w:lineRule="atLeast"/>
        <w:ind w:firstLine="204"/>
        <w:jc w:val="center"/>
        <w:rPr>
          <w:color w:val="auto"/>
          <w:highlight w:val="none"/>
        </w:rPr>
      </w:pPr>
      <w:r>
        <w:rPr>
          <w:color w:val="auto"/>
          <w:highlight w:val="none"/>
        </w:rPr>
        <w:t> </w:t>
      </w: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ind w:firstLine="560"/>
        <w:jc w:val="center"/>
        <w:rPr>
          <w:rFonts w:ascii="黑体" w:hAnsi="黑体" w:eastAsia="黑体" w:cs="黑体"/>
          <w:i/>
          <w:sz w:val="32"/>
          <w:szCs w:val="32"/>
          <w:u w:val="single"/>
        </w:rPr>
      </w:pPr>
      <w:r>
        <w:rPr>
          <w:rFonts w:hint="eastAsia" w:ascii="黑体" w:hAnsi="黑体" w:eastAsia="黑体" w:cs="黑体"/>
          <w:i/>
          <w:sz w:val="32"/>
          <w:szCs w:val="32"/>
          <w:u w:val="single"/>
        </w:rPr>
        <w:t>九、中小微企业声明函（</w:t>
      </w:r>
      <w:r>
        <w:rPr>
          <w:rFonts w:hint="eastAsia" w:ascii="黑体" w:hAnsi="黑体" w:eastAsia="黑体" w:cs="黑体"/>
          <w:i/>
          <w:sz w:val="32"/>
          <w:szCs w:val="32"/>
          <w:u w:val="single"/>
          <w:lang w:val="en-US" w:eastAsia="zh-CN"/>
        </w:rPr>
        <w:t>服务</w:t>
      </w:r>
      <w:r>
        <w:rPr>
          <w:rFonts w:hint="eastAsia" w:ascii="黑体" w:hAnsi="黑体" w:eastAsia="黑体" w:cs="黑体"/>
          <w:i/>
          <w:sz w:val="32"/>
          <w:szCs w:val="32"/>
          <w:u w:val="single"/>
        </w:rPr>
        <w:t>）</w:t>
      </w:r>
    </w:p>
    <w:p>
      <w:pPr>
        <w:spacing w:line="500" w:lineRule="exact"/>
        <w:ind w:firstLine="480"/>
        <w:rPr>
          <w:sz w:val="24"/>
        </w:rPr>
      </w:pPr>
      <w:r>
        <w:rPr>
          <w:rFonts w:hint="eastAsia"/>
          <w:sz w:val="24"/>
        </w:rPr>
        <w:t>本公司（联合体）郑重声明，根据《政府采购促进中小企业发展管理办法》(财库[2020]46号)的规定，本公司（联合体）参加</w:t>
      </w:r>
      <w:r>
        <w:rPr>
          <w:rFonts w:hint="eastAsia"/>
          <w:sz w:val="24"/>
          <w:szCs w:val="20"/>
          <w:u w:val="single"/>
          <w:lang w:eastAsia="zh-CN"/>
        </w:rPr>
        <w:t>盐城市亭湖区人民法院</w:t>
      </w:r>
      <w:r>
        <w:rPr>
          <w:rFonts w:hint="eastAsia"/>
          <w:sz w:val="24"/>
          <w:szCs w:val="20"/>
        </w:rPr>
        <w:t>，</w:t>
      </w:r>
      <w:r>
        <w:rPr>
          <w:rFonts w:hint="eastAsia"/>
          <w:sz w:val="24"/>
        </w:rPr>
        <w:t>采购编号为</w:t>
      </w:r>
      <w:r>
        <w:rPr>
          <w:rFonts w:hint="eastAsia"/>
          <w:sz w:val="24"/>
          <w:u w:val="single"/>
          <w:lang w:val="en-US" w:eastAsia="zh-CN"/>
        </w:rPr>
        <w:t>JSZC-320902-YDZJ-G2024-0001</w:t>
      </w:r>
      <w:r>
        <w:rPr>
          <w:rFonts w:hint="eastAsia" w:eastAsia="宋体"/>
          <w:sz w:val="24"/>
          <w:highlight w:val="none"/>
          <w:u w:val="single"/>
          <w:lang w:eastAsia="zh-CN"/>
        </w:rPr>
        <w:t xml:space="preserve"> </w:t>
      </w:r>
      <w:r>
        <w:rPr>
          <w:rFonts w:hint="eastAsia"/>
          <w:sz w:val="24"/>
        </w:rPr>
        <w:t>，</w:t>
      </w:r>
      <w:r>
        <w:rPr>
          <w:rFonts w:hint="eastAsia"/>
          <w:sz w:val="24"/>
          <w:szCs w:val="20"/>
          <w:u w:val="single"/>
          <w:lang w:eastAsia="zh-CN"/>
        </w:rPr>
        <w:t>盐城市亭湖区人民法院食堂餐饮服务外包项目</w:t>
      </w:r>
      <w:r>
        <w:rPr>
          <w:rFonts w:hint="eastAsia"/>
          <w:sz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pPr>
        <w:spacing w:line="500" w:lineRule="exact"/>
        <w:ind w:firstLine="480"/>
        <w:rPr>
          <w:rFonts w:hint="eastAsia"/>
          <w:sz w:val="24"/>
        </w:rPr>
      </w:pPr>
      <w:r>
        <w:rPr>
          <w:rFonts w:hint="eastAsia"/>
          <w:sz w:val="24"/>
        </w:rPr>
        <w:t>1.</w:t>
      </w:r>
      <w:r>
        <w:rPr>
          <w:rFonts w:hint="eastAsia"/>
          <w:sz w:val="24"/>
          <w:u w:val="single"/>
        </w:rPr>
        <w:t>（标的名称）</w:t>
      </w:r>
      <w:r>
        <w:rPr>
          <w:rFonts w:hint="eastAsia"/>
          <w:sz w:val="24"/>
        </w:rPr>
        <w:t>，属于</w:t>
      </w:r>
      <w:r>
        <w:rPr>
          <w:rFonts w:hint="eastAsia"/>
          <w:sz w:val="24"/>
          <w:u w:val="single"/>
        </w:rPr>
        <w:t xml:space="preserve">       </w:t>
      </w:r>
      <w:r>
        <w:rPr>
          <w:rFonts w:hint="eastAsia"/>
          <w:sz w:val="24"/>
        </w:rPr>
        <w:t>行业；制造商为</w:t>
      </w:r>
      <w:r>
        <w:rPr>
          <w:rFonts w:hint="eastAsia"/>
          <w:sz w:val="24"/>
          <w:u w:val="single"/>
        </w:rPr>
        <w:t>（企业名称）</w:t>
      </w:r>
      <w:r>
        <w:rPr>
          <w:rFonts w:hint="eastAsia"/>
          <w:sz w:val="24"/>
        </w:rPr>
        <w:t>，从业人员 </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sz w:val="24"/>
          <w:u w:val="single"/>
        </w:rPr>
        <w:t>（</w:t>
      </w:r>
      <w:r>
        <w:rPr>
          <w:rFonts w:ascii="宋体" w:hAnsi="宋体" w:eastAsia="宋体" w:cs="宋体"/>
          <w:i/>
          <w:color w:val="000000"/>
          <w:sz w:val="24"/>
          <w:u w:val="single"/>
        </w:rPr>
        <w:t>中型企业、</w:t>
      </w:r>
      <w:r>
        <w:rPr>
          <w:rFonts w:hint="eastAsia"/>
          <w:sz w:val="24"/>
          <w:u w:val="single"/>
        </w:rPr>
        <w:t>小型企业、微型企业）</w:t>
      </w:r>
      <w:r>
        <w:rPr>
          <w:rFonts w:hint="eastAsia"/>
          <w:sz w:val="24"/>
        </w:rPr>
        <w:t>；</w:t>
      </w:r>
    </w:p>
    <w:p>
      <w:pPr>
        <w:spacing w:line="500" w:lineRule="exact"/>
        <w:ind w:firstLine="480"/>
        <w:rPr>
          <w:rFonts w:hint="eastAsia"/>
          <w:sz w:val="24"/>
        </w:rPr>
      </w:pPr>
      <w:r>
        <w:rPr>
          <w:rFonts w:hint="eastAsia"/>
          <w:sz w:val="24"/>
        </w:rPr>
        <w:t>2.</w:t>
      </w:r>
      <w:r>
        <w:rPr>
          <w:rFonts w:hint="eastAsia"/>
          <w:sz w:val="24"/>
          <w:u w:val="single"/>
        </w:rPr>
        <w:t>（标的名称）</w:t>
      </w:r>
      <w:r>
        <w:rPr>
          <w:rFonts w:hint="eastAsia"/>
          <w:sz w:val="24"/>
        </w:rPr>
        <w:t>，属于</w:t>
      </w:r>
      <w:r>
        <w:rPr>
          <w:rFonts w:hint="eastAsia"/>
          <w:sz w:val="24"/>
          <w:u w:val="single"/>
        </w:rPr>
        <w:t xml:space="preserve">       </w:t>
      </w:r>
      <w:r>
        <w:rPr>
          <w:rFonts w:hint="eastAsia"/>
          <w:sz w:val="24"/>
        </w:rPr>
        <w:t>行业；制造商为</w:t>
      </w:r>
      <w:r>
        <w:rPr>
          <w:rFonts w:hint="eastAsia"/>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sz w:val="24"/>
          <w:u w:val="single"/>
        </w:rPr>
        <w:t>（</w:t>
      </w:r>
      <w:r>
        <w:rPr>
          <w:rFonts w:ascii="宋体" w:hAnsi="宋体" w:eastAsia="宋体" w:cs="宋体"/>
          <w:i/>
          <w:color w:val="000000"/>
          <w:sz w:val="24"/>
          <w:u w:val="single"/>
        </w:rPr>
        <w:t>中型企业、</w:t>
      </w:r>
      <w:r>
        <w:rPr>
          <w:rFonts w:hint="eastAsia"/>
          <w:sz w:val="24"/>
          <w:u w:val="single"/>
        </w:rPr>
        <w:t>小型企业、微型企业）</w:t>
      </w:r>
      <w:r>
        <w:rPr>
          <w:rFonts w:hint="eastAsia"/>
          <w:sz w:val="24"/>
        </w:rPr>
        <w:t>；</w:t>
      </w:r>
    </w:p>
    <w:p>
      <w:pPr>
        <w:spacing w:line="500" w:lineRule="exact"/>
        <w:ind w:firstLine="480"/>
        <w:rPr>
          <w:sz w:val="24"/>
        </w:rPr>
      </w:pPr>
      <w:r>
        <w:rPr>
          <w:rFonts w:hint="eastAsia"/>
          <w:sz w:val="24"/>
        </w:rPr>
        <w:t>……以上企业，不属于大企业的分支机构，不存在控股股东为大企业的情形，也不存在与大企业的负责人为同一人的情形。</w:t>
      </w:r>
    </w:p>
    <w:p>
      <w:pPr>
        <w:spacing w:line="500" w:lineRule="exact"/>
        <w:ind w:firstLine="480"/>
        <w:rPr>
          <w:sz w:val="24"/>
        </w:rPr>
      </w:pPr>
      <w:r>
        <w:rPr>
          <w:rFonts w:hint="eastAsia"/>
          <w:sz w:val="24"/>
        </w:rPr>
        <w:t>本企业对上述声明内容的真实性负责。如有虚假，将依法承担相应责任</w:t>
      </w:r>
    </w:p>
    <w:p>
      <w:pPr>
        <w:spacing w:line="500" w:lineRule="exact"/>
        <w:ind w:firstLine="480"/>
        <w:rPr>
          <w:sz w:val="24"/>
        </w:rPr>
      </w:pPr>
      <w:r>
        <w:rPr>
          <w:rFonts w:hint="eastAsia"/>
          <w:sz w:val="24"/>
        </w:rPr>
        <w:t> </w:t>
      </w:r>
    </w:p>
    <w:p>
      <w:pPr>
        <w:spacing w:line="500" w:lineRule="exact"/>
        <w:ind w:firstLine="480"/>
        <w:jc w:val="right"/>
        <w:rPr>
          <w:sz w:val="24"/>
        </w:rPr>
      </w:pPr>
      <w:r>
        <w:rPr>
          <w:rFonts w:hint="eastAsia"/>
          <w:sz w:val="24"/>
        </w:rPr>
        <w:t xml:space="preserve">企业名称（加盖CA电子公章）：        </w:t>
      </w:r>
    </w:p>
    <w:p>
      <w:pPr>
        <w:spacing w:line="500" w:lineRule="exact"/>
        <w:ind w:firstLine="480"/>
        <w:jc w:val="center"/>
        <w:rPr>
          <w:sz w:val="24"/>
        </w:rPr>
      </w:pPr>
      <w:r>
        <w:rPr>
          <w:rFonts w:hint="eastAsia" w:eastAsia="宋体"/>
          <w:sz w:val="24"/>
          <w:lang w:val="en-US" w:eastAsia="zh-CN"/>
        </w:rPr>
        <w:t xml:space="preserve">                </w:t>
      </w:r>
      <w:r>
        <w:rPr>
          <w:rFonts w:hint="eastAsia"/>
          <w:sz w:val="24"/>
        </w:rPr>
        <w:t xml:space="preserve">日  期：        </w:t>
      </w:r>
    </w:p>
    <w:p>
      <w:pPr>
        <w:spacing w:line="500" w:lineRule="exact"/>
        <w:ind w:firstLine="480"/>
        <w:rPr>
          <w:sz w:val="24"/>
        </w:rPr>
      </w:pPr>
      <w:r>
        <w:rPr>
          <w:rFonts w:hint="eastAsia"/>
          <w:sz w:val="24"/>
        </w:rPr>
        <w:t> </w:t>
      </w:r>
    </w:p>
    <w:p>
      <w:pPr>
        <w:spacing w:line="500" w:lineRule="exact"/>
        <w:ind w:firstLine="480"/>
        <w:rPr>
          <w:sz w:val="24"/>
        </w:rPr>
      </w:pPr>
      <w:r>
        <w:rPr>
          <w:rFonts w:hint="eastAsia"/>
          <w:sz w:val="24"/>
        </w:rPr>
        <w:t>备注1：从业人员、营业收入、资产总额填报上一年度数据，无上一年度数据的新成立企业可不填报。</w:t>
      </w:r>
    </w:p>
    <w:p>
      <w:pPr>
        <w:spacing w:line="500" w:lineRule="exact"/>
        <w:ind w:firstLine="480"/>
        <w:rPr>
          <w:rFonts w:cs="黑体"/>
          <w:i/>
          <w:sz w:val="32"/>
          <w:szCs w:val="32"/>
          <w:u w:val="single"/>
        </w:rPr>
      </w:pPr>
      <w:r>
        <w:rPr>
          <w:rFonts w:hint="eastAsia"/>
          <w:sz w:val="24"/>
        </w:rPr>
        <w:t>备注2：供应商如不提供此声明函，价格将不做相应扣除（如项目全面面向中小企业，则资格审查不通过）。</w:t>
      </w:r>
    </w:p>
    <w:p>
      <w:pPr>
        <w:pStyle w:val="44"/>
        <w:pageBreakBefore w:val="0"/>
        <w:ind w:firstLine="204"/>
        <w:rPr>
          <w:rFonts w:hint="eastAsia" w:ascii="宋体" w:hAnsi="宋体" w:cs="宋体"/>
          <w:bCs/>
          <w:color w:val="auto"/>
          <w:highlight w:val="none"/>
        </w:rPr>
      </w:pPr>
    </w:p>
    <w:p>
      <w:pPr>
        <w:widowControl w:val="0"/>
        <w:spacing w:line="360" w:lineRule="auto"/>
        <w:ind w:left="0" w:firstLine="0"/>
        <w:contextualSpacing/>
        <w:jc w:val="center"/>
        <w:rPr>
          <w:rFonts w:hint="eastAsia" w:ascii="黑体" w:hAnsi="黑体" w:eastAsia="黑体" w:cs="黑体"/>
          <w:i/>
          <w:color w:val="000000"/>
          <w:sz w:val="32"/>
          <w:szCs w:val="32"/>
          <w:u w:val="single"/>
          <w:lang w:val="en-US" w:eastAsia="zh-CN" w:bidi="ar-SA"/>
        </w:rPr>
      </w:pPr>
    </w:p>
    <w:p>
      <w:pPr>
        <w:pStyle w:val="2"/>
        <w:rPr>
          <w:rFonts w:hint="eastAsia" w:ascii="黑体" w:hAnsi="黑体" w:eastAsia="黑体" w:cs="黑体"/>
          <w:i/>
          <w:color w:val="000000"/>
          <w:sz w:val="32"/>
          <w:szCs w:val="32"/>
          <w:u w:val="single"/>
          <w:lang w:val="en-US" w:eastAsia="zh-CN" w:bidi="ar-SA"/>
        </w:rPr>
      </w:pPr>
    </w:p>
    <w:p>
      <w:pPr>
        <w:rPr>
          <w:rFonts w:hint="eastAsia" w:ascii="黑体" w:hAnsi="黑体" w:eastAsia="黑体" w:cs="黑体"/>
          <w:i/>
          <w:color w:val="000000"/>
          <w:sz w:val="32"/>
          <w:szCs w:val="32"/>
          <w:u w:val="single"/>
          <w:lang w:val="en-US" w:eastAsia="zh-CN" w:bidi="ar-SA"/>
        </w:rPr>
      </w:pPr>
    </w:p>
    <w:p>
      <w:pPr>
        <w:pStyle w:val="2"/>
        <w:rPr>
          <w:rFonts w:hint="eastAsia"/>
          <w:lang w:val="en-US" w:eastAsia="zh-CN"/>
        </w:rPr>
      </w:pPr>
    </w:p>
    <w:p>
      <w:pPr>
        <w:widowControl w:val="0"/>
        <w:spacing w:line="360" w:lineRule="auto"/>
        <w:ind w:left="0" w:firstLine="0"/>
        <w:contextualSpacing/>
        <w:jc w:val="center"/>
        <w:rPr>
          <w:rFonts w:hint="default" w:ascii="黑体" w:hAnsi="黑体" w:eastAsia="黑体" w:cs="黑体"/>
          <w:i/>
          <w:color w:val="000000"/>
          <w:sz w:val="32"/>
          <w:szCs w:val="32"/>
          <w:u w:val="single"/>
          <w:lang w:val="en-US" w:eastAsia="zh-CN" w:bidi="ar-SA"/>
        </w:rPr>
      </w:pPr>
      <w:r>
        <w:rPr>
          <w:rFonts w:hint="eastAsia" w:ascii="黑体" w:hAnsi="黑体" w:eastAsia="黑体" w:cs="黑体"/>
          <w:i/>
          <w:color w:val="000000"/>
          <w:sz w:val="32"/>
          <w:szCs w:val="32"/>
          <w:u w:val="single"/>
          <w:lang w:val="en-US" w:eastAsia="zh-CN" w:bidi="ar-SA"/>
        </w:rPr>
        <w:t>十、残疾人福利性单位声明函</w:t>
      </w:r>
    </w:p>
    <w:p>
      <w:pPr>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sz w:val="24"/>
          <w:szCs w:val="20"/>
          <w:u w:val="single"/>
          <w:lang w:eastAsia="zh-CN"/>
        </w:rPr>
        <w:t>盐城市亭湖区人民法院</w:t>
      </w:r>
      <w:r>
        <w:rPr>
          <w:rFonts w:hint="eastAsia" w:ascii="宋体" w:hAnsi="宋体" w:eastAsia="宋体" w:cs="宋体"/>
          <w:color w:val="000000"/>
          <w:sz w:val="24"/>
          <w:szCs w:val="24"/>
        </w:rPr>
        <w:t>单位的采购文件编号为</w:t>
      </w:r>
      <w:r>
        <w:rPr>
          <w:rFonts w:hint="eastAsia" w:ascii="宋体" w:hAnsi="宋体" w:eastAsia="宋体" w:cs="宋体"/>
          <w:color w:val="000000"/>
          <w:sz w:val="24"/>
          <w:szCs w:val="24"/>
          <w:highlight w:val="none"/>
          <w:u w:val="single"/>
          <w:lang w:val="en-US" w:eastAsia="zh-CN"/>
        </w:rPr>
        <w:t>JSZC-320902-YDZJ-G2024-0001</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lang w:eastAsia="zh-CN"/>
        </w:rPr>
        <w:t>盐城市亭湖区人民法院食堂餐饮服务外包项目</w:t>
      </w:r>
      <w:r>
        <w:rPr>
          <w:rFonts w:hint="eastAsia" w:ascii="宋体" w:hAnsi="宋体" w:eastAsia="宋体" w:cs="宋体"/>
          <w:color w:val="000000"/>
          <w:sz w:val="24"/>
          <w:szCs w:val="24"/>
        </w:rPr>
        <w:t>采购活动由本单位提供服务。</w:t>
      </w:r>
    </w:p>
    <w:p>
      <w:pPr>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本单位对上述声明的真实性负责。如有虚假，将依法承担相应责任。</w:t>
      </w:r>
    </w:p>
    <w:p>
      <w:pPr>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w:t>
      </w:r>
    </w:p>
    <w:p>
      <w:pPr>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备注：1、供应商如不提供此声明函，价格将不做相应扣除</w:t>
      </w:r>
      <w:r>
        <w:rPr>
          <w:rFonts w:hint="eastAsia" w:ascii="宋体" w:hAnsi="宋体" w:eastAsia="宋体" w:cs="宋体"/>
          <w:color w:val="000000"/>
          <w:sz w:val="24"/>
          <w:szCs w:val="21"/>
        </w:rPr>
        <w:t>（如项目全面面向中小企业，则资格审查不通过）</w:t>
      </w:r>
      <w:r>
        <w:rPr>
          <w:rFonts w:hint="eastAsia" w:ascii="宋体" w:hAnsi="宋体" w:eastAsia="宋体" w:cs="宋体"/>
          <w:color w:val="000000"/>
          <w:sz w:val="24"/>
          <w:szCs w:val="24"/>
        </w:rPr>
        <w:t>。2、中标人为残疾人福利单位的，此声明函将随中标结果同时公告，接受社会监督</w:t>
      </w:r>
    </w:p>
    <w:p>
      <w:pPr>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w:t>
      </w:r>
    </w:p>
    <w:p>
      <w:pPr>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企业名称（加盖CA电子公章）：</w:t>
      </w:r>
    </w:p>
    <w:p>
      <w:pPr>
        <w:spacing w:line="360" w:lineRule="auto"/>
        <w:ind w:firstLine="720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 日  期：</w:t>
      </w:r>
    </w:p>
    <w:p>
      <w:pPr>
        <w:ind w:firstLine="7200"/>
        <w:rPr>
          <w:sz w:val="24"/>
          <w:szCs w:val="24"/>
        </w:rPr>
      </w:pPr>
    </w:p>
    <w:p>
      <w:pPr>
        <w:ind w:firstLine="480"/>
        <w:rPr>
          <w:sz w:val="24"/>
          <w:szCs w:val="24"/>
        </w:rPr>
      </w:pPr>
    </w:p>
    <w:p>
      <w:pPr>
        <w:ind w:firstLine="480"/>
        <w:rPr>
          <w:sz w:val="24"/>
          <w:szCs w:val="24"/>
        </w:rPr>
      </w:pPr>
      <w:r>
        <w:rPr>
          <w:rFonts w:hint="eastAsia"/>
          <w:sz w:val="24"/>
          <w:szCs w:val="24"/>
        </w:rPr>
        <w:t> </w:t>
      </w:r>
    </w:p>
    <w:p>
      <w:pPr>
        <w:ind w:firstLine="480"/>
        <w:rPr>
          <w:sz w:val="24"/>
          <w:szCs w:val="24"/>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p>
    <w:p>
      <w:pPr>
        <w:pStyle w:val="34"/>
        <w:pageBreakBefore w:val="0"/>
        <w:spacing w:beforeAutospacing="0" w:afterAutospacing="0" w:line="0" w:lineRule="atLeast"/>
        <w:ind w:firstLine="204"/>
        <w:jc w:val="center"/>
        <w:rPr>
          <w:color w:val="auto"/>
          <w:highlight w:val="none"/>
        </w:rPr>
      </w:pPr>
      <w:r>
        <w:rPr>
          <w:color w:val="auto"/>
          <w:highlight w:val="none"/>
        </w:rPr>
        <w:t> </w:t>
      </w:r>
    </w:p>
    <w:p>
      <w:pPr>
        <w:pStyle w:val="34"/>
        <w:pageBreakBefore w:val="0"/>
        <w:spacing w:beforeAutospacing="0" w:afterAutospacing="0" w:line="0" w:lineRule="atLeast"/>
        <w:ind w:firstLine="204"/>
        <w:jc w:val="center"/>
        <w:rPr>
          <w:rFonts w:hint="eastAsia" w:ascii="黑体" w:hAnsi="宋体" w:eastAsia="黑体" w:cs="黑体"/>
          <w:b/>
          <w:color w:val="auto"/>
          <w:sz w:val="32"/>
          <w:szCs w:val="32"/>
          <w:highlight w:val="none"/>
        </w:rPr>
      </w:pPr>
      <w:r>
        <w:rPr>
          <w:color w:val="auto"/>
          <w:highlight w:val="none"/>
        </w:rPr>
        <w:t> </w:t>
      </w:r>
    </w:p>
    <w:p>
      <w:pPr>
        <w:pStyle w:val="34"/>
        <w:pageBreakBefore w:val="0"/>
        <w:spacing w:beforeAutospacing="0" w:afterAutospacing="0"/>
        <w:ind w:firstLine="204"/>
        <w:jc w:val="center"/>
        <w:rPr>
          <w:color w:val="auto"/>
          <w:highlight w:val="none"/>
        </w:rPr>
      </w:pPr>
    </w:p>
    <w:p>
      <w:pPr>
        <w:pStyle w:val="217"/>
        <w:numPr>
          <w:ilvl w:val="0"/>
          <w:numId w:val="4"/>
        </w:numPr>
        <w:spacing w:line="360" w:lineRule="auto"/>
        <w:jc w:val="cente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投标分项报价表</w:t>
      </w:r>
    </w:p>
    <w:p>
      <w:pPr>
        <w:pStyle w:val="217"/>
        <w:numPr>
          <w:ilvl w:val="0"/>
          <w:numId w:val="0"/>
        </w:numPr>
        <w:spacing w:line="360" w:lineRule="auto"/>
        <w:rPr>
          <w:rFonts w:hAnsi="宋体" w:eastAsia="宋体"/>
          <w:sz w:val="21"/>
        </w:rPr>
      </w:pPr>
      <w:r>
        <w:rPr>
          <w:rFonts w:hint="eastAsia" w:ascii="Times New Roman" w:hAnsi="宋体" w:eastAsia="宋体"/>
          <w:sz w:val="21"/>
        </w:rPr>
        <w:t>项目名称：</w:t>
      </w:r>
      <w:r>
        <w:rPr>
          <w:rFonts w:hint="default" w:ascii="Times New Roman" w:hAnsi="宋体" w:eastAsia="宋体"/>
          <w:sz w:val="21"/>
          <w:lang w:val="en-US"/>
        </w:rPr>
        <w:t xml:space="preserve">                                         </w:t>
      </w:r>
      <w:r>
        <w:rPr>
          <w:rFonts w:hint="eastAsia" w:hAnsi="宋体" w:eastAsia="宋体"/>
          <w:sz w:val="21"/>
        </w:rPr>
        <w:t>投标人名称（公章）：</w:t>
      </w:r>
      <w:r>
        <w:rPr>
          <w:rFonts w:hAnsi="宋体" w:eastAsia="宋体"/>
          <w:sz w:val="21"/>
        </w:rPr>
        <w:t xml:space="preserve">  </w:t>
      </w:r>
    </w:p>
    <w:tbl>
      <w:tblPr>
        <w:tblStyle w:val="37"/>
        <w:tblW w:w="10242" w:type="dxa"/>
        <w:tblInd w:w="-688" w:type="dxa"/>
        <w:tblLayout w:type="fixed"/>
        <w:tblCellMar>
          <w:top w:w="0" w:type="dxa"/>
          <w:left w:w="108" w:type="dxa"/>
          <w:bottom w:w="0" w:type="dxa"/>
          <w:right w:w="108" w:type="dxa"/>
        </w:tblCellMar>
      </w:tblPr>
      <w:tblGrid>
        <w:gridCol w:w="602"/>
        <w:gridCol w:w="2433"/>
        <w:gridCol w:w="1973"/>
        <w:gridCol w:w="862"/>
        <w:gridCol w:w="1158"/>
        <w:gridCol w:w="3214"/>
      </w:tblGrid>
      <w:tr>
        <w:tblPrEx>
          <w:tblCellMar>
            <w:top w:w="0" w:type="dxa"/>
            <w:left w:w="108" w:type="dxa"/>
            <w:bottom w:w="0" w:type="dxa"/>
            <w:right w:w="108" w:type="dxa"/>
          </w:tblCellMar>
        </w:tblPrEx>
        <w:trPr>
          <w:trHeight w:val="576" w:hRule="atLeast"/>
        </w:trPr>
        <w:tc>
          <w:tcPr>
            <w:tcW w:w="602"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序号</w:t>
            </w:r>
          </w:p>
        </w:tc>
        <w:tc>
          <w:tcPr>
            <w:tcW w:w="2433" w:type="dxa"/>
            <w:tcBorders>
              <w:top w:val="single" w:color="000000" w:sz="8" w:space="0"/>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项 目</w:t>
            </w:r>
          </w:p>
        </w:tc>
        <w:tc>
          <w:tcPr>
            <w:tcW w:w="1973" w:type="dxa"/>
            <w:tcBorders>
              <w:top w:val="single" w:color="000000" w:sz="8" w:space="0"/>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计算公式</w:t>
            </w:r>
          </w:p>
        </w:tc>
        <w:tc>
          <w:tcPr>
            <w:tcW w:w="862" w:type="dxa"/>
            <w:tcBorders>
              <w:top w:val="single" w:color="000000" w:sz="8" w:space="0"/>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人数</w:t>
            </w:r>
          </w:p>
        </w:tc>
        <w:tc>
          <w:tcPr>
            <w:tcW w:w="1158" w:type="dxa"/>
            <w:tcBorders>
              <w:top w:val="single" w:color="000000" w:sz="8" w:space="0"/>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合计（元)/年</w:t>
            </w:r>
          </w:p>
        </w:tc>
        <w:tc>
          <w:tcPr>
            <w:tcW w:w="3214" w:type="dxa"/>
            <w:tcBorders>
              <w:top w:val="single" w:color="000000" w:sz="8" w:space="0"/>
              <w:left w:val="nil"/>
              <w:bottom w:val="single" w:color="000000" w:sz="8" w:space="0"/>
              <w:right w:val="single" w:color="000000" w:sz="8" w:space="0"/>
            </w:tcBorders>
            <w:shd w:val="clear" w:color="auto" w:fill="auto"/>
            <w:noWrap/>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备    注</w:t>
            </w:r>
          </w:p>
        </w:tc>
      </w:tr>
      <w:tr>
        <w:tblPrEx>
          <w:tblCellMar>
            <w:top w:w="0" w:type="dxa"/>
            <w:left w:w="108" w:type="dxa"/>
            <w:bottom w:w="0" w:type="dxa"/>
            <w:right w:w="108" w:type="dxa"/>
          </w:tblCellMar>
        </w:tblPrEx>
        <w:trPr>
          <w:trHeight w:val="855"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一</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服务人员工资及社会保险、住房公积金、国家法定假日加班费</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备注栏内要求必须完全响应否则作无效标书处理。</w:t>
            </w:r>
          </w:p>
        </w:tc>
      </w:tr>
      <w:tr>
        <w:tblPrEx>
          <w:tblCellMar>
            <w:top w:w="0" w:type="dxa"/>
            <w:left w:w="108" w:type="dxa"/>
            <w:bottom w:w="0" w:type="dxa"/>
            <w:right w:w="108" w:type="dxa"/>
          </w:tblCellMar>
        </w:tblPrEx>
        <w:trPr>
          <w:trHeight w:val="855"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1</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人员工资</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月工资×12月×人数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所有人员工资不得低于盐城市最新最低标准（2260元/人/月）。</w:t>
            </w:r>
          </w:p>
        </w:tc>
      </w:tr>
      <w:tr>
        <w:tblPrEx>
          <w:tblCellMar>
            <w:top w:w="0" w:type="dxa"/>
            <w:left w:w="108" w:type="dxa"/>
            <w:bottom w:w="0" w:type="dxa"/>
            <w:right w:w="108" w:type="dxa"/>
          </w:tblCellMar>
        </w:tblPrEx>
        <w:trPr>
          <w:trHeight w:val="1186"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2</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社会保险</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每月社保缴纳金额×12月×人数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社保（企业部分）不得低于1172.93元/人每月，否则作无效标书处理。人数</w:t>
            </w:r>
            <w:r>
              <w:rPr>
                <w:rFonts w:hint="default" w:ascii="宋体" w:hAnsi="宋体" w:eastAsia="宋体"/>
                <w:i w:val="0"/>
                <w:iCs w:val="0"/>
                <w:szCs w:val="21"/>
                <w:highlight w:val="none"/>
                <w:lang w:val="en-US"/>
              </w:rPr>
              <w:t>12</w:t>
            </w:r>
            <w:r>
              <w:rPr>
                <w:rFonts w:hint="eastAsia" w:ascii="宋体" w:hAnsi="宋体" w:eastAsia="宋体"/>
                <w:i w:val="0"/>
                <w:iCs w:val="0"/>
                <w:szCs w:val="21"/>
                <w:highlight w:val="none"/>
              </w:rPr>
              <w:t>人，所有人员必须参加保险。</w:t>
            </w:r>
          </w:p>
        </w:tc>
      </w:tr>
      <w:tr>
        <w:tblPrEx>
          <w:tblCellMar>
            <w:top w:w="0" w:type="dxa"/>
            <w:left w:w="108" w:type="dxa"/>
            <w:bottom w:w="0" w:type="dxa"/>
            <w:right w:w="108" w:type="dxa"/>
          </w:tblCellMar>
        </w:tblPrEx>
        <w:trPr>
          <w:trHeight w:val="905"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3</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住房公积金</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每月公积金缴纳金额×12月×人数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各投标人须按不低于180.8元/人/月填报，人数</w:t>
            </w:r>
            <w:r>
              <w:rPr>
                <w:rFonts w:hint="default" w:ascii="宋体" w:hAnsi="宋体" w:eastAsia="宋体"/>
                <w:i w:val="0"/>
                <w:iCs w:val="0"/>
                <w:szCs w:val="21"/>
                <w:highlight w:val="none"/>
                <w:lang w:val="en-US"/>
              </w:rPr>
              <w:t>12</w:t>
            </w:r>
            <w:r>
              <w:rPr>
                <w:rFonts w:hint="eastAsia" w:ascii="宋体" w:hAnsi="宋体" w:eastAsia="宋体"/>
                <w:i w:val="0"/>
                <w:iCs w:val="0"/>
                <w:szCs w:val="21"/>
                <w:highlight w:val="none"/>
              </w:rPr>
              <w:t>人，否则作无效标书处理。</w:t>
            </w:r>
          </w:p>
        </w:tc>
      </w:tr>
      <w:tr>
        <w:tblPrEx>
          <w:tblCellMar>
            <w:top w:w="0" w:type="dxa"/>
            <w:left w:w="108" w:type="dxa"/>
            <w:bottom w:w="0" w:type="dxa"/>
            <w:right w:w="108" w:type="dxa"/>
          </w:tblCellMar>
        </w:tblPrEx>
        <w:trPr>
          <w:trHeight w:val="905"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4</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夏季高温</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元/人/年×人数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按盐城市标准6、7、8、9月四个月补贴夏季高温费用，不低于1200元/人/年</w:t>
            </w:r>
          </w:p>
        </w:tc>
      </w:tr>
      <w:tr>
        <w:tblPrEx>
          <w:tblCellMar>
            <w:top w:w="0" w:type="dxa"/>
            <w:left w:w="108" w:type="dxa"/>
            <w:bottom w:w="0" w:type="dxa"/>
            <w:right w:w="108" w:type="dxa"/>
          </w:tblCellMar>
        </w:tblPrEx>
        <w:trPr>
          <w:trHeight w:val="527"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5</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b/>
                <w:bCs/>
                <w:i w:val="0"/>
                <w:iCs w:val="0"/>
                <w:szCs w:val="21"/>
                <w:highlight w:val="none"/>
              </w:rPr>
            </w:pPr>
            <w:r>
              <w:rPr>
                <w:rFonts w:ascii="宋体" w:hAnsi="宋体" w:eastAsia="宋体" w:cs="宋体"/>
                <w:sz w:val="24"/>
                <w:szCs w:val="24"/>
              </w:rPr>
              <w:t>意外伤害险</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元/人/年×人数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不低于</w:t>
            </w:r>
            <w:r>
              <w:rPr>
                <w:rFonts w:hint="default" w:ascii="宋体" w:hAnsi="宋体" w:eastAsia="宋体"/>
                <w:i w:val="0"/>
                <w:iCs w:val="0"/>
                <w:szCs w:val="21"/>
                <w:highlight w:val="none"/>
                <w:lang w:val="en-US"/>
              </w:rPr>
              <w:t>5</w:t>
            </w:r>
            <w:r>
              <w:rPr>
                <w:rFonts w:hint="eastAsia" w:ascii="宋体" w:hAnsi="宋体" w:eastAsia="宋体"/>
                <w:i w:val="0"/>
                <w:iCs w:val="0"/>
                <w:szCs w:val="21"/>
                <w:highlight w:val="none"/>
              </w:rPr>
              <w:t>00元/人/年</w:t>
            </w:r>
          </w:p>
        </w:tc>
      </w:tr>
      <w:tr>
        <w:tblPrEx>
          <w:tblCellMar>
            <w:top w:w="0" w:type="dxa"/>
            <w:left w:w="108" w:type="dxa"/>
            <w:bottom w:w="0" w:type="dxa"/>
            <w:right w:w="108" w:type="dxa"/>
          </w:tblCellMar>
        </w:tblPrEx>
        <w:trPr>
          <w:trHeight w:val="598"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6</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服装费</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元/人/年×人数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不低于</w:t>
            </w:r>
            <w:r>
              <w:rPr>
                <w:rFonts w:hint="default" w:ascii="宋体" w:hAnsi="宋体" w:eastAsia="宋体"/>
                <w:i w:val="0"/>
                <w:iCs w:val="0"/>
                <w:szCs w:val="21"/>
                <w:highlight w:val="none"/>
                <w:lang w:val="en-US"/>
              </w:rPr>
              <w:t>10</w:t>
            </w:r>
            <w:r>
              <w:rPr>
                <w:rFonts w:hint="eastAsia" w:ascii="宋体" w:hAnsi="宋体" w:eastAsia="宋体"/>
                <w:i w:val="0"/>
                <w:iCs w:val="0"/>
                <w:szCs w:val="21"/>
                <w:highlight w:val="none"/>
              </w:rPr>
              <w:t>00元/人/年</w:t>
            </w:r>
          </w:p>
        </w:tc>
      </w:tr>
      <w:tr>
        <w:tblPrEx>
          <w:tblCellMar>
            <w:top w:w="0" w:type="dxa"/>
            <w:left w:w="108" w:type="dxa"/>
            <w:bottom w:w="0" w:type="dxa"/>
            <w:right w:w="108" w:type="dxa"/>
          </w:tblCellMar>
        </w:tblPrEx>
        <w:trPr>
          <w:trHeight w:val="445"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7</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ascii="宋体" w:hAnsi="宋体" w:eastAsia="宋体" w:cs="宋体"/>
                <w:sz w:val="24"/>
                <w:szCs w:val="24"/>
              </w:rPr>
              <w:t>福利费</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元/人/年×人数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不低于</w:t>
            </w:r>
            <w:r>
              <w:rPr>
                <w:rFonts w:hint="default" w:ascii="宋体" w:hAnsi="宋体" w:eastAsia="宋体"/>
                <w:i w:val="0"/>
                <w:iCs w:val="0"/>
                <w:szCs w:val="21"/>
                <w:highlight w:val="none"/>
                <w:lang w:val="en-US"/>
              </w:rPr>
              <w:t>10</w:t>
            </w:r>
            <w:r>
              <w:rPr>
                <w:rFonts w:hint="eastAsia" w:ascii="宋体" w:hAnsi="宋体" w:eastAsia="宋体"/>
                <w:i w:val="0"/>
                <w:iCs w:val="0"/>
                <w:szCs w:val="21"/>
                <w:highlight w:val="none"/>
              </w:rPr>
              <w:t>00元/人/年</w:t>
            </w:r>
          </w:p>
        </w:tc>
      </w:tr>
      <w:tr>
        <w:tblPrEx>
          <w:tblCellMar>
            <w:top w:w="0" w:type="dxa"/>
            <w:left w:w="108" w:type="dxa"/>
            <w:bottom w:w="0" w:type="dxa"/>
            <w:right w:w="108" w:type="dxa"/>
          </w:tblCellMar>
        </w:tblPrEx>
        <w:trPr>
          <w:trHeight w:val="576"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default" w:ascii="宋体" w:hAnsi="宋体" w:eastAsia="宋体"/>
                <w:i w:val="0"/>
                <w:iCs w:val="0"/>
                <w:szCs w:val="21"/>
                <w:highlight w:val="none"/>
                <w:lang w:val="en-US"/>
              </w:rPr>
              <w:t>8</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国家法定假日加班费</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元/人/</w:t>
            </w:r>
            <w:r>
              <w:rPr>
                <w:rFonts w:hint="eastAsia" w:ascii="宋体" w:hAnsi="宋体" w:eastAsia="宋体"/>
                <w:i w:val="0"/>
                <w:iCs w:val="0"/>
                <w:szCs w:val="21"/>
                <w:highlight w:val="none"/>
                <w:lang w:val="en-US" w:eastAsia="zh-CN"/>
              </w:rPr>
              <w:t>年</w:t>
            </w:r>
            <w:r>
              <w:rPr>
                <w:rFonts w:hint="eastAsia" w:ascii="宋体" w:hAnsi="宋体" w:eastAsia="宋体"/>
                <w:i w:val="0"/>
                <w:iCs w:val="0"/>
                <w:szCs w:val="21"/>
                <w:highlight w:val="none"/>
              </w:rPr>
              <w:t>×人数</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lang w:val="en-US" w:eastAsia="zh-CN"/>
              </w:rPr>
            </w:pPr>
            <w:r>
              <w:rPr>
                <w:rFonts w:hint="eastAsia" w:ascii="宋体" w:hAnsi="宋体" w:eastAsia="宋体"/>
                <w:i w:val="0"/>
                <w:iCs w:val="0"/>
                <w:szCs w:val="21"/>
                <w:highlight w:val="none"/>
              </w:rPr>
              <w:t>国家法定假日加班费不得低于</w:t>
            </w:r>
            <w:r>
              <w:rPr>
                <w:rFonts w:hint="default" w:ascii="宋体" w:hAnsi="宋体" w:eastAsia="宋体"/>
                <w:i w:val="0"/>
                <w:iCs w:val="0"/>
                <w:szCs w:val="21"/>
                <w:highlight w:val="none"/>
                <w:lang w:val="en-US"/>
              </w:rPr>
              <w:t>3428.97</w:t>
            </w:r>
            <w:r>
              <w:rPr>
                <w:rFonts w:hint="eastAsia" w:ascii="宋体" w:hAnsi="宋体" w:eastAsia="宋体"/>
                <w:i w:val="0"/>
                <w:iCs w:val="0"/>
                <w:szCs w:val="21"/>
                <w:highlight w:val="none"/>
              </w:rPr>
              <w:t>元/人/</w:t>
            </w:r>
            <w:r>
              <w:rPr>
                <w:rFonts w:hint="eastAsia" w:ascii="宋体" w:hAnsi="宋体" w:eastAsia="宋体"/>
                <w:i w:val="0"/>
                <w:iCs w:val="0"/>
                <w:szCs w:val="21"/>
                <w:highlight w:val="none"/>
                <w:lang w:val="en-US" w:eastAsia="zh-CN"/>
              </w:rPr>
              <w:t>年</w:t>
            </w:r>
          </w:p>
        </w:tc>
      </w:tr>
      <w:tr>
        <w:tblPrEx>
          <w:tblCellMar>
            <w:top w:w="0" w:type="dxa"/>
            <w:left w:w="108" w:type="dxa"/>
            <w:bottom w:w="0" w:type="dxa"/>
            <w:right w:w="108" w:type="dxa"/>
          </w:tblCellMar>
        </w:tblPrEx>
        <w:trPr>
          <w:trHeight w:val="576"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9</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eastAsia="zh-CN"/>
              </w:rPr>
            </w:pPr>
            <w:r>
              <w:rPr>
                <w:rFonts w:hint="eastAsia" w:ascii="宋体" w:hAnsi="宋体" w:eastAsia="宋体"/>
                <w:i w:val="0"/>
                <w:iCs w:val="0"/>
                <w:szCs w:val="21"/>
                <w:highlight w:val="none"/>
                <w:lang w:val="en-US" w:eastAsia="zh-CN"/>
              </w:rPr>
              <w:t>其他费用</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lang w:val="en-US" w:eastAsia="zh-CN"/>
              </w:rPr>
            </w:pPr>
            <w:r>
              <w:rPr>
                <w:rFonts w:hint="eastAsia" w:ascii="宋体" w:hAnsi="宋体" w:eastAsia="宋体"/>
                <w:i w:val="0"/>
                <w:iCs w:val="0"/>
                <w:szCs w:val="21"/>
                <w:highlight w:val="none"/>
              </w:rPr>
              <w:t>元/</w:t>
            </w:r>
            <w:r>
              <w:rPr>
                <w:rFonts w:hint="eastAsia" w:ascii="宋体" w:hAnsi="宋体" w:eastAsia="宋体"/>
                <w:i w:val="0"/>
                <w:iCs w:val="0"/>
                <w:szCs w:val="21"/>
                <w:highlight w:val="none"/>
                <w:lang w:val="en-US" w:eastAsia="zh-CN"/>
              </w:rPr>
              <w:t>月</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rPr>
            </w:pPr>
            <w:r>
              <w:rPr>
                <w:rFonts w:hint="default" w:ascii="宋体" w:hAnsi="宋体" w:eastAsia="宋体"/>
                <w:i w:val="0"/>
                <w:iCs w:val="0"/>
                <w:szCs w:val="21"/>
                <w:highlight w:val="none"/>
                <w:lang w:val="en-US"/>
              </w:rPr>
              <w:t>12</w:t>
            </w: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default" w:ascii="宋体" w:hAnsi="宋体" w:eastAsia="宋体"/>
                <w:i w:val="0"/>
                <w:iCs w:val="0"/>
                <w:szCs w:val="21"/>
                <w:highlight w:val="none"/>
                <w:lang w:val="en-US" w:eastAsia="zh-CN"/>
              </w:rPr>
            </w:pPr>
            <w:r>
              <w:rPr>
                <w:rFonts w:hint="eastAsia" w:ascii="宋体" w:hAnsi="宋体" w:eastAsia="宋体"/>
                <w:i w:val="0"/>
                <w:iCs w:val="0"/>
                <w:szCs w:val="21"/>
                <w:highlight w:val="none"/>
                <w:lang w:val="en-US" w:eastAsia="zh-CN"/>
              </w:rPr>
              <w:t>培训费、设备折旧费等各投标人须按不低于</w:t>
            </w:r>
            <w:r>
              <w:rPr>
                <w:rFonts w:hint="default" w:ascii="宋体" w:hAnsi="宋体" w:eastAsia="宋体"/>
                <w:i w:val="0"/>
                <w:iCs w:val="0"/>
                <w:szCs w:val="21"/>
                <w:highlight w:val="none"/>
                <w:lang w:val="en-US" w:eastAsia="zh-CN"/>
              </w:rPr>
              <w:t>2000</w:t>
            </w:r>
            <w:r>
              <w:rPr>
                <w:rFonts w:hint="eastAsia" w:ascii="宋体" w:hAnsi="宋体" w:eastAsia="宋体"/>
                <w:i w:val="0"/>
                <w:iCs w:val="0"/>
                <w:szCs w:val="21"/>
                <w:highlight w:val="none"/>
                <w:lang w:val="en-US" w:eastAsia="zh-CN"/>
              </w:rPr>
              <w:t>元</w:t>
            </w:r>
            <w:r>
              <w:rPr>
                <w:rFonts w:hint="default" w:ascii="宋体" w:hAnsi="宋体" w:eastAsia="宋体"/>
                <w:i w:val="0"/>
                <w:iCs w:val="0"/>
                <w:szCs w:val="21"/>
                <w:highlight w:val="none"/>
                <w:lang w:val="en-US" w:eastAsia="zh-CN"/>
              </w:rPr>
              <w:t>/</w:t>
            </w:r>
            <w:r>
              <w:rPr>
                <w:rFonts w:hint="eastAsia" w:ascii="宋体" w:hAnsi="宋体" w:eastAsia="宋体"/>
                <w:i w:val="0"/>
                <w:iCs w:val="0"/>
                <w:szCs w:val="21"/>
                <w:highlight w:val="none"/>
                <w:lang w:val="en-US" w:eastAsia="zh-CN"/>
              </w:rPr>
              <w:t>月填报</w:t>
            </w:r>
          </w:p>
        </w:tc>
      </w:tr>
      <w:tr>
        <w:tblPrEx>
          <w:tblCellMar>
            <w:top w:w="0" w:type="dxa"/>
            <w:left w:w="108" w:type="dxa"/>
            <w:bottom w:w="0" w:type="dxa"/>
            <w:right w:w="108" w:type="dxa"/>
          </w:tblCellMar>
        </w:tblPrEx>
        <w:trPr>
          <w:trHeight w:val="321"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小 计1</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r>
      <w:tr>
        <w:tblPrEx>
          <w:tblCellMar>
            <w:top w:w="0" w:type="dxa"/>
            <w:left w:w="108" w:type="dxa"/>
            <w:bottom w:w="0" w:type="dxa"/>
            <w:right w:w="108" w:type="dxa"/>
          </w:tblCellMar>
        </w:tblPrEx>
        <w:trPr>
          <w:trHeight w:val="567"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二</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综合管理等费用</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w:t>
            </w:r>
            <w:r>
              <w:rPr>
                <w:rFonts w:hint="eastAsia" w:ascii="宋体" w:hAnsi="宋体" w:eastAsia="宋体"/>
                <w:i w:val="0"/>
                <w:iCs w:val="0"/>
                <w:szCs w:val="21"/>
                <w:highlight w:val="none"/>
                <w:lang w:val="en-US" w:eastAsia="zh-CN"/>
              </w:rPr>
              <w:t>可自行拓展</w:t>
            </w:r>
            <w:r>
              <w:rPr>
                <w:rFonts w:hint="eastAsia" w:ascii="宋体" w:hAnsi="宋体" w:eastAsia="宋体"/>
                <w:i w:val="0"/>
                <w:iCs w:val="0"/>
                <w:szCs w:val="21"/>
                <w:highlight w:val="none"/>
              </w:rPr>
              <w:t>）</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r>
      <w:tr>
        <w:tblPrEx>
          <w:tblCellMar>
            <w:top w:w="0" w:type="dxa"/>
            <w:left w:w="108" w:type="dxa"/>
            <w:bottom w:w="0" w:type="dxa"/>
            <w:right w:w="108" w:type="dxa"/>
          </w:tblCellMar>
        </w:tblPrEx>
        <w:trPr>
          <w:trHeight w:val="898"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lang w:eastAsia="zh-CN"/>
              </w:rPr>
            </w:pPr>
            <w:r>
              <w:rPr>
                <w:rFonts w:hint="eastAsia" w:ascii="宋体" w:hAnsi="宋体" w:eastAsia="宋体"/>
                <w:i w:val="0"/>
                <w:iCs w:val="0"/>
                <w:szCs w:val="21"/>
                <w:highlight w:val="none"/>
                <w:lang w:val="en-US" w:eastAsia="zh-CN"/>
              </w:rPr>
              <w:t>三</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不可预见费等</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其他投标人为完成招标文件规定的服务工作所涉及到的一切相关费用</w:t>
            </w:r>
          </w:p>
        </w:tc>
      </w:tr>
      <w:tr>
        <w:tblPrEx>
          <w:tblCellMar>
            <w:top w:w="0" w:type="dxa"/>
            <w:left w:w="108" w:type="dxa"/>
            <w:bottom w:w="0" w:type="dxa"/>
            <w:right w:w="108" w:type="dxa"/>
          </w:tblCellMar>
        </w:tblPrEx>
        <w:trPr>
          <w:trHeight w:val="390"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lang w:eastAsia="zh-CN"/>
              </w:rPr>
            </w:pPr>
            <w:r>
              <w:rPr>
                <w:rFonts w:hint="eastAsia" w:ascii="宋体" w:hAnsi="宋体" w:eastAsia="宋体"/>
                <w:i w:val="0"/>
                <w:iCs w:val="0"/>
                <w:szCs w:val="21"/>
                <w:highlight w:val="none"/>
                <w:lang w:val="en-US" w:eastAsia="zh-CN"/>
              </w:rPr>
              <w:t>四</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企业管理费及利润</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r>
      <w:tr>
        <w:tblPrEx>
          <w:tblCellMar>
            <w:top w:w="0" w:type="dxa"/>
            <w:left w:w="108" w:type="dxa"/>
            <w:bottom w:w="0" w:type="dxa"/>
            <w:right w:w="108" w:type="dxa"/>
          </w:tblCellMar>
        </w:tblPrEx>
        <w:trPr>
          <w:trHeight w:val="713"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lang w:eastAsia="zh-CN"/>
              </w:rPr>
            </w:pPr>
            <w:r>
              <w:rPr>
                <w:rFonts w:hint="eastAsia" w:ascii="宋体" w:hAnsi="宋体" w:eastAsia="宋体"/>
                <w:i w:val="0"/>
                <w:iCs w:val="0"/>
                <w:szCs w:val="21"/>
                <w:highlight w:val="none"/>
                <w:lang w:val="en-US" w:eastAsia="zh-CN"/>
              </w:rPr>
              <w:t>五</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税 金</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6.72%</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按第一至</w:t>
            </w:r>
            <w:r>
              <w:rPr>
                <w:rFonts w:hint="eastAsia" w:ascii="宋体" w:hAnsi="宋体" w:eastAsia="宋体"/>
                <w:i w:val="0"/>
                <w:iCs w:val="0"/>
                <w:szCs w:val="21"/>
                <w:highlight w:val="none"/>
                <w:lang w:val="en-US" w:eastAsia="zh-CN"/>
              </w:rPr>
              <w:t>四</w:t>
            </w:r>
            <w:r>
              <w:rPr>
                <w:rFonts w:hint="eastAsia" w:ascii="宋体" w:hAnsi="宋体" w:eastAsia="宋体"/>
                <w:i w:val="0"/>
                <w:iCs w:val="0"/>
                <w:szCs w:val="21"/>
                <w:highlight w:val="none"/>
              </w:rPr>
              <w:t>项费用之和的6.72%计算报价</w:t>
            </w:r>
          </w:p>
        </w:tc>
      </w:tr>
      <w:tr>
        <w:tblPrEx>
          <w:tblCellMar>
            <w:top w:w="0" w:type="dxa"/>
            <w:left w:w="108" w:type="dxa"/>
            <w:bottom w:w="0" w:type="dxa"/>
            <w:right w:w="108" w:type="dxa"/>
          </w:tblCellMar>
        </w:tblPrEx>
        <w:trPr>
          <w:trHeight w:val="596" w:hRule="atLeast"/>
        </w:trPr>
        <w:tc>
          <w:tcPr>
            <w:tcW w:w="602" w:type="dxa"/>
            <w:tcBorders>
              <w:top w:val="nil"/>
              <w:left w:val="single" w:color="000000" w:sz="8" w:space="0"/>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lang w:eastAsia="zh-CN"/>
              </w:rPr>
            </w:pPr>
            <w:r>
              <w:rPr>
                <w:rFonts w:hint="eastAsia" w:ascii="宋体" w:hAnsi="宋体" w:eastAsia="宋体"/>
                <w:i w:val="0"/>
                <w:iCs w:val="0"/>
                <w:szCs w:val="21"/>
                <w:highlight w:val="none"/>
                <w:lang w:val="en-US" w:eastAsia="zh-CN"/>
              </w:rPr>
              <w:t>六</w:t>
            </w:r>
          </w:p>
        </w:tc>
        <w:tc>
          <w:tcPr>
            <w:tcW w:w="243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每年投标总价（元</w:t>
            </w:r>
            <w:r>
              <w:rPr>
                <w:rFonts w:hint="default" w:ascii="宋体" w:hAnsi="宋体" w:eastAsia="宋体"/>
                <w:i w:val="0"/>
                <w:iCs w:val="0"/>
                <w:szCs w:val="21"/>
                <w:highlight w:val="none"/>
                <w:lang w:val="en-US"/>
              </w:rPr>
              <w:t>/</w:t>
            </w:r>
            <w:r>
              <w:rPr>
                <w:rFonts w:hint="eastAsia" w:ascii="宋体" w:hAnsi="宋体" w:eastAsia="宋体"/>
                <w:i w:val="0"/>
                <w:iCs w:val="0"/>
                <w:szCs w:val="21"/>
                <w:highlight w:val="none"/>
                <w:lang w:val="en-US" w:eastAsia="zh-CN"/>
              </w:rPr>
              <w:t>年</w:t>
            </w:r>
            <w:r>
              <w:rPr>
                <w:rFonts w:hint="eastAsia" w:ascii="宋体" w:hAnsi="宋体" w:eastAsia="宋体"/>
                <w:i w:val="0"/>
                <w:iCs w:val="0"/>
                <w:szCs w:val="21"/>
                <w:highlight w:val="none"/>
              </w:rPr>
              <w:t>）</w:t>
            </w:r>
          </w:p>
        </w:tc>
        <w:tc>
          <w:tcPr>
            <w:tcW w:w="1973"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lang w:val="en-US" w:eastAsia="zh-CN"/>
              </w:rPr>
            </w:pPr>
            <w:r>
              <w:rPr>
                <w:rFonts w:hint="eastAsia" w:ascii="宋体" w:hAnsi="宋体" w:eastAsia="宋体"/>
                <w:i w:val="0"/>
                <w:iCs w:val="0"/>
                <w:szCs w:val="21"/>
                <w:highlight w:val="none"/>
              </w:rPr>
              <w:t>小计1+</w:t>
            </w:r>
            <w:r>
              <w:rPr>
                <w:rFonts w:hint="eastAsia" w:ascii="宋体" w:hAnsi="宋体" w:eastAsia="宋体"/>
                <w:i w:val="0"/>
                <w:iCs w:val="0"/>
                <w:szCs w:val="21"/>
                <w:highlight w:val="none"/>
                <w:lang w:val="en-US" w:eastAsia="zh-CN"/>
              </w:rPr>
              <w:t>二</w:t>
            </w:r>
            <w:r>
              <w:rPr>
                <w:rFonts w:hint="eastAsia" w:ascii="宋体" w:hAnsi="宋体" w:eastAsia="宋体"/>
                <w:i w:val="0"/>
                <w:iCs w:val="0"/>
                <w:szCs w:val="21"/>
                <w:highlight w:val="none"/>
              </w:rPr>
              <w:t>+三+四</w:t>
            </w:r>
            <w:r>
              <w:rPr>
                <w:rFonts w:hint="default" w:ascii="宋体" w:hAnsi="宋体" w:eastAsia="宋体"/>
                <w:i w:val="0"/>
                <w:iCs w:val="0"/>
                <w:szCs w:val="21"/>
                <w:highlight w:val="none"/>
                <w:lang w:val="en-US"/>
              </w:rPr>
              <w:t>+</w:t>
            </w:r>
            <w:r>
              <w:rPr>
                <w:rFonts w:hint="eastAsia" w:ascii="宋体" w:hAnsi="宋体" w:eastAsia="宋体"/>
                <w:i w:val="0"/>
                <w:iCs w:val="0"/>
                <w:szCs w:val="21"/>
                <w:highlight w:val="none"/>
                <w:lang w:val="en-US" w:eastAsia="zh-CN"/>
              </w:rPr>
              <w:t>五</w:t>
            </w:r>
          </w:p>
        </w:tc>
        <w:tc>
          <w:tcPr>
            <w:tcW w:w="862"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1158"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p>
        </w:tc>
        <w:tc>
          <w:tcPr>
            <w:tcW w:w="3214" w:type="dxa"/>
            <w:tcBorders>
              <w:top w:val="nil"/>
              <w:left w:val="nil"/>
              <w:bottom w:val="single" w:color="000000" w:sz="8" w:space="0"/>
              <w:right w:val="single" w:color="000000" w:sz="8" w:space="0"/>
            </w:tcBorders>
            <w:shd w:val="clear" w:color="auto" w:fill="auto"/>
            <w:vAlign w:val="center"/>
          </w:tcPr>
          <w:p>
            <w:pPr>
              <w:widowControl w:val="0"/>
              <w:rPr>
                <w:rFonts w:hint="eastAsia" w:ascii="宋体" w:hAnsi="宋体" w:eastAsia="宋体"/>
                <w:i w:val="0"/>
                <w:iCs w:val="0"/>
                <w:szCs w:val="21"/>
                <w:highlight w:val="none"/>
              </w:rPr>
            </w:pPr>
            <w:r>
              <w:rPr>
                <w:rFonts w:hint="eastAsia" w:ascii="宋体" w:hAnsi="宋体" w:eastAsia="宋体"/>
                <w:i w:val="0"/>
                <w:iCs w:val="0"/>
                <w:szCs w:val="21"/>
                <w:highlight w:val="none"/>
              </w:rPr>
              <w:t>按上述第一项至第</w:t>
            </w:r>
            <w:r>
              <w:rPr>
                <w:rFonts w:hint="eastAsia" w:ascii="宋体" w:hAnsi="宋体" w:eastAsia="宋体"/>
                <w:i w:val="0"/>
                <w:iCs w:val="0"/>
                <w:szCs w:val="21"/>
                <w:highlight w:val="none"/>
                <w:lang w:val="en-US" w:eastAsia="zh-CN"/>
              </w:rPr>
              <w:t>五</w:t>
            </w:r>
            <w:r>
              <w:rPr>
                <w:rFonts w:hint="eastAsia" w:ascii="宋体" w:hAnsi="宋体" w:eastAsia="宋体"/>
                <w:i w:val="0"/>
                <w:iCs w:val="0"/>
                <w:szCs w:val="21"/>
                <w:highlight w:val="none"/>
              </w:rPr>
              <w:t>大项费用之和取　</w:t>
            </w:r>
          </w:p>
        </w:tc>
      </w:tr>
    </w:tbl>
    <w:p>
      <w:pPr>
        <w:pStyle w:val="34"/>
        <w:spacing w:beforeAutospacing="0" w:afterAutospacing="0"/>
        <w:jc w:val="both"/>
        <w:rPr>
          <w:rFonts w:ascii="宋体" w:hAnsi="宋体"/>
          <w:b/>
          <w:sz w:val="24"/>
          <w:highlight w:val="green"/>
        </w:rPr>
      </w:pPr>
      <w:r>
        <w:t> </w:t>
      </w:r>
      <w:r>
        <w:rPr>
          <w:rFonts w:hint="eastAsia" w:ascii="宋体" w:hAnsi="宋体"/>
          <w:b/>
          <w:sz w:val="24"/>
        </w:rPr>
        <w:t>投标人</w:t>
      </w:r>
      <w:r>
        <w:rPr>
          <w:rFonts w:hint="eastAsia" w:ascii="宋体" w:hAnsi="Arial" w:cs="宋体"/>
          <w:b/>
          <w:bCs/>
          <w:sz w:val="24"/>
          <w:lang w:val="zh-CN"/>
        </w:rPr>
        <w:t>所提供人员的费用不得低于上述标准进行测算，</w:t>
      </w:r>
      <w:r>
        <w:rPr>
          <w:rFonts w:hint="eastAsia" w:ascii="宋体" w:hAnsi="宋体"/>
          <w:b/>
          <w:sz w:val="24"/>
        </w:rPr>
        <w:t>否则</w:t>
      </w:r>
      <w:r>
        <w:rPr>
          <w:rFonts w:hint="eastAsia" w:ascii="宋体" w:hAnsi="Arial" w:cs="宋体"/>
          <w:b/>
          <w:bCs/>
          <w:sz w:val="24"/>
          <w:lang w:val="zh-CN"/>
        </w:rPr>
        <w:t>视为未实质性响应招标文件要求</w:t>
      </w:r>
      <w:r>
        <w:rPr>
          <w:rFonts w:hint="eastAsia" w:ascii="宋体" w:hAnsi="宋体"/>
          <w:b/>
          <w:sz w:val="24"/>
        </w:rPr>
        <w:t>。如果招标公告发布之后开标前遇政府调整职工最低工资标准或社会保险缴纳基数，评标委员会进行符合性审查时可仍按上述标准审查，中标后，中标人应按照最新政策文件规定执行</w:t>
      </w:r>
      <w:r>
        <w:rPr>
          <w:rFonts w:hint="eastAsia"/>
          <w:b/>
          <w:sz w:val="24"/>
          <w:lang w:eastAsia="zh-CN"/>
        </w:rPr>
        <w:t>，</w:t>
      </w:r>
      <w:r>
        <w:rPr>
          <w:rFonts w:hint="eastAsia"/>
          <w:b/>
          <w:sz w:val="24"/>
          <w:lang w:val="en-US" w:eastAsia="zh-CN"/>
        </w:rPr>
        <w:t>投标报价仅需按一年的服务费进行报价</w:t>
      </w:r>
      <w:r>
        <w:rPr>
          <w:rFonts w:hint="eastAsia" w:ascii="宋体" w:hAnsi="宋体"/>
          <w:b/>
          <w:sz w:val="24"/>
        </w:rPr>
        <w:t>。</w:t>
      </w:r>
    </w:p>
    <w:p>
      <w:pPr>
        <w:pStyle w:val="34"/>
        <w:pageBreakBefore w:val="0"/>
        <w:spacing w:beforeAutospacing="0" w:afterAutospacing="0"/>
        <w:ind w:firstLine="273"/>
        <w:jc w:val="center"/>
        <w:rPr>
          <w:rFonts w:hint="eastAsia" w:ascii="黑体" w:hAnsi="宋体" w:eastAsia="黑体" w:cs="黑体"/>
          <w:b/>
          <w:color w:val="auto"/>
          <w:sz w:val="32"/>
          <w:szCs w:val="32"/>
          <w:highlight w:val="none"/>
        </w:rPr>
      </w:pPr>
    </w:p>
    <w:p>
      <w:pPr>
        <w:pStyle w:val="34"/>
        <w:pageBreakBefore w:val="0"/>
        <w:spacing w:beforeAutospacing="0" w:afterAutospacing="0"/>
        <w:ind w:firstLine="273"/>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3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证明</w:t>
            </w:r>
          </w:p>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材料</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bl>
    <w:p>
      <w:pPr>
        <w:pStyle w:val="34"/>
        <w:pageBreakBefore w:val="0"/>
        <w:spacing w:beforeAutospacing="0" w:afterAutospacing="0"/>
        <w:ind w:firstLine="204"/>
        <w:jc w:val="both"/>
        <w:rPr>
          <w:color w:val="auto"/>
          <w:highlight w:val="none"/>
        </w:rPr>
      </w:pPr>
      <w:r>
        <w:rPr>
          <w:rFonts w:hint="eastAsia" w:ascii="宋体" w:hAnsi="宋体" w:eastAsia="宋体" w:cs="宋体"/>
          <w:color w:val="auto"/>
          <w:highlight w:val="none"/>
        </w:rPr>
        <w:t>注： 行数不够，可自行添加。</w:t>
      </w:r>
    </w:p>
    <w:p>
      <w:pPr>
        <w:pStyle w:val="34"/>
        <w:pageBreakBefore w:val="0"/>
        <w:spacing w:beforeAutospacing="0" w:afterAutospacing="0"/>
        <w:ind w:firstLine="204"/>
        <w:jc w:val="center"/>
        <w:rPr>
          <w:color w:val="auto"/>
          <w:highlight w:val="none"/>
        </w:rPr>
      </w:pPr>
      <w:r>
        <w:rPr>
          <w:color w:val="auto"/>
          <w:highlight w:val="none"/>
        </w:rPr>
        <w:t> </w:t>
      </w:r>
    </w:p>
    <w:p>
      <w:pPr>
        <w:pStyle w:val="34"/>
        <w:pageBreakBefore w:val="0"/>
        <w:spacing w:beforeAutospacing="0" w:afterAutospacing="0"/>
        <w:ind w:firstLine="204"/>
        <w:jc w:val="center"/>
        <w:rPr>
          <w:color w:val="auto"/>
          <w:highlight w:val="none"/>
        </w:rPr>
      </w:pPr>
      <w:r>
        <w:rPr>
          <w:color w:val="auto"/>
          <w:highlight w:val="none"/>
        </w:rPr>
        <w:t> </w:t>
      </w:r>
    </w:p>
    <w:p>
      <w:pPr>
        <w:pStyle w:val="34"/>
        <w:pageBreakBefore w:val="0"/>
        <w:spacing w:beforeAutospacing="0" w:afterAutospacing="0"/>
        <w:ind w:firstLine="204"/>
        <w:jc w:val="center"/>
        <w:rPr>
          <w:color w:val="auto"/>
          <w:highlight w:val="none"/>
        </w:rPr>
      </w:pPr>
      <w:r>
        <w:rPr>
          <w:color w:val="auto"/>
          <w:highlight w:val="none"/>
        </w:rPr>
        <w:t> </w:t>
      </w:r>
    </w:p>
    <w:p>
      <w:pPr>
        <w:pStyle w:val="34"/>
        <w:pageBreakBefore w:val="0"/>
        <w:spacing w:beforeAutospacing="0" w:afterAutospacing="0"/>
        <w:ind w:firstLine="204"/>
        <w:jc w:val="center"/>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73"/>
        <w:jc w:val="center"/>
        <w:rPr>
          <w:color w:val="auto"/>
          <w:highlight w:val="none"/>
        </w:rPr>
      </w:pPr>
      <w:bookmarkStart w:id="176"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、商务要求响应及偏离表</w:t>
      </w:r>
    </w:p>
    <w:tbl>
      <w:tblPr>
        <w:tblStyle w:val="3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bookmarkStart w:id="177" w:name="_Hlt26955056"/>
            <w:bookmarkStart w:id="178" w:name="_Hlt26580838"/>
            <w:bookmarkStart w:id="179" w:name="_Hlt24879081"/>
            <w:bookmarkStart w:id="180" w:name="_Hlt26782999"/>
            <w:bookmarkStart w:id="181" w:name="_Hlt26671343"/>
            <w:bookmarkStart w:id="182" w:name="_Hlt26671372"/>
            <w:bookmarkStart w:id="183" w:name="_Hlt26609391"/>
            <w:bookmarkStart w:id="184" w:name="_Hlt26955064"/>
            <w:r>
              <w:rPr>
                <w:rFonts w:hint="eastAsia" w:ascii="宋体" w:hAnsi="宋体" w:eastAsia="宋体" w:cs="宋体"/>
                <w:color w:val="auto"/>
                <w:highlight w:val="none"/>
              </w:rPr>
              <w:t>序号</w:t>
            </w:r>
            <w:bookmarkEnd w:id="177"/>
            <w:bookmarkEnd w:id="178"/>
            <w:bookmarkEnd w:id="179"/>
            <w:bookmarkEnd w:id="180"/>
            <w:bookmarkEnd w:id="181"/>
            <w:bookmarkEnd w:id="182"/>
            <w:bookmarkEnd w:id="183"/>
            <w:bookmarkEnd w:id="184"/>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证明</w:t>
            </w:r>
          </w:p>
          <w:p>
            <w:pPr>
              <w:pStyle w:val="34"/>
              <w:pageBreakBefore w:val="0"/>
              <w:spacing w:beforeAutospacing="0" w:afterAutospacing="0"/>
              <w:ind w:firstLine="204"/>
              <w:jc w:val="center"/>
              <w:rPr>
                <w:color w:val="auto"/>
                <w:highlight w:val="none"/>
              </w:rPr>
            </w:pPr>
            <w:r>
              <w:rPr>
                <w:rFonts w:hint="eastAsia" w:ascii="宋体" w:hAnsi="宋体" w:eastAsia="宋体" w:cs="宋体"/>
                <w:color w:val="auto"/>
                <w:highlight w:val="none"/>
              </w:rPr>
              <w:t>材料</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pageBreakBefore w:val="0"/>
              <w:spacing w:beforeAutospacing="0" w:afterAutospacing="0"/>
              <w:ind w:firstLine="204"/>
              <w:jc w:val="center"/>
              <w:rPr>
                <w:color w:val="auto"/>
                <w:highlight w:val="none"/>
              </w:rPr>
            </w:pPr>
            <w:r>
              <w:rPr>
                <w:color w:val="auto"/>
                <w:highlight w:val="none"/>
              </w:rPr>
              <w:t> </w:t>
            </w:r>
          </w:p>
        </w:tc>
      </w:tr>
    </w:tbl>
    <w:p>
      <w:pPr>
        <w:pStyle w:val="34"/>
        <w:pageBreakBefore w:val="0"/>
        <w:spacing w:beforeAutospacing="0" w:afterAutospacing="0"/>
        <w:ind w:firstLine="204"/>
        <w:jc w:val="both"/>
        <w:rPr>
          <w:color w:val="auto"/>
          <w:highlight w:val="none"/>
        </w:rPr>
      </w:pPr>
      <w:r>
        <w:rPr>
          <w:rFonts w:hint="eastAsia" w:ascii="宋体" w:hAnsi="宋体" w:eastAsia="宋体" w:cs="宋体"/>
          <w:color w:val="auto"/>
          <w:highlight w:val="none"/>
        </w:rPr>
        <w:t>注： 行数不够，可自行添加。</w:t>
      </w: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line="480" w:lineRule="auto"/>
        <w:ind w:firstLine="204"/>
        <w:jc w:val="both"/>
        <w:rPr>
          <w:color w:val="auto"/>
          <w:highlight w:val="none"/>
        </w:rPr>
      </w:pPr>
      <w:r>
        <w:rPr>
          <w:color w:val="auto"/>
          <w:highlight w:val="none"/>
        </w:rPr>
        <w:t> </w:t>
      </w:r>
    </w:p>
    <w:p>
      <w:pPr>
        <w:pStyle w:val="34"/>
        <w:pageBreakBefore w:val="0"/>
        <w:spacing w:beforeAutospacing="0" w:afterAutospacing="0" w:line="480" w:lineRule="auto"/>
        <w:ind w:firstLine="204"/>
        <w:jc w:val="both"/>
        <w:rPr>
          <w:color w:val="auto"/>
          <w:highlight w:val="none"/>
        </w:rPr>
      </w:pPr>
      <w:r>
        <w:rPr>
          <w:color w:val="auto"/>
          <w:highlight w:val="none"/>
        </w:rPr>
        <w:t> </w:t>
      </w:r>
    </w:p>
    <w:p>
      <w:pPr>
        <w:pStyle w:val="34"/>
        <w:pageBreakBefore w:val="0"/>
        <w:spacing w:beforeAutospacing="0" w:afterAutospacing="0"/>
        <w:ind w:firstLine="204"/>
        <w:jc w:val="center"/>
        <w:rPr>
          <w:color w:val="auto"/>
          <w:highlight w:val="none"/>
        </w:rPr>
      </w:pPr>
      <w:bookmarkStart w:id="185" w:name="_Hlt26671374"/>
      <w:bookmarkStart w:id="186" w:name="_Toc462564146"/>
      <w:bookmarkStart w:id="187" w:name="_格式2__法定代表人授权书"/>
      <w:bookmarkStart w:id="188" w:name="_Hlt26609389"/>
      <w:bookmarkStart w:id="189" w:name="_Hlt26955066"/>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r>
        <w:rPr>
          <w:color w:val="auto"/>
          <w:highlight w:val="none"/>
        </w:rPr>
        <w:t> </w:t>
      </w: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pStyle w:val="34"/>
        <w:pageBreakBefore w:val="0"/>
        <w:spacing w:beforeAutospacing="0" w:afterAutospacing="0"/>
        <w:ind w:firstLine="204"/>
        <w:jc w:val="both"/>
        <w:rPr>
          <w:color w:val="auto"/>
          <w:highlight w:val="none"/>
        </w:rPr>
      </w:pPr>
    </w:p>
    <w:p>
      <w:pPr>
        <w:spacing w:line="360" w:lineRule="auto"/>
        <w:ind w:firstLine="442"/>
        <w:jc w:val="center"/>
        <w:rPr>
          <w:rFonts w:ascii="宋体" w:hAnsi="宋体" w:eastAsia="宋体" w:cs="宋体"/>
          <w:color w:val="000000"/>
          <w:sz w:val="22"/>
          <w:szCs w:val="21"/>
        </w:rPr>
      </w:pPr>
      <w:r>
        <w:rPr>
          <w:color w:val="auto"/>
          <w:highlight w:val="none"/>
        </w:rPr>
        <w:t> </w:t>
      </w:r>
      <w:r>
        <w:rPr>
          <w:rFonts w:hint="eastAsia" w:ascii="黑体" w:hAnsi="黑体" w:eastAsia="黑体" w:cs="黑体"/>
          <w:i/>
          <w:color w:val="000000"/>
          <w:sz w:val="32"/>
          <w:szCs w:val="32"/>
          <w:u w:val="single"/>
        </w:rPr>
        <w:t>十</w:t>
      </w:r>
      <w:r>
        <w:rPr>
          <w:rFonts w:hint="eastAsia" w:ascii="黑体" w:hAnsi="黑体" w:eastAsia="黑体" w:cs="黑体"/>
          <w:i/>
          <w:color w:val="000000"/>
          <w:sz w:val="32"/>
          <w:szCs w:val="32"/>
          <w:u w:val="single"/>
          <w:lang w:val="en-US" w:eastAsia="zh-CN"/>
        </w:rPr>
        <w:t>四</w:t>
      </w:r>
      <w:r>
        <w:rPr>
          <w:rFonts w:hint="eastAsia" w:ascii="黑体" w:hAnsi="黑体" w:eastAsia="黑体" w:cs="黑体"/>
          <w:i/>
          <w:color w:val="000000"/>
          <w:sz w:val="32"/>
          <w:szCs w:val="32"/>
          <w:u w:val="single"/>
        </w:rPr>
        <w:t>、开标一览表</w:t>
      </w:r>
    </w:p>
    <w:p>
      <w:pPr>
        <w:widowControl/>
        <w:spacing w:before="100" w:beforeAutospacing="1" w:after="100" w:afterAutospacing="1" w:line="280" w:lineRule="exact"/>
        <w:ind w:firstLine="480"/>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投标人全称（加盖CA电子签章）：</w:t>
      </w:r>
    </w:p>
    <w:p>
      <w:pPr>
        <w:widowControl/>
        <w:spacing w:before="100" w:beforeAutospacing="1" w:after="100" w:afterAutospacing="1" w:line="280" w:lineRule="exact"/>
        <w:ind w:firstLine="480"/>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项目名称：盐城市亭湖区人民法院食堂餐饮服务外包项目</w:t>
      </w:r>
    </w:p>
    <w:p>
      <w:pPr>
        <w:widowControl/>
        <w:spacing w:before="100" w:beforeAutospacing="1" w:after="100" w:afterAutospacing="1" w:line="280" w:lineRule="exact"/>
        <w:ind w:firstLine="480"/>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招标编号</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szCs w:val="24"/>
          <w:highlight w:val="none"/>
          <w:lang w:val="en-US" w:eastAsia="zh-CN"/>
        </w:rPr>
        <w:t>JSZC-320902-YDZJ-G2024-0001</w:t>
      </w:r>
      <w:r>
        <w:rPr>
          <w:rFonts w:hint="eastAsia" w:ascii="宋体" w:hAnsi="宋体" w:eastAsia="宋体" w:cs="宋体"/>
          <w:color w:val="000000"/>
          <w:sz w:val="24"/>
          <w:szCs w:val="21"/>
          <w:highlight w:val="none"/>
          <w:lang w:val="en-US" w:eastAsia="zh-CN" w:bidi="ar-SA"/>
        </w:rPr>
        <w:t xml:space="preserve">  </w:t>
      </w:r>
      <w:r>
        <w:rPr>
          <w:rFonts w:hint="eastAsia" w:ascii="宋体" w:hAnsi="宋体" w:eastAsia="宋体" w:cs="宋体"/>
          <w:color w:val="000000"/>
          <w:sz w:val="24"/>
          <w:szCs w:val="21"/>
          <w:lang w:val="en-US" w:eastAsia="zh-CN" w:bidi="ar-SA"/>
        </w:rPr>
        <w:t>        </w:t>
      </w:r>
    </w:p>
    <w:tbl>
      <w:tblPr>
        <w:tblStyle w:val="37"/>
        <w:tblW w:w="8940" w:type="dxa"/>
        <w:tblCellSpacing w:w="0" w:type="dxa"/>
        <w:tblInd w:w="41" w:type="dxa"/>
        <w:tblLayout w:type="fixed"/>
        <w:tblCellMar>
          <w:top w:w="0" w:type="dxa"/>
          <w:left w:w="108" w:type="dxa"/>
          <w:bottom w:w="0" w:type="dxa"/>
          <w:right w:w="108" w:type="dxa"/>
        </w:tblCellMar>
      </w:tblPr>
      <w:tblGrid>
        <w:gridCol w:w="8940"/>
      </w:tblGrid>
      <w:tr>
        <w:tblPrEx>
          <w:tblCellMar>
            <w:top w:w="0" w:type="dxa"/>
            <w:left w:w="108" w:type="dxa"/>
            <w:bottom w:w="0" w:type="dxa"/>
            <w:right w:w="108" w:type="dxa"/>
          </w:tblCellMar>
        </w:tblPrEx>
        <w:trPr>
          <w:trHeight w:val="1073"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pPr>
              <w:widowControl/>
              <w:spacing w:before="100" w:beforeAutospacing="1" w:after="100" w:afterAutospacing="1" w:line="240" w:lineRule="auto"/>
              <w:ind w:firstLine="420"/>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投标总报价：</w:t>
            </w:r>
          </w:p>
        </w:tc>
      </w:tr>
      <w:tr>
        <w:tblPrEx>
          <w:tblCellMar>
            <w:top w:w="0" w:type="dxa"/>
            <w:left w:w="108" w:type="dxa"/>
            <w:bottom w:w="0" w:type="dxa"/>
            <w:right w:w="108" w:type="dxa"/>
          </w:tblCellMar>
        </w:tblPrEx>
        <w:trPr>
          <w:trHeight w:val="990"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pPr>
              <w:widowControl/>
              <w:spacing w:before="100" w:beforeAutospacing="1" w:after="100" w:afterAutospacing="1" w:line="360" w:lineRule="auto"/>
              <w:ind w:firstLine="420"/>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小写：                        （人民币：元</w:t>
            </w:r>
            <w:r>
              <w:rPr>
                <w:rFonts w:hint="default" w:ascii="宋体" w:hAnsi="宋体" w:eastAsia="宋体" w:cs="宋体"/>
                <w:color w:val="000000"/>
                <w:sz w:val="24"/>
                <w:szCs w:val="21"/>
                <w:lang w:val="en-US" w:eastAsia="zh-CN" w:bidi="ar-SA"/>
              </w:rPr>
              <w:t>/</w:t>
            </w:r>
            <w:r>
              <w:rPr>
                <w:rFonts w:hint="eastAsia" w:ascii="宋体" w:hAnsi="宋体" w:eastAsia="宋体" w:cs="宋体"/>
                <w:color w:val="000000"/>
                <w:sz w:val="24"/>
                <w:szCs w:val="21"/>
                <w:lang w:val="en-US" w:eastAsia="zh-CN" w:bidi="ar-SA"/>
              </w:rPr>
              <w:t>年）</w:t>
            </w:r>
          </w:p>
        </w:tc>
      </w:tr>
    </w:tbl>
    <w:p>
      <w:pPr>
        <w:widowControl/>
        <w:spacing w:before="100" w:beforeAutospacing="1" w:after="100" w:afterAutospacing="1" w:line="360" w:lineRule="auto"/>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注：投标报价仅需按一年的服务费进行报价。</w:t>
      </w:r>
    </w:p>
    <w:p>
      <w:pPr>
        <w:widowControl/>
        <w:spacing w:before="100" w:beforeAutospacing="1" w:after="100" w:afterAutospacing="1" w:line="360" w:lineRule="auto"/>
        <w:ind w:firstLine="480"/>
        <w:jc w:val="right"/>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日期：</w:t>
      </w:r>
      <w:r>
        <w:rPr>
          <w:rFonts w:hint="eastAsia" w:ascii="宋体" w:hAnsi="宋体" w:eastAsia="宋体" w:cs="宋体"/>
          <w:color w:val="000000"/>
          <w:sz w:val="24"/>
          <w:szCs w:val="21"/>
          <w:u w:val="single"/>
          <w:lang w:val="en-US" w:eastAsia="zh-CN" w:bidi="ar-SA"/>
        </w:rPr>
        <w:t xml:space="preserve">    </w:t>
      </w:r>
      <w:r>
        <w:rPr>
          <w:rFonts w:hint="eastAsia" w:ascii="宋体" w:hAnsi="宋体" w:eastAsia="宋体" w:cs="宋体"/>
          <w:color w:val="000000"/>
          <w:sz w:val="24"/>
          <w:szCs w:val="21"/>
          <w:lang w:val="en-US" w:eastAsia="zh-CN" w:bidi="ar-SA"/>
        </w:rPr>
        <w:t>年</w:t>
      </w:r>
      <w:r>
        <w:rPr>
          <w:rFonts w:hint="eastAsia" w:ascii="宋体" w:hAnsi="宋体" w:eastAsia="宋体" w:cs="宋体"/>
          <w:color w:val="000000"/>
          <w:sz w:val="24"/>
          <w:szCs w:val="21"/>
          <w:u w:val="single"/>
          <w:lang w:val="en-US" w:eastAsia="zh-CN" w:bidi="ar-SA"/>
        </w:rPr>
        <w:t xml:space="preserve">   </w:t>
      </w:r>
      <w:r>
        <w:rPr>
          <w:rFonts w:hint="eastAsia" w:ascii="宋体" w:hAnsi="宋体" w:eastAsia="宋体" w:cs="宋体"/>
          <w:color w:val="000000"/>
          <w:sz w:val="24"/>
          <w:szCs w:val="21"/>
          <w:lang w:val="en-US" w:eastAsia="zh-CN" w:bidi="ar-SA"/>
        </w:rPr>
        <w:t>月</w:t>
      </w:r>
      <w:r>
        <w:rPr>
          <w:rFonts w:hint="eastAsia" w:ascii="宋体" w:hAnsi="宋体" w:eastAsia="宋体" w:cs="宋体"/>
          <w:color w:val="000000"/>
          <w:sz w:val="24"/>
          <w:szCs w:val="21"/>
          <w:u w:val="single"/>
          <w:lang w:val="en-US" w:eastAsia="zh-CN" w:bidi="ar-SA"/>
        </w:rPr>
        <w:t xml:space="preserve">   </w:t>
      </w:r>
      <w:r>
        <w:rPr>
          <w:rFonts w:hint="eastAsia" w:ascii="宋体" w:hAnsi="宋体" w:eastAsia="宋体" w:cs="宋体"/>
          <w:color w:val="000000"/>
          <w:sz w:val="24"/>
          <w:szCs w:val="21"/>
          <w:lang w:val="en-US" w:eastAsia="zh-CN" w:bidi="ar-SA"/>
        </w:rPr>
        <w:t>日</w:t>
      </w:r>
    </w:p>
    <w:p>
      <w:pPr>
        <w:pStyle w:val="34"/>
        <w:pageBreakBefore w:val="0"/>
        <w:spacing w:beforeAutospacing="0" w:afterAutospacing="0"/>
        <w:ind w:firstLine="204"/>
        <w:jc w:val="both"/>
        <w:rPr>
          <w:color w:val="auto"/>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pageBreakBefore w:val="0"/>
        <w:widowControl/>
        <w:spacing w:before="50" w:after="50"/>
        <w:ind w:firstLine="272"/>
        <w:jc w:val="center"/>
        <w:rPr>
          <w:rFonts w:hint="eastAsia" w:ascii="宋体" w:hAnsi="宋体" w:eastAsia="宋体" w:cs="宋体"/>
          <w:color w:val="auto"/>
          <w:sz w:val="32"/>
          <w:szCs w:val="32"/>
          <w:highlight w:val="none"/>
        </w:rPr>
      </w:pPr>
    </w:p>
    <w:p>
      <w:pPr>
        <w:spacing w:line="360" w:lineRule="auto"/>
        <w:ind w:firstLine="442"/>
        <w:jc w:val="center"/>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十</w:t>
      </w:r>
      <w:r>
        <w:rPr>
          <w:rFonts w:hint="eastAsia" w:ascii="黑体" w:hAnsi="黑体" w:eastAsia="黑体" w:cs="黑体"/>
          <w:i/>
          <w:color w:val="000000"/>
          <w:sz w:val="32"/>
          <w:szCs w:val="32"/>
          <w:u w:val="single"/>
          <w:lang w:val="en-US" w:eastAsia="zh-CN"/>
        </w:rPr>
        <w:t>五</w:t>
      </w:r>
      <w:r>
        <w:rPr>
          <w:rFonts w:hint="eastAsia" w:ascii="黑体" w:hAnsi="黑体" w:eastAsia="黑体" w:cs="黑体"/>
          <w:i/>
          <w:color w:val="000000"/>
          <w:sz w:val="32"/>
          <w:szCs w:val="32"/>
          <w:u w:val="single"/>
        </w:rPr>
        <w:t>、综合分析及服务方案等</w:t>
      </w:r>
    </w:p>
    <w:p>
      <w:pPr>
        <w:pStyle w:val="34"/>
        <w:pageBreakBefore w:val="0"/>
        <w:tabs>
          <w:tab w:val="left" w:pos="2160"/>
        </w:tabs>
        <w:spacing w:beforeAutospacing="0" w:afterAutospacing="0"/>
        <w:ind w:firstLine="204"/>
        <w:jc w:val="both"/>
        <w:rPr>
          <w:color w:val="auto"/>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ageBreakBefore w:val="0"/>
        <w:widowControl/>
        <w:spacing w:line="499" w:lineRule="atLeast"/>
        <w:ind w:firstLine="272"/>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Style w:val="45"/>
        <w:rPr>
          <w:rFonts w:ascii="宋体" w:hAnsi="宋体" w:eastAsia="宋体" w:cs="宋体"/>
          <w:color w:val="auto"/>
          <w:sz w:val="32"/>
          <w:szCs w:val="32"/>
          <w:highlight w:val="none"/>
        </w:rPr>
      </w:pPr>
    </w:p>
    <w:p>
      <w:pPr>
        <w:pageBreakBefore w:val="0"/>
        <w:pBdr>
          <w:top w:val="none" w:color="000000" w:sz="0" w:space="0"/>
          <w:left w:val="none" w:color="000000" w:sz="0" w:space="0"/>
          <w:bottom w:val="none" w:color="000000" w:sz="0" w:space="0"/>
          <w:right w:val="none" w:color="000000" w:sz="0" w:space="0"/>
        </w:pBdr>
        <w:spacing w:before="0" w:after="0" w:line="499" w:lineRule="atLeast"/>
        <w:ind w:left="0" w:right="0" w:firstLine="272"/>
        <w:jc w:val="center"/>
        <w:rPr>
          <w:color w:val="auto"/>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w:t>
      </w:r>
      <w:bookmarkEnd w:id="31"/>
      <w:bookmarkEnd w:id="45"/>
      <w:bookmarkEnd w:id="84"/>
      <w:bookmarkEnd w:id="85"/>
      <w:bookmarkEnd w:id="86"/>
      <w:bookmarkEnd w:id="89"/>
      <w:bookmarkEnd w:id="90"/>
      <w:bookmarkEnd w:id="91"/>
      <w:bookmarkEnd w:id="93"/>
      <w:bookmarkEnd w:id="94"/>
      <w:bookmarkEnd w:id="95"/>
      <w:bookmarkEnd w:id="96"/>
      <w:bookmarkEnd w:id="97"/>
      <w:bookmarkEnd w:id="98"/>
      <w:bookmarkEnd w:id="99"/>
      <w:bookmarkEnd w:id="100"/>
      <w:bookmarkEnd w:id="101"/>
      <w:bookmarkEnd w:id="102"/>
      <w:bookmarkEnd w:id="105"/>
      <w:bookmarkEnd w:id="106"/>
      <w:bookmarkEnd w:id="107"/>
      <w:bookmarkEnd w:id="112"/>
      <w:bookmarkEnd w:id="113"/>
      <w:bookmarkEnd w:id="118"/>
      <w:bookmarkEnd w:id="166"/>
      <w:bookmarkEnd w:id="167"/>
      <w:bookmarkEnd w:id="168"/>
      <w:bookmarkEnd w:id="169"/>
      <w:bookmarkEnd w:id="173"/>
      <w:bookmarkEnd w:id="174"/>
      <w:bookmarkEnd w:id="175"/>
      <w:bookmarkEnd w:id="176"/>
      <w:bookmarkEnd w:id="185"/>
      <w:bookmarkEnd w:id="186"/>
      <w:bookmarkEnd w:id="187"/>
      <w:bookmarkEnd w:id="188"/>
      <w:bookmarkEnd w:id="189"/>
      <w:r>
        <w:rPr>
          <w:rFonts w:ascii="黑体" w:hAnsi="黑体" w:eastAsia="黑体" w:cs="黑体"/>
          <w:b/>
          <w:bCs/>
          <w:color w:val="auto"/>
          <w:sz w:val="32"/>
          <w:highlight w:val="none"/>
        </w:rPr>
        <w:t>盐城市亭</w:t>
      </w:r>
      <w:r>
        <w:rPr>
          <w:rFonts w:ascii="黑体" w:hAnsi="黑体" w:eastAsia="黑体" w:cs="黑体"/>
          <w:color w:val="auto"/>
          <w:sz w:val="32"/>
          <w:highlight w:val="none"/>
        </w:rPr>
        <w:t>湖区政府采购事前信用承诺书</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为营造我区公开、公平、公正、诚实守信的政府采购交易环境，树立诚信守法的供应商形象，本人代表本单位作出以下承诺：</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（三）严格依照国家和省、市关于政府采购的法律、法规、规章、规范性文件，参加政府采购投标活动；积极履行社会责任，促进廉政建设； </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（四）严格遵守即时信息公示规定，及时维护和更新维护和更新盐城市政府采购网中与本单位相关的信息；</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（六）自觉接受政府、行业组织、社会公众、新闻舆论的监督；</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（八）本人已认真阅读了上述承诺，并向本单位员工作了宣传教育。</w:t>
      </w:r>
    </w:p>
    <w:p>
      <w:pPr>
        <w:widowControl/>
        <w:spacing w:line="500" w:lineRule="exact"/>
        <w:jc w:val="left"/>
        <w:rPr>
          <w:rFonts w:hint="eastAsia" w:ascii="宋体" w:hAnsi="宋体" w:eastAsia="宋体" w:cs="宋体"/>
          <w:sz w:val="24"/>
          <w:szCs w:val="24"/>
        </w:rPr>
      </w:pPr>
    </w:p>
    <w:p>
      <w:pPr>
        <w:widowControl/>
        <w:spacing w:line="500" w:lineRule="exact"/>
        <w:jc w:val="center"/>
        <w:rPr>
          <w:rFonts w:hint="eastAsia" w:ascii="宋体" w:hAnsi="宋体" w:eastAsia="宋体" w:cs="宋体"/>
          <w:sz w:val="24"/>
          <w:szCs w:val="24"/>
        </w:rPr>
      </w:pPr>
      <w:r>
        <w:rPr>
          <w:rFonts w:hint="eastAsia" w:ascii="宋体" w:hAnsi="宋体" w:eastAsia="宋体" w:cs="宋体"/>
          <w:sz w:val="24"/>
          <w:szCs w:val="24"/>
        </w:rPr>
        <w:t xml:space="preserve">                   单位名称（盖章）：</w:t>
      </w:r>
    </w:p>
    <w:p>
      <w:pPr>
        <w:widowControl/>
        <w:spacing w:line="500" w:lineRule="exact"/>
        <w:jc w:val="center"/>
        <w:rPr>
          <w:rFonts w:hint="eastAsia" w:ascii="宋体" w:hAnsi="宋体" w:eastAsia="宋体" w:cs="宋体"/>
          <w:sz w:val="24"/>
          <w:szCs w:val="24"/>
        </w:rPr>
      </w:pPr>
      <w:r>
        <w:rPr>
          <w:rFonts w:hint="eastAsia" w:ascii="宋体" w:hAnsi="宋体" w:eastAsia="宋体" w:cs="宋体"/>
          <w:sz w:val="24"/>
          <w:szCs w:val="24"/>
        </w:rPr>
        <w:t xml:space="preserve">           法定代表人（签字或盖章）：</w:t>
      </w:r>
    </w:p>
    <w:p>
      <w:pPr>
        <w:widowControl/>
        <w:spacing w:line="500" w:lineRule="exact"/>
        <w:jc w:val="center"/>
        <w:rPr>
          <w:rFonts w:hint="eastAsia" w:ascii="宋体" w:hAnsi="宋体" w:eastAsia="宋体" w:cs="宋体"/>
          <w:sz w:val="24"/>
          <w:szCs w:val="24"/>
        </w:rPr>
      </w:pPr>
      <w:r>
        <w:rPr>
          <w:rFonts w:hint="eastAsia" w:ascii="宋体" w:hAnsi="宋体" w:eastAsia="宋体" w:cs="宋体"/>
          <w:sz w:val="24"/>
          <w:szCs w:val="24"/>
        </w:rPr>
        <w:t xml:space="preserve">                      年    月    日</w:t>
      </w:r>
    </w:p>
    <w:p>
      <w:pPr>
        <w:pStyle w:val="34"/>
        <w:pageBreakBefore w:val="0"/>
        <w:spacing w:beforeAutospacing="0" w:afterAutospacing="0"/>
        <w:ind w:firstLine="273"/>
        <w:jc w:val="center"/>
        <w:rPr>
          <w:rFonts w:hint="eastAsia" w:ascii="宋体" w:hAnsi="宋体" w:eastAsia="宋体" w:cs="宋体"/>
          <w:b/>
          <w:color w:val="auto"/>
          <w:sz w:val="32"/>
          <w:szCs w:val="32"/>
          <w:highlight w:val="none"/>
        </w:rPr>
      </w:pPr>
    </w:p>
    <w:p>
      <w:pPr>
        <w:pStyle w:val="34"/>
        <w:pageBreakBefore w:val="0"/>
        <w:spacing w:beforeAutospacing="0" w:afterAutospacing="0"/>
        <w:ind w:firstLine="273"/>
        <w:jc w:val="center"/>
        <w:rPr>
          <w:rFonts w:hint="eastAsia" w:ascii="宋体" w:hAnsi="宋体" w:eastAsia="宋体" w:cs="宋体"/>
          <w:b/>
          <w:color w:val="auto"/>
          <w:sz w:val="32"/>
          <w:szCs w:val="32"/>
          <w:highlight w:val="none"/>
        </w:rPr>
      </w:pPr>
    </w:p>
    <w:p>
      <w:pPr>
        <w:widowControl w:val="0"/>
        <w:spacing w:beforeAutospacing="0" w:afterAutospacing="0" w:line="360" w:lineRule="auto"/>
        <w:ind w:firstLine="562"/>
        <w:jc w:val="center"/>
        <w:rPr>
          <w:rFonts w:hint="default"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质疑函范本</w:t>
      </w:r>
    </w:p>
    <w:p>
      <w:pPr>
        <w:widowControl w:val="0"/>
        <w:spacing w:before="290"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一、质疑供应商基本信息</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质疑供应商：</w:t>
      </w:r>
      <w:r>
        <w:rPr>
          <w:rFonts w:hint="eastAsia" w:ascii="宋体" w:hAnsi="宋体" w:eastAsia="宋体" w:cs="宋体"/>
          <w:b w:val="0"/>
          <w:bCs/>
          <w:color w:val="000000"/>
          <w:sz w:val="24"/>
          <w:szCs w:val="24"/>
          <w:u w:val="single"/>
          <w:lang w:val="en-US" w:eastAsia="zh-CN" w:bidi="ar-SA"/>
        </w:rPr>
        <w:t>                    </w:t>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 </w:t>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u w:val="single"/>
          <w:lang w:val="en-US" w:eastAsia="zh-CN" w:bidi="ar-SA"/>
        </w:rPr>
      </w:pPr>
      <w:r>
        <w:rPr>
          <w:rFonts w:hint="eastAsia" w:ascii="宋体" w:hAnsi="宋体" w:eastAsia="宋体" w:cs="宋体"/>
          <w:b w:val="0"/>
          <w:bCs/>
          <w:color w:val="000000"/>
          <w:sz w:val="24"/>
          <w:szCs w:val="24"/>
          <w:lang w:val="en-US" w:eastAsia="zh-CN" w:bidi="ar-SA"/>
        </w:rPr>
        <w:t>地址：</w:t>
      </w:r>
      <w:r>
        <w:rPr>
          <w:rFonts w:hint="eastAsia" w:ascii="宋体" w:hAnsi="宋体" w:eastAsia="宋体" w:cs="宋体"/>
          <w:b w:val="0"/>
          <w:bCs/>
          <w:color w:val="000000"/>
          <w:sz w:val="24"/>
          <w:szCs w:val="24"/>
          <w:u w:val="single"/>
          <w:lang w:val="en-US" w:eastAsia="zh-CN" w:bidi="ar-SA"/>
        </w:rPr>
        <w:t xml:space="preserve">                      </w:t>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邮编：</w:t>
      </w:r>
      <w:r>
        <w:rPr>
          <w:rFonts w:hint="eastAsia" w:ascii="宋体" w:hAnsi="宋体" w:eastAsia="宋体" w:cs="宋体"/>
          <w:b w:val="0"/>
          <w:bCs/>
          <w:color w:val="000000"/>
          <w:sz w:val="24"/>
          <w:szCs w:val="24"/>
          <w:u w:val="single"/>
          <w:lang w:val="en-US" w:eastAsia="zh-CN" w:bidi="ar-SA"/>
        </w:rPr>
        <w:t>                       </w:t>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u w:val="single"/>
          <w:lang w:val="en-US" w:eastAsia="zh-CN" w:bidi="ar-SA"/>
        </w:rPr>
      </w:pPr>
      <w:r>
        <w:rPr>
          <w:rFonts w:hint="eastAsia" w:ascii="宋体" w:hAnsi="宋体" w:eastAsia="宋体" w:cs="宋体"/>
          <w:b w:val="0"/>
          <w:bCs/>
          <w:color w:val="000000"/>
          <w:sz w:val="24"/>
          <w:szCs w:val="24"/>
          <w:lang w:val="en-US" w:eastAsia="zh-CN" w:bidi="ar-SA"/>
        </w:rPr>
        <w:t>联系人：</w:t>
      </w:r>
      <w:r>
        <w:rPr>
          <w:rFonts w:hint="eastAsia" w:ascii="宋体" w:hAnsi="宋体" w:eastAsia="宋体" w:cs="宋体"/>
          <w:b w:val="0"/>
          <w:bCs/>
          <w:color w:val="000000"/>
          <w:sz w:val="24"/>
          <w:szCs w:val="24"/>
          <w:u w:val="single"/>
          <w:lang w:val="en-US" w:eastAsia="zh-CN" w:bidi="ar-SA"/>
        </w:rPr>
        <w:t>               </w:t>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联系电话：</w:t>
      </w:r>
      <w:r>
        <w:rPr>
          <w:rFonts w:hint="eastAsia" w:ascii="宋体" w:hAnsi="宋体" w:eastAsia="宋体" w:cs="宋体"/>
          <w:b w:val="0"/>
          <w:bCs/>
          <w:color w:val="000000"/>
          <w:sz w:val="24"/>
          <w:szCs w:val="24"/>
          <w:u w:val="single"/>
          <w:lang w:val="en-US" w:eastAsia="zh-CN" w:bidi="ar-SA"/>
        </w:rPr>
        <w:t xml:space="preserve">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授权代表：</w:t>
      </w:r>
      <w:r>
        <w:rPr>
          <w:rFonts w:hint="eastAsia" w:ascii="宋体" w:hAnsi="宋体" w:eastAsia="宋体" w:cs="宋体"/>
          <w:b w:val="0"/>
          <w:bCs/>
          <w:color w:val="000000"/>
          <w:sz w:val="24"/>
          <w:szCs w:val="24"/>
          <w:u w:val="single"/>
          <w:lang w:val="en-US" w:eastAsia="zh-CN" w:bidi="ar-SA"/>
        </w:rPr>
        <w:t>                 </w:t>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联系电话：</w:t>
      </w:r>
      <w:r>
        <w:rPr>
          <w:rFonts w:hint="eastAsia" w:ascii="宋体" w:hAnsi="宋体" w:eastAsia="宋体" w:cs="宋体"/>
          <w:b w:val="0"/>
          <w:bCs/>
          <w:color w:val="000000"/>
          <w:sz w:val="24"/>
          <w:szCs w:val="24"/>
          <w:u w:val="single"/>
          <w:lang w:val="en-US" w:eastAsia="zh-CN" w:bidi="ar-SA"/>
        </w:rPr>
        <w:t>                  </w:t>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u w:val="single"/>
          <w:lang w:val="en-US" w:eastAsia="zh-CN" w:bidi="ar-SA"/>
        </w:rPr>
      </w:pPr>
      <w:r>
        <w:rPr>
          <w:rFonts w:hint="eastAsia" w:ascii="宋体" w:hAnsi="宋体" w:eastAsia="宋体" w:cs="宋体"/>
          <w:b w:val="0"/>
          <w:bCs/>
          <w:color w:val="000000"/>
          <w:sz w:val="24"/>
          <w:szCs w:val="24"/>
          <w:lang w:val="en-US" w:eastAsia="zh-CN" w:bidi="ar-SA"/>
        </w:rPr>
        <w:t>地址： </w:t>
      </w:r>
      <w:r>
        <w:rPr>
          <w:rFonts w:hint="eastAsia" w:ascii="宋体" w:hAnsi="宋体" w:eastAsia="宋体" w:cs="宋体"/>
          <w:b w:val="0"/>
          <w:bCs/>
          <w:color w:val="000000"/>
          <w:sz w:val="24"/>
          <w:szCs w:val="24"/>
          <w:u w:val="single"/>
          <w:lang w:val="en-US" w:eastAsia="zh-CN" w:bidi="ar-SA"/>
        </w:rPr>
        <w:t>                  </w:t>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邮编：</w:t>
      </w:r>
      <w:r>
        <w:rPr>
          <w:rFonts w:hint="eastAsia" w:ascii="宋体" w:hAnsi="宋体" w:eastAsia="宋体" w:cs="宋体"/>
          <w:b w:val="0"/>
          <w:bCs/>
          <w:color w:val="000000"/>
          <w:sz w:val="24"/>
          <w:szCs w:val="24"/>
          <w:u w:val="single"/>
          <w:lang w:val="en-US" w:eastAsia="zh-CN" w:bidi="ar-SA"/>
        </w:rPr>
        <w:t>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二、质疑项目基本情况</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质疑项目的名称：</w:t>
      </w:r>
      <w:r>
        <w:rPr>
          <w:rFonts w:hint="eastAsia" w:ascii="宋体" w:hAnsi="宋体" w:eastAsia="宋体" w:cs="宋体"/>
          <w:b w:val="0"/>
          <w:bCs/>
          <w:color w:val="000000"/>
          <w:sz w:val="24"/>
          <w:szCs w:val="24"/>
          <w:u w:val="single"/>
          <w:lang w:val="en-US" w:eastAsia="zh-CN" w:bidi="ar-SA"/>
        </w:rPr>
        <w:t xml:space="preserve">                      </w:t>
      </w:r>
    </w:p>
    <w:p>
      <w:pPr>
        <w:widowControl w:val="0"/>
        <w:spacing w:beforeAutospacing="0" w:afterAutospacing="0" w:line="360" w:lineRule="auto"/>
        <w:ind w:firstLine="562"/>
        <w:jc w:val="both"/>
        <w:rPr>
          <w:rFonts w:hint="default" w:ascii="宋体" w:hAnsi="宋体" w:eastAsia="宋体" w:cs="宋体"/>
          <w:b w:val="0"/>
          <w:bCs/>
          <w:color w:val="000000"/>
          <w:sz w:val="24"/>
          <w:szCs w:val="24"/>
          <w:u w:val="single"/>
          <w:lang w:val="en-US" w:eastAsia="zh-CN" w:bidi="ar-SA"/>
        </w:rPr>
      </w:pPr>
      <w:r>
        <w:rPr>
          <w:rFonts w:hint="eastAsia" w:ascii="宋体" w:hAnsi="宋体" w:eastAsia="宋体" w:cs="宋体"/>
          <w:b w:val="0"/>
          <w:bCs/>
          <w:color w:val="000000"/>
          <w:sz w:val="24"/>
          <w:szCs w:val="24"/>
          <w:lang w:val="en-US" w:eastAsia="zh-CN" w:bidi="ar-SA"/>
        </w:rPr>
        <w:t>质疑项目的编号：</w:t>
      </w:r>
      <w:r>
        <w:rPr>
          <w:rFonts w:hint="eastAsia" w:ascii="宋体" w:hAnsi="宋体" w:eastAsia="宋体" w:cs="宋体"/>
          <w:b w:val="0"/>
          <w:bCs/>
          <w:color w:val="000000"/>
          <w:sz w:val="24"/>
          <w:szCs w:val="24"/>
          <w:u w:val="single"/>
          <w:lang w:val="en-US" w:eastAsia="zh-CN" w:bidi="ar-SA"/>
        </w:rPr>
        <w:t>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包号：</w:t>
      </w:r>
      <w:r>
        <w:rPr>
          <w:rFonts w:hint="eastAsia" w:ascii="宋体" w:hAnsi="宋体" w:eastAsia="宋体" w:cs="宋体"/>
          <w:b w:val="0"/>
          <w:bCs/>
          <w:color w:val="000000"/>
          <w:sz w:val="24"/>
          <w:szCs w:val="24"/>
          <w:u w:val="single"/>
          <w:lang w:val="en-US" w:eastAsia="zh-CN" w:bidi="ar-SA"/>
        </w:rPr>
        <w:t xml:space="preserve">                       </w:t>
      </w:r>
      <w:r>
        <w:rPr>
          <w:rFonts w:hint="eastAsia" w:ascii="宋体" w:hAnsi="宋体" w:eastAsia="宋体" w:cs="宋体"/>
          <w:b w:val="0"/>
          <w:bCs/>
          <w:color w:val="000000"/>
          <w:sz w:val="24"/>
          <w:szCs w:val="24"/>
          <w:u w:val="single"/>
          <w:lang w:val="en-US" w:eastAsia="zh-CN" w:bidi="ar-SA"/>
        </w:rPr>
        <w:tab/>
      </w:r>
      <w:r>
        <w:rPr>
          <w:rFonts w:hint="eastAsia" w:ascii="宋体" w:hAnsi="宋体" w:eastAsia="宋体" w:cs="宋体"/>
          <w:b w:val="0"/>
          <w:bCs/>
          <w:color w:val="000000"/>
          <w:sz w:val="24"/>
          <w:szCs w:val="24"/>
          <w:u w:val="single"/>
          <w:lang w:val="en-US" w:eastAsia="zh-CN" w:bidi="ar-SA"/>
        </w:rPr>
        <w:tab/>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采购人名称：</w:t>
      </w:r>
      <w:r>
        <w:rPr>
          <w:rFonts w:hint="eastAsia" w:ascii="宋体" w:hAnsi="宋体" w:eastAsia="宋体" w:cs="宋体"/>
          <w:b w:val="0"/>
          <w:bCs/>
          <w:color w:val="000000"/>
          <w:sz w:val="24"/>
          <w:szCs w:val="24"/>
          <w:u w:val="single"/>
          <w:lang w:val="en-US" w:eastAsia="zh-CN" w:bidi="ar-SA"/>
        </w:rPr>
        <w:t>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采购文件获取日期：</w:t>
      </w:r>
      <w:r>
        <w:rPr>
          <w:rFonts w:hint="eastAsia" w:ascii="宋体" w:hAnsi="宋体" w:eastAsia="宋体" w:cs="宋体"/>
          <w:b w:val="0"/>
          <w:bCs/>
          <w:color w:val="000000"/>
          <w:sz w:val="24"/>
          <w:szCs w:val="24"/>
          <w:u w:val="single"/>
          <w:lang w:val="en-US" w:eastAsia="zh-CN" w:bidi="ar-SA"/>
        </w:rPr>
        <w:t>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三、质疑事项具体内容</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质疑事项1：</w:t>
      </w:r>
      <w:r>
        <w:rPr>
          <w:rFonts w:hint="eastAsia" w:ascii="宋体" w:hAnsi="宋体" w:eastAsia="宋体" w:cs="宋体"/>
          <w:b w:val="0"/>
          <w:bCs/>
          <w:color w:val="000000"/>
          <w:sz w:val="24"/>
          <w:szCs w:val="24"/>
          <w:u w:val="single"/>
          <w:lang w:val="en-US" w:eastAsia="zh-CN" w:bidi="ar-SA"/>
        </w:rPr>
        <w:t>                      </w:t>
      </w:r>
    </w:p>
    <w:p>
      <w:pPr>
        <w:widowControl w:val="0"/>
        <w:spacing w:beforeAutospacing="0" w:afterAutospacing="0" w:line="360" w:lineRule="auto"/>
        <w:ind w:firstLine="562"/>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事实依据：</w:t>
      </w:r>
      <w:r>
        <w:rPr>
          <w:rFonts w:hint="eastAsia" w:ascii="宋体" w:hAnsi="宋体" w:eastAsia="宋体" w:cs="宋体"/>
          <w:b w:val="0"/>
          <w:bCs/>
          <w:color w:val="000000"/>
          <w:sz w:val="24"/>
          <w:szCs w:val="24"/>
          <w:u w:val="single"/>
          <w:lang w:val="en-US" w:eastAsia="zh-CN" w:bidi="ar-SA"/>
        </w:rPr>
        <w:t xml:space="preserve">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法律依据：</w:t>
      </w:r>
      <w:r>
        <w:rPr>
          <w:rFonts w:hint="eastAsia" w:ascii="宋体" w:hAnsi="宋体" w:eastAsia="宋体" w:cs="宋体"/>
          <w:b w:val="0"/>
          <w:bCs/>
          <w:color w:val="000000"/>
          <w:sz w:val="24"/>
          <w:szCs w:val="24"/>
          <w:u w:val="single"/>
          <w:lang w:val="en-US" w:eastAsia="zh-CN" w:bidi="ar-SA"/>
        </w:rPr>
        <w:t xml:space="preserve">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质疑事项2</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四、与质疑事项相关的质疑请求</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请求：</w:t>
      </w:r>
      <w:r>
        <w:rPr>
          <w:rFonts w:hint="eastAsia" w:ascii="宋体" w:hAnsi="宋体" w:eastAsia="宋体" w:cs="宋体"/>
          <w:b w:val="0"/>
          <w:bCs/>
          <w:color w:val="000000"/>
          <w:sz w:val="24"/>
          <w:szCs w:val="24"/>
          <w:u w:val="single"/>
          <w:lang w:val="en-US" w:eastAsia="zh-CN" w:bidi="ar-SA"/>
        </w:rPr>
        <w:t xml:space="preserve">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签字(签章)：                 公章：            日期：    </w:t>
      </w:r>
    </w:p>
    <w:p>
      <w:pPr>
        <w:widowControl w:val="0"/>
        <w:spacing w:beforeAutospacing="0" w:afterAutospacing="0" w:line="360" w:lineRule="auto"/>
        <w:ind w:firstLine="562"/>
        <w:jc w:val="both"/>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质疑函制作说明：</w:t>
      </w:r>
    </w:p>
    <w:p>
      <w:pPr>
        <w:widowControl/>
        <w:spacing w:beforeAutospacing="0" w:afterAutospacing="0" w:line="360" w:lineRule="auto"/>
        <w:ind w:firstLine="480"/>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1.供应商提出质疑时，应提交质疑函和必要的证明材料。</w:t>
      </w:r>
    </w:p>
    <w:p>
      <w:pPr>
        <w:widowControl/>
        <w:spacing w:beforeAutospacing="0" w:afterAutospacing="0" w:line="360" w:lineRule="auto"/>
        <w:ind w:firstLine="480"/>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beforeAutospacing="0" w:afterAutospacing="0" w:line="360" w:lineRule="auto"/>
        <w:ind w:firstLine="480"/>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3.质疑供应商若对项目的某一分包进行质疑，质疑函中应列明具体分包号。</w:t>
      </w:r>
    </w:p>
    <w:p>
      <w:pPr>
        <w:widowControl/>
        <w:spacing w:beforeAutospacing="0" w:afterAutospacing="0" w:line="360" w:lineRule="auto"/>
        <w:ind w:firstLine="480"/>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4.质疑函的质疑事项应具体、明确，并有必要的事实依据和法律依据。</w:t>
      </w:r>
    </w:p>
    <w:p>
      <w:pPr>
        <w:widowControl/>
        <w:spacing w:beforeAutospacing="0" w:afterAutospacing="0" w:line="360" w:lineRule="auto"/>
        <w:ind w:firstLine="480"/>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5.质疑函的质疑请求应与质疑事项相关。</w:t>
      </w:r>
    </w:p>
    <w:p>
      <w:pPr>
        <w:widowControl/>
        <w:spacing w:beforeAutospacing="0" w:afterAutospacing="0" w:line="360" w:lineRule="auto"/>
        <w:ind w:firstLine="480"/>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6.质疑供应商为自然人的，质疑函应由本人签字；质疑供应商为法人或者其他组织的，质疑函应由法定代表人、主要负责人，或者其授权代表签字或者盖章，并加盖公章。</w:t>
      </w:r>
    </w:p>
    <w:p>
      <w:pPr>
        <w:widowControl/>
        <w:spacing w:before="100" w:beforeAutospacing="0" w:after="100" w:afterAutospacing="0" w:line="500" w:lineRule="exact"/>
        <w:ind w:firstLine="420"/>
        <w:jc w:val="both"/>
        <w:rPr>
          <w:rFonts w:hint="default" w:ascii="黑体" w:hAnsi="黑体" w:eastAsia="黑体" w:cs="宋体"/>
          <w:b w:val="0"/>
          <w:bCs/>
          <w:color w:val="000000"/>
          <w:sz w:val="24"/>
          <w:szCs w:val="24"/>
          <w:lang w:val="en-US" w:eastAsia="zh-CN" w:bidi="ar-SA"/>
        </w:rPr>
      </w:pPr>
    </w:p>
    <w:p>
      <w:pPr>
        <w:pageBreakBefore w:val="0"/>
        <w:ind w:firstLine="178"/>
        <w:rPr>
          <w:color w:val="auto"/>
          <w:highlight w:val="none"/>
        </w:rPr>
      </w:pPr>
    </w:p>
    <w:sectPr>
      <w:footerReference r:id="rId3" w:type="default"/>
      <w:pgSz w:w="11906" w:h="16838"/>
      <w:pgMar w:top="1440" w:right="1519" w:bottom="1440" w:left="1519"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1"/>
      <w:numFmt w:val="bullet"/>
      <w:pStyle w:val="18"/>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5A1AFC2"/>
    <w:multiLevelType w:val="singleLevel"/>
    <w:tmpl w:val="25A1AFC2"/>
    <w:lvl w:ilvl="0" w:tentative="0">
      <w:start w:val="2"/>
      <w:numFmt w:val="decimal"/>
      <w:lvlText w:val="%1."/>
      <w:lvlJc w:val="left"/>
      <w:pPr>
        <w:tabs>
          <w:tab w:val="left" w:pos="312"/>
        </w:tabs>
      </w:pPr>
    </w:lvl>
  </w:abstractNum>
  <w:abstractNum w:abstractNumId="2">
    <w:nsid w:val="30B123E7"/>
    <w:multiLevelType w:val="multilevel"/>
    <w:tmpl w:val="30B123E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75DD500"/>
    <w:multiLevelType w:val="singleLevel"/>
    <w:tmpl w:val="375DD500"/>
    <w:lvl w:ilvl="0" w:tentative="0">
      <w:start w:val="11"/>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zZjNiYjQ1NTQxNDI0MDNlODYyYTJiNWMxZjRmMTcifQ=="/>
  </w:docVars>
  <w:rsids>
    <w:rsidRoot w:val="00000000"/>
    <w:rsid w:val="01B47CC9"/>
    <w:rsid w:val="029C5AF4"/>
    <w:rsid w:val="046E6C55"/>
    <w:rsid w:val="087802D3"/>
    <w:rsid w:val="08DB3C18"/>
    <w:rsid w:val="08EF0967"/>
    <w:rsid w:val="09177206"/>
    <w:rsid w:val="0EEF16A6"/>
    <w:rsid w:val="0F39126E"/>
    <w:rsid w:val="0F906FA2"/>
    <w:rsid w:val="129678BC"/>
    <w:rsid w:val="1AE91262"/>
    <w:rsid w:val="1D6C7F68"/>
    <w:rsid w:val="21F90A78"/>
    <w:rsid w:val="27E31A6F"/>
    <w:rsid w:val="298F7F27"/>
    <w:rsid w:val="30053DB1"/>
    <w:rsid w:val="364E5A2D"/>
    <w:rsid w:val="385E5263"/>
    <w:rsid w:val="3DD17DB5"/>
    <w:rsid w:val="3FBD6FEF"/>
    <w:rsid w:val="41C167AB"/>
    <w:rsid w:val="42DE33CD"/>
    <w:rsid w:val="4B303C22"/>
    <w:rsid w:val="4BD50E7D"/>
    <w:rsid w:val="4E4B7D1F"/>
    <w:rsid w:val="4E547946"/>
    <w:rsid w:val="4F572302"/>
    <w:rsid w:val="50392BF5"/>
    <w:rsid w:val="52DE78CA"/>
    <w:rsid w:val="54985596"/>
    <w:rsid w:val="5DA75F81"/>
    <w:rsid w:val="604655DB"/>
    <w:rsid w:val="609C4DEE"/>
    <w:rsid w:val="64011965"/>
    <w:rsid w:val="679D25E6"/>
    <w:rsid w:val="68885146"/>
    <w:rsid w:val="76313D26"/>
    <w:rsid w:val="7AD16C10"/>
    <w:rsid w:val="7C5018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6"/>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1"/>
    <w:qFormat/>
    <w:uiPriority w:val="99"/>
    <w:rPr>
      <w:rFonts w:ascii="华文中宋" w:eastAsia="华文中宋"/>
      <w:bCs/>
      <w:sz w:val="28"/>
    </w:rPr>
  </w:style>
  <w:style w:type="paragraph" w:styleId="12">
    <w:name w:val="toc 7"/>
    <w:basedOn w:val="1"/>
    <w:next w:val="1"/>
    <w:unhideWhenUsed/>
    <w:qFormat/>
    <w:uiPriority w:val="39"/>
    <w:pPr>
      <w:spacing w:after="57"/>
      <w:ind w:left="1701" w:right="0" w:firstLine="0"/>
    </w:pPr>
  </w:style>
  <w:style w:type="paragraph" w:styleId="13">
    <w:name w:val="table of authorities"/>
    <w:basedOn w:val="1"/>
    <w:next w:val="1"/>
    <w:qFormat/>
    <w:uiPriority w:val="99"/>
    <w:pPr>
      <w:ind w:left="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semiHidden/>
    <w:unhideWhenUsed/>
    <w:qFormat/>
    <w:uiPriority w:val="99"/>
  </w:style>
  <w:style w:type="paragraph" w:styleId="16">
    <w:name w:val="Body Text"/>
    <w:basedOn w:val="1"/>
    <w:next w:val="1"/>
    <w:qFormat/>
    <w:uiPriority w:val="0"/>
    <w:rPr>
      <w:rFonts w:ascii="楷体_GB2312" w:hAnsi="Arial" w:eastAsia="楷体_GB2312"/>
      <w:sz w:val="28"/>
    </w:rPr>
  </w:style>
  <w:style w:type="paragraph" w:styleId="17">
    <w:name w:val="Block Text"/>
    <w:basedOn w:val="1"/>
    <w:qFormat/>
    <w:uiPriority w:val="99"/>
    <w:pPr>
      <w:tabs>
        <w:tab w:val="left" w:pos="9000"/>
      </w:tabs>
      <w:spacing w:after="120"/>
      <w:ind w:left="1440" w:right="1440"/>
    </w:pPr>
  </w:style>
  <w:style w:type="paragraph" w:styleId="18">
    <w:name w:val="List Bullet 2"/>
    <w:basedOn w:val="1"/>
    <w:qFormat/>
    <w:uiPriority w:val="0"/>
    <w:pPr>
      <w:numPr>
        <w:ilvl w:val="0"/>
        <w:numId w:val="1"/>
      </w:numPr>
    </w:p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cs="Courier New"/>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2"/>
    <w:semiHidden/>
    <w:unhideWhenUsed/>
    <w:qFormat/>
    <w:uiPriority w:val="99"/>
    <w:pPr>
      <w:spacing w:after="0" w:line="240" w:lineRule="auto"/>
    </w:pPr>
    <w:rPr>
      <w:sz w:val="20"/>
    </w:rPr>
  </w:style>
  <w:style w:type="paragraph" w:styleId="24">
    <w:name w:val="footer"/>
    <w:basedOn w:val="1"/>
    <w:link w:val="197"/>
    <w:qFormat/>
    <w:uiPriority w:val="0"/>
    <w:pPr>
      <w:tabs>
        <w:tab w:val="center" w:pos="4153"/>
        <w:tab w:val="right" w:pos="8306"/>
      </w:tabs>
      <w:jc w:val="left"/>
    </w:pPr>
    <w:rPr>
      <w:sz w:val="18"/>
      <w:szCs w:val="18"/>
    </w:rPr>
  </w:style>
  <w:style w:type="paragraph" w:styleId="25">
    <w:name w:val="header"/>
    <w:basedOn w:val="1"/>
    <w:link w:val="196"/>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8"/>
    <w:qFormat/>
    <w:uiPriority w:val="11"/>
    <w:pPr>
      <w:spacing w:before="200" w:after="200"/>
    </w:pPr>
    <w:rPr>
      <w:sz w:val="24"/>
      <w:szCs w:val="24"/>
    </w:rPr>
  </w:style>
  <w:style w:type="paragraph" w:styleId="29">
    <w:name w:val="footnote text"/>
    <w:basedOn w:val="1"/>
    <w:link w:val="19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w:basedOn w:val="16"/>
    <w:qFormat/>
    <w:uiPriority w:val="0"/>
    <w:pPr>
      <w:ind w:firstLine="420"/>
    </w:pPr>
    <w:rPr>
      <w:rFonts w:ascii="Times New Roman" w:hAnsi="Times New Roman"/>
      <w:sz w:val="21"/>
      <w:szCs w:val="24"/>
    </w:rPr>
  </w:style>
  <w:style w:type="table" w:styleId="38">
    <w:name w:val="Table Grid"/>
    <w:basedOn w:val="37"/>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basedOn w:val="39"/>
    <w:semiHidden/>
    <w:unhideWhenUsed/>
    <w:qFormat/>
    <w:uiPriority w:val="99"/>
    <w:rPr>
      <w:vertAlign w:val="superscript"/>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footnote reference"/>
    <w:basedOn w:val="39"/>
    <w:unhideWhenUsed/>
    <w:qFormat/>
    <w:uiPriority w:val="99"/>
    <w:rPr>
      <w:vertAlign w:val="superscript"/>
    </w:rPr>
  </w:style>
  <w:style w:type="paragraph" w:customStyle="1" w:styleId="44">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45">
    <w:name w:val="文本块1"/>
    <w:basedOn w:val="1"/>
    <w:qFormat/>
    <w:uiPriority w:val="99"/>
    <w:pPr>
      <w:tabs>
        <w:tab w:val="left" w:pos="9000"/>
      </w:tabs>
      <w:spacing w:after="120"/>
      <w:ind w:left="1440" w:right="1440"/>
    </w:pPr>
  </w:style>
  <w:style w:type="character" w:customStyle="1" w:styleId="46">
    <w:name w:val="Heading 1 Char"/>
    <w:basedOn w:val="39"/>
    <w:qFormat/>
    <w:uiPriority w:val="9"/>
    <w:rPr>
      <w:rFonts w:ascii="Arial" w:hAnsi="Arial" w:eastAsia="Arial" w:cs="Arial"/>
      <w:sz w:val="40"/>
      <w:szCs w:val="40"/>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link w:val="5"/>
    <w:qFormat/>
    <w:uiPriority w:val="9"/>
    <w:rPr>
      <w:rFonts w:ascii="Arial" w:hAnsi="Arial" w:eastAsia="Arial" w:cs="Arial"/>
      <w:sz w:val="30"/>
      <w:szCs w:val="30"/>
    </w:rPr>
  </w:style>
  <w:style w:type="character" w:customStyle="1" w:styleId="49">
    <w:name w:val="Heading 4 Char"/>
    <w:basedOn w:val="39"/>
    <w:link w:val="6"/>
    <w:qFormat/>
    <w:uiPriority w:val="9"/>
    <w:rPr>
      <w:rFonts w:ascii="Arial" w:hAnsi="Arial" w:eastAsia="Arial" w:cs="Arial"/>
      <w:b/>
      <w:bCs/>
      <w:sz w:val="26"/>
      <w:szCs w:val="26"/>
    </w:rPr>
  </w:style>
  <w:style w:type="character" w:customStyle="1" w:styleId="50">
    <w:name w:val="Heading 5 Char"/>
    <w:basedOn w:val="39"/>
    <w:link w:val="7"/>
    <w:qFormat/>
    <w:uiPriority w:val="9"/>
    <w:rPr>
      <w:rFonts w:ascii="Arial" w:hAnsi="Arial" w:eastAsia="Arial" w:cs="Arial"/>
      <w:b/>
      <w:bCs/>
      <w:sz w:val="24"/>
      <w:szCs w:val="24"/>
    </w:rPr>
  </w:style>
  <w:style w:type="character" w:customStyle="1" w:styleId="51">
    <w:name w:val="Heading 6 Char"/>
    <w:basedOn w:val="39"/>
    <w:link w:val="8"/>
    <w:qFormat/>
    <w:uiPriority w:val="9"/>
    <w:rPr>
      <w:rFonts w:ascii="Arial" w:hAnsi="Arial" w:eastAsia="Arial" w:cs="Arial"/>
      <w:b/>
      <w:bCs/>
      <w:sz w:val="22"/>
      <w:szCs w:val="22"/>
    </w:rPr>
  </w:style>
  <w:style w:type="character" w:customStyle="1" w:styleId="52">
    <w:name w:val="Heading 7 Char"/>
    <w:basedOn w:val="39"/>
    <w:link w:val="9"/>
    <w:qFormat/>
    <w:uiPriority w:val="9"/>
    <w:rPr>
      <w:rFonts w:ascii="Arial" w:hAnsi="Arial" w:eastAsia="Arial" w:cs="Arial"/>
      <w:b/>
      <w:bCs/>
      <w:i/>
      <w:iCs/>
      <w:sz w:val="22"/>
      <w:szCs w:val="22"/>
    </w:rPr>
  </w:style>
  <w:style w:type="character" w:customStyle="1" w:styleId="53">
    <w:name w:val="Heading 8 Char"/>
    <w:basedOn w:val="39"/>
    <w:link w:val="10"/>
    <w:qFormat/>
    <w:uiPriority w:val="9"/>
    <w:rPr>
      <w:rFonts w:ascii="Arial" w:hAnsi="Arial" w:eastAsia="Arial" w:cs="Arial"/>
      <w:i/>
      <w:iCs/>
      <w:sz w:val="22"/>
      <w:szCs w:val="22"/>
    </w:rPr>
  </w:style>
  <w:style w:type="character" w:customStyle="1" w:styleId="54">
    <w:name w:val="Heading 9 Char"/>
    <w:basedOn w:val="39"/>
    <w:link w:val="11"/>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39"/>
    <w:link w:val="35"/>
    <w:qFormat/>
    <w:uiPriority w:val="10"/>
    <w:rPr>
      <w:sz w:val="48"/>
      <w:szCs w:val="48"/>
    </w:rPr>
  </w:style>
  <w:style w:type="character" w:customStyle="1" w:styleId="58">
    <w:name w:val="Subtitle Char"/>
    <w:basedOn w:val="39"/>
    <w:link w:val="28"/>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39"/>
    <w:qFormat/>
    <w:uiPriority w:val="99"/>
  </w:style>
  <w:style w:type="character" w:customStyle="1" w:styleId="64">
    <w:name w:val="Footer Char"/>
    <w:basedOn w:val="39"/>
    <w:qFormat/>
    <w:uiPriority w:val="99"/>
  </w:style>
  <w:style w:type="character" w:customStyle="1" w:styleId="65">
    <w:name w:val="Caption Char"/>
    <w:qFormat/>
    <w:uiPriority w:val="99"/>
  </w:style>
  <w:style w:type="table" w:customStyle="1" w:styleId="66">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4">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1">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Footnote Text Char"/>
    <w:link w:val="29"/>
    <w:qFormat/>
    <w:uiPriority w:val="99"/>
    <w:rPr>
      <w:sz w:val="18"/>
    </w:rPr>
  </w:style>
  <w:style w:type="character" w:customStyle="1" w:styleId="192">
    <w:name w:val="Endnote Text Char"/>
    <w:link w:val="23"/>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普通正文"/>
    <w:basedOn w:val="1"/>
    <w:qFormat/>
    <w:uiPriority w:val="99"/>
    <w:pPr>
      <w:spacing w:before="120" w:after="120" w:line="360" w:lineRule="auto"/>
      <w:ind w:firstLine="480"/>
      <w:jc w:val="left"/>
    </w:pPr>
    <w:rPr>
      <w:rFonts w:ascii="Arial" w:hAnsi="Arial"/>
      <w:sz w:val="24"/>
      <w:szCs w:val="24"/>
    </w:rPr>
  </w:style>
  <w:style w:type="paragraph" w:customStyle="1" w:styleId="195">
    <w:name w:val="标题 311"/>
    <w:basedOn w:val="1"/>
    <w:next w:val="1"/>
    <w:unhideWhenUsed/>
    <w:qFormat/>
    <w:uiPriority w:val="9"/>
    <w:pPr>
      <w:keepNext/>
      <w:keepLines/>
      <w:spacing w:before="320" w:after="200"/>
      <w:outlineLvl w:val="2"/>
    </w:pPr>
    <w:rPr>
      <w:rFonts w:ascii="Arial" w:hAnsi="Arial" w:eastAsia="Arial" w:cs="Arial"/>
      <w:sz w:val="30"/>
      <w:szCs w:val="30"/>
    </w:rPr>
  </w:style>
  <w:style w:type="character" w:customStyle="1" w:styleId="196">
    <w:name w:val="页眉 Char"/>
    <w:basedOn w:val="39"/>
    <w:link w:val="25"/>
    <w:qFormat/>
    <w:uiPriority w:val="0"/>
    <w:rPr>
      <w:rFonts w:asciiTheme="minorHAnsi" w:hAnsiTheme="minorHAnsi" w:eastAsiaTheme="minorEastAsia" w:cstheme="minorBidi"/>
      <w:sz w:val="18"/>
      <w:szCs w:val="18"/>
    </w:rPr>
  </w:style>
  <w:style w:type="character" w:customStyle="1" w:styleId="197">
    <w:name w:val="页脚 Char"/>
    <w:basedOn w:val="39"/>
    <w:link w:val="24"/>
    <w:qFormat/>
    <w:uiPriority w:val="0"/>
    <w:rPr>
      <w:rFonts w:asciiTheme="minorHAnsi" w:hAnsiTheme="minorHAnsi" w:eastAsiaTheme="minorEastAsia" w:cstheme="minorBidi"/>
      <w:sz w:val="18"/>
      <w:szCs w:val="18"/>
    </w:rPr>
  </w:style>
  <w:style w:type="paragraph" w:customStyle="1" w:styleId="198">
    <w:name w:val="一级条标题"/>
    <w:basedOn w:val="199"/>
    <w:next w:val="200"/>
    <w:qFormat/>
    <w:uiPriority w:val="99"/>
    <w:pPr>
      <w:widowControl/>
      <w:tabs>
        <w:tab w:val="left" w:pos="810"/>
        <w:tab w:val="left" w:pos="907"/>
        <w:tab w:val="left" w:pos="1265"/>
      </w:tabs>
      <w:ind w:left="907" w:hanging="907"/>
      <w:outlineLvl w:val="2"/>
    </w:pPr>
    <w:rPr>
      <w:rFonts w:ascii="黑体" w:hAnsi="宋体" w:eastAsia="黑体"/>
      <w:sz w:val="20"/>
      <w:szCs w:val="20"/>
    </w:rPr>
  </w:style>
  <w:style w:type="paragraph" w:customStyle="1" w:styleId="199">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00">
    <w:name w:val="段"/>
    <w:next w:val="20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01">
    <w:name w:val="正文 A"/>
    <w:next w:val="200"/>
    <w:qFormat/>
    <w:uiPriority w:val="0"/>
    <w:pPr>
      <w:widowControl w:val="0"/>
      <w:jc w:val="both"/>
    </w:pPr>
    <w:rPr>
      <w:rFonts w:hint="default" w:ascii="Times New Roman" w:hAnsi="Times New Roman" w:eastAsia="Calibri" w:cs="Calibri"/>
      <w:color w:val="000000"/>
      <w:sz w:val="21"/>
      <w:szCs w:val="21"/>
    </w:rPr>
  </w:style>
  <w:style w:type="paragraph" w:customStyle="1" w:styleId="202">
    <w:name w:val="首行缩进"/>
    <w:basedOn w:val="1"/>
    <w:qFormat/>
    <w:uiPriority w:val="0"/>
    <w:pPr>
      <w:spacing w:line="360" w:lineRule="auto"/>
      <w:ind w:firstLine="480"/>
    </w:pPr>
    <w:rPr>
      <w:rFonts w:ascii="宋体" w:hAnsi="宋体" w:cs="宋体"/>
      <w:sz w:val="24"/>
    </w:rPr>
  </w:style>
  <w:style w:type="paragraph" w:customStyle="1" w:styleId="203">
    <w:name w:val="p0"/>
    <w:basedOn w:val="1"/>
    <w:qFormat/>
    <w:uiPriority w:val="0"/>
    <w:pPr>
      <w:widowControl/>
    </w:pPr>
    <w:rPr>
      <w:rFonts w:ascii="Times New Roman" w:hAnsi="Times New Roman"/>
    </w:rPr>
  </w:style>
  <w:style w:type="paragraph" w:customStyle="1" w:styleId="204">
    <w:name w:val="索引 41"/>
    <w:basedOn w:val="1"/>
    <w:next w:val="1"/>
    <w:qFormat/>
    <w:uiPriority w:val="99"/>
    <w:pPr>
      <w:spacing w:line="240" w:lineRule="auto"/>
      <w:ind w:left="840" w:hanging="210"/>
      <w:jc w:val="left"/>
    </w:pPr>
    <w:rPr>
      <w:sz w:val="20"/>
    </w:rPr>
  </w:style>
  <w:style w:type="paragraph" w:customStyle="1" w:styleId="205">
    <w:name w:val="列表1"/>
    <w:basedOn w:val="1"/>
    <w:qFormat/>
    <w:uiPriority w:val="99"/>
    <w:pPr>
      <w:spacing w:line="240" w:lineRule="auto"/>
      <w:ind w:left="200" w:hanging="200"/>
      <w:contextualSpacing/>
    </w:pPr>
    <w:rPr>
      <w:rFonts w:ascii="Times New Roman" w:hAnsi="Times New Roman"/>
    </w:rPr>
  </w:style>
  <w:style w:type="paragraph" w:customStyle="1" w:styleId="206">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 w:type="paragraph" w:customStyle="1" w:styleId="207">
    <w:name w:val="Char"/>
    <w:basedOn w:val="1"/>
    <w:qFormat/>
    <w:uiPriority w:val="0"/>
    <w:pPr>
      <w:tabs>
        <w:tab w:val="left" w:pos="360"/>
      </w:tabs>
    </w:pPr>
    <w:rPr>
      <w:sz w:val="24"/>
    </w:rPr>
  </w:style>
  <w:style w:type="paragraph" w:customStyle="1" w:styleId="208">
    <w:name w:val="普通(网站)1"/>
    <w:basedOn w:val="1"/>
    <w:qFormat/>
    <w:uiPriority w:val="99"/>
    <w:pPr>
      <w:widowControl/>
      <w:spacing w:before="100" w:beforeAutospacing="1" w:after="100" w:afterAutospacing="1"/>
    </w:pPr>
    <w:rPr>
      <w:sz w:val="24"/>
    </w:rPr>
  </w:style>
  <w:style w:type="paragraph" w:customStyle="1" w:styleId="209">
    <w:name w:val="正文缩进11"/>
    <w:basedOn w:val="1"/>
    <w:qFormat/>
    <w:uiPriority w:val="0"/>
    <w:rPr>
      <w:szCs w:val="20"/>
    </w:rPr>
  </w:style>
  <w:style w:type="paragraph" w:customStyle="1" w:styleId="210">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11">
    <w:name w:val="Normal"/>
    <w:qFormat/>
    <w:uiPriority w:val="0"/>
    <w:rPr>
      <w:rFonts w:ascii="Times New Roman" w:hAnsi="Times New Roman" w:eastAsia="Times New Roman" w:cs="Times New Roman"/>
      <w:kern w:val="0"/>
      <w:sz w:val="24"/>
      <w:szCs w:val="24"/>
      <w:lang w:val="en-US" w:eastAsia="zh-CN" w:bidi="ar-SA"/>
      <w14:ligatures w14:val="none"/>
    </w:rPr>
  </w:style>
  <w:style w:type="paragraph" w:customStyle="1" w:styleId="212">
    <w:name w:val="公文正文"/>
    <w:basedOn w:val="1"/>
    <w:qFormat/>
    <w:uiPriority w:val="0"/>
    <w:pPr>
      <w:widowControl/>
      <w:spacing w:line="300" w:lineRule="auto"/>
      <w:ind w:left="240" w:leftChars="100" w:firstLine="640" w:firstLineChars="200"/>
    </w:pPr>
    <w:rPr>
      <w:rFonts w:eastAsia="仿宋_GB2312"/>
      <w:kern w:val="0"/>
      <w:sz w:val="32"/>
      <w:lang w:eastAsia="en-US" w:bidi="en-US"/>
    </w:rPr>
  </w:style>
  <w:style w:type="paragraph" w:customStyle="1" w:styleId="213">
    <w:name w:val="列出段落1"/>
    <w:basedOn w:val="1"/>
    <w:qFormat/>
    <w:uiPriority w:val="0"/>
    <w:pPr>
      <w:widowControl/>
      <w:ind w:left="720"/>
      <w:contextualSpacing/>
      <w:jc w:val="left"/>
    </w:pPr>
    <w:rPr>
      <w:sz w:val="24"/>
      <w:szCs w:val="24"/>
      <w:lang w:eastAsia="en-US" w:bidi="en-US"/>
    </w:rPr>
  </w:style>
  <w:style w:type="character" w:customStyle="1" w:styleId="214">
    <w:name w:val="NormalCharacter"/>
    <w:qFormat/>
    <w:uiPriority w:val="99"/>
  </w:style>
  <w:style w:type="character" w:customStyle="1" w:styleId="215">
    <w:name w:val="fontstyle01"/>
    <w:qFormat/>
    <w:uiPriority w:val="0"/>
    <w:rPr>
      <w:rFonts w:hint="eastAsia" w:ascii="宋体" w:hAnsi="宋体" w:eastAsia="宋体"/>
      <w:color w:val="000000"/>
      <w:sz w:val="28"/>
      <w:szCs w:val="28"/>
    </w:rPr>
  </w:style>
  <w:style w:type="character" w:customStyle="1" w:styleId="216">
    <w:name w:val="NormalCharacter1"/>
    <w:link w:val="1"/>
    <w:qFormat/>
    <w:uiPriority w:val="99"/>
    <w:rPr>
      <w:rFonts w:hint="default" w:asciiTheme="minorHAnsi" w:hAnsiTheme="minorHAnsi" w:eastAsiaTheme="minorEastAsia" w:cstheme="minorBidi"/>
      <w:sz w:val="21"/>
      <w:szCs w:val="24"/>
      <w:lang w:val="en-US" w:eastAsia="zh-CN" w:bidi="ar-SA"/>
    </w:rPr>
  </w:style>
  <w:style w:type="paragraph" w:customStyle="1" w:styleId="217">
    <w:name w:val="纯文本1"/>
    <w:basedOn w:val="1"/>
    <w:qFormat/>
    <w:uiPriority w:val="0"/>
    <w:rPr>
      <w:rFonts w:ascii="宋体" w:hAnsi="Courier New" w:eastAsia="楷体_GB2312"/>
      <w:sz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51</Pages>
  <Words>20453</Words>
  <Characters>21992</Characters>
  <TotalTime>1</TotalTime>
  <ScaleCrop>false</ScaleCrop>
  <LinksUpToDate>false</LinksUpToDate>
  <CharactersWithSpaces>23730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蔡丰涛</cp:lastModifiedBy>
  <cp:lastPrinted>2024-08-28T09:45:00Z</cp:lastPrinted>
  <dcterms:modified xsi:type="dcterms:W3CDTF">2024-09-06T08:10:06Z</dcterms:modified>
  <cp:revision>277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4D022BAE1E9D46548F35CB6DD7591C24</vt:lpwstr>
  </property>
</Properties>
</file>