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t xml:space="preserve"> </w:t>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firstLine="708"/>
        <w:spacing w:line="760" w:lineRule="exact"/>
        <w:rPr>
          <w:rFonts w:hint="eastAsia" w:ascii="黑体" w:hAnsi="黑体" w:eastAsia="黑体"/>
          <w:b/>
          <w:sz w:val="36"/>
          <w:szCs w:val="36"/>
        </w:rPr>
      </w:pPr>
      <w:r>
        <w:rPr>
          <w:rFonts w:hint="eastAsia" w:ascii="黑体" w:hAnsi="黑体" w:eastAsia="黑体"/>
          <w:b/>
          <w:sz w:val="36"/>
          <w:szCs w:val="36"/>
        </w:rPr>
        <w:t xml:space="preserve">项目名称: 2024年市区花卉及环境布置</w:t>
      </w:r>
      <w:r/>
    </w:p>
    <w:p>
      <w:pPr>
        <w:ind w:firstLine="354"/>
        <w:spacing w:line="760" w:lineRule="exact"/>
        <w:rPr>
          <w:rFonts w:hint="eastAsia" w:ascii="黑体" w:hAnsi="黑体" w:eastAsia="黑体"/>
          <w:b/>
          <w:sz w:val="36"/>
          <w:szCs w:val="36"/>
        </w:rPr>
      </w:pPr>
      <w:r>
        <w:rPr>
          <w:rFonts w:hint="eastAsia" w:ascii="黑体" w:hAnsi="黑体" w:eastAsia="黑体"/>
          <w:b/>
          <w:sz w:val="36"/>
          <w:szCs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708"/>
        <w:spacing w:line="760" w:lineRule="exact"/>
        <w:rPr>
          <w:rFonts w:hint="eastAsia" w:ascii="黑体" w:hAnsi="黑体" w:eastAsia="黑体"/>
          <w:b/>
          <w:sz w:val="36"/>
        </w:rPr>
      </w:pPr>
      <w:r>
        <w:rPr>
          <w:rFonts w:hint="eastAsia" w:ascii="黑体" w:hAnsi="黑体" w:eastAsia="黑体"/>
          <w:b/>
          <w:sz w:val="36"/>
        </w:rPr>
        <w:t xml:space="preserve">项目编号: JSZC-320800-JZCG-G2024-0083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二0二四年</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日</w:t>
      </w:r>
      <w:r/>
    </w:p>
    <w:p>
      <w:pPr>
        <w:rPr>
          <w:rFonts w:hint="eastAsia" w:ascii="宋体" w:hAnsi="宋体"/>
          <w:sz w:val="24"/>
        </w:rPr>
      </w:pPr>
      <w:r>
        <w:rPr>
          <w:rFonts w:hint="eastAsia" w:ascii="宋体" w:hAnsi="宋体"/>
          <w:sz w:val="24"/>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hint="eastAsia" w:ascii="仿宋" w:hAnsi="仿宋" w:eastAsia="仿宋"/>
          <w:sz w:val="28"/>
          <w:szCs w:val="28"/>
        </w:rPr>
      </w:pPr>
      <w:r>
        <w:rPr>
          <w:rFonts w:hint="eastAsia" w:ascii="仿宋" w:hAnsi="仿宋" w:eastAsia="仿宋"/>
          <w:sz w:val="28"/>
        </w:rPr>
        <w:t xml:space="preserve">受</w:t>
      </w:r>
      <w:r>
        <w:rPr>
          <w:rFonts w:hint="eastAsia" w:ascii="仿宋" w:hAnsi="仿宋" w:eastAsia="仿宋" w:cs="仿宋"/>
          <w:sz w:val="28"/>
        </w:rPr>
        <w:t xml:space="preserve">淮安市园林绿化管理中心</w:t>
      </w:r>
      <w:r>
        <w:rPr>
          <w:rFonts w:hint="eastAsia" w:ascii="仿宋" w:hAnsi="仿宋" w:eastAsia="仿宋"/>
          <w:sz w:val="28"/>
        </w:rPr>
        <w:t xml:space="preserve">的委托，淮安市政府采购中心就</w:t>
      </w:r>
      <w:r>
        <w:rPr>
          <w:rFonts w:hint="eastAsia" w:ascii="仿宋" w:hAnsi="仿宋" w:eastAsia="仿宋" w:cs="仿宋"/>
          <w:sz w:val="28"/>
        </w:rPr>
        <w:t xml:space="preserve">2024年市区花卉及环境布置</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783080"/>
                <wp:effectExtent l="4445" t="4445" r="6350" b="22225"/>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7830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2024年市区花卉及环境布置</w:t>
                            </w:r>
                            <w:r>
                              <w:rPr>
                                <w:rFonts w:hint="eastAsia" w:ascii="仿宋" w:hAnsi="仿宋" w:eastAsia="仿宋"/>
                                <w:sz w:val="28"/>
                                <w:szCs w:val="28"/>
                                <w:lang w:eastAsia="zh-CN"/>
                              </w:rPr>
                              <w:t xml:space="preserve">采购</w:t>
                            </w:r>
                            <w:r>
                              <w:rPr>
                                <w:rFonts w:hint="eastAsia" w:ascii="仿宋" w:hAnsi="仿宋" w:eastAsia="仿宋"/>
                                <w:sz w:val="28"/>
                                <w:szCs w:val="28"/>
                              </w:rPr>
                              <w:t xml:space="preserve">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年9月2日9点30分（北京时间）前提交投标文件。</w:t>
                            </w:r>
                            <w:r/>
                          </w:p>
                        </w:txbxContent>
                      </wps:txbx>
                      <wps:bodyPr upright="1"/>
                    </wps:wsp>
                  </a:graphicData>
                </a:graphic>
              </wp:anchor>
            </w:drawing>
          </mc:Choice>
          <mc:Fallback>
            <w:pict>
              <v:shape id="shape 0" o:spid="_x0000_s0" o:spt="1" type="#_x0000_t1" style="position:absolute;z-index:251659264;o:allowoverlap:true;o:allowincell:true;mso-position-horizontal-relative:text;margin-left:-1.7pt;mso-position-horizontal:absolute;mso-position-vertical-relative:text;margin-top:9.5pt;mso-position-vertical:absolute;width:453.6pt;height:140.4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2024年市区花卉及环境布置</w:t>
                      </w:r>
                      <w:r>
                        <w:rPr>
                          <w:rFonts w:hint="eastAsia" w:ascii="仿宋" w:hAnsi="仿宋" w:eastAsia="仿宋"/>
                          <w:sz w:val="28"/>
                          <w:szCs w:val="28"/>
                          <w:lang w:eastAsia="zh-CN"/>
                        </w:rPr>
                        <w:t xml:space="preserve">采购</w:t>
                      </w:r>
                      <w:r>
                        <w:rPr>
                          <w:rFonts w:hint="eastAsia" w:ascii="仿宋" w:hAnsi="仿宋" w:eastAsia="仿宋"/>
                          <w:sz w:val="28"/>
                          <w:szCs w:val="28"/>
                        </w:rPr>
                        <w:t xml:space="preserve">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年9月2日9点30分（北京时间）前提交投标文件。</w:t>
                      </w:r>
                      <w:r/>
                    </w:p>
                  </w:txbxContent>
                </v:textbox>
              </v:shape>
            </w:pict>
          </mc:Fallback>
        </mc:AlternateConten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cs="仿宋"/>
          <w:sz w:val="28"/>
          <w:szCs w:val="28"/>
        </w:rPr>
        <w:t xml:space="preserve">JSZC-320800-JZCG-G2024-0083</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bCs/>
          <w:sz w:val="28"/>
        </w:rPr>
        <w:t xml:space="preserve"> 2024年市区花卉及环境布置</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430</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430</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（五）采购需求:2024年花卉及环境布置项目，详见招标文件第五章。</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 自合同签订之日起次日开始计算，至2024年12月31日止。  </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cs="仿宋"/>
          <w:sz w:val="28"/>
          <w:szCs w:val="28"/>
          <w:u w:val="single"/>
        </w:rPr>
        <w:t xml:space="preserve">其他未列名行业</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对小微企业报价给予扣除，用扣除后的价格参加评审，具体详见第二章“投标人须知”第32.1项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本项目的特定资格要求:</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lang w:val="zh-CN"/>
        </w:rPr>
      </w:pPr>
      <w:r>
        <w:rPr>
          <w:rFonts w:hint="eastAsia" w:ascii="仿宋" w:hAnsi="仿宋" w:eastAsia="仿宋" w:cs="仿宋"/>
          <w:sz w:val="28"/>
          <w:szCs w:val="28"/>
          <w:lang w:val="zh-CN"/>
        </w:rPr>
        <w:t xml:space="preserve">针对本项目拟选派的项目负责人（或项目经理）具备园林绿化（或者风景园林、建设工程）助理工程师及以上职称</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zh-CN"/>
        </w:rPr>
        <w:t xml:space="preserve">技术负责人具备园林绿化（或者风景园林、建设工程）工程师及以上职称，其中职称证书的专业是建设工程的,还需提供专业为园林绿化相关专业的毕业证书（提供相关证书及202</w:t>
      </w:r>
      <w:r>
        <w:rPr>
          <w:rFonts w:hint="eastAsia" w:ascii="仿宋" w:hAnsi="仿宋" w:eastAsia="仿宋" w:cs="仿宋"/>
          <w:sz w:val="28"/>
          <w:szCs w:val="28"/>
        </w:rPr>
        <w:t xml:space="preserve">4</w:t>
      </w:r>
      <w:r>
        <w:rPr>
          <w:rFonts w:hint="eastAsia" w:ascii="仿宋" w:hAnsi="仿宋" w:eastAsia="仿宋" w:cs="仿宋"/>
          <w:sz w:val="28"/>
          <w:szCs w:val="28"/>
          <w:lang w:val="zh-CN"/>
        </w:rPr>
        <w:t xml:space="preserve">年以来投标人为其缴纳的任意一个月社会保险证明）。</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（一）投标文件提交截止时间及开标时间:2024年9月2日上午9:30。</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cs="仿宋"/>
          <w:sz w:val="28"/>
          <w:szCs w:val="28"/>
        </w:rPr>
        <w:t xml:space="preserve">淮安市园林绿化管理中心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cs="仿宋"/>
          <w:sz w:val="28"/>
          <w:szCs w:val="28"/>
        </w:rPr>
        <w:t xml:space="preserve">淮安市清江浦区淮海南路89号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联系方式:江淼    电话：0517-83902181</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p>
    <w:p>
      <w:pPr>
        <w:ind w:firstLine="565"/>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顾诗仪</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电话：0517-83</w:t>
      </w:r>
      <w:r>
        <w:rPr>
          <w:rFonts w:hint="eastAsia" w:ascii="仿宋" w:hAnsi="仿宋" w:eastAsia="仿宋"/>
          <w:sz w:val="28"/>
          <w:szCs w:val="28"/>
          <w:lang w:val="en-US" w:eastAsia="zh-CN"/>
        </w:rPr>
        <w:t xml:space="preserve">638392</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第二章  投标人须知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4.1投标人应自行承担所有与参加投标有关的费用。不论投标的结果如何，淮安市政府采购中心（以下简称采购中心）在任何情况下均无义务和责任承担这些费用。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4.2本次采购项目不收取标书工本费和中标管理费。</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5.3合同文本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5.4项目采购需求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5.5评标方法与评标标准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6.1任何要求对招标文件进行澄清的投标人，均应在投标截止时间十日前通过以书面形式并加盖公章通知采购中心，采购中心对投标截止时间前十日收到的任何澄清要求将以书面形式予以答复。</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7.1在投标截止时间十五日前，采购中心可主动或在解答投标人提出的澄清问题时对招标文件用更正公告的方式进行修正。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7.3为使投标人有足够的时间按招标文件的更正要求修正投标文件，采购中心有权按照相关法定的要求推迟投标截止时间和开标日期。 </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sz w:val="28"/>
          <w:szCs w:val="28"/>
        </w:rPr>
      </w:pPr>
      <w:r/>
      <w:bookmarkStart w:id="0" w:name="_Toc16938530"/>
      <w:r/>
      <w:bookmarkStart w:id="1" w:name="_Toc20823286"/>
      <w:r/>
      <w:bookmarkStart w:id="2" w:name="_Toc462564073"/>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投标人提交的投标文件以及投标人与采购中心就有关投标的所有来往通知、函件和文件均应使用简体中文。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p>
    <w:p>
      <w:pPr>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spacing w:line="520" w:lineRule="exact"/>
        <w:rPr>
          <w:rFonts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15.1投标有效期为采购中心规定的开标之日后六十（60）天。投标有效期比规定短的将被视为未实质性响应招标文件而予以拒绝。</w:t>
      </w:r>
      <w:r/>
    </w:p>
    <w:p>
      <w:pPr>
        <w:spacing w:line="52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17.1本项目评标标准中的方案部分采用暗标方式进行评审。</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17.2方案部分采用暗标方式进行评审的编制要求：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17.3供应商应按第17.2的要求编制方案，经三分之二评委认定，供应商未按第17.2的要求编制方案的，按未提供方案处理。</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18.4采购中心可以按第7条规定，通过修改招标文件有权酌情延长投标文件接收截止时间。在此情况下，投标人的所有权利和义务以及投标人受制约的截止日期均应以延长后新的截止日期为准。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19.2投标人不得在开标时间以后修改电子投标文件。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19.3投标人不得在提交电子投标文件截止时间起至投标有效期满前撤回电子投标文件。</w:t>
      </w:r>
      <w:r/>
    </w:p>
    <w:p>
      <w:pPr>
        <w:numPr>
          <w:ilvl w:val="0"/>
          <w:numId w:val="2"/>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bookmarkEnd w:id="8"/>
      <w:r/>
    </w:p>
    <w:p>
      <w:pPr>
        <w:spacing w:line="520" w:lineRule="exact"/>
        <w:rPr>
          <w:rFonts w:hint="eastAsia" w:ascii="仿宋" w:hAnsi="仿宋" w:eastAsia="仿宋"/>
          <w:sz w:val="28"/>
          <w:szCs w:val="28"/>
        </w:rPr>
      </w:pPr>
      <w:r>
        <w:rPr>
          <w:rFonts w:hint="eastAsia" w:ascii="仿宋" w:hAnsi="仿宋" w:eastAsia="仿宋"/>
          <w:sz w:val="28"/>
          <w:szCs w:val="28"/>
        </w:rPr>
        <w:t xml:space="preserve">20.开标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20.2开标仪式由采购中心组织。苏采云系统将自动对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20.3投标人在开标过程中涉及到的投标文件解密、开标结果确认等工作，应按照《操作手册》规定执行。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sz w:val="28"/>
          <w:szCs w:val="28"/>
        </w:rPr>
      </w:pPr>
      <w:r/>
      <w:bookmarkStart w:id="9" w:name="_Toc513029231"/>
      <w:r/>
      <w:bookmarkStart w:id="10" w:name="_Toc20823303"/>
      <w:r/>
      <w:bookmarkStart w:id="11" w:name="_Toc16938547"/>
      <w:r>
        <w:rPr>
          <w:rFonts w:hint="eastAsia" w:ascii="仿宋" w:hAnsi="仿宋" w:eastAsia="仿宋"/>
          <w:sz w:val="28"/>
          <w:szCs w:val="28"/>
        </w:rPr>
        <w:t xml:space="preserve">21.评标委员会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21.1开标后，采购中心将立即组织评标委员会（以下简称评委会）进行评标。</w:t>
      </w:r>
      <w:r/>
    </w:p>
    <w:p>
      <w:pPr>
        <w:spacing w:line="520" w:lineRule="exact"/>
        <w:rPr>
          <w:rFonts w:ascii="仿宋" w:hAnsi="仿宋" w:eastAsia="仿宋"/>
          <w:sz w:val="28"/>
          <w:szCs w:val="28"/>
        </w:rPr>
      </w:pPr>
      <w:r>
        <w:rPr>
          <w:rFonts w:hint="eastAsia" w:ascii="仿宋" w:hAnsi="仿宋" w:eastAsia="仿宋"/>
          <w:sz w:val="28"/>
          <w:szCs w:val="28"/>
        </w:rPr>
        <w:t xml:space="preserve">    21.2 评委会由采购人代表和有关技术、经济等方面的专家组成，且人员构成符合政府采购有关规定。</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  21.3评委会独立工作，负责评审所有投标文件并确定中标侯选人。</w:t>
      </w:r>
      <w:r/>
    </w:p>
    <w:p>
      <w:pPr>
        <w:spacing w:line="520" w:lineRule="exact"/>
        <w:rPr>
          <w:rFonts w:ascii="仿宋" w:hAnsi="仿宋" w:eastAsia="仿宋"/>
          <w:sz w:val="28"/>
          <w:szCs w:val="28"/>
        </w:rPr>
      </w:pPr>
      <w:r>
        <w:rPr>
          <w:rFonts w:hint="eastAsia" w:ascii="仿宋" w:hAnsi="仿宋" w:eastAsia="仿宋"/>
          <w:sz w:val="28"/>
          <w:szCs w:val="28"/>
        </w:rPr>
        <w:t xml:space="preserve">22．评标过程的保密与公正</w:t>
      </w:r>
      <w:bookmarkEnd w:id="9"/>
      <w:r/>
      <w:bookmarkEnd w:id="10"/>
      <w:r/>
      <w:bookmarkEnd w:id="1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22.1凡是与审查、澄清、评价和比较投标的有关资料以及授标建议等，采购人、评委、采购中心均不得向投标人或与评标无关的其他人员透露。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22.2在评标过程中，投标人不得以任何行为影响评标过程，否则其投标文件将被作为无效投标文件。</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rPr>
      </w:pPr>
      <w:r/>
      <w:bookmarkStart w:id="12" w:name="_Toc16938548"/>
      <w:r/>
      <w:bookmarkStart w:id="13" w:name="_Toc513029232"/>
      <w:r/>
      <w:bookmarkStart w:id="14" w:name="_Toc20823304"/>
      <w:r>
        <w:rPr>
          <w:rFonts w:hint="eastAsia" w:ascii="仿宋" w:hAnsi="仿宋" w:eastAsia="仿宋"/>
          <w:sz w:val="28"/>
          <w:szCs w:val="28"/>
        </w:rPr>
        <w:t xml:space="preserve">23．投标文件的澄清</w:t>
      </w:r>
      <w:bookmarkEnd w:id="12"/>
      <w:r/>
      <w:bookmarkEnd w:id="13"/>
      <w:r/>
      <w:bookmarkEnd w:id="14"/>
      <w:r/>
      <w:r/>
    </w:p>
    <w:p>
      <w:pPr>
        <w:ind w:firstLine="560"/>
        <w:spacing w:line="520" w:lineRule="exact"/>
        <w:rPr>
          <w:rFonts w:ascii="仿宋" w:hAnsi="仿宋" w:eastAsia="仿宋"/>
          <w:sz w:val="28"/>
          <w:szCs w:val="28"/>
        </w:rPr>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23.3 接到评委会澄清、说明和补正要求的投标人如未按规定做出澄清、说明和补正，其风险由投标人自行承担。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24.对投标文件的初审</w:t>
      </w:r>
      <w:bookmarkEnd w:id="15"/>
      <w:r/>
      <w:bookmarkEnd w:id="16"/>
      <w:r/>
      <w:bookmarkEnd w:id="1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rPr>
      </w:pPr>
      <w:r/>
      <w:bookmarkStart w:id="18" w:name="_Toc16938550"/>
      <w:r/>
      <w:bookmarkStart w:id="19" w:name="_Toc513029234"/>
      <w:r/>
      <w:bookmarkStart w:id="20" w:name="_Toc20823306"/>
      <w:r>
        <w:rPr>
          <w:rFonts w:hint="eastAsia" w:ascii="仿宋" w:hAnsi="仿宋" w:eastAsia="仿宋"/>
          <w:sz w:val="28"/>
          <w:szCs w:val="28"/>
        </w:rPr>
        <w:t xml:space="preserve">24.6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hint="eastAsia" w:ascii="仿宋" w:hAnsi="仿宋" w:eastAsia="仿宋" w:cs="Times New Roman"/>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w:t>
      </w:r>
      <w:r>
        <w:rPr>
          <w:rFonts w:hint="eastAsia" w:ascii="仿宋" w:hAnsi="仿宋" w:eastAsia="仿宋" w:cs="Times New Roman"/>
          <w:sz w:val="28"/>
          <w:szCs w:val="28"/>
        </w:rPr>
        <w:t xml:space="preserve">牌投标人不作为中标候选人。</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非单一产品采购项目，招标文件中将载明其中的核心产品。多家投标人提供的核心产品品牌相同的，按前两款规定处理。</w:t>
      </w:r>
      <w:r/>
    </w:p>
    <w:p>
      <w:pPr>
        <w:ind w:firstLine="560"/>
        <w:spacing w:line="520" w:lineRule="exact"/>
        <w:rPr>
          <w:rFonts w:ascii="仿宋" w:hAnsi="仿宋" w:eastAsia="仿宋"/>
          <w:sz w:val="28"/>
          <w:szCs w:val="28"/>
        </w:rPr>
      </w:pPr>
      <w:r>
        <w:rPr>
          <w:rFonts w:hint="eastAsia" w:ascii="仿宋" w:hAnsi="仿宋" w:eastAsia="仿宋" w:cs="Times New Roman"/>
          <w:sz w:val="28"/>
          <w:szCs w:val="28"/>
        </w:rPr>
        <w:t xml:space="preserve">24.7投标人在开、评标全过程中应保持通讯畅通</w:t>
      </w:r>
      <w:r>
        <w:rPr>
          <w:rFonts w:hint="eastAsia" w:ascii="仿宋" w:hAnsi="仿宋" w:eastAsia="仿宋"/>
          <w:sz w:val="28"/>
          <w:szCs w:val="28"/>
        </w:rPr>
        <w:t xml:space="preserve">，及时登录苏采云系统查阅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5.无效投标条款和废标条款</w:t>
      </w:r>
      <w:r/>
    </w:p>
    <w:p>
      <w:pPr>
        <w:ind w:firstLine="560"/>
        <w:spacing w:line="520" w:lineRule="exact"/>
        <w:rPr>
          <w:rFonts w:ascii="仿宋" w:hAnsi="仿宋" w:eastAsia="仿宋"/>
          <w:sz w:val="28"/>
          <w:szCs w:val="28"/>
        </w:rPr>
      </w:pPr>
      <w:r/>
      <w:bookmarkStart w:id="21" w:name="_Toc513029235"/>
      <w:r/>
      <w:bookmarkStart w:id="22" w:name="_Toc20823307"/>
      <w:r/>
      <w:bookmarkStart w:id="23" w:name="_Toc16938551"/>
      <w:r>
        <w:rPr>
          <w:rFonts w:hint="eastAsia" w:ascii="仿宋" w:hAnsi="仿宋" w:eastAsia="仿宋"/>
          <w:sz w:val="28"/>
          <w:szCs w:val="28"/>
        </w:rPr>
        <w:t xml:space="preserve">25.1无效投标条款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 投标人在苏采云系统规定的时间内未成功解密电子投标文件的。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1</w:t>
      </w:r>
      <w:r>
        <w:rPr>
          <w:rFonts w:hint="eastAsia" w:ascii="仿宋" w:hAnsi="仿宋" w:eastAsia="仿宋"/>
          <w:sz w:val="28"/>
          <w:szCs w:val="28"/>
        </w:rPr>
        <w:t xml:space="preserve">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3</w:t>
      </w:r>
      <w:r>
        <w:rPr>
          <w:rFonts w:hint="eastAsia" w:ascii="仿宋" w:hAnsi="仿宋" w:eastAsia="仿宋"/>
          <w:sz w:val="28"/>
          <w:szCs w:val="28"/>
        </w:rPr>
        <w:t xml:space="preserve">其他法律、法规及本招标文件规定的属无效投标的情形。</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25.1.14投标人未按照采购文件第五章项目采购需求“三、基本要求”提供相关承诺或证明材料的。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25.2.1符合专业条件的供应商或者对招标文件作实质响应的供应商不足三家的。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投标截止时间结束后参加投标的供应商不足三家的处理：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25.3.1如出现投标截止时间结束后参加投标的供应商或者在评标期间对招标文件做出实质响应的供应商不足三家情况，按政府采购相关规定执行。</w:t>
      </w:r>
      <w:bookmarkEnd w:id="21"/>
      <w:bookmarkEnd w:id="22"/>
      <w:bookmarkEnd w:id="23"/>
      <w:r/>
    </w:p>
    <w:p>
      <w:pPr>
        <w:numPr>
          <w:ilvl w:val="0"/>
          <w:numId w:val="2"/>
        </w:numPr>
        <w:ind w:firstLine="482"/>
        <w:spacing w:line="520" w:lineRule="exact"/>
        <w:rPr>
          <w:rFonts w:ascii="仿宋" w:hAnsi="仿宋" w:eastAsia="仿宋"/>
          <w:b/>
          <w:sz w:val="32"/>
          <w:szCs w:val="32"/>
        </w:rPr>
      </w:pPr>
      <w:r/>
      <w:bookmarkStart w:id="24" w:name="_Toc120614219"/>
      <w:r>
        <w:rPr>
          <w:rFonts w:hint="eastAsia" w:ascii="仿宋" w:hAnsi="仿宋" w:eastAsia="仿宋"/>
          <w:b/>
          <w:sz w:val="32"/>
          <w:szCs w:val="32"/>
        </w:rPr>
        <w:t xml:space="preserve">定标</w:t>
      </w:r>
      <w:bookmarkEnd w:id="24"/>
      <w:r/>
      <w:r/>
    </w:p>
    <w:p>
      <w:pPr>
        <w:spacing w:line="520" w:lineRule="exact"/>
        <w:rPr>
          <w:rFonts w:ascii="仿宋" w:hAnsi="仿宋" w:eastAsia="仿宋"/>
          <w:sz w:val="28"/>
          <w:szCs w:val="28"/>
        </w:rPr>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rPr>
        <w:t xml:space="preserve">6.确定</w:t>
      </w:r>
      <w:bookmarkEnd w:id="26"/>
      <w:r/>
      <w:bookmarkEnd w:id="27"/>
      <w:r>
        <w:rPr>
          <w:rFonts w:hint="eastAsia" w:ascii="仿宋" w:hAnsi="仿宋" w:eastAsia="仿宋"/>
          <w:sz w:val="28"/>
          <w:szCs w:val="28"/>
        </w:rPr>
        <w:t xml:space="preserve">中标单位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26.1中标候选人的选取原则和数量见招标文件第三章规定。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 采购人应根据评委会推荐的中标候选人确定中标人。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 采购中心将在“淮安市政府采购网”发布中标公告，公告期限为1个工作日。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  若有充分证据证明，中标人出现下列情况之一的，一经查实，将被取消中标资格：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26.4.1提供虚假材料谋取中标的。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26.4.2向采购人、采购中心行贿或者提供其他不正当利益的。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26.4.3属于本文件规定的无效条件，但在评标过程中又未被评委会发现的。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26.4.4与采购人或者其他供应商恶意串通的。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26.4.5采取不正当手段诋毁、排挤其他供应商的。</w:t>
      </w:r>
      <w:r/>
    </w:p>
    <w:p>
      <w:pPr>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26.5.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26.5.3 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26.5.4不同投标人的投标文件异常一致或者投标报价呈规律性差异；</w:t>
      </w:r>
      <w:r/>
    </w:p>
    <w:p>
      <w:pPr>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7．质疑处理</w:t>
      </w:r>
      <w:bookmarkEnd w:id="2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27.4质疑投标人在法定质疑期内应当一次性针对同一采购环节提出质疑。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27.5质疑函应当包括以下主要内容，附上相关证明材料。否则，采购中心不予受理。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27.7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27.8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rPr>
      </w:pPr>
      <w:r>
        <w:rPr>
          <w:rFonts w:hint="eastAsia" w:ascii="仿宋" w:hAnsi="仿宋" w:eastAsia="仿宋"/>
          <w:sz w:val="28"/>
          <w:szCs w:val="28"/>
        </w:rPr>
        <w:t xml:space="preserve">28.中标通知书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numPr>
          <w:ilvl w:val="0"/>
          <w:numId w:val="2"/>
        </w:numPr>
        <w:ind w:firstLine="482"/>
        <w:spacing w:line="520" w:lineRule="exact"/>
        <w:rPr>
          <w:rFonts w:ascii="仿宋" w:hAnsi="仿宋" w:eastAsia="仿宋"/>
          <w:b/>
          <w:sz w:val="32"/>
          <w:szCs w:val="32"/>
        </w:rPr>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bookmarkEnd w:id="30"/>
      <w:bookmarkEnd w:id="31"/>
      <w:bookmarkEnd w:id="32"/>
      <w:r/>
    </w:p>
    <w:p>
      <w:pPr>
        <w:spacing w:line="520" w:lineRule="exact"/>
        <w:rPr>
          <w:rFonts w:ascii="仿宋" w:hAnsi="仿宋" w:eastAsia="仿宋"/>
          <w:sz w:val="28"/>
          <w:szCs w:val="28"/>
        </w:rPr>
      </w:pPr>
      <w:r/>
      <w:bookmarkStart w:id="33" w:name="_Toc513029237"/>
      <w:r/>
      <w:bookmarkStart w:id="34" w:name="_Toc20823309"/>
      <w:r/>
      <w:bookmarkStart w:id="35" w:name="_Toc16938553"/>
      <w:r>
        <w:rPr>
          <w:rFonts w:hint="eastAsia" w:ascii="仿宋" w:hAnsi="仿宋" w:eastAsia="仿宋"/>
          <w:sz w:val="28"/>
          <w:szCs w:val="28"/>
        </w:rPr>
        <w:t xml:space="preserve">29. 签订合同</w:t>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29.l中标人应当在中标通知书发出之日起三十日内，按照招标文件确定的事项与采购人签订政府采购合同。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sz w:val="28"/>
          <w:szCs w:val="28"/>
        </w:rPr>
        <w:t xml:space="preserve">30.货物（包含与货物相关的服务）的追加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bookmarkEnd w:id="34"/>
      <w:bookmarkEnd w:id="35"/>
      <w:r/>
    </w:p>
    <w:p>
      <w:pPr>
        <w:pStyle w:val="642"/>
        <w:ind w:left="0" w:firstLine="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31.履约保证金</w:t>
      </w:r>
      <w:r>
        <w:rPr>
          <w:rFonts w:hint="eastAsia" w:ascii="仿宋" w:hAnsi="仿宋" w:eastAsia="仿宋"/>
          <w:sz w:val="28"/>
          <w:szCs w:val="28"/>
          <w:highlight w:val="none"/>
          <w:lang w:eastAsia="zh-CN"/>
        </w:rPr>
        <w:t xml:space="preserve">（本项目不涉及）</w:t>
      </w:r>
      <w:r/>
    </w:p>
    <w:p>
      <w:pPr>
        <w:pStyle w:val="642"/>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p>
    <w:p>
      <w:pPr>
        <w:numPr>
          <w:ilvl w:val="0"/>
          <w:numId w:val="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br/>
      </w:r>
      <w:r>
        <w:rPr>
          <w:rFonts w:hint="eastAsia" w:ascii="仿宋" w:hAnsi="仿宋" w:eastAsia="仿宋"/>
          <w:sz w:val="28"/>
          <w:szCs w:val="28"/>
        </w:rPr>
        <w:t xml:space="preserve">    7、履约保证金在合同约定期间内不予退还或者应完全有效，履约保证金在项目验收合格后无息退还给乙方。</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32.</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rPr>
        <w:t xml:space="preserve">33. 节能、环保</w:t>
      </w:r>
      <w:r>
        <w:rPr>
          <w:rFonts w:hint="eastAsia" w:ascii="仿宋" w:hAnsi="仿宋" w:eastAsia="仿宋"/>
          <w:sz w:val="28"/>
          <w:szCs w:val="28"/>
          <w:highlight w:val="none"/>
        </w:rPr>
        <w:t xml:space="preserve">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33.3环保产品</w:t>
      </w:r>
      <w:r/>
    </w:p>
    <w:p>
      <w:pPr>
        <w:ind w:firstLine="560"/>
        <w:spacing w:line="520" w:lineRule="exact"/>
        <w:rPr>
          <w:rFonts w:ascii="仿宋" w:hAnsi="仿宋" w:eastAsia="仿宋"/>
          <w:sz w:val="28"/>
          <w:szCs w:val="28"/>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w:t>
      </w:r>
      <w:r>
        <w:rPr>
          <w:rFonts w:hint="eastAsia" w:ascii="仿宋" w:hAnsi="仿宋" w:eastAsia="仿宋"/>
          <w:sz w:val="28"/>
          <w:szCs w:val="28"/>
        </w:rPr>
        <w:t xml:space="preserve">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33.4本项目中实行“强制采购”的，需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34．政府绿色采购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644"/>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644"/>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34.3本项目中涉及涂料、胶黏剂、油墨、清洗剂等挥发性有机物产品的，要执行国家和江苏省VOCs含量限制标准，优先使用低挥发性原辅材料，使用低VOCs含量的涂料、胶黏剂等。</w:t>
      </w:r>
      <w:r/>
    </w:p>
    <w:p>
      <w:pPr>
        <w:pStyle w:val="644"/>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 履约资金扶持政策</w:t>
      </w:r>
      <w:r/>
    </w:p>
    <w:p>
      <w:pPr>
        <w:pStyle w:val="644"/>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44"/>
        <w:ind w:left="0"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644"/>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44"/>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spacing w:line="520" w:lineRule="exact"/>
        <w:rPr>
          <w:rFonts w:hint="eastAsia" w:ascii="仿宋" w:hAnsi="仿宋" w:eastAsia="仿宋"/>
          <w:sz w:val="28"/>
        </w:rPr>
      </w:pPr>
      <w:r>
        <w:rPr>
          <w:rFonts w:hint="eastAsia" w:ascii="仿宋" w:hAnsi="仿宋" w:eastAsia="仿宋"/>
          <w:sz w:val="28"/>
          <w:lang w:eastAsia="zh-CN"/>
        </w:rPr>
        <w:t xml:space="preserve">四</w:t>
      </w:r>
      <w:r>
        <w:rPr>
          <w:rFonts w:hint="eastAsia" w:ascii="仿宋" w:hAnsi="仿宋" w:eastAsia="仿宋"/>
          <w:sz w:val="28"/>
        </w:rPr>
        <w:t xml:space="preserve">、具体标准:</w:t>
      </w:r>
      <w:r/>
    </w:p>
    <w:p>
      <w:pPr>
        <w:ind w:firstLine="495"/>
        <w:spacing w:line="520" w:lineRule="exact"/>
        <w:rPr>
          <w:rFonts w:hint="eastAsia" w:ascii="仿宋" w:hAnsi="仿宋" w:eastAsia="仿宋"/>
          <w:sz w:val="28"/>
        </w:rPr>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p>
    <w:p>
      <w:pPr>
        <w:pStyle w:val="643"/>
        <w:ind w:firstLine="560"/>
        <w:spacing w:line="520" w:lineRule="exact"/>
        <w:rPr>
          <w:rFonts w:hint="eastAsia" w:ascii="仿宋" w:hAnsi="仿宋" w:eastAsia="仿宋"/>
        </w:rPr>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643"/>
        <w:ind w:firstLine="560"/>
        <w:spacing w:line="520" w:lineRule="exact"/>
        <w:rPr>
          <w:rFonts w:hint="eastAsia" w:ascii="仿宋" w:hAnsi="仿宋" w:eastAsia="仿宋"/>
        </w:rPr>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70</w:t>
      </w:r>
      <w:r>
        <w:rPr>
          <w:rFonts w:hint="eastAsia" w:ascii="仿宋" w:hAnsi="仿宋" w:eastAsia="仿宋"/>
          <w:sz w:val="28"/>
          <w:szCs w:val="28"/>
        </w:rPr>
        <w:t xml:space="preserve">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sz w:val="28"/>
          <w:szCs w:val="28"/>
        </w:rPr>
        <w:t xml:space="preserve">   </w:t>
      </w:r>
      <w:r>
        <w:rPr>
          <w:rFonts w:hint="eastAsia" w:ascii="仿宋" w:hAnsi="仿宋" w:eastAsia="仿宋" w:cs="仿宋"/>
          <w:sz w:val="28"/>
          <w:szCs w:val="28"/>
        </w:rPr>
        <w:t xml:space="preserve">评委会根据</w:t>
      </w:r>
      <w:r>
        <w:rPr>
          <w:rFonts w:hint="eastAsia" w:ascii="仿宋" w:hAnsi="仿宋" w:eastAsia="仿宋" w:cs="仿宋"/>
          <w:sz w:val="28"/>
          <w:szCs w:val="28"/>
          <w:highlight w:val="none"/>
        </w:rPr>
        <w:t xml:space="preserve">投标人提供的方案进行评分，不提供分项方案或者经三分之二评委认定分项方案存在重大偏离的，分项方案不得分。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（1）草花布置进度计划:15分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投标人须提供布置具体操作流程以及工作进度安排，进度保证措施（如能提供苗木生产场地、苗木生长过程监管措施、苗木施工人员具体配备、机械设备配置等）。</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操作流程科学规范，工作进度安排合理，进度保证措施详细明确的得15分；操作流程比较科学规范，工作进度安排比较合理，进度保证措施比较详细的得11分；操作流程基本科学规范，工作进度安排基本合理，进度保证措施基本详细的得7分；操作流程较差，工作进度安排不合理，进度保证措施不详细的得3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（2）花卉质量保障方案:10分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投标人须从花卉产地、生产厂商、花卉生产期内及出厂前、来花质量等方面提供花卉质量保障方案。</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花卉质量保障方案内容完整且阐述的详细、具体、明确的得10分；方案内容完整，但阐述简单，基本符合要求的得</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分；方案内容较差，阐述</w:t>
      </w:r>
      <w:r>
        <w:rPr>
          <w:rFonts w:hint="eastAsia" w:ascii="仿宋" w:hAnsi="仿宋" w:eastAsia="仿宋" w:cs="仿宋"/>
          <w:sz w:val="28"/>
          <w:szCs w:val="28"/>
          <w:highlight w:val="none"/>
          <w:lang w:val="en-US" w:eastAsia="zh-CN"/>
        </w:rPr>
        <w:t xml:space="preserve">不详细的</w:t>
      </w:r>
      <w:r>
        <w:rPr>
          <w:rFonts w:hint="eastAsia" w:ascii="仿宋" w:hAnsi="仿宋" w:eastAsia="仿宋" w:cs="仿宋"/>
          <w:sz w:val="28"/>
          <w:szCs w:val="28"/>
          <w:highlight w:val="none"/>
        </w:rPr>
        <w:t xml:space="preserve">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（3）花卉布置效果保障方案：10分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投标人须从人员配置、机械配置、施工操作等方面提供花卉布置效果保障方案。</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花卉布置效果保障方案内容完整且阐述的详细、具体、明确的得10分；方案内容</w:t>
      </w:r>
      <w:r>
        <w:rPr>
          <w:rFonts w:hint="eastAsia" w:ascii="仿宋" w:hAnsi="仿宋" w:eastAsia="仿宋" w:cs="仿宋"/>
          <w:sz w:val="28"/>
          <w:szCs w:val="28"/>
          <w:highlight w:val="none"/>
          <w:lang w:val="en-US" w:eastAsia="zh-CN"/>
        </w:rPr>
        <w:t xml:space="preserve">一般</w:t>
      </w:r>
      <w:r>
        <w:rPr>
          <w:rFonts w:hint="eastAsia" w:ascii="仿宋" w:hAnsi="仿宋" w:eastAsia="仿宋" w:cs="仿宋"/>
          <w:sz w:val="28"/>
          <w:szCs w:val="28"/>
          <w:highlight w:val="none"/>
        </w:rPr>
        <w:t xml:space="preserve">，阐述简单，基本符合要求的得</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分；方案内容较差，阐述不详细的得4分。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（4）养护管理技术措施:15分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投标人须结合本项目情况作出有针对性的养护管理技术方案，对浇水施肥、补植、病虫害防治、在处理突发情况应急处置上等方面列出具体措施。</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养护管理技术方案内容科学规范，措施详细明确的得15分；方案内容比较科学规范，措施比较详细的得11分；方案内容基本符合科学规范，措施</w:t>
      </w:r>
      <w:r>
        <w:rPr>
          <w:rFonts w:hint="eastAsia" w:ascii="仿宋" w:hAnsi="仿宋" w:eastAsia="仿宋" w:cs="仿宋"/>
          <w:sz w:val="28"/>
          <w:szCs w:val="28"/>
          <w:highlight w:val="none"/>
          <w:lang w:val="en-US" w:eastAsia="zh-CN"/>
        </w:rPr>
        <w:t xml:space="preserve">较为</w:t>
      </w:r>
      <w:r>
        <w:rPr>
          <w:rFonts w:hint="eastAsia" w:ascii="仿宋" w:hAnsi="仿宋" w:eastAsia="仿宋" w:cs="仿宋"/>
          <w:sz w:val="28"/>
          <w:szCs w:val="28"/>
          <w:highlight w:val="none"/>
        </w:rPr>
        <w:t xml:space="preserve">简单的得</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分；方案内容</w:t>
      </w:r>
      <w:r>
        <w:rPr>
          <w:rFonts w:hint="eastAsia" w:ascii="仿宋" w:hAnsi="仿宋" w:eastAsia="仿宋" w:cs="仿宋"/>
          <w:sz w:val="28"/>
          <w:szCs w:val="28"/>
          <w:highlight w:val="none"/>
          <w:lang w:val="en-US" w:eastAsia="zh-CN"/>
        </w:rPr>
        <w:t xml:space="preserve">较差</w:t>
      </w:r>
      <w:r>
        <w:rPr>
          <w:rFonts w:hint="eastAsia" w:ascii="仿宋" w:hAnsi="仿宋" w:eastAsia="仿宋" w:cs="仿宋"/>
          <w:sz w:val="28"/>
          <w:szCs w:val="28"/>
          <w:highlight w:val="none"/>
        </w:rPr>
        <w:t xml:space="preserve">，措施不详细的得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（5）安全施工要求:10分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①投标人须根据花卉布置过程，提供安全施工保障方案，确保花卉布置过程安全有序：5分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方案合理详细（如安排工人穿戴反光背心、放置警示牌等）完全符合安全施工要求的得5分；方案内容简单一般的得3分。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②投标人须根据突发性安全事件，制定出安全施工应急方案：5分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方案能够从安全生产角度详细阐述事故发生原因、如何避免以及处理措施的得5分；方案内容简单一般的得3分。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（6）文明施工要求：10分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①投标人须根据花卉布置过程及后期养护提供文明施工保障方案，确保花卉布置和养护过程不存在黄土裸露及扬尘污染现象：5分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方案合理详细（从整土、浇水、施肥、修剪等方面进行阐述），完全符合文明施工要求的得5分；方案内容一般的得3分。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②投标人须根据花卉布置过程及后期养护，提供因不文明施工采取及时补救的方案：5分</w:t>
      </w:r>
      <w:r/>
    </w:p>
    <w:p>
      <w:pPr>
        <w:ind w:firstLine="560"/>
        <w:spacing w:line="520" w:lineRule="exact"/>
        <w:rPr>
          <w:rFonts w:hint="eastAsia" w:ascii="仿宋" w:hAnsi="仿宋" w:eastAsia="仿宋"/>
          <w:sz w:val="28"/>
          <w:szCs w:val="28"/>
        </w:rPr>
      </w:pPr>
      <w:r>
        <w:rPr>
          <w:rFonts w:hint="eastAsia" w:ascii="仿宋" w:hAnsi="仿宋" w:eastAsia="仿宋" w:cs="仿宋"/>
          <w:sz w:val="28"/>
          <w:szCs w:val="28"/>
          <w:highlight w:val="none"/>
        </w:rPr>
        <w:t xml:space="preserve">方案合理详细，弥补的措施能够科学有效地减少不文明施工带来的社会影响的得5分；方案内容简单，措施单一的得3分。</w:t>
      </w:r>
      <w:r/>
    </w:p>
    <w:p>
      <w:pPr>
        <w:ind w:firstLine="562"/>
        <w:spacing w:line="520" w:lineRule="exact"/>
        <w:rPr>
          <w:rFonts w:hint="eastAsia" w:ascii="仿宋" w:hAnsi="仿宋" w:eastAsia="仿宋"/>
          <w:sz w:val="28"/>
          <w:szCs w:val="28"/>
        </w:rPr>
      </w:pPr>
      <w:r>
        <w:rPr>
          <w:rFonts w:hint="eastAsia" w:ascii="仿宋" w:hAnsi="仿宋" w:eastAsia="仿宋"/>
          <w:b/>
          <w:bCs/>
          <w:sz w:val="28"/>
          <w:szCs w:val="28"/>
        </w:rPr>
        <w:t xml:space="preserve">注：本项目的方案部分采用暗标方式进行评审，供应商需按照第二章“投标人须知”第17条的要求编制方案，未按要求编制的本项不得分。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eastAsia="zh-CN"/>
        </w:rPr>
        <w:t xml:space="preserve">商务</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（1）投标人针对本项目配备</w:t>
      </w:r>
      <w:r>
        <w:rPr>
          <w:rFonts w:hint="eastAsia" w:ascii="仿宋" w:hAnsi="仿宋" w:eastAsia="仿宋" w:cs="仿宋"/>
          <w:sz w:val="28"/>
          <w:szCs w:val="28"/>
          <w:highlight w:val="none"/>
        </w:rPr>
        <w:t xml:space="preserve">的技术人员中（不含技术负责人和项目负责人）具有园林绿化专业高级工（及技师）或园林专业工程师的，每提供1人得0.3分，本项最多得3分，没有不得分。（需提供证书复印件及2024年以来投标人为其缴纳的任意一个月社会保险证明材料</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加盖投标人电子签章）。</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（2）投标人针对本项目配备载货量不小于1.4吨的运输车辆的得3分，没有不得分。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（3）投标人针对本项目配备1辆4吨及以上洒水车的得2分，配备1辆10吨及以上洒水车的得4分，本项最多得4分，没有的不得分。</w:t>
      </w:r>
      <w:r/>
    </w:p>
    <w:p>
      <w:pPr>
        <w:ind w:firstLine="5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注：上述（2）-（3）项，车辆需符合国5及以上标准；需提供</w:t>
      </w:r>
      <w:r>
        <w:rPr>
          <w:rFonts w:hint="eastAsia" w:ascii="仿宋" w:hAnsi="仿宋" w:eastAsia="仿宋" w:cs="仿宋"/>
          <w:sz w:val="28"/>
          <w:szCs w:val="28"/>
          <w:highlight w:val="none"/>
          <w:lang w:val="en-US" w:eastAsia="zh-CN"/>
        </w:rPr>
        <w:t xml:space="preserve">车辆</w:t>
      </w:r>
      <w:r>
        <w:rPr>
          <w:rFonts w:hint="eastAsia" w:ascii="仿宋" w:hAnsi="仿宋" w:eastAsia="仿宋" w:cs="仿宋"/>
          <w:sz w:val="28"/>
          <w:szCs w:val="28"/>
          <w:highlight w:val="none"/>
        </w:rPr>
        <w:t xml:space="preserve">照片、行驶证和自有机具购买发票（扫描件加盖投标人电子签章）。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4）投标人</w:t>
      </w:r>
      <w:r>
        <w:rPr>
          <w:rFonts w:hint="eastAsia" w:ascii="仿宋" w:hAnsi="仿宋" w:eastAsia="仿宋" w:cs="仿宋"/>
          <w:sz w:val="28"/>
          <w:szCs w:val="28"/>
          <w:highlight w:val="none"/>
          <w:lang w:val="zh-CN"/>
        </w:rPr>
        <w:t xml:space="preserve">自20</w:t>
      </w:r>
      <w:r>
        <w:rPr>
          <w:rFonts w:hint="eastAsia" w:ascii="仿宋" w:hAnsi="仿宋" w:eastAsia="仿宋" w:cs="仿宋"/>
          <w:sz w:val="28"/>
          <w:szCs w:val="28"/>
          <w:highlight w:val="none"/>
        </w:rPr>
        <w:t xml:space="preserve">20</w:t>
      </w:r>
      <w:r>
        <w:rPr>
          <w:rFonts w:hint="eastAsia" w:ascii="仿宋" w:hAnsi="仿宋" w:eastAsia="仿宋" w:cs="仿宋"/>
          <w:sz w:val="28"/>
          <w:szCs w:val="28"/>
          <w:highlight w:val="none"/>
          <w:lang w:val="zh-CN"/>
        </w:rPr>
        <w:t xml:space="preserve">年以来（以合同签订时间为准）承接过城市道路布花</w:t>
      </w:r>
      <w:r>
        <w:rPr>
          <w:rFonts w:hint="eastAsia" w:ascii="仿宋" w:hAnsi="仿宋" w:eastAsia="仿宋" w:cs="仿宋"/>
          <w:sz w:val="28"/>
          <w:szCs w:val="28"/>
          <w:highlight w:val="none"/>
        </w:rPr>
        <w:t xml:space="preserve">项目的</w:t>
      </w:r>
      <w:r>
        <w:rPr>
          <w:rFonts w:hint="eastAsia" w:ascii="仿宋" w:hAnsi="仿宋" w:eastAsia="仿宋" w:cs="仿宋"/>
          <w:sz w:val="28"/>
          <w:szCs w:val="28"/>
          <w:highlight w:val="none"/>
          <w:lang w:val="zh-CN"/>
        </w:rPr>
        <w:t xml:space="preserve">，每提供</w:t>
      </w:r>
      <w:r>
        <w:rPr>
          <w:rFonts w:hint="eastAsia" w:ascii="仿宋" w:hAnsi="仿宋" w:eastAsia="仿宋" w:cs="仿宋"/>
          <w:sz w:val="28"/>
          <w:szCs w:val="28"/>
          <w:highlight w:val="none"/>
        </w:rPr>
        <w:t xml:space="preserve">1个得2分，本项最多得10分，</w:t>
      </w:r>
      <w:r>
        <w:rPr>
          <w:rFonts w:hint="eastAsia" w:ascii="仿宋" w:hAnsi="仿宋" w:eastAsia="仿宋" w:cs="仿宋"/>
          <w:sz w:val="28"/>
          <w:szCs w:val="28"/>
        </w:rPr>
        <w:t xml:space="preserve">没有的不得分。</w:t>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642"/>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642"/>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642"/>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642"/>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642"/>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649"/>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项目名称:2024年市区花卉及环境布置</w:t>
      </w:r>
      <w:r/>
    </w:p>
    <w:p>
      <w:pPr>
        <w:pStyle w:val="649"/>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主要内容:</w:t>
      </w:r>
      <w:r/>
    </w:p>
    <w:p>
      <w:pPr>
        <w:pStyle w:val="649"/>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1、两次对主干道花卉进行供货、布置、更换以及养护管理等:第一次布花9月份；第二次布花11月份。</w:t>
      </w:r>
      <w:r/>
    </w:p>
    <w:p>
      <w:pPr>
        <w:pStyle w:val="649"/>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2、日常对草花进行维护管理，主要有:卫生保洁，适时浇水、及时清除杂草、施肥、病虫害防治、枯萎的草花及时更换、花卉被盗后及时补植等。</w:t>
      </w:r>
      <w:r/>
    </w:p>
    <w:p>
      <w:pPr>
        <w:pStyle w:val="649"/>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3、所有草花布置每次布花前要对地形进行调整，并进行土壤改良，添加有效成分为鸡粪、珍珠岩、草炭为主有机质营养土，并进行消毒处理。</w:t>
      </w:r>
      <w:r/>
    </w:p>
    <w:p>
      <w:pPr>
        <w:pStyle w:val="649"/>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4、局部地段一次布置两季或全年不更换的植物，需做好日常维护和及时补植工作，保证全年植物存活以及不同植物在相应时间开花。</w:t>
      </w:r>
      <w:r/>
    </w:p>
    <w:p>
      <w:pPr>
        <w:pStyle w:val="649"/>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5、其他详见“项目</w:t>
      </w:r>
      <w:r>
        <w:rPr>
          <w:rFonts w:hint="eastAsia" w:ascii="仿宋" w:hAnsi="仿宋" w:eastAsia="仿宋" w:cs="仿宋"/>
          <w:sz w:val="28"/>
        </w:rPr>
        <w:t xml:space="preserve">采购需求</w:t>
      </w:r>
      <w:r>
        <w:rPr>
          <w:rFonts w:hint="eastAsia" w:ascii="仿宋" w:hAnsi="仿宋" w:eastAsia="仿宋" w:cs="仿宋"/>
          <w:sz w:val="28"/>
          <w:szCs w:val="24"/>
        </w:rPr>
        <w:t xml:space="preserve">”。</w:t>
      </w:r>
      <w:r/>
    </w:p>
    <w:p>
      <w:pPr>
        <w:pStyle w:val="649"/>
        <w:ind w:left="-359" w:firstLine="963"/>
        <w:spacing w:line="520" w:lineRule="exact"/>
        <w:rPr>
          <w:rFonts w:hint="eastAsia" w:ascii="仿宋" w:hAnsi="仿宋" w:eastAsia="仿宋" w:cs="仿宋"/>
          <w:sz w:val="28"/>
        </w:rPr>
      </w:pPr>
      <w:r>
        <w:rPr>
          <w:rFonts w:hint="eastAsia" w:ascii="仿宋" w:hAnsi="仿宋" w:eastAsia="仿宋" w:cs="仿宋"/>
          <w:sz w:val="28"/>
        </w:rPr>
        <w:t xml:space="preserve">二、合同金额</w:t>
      </w:r>
      <w:r/>
    </w:p>
    <w:p>
      <w:pPr>
        <w:pStyle w:val="649"/>
        <w:ind w:firstLine="496"/>
        <w:spacing w:line="520" w:lineRule="exact"/>
        <w:rPr>
          <w:rFonts w:hint="eastAsia" w:ascii="仿宋" w:hAnsi="仿宋" w:eastAsia="仿宋" w:cs="仿宋"/>
          <w:sz w:val="28"/>
          <w:szCs w:val="24"/>
        </w:rPr>
      </w:pPr>
      <w:r>
        <w:rPr>
          <w:rFonts w:hint="eastAsia" w:ascii="仿宋" w:hAnsi="仿宋" w:eastAsia="仿宋" w:cs="仿宋"/>
          <w:sz w:val="28"/>
          <w:szCs w:val="24"/>
        </w:rPr>
        <w:t xml:space="preserve">本合同的总金额(大写)为___________元人民币，分项价格详见乙方提交的投标报价明细表。</w:t>
      </w:r>
      <w:r/>
    </w:p>
    <w:p>
      <w:pPr>
        <w:pStyle w:val="649"/>
        <w:ind w:left="-359" w:firstLine="963"/>
        <w:spacing w:line="520" w:lineRule="exact"/>
        <w:rPr>
          <w:rFonts w:hint="eastAsia" w:ascii="仿宋" w:hAnsi="仿宋" w:eastAsia="仿宋" w:cs="仿宋"/>
          <w:bCs/>
          <w:sz w:val="28"/>
          <w:szCs w:val="32"/>
        </w:rPr>
      </w:pPr>
      <w:r>
        <w:rPr>
          <w:rFonts w:hint="eastAsia" w:ascii="仿宋" w:hAnsi="仿宋" w:eastAsia="仿宋" w:cs="仿宋"/>
          <w:bCs/>
          <w:sz w:val="28"/>
          <w:szCs w:val="32"/>
        </w:rPr>
        <w:t xml:space="preserve">三、</w:t>
      </w:r>
      <w:r>
        <w:rPr>
          <w:rFonts w:hint="eastAsia" w:ascii="仿宋" w:hAnsi="仿宋" w:eastAsia="仿宋" w:cs="仿宋"/>
          <w:sz w:val="28"/>
        </w:rPr>
        <w:t xml:space="preserve">供货时间和地点</w:t>
      </w:r>
      <w:r/>
    </w:p>
    <w:p>
      <w:pPr>
        <w:pStyle w:val="64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本合同供货时间和地点在招标文件中有明确规定。</w:t>
      </w:r>
      <w:r/>
    </w:p>
    <w:p>
      <w:pPr>
        <w:pStyle w:val="649"/>
        <w:ind w:left="-357" w:firstLine="963"/>
        <w:spacing w:line="520" w:lineRule="exact"/>
        <w:rPr>
          <w:rFonts w:hint="eastAsia" w:ascii="仿宋" w:hAnsi="仿宋" w:eastAsia="仿宋" w:cs="仿宋"/>
          <w:sz w:val="28"/>
        </w:rPr>
      </w:pPr>
      <w:r>
        <w:rPr>
          <w:rFonts w:hint="eastAsia" w:ascii="仿宋" w:hAnsi="仿宋" w:eastAsia="仿宋" w:cs="仿宋"/>
          <w:sz w:val="28"/>
        </w:rPr>
        <w:t xml:space="preserve">四、付款</w:t>
      </w:r>
      <w:r/>
    </w:p>
    <w:p>
      <w:pPr>
        <w:pStyle w:val="649"/>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本合同的付款条件在</w:t>
      </w:r>
      <w:r>
        <w:rPr>
          <w:rFonts w:hint="eastAsia" w:ascii="仿宋" w:hAnsi="仿宋" w:eastAsia="仿宋" w:cs="仿宋"/>
          <w:sz w:val="28"/>
          <w:szCs w:val="28"/>
        </w:rPr>
        <w:t xml:space="preserve">招标文件</w:t>
      </w:r>
      <w:r>
        <w:rPr>
          <w:rFonts w:hint="eastAsia" w:ascii="仿宋" w:hAnsi="仿宋" w:eastAsia="仿宋" w:cs="仿宋"/>
          <w:sz w:val="28"/>
          <w:szCs w:val="24"/>
        </w:rPr>
        <w:t xml:space="preserve">中有明确规定。</w:t>
      </w:r>
      <w:r/>
    </w:p>
    <w:p>
      <w:pPr>
        <w:pStyle w:val="64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五、验收</w:t>
      </w:r>
      <w:r/>
    </w:p>
    <w:p>
      <w:pPr>
        <w:pStyle w:val="64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甲方按招标文件相关要求进行。如需委托第三方验收，第三方是指: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，验收费用由甲方承担。因乙方交付的货物不符合标准导致甲方重复支出的验收费用，由乙方承担。 </w:t>
      </w:r>
      <w:r/>
    </w:p>
    <w:p>
      <w:pPr>
        <w:pStyle w:val="64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六、履约保证金</w:t>
      </w:r>
      <w:r/>
    </w:p>
    <w:p>
      <w:pPr>
        <w:pStyle w:val="64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1、乙方交纳人民币_________元作为本合同的履约保证金。（不得超过合同金额的10%）</w:t>
      </w:r>
      <w:r/>
    </w:p>
    <w:p>
      <w:pPr>
        <w:numPr>
          <w:ilvl w:val="0"/>
          <w:numId w:val="4"/>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乙方提供的履约保证金可以是人民币形式（银行本票、汇票、支票、电汇），或银行保函、担保公司的保证担保或保险公司的保证保险等多种形式。</w:t>
      </w:r>
      <w:r/>
    </w:p>
    <w:p>
      <w:pPr>
        <w:numPr>
          <w:ilvl w:val="0"/>
          <w:numId w:val="4"/>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乙方选取银行保函、担保公司的保证担保或保险公司的保证保险等形式的向采购人缴纳的，如保函（担保、保险等）的约定期到期但乙方履约仍未结束的，乙方须进行续保。</w:t>
      </w:r>
      <w:r/>
    </w:p>
    <w:p>
      <w:pPr>
        <w:numPr>
          <w:ilvl w:val="0"/>
          <w:numId w:val="4"/>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5、如乙方未能履行合同规定的义务，甲方有权从履约保证金中取得补偿。</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    7、履约保证金在合同约定期间内不予退还或者应完全有效，履约保证金在项目验收合格后无息退还给乙方。</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七、合同纠纷处理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本合同执行过程中发生纠纷，由甲乙双方协商解决，若协商不成，作如下</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处理: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1、申请仲裁。选定仲裁机构为淮安市仲裁委员会。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2、提起诉讼。约定由采购人所在地法院管辖。 </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八、合同生效及其它</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本合同经甲、乙双方加盖电子签章后生效。如有变动，必须经甲方、乙方协商一致后，方可更改。</w:t>
      </w:r>
      <w:r/>
    </w:p>
    <w:p>
      <w:pPr>
        <w:ind w:firstLine="549"/>
        <w:spacing w:line="520" w:lineRule="exact"/>
        <w:rPr>
          <w:rFonts w:hint="eastAsia" w:ascii="仿宋" w:hAnsi="仿宋" w:eastAsia="仿宋" w:cs="仿宋"/>
          <w:sz w:val="28"/>
          <w:szCs w:val="28"/>
        </w:rPr>
      </w:pPr>
      <w:r>
        <w:rPr>
          <w:rFonts w:hint="eastAsia" w:ascii="仿宋" w:hAnsi="仿宋" w:eastAsia="仿宋" w:cs="仿宋"/>
          <w:sz w:val="28"/>
          <w:szCs w:val="28"/>
        </w:rPr>
        <w:t xml:space="preserve">九、组成本合同的文件包括</w:t>
      </w:r>
      <w:r/>
    </w:p>
    <w:p>
      <w:pPr>
        <w:ind w:firstLine="566"/>
        <w:spacing w:line="520" w:lineRule="exact"/>
        <w:rPr>
          <w:rFonts w:hint="eastAsia" w:ascii="仿宋" w:hAnsi="仿宋" w:eastAsia="仿宋" w:cs="仿宋"/>
          <w:sz w:val="28"/>
          <w:szCs w:val="28"/>
        </w:rPr>
      </w:pPr>
      <w:r>
        <w:rPr>
          <w:rFonts w:hint="eastAsia" w:ascii="仿宋" w:hAnsi="仿宋" w:eastAsia="仿宋" w:cs="仿宋"/>
          <w:sz w:val="28"/>
          <w:szCs w:val="28"/>
        </w:rPr>
        <w:t xml:space="preserve">1、合同格式及条款；</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3、中标通知书；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4、甲乙双方商定的其他必要文件。 上述合同文件内容互为补充，如有不明确，由甲方负责解释。</w:t>
      </w:r>
      <w:r/>
    </w:p>
    <w:p>
      <w:pPr>
        <w:pStyle w:val="649"/>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649"/>
        <w:spacing w:line="520" w:lineRule="exact"/>
        <w:rPr>
          <w:rFonts w:hint="eastAsia" w:ascii="仿宋" w:hAnsi="仿宋" w:eastAsia="仿宋" w:cs="仿宋"/>
          <w:sz w:val="28"/>
          <w:szCs w:val="24"/>
        </w:rPr>
      </w:pPr>
      <w:r>
        <w:rPr>
          <w:rFonts w:hint="eastAsia" w:ascii="仿宋" w:hAnsi="仿宋" w:eastAsia="仿宋" w:cs="仿宋"/>
          <w:sz w:val="28"/>
          <w:szCs w:val="28"/>
        </w:rPr>
        <w:t xml:space="preserve">甲</w:t>
      </w:r>
      <w:r>
        <w:rPr>
          <w:rFonts w:hint="eastAsia" w:ascii="仿宋" w:hAnsi="仿宋" w:eastAsia="仿宋" w:cs="仿宋"/>
          <w:sz w:val="28"/>
          <w:szCs w:val="24"/>
        </w:rPr>
        <w:t xml:space="preserve">    方:                          </w:t>
      </w:r>
      <w:r>
        <w:rPr>
          <w:rFonts w:hint="eastAsia" w:ascii="仿宋" w:hAnsi="仿宋" w:eastAsia="仿宋" w:cs="仿宋"/>
          <w:sz w:val="28"/>
          <w:szCs w:val="28"/>
        </w:rPr>
        <w:t xml:space="preserve">乙</w:t>
      </w:r>
      <w:r>
        <w:rPr>
          <w:rFonts w:hint="eastAsia" w:ascii="仿宋" w:hAnsi="仿宋" w:eastAsia="仿宋" w:cs="仿宋"/>
          <w:sz w:val="28"/>
          <w:szCs w:val="24"/>
        </w:rPr>
        <w:t xml:space="preserve">    方:</w:t>
      </w:r>
      <w:r/>
    </w:p>
    <w:p>
      <w:pPr>
        <w:pStyle w:val="649"/>
        <w:spacing w:line="520" w:lineRule="exact"/>
        <w:rPr>
          <w:rFonts w:hint="eastAsia" w:ascii="仿宋" w:hAnsi="仿宋" w:eastAsia="仿宋" w:cs="仿宋"/>
          <w:sz w:val="28"/>
          <w:szCs w:val="24"/>
        </w:rPr>
      </w:pPr>
      <w:r>
        <w:rPr>
          <w:rFonts w:hint="eastAsia" w:ascii="仿宋" w:hAnsi="仿宋" w:eastAsia="仿宋" w:cs="仿宋"/>
          <w:sz w:val="28"/>
          <w:szCs w:val="24"/>
        </w:rPr>
        <w:t xml:space="preserve">单位盖章:（电子签章）              单位盖章:（电子签章）</w:t>
      </w:r>
      <w:r/>
    </w:p>
    <w:p>
      <w:pPr>
        <w:pStyle w:val="649"/>
        <w:spacing w:line="520" w:lineRule="exact"/>
        <w:rPr>
          <w:rFonts w:hint="eastAsia" w:ascii="仿宋" w:hAnsi="仿宋" w:eastAsia="仿宋" w:cs="仿宋"/>
          <w:sz w:val="28"/>
          <w:szCs w:val="24"/>
        </w:rPr>
      </w:pPr>
      <w:r>
        <w:rPr>
          <w:rFonts w:hint="eastAsia" w:ascii="仿宋" w:hAnsi="仿宋" w:eastAsia="仿宋" w:cs="仿宋"/>
          <w:sz w:val="28"/>
          <w:szCs w:val="24"/>
        </w:rPr>
        <w:t xml:space="preserve">代表签字:                          代表签字:</w:t>
      </w:r>
      <w:r/>
    </w:p>
    <w:p>
      <w:pPr>
        <w:pStyle w:val="649"/>
        <w:spacing w:line="520" w:lineRule="exact"/>
        <w:rPr>
          <w:rFonts w:hint="eastAsia" w:ascii="仿宋" w:hAnsi="仿宋" w:eastAsia="仿宋" w:cs="仿宋"/>
          <w:sz w:val="28"/>
          <w:szCs w:val="24"/>
        </w:rPr>
      </w:pPr>
      <w:r>
        <w:rPr>
          <w:rFonts w:hint="eastAsia" w:ascii="仿宋" w:hAnsi="仿宋" w:eastAsia="仿宋" w:cs="仿宋"/>
          <w:sz w:val="28"/>
          <w:szCs w:val="24"/>
        </w:rPr>
        <w:t xml:space="preserve">签定日期:                          签定日期:</w:t>
      </w:r>
      <w:r/>
    </w:p>
    <w:p>
      <w:pPr>
        <w:ind w:firstLine="2492"/>
        <w:spacing w:line="640" w:lineRule="exact"/>
        <w:tabs>
          <w:tab w:val="left" w:pos="180" w:leader="none"/>
        </w:tabs>
        <w:rPr>
          <w:rFonts w:hint="eastAsia" w:ascii="仿宋" w:hAnsi="仿宋" w:eastAsia="仿宋" w:cs="仿宋"/>
          <w:sz w:val="28"/>
          <w:szCs w:val="28"/>
        </w:rPr>
      </w:pPr>
      <w:r>
        <w:rPr>
          <w:rFonts w:hint="eastAsia" w:ascii="仿宋" w:hAnsi="仿宋" w:eastAsia="仿宋" w:cs="仿宋"/>
          <w:sz w:val="28"/>
          <w:szCs w:val="28"/>
        </w:rPr>
      </w:r>
      <w:r/>
    </w:p>
    <w:p>
      <w:pPr>
        <w:ind w:firstLine="2492"/>
        <w:spacing w:line="640" w:lineRule="exact"/>
        <w:tabs>
          <w:tab w:val="left" w:pos="180" w:leader="none"/>
        </w:tabs>
        <w:rPr>
          <w:rFonts w:hint="eastAsia" w:ascii="仿宋" w:hAnsi="仿宋" w:eastAsia="仿宋" w:cs="仿宋"/>
          <w:sz w:val="28"/>
          <w:szCs w:val="28"/>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cs="仿宋"/>
          <w:sz w:val="28"/>
          <w:szCs w:val="28"/>
        </w:rPr>
      </w:r>
      <w:r/>
    </w:p>
    <w:p>
      <w:pPr>
        <w:ind w:firstLine="3114"/>
        <w:spacing w:line="520" w:lineRule="exact"/>
        <w:tabs>
          <w:tab w:val="left" w:pos="180" w:leader="none"/>
        </w:tabs>
        <w:rPr>
          <w:rFonts w:hint="eastAsia" w:ascii="仿宋" w:hAnsi="仿宋" w:eastAsia="仿宋" w:cs="仿宋"/>
          <w:sz w:val="28"/>
          <w:szCs w:val="28"/>
        </w:rPr>
      </w:pPr>
      <w:r>
        <w:rPr>
          <w:rFonts w:hint="eastAsia" w:ascii="仿宋" w:hAnsi="仿宋" w:eastAsia="仿宋" w:cs="仿宋"/>
          <w:sz w:val="28"/>
          <w:szCs w:val="28"/>
        </w:rPr>
        <w:t xml:space="preserve">二、合同条款</w:t>
      </w:r>
      <w:r/>
    </w:p>
    <w:p>
      <w:pPr>
        <w:spacing w:line="520" w:lineRule="exact"/>
        <w:rPr>
          <w:rFonts w:hint="eastAsia" w:ascii="仿宋" w:hAnsi="仿宋" w:eastAsia="仿宋" w:cs="仿宋"/>
          <w:sz w:val="28"/>
        </w:rPr>
      </w:pPr>
      <w:r>
        <w:rPr>
          <w:rFonts w:hint="eastAsia" w:ascii="仿宋" w:hAnsi="仿宋" w:eastAsia="仿宋" w:cs="仿宋"/>
          <w:sz w:val="28"/>
        </w:rPr>
        <w:t xml:space="preserve">1.定义</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本合同中下列术语应解释为</w:t>
      </w:r>
      <w:r>
        <w:rPr>
          <w:rFonts w:hint="eastAsia" w:ascii="仿宋" w:hAnsi="仿宋" w:eastAsia="仿宋" w:cs="仿宋"/>
          <w:sz w:val="28"/>
          <w:szCs w:val="28"/>
        </w:rPr>
        <w:t xml:space="preserve">:</w:t>
      </w:r>
      <w:r/>
    </w:p>
    <w:p>
      <w:pPr>
        <w:ind w:firstLine="420"/>
        <w:spacing w:line="520" w:lineRule="exact"/>
        <w:rPr>
          <w:rFonts w:hint="eastAsia" w:ascii="仿宋" w:hAnsi="仿宋" w:eastAsia="仿宋" w:cs="仿宋"/>
          <w:sz w:val="28"/>
        </w:rPr>
      </w:pPr>
      <w:r>
        <w:rPr>
          <w:rFonts w:hint="eastAsia" w:ascii="仿宋" w:hAnsi="仿宋" w:eastAsia="仿宋" w:cs="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s="仿宋"/>
          <w:sz w:val="28"/>
        </w:rPr>
      </w:pPr>
      <w:r>
        <w:rPr>
          <w:rFonts w:hint="eastAsia" w:ascii="仿宋" w:hAnsi="仿宋" w:eastAsia="仿宋" w:cs="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cs="仿宋"/>
          <w:sz w:val="28"/>
        </w:rPr>
      </w:pPr>
      <w:r>
        <w:rPr>
          <w:rFonts w:hint="eastAsia" w:ascii="仿宋" w:hAnsi="仿宋" w:eastAsia="仿宋" w:cs="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s="仿宋"/>
          <w:sz w:val="28"/>
        </w:rPr>
      </w:pPr>
      <w:r>
        <w:rPr>
          <w:rFonts w:hint="eastAsia" w:ascii="仿宋" w:hAnsi="仿宋" w:eastAsia="仿宋" w:cs="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cs="仿宋"/>
          <w:sz w:val="28"/>
        </w:rPr>
      </w:pPr>
      <w:r>
        <w:rPr>
          <w:rFonts w:hint="eastAsia" w:ascii="仿宋" w:hAnsi="仿宋" w:eastAsia="仿宋" w:cs="仿宋"/>
          <w:sz w:val="28"/>
        </w:rPr>
        <w:t xml:space="preserve">（5）“甲方”系指购买货物（含软件及相关服务）的单位。</w:t>
      </w:r>
      <w:r/>
    </w:p>
    <w:p>
      <w:pPr>
        <w:ind w:firstLine="420"/>
        <w:spacing w:line="520" w:lineRule="exact"/>
        <w:rPr>
          <w:rFonts w:hint="eastAsia" w:ascii="仿宋" w:hAnsi="仿宋" w:eastAsia="仿宋" w:cs="仿宋"/>
          <w:sz w:val="28"/>
        </w:rPr>
      </w:pPr>
      <w:r>
        <w:rPr>
          <w:rFonts w:hint="eastAsia" w:ascii="仿宋" w:hAnsi="仿宋" w:eastAsia="仿宋" w:cs="仿宋"/>
          <w:sz w:val="28"/>
        </w:rPr>
        <w:t xml:space="preserve">（6）“乙方”系指根据合同规定提供货物（含软件及相关服务）和服务的投标人。</w:t>
      </w:r>
      <w:r/>
    </w:p>
    <w:p>
      <w:pPr>
        <w:spacing w:line="520" w:lineRule="exact"/>
        <w:rPr>
          <w:rFonts w:hint="eastAsia" w:ascii="仿宋" w:hAnsi="仿宋" w:eastAsia="仿宋" w:cs="仿宋"/>
          <w:bCs/>
          <w:sz w:val="28"/>
        </w:rPr>
      </w:pPr>
      <w:r>
        <w:rPr>
          <w:rFonts w:hint="eastAsia" w:ascii="仿宋" w:hAnsi="仿宋" w:eastAsia="仿宋" w:cs="仿宋"/>
          <w:bCs/>
          <w:sz w:val="28"/>
        </w:rPr>
        <w:t xml:space="preserve">2.技术规范</w:t>
      </w:r>
      <w:r/>
    </w:p>
    <w:p>
      <w:pPr>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hint="eastAsia" w:ascii="仿宋" w:hAnsi="仿宋" w:eastAsia="仿宋" w:cs="仿宋"/>
          <w:sz w:val="28"/>
        </w:rPr>
      </w:pPr>
      <w:r>
        <w:rPr>
          <w:rFonts w:hint="eastAsia" w:ascii="仿宋" w:hAnsi="仿宋" w:eastAsia="仿宋" w:cs="仿宋"/>
          <w:sz w:val="28"/>
        </w:rPr>
        <w:t xml:space="preserve">3.专利权</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3.1乙方须保障甲方在使用该货物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s="仿宋"/>
          <w:sz w:val="28"/>
        </w:rPr>
      </w:pPr>
      <w:r>
        <w:rPr>
          <w:rFonts w:hint="eastAsia" w:ascii="仿宋" w:hAnsi="仿宋" w:eastAsia="仿宋" w:cs="仿宋"/>
          <w:sz w:val="28"/>
        </w:rPr>
        <w:t xml:space="preserve">4.包装要求</w:t>
      </w:r>
      <w:r/>
    </w:p>
    <w:p>
      <w:pPr>
        <w:ind w:firstLine="560"/>
        <w:spacing w:line="520" w:lineRule="exact"/>
        <w:rPr>
          <w:rFonts w:hint="eastAsia" w:ascii="仿宋" w:hAnsi="仿宋" w:eastAsia="仿宋" w:cs="仿宋"/>
          <w:sz w:val="28"/>
        </w:rPr>
      </w:pPr>
      <w:r>
        <w:rPr>
          <w:rFonts w:hint="eastAsia" w:ascii="仿宋" w:hAnsi="仿宋" w:eastAsia="仿宋" w:cs="仿宋"/>
          <w:sz w:val="28"/>
          <w:szCs w:val="28"/>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4.2除合同另有规定外，乙方提供的全部货物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均应按相应的标准保护措施进行包装，使包装适应于远距离运输、防潮、防震、防锈和防粗暴装卸，确保货物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安全无损运抵制现场。由于包装不善所引起的货物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锈蚀、损坏和损失均由乙方承担。</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4.3每件包装箱内应附一份详细装箱单和质量合格证。</w:t>
      </w:r>
      <w:r/>
    </w:p>
    <w:p>
      <w:pPr>
        <w:spacing w:line="520" w:lineRule="exact"/>
        <w:rPr>
          <w:rFonts w:hint="eastAsia" w:ascii="仿宋" w:hAnsi="仿宋" w:eastAsia="仿宋" w:cs="仿宋"/>
          <w:sz w:val="28"/>
        </w:rPr>
      </w:pPr>
      <w:r>
        <w:rPr>
          <w:rFonts w:hint="eastAsia" w:ascii="仿宋" w:hAnsi="仿宋" w:eastAsia="仿宋" w:cs="仿宋"/>
          <w:sz w:val="28"/>
        </w:rPr>
        <w:t xml:space="preserve">5.装运标志</w:t>
      </w:r>
      <w:r/>
    </w:p>
    <w:p>
      <w:pPr>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5.1 乙方应在每一包装箱邻接的四侧用不褪色的油漆以醒目的中文字样做出下列标记: </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（1）收货人 </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（2）合同号 </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（3）装运标志 </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（4）收货人代号 </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（5）目的地 </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（6）货物（含软件及相关服务）名称、品目号和箱号</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（7）毛重／净重 </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（8）尺寸（长X宽X高，以厘米计） </w:t>
      </w:r>
      <w:r/>
    </w:p>
    <w:p>
      <w:pPr>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5.3因缺少装运标志或者装运标志不明确导致货物在运输、装卸过程中产生的损失，乙方应承担相应的过错责任。</w:t>
      </w:r>
      <w:r/>
    </w:p>
    <w:p>
      <w:pPr>
        <w:spacing w:line="520" w:lineRule="exact"/>
        <w:rPr>
          <w:rFonts w:hint="eastAsia" w:ascii="仿宋" w:hAnsi="仿宋" w:eastAsia="仿宋" w:cs="仿宋"/>
          <w:sz w:val="28"/>
        </w:rPr>
      </w:pPr>
      <w:r>
        <w:rPr>
          <w:rFonts w:hint="eastAsia" w:ascii="仿宋" w:hAnsi="仿宋" w:eastAsia="仿宋" w:cs="仿宋"/>
          <w:sz w:val="28"/>
        </w:rPr>
        <w:t xml:space="preserve">6.付款方式</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6.1本合同以人民币付款。</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（1）发票；</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（2）制造厂家出具的质量检验证书等；</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（3）装箱单；</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（4）验收合格证；</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（5）使用方加盖公章证明货物交付使用合格的验收表。</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6.3甲方将按招标文件中规定的付款方式安排付款。</w:t>
      </w:r>
      <w:r/>
    </w:p>
    <w:p>
      <w:pPr>
        <w:spacing w:line="520" w:lineRule="exact"/>
        <w:rPr>
          <w:rFonts w:hint="eastAsia" w:ascii="仿宋" w:hAnsi="仿宋" w:eastAsia="仿宋" w:cs="仿宋"/>
          <w:sz w:val="28"/>
        </w:rPr>
      </w:pPr>
      <w:r>
        <w:rPr>
          <w:rFonts w:hint="eastAsia" w:ascii="仿宋" w:hAnsi="仿宋" w:eastAsia="仿宋" w:cs="仿宋"/>
          <w:sz w:val="28"/>
        </w:rPr>
        <w:t xml:space="preserve">7.伴随服务</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7.1乙方应按照国家有关规定和合同中所附的服务承诺提供服务。</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7.2除第7.1条规定外，乙方还应提供下列服务:</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（1）货物的现场安装和启动监督；</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（2）提供货物组装和维修所需的工具；</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s="仿宋"/>
          <w:sz w:val="28"/>
        </w:rPr>
      </w:pPr>
      <w:r>
        <w:rPr>
          <w:rFonts w:hint="eastAsia" w:ascii="仿宋" w:hAnsi="仿宋" w:eastAsia="仿宋" w:cs="仿宋"/>
          <w:sz w:val="28"/>
        </w:rPr>
        <w:t xml:space="preserve">（4）在项目交货现场就货物的安装、启动、运行、维护对甲方人员进行培训。</w:t>
      </w:r>
      <w:r/>
    </w:p>
    <w:p>
      <w:pPr>
        <w:ind w:firstLine="660"/>
        <w:spacing w:line="520" w:lineRule="exact"/>
        <w:rPr>
          <w:rFonts w:hint="eastAsia" w:ascii="仿宋" w:hAnsi="仿宋" w:eastAsia="仿宋" w:cs="仿宋"/>
          <w:sz w:val="28"/>
        </w:rPr>
      </w:pPr>
      <w:r>
        <w:rPr>
          <w:rFonts w:hint="eastAsia" w:ascii="仿宋" w:hAnsi="仿宋" w:eastAsia="仿宋" w:cs="仿宋"/>
          <w:sz w:val="28"/>
        </w:rPr>
        <w:t xml:space="preserve">7.3伴随服务的费用应含在合同价中，不单独进行支付。</w:t>
      </w:r>
      <w:r/>
    </w:p>
    <w:p>
      <w:pPr>
        <w:spacing w:line="520" w:lineRule="exact"/>
        <w:rPr>
          <w:rFonts w:hint="eastAsia" w:ascii="仿宋" w:hAnsi="仿宋" w:eastAsia="仿宋" w:cs="仿宋"/>
          <w:sz w:val="28"/>
        </w:rPr>
      </w:pPr>
      <w:r>
        <w:rPr>
          <w:rFonts w:hint="eastAsia" w:ascii="仿宋" w:hAnsi="仿宋" w:eastAsia="仿宋" w:cs="仿宋"/>
          <w:sz w:val="28"/>
        </w:rPr>
        <w:t xml:space="preserve">8.质量保证</w:t>
      </w:r>
      <w:r/>
    </w:p>
    <w:p>
      <w:pPr>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8.3 乙方在收到通知后三十天内应免费维修或更换有缺陷的货物（含软件及相关服务）或部件。 </w:t>
      </w:r>
      <w:r/>
    </w:p>
    <w:p>
      <w:pPr>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8.4 如果乙方在收到通知后三十天内没有弥补缺陷，甲方可采取必要的补救措施，但风险和费用将由乙方承担。</w:t>
      </w:r>
      <w:r/>
    </w:p>
    <w:p>
      <w:pPr>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8.5 除合同专用条款规定外，合同项下货物（含软件及相关服务）的质量保证期为自货物（含软件及相关服务）通过最终验收起12个月。</w:t>
      </w:r>
      <w:r/>
    </w:p>
    <w:p>
      <w:pPr>
        <w:spacing w:line="520" w:lineRule="exact"/>
        <w:rPr>
          <w:rFonts w:hint="eastAsia" w:ascii="仿宋" w:hAnsi="仿宋" w:eastAsia="仿宋" w:cs="仿宋"/>
          <w:sz w:val="28"/>
        </w:rPr>
      </w:pPr>
      <w:r>
        <w:rPr>
          <w:rFonts w:hint="eastAsia" w:ascii="仿宋" w:hAnsi="仿宋" w:eastAsia="仿宋" w:cs="仿宋"/>
          <w:sz w:val="28"/>
        </w:rPr>
        <w:t xml:space="preserve">9.检验及安装</w:t>
      </w:r>
      <w:r/>
    </w:p>
    <w:p>
      <w:pPr>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仿宋" w:hAnsi="仿宋" w:eastAsia="仿宋" w:cs="仿宋"/>
          <w:b/>
          <w:sz w:val="28"/>
        </w:rPr>
      </w:pPr>
      <w:r>
        <w:rPr>
          <w:rFonts w:hint="eastAsia" w:ascii="仿宋" w:hAnsi="仿宋" w:eastAsia="仿宋" w:cs="仿宋"/>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hint="eastAsia" w:ascii="仿宋" w:hAnsi="仿宋" w:eastAsia="仿宋" w:cs="仿宋"/>
          <w:b/>
          <w:sz w:val="28"/>
        </w:rPr>
      </w:pPr>
      <w:r>
        <w:rPr>
          <w:rFonts w:hint="eastAsia" w:ascii="仿宋" w:hAnsi="仿宋" w:eastAsia="仿宋" w:cs="仿宋"/>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9.4 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9.5 制造厂对所供货物（含软件及相关服务）进行机械运转试验和性能试验时，必须提前通知甲方。 </w:t>
      </w:r>
      <w:r/>
    </w:p>
    <w:p>
      <w:pPr>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9.6 货物（含软件及相关服务）的安装按招标文件要求进行。</w:t>
      </w:r>
      <w:r/>
    </w:p>
    <w:p>
      <w:pPr>
        <w:spacing w:line="520" w:lineRule="exact"/>
        <w:rPr>
          <w:rFonts w:hint="eastAsia" w:ascii="仿宋" w:hAnsi="仿宋" w:eastAsia="仿宋" w:cs="仿宋"/>
          <w:sz w:val="28"/>
        </w:rPr>
      </w:pPr>
      <w:r>
        <w:rPr>
          <w:rFonts w:hint="eastAsia" w:ascii="仿宋" w:hAnsi="仿宋" w:eastAsia="仿宋" w:cs="仿宋"/>
          <w:sz w:val="28"/>
        </w:rPr>
        <w:t xml:space="preserve">10.索赔</w:t>
      </w:r>
      <w:r/>
    </w:p>
    <w:p>
      <w:pPr>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10.1 除责任应由保险公司或运输部门承担的之外，甲方有权根据甲方按检验标准自己检验的结果或当地商检部门出具的商检证书向乙方提出索赔。 </w:t>
      </w:r>
      <w:r/>
    </w:p>
    <w:p>
      <w:pPr>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10.2 在第 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hint="eastAsia" w:ascii="仿宋" w:hAnsi="仿宋" w:eastAsia="仿宋" w:cs="仿宋"/>
          <w:sz w:val="28"/>
        </w:rPr>
      </w:pPr>
      <w:r>
        <w:rPr>
          <w:rFonts w:hint="eastAsia" w:ascii="仿宋" w:hAnsi="仿宋" w:eastAsia="仿宋" w:cs="仿宋"/>
          <w:sz w:val="28"/>
        </w:rPr>
        <w:t xml:space="preserve">11.拖延交货</w:t>
      </w:r>
      <w:r/>
    </w:p>
    <w:p>
      <w:pPr>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11.1 乙方应按照合同专用条款中规定的交货期交货和提供服务。 </w:t>
      </w:r>
      <w:r/>
    </w:p>
    <w:p>
      <w:pPr>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11.2 如果乙方毫无理由地拖延交货，将受到以下制裁:没收履约保证金，加收违约损失赔偿</w:t>
      </w:r>
      <w:r>
        <w:rPr>
          <w:rFonts w:hint="eastAsia" w:ascii="仿宋" w:hAnsi="仿宋" w:eastAsia="仿宋" w:cs="仿宋"/>
          <w:sz w:val="28"/>
          <w:szCs w:val="28"/>
          <w:u w:val="single"/>
        </w:rPr>
        <w:t xml:space="preserve">和／或</w:t>
      </w:r>
      <w:r>
        <w:rPr>
          <w:rFonts w:hint="eastAsia" w:ascii="仿宋" w:hAnsi="仿宋" w:eastAsia="仿宋" w:cs="仿宋"/>
          <w:sz w:val="28"/>
          <w:szCs w:val="28"/>
        </w:rPr>
        <w:t xml:space="preserve">终止合同。 </w:t>
      </w:r>
      <w:r/>
    </w:p>
    <w:p>
      <w:pPr>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hint="eastAsia" w:ascii="仿宋" w:hAnsi="仿宋" w:eastAsia="仿宋" w:cs="仿宋"/>
          <w:sz w:val="28"/>
          <w:szCs w:val="28"/>
        </w:rPr>
      </w:pPr>
      <w:r>
        <w:rPr>
          <w:rFonts w:hint="eastAsia" w:ascii="仿宋" w:hAnsi="仿宋" w:eastAsia="仿宋" w:cs="仿宋"/>
          <w:sz w:val="28"/>
        </w:rPr>
        <w:t xml:space="preserve">12.误期赔偿</w:t>
      </w:r>
      <w:r/>
    </w:p>
    <w:p>
      <w:pPr>
        <w:ind w:firstLine="567"/>
        <w:spacing w:line="520" w:lineRule="exact"/>
        <w:rPr>
          <w:rFonts w:hint="eastAsia" w:ascii="仿宋" w:hAnsi="仿宋" w:eastAsia="仿宋" w:cs="仿宋"/>
          <w:sz w:val="28"/>
          <w:szCs w:val="28"/>
        </w:rPr>
      </w:pPr>
      <w:r>
        <w:rPr>
          <w:rFonts w:hint="eastAsia" w:ascii="仿宋" w:hAnsi="仿宋" w:eastAsia="仿宋" w:cs="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仿宋" w:hAnsi="仿宋" w:eastAsia="仿宋" w:cs="仿宋"/>
          <w:sz w:val="28"/>
          <w:szCs w:val="28"/>
        </w:rPr>
      </w:pPr>
      <w:r>
        <w:rPr>
          <w:rFonts w:hint="eastAsia" w:ascii="仿宋" w:hAnsi="仿宋" w:eastAsia="仿宋" w:cs="仿宋"/>
          <w:sz w:val="28"/>
        </w:rPr>
        <w:t xml:space="preserve">13.不可抗力</w:t>
      </w:r>
      <w:r/>
    </w:p>
    <w:p>
      <w:pPr>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仿宋" w:hAnsi="仿宋" w:eastAsia="仿宋" w:cs="仿宋"/>
          <w:sz w:val="28"/>
        </w:rPr>
      </w:pPr>
      <w:r>
        <w:rPr>
          <w:rFonts w:hint="eastAsia" w:ascii="仿宋" w:hAnsi="仿宋" w:eastAsia="仿宋" w:cs="仿宋"/>
          <w:sz w:val="28"/>
        </w:rPr>
        <w:t xml:space="preserve">14.税费</w:t>
      </w:r>
      <w:r/>
    </w:p>
    <w:p>
      <w:pPr>
        <w:ind w:firstLine="567"/>
        <w:spacing w:line="520" w:lineRule="exact"/>
        <w:rPr>
          <w:rFonts w:hint="eastAsia" w:ascii="仿宋" w:hAnsi="仿宋" w:eastAsia="仿宋" w:cs="仿宋"/>
          <w:sz w:val="28"/>
        </w:rPr>
      </w:pPr>
      <w:r>
        <w:rPr>
          <w:rFonts w:hint="eastAsia" w:ascii="仿宋" w:hAnsi="仿宋" w:eastAsia="仿宋" w:cs="仿宋"/>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cs="仿宋"/>
          <w:sz w:val="28"/>
        </w:rPr>
      </w:pPr>
      <w:r>
        <w:rPr>
          <w:rFonts w:hint="eastAsia" w:ascii="仿宋" w:hAnsi="仿宋" w:eastAsia="仿宋" w:cs="仿宋"/>
          <w:sz w:val="28"/>
        </w:rPr>
        <w:t xml:space="preserve">14.2中国政府根据现行税法规定对乙方征收的与本合同有关的一切税费均由乙方负担。</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15.仲裁</w:t>
      </w:r>
      <w:r/>
    </w:p>
    <w:p>
      <w:pPr>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15.1 买卖双方应通过友好协商，解决在执行本合同中所发生的或与本合同有关的一切争端，如果协商仍得不到解决，任何一方均可按“中华人民共和国合同法”规定提交调解和仲裁。 </w:t>
      </w:r>
      <w:r/>
    </w:p>
    <w:p>
      <w:pPr>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15.2 仲裁裁决应为终局裁决，对双方均具有约束力。 </w:t>
      </w:r>
      <w:r/>
    </w:p>
    <w:p>
      <w:pPr>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15.3 仲裁费除仲裁机构另有裁决外应由败诉方负担。</w:t>
      </w:r>
      <w:r/>
    </w:p>
    <w:p>
      <w:pPr>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15.4 在仲裁期间，除正在进行仲裁的部分外，合同其它部分继续执行。</w:t>
      </w:r>
      <w:r>
        <w:rPr>
          <w:rFonts w:hint="eastAsia" w:ascii="仿宋" w:hAnsi="仿宋" w:eastAsia="仿宋" w:cs="仿宋"/>
          <w:b/>
          <w:sz w:val="28"/>
          <w:szCs w:val="28"/>
        </w:rPr>
        <w:t xml:space="preserve"> </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16.违约终止合同</w:t>
      </w:r>
      <w:r/>
    </w:p>
    <w:p>
      <w:pPr>
        <w:pStyle w:val="650"/>
        <w:ind w:firstLine="560"/>
        <w:spacing w:line="520" w:lineRule="exact"/>
        <w:rPr>
          <w:rFonts w:hint="eastAsia" w:hAnsi="仿宋"/>
          <w:sz w:val="28"/>
          <w:szCs w:val="28"/>
        </w:rPr>
      </w:pPr>
      <w:r>
        <w:rPr>
          <w:rFonts w:hint="eastAsia" w:hAnsi="仿宋"/>
          <w:sz w:val="28"/>
          <w:szCs w:val="28"/>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650"/>
        <w:ind w:firstLine="560"/>
        <w:spacing w:line="520" w:lineRule="exact"/>
        <w:rPr>
          <w:rFonts w:hint="eastAsia" w:hAnsi="仿宋"/>
          <w:sz w:val="28"/>
          <w:szCs w:val="28"/>
        </w:rPr>
      </w:pPr>
      <w:r>
        <w:rPr>
          <w:rFonts w:hint="eastAsia" w:hAnsi="仿宋"/>
          <w:sz w:val="28"/>
          <w:szCs w:val="28"/>
        </w:rPr>
        <w:t xml:space="preserve">（1）如果乙方未能在合同规定的期限或甲方同意延期的限期内提供全部或部分货物（含软件及相关服务）； </w:t>
      </w:r>
      <w:r/>
    </w:p>
    <w:p>
      <w:pPr>
        <w:pStyle w:val="650"/>
        <w:ind w:firstLine="560"/>
        <w:spacing w:line="520" w:lineRule="exact"/>
        <w:rPr>
          <w:rFonts w:hint="eastAsia" w:hAnsi="仿宋"/>
          <w:sz w:val="28"/>
          <w:szCs w:val="28"/>
        </w:rPr>
      </w:pPr>
      <w:r>
        <w:rPr>
          <w:rFonts w:hint="eastAsia" w:hAnsi="仿宋"/>
          <w:sz w:val="28"/>
          <w:szCs w:val="28"/>
        </w:rPr>
        <w:t xml:space="preserve">（2）如果乙方未能履行合同规定的其它义务。 </w:t>
      </w:r>
      <w:r/>
    </w:p>
    <w:p>
      <w:pPr>
        <w:pStyle w:val="650"/>
        <w:ind w:firstLine="560"/>
        <w:spacing w:line="520" w:lineRule="exact"/>
        <w:rPr>
          <w:rFonts w:hint="eastAsia" w:hAnsi="仿宋"/>
          <w:sz w:val="28"/>
          <w:szCs w:val="28"/>
        </w:rPr>
      </w:pPr>
      <w:r>
        <w:rPr>
          <w:rFonts w:hint="eastAsia" w:hAnsi="仿宋"/>
          <w:sz w:val="28"/>
          <w:szCs w:val="28"/>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649"/>
        <w:spacing w:line="520" w:lineRule="exact"/>
        <w:rPr>
          <w:rFonts w:hint="eastAsia" w:ascii="仿宋" w:hAnsi="仿宋" w:eastAsia="仿宋" w:cs="仿宋"/>
          <w:sz w:val="28"/>
        </w:rPr>
      </w:pPr>
      <w:r>
        <w:rPr>
          <w:rFonts w:hint="eastAsia" w:ascii="仿宋" w:hAnsi="仿宋" w:eastAsia="仿宋" w:cs="仿宋"/>
          <w:sz w:val="28"/>
        </w:rPr>
        <w:t xml:space="preserve">17.破产中止合同</w:t>
      </w:r>
      <w:r/>
    </w:p>
    <w:p>
      <w:pPr>
        <w:pStyle w:val="649"/>
        <w:spacing w:line="520" w:lineRule="exact"/>
        <w:rPr>
          <w:rFonts w:hint="eastAsia" w:ascii="仿宋" w:hAnsi="仿宋" w:eastAsia="仿宋" w:cs="仿宋"/>
          <w:sz w:val="28"/>
          <w:szCs w:val="24"/>
        </w:rPr>
      </w:pPr>
      <w:r>
        <w:rPr>
          <w:rFonts w:hint="eastAsia" w:ascii="仿宋" w:hAnsi="仿宋" w:eastAsia="仿宋" w:cs="仿宋"/>
          <w:sz w:val="28"/>
        </w:rPr>
        <w:t xml:space="preserve">   </w:t>
      </w:r>
      <w:r>
        <w:rPr>
          <w:rFonts w:hint="eastAsia" w:ascii="仿宋" w:hAnsi="仿宋" w:eastAsia="仿宋" w:cs="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649"/>
        <w:spacing w:line="520" w:lineRule="exact"/>
        <w:rPr>
          <w:rFonts w:hint="eastAsia" w:ascii="仿宋" w:hAnsi="仿宋" w:eastAsia="仿宋" w:cs="仿宋"/>
          <w:sz w:val="28"/>
        </w:rPr>
      </w:pPr>
      <w:r>
        <w:rPr>
          <w:rFonts w:hint="eastAsia" w:ascii="仿宋" w:hAnsi="仿宋" w:eastAsia="仿宋" w:cs="仿宋"/>
          <w:sz w:val="28"/>
        </w:rPr>
        <w:t xml:space="preserve">18.转让</w:t>
      </w:r>
      <w:r/>
    </w:p>
    <w:p>
      <w:pPr>
        <w:pStyle w:val="649"/>
        <w:spacing w:line="520" w:lineRule="exact"/>
        <w:rPr>
          <w:rFonts w:hint="eastAsia" w:ascii="仿宋" w:hAnsi="仿宋" w:eastAsia="仿宋" w:cs="仿宋"/>
          <w:sz w:val="28"/>
        </w:rPr>
      </w:pPr>
      <w:r>
        <w:rPr>
          <w:rFonts w:hint="eastAsia" w:ascii="仿宋" w:hAnsi="仿宋" w:eastAsia="仿宋" w:cs="仿宋"/>
          <w:sz w:val="28"/>
        </w:rPr>
        <w:t xml:space="preserve">    </w:t>
      </w:r>
      <w:r>
        <w:rPr>
          <w:rFonts w:hint="eastAsia" w:ascii="仿宋" w:hAnsi="仿宋" w:eastAsia="仿宋" w:cs="仿宋"/>
          <w:sz w:val="28"/>
          <w:szCs w:val="24"/>
        </w:rPr>
        <w:t xml:space="preserve">18.1 除甲方事先书面同意外，乙方不得部分转让或全部转让其应履行的合同义务。</w:t>
      </w:r>
      <w:r/>
    </w:p>
    <w:p>
      <w:pPr>
        <w:pStyle w:val="649"/>
        <w:spacing w:line="520" w:lineRule="exact"/>
        <w:rPr>
          <w:rFonts w:hint="eastAsia" w:ascii="仿宋" w:hAnsi="仿宋" w:eastAsia="仿宋" w:cs="仿宋"/>
          <w:sz w:val="28"/>
        </w:rPr>
      </w:pPr>
      <w:r>
        <w:rPr>
          <w:rFonts w:hint="eastAsia" w:ascii="仿宋" w:hAnsi="仿宋" w:eastAsia="仿宋" w:cs="仿宋"/>
          <w:sz w:val="28"/>
        </w:rPr>
        <w:t xml:space="preserve">19.合同生效及其它</w:t>
      </w:r>
      <w:r/>
    </w:p>
    <w:p>
      <w:pPr>
        <w:spacing w:line="520" w:lineRule="exact"/>
        <w:rPr>
          <w:rFonts w:hint="eastAsia" w:ascii="仿宋" w:hAnsi="仿宋" w:eastAsia="仿宋" w:cs="仿宋"/>
          <w:b/>
          <w:color w:val="000000"/>
          <w:sz w:val="28"/>
          <w:szCs w:val="28"/>
        </w:rPr>
      </w:pPr>
      <w:r>
        <w:rPr>
          <w:rFonts w:hint="eastAsia" w:ascii="仿宋" w:hAnsi="仿宋" w:eastAsia="仿宋" w:cs="仿宋"/>
        </w:rPr>
        <w:t xml:space="preserve">   </w:t>
      </w:r>
      <w:r>
        <w:rPr>
          <w:rFonts w:hint="eastAsia" w:ascii="仿宋" w:hAnsi="仿宋" w:eastAsia="仿宋" w:cs="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649"/>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19.2</w:t>
      </w:r>
      <w:r>
        <w:rPr>
          <w:rFonts w:hint="eastAsia" w:ascii="仿宋" w:hAnsi="仿宋" w:eastAsia="仿宋" w:cs="仿宋"/>
          <w:sz w:val="28"/>
          <w:szCs w:val="28"/>
        </w:rPr>
        <w:t xml:space="preserve">本合同经甲、乙双方加盖电子签章后生效。</w:t>
      </w:r>
      <w:r>
        <w:rPr>
          <w:rFonts w:hint="eastAsia" w:ascii="仿宋" w:hAnsi="仿宋" w:eastAsia="仿宋" w:cs="仿宋"/>
          <w:sz w:val="28"/>
          <w:szCs w:val="24"/>
        </w:rPr>
        <w:t xml:space="preserve">    </w:t>
      </w:r>
      <w:r/>
    </w:p>
    <w:p>
      <w:pPr>
        <w:pStyle w:val="649"/>
        <w:spacing w:line="520" w:lineRule="exact"/>
        <w:rPr>
          <w:rFonts w:hint="eastAsia" w:ascii="仿宋" w:hAnsi="仿宋" w:eastAsia="仿宋" w:cs="仿宋"/>
          <w:sz w:val="28"/>
          <w:szCs w:val="24"/>
        </w:rPr>
      </w:pPr>
      <w:r>
        <w:rPr>
          <w:rFonts w:hint="eastAsia" w:ascii="仿宋" w:hAnsi="仿宋" w:eastAsia="仿宋" w:cs="仿宋"/>
          <w:sz w:val="28"/>
          <w:szCs w:val="24"/>
        </w:rPr>
        <w:t xml:space="preserve">    19.3合同货物交付使用后所发生的合同纠纷，甲方与乙方进行处理。</w:t>
      </w:r>
      <w:r/>
    </w:p>
    <w:p>
      <w:pPr>
        <w:pStyle w:val="649"/>
        <w:spacing w:line="520" w:lineRule="exact"/>
        <w:rPr>
          <w:rFonts w:hint="eastAsia" w:ascii="仿宋" w:hAnsi="仿宋" w:eastAsia="仿宋" w:cs="仿宋"/>
          <w:sz w:val="28"/>
          <w:szCs w:val="24"/>
        </w:rPr>
      </w:pPr>
      <w:r>
        <w:rPr>
          <w:rFonts w:hint="eastAsia" w:ascii="仿宋" w:hAnsi="仿宋" w:eastAsia="仿宋" w:cs="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cs="仿宋"/>
          <w:bCs/>
          <w:sz w:val="28"/>
          <w:szCs w:val="28"/>
        </w:rPr>
      </w:pPr>
      <w:r>
        <w:rPr>
          <w:rFonts w:hint="eastAsia" w:ascii="仿宋" w:hAnsi="仿宋" w:eastAsia="仿宋" w:cs="仿宋"/>
          <w:sz w:val="28"/>
        </w:rPr>
        <w:t xml:space="preserve">19.5本合同应按照中华人民共和国的现行法律进行解释。</w:t>
      </w:r>
      <w:r/>
    </w:p>
    <w:p>
      <w:pPr>
        <w:pStyle w:val="642"/>
        <w:ind w:firstLine="2150"/>
        <w:spacing w:line="440" w:lineRule="exact"/>
        <w:rPr>
          <w:rFonts w:hint="eastAsia" w:hAnsi="宋体"/>
          <w:b/>
          <w:bCs/>
          <w:sz w:val="36"/>
          <w:szCs w:val="36"/>
        </w:rPr>
      </w:pPr>
      <w:r>
        <w:rPr>
          <w:rFonts w:hint="eastAsia" w:hAnsi="宋体"/>
          <w:b/>
          <w:bCs/>
          <w:sz w:val="36"/>
          <w:szCs w:val="36"/>
        </w:rPr>
      </w:r>
      <w:r/>
    </w:p>
    <w:p>
      <w:pPr>
        <w:pStyle w:val="642"/>
        <w:ind w:firstLine="2150"/>
        <w:spacing w:line="440" w:lineRule="exact"/>
        <w:rPr>
          <w:rFonts w:hint="eastAsia" w:hAnsi="宋体"/>
          <w:b/>
          <w:bCs/>
          <w:sz w:val="36"/>
          <w:szCs w:val="36"/>
        </w:rPr>
      </w:pPr>
      <w:r>
        <w:rPr>
          <w:rFonts w:hint="eastAsia" w:hAnsi="宋体"/>
          <w:b/>
          <w:bCs/>
          <w:sz w:val="36"/>
          <w:szCs w:val="36"/>
        </w:rPr>
      </w:r>
      <w:r/>
    </w:p>
    <w:p>
      <w:pPr>
        <w:pStyle w:val="642"/>
        <w:ind w:firstLine="2150"/>
        <w:spacing w:line="440" w:lineRule="exact"/>
        <w:rPr>
          <w:rFonts w:hint="eastAsia" w:hAnsi="宋体"/>
          <w:b/>
          <w:bCs/>
          <w:sz w:val="36"/>
          <w:szCs w:val="36"/>
        </w:rPr>
      </w:pPr>
      <w:r>
        <w:rPr>
          <w:rFonts w:hint="eastAsia" w:hAnsi="宋体"/>
          <w:b/>
          <w:bCs/>
          <w:sz w:val="36"/>
          <w:szCs w:val="36"/>
        </w:rPr>
      </w:r>
      <w:r/>
    </w:p>
    <w:p>
      <w:pPr>
        <w:pStyle w:val="642"/>
        <w:ind w:firstLine="2150"/>
        <w:spacing w:line="440" w:lineRule="exact"/>
        <w:rPr>
          <w:rFonts w:hint="eastAsia" w:hAnsi="宋体"/>
          <w:b/>
          <w:bCs/>
          <w:sz w:val="36"/>
          <w:szCs w:val="36"/>
        </w:rPr>
      </w:pPr>
      <w:r>
        <w:rPr>
          <w:rFonts w:hint="eastAsia" w:hAnsi="宋体"/>
          <w:b/>
          <w:bCs/>
          <w:sz w:val="36"/>
          <w:szCs w:val="36"/>
        </w:rPr>
      </w:r>
      <w:r/>
    </w:p>
    <w:p>
      <w:pPr>
        <w:pStyle w:val="642"/>
        <w:ind w:firstLine="2331"/>
        <w:spacing w:line="520" w:lineRule="exact"/>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w:t>
      </w:r>
      <w:r/>
    </w:p>
    <w:p>
      <w:pPr>
        <w:pStyle w:val="642"/>
        <w:spacing w:line="520" w:lineRule="exact"/>
        <w:rPr>
          <w:rFonts w:hint="eastAsia" w:ascii="仿宋" w:hAnsi="仿宋" w:eastAsia="仿宋"/>
          <w:bCs/>
          <w:sz w:val="28"/>
          <w:szCs w:val="28"/>
          <w:lang w:eastAsia="zh-CN"/>
        </w:rPr>
      </w:pPr>
      <w:r>
        <w:rPr>
          <w:rFonts w:hint="eastAsia" w:ascii="仿宋" w:hAnsi="仿宋" w:eastAsia="仿宋"/>
          <w:bCs/>
          <w:sz w:val="28"/>
          <w:szCs w:val="28"/>
        </w:rPr>
        <w:t xml:space="preserve">一、采购清单</w:t>
      </w:r>
      <w:r>
        <w:rPr>
          <w:rFonts w:hint="eastAsia" w:ascii="仿宋" w:hAnsi="仿宋" w:eastAsia="仿宋"/>
          <w:bCs/>
          <w:sz w:val="28"/>
          <w:szCs w:val="28"/>
          <w:lang w:eastAsia="zh-CN"/>
        </w:rPr>
        <w:t xml:space="preserve">及配置要求</w:t>
      </w:r>
      <w:r/>
    </w:p>
    <w:p>
      <w:pPr>
        <w:pStyle w:val="642"/>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bCs/>
          <w:sz w:val="28"/>
          <w:szCs w:val="28"/>
        </w:rPr>
        <w:t xml:space="preserve">2024年市区花卉及环境布置主要分为秋冬两次，具体分为：2024年市区主要道路重要节点国庆、冬季花卉布置、2024年淮海南北路、有轨电车沿线国庆、冬季花箱花卉布置、2024年“百年征程”“运河画卷”两处绿雕国庆、冬季维护、2024年小微绿地改造、2024年市区主要道路市花月季推广应用等部分，详细的采购清单如下：</w:t>
      </w:r>
      <w:r/>
    </w:p>
    <w:p>
      <w:pPr>
        <w:jc w:val="left"/>
        <w:spacing w:line="500" w:lineRule="exact"/>
        <w:rPr>
          <w:rFonts w:hint="eastAsia" w:ascii="仿宋" w:hAnsi="仿宋" w:eastAsia="仿宋" w:cs="仿宋"/>
          <w:bCs/>
          <w:sz w:val="28"/>
          <w:szCs w:val="28"/>
          <w:highlight w:val="yellow"/>
        </w:rPr>
      </w:pPr>
      <w:r>
        <w:rPr>
          <w:rFonts w:hint="eastAsia" w:ascii="仿宋" w:hAnsi="仿宋" w:eastAsia="仿宋" w:cs="仿宋"/>
          <w:sz w:val="28"/>
          <w:szCs w:val="28"/>
          <w:highlight w:val="none"/>
          <w:lang w:val="zh-CN"/>
        </w:rPr>
        <w:t xml:space="preserve">★</w:t>
      </w:r>
      <w:r>
        <w:rPr>
          <w:rFonts w:hint="eastAsia" w:ascii="仿宋" w:hAnsi="仿宋" w:eastAsia="仿宋" w:cs="仿宋"/>
          <w:b/>
          <w:sz w:val="28"/>
          <w:szCs w:val="28"/>
        </w:rPr>
        <w:t xml:space="preserve">第一部分：</w:t>
      </w:r>
      <w:r/>
    </w:p>
    <w:tbl>
      <w:tblPr>
        <w:tblStyle w:val="639"/>
        <w:tblW w:w="10650" w:type="dxa"/>
        <w:jc w:val="center"/>
        <w:tblLayout w:type="fixed"/>
        <w:tblCellMar>
          <w:left w:w="0" w:type="dxa"/>
          <w:top w:w="0" w:type="dxa"/>
          <w:right w:w="0" w:type="dxa"/>
          <w:bottom w:w="0" w:type="dxa"/>
        </w:tblCellMar>
        <w:tblLook w:val="04A0" w:firstRow="1" w:lastRow="0" w:firstColumn="1" w:lastColumn="0" w:noHBand="0" w:noVBand="1"/>
      </w:tblPr>
      <w:tblGrid>
        <w:gridCol w:w="615"/>
        <w:gridCol w:w="1065"/>
        <w:gridCol w:w="885"/>
        <w:gridCol w:w="1995"/>
        <w:gridCol w:w="630"/>
        <w:gridCol w:w="915"/>
        <w:gridCol w:w="4545"/>
      </w:tblGrid>
      <w:tr>
        <w:trPr>
          <w:jc w:val="center"/>
          <w:trHeight w:val="567"/>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 w:val="28"/>
                <w:szCs w:val="28"/>
                <w:lang w:bidi="ar"/>
              </w:rPr>
              <w:t xml:space="preserve">2024年市区主要道路重要节点国庆、冬季花卉布置工程量</w:t>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国庆</w:t>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淮海东路</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橙色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繁星花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品种：小蜜蜂，双色盆≥15*15cm，基质为泥炭营养土，每株4-5以上带花分枝，花期一致，36株/m2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矾根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亮红色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叶片色彩鲜亮，双色盆≥15*15cm，基质为泥炭营养土，每株4-5以上带花分枝，花期一致，36株/m2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矾根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混色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亮黄色.亮红色。黄绿色混色比例4:4:2，双色盆≥15*15cm，基质为泥炭营养土，每株4-5以上带花分枝，花期一致，36株/m2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矾根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亮黄色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叶片色彩鲜亮，双色盆≥15*15cm，基质为泥炭营养土，每株4-5以上带花分枝，花期一致，36株/m2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千日红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粉紫色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玫粉色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香彩雀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混色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淡粉色、蓝紫色、白色混合比例1：1:1，品种：热舞，双色盆≥15*15cm，基质为泥炭营养土，每株4-5以上带花分枝，花期一致，36株/m2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蓝花鼠尾草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蓝紫色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花叶玉簪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36株/m2，枝叶饱满，无病虫害,不空脚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鸢尾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3-5芽/塘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49塘/平方，枝叶饱满，无病虫害,不空脚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国庆一季，果岭草皮卷</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果汁阳台月季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三年生容器苗，36株/m2，种植后不见裸土</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黄金佛甲草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金黄绿色</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H10-12，P15-20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64株/m2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彩叶草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金边红叶</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秋海棠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玫粉色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绿叶粉花，双色盆≥15*15cm，基质为泥炭营养土，每株4-5以上带花分枝，花期一致，36株/m2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紫萼距花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黄金菊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粉纸扇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芙蓉菊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柳叶马鞭草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H50-60，P25-35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根茎种植，25株/m2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千鸟花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H45-55，P40-50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欧石竹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三角梅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小兔子狼尾草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变叶木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叶片色彩亮丽，9株/m2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花叶美人蕉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H45-55，P40-45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2丛/m2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龙船花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H35-40，P30-35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红星朱蕉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16株/m2，色彩鲜艳</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紫鸭拓草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粉紫色，49株/m2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茶梅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狐尾天门冬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形态饱满，9株/m2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花叶芒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火炬花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花叶络石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假龙头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花叶玉婵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3-5芽/塘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金叶石菖蒲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16株/m2（国庆中分带不更换金叶石菖蒲，产生量为花境内）</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复色矮紫薇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H30-40，P30-40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金边龙舌兰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彩叶杞柳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金森女贞球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H50-65，P70-100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修剪后规格，球形饱满，圆整，不脱脚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火焰南天竹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H45-55，P30-40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多年生，6分叉枝以上，不脱脚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树状月季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H150-180，P120-150，d4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树形优美，月季为大花重瓣品种，特供苗具体由甲方决定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银姬小蜡球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H50-65，P70-100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修剪后规格，球形饱满，圆整，不脱脚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金姬小蜡球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H50-65，P70-100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修剪后规格，球形饱满，圆整，不脱脚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亮金女贞塔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H150-180，P80-100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枝条紧凑整洁，整体呈圆锥形，亮金色，特供苗具体由甲方决定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水果兰球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H50-65，P50-80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修剪后规格，球形饱满，圆整，不脱脚，霜蓝色</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龟甲冬青球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H50-65，P70-100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修剪后规格，球形饱满，圆整，不脱脚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蓝冰柏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H150-180，P80-100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枝条紧凑整洁，整体呈圆锥形，霜蓝色</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羽毛枫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H180-220，P160-180，d6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分叉点&lt;60，蓬下高&lt;80，树形优美，树叶鲜艳</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造型黑松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H:300-350，P:150-200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造型优美，1-2片每层，3-4层每株，特供苗具体由甲方决定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造型黄杨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H:250-300，P:150-200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造型优美，1-2片每层，3-4层每株，特供苗具体由甲方决定</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北京路</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橙色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蓝花鼠尾草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香彩雀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粉蓝白混色</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淡粉色、蓝紫色、白色比例1:1:1，品种：热舞，双色盆≥15*15cm，基质为泥炭营养土，每株4-5以上带花分枝，花期一致，36株/m2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花叶玉簪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36株/m2，枝叶饱满，无病虫害,不空脚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草坪还原（缩减花卉面积950，花境内草坪65）果岭草皮卷</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蓝羊茅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果汁阳台月季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三年生容器苗，25株/m2，种植后不见裸土</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黄金佛甲草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金黄绿色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H10-12，P15-20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64株/m2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彩叶草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金边红叶</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秋海棠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绿叶粉花，双色盆≥15*15cm，基质为泥炭营养土，每株4-5以上带花分枝，花期一致，36株/m2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紫萼距花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黄金菊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粉纸扇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芙蓉菊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金丝苔草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千鸟花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H45-55，P40-50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花叶芒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欧石竹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三角梅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变叶木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叶片色彩亮丽，9株/m2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龙船花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红星朱蕉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16株/m2，色彩鲜艳</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紫鸭拓草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粉紫色，49株/m2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狐尾天门冬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花叶芒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火炬花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花叶络石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假龙头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凤尾兰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H40-50，P30-40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彩叶杞柳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金边丝兰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H30-35，P25-30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火焰南天竹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H45-55，P30-40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多年生，6分叉枝以上，不脱脚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金叶六道木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H45-55，P30-40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多年生，6分叉枝以上，不脱脚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银姬小蜡球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H50-65，P70-100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修剪后规格，球形饱满，圆整，不脱脚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茶梅球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H50-65，P70-100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修剪后规格，球形饱满，圆整，不脱脚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金森女贞塔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H150-180，P80-100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枝条紧凑整洁，整体呈圆锥形，亮金色，特供苗具体由甲方决定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水果兰球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H50-65，P50-80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修剪后规格，球形饱满，圆整，不脱脚，霜蓝色</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金森女贞棒棒糖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H120-200，P30-60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置于北京路交叉口交通岛内，高低组合搭配，特供苗具体由甲方决定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H180-220，P160-200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造型黄杨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H250-300，P150-200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造型，1-2片每层，3-4层每株，特供苗具体由甲方决定</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淮海西路</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香彩雀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粉蓝白混色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淡粉色、蓝紫色、白色比例1:1:1，品种：热舞，双色盆≥15*15cm，基质为泥炭营养土，每株4-5以上带花分枝，花期一致，36株/m2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草坪还原（缩减花卉面积）仅国庆一季</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南互通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橙色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蓝紫色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百日草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双色盆≥15*15cm，基质为泥炭营养土，每株4-5以上带花分枝，花期一致，用于南互通花箱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金叶甘薯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双色盆≥15*15cm，藤长不少于50cm，3-5藤每盆，用于南互通花箱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高低花架为一组，高的3.5M-4M，低的2.5-3M，一个花架6个花钵，具体样式由甲方选定</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rPr>
              <w:t xml:space="preserve">大运河广场</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蓝紫色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百日草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紫红色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39"/>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翔宇大道</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太阳花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混色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双色盆≥15*15cm，基质为泥炭营养土，花期一致，36株/m2，混色由橙色、粉色、黄色组成，各占三分之一</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彩叶草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亮红色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双色盆≥15*15cm，基质为泥炭营养土，每株4-5以上带花分支，花期一致，36株/m2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蓝雪花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双色盆≥15*15cm，基质为泥炭营养土，每株4-5以上带花分支，花期一致，36株/m2</w:t>
            </w:r>
            <w:r/>
          </w:p>
        </w:tc>
      </w:tr>
      <w:tr>
        <w:trPr>
          <w:jc w:val="center"/>
          <w:trHeight w:val="539"/>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水渡口大道及万达广场</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105.5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银叶菊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鹅黄色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百日草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混色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双色盆≥15*15cm，基质为泥炭营养土，花期一致，36株/m2，混色由红色、粉色、黄色组成，各占三分之一</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蓝雪花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淡蓝色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粉红色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大花海棠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铜叶红花</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39"/>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北京南路与漕运路交叉口微客厅</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千日红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紫红色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繁星花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浅粉色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球菊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粉黄混色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彩叶草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混色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双色盆≥15*15cm，基质为泥炭营养土，花期一致，36株/m2，混色由红色、黄色组成，各占二分之一</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电信大楼前</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蓝花鼠尾草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丰花百日草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孔雀草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鸡冠花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火焰红色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香彩雀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廉颂园</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蓝花鼠尾草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彩叶草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金黄色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万达广场A口</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淡紫色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繁星花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深粉色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蓝花鼠尾草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银叶菊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果汁阳台月季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H35-40，P30-35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五色梅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大花葱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黄金菊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矮生紫薇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花叶玉婵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凤尾兰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彩叶杞柳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H:35-40，P:30-35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金叶石菖蒲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H:20-30，P:20-25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无尽夏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H:25-35，P:30-35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小兔子狼尾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丛生金禾女贞棒棒糖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H:250-300，P:150-200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金禾女贞棒棒糖一组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H:150-200，P:150-200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造型黄杨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H:250-300，P:150-200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造型五针松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H:300-350，P:150-200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金禾女贞塔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H:100-150，P:100-150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蓝冰柏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H:150-200，P:150-200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造型红枫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H:150-200，P:150-200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特供苗具体由甲方决定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秋季加播黑麦草，各10克/平方米</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水门桥游园</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孔雀草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繁星花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深粉色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蓝花鼠尾草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H:25-30，P:25-30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银叶菊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石油公司旁</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孔雀草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彩叶草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银叶菊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繁星花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深粉色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美女樱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玫红色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蓝花鼠尾草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E时代广场（新增）</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鹅黄色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蓝雪花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太阳花重瓣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混色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双色盆≥15*15cm，基质为泥炭营养土，花期一致，36株/m2，混色由橙色、粉色、黄色组成，各占三分之一</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枚皋路节点（新增）</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鹅黄色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秋菊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1264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百日草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混色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双色盆≥15*15cm，基质为泥炭营养土，花期一致，36株/m2，混色由红色、粉色、黄色组成，各占三分之一</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一串红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8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b/>
                <w:szCs w:val="21"/>
              </w:rPr>
            </w:pPr>
            <w:r>
              <w:rPr>
                <w:rFonts w:hint="eastAsia" w:ascii="仿宋" w:hAnsi="仿宋" w:eastAsia="仿宋" w:cs="仿宋"/>
                <w:b/>
                <w:szCs w:val="21"/>
                <w:lang w:bidi="ar"/>
              </w:rPr>
              <w:t xml:space="preserve">冬季</w:t>
            </w:r>
            <w:r/>
          </w:p>
        </w:tc>
      </w:tr>
      <w:tr>
        <w:trPr>
          <w:jc w:val="center"/>
          <w:trHeight w:val="37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淮海东路</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淡蓝色、明黄色、淡粉色、白色混合比例3:3:3:1，双色盆≥15*15cm，基质为泥炭营养土，每株4-5以上带花分枝，花期一致，49株/m2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亮黄色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蓝黄双色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黄粉蓝混色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H:20-25，P:18-25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品种：叶牡丹，双色盆≥15*15cm，基质为泥炭营养土，色彩亮丽，花型优美，叶片包裹紧凑，36株/m2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冬季更换一期草坪，入冬前换成加黑麦草的果岭草皮卷</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北京路</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H:20-25，P:18-25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品种：叶牡丹，双色盆≥15*15cm，基质为泥炭营养土，色彩亮丽，花型优美，叶片包裹紧凑，36株/m2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粉黄蓝混色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花境内冬季更换加黑麦草的果岭草坪毯</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淮海西路</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南互通</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天蓝色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H:20-25，P:18-25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品种：叶牡丹，双色盆≥15*15cm，基质为泥炭营养土，色彩亮丽，花型优美，叶片包裹紧凑，36株/m2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双色盆≥15*15cm，基质为泥炭营养土，每株4-5以上带花分枝，花期一致，用于花钵</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30盆一个花箱，用于南互通花箱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15盆一个花箱，用于南互通花箱</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大运河广场</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8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8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蓝黄混栽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亮黄色与淡蓝色混合栽种比例1：1，双色盆≥15*15cm，基质为泥炭营养土，每株4-5以上带花分枝，花期一致，49株/m2</w:t>
            </w:r>
            <w:r/>
          </w:p>
        </w:tc>
      </w:tr>
      <w:tr>
        <w:trPr>
          <w:jc w:val="center"/>
          <w:trHeight w:val="8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8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天蓝色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8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粉蓝混栽</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淡粉色与蓝色混合栽种比例1：1，双色盆≥15*15cm，基质为泥炭营养土，每株4-5以上带花分枝，花期一致，49株/m2</w:t>
            </w:r>
            <w:r/>
          </w:p>
        </w:tc>
      </w:tr>
      <w:tr>
        <w:trPr>
          <w:jc w:val="center"/>
          <w:trHeight w:val="539"/>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水渡口大道及万达广场</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105.5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蓝黄双色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淡蓝色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粉白色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玫粉色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双色盆≥15*15cm，基质为泥炭营养土，花期一致，36株/m2，混色由红色、粉色、黄色组成，各占三分之一</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淡蓝色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双色盆≥15*15cm，基质为泥炭营养土，每株4-5以上带花分枝，花期一致，36株/m2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翔宇大道</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H:10-15，P:15-20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北京南路与漕运路交叉口微客厅</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玫粉色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粉白色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天蓝色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电信大楼前</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天蓝色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粉白色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廉颂园</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天蓝色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粉白色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石油公司旁</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蓝黄双色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玫粉色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白色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双色盆≥15*15cm，，基质为泥炭营养土，每株4-5以上分枝，花期一致，49株/m2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万达广场A口</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天蓝色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粉白色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紫红色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双色盆≥15*15cm，基质为泥炭营养土，色彩亮丽，花型优美，叶片包裹紧凑，36株/m2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冬季更换一期草坪，入冬前换成加黑麦草的果岭草皮卷</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水门桥游园</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H:25-30，P:20-25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淡蓝色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双色盆≥15*15cm，基质为泥炭营养土，每株4-5以上带花分枝，花期一致，49株/m2</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其他</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308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人民银行、神旺大酒店、人民法院门口、翔宇大道（珠海路—深圳路）草花取消更换为草坪</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里运河道口及雕塑草坪恢复</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健康东路草坪恢复</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政务中心草坪恢复</w:t>
            </w:r>
            <w:r/>
          </w:p>
        </w:tc>
      </w:tr>
    </w:tbl>
    <w:p>
      <w:pPr>
        <w:pStyle w:val="648"/>
        <w:rPr>
          <w:rFonts w:hint="eastAsia" w:ascii="仿宋" w:hAnsi="仿宋" w:eastAsia="仿宋" w:cs="仿宋"/>
          <w:b/>
          <w:bCs/>
        </w:rPr>
      </w:pPr>
      <w:r>
        <w:rPr>
          <w:rFonts w:hint="eastAsia" w:ascii="仿宋" w:hAnsi="仿宋" w:eastAsia="仿宋" w:cs="仿宋"/>
          <w:b/>
          <w:szCs w:val="28"/>
        </w:rPr>
        <w:t xml:space="preserve">★第二部分：</w:t>
      </w:r>
      <w:r/>
    </w:p>
    <w:tbl>
      <w:tblPr>
        <w:tblStyle w:val="639"/>
        <w:tblW w:w="10590" w:type="dxa"/>
        <w:jc w:val="center"/>
        <w:tblLayout w:type="fixed"/>
        <w:tblCellMar>
          <w:left w:w="0" w:type="dxa"/>
          <w:top w:w="0" w:type="dxa"/>
          <w:right w:w="0" w:type="dxa"/>
          <w:bottom w:w="0" w:type="dxa"/>
        </w:tblCellMar>
        <w:tblLook w:val="04A0" w:firstRow="1" w:lastRow="0" w:firstColumn="1" w:lastColumn="0" w:noHBand="0" w:noVBand="1"/>
      </w:tblPr>
      <w:tblGrid>
        <w:gridCol w:w="655"/>
        <w:gridCol w:w="949"/>
        <w:gridCol w:w="929"/>
        <w:gridCol w:w="1978"/>
        <w:gridCol w:w="668"/>
        <w:gridCol w:w="914"/>
        <w:gridCol w:w="4497"/>
      </w:tblGrid>
      <w:tr>
        <w:trPr>
          <w:jc w:val="center"/>
          <w:trHeight w:val="51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90" w:type="dxa"/>
            <w:vAlign w:val="center"/>
            <w:textDirection w:val="lrTb"/>
            <w:noWrap w:val="false"/>
          </w:tcPr>
          <w:p>
            <w:pPr>
              <w:jc w:val="center"/>
              <w:spacing w:line="240" w:lineRule="atLeast"/>
              <w:widowControl/>
              <w:rPr>
                <w:rFonts w:hint="eastAsia" w:ascii="仿宋" w:hAnsi="仿宋" w:eastAsia="仿宋" w:cs="仿宋"/>
                <w:sz w:val="22"/>
                <w:szCs w:val="22"/>
              </w:rPr>
            </w:pPr>
            <w:r>
              <w:rPr>
                <w:rFonts w:hint="eastAsia" w:ascii="仿宋" w:hAnsi="仿宋" w:eastAsia="仿宋" w:cs="仿宋"/>
                <w:sz w:val="28"/>
                <w:szCs w:val="28"/>
                <w:lang w:bidi="ar"/>
              </w:rPr>
              <w:t xml:space="preserve">2024年淮海南北路、有轨电车沿线国庆、冬季花箱花卉布置工程量</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9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国庆</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9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淮海广场转盘</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鼠尾草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蓝紫色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594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1加仑盆，基质为泥炭营养土，每株4-5以上带花分支，花期一致,30株/花箱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超级凤仙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594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双色盆≥18*18cm，基质为泥炭营养土，每株4-5以上带花分支，花期一致,30株/花箱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太阳花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亮黄色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H:20-25，P:20-25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品种：彩蝶，重瓣，双色盆≥15*15cm，基质为泥炭营养土，每株4-5以上带花分支，花期一致,30株/花箱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大花海棠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铜叶红花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H:25-35，P:25-35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1加仑盆，基质为泥炭营养土，每株4-5以上带花分支，花期一致,30株/花箱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万寿菊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495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散尾葵A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H:350-400，P≥200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全冠，造型优美，无枯枝</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散尾葵B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H:250-300，P≥120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全冠，造型优美，无枯枝</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9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淮海南北路沿线花箱</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78"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大花海棠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铜叶红花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H:25-35，P:25-35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4900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2加仑盆，基质为泥炭营养土，每株4-5以上带花分支，花期一致,20株/花箱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正红色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H:30-40，P:20-25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4540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1加仑盆，基质为泥炭营养土，每株4-5以上带花分枝，花期一致，20株/花箱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金叶甘薯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97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3632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双色盆≥15*15cm，藤长不少于50cm，3-5藤每盆，16株/花箱</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9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有轨电车沿线花箱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金叶甘薯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亮黄色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H:25-35，P:25-35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1716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双色盆≥15*15cm，基质为泥炭营养土，每株4-5以上带花分支，花期一致,13株/花箱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正红色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H:25-35，P:25-35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1加仑盆，基质为泥炭营养土，每株4-5以上带花分支，花期一致,20株/花箱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大花海棠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铜叶红花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H:25-35，P:25-35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9560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2加仑盆，基质为泥炭营养土，每株4-5以上带花分支，花期一致,20株/花箱</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9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冬季</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9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淮海广场转盘</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粉白色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双色盆≥15*15cm，基质为泥炭营养土，每株4-5以上带花分支，花期一致，30株/花箱</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594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H:15-20，P:20-30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594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银姬小蜡球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H:45-50，P:45-50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修剪后规格，球型饱满，整齐统一</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南天竹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火焰色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H:30-35，P:35-40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修剪后规格，球型饱满，整齐统一</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9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淮海南北路沿线花箱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蓝色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7350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6810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color w:val="000000"/>
                <w:szCs w:val="21"/>
                <w:lang w:bidi="ar"/>
              </w:rPr>
              <w:t xml:space="preserve">双色盆≥15*15cm，基质为泥炭营养土，每株4-5以上带花分支，花期一致，30株/花箱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亮晶女贞球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H:45-50，P:45-50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修剪后规格，球型饱满，整齐统一</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银姬小蜡球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H:45-50，P:45-50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修剪后规格，球型饱满，整齐统一</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90"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rPr>
              <w:t xml:space="preserve">有轨电车沿线花箱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橙色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14340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双色盆≥15*15cm，基质为泥炭营养土，每株4-5以上带花分枝，花期一致，30株/花箱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羽衣甘蓝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粉白色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H:15-20，P:15-20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3960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双色盆≥15*15cm，基质为泥炭营养土，每株4-5以上带花分枝，花期一致，30株/花箱</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亮晶女贞球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H:45-50，P:45-50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4"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956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97"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修剪后规格，球型饱满，整齐统一</w:t>
            </w:r>
            <w:r/>
          </w:p>
        </w:tc>
      </w:tr>
    </w:tbl>
    <w:p>
      <w:pPr>
        <w:rPr>
          <w:rFonts w:hint="eastAsia" w:ascii="仿宋" w:hAnsi="仿宋" w:eastAsia="仿宋" w:cs="仿宋"/>
        </w:rPr>
      </w:pPr>
      <w:r>
        <w:rPr>
          <w:rFonts w:hint="eastAsia" w:ascii="仿宋" w:hAnsi="仿宋" w:eastAsia="仿宋" w:cs="仿宋"/>
          <w:b/>
          <w:sz w:val="28"/>
          <w:szCs w:val="28"/>
        </w:rPr>
        <w:t xml:space="preserve">★第三部分：</w:t>
      </w:r>
      <w:r/>
    </w:p>
    <w:tbl>
      <w:tblPr>
        <w:tblStyle w:val="639"/>
        <w:tblW w:w="10497" w:type="dxa"/>
        <w:jc w:val="center"/>
        <w:tblLayout w:type="fixed"/>
        <w:tblCellMar>
          <w:left w:w="0" w:type="dxa"/>
          <w:top w:w="0" w:type="dxa"/>
          <w:right w:w="0" w:type="dxa"/>
          <w:bottom w:w="0" w:type="dxa"/>
        </w:tblCellMar>
        <w:tblLook w:val="04A0" w:firstRow="1" w:lastRow="0" w:firstColumn="1" w:lastColumn="0" w:noHBand="0" w:noVBand="1"/>
      </w:tblPr>
      <w:tblGrid>
        <w:gridCol w:w="712"/>
        <w:gridCol w:w="1771"/>
        <w:gridCol w:w="1965"/>
        <w:gridCol w:w="705"/>
        <w:gridCol w:w="885"/>
        <w:gridCol w:w="4459"/>
      </w:tblGrid>
      <w:tr>
        <w:trPr>
          <w:jc w:val="center"/>
          <w:trHeight w:val="51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 w:val="28"/>
                <w:szCs w:val="28"/>
              </w:rPr>
            </w:pPr>
            <w:r>
              <w:rPr>
                <w:rFonts w:hint="eastAsia" w:ascii="仿宋" w:hAnsi="仿宋" w:eastAsia="仿宋" w:cs="仿宋"/>
                <w:sz w:val="28"/>
                <w:szCs w:val="28"/>
                <w:lang w:bidi="ar"/>
              </w:rPr>
              <w:t xml:space="preserve">2024年“百年征程”“运河画卷”两处绿雕国庆、冬季维护</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国庆</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大剧院“百年征程”绿雕</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Style w:val="651"/>
                <w:rFonts w:ascii="仿宋" w:hAnsi="仿宋" w:eastAsia="仿宋" w:cs="仿宋"/>
                <w:sz w:val="21"/>
                <w:szCs w:val="21"/>
                <w:lang w:bidi="ar"/>
              </w:rPr>
            </w:pPr>
            <w:r>
              <w:rPr>
                <w:rStyle w:val="651"/>
                <w:rFonts w:ascii="仿宋" w:hAnsi="仿宋" w:eastAsia="仿宋" w:cs="仿宋"/>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Style w:val="651"/>
                <w:rFonts w:ascii="仿宋" w:hAnsi="仿宋" w:eastAsia="仿宋" w:cs="仿宋"/>
                <w:sz w:val="21"/>
                <w:szCs w:val="21"/>
                <w:lang w:bidi="ar"/>
              </w:rPr>
            </w:pPr>
            <w:r>
              <w:rPr>
                <w:rStyle w:val="651"/>
                <w:rFonts w:ascii="仿宋" w:hAnsi="仿宋" w:eastAsia="仿宋" w:cs="仿宋"/>
                <w:sz w:val="21"/>
                <w:szCs w:val="21"/>
                <w:lang w:bidi="ar"/>
              </w:rPr>
              <w:t xml:space="preserve">植物名称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Style w:val="651"/>
                <w:rFonts w:ascii="仿宋" w:hAnsi="仿宋" w:eastAsia="仿宋" w:cs="仿宋"/>
                <w:sz w:val="21"/>
                <w:szCs w:val="21"/>
                <w:lang w:bidi="ar"/>
              </w:rPr>
            </w:pPr>
            <w:r>
              <w:rPr>
                <w:rStyle w:val="651"/>
                <w:rFonts w:ascii="仿宋" w:hAnsi="仿宋" w:eastAsia="仿宋" w:cs="仿宋"/>
                <w:sz w:val="2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Style w:val="651"/>
                <w:rFonts w:ascii="仿宋" w:hAnsi="仿宋" w:eastAsia="仿宋" w:cs="仿宋"/>
                <w:sz w:val="21"/>
                <w:szCs w:val="21"/>
                <w:lang w:bidi="ar"/>
              </w:rPr>
            </w:pPr>
            <w:r>
              <w:rPr>
                <w:rStyle w:val="651"/>
                <w:rFonts w:ascii="仿宋" w:hAnsi="仿宋" w:eastAsia="仿宋" w:cs="仿宋"/>
                <w:sz w:val="21"/>
                <w:szCs w:val="21"/>
                <w:lang w:bidi="ar"/>
              </w:rPr>
              <w:t xml:space="preserve">单位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Style w:val="651"/>
                <w:rFonts w:ascii="仿宋" w:hAnsi="仿宋" w:eastAsia="仿宋" w:cs="仿宋"/>
                <w:sz w:val="21"/>
                <w:szCs w:val="21"/>
                <w:lang w:bidi="ar"/>
              </w:rPr>
            </w:pPr>
            <w:r>
              <w:rPr>
                <w:rStyle w:val="651"/>
                <w:rFonts w:ascii="仿宋" w:hAnsi="仿宋" w:eastAsia="仿宋" w:cs="仿宋"/>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Style w:val="651"/>
                <w:rFonts w:ascii="仿宋" w:hAnsi="仿宋" w:eastAsia="仿宋" w:cs="仿宋"/>
                <w:sz w:val="21"/>
                <w:szCs w:val="21"/>
                <w:lang w:bidi="ar"/>
              </w:rPr>
            </w:pPr>
            <w:r>
              <w:rPr>
                <w:rStyle w:val="651"/>
                <w:rFonts w:ascii="仿宋" w:hAnsi="仿宋" w:eastAsia="仿宋" w:cs="仿宋"/>
                <w:sz w:val="21"/>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大叶红草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加拿大红草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黄草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绿白草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绿草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百日草黄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百日草红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姜荷花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大花海棠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狐尾天门冬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多头鸡冠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蓝雪花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鼠尾草（林荫）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矮牵牛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芙蓉菊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Style w:val="651"/>
                <w:rFonts w:ascii="仿宋" w:hAnsi="仿宋" w:eastAsia="仿宋" w:cs="仿宋"/>
                <w:sz w:val="21"/>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里运河“运河画卷”</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植物名称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单位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绿草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大叶红草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黄草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绿白草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加拿大红草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姬小菊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百日草红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百日草黄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鼠尾草（林荫）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姜荷花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大花海棠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多头鸡冠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矮牵牛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一品红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蓝雪花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芙蓉菊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冬季</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大剧院“百年征程”绿雕</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植物名称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单位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中华景天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黄景天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垂盆草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红景天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黄三色堇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红甘蓝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白甘蓝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火焰南天竹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金叶石菖蒲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红三色堇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蓝三色堇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红梅桩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40美植袋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金边凤尾兰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南天竹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40美植袋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皮球柏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北美冬青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30美植袋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矾根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里运河“运河画卷”</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植物名称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单位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中华景天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黄景天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垂盆草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红景天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角堇（红色）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角堇（黄色）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火焰南天竹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180红盆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白甘蓝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红甘蓝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金叶石菖蒲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红梅桩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40美植袋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皮球柏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金边凤尾兰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北美冬青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30美植袋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矾根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1加仑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粉角堇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120红盆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中华景天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rPr>
                <w:rFonts w:hint="eastAsia" w:ascii="仿宋" w:hAnsi="仿宋" w:eastAsia="仿宋" w:cs="仿宋"/>
                <w:szCs w:val="21"/>
                <w:lang w:bidi="ar"/>
              </w:rPr>
            </w:pPr>
            <w:r>
              <w:rPr>
                <w:rFonts w:hint="eastAsia" w:ascii="仿宋" w:hAnsi="仿宋" w:eastAsia="仿宋" w:cs="仿宋"/>
                <w:szCs w:val="21"/>
                <w:lang w:bidi="ar"/>
              </w:rPr>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Cs w:val="21"/>
                <w:lang w:bidi="ar"/>
              </w:rPr>
            </w:pPr>
            <w:r>
              <w:rPr>
                <w:rFonts w:hint="eastAsia" w:ascii="仿宋" w:hAnsi="仿宋" w:eastAsia="仿宋" w:cs="仿宋"/>
                <w:szCs w:val="21"/>
                <w:lang w:bidi="ar"/>
              </w:rPr>
              <w:t xml:space="preserve">其他</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服务内容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备注</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b/>
                <w:bCs/>
                <w:color w:val="000000"/>
                <w:szCs w:val="21"/>
                <w:lang w:bidi="ar"/>
              </w:rPr>
              <w:t xml:space="preserve">大剧院“百年征程”工程量清单</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立体景观部分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木船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长约3.2米,实木制作。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局部油漆，保证观赏效果至12月31日</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地面花境部分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草皮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m²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保证观赏效果至12月31日。</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设备部分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照明和雾森系统维护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日常维护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所有设备定期检修，保证正常使用至12月31日。</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其他材料</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种植土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营养土和种植土按照1：2配比搅拌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m³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增加营养土和种植土，保证植物良好生长。</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b/>
                <w:bCs/>
                <w:color w:val="000000"/>
                <w:szCs w:val="21"/>
                <w:lang w:bidi="ar"/>
              </w:rPr>
              <w:t xml:space="preserve">大运河“运河画卷”工程量清单</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地面花境部分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草皮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m²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保证观赏效果至12月31日。</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设备部分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照明和雾森系统维护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日常维护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所有设备定期检修，保证正常使用至12月31日。</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其他材料</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种植土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营养土和种植土按照1：2配比搅拌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m³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9"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增加营养土和种植土，保证植物良好生长。</w:t>
            </w:r>
            <w:r/>
          </w:p>
        </w:tc>
      </w:tr>
      <w:tr>
        <w:trPr>
          <w:jc w:val="center"/>
          <w:trHeight w:val="54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lef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备注：报价包含下半年两处绿雕的养护管理费用。</w:t>
            </w:r>
            <w:r/>
          </w:p>
        </w:tc>
      </w:tr>
    </w:tbl>
    <w:p>
      <w:pPr>
        <w:rPr>
          <w:rFonts w:hint="eastAsia" w:ascii="仿宋" w:hAnsi="仿宋" w:eastAsia="仿宋" w:cs="仿宋"/>
        </w:rPr>
      </w:pPr>
      <w:r>
        <w:rPr>
          <w:rFonts w:hint="eastAsia" w:ascii="仿宋" w:hAnsi="仿宋" w:eastAsia="仿宋" w:cs="仿宋"/>
          <w:b/>
          <w:sz w:val="28"/>
          <w:szCs w:val="28"/>
        </w:rPr>
        <w:t xml:space="preserve">★第四部分：</w:t>
      </w:r>
      <w:r/>
    </w:p>
    <w:tbl>
      <w:tblPr>
        <w:tblStyle w:val="639"/>
        <w:tblW w:w="10497" w:type="dxa"/>
        <w:jc w:val="center"/>
        <w:tblLayout w:type="fixed"/>
        <w:tblCellMar>
          <w:left w:w="0" w:type="dxa"/>
          <w:top w:w="0" w:type="dxa"/>
          <w:right w:w="0" w:type="dxa"/>
          <w:bottom w:w="0" w:type="dxa"/>
        </w:tblCellMar>
        <w:tblLook w:val="04A0" w:firstRow="1" w:lastRow="0" w:firstColumn="1" w:lastColumn="0" w:noHBand="0" w:noVBand="1"/>
      </w:tblPr>
      <w:tblGrid>
        <w:gridCol w:w="724"/>
        <w:gridCol w:w="1759"/>
        <w:gridCol w:w="1980"/>
        <w:gridCol w:w="720"/>
        <w:gridCol w:w="870"/>
        <w:gridCol w:w="4444"/>
      </w:tblGrid>
      <w:tr>
        <w:trPr>
          <w:jc w:val="center"/>
          <w:trHeight w:val="51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ascii="仿宋" w:hAnsi="仿宋" w:eastAsia="仿宋" w:cs="仿宋"/>
                <w:sz w:val="24"/>
                <w:lang w:bidi="ar"/>
              </w:rPr>
            </w:pPr>
            <w:r>
              <w:rPr>
                <w:rFonts w:hint="eastAsia" w:ascii="仿宋" w:hAnsi="仿宋" w:eastAsia="仿宋" w:cs="仿宋"/>
                <w:sz w:val="24"/>
                <w:lang w:bidi="ar"/>
              </w:rPr>
              <w:t xml:space="preserve">2024年小微绿地改造工程量</w:t>
            </w:r>
            <w:r/>
          </w:p>
          <w:p>
            <w:pPr>
              <w:jc w:val="center"/>
              <w:spacing w:line="240" w:lineRule="atLeast"/>
              <w:widowControl/>
              <w:rPr>
                <w:rFonts w:hint="eastAsia" w:ascii="仿宋" w:hAnsi="仿宋" w:eastAsia="仿宋" w:cs="仿宋"/>
                <w:sz w:val="18"/>
                <w:szCs w:val="18"/>
              </w:rPr>
            </w:pPr>
            <w:r>
              <w:rPr>
                <w:rFonts w:hint="eastAsia" w:ascii="宋体" w:hAnsi="宋体" w:cs="宋体"/>
                <w:sz w:val="18"/>
                <w:szCs w:val="18"/>
                <w:lang w:bidi="ar"/>
              </w:rPr>
              <w:t xml:space="preserve">（按设计图纸要求完成相应草花布置、绿化养护和环境提升任务，具体工程量以施工完成后审计单位现场审计结果为准）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9"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9"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花境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根据季节，完成国庆、冬季2次花镜植物的更换</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9"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树木、平篱、绿地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2296.1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做好9-12月份绿化提升及养护工作</w:t>
            </w:r>
            <w:r/>
          </w:p>
        </w:tc>
      </w:tr>
    </w:tbl>
    <w:p>
      <w:pPr>
        <w:rPr>
          <w:rFonts w:hint="eastAsia" w:ascii="仿宋" w:hAnsi="仿宋" w:eastAsia="仿宋" w:cs="仿宋"/>
        </w:rPr>
      </w:pPr>
      <w:r>
        <w:rPr>
          <w:rFonts w:hint="eastAsia" w:ascii="仿宋" w:hAnsi="仿宋" w:eastAsia="仿宋" w:cs="仿宋"/>
          <w:b/>
          <w:sz w:val="28"/>
          <w:szCs w:val="28"/>
        </w:rPr>
        <w:t xml:space="preserve">★第五部分：</w:t>
      </w:r>
      <w:r/>
    </w:p>
    <w:tbl>
      <w:tblPr>
        <w:tblStyle w:val="639"/>
        <w:tblW w:w="10497" w:type="dxa"/>
        <w:jc w:val="center"/>
        <w:tblLayout w:type="fixed"/>
        <w:tblCellMar>
          <w:left w:w="0" w:type="dxa"/>
          <w:top w:w="0" w:type="dxa"/>
          <w:right w:w="0" w:type="dxa"/>
          <w:bottom w:w="0" w:type="dxa"/>
        </w:tblCellMar>
        <w:tblLook w:val="04A0" w:firstRow="1" w:lastRow="0" w:firstColumn="1" w:lastColumn="0" w:noHBand="0" w:noVBand="1"/>
      </w:tblPr>
      <w:tblGrid>
        <w:gridCol w:w="712"/>
        <w:gridCol w:w="991"/>
        <w:gridCol w:w="780"/>
        <w:gridCol w:w="1995"/>
        <w:gridCol w:w="705"/>
        <w:gridCol w:w="870"/>
        <w:gridCol w:w="4444"/>
      </w:tblGrid>
      <w:tr>
        <w:trPr>
          <w:jc w:val="center"/>
          <w:trHeight w:val="51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 w:val="24"/>
                <w:lang w:bidi="ar"/>
              </w:rPr>
              <w:t xml:space="preserve">2024年市区主要道路市花月季推广应用</w:t>
            </w:r>
            <w:r/>
          </w:p>
        </w:tc>
      </w:tr>
      <w:tr>
        <w:trPr>
          <w:jc w:val="center"/>
          <w:trHeight w:val="54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97" w:type="dxa"/>
            <w:vAlign w:val="center"/>
            <w:textDirection w:val="lrTb"/>
            <w:noWrap w:val="false"/>
          </w:tcPr>
          <w:p>
            <w:pPr>
              <w:jc w:val="center"/>
              <w:spacing w:line="240" w:lineRule="atLeast"/>
              <w:widowControl/>
              <w:rPr>
                <w:rFonts w:hint="eastAsia" w:ascii="仿宋" w:hAnsi="仿宋" w:eastAsia="仿宋" w:cs="仿宋"/>
                <w:szCs w:val="21"/>
              </w:rPr>
            </w:pPr>
            <w:r>
              <w:rPr>
                <w:rFonts w:hint="eastAsia" w:ascii="仿宋" w:hAnsi="仿宋" w:eastAsia="仿宋" w:cs="仿宋"/>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植物名称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品种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粉扇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粉色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H:30-40，P:20-25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1288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四年生容器苗，25株/m2，种植后不见裸土</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绯扇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红色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H:30-40，P:20-25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592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四年生容器苗，25株/m2，种植后不见裸土</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金奖章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黄色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H:30-40，P:20-25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620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四年生容器苗，25株/m2，种植后不见裸土</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树状月季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干经4厘米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月季球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高2米，直径2米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月季花心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高2.2米，宽1.8米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4" w:type="dxa"/>
            <w:vAlign w:val="center"/>
            <w:textDirection w:val="lrTb"/>
            <w:noWrap w:val="false"/>
          </w:tcPr>
          <w:p>
            <w:pPr>
              <w:jc w:val="center"/>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r>
    </w:tbl>
    <w:p>
      <w:pPr>
        <w:pStyle w:val="649"/>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二、主要服务内容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1、两次对主干道花卉进行供货、布置、更换以及养护管理等:第一次布花时间为9月份；第二次布花时间为11月份。</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草花布置在重要节假日新增加立体花卉，或者市重大创建活动需增加布花等，按照采购人绿化管理科出具的书面意见在规定时间内完成，设置暂定金80万元，请各投标人将暂定金一并计入投标报价中。具体以审计单位终审价格为支付依据，从暂定金中列支。</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3、日常对主干道花卉进行维护管理，主要有:土壤改良、适时浇水、及时清除杂草、施肥、病虫害防治、枯萎的草花及时更换、花卉被盗以及踩踏后及时补植以及涉及的所有花箱的破损更换、辅助保洁等。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4、每次布花前要对营养土进行更换消毒处理。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所有草花布置每次布花前要对土壤改良，添加有效成分为鸡粪、珍珠岩、草炭为主有机质营养土，露地布花有机土需铺漫覆盖地表，并与表层土拌匀后方可布花，花箱内第一次布花要对箱体内土壤全部更换为有机质营养土。改良土壤价格均计入花卉综合单价中。</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6、部分一次布置两季或全年无需更换的草花</w:t>
      </w:r>
      <w:r>
        <w:rPr>
          <w:rFonts w:hint="eastAsia" w:ascii="仿宋" w:hAnsi="仿宋" w:eastAsia="仿宋" w:cs="仿宋"/>
          <w:sz w:val="28"/>
          <w:szCs w:val="28"/>
        </w:rPr>
        <w:t xml:space="preserve">需做好日常养护工作。养护及更换费用均计入花卉综合单价中。</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投标人中标后服从招标人的管理并按照招标人要求使用淮安园林信息化系统。按时通过淮安园林信息化系统上报相关计划总结；及时对招标人安排的专项任务的完成情况进行反馈；在规定时间内完成巡查交办问题并及时通过系统进行反馈；</w:t>
      </w:r>
      <w:r/>
    </w:p>
    <w:p>
      <w:pPr>
        <w:pStyle w:val="649"/>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三、基本要求</w:t>
      </w:r>
      <w:r/>
    </w:p>
    <w:p>
      <w:pPr>
        <w:ind w:firstLine="540"/>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1、养护质量标准:花苗要求为F1代初花期成品苗，且基质为泥炭营养土，花叶茂盛，无病虫害</w:t>
      </w:r>
      <w:r>
        <w:rPr>
          <w:rFonts w:hint="eastAsia" w:ascii="仿宋" w:hAnsi="仿宋" w:eastAsia="仿宋" w:cs="仿宋"/>
          <w:sz w:val="28"/>
          <w:szCs w:val="28"/>
          <w:highlight w:val="none"/>
        </w:rPr>
        <w:t xml:space="preserve">，色彩艳丽，花期一致，花苗到场后经绿化科工作人员验苗后方可栽植，布置后无空秃现象。</w:t>
      </w:r>
      <w:r/>
    </w:p>
    <w:p>
      <w:pPr>
        <w:ind w:firstLine="54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2、全线整体要求:保证市区道路布置期间内花卉的盛开效果，花卉更换保证空档时间不得大于3天。</w:t>
      </w:r>
      <w:r/>
    </w:p>
    <w:p>
      <w:pPr>
        <w:ind w:firstLine="540"/>
        <w:spacing w:line="52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3、每次布置前严格根据设计图纸进行放线，并根据断面图调整地形起伏，严格进行土壤杀菌消毒和施肥，铺洒有机</w:t>
      </w:r>
      <w:r>
        <w:rPr>
          <w:rFonts w:hint="eastAsia" w:ascii="仿宋" w:hAnsi="仿宋" w:eastAsia="仿宋" w:cs="仿宋"/>
          <w:sz w:val="28"/>
          <w:szCs w:val="28"/>
        </w:rPr>
        <w:t xml:space="preserve">质等工作，及时上报经绿化科工作人员验收合格后方可栽植花苗。以上工作将计入草花考核中，对不上报验收或不合格不整改的将根据考核办法予以扣分处理。</w:t>
      </w:r>
      <w:r/>
    </w:p>
    <w:p>
      <w:pPr>
        <w:ind w:firstLine="540"/>
        <w:spacing w:line="520" w:lineRule="exact"/>
        <w:rPr>
          <w:rFonts w:hint="eastAsia" w:ascii="仿宋" w:hAnsi="仿宋" w:eastAsia="仿宋" w:cs="仿宋"/>
          <w:sz w:val="28"/>
          <w:szCs w:val="28"/>
        </w:rPr>
      </w:pPr>
      <w:r>
        <w:rPr>
          <w:rFonts w:hint="eastAsia" w:ascii="仿宋" w:hAnsi="仿宋" w:eastAsia="仿宋" w:cs="仿宋"/>
          <w:sz w:val="28"/>
          <w:szCs w:val="28"/>
        </w:rPr>
        <w:t xml:space="preserve">4、花卉品种、规格、数量严格按照清单和图纸要求采购，不得随意变更品种和数量，保证有些一次布置两季或全年无需更换花卉的质量，做到死亡花苗及时更换。</w:t>
      </w:r>
      <w:r/>
    </w:p>
    <w:p>
      <w:pPr>
        <w:ind w:firstLine="54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5、因质量或养护原因造成草花提前衰败，失去观赏价值的，由中标单位及时无偿补栽；每次草花栽植按发包方计划进行布置，撤花需征得发包方同意方可撤换。</w:t>
      </w:r>
      <w:r/>
    </w:p>
    <w:p>
      <w:pPr>
        <w:ind w:firstLine="435"/>
        <w:spacing w:line="520" w:lineRule="exact"/>
        <w:rPr>
          <w:rFonts w:hint="eastAsia" w:ascii="仿宋" w:hAnsi="仿宋" w:eastAsia="仿宋" w:cs="仿宋"/>
          <w:sz w:val="28"/>
          <w:szCs w:val="28"/>
        </w:rPr>
      </w:pPr>
      <w:r>
        <w:rPr>
          <w:rFonts w:hint="eastAsia" w:ascii="仿宋" w:hAnsi="仿宋" w:eastAsia="仿宋" w:cs="仿宋"/>
          <w:sz w:val="28"/>
          <w:szCs w:val="28"/>
        </w:rPr>
        <w:t xml:space="preserve">★6、投标人参加投标时，须承诺合同签订后五个日历天内，为本次养护项目配备项目负责人、技术负责人和技术工人以及相关机械设备到位，且养护期内必须长住淮安的书面承诺函（格式由投标人自定，扫描件加盖投标人电子签章），不提供的作无效投标处理。</w:t>
      </w:r>
      <w:r/>
    </w:p>
    <w:p>
      <w:pPr>
        <w:ind w:firstLine="435"/>
        <w:spacing w:line="520" w:lineRule="exact"/>
        <w:rPr>
          <w:rFonts w:hint="eastAsia" w:ascii="仿宋" w:hAnsi="仿宋" w:eastAsia="仿宋" w:cs="仿宋"/>
          <w:sz w:val="28"/>
          <w:szCs w:val="28"/>
        </w:rPr>
      </w:pPr>
      <w:r>
        <w:rPr>
          <w:rFonts w:hint="eastAsia" w:ascii="仿宋" w:hAnsi="仿宋" w:eastAsia="仿宋" w:cs="仿宋"/>
          <w:sz w:val="28"/>
          <w:szCs w:val="28"/>
        </w:rPr>
        <w:t xml:space="preserve">★7、为了保证花卉布置的长期性、时效性，投标人在养护期内须为本项目配备能够满足花卉仓储要求的固定场地。投标人参加投标时必须提供下列任一项证明材料，不提供的作无效投标处理：</w:t>
      </w:r>
      <w:r/>
    </w:p>
    <w:p>
      <w:pPr>
        <w:ind w:firstLine="435"/>
        <w:spacing w:line="520" w:lineRule="exact"/>
        <w:rPr>
          <w:rFonts w:hint="eastAsia" w:ascii="仿宋" w:hAnsi="仿宋" w:eastAsia="仿宋" w:cs="仿宋"/>
          <w:sz w:val="28"/>
          <w:szCs w:val="28"/>
        </w:rPr>
      </w:pPr>
      <w:r>
        <w:rPr>
          <w:rFonts w:hint="eastAsia" w:ascii="仿宋" w:hAnsi="仿宋" w:eastAsia="仿宋" w:cs="仿宋"/>
          <w:sz w:val="28"/>
          <w:szCs w:val="28"/>
        </w:rPr>
        <w:t xml:space="preserve"> （1）在当地具有能够满足花卉仓储等要求的固定场地（自有或者租贷均可以）的相关证明材料（扫描加盖投标人电子签章，原件备查）；</w:t>
      </w:r>
      <w:r/>
    </w:p>
    <w:p>
      <w:pPr>
        <w:ind w:firstLine="435"/>
        <w:spacing w:line="520" w:lineRule="exact"/>
        <w:rPr>
          <w:rFonts w:hint="eastAsia" w:ascii="仿宋" w:hAnsi="仿宋" w:eastAsia="仿宋" w:cs="仿宋"/>
          <w:sz w:val="28"/>
          <w:szCs w:val="28"/>
        </w:rPr>
      </w:pPr>
      <w:r>
        <w:rPr>
          <w:rFonts w:hint="eastAsia" w:ascii="仿宋" w:hAnsi="仿宋" w:eastAsia="仿宋" w:cs="仿宋"/>
          <w:sz w:val="28"/>
          <w:szCs w:val="28"/>
        </w:rPr>
        <w:t xml:space="preserve"> （2）承诺在合同签订后五个日历天内在淮安市设立能够满足花卉仓储等要求的固定场地的书面承诺函（格式由投标人自定，扫描件加盖投标人电子签章）。</w:t>
      </w:r>
      <w:r/>
    </w:p>
    <w:p>
      <w:pPr>
        <w:pStyle w:val="649"/>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四、质量保证及售后服务</w:t>
      </w:r>
      <w:r/>
    </w:p>
    <w:p>
      <w:pPr>
        <w:pStyle w:val="649"/>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1、布置的草花为招标人规定的时令花卉，要求栽植时规格达标，不见裸土；长势旺盛，无病虫害；株型紧凑，品种齐全；花色繁多，色泽鲜艳。</w:t>
      </w:r>
      <w:r/>
    </w:p>
    <w:p>
      <w:pPr>
        <w:pStyle w:val="649"/>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养护要求盛开率在85%以上，在此期间如果出现自然灾害造成死亡、人为养护不到位造成草花干枯等死亡或被盗、踩踏现象，由中标人自行更换到位。若中标人不及时更换，招标人有权安排其他单位更换，费用从中标人费用中扣除。</w:t>
      </w:r>
      <w:r/>
    </w:p>
    <w:p>
      <w:pPr>
        <w:pStyle w:val="649"/>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3、本项目草花布置及养护期为四个月，中标人在养护期内有一次考核不合格、服务发生重大偏差或不能够满足招标人要求，招标人有权终止中标人的服务资格，并指定其他单位继续完成该花卉布置任务。</w:t>
      </w:r>
      <w:r/>
    </w:p>
    <w:p>
      <w:pPr>
        <w:pStyle w:val="649"/>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五、商务部分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（一）供货时间:合同签订并经见证后次日开始计算，至12月31日止。</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（二）供货地点:淮海东路、翔宇大道、北京路等重要节点；淮海南北路、有轨电车沿线；大剧院前、里运河旁等。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付款方式:按照淮园发〔2022〕7号文件《淮安市区主干道花卉布置及考核管理办法》《市区主干道草花布置及管理规定》（附件2）和《淮安市园林绿化管理中心主干道花卉布置过程监管办法》（附件1）进行考核后付款。按布置次数进行支付，以每次的布置费用以单次审计价格为付款基数，考核成绩为优的支付100%，考核为良的支付90%，考核为合格的支付70%，不合格的不予支付。如遇到淮安市园林绿化管理中心的相关管理制度修编时，具体付款以淮安市园林绿化管理中心及时更新的修订稿考核管理制度为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（四）考核措施及费用支付：</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1、根据《花卉布置考核细则》进行日常管理，按每次布置为一个考核周期，95分（含95分）以上为优，90分—95分（含90分）为良，85-90分（含85分）为合格，85分以下为不合格。</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2、布置花卉的规格和品种达到要求，每次的布置费用以单次审计价格为付款基数，考核成绩为优的支付100%，考核为良的支付90%，考核为合格的支付70%，不合格的不予支付。</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3、对于临时交办布置花卉任务完成好的养护单位，经向采购人绿化科申请，报中心领导审批后可申领1-3分的加分项，后期养护考核基础上可进行加分。</w:t>
      </w:r>
      <w:r/>
    </w:p>
    <w:p>
      <w:pPr>
        <w:ind w:firstLine="560"/>
        <w:spacing w:line="520" w:lineRule="exact"/>
        <w:rPr>
          <w:rFonts w:hint="eastAsia" w:ascii="仿宋" w:hAnsi="仿宋" w:eastAsia="仿宋" w:cs="仿宋"/>
          <w:sz w:val="28"/>
          <w:szCs w:val="28"/>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附件1:</w:t>
      </w:r>
      <w:r/>
    </w:p>
    <w:p>
      <w:pPr>
        <w:jc w:val="center"/>
        <w:spacing w:before="240" w:after="240" w:line="560" w:lineRule="exact"/>
        <w:rPr>
          <w:rFonts w:hint="eastAsia" w:ascii="仿宋" w:hAnsi="仿宋" w:eastAsia="仿宋" w:cs="仿宋"/>
          <w:sz w:val="44"/>
          <w:szCs w:val="44"/>
        </w:rPr>
      </w:pPr>
      <w:r>
        <w:rPr>
          <w:rFonts w:hint="eastAsia" w:ascii="仿宋" w:hAnsi="仿宋" w:eastAsia="仿宋" w:cs="仿宋"/>
          <w:sz w:val="44"/>
          <w:szCs w:val="44"/>
        </w:rPr>
        <w:t xml:space="preserve">淮安市园林绿化管理中心</w:t>
      </w:r>
      <w:r/>
    </w:p>
    <w:p>
      <w:pPr>
        <w:jc w:val="center"/>
        <w:spacing w:before="240" w:after="240" w:line="560" w:lineRule="exact"/>
        <w:rPr>
          <w:rFonts w:hint="eastAsia" w:ascii="仿宋" w:hAnsi="仿宋" w:eastAsia="仿宋" w:cs="仿宋"/>
          <w:sz w:val="44"/>
          <w:szCs w:val="44"/>
        </w:rPr>
      </w:pPr>
      <w:r>
        <w:rPr>
          <w:rFonts w:hint="eastAsia" w:ascii="仿宋" w:hAnsi="仿宋" w:eastAsia="仿宋" w:cs="仿宋"/>
          <w:sz w:val="44"/>
          <w:szCs w:val="44"/>
        </w:rPr>
        <w:t xml:space="preserve">主干道花卉布置过程监管办法</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为了进一步提高主干道，重要节点招标花卉布置水平和质量，规范布置流程，并加强后期养护管理监督工作，特制订花卉布置过程监督办法。</w:t>
      </w:r>
      <w:r/>
    </w:p>
    <w:p>
      <w:pPr>
        <w:numPr>
          <w:ilvl w:val="0"/>
          <w:numId w:val="5"/>
        </w:numPr>
        <w:spacing w:line="560" w:lineRule="exact"/>
        <w:rPr>
          <w:rFonts w:hint="eastAsia" w:ascii="仿宋" w:hAnsi="仿宋" w:eastAsia="仿宋" w:cs="仿宋"/>
          <w:sz w:val="28"/>
          <w:szCs w:val="28"/>
        </w:rPr>
      </w:pPr>
      <w:r>
        <w:rPr>
          <w:rFonts w:hint="eastAsia" w:ascii="仿宋" w:hAnsi="仿宋" w:eastAsia="仿宋" w:cs="仿宋"/>
          <w:sz w:val="28"/>
          <w:szCs w:val="28"/>
        </w:rPr>
        <w:t xml:space="preserve">花卉进场要求  </w:t>
      </w:r>
      <w:r/>
    </w:p>
    <w:p>
      <w:pPr>
        <w:ind w:left="630"/>
        <w:spacing w:line="560" w:lineRule="exact"/>
        <w:rPr>
          <w:rFonts w:hint="eastAsia" w:ascii="仿宋" w:hAnsi="仿宋" w:eastAsia="仿宋" w:cs="仿宋"/>
          <w:sz w:val="28"/>
          <w:szCs w:val="28"/>
        </w:rPr>
      </w:pPr>
      <w:r>
        <w:rPr>
          <w:rFonts w:hint="eastAsia" w:ascii="仿宋" w:hAnsi="仿宋" w:eastAsia="仿宋" w:cs="仿宋"/>
          <w:sz w:val="28"/>
          <w:szCs w:val="28"/>
        </w:rPr>
        <w:t xml:space="preserve">1、花苗要求为F1代初花期，冠径需达到设计要求，</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高度一致，花叶茂盛，长势良好，无病虫害，色彩艳丽，观赏期长，花期基本一致。</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花卉布置单位应提前对工程量清单要求的花卉有计划生产或者定向合作生产，保证花卉的质量达到合同的要求。每次布置之前需书面向绿化科上报花卉种苗来源、生产场地、进场花卉图片，确保花卉质量达到设计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花卉布置单位应在花卉购置前对供花方进行实地考察，对照设计图纸上要求的花卉名称、品种、颜色和规格（招标文件中有详细描述），记录和拍照形成实地考察报验单（附件1）报绿化科，对照片中不符合设计要求的花卉，布置单位必须重新选择供花方。</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花卉进场时要提前通知绿化科工作人员，绿化科工作人员对照花卉清单对进场的花苗名称、品种、颜色、规格（招标文件中有详细描述）进行检查，形成现场查验单（附件4），经验收合格后方可进行栽植，若不符合要求，不得进行栽植。</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5、各养护单位采购进场的花卉必须和上报绿化科的规格、品种一致，若现场查看发现品种规格不一致的花卉，绿化科不予验收。</w:t>
      </w:r>
      <w:r/>
    </w:p>
    <w:p>
      <w:pPr>
        <w:numPr>
          <w:ilvl w:val="0"/>
          <w:numId w:val="5"/>
        </w:numPr>
        <w:spacing w:line="560" w:lineRule="exact"/>
        <w:rPr>
          <w:rFonts w:hint="eastAsia" w:ascii="仿宋" w:hAnsi="仿宋" w:eastAsia="仿宋" w:cs="仿宋"/>
          <w:sz w:val="28"/>
          <w:szCs w:val="28"/>
        </w:rPr>
      </w:pPr>
      <w:r>
        <w:rPr>
          <w:rFonts w:hint="eastAsia" w:ascii="仿宋" w:hAnsi="仿宋" w:eastAsia="仿宋" w:cs="仿宋"/>
          <w:sz w:val="28"/>
          <w:szCs w:val="28"/>
        </w:rPr>
        <w:t xml:space="preserve">土壤改良要求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花箱栽植：每一次布置、更换花卉前应将箱体内土壤全部更换为有效成分为珍珠岩、草炭等为主的有机质营养土，并对土壤进行杀虫和灭菌处理，需提前通知绿化科工作人员进行过程监督，形成花卉布置进度单报绿化科，经绿化科工作人员验收合格后方可栽植花卉。</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露地栽植：每次布花前必须进行深翻细作，清除土壤中的石块、残根、杂草，对土壤进行改良，添加有效成分为珍珠岩、草炭等为主的有机质营养土，有机土需铺漫覆盖地表，与表层土均匀拌合后对土壤进行杀虫和灭菌处理，需提前通知绿化科工作人员进行过程监督，形成花卉布置进度单报绿化科，经绿化科工作人员验收合格后方可栽植花卉。</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三、整地放线要求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布花单位应在每次布置前严格根据设计图纸进行放线，并根据断面图调整地形，保证地形起伏饱满有形，完成后需及时通知绿化科工作人员进行验收，形成花卉布置地形调整报验单（附件3）报绿化科，经绿化科和设计单位人员验收合格后方可栽植花卉。</w:t>
      </w:r>
      <w:r/>
    </w:p>
    <w:p>
      <w:pPr>
        <w:ind w:firstLine="56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2、花卉种植应严格按照设计图示和设计规范施工，做到密度合理、匀称整齐、土球不裸露，种植高度一致，每次布置完成后，应在5个工作日内及时上报工程竣工报验单，由绿化科组织验收。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3、原则上不允许在花卉布置时进行变更，若因特殊原因确需变更，需报绿化科同意后实施，每次变更不能扩大整体花卉布置面积，保证总价格不增加。</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做到文明施工，安全施工。花卉布置期间需派专人负责施工场地安全，设置安全警示标志，布置路段工人需穿警示反光工作服，保证花卉布置期间施工安全。布置花卉时应注意扬尘处理，做到黄土不露天。取土后对路牙和道路上产生的土渣进行及时清理，整地后超过4小时不栽植花卉的，对裸露土地用绿色的密目防尘网进行覆盖，并放置“园林施工中”告示牌，种植完成后需将地面和侧石冲刷干净，做到随产随清。</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四、养护要求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   各花卉布置单位严格按照淮园发〔2022〕7号文件《淮安市区主干道花卉布置及考核管理办法》文件要求，施工后养护管理做到以下几点：</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1、适时浇水，确保花期，严禁水头直冲，浇水后及时清洁侧石和地面，并在侧石内侧保留阻水沟，避免泥土污染路面。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2、及时清除枯叶残花及花卉内的杂草。</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3、对局部枯败或被人为践踏的地段，要及时进行补种。</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4、从取土开始，整个验收过程中，各家须根据绿化科下发的整改交办单进行整改，对于不整改或者整改不到位的单位，将按照《市区主干道花卉布置管理及考核办法》进行扣分处理。</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jc w:val="right"/>
        <w:rPr>
          <w:rFonts w:hint="eastAsia" w:ascii="仿宋" w:hAnsi="仿宋" w:eastAsia="仿宋" w:cs="仿宋"/>
          <w:sz w:val="32"/>
          <w:szCs w:val="32"/>
        </w:rPr>
      </w:pPr>
      <w:r>
        <w:rPr>
          <w:rFonts w:hint="eastAsia" w:ascii="仿宋" w:hAnsi="仿宋" w:eastAsia="仿宋" w:cs="仿宋"/>
          <w:sz w:val="32"/>
          <w:szCs w:val="32"/>
        </w:rPr>
      </w:r>
      <w:r/>
    </w:p>
    <w:p>
      <w:pPr>
        <w:spacing w:line="520" w:lineRule="exact"/>
        <w:rPr>
          <w:rFonts w:hint="eastAsia" w:ascii="仿宋" w:hAnsi="仿宋" w:eastAsia="仿宋" w:cs="仿宋"/>
          <w:sz w:val="28"/>
          <w:szCs w:val="28"/>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附件2:</w:t>
      </w:r>
      <w:r/>
    </w:p>
    <w:p>
      <w:pPr>
        <w:jc w:val="center"/>
        <w:spacing w:line="600" w:lineRule="exact"/>
        <w:rPr>
          <w:rFonts w:hint="eastAsia" w:ascii="仿宋" w:hAnsi="仿宋" w:eastAsia="仿宋" w:cs="仿宋"/>
          <w:bCs/>
          <w:sz w:val="44"/>
          <w:szCs w:val="44"/>
        </w:rPr>
      </w:pPr>
      <w:r>
        <w:rPr>
          <w:rFonts w:hint="eastAsia" w:ascii="仿宋" w:hAnsi="仿宋" w:eastAsia="仿宋" w:cs="仿宋"/>
          <w:bCs/>
          <w:sz w:val="44"/>
          <w:szCs w:val="44"/>
        </w:rPr>
        <w:t xml:space="preserve">淮安市区主干道花卉布置及考核管理</w:t>
      </w:r>
      <w:r/>
    </w:p>
    <w:p>
      <w:pPr>
        <w:jc w:val="center"/>
        <w:spacing w:line="600" w:lineRule="exact"/>
        <w:rPr>
          <w:rFonts w:hint="eastAsia" w:ascii="仿宋" w:hAnsi="仿宋" w:eastAsia="仿宋" w:cs="仿宋"/>
          <w:sz w:val="44"/>
          <w:szCs w:val="44"/>
        </w:rPr>
      </w:pPr>
      <w:r>
        <w:rPr>
          <w:rFonts w:hint="eastAsia" w:ascii="仿宋" w:hAnsi="仿宋" w:eastAsia="仿宋" w:cs="仿宋"/>
          <w:bCs/>
          <w:sz w:val="44"/>
          <w:szCs w:val="44"/>
        </w:rPr>
        <w:t xml:space="preserve">办    法</w:t>
      </w:r>
      <w:r/>
    </w:p>
    <w:p>
      <w:pPr>
        <w:jc w:val="center"/>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为了做好市区主干道和重要节点花卉布置及考核管理工作，规范方案设计、花材质量、色彩搭配、施工流程以及日常养护等内容事项，特制定本办法。</w:t>
      </w:r>
      <w:r/>
    </w:p>
    <w:p>
      <w:pPr>
        <w:ind w:left="80" w:firstLine="42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一、花卉品种采购要求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1、采购花卉前，各花卉布置单位须向市园林中心上报2</w:t>
      </w:r>
      <w:r>
        <w:rPr>
          <w:rFonts w:ascii="仿宋" w:hAnsi="仿宋" w:eastAsia="仿宋" w:cs="仿宋"/>
          <w:sz w:val="28"/>
          <w:szCs w:val="28"/>
        </w:rPr>
        <w:t xml:space="preserve">024</w:t>
      </w:r>
      <w:r>
        <w:rPr>
          <w:rFonts w:hint="eastAsia" w:ascii="仿宋" w:hAnsi="仿宋" w:eastAsia="仿宋" w:cs="仿宋"/>
          <w:sz w:val="28"/>
          <w:szCs w:val="28"/>
        </w:rPr>
        <w:t xml:space="preserve">年9至1</w:t>
      </w:r>
      <w:r>
        <w:rPr>
          <w:rFonts w:ascii="仿宋" w:hAnsi="仿宋" w:eastAsia="仿宋" w:cs="仿宋"/>
          <w:sz w:val="28"/>
          <w:szCs w:val="28"/>
        </w:rPr>
        <w:t xml:space="preserve">2</w:t>
      </w:r>
      <w:r>
        <w:rPr>
          <w:rFonts w:hint="eastAsia" w:ascii="仿宋" w:hAnsi="仿宋" w:eastAsia="仿宋" w:cs="仿宋"/>
          <w:sz w:val="28"/>
          <w:szCs w:val="28"/>
        </w:rPr>
        <w:t xml:space="preserve">月份花卉订单生产计划，中心绿化科将不定期组织花卉布置单位赴苗圃现场检查花源品质，若花苗规格不符合要求的一律更换，不得使用。</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2、采购花卉进场前须以照片或视频形式，再次向中心绿化科申请确认，确保花卉品种规格符合设计图纸及清单要求。若未上报或上报花卉品质规格未达要求，绿化科不予验收。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3、各花卉布置单位采购进场的花卉须和上报的规格、品种一致，若现场验收发现品种规格不一致的花卉，不予验收。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4、施工前若图纸和清单不一致的，花卉布置单位应及时上报，中心绿化科根据现场实际要求确定花卉布置方案，因图纸与清单不一致造成花卉品种调整或更换的，由设计单位负责。</w:t>
      </w:r>
      <w:r/>
    </w:p>
    <w:p>
      <w:pPr>
        <w:ind w:left="80" w:firstLine="420"/>
        <w:spacing w:line="560" w:lineRule="exact"/>
        <w:rPr>
          <w:rFonts w:hint="eastAsia" w:ascii="仿宋" w:hAnsi="仿宋" w:eastAsia="仿宋" w:cs="仿宋"/>
          <w:sz w:val="28"/>
          <w:szCs w:val="28"/>
        </w:rPr>
      </w:pPr>
      <w:r>
        <w:rPr>
          <w:rFonts w:hint="eastAsia" w:ascii="仿宋" w:hAnsi="仿宋" w:eastAsia="仿宋" w:cs="仿宋"/>
          <w:sz w:val="28"/>
          <w:szCs w:val="28"/>
        </w:rPr>
        <w:t xml:space="preserve">二、花卉种植要求</w:t>
      </w:r>
      <w:r/>
    </w:p>
    <w:p>
      <w:pPr>
        <w:ind w:firstLine="63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1、栽植前土壤须深翻细作，及时清除石块、残根、杂草，施入基肥。</w:t>
      </w:r>
      <w:r/>
    </w:p>
    <w:p>
      <w:pPr>
        <w:ind w:firstLine="630"/>
        <w:spacing w:line="560" w:lineRule="exact"/>
        <w:rPr>
          <w:rFonts w:hint="eastAsia" w:ascii="仿宋" w:hAnsi="仿宋" w:eastAsia="仿宋" w:cs="仿宋"/>
          <w:sz w:val="28"/>
          <w:szCs w:val="28"/>
        </w:rPr>
      </w:pPr>
      <w:r>
        <w:rPr>
          <w:rFonts w:hint="eastAsia" w:ascii="仿宋" w:hAnsi="仿宋" w:eastAsia="仿宋" w:cs="仿宋"/>
          <w:sz w:val="28"/>
          <w:szCs w:val="28"/>
        </w:rPr>
        <w:t xml:space="preserve">2、栽植前土壤应杀虫和灭菌处理。</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3、地形整理严格按照设计图纸要求调整到位，饱满有形。</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4、进场花卉要求大小尽量一致，花叶茂盛，长势良好，无病虫害，花卉布置密度需达到图纸要求。</w:t>
      </w:r>
      <w:r/>
    </w:p>
    <w:p>
      <w:pPr>
        <w:ind w:firstLine="630"/>
        <w:spacing w:line="560" w:lineRule="exact"/>
        <w:rPr>
          <w:rFonts w:hint="eastAsia" w:ascii="仿宋" w:hAnsi="仿宋" w:eastAsia="仿宋" w:cs="仿宋"/>
          <w:sz w:val="28"/>
          <w:szCs w:val="28"/>
        </w:rPr>
      </w:pPr>
      <w:r>
        <w:rPr>
          <w:rFonts w:hint="eastAsia" w:ascii="仿宋" w:hAnsi="仿宋" w:eastAsia="仿宋" w:cs="仿宋"/>
          <w:sz w:val="28"/>
          <w:szCs w:val="28"/>
        </w:rPr>
        <w:t xml:space="preserve">5、花卉种植严格按照规范施工，做到密度合理、匀称整齐、土球不裸露，种植深浅一致，严禁花卉带盆直接堆放摆设而导致花期缩短。</w:t>
      </w:r>
      <w:r/>
    </w:p>
    <w:p>
      <w:pPr>
        <w:ind w:firstLine="630"/>
        <w:spacing w:line="560" w:lineRule="exact"/>
        <w:rPr>
          <w:rFonts w:hint="eastAsia" w:ascii="仿宋" w:hAnsi="仿宋" w:eastAsia="仿宋" w:cs="仿宋"/>
          <w:sz w:val="28"/>
          <w:szCs w:val="28"/>
        </w:rPr>
      </w:pPr>
      <w:r>
        <w:rPr>
          <w:rFonts w:hint="eastAsia" w:ascii="仿宋" w:hAnsi="仿宋" w:eastAsia="仿宋" w:cs="仿宋"/>
          <w:sz w:val="28"/>
          <w:szCs w:val="28"/>
        </w:rPr>
        <w:t xml:space="preserve">6、为减少浇水时泥土的外溢造成路面污染，每次布花时将靠路牙一侧的土取走部分，确保靠路牙边的地形低于路牙10厘米。</w:t>
      </w:r>
      <w:r/>
    </w:p>
    <w:p>
      <w:pPr>
        <w:ind w:firstLine="630"/>
        <w:spacing w:line="560" w:lineRule="exact"/>
        <w:rPr>
          <w:rFonts w:hint="eastAsia" w:ascii="仿宋" w:hAnsi="仿宋" w:eastAsia="仿宋" w:cs="仿宋"/>
          <w:sz w:val="28"/>
          <w:szCs w:val="28"/>
        </w:rPr>
      </w:pPr>
      <w:r>
        <w:rPr>
          <w:rFonts w:hint="eastAsia" w:ascii="仿宋" w:hAnsi="仿宋" w:eastAsia="仿宋" w:cs="仿宋"/>
          <w:sz w:val="28"/>
          <w:szCs w:val="28"/>
        </w:rPr>
        <w:t xml:space="preserve">7、每次布花及清理时须做到文明施工、安全施工，特别是在主干道快车道旁边布置时，要做好相关安全施工的标志和措施，布置路段工人需穿警示反光工作服，现场须有一名安全员，每次布花期间路面产生的垃圾由布花单位专人负责清理，严格做到随产随清。</w:t>
      </w:r>
      <w:r/>
    </w:p>
    <w:p>
      <w:pPr>
        <w:ind w:firstLine="630"/>
        <w:spacing w:line="560" w:lineRule="exact"/>
        <w:rPr>
          <w:rFonts w:hint="eastAsia" w:ascii="仿宋" w:hAnsi="仿宋" w:eastAsia="仿宋" w:cs="仿宋"/>
          <w:sz w:val="28"/>
          <w:szCs w:val="28"/>
        </w:rPr>
      </w:pPr>
      <w:r>
        <w:rPr>
          <w:rFonts w:hint="eastAsia" w:ascii="仿宋" w:hAnsi="仿宋" w:eastAsia="仿宋" w:cs="仿宋"/>
          <w:sz w:val="28"/>
          <w:szCs w:val="28"/>
        </w:rPr>
        <w:t xml:space="preserve">8、布置花卉期间须做好扬尘处理，做到黄土不露天。取土后对路牙和道路上产生的泥土及时清理，整地4小时内不栽花的裸露土地用绿色的密目防尘网覆盖，并设置“园林施工中”告示牌，种植完成后需将地面和侧石冲刷干净。</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三、花卉后期养护管理</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1、适时浇水，确保花期延长，降低成本，严禁水头直冲，浇水后及时清洁路牙和地面，避免泥土污染。</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2、及时清除枯叶残花及花卉内的杂草。</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3、对局部枯败或被人为践踏的地段，应及时补种。</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4、做好地上地下病害虫害防治工作，每次清理残花后，应实施病害虫害防治，并施肥。因防治不到位导致花卉景观受到影响的，应自行更换。</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四、花卉布置验收程序</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1、经财政部门核定，2</w:t>
      </w:r>
      <w:r>
        <w:rPr>
          <w:rFonts w:ascii="仿宋" w:hAnsi="仿宋" w:eastAsia="仿宋" w:cs="仿宋"/>
          <w:sz w:val="28"/>
          <w:szCs w:val="28"/>
        </w:rPr>
        <w:t xml:space="preserve">024</w:t>
      </w:r>
      <w:r>
        <w:rPr>
          <w:rFonts w:hint="eastAsia" w:ascii="仿宋" w:hAnsi="仿宋" w:eastAsia="仿宋" w:cs="仿宋"/>
          <w:sz w:val="28"/>
          <w:szCs w:val="28"/>
        </w:rPr>
        <w:t xml:space="preserve">年9至1</w:t>
      </w:r>
      <w:r>
        <w:rPr>
          <w:rFonts w:ascii="仿宋" w:hAnsi="仿宋" w:eastAsia="仿宋" w:cs="仿宋"/>
          <w:sz w:val="28"/>
          <w:szCs w:val="28"/>
        </w:rPr>
        <w:t xml:space="preserve">2</w:t>
      </w:r>
      <w:r>
        <w:rPr>
          <w:rFonts w:hint="eastAsia" w:ascii="仿宋" w:hAnsi="仿宋" w:eastAsia="仿宋" w:cs="仿宋"/>
          <w:sz w:val="28"/>
          <w:szCs w:val="28"/>
        </w:rPr>
        <w:t xml:space="preserve">月份换花</w:t>
      </w:r>
      <w:r>
        <w:rPr>
          <w:rFonts w:ascii="仿宋" w:hAnsi="仿宋" w:eastAsia="仿宋" w:cs="仿宋"/>
          <w:sz w:val="28"/>
          <w:szCs w:val="28"/>
        </w:rPr>
        <w:t xml:space="preserve">2</w:t>
      </w:r>
      <w:r>
        <w:rPr>
          <w:rFonts w:hint="eastAsia" w:ascii="仿宋" w:hAnsi="仿宋" w:eastAsia="仿宋" w:cs="仿宋"/>
          <w:sz w:val="28"/>
          <w:szCs w:val="28"/>
        </w:rPr>
        <w:t xml:space="preserve">次，花卉布置单位应根据设计图纸内容及市园林中心要求，合理安排布置时间，确保五一、十一、春节等重要节日期间达到盛花效果。</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花卉布置单位须严格按照设计单位提供花卉布置方案（包括面积、花色、品种、图案等）进行布置，施工过程由中心绿化科和设计院人员现场把关，私自超出面积范围的不予认定工程量，也不支付经费，如因道路建设或其他原因减少布花面积的，应及时通知中心绿化科，并做好相关资料留存。</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每次布置完成后，各单位应及时上报报验资料（附照片资料，选景须有参照物，上一次清理的照片和正在布置的照片，照片上尽可能显示拍摄日期）。布置过程中自行保存相关影像资料，布置结束后应申请竣工验收，中心绿化科将组织设计单位和审计单位共同完成审核验收工作。</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4、从取土开始，整个验收过程中，各家须根据中心绿化科下发的整改交办单落实整改，整改验收不合格的扣11分，并再次整改，仍然不合格的加扣11分，以此类推，直至该次布置考核成绩扣完为止。</w:t>
      </w:r>
      <w:r/>
    </w:p>
    <w:p>
      <w:pPr>
        <w:pStyle w:val="649"/>
        <w:ind w:firstLine="1100"/>
        <w:rPr>
          <w:rFonts w:hint="eastAsia" w:ascii="仿宋" w:hAnsi="仿宋" w:eastAsia="仿宋" w:cs="仿宋"/>
          <w:b/>
          <w:bCs/>
          <w:sz w:val="44"/>
          <w:szCs w:val="44"/>
        </w:rPr>
      </w:pPr>
      <w:r>
        <w:rPr>
          <w:rFonts w:hint="eastAsia" w:ascii="仿宋" w:hAnsi="仿宋" w:eastAsia="仿宋" w:cs="仿宋"/>
          <w:b/>
          <w:bCs/>
          <w:sz w:val="44"/>
          <w:szCs w:val="44"/>
        </w:rPr>
      </w:r>
      <w:r/>
    </w:p>
    <w:p>
      <w:pPr>
        <w:pStyle w:val="649"/>
        <w:ind w:firstLine="1100"/>
        <w:rPr>
          <w:rFonts w:hint="eastAsia" w:ascii="仿宋" w:hAnsi="仿宋" w:eastAsia="仿宋" w:cs="仿宋"/>
          <w:b/>
          <w:bCs/>
          <w:sz w:val="44"/>
          <w:szCs w:val="44"/>
        </w:rPr>
      </w:pPr>
      <w:r>
        <w:rPr>
          <w:rFonts w:hint="eastAsia" w:ascii="仿宋" w:hAnsi="仿宋" w:eastAsia="仿宋" w:cs="仿宋"/>
          <w:b/>
          <w:bCs/>
          <w:sz w:val="44"/>
          <w:szCs w:val="44"/>
        </w:rPr>
      </w:r>
      <w:r/>
    </w:p>
    <w:p>
      <w:pPr>
        <w:pStyle w:val="649"/>
        <w:ind w:firstLine="1100"/>
        <w:rPr>
          <w:rFonts w:hint="eastAsia" w:ascii="仿宋" w:hAnsi="仿宋" w:eastAsia="仿宋" w:cs="仿宋"/>
          <w:b/>
          <w:bCs/>
          <w:sz w:val="44"/>
          <w:szCs w:val="44"/>
        </w:rPr>
      </w:pPr>
      <w:r>
        <w:rPr>
          <w:rFonts w:hint="eastAsia" w:ascii="仿宋" w:hAnsi="仿宋" w:eastAsia="仿宋" w:cs="仿宋"/>
          <w:b/>
          <w:bCs/>
          <w:sz w:val="44"/>
          <w:szCs w:val="44"/>
        </w:rPr>
      </w:r>
      <w:r/>
    </w:p>
    <w:p>
      <w:pPr>
        <w:pStyle w:val="649"/>
        <w:ind w:firstLine="1100"/>
        <w:rPr>
          <w:rFonts w:hint="eastAsia" w:ascii="仿宋" w:hAnsi="仿宋" w:eastAsia="仿宋" w:cs="仿宋"/>
          <w:b/>
          <w:bCs/>
          <w:sz w:val="44"/>
          <w:szCs w:val="44"/>
        </w:rPr>
      </w:pPr>
      <w:r>
        <w:rPr>
          <w:rFonts w:hint="eastAsia" w:ascii="仿宋" w:hAnsi="仿宋" w:eastAsia="仿宋" w:cs="仿宋"/>
          <w:b/>
          <w:bCs/>
          <w:sz w:val="44"/>
          <w:szCs w:val="44"/>
        </w:rPr>
      </w:r>
      <w:r/>
    </w:p>
    <w:p>
      <w:pPr>
        <w:pStyle w:val="649"/>
        <w:ind w:firstLine="1100"/>
        <w:rPr>
          <w:rFonts w:hint="eastAsia" w:ascii="仿宋" w:hAnsi="仿宋" w:eastAsia="仿宋" w:cs="仿宋"/>
          <w:b/>
          <w:bCs/>
          <w:sz w:val="44"/>
          <w:szCs w:val="44"/>
        </w:rPr>
      </w:pPr>
      <w:r>
        <w:rPr>
          <w:rFonts w:hint="eastAsia" w:ascii="仿宋" w:hAnsi="仿宋" w:eastAsia="仿宋" w:cs="仿宋"/>
          <w:b/>
          <w:bCs/>
          <w:sz w:val="44"/>
          <w:szCs w:val="44"/>
        </w:rPr>
      </w:r>
      <w:r/>
    </w:p>
    <w:p>
      <w:pPr>
        <w:pStyle w:val="649"/>
        <w:ind w:firstLine="1100"/>
        <w:rPr>
          <w:rFonts w:hint="eastAsia" w:ascii="仿宋" w:hAnsi="仿宋" w:eastAsia="仿宋" w:cs="仿宋"/>
          <w:b/>
          <w:bCs/>
          <w:sz w:val="44"/>
          <w:szCs w:val="44"/>
        </w:rPr>
      </w:pPr>
      <w:r>
        <w:rPr>
          <w:rFonts w:hint="eastAsia" w:ascii="仿宋" w:hAnsi="仿宋" w:eastAsia="仿宋" w:cs="仿宋"/>
          <w:b/>
          <w:bCs/>
          <w:sz w:val="44"/>
          <w:szCs w:val="44"/>
        </w:rPr>
      </w:r>
      <w:r/>
    </w:p>
    <w:p>
      <w:pPr>
        <w:pStyle w:val="649"/>
        <w:ind w:firstLine="1100"/>
        <w:rPr>
          <w:rFonts w:hint="eastAsia" w:ascii="仿宋" w:hAnsi="仿宋" w:eastAsia="仿宋" w:cs="仿宋"/>
          <w:b/>
          <w:bCs/>
          <w:sz w:val="44"/>
          <w:szCs w:val="44"/>
        </w:rPr>
      </w:pPr>
      <w:r>
        <w:rPr>
          <w:rFonts w:hint="eastAsia" w:ascii="仿宋" w:hAnsi="仿宋" w:eastAsia="仿宋" w:cs="仿宋"/>
          <w:b/>
          <w:bCs/>
          <w:sz w:val="44"/>
          <w:szCs w:val="44"/>
        </w:rPr>
      </w:r>
      <w:r/>
    </w:p>
    <w:p>
      <w:pPr>
        <w:pStyle w:val="642"/>
        <w:ind w:firstLine="1100"/>
        <w:rPr>
          <w:rFonts w:hint="eastAsia" w:hAnsi="宋体"/>
          <w:b/>
          <w:bCs/>
          <w:sz w:val="44"/>
          <w:szCs w:val="44"/>
        </w:rPr>
      </w:pPr>
      <w:r>
        <w:rPr>
          <w:rFonts w:hint="eastAsia" w:hAnsi="宋体"/>
          <w:b/>
          <w:bCs/>
          <w:sz w:val="44"/>
          <w:szCs w:val="44"/>
        </w:rPr>
      </w:r>
      <w:r/>
    </w:p>
    <w:p>
      <w:pPr>
        <w:pStyle w:val="642"/>
        <w:ind w:firstLine="1100"/>
        <w:rPr>
          <w:rFonts w:hint="eastAsia" w:hAnsi="宋体"/>
          <w:b/>
          <w:bCs/>
          <w:sz w:val="44"/>
          <w:szCs w:val="44"/>
        </w:rPr>
      </w:pPr>
      <w:r>
        <w:rPr>
          <w:rFonts w:hint="eastAsia" w:hAnsi="宋体"/>
          <w:b/>
          <w:bCs/>
          <w:sz w:val="44"/>
          <w:szCs w:val="44"/>
        </w:rPr>
      </w:r>
      <w:r/>
    </w:p>
    <w:p>
      <w:pPr>
        <w:pStyle w:val="642"/>
        <w:rPr>
          <w:rFonts w:hint="eastAsia" w:hAnsi="宋体"/>
          <w:b/>
          <w:bCs/>
          <w:sz w:val="44"/>
          <w:szCs w:val="44"/>
        </w:rPr>
      </w:pPr>
      <w:r>
        <w:rPr>
          <w:rFonts w:hint="eastAsia" w:hAnsi="宋体"/>
          <w:b/>
          <w:bCs/>
          <w:sz w:val="44"/>
          <w:szCs w:val="44"/>
        </w:rPr>
      </w:r>
      <w:r/>
    </w:p>
    <w:p>
      <w:pPr>
        <w:pStyle w:val="642"/>
        <w:ind w:firstLine="1100"/>
        <w:rPr>
          <w:rFonts w:hint="eastAsia" w:hAnsi="宋体"/>
          <w:b/>
          <w:bCs/>
          <w:sz w:val="44"/>
          <w:szCs w:val="44"/>
        </w:rPr>
      </w:pPr>
      <w:r>
        <w:rPr>
          <w:rFonts w:hint="eastAsia" w:hAnsi="宋体"/>
          <w:b/>
          <w:bCs/>
          <w:sz w:val="44"/>
          <w:szCs w:val="44"/>
        </w:rPr>
      </w:r>
      <w:r/>
    </w:p>
    <w:p>
      <w:pPr>
        <w:ind w:firstLine="1084"/>
        <w:spacing w:line="400" w:lineRule="exact"/>
        <w:rPr>
          <w:rFonts w:hint="eastAsia" w:ascii="黑体" w:hAnsi="黑体" w:eastAsia="黑体"/>
          <w:b/>
          <w:bCs/>
          <w:sz w:val="36"/>
        </w:rPr>
      </w:pPr>
      <w:r>
        <w:rPr>
          <w:rFonts w:hint="eastAsia" w:ascii="黑体" w:hAnsi="黑体" w:eastAsia="黑体"/>
          <w:b/>
          <w:bCs/>
          <w:sz w:val="36"/>
        </w:rPr>
      </w:r>
      <w:r/>
    </w:p>
    <w:p>
      <w:pPr>
        <w:ind w:firstLine="1807"/>
        <w:spacing w:line="400" w:lineRule="exact"/>
        <w:rPr>
          <w:rFonts w:hint="eastAsia" w:ascii="黑体" w:hAnsi="黑体" w:eastAsia="黑体"/>
          <w:b/>
          <w:bCs/>
          <w:sz w:val="36"/>
        </w:rPr>
      </w:pPr>
      <w:r>
        <w:rPr>
          <w:rFonts w:hint="eastAsia" w:ascii="黑体" w:hAnsi="黑体" w:eastAsia="黑体"/>
          <w:b/>
          <w:bCs/>
          <w:sz w:val="36"/>
        </w:rPr>
        <w:t xml:space="preserve">第六章   投  标  文  件</w:t>
      </w:r>
      <w:r/>
    </w:p>
    <w:p>
      <w:pPr>
        <w:pStyle w:val="642"/>
        <w:rPr>
          <w:rFonts w:hint="eastAsia" w:ascii="黑体" w:hAnsi="黑体" w:eastAsia="黑体"/>
          <w:sz w:val="44"/>
          <w:szCs w:val="44"/>
        </w:rPr>
      </w:pPr>
      <w:r>
        <w:rPr>
          <w:rFonts w:hint="eastAsia" w:ascii="黑体" w:hAnsi="黑体" w:eastAsia="黑体"/>
          <w:sz w:val="44"/>
          <w:szCs w:val="44"/>
        </w:rPr>
      </w:r>
      <w:r/>
    </w:p>
    <w:p>
      <w:pPr>
        <w:pStyle w:val="642"/>
        <w:rPr>
          <w:rFonts w:hint="eastAsia" w:ascii="黑体" w:hAnsi="黑体" w:eastAsia="黑体"/>
          <w:sz w:val="32"/>
        </w:rPr>
      </w:pPr>
      <w:r>
        <w:rPr>
          <w:rFonts w:hint="eastAsia" w:ascii="黑体" w:hAnsi="黑体" w:eastAsia="黑体"/>
          <w:sz w:val="32"/>
        </w:rPr>
      </w:r>
      <w:r/>
    </w:p>
    <w:p>
      <w:pPr>
        <w:pStyle w:val="642"/>
        <w:rPr>
          <w:rFonts w:hint="eastAsia" w:ascii="黑体" w:hAnsi="黑体" w:eastAsia="黑体"/>
          <w:sz w:val="32"/>
        </w:rPr>
      </w:pPr>
      <w:r>
        <w:rPr>
          <w:rFonts w:hint="eastAsia" w:ascii="黑体" w:hAnsi="黑体" w:eastAsia="黑体"/>
          <w:sz w:val="32"/>
        </w:rPr>
      </w:r>
      <w:r/>
    </w:p>
    <w:p>
      <w:pPr>
        <w:pStyle w:val="642"/>
        <w:rPr>
          <w:rFonts w:hint="eastAsia" w:ascii="黑体" w:hAnsi="黑体" w:eastAsia="黑体"/>
          <w:sz w:val="32"/>
        </w:rPr>
      </w:pPr>
      <w:r>
        <w:rPr>
          <w:rFonts w:hint="eastAsia" w:ascii="黑体" w:hAnsi="黑体" w:eastAsia="黑体"/>
          <w:sz w:val="32"/>
        </w:rPr>
      </w:r>
      <w:r/>
    </w:p>
    <w:p>
      <w:pPr>
        <w:pStyle w:val="642"/>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642"/>
        <w:rPr>
          <w:rFonts w:hint="eastAsia" w:ascii="黑体" w:hAnsi="黑体" w:eastAsia="黑体"/>
          <w:sz w:val="32"/>
        </w:rPr>
      </w:pPr>
      <w:r>
        <w:rPr>
          <w:rFonts w:hint="eastAsia" w:ascii="黑体" w:hAnsi="黑体" w:eastAsia="黑体"/>
          <w:sz w:val="32"/>
        </w:rPr>
      </w:r>
      <w:r/>
    </w:p>
    <w:p>
      <w:pPr>
        <w:pStyle w:val="642"/>
        <w:ind w:firstLine="1066"/>
        <w:rPr>
          <w:rFonts w:hint="eastAsia" w:ascii="黑体" w:hAnsi="黑体" w:eastAsia="黑体"/>
          <w:b/>
          <w:sz w:val="36"/>
          <w:szCs w:val="24"/>
        </w:rPr>
      </w:pPr>
      <w:r>
        <w:rPr>
          <w:rFonts w:hint="eastAsia" w:ascii="黑体" w:hAnsi="黑体" w:eastAsia="黑体"/>
          <w:b/>
          <w:sz w:val="36"/>
          <w:szCs w:val="24"/>
        </w:rPr>
      </w:r>
      <w:r/>
    </w:p>
    <w:p>
      <w:pPr>
        <w:pStyle w:val="642"/>
        <w:ind w:firstLine="1066"/>
        <w:rPr>
          <w:rFonts w:hint="eastAsia" w:ascii="黑体" w:hAnsi="黑体" w:eastAsia="黑体"/>
          <w:b/>
          <w:sz w:val="36"/>
          <w:szCs w:val="24"/>
        </w:rPr>
      </w:pPr>
      <w:r>
        <w:rPr>
          <w:rFonts w:hint="eastAsia" w:ascii="黑体" w:hAnsi="黑体" w:eastAsia="黑体"/>
          <w:b/>
          <w:sz w:val="36"/>
          <w:szCs w:val="24"/>
        </w:rPr>
      </w:r>
      <w:r/>
    </w:p>
    <w:p>
      <w:pPr>
        <w:pStyle w:val="642"/>
        <w:ind w:firstLine="1066"/>
        <w:rPr>
          <w:rFonts w:hint="eastAsia" w:ascii="黑体" w:hAnsi="黑体" w:eastAsia="黑体"/>
          <w:b/>
          <w:sz w:val="36"/>
          <w:szCs w:val="24"/>
        </w:rPr>
      </w:pPr>
      <w:r>
        <w:rPr>
          <w:rFonts w:hint="eastAsia" w:ascii="黑体" w:hAnsi="黑体" w:eastAsia="黑体"/>
          <w:b/>
          <w:sz w:val="36"/>
          <w:szCs w:val="24"/>
        </w:rPr>
      </w:r>
      <w:r/>
    </w:p>
    <w:p>
      <w:pPr>
        <w:pStyle w:val="642"/>
        <w:ind w:firstLine="1066"/>
        <w:rPr>
          <w:rFonts w:hint="eastAsia" w:ascii="黑体" w:hAnsi="黑体" w:eastAsia="黑体"/>
          <w:b/>
          <w:sz w:val="36"/>
          <w:szCs w:val="24"/>
        </w:rPr>
      </w:pPr>
      <w:r>
        <w:rPr>
          <w:rFonts w:hint="eastAsia" w:ascii="黑体" w:hAnsi="黑体" w:eastAsia="黑体"/>
          <w:b/>
          <w:sz w:val="36"/>
          <w:szCs w:val="24"/>
        </w:rPr>
      </w:r>
      <w:r/>
    </w:p>
    <w:p>
      <w:pPr>
        <w:pStyle w:val="642"/>
        <w:ind w:firstLine="1066"/>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p>
    <w:p>
      <w:pPr>
        <w:pStyle w:val="642"/>
        <w:ind w:firstLine="1904"/>
        <w:rPr>
          <w:rFonts w:hint="eastAsia" w:ascii="黑体" w:hAnsi="黑体" w:eastAsia="黑体"/>
          <w:sz w:val="32"/>
        </w:rPr>
      </w:pPr>
      <w:r>
        <w:rPr>
          <w:rFonts w:hint="eastAsia" w:ascii="黑体" w:hAnsi="黑体" w:eastAsia="黑体"/>
          <w:sz w:val="32"/>
        </w:rPr>
      </w:r>
      <w:r/>
    </w:p>
    <w:p>
      <w:pPr>
        <w:pStyle w:val="642"/>
        <w:ind w:firstLine="1904"/>
        <w:rPr>
          <w:rFonts w:hint="eastAsia" w:ascii="黑体" w:hAnsi="黑体" w:eastAsia="黑体"/>
          <w:sz w:val="32"/>
        </w:rPr>
      </w:pPr>
      <w:r>
        <w:rPr>
          <w:rFonts w:hint="eastAsia" w:ascii="黑体" w:hAnsi="黑体" w:eastAsia="黑体"/>
          <w:sz w:val="32"/>
        </w:rPr>
      </w:r>
      <w:r/>
    </w:p>
    <w:p>
      <w:pPr>
        <w:pStyle w:val="642"/>
        <w:ind w:firstLine="1904"/>
        <w:rPr>
          <w:rFonts w:hint="eastAsia" w:ascii="黑体" w:hAnsi="黑体" w:eastAsia="黑体"/>
          <w:sz w:val="32"/>
        </w:rPr>
      </w:pPr>
      <w:r>
        <w:rPr>
          <w:rFonts w:hint="eastAsia" w:ascii="黑体" w:hAnsi="黑体" w:eastAsia="黑体"/>
          <w:sz w:val="32"/>
        </w:rPr>
      </w:r>
      <w:r/>
    </w:p>
    <w:p>
      <w:pPr>
        <w:pStyle w:val="642"/>
        <w:ind w:firstLine="1904"/>
        <w:rPr>
          <w:rFonts w:hint="eastAsia" w:ascii="黑体" w:hAnsi="黑体" w:eastAsia="黑体"/>
          <w:sz w:val="32"/>
        </w:rPr>
      </w:pPr>
      <w:r>
        <w:rPr>
          <w:rFonts w:hint="eastAsia" w:ascii="黑体" w:hAnsi="黑体" w:eastAsia="黑体"/>
          <w:sz w:val="32"/>
        </w:rPr>
      </w:r>
      <w:r/>
    </w:p>
    <w:p>
      <w:pPr>
        <w:pStyle w:val="642"/>
        <w:ind w:firstLine="1904"/>
        <w:rPr>
          <w:rFonts w:hint="eastAsia" w:ascii="黑体" w:hAnsi="黑体" w:eastAsia="黑体"/>
          <w:sz w:val="32"/>
        </w:rPr>
      </w:pPr>
      <w:r>
        <w:rPr>
          <w:rFonts w:hint="eastAsia" w:ascii="黑体" w:hAnsi="黑体" w:eastAsia="黑体"/>
          <w:sz w:val="32"/>
        </w:rPr>
      </w:r>
      <w:r/>
    </w:p>
    <w:p>
      <w:pPr>
        <w:pStyle w:val="642"/>
        <w:ind w:firstLine="1904"/>
        <w:rPr>
          <w:rFonts w:hint="eastAsia" w:ascii="黑体" w:hAnsi="黑体" w:eastAsia="黑体"/>
          <w:sz w:val="32"/>
        </w:rPr>
      </w:pPr>
      <w:r>
        <w:rPr>
          <w:rFonts w:hint="eastAsia" w:ascii="黑体" w:hAnsi="黑体" w:eastAsia="黑体"/>
          <w:sz w:val="32"/>
        </w:rPr>
      </w:r>
      <w:r/>
    </w:p>
    <w:p>
      <w:pPr>
        <w:pStyle w:val="642"/>
        <w:ind w:firstLine="1904"/>
        <w:rPr>
          <w:rFonts w:hint="eastAsia" w:ascii="黑体" w:hAnsi="黑体" w:eastAsia="黑体"/>
          <w:sz w:val="32"/>
        </w:rPr>
      </w:pPr>
      <w:r>
        <w:rPr>
          <w:rFonts w:hint="eastAsia" w:ascii="黑体" w:hAnsi="黑体" w:eastAsia="黑体"/>
          <w:sz w:val="32"/>
        </w:rPr>
      </w:r>
      <w:r/>
    </w:p>
    <w:p>
      <w:pPr>
        <w:pStyle w:val="642"/>
        <w:ind w:firstLine="2103"/>
        <w:rPr>
          <w:rFonts w:hint="eastAsia" w:ascii="黑体" w:hAnsi="黑体" w:eastAsia="黑体"/>
          <w:b/>
          <w:sz w:val="32"/>
        </w:rPr>
      </w:pPr>
      <w:r>
        <w:rPr>
          <w:rFonts w:hint="eastAsia" w:ascii="黑体" w:hAnsi="黑体" w:eastAsia="黑体"/>
          <w:b/>
          <w:sz w:val="36"/>
          <w:szCs w:val="24"/>
        </w:rPr>
        <w:t xml:space="preserve">二0二四年    月    日</w:t>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642"/>
        <w:ind w:firstLine="2875"/>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pStyle w:val="642"/>
        <w:spacing w:line="640" w:lineRule="exact"/>
        <w:rPr>
          <w:rFonts w:hint="eastAsia" w:ascii="仿宋" w:hAnsi="仿宋" w:eastAsia="仿宋"/>
          <w:sz w:val="28"/>
          <w:szCs w:val="24"/>
        </w:rPr>
      </w:pPr>
      <w:r>
        <w:rPr>
          <w:rFonts w:hint="eastAsia" w:ascii="仿宋" w:hAnsi="仿宋" w:eastAsia="仿宋"/>
          <w:sz w:val="28"/>
          <w:szCs w:val="24"/>
        </w:rPr>
        <w:t xml:space="preserve">淮安市政府采购中心:</w:t>
      </w:r>
      <w:r/>
    </w:p>
    <w:p>
      <w:pPr>
        <w:pStyle w:val="652"/>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652"/>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652"/>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pStyle w:val="652"/>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p>
    <w:p>
      <w:pPr>
        <w:pStyle w:val="652"/>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652"/>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652"/>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652"/>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652"/>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642"/>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42"/>
        <w:spacing w:line="640" w:lineRule="exact"/>
        <w:rPr>
          <w:rFonts w:hint="eastAsia" w:ascii="仿宋" w:hAnsi="仿宋" w:eastAsia="仿宋"/>
          <w:sz w:val="28"/>
          <w:szCs w:val="24"/>
        </w:rPr>
      </w:pPr>
      <w:r>
        <w:rPr>
          <w:rFonts w:hint="eastAsia" w:ascii="仿宋" w:hAnsi="仿宋" w:eastAsia="仿宋"/>
          <w:sz w:val="28"/>
          <w:szCs w:val="24"/>
        </w:rPr>
      </w:r>
      <w:r/>
    </w:p>
    <w:p>
      <w:pPr>
        <w:pStyle w:val="642"/>
        <w:spacing w:line="640" w:lineRule="exact"/>
        <w:rPr>
          <w:rFonts w:hint="eastAsia" w:ascii="仿宋" w:hAnsi="仿宋" w:eastAsia="仿宋"/>
          <w:sz w:val="28"/>
          <w:szCs w:val="24"/>
        </w:rPr>
      </w:pPr>
      <w:r>
        <w:rPr>
          <w:rFonts w:hint="eastAsia" w:ascii="仿宋" w:hAnsi="仿宋" w:eastAsia="仿宋"/>
          <w:sz w:val="28"/>
          <w:szCs w:val="24"/>
        </w:rPr>
      </w:r>
      <w:r/>
    </w:p>
    <w:p>
      <w:pPr>
        <w:pStyle w:val="642"/>
        <w:spacing w:line="640" w:lineRule="exact"/>
        <w:rPr>
          <w:rFonts w:hint="eastAsia" w:ascii="仿宋" w:hAnsi="仿宋" w:eastAsia="仿宋"/>
          <w:sz w:val="28"/>
          <w:szCs w:val="24"/>
        </w:rPr>
      </w:pPr>
      <w:r>
        <w:rPr>
          <w:rFonts w:hint="eastAsia" w:ascii="仿宋" w:hAnsi="仿宋" w:eastAsia="仿宋"/>
          <w:sz w:val="28"/>
          <w:szCs w:val="24"/>
        </w:rPr>
      </w:r>
      <w:r/>
    </w:p>
    <w:p>
      <w:pPr>
        <w:pStyle w:val="642"/>
        <w:spacing w:line="640" w:lineRule="exact"/>
        <w:rPr>
          <w:rFonts w:hint="eastAsia" w:ascii="仿宋" w:hAnsi="仿宋" w:eastAsia="仿宋"/>
          <w:sz w:val="28"/>
          <w:szCs w:val="24"/>
        </w:rPr>
      </w:pPr>
      <w:r>
        <w:rPr>
          <w:rFonts w:hint="eastAsia" w:ascii="仿宋" w:hAnsi="仿宋" w:eastAsia="仿宋"/>
          <w:sz w:val="28"/>
          <w:szCs w:val="24"/>
        </w:rPr>
      </w:r>
      <w:r/>
    </w:p>
    <w:p>
      <w:pPr>
        <w:pStyle w:val="642"/>
        <w:spacing w:line="640" w:lineRule="exact"/>
        <w:rPr>
          <w:rFonts w:hint="eastAsia" w:ascii="仿宋" w:hAnsi="仿宋" w:eastAsia="仿宋"/>
          <w:sz w:val="28"/>
          <w:szCs w:val="24"/>
        </w:rPr>
      </w:pPr>
      <w:r>
        <w:rPr>
          <w:rFonts w:hint="eastAsia" w:ascii="仿宋" w:hAnsi="仿宋" w:eastAsia="仿宋"/>
          <w:sz w:val="28"/>
          <w:szCs w:val="24"/>
        </w:rPr>
      </w:r>
      <w:r/>
    </w:p>
    <w:p>
      <w:pPr>
        <w:pStyle w:val="642"/>
        <w:spacing w:line="640" w:lineRule="exact"/>
        <w:rPr>
          <w:rFonts w:hint="eastAsia" w:ascii="仿宋" w:hAnsi="仿宋" w:eastAsia="仿宋"/>
          <w:sz w:val="28"/>
          <w:szCs w:val="24"/>
        </w:rPr>
      </w:pPr>
      <w:r>
        <w:rPr>
          <w:rFonts w:hint="eastAsia" w:ascii="仿宋" w:hAnsi="仿宋" w:eastAsia="仿宋"/>
          <w:sz w:val="28"/>
          <w:szCs w:val="24"/>
        </w:rPr>
      </w:r>
      <w:r/>
    </w:p>
    <w:p>
      <w:pPr>
        <w:pStyle w:val="642"/>
        <w:spacing w:line="640" w:lineRule="exact"/>
        <w:rPr>
          <w:rFonts w:hint="eastAsia" w:ascii="仿宋" w:hAnsi="仿宋" w:eastAsia="仿宋"/>
          <w:sz w:val="28"/>
          <w:szCs w:val="24"/>
        </w:rPr>
      </w:pPr>
      <w:r>
        <w:rPr>
          <w:rFonts w:hint="eastAsia" w:ascii="仿宋" w:hAnsi="仿宋" w:eastAsia="仿宋"/>
          <w:sz w:val="28"/>
          <w:szCs w:val="24"/>
        </w:rPr>
      </w:r>
      <w:r/>
    </w:p>
    <w:p>
      <w:pPr>
        <w:pStyle w:val="642"/>
        <w:spacing w:line="640" w:lineRule="exact"/>
        <w:rPr>
          <w:rFonts w:hint="eastAsia" w:ascii="仿宋" w:hAnsi="仿宋" w:eastAsia="仿宋"/>
          <w:sz w:val="28"/>
          <w:szCs w:val="24"/>
        </w:rPr>
      </w:pPr>
      <w:r>
        <w:rPr>
          <w:rFonts w:hint="eastAsia" w:ascii="仿宋" w:hAnsi="仿宋" w:eastAsia="仿宋"/>
          <w:sz w:val="28"/>
          <w:szCs w:val="24"/>
        </w:rPr>
      </w:r>
      <w:r/>
    </w:p>
    <w:p>
      <w:pPr>
        <w:pStyle w:val="642"/>
        <w:spacing w:line="640" w:lineRule="exact"/>
        <w:rPr>
          <w:rFonts w:hint="eastAsia" w:ascii="仿宋" w:hAnsi="仿宋" w:eastAsia="仿宋"/>
          <w:sz w:val="28"/>
          <w:szCs w:val="24"/>
        </w:rPr>
      </w:pPr>
      <w:r>
        <w:rPr>
          <w:rFonts w:hint="eastAsia" w:ascii="仿宋" w:hAnsi="仿宋" w:eastAsia="仿宋"/>
          <w:sz w:val="28"/>
          <w:szCs w:val="24"/>
        </w:rPr>
      </w:r>
      <w:r/>
    </w:p>
    <w:p>
      <w:pPr>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p>
      <w:pPr>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649"/>
        <w:spacing w:line="640" w:lineRule="exact"/>
        <w:rPr>
          <w:rFonts w:hint="eastAsia" w:ascii="仿宋" w:hAnsi="仿宋" w:eastAsia="仿宋" w:cs="仿宋"/>
          <w:sz w:val="28"/>
          <w:szCs w:val="24"/>
        </w:rPr>
      </w:pPr>
      <w:r>
        <w:rPr>
          <w:rFonts w:hint="eastAsia" w:ascii="仿宋" w:hAnsi="仿宋" w:eastAsia="仿宋" w:cs="仿宋"/>
          <w:sz w:val="28"/>
          <w:szCs w:val="24"/>
        </w:rPr>
      </w:r>
      <w:r/>
    </w:p>
    <w:p>
      <w:pPr>
        <w:spacing w:line="440" w:lineRule="exact"/>
        <w:rPr>
          <w:rFonts w:hint="eastAsia" w:ascii="仿宋" w:hAnsi="仿宋" w:eastAsia="仿宋" w:cs="仿宋"/>
          <w:sz w:val="28"/>
          <w:szCs w:val="28"/>
        </w:rPr>
      </w:pPr>
      <w:r>
        <w:rPr>
          <w:rFonts w:hint="eastAsia" w:ascii="仿宋" w:hAnsi="仿宋" w:eastAsia="仿宋" w:cs="仿宋"/>
          <w:sz w:val="28"/>
          <w:szCs w:val="28"/>
        </w:rPr>
      </w:r>
      <w:r/>
    </w:p>
    <w:p>
      <w:pPr>
        <w:spacing w:before="19" w:line="440" w:lineRule="exact"/>
        <w:widowControl/>
        <w:rPr>
          <w:rFonts w:hint="eastAsia" w:ascii="仿宋" w:hAnsi="仿宋" w:eastAsia="仿宋" w:cs="仿宋"/>
          <w:bCs/>
          <w:sz w:val="32"/>
          <w:szCs w:val="32"/>
        </w:rPr>
      </w:pPr>
      <w:r>
        <w:rPr>
          <w:rFonts w:hint="eastAsia" w:ascii="仿宋" w:hAnsi="仿宋" w:eastAsia="仿宋" w:cs="仿宋"/>
          <w:bCs/>
          <w:sz w:val="32"/>
          <w:szCs w:val="32"/>
        </w:rPr>
      </w:r>
      <w:r/>
    </w:p>
    <w:p>
      <w:pPr>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t xml:space="preserve">二、开标一览表</w:t>
      </w:r>
      <w:r/>
    </w:p>
    <w:p>
      <w:pPr>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tbl>
      <w:tblPr>
        <w:tblStyle w:val="639"/>
        <w:tblW w:w="84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hint="eastAsia" w:ascii="仿宋" w:hAnsi="仿宋" w:eastAsia="仿宋" w:cs="仿宋"/>
                <w:sz w:val="28"/>
                <w:szCs w:val="28"/>
                <w:highlight w:val="yellow"/>
              </w:rPr>
            </w:pPr>
            <w:r>
              <w:rPr>
                <w:rFonts w:hint="eastAsia" w:ascii="仿宋" w:hAnsi="仿宋" w:eastAsia="仿宋" w:cs="仿宋"/>
                <w:sz w:val="28"/>
                <w:szCs w:val="28"/>
              </w:rPr>
              <w:t xml:space="preserve">项目名称</w:t>
            </w:r>
            <w:r/>
          </w:p>
        </w:tc>
        <w:tc>
          <w:tcPr>
            <w:tcW w:w="6759" w:type="dxa"/>
            <w:vAlign w:val="center"/>
            <w:textDirection w:val="lrTb"/>
            <w:noWrap w:val="false"/>
          </w:tcPr>
          <w:p>
            <w:pPr>
              <w:jc w:val="center"/>
              <w:rPr>
                <w:rFonts w:hint="eastAsia" w:ascii="仿宋" w:hAnsi="仿宋" w:eastAsia="仿宋" w:cs="仿宋"/>
                <w:sz w:val="28"/>
                <w:szCs w:val="28"/>
                <w:highlight w:val="yellow"/>
              </w:rPr>
            </w:pPr>
            <w:r>
              <w:rPr>
                <w:rFonts w:hint="eastAsia" w:ascii="仿宋" w:hAnsi="仿宋" w:eastAsia="仿宋" w:cs="仿宋"/>
                <w:sz w:val="28"/>
                <w:szCs w:val="28"/>
                <w:highlight w:val="yellow"/>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cs="仿宋"/>
                <w:sz w:val="28"/>
                <w:szCs w:val="28"/>
              </w:rPr>
            </w:pPr>
            <w:r>
              <w:rPr>
                <w:rFonts w:hint="eastAsia" w:ascii="仿宋" w:hAnsi="仿宋" w:eastAsia="仿宋" w:cs="仿宋"/>
                <w:sz w:val="28"/>
                <w:szCs w:val="28"/>
              </w:rPr>
              <w:t xml:space="preserve">投标报价</w:t>
            </w:r>
            <w:r/>
          </w:p>
          <w:p>
            <w:pPr>
              <w:jc w:val="center"/>
              <w:spacing w:line="720" w:lineRule="exact"/>
              <w:rPr>
                <w:rFonts w:hint="eastAsia" w:ascii="仿宋" w:hAnsi="仿宋" w:eastAsia="仿宋" w:cs="仿宋"/>
                <w:sz w:val="28"/>
                <w:szCs w:val="28"/>
              </w:rPr>
            </w:pPr>
            <w:r>
              <w:rPr>
                <w:rFonts w:hint="eastAsia" w:ascii="仿宋" w:hAnsi="仿宋" w:eastAsia="仿宋" w:cs="仿宋"/>
                <w:sz w:val="28"/>
                <w:szCs w:val="28"/>
              </w:rPr>
              <w:t xml:space="preserve">总计</w:t>
            </w:r>
            <w:r/>
          </w:p>
        </w:tc>
        <w:tc>
          <w:tcPr>
            <w:tcW w:w="6759" w:type="dxa"/>
            <w:vAlign w:val="center"/>
            <w:textDirection w:val="lrTb"/>
            <w:noWrap w:val="false"/>
          </w:tcPr>
          <w:p>
            <w:pPr>
              <w:spacing w:line="720" w:lineRule="exact"/>
              <w:rPr>
                <w:rFonts w:hint="eastAsia" w:ascii="仿宋" w:hAnsi="仿宋" w:eastAsia="仿宋" w:cs="仿宋"/>
                <w:sz w:val="28"/>
                <w:szCs w:val="28"/>
                <w:u w:val="single"/>
              </w:rPr>
            </w:pPr>
            <w:r>
              <w:rPr>
                <w:rFonts w:hint="eastAsia" w:ascii="仿宋" w:hAnsi="仿宋" w:eastAsia="仿宋" w:cs="仿宋"/>
                <w:sz w:val="28"/>
                <w:szCs w:val="28"/>
              </w:rPr>
              <w:t xml:space="preserve">（小写）¥ </w:t>
            </w:r>
            <w:r>
              <w:rPr>
                <w:rFonts w:hint="eastAsia" w:ascii="仿宋" w:hAnsi="仿宋" w:eastAsia="仿宋" w:cs="仿宋"/>
                <w:sz w:val="28"/>
                <w:szCs w:val="28"/>
                <w:u w:val="single"/>
              </w:rPr>
              <w:t xml:space="preserve">                                  </w:t>
            </w:r>
            <w:r/>
          </w:p>
          <w:p>
            <w:pPr>
              <w:spacing w:line="720" w:lineRule="exact"/>
              <w:rPr>
                <w:rFonts w:hint="eastAsia" w:ascii="仿宋" w:hAnsi="仿宋" w:eastAsia="仿宋" w:cs="仿宋"/>
                <w:sz w:val="28"/>
                <w:szCs w:val="28"/>
              </w:rPr>
            </w:pP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p>
        </w:tc>
      </w:tr>
      <w:tr>
        <w:trPr>
          <w:cantSplit/>
          <w:trHeight w:val="1273"/>
        </w:trPr>
        <w:tc>
          <w:tcPr>
            <w:tcW w:w="1701" w:type="dxa"/>
            <w:vAlign w:val="center"/>
            <w:textDirection w:val="lrTb"/>
            <w:noWrap w:val="false"/>
          </w:tcPr>
          <w:p>
            <w:pPr>
              <w:ind w:firstLine="140"/>
              <w:rPr>
                <w:rFonts w:hint="eastAsia" w:ascii="仿宋" w:hAnsi="仿宋" w:eastAsia="仿宋" w:cs="仿宋"/>
                <w:sz w:val="28"/>
                <w:szCs w:val="28"/>
              </w:rPr>
            </w:pPr>
            <w:r>
              <w:rPr>
                <w:rFonts w:hint="eastAsia" w:ascii="仿宋" w:hAnsi="仿宋" w:eastAsia="仿宋" w:cs="Times New Roman"/>
                <w:sz w:val="28"/>
                <w:szCs w:val="28"/>
              </w:rPr>
              <w:t xml:space="preserve">供货时间</w:t>
            </w:r>
            <w:r/>
          </w:p>
        </w:tc>
        <w:tc>
          <w:tcPr>
            <w:tcW w:w="6759" w:type="dxa"/>
            <w:vAlign w:val="center"/>
            <w:textDirection w:val="lrTb"/>
            <w:noWrap w:val="false"/>
          </w:tcPr>
          <w:p>
            <w:pPr>
              <w:ind w:firstLine="1540"/>
              <w:rPr>
                <w:rFonts w:hint="eastAsia" w:ascii="仿宋" w:hAnsi="仿宋" w:eastAsia="仿宋" w:cs="仿宋"/>
                <w:sz w:val="28"/>
                <w:szCs w:val="28"/>
              </w:rPr>
            </w:pPr>
            <w:r>
              <w:rPr>
                <w:rFonts w:hint="eastAsia" w:ascii="仿宋" w:hAnsi="仿宋" w:eastAsia="仿宋" w:cs="Times New Roman"/>
                <w:sz w:val="28"/>
                <w:szCs w:val="28"/>
              </w:rPr>
              <w:t xml:space="preserve">按招标文件要求执行。</w:t>
            </w:r>
            <w:r/>
          </w:p>
        </w:tc>
      </w:tr>
    </w:tbl>
    <w:p>
      <w:pPr>
        <w:ind w:firstLine="412"/>
        <w:spacing w:line="440" w:lineRule="exact"/>
        <w:rPr>
          <w:rFonts w:hint="eastAsia" w:ascii="仿宋" w:hAnsi="仿宋" w:eastAsia="仿宋" w:cs="仿宋"/>
          <w:sz w:val="28"/>
          <w:szCs w:val="28"/>
        </w:rPr>
      </w:pPr>
      <w:r/>
      <w:bookmarkStart w:id="36" w:name="_Toc136924766"/>
      <w:r/>
      <w:bookmarkStart w:id="37" w:name="_Toc157775459"/>
      <w:r/>
      <w:r/>
    </w:p>
    <w:p>
      <w:pPr>
        <w:ind w:firstLine="412"/>
        <w:spacing w:line="440" w:lineRule="exact"/>
        <w:rPr>
          <w:rFonts w:hint="eastAsia" w:ascii="仿宋" w:hAnsi="仿宋" w:eastAsia="仿宋" w:cs="仿宋"/>
          <w:sz w:val="28"/>
          <w:szCs w:val="28"/>
        </w:rPr>
      </w:pPr>
      <w:r>
        <w:rPr>
          <w:rFonts w:hint="eastAsia" w:ascii="仿宋" w:hAnsi="仿宋" w:eastAsia="仿宋" w:cs="仿宋"/>
          <w:sz w:val="28"/>
          <w:szCs w:val="28"/>
        </w:rPr>
      </w:r>
      <w:bookmarkEnd w:id="36"/>
      <w:bookmarkEnd w:id="37"/>
      <w:r/>
    </w:p>
    <w:p>
      <w:pPr>
        <w:pStyle w:val="649"/>
        <w:ind w:firstLine="2875"/>
        <w:rPr>
          <w:rFonts w:hint="eastAsia" w:ascii="仿宋" w:hAnsi="仿宋" w:eastAsia="仿宋" w:cs="仿宋"/>
          <w:b/>
          <w:sz w:val="32"/>
          <w:szCs w:val="32"/>
        </w:rPr>
      </w:pPr>
      <w:r/>
      <w:bookmarkStart w:id="38" w:name="_Toc157775468"/>
      <w:r/>
      <w:r/>
    </w:p>
    <w:p>
      <w:pPr>
        <w:pStyle w:val="649"/>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649"/>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649"/>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649"/>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649"/>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649"/>
        <w:ind w:firstLine="2875"/>
        <w:rPr>
          <w:rFonts w:hint="eastAsia" w:ascii="仿宋" w:hAnsi="仿宋" w:eastAsia="仿宋" w:cs="仿宋"/>
          <w:b/>
          <w:sz w:val="32"/>
          <w:szCs w:val="32"/>
        </w:rPr>
        <w:sectPr>
          <w:headerReference w:type="default" r:id="rId9"/>
          <w:footerReference w:type="default" r:id="rId10"/>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cs="仿宋"/>
          <w:b/>
          <w:sz w:val="32"/>
          <w:szCs w:val="32"/>
        </w:rPr>
      </w:r>
      <w:r/>
    </w:p>
    <w:p>
      <w:pPr>
        <w:pStyle w:val="649"/>
        <w:jc w:val="center"/>
        <w:rPr>
          <w:rFonts w:hint="eastAsia" w:ascii="仿宋" w:hAnsi="仿宋" w:eastAsia="仿宋" w:cs="仿宋"/>
          <w:b/>
          <w:sz w:val="32"/>
          <w:szCs w:val="32"/>
        </w:rPr>
      </w:pPr>
      <w:r>
        <w:rPr>
          <w:rFonts w:hint="eastAsia" w:ascii="仿宋" w:hAnsi="仿宋" w:eastAsia="仿宋" w:cs="仿宋"/>
          <w:b/>
          <w:sz w:val="32"/>
          <w:szCs w:val="32"/>
        </w:rPr>
        <w:t xml:space="preserve">三、投标报价明细表</w:t>
      </w:r>
      <w:r/>
    </w:p>
    <w:p>
      <w:pPr>
        <w:ind w:left="210"/>
        <w:jc w:val="center"/>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第一部分</w:t>
      </w:r>
      <w:r/>
    </w:p>
    <w:tbl>
      <w:tblPr>
        <w:tblStyle w:val="639"/>
        <w:tblW w:w="4998" w:type="pct"/>
        <w:jc w:val="center"/>
        <w:tblLayout w:type="autofit"/>
        <w:tblCellMar>
          <w:left w:w="0" w:type="dxa"/>
          <w:top w:w="0" w:type="dxa"/>
          <w:right w:w="0" w:type="dxa"/>
          <w:bottom w:w="0" w:type="dxa"/>
        </w:tblCellMar>
        <w:tblLook w:val="04A0" w:firstRow="1" w:lastRow="0" w:firstColumn="1" w:lastColumn="0" w:noHBand="0" w:noVBand="1"/>
      </w:tblPr>
      <w:tblGrid>
        <w:gridCol w:w="527"/>
        <w:gridCol w:w="815"/>
        <w:gridCol w:w="862"/>
        <w:gridCol w:w="3668"/>
        <w:gridCol w:w="876"/>
        <w:gridCol w:w="1106"/>
        <w:gridCol w:w="3064"/>
        <w:gridCol w:w="1680"/>
        <w:gridCol w:w="1264"/>
      </w:tblGrid>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方正小标宋_GBK" w:hAnsi="方正小标宋_GBK" w:eastAsia="方正小标宋_GBK" w:cs="方正小标宋_GBK"/>
                <w:sz w:val="24"/>
                <w:lang w:bidi="ar"/>
              </w:rPr>
            </w:pPr>
            <w:r>
              <w:rPr>
                <w:rFonts w:hint="eastAsia" w:ascii="方正小标宋_GBK" w:hAnsi="方正小标宋_GBK" w:eastAsia="方正小标宋_GBK" w:cs="方正小标宋_GBK"/>
                <w:sz w:val="28"/>
                <w:szCs w:val="28"/>
                <w:lang w:bidi="ar"/>
              </w:rPr>
              <w:t xml:space="preserve">2024年市区主要道路重要节点国庆、冬季花卉布置工程量</w:t>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国庆</w:t>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淮海东路</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北京路</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颜色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淮海西路</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c00000"/>
                <w:szCs w:val="21"/>
                <w:lang w:bidi="ar"/>
              </w:rPr>
            </w:pPr>
            <w:r>
              <w:rPr>
                <w:rFonts w:hint="eastAsia" w:ascii="宋体" w:hAnsi="宋体" w:cs="宋体"/>
                <w:color w:val="c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c00000"/>
                <w:szCs w:val="21"/>
                <w:lang w:bidi="ar"/>
              </w:rPr>
            </w:pPr>
            <w:r>
              <w:rPr>
                <w:rFonts w:hint="eastAsia" w:ascii="宋体" w:hAnsi="宋体" w:cs="宋体"/>
                <w:color w:val="c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南互通</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颜色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大运河广场</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翔宇大道</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水渡口大道及万达广场</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北京南路与漕运路交叉口微客厅</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电信大楼前</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szCs w:val="21"/>
              </w:rPr>
            </w:pPr>
            <w:r>
              <w:rPr>
                <w:rFonts w:hint="eastAsia"/>
                <w:szCs w:val="21"/>
              </w:rPr>
              <w:t xml:space="preserve">廉颂园</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万达广场A口</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水门桥游园</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石油公司旁</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E时代广场（新增）</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枚皋路节点（新增）</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b/>
                <w:szCs w:val="21"/>
                <w:lang w:bidi="ar"/>
              </w:rPr>
            </w:pPr>
            <w:r>
              <w:rPr>
                <w:rFonts w:hint="eastAsia" w:ascii="宋体" w:hAnsi="宋体" w:cs="宋体"/>
                <w:b/>
                <w:szCs w:val="21"/>
                <w:lang w:bidi="ar"/>
              </w:rPr>
              <w:t xml:space="preserve">冬季</w:t>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淮海东路</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北京路</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淮海西路</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ff0000"/>
                <w:szCs w:val="21"/>
                <w:lang w:bidi="ar"/>
              </w:rPr>
            </w:pPr>
            <w:r>
              <w:rPr>
                <w:rFonts w:hint="eastAsia" w:ascii="宋体" w:hAnsi="宋体" w:cs="宋体"/>
                <w:color w:val="ff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南互通</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大运河广场</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水渡口大道及万达广场</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翔宇大道</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北京南路与漕运路交叉口微客厅</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电信大楼前</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廉颂园</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石油公司旁</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万达广场A口</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水门桥游园</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其他</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spacing w:line="240" w:lineRule="atLeast"/>
              <w:widowControl/>
              <w:rPr>
                <w:rFonts w:ascii="宋体" w:hAnsi="宋体" w:cs="宋体"/>
                <w:color w:val="000000"/>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spacing w:line="240" w:lineRule="atLeast"/>
              <w:widowControl/>
              <w:rPr>
                <w:rFonts w:ascii="宋体" w:hAnsi="宋体" w:cs="宋体"/>
                <w:color w:val="000000"/>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 w:type="pct"/>
            <w:vAlign w:val="center"/>
            <w:textDirection w:val="lrTb"/>
            <w:noWrap w:val="false"/>
          </w:tcPr>
          <w:p>
            <w:pPr>
              <w:jc w:val="center"/>
              <w:spacing w:line="240" w:lineRule="atLeast"/>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jc w:val="center"/>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第二部分</w:t>
      </w:r>
      <w:r/>
    </w:p>
    <w:tbl>
      <w:tblPr>
        <w:tblStyle w:val="639"/>
        <w:tblW w:w="4998" w:type="pct"/>
        <w:jc w:val="center"/>
        <w:tblLayout w:type="autofit"/>
        <w:tblCellMar>
          <w:left w:w="0" w:type="dxa"/>
          <w:top w:w="0" w:type="dxa"/>
          <w:right w:w="0" w:type="dxa"/>
          <w:bottom w:w="0" w:type="dxa"/>
        </w:tblCellMar>
        <w:tblLook w:val="04A0" w:firstRow="1" w:lastRow="0" w:firstColumn="1" w:lastColumn="0" w:noHBand="0" w:noVBand="1"/>
      </w:tblPr>
      <w:tblGrid>
        <w:gridCol w:w="540"/>
        <w:gridCol w:w="767"/>
        <w:gridCol w:w="837"/>
        <w:gridCol w:w="3660"/>
        <w:gridCol w:w="893"/>
        <w:gridCol w:w="1115"/>
        <w:gridCol w:w="3144"/>
        <w:gridCol w:w="1672"/>
        <w:gridCol w:w="1234"/>
      </w:tblGrid>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ascii="方正小标宋_GBK" w:hAnsi="方正小标宋_GBK" w:eastAsia="方正小标宋_GBK" w:cs="方正小标宋_GBK"/>
                <w:sz w:val="24"/>
                <w:lang w:bidi="ar"/>
              </w:rPr>
            </w:pPr>
            <w:r>
              <w:rPr>
                <w:rFonts w:hint="eastAsia" w:ascii="方正小标宋_GBK" w:hAnsi="方正小标宋_GBK" w:eastAsia="方正小标宋_GBK" w:cs="方正小标宋_GBK"/>
                <w:sz w:val="28"/>
                <w:szCs w:val="28"/>
                <w:lang w:bidi="ar"/>
              </w:rPr>
              <w:t xml:space="preserve">2024年淮海南北路、有轨电车沿线国庆、冬季花箱花卉布置工程量</w:t>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国庆</w:t>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淮海广场转盘</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淮海南北路沿线花箱</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颜色</w:t>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none" w:color="000000" w:sz="4" w:space="0"/>
            </w:tcBorders>
            <w:tcMar>
              <w:left w:w="15" w:type="dxa"/>
              <w:top w:w="15" w:type="dxa"/>
              <w:right w:w="15" w:type="dxa"/>
            </w:tcMar>
            <w:tcW w:w="1320"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有轨电车沿线花箱</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冬季</w:t>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淮海广场转盘</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淮海南北路沿线花箱</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有轨电车沿线花箱</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颜色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2"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jc w:val="center"/>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第三部分</w:t>
      </w:r>
      <w:r/>
    </w:p>
    <w:tbl>
      <w:tblPr>
        <w:tblStyle w:val="639"/>
        <w:tblW w:w="4997" w:type="pct"/>
        <w:jc w:val="center"/>
        <w:tblLayout w:type="autofit"/>
        <w:tblCellMar>
          <w:left w:w="0" w:type="dxa"/>
          <w:top w:w="0" w:type="dxa"/>
          <w:right w:w="0" w:type="dxa"/>
          <w:bottom w:w="0" w:type="dxa"/>
        </w:tblCellMar>
        <w:tblLook w:val="04A0" w:firstRow="1" w:lastRow="0" w:firstColumn="1" w:lastColumn="0" w:noHBand="0" w:noVBand="1"/>
      </w:tblPr>
      <w:tblGrid>
        <w:gridCol w:w="513"/>
        <w:gridCol w:w="1572"/>
        <w:gridCol w:w="3659"/>
        <w:gridCol w:w="870"/>
        <w:gridCol w:w="1089"/>
        <w:gridCol w:w="3221"/>
        <w:gridCol w:w="1672"/>
        <w:gridCol w:w="1264"/>
      </w:tblGrid>
      <w:tr>
        <w:trPr>
          <w:jc w:val="center"/>
          <w:trHeight w:val="51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ascii="方正小标宋_GBK" w:hAnsi="方正小标宋_GBK" w:eastAsia="方正小标宋_GBK" w:cs="方正小标宋_GBK"/>
                <w:sz w:val="24"/>
                <w:lang w:bidi="ar"/>
              </w:rPr>
            </w:pPr>
            <w:r>
              <w:rPr>
                <w:rFonts w:hint="eastAsia" w:ascii="方正小标宋_GBK" w:hAnsi="方正小标宋_GBK" w:eastAsia="方正小标宋_GBK" w:cs="方正小标宋_GBK"/>
                <w:sz w:val="28"/>
                <w:szCs w:val="28"/>
                <w:lang w:bidi="ar"/>
              </w:rPr>
              <w:t xml:space="preserve">2024年“百年征程”“运河画卷”两处绿雕国庆、冬季维护</w:t>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国庆</w:t>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大剧院“百年征程”绿雕</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rStyle w:val="651"/>
                <w:sz w:val="21"/>
                <w:szCs w:val="21"/>
                <w:lang w:bidi="ar"/>
              </w:rPr>
              <w:t xml:space="preserve">植物名称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rStyle w:val="651"/>
                <w:sz w:val="21"/>
                <w:szCs w:val="21"/>
                <w:lang w:bidi="ar"/>
              </w:rPr>
              <w:t xml:space="preserve">单位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rStyle w:val="651"/>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rStyle w:val="651"/>
                <w:sz w:val="21"/>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spacing w:line="240" w:lineRule="atLeast"/>
              <w:widowControl/>
              <w:rPr>
                <w:rStyle w:val="651"/>
                <w:sz w:val="21"/>
                <w:szCs w:val="21"/>
                <w:lang w:bidi="ar"/>
              </w:rPr>
            </w:pPr>
            <w:r>
              <w:rPr>
                <w:rFonts w:hint="eastAsia" w:ascii="宋体" w:hAnsi="宋体" w:cs="宋体"/>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spacing w:line="240" w:lineRule="atLeast"/>
              <w:widowControl/>
              <w:rPr>
                <w:rStyle w:val="651"/>
                <w:sz w:val="21"/>
                <w:szCs w:val="21"/>
                <w:lang w:bidi="ar"/>
              </w:rPr>
            </w:pPr>
            <w:r>
              <w:rPr>
                <w:rFonts w:hint="eastAsia" w:ascii="宋体" w:hAnsi="宋体" w:cs="宋体"/>
                <w:szCs w:val="21"/>
                <w:lang w:bidi="ar"/>
              </w:rPr>
              <w:t xml:space="preserve">小计（元）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宋体" w:hAnsi="宋体" w:cs="宋体"/>
                <w:szCs w:val="21"/>
                <w:lang w:bidi="ar"/>
              </w:rPr>
            </w:pPr>
            <w:r>
              <w:rPr>
                <w:rFonts w:hint="eastAsia" w:ascii="宋体" w:hAnsi="宋体" w:cs="宋体"/>
                <w:szCs w:val="21"/>
                <w:lang w:bidi="ar"/>
              </w:rPr>
              <w:t xml:space="preserve">里运河“运河画卷”</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rStyle w:val="651"/>
                <w:sz w:val="21"/>
                <w:szCs w:val="21"/>
                <w:lang w:bidi="ar"/>
              </w:rPr>
              <w:t xml:space="preserve">植物名称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rStyle w:val="651"/>
                <w:sz w:val="21"/>
                <w:szCs w:val="21"/>
                <w:lang w:bidi="ar"/>
              </w:rPr>
              <w:t xml:space="preserve">单位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rStyle w:val="651"/>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rStyle w:val="651"/>
                <w:sz w:val="21"/>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rStyle w:val="651"/>
                <w:sz w:val="21"/>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rStyle w:val="651"/>
                <w:sz w:val="21"/>
                <w:szCs w:val="21"/>
                <w:lang w:bidi="ar"/>
              </w:rPr>
              <w:t xml:space="preserve">小计（元）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冬季</w:t>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大剧院“百年征程”绿雕</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rStyle w:val="651"/>
                <w:sz w:val="21"/>
                <w:szCs w:val="21"/>
                <w:lang w:bidi="ar"/>
              </w:rPr>
              <w:t xml:space="preserve">植物名称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rStyle w:val="651"/>
                <w:sz w:val="21"/>
                <w:szCs w:val="21"/>
                <w:lang w:bidi="ar"/>
              </w:rPr>
              <w:t xml:space="preserve">单位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rStyle w:val="651"/>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rStyle w:val="651"/>
                <w:sz w:val="21"/>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rStyle w:val="651"/>
                <w:sz w:val="21"/>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rStyle w:val="651"/>
                <w:sz w:val="21"/>
                <w:szCs w:val="21"/>
                <w:lang w:bidi="ar"/>
              </w:rPr>
              <w:t xml:space="preserve">小计（元）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里运河“运河画卷”</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rStyle w:val="651"/>
                <w:sz w:val="21"/>
                <w:szCs w:val="21"/>
                <w:lang w:bidi="ar"/>
              </w:rPr>
              <w:t xml:space="preserve">植物名称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rStyle w:val="651"/>
                <w:sz w:val="21"/>
                <w:szCs w:val="21"/>
                <w:lang w:bidi="ar"/>
              </w:rPr>
              <w:t xml:space="preserve">单位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rStyle w:val="651"/>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rStyle w:val="651"/>
                <w:sz w:val="21"/>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rStyle w:val="651"/>
                <w:sz w:val="21"/>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rStyle w:val="651"/>
                <w:sz w:val="21"/>
                <w:szCs w:val="21"/>
                <w:lang w:bidi="ar"/>
              </w:rPr>
              <w:t xml:space="preserve">小计（元）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其他</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rStyle w:val="651"/>
                <w:sz w:val="2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rStyle w:val="651"/>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rStyle w:val="651"/>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rStyle w:val="651"/>
                <w:sz w:val="21"/>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rStyle w:val="651"/>
                <w:sz w:val="21"/>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rStyle w:val="651"/>
                <w:sz w:val="21"/>
                <w:szCs w:val="21"/>
                <w:lang w:bidi="ar"/>
              </w:rPr>
              <w:t xml:space="preserve">小计（元）</w:t>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大剧院“百年征程”</w:t>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立体景观部分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地面花境部分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设备部分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其他材料</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大运河“运河画卷”</w:t>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地面花境部分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设备部分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其他材料</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 w:type="pct"/>
            <w:vAlign w:val="center"/>
            <w:textDirection w:val="lrTb"/>
            <w:noWrap w:val="false"/>
          </w:tcPr>
          <w:p>
            <w:pPr>
              <w:jc w:val="center"/>
              <w:widowControl/>
              <w:rPr>
                <w:rStyle w:val="651"/>
                <w:sz w:val="21"/>
                <w:szCs w:val="21"/>
                <w:lang w:bidi="ar"/>
              </w:rPr>
            </w:pPr>
            <w:r>
              <w:rPr>
                <w:rStyle w:val="651"/>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0"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4"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2"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center"/>
              <w:widowControl/>
              <w:rPr>
                <w:rStyle w:val="651"/>
                <w:sz w:val="21"/>
                <w:szCs w:val="21"/>
                <w:lang w:bidi="ar"/>
              </w:rPr>
            </w:pPr>
            <w:r>
              <w:rPr>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3" w:type="pct"/>
            <w:vAlign w:val="center"/>
            <w:textDirection w:val="lrTb"/>
            <w:noWrap w:val="false"/>
          </w:tcPr>
          <w:p>
            <w:pPr>
              <w:jc w:val="center"/>
              <w:widowControl/>
              <w:rPr>
                <w:rStyle w:val="651"/>
                <w:sz w:val="21"/>
                <w:szCs w:val="21"/>
                <w:lang w:bidi="ar"/>
              </w:rPr>
            </w:pPr>
            <w:r>
              <w:rPr>
                <w:sz w:val="21"/>
                <w:szCs w:val="21"/>
                <w:lang w:bidi="ar"/>
              </w:rPr>
            </w:r>
            <w:r/>
          </w:p>
        </w:tc>
      </w:tr>
      <w:tr>
        <w:trPr>
          <w:jc w:val="center"/>
          <w:trHeight w:val="54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Style w:val="651"/>
                <w:sz w:val="21"/>
                <w:szCs w:val="21"/>
                <w:lang w:bidi="ar"/>
              </w:rPr>
            </w:pPr>
            <w:r>
              <w:rPr>
                <w:rStyle w:val="651"/>
                <w:sz w:val="21"/>
                <w:szCs w:val="21"/>
                <w:lang w:bidi="ar"/>
              </w:rPr>
              <w:t xml:space="preserve">备注：立体绿化报价需要包含现有养护单位7、8两个月对现有两处立体绿化的养护管理费用。</w:t>
            </w:r>
            <w:r/>
          </w:p>
        </w:tc>
      </w:tr>
    </w:tbl>
    <w:p>
      <w:pPr>
        <w:jc w:val="center"/>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第四部分</w:t>
      </w:r>
      <w:r/>
    </w:p>
    <w:tbl>
      <w:tblPr>
        <w:tblStyle w:val="639"/>
        <w:tblW w:w="4998" w:type="pct"/>
        <w:jc w:val="center"/>
        <w:tblLayout w:type="autofit"/>
        <w:tblCellMar>
          <w:left w:w="0" w:type="dxa"/>
          <w:top w:w="0" w:type="dxa"/>
          <w:right w:w="0" w:type="dxa"/>
          <w:bottom w:w="0" w:type="dxa"/>
        </w:tblCellMar>
        <w:tblLook w:val="04A0" w:firstRow="1" w:lastRow="0" w:firstColumn="1" w:lastColumn="0" w:noHBand="0" w:noVBand="1"/>
      </w:tblPr>
      <w:tblGrid>
        <w:gridCol w:w="515"/>
        <w:gridCol w:w="1561"/>
        <w:gridCol w:w="3635"/>
        <w:gridCol w:w="876"/>
        <w:gridCol w:w="1106"/>
        <w:gridCol w:w="3238"/>
        <w:gridCol w:w="1658"/>
        <w:gridCol w:w="1273"/>
      </w:tblGrid>
      <w:tr>
        <w:trPr>
          <w:jc w:val="center"/>
          <w:trHeight w:val="567"/>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方正小标宋_GBK" w:hAnsi="方正小标宋_GBK" w:eastAsia="方正小标宋_GBK" w:cs="方正小标宋_GBK"/>
                <w:sz w:val="28"/>
                <w:szCs w:val="28"/>
                <w:lang w:bidi="ar"/>
              </w:rPr>
            </w:pPr>
            <w:r>
              <w:rPr>
                <w:rFonts w:hint="eastAsia" w:ascii="方正小标宋_GBK" w:hAnsi="方正小标宋_GBK" w:eastAsia="方正小标宋_GBK" w:cs="方正小标宋_GBK"/>
                <w:sz w:val="28"/>
                <w:szCs w:val="28"/>
                <w:lang w:bidi="ar"/>
              </w:rPr>
              <w:t xml:space="preserve">2024年小微绿地改造工程量</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1" w:type="pct"/>
            <w:vAlign w:val="center"/>
            <w:textDirection w:val="lrTb"/>
            <w:noWrap w:val="false"/>
          </w:tcPr>
          <w:p>
            <w:pPr>
              <w:jc w:val="center"/>
              <w:spacing w:line="240" w:lineRule="atLeast"/>
              <w:widowControl/>
              <w:rPr>
                <w:rFonts w:hint="eastAsia" w:ascii="宋体" w:hAnsi="宋体" w:cs="宋体"/>
                <w:color w:val="000000"/>
                <w:szCs w:val="21"/>
                <w:lang w:bidi="ar"/>
              </w:rPr>
            </w:pPr>
            <w:r>
              <w:rPr>
                <w:rFonts w:hint="eastAsia" w:ascii="宋体" w:hAnsi="宋体" w:cs="宋体"/>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pct"/>
            <w:vAlign w:val="center"/>
            <w:textDirection w:val="lrTb"/>
            <w:noWrap w:val="false"/>
          </w:tcPr>
          <w:p>
            <w:pPr>
              <w:jc w:val="center"/>
              <w:widowControl/>
              <w:rPr>
                <w:rFonts w:hint="eastAsia" w:ascii="宋体" w:hAnsi="宋体" w:cs="宋体"/>
                <w:szCs w:val="21"/>
              </w:rPr>
            </w:pPr>
            <w:r>
              <w:rPr>
                <w:rStyle w:val="651"/>
                <w:sz w:val="21"/>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 w:type="pct"/>
            <w:vAlign w:val="center"/>
            <w:textDirection w:val="lrTb"/>
            <w:noWrap w:val="false"/>
          </w:tcPr>
          <w:p>
            <w:pPr>
              <w:jc w:val="center"/>
              <w:widowControl/>
              <w:rPr>
                <w:rFonts w:hint="eastAsia" w:ascii="宋体" w:hAnsi="宋体" w:cs="宋体"/>
                <w:szCs w:val="21"/>
              </w:rPr>
            </w:pPr>
            <w:r>
              <w:rPr>
                <w:rStyle w:val="651"/>
                <w:sz w:val="21"/>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1"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8"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 w:type="pct"/>
            <w:vAlign w:val="center"/>
            <w:textDirection w:val="lrTb"/>
            <w:noWrap w:val="false"/>
          </w:tcPr>
          <w:p>
            <w:pPr>
              <w:jc w:val="center"/>
              <w:spacing w:line="240" w:lineRule="atLeast"/>
              <w:widowControl/>
              <w:rPr>
                <w:rFonts w:hint="eastAsia" w:ascii="宋体" w:hAnsi="宋体" w:cs="宋体"/>
                <w:szCs w:val="21"/>
              </w:rPr>
            </w:pPr>
            <w:r>
              <w:rPr>
                <w:rFonts w:hint="eastAsia" w:ascii="宋体" w:hAnsi="宋体" w:cs="宋体"/>
                <w:szCs w:val="21"/>
              </w:rPr>
            </w:r>
            <w:r/>
          </w:p>
        </w:tc>
      </w:tr>
    </w:tbl>
    <w:p>
      <w:pPr>
        <w:jc w:val="center"/>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第五部分</w:t>
      </w:r>
      <w:r/>
    </w:p>
    <w:tbl>
      <w:tblPr>
        <w:tblStyle w:val="639"/>
        <w:tblW w:w="4998" w:type="pct"/>
        <w:jc w:val="center"/>
        <w:tblLayout w:type="autofit"/>
        <w:tblCellMar>
          <w:left w:w="0" w:type="dxa"/>
          <w:top w:w="0" w:type="dxa"/>
          <w:right w:w="0" w:type="dxa"/>
          <w:bottom w:w="0" w:type="dxa"/>
        </w:tblCellMar>
        <w:tblLook w:val="04A0" w:firstRow="1" w:lastRow="0" w:firstColumn="1" w:lastColumn="0" w:noHBand="0" w:noVBand="1"/>
      </w:tblPr>
      <w:tblGrid>
        <w:gridCol w:w="524"/>
        <w:gridCol w:w="676"/>
        <w:gridCol w:w="876"/>
        <w:gridCol w:w="3565"/>
        <w:gridCol w:w="868"/>
        <w:gridCol w:w="1164"/>
        <w:gridCol w:w="3280"/>
        <w:gridCol w:w="1608"/>
        <w:gridCol w:w="1301"/>
      </w:tblGrid>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240" w:lineRule="atLeast"/>
              <w:widowControl/>
              <w:rPr>
                <w:rFonts w:hint="eastAsia" w:ascii="方正小标宋_GBK" w:hAnsi="方正小标宋_GBK" w:eastAsia="方正小标宋_GBK" w:cs="方正小标宋_GBK"/>
                <w:sz w:val="28"/>
                <w:szCs w:val="28"/>
                <w:lang w:bidi="ar"/>
              </w:rPr>
            </w:pPr>
            <w:r>
              <w:rPr>
                <w:rFonts w:hint="eastAsia" w:ascii="方正小标宋_GBK" w:hAnsi="方正小标宋_GBK" w:eastAsia="方正小标宋_GBK" w:cs="方正小标宋_GBK"/>
                <w:sz w:val="28"/>
                <w:szCs w:val="28"/>
                <w:lang w:bidi="ar"/>
              </w:rPr>
              <w:t xml:space="preserve">2024年市区主要道路市花月季推广应用</w:t>
            </w:r>
            <w:r/>
          </w:p>
        </w:tc>
      </w:tr>
      <w:tr>
        <w:trPr>
          <w:jc w:val="center"/>
          <w:trHeight w:val="567"/>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中天钢铁</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品种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规格（蓬径：P 高度：H）单位：cm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综合单价（元）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小计（元）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textDirection w:val="lrTb"/>
            <w:noWrap w:val="false"/>
          </w:tcPr>
          <w:p>
            <w:pPr>
              <w:jc w:val="center"/>
              <w:widowControl/>
              <w:rPr>
                <w:rFonts w:ascii="宋体" w:hAnsi="宋体" w:cs="宋体"/>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6"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3"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jc w:val="center"/>
        <w:rPr>
          <w:rFonts w:hint="eastAsia" w:ascii="宋体" w:hAnsi="宋体"/>
          <w:bCs/>
          <w:sz w:val="28"/>
          <w:szCs w:val="28"/>
        </w:rPr>
      </w:pPr>
      <w:r>
        <w:rPr>
          <w:rFonts w:ascii="宋体" w:hAnsi="宋体"/>
          <w:b/>
          <w:sz w:val="32"/>
          <w:szCs w:val="32"/>
        </w:rPr>
        <w:br w:type="page" w:clear="all"/>
      </w:r>
      <w:r>
        <w:rPr>
          <w:rFonts w:hint="eastAsia"/>
          <w:bCs/>
          <w:sz w:val="28"/>
          <w:szCs w:val="28"/>
        </w:rPr>
        <w:t xml:space="preserve">2024年花卉及环境布置报价合计表</w:t>
      </w:r>
      <w:r/>
    </w:p>
    <w:tbl>
      <w:tblPr>
        <w:tblStyle w:val="639"/>
        <w:tblW w:w="13245"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9360"/>
        <w:gridCol w:w="2745"/>
      </w:tblGrid>
      <w:tr>
        <w:trPr/>
        <w:tc>
          <w:tcPr>
            <w:tcW w:w="114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序号</w:t>
            </w:r>
            <w:r/>
          </w:p>
        </w:tc>
        <w:tc>
          <w:tcPr>
            <w:tcW w:w="936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内容</w:t>
            </w:r>
            <w:r/>
          </w:p>
        </w:tc>
        <w:tc>
          <w:tcPr>
            <w:tcW w:w="2745"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综合报价（元）</w:t>
            </w:r>
            <w:r/>
          </w:p>
        </w:tc>
      </w:tr>
      <w:tr>
        <w:trPr/>
        <w:tc>
          <w:tcPr>
            <w:tcW w:w="114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1</w:t>
            </w:r>
            <w:r/>
          </w:p>
        </w:tc>
        <w:tc>
          <w:tcPr>
            <w:tcW w:w="936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2024年市区主要道路重要节点国庆、冬季花卉布置工程量</w:t>
            </w:r>
            <w:r/>
          </w:p>
        </w:tc>
        <w:tc>
          <w:tcPr>
            <w:tcW w:w="2745"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r>
            <w:r/>
          </w:p>
        </w:tc>
      </w:tr>
      <w:tr>
        <w:trPr/>
        <w:tc>
          <w:tcPr>
            <w:tcW w:w="114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2</w:t>
            </w:r>
            <w:r/>
          </w:p>
        </w:tc>
        <w:tc>
          <w:tcPr>
            <w:tcW w:w="936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2024年淮海南北路、有轨电车沿线国庆、冬季花箱花卉布置工程量</w:t>
            </w:r>
            <w:r/>
          </w:p>
        </w:tc>
        <w:tc>
          <w:tcPr>
            <w:tcW w:w="2745"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r>
            <w:r/>
          </w:p>
        </w:tc>
      </w:tr>
      <w:tr>
        <w:trPr/>
        <w:tc>
          <w:tcPr>
            <w:tcW w:w="114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3</w:t>
            </w:r>
            <w:r/>
          </w:p>
        </w:tc>
        <w:tc>
          <w:tcPr>
            <w:tcW w:w="936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2024年“百年征程”“运河画卷”两处绿雕国庆、冬季维护</w:t>
            </w:r>
            <w:r/>
          </w:p>
        </w:tc>
        <w:tc>
          <w:tcPr>
            <w:tcW w:w="2745"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r>
            <w:r/>
          </w:p>
        </w:tc>
      </w:tr>
      <w:tr>
        <w:trPr/>
        <w:tc>
          <w:tcPr>
            <w:tcW w:w="114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4</w:t>
            </w:r>
            <w:r/>
          </w:p>
        </w:tc>
        <w:tc>
          <w:tcPr>
            <w:tcW w:w="936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2024年小微绿地改造工程量</w:t>
            </w:r>
            <w:r/>
          </w:p>
        </w:tc>
        <w:tc>
          <w:tcPr>
            <w:tcW w:w="2745"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r>
            <w:r/>
          </w:p>
        </w:tc>
      </w:tr>
      <w:tr>
        <w:trPr/>
        <w:tc>
          <w:tcPr>
            <w:tcW w:w="114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5</w:t>
            </w:r>
            <w:r/>
          </w:p>
        </w:tc>
        <w:tc>
          <w:tcPr>
            <w:tcW w:w="936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2024年市区主要道路市花月季推广应用</w:t>
            </w:r>
            <w:r/>
          </w:p>
        </w:tc>
        <w:tc>
          <w:tcPr>
            <w:tcW w:w="2745"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r>
            <w:r/>
          </w:p>
        </w:tc>
      </w:tr>
      <w:tr>
        <w:trPr/>
        <w:tc>
          <w:tcPr>
            <w:tcW w:w="114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6</w:t>
            </w:r>
            <w:r/>
          </w:p>
        </w:tc>
        <w:tc>
          <w:tcPr>
            <w:tcW w:w="936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暂定金</w:t>
            </w:r>
            <w:r/>
          </w:p>
        </w:tc>
        <w:tc>
          <w:tcPr>
            <w:tcW w:w="2745" w:type="dxa"/>
            <w:vAlign w:val="center"/>
            <w:textDirection w:val="lrTb"/>
            <w:noWrap w:val="false"/>
          </w:tcPr>
          <w:p>
            <w:pPr>
              <w:jc w:val="center"/>
              <w:spacing w:line="440" w:lineRule="exact"/>
              <w:rPr>
                <w:rFonts w:ascii="仿宋" w:hAnsi="仿宋" w:eastAsia="仿宋" w:cs="仿宋"/>
                <w:bCs/>
                <w:sz w:val="24"/>
              </w:rPr>
            </w:pPr>
            <w:r>
              <w:rPr>
                <w:rFonts w:hint="eastAsia" w:ascii="仿宋" w:hAnsi="仿宋" w:eastAsia="仿宋" w:cs="仿宋"/>
                <w:bCs/>
                <w:sz w:val="24"/>
              </w:rPr>
              <w:t xml:space="preserve">800000</w:t>
            </w:r>
            <w:r/>
          </w:p>
        </w:tc>
      </w:tr>
      <w:tr>
        <w:trPr/>
        <w:tc>
          <w:tcPr>
            <w:tcW w:w="114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7</w:t>
            </w:r>
            <w:r/>
          </w:p>
        </w:tc>
        <w:tc>
          <w:tcPr>
            <w:tcW w:w="9360"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t xml:space="preserve">合计</w:t>
            </w:r>
            <w:r/>
          </w:p>
        </w:tc>
        <w:tc>
          <w:tcPr>
            <w:tcW w:w="2745" w:type="dxa"/>
            <w:vAlign w:val="center"/>
            <w:textDirection w:val="lrTb"/>
            <w:noWrap w:val="false"/>
          </w:tcPr>
          <w:p>
            <w:pPr>
              <w:jc w:val="center"/>
              <w:spacing w:line="440" w:lineRule="exact"/>
              <w:rPr>
                <w:rFonts w:hint="eastAsia" w:ascii="仿宋" w:hAnsi="仿宋" w:eastAsia="仿宋" w:cs="仿宋"/>
                <w:bCs/>
                <w:sz w:val="24"/>
              </w:rPr>
            </w:pPr>
            <w:r>
              <w:rPr>
                <w:rFonts w:hint="eastAsia" w:ascii="仿宋" w:hAnsi="仿宋" w:eastAsia="仿宋" w:cs="仿宋"/>
                <w:bCs/>
                <w:sz w:val="24"/>
              </w:rPr>
            </w:r>
            <w:r/>
          </w:p>
        </w:tc>
      </w:tr>
    </w:tbl>
    <w:p>
      <w:pPr>
        <w:ind w:left="-178"/>
        <w:spacing w:line="520" w:lineRule="exact"/>
        <w:rPr>
          <w:rFonts w:hint="eastAsia" w:ascii="仿宋" w:hAnsi="仿宋" w:eastAsia="仿宋"/>
          <w:sz w:val="28"/>
          <w:szCs w:val="28"/>
        </w:rPr>
      </w:pPr>
      <w:r>
        <w:rPr>
          <w:rFonts w:hint="eastAsia" w:ascii="仿宋" w:hAnsi="仿宋" w:eastAsia="仿宋"/>
          <w:bCs/>
          <w:sz w:val="28"/>
          <w:szCs w:val="20"/>
        </w:rPr>
        <w:t xml:space="preserve">注:</w:t>
      </w:r>
      <w:r>
        <w:rPr>
          <w:rFonts w:hint="eastAsia" w:ascii="仿宋" w:hAnsi="仿宋" w:eastAsia="仿宋"/>
          <w:sz w:val="28"/>
          <w:szCs w:val="28"/>
        </w:rPr>
        <w:t xml:space="preserve">各投标人按报价明细表格式填写，且必须附报价构成书面分析，不提供的作无效投标处理。</w:t>
      </w:r>
      <w:r/>
    </w:p>
    <w:p>
      <w:pPr>
        <w:ind w:left="-178" w:firstLine="524"/>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、设施量清单应与供应商须知、合同条件、草花养护的质量标准和要求等文件结合起来理解或解释。</w:t>
      </w:r>
      <w:r/>
    </w:p>
    <w:p>
      <w:pPr>
        <w:ind w:left="-178" w:firstLine="524"/>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、本次招标设施量清单中所列设施量是经行政主管部门核定的当年计划养护设施量，只作为招标的共同基础，按草花养护的质量标准和要求完成的实际设施量进行综合报价。</w:t>
      </w:r>
      <w:r/>
    </w:p>
    <w:p>
      <w:pPr>
        <w:ind w:left="-178" w:firstLine="524"/>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除非合同另有规定，设施量清单所报的单位和总额价均已包括了实施和完成合同所需的劳务、材料、机械、质检（自检）、缺陷修复、管理、利润等费用，以及合同明示或暗示的所有责任、义务和一般风险，及合同履行期间物价调整等社会风险。</w:t>
      </w:r>
      <w:r/>
    </w:p>
    <w:p>
      <w:pPr>
        <w:ind w:left="-178" w:firstLine="524"/>
        <w:spacing w:line="520" w:lineRule="exact"/>
        <w:rPr>
          <w:rFonts w:hint="eastAsia" w:ascii="仿宋" w:hAnsi="仿宋" w:eastAsia="仿宋"/>
          <w:sz w:val="28"/>
        </w:rPr>
      </w:pPr>
      <w:r>
        <w:rPr>
          <w:rFonts w:hint="eastAsia" w:ascii="仿宋" w:hAnsi="仿宋" w:eastAsia="仿宋"/>
          <w:sz w:val="28"/>
        </w:rPr>
        <w:t xml:space="preserve">4、如果单价和总价不符时，以单价为准。</w:t>
      </w:r>
      <w:r/>
    </w:p>
    <w:p>
      <w:pPr>
        <w:pStyle w:val="649"/>
        <w:ind w:firstLine="692"/>
        <w:spacing w:line="440" w:lineRule="exact"/>
        <w:rPr>
          <w:rFonts w:hint="eastAsia" w:ascii="仿宋" w:hAnsi="仿宋" w:eastAsia="仿宋" w:cs="仿宋"/>
          <w:sz w:val="28"/>
          <w:szCs w:val="24"/>
        </w:rPr>
        <w:sectPr>
          <w:footnotePr/>
          <w:endnotePr/>
          <w:type w:val="nextPage"/>
          <w:pgSz w:w="16838" w:h="11906" w:orient="landscape"/>
          <w:pgMar w:top="1797" w:right="1560" w:bottom="1418" w:left="1440" w:header="851" w:footer="992" w:gutter="0"/>
          <w:cols w:num="1" w:sep="0" w:space="720" w:equalWidth="1"/>
          <w:docGrid w:linePitch="360"/>
        </w:sectPr>
      </w:pPr>
      <w:r>
        <w:rPr>
          <w:rFonts w:hint="eastAsia" w:ascii="仿宋" w:hAnsi="仿宋" w:eastAsia="仿宋"/>
          <w:sz w:val="28"/>
        </w:rPr>
        <w:t xml:space="preserve">5、价格应按照招标文件第二章第10条的要求报价。</w:t>
      </w:r>
      <w:r>
        <w:rPr>
          <w:rFonts w:hint="eastAsia" w:ascii="仿宋" w:hAnsi="仿宋" w:eastAsia="仿宋" w:cs="仿宋"/>
          <w:sz w:val="28"/>
          <w:szCs w:val="24"/>
        </w:rPr>
        <w:t xml:space="preserve"> </w:t>
      </w:r>
      <w:r/>
    </w:p>
    <w:p>
      <w:pPr>
        <w:jc w:val="center"/>
        <w:rPr>
          <w:rFonts w:hint="eastAsia" w:ascii="仿宋" w:hAnsi="仿宋" w:eastAsia="仿宋"/>
          <w:b/>
          <w:bCs/>
          <w:sz w:val="32"/>
          <w:szCs w:val="32"/>
          <w:highlight w:val="none"/>
        </w:rPr>
      </w:pPr>
      <w:r>
        <w:rPr>
          <w:rFonts w:hint="eastAsia" w:ascii="仿宋" w:hAnsi="仿宋" w:eastAsia="仿宋" w:cs="仿宋"/>
          <w:b/>
          <w:sz w:val="32"/>
          <w:highlight w:val="none"/>
        </w:rPr>
        <w:t xml:space="preserve">四、</w:t>
      </w:r>
      <w:r>
        <w:rPr>
          <w:rFonts w:hint="eastAsia" w:ascii="仿宋" w:hAnsi="仿宋" w:eastAsia="仿宋"/>
          <w:b/>
          <w:bCs/>
          <w:sz w:val="32"/>
          <w:szCs w:val="32"/>
          <w:highlight w:val="none"/>
        </w:rPr>
        <w:t xml:space="preserve">养护作业主要管理人员表</w:t>
      </w:r>
      <w:r/>
    </w:p>
    <w:tbl>
      <w:tblPr>
        <w:tblStyle w:val="645"/>
        <w:tblW w:w="89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582"/>
        <w:gridCol w:w="1237"/>
        <w:gridCol w:w="1137"/>
        <w:gridCol w:w="1641"/>
        <w:gridCol w:w="1280"/>
        <w:gridCol w:w="1280"/>
      </w:tblGrid>
      <w:tr>
        <w:trPr>
          <w:trHeight w:val="910"/>
        </w:trPr>
        <w:tc>
          <w:tcPr>
            <w:tcW w:w="760"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vertAlign w:val="baseline"/>
                <w:lang w:val="en-US" w:eastAsia="zh-CN"/>
              </w:rPr>
              <w:t xml:space="preserve">序号</w:t>
            </w:r>
            <w:r/>
          </w:p>
        </w:tc>
        <w:tc>
          <w:tcPr>
            <w:tcW w:w="1582"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vertAlign w:val="baseline"/>
                <w:lang w:val="en-US" w:eastAsia="zh-CN"/>
              </w:rPr>
              <w:t xml:space="preserve">姓名</w:t>
            </w:r>
            <w:r/>
          </w:p>
        </w:tc>
        <w:tc>
          <w:tcPr>
            <w:tcW w:w="1237"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vertAlign w:val="baseline"/>
                <w:lang w:val="en-US" w:eastAsia="zh-CN"/>
              </w:rPr>
              <w:t xml:space="preserve">身份证号</w:t>
            </w:r>
            <w:r/>
          </w:p>
        </w:tc>
        <w:tc>
          <w:tcPr>
            <w:tcW w:w="1137"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vertAlign w:val="baseline"/>
                <w:lang w:val="en-US" w:eastAsia="zh-CN"/>
              </w:rPr>
              <w:t xml:space="preserve">职称</w:t>
            </w:r>
            <w:r/>
          </w:p>
        </w:tc>
        <w:tc>
          <w:tcPr>
            <w:tcW w:w="1641"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vertAlign w:val="baseline"/>
                <w:lang w:val="en-US" w:eastAsia="zh-CN"/>
              </w:rPr>
              <w:t xml:space="preserve">相关证书</w:t>
            </w:r>
            <w:r/>
          </w:p>
        </w:tc>
        <w:tc>
          <w:tcPr>
            <w:tcW w:w="1280"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lang w:eastAsia="zh-CN"/>
              </w:rPr>
              <w:t xml:space="preserve">拟任岗位</w:t>
            </w:r>
            <w:r/>
          </w:p>
        </w:tc>
        <w:tc>
          <w:tcPr>
            <w:tcW w:w="1280" w:type="dxa"/>
            <w:vAlign w:val="center"/>
            <w:textDirection w:val="lrTb"/>
            <w:noWrap w:val="false"/>
          </w:tcPr>
          <w:p>
            <w:pPr>
              <w:pStyle w:val="650"/>
              <w:numPr>
                <w:ilvl w:val="0"/>
                <w:numId w:val="0"/>
              </w:numPr>
              <w:jc w:val="center"/>
              <w:spacing w:after="0" w:line="240" w:lineRule="auto"/>
              <w:widowControl w:val="off"/>
              <w:rPr>
                <w:rFonts w:hint="default"/>
                <w:lang w:val="en-US" w:eastAsia="zh-CN"/>
              </w:rPr>
            </w:pPr>
            <w:r>
              <w:rPr>
                <w:rFonts w:hint="eastAsia"/>
                <w:lang w:val="en-US" w:eastAsia="zh-CN"/>
              </w:rPr>
              <w:t xml:space="preserve">备注</w:t>
            </w:r>
            <w:r/>
          </w:p>
        </w:tc>
      </w:tr>
      <w:tr>
        <w:trPr>
          <w:trHeight w:val="910"/>
        </w:trPr>
        <w:tc>
          <w:tcPr>
            <w:tcW w:w="760"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vertAlign w:val="baseline"/>
                <w:lang w:val="en-US" w:eastAsia="zh-CN"/>
              </w:rPr>
              <w:t xml:space="preserve">1</w:t>
            </w:r>
            <w:r/>
          </w:p>
        </w:tc>
        <w:tc>
          <w:tcPr>
            <w:tcW w:w="1582"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t xml:space="preserve">项目经理</w:t>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vertAlign w:val="baseline"/>
                <w:lang w:val="en-US" w:eastAsia="zh-CN"/>
              </w:rPr>
              <w:t xml:space="preserve">2</w:t>
            </w:r>
            <w:r/>
          </w:p>
        </w:tc>
        <w:tc>
          <w:tcPr>
            <w:tcW w:w="1582"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t xml:space="preserve">技术负责人</w:t>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vertAlign w:val="baseline"/>
                <w:lang w:val="en-US" w:eastAsia="zh-CN"/>
              </w:rPr>
              <w:t xml:space="preserve">3</w:t>
            </w:r>
            <w:r/>
          </w:p>
        </w:tc>
        <w:tc>
          <w:tcPr>
            <w:tcW w:w="1582"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t xml:space="preserve">技术工人</w:t>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eastAsia"/>
                <w:vertAlign w:val="baseline"/>
                <w:lang w:val="en-US" w:eastAsia="zh-CN"/>
              </w:rPr>
              <w:t xml:space="preserve">4</w:t>
            </w:r>
            <w:r/>
          </w:p>
        </w:tc>
        <w:tc>
          <w:tcPr>
            <w:tcW w:w="1582" w:type="dxa"/>
            <w:vAlign w:val="center"/>
            <w:textDirection w:val="lrTb"/>
            <w:noWrap w:val="false"/>
          </w:tcPr>
          <w:p>
            <w:pPr>
              <w:pStyle w:val="650"/>
              <w:numPr>
                <w:ilvl w:val="0"/>
                <w:numId w:val="0"/>
              </w:numPr>
              <w:jc w:val="center"/>
              <w:spacing w:after="0" w:line="240" w:lineRule="auto"/>
              <w:widowControl w:val="off"/>
              <w:rPr>
                <w:rFonts w:hint="default"/>
                <w:vertAlign w:val="baseline"/>
                <w:lang w:val="en-US" w:eastAsia="zh-CN"/>
              </w:rPr>
            </w:pPr>
            <w:r>
              <w:rPr>
                <w:rFonts w:hint="default"/>
                <w:vertAlign w:val="baseline"/>
                <w:lang w:val="en-US" w:eastAsia="zh-CN"/>
              </w:rPr>
            </w:r>
            <w:r/>
          </w:p>
        </w:tc>
        <w:tc>
          <w:tcPr>
            <w:tcW w:w="12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val="en-US" w:eastAsia="zh-CN"/>
              </w:rPr>
              <w:t xml:space="preserve">........</w:t>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582"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582"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52"/>
        </w:trPr>
        <w:tc>
          <w:tcPr>
            <w:tcW w:w="76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582"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65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bl>
    <w:p>
      <w:pPr>
        <w:ind w:left="-178" w:firstLine="252"/>
        <w:spacing w:line="360" w:lineRule="exact"/>
        <w:rPr>
          <w:rFonts w:hint="eastAsia" w:ascii="仿宋" w:hAnsi="仿宋" w:eastAsia="仿宋"/>
          <w:sz w:val="28"/>
        </w:rPr>
      </w:pPr>
      <w:r>
        <w:rPr>
          <w:rFonts w:hint="eastAsia" w:ascii="仿宋" w:hAnsi="仿宋" w:eastAsia="仿宋"/>
          <w:sz w:val="28"/>
        </w:rPr>
      </w:r>
      <w:r/>
    </w:p>
    <w:p>
      <w:pPr>
        <w:ind w:left="-178" w:firstLine="252"/>
        <w:spacing w:line="360" w:lineRule="exact"/>
        <w:rPr>
          <w:rFonts w:hint="eastAsia" w:ascii="仿宋" w:hAnsi="仿宋" w:eastAsia="仿宋"/>
          <w:sz w:val="28"/>
        </w:rPr>
      </w:pPr>
      <w:r>
        <w:rPr>
          <w:rFonts w:hint="eastAsia" w:ascii="仿宋" w:hAnsi="仿宋" w:eastAsia="仿宋"/>
          <w:sz w:val="28"/>
        </w:rPr>
        <w:t xml:space="preserve">投标人:</w:t>
      </w:r>
      <w:r>
        <w:rPr>
          <w:rFonts w:hint="eastAsia" w:ascii="仿宋" w:hAnsi="仿宋" w:eastAsia="仿宋"/>
          <w:sz w:val="28"/>
          <w:u w:val="single"/>
        </w:rPr>
        <w:t xml:space="preserve">     （加盖公章）     </w:t>
      </w:r>
      <w:r/>
    </w:p>
    <w:p>
      <w:pPr>
        <w:ind w:left="-357" w:firstLine="377"/>
        <w:spacing w:line="360" w:lineRule="exact"/>
        <w:rPr>
          <w:rFonts w:hint="eastAsia" w:ascii="仿宋" w:hAnsi="仿宋" w:eastAsia="仿宋"/>
          <w:sz w:val="28"/>
          <w:u w:val="single"/>
        </w:rPr>
      </w:pPr>
      <w:r>
        <w:rPr>
          <w:rFonts w:hint="eastAsia" w:ascii="仿宋" w:hAnsi="仿宋" w:eastAsia="仿宋"/>
          <w:sz w:val="28"/>
        </w:rPr>
        <w:t xml:space="preserve">法定代表人或其委托受托人签字:</w:t>
      </w:r>
      <w:r>
        <w:rPr>
          <w:rFonts w:hint="eastAsia" w:ascii="仿宋" w:hAnsi="仿宋" w:eastAsia="仿宋"/>
          <w:sz w:val="28"/>
          <w:u w:val="single"/>
        </w:rPr>
        <w:t xml:space="preserve">               </w:t>
      </w:r>
      <w:r/>
    </w:p>
    <w:p>
      <w:pPr>
        <w:pStyle w:val="653"/>
        <w:ind w:left="0" w:right="34" w:firstLine="2715"/>
        <w:spacing w:before="120"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653"/>
        <w:ind w:left="0" w:right="34" w:firstLine="2715"/>
        <w:spacing w:before="120" w:line="520" w:lineRule="exact"/>
        <w:rPr>
          <w:rFonts w:hint="eastAsia" w:ascii="仿宋" w:hAnsi="仿宋" w:eastAsia="仿宋" w:cs="仿宋"/>
          <w:b/>
          <w:sz w:val="32"/>
          <w:szCs w:val="32"/>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cs="仿宋"/>
          <w:b/>
          <w:sz w:val="32"/>
          <w:szCs w:val="32"/>
        </w:rPr>
      </w:r>
      <w:bookmarkEnd w:id="38"/>
      <w:r/>
    </w:p>
    <w:p>
      <w:pPr>
        <w:pStyle w:val="649"/>
        <w:ind w:firstLine="948"/>
        <w:spacing w:line="520" w:lineRule="exact"/>
        <w:rPr>
          <w:rFonts w:hint="eastAsia" w:ascii="仿宋" w:hAnsi="仿宋" w:eastAsia="仿宋" w:cs="仿宋"/>
          <w:b/>
          <w:bCs/>
          <w:sz w:val="32"/>
          <w:szCs w:val="32"/>
        </w:rPr>
      </w:pPr>
      <w:r>
        <w:rPr>
          <w:rFonts w:hint="eastAsia" w:ascii="仿宋" w:hAnsi="仿宋" w:eastAsia="仿宋" w:cs="仿宋"/>
          <w:b/>
          <w:bCs/>
          <w:sz w:val="32"/>
        </w:rPr>
        <w:t xml:space="preserve">五、</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投标人必须提供的资格证明文件</w:t>
      </w:r>
      <w:r/>
    </w:p>
    <w:p>
      <w:pPr>
        <w:pStyle w:val="649"/>
        <w:ind w:firstLine="552"/>
        <w:spacing w:line="520" w:lineRule="exact"/>
        <w:rPr>
          <w:rFonts w:hint="eastAsia" w:ascii="仿宋" w:hAnsi="仿宋" w:eastAsia="仿宋" w:cs="仿宋"/>
          <w:b/>
          <w:bCs/>
          <w:sz w:val="32"/>
          <w:szCs w:val="32"/>
        </w:rPr>
      </w:pPr>
      <w:r>
        <w:rPr>
          <w:rFonts w:hint="eastAsia" w:ascii="仿宋" w:hAnsi="仿宋" w:eastAsia="仿宋" w:cs="仿宋"/>
          <w:sz w:val="28"/>
          <w:szCs w:val="28"/>
        </w:rPr>
        <w:t xml:space="preserve">1、提供下列材料之一:</w:t>
      </w:r>
      <w:r/>
    </w:p>
    <w:p>
      <w:pPr>
        <w:ind w:firstLine="420"/>
        <w:spacing w:line="520" w:lineRule="exact"/>
        <w:rPr>
          <w:rFonts w:hint="eastAsia" w:ascii="仿宋" w:hAnsi="仿宋" w:eastAsia="仿宋" w:cs="仿宋"/>
          <w:sz w:val="28"/>
        </w:rPr>
      </w:pPr>
      <w:r>
        <w:rPr>
          <w:rFonts w:hint="eastAsia" w:ascii="仿宋" w:hAnsi="仿宋" w:eastAsia="仿宋" w:cs="仿宋"/>
          <w:sz w:val="28"/>
        </w:rPr>
        <w:t xml:space="preserve">（1）投标人</w:t>
      </w:r>
      <w:r>
        <w:rPr>
          <w:rFonts w:hint="eastAsia" w:ascii="仿宋" w:hAnsi="仿宋" w:eastAsia="仿宋" w:cs="仿宋"/>
          <w:sz w:val="28"/>
          <w:szCs w:val="28"/>
        </w:rPr>
        <w:t xml:space="preserve">提供</w:t>
      </w:r>
      <w:r>
        <w:rPr>
          <w:rFonts w:hint="eastAsia" w:ascii="仿宋" w:hAnsi="仿宋" w:eastAsia="仿宋" w:cs="仿宋"/>
          <w:bCs/>
          <w:sz w:val="28"/>
          <w:szCs w:val="28"/>
        </w:rPr>
        <w:t xml:space="preserve">法定代表人资格证明</w:t>
      </w:r>
      <w:r>
        <w:rPr>
          <w:rFonts w:hint="eastAsia" w:ascii="仿宋" w:hAnsi="仿宋" w:eastAsia="仿宋" w:cs="仿宋"/>
          <w:sz w:val="28"/>
        </w:rPr>
        <w:t xml:space="preserve">（格式详见示范格式一）和</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身份证（加盖</w:t>
      </w:r>
      <w:r>
        <w:rPr>
          <w:rFonts w:hint="eastAsia" w:ascii="仿宋" w:hAnsi="仿宋" w:eastAsia="仿宋" w:cs="仿宋"/>
          <w:sz w:val="28"/>
        </w:rPr>
        <w:t xml:space="preserve">CA电子签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420"/>
        <w:spacing w:line="520" w:lineRule="exact"/>
        <w:rPr>
          <w:rFonts w:hint="eastAsia" w:ascii="仿宋" w:hAnsi="仿宋" w:eastAsia="仿宋" w:cs="仿宋"/>
          <w:sz w:val="28"/>
        </w:rPr>
      </w:pPr>
      <w:r>
        <w:rPr>
          <w:rFonts w:hint="eastAsia" w:ascii="仿宋" w:hAnsi="仿宋" w:eastAsia="仿宋" w:cs="仿宋"/>
          <w:sz w:val="28"/>
        </w:rPr>
        <w:t xml:space="preserve">（2）投标人提供授权委托书（格式详见示范格式二）和</w:t>
      </w:r>
      <w:r>
        <w:rPr>
          <w:rFonts w:hint="eastAsia" w:ascii="仿宋" w:hAnsi="仿宋" w:eastAsia="仿宋" w:cs="仿宋"/>
          <w:bCs/>
          <w:sz w:val="28"/>
          <w:szCs w:val="28"/>
        </w:rPr>
        <w:t xml:space="preserve">受托人身份证（加盖</w:t>
      </w:r>
      <w:r>
        <w:rPr>
          <w:rFonts w:hint="eastAsia" w:ascii="仿宋" w:hAnsi="仿宋" w:eastAsia="仿宋" w:cs="仿宋"/>
          <w:sz w:val="28"/>
        </w:rPr>
        <w:t xml:space="preserve">CA电子签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700"/>
        <w:spacing w:line="520" w:lineRule="exact"/>
        <w:rPr>
          <w:rFonts w:hint="eastAsia" w:ascii="仿宋" w:hAnsi="仿宋" w:eastAsia="仿宋" w:cs="仿宋"/>
          <w:sz w:val="28"/>
          <w:lang w:val="zh-CN"/>
        </w:rPr>
      </w:pPr>
      <w:r>
        <w:rPr>
          <w:rFonts w:hint="eastAsia" w:ascii="仿宋" w:hAnsi="仿宋" w:eastAsia="仿宋" w:cs="仿宋"/>
          <w:sz w:val="28"/>
        </w:rPr>
        <w:t xml:space="preserve">2、投标人符合《政府采购法》第二十二条规定条件的承诺函</w:t>
      </w:r>
      <w:r>
        <w:rPr>
          <w:rFonts w:hint="eastAsia" w:ascii="仿宋" w:hAnsi="仿宋" w:eastAsia="仿宋" w:cs="仿宋"/>
          <w:sz w:val="28"/>
          <w:lang w:val="zh-CN"/>
        </w:rPr>
        <w:t xml:space="preserve">（</w:t>
      </w:r>
      <w:r>
        <w:rPr>
          <w:rFonts w:hint="eastAsia" w:ascii="仿宋" w:hAnsi="仿宋" w:eastAsia="仿宋" w:cs="仿宋"/>
          <w:sz w:val="28"/>
        </w:rPr>
        <w:t xml:space="preserve">格式详见示范格式三</w:t>
      </w:r>
      <w:r>
        <w:rPr>
          <w:rFonts w:hint="eastAsia" w:ascii="仿宋" w:hAnsi="仿宋" w:eastAsia="仿宋" w:cs="仿宋"/>
          <w:sz w:val="28"/>
          <w:lang w:val="zh-CN"/>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zh-CN"/>
        </w:rPr>
        <w:t xml:space="preserve">、</w:t>
      </w:r>
      <w:r>
        <w:rPr>
          <w:rFonts w:hint="eastAsia" w:ascii="仿宋" w:hAnsi="仿宋" w:eastAsia="仿宋" w:cs="仿宋"/>
          <w:sz w:val="28"/>
          <w:szCs w:val="28"/>
        </w:rPr>
        <w:t xml:space="preserve">根据本项目的特定资格要求，</w:t>
      </w:r>
      <w:r>
        <w:rPr>
          <w:rFonts w:hint="eastAsia" w:ascii="仿宋" w:hAnsi="仿宋" w:eastAsia="仿宋" w:cs="仿宋"/>
          <w:color w:val="000000"/>
          <w:sz w:val="28"/>
          <w:szCs w:val="28"/>
          <w:lang w:val="zh-CN"/>
        </w:rPr>
        <w:t xml:space="preserve">投标人还须提供下列资料</w:t>
      </w:r>
      <w:r>
        <w:rPr>
          <w:rFonts w:hint="eastAsia" w:ascii="仿宋" w:hAnsi="仿宋" w:eastAsia="仿宋" w:cs="仿宋"/>
          <w:sz w:val="28"/>
          <w:szCs w:val="28"/>
        </w:rPr>
        <w:t xml:space="preserve">:</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lang w:val="zh-CN"/>
        </w:rPr>
      </w:pPr>
      <w:r>
        <w:rPr>
          <w:rFonts w:hint="eastAsia" w:ascii="仿宋" w:hAnsi="仿宋" w:eastAsia="仿宋" w:cs="仿宋"/>
          <w:sz w:val="28"/>
          <w:szCs w:val="28"/>
          <w:lang w:val="zh-CN"/>
        </w:rPr>
        <w:t xml:space="preserve">针对本项目拟选派的项目负责人（或项目经理）具备园林绿化（或者风景园林、建设工程）助理工程师及以上职称</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zh-CN"/>
        </w:rPr>
        <w:t xml:space="preserve">技术负责人具备园林绿化（或者风景园林、建设工程）工程师及以上职称，</w:t>
      </w:r>
      <w:bookmarkStart w:id="40" w:name="_GoBack"/>
      <w:r/>
      <w:bookmarkEnd w:id="40"/>
      <w:r>
        <w:rPr>
          <w:rFonts w:hint="eastAsia" w:ascii="仿宋" w:hAnsi="仿宋" w:eastAsia="仿宋" w:cs="仿宋"/>
          <w:sz w:val="28"/>
          <w:szCs w:val="28"/>
          <w:lang w:val="zh-CN"/>
        </w:rPr>
        <w:t xml:space="preserve">其中职称证书的专业是建设工程的,还需提供专业为园林绿化相关专业的毕业证书（提供相关证书及202</w:t>
      </w:r>
      <w:r>
        <w:rPr>
          <w:rFonts w:hint="eastAsia" w:ascii="仿宋" w:hAnsi="仿宋" w:eastAsia="仿宋" w:cs="仿宋"/>
          <w:sz w:val="28"/>
          <w:szCs w:val="28"/>
        </w:rPr>
        <w:t xml:space="preserve">4</w:t>
      </w:r>
      <w:r>
        <w:rPr>
          <w:rFonts w:hint="eastAsia" w:ascii="仿宋" w:hAnsi="仿宋" w:eastAsia="仿宋" w:cs="仿宋"/>
          <w:sz w:val="28"/>
          <w:szCs w:val="28"/>
          <w:lang w:val="zh-CN"/>
        </w:rPr>
        <w:t xml:space="preserve">年以来投标人为其缴纳的任意一个月社会保险证明）。</w:t>
      </w:r>
      <w:r/>
    </w:p>
    <w:p>
      <w:pPr>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left"/>
        <w:widowControl/>
        <w:rPr>
          <w:rFonts w:hint="eastAsia" w:ascii="仿宋" w:hAnsi="仿宋" w:eastAsia="仿宋" w:cs="仿宋"/>
          <w:b/>
          <w:bCs/>
          <w:sz w:val="32"/>
        </w:rPr>
      </w:pPr>
      <w:r>
        <w:rPr>
          <w:rFonts w:hint="eastAsia" w:ascii="仿宋" w:hAnsi="仿宋" w:eastAsia="仿宋" w:cs="仿宋"/>
          <w:b/>
          <w:bCs/>
          <w:sz w:val="32"/>
        </w:rPr>
      </w:r>
      <w:r/>
    </w:p>
    <w:p>
      <w:pPr>
        <w:ind w:firstLine="1428"/>
        <w:jc w:val="left"/>
        <w:spacing w:line="520" w:lineRule="exact"/>
        <w:widowControl/>
        <w:rPr>
          <w:rFonts w:hint="eastAsia" w:ascii="仿宋" w:hAnsi="仿宋" w:eastAsia="仿宋" w:cs="仿宋"/>
          <w:b/>
          <w:bCs/>
          <w:sz w:val="32"/>
        </w:rPr>
      </w:pPr>
      <w:r>
        <w:rPr>
          <w:rFonts w:hint="eastAsia" w:ascii="仿宋" w:hAnsi="仿宋" w:eastAsia="仿宋" w:cs="仿宋"/>
          <w:b/>
          <w:sz w:val="36"/>
        </w:rPr>
        <w:br w:type="page" w:clear="all"/>
      </w:r>
      <w:bookmarkStart w:id="39" w:name="_Toc157775454"/>
      <w:r>
        <w:rPr>
          <w:rFonts w:hint="eastAsia" w:ascii="仿宋" w:hAnsi="仿宋" w:eastAsia="仿宋" w:cs="仿宋"/>
          <w:b/>
          <w:bCs/>
          <w:sz w:val="32"/>
        </w:rPr>
        <w:t xml:space="preserve">六、综合评分时投标人需提供的证明文件</w:t>
      </w:r>
      <w:r/>
    </w:p>
    <w:p>
      <w:pPr>
        <w:ind w:firstLine="84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（供应商根据第三章评标标准的要求提供相关材料）</w:t>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ind w:firstLine="2877"/>
        <w:spacing w:line="440" w:lineRule="exact"/>
        <w:rPr>
          <w:rFonts w:hint="eastAsia" w:ascii="仿宋" w:hAnsi="仿宋" w:eastAsia="仿宋" w:cs="仿宋"/>
          <w:b/>
          <w:sz w:val="36"/>
        </w:rPr>
      </w:pPr>
      <w:r>
        <w:rPr>
          <w:rFonts w:hint="eastAsia" w:ascii="仿宋" w:hAnsi="仿宋" w:eastAsia="仿宋" w:cs="仿宋"/>
          <w:b/>
          <w:sz w:val="36"/>
        </w:rPr>
      </w:r>
      <w:r/>
    </w:p>
    <w:p>
      <w:pPr>
        <w:jc w:val="center"/>
        <w:spacing w:line="440" w:lineRule="exact"/>
        <w:rPr>
          <w:rFonts w:hint="eastAsia" w:ascii="仿宋" w:hAnsi="仿宋" w:eastAsia="仿宋" w:cs="仿宋"/>
          <w:b/>
          <w:sz w:val="32"/>
          <w:szCs w:val="32"/>
        </w:rPr>
      </w:pPr>
      <w:r>
        <w:rPr>
          <w:rFonts w:hint="eastAsia" w:ascii="仿宋" w:hAnsi="仿宋" w:eastAsia="仿宋"/>
          <w:b/>
          <w:sz w:val="32"/>
          <w:szCs w:val="32"/>
        </w:rPr>
        <w:t xml:space="preserve">七、示范格式</w:t>
      </w:r>
      <w:r/>
    </w:p>
    <w:p>
      <w:pPr>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r/>
    </w:p>
    <w:p>
      <w:pPr>
        <w:ind w:firstLine="2570"/>
        <w:spacing w:line="440" w:lineRule="exact"/>
        <w:rPr>
          <w:rFonts w:hint="eastAsia" w:ascii="仿宋" w:hAnsi="仿宋" w:eastAsia="仿宋" w:cs="仿宋"/>
          <w:b/>
          <w:bCs/>
          <w:sz w:val="32"/>
        </w:rPr>
      </w:pPr>
      <w:r>
        <w:rPr>
          <w:rFonts w:hint="eastAsia" w:ascii="仿宋" w:hAnsi="仿宋" w:eastAsia="仿宋" w:cs="仿宋"/>
          <w:b/>
          <w:bCs/>
          <w:sz w:val="32"/>
        </w:rPr>
      </w:r>
      <w:bookmarkEnd w:id="39"/>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52"/>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p>
    <w:p>
      <w:pPr>
        <w:pStyle w:val="640"/>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sz w:val="28"/>
          <w:szCs w:val="28"/>
        </w:rPr>
      </w:pPr>
      <w:r>
        <w:rPr>
          <w:rFonts w:hint="eastAsia" w:ascii="仿宋" w:hAnsi="仿宋" w:eastAsia="仿宋" w:cs="仿宋"/>
          <w:b/>
          <w:sz w:val="32"/>
          <w:szCs w:val="32"/>
        </w:rPr>
        <w:t xml:space="preserve">示范格式四</w:t>
      </w:r>
      <w:r>
        <w:rPr>
          <w:rFonts w:hint="eastAsia" w:ascii="仿宋" w:hAnsi="仿宋" w:eastAsia="仿宋" w:cs="仿宋"/>
          <w:sz w:val="28"/>
          <w:szCs w:val="28"/>
        </w:rPr>
        <w:t xml:space="preserve">                                           </w:t>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t xml:space="preserve">企业声明函（货物类）</w:t>
      </w:r>
      <w:r/>
    </w:p>
    <w:p>
      <w:pPr>
        <w:pStyle w:val="640"/>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64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64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64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640"/>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64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640"/>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40"/>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654"/>
        <w:ind w:firstLine="0"/>
        <w:jc w:val="left"/>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示范格式五</w:t>
      </w:r>
      <w:r/>
    </w:p>
    <w:p>
      <w:pPr>
        <w:jc w:val="center"/>
        <w:spacing w:line="640" w:lineRule="exact"/>
        <w:widowControl/>
        <w:rPr>
          <w:rFonts w:hint="eastAsia" w:ascii="仿宋" w:hAnsi="仿宋" w:eastAsia="仿宋" w:cs="仿宋"/>
          <w:sz w:val="24"/>
        </w:rPr>
      </w:pPr>
      <w:r>
        <w:rPr>
          <w:rFonts w:hint="eastAsia" w:ascii="仿宋" w:hAnsi="仿宋" w:eastAsia="仿宋" w:cs="仿宋"/>
          <w:b/>
          <w:bCs/>
          <w:color w:val="000000"/>
          <w:sz w:val="32"/>
          <w:szCs w:val="32"/>
        </w:rPr>
        <w:t xml:space="preserve">残疾人福利性单位声明函</w:t>
      </w:r>
      <w:r/>
    </w:p>
    <w:p>
      <w:pPr>
        <w:pStyle w:val="640"/>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640"/>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40"/>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640"/>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640"/>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640"/>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r/>
      <w:r/>
    </w:p>
    <w:sectPr>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宋体">
    <w:panose1 w:val="02010600030101010101"/>
  </w:font>
  <w:font w:name="方正小标宋_GBK">
    <w:panose1 w:val="020B0503020202020204"/>
  </w:font>
  <w:font w:name="Wingdings 2">
    <w:panose1 w:val="05020102010507070707"/>
  </w:font>
  <w:font w:name="Times New Roman">
    <w:panose1 w:val="02020603050405020304"/>
  </w:font>
  <w:font w:name="Arial Unicode MS">
    <w:panose1 w:val="020B0604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rPr>
        <w:rStyle w:val="657"/>
      </w:rPr>
      <w:framePr w:wrap="around" w:vAnchor="text" w:hAnchor="margin" w:xAlign="center" w:y="1"/>
    </w:pPr>
    <w:r>
      <w:fldChar w:fldCharType="begin"/>
    </w:r>
    <w:r>
      <w:rPr>
        <w:rStyle w:val="657"/>
      </w:rPr>
      <w:instrText xml:space="preserve">PAGE  </w:instrText>
    </w:r>
    <w:r>
      <w:fldChar w:fldCharType="separate"/>
    </w:r>
    <w:r>
      <w:rPr>
        <w:rStyle w:val="657"/>
      </w:rPr>
      <w:t xml:space="preserve">61</w:t>
    </w:r>
    <w:r>
      <w:fldChar w:fldCharType="end"/>
    </w:r>
    <w:r/>
  </w:p>
  <w:p>
    <w:pPr>
      <w:pStyle w:val="6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8"/>
    <w:link w:val="12"/>
    <w:uiPriority w:val="9"/>
    <w:rPr>
      <w:rFonts w:ascii="Arial" w:hAnsi="Arial" w:eastAsia="Arial" w:cs="Arial"/>
      <w:sz w:val="40"/>
      <w:szCs w:val="40"/>
    </w:rPr>
  </w:style>
  <w:style w:type="paragraph" w:styleId="14">
    <w:name w:val="Heading 2"/>
    <w:basedOn w:val="637"/>
    <w:next w:val="6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8"/>
    <w:link w:val="14"/>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8"/>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8"/>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8"/>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8"/>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8"/>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8"/>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8"/>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38"/>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38"/>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7"/>
    <w:link w:val="42"/>
    <w:uiPriority w:val="99"/>
    <w:unhideWhenUsed/>
    <w:pPr>
      <w:spacing w:after="0" w:line="240" w:lineRule="auto"/>
      <w:tabs>
        <w:tab w:val="center" w:pos="7143" w:leader="none"/>
        <w:tab w:val="right" w:pos="14287" w:leader="none"/>
      </w:tabs>
    </w:pPr>
  </w:style>
  <w:style w:type="character" w:styleId="42">
    <w:name w:val="Header Char"/>
    <w:basedOn w:val="638"/>
    <w:link w:val="41"/>
    <w:uiPriority w:val="99"/>
  </w:style>
  <w:style w:type="paragraph" w:styleId="43">
    <w:name w:val="Footer"/>
    <w:basedOn w:val="637"/>
    <w:link w:val="46"/>
    <w:uiPriority w:val="99"/>
    <w:unhideWhenUsed/>
    <w:pPr>
      <w:spacing w:after="0" w:line="240" w:lineRule="auto"/>
      <w:tabs>
        <w:tab w:val="center" w:pos="7143" w:leader="none"/>
        <w:tab w:val="right" w:pos="14287" w:leader="none"/>
      </w:tabs>
    </w:pPr>
  </w:style>
  <w:style w:type="character" w:styleId="44">
    <w:name w:val="Footer Char"/>
    <w:basedOn w:val="638"/>
    <w:link w:val="43"/>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8"/>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8"/>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link w:val="65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38" w:default="1">
    <w:name w:val="Default Paragraph Font"/>
    <w:uiPriority w:val="0"/>
    <w:semiHidden/>
  </w:style>
  <w:style w:type="table" w:styleId="639" w:default="1">
    <w:name w:val="Normal Table"/>
    <w:uiPriority w:val="0"/>
    <w:semiHidden/>
    <w:qFormat/>
    <w:tblPr>
      <w:tblCellMar>
        <w:left w:w="108" w:type="dxa"/>
        <w:top w:w="0" w:type="dxa"/>
        <w:right w:w="108" w:type="dxa"/>
        <w:bottom w:w="0" w:type="dxa"/>
      </w:tblCellMar>
    </w:tblPr>
  </w:style>
  <w:style w:type="paragraph" w:styleId="640">
    <w:name w:val="Normal Indent"/>
    <w:basedOn w:val="637"/>
    <w:uiPriority w:val="0"/>
    <w:pPr>
      <w:ind w:firstLine="420"/>
    </w:pPr>
    <w:rPr>
      <w:szCs w:val="20"/>
    </w:rPr>
  </w:style>
  <w:style w:type="paragraph" w:styleId="641">
    <w:name w:val="Body Text Indent"/>
    <w:basedOn w:val="637"/>
    <w:uiPriority w:val="0"/>
    <w:qFormat/>
    <w:pPr>
      <w:ind w:firstLine="630"/>
    </w:pPr>
    <w:rPr>
      <w:rFonts w:ascii="楷体_GB2312" w:eastAsia="楷体_GB2312"/>
      <w:sz w:val="32"/>
      <w:szCs w:val="20"/>
    </w:rPr>
  </w:style>
  <w:style w:type="paragraph" w:styleId="642">
    <w:name w:val="Plain Text"/>
    <w:basedOn w:val="637"/>
    <w:uiPriority w:val="0"/>
    <w:qFormat/>
    <w:rPr>
      <w:rFonts w:ascii="宋体" w:hAnsi="Courier New"/>
      <w:szCs w:val="20"/>
    </w:rPr>
  </w:style>
  <w:style w:type="paragraph" w:styleId="643">
    <w:name w:val="Body Text 2"/>
    <w:basedOn w:val="637"/>
    <w:uiPriority w:val="0"/>
    <w:qFormat/>
    <w:pPr>
      <w:spacing w:line="440" w:lineRule="exact"/>
    </w:pPr>
    <w:rPr>
      <w:rFonts w:ascii="楷体_GB2312" w:eastAsia="楷体_GB2312"/>
      <w:sz w:val="28"/>
    </w:rPr>
  </w:style>
  <w:style w:type="paragraph" w:styleId="644">
    <w:name w:val="Body Text First Indent 2"/>
    <w:basedOn w:val="641"/>
    <w:uiPriority w:val="0"/>
    <w:qFormat/>
    <w:pPr>
      <w:ind w:left="420" w:firstLine="420"/>
      <w:spacing w:after="120"/>
      <w:widowControl/>
    </w:pPr>
    <w:rPr>
      <w:rFonts w:ascii="仿宋_GB2312" w:eastAsia="仿宋_GB2312"/>
      <w:color w:val="ff6600"/>
      <w:sz w:val="21"/>
    </w:rPr>
  </w:style>
  <w:style w:type="table" w:styleId="6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46" w:customStyle="1">
    <w:name w:val="正文首行缩进 21"/>
    <w:basedOn w:val="647"/>
    <w:uiPriority w:val="0"/>
    <w:qFormat/>
    <w:pPr>
      <w:ind w:left="420" w:firstLine="420"/>
      <w:spacing w:after="120"/>
      <w:widowControl/>
    </w:pPr>
    <w:rPr>
      <w:rFonts w:ascii="仿宋_GB2312" w:eastAsia="仿宋_GB2312"/>
      <w:color w:val="ff6600"/>
      <w:sz w:val="21"/>
    </w:rPr>
  </w:style>
  <w:style w:type="paragraph" w:styleId="647" w:customStyle="1">
    <w:name w:val="正文文本缩进1"/>
    <w:basedOn w:val="637"/>
    <w:uiPriority w:val="0"/>
    <w:qFormat/>
    <w:pPr>
      <w:ind w:firstLine="630"/>
    </w:pPr>
    <w:rPr>
      <w:rFonts w:ascii="楷体_GB2312" w:eastAsia="楷体_GB2312"/>
      <w:sz w:val="32"/>
      <w:szCs w:val="20"/>
    </w:rPr>
  </w:style>
  <w:style w:type="paragraph" w:styleId="648" w:customStyle="1">
    <w:name w:val="正文文本 21"/>
    <w:basedOn w:val="637"/>
    <w:uiPriority w:val="0"/>
    <w:qFormat/>
    <w:pPr>
      <w:spacing w:line="440" w:lineRule="exact"/>
    </w:pPr>
    <w:rPr>
      <w:rFonts w:ascii="楷体_GB2312" w:eastAsia="楷体_GB2312"/>
      <w:sz w:val="28"/>
    </w:rPr>
  </w:style>
  <w:style w:type="paragraph" w:styleId="649" w:customStyle="1">
    <w:name w:val="纯文本1"/>
    <w:basedOn w:val="637"/>
    <w:next w:val="650"/>
    <w:uiPriority w:val="0"/>
    <w:qFormat/>
    <w:rPr>
      <w:rFonts w:ascii="宋体" w:hAnsi="Courier New"/>
      <w:szCs w:val="20"/>
    </w:rPr>
  </w:style>
  <w:style w:type="paragraph" w:styleId="65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651" w:customStyle="1">
    <w:name w:val="font11"/>
    <w:link w:val="637"/>
    <w:uiPriority w:val="0"/>
    <w:qFormat/>
    <w:rPr>
      <w:rFonts w:hint="default" w:ascii="Times New Roman" w:hAnsi="Times New Roman" w:eastAsia="宋体" w:cs="Times New Roman"/>
      <w:sz w:val="21"/>
      <w:szCs w:val="24"/>
      <w:lang w:val="en-US" w:eastAsia="zh-CN" w:bidi="ar-SA"/>
    </w:rPr>
  </w:style>
  <w:style w:type="paragraph" w:styleId="652" w:customStyle="1">
    <w:name w:val="普通正文"/>
    <w:basedOn w:val="637"/>
    <w:uiPriority w:val="0"/>
    <w:qFormat/>
    <w:pPr>
      <w:ind w:firstLine="480"/>
      <w:jc w:val="left"/>
      <w:spacing w:before="120" w:after="120" w:line="360" w:lineRule="auto"/>
    </w:pPr>
    <w:rPr>
      <w:rFonts w:ascii="Arial" w:hAnsi="Arial"/>
      <w:sz w:val="24"/>
    </w:rPr>
  </w:style>
  <w:style w:type="paragraph" w:styleId="653" w:customStyle="1">
    <w:name w:val="文本块1"/>
    <w:basedOn w:val="637"/>
    <w:uiPriority w:val="0"/>
    <w:qFormat/>
    <w:pPr>
      <w:ind w:left="420" w:right="33"/>
      <w:jc w:val="left"/>
    </w:pPr>
    <w:rPr>
      <w:sz w:val="24"/>
      <w:szCs w:val="20"/>
    </w:rPr>
  </w:style>
  <w:style w:type="paragraph" w:styleId="654" w:customStyle="1">
    <w:name w:val="正文缩进1"/>
    <w:basedOn w:val="637"/>
    <w:uiPriority w:val="0"/>
    <w:qFormat/>
    <w:pPr>
      <w:ind w:firstLine="420"/>
    </w:pPr>
    <w:rPr>
      <w:szCs w:val="20"/>
    </w:rPr>
  </w:style>
  <w:style w:type="paragraph" w:styleId="655" w:customStyle="1">
    <w:name w:val="页眉1"/>
    <w:basedOn w:val="637"/>
    <w:uiPriority w:val="0"/>
    <w:qFormat/>
    <w:pPr>
      <w:jc w:val="center"/>
      <w:tabs>
        <w:tab w:val="center" w:pos="4153" w:leader="none"/>
        <w:tab w:val="right" w:pos="8306" w:leader="none"/>
      </w:tabs>
      <w:pBdr>
        <w:bottom w:val="single" w:color="000000" w:sz="6" w:space="1"/>
      </w:pBdr>
    </w:pPr>
    <w:rPr>
      <w:sz w:val="18"/>
      <w:szCs w:val="18"/>
    </w:rPr>
  </w:style>
  <w:style w:type="paragraph" w:styleId="656" w:customStyle="1">
    <w:name w:val="页脚1"/>
    <w:basedOn w:val="637"/>
    <w:uiPriority w:val="0"/>
    <w:qFormat/>
    <w:pPr>
      <w:jc w:val="left"/>
      <w:tabs>
        <w:tab w:val="center" w:pos="4153" w:leader="none"/>
        <w:tab w:val="right" w:pos="8306" w:leader="none"/>
      </w:tabs>
    </w:pPr>
    <w:rPr>
      <w:sz w:val="18"/>
      <w:szCs w:val="18"/>
    </w:rPr>
  </w:style>
  <w:style w:type="character" w:styleId="657" w:customStyle="1">
    <w:name w:val="页码1"/>
    <w:link w:val="637"/>
    <w:uiPriority w:val="0"/>
    <w:qFormat/>
  </w:style>
  <w:style w:type="numbering" w:styleId="54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顾诗仪</cp:lastModifiedBy>
  <cp:revision>2</cp:revision>
  <dcterms:created xsi:type="dcterms:W3CDTF">2024-08-06T06:37:00Z</dcterms:created>
  <dcterms:modified xsi:type="dcterms:W3CDTF">2024-08-07T06:52:50Z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5D26A5946CE349B197CE31974177EDBA_11</vt:lpwstr>
  </property>
</Properties>
</file>