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8"/>
        <w:ind w:left="0"/>
        <w:jc w:val="right"/>
        <w:rPr>
          <w:rFonts w:hint="eastAsia" w:ascii="宋体" w:hAnsi="宋体" w:cs="宋体"/>
          <w:b/>
          <w:bCs/>
          <w:color w:val="auto"/>
          <w:sz w:val="48"/>
          <w:szCs w:val="48"/>
          <w:highlight w:val="none"/>
        </w:rPr>
      </w:pPr>
    </w:p>
    <w:p>
      <w:pPr>
        <w:spacing w:line="360" w:lineRule="auto"/>
        <w:rPr>
          <w:rFonts w:hint="eastAsia" w:ascii="宋体" w:hAnsi="宋体" w:cs="宋体"/>
          <w:color w:val="auto"/>
          <w:highlight w:val="none"/>
          <w:lang w:val="en-US" w:eastAsia="zh-CN"/>
        </w:rPr>
      </w:pP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p>
    <w:p>
      <w:pPr>
        <w:spacing w:line="360" w:lineRule="auto"/>
        <w:ind w:firstLine="1446" w:firstLineChars="200"/>
      </w:pPr>
      <w:r>
        <w:rPr>
          <w:rFonts w:hint="eastAsia" w:ascii="宋体" w:hAnsi="宋体" w:cs="宋体"/>
          <w:b/>
          <w:color w:val="000000"/>
          <w:sz w:val="72"/>
          <w:szCs w:val="72"/>
          <w:shd w:val="clear" w:color="auto" w:fill="FFFFFF"/>
        </w:rPr>
        <w:t>竞争性磋商文件</w:t>
      </w:r>
    </w:p>
    <w:p>
      <w:pPr>
        <w:rPr>
          <w:rFonts w:ascii="仿宋" w:hAnsi="仿宋" w:eastAsia="仿宋"/>
          <w:sz w:val="32"/>
          <w:szCs w:val="32"/>
        </w:rPr>
      </w:pPr>
    </w:p>
    <w:p>
      <w:pPr>
        <w:ind w:firstLine="420"/>
        <w:rPr>
          <w:rFonts w:ascii="仿宋" w:hAnsi="仿宋" w:eastAsia="仿宋"/>
          <w:sz w:val="32"/>
          <w:szCs w:val="32"/>
        </w:rPr>
      </w:pPr>
    </w:p>
    <w:p>
      <w:pPr>
        <w:pStyle w:val="16"/>
        <w:rPr>
          <w:rFonts w:ascii="仿宋" w:hAnsi="仿宋" w:eastAsia="仿宋"/>
          <w:sz w:val="32"/>
          <w:szCs w:val="32"/>
        </w:rPr>
      </w:pPr>
      <w:r>
        <w:rPr>
          <w:rFonts w:hint="eastAsia" w:ascii="仿宋" w:hAnsi="仿宋" w:eastAsia="仿宋"/>
          <w:sz w:val="28"/>
          <w:szCs w:val="28"/>
        </w:rPr>
        <w:drawing>
          <wp:anchor distT="0" distB="0" distL="114300" distR="114300" simplePos="0" relativeHeight="251660288" behindDoc="0" locked="0" layoutInCell="1" allowOverlap="1">
            <wp:simplePos x="0" y="0"/>
            <wp:positionH relativeFrom="column">
              <wp:posOffset>1276350</wp:posOffset>
            </wp:positionH>
            <wp:positionV relativeFrom="paragraph">
              <wp:posOffset>133985</wp:posOffset>
            </wp:positionV>
            <wp:extent cx="2657475" cy="2209800"/>
            <wp:effectExtent l="0" t="0" r="9525" b="0"/>
            <wp:wrapTopAndBottom/>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5"/>
                    <a:stretch>
                      <a:fillRect/>
                    </a:stretch>
                  </pic:blipFill>
                  <pic:spPr>
                    <a:xfrm>
                      <a:off x="0" y="0"/>
                      <a:ext cx="2657475" cy="2209800"/>
                    </a:xfrm>
                    <a:prstGeom prst="rect">
                      <a:avLst/>
                    </a:prstGeom>
                    <a:noFill/>
                    <a:ln>
                      <a:noFill/>
                    </a:ln>
                  </pic:spPr>
                </pic:pic>
              </a:graphicData>
            </a:graphic>
          </wp:anchor>
        </w:drawing>
      </w:r>
    </w:p>
    <w:p>
      <w:pPr>
        <w:pStyle w:val="53"/>
        <w:rPr>
          <w:rFonts w:ascii="仿宋" w:hAnsi="仿宋" w:eastAsia="仿宋"/>
          <w:sz w:val="32"/>
          <w:szCs w:val="32"/>
        </w:rPr>
      </w:pPr>
    </w:p>
    <w:p/>
    <w:p>
      <w:pPr>
        <w:rPr>
          <w:rFonts w:ascii="仿宋" w:hAnsi="仿宋" w:eastAsia="仿宋"/>
          <w:sz w:val="32"/>
          <w:szCs w:val="32"/>
        </w:rPr>
      </w:pPr>
    </w:p>
    <w:p>
      <w:pPr>
        <w:pStyle w:val="16"/>
        <w:rPr>
          <w:sz w:val="28"/>
          <w:szCs w:val="28"/>
        </w:rPr>
      </w:pPr>
    </w:p>
    <w:p>
      <w:pPr>
        <w:spacing w:line="360" w:lineRule="auto"/>
        <w:jc w:val="left"/>
        <w:rPr>
          <w:rFonts w:ascii="仿宋" w:hAnsi="仿宋" w:eastAsia="仿宋"/>
          <w:sz w:val="28"/>
          <w:szCs w:val="28"/>
        </w:rPr>
      </w:pPr>
      <w:r>
        <w:rPr>
          <w:rFonts w:hint="eastAsia" w:ascii="仿宋" w:hAnsi="仿宋" w:eastAsia="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560"/>
        <w:jc w:val="left"/>
        <w:textAlignment w:val="auto"/>
        <w:rPr>
          <w:rFonts w:ascii="仿宋" w:hAnsi="仿宋" w:eastAsia="仿宋"/>
          <w:b/>
          <w:bCs/>
          <w:sz w:val="28"/>
          <w:szCs w:val="28"/>
        </w:rPr>
      </w:pPr>
      <w:r>
        <w:rPr>
          <w:rFonts w:hint="eastAsia" w:ascii="仿宋" w:hAnsi="仿宋" w:eastAsia="仿宋"/>
          <w:b/>
          <w:bCs/>
          <w:sz w:val="28"/>
          <w:szCs w:val="28"/>
        </w:rPr>
        <w:t>项目编号</w:t>
      </w:r>
      <w:r>
        <w:rPr>
          <w:rFonts w:hint="eastAsia" w:ascii="仿宋" w:hAnsi="仿宋" w:eastAsia="仿宋" w:cs="Times New Roman"/>
          <w:b/>
          <w:bCs/>
          <w:sz w:val="28"/>
          <w:szCs w:val="28"/>
        </w:rPr>
        <w:t>：</w:t>
      </w:r>
      <w:r>
        <w:rPr>
          <w:rFonts w:hint="eastAsia" w:ascii="仿宋" w:hAnsi="仿宋" w:eastAsia="仿宋" w:cs="Times New Roman"/>
          <w:b/>
          <w:bCs/>
          <w:sz w:val="28"/>
          <w:szCs w:val="28"/>
          <w:lang w:val="en-US" w:eastAsia="zh-CN"/>
        </w:rPr>
        <w:t>JSZC-320381037-ZGYZ-C2025-0004</w:t>
      </w:r>
    </w:p>
    <w:p>
      <w:pPr>
        <w:keepNext w:val="0"/>
        <w:keepLines w:val="0"/>
        <w:pageBreakBefore w:val="0"/>
        <w:widowControl w:val="0"/>
        <w:tabs>
          <w:tab w:val="left" w:pos="2127"/>
        </w:tabs>
        <w:kinsoku/>
        <w:wordWrap/>
        <w:overflowPunct/>
        <w:topLinePunct w:val="0"/>
        <w:autoSpaceDE/>
        <w:autoSpaceDN/>
        <w:bidi w:val="0"/>
        <w:adjustRightInd/>
        <w:snapToGrid/>
        <w:spacing w:line="380" w:lineRule="exact"/>
        <w:ind w:left="1959" w:hanging="1400"/>
        <w:textAlignment w:val="auto"/>
        <w:rPr>
          <w:rFonts w:ascii="仿宋" w:hAnsi="仿宋" w:eastAsia="仿宋"/>
          <w:b/>
          <w:bCs/>
          <w:sz w:val="28"/>
          <w:szCs w:val="28"/>
        </w:rPr>
      </w:pPr>
    </w:p>
    <w:p>
      <w:pPr>
        <w:keepNext w:val="0"/>
        <w:keepLines w:val="0"/>
        <w:pageBreakBefore w:val="0"/>
        <w:widowControl w:val="0"/>
        <w:tabs>
          <w:tab w:val="left" w:pos="2127"/>
        </w:tabs>
        <w:kinsoku/>
        <w:wordWrap/>
        <w:overflowPunct/>
        <w:topLinePunct w:val="0"/>
        <w:autoSpaceDE/>
        <w:autoSpaceDN/>
        <w:bidi w:val="0"/>
        <w:adjustRightInd/>
        <w:snapToGrid/>
        <w:spacing w:line="380" w:lineRule="exact"/>
        <w:ind w:left="1959" w:hanging="1400"/>
        <w:textAlignment w:val="auto"/>
        <w:rPr>
          <w:rFonts w:ascii="仿宋" w:hAnsi="仿宋" w:eastAsia="仿宋"/>
          <w:b/>
          <w:bCs/>
          <w:sz w:val="28"/>
          <w:szCs w:val="28"/>
        </w:rPr>
      </w:pPr>
      <w:r>
        <w:rPr>
          <w:rFonts w:hint="eastAsia" w:ascii="仿宋" w:hAnsi="仿宋" w:eastAsia="仿宋"/>
          <w:b/>
          <w:bCs/>
          <w:sz w:val="28"/>
          <w:szCs w:val="28"/>
        </w:rPr>
        <w:t>项目名称：</w:t>
      </w:r>
      <w:r>
        <w:rPr>
          <w:rFonts w:hint="eastAsia" w:ascii="仿宋" w:hAnsi="仿宋" w:eastAsia="仿宋" w:cs="Times New Roman"/>
          <w:b/>
          <w:bCs/>
          <w:sz w:val="28"/>
          <w:szCs w:val="28"/>
          <w:lang w:val="en-US" w:eastAsia="zh-CN"/>
        </w:rPr>
        <w:t>2025年度新沂市骆马湖片区（窑湾镇腰庄村）省级宜居宜业和美乡村工程建设项目</w:t>
      </w:r>
    </w:p>
    <w:p>
      <w:pPr>
        <w:keepNext w:val="0"/>
        <w:keepLines w:val="0"/>
        <w:pageBreakBefore w:val="0"/>
        <w:widowControl w:val="0"/>
        <w:kinsoku/>
        <w:wordWrap/>
        <w:overflowPunct/>
        <w:topLinePunct w:val="0"/>
        <w:autoSpaceDE/>
        <w:autoSpaceDN/>
        <w:bidi w:val="0"/>
        <w:adjustRightInd/>
        <w:snapToGrid/>
        <w:spacing w:line="380" w:lineRule="exact"/>
        <w:textAlignment w:val="auto"/>
        <w:rPr>
          <w:b/>
          <w:bCs/>
          <w:sz w:val="28"/>
          <w:szCs w:val="28"/>
        </w:rPr>
      </w:pPr>
    </w:p>
    <w:p>
      <w:pPr>
        <w:keepNext w:val="0"/>
        <w:keepLines w:val="0"/>
        <w:pageBreakBefore w:val="0"/>
        <w:widowControl w:val="0"/>
        <w:tabs>
          <w:tab w:val="left" w:pos="2127"/>
        </w:tabs>
        <w:kinsoku/>
        <w:wordWrap/>
        <w:overflowPunct/>
        <w:topLinePunct w:val="0"/>
        <w:autoSpaceDE/>
        <w:autoSpaceDN/>
        <w:bidi w:val="0"/>
        <w:adjustRightInd/>
        <w:snapToGrid/>
        <w:spacing w:line="380" w:lineRule="exact"/>
        <w:ind w:firstLine="560"/>
        <w:textAlignment w:val="auto"/>
        <w:rPr>
          <w:rFonts w:hint="eastAsia" w:ascii="仿宋" w:hAnsi="仿宋" w:eastAsia="仿宋"/>
          <w:b/>
          <w:bCs/>
          <w:sz w:val="28"/>
          <w:szCs w:val="28"/>
          <w:lang w:val="en-US" w:eastAsia="zh-CN"/>
        </w:rPr>
      </w:pPr>
      <w:r>
        <w:rPr>
          <w:rFonts w:hint="eastAsia" w:ascii="仿宋" w:hAnsi="仿宋" w:eastAsia="仿宋"/>
          <w:b/>
          <w:bCs/>
          <w:sz w:val="28"/>
          <w:szCs w:val="28"/>
        </w:rPr>
        <w:t>采购单位：</w:t>
      </w:r>
      <w:r>
        <w:rPr>
          <w:rFonts w:hint="eastAsia" w:ascii="仿宋" w:hAnsi="仿宋" w:eastAsia="仿宋" w:cs="Times New Roman"/>
          <w:b/>
          <w:bCs/>
          <w:sz w:val="28"/>
          <w:szCs w:val="28"/>
          <w:lang w:eastAsia="zh-CN"/>
        </w:rPr>
        <w:t>新沂市窑湾镇人民政府</w:t>
      </w:r>
    </w:p>
    <w:p>
      <w:pPr>
        <w:keepNext w:val="0"/>
        <w:keepLines w:val="0"/>
        <w:pageBreakBefore w:val="0"/>
        <w:widowControl w:val="0"/>
        <w:kinsoku/>
        <w:wordWrap/>
        <w:overflowPunct/>
        <w:topLinePunct w:val="0"/>
        <w:autoSpaceDE/>
        <w:autoSpaceDN/>
        <w:bidi w:val="0"/>
        <w:adjustRightInd/>
        <w:snapToGrid/>
        <w:spacing w:line="380" w:lineRule="exact"/>
        <w:textAlignment w:val="auto"/>
        <w:rPr>
          <w:b/>
          <w:bCs/>
          <w:sz w:val="28"/>
          <w:szCs w:val="28"/>
        </w:rPr>
      </w:pPr>
    </w:p>
    <w:p>
      <w:pPr>
        <w:keepNext w:val="0"/>
        <w:keepLines w:val="0"/>
        <w:pageBreakBefore w:val="0"/>
        <w:widowControl w:val="0"/>
        <w:tabs>
          <w:tab w:val="left" w:pos="2127"/>
        </w:tabs>
        <w:kinsoku/>
        <w:wordWrap/>
        <w:overflowPunct/>
        <w:topLinePunct w:val="0"/>
        <w:autoSpaceDE/>
        <w:autoSpaceDN/>
        <w:bidi w:val="0"/>
        <w:adjustRightInd/>
        <w:snapToGrid/>
        <w:spacing w:line="380" w:lineRule="exact"/>
        <w:ind w:firstLine="560"/>
        <w:textAlignment w:val="auto"/>
        <w:rPr>
          <w:rFonts w:hint="eastAsia" w:ascii="仿宋" w:hAnsi="仿宋" w:eastAsia="仿宋"/>
          <w:b/>
          <w:bCs/>
          <w:sz w:val="28"/>
          <w:szCs w:val="28"/>
          <w:lang w:eastAsia="zh-CN"/>
        </w:rPr>
      </w:pPr>
      <w:r>
        <w:rPr>
          <w:rFonts w:hint="eastAsia" w:ascii="仿宋" w:hAnsi="仿宋" w:eastAsia="仿宋"/>
          <w:b/>
          <w:bCs/>
          <w:sz w:val="28"/>
          <w:szCs w:val="28"/>
        </w:rPr>
        <w:t>代理机构：</w:t>
      </w:r>
      <w:r>
        <w:rPr>
          <w:rFonts w:hint="eastAsia" w:ascii="仿宋" w:hAnsi="仿宋" w:eastAsia="仿宋"/>
          <w:b/>
          <w:bCs/>
          <w:sz w:val="28"/>
          <w:szCs w:val="28"/>
          <w:lang w:eastAsia="zh-CN"/>
        </w:rPr>
        <w:t>江苏元中项目管理有限公司</w:t>
      </w:r>
    </w:p>
    <w:p>
      <w:pPr>
        <w:keepNext w:val="0"/>
        <w:keepLines w:val="0"/>
        <w:pageBreakBefore w:val="0"/>
        <w:widowControl w:val="0"/>
        <w:tabs>
          <w:tab w:val="left" w:pos="2127"/>
        </w:tabs>
        <w:kinsoku/>
        <w:wordWrap/>
        <w:overflowPunct/>
        <w:topLinePunct w:val="0"/>
        <w:autoSpaceDE/>
        <w:autoSpaceDN/>
        <w:bidi w:val="0"/>
        <w:adjustRightInd/>
        <w:snapToGrid/>
        <w:spacing w:line="380" w:lineRule="exact"/>
        <w:ind w:firstLine="560"/>
        <w:textAlignment w:val="auto"/>
        <w:rPr>
          <w:rFonts w:ascii="仿宋" w:hAnsi="仿宋" w:eastAsia="仿宋"/>
          <w:b/>
          <w:bCs/>
          <w:sz w:val="28"/>
          <w:szCs w:val="28"/>
        </w:rPr>
      </w:pPr>
    </w:p>
    <w:p>
      <w:pPr>
        <w:keepNext w:val="0"/>
        <w:keepLines w:val="0"/>
        <w:pageBreakBefore w:val="0"/>
        <w:widowControl w:val="0"/>
        <w:tabs>
          <w:tab w:val="left" w:pos="2127"/>
        </w:tabs>
        <w:kinsoku/>
        <w:wordWrap/>
        <w:overflowPunct/>
        <w:topLinePunct w:val="0"/>
        <w:autoSpaceDE/>
        <w:autoSpaceDN/>
        <w:bidi w:val="0"/>
        <w:adjustRightInd/>
        <w:snapToGrid/>
        <w:spacing w:line="380" w:lineRule="exact"/>
        <w:ind w:firstLine="560"/>
        <w:textAlignment w:val="auto"/>
        <w:rPr>
          <w:rFonts w:hint="default" w:eastAsia="仿宋"/>
          <w:b/>
          <w:bCs/>
          <w:sz w:val="28"/>
          <w:szCs w:val="28"/>
          <w:lang w:val="en-US" w:eastAsia="zh-CN"/>
        </w:rPr>
        <w:sectPr>
          <w:pgSz w:w="11906" w:h="16838"/>
          <w:pgMar w:top="1361" w:right="1701" w:bottom="1361" w:left="1701" w:header="720" w:footer="998" w:gutter="0"/>
          <w:cols w:space="720" w:num="1"/>
          <w:docGrid w:linePitch="360" w:charSpace="0"/>
        </w:sectPr>
      </w:pPr>
      <w:r>
        <w:rPr>
          <w:rFonts w:hint="eastAsia" w:ascii="仿宋" w:hAnsi="仿宋" w:eastAsia="仿宋"/>
          <w:b/>
          <w:bCs/>
          <w:sz w:val="28"/>
          <w:szCs w:val="28"/>
        </w:rPr>
        <w:t>编制时间：202</w:t>
      </w:r>
      <w:r>
        <w:rPr>
          <w:rFonts w:hint="eastAsia" w:ascii="仿宋" w:hAnsi="仿宋" w:eastAsia="仿宋"/>
          <w:b/>
          <w:bCs/>
          <w:sz w:val="28"/>
          <w:szCs w:val="28"/>
          <w:lang w:val="en-US" w:eastAsia="zh-CN"/>
        </w:rPr>
        <w:t>5</w:t>
      </w:r>
      <w:r>
        <w:rPr>
          <w:rFonts w:hint="eastAsia" w:ascii="仿宋" w:hAnsi="仿宋" w:eastAsia="仿宋"/>
          <w:b/>
          <w:bCs/>
          <w:sz w:val="28"/>
          <w:szCs w:val="28"/>
        </w:rPr>
        <w:t>年</w:t>
      </w:r>
      <w:r>
        <w:rPr>
          <w:rFonts w:hint="eastAsia" w:ascii="仿宋" w:hAnsi="仿宋" w:eastAsia="仿宋"/>
          <w:b/>
          <w:bCs/>
          <w:sz w:val="28"/>
          <w:szCs w:val="28"/>
          <w:lang w:val="en-US" w:eastAsia="zh-CN"/>
        </w:rPr>
        <w:t>09</w:t>
      </w:r>
      <w:r>
        <w:rPr>
          <w:rFonts w:hint="eastAsia" w:ascii="仿宋" w:hAnsi="仿宋" w:eastAsia="仿宋"/>
          <w:b/>
          <w:bCs/>
          <w:sz w:val="28"/>
          <w:szCs w:val="28"/>
        </w:rPr>
        <w:t>月</w:t>
      </w:r>
      <w:r>
        <w:rPr>
          <w:rFonts w:hint="eastAsia" w:ascii="仿宋" w:hAnsi="仿宋" w:eastAsia="仿宋"/>
          <w:b/>
          <w:bCs/>
          <w:sz w:val="28"/>
          <w:szCs w:val="28"/>
          <w:lang w:val="en-US" w:eastAsia="zh-CN"/>
        </w:rPr>
        <w:t xml:space="preserve">04日 </w:t>
      </w:r>
    </w:p>
    <w:p>
      <w:pPr>
        <w:spacing w:line="360" w:lineRule="auto"/>
        <w:jc w:val="center"/>
        <w:rPr>
          <w:rFonts w:hint="eastAsia" w:ascii="宋体" w:hAnsi="宋体" w:cs="宋体"/>
          <w:b/>
          <w:color w:val="auto"/>
          <w:sz w:val="36"/>
          <w:highlight w:val="none"/>
        </w:rPr>
      </w:pPr>
      <w:r>
        <w:rPr>
          <w:rFonts w:hint="eastAsia" w:ascii="宋体" w:hAnsi="宋体" w:cs="宋体"/>
          <w:b/>
          <w:color w:val="auto"/>
          <w:sz w:val="36"/>
          <w:highlight w:val="none"/>
        </w:rPr>
        <w:t>竞争性磋商文件</w:t>
      </w:r>
    </w:p>
    <w:p>
      <w:pPr>
        <w:spacing w:line="360" w:lineRule="auto"/>
        <w:ind w:firstLine="216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val="en-US" w:eastAsia="zh-CN"/>
        </w:rPr>
        <w:t>JSZC-320381037-ZGYZ-C2025-0004</w:t>
      </w:r>
    </w:p>
    <w:p>
      <w:pPr>
        <w:tabs>
          <w:tab w:val="left" w:pos="3240"/>
        </w:tabs>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（供应商）</w:t>
      </w:r>
      <w:r>
        <w:rPr>
          <w:rFonts w:hint="eastAsia" w:ascii="宋体" w:hAnsi="宋体" w:cs="宋体"/>
          <w:color w:val="auto"/>
          <w:sz w:val="24"/>
          <w:highlight w:val="none"/>
        </w:rPr>
        <w:t>：</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按照《中华人民共和国政府采购法》、《中华人民共和国政府采购法实施条例》及《政府采购竞争性磋商采购方式管理暂行办法》的规定，</w:t>
      </w:r>
      <w:r>
        <w:rPr>
          <w:rFonts w:hint="eastAsia" w:ascii="宋体" w:hAnsi="宋体" w:cs="宋体"/>
          <w:color w:val="auto"/>
          <w:sz w:val="24"/>
          <w:highlight w:val="none"/>
          <w:u w:val="single"/>
          <w:lang w:val="en-US" w:eastAsia="zh-CN"/>
        </w:rPr>
        <w:t>江苏元中项目管理有限公司</w:t>
      </w:r>
      <w:r>
        <w:rPr>
          <w:rFonts w:hint="eastAsia" w:ascii="宋体" w:hAnsi="宋体" w:cs="宋体"/>
          <w:color w:val="auto"/>
          <w:sz w:val="24"/>
          <w:highlight w:val="none"/>
        </w:rPr>
        <w:t>对</w:t>
      </w:r>
      <w:r>
        <w:rPr>
          <w:rFonts w:hint="eastAsia" w:ascii="宋体" w:hAnsi="宋体" w:cs="宋体"/>
          <w:color w:val="auto"/>
          <w:sz w:val="24"/>
          <w:highlight w:val="none"/>
          <w:u w:val="single"/>
          <w:lang w:val="en-US" w:eastAsia="zh-CN"/>
        </w:rPr>
        <w:t>2025年度新沂市骆马湖片区（窑湾镇腰庄村）省级宜居宜业和美乡村工程建设项目</w:t>
      </w:r>
      <w:r>
        <w:rPr>
          <w:rFonts w:hint="eastAsia" w:ascii="宋体" w:hAnsi="宋体" w:cs="宋体"/>
          <w:color w:val="auto"/>
          <w:sz w:val="24"/>
          <w:highlight w:val="none"/>
        </w:rPr>
        <w:t>采取竞争性磋商采购方式进行采购。如贵单位有意与本公司合作，请按以下竞争性磋商文件（以下简称磋商文件）要求参加磋商。</w:t>
      </w:r>
    </w:p>
    <w:p>
      <w:pPr>
        <w:spacing w:line="360" w:lineRule="auto"/>
        <w:jc w:val="center"/>
        <w:rPr>
          <w:rFonts w:hint="eastAsia" w:ascii="宋体" w:hAnsi="宋体" w:cs="宋体"/>
          <w:b/>
          <w:bCs/>
          <w:color w:val="auto"/>
          <w:sz w:val="28"/>
          <w:szCs w:val="28"/>
          <w:highlight w:val="none"/>
        </w:rPr>
      </w:pPr>
    </w:p>
    <w:p>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第一章 项目说明</w:t>
      </w:r>
    </w:p>
    <w:p>
      <w:pPr>
        <w:keepNext w:val="0"/>
        <w:keepLines w:val="0"/>
        <w:pageBreakBefore w:val="0"/>
        <w:widowControl w:val="0"/>
        <w:tabs>
          <w:tab w:val="left" w:pos="2127"/>
        </w:tabs>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一、采购人：</w:t>
      </w:r>
      <w:r>
        <w:rPr>
          <w:rFonts w:hint="eastAsia" w:ascii="宋体" w:hAnsi="宋体" w:cs="宋体"/>
          <w:color w:val="auto"/>
          <w:sz w:val="24"/>
          <w:highlight w:val="none"/>
          <w:lang w:eastAsia="zh-CN"/>
        </w:rPr>
        <w:t>新沂市窑湾镇人民政府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二、项目名称：</w:t>
      </w:r>
      <w:r>
        <w:rPr>
          <w:rFonts w:hint="eastAsia" w:ascii="宋体" w:hAnsi="宋体" w:cs="宋体"/>
          <w:color w:val="auto"/>
          <w:sz w:val="24"/>
          <w:highlight w:val="none"/>
          <w:lang w:val="en-US" w:eastAsia="zh-CN"/>
        </w:rPr>
        <w:t>2025年度新沂市骆马湖片区（窑湾镇腰庄村）省级宜居宜业和美乡村工程建设项目</w:t>
      </w:r>
    </w:p>
    <w:p>
      <w:pPr>
        <w:spacing w:line="360" w:lineRule="auto"/>
        <w:ind w:firstLine="48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三、项目编号：</w:t>
      </w:r>
      <w:r>
        <w:rPr>
          <w:rFonts w:hint="eastAsia" w:ascii="宋体" w:hAnsi="宋体" w:cs="宋体"/>
          <w:color w:val="auto"/>
          <w:sz w:val="24"/>
          <w:highlight w:val="none"/>
          <w:lang w:val="en-US" w:eastAsia="zh-CN"/>
        </w:rPr>
        <w:t>JSZC-320381037-ZGYZ-C2025-0004</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四、采购邀请：通过发布公告的方式邀请符合相应资格条件的供应商参与竞争性磋商采购活动。</w:t>
      </w:r>
    </w:p>
    <w:p>
      <w:pPr>
        <w:widowControl/>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五、采购方式：本项目采用竞争性磋商采购方式。</w:t>
      </w:r>
    </w:p>
    <w:p>
      <w:pPr>
        <w:widowControl/>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val="en-US" w:eastAsia="zh-CN"/>
        </w:rPr>
        <w:t>六、</w:t>
      </w:r>
      <w:r>
        <w:rPr>
          <w:rFonts w:hint="eastAsia" w:ascii="宋体" w:hAnsi="宋体" w:cs="宋体"/>
          <w:color w:val="auto"/>
          <w:sz w:val="24"/>
          <w:highlight w:val="none"/>
        </w:rPr>
        <w:t>供应商资格条件：</w:t>
      </w:r>
    </w:p>
    <w:p>
      <w:pPr>
        <w:pStyle w:val="108"/>
        <w:spacing w:line="360" w:lineRule="auto"/>
        <w:ind w:firstLine="480"/>
        <w:rPr>
          <w:rFonts w:hint="eastAsia" w:hAnsi="宋体"/>
          <w:sz w:val="24"/>
          <w:szCs w:val="24"/>
          <w:lang w:val="en-US" w:eastAsia="zh-CN"/>
        </w:rPr>
      </w:pPr>
      <w:r>
        <w:rPr>
          <w:rFonts w:hint="eastAsia" w:hAnsi="宋体"/>
          <w:sz w:val="24"/>
          <w:szCs w:val="24"/>
          <w:lang w:val="en-US" w:eastAsia="zh-CN"/>
        </w:rPr>
        <w:t>6.1符合《中华人民共和国政府采购法》第二十二条的规定</w:t>
      </w:r>
    </w:p>
    <w:p>
      <w:pPr>
        <w:pStyle w:val="108"/>
        <w:spacing w:line="360" w:lineRule="auto"/>
        <w:ind w:firstLine="480"/>
        <w:rPr>
          <w:rFonts w:hAnsi="宋体"/>
          <w:sz w:val="24"/>
          <w:szCs w:val="24"/>
          <w:lang w:val="en-US" w:eastAsia="zh-CN"/>
        </w:rPr>
      </w:pPr>
      <w:r>
        <w:rPr>
          <w:rFonts w:hint="eastAsia" w:hAnsi="宋体"/>
          <w:sz w:val="24"/>
          <w:szCs w:val="24"/>
          <w:lang w:val="en-US" w:eastAsia="zh-CN"/>
        </w:rPr>
        <w:t>6.2采购项目需要落实的政府采购政策：此项目属于专门面向中小微企业采购的项目，供应商应为中小微企业、监狱企业、残疾人福利性单位。</w:t>
      </w:r>
    </w:p>
    <w:p>
      <w:pPr>
        <w:pStyle w:val="108"/>
        <w:spacing w:line="360" w:lineRule="auto"/>
        <w:ind w:firstLine="480"/>
        <w:rPr>
          <w:rFonts w:hint="eastAsia" w:hAnsi="宋体"/>
          <w:sz w:val="24"/>
          <w:szCs w:val="24"/>
        </w:rPr>
      </w:pPr>
      <w:r>
        <w:rPr>
          <w:rFonts w:hint="eastAsia" w:hAnsi="宋体"/>
          <w:sz w:val="24"/>
          <w:szCs w:val="24"/>
          <w:lang w:val="en-US" w:eastAsia="zh-CN"/>
        </w:rPr>
        <w:t>6</w:t>
      </w:r>
      <w:r>
        <w:rPr>
          <w:rFonts w:hint="eastAsia" w:hAnsi="宋体"/>
          <w:sz w:val="24"/>
          <w:szCs w:val="24"/>
        </w:rPr>
        <w:t>.</w:t>
      </w:r>
      <w:r>
        <w:rPr>
          <w:rFonts w:hint="eastAsia" w:hAnsi="宋体"/>
          <w:sz w:val="24"/>
          <w:szCs w:val="24"/>
          <w:lang w:val="en-US" w:eastAsia="zh-CN"/>
        </w:rPr>
        <w:t>3</w:t>
      </w:r>
      <w:r>
        <w:rPr>
          <w:rFonts w:hint="eastAsia" w:hAnsi="宋体"/>
          <w:sz w:val="24"/>
          <w:szCs w:val="24"/>
        </w:rPr>
        <w:t>（一）投标人基本条件</w:t>
      </w:r>
    </w:p>
    <w:p>
      <w:pPr>
        <w:pStyle w:val="108"/>
        <w:numPr>
          <w:ilvl w:val="0"/>
          <w:numId w:val="3"/>
        </w:numPr>
        <w:spacing w:line="360" w:lineRule="auto"/>
        <w:ind w:firstLine="480"/>
        <w:rPr>
          <w:rFonts w:hAnsi="宋体"/>
          <w:sz w:val="24"/>
          <w:szCs w:val="24"/>
        </w:rPr>
      </w:pPr>
      <w:r>
        <w:rPr>
          <w:rFonts w:hAnsi="宋体"/>
          <w:sz w:val="24"/>
          <w:szCs w:val="24"/>
        </w:rPr>
        <w:t>具有独立承担民事责任的能力；</w:t>
      </w:r>
    </w:p>
    <w:p>
      <w:pPr>
        <w:pStyle w:val="108"/>
        <w:numPr>
          <w:ilvl w:val="0"/>
          <w:numId w:val="0"/>
        </w:numPr>
        <w:spacing w:line="360" w:lineRule="auto"/>
        <w:ind w:firstLine="480"/>
        <w:rPr>
          <w:rFonts w:hAnsi="宋体"/>
          <w:sz w:val="24"/>
          <w:szCs w:val="24"/>
        </w:rPr>
      </w:pPr>
      <w:r>
        <w:rPr>
          <w:rFonts w:hAnsi="宋体"/>
          <w:sz w:val="24"/>
          <w:szCs w:val="24"/>
        </w:rPr>
        <w:t>2.具有良好的商业信誉和健全的财务会计制度；</w:t>
      </w:r>
    </w:p>
    <w:p>
      <w:pPr>
        <w:pStyle w:val="108"/>
        <w:spacing w:line="360" w:lineRule="auto"/>
        <w:ind w:firstLine="480"/>
        <w:rPr>
          <w:rFonts w:hAnsi="宋体"/>
          <w:sz w:val="24"/>
          <w:szCs w:val="24"/>
        </w:rPr>
      </w:pPr>
      <w:r>
        <w:rPr>
          <w:rFonts w:hAnsi="宋体"/>
          <w:sz w:val="24"/>
          <w:szCs w:val="24"/>
        </w:rPr>
        <w:t>3.具有履行合同所必需的设备和专业技术能力；</w:t>
      </w:r>
    </w:p>
    <w:p>
      <w:pPr>
        <w:pStyle w:val="108"/>
        <w:spacing w:line="360" w:lineRule="auto"/>
        <w:ind w:firstLine="480"/>
        <w:rPr>
          <w:rFonts w:hAnsi="宋体"/>
          <w:sz w:val="24"/>
          <w:szCs w:val="24"/>
        </w:rPr>
      </w:pPr>
      <w:r>
        <w:rPr>
          <w:rFonts w:hAnsi="宋体"/>
          <w:sz w:val="24"/>
          <w:szCs w:val="24"/>
        </w:rPr>
        <w:t>4.有依法缴纳税收和社会保障资金的良好记录；</w:t>
      </w:r>
    </w:p>
    <w:p>
      <w:pPr>
        <w:pStyle w:val="108"/>
        <w:spacing w:line="360" w:lineRule="auto"/>
        <w:ind w:firstLine="480"/>
        <w:rPr>
          <w:rFonts w:hAnsi="宋体"/>
          <w:sz w:val="24"/>
          <w:szCs w:val="24"/>
        </w:rPr>
      </w:pPr>
      <w:r>
        <w:rPr>
          <w:rFonts w:hAnsi="宋体"/>
          <w:sz w:val="24"/>
          <w:szCs w:val="24"/>
        </w:rPr>
        <w:t>5.参加投标活动前三年内，在经营活动中没有重大违法记录；</w:t>
      </w:r>
    </w:p>
    <w:p>
      <w:pPr>
        <w:spacing w:line="360" w:lineRule="auto"/>
        <w:ind w:firstLine="480"/>
        <w:rPr>
          <w:rFonts w:hint="eastAsia" w:ascii="宋体" w:hAnsi="宋体"/>
          <w:sz w:val="24"/>
        </w:rPr>
      </w:pPr>
      <w:r>
        <w:rPr>
          <w:rFonts w:hint="eastAsia" w:ascii="宋体" w:hAnsi="宋体"/>
          <w:sz w:val="24"/>
        </w:rPr>
        <w:t>6.法律、行政法规规定的其他条件。</w:t>
      </w:r>
    </w:p>
    <w:p>
      <w:pPr>
        <w:widowControl/>
        <w:spacing w:line="360" w:lineRule="auto"/>
        <w:ind w:firstLine="720"/>
        <w:jc w:val="left"/>
        <w:rPr>
          <w:rFonts w:hint="eastAsia" w:ascii="仿宋_GB2312" w:hAnsi="华文楷体" w:eastAsia="仿宋_GB2312" w:cs="Arial"/>
          <w:b/>
          <w:sz w:val="24"/>
          <w:highlight w:val="none"/>
        </w:rPr>
      </w:pPr>
      <w:r>
        <w:rPr>
          <w:rFonts w:hint="eastAsia" w:ascii="宋体" w:hAnsi="宋体"/>
          <w:sz w:val="24"/>
          <w:highlight w:val="none"/>
        </w:rPr>
        <w:t>（二）项目要求投标人具备的特定条件</w:t>
      </w:r>
    </w:p>
    <w:p>
      <w:pPr>
        <w:pStyle w:val="35"/>
        <w:widowControl w:val="0"/>
        <w:spacing w:after="0" w:line="360" w:lineRule="auto"/>
        <w:ind w:left="0" w:firstLine="482"/>
        <w:rPr>
          <w:rFonts w:hint="eastAsia" w:ascii="宋体" w:hAnsi="宋体" w:cs="宋体"/>
          <w:b/>
          <w:bCs/>
          <w:color w:val="000000"/>
          <w:sz w:val="24"/>
          <w:highlight w:val="none"/>
          <w:lang w:eastAsia="zh-CN"/>
        </w:rPr>
      </w:pPr>
      <w:r>
        <w:rPr>
          <w:rFonts w:hint="eastAsia" w:ascii="宋体" w:hAnsi="宋体" w:cs="宋体"/>
          <w:b/>
          <w:bCs/>
          <w:color w:val="000000"/>
          <w:sz w:val="24"/>
          <w:highlight w:val="none"/>
          <w:lang w:eastAsia="zh-CN"/>
        </w:rPr>
        <w:t>（1）供应商需具备</w:t>
      </w:r>
      <w:r>
        <w:rPr>
          <w:rFonts w:hint="eastAsia" w:ascii="宋体" w:hAnsi="宋体" w:cs="宋体"/>
          <w:b/>
          <w:bCs/>
          <w:color w:val="000000"/>
          <w:sz w:val="24"/>
          <w:highlight w:val="none"/>
          <w:lang w:val="en-US" w:eastAsia="zh-CN"/>
        </w:rPr>
        <w:t>市政公用工程施工总承包叁级（含）以上资质，并在人员、设备、资金等方面具有相应的施工能力；（</w:t>
      </w:r>
      <w:r>
        <w:rPr>
          <w:rFonts w:hint="eastAsia" w:ascii="宋体" w:hAnsi="宋体" w:cs="Times New Roman"/>
          <w:b/>
          <w:bCs/>
          <w:color w:val="auto"/>
          <w:sz w:val="24"/>
          <w:szCs w:val="24"/>
          <w:highlight w:val="none"/>
          <w:lang w:val="en-US" w:eastAsia="zh-CN" w:bidi="ar-SA"/>
        </w:rPr>
        <w:t>以上所提供的材料复印件或扫描件上传并加盖电子签章</w:t>
      </w:r>
      <w:r>
        <w:rPr>
          <w:rFonts w:hint="eastAsia" w:ascii="宋体" w:hAnsi="宋体" w:cs="宋体"/>
          <w:b/>
          <w:bCs/>
          <w:color w:val="000000"/>
          <w:sz w:val="24"/>
          <w:highlight w:val="none"/>
          <w:lang w:val="en-US" w:eastAsia="zh-CN"/>
        </w:rPr>
        <w:t>）；</w:t>
      </w:r>
    </w:p>
    <w:p>
      <w:pPr>
        <w:pStyle w:val="35"/>
        <w:widowControl w:val="0"/>
        <w:spacing w:after="0" w:line="360" w:lineRule="auto"/>
        <w:ind w:left="0" w:firstLine="482"/>
        <w:rPr>
          <w:rFonts w:hint="eastAsia" w:ascii="宋体" w:hAnsi="宋体" w:eastAsia="宋体" w:cs="宋体"/>
          <w:b/>
          <w:bCs/>
          <w:color w:val="000000"/>
          <w:sz w:val="24"/>
          <w:szCs w:val="20"/>
          <w:highlight w:val="none"/>
          <w:lang w:val="en-US" w:eastAsia="zh-CN" w:bidi="ar-SA"/>
        </w:rPr>
      </w:pPr>
      <w:r>
        <w:rPr>
          <w:rFonts w:hint="eastAsia" w:ascii="宋体" w:hAnsi="宋体" w:cs="宋体"/>
          <w:b/>
          <w:bCs/>
          <w:color w:val="000000"/>
          <w:sz w:val="24"/>
          <w:highlight w:val="none"/>
          <w:lang w:eastAsia="zh-CN"/>
        </w:rPr>
        <w:t>（2）供应商</w:t>
      </w:r>
      <w:r>
        <w:rPr>
          <w:rFonts w:hint="eastAsia" w:ascii="宋体" w:hAnsi="宋体" w:eastAsia="宋体" w:cs="宋体"/>
          <w:b/>
          <w:bCs/>
          <w:color w:val="000000"/>
          <w:sz w:val="24"/>
          <w:szCs w:val="20"/>
          <w:highlight w:val="none"/>
          <w:lang w:val="en-US" w:eastAsia="zh-CN" w:bidi="ar-SA"/>
        </w:rPr>
        <w:t>拟选派注册建造师资质等级：市政公用工程贰级（含）以上注册建造师（资格），《建筑施工企业安全生产考核合格证书》（B证），无在建工程（提供无在建</w:t>
      </w:r>
      <w:r>
        <w:rPr>
          <w:rFonts w:hint="eastAsia" w:ascii="宋体" w:hAnsi="宋体" w:cs="宋体"/>
          <w:b/>
          <w:bCs/>
          <w:color w:val="000000"/>
          <w:sz w:val="24"/>
          <w:szCs w:val="20"/>
          <w:highlight w:val="none"/>
          <w:lang w:val="en-US" w:eastAsia="zh-CN" w:bidi="ar-SA"/>
        </w:rPr>
        <w:t>证明材料</w:t>
      </w:r>
      <w:r>
        <w:rPr>
          <w:rFonts w:hint="eastAsia" w:ascii="宋体" w:hAnsi="宋体" w:eastAsia="宋体" w:cs="宋体"/>
          <w:b/>
          <w:bCs/>
          <w:color w:val="000000"/>
          <w:sz w:val="24"/>
          <w:szCs w:val="20"/>
          <w:highlight w:val="none"/>
          <w:lang w:val="en-US" w:eastAsia="zh-CN" w:bidi="ar-SA"/>
        </w:rPr>
        <w:t>）</w:t>
      </w:r>
      <w:r>
        <w:rPr>
          <w:rFonts w:hint="eastAsia" w:ascii="宋体" w:hAnsi="宋体" w:cs="Times New Roman"/>
          <w:b/>
          <w:bCs/>
          <w:color w:val="auto"/>
          <w:sz w:val="24"/>
          <w:szCs w:val="24"/>
          <w:highlight w:val="none"/>
          <w:lang w:val="en-US" w:eastAsia="zh-CN" w:bidi="ar-SA"/>
        </w:rPr>
        <w:t>以上所提供的材料复印件或扫描件上传并加盖电子签章</w:t>
      </w:r>
      <w:r>
        <w:rPr>
          <w:rFonts w:hint="eastAsia" w:ascii="宋体" w:hAnsi="宋体" w:eastAsia="宋体" w:cs="宋体"/>
          <w:b/>
          <w:bCs/>
          <w:color w:val="000000"/>
          <w:sz w:val="24"/>
          <w:szCs w:val="20"/>
          <w:highlight w:val="none"/>
          <w:lang w:val="en-US" w:eastAsia="zh-CN" w:bidi="ar-SA"/>
        </w:rPr>
        <w:t>；</w:t>
      </w:r>
    </w:p>
    <w:p>
      <w:pPr>
        <w:pStyle w:val="35"/>
        <w:widowControl w:val="0"/>
        <w:spacing w:after="0" w:line="360" w:lineRule="auto"/>
        <w:ind w:left="0" w:firstLine="482"/>
        <w:rPr>
          <w:rFonts w:hint="eastAsia" w:ascii="宋体" w:hAnsi="宋体" w:cs="宋体"/>
          <w:b/>
          <w:bCs/>
          <w:color w:val="000000"/>
          <w:sz w:val="24"/>
          <w:highlight w:val="none"/>
          <w:lang w:eastAsia="zh-CN"/>
        </w:rPr>
      </w:pPr>
      <w:r>
        <w:rPr>
          <w:rFonts w:hint="eastAsia" w:ascii="宋体" w:hAnsi="宋体" w:cs="宋体"/>
          <w:b/>
          <w:bCs/>
          <w:color w:val="000000"/>
          <w:sz w:val="24"/>
          <w:highlight w:val="none"/>
          <w:lang w:eastAsia="zh-CN"/>
        </w:rPr>
        <w:t>（3）供应商须具备有效的安全生产许可证（</w:t>
      </w:r>
      <w:r>
        <w:rPr>
          <w:rFonts w:hint="eastAsia" w:ascii="宋体" w:hAnsi="宋体" w:cs="Times New Roman"/>
          <w:b/>
          <w:bCs/>
          <w:color w:val="auto"/>
          <w:sz w:val="24"/>
          <w:szCs w:val="24"/>
          <w:highlight w:val="none"/>
          <w:lang w:val="en-US" w:eastAsia="zh-CN" w:bidi="ar-SA"/>
        </w:rPr>
        <w:t>以上所提供的材料复印件或扫描件上传并加盖电子签章）</w:t>
      </w:r>
      <w:r>
        <w:rPr>
          <w:rFonts w:hint="eastAsia" w:ascii="宋体" w:hAnsi="宋体" w:cs="宋体"/>
          <w:b/>
          <w:bCs/>
          <w:color w:val="000000"/>
          <w:sz w:val="24"/>
          <w:highlight w:val="none"/>
          <w:lang w:eastAsia="zh-CN"/>
        </w:rPr>
        <w:t>。</w:t>
      </w:r>
    </w:p>
    <w:p>
      <w:pPr>
        <w:widowControl/>
        <w:spacing w:line="440" w:lineRule="exact"/>
        <w:ind w:firstLine="480"/>
        <w:contextualSpacing/>
        <w:jc w:val="left"/>
        <w:rPr>
          <w:rFonts w:hint="eastAsia" w:ascii="宋体" w:hAnsi="宋体" w:cs="宋体"/>
          <w:color w:val="000000"/>
          <w:sz w:val="24"/>
        </w:rPr>
      </w:pPr>
      <w:r>
        <w:rPr>
          <w:rFonts w:hint="eastAsia" w:ascii="宋体" w:hAnsi="宋体" w:cs="宋体"/>
          <w:color w:val="000000"/>
          <w:sz w:val="24"/>
          <w:lang w:val="en-US" w:eastAsia="zh-CN"/>
        </w:rPr>
        <w:t>6</w:t>
      </w:r>
      <w:r>
        <w:rPr>
          <w:rFonts w:hint="eastAsia" w:ascii="宋体" w:hAnsi="宋体" w:cs="宋体"/>
          <w:color w:val="000000"/>
          <w:sz w:val="24"/>
        </w:rPr>
        <w:t>.</w:t>
      </w:r>
      <w:r>
        <w:rPr>
          <w:rFonts w:hint="eastAsia" w:ascii="宋体" w:hAnsi="宋体" w:cs="宋体"/>
          <w:color w:val="000000"/>
          <w:sz w:val="24"/>
          <w:lang w:val="en-US" w:eastAsia="zh-CN"/>
        </w:rPr>
        <w:t>4</w:t>
      </w:r>
      <w:r>
        <w:rPr>
          <w:rFonts w:hint="eastAsia" w:ascii="宋体" w:hAnsi="宋体" w:cs="宋体"/>
          <w:color w:val="000000"/>
          <w:sz w:val="24"/>
        </w:rPr>
        <w:t>.查询及使用供应商信用记录：</w:t>
      </w:r>
    </w:p>
    <w:p>
      <w:pPr>
        <w:spacing w:line="360" w:lineRule="auto"/>
        <w:ind w:firstLine="480"/>
        <w:rPr>
          <w:rFonts w:hint="eastAsia" w:ascii="宋体" w:hAnsi="宋体" w:cs="宋体"/>
          <w:sz w:val="24"/>
        </w:rPr>
      </w:pPr>
      <w:r>
        <w:rPr>
          <w:rFonts w:hint="eastAsia" w:ascii="宋体" w:hAnsi="宋体" w:cs="宋体"/>
          <w:sz w:val="24"/>
        </w:rPr>
        <w:t>（1）由采购人查询信用信息；</w:t>
      </w:r>
    </w:p>
    <w:p>
      <w:pPr>
        <w:spacing w:line="360" w:lineRule="auto"/>
        <w:ind w:firstLine="480"/>
        <w:rPr>
          <w:rFonts w:hint="eastAsia" w:ascii="宋体" w:hAnsi="宋体" w:cs="宋体"/>
          <w:sz w:val="24"/>
        </w:rPr>
      </w:pPr>
      <w:r>
        <w:rPr>
          <w:rFonts w:hint="eastAsia" w:ascii="宋体" w:hAnsi="宋体" w:cs="宋体"/>
          <w:sz w:val="24"/>
        </w:rPr>
        <w:t>（2）查询渠道包括：</w:t>
      </w:r>
    </w:p>
    <w:p>
      <w:pPr>
        <w:spacing w:line="360" w:lineRule="auto"/>
        <w:ind w:firstLine="480"/>
        <w:rPr>
          <w:rFonts w:hint="eastAsia" w:ascii="宋体" w:hAnsi="宋体" w:cs="宋体"/>
          <w:sz w:val="24"/>
        </w:rPr>
      </w:pPr>
      <w:r>
        <w:rPr>
          <w:rFonts w:hint="eastAsia" w:ascii="宋体" w:hAnsi="宋体" w:cs="宋体"/>
          <w:sz w:val="24"/>
        </w:rPr>
        <w:t>①“信用中国”网（www.creditchina.gov.cn）；</w:t>
      </w:r>
    </w:p>
    <w:p>
      <w:pPr>
        <w:spacing w:line="360" w:lineRule="auto"/>
        <w:ind w:firstLine="480"/>
        <w:rPr>
          <w:rFonts w:hint="eastAsia" w:ascii="宋体" w:hAnsi="宋体" w:cs="宋体"/>
          <w:sz w:val="24"/>
        </w:rPr>
      </w:pPr>
      <w:r>
        <w:rPr>
          <w:rFonts w:hint="eastAsia" w:ascii="宋体" w:hAnsi="宋体" w:cs="宋体"/>
          <w:sz w:val="24"/>
        </w:rPr>
        <w:t>②“中国政府采购”网（www.ccgp.gov.cn）；</w:t>
      </w:r>
    </w:p>
    <w:p>
      <w:pPr>
        <w:spacing w:line="360" w:lineRule="auto"/>
        <w:ind w:firstLine="480"/>
        <w:rPr>
          <w:rFonts w:hint="eastAsia" w:ascii="宋体" w:hAnsi="宋体" w:eastAsia="宋体" w:cs="宋体"/>
          <w:color w:val="000000"/>
          <w:sz w:val="24"/>
          <w:highlight w:val="red"/>
          <w:lang w:eastAsia="zh-CN"/>
        </w:rPr>
      </w:pPr>
      <w:r>
        <w:rPr>
          <w:rFonts w:hint="eastAsia" w:ascii="宋体" w:hAnsi="宋体" w:cs="宋体"/>
          <w:sz w:val="24"/>
        </w:rPr>
        <w:t>③</w:t>
      </w:r>
      <w:r>
        <w:rPr>
          <w:rFonts w:ascii="宋体" w:hAnsi="宋体" w:eastAsia="宋体" w:cs="宋体"/>
          <w:color w:val="000000"/>
          <w:sz w:val="24"/>
        </w:rPr>
        <w:t>“信用江苏”网（http://credit.jiangsu.gov.cn/）</w:t>
      </w:r>
      <w:r>
        <w:rPr>
          <w:rFonts w:hint="eastAsia" w:ascii="宋体" w:hAnsi="宋体" w:eastAsia="宋体" w:cs="宋体"/>
          <w:color w:val="000000"/>
          <w:sz w:val="24"/>
          <w:lang w:eastAsia="zh-CN"/>
        </w:rPr>
        <w:t>；</w:t>
      </w:r>
    </w:p>
    <w:p>
      <w:pPr>
        <w:spacing w:line="360" w:lineRule="auto"/>
        <w:ind w:firstLine="480"/>
        <w:rPr>
          <w:rFonts w:hint="eastAsia" w:ascii="宋体" w:hAnsi="宋体" w:cs="宋体"/>
          <w:sz w:val="24"/>
        </w:rPr>
      </w:pPr>
      <w:r>
        <w:rPr>
          <w:rFonts w:hint="eastAsia" w:ascii="宋体" w:hAnsi="宋体" w:cs="宋体"/>
          <w:sz w:val="24"/>
          <w:highlight w:val="none"/>
        </w:rPr>
        <w:t>④</w:t>
      </w:r>
      <w:r>
        <w:rPr>
          <w:rFonts w:hint="eastAsia" w:ascii="宋体" w:hAnsi="宋体" w:cs="宋体"/>
          <w:b w:val="0"/>
          <w:bCs w:val="0"/>
          <w:color w:val="000000"/>
          <w:sz w:val="24"/>
          <w:highlight w:val="none"/>
        </w:rPr>
        <w:t>“信用中国(江苏徐州)”网</w:t>
      </w:r>
      <w:r>
        <w:rPr>
          <w:rFonts w:hint="eastAsia" w:ascii="宋体" w:hAnsi="宋体" w:cs="宋体"/>
          <w:sz w:val="24"/>
          <w:highlight w:val="none"/>
        </w:rPr>
        <w:t>（</w:t>
      </w:r>
      <w:r>
        <w:rPr>
          <w:rFonts w:hint="eastAsia" w:ascii="宋体" w:hAnsi="宋体" w:cs="宋体"/>
          <w:sz w:val="24"/>
          <w:highlight w:val="none"/>
        </w:rPr>
        <w:fldChar w:fldCharType="begin"/>
      </w:r>
      <w:r>
        <w:rPr>
          <w:rFonts w:hint="eastAsia" w:ascii="宋体" w:hAnsi="宋体" w:cs="宋体"/>
          <w:sz w:val="24"/>
          <w:highlight w:val="none"/>
        </w:rPr>
        <w:instrText xml:space="preserve"> HYPERLINK "http://www.xuzhoucredit.gov.cn" </w:instrText>
      </w:r>
      <w:r>
        <w:rPr>
          <w:rFonts w:hint="eastAsia" w:ascii="宋体" w:hAnsi="宋体" w:cs="宋体"/>
          <w:sz w:val="24"/>
          <w:highlight w:val="none"/>
        </w:rPr>
        <w:fldChar w:fldCharType="separate"/>
      </w:r>
      <w:r>
        <w:rPr>
          <w:rFonts w:hint="eastAsia" w:ascii="宋体" w:hAnsi="宋体" w:cs="宋体"/>
          <w:sz w:val="24"/>
          <w:highlight w:val="none"/>
        </w:rPr>
        <w:t>http://www.xuzhoucredit.gov.cn</w:t>
      </w:r>
      <w:r>
        <w:rPr>
          <w:rFonts w:hint="eastAsia" w:ascii="宋体" w:hAnsi="宋体" w:cs="宋体"/>
          <w:sz w:val="24"/>
          <w:highlight w:val="none"/>
        </w:rPr>
        <w:fldChar w:fldCharType="end"/>
      </w:r>
      <w:r>
        <w:rPr>
          <w:rFonts w:hint="eastAsia" w:ascii="宋体" w:hAnsi="宋体" w:cs="宋体"/>
          <w:sz w:val="24"/>
        </w:rPr>
        <w:t>）；</w:t>
      </w:r>
    </w:p>
    <w:p>
      <w:pPr>
        <w:spacing w:line="360" w:lineRule="auto"/>
        <w:rPr>
          <w:rFonts w:hint="eastAsia" w:ascii="宋体" w:hAnsi="宋体" w:cs="宋体"/>
          <w:sz w:val="24"/>
        </w:rPr>
      </w:pPr>
      <w:r>
        <w:rPr>
          <w:rFonts w:hint="eastAsia" w:ascii="宋体" w:hAnsi="宋体" w:cs="宋体"/>
          <w:sz w:val="24"/>
        </w:rPr>
        <w:t>（3）截止时点（查询环节）：磋商结束前；</w:t>
      </w:r>
    </w:p>
    <w:p>
      <w:pPr>
        <w:spacing w:line="360" w:lineRule="auto"/>
        <w:rPr>
          <w:rFonts w:hint="eastAsia" w:ascii="宋体" w:hAnsi="宋体" w:cs="宋体"/>
          <w:sz w:val="24"/>
        </w:rPr>
      </w:pPr>
      <w:r>
        <w:rPr>
          <w:rFonts w:hint="eastAsia" w:ascii="宋体" w:hAnsi="宋体" w:cs="宋体"/>
          <w:sz w:val="24"/>
        </w:rPr>
        <w:t>（4）信用信息查询记录和证据留存方式：网页截屏打印，与其他采购文件一并保存；</w:t>
      </w:r>
    </w:p>
    <w:p>
      <w:pPr>
        <w:spacing w:line="360" w:lineRule="auto"/>
        <w:rPr>
          <w:rFonts w:hint="eastAsia" w:ascii="宋体" w:hAnsi="宋体" w:cs="宋体"/>
          <w:sz w:val="24"/>
        </w:rPr>
      </w:pPr>
      <w:r>
        <w:rPr>
          <w:rFonts w:hint="eastAsia" w:ascii="宋体" w:hAnsi="宋体" w:cs="宋体"/>
          <w:sz w:val="24"/>
        </w:rPr>
        <w:t>（5）信用信息的使用规则：</w:t>
      </w:r>
    </w:p>
    <w:p>
      <w:pPr>
        <w:spacing w:line="360" w:lineRule="auto"/>
        <w:ind w:firstLine="480"/>
        <w:rPr>
          <w:rFonts w:hint="eastAsia" w:ascii="宋体" w:hAnsi="宋体" w:cs="宋体"/>
          <w:color w:val="auto"/>
          <w:sz w:val="24"/>
          <w:highlight w:val="none"/>
        </w:rPr>
      </w:pPr>
      <w:r>
        <w:rPr>
          <w:rFonts w:hint="eastAsia" w:ascii="宋体" w:hAnsi="宋体" w:cs="宋体"/>
          <w:sz w:val="24"/>
        </w:rPr>
        <w:t>采购人对供应商信用记录进行甄别，对列入失信被执行人、重大税收违法失信主体、政府采购严重违法失信行为记录名单及其他不符合《中华人民共和国政府采购法》第二十二条规定条件的供应商，拒绝其参与采购活动；供应商信用评价结果参考期限从项目开标之日前三年起算，具体按照《江苏省政府采购信用管理暂行办法》（苏财规[2018]18号）执行。</w:t>
      </w:r>
    </w:p>
    <w:p>
      <w:pPr>
        <w:spacing w:line="360" w:lineRule="auto"/>
        <w:ind w:firstLine="482"/>
        <w:rPr>
          <w:rFonts w:hint="eastAsia" w:ascii="宋体" w:hAnsi="宋体" w:cs="宋体"/>
          <w:color w:val="auto"/>
          <w:sz w:val="24"/>
          <w:highlight w:val="none"/>
        </w:rPr>
      </w:pPr>
      <w:r>
        <w:rPr>
          <w:rFonts w:hint="eastAsia" w:ascii="宋体" w:hAnsi="宋体" w:cs="宋体"/>
          <w:color w:val="auto"/>
          <w:sz w:val="24"/>
          <w:highlight w:val="none"/>
          <w:lang w:val="en-US" w:eastAsia="zh-CN"/>
        </w:rPr>
        <w:t>七、</w:t>
      </w:r>
      <w:r>
        <w:rPr>
          <w:rFonts w:hint="eastAsia" w:ascii="宋体" w:hAnsi="宋体" w:cs="宋体"/>
          <w:color w:val="auto"/>
          <w:sz w:val="24"/>
          <w:highlight w:val="none"/>
        </w:rPr>
        <w:t>采购预算（采购项目预算金额）：</w:t>
      </w:r>
      <w:r>
        <w:rPr>
          <w:rFonts w:hint="eastAsia" w:ascii="宋体" w:hAnsi="宋体" w:cs="宋体"/>
          <w:color w:val="auto"/>
          <w:sz w:val="24"/>
          <w:highlight w:val="none"/>
          <w:lang w:val="en-US" w:eastAsia="zh-CN"/>
        </w:rPr>
        <w:t>本项目最</w:t>
      </w:r>
      <w:r>
        <w:rPr>
          <w:rFonts w:hint="eastAsia" w:ascii="宋体" w:hAnsi="宋体" w:cs="宋体"/>
          <w:color w:val="auto"/>
          <w:sz w:val="24"/>
          <w:highlight w:val="none"/>
        </w:rPr>
        <w:t>高限价为</w:t>
      </w:r>
      <w:r>
        <w:rPr>
          <w:rFonts w:hint="eastAsia" w:ascii="宋体" w:hAnsi="宋体" w:cs="宋体"/>
          <w:color w:val="auto"/>
          <w:sz w:val="24"/>
          <w:highlight w:val="none"/>
          <w:lang w:val="en-US" w:eastAsia="zh-CN"/>
        </w:rPr>
        <w:t>3559376.52</w:t>
      </w:r>
      <w:r>
        <w:rPr>
          <w:rFonts w:hint="eastAsia" w:ascii="宋体" w:hAnsi="宋体" w:cs="宋体"/>
          <w:color w:val="auto"/>
          <w:sz w:val="24"/>
          <w:highlight w:val="none"/>
        </w:rPr>
        <w:t>元，本项目不接受超过</w:t>
      </w:r>
      <w:r>
        <w:rPr>
          <w:rFonts w:hint="eastAsia" w:ascii="宋体" w:hAnsi="宋体" w:cs="宋体"/>
          <w:b/>
          <w:bCs/>
          <w:color w:val="auto"/>
          <w:sz w:val="24"/>
          <w:highlight w:val="none"/>
          <w:lang w:val="en-US" w:eastAsia="zh-CN"/>
        </w:rPr>
        <w:t>3559376.52</w:t>
      </w:r>
      <w:r>
        <w:rPr>
          <w:rFonts w:hint="eastAsia" w:ascii="宋体" w:hAnsi="宋体" w:cs="宋体"/>
          <w:b/>
          <w:bCs/>
          <w:color w:val="auto"/>
          <w:sz w:val="24"/>
          <w:highlight w:val="none"/>
        </w:rPr>
        <w:t>元以上</w:t>
      </w:r>
      <w:r>
        <w:rPr>
          <w:rFonts w:hint="eastAsia" w:ascii="宋体" w:hAnsi="宋体" w:cs="宋体"/>
          <w:color w:val="auto"/>
          <w:sz w:val="24"/>
          <w:highlight w:val="none"/>
        </w:rPr>
        <w:t>报价。</w:t>
      </w:r>
    </w:p>
    <w:p>
      <w:pPr>
        <w:numPr>
          <w:ilvl w:val="0"/>
          <w:numId w:val="0"/>
        </w:num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八、采购需求：见《磋商文件》附件2、《项目要求（采购需求）》。</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九、合同草案条款：见《磋商文件》附件7、《合同草案条款》。</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十、报价要求</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1、供应商报价为要约，</w:t>
      </w:r>
      <w:r>
        <w:rPr>
          <w:rFonts w:hint="eastAsia" w:ascii="宋体" w:hAnsi="宋体" w:cs="宋体"/>
          <w:color w:val="auto"/>
          <w:sz w:val="24"/>
          <w:highlight w:val="none"/>
          <w:lang w:val="en-US" w:eastAsia="zh-CN"/>
        </w:rPr>
        <w:t>江苏元中项目管理有限公司</w:t>
      </w:r>
      <w:r>
        <w:rPr>
          <w:rFonts w:hint="eastAsia" w:ascii="宋体" w:hAnsi="宋体" w:cs="宋体"/>
          <w:color w:val="auto"/>
          <w:sz w:val="24"/>
          <w:highlight w:val="none"/>
        </w:rPr>
        <w:t>无承诺表示时视为未成交，</w:t>
      </w:r>
      <w:r>
        <w:rPr>
          <w:rFonts w:hint="eastAsia" w:ascii="宋体" w:hAnsi="宋体" w:cs="宋体"/>
          <w:color w:val="auto"/>
          <w:sz w:val="24"/>
          <w:highlight w:val="none"/>
          <w:lang w:val="en-US" w:eastAsia="zh-CN"/>
        </w:rPr>
        <w:t>江苏元中项目管理有限公司</w:t>
      </w:r>
      <w:r>
        <w:rPr>
          <w:rFonts w:hint="eastAsia" w:ascii="宋体" w:hAnsi="宋体" w:cs="宋体"/>
          <w:color w:val="auto"/>
          <w:sz w:val="24"/>
          <w:highlight w:val="none"/>
        </w:rPr>
        <w:t>认为必要时可重新进行竞争性磋商采购或采取其它方式采购。</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2、按照《磋商报价表》要求填写首次报价。</w:t>
      </w:r>
    </w:p>
    <w:p>
      <w:pPr>
        <w:spacing w:line="360" w:lineRule="auto"/>
        <w:ind w:right="-57" w:firstLine="480"/>
        <w:rPr>
          <w:rFonts w:hint="eastAsia" w:ascii="宋体" w:hAnsi="宋体" w:cs="宋体"/>
          <w:color w:val="auto"/>
          <w:sz w:val="24"/>
          <w:highlight w:val="none"/>
        </w:rPr>
      </w:pPr>
      <w:r>
        <w:rPr>
          <w:rFonts w:hint="eastAsia" w:ascii="宋体" w:hAnsi="宋体" w:cs="宋体"/>
          <w:color w:val="auto"/>
          <w:sz w:val="24"/>
          <w:highlight w:val="none"/>
        </w:rPr>
        <w:t>3、报价包含本项目范围内的全部费用。供应商有漏报或不报的，采购人将视为有关费用</w:t>
      </w:r>
      <w:r>
        <w:rPr>
          <w:rFonts w:hint="eastAsia" w:ascii="宋体" w:hAnsi="宋体" w:cs="宋体"/>
          <w:color w:val="auto"/>
          <w:sz w:val="24"/>
          <w:highlight w:val="none"/>
          <w:lang w:val="en-US" w:eastAsia="zh-CN"/>
        </w:rPr>
        <w:t>已</w:t>
      </w:r>
      <w:r>
        <w:rPr>
          <w:rFonts w:hint="eastAsia" w:ascii="宋体" w:hAnsi="宋体" w:cs="宋体"/>
          <w:color w:val="auto"/>
          <w:sz w:val="24"/>
          <w:highlight w:val="none"/>
        </w:rPr>
        <w:t>包括在本项目的报价中而不予支付。采购人不支付报价以外的任何费用。</w:t>
      </w:r>
    </w:p>
    <w:p>
      <w:pPr>
        <w:spacing w:line="360" w:lineRule="auto"/>
        <w:jc w:val="center"/>
        <w:rPr>
          <w:rFonts w:hint="eastAsia" w:ascii="宋体" w:hAnsi="宋体" w:cs="宋体"/>
          <w:b/>
          <w:bCs/>
          <w:color w:val="auto"/>
          <w:sz w:val="28"/>
          <w:szCs w:val="28"/>
          <w:highlight w:val="none"/>
        </w:rPr>
      </w:pPr>
    </w:p>
    <w:p>
      <w:p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第二章 磋商保证金</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十一、供应商提交磋商保证金</w:t>
      </w:r>
    </w:p>
    <w:p>
      <w:pPr>
        <w:spacing w:line="360" w:lineRule="auto"/>
        <w:ind w:right="-57" w:firstLine="480"/>
        <w:rPr>
          <w:rFonts w:hint="eastAsia" w:ascii="宋体" w:hAnsi="宋体" w:cs="宋体"/>
          <w:color w:val="auto"/>
          <w:sz w:val="24"/>
          <w:highlight w:val="none"/>
        </w:rPr>
      </w:pPr>
      <w:r>
        <w:rPr>
          <w:rFonts w:hint="eastAsia" w:ascii="宋体" w:hAnsi="宋体" w:cs="宋体"/>
          <w:color w:val="auto"/>
          <w:sz w:val="24"/>
          <w:highlight w:val="none"/>
        </w:rPr>
        <w:t>1、磋商保证金交纳数额和形式：不需交纳。</w:t>
      </w:r>
    </w:p>
    <w:p>
      <w:pPr>
        <w:spacing w:line="360" w:lineRule="auto"/>
        <w:jc w:val="center"/>
        <w:rPr>
          <w:rFonts w:hint="eastAsia" w:ascii="宋体" w:hAnsi="宋体" w:cs="宋体"/>
          <w:b/>
          <w:bCs/>
          <w:color w:val="auto"/>
          <w:sz w:val="28"/>
          <w:szCs w:val="28"/>
          <w:highlight w:val="none"/>
        </w:rPr>
      </w:pP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8"/>
          <w:szCs w:val="28"/>
          <w:highlight w:val="none"/>
        </w:rPr>
        <w:t>第三章 响应文件</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十二、提交响应文件要求</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（一）本项目通过“苏采云”系统进行电子采购，即供应商响应文件从政府采购客户端工具制作并通过“苏采云”系统提交。</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供应商应当通过“苏采云”系统提交数据电文形式的响应文件（即电子投标）。未进行线上响应文件提交并解密(因“苏采云”系统导致解密失败的除外)的供应商，响应无效。</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CA数字证书”的获取：供应商需办理CA锁，“苏采云”系统目前仅支持“苏采云”系统下的政务CA，省内各地区办理的“苏采云”系统下的政务CA全省通用。“CA数字证书”的办理材料详见“徐州政府采购网-业务工作-快速服务-下载专区”中的《“苏采云”系统政务CA办理材料、操作手册及控件下载》。</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使用需要第三方认证的电子签名、数据电文，通过互联网方式提交首次响应文件。即：使用“电子签名认证证书（CA数字证书）”登录“苏采云”系统（网址：http://jszfcg.jsczt.cn/；或进入徐州政府采购网（网址：http://czj.xz.gov.cn/Home/HomeIndex）--业务工作--用户登录，点击“苏采云”进入系统），按照要求通过互联网方式提交首次响应文件。</w:t>
      </w:r>
    </w:p>
    <w:p>
      <w:pPr>
        <w:pStyle w:val="26"/>
        <w:spacing w:line="360" w:lineRule="auto"/>
        <w:rPr>
          <w:rFonts w:ascii="宋体" w:hAnsi="宋体"/>
          <w:b/>
          <w:color w:val="auto"/>
          <w:sz w:val="24"/>
          <w:szCs w:val="24"/>
          <w:highlight w:val="none"/>
        </w:rPr>
      </w:pPr>
      <w:r>
        <w:rPr>
          <w:rFonts w:ascii="宋体" w:hAnsi="宋体"/>
          <w:b/>
          <w:color w:val="auto"/>
          <w:sz w:val="24"/>
          <w:szCs w:val="24"/>
          <w:highlight w:val="none"/>
        </w:rPr>
        <w:t>“苏采云”系统使用要求：</w:t>
      </w:r>
    </w:p>
    <w:p>
      <w:pPr>
        <w:pStyle w:val="26"/>
        <w:spacing w:line="360" w:lineRule="auto"/>
        <w:ind w:firstLine="480"/>
        <w:rPr>
          <w:rFonts w:ascii="宋体" w:hAnsi="宋体"/>
          <w:b/>
          <w:color w:val="auto"/>
          <w:sz w:val="24"/>
          <w:szCs w:val="24"/>
          <w:highlight w:val="none"/>
        </w:rPr>
      </w:pPr>
      <w:r>
        <w:rPr>
          <w:rFonts w:ascii="宋体" w:hAnsi="宋体"/>
          <w:b/>
          <w:color w:val="auto"/>
          <w:sz w:val="24"/>
          <w:szCs w:val="24"/>
          <w:highlight w:val="none"/>
        </w:rPr>
        <w:t>1、使用谷歌浏览器参与不见面开标及磋商环节。</w:t>
      </w:r>
    </w:p>
    <w:p>
      <w:pPr>
        <w:pStyle w:val="26"/>
        <w:spacing w:line="360" w:lineRule="auto"/>
        <w:ind w:firstLine="480"/>
        <w:rPr>
          <w:rFonts w:ascii="宋体" w:hAnsi="宋体"/>
          <w:b/>
          <w:color w:val="auto"/>
          <w:sz w:val="24"/>
          <w:szCs w:val="24"/>
          <w:highlight w:val="none"/>
        </w:rPr>
      </w:pPr>
      <w:r>
        <w:rPr>
          <w:rFonts w:ascii="宋体" w:hAnsi="宋体"/>
          <w:b/>
          <w:color w:val="auto"/>
          <w:sz w:val="24"/>
          <w:szCs w:val="24"/>
          <w:highlight w:val="none"/>
        </w:rPr>
        <w:t>2、电脑需提前准备好麦克风、音响，摄像头，提前检查保证能够正常使用。</w:t>
      </w:r>
    </w:p>
    <w:p>
      <w:pPr>
        <w:pStyle w:val="26"/>
        <w:spacing w:line="360" w:lineRule="auto"/>
        <w:ind w:firstLine="480"/>
        <w:rPr>
          <w:rFonts w:ascii="宋体" w:hAnsi="宋体"/>
          <w:b/>
          <w:color w:val="auto"/>
          <w:sz w:val="24"/>
          <w:szCs w:val="24"/>
          <w:highlight w:val="none"/>
        </w:rPr>
      </w:pPr>
      <w:r>
        <w:rPr>
          <w:rFonts w:ascii="宋体" w:hAnsi="宋体"/>
          <w:b/>
          <w:color w:val="auto"/>
          <w:sz w:val="24"/>
          <w:szCs w:val="24"/>
          <w:highlight w:val="none"/>
        </w:rPr>
        <w:t>3、操作系统至少win7以上，建议使用win10操作系统。</w:t>
      </w:r>
    </w:p>
    <w:p>
      <w:pPr>
        <w:pStyle w:val="19"/>
        <w:ind w:firstLine="480"/>
        <w:rPr>
          <w:rFonts w:eastAsia="宋体"/>
          <w:color w:val="auto"/>
          <w:highlight w:val="none"/>
        </w:rPr>
      </w:pPr>
      <w:r>
        <w:rPr>
          <w:rFonts w:eastAsia="宋体"/>
          <w:b/>
          <w:bCs/>
          <w:color w:val="auto"/>
          <w:highlight w:val="none"/>
        </w:rPr>
        <w:t>（二）首次响应文件提交的截止时间：</w:t>
      </w:r>
      <w:r>
        <w:rPr>
          <w:rFonts w:hint="eastAsia" w:eastAsia="宋体"/>
          <w:b/>
          <w:bCs/>
          <w:color w:val="auto"/>
          <w:highlight w:val="none"/>
        </w:rPr>
        <w:t>202</w:t>
      </w:r>
      <w:r>
        <w:rPr>
          <w:rFonts w:hint="eastAsia" w:eastAsia="宋体"/>
          <w:b/>
          <w:bCs/>
          <w:color w:val="auto"/>
          <w:highlight w:val="none"/>
          <w:lang w:val="en-US" w:eastAsia="zh-CN"/>
        </w:rPr>
        <w:t>5</w:t>
      </w:r>
      <w:r>
        <w:rPr>
          <w:rFonts w:hint="eastAsia" w:eastAsia="宋体"/>
          <w:b/>
          <w:bCs/>
          <w:color w:val="auto"/>
          <w:highlight w:val="none"/>
        </w:rPr>
        <w:t>年</w:t>
      </w:r>
      <w:r>
        <w:rPr>
          <w:rFonts w:hint="eastAsia" w:eastAsia="宋体"/>
          <w:b/>
          <w:bCs/>
          <w:color w:val="auto"/>
          <w:highlight w:val="none"/>
          <w:lang w:val="en-US" w:eastAsia="zh-CN"/>
        </w:rPr>
        <w:t xml:space="preserve"> 09月 29日</w:t>
      </w:r>
      <w:r>
        <w:rPr>
          <w:rFonts w:hint="eastAsia" w:eastAsia="宋体"/>
          <w:b/>
          <w:bCs/>
          <w:color w:val="auto"/>
          <w:highlight w:val="none"/>
        </w:rPr>
        <w:t xml:space="preserve"> 09 : 30</w:t>
      </w:r>
      <w:r>
        <w:rPr>
          <w:rFonts w:eastAsia="宋体"/>
          <w:b/>
          <w:bCs/>
          <w:color w:val="auto"/>
          <w:highlight w:val="none"/>
        </w:rPr>
        <w:t>，</w:t>
      </w:r>
      <w:r>
        <w:rPr>
          <w:rFonts w:eastAsia="宋体"/>
          <w:color w:val="auto"/>
          <w:highlight w:val="none"/>
        </w:rPr>
        <w:t>在截止时间后提交的首次响应文件为无效文件，将被拒收。</w:t>
      </w:r>
    </w:p>
    <w:p>
      <w:pPr>
        <w:pStyle w:val="19"/>
        <w:ind w:firstLine="480"/>
        <w:rPr>
          <w:rFonts w:eastAsia="宋体"/>
          <w:b/>
          <w:bCs/>
          <w:color w:val="auto"/>
          <w:highlight w:val="none"/>
        </w:rPr>
      </w:pPr>
      <w:r>
        <w:rPr>
          <w:rFonts w:eastAsia="宋体"/>
          <w:b/>
          <w:bCs/>
          <w:color w:val="auto"/>
          <w:highlight w:val="none"/>
        </w:rPr>
        <w:t>（三）首次响应文件提交时间、地点：</w:t>
      </w:r>
    </w:p>
    <w:p>
      <w:pPr>
        <w:pStyle w:val="19"/>
        <w:ind w:firstLine="480"/>
        <w:rPr>
          <w:rFonts w:hint="eastAsia" w:eastAsia="宋体"/>
          <w:color w:val="auto"/>
          <w:highlight w:val="none"/>
        </w:rPr>
      </w:pPr>
      <w:r>
        <w:rPr>
          <w:rFonts w:eastAsia="宋体"/>
          <w:color w:val="auto"/>
          <w:highlight w:val="none"/>
        </w:rPr>
        <w:t>1、提交时间</w:t>
      </w:r>
      <w:r>
        <w:rPr>
          <w:rFonts w:hint="eastAsia" w:eastAsia="宋体"/>
          <w:color w:val="auto"/>
          <w:highlight w:val="none"/>
        </w:rPr>
        <w:t>：</w:t>
      </w:r>
    </w:p>
    <w:p>
      <w:pPr>
        <w:pStyle w:val="19"/>
        <w:ind w:firstLine="480"/>
        <w:rPr>
          <w:rFonts w:eastAsia="宋体"/>
          <w:b/>
          <w:bCs/>
          <w:color w:val="auto"/>
          <w:highlight w:val="none"/>
        </w:rPr>
      </w:pPr>
      <w:r>
        <w:rPr>
          <w:rFonts w:eastAsia="宋体"/>
          <w:color w:val="auto"/>
          <w:highlight w:val="none"/>
        </w:rPr>
        <w:t>首次响应文件提交的截止时间</w:t>
      </w:r>
      <w:r>
        <w:rPr>
          <w:rFonts w:eastAsia="宋体"/>
          <w:b/>
          <w:bCs/>
          <w:color w:val="auto"/>
          <w:highlight w:val="none"/>
        </w:rPr>
        <w:t>（</w:t>
      </w:r>
      <w:r>
        <w:rPr>
          <w:rFonts w:hint="eastAsia" w:eastAsia="宋体"/>
          <w:b/>
          <w:bCs/>
          <w:color w:val="auto"/>
          <w:highlight w:val="none"/>
        </w:rPr>
        <w:t>202</w:t>
      </w:r>
      <w:r>
        <w:rPr>
          <w:rFonts w:hint="eastAsia" w:eastAsia="宋体"/>
          <w:b/>
          <w:bCs/>
          <w:color w:val="auto"/>
          <w:highlight w:val="none"/>
          <w:lang w:val="en-US" w:eastAsia="zh-CN"/>
        </w:rPr>
        <w:t>5</w:t>
      </w:r>
      <w:r>
        <w:rPr>
          <w:rFonts w:hint="eastAsia" w:eastAsia="宋体"/>
          <w:b/>
          <w:bCs/>
          <w:color w:val="auto"/>
          <w:highlight w:val="none"/>
        </w:rPr>
        <w:t>年</w:t>
      </w:r>
      <w:r>
        <w:rPr>
          <w:rFonts w:hint="eastAsia" w:eastAsia="宋体"/>
          <w:b/>
          <w:bCs/>
          <w:color w:val="auto"/>
          <w:highlight w:val="none"/>
          <w:lang w:val="en-US" w:eastAsia="zh-CN"/>
        </w:rPr>
        <w:t xml:space="preserve"> 09月 29日</w:t>
      </w:r>
      <w:r>
        <w:rPr>
          <w:rFonts w:hint="eastAsia" w:eastAsia="宋体"/>
          <w:b/>
          <w:bCs/>
          <w:color w:val="auto"/>
          <w:highlight w:val="none"/>
        </w:rPr>
        <w:t xml:space="preserve"> 09 :30 </w:t>
      </w:r>
      <w:r>
        <w:rPr>
          <w:rFonts w:eastAsia="宋体"/>
          <w:b/>
          <w:bCs/>
          <w:color w:val="auto"/>
          <w:highlight w:val="none"/>
        </w:rPr>
        <w:t>）</w:t>
      </w:r>
      <w:r>
        <w:rPr>
          <w:rFonts w:eastAsia="宋体"/>
          <w:b/>
          <w:bCs/>
          <w:color w:val="auto"/>
          <w:highlight w:val="none"/>
        </w:rPr>
        <w:t>前。</w:t>
      </w:r>
    </w:p>
    <w:p>
      <w:pPr>
        <w:pStyle w:val="19"/>
        <w:ind w:firstLine="480"/>
        <w:rPr>
          <w:rFonts w:eastAsia="宋体"/>
          <w:color w:val="auto"/>
          <w:highlight w:val="none"/>
        </w:rPr>
      </w:pPr>
      <w:r>
        <w:rPr>
          <w:rFonts w:eastAsia="宋体"/>
          <w:color w:val="auto"/>
          <w:highlight w:val="none"/>
        </w:rPr>
        <w:t>2、提交地点：</w:t>
      </w:r>
    </w:p>
    <w:p>
      <w:pPr>
        <w:pStyle w:val="19"/>
        <w:ind w:firstLine="480"/>
        <w:rPr>
          <w:rFonts w:eastAsia="宋体"/>
          <w:color w:val="auto"/>
          <w:highlight w:val="none"/>
        </w:rPr>
      </w:pPr>
      <w:r>
        <w:rPr>
          <w:rFonts w:eastAsia="宋体"/>
          <w:color w:val="auto"/>
          <w:highlight w:val="none"/>
        </w:rPr>
        <w:t xml:space="preserve">“苏采云”系统（网址：http://jszfcg.jsczt.cn/）“开标大厅”或进入徐州政府采购网（网址：http://czj.xz.gov.cn/Home/HomeIndex）-业务工作-用户登录，点击“苏采云”进入系统“开标大厅”。 </w:t>
      </w:r>
    </w:p>
    <w:p>
      <w:pPr>
        <w:pStyle w:val="19"/>
        <w:ind w:firstLine="480"/>
        <w:rPr>
          <w:rFonts w:eastAsia="宋体"/>
          <w:b/>
          <w:bCs/>
          <w:color w:val="auto"/>
          <w:highlight w:val="none"/>
        </w:rPr>
      </w:pPr>
      <w:r>
        <w:rPr>
          <w:rFonts w:eastAsia="宋体"/>
          <w:b/>
          <w:bCs/>
          <w:color w:val="auto"/>
          <w:highlight w:val="none"/>
        </w:rPr>
        <w:t>（四）首次响应文件开启时间：</w:t>
      </w:r>
      <w:r>
        <w:rPr>
          <w:rFonts w:hint="eastAsia" w:eastAsia="宋体"/>
          <w:b/>
          <w:bCs/>
          <w:color w:val="auto"/>
          <w:highlight w:val="none"/>
        </w:rPr>
        <w:t>202</w:t>
      </w:r>
      <w:r>
        <w:rPr>
          <w:rFonts w:hint="eastAsia" w:eastAsia="宋体"/>
          <w:b/>
          <w:bCs/>
          <w:color w:val="auto"/>
          <w:highlight w:val="none"/>
          <w:lang w:val="en-US" w:eastAsia="zh-CN"/>
        </w:rPr>
        <w:t>5</w:t>
      </w:r>
      <w:r>
        <w:rPr>
          <w:rFonts w:hint="eastAsia" w:eastAsia="宋体"/>
          <w:b/>
          <w:bCs/>
          <w:color w:val="auto"/>
          <w:highlight w:val="none"/>
        </w:rPr>
        <w:t>年</w:t>
      </w:r>
      <w:r>
        <w:rPr>
          <w:rFonts w:hint="eastAsia" w:eastAsia="宋体"/>
          <w:b/>
          <w:bCs/>
          <w:color w:val="auto"/>
          <w:highlight w:val="none"/>
          <w:lang w:val="en-US" w:eastAsia="zh-CN"/>
        </w:rPr>
        <w:t xml:space="preserve"> 09月 29日</w:t>
      </w:r>
      <w:r>
        <w:rPr>
          <w:rFonts w:hint="eastAsia" w:eastAsia="宋体"/>
          <w:b/>
          <w:bCs/>
          <w:color w:val="auto"/>
          <w:highlight w:val="none"/>
        </w:rPr>
        <w:t>09:30</w:t>
      </w:r>
      <w:r>
        <w:rPr>
          <w:rFonts w:eastAsia="宋体"/>
          <w:b/>
          <w:bCs/>
          <w:color w:val="auto"/>
          <w:highlight w:val="none"/>
        </w:rPr>
        <w:t>。</w:t>
      </w:r>
    </w:p>
    <w:p>
      <w:pPr>
        <w:pStyle w:val="19"/>
        <w:ind w:firstLine="480"/>
        <w:rPr>
          <w:rFonts w:eastAsia="宋体"/>
          <w:b/>
          <w:bCs/>
          <w:color w:val="auto"/>
          <w:highlight w:val="none"/>
        </w:rPr>
      </w:pPr>
      <w:r>
        <w:rPr>
          <w:rFonts w:eastAsia="宋体"/>
          <w:b/>
          <w:bCs/>
          <w:color w:val="auto"/>
          <w:highlight w:val="none"/>
        </w:rPr>
        <w:t>（五）首次响应文件开启地点：</w:t>
      </w:r>
    </w:p>
    <w:p>
      <w:pPr>
        <w:pStyle w:val="19"/>
        <w:ind w:firstLine="480"/>
        <w:rPr>
          <w:rFonts w:eastAsia="宋体"/>
          <w:color w:val="auto"/>
          <w:highlight w:val="none"/>
        </w:rPr>
      </w:pPr>
      <w:r>
        <w:rPr>
          <w:rFonts w:eastAsia="宋体"/>
          <w:color w:val="auto"/>
          <w:highlight w:val="none"/>
        </w:rPr>
        <w:t>“苏采云”系统（网址：http://jszfcg.jsczt.cn/）“开标大厅”或进入徐州政府采购网（网址：http://czj.xz.gov.cn/Home/HomeIndex）-业务工作-用户登录，点击“苏采云”进入系统“开标大厅”。</w:t>
      </w:r>
    </w:p>
    <w:p>
      <w:pPr>
        <w:pStyle w:val="19"/>
        <w:ind w:firstLine="480"/>
        <w:rPr>
          <w:rFonts w:eastAsia="宋体"/>
          <w:color w:val="auto"/>
          <w:highlight w:val="none"/>
        </w:rPr>
      </w:pPr>
      <w:r>
        <w:rPr>
          <w:rFonts w:eastAsia="宋体"/>
          <w:color w:val="auto"/>
          <w:highlight w:val="none"/>
        </w:rPr>
        <w:t>（六）供应商在首次响应文件提交的截止时间前，可以对所提交的首次响应文件进行补充、修改或者撤回。补充、修改的内容作为响应文件的组成部分。补充、修改的内容与首次响应文件不一致的，以补充、修改的内容为准。</w:t>
      </w:r>
    </w:p>
    <w:p>
      <w:pPr>
        <w:pStyle w:val="19"/>
        <w:shd w:val="clear" w:color="auto" w:fill="FFFFFF"/>
        <w:ind w:firstLine="480"/>
        <w:jc w:val="left"/>
        <w:outlineLvl w:val="0"/>
        <w:rPr>
          <w:rFonts w:eastAsia="宋体"/>
          <w:color w:val="auto"/>
          <w:highlight w:val="none"/>
        </w:rPr>
      </w:pPr>
      <w:r>
        <w:rPr>
          <w:rFonts w:eastAsia="宋体"/>
          <w:color w:val="auto"/>
          <w:highlight w:val="none"/>
        </w:rPr>
        <w:t>（七）不接受不按要求加盖公章（电子签章）的首次响应文件。电子签章相关要求见“苏采云”系统。</w:t>
      </w:r>
    </w:p>
    <w:p>
      <w:pPr>
        <w:pStyle w:val="19"/>
        <w:rPr>
          <w:rFonts w:eastAsia="宋体"/>
          <w:color w:val="auto"/>
          <w:highlight w:val="none"/>
        </w:rPr>
      </w:pPr>
      <w:r>
        <w:rPr>
          <w:rFonts w:eastAsia="宋体"/>
          <w:bCs/>
          <w:color w:val="auto"/>
          <w:highlight w:val="none"/>
        </w:rPr>
        <w:t>（八）首次响应文件解密：到达开启时间，</w:t>
      </w:r>
      <w:r>
        <w:rPr>
          <w:rFonts w:eastAsia="宋体"/>
          <w:color w:val="auto"/>
          <w:highlight w:val="none"/>
        </w:rPr>
        <w:t>“苏采云”系统自动提取所有响应文件，供应商按采购文件规定方式按时在线解密。本项目采购文件规定的供应商按时在线解密方式：</w:t>
      </w:r>
      <w:r>
        <w:rPr>
          <w:rFonts w:eastAsia="宋体"/>
          <w:b/>
          <w:bCs/>
          <w:color w:val="auto"/>
          <w:highlight w:val="none"/>
        </w:rPr>
        <w:t>开启时间后30分钟内</w:t>
      </w:r>
      <w:r>
        <w:rPr>
          <w:rFonts w:eastAsia="宋体"/>
          <w:color w:val="auto"/>
          <w:highlight w:val="none"/>
        </w:rPr>
        <w:t>，通过“苏采云”系统（使用“CA数字证书”）解密。</w:t>
      </w:r>
    </w:p>
    <w:p>
      <w:pPr>
        <w:pStyle w:val="19"/>
        <w:ind w:firstLine="480"/>
        <w:rPr>
          <w:rFonts w:eastAsia="宋体"/>
          <w:color w:val="auto"/>
          <w:highlight w:val="none"/>
        </w:rPr>
      </w:pPr>
      <w:r>
        <w:rPr>
          <w:rFonts w:eastAsia="宋体"/>
          <w:color w:val="auto"/>
          <w:highlight w:val="none"/>
        </w:rPr>
        <w:t>（九）采购文件（后缀名为“.kedt”）、供应商操作手册及政府采购客户端工具可通过“苏采云”系统（网址：</w:t>
      </w:r>
      <w:r>
        <w:rPr>
          <w:rFonts w:eastAsia="宋体"/>
          <w:color w:val="auto"/>
          <w:highlight w:val="none"/>
        </w:rPr>
        <w:fldChar w:fldCharType="begin"/>
      </w:r>
      <w:r>
        <w:rPr>
          <w:rFonts w:eastAsia="宋体"/>
          <w:color w:val="auto"/>
          <w:highlight w:val="none"/>
        </w:rPr>
        <w:instrText xml:space="preserve">HYPERLINK "http://jszfcg.jsczt.cn/"</w:instrText>
      </w:r>
      <w:r>
        <w:rPr>
          <w:rFonts w:eastAsia="宋体"/>
          <w:color w:val="auto"/>
          <w:highlight w:val="none"/>
        </w:rPr>
        <w:fldChar w:fldCharType="separate"/>
      </w:r>
      <w:r>
        <w:rPr>
          <w:rFonts w:eastAsia="宋体"/>
          <w:color w:val="auto"/>
          <w:highlight w:val="none"/>
        </w:rPr>
        <w:t>http://jszfcg.jsczt.cn/</w:t>
      </w:r>
      <w:r>
        <w:rPr>
          <w:rFonts w:eastAsia="宋体"/>
          <w:color w:val="auto"/>
          <w:highlight w:val="none"/>
        </w:rPr>
        <w:fldChar w:fldCharType="end"/>
      </w:r>
      <w:r>
        <w:rPr>
          <w:rFonts w:eastAsia="宋体"/>
          <w:color w:val="auto"/>
          <w:highlight w:val="none"/>
        </w:rPr>
        <w:t>）--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p>
    <w:p>
      <w:pPr>
        <w:pStyle w:val="70"/>
        <w:rPr>
          <w:rFonts w:hint="eastAsia" w:ascii="宋体" w:hAnsi="宋体" w:eastAsia="宋体" w:cs="Times New Roman"/>
          <w:color w:val="auto"/>
          <w:sz w:val="24"/>
          <w:szCs w:val="22"/>
          <w:highlight w:val="none"/>
          <w:lang w:val="en-US" w:eastAsia="zh-CN" w:bidi="ar-SA"/>
        </w:rPr>
      </w:pPr>
      <w:r>
        <w:rPr>
          <w:rFonts w:hint="default" w:ascii="宋体" w:hAnsi="宋体" w:eastAsia="宋体" w:cs="Times New Roman"/>
          <w:color w:val="auto"/>
          <w:sz w:val="24"/>
          <w:szCs w:val="22"/>
          <w:highlight w:val="none"/>
          <w:lang w:val="en-US" w:eastAsia="zh-CN" w:bidi="ar-SA"/>
        </w:rPr>
        <w:t>（十）相关说明: 供应商在“苏采云”系统中提交首次响应文件的时间即为数据电文（响应文件，下同）的发送时间和接收时间。</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十三、响应文件编制要求</w:t>
      </w:r>
    </w:p>
    <w:p>
      <w:pPr>
        <w:pStyle w:val="19"/>
        <w:ind w:firstLine="480"/>
        <w:rPr>
          <w:rFonts w:eastAsia="宋体"/>
          <w:b/>
          <w:bCs/>
          <w:color w:val="auto"/>
          <w:highlight w:val="none"/>
        </w:rPr>
      </w:pPr>
      <w:r>
        <w:rPr>
          <w:rFonts w:eastAsia="宋体"/>
          <w:b/>
          <w:bCs/>
          <w:color w:val="auto"/>
          <w:highlight w:val="none"/>
        </w:rPr>
        <w:t>请按照以下要求（包括但不限于以下要求）制作：</w:t>
      </w:r>
    </w:p>
    <w:p>
      <w:pPr>
        <w:pStyle w:val="19"/>
        <w:ind w:firstLine="425"/>
        <w:rPr>
          <w:rFonts w:eastAsia="宋体"/>
          <w:b/>
          <w:color w:val="auto"/>
          <w:highlight w:val="none"/>
        </w:rPr>
      </w:pPr>
      <w:r>
        <w:rPr>
          <w:rFonts w:eastAsia="宋体"/>
          <w:b/>
          <w:color w:val="auto"/>
          <w:highlight w:val="none"/>
        </w:rPr>
        <w:t>（一）基本目录</w:t>
      </w:r>
    </w:p>
    <w:p>
      <w:pPr>
        <w:pStyle w:val="19"/>
        <w:spacing w:line="360" w:lineRule="auto"/>
        <w:ind w:firstLine="480"/>
        <w:rPr>
          <w:rFonts w:eastAsia="宋体"/>
          <w:bCs/>
          <w:color w:val="auto"/>
          <w:highlight w:val="none"/>
        </w:rPr>
      </w:pPr>
      <w:r>
        <w:rPr>
          <w:rFonts w:eastAsia="宋体"/>
          <w:bCs/>
          <w:color w:val="auto"/>
          <w:highlight w:val="none"/>
        </w:rPr>
        <w:t>1、</w:t>
      </w:r>
      <w:r>
        <w:rPr>
          <w:rFonts w:eastAsia="宋体"/>
          <w:color w:val="auto"/>
          <w:highlight w:val="none"/>
        </w:rPr>
        <w:t>《磋商报价表》（加盖电子签章，格式见《磋商文件》附件。</w:t>
      </w:r>
      <w:r>
        <w:rPr>
          <w:rFonts w:eastAsia="宋体"/>
          <w:bCs/>
          <w:color w:val="auto"/>
          <w:highlight w:val="none"/>
        </w:rPr>
        <w:t>政府采购客户端工具输入报价自动生成）；</w:t>
      </w:r>
    </w:p>
    <w:p>
      <w:pPr>
        <w:pStyle w:val="19"/>
        <w:keepNext w:val="0"/>
        <w:keepLines w:val="0"/>
        <w:pageBreakBefore w:val="0"/>
        <w:spacing w:line="360" w:lineRule="auto"/>
        <w:ind w:firstLine="480"/>
        <w:rPr>
          <w:rFonts w:hint="eastAsia" w:ascii="宋体" w:hAnsi="宋体" w:eastAsia="宋体" w:cs="宋体"/>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bCs/>
          <w:color w:val="auto"/>
          <w:sz w:val="24"/>
          <w:highlight w:val="none"/>
          <w:lang w:eastAsia="zh-CN"/>
        </w:rPr>
        <w:t>、</w:t>
      </w:r>
      <w:r>
        <w:rPr>
          <w:rFonts w:hint="eastAsia" w:ascii="宋体" w:hAnsi="宋体" w:eastAsia="宋体" w:cs="宋体"/>
          <w:color w:val="auto"/>
          <w:sz w:val="24"/>
          <w:highlight w:val="none"/>
        </w:rPr>
        <w:t>授权委托书（提供原件的扫描件，格式见《磋商文件》附件）；</w:t>
      </w:r>
    </w:p>
    <w:p>
      <w:pPr>
        <w:pStyle w:val="26"/>
        <w:keepNext w:val="0"/>
        <w:keepLines w:val="0"/>
        <w:pageBreakBefore w:val="0"/>
        <w:spacing w:line="360" w:lineRule="auto"/>
        <w:ind w:firstLine="482"/>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供应商认为需要提供的其他资料的扫描件（如有）</w:t>
      </w:r>
      <w:r>
        <w:rPr>
          <w:rFonts w:hint="eastAsia" w:ascii="宋体" w:hAnsi="宋体" w:eastAsia="宋体" w:cs="宋体"/>
          <w:b w:val="0"/>
          <w:bCs/>
          <w:color w:val="auto"/>
          <w:sz w:val="24"/>
          <w:szCs w:val="24"/>
          <w:highlight w:val="none"/>
          <w:lang w:eastAsia="zh-CN"/>
        </w:rPr>
        <w:t>。</w:t>
      </w:r>
    </w:p>
    <w:p>
      <w:pPr>
        <w:pStyle w:val="26"/>
        <w:spacing w:line="360" w:lineRule="auto"/>
        <w:ind w:firstLine="241"/>
        <w:rPr>
          <w:rFonts w:ascii="宋体" w:hAnsi="宋体"/>
          <w:b/>
          <w:color w:val="auto"/>
          <w:sz w:val="24"/>
          <w:szCs w:val="24"/>
          <w:highlight w:val="none"/>
        </w:rPr>
      </w:pPr>
      <w:r>
        <w:rPr>
          <w:rFonts w:ascii="宋体" w:hAnsi="宋体"/>
          <w:b/>
          <w:color w:val="auto"/>
          <w:sz w:val="24"/>
          <w:szCs w:val="24"/>
          <w:highlight w:val="none"/>
        </w:rPr>
        <w:t>（二）资格条件（1～</w:t>
      </w:r>
      <w:r>
        <w:rPr>
          <w:rFonts w:hint="eastAsia" w:ascii="宋体" w:hAnsi="宋体"/>
          <w:b/>
          <w:color w:val="auto"/>
          <w:sz w:val="24"/>
          <w:szCs w:val="24"/>
          <w:highlight w:val="none"/>
          <w:lang w:val="en-US" w:eastAsia="zh-CN"/>
        </w:rPr>
        <w:t>7</w:t>
      </w:r>
      <w:r>
        <w:rPr>
          <w:rFonts w:ascii="宋体" w:hAnsi="宋体"/>
          <w:b/>
          <w:color w:val="auto"/>
          <w:sz w:val="24"/>
          <w:szCs w:val="24"/>
          <w:highlight w:val="none"/>
        </w:rPr>
        <w:t>项必须提供</w:t>
      </w:r>
      <w:r>
        <w:rPr>
          <w:rFonts w:hint="eastAsia" w:ascii="宋体" w:hAnsi="宋体"/>
          <w:b/>
          <w:color w:val="auto"/>
          <w:sz w:val="24"/>
          <w:szCs w:val="24"/>
          <w:highlight w:val="none"/>
        </w:rPr>
        <w:t>原件扫描件，</w:t>
      </w:r>
      <w:r>
        <w:rPr>
          <w:rFonts w:ascii="宋体" w:hAnsi="宋体"/>
          <w:b/>
          <w:color w:val="auto"/>
          <w:sz w:val="24"/>
          <w:szCs w:val="24"/>
          <w:highlight w:val="none"/>
        </w:rPr>
        <w:t>否则响应无效）</w:t>
      </w:r>
    </w:p>
    <w:p>
      <w:pPr>
        <w:pStyle w:val="396"/>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440" w:lineRule="exact"/>
        <w:ind w:firstLine="480" w:firstLineChars="200"/>
        <w:jc w:val="both"/>
        <w:rPr>
          <w:rFonts w:ascii="新宋体" w:hAnsi="新宋体" w:eastAsia="新宋体" w:cs="新宋体"/>
          <w:color w:val="000000"/>
        </w:rPr>
      </w:pPr>
      <w:r>
        <w:rPr>
          <w:rFonts w:hint="eastAsia" w:ascii="新宋体" w:hAnsi="新宋体" w:eastAsia="新宋体" w:cs="新宋体"/>
          <w:color w:val="000000"/>
        </w:rPr>
        <w:t>1.</w:t>
      </w:r>
      <w:bookmarkStart w:id="0" w:name="OLE_LINK58"/>
      <w:bookmarkStart w:id="1" w:name="OLE_LINK8"/>
      <w:r>
        <w:rPr>
          <w:rFonts w:hint="eastAsia" w:ascii="新宋体" w:hAnsi="新宋体" w:eastAsia="新宋体" w:cs="新宋体"/>
          <w:color w:val="000000"/>
        </w:rPr>
        <w:t>具有独立承担民事责任的能力，提供投标人合法有效的法人的营业执照或其他组织应提供合法证明文件的原件扫描件(加盖电子签章)。</w:t>
      </w:r>
      <w:bookmarkEnd w:id="0"/>
    </w:p>
    <w:bookmarkEnd w:id="1"/>
    <w:p>
      <w:pPr>
        <w:pStyle w:val="396"/>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440" w:lineRule="exact"/>
        <w:ind w:firstLine="480" w:firstLineChars="200"/>
        <w:jc w:val="both"/>
        <w:rPr>
          <w:rFonts w:ascii="新宋体" w:hAnsi="新宋体" w:eastAsia="新宋体" w:cs="新宋体"/>
          <w:color w:val="000000"/>
        </w:rPr>
      </w:pPr>
      <w:r>
        <w:rPr>
          <w:rFonts w:hint="eastAsia" w:ascii="新宋体" w:hAnsi="新宋体" w:eastAsia="新宋体" w:cs="新宋体"/>
          <w:color w:val="000000"/>
        </w:rPr>
        <w:t>2.</w:t>
      </w:r>
      <w:bookmarkStart w:id="2" w:name="OLE_LINK7"/>
      <w:bookmarkStart w:id="3" w:name="OLE_LINK59"/>
      <w:bookmarkStart w:id="4" w:name="OLE_LINK2"/>
      <w:r>
        <w:rPr>
          <w:rFonts w:hint="eastAsia" w:ascii="新宋体" w:hAnsi="新宋体" w:eastAsia="新宋体" w:cs="新宋体"/>
          <w:color w:val="000000"/>
        </w:rPr>
        <w:t>财务状况报告</w:t>
      </w:r>
      <w:bookmarkEnd w:id="2"/>
      <w:r>
        <w:rPr>
          <w:rFonts w:hint="eastAsia" w:ascii="新宋体" w:hAnsi="新宋体" w:eastAsia="新宋体" w:cs="新宋体"/>
          <w:color w:val="000000"/>
        </w:rPr>
        <w:t>，至少提供：即提供投标人的本项目开标时间前6个月内任何1月（不含开标当月）的资产负债表原件的扫描件1份；投标人的本项目开标时间前6个月内任何1月（不含开标当月）利润表原件的扫描件1份。</w:t>
      </w:r>
      <w:bookmarkEnd w:id="3"/>
    </w:p>
    <w:bookmarkEnd w:id="4"/>
    <w:p>
      <w:pPr>
        <w:pStyle w:val="396"/>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440" w:lineRule="exact"/>
        <w:ind w:firstLine="480" w:firstLineChars="200"/>
        <w:jc w:val="both"/>
        <w:rPr>
          <w:rFonts w:ascii="新宋体" w:hAnsi="新宋体" w:eastAsia="新宋体" w:cs="新宋体"/>
          <w:color w:val="000000"/>
        </w:rPr>
      </w:pPr>
      <w:r>
        <w:rPr>
          <w:rFonts w:hint="eastAsia" w:ascii="新宋体" w:hAnsi="新宋体" w:eastAsia="新宋体" w:cs="新宋体"/>
          <w:color w:val="000000"/>
        </w:rPr>
        <w:t>3.</w:t>
      </w:r>
      <w:bookmarkStart w:id="5" w:name="OLE_LINK60"/>
      <w:bookmarkStart w:id="6" w:name="OLE_LINK3"/>
      <w:r>
        <w:rPr>
          <w:rFonts w:hint="eastAsia" w:ascii="新宋体" w:hAnsi="新宋体" w:eastAsia="新宋体" w:cs="新宋体"/>
          <w:color w:val="000000"/>
        </w:rPr>
        <w:t>投标人的本项目开标时间前6个月内（不含开标当月）任何1月的依法缴纳税收和社会保障资金的相关材料扫描件；依法免税或不需要缴纳社会保障资金的投标人应提供相应其依法免税或不需要缴纳社会保障资金的证明文件扫描件；</w:t>
      </w:r>
      <w:bookmarkEnd w:id="5"/>
    </w:p>
    <w:bookmarkEnd w:id="6"/>
    <w:p>
      <w:pPr>
        <w:pStyle w:val="396"/>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440" w:lineRule="exact"/>
        <w:ind w:firstLine="480" w:firstLineChars="200"/>
        <w:jc w:val="both"/>
        <w:rPr>
          <w:rFonts w:ascii="新宋体" w:hAnsi="新宋体" w:eastAsia="新宋体" w:cs="新宋体"/>
          <w:color w:val="000000"/>
        </w:rPr>
      </w:pPr>
      <w:r>
        <w:rPr>
          <w:rFonts w:hint="eastAsia" w:ascii="新宋体" w:hAnsi="新宋体" w:eastAsia="新宋体" w:cs="新宋体"/>
          <w:color w:val="000000"/>
        </w:rPr>
        <w:t>4.</w:t>
      </w:r>
      <w:bookmarkStart w:id="7" w:name="OLE_LINK9"/>
      <w:bookmarkStart w:id="8" w:name="OLE_LINK61"/>
      <w:r>
        <w:rPr>
          <w:rFonts w:hint="eastAsia" w:ascii="新宋体" w:hAnsi="新宋体" w:eastAsia="新宋体" w:cs="新宋体"/>
          <w:color w:val="000000"/>
        </w:rPr>
        <w:t>具备履行合同所必需的设备和专业技术能力的证明材料提供</w:t>
      </w:r>
      <w:bookmarkStart w:id="9" w:name="OLE_LINK45"/>
      <w:r>
        <w:rPr>
          <w:rFonts w:hint="eastAsia" w:ascii="新宋体" w:hAnsi="新宋体" w:eastAsia="新宋体" w:cs="新宋体"/>
          <w:color w:val="000000"/>
        </w:rPr>
        <w:t>具备履行合同</w:t>
      </w:r>
      <w:bookmarkEnd w:id="9"/>
      <w:r>
        <w:rPr>
          <w:rFonts w:hint="eastAsia" w:ascii="新宋体" w:hAnsi="新宋体" w:eastAsia="新宋体" w:cs="新宋体"/>
          <w:color w:val="000000"/>
        </w:rPr>
        <w:t>所必需的设备和专业技术能力的书面声明（格式见招标文件第七章《投标文件相关格式》）</w:t>
      </w:r>
      <w:bookmarkEnd w:id="7"/>
      <w:r>
        <w:rPr>
          <w:rFonts w:hint="eastAsia" w:ascii="新宋体" w:hAnsi="新宋体" w:eastAsia="新宋体" w:cs="新宋体"/>
          <w:color w:val="000000"/>
        </w:rPr>
        <w:t>。</w:t>
      </w:r>
      <w:bookmarkEnd w:id="8"/>
    </w:p>
    <w:p>
      <w:pPr>
        <w:pStyle w:val="19"/>
        <w:ind w:firstLine="480"/>
        <w:rPr>
          <w:rFonts w:hint="eastAsia" w:ascii="新宋体" w:hAnsi="新宋体" w:eastAsia="新宋体" w:cs="新宋体"/>
          <w:color w:val="000000"/>
        </w:rPr>
      </w:pPr>
      <w:r>
        <w:rPr>
          <w:rFonts w:hint="eastAsia" w:ascii="新宋体" w:hAnsi="新宋体" w:eastAsia="新宋体" w:cs="新宋体"/>
          <w:color w:val="000000"/>
        </w:rPr>
        <w:t>5.</w:t>
      </w:r>
      <w:bookmarkStart w:id="10" w:name="OLE_LINK62"/>
      <w:r>
        <w:rPr>
          <w:rFonts w:hint="eastAsia" w:ascii="新宋体" w:hAnsi="新宋体" w:eastAsia="新宋体" w:cs="新宋体"/>
          <w:color w:val="000000"/>
        </w:rPr>
        <w:t>投标人参加政府采购活动前3年内在经营活动中没有重大违法记录的书面声明（加盖电子签章，格式见招标文件第七章《投标文件相关格式》）。</w:t>
      </w:r>
      <w:bookmarkEnd w:id="10"/>
    </w:p>
    <w:p>
      <w:pPr>
        <w:pStyle w:val="19"/>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6.本项目属于专门面向中小微企业：供应商为中小企业（含中型、小型、微型企业，下同）的，提供《中小企业声明函》（加盖电子签章，填写完整。格式见《磋商文件》附件）。《中小企业声明函》查询渠道参考工业和信息化部发布的中小企业规模自测小程序。</w:t>
      </w:r>
    </w:p>
    <w:p>
      <w:pPr>
        <w:pStyle w:val="19"/>
        <w:ind w:firstLine="48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注：中小微企业，应当同时符合以下条件：</w:t>
      </w:r>
    </w:p>
    <w:p>
      <w:pPr>
        <w:pStyle w:val="19"/>
        <w:keepNext w:val="0"/>
        <w:keepLines w:val="0"/>
        <w:pageBreakBefore w:val="0"/>
        <w:widowControl/>
        <w:spacing w:line="400" w:lineRule="exact"/>
        <w:ind w:right="26" w:firstLine="480"/>
        <w:jc w:val="lef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rPr>
        <w:t>中小企业需满足的条件具体以《政府采购促进中小企业发展管理办法》（财库﹝2020﹞46 号）和《工业和信息化部、国家统计局、国家发展和改革委员会、财政部关于印发中小企业划型标准规定的通知》（工信部联企业[2011]300号）的规定为准。</w:t>
      </w:r>
    </w:p>
    <w:p>
      <w:pPr>
        <w:pStyle w:val="19"/>
        <w:keepNext w:val="0"/>
        <w:keepLines w:val="0"/>
        <w:pageBreakBefore w:val="0"/>
        <w:widowControl/>
        <w:spacing w:line="400" w:lineRule="exact"/>
        <w:ind w:right="26" w:firstLine="480"/>
        <w:jc w:val="lef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rPr>
        <w:t>供应商为残疾人福利性单位的，视同小微企业，提供《残疾人福利性单位声明函》（电子签章，格式见附件》）。具体以《关于促进残疾人就业政府采购政策的通知》（财库〔2017〕141号）的规定为准。</w:t>
      </w:r>
    </w:p>
    <w:p>
      <w:pPr>
        <w:pStyle w:val="19"/>
        <w:keepNext w:val="0"/>
        <w:keepLines w:val="0"/>
        <w:pageBreakBefore w:val="0"/>
        <w:widowControl/>
        <w:spacing w:line="400" w:lineRule="exact"/>
        <w:ind w:right="26" w:firstLine="480"/>
        <w:jc w:val="lef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rPr>
        <w:t>供应商为监狱企业的，视同小微企业，提供省级以上监狱管理局、戒毒管理局（含新疆生产建设兵团）出具的属于监狱企业的证明文件扫描件。具体以《财政部 司法部关于政府采购支持监狱企业发展有关问题的通知》（财库〔2014〕68号）的规定为准。</w:t>
      </w:r>
    </w:p>
    <w:p>
      <w:pPr>
        <w:pStyle w:val="35"/>
        <w:widowControl w:val="0"/>
        <w:spacing w:after="0" w:line="360" w:lineRule="auto"/>
        <w:ind w:left="0" w:firstLine="482"/>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7、特定资格条件</w:t>
      </w:r>
    </w:p>
    <w:p>
      <w:pPr>
        <w:pStyle w:val="36"/>
        <w:spacing w:line="360" w:lineRule="auto"/>
        <w:ind w:firstLine="482"/>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7.1供应商需具备市政公用工程施工总承包叁级（含）以上资质，并在人员、设备、资金等方面具有相应的施工能力；（以上所提供的材料复印件或扫描件上传并加盖电子签章）；</w:t>
      </w:r>
    </w:p>
    <w:p>
      <w:pPr>
        <w:pStyle w:val="36"/>
        <w:spacing w:line="360" w:lineRule="auto"/>
        <w:ind w:firstLine="482"/>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7.2供应商拟选派注册建造师资质等级：市政公用工程贰级（含）以上注册建造师（资格），《建筑施工企业安全生产考核合格证书》（B证），无在建工程（提供无在建证明材料）以上所提供的材料复印件或扫描件上传并加盖电子签章；</w:t>
      </w:r>
    </w:p>
    <w:p>
      <w:pPr>
        <w:pStyle w:val="36"/>
        <w:spacing w:line="360" w:lineRule="auto"/>
        <w:ind w:firstLine="482"/>
        <w:rPr>
          <w:rFonts w:hint="default" w:ascii="宋体" w:hAnsi="宋体" w:eastAsia="宋体" w:cs="Times New Roman"/>
          <w:b w:val="0"/>
          <w:bCs w:val="0"/>
          <w:color w:val="auto"/>
          <w:sz w:val="24"/>
          <w:szCs w:val="24"/>
          <w:highlight w:val="none"/>
          <w:lang w:val="en-US" w:eastAsia="zh-CN" w:bidi="ar-SA"/>
        </w:rPr>
      </w:pPr>
      <w:r>
        <w:rPr>
          <w:rFonts w:hint="eastAsia" w:ascii="宋体" w:hAnsi="宋体"/>
          <w:b w:val="0"/>
          <w:bCs w:val="0"/>
          <w:color w:val="auto"/>
          <w:sz w:val="24"/>
          <w:szCs w:val="24"/>
          <w:highlight w:val="none"/>
          <w:lang w:val="en-US" w:eastAsia="zh-CN"/>
        </w:rPr>
        <w:t>7.3供应商须具备有效的安全生产许可证（以上所提供的材料复印件或扫描件上传并加盖电子签章）。</w:t>
      </w:r>
    </w:p>
    <w:p>
      <w:pPr>
        <w:pStyle w:val="26"/>
        <w:spacing w:line="360" w:lineRule="auto"/>
        <w:rPr>
          <w:rFonts w:ascii="宋体" w:hAnsi="宋体"/>
          <w:b/>
          <w:bCs/>
          <w:color w:val="auto"/>
          <w:sz w:val="24"/>
          <w:szCs w:val="24"/>
          <w:highlight w:val="none"/>
        </w:rPr>
      </w:pPr>
      <w:r>
        <w:rPr>
          <w:rFonts w:ascii="宋体" w:hAnsi="宋体"/>
          <w:b/>
          <w:bCs/>
          <w:color w:val="auto"/>
          <w:sz w:val="24"/>
          <w:szCs w:val="24"/>
          <w:highlight w:val="none"/>
        </w:rPr>
        <w:t>（三）符合条件（必须提供，否则响应无效）</w:t>
      </w:r>
    </w:p>
    <w:p>
      <w:pPr>
        <w:pStyle w:val="26"/>
        <w:spacing w:line="360" w:lineRule="auto"/>
        <w:ind w:right="-334" w:firstLine="482"/>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1.《授权委托书》（加盖电子签章，格式见《磋商文件附件》）；</w:t>
      </w:r>
    </w:p>
    <w:p>
      <w:pPr>
        <w:pStyle w:val="26"/>
        <w:spacing w:line="360" w:lineRule="auto"/>
        <w:ind w:right="-334" w:firstLine="482"/>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2.《承诺书》（加盖电子签章，格式见《磋商文件》附件）；</w:t>
      </w:r>
    </w:p>
    <w:p>
      <w:pPr>
        <w:pStyle w:val="26"/>
        <w:spacing w:line="360" w:lineRule="auto"/>
        <w:ind w:right="-334" w:firstLine="482"/>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3.《磋商报价表》（加盖电子签章，格式见《磋商文件》附件）；</w:t>
      </w:r>
    </w:p>
    <w:p>
      <w:pPr>
        <w:pStyle w:val="26"/>
        <w:spacing w:line="360" w:lineRule="auto"/>
        <w:ind w:right="-334" w:firstLine="482"/>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4.《分项价格表》（加盖电子签章，格式见《磋商文件》附件）；</w:t>
      </w:r>
    </w:p>
    <w:p>
      <w:pPr>
        <w:pStyle w:val="26"/>
        <w:spacing w:line="360" w:lineRule="auto"/>
        <w:ind w:right="-334" w:firstLine="482"/>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5.《偏离表》（加盖电子签章，格式见《磋商文件》附件）；</w:t>
      </w:r>
    </w:p>
    <w:p>
      <w:pPr>
        <w:pStyle w:val="26"/>
        <w:spacing w:line="360" w:lineRule="auto"/>
        <w:ind w:right="-334" w:firstLine="482"/>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6.《主要材料（设备）一览表》（加盖电子签章，格式见《磋商文件》附件）；</w:t>
      </w:r>
    </w:p>
    <w:p>
      <w:pPr>
        <w:pStyle w:val="26"/>
        <w:spacing w:line="360" w:lineRule="auto"/>
        <w:rPr>
          <w:rFonts w:ascii="宋体" w:hAnsi="宋体"/>
          <w:b/>
          <w:bCs/>
          <w:color w:val="auto"/>
          <w:sz w:val="24"/>
          <w:szCs w:val="24"/>
          <w:highlight w:val="none"/>
        </w:rPr>
      </w:pPr>
      <w:r>
        <w:rPr>
          <w:rFonts w:ascii="宋体" w:hAnsi="宋体"/>
          <w:b/>
          <w:bCs/>
          <w:color w:val="auto"/>
          <w:sz w:val="24"/>
          <w:szCs w:val="24"/>
          <w:highlight w:val="none"/>
        </w:rPr>
        <w:t>（四）综合评审评分项</w:t>
      </w:r>
    </w:p>
    <w:p>
      <w:pPr>
        <w:pStyle w:val="26"/>
        <w:spacing w:line="360" w:lineRule="auto"/>
        <w:ind w:firstLine="480"/>
        <w:rPr>
          <w:rFonts w:ascii="宋体" w:hAnsi="宋体"/>
          <w:b/>
          <w:bCs/>
          <w:color w:val="auto"/>
          <w:sz w:val="24"/>
          <w:szCs w:val="24"/>
          <w:highlight w:val="none"/>
        </w:rPr>
      </w:pPr>
      <w:r>
        <w:rPr>
          <w:rFonts w:hint="eastAsia" w:ascii="宋体" w:hAnsi="宋体"/>
          <w:b/>
          <w:bCs/>
          <w:color w:val="auto"/>
          <w:sz w:val="24"/>
          <w:szCs w:val="24"/>
          <w:highlight w:val="none"/>
        </w:rPr>
        <w:t>1、技术部分</w:t>
      </w:r>
    </w:p>
    <w:p>
      <w:pPr>
        <w:pStyle w:val="26"/>
        <w:spacing w:line="360" w:lineRule="auto"/>
        <w:ind w:right="-334" w:firstLine="360"/>
        <w:rPr>
          <w:rFonts w:hint="eastAsia" w:ascii="宋体" w:hAnsi="宋体"/>
          <w:bCs/>
          <w:color w:val="auto"/>
          <w:sz w:val="24"/>
          <w:szCs w:val="24"/>
          <w:highlight w:val="none"/>
        </w:rPr>
      </w:pPr>
      <w:r>
        <w:rPr>
          <w:rFonts w:hint="eastAsia" w:ascii="宋体" w:hAnsi="宋体"/>
          <w:bCs/>
          <w:color w:val="auto"/>
          <w:sz w:val="24"/>
          <w:szCs w:val="24"/>
          <w:highlight w:val="none"/>
        </w:rPr>
        <w:t>1.1《施工</w:t>
      </w:r>
      <w:r>
        <w:rPr>
          <w:rFonts w:hint="eastAsia" w:ascii="宋体" w:hAnsi="宋体"/>
          <w:bCs/>
          <w:color w:val="auto"/>
          <w:sz w:val="24"/>
          <w:szCs w:val="24"/>
          <w:highlight w:val="none"/>
          <w:lang w:val="en-US" w:eastAsia="zh-CN"/>
        </w:rPr>
        <w:t>方案</w:t>
      </w:r>
      <w:r>
        <w:rPr>
          <w:rFonts w:hint="eastAsia" w:ascii="宋体" w:hAnsi="宋体"/>
          <w:bCs/>
          <w:color w:val="auto"/>
          <w:sz w:val="24"/>
          <w:szCs w:val="24"/>
          <w:highlight w:val="none"/>
        </w:rPr>
        <w:t>》（要求见</w:t>
      </w:r>
      <w:r>
        <w:rPr>
          <w:rFonts w:hint="eastAsia" w:ascii="宋体" w:hAnsi="宋体"/>
          <w:color w:val="auto"/>
          <w:sz w:val="24"/>
          <w:szCs w:val="24"/>
          <w:highlight w:val="none"/>
        </w:rPr>
        <w:t>《磋商文件》附件2、</w:t>
      </w:r>
      <w:r>
        <w:rPr>
          <w:rFonts w:hint="eastAsia" w:ascii="宋体" w:hAnsi="宋体"/>
          <w:bCs/>
          <w:color w:val="auto"/>
          <w:sz w:val="24"/>
          <w:szCs w:val="24"/>
          <w:highlight w:val="none"/>
        </w:rPr>
        <w:t>《项目要求（采购需求）》及</w:t>
      </w:r>
      <w:r>
        <w:rPr>
          <w:rFonts w:hint="eastAsia" w:ascii="宋体" w:hAnsi="宋体"/>
          <w:color w:val="auto"/>
          <w:sz w:val="24"/>
          <w:szCs w:val="24"/>
          <w:highlight w:val="none"/>
        </w:rPr>
        <w:t>附件1、</w:t>
      </w:r>
      <w:r>
        <w:rPr>
          <w:rFonts w:hint="eastAsia" w:ascii="宋体" w:hAnsi="宋体"/>
          <w:bCs/>
          <w:color w:val="auto"/>
          <w:sz w:val="24"/>
          <w:szCs w:val="24"/>
          <w:highlight w:val="none"/>
        </w:rPr>
        <w:t>《评分细则》）；</w:t>
      </w:r>
    </w:p>
    <w:p>
      <w:pPr>
        <w:pStyle w:val="26"/>
        <w:spacing w:line="360" w:lineRule="auto"/>
        <w:ind w:right="-334" w:firstLine="360"/>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1.2评分细则中评分得分需提供的相关证明文件扫描件或供应商认为需要提供的其他资料扫描件。</w:t>
      </w:r>
    </w:p>
    <w:p>
      <w:pPr>
        <w:pStyle w:val="26"/>
        <w:spacing w:line="360" w:lineRule="auto"/>
        <w:ind w:firstLine="480"/>
        <w:rPr>
          <w:rFonts w:ascii="宋体" w:hAnsi="宋体"/>
          <w:b/>
          <w:bCs/>
          <w:color w:val="auto"/>
          <w:sz w:val="24"/>
          <w:szCs w:val="24"/>
          <w:highlight w:val="none"/>
        </w:rPr>
      </w:pPr>
      <w:r>
        <w:rPr>
          <w:rFonts w:hint="eastAsia" w:ascii="宋体" w:hAnsi="宋体"/>
          <w:b/>
          <w:bCs/>
          <w:color w:val="auto"/>
          <w:sz w:val="24"/>
          <w:szCs w:val="24"/>
          <w:highlight w:val="none"/>
        </w:rPr>
        <w:t>2、商务部分</w:t>
      </w:r>
    </w:p>
    <w:p>
      <w:pPr>
        <w:pStyle w:val="26"/>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2.1供应商业绩（要求见《磋商文件》附件1、《评分细则》）；</w:t>
      </w:r>
    </w:p>
    <w:p>
      <w:pPr>
        <w:pStyle w:val="26"/>
        <w:spacing w:line="360" w:lineRule="auto"/>
        <w:ind w:firstLine="480"/>
        <w:rPr>
          <w:rFonts w:hint="eastAsia" w:ascii="宋体" w:hAnsi="宋体"/>
          <w:color w:val="auto"/>
          <w:sz w:val="24"/>
          <w:szCs w:val="24"/>
          <w:highlight w:val="none"/>
        </w:rPr>
      </w:pPr>
      <w:r>
        <w:rPr>
          <w:rFonts w:hint="eastAsia" w:ascii="宋体" w:hAnsi="宋体"/>
          <w:color w:val="auto"/>
          <w:sz w:val="24"/>
          <w:szCs w:val="24"/>
          <w:highlight w:val="none"/>
        </w:rPr>
        <w:t>2.2人员配置（要求见《磋商文件》附件1、《评分细则》）；</w:t>
      </w:r>
    </w:p>
    <w:p>
      <w:pPr>
        <w:pStyle w:val="69"/>
      </w:pPr>
      <w:r>
        <w:rPr>
          <w:rFonts w:hint="eastAsia" w:ascii="宋体" w:hAnsi="宋体"/>
          <w:color w:val="auto"/>
          <w:sz w:val="24"/>
          <w:szCs w:val="24"/>
          <w:highlight w:val="none"/>
        </w:rPr>
        <w:t>2.3综合实力（要求见《磋商文件》附件1、《评分细则》）；</w:t>
      </w:r>
    </w:p>
    <w:p>
      <w:pPr>
        <w:pStyle w:val="26"/>
        <w:spacing w:line="360" w:lineRule="auto"/>
        <w:ind w:firstLine="0"/>
        <w:rPr>
          <w:rFonts w:ascii="宋体" w:hAnsi="宋体"/>
          <w:b w:val="0"/>
          <w:bCs w:val="0"/>
          <w:color w:val="auto"/>
          <w:sz w:val="24"/>
          <w:szCs w:val="24"/>
          <w:highlight w:val="none"/>
        </w:rPr>
      </w:pPr>
      <w:r>
        <w:rPr>
          <w:rFonts w:hint="eastAsia" w:ascii="宋体" w:hAnsi="宋体"/>
          <w:b w:val="0"/>
          <w:bCs w:val="0"/>
          <w:color w:val="auto"/>
          <w:sz w:val="24"/>
          <w:szCs w:val="24"/>
          <w:highlight w:val="none"/>
        </w:rPr>
        <w:t xml:space="preserve">    2.4</w:t>
      </w:r>
      <w:r>
        <w:rPr>
          <w:rFonts w:ascii="宋体" w:hAnsi="宋体"/>
          <w:b w:val="0"/>
          <w:bCs w:val="0"/>
          <w:color w:val="auto"/>
          <w:sz w:val="24"/>
          <w:szCs w:val="24"/>
          <w:highlight w:val="none"/>
        </w:rPr>
        <w:t>评分细则中评分得分需提供的相关证明文件原件扫描件或供应商认为需要提供的其他资料扫描件。</w:t>
      </w:r>
    </w:p>
    <w:p>
      <w:pPr>
        <w:pStyle w:val="19"/>
        <w:spacing w:line="360" w:lineRule="auto"/>
        <w:rPr>
          <w:rFonts w:eastAsia="宋体"/>
          <w:b/>
          <w:color w:val="auto"/>
          <w:highlight w:val="none"/>
        </w:rPr>
      </w:pPr>
      <w:r>
        <w:rPr>
          <w:rFonts w:eastAsia="宋体"/>
          <w:b/>
          <w:color w:val="auto"/>
          <w:highlight w:val="none"/>
        </w:rPr>
        <w:t>（五）价格折扣文件格式</w:t>
      </w:r>
    </w:p>
    <w:p>
      <w:pPr>
        <w:pStyle w:val="19"/>
        <w:spacing w:line="360" w:lineRule="auto"/>
        <w:ind w:firstLine="482"/>
        <w:rPr>
          <w:rFonts w:eastAsia="宋体"/>
          <w:b w:val="0"/>
          <w:bCs/>
          <w:color w:val="auto"/>
          <w:highlight w:val="none"/>
        </w:rPr>
      </w:pPr>
      <w:r>
        <w:rPr>
          <w:rFonts w:eastAsia="宋体"/>
          <w:b w:val="0"/>
          <w:bCs/>
          <w:color w:val="auto"/>
          <w:highlight w:val="none"/>
        </w:rPr>
        <w:t>1、企业报价折扣证明：</w:t>
      </w:r>
      <w:r>
        <w:rPr>
          <w:rFonts w:hint="eastAsia" w:eastAsia="宋体"/>
          <w:b w:val="0"/>
          <w:bCs/>
          <w:color w:val="auto"/>
          <w:highlight w:val="none"/>
        </w:rPr>
        <w:t>无。</w:t>
      </w:r>
    </w:p>
    <w:p>
      <w:pPr>
        <w:pStyle w:val="19"/>
        <w:spacing w:line="360" w:lineRule="auto"/>
        <w:rPr>
          <w:rFonts w:eastAsia="宋体"/>
          <w:b/>
          <w:bCs/>
          <w:color w:val="auto"/>
          <w:highlight w:val="none"/>
        </w:rPr>
      </w:pPr>
      <w:r>
        <w:rPr>
          <w:rFonts w:eastAsia="宋体"/>
          <w:b/>
          <w:bCs/>
          <w:color w:val="auto"/>
          <w:highlight w:val="none"/>
        </w:rPr>
        <w:t>（六）提交的首次响应文件的加密</w:t>
      </w:r>
      <w:r>
        <w:rPr>
          <w:rFonts w:hint="eastAsia" w:eastAsia="宋体"/>
          <w:b/>
          <w:bCs/>
          <w:color w:val="auto"/>
          <w:highlight w:val="none"/>
        </w:rPr>
        <w:t>、</w:t>
      </w:r>
      <w:r>
        <w:rPr>
          <w:rFonts w:eastAsia="宋体"/>
          <w:b/>
          <w:bCs/>
          <w:color w:val="auto"/>
          <w:highlight w:val="none"/>
        </w:rPr>
        <w:t>签署、盖章要求：</w:t>
      </w:r>
    </w:p>
    <w:p>
      <w:pPr>
        <w:pStyle w:val="19"/>
        <w:spacing w:line="360" w:lineRule="auto"/>
        <w:ind w:firstLine="480"/>
        <w:rPr>
          <w:rFonts w:eastAsia="宋体"/>
          <w:color w:val="auto"/>
          <w:highlight w:val="none"/>
        </w:rPr>
      </w:pPr>
      <w:r>
        <w:rPr>
          <w:rFonts w:eastAsia="宋体"/>
          <w:color w:val="auto"/>
          <w:highlight w:val="none"/>
        </w:rPr>
        <w:t>1、加密要求：</w:t>
      </w:r>
    </w:p>
    <w:p>
      <w:pPr>
        <w:pStyle w:val="19"/>
        <w:ind w:firstLine="480"/>
        <w:rPr>
          <w:rFonts w:eastAsia="宋体"/>
          <w:color w:val="auto"/>
          <w:highlight w:val="none"/>
        </w:rPr>
      </w:pPr>
      <w:r>
        <w:rPr>
          <w:rFonts w:eastAsia="宋体"/>
          <w:color w:val="auto"/>
          <w:highlight w:val="none"/>
        </w:rPr>
        <w:t>供应商应当按照《磋商文件》和“苏采云”系统的要求编制并加密响应文件。本项目供应商须通过“苏采云”系统提供的政府采购客户端工具（使用“CA数字证书”）对其数据电文形式的响应文件加密。</w:t>
      </w:r>
    </w:p>
    <w:p>
      <w:pPr>
        <w:pStyle w:val="19"/>
        <w:ind w:firstLine="480"/>
        <w:rPr>
          <w:rFonts w:eastAsia="宋体"/>
          <w:color w:val="auto"/>
          <w:highlight w:val="none"/>
        </w:rPr>
      </w:pPr>
      <w:r>
        <w:rPr>
          <w:rFonts w:eastAsia="宋体"/>
          <w:color w:val="auto"/>
          <w:highlight w:val="none"/>
        </w:rPr>
        <w:t>2、签署要求：</w:t>
      </w:r>
      <w:r>
        <w:rPr>
          <w:rFonts w:hint="eastAsia" w:eastAsia="宋体"/>
          <w:b/>
          <w:bCs/>
          <w:color w:val="auto"/>
          <w:highlight w:val="none"/>
        </w:rPr>
        <w:t>特别提醒：竞争性磋商文件中如需“授权代表签字或盖章”，供应商可打印成文档，签字或盖章后再扫描上传，最后再电子签章</w:t>
      </w:r>
      <w:r>
        <w:rPr>
          <w:rFonts w:hint="eastAsia"/>
          <w:b/>
          <w:bCs/>
          <w:color w:val="auto"/>
          <w:highlight w:val="none"/>
        </w:rPr>
        <w:t>。</w:t>
      </w:r>
      <w:r>
        <w:rPr>
          <w:rFonts w:eastAsia="宋体"/>
          <w:color w:val="auto"/>
          <w:highlight w:val="none"/>
        </w:rPr>
        <w:t>见《磋商文件》附件中相关格式要求。</w:t>
      </w:r>
    </w:p>
    <w:p>
      <w:pPr>
        <w:pStyle w:val="19"/>
        <w:ind w:firstLine="480"/>
        <w:rPr>
          <w:rFonts w:eastAsia="宋体"/>
          <w:color w:val="auto"/>
          <w:highlight w:val="none"/>
        </w:rPr>
      </w:pPr>
      <w:r>
        <w:rPr>
          <w:rFonts w:eastAsia="宋体"/>
          <w:color w:val="auto"/>
          <w:highlight w:val="none"/>
        </w:rPr>
        <w:t>3、盖章要求：见《磋商文件》附件中相关格式要求。供应商须通过“苏采云”系统提供的政府采购客户端工具（使用“CA数字证书”）加盖电子签章。</w:t>
      </w:r>
    </w:p>
    <w:p>
      <w:pPr>
        <w:pStyle w:val="19"/>
        <w:rPr>
          <w:rFonts w:eastAsia="宋体"/>
          <w:b/>
          <w:bCs/>
          <w:color w:val="auto"/>
          <w:highlight w:val="none"/>
        </w:rPr>
      </w:pPr>
      <w:r>
        <w:rPr>
          <w:rFonts w:eastAsia="宋体"/>
          <w:b/>
          <w:bCs/>
          <w:color w:val="auto"/>
          <w:highlight w:val="none"/>
        </w:rPr>
        <w:t>（七）通过“苏采云”系统提交政府采购客户端工具导出加密的响应文件（后缀名为zip）。响应文件不得超过</w:t>
      </w:r>
      <w:r>
        <w:rPr>
          <w:rFonts w:hint="eastAsia" w:eastAsia="宋体"/>
          <w:b/>
          <w:bCs/>
          <w:color w:val="auto"/>
          <w:highlight w:val="none"/>
        </w:rPr>
        <w:t>1</w:t>
      </w:r>
      <w:r>
        <w:rPr>
          <w:rFonts w:eastAsia="宋体"/>
          <w:b/>
          <w:bCs/>
          <w:color w:val="auto"/>
          <w:highlight w:val="none"/>
        </w:rPr>
        <w:t>50M！</w:t>
      </w:r>
    </w:p>
    <w:p>
      <w:pPr>
        <w:pStyle w:val="19"/>
        <w:ind w:firstLine="497"/>
        <w:rPr>
          <w:rFonts w:eastAsia="宋体"/>
          <w:color w:val="auto"/>
          <w:highlight w:val="none"/>
        </w:rPr>
      </w:pPr>
      <w:r>
        <w:rPr>
          <w:rFonts w:eastAsia="宋体"/>
          <w:color w:val="auto"/>
          <w:highlight w:val="none"/>
        </w:rPr>
        <w:t>注：1、供应商应当按照《磋商文件》的要求编制响应文件，并对其提交的响应文件的真实性、合法性承担法律责任。</w:t>
      </w:r>
    </w:p>
    <w:p>
      <w:pPr>
        <w:widowControl/>
        <w:spacing w:line="360" w:lineRule="auto"/>
        <w:ind w:firstLine="480"/>
        <w:outlineLvl w:val="2"/>
        <w:rPr>
          <w:rFonts w:hint="eastAsia"/>
          <w:color w:val="auto"/>
          <w:highlight w:val="none"/>
        </w:rPr>
      </w:pPr>
      <w:r>
        <w:rPr>
          <w:rFonts w:ascii="宋体" w:hAnsi="宋体"/>
          <w:color w:val="auto"/>
          <w:sz w:val="24"/>
          <w:highlight w:val="none"/>
        </w:rPr>
        <w:t>2、采购人索取成交供应商的响应文件，须在双方签订政府采购合同后，由采购代理机构提供给采购人。</w:t>
      </w:r>
    </w:p>
    <w:p>
      <w:pPr>
        <w:spacing w:line="360" w:lineRule="auto"/>
        <w:jc w:val="center"/>
        <w:rPr>
          <w:rFonts w:hint="eastAsia" w:ascii="宋体" w:hAnsi="宋体" w:cs="宋体"/>
          <w:b/>
          <w:bCs/>
          <w:color w:val="auto"/>
          <w:sz w:val="28"/>
          <w:szCs w:val="28"/>
          <w:highlight w:val="none"/>
        </w:rPr>
      </w:pP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8"/>
          <w:szCs w:val="28"/>
          <w:highlight w:val="none"/>
        </w:rPr>
        <w:t>第四章 磋商相关说明</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十四、磋商程序</w:t>
      </w:r>
    </w:p>
    <w:p>
      <w:pPr>
        <w:pStyle w:val="22"/>
        <w:spacing w:line="360" w:lineRule="auto"/>
        <w:ind w:firstLine="480"/>
        <w:rPr>
          <w:rFonts w:hint="eastAsia" w:ascii="宋体" w:hAnsi="宋体"/>
          <w:b/>
          <w:color w:val="auto"/>
          <w:highlight w:val="none"/>
        </w:rPr>
      </w:pPr>
      <w:r>
        <w:rPr>
          <w:rFonts w:hint="eastAsia" w:ascii="宋体" w:hAnsi="宋体"/>
          <w:b/>
          <w:color w:val="auto"/>
          <w:highlight w:val="none"/>
          <w:lang w:val="en-US" w:eastAsia="zh-CN"/>
        </w:rPr>
        <w:t>1、</w:t>
      </w:r>
      <w:r>
        <w:rPr>
          <w:rFonts w:ascii="宋体" w:hAnsi="宋体"/>
          <w:b/>
          <w:color w:val="auto"/>
          <w:highlight w:val="none"/>
        </w:rPr>
        <w:t>磋商方式：</w:t>
      </w:r>
      <w:r>
        <w:rPr>
          <w:rFonts w:hint="eastAsia" w:ascii="宋体" w:hAnsi="宋体"/>
          <w:b/>
          <w:color w:val="auto"/>
          <w:highlight w:val="none"/>
        </w:rPr>
        <w:t>本次磋商采用“苏采云”系统中的视频会议，供应商自行选择任意地点参加远程磋商会议。请供应商在磋商前等候在开标大厅，随时接听磋商小组发出的磋商视频邀请</w:t>
      </w:r>
      <w:r>
        <w:rPr>
          <w:rFonts w:hint="eastAsia" w:ascii="宋体" w:hAnsi="宋体" w:cs="宋体"/>
          <w:b/>
          <w:color w:val="auto"/>
          <w:highlight w:val="none"/>
        </w:rPr>
        <w:t>（所有邀请等待时间2分钟，2分钟内所邀请供应商无响应，视同放弃磋商的权利，按解密顺序由下一家进行磋商，不再后补）。</w:t>
      </w:r>
    </w:p>
    <w:p>
      <w:pPr>
        <w:pStyle w:val="19"/>
        <w:ind w:firstLine="480"/>
        <w:rPr>
          <w:rFonts w:hint="eastAsia" w:eastAsia="宋体"/>
          <w:color w:val="auto"/>
          <w:highlight w:val="none"/>
        </w:rPr>
      </w:pPr>
      <w:r>
        <w:rPr>
          <w:rFonts w:hint="eastAsia" w:eastAsia="宋体"/>
          <w:color w:val="auto"/>
          <w:highlight w:val="none"/>
          <w:lang w:val="en-US" w:eastAsia="zh-CN"/>
        </w:rPr>
        <w:t>2、</w:t>
      </w:r>
      <w:r>
        <w:rPr>
          <w:rFonts w:hint="eastAsia" w:eastAsia="宋体"/>
          <w:color w:val="auto"/>
          <w:highlight w:val="none"/>
        </w:rPr>
        <w:t>未在规定时间内进行答疑澄清的，视同放弃澄清。</w:t>
      </w:r>
    </w:p>
    <w:p>
      <w:pPr>
        <w:pStyle w:val="19"/>
        <w:ind w:firstLine="480"/>
        <w:rPr>
          <w:rFonts w:hint="eastAsia" w:eastAsia="宋体"/>
          <w:b/>
          <w:bCs/>
          <w:color w:val="auto"/>
          <w:highlight w:val="none"/>
        </w:rPr>
      </w:pPr>
      <w:r>
        <w:rPr>
          <w:rFonts w:hint="eastAsia" w:eastAsia="宋体"/>
          <w:b/>
          <w:bCs/>
          <w:color w:val="auto"/>
          <w:highlight w:val="none"/>
          <w:lang w:val="en-US" w:eastAsia="zh-CN"/>
        </w:rPr>
        <w:t>3、</w:t>
      </w:r>
      <w:r>
        <w:rPr>
          <w:rFonts w:hint="eastAsia" w:eastAsia="宋体"/>
          <w:b/>
          <w:bCs/>
          <w:color w:val="auto"/>
          <w:highlight w:val="none"/>
        </w:rPr>
        <w:t>未在规定时间内进行报价的，视为响应无效。</w:t>
      </w:r>
    </w:p>
    <w:p>
      <w:pPr>
        <w:pStyle w:val="19"/>
        <w:ind w:firstLine="480"/>
        <w:rPr>
          <w:rFonts w:hint="eastAsia"/>
        </w:rPr>
      </w:pPr>
      <w:r>
        <w:rPr>
          <w:rFonts w:hint="eastAsia" w:eastAsia="宋体" w:cs="宋体"/>
          <w:b/>
          <w:bCs/>
          <w:color w:val="auto"/>
          <w:highlight w:val="none"/>
        </w:rPr>
        <w:t>注：各供应商在未进行第二次报价前，请不要离开开标系统，随时接受评标委员会提出的二次报价，因供应商未能及时二次报价而引起的废标及损失，由供应商负责。</w:t>
      </w:r>
    </w:p>
    <w:p>
      <w:pPr>
        <w:pStyle w:val="19"/>
        <w:ind w:firstLine="480"/>
        <w:rPr>
          <w:rFonts w:eastAsia="宋体"/>
          <w:color w:val="auto"/>
          <w:highlight w:val="none"/>
        </w:rPr>
      </w:pPr>
      <w:r>
        <w:rPr>
          <w:rFonts w:hint="eastAsia" w:eastAsia="宋体"/>
          <w:color w:val="auto"/>
          <w:highlight w:val="none"/>
          <w:lang w:val="en-US" w:eastAsia="zh-CN"/>
        </w:rPr>
        <w:t>4、</w:t>
      </w:r>
      <w:r>
        <w:rPr>
          <w:rFonts w:eastAsia="宋体"/>
          <w:color w:val="auto"/>
          <w:highlight w:val="none"/>
        </w:rPr>
        <w:t>被邀请参与磋商的供应商如未按上述磋商要求执行，视同放弃磋商的权利。</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十五、评审程序</w:t>
      </w:r>
    </w:p>
    <w:p>
      <w:pPr>
        <w:pStyle w:val="19"/>
        <w:ind w:firstLine="480"/>
        <w:rPr>
          <w:rFonts w:eastAsia="宋体" w:cs="Times New Roman"/>
          <w:color w:val="auto"/>
          <w:highlight w:val="none"/>
        </w:rPr>
      </w:pPr>
      <w:r>
        <w:rPr>
          <w:rFonts w:hint="eastAsia" w:eastAsia="宋体" w:cs="Times New Roman"/>
          <w:color w:val="auto"/>
          <w:highlight w:val="none"/>
        </w:rPr>
        <w:t>磋商评审小组的组建：采购人组建</w:t>
      </w:r>
      <w:r>
        <w:rPr>
          <w:rFonts w:hint="eastAsia" w:eastAsia="宋体" w:cs="Times New Roman"/>
          <w:color w:val="auto"/>
          <w:highlight w:val="none"/>
        </w:rPr>
        <w:t>。</w:t>
      </w:r>
      <w:bookmarkStart w:id="294" w:name="_GoBack"/>
      <w:bookmarkEnd w:id="294"/>
      <w:r>
        <w:rPr>
          <w:rFonts w:hint="eastAsia" w:eastAsia="宋体" w:cs="Times New Roman"/>
          <w:color w:val="auto"/>
          <w:highlight w:val="none"/>
        </w:rPr>
        <w:t>磋商小组成员构成：3人。磋商小组确定方式：由采购人评委和政府采购专家（从《江苏省政府采购专家库》随机抽取）组成。</w:t>
      </w:r>
    </w:p>
    <w:p>
      <w:pPr>
        <w:pStyle w:val="19"/>
        <w:ind w:firstLine="480"/>
        <w:rPr>
          <w:rFonts w:eastAsia="宋体"/>
          <w:color w:val="auto"/>
          <w:highlight w:val="none"/>
        </w:rPr>
      </w:pPr>
      <w:r>
        <w:rPr>
          <w:rFonts w:eastAsia="宋体"/>
          <w:color w:val="auto"/>
          <w:highlight w:val="none"/>
        </w:rPr>
        <w:t>经磋商确定最终采购需求和提交最后报价的供应商后，由磋商小组采用综合评分法对提交最后报价的供应商的响应文件和最后报价进行综合评分。</w:t>
      </w:r>
    </w:p>
    <w:p>
      <w:pPr>
        <w:pStyle w:val="19"/>
        <w:ind w:firstLine="480"/>
        <w:rPr>
          <w:rFonts w:hint="eastAsia" w:eastAsia="宋体"/>
          <w:color w:val="auto"/>
          <w:highlight w:val="none"/>
        </w:rPr>
      </w:pPr>
      <w:r>
        <w:rPr>
          <w:rFonts w:hint="eastAsia" w:eastAsia="宋体"/>
          <w:color w:val="auto"/>
          <w:highlight w:val="none"/>
        </w:rPr>
        <w:t>磋商小组在阅读完所有磋商供应商的响应文件后，集中与单一供应商代表分别就技术参数等技术问题及价格和售后服务等内容进行磋商。</w:t>
      </w:r>
    </w:p>
    <w:p>
      <w:pPr>
        <w:pStyle w:val="19"/>
        <w:ind w:firstLine="480"/>
        <w:rPr>
          <w:rFonts w:hint="eastAsia" w:eastAsia="宋体"/>
          <w:color w:val="auto"/>
          <w:highlight w:val="none"/>
        </w:rPr>
      </w:pPr>
      <w:r>
        <w:rPr>
          <w:rFonts w:hint="eastAsia" w:eastAsia="宋体"/>
          <w:color w:val="auto"/>
          <w:highlight w:val="none"/>
        </w:rPr>
        <w:t xml:space="preserve"> 磋商结束后，磋商小组应当要求所有参加磋商的供应商在规定时间内进行最后报价。供应商可按照磋商小组的要求在磋商现场（</w:t>
      </w:r>
      <w:r>
        <w:rPr>
          <w:rFonts w:hint="eastAsia" w:eastAsia="宋体"/>
          <w:b/>
          <w:bCs/>
          <w:color w:val="auto"/>
          <w:highlight w:val="none"/>
        </w:rPr>
        <w:t>即“苏采云”系统</w:t>
      </w:r>
      <w:r>
        <w:rPr>
          <w:rFonts w:hint="eastAsia" w:eastAsia="宋体"/>
          <w:b/>
          <w:bCs/>
          <w:color w:val="auto"/>
          <w:szCs w:val="24"/>
          <w:highlight w:val="none"/>
        </w:rPr>
        <w:t>开标大厅</w:t>
      </w:r>
      <w:r>
        <w:rPr>
          <w:rFonts w:hint="eastAsia" w:eastAsia="宋体"/>
          <w:b/>
          <w:bCs/>
          <w:color w:val="auto"/>
          <w:highlight w:val="none"/>
        </w:rPr>
        <w:t>中</w:t>
      </w:r>
      <w:r>
        <w:rPr>
          <w:rFonts w:hint="eastAsia" w:eastAsia="宋体"/>
          <w:color w:val="auto"/>
          <w:highlight w:val="none"/>
        </w:rPr>
        <w:t>）进行报价，首轮报价不公开，本项目二次报价为最终报价。</w:t>
      </w:r>
    </w:p>
    <w:p>
      <w:pPr>
        <w:pStyle w:val="19"/>
        <w:ind w:firstLine="480"/>
        <w:rPr>
          <w:rFonts w:eastAsia="宋体"/>
          <w:color w:val="auto"/>
          <w:highlight w:val="none"/>
        </w:rPr>
      </w:pPr>
      <w:r>
        <w:rPr>
          <w:rFonts w:eastAsia="宋体"/>
          <w:color w:val="auto"/>
          <w:highlight w:val="none"/>
        </w:rPr>
        <w:t>磋商小组应当根据综合评分情况，按照评审得分由高到低顺序推荐</w:t>
      </w:r>
      <w:r>
        <w:rPr>
          <w:rFonts w:hint="eastAsia" w:eastAsia="宋体"/>
          <w:color w:val="auto"/>
          <w:highlight w:val="none"/>
        </w:rPr>
        <w:t>1名</w:t>
      </w:r>
      <w:r>
        <w:rPr>
          <w:rFonts w:eastAsia="宋体"/>
          <w:color w:val="auto"/>
          <w:highlight w:val="none"/>
        </w:rPr>
        <w:t>成交候选供应商，并编写评审报告。评审得分相同的，按照最后报价由低到高的顺序推荐。评审得分且最后报价相同的，按照</w:t>
      </w:r>
      <w:r>
        <w:rPr>
          <w:rFonts w:hint="eastAsia" w:eastAsia="宋体"/>
          <w:b/>
          <w:bCs/>
          <w:color w:val="auto"/>
          <w:highlight w:val="none"/>
        </w:rPr>
        <w:t>施工方案优劣</w:t>
      </w:r>
      <w:r>
        <w:rPr>
          <w:rFonts w:hint="eastAsia" w:eastAsia="宋体"/>
          <w:color w:val="auto"/>
          <w:highlight w:val="none"/>
        </w:rPr>
        <w:t>（得分）</w:t>
      </w:r>
      <w:r>
        <w:rPr>
          <w:rFonts w:eastAsia="宋体"/>
          <w:color w:val="auto"/>
          <w:highlight w:val="none"/>
        </w:rPr>
        <w:t>顺序推荐。</w:t>
      </w:r>
    </w:p>
    <w:p>
      <w:pPr>
        <w:pStyle w:val="19"/>
        <w:ind w:firstLine="480"/>
        <w:rPr>
          <w:rFonts w:eastAsia="宋体"/>
          <w:color w:val="auto"/>
          <w:highlight w:val="none"/>
        </w:rPr>
      </w:pPr>
      <w:r>
        <w:rPr>
          <w:rFonts w:eastAsia="宋体"/>
          <w:color w:val="auto"/>
          <w:highlight w:val="none"/>
        </w:rPr>
        <w:t>磋商小组认为供应商的报价明显低于其他供应商的报价，有可能影响产品质量或者不能诚信履约的，应当要求其在评审现场合理的时间内提供书面说明，必要时提交相关证明材料；供应商不能证明其报价合理性的，磋商小组应当将其按响应无效处理。</w:t>
      </w:r>
    </w:p>
    <w:p>
      <w:pPr>
        <w:pStyle w:val="19"/>
        <w:ind w:firstLine="480"/>
        <w:rPr>
          <w:rFonts w:eastAsia="宋体"/>
          <w:color w:val="auto"/>
          <w:highlight w:val="none"/>
        </w:rPr>
      </w:pPr>
      <w:r>
        <w:rPr>
          <w:rFonts w:hint="eastAsia" w:eastAsia="宋体"/>
          <w:color w:val="auto"/>
          <w:highlight w:val="none"/>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360" w:lineRule="auto"/>
        <w:ind w:right="29" w:firstLine="480"/>
        <w:rPr>
          <w:rFonts w:hint="eastAsia" w:ascii="宋体" w:hAnsi="宋体" w:cs="宋体"/>
          <w:color w:val="auto"/>
          <w:sz w:val="24"/>
          <w:highlight w:val="none"/>
        </w:rPr>
      </w:pPr>
      <w:r>
        <w:rPr>
          <w:rFonts w:ascii="宋体" w:hAnsi="宋体"/>
          <w:color w:val="auto"/>
          <w:sz w:val="24"/>
          <w:highlight w:val="none"/>
        </w:rPr>
        <w:t>相关内容和要求见：</w:t>
      </w:r>
      <w:r>
        <w:rPr>
          <w:rFonts w:hint="eastAsia" w:ascii="宋体" w:hAnsi="宋体"/>
          <w:color w:val="auto"/>
          <w:sz w:val="24"/>
          <w:highlight w:val="none"/>
        </w:rPr>
        <w:t>《中华人民共和国政府采购法》、《中华人民共和国政府采购法实施条例》、《政府采购竞争性磋商采购方式管理暂行办法》及《财政部关于政府采购竞争性磋商采购方式管理暂行办法有关问题的补充通知》（财库〔2015〕124号）。</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十六、评审方法和评审标准</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1、评审方法：综合评分法</w:t>
      </w:r>
    </w:p>
    <w:p>
      <w:pPr>
        <w:spacing w:line="360" w:lineRule="auto"/>
        <w:ind w:left="2" w:right="29" w:firstLine="480"/>
        <w:rPr>
          <w:rFonts w:hint="eastAsia" w:ascii="宋体" w:hAnsi="宋体" w:cs="宋体"/>
          <w:color w:val="auto"/>
          <w:sz w:val="24"/>
          <w:highlight w:val="none"/>
        </w:rPr>
      </w:pPr>
      <w:r>
        <w:rPr>
          <w:rFonts w:hint="eastAsia" w:ascii="宋体" w:hAnsi="宋体" w:cs="宋体"/>
          <w:color w:val="auto"/>
          <w:sz w:val="24"/>
          <w:highlight w:val="none"/>
        </w:rPr>
        <w:t>2、评审标准：详见《磋商文件》附件1、《评分细则》</w:t>
      </w:r>
    </w:p>
    <w:p>
      <w:pPr>
        <w:spacing w:line="360" w:lineRule="auto"/>
        <w:ind w:firstLine="480"/>
        <w:rPr>
          <w:rFonts w:hint="eastAsia" w:ascii="宋体" w:hAnsi="宋体" w:cs="宋体"/>
          <w:b/>
          <w:bCs/>
          <w:color w:val="auto"/>
          <w:sz w:val="24"/>
          <w:highlight w:val="none"/>
        </w:rPr>
      </w:pPr>
      <w:r>
        <w:rPr>
          <w:rFonts w:hint="eastAsia" w:ascii="宋体" w:hAnsi="宋体" w:cs="宋体"/>
          <w:b/>
          <w:bCs/>
          <w:color w:val="auto"/>
          <w:sz w:val="24"/>
          <w:highlight w:val="none"/>
        </w:rPr>
        <w:t>十七、有下列情形之一的，其响应无效：</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1、电子响应文件未按规定期限提交的；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2、电子响应文件未按磋商文件要求签章的；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3、供应商未在规定时间内解密电子响应文件的；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4、供应商的法定代表人授权代表，无法定代表人授权委托书的；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5、不具备磋商文件中规定的资格要求或未按磋商文件规定的要求提供资格、资信证明文件的；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6、被列入“信用中国”网站（www.creditchina.gov.cn）失信被执行人、重大税收违法案件当事人名单、政府采购严重违法失信行为记录名单的；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7、响应文件未按磋商文件规定的内容和要求填写的；没有在系统指定位置上传对应文件、材料的；</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8、响应文件含有采购人不能接受的附加条件的；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9、不同供应商委托同一单位或者个人办理磋商事宜的；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10、项目磋商报价超过本项目（采购包）预算或最高限价的；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 xml:space="preserve">、响应文件中已标价工程量清单与磋商文件明确列出的不可竞争费用项目或费率或计算基础不一致的； </w:t>
      </w:r>
    </w:p>
    <w:p>
      <w:pPr>
        <w:spacing w:line="360" w:lineRule="auto"/>
        <w:ind w:firstLine="480"/>
        <w:rPr>
          <w:rFonts w:hint="eastAsia" w:ascii="宋体" w:hAnsi="宋体" w:cs="宋体"/>
          <w:b w:val="0"/>
          <w:bCs w:val="0"/>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、响应文件的已标价工程量清单与磋商文件提供的工程量清单中的项目编码、</w:t>
      </w:r>
      <w:r>
        <w:rPr>
          <w:rFonts w:hint="eastAsia" w:ascii="宋体" w:hAnsi="宋体" w:cs="宋体"/>
          <w:b w:val="0"/>
          <w:bCs w:val="0"/>
          <w:color w:val="auto"/>
          <w:sz w:val="24"/>
          <w:highlight w:val="none"/>
        </w:rPr>
        <w:t>项目名称、项目特征、计量单位、工程量不一致的；</w:t>
      </w:r>
    </w:p>
    <w:p>
      <w:pPr>
        <w:spacing w:line="360" w:lineRule="auto"/>
        <w:ind w:firstLine="480"/>
        <w:rPr>
          <w:rFonts w:hint="eastAsia" w:ascii="宋体" w:hAnsi="宋体" w:cs="宋体"/>
          <w:color w:val="auto"/>
          <w:sz w:val="24"/>
          <w:highlight w:val="none"/>
        </w:rPr>
      </w:pPr>
      <w:r>
        <w:rPr>
          <w:rFonts w:hint="eastAsia" w:ascii="宋体" w:hAnsi="宋体" w:cs="宋体"/>
          <w:b w:val="0"/>
          <w:bCs w:val="0"/>
          <w:color w:val="auto"/>
          <w:sz w:val="24"/>
          <w:highlight w:val="none"/>
        </w:rPr>
        <w:t>1</w:t>
      </w:r>
      <w:r>
        <w:rPr>
          <w:rFonts w:hint="eastAsia" w:ascii="宋体" w:hAnsi="宋体" w:cs="宋体"/>
          <w:b w:val="0"/>
          <w:bCs w:val="0"/>
          <w:color w:val="auto"/>
          <w:sz w:val="24"/>
          <w:highlight w:val="none"/>
          <w:lang w:val="en-US" w:eastAsia="zh-CN"/>
        </w:rPr>
        <w:t>3</w:t>
      </w:r>
      <w:r>
        <w:rPr>
          <w:rFonts w:hint="eastAsia" w:ascii="宋体" w:hAnsi="宋体" w:cs="宋体"/>
          <w:b w:val="0"/>
          <w:bCs w:val="0"/>
          <w:color w:val="auto"/>
          <w:sz w:val="24"/>
          <w:highlight w:val="none"/>
        </w:rPr>
        <w:t>、磋商小组认定供应商的报价明显低于其他通过符合性审查供应商的报价，有可能影响产品质量或者不能诚信履约，且供应商不能应磋商小组要求在评审现场合理的时间内提供书面说明（必要时磋商小组可要求供应商提交相关证明材料）证明其报价合理性的；</w:t>
      </w:r>
      <w:r>
        <w:rPr>
          <w:rFonts w:hint="eastAsia" w:ascii="宋体" w:hAnsi="宋体" w:cs="宋体"/>
          <w:color w:val="auto"/>
          <w:sz w:val="24"/>
          <w:highlight w:val="none"/>
        </w:rPr>
        <w:t xml:space="preserve">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 xml:space="preserve">、响应文件内容不全或不符合磋商文件中规定的其它实质性要求的；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、法律法规和磋商文件规定的其它无效情形。</w:t>
      </w:r>
    </w:p>
    <w:p>
      <w:pPr>
        <w:spacing w:line="360" w:lineRule="auto"/>
        <w:ind w:left="2" w:right="29" w:firstLine="480"/>
        <w:rPr>
          <w:rFonts w:hint="eastAsia"/>
          <w:color w:val="auto"/>
          <w:highlight w:val="none"/>
        </w:rPr>
      </w:pPr>
      <w:r>
        <w:rPr>
          <w:rFonts w:hint="eastAsia" w:ascii="宋体" w:hAnsi="宋体" w:cs="宋体"/>
          <w:color w:val="auto"/>
          <w:sz w:val="24"/>
          <w:highlight w:val="none"/>
        </w:rPr>
        <w:t>十八、磋商过程中可能实质性变动的内容：在磋商过程中，磋商小组可以根据《磋商文件》和磋商情况实质性变动采购需求中的技术、服务要求以及合同草案条款。</w:t>
      </w:r>
    </w:p>
    <w:p>
      <w:pPr>
        <w:spacing w:line="360" w:lineRule="auto"/>
        <w:ind w:left="-2" w:right="29"/>
        <w:jc w:val="center"/>
        <w:rPr>
          <w:rFonts w:hint="eastAsia" w:ascii="宋体" w:hAnsi="宋体" w:cs="宋体"/>
          <w:b/>
          <w:bCs/>
          <w:color w:val="auto"/>
          <w:sz w:val="28"/>
          <w:szCs w:val="28"/>
          <w:highlight w:val="none"/>
        </w:rPr>
      </w:pPr>
    </w:p>
    <w:p>
      <w:pPr>
        <w:spacing w:line="360" w:lineRule="auto"/>
        <w:ind w:left="-2" w:right="29"/>
        <w:jc w:val="center"/>
        <w:rPr>
          <w:rFonts w:hint="eastAsia" w:ascii="宋体" w:hAnsi="宋体" w:cs="宋体"/>
          <w:b/>
          <w:bCs/>
          <w:color w:val="auto"/>
          <w:sz w:val="24"/>
          <w:highlight w:val="none"/>
        </w:rPr>
      </w:pPr>
      <w:r>
        <w:rPr>
          <w:rFonts w:hint="eastAsia" w:ascii="宋体" w:hAnsi="宋体" w:cs="宋体"/>
          <w:b/>
          <w:bCs/>
          <w:color w:val="auto"/>
          <w:sz w:val="28"/>
          <w:szCs w:val="28"/>
          <w:highlight w:val="none"/>
        </w:rPr>
        <w:t>第五章 确定成交供应商及合同签订等</w:t>
      </w:r>
    </w:p>
    <w:p>
      <w:pPr>
        <w:spacing w:line="360" w:lineRule="auto"/>
        <w:ind w:left="2" w:right="29" w:firstLine="480"/>
        <w:rPr>
          <w:rFonts w:hint="eastAsia" w:ascii="宋体" w:hAnsi="宋体" w:cs="宋体"/>
          <w:color w:val="auto"/>
          <w:sz w:val="24"/>
          <w:highlight w:val="none"/>
        </w:rPr>
      </w:pPr>
      <w:r>
        <w:rPr>
          <w:rFonts w:hint="eastAsia" w:ascii="宋体" w:hAnsi="宋体" w:cs="宋体"/>
          <w:color w:val="auto"/>
          <w:sz w:val="24"/>
          <w:highlight w:val="none"/>
        </w:rPr>
        <w:t>二十、采购人应当在收到评审报告后5个工作日内，从评审报告提出的成交候选供应商中，按照排序由高到低的原则确定成交供应商。在省级以上财政部门指定的政府采购信息发布媒体上公告成交结果，公告标的的基本概况为成交供应商的《磋商报价表》（最后报价）。</w:t>
      </w:r>
    </w:p>
    <w:p>
      <w:pPr>
        <w:widowControl/>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二十一、采购人与成交供应商应当在成交通知书发出之日起30日内，按照《磋商文件》确定的合同文本以及采购标的、规格型号、采购金额、采购数量、技术和服务要求等事项签订政府采购合同。</w:t>
      </w:r>
    </w:p>
    <w:p>
      <w:pPr>
        <w:widowControl/>
        <w:spacing w:line="360" w:lineRule="auto"/>
        <w:ind w:firstLine="480"/>
        <w:jc w:val="left"/>
        <w:rPr>
          <w:rFonts w:hint="eastAsia"/>
          <w:color w:val="auto"/>
          <w:highlight w:val="none"/>
        </w:rPr>
      </w:pPr>
      <w:r>
        <w:rPr>
          <w:rFonts w:ascii="宋体" w:hAnsi="宋体"/>
          <w:color w:val="auto"/>
          <w:sz w:val="24"/>
          <w:highlight w:val="none"/>
        </w:rPr>
        <w:t>特别说明：按照《政府采购法》及其实施条例以及相关规定，中标或者成交后无正当理由拒不与采购人签订政府采购合同的, 在一至三年内禁止参加政府采购活动，列入政府采购严重违法失信行为记录名单。</w:t>
      </w:r>
    </w:p>
    <w:p>
      <w:pPr>
        <w:widowControl/>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二十二、成交供应商在收到成交通知书时，须向</w:t>
      </w:r>
      <w:r>
        <w:rPr>
          <w:rFonts w:hint="eastAsia" w:ascii="宋体" w:hAnsi="宋体" w:cs="宋体"/>
          <w:color w:val="auto"/>
          <w:sz w:val="24"/>
          <w:highlight w:val="none"/>
          <w:lang w:eastAsia="zh-CN"/>
        </w:rPr>
        <w:t>新沂市建达工程招标代理有限公司</w:t>
      </w:r>
      <w:r>
        <w:rPr>
          <w:rFonts w:hint="eastAsia" w:ascii="宋体" w:hAnsi="宋体" w:cs="宋体"/>
          <w:color w:val="auto"/>
          <w:sz w:val="24"/>
          <w:highlight w:val="none"/>
        </w:rPr>
        <w:t>提交《磋商报价表》（首次响应文件）和《分项价格表》（首次响应文件）的数据文件（WORD格式）。</w:t>
      </w:r>
    </w:p>
    <w:p>
      <w:pPr>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二十三、</w:t>
      </w:r>
      <w:r>
        <w:rPr>
          <w:rFonts w:hint="eastAsia" w:ascii="宋体" w:hAnsi="宋体" w:cs="宋体"/>
          <w:bCs/>
          <w:color w:val="auto"/>
          <w:sz w:val="24"/>
          <w:highlight w:val="none"/>
        </w:rPr>
        <w:t>供应商应对响应文件的合法性、真实性负责。</w:t>
      </w:r>
      <w:r>
        <w:rPr>
          <w:rFonts w:ascii="宋体" w:hAnsi="宋体" w:cs="宋体"/>
          <w:b/>
          <w:bCs/>
          <w:color w:val="auto"/>
          <w:sz w:val="24"/>
          <w:highlight w:val="none"/>
        </w:rPr>
        <w:t>签订合同前，成交供应商必须向采购人提交其响应文件中所有原件扫描件的原件，采购人核查（核对）无误后，签订合同。如成交供应商不能在采购人规定的时间内向采购人提供原件，将被采购人视为放弃中标（成交）资格。</w:t>
      </w:r>
    </w:p>
    <w:p>
      <w:pPr>
        <w:widowControl/>
        <w:spacing w:line="360" w:lineRule="auto"/>
        <w:jc w:val="center"/>
        <w:rPr>
          <w:rFonts w:hint="eastAsia" w:ascii="宋体" w:hAnsi="宋体" w:cs="宋体"/>
          <w:b/>
          <w:bCs/>
          <w:color w:val="auto"/>
          <w:sz w:val="28"/>
          <w:szCs w:val="28"/>
          <w:highlight w:val="none"/>
        </w:rPr>
      </w:pPr>
    </w:p>
    <w:p>
      <w:pPr>
        <w:widowControl/>
        <w:spacing w:line="360" w:lineRule="auto"/>
        <w:jc w:val="center"/>
        <w:rPr>
          <w:rFonts w:hint="eastAsia" w:ascii="宋体" w:hAnsi="宋体" w:cs="宋体"/>
          <w:b/>
          <w:bCs/>
          <w:color w:val="auto"/>
          <w:sz w:val="24"/>
          <w:highlight w:val="none"/>
        </w:rPr>
      </w:pPr>
      <w:r>
        <w:rPr>
          <w:rFonts w:hint="eastAsia" w:ascii="宋体" w:hAnsi="宋体" w:cs="宋体"/>
          <w:b/>
          <w:bCs/>
          <w:color w:val="auto"/>
          <w:sz w:val="28"/>
          <w:szCs w:val="28"/>
          <w:highlight w:val="none"/>
        </w:rPr>
        <w:t>第六章 磋商文件的澄清或者修改</w:t>
      </w:r>
    </w:p>
    <w:p>
      <w:pPr>
        <w:widowControl/>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二十四、《磋商文件》的澄清或者修改</w:t>
      </w:r>
    </w:p>
    <w:p>
      <w:pPr>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提交首次响应文件截止之日（即“首次响应文件提交的截止时间”）前，采购代理机构可以对已发出的《磋商文件》进行必要的澄清或者修改，澄清或者修改的内容作为《磋商文件》的组成部分。澄清或者修改的内容以所发布的本项目的“更正公告”的附件的形式通知所有获取《磋商文件》的供应商。发布本项目的“更正公告”后采购代理机构已尽通知义务。敬请各所有获取《磋商文件》的供应商关注本项目的“更正公告”及附件，否则，将自行承担相应的风险。</w:t>
      </w:r>
    </w:p>
    <w:p>
      <w:pPr>
        <w:spacing w:line="360" w:lineRule="auto"/>
        <w:jc w:val="center"/>
        <w:rPr>
          <w:rFonts w:hint="eastAsia" w:ascii="宋体" w:hAnsi="宋体" w:cs="宋体"/>
          <w:b/>
          <w:bCs/>
          <w:color w:val="auto"/>
          <w:sz w:val="28"/>
          <w:szCs w:val="28"/>
          <w:highlight w:val="none"/>
        </w:rPr>
      </w:pPr>
    </w:p>
    <w:p>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第七章 询问和质疑</w:t>
      </w:r>
    </w:p>
    <w:p>
      <w:pPr>
        <w:widowControl/>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二十五、询问和质疑</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根据采购代理机构与采购人签订的本采购项目的《委托代理协议》，供应商对政府采购活动事项有疑问的，可以向采购人或采购代理机构提出询问；供应商认为采购文件、采购过程、中标或成交结果使自己的权益受到损害的，可以在知道或者应知其权益受到损害之日起七个工作日内，以书面形式向采购人或采购代理机构提出质疑，由采购人或采购代理机构依法处理。</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2、质疑和投诉按《政府采购质疑和投诉办法》执行。</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3、供应商对同一采购程序环节的质疑应在质疑期内一次性提出。</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质疑接收人：</w:t>
      </w:r>
      <w:r>
        <w:rPr>
          <w:rFonts w:hint="eastAsia" w:ascii="宋体" w:hAnsi="宋体" w:cs="宋体"/>
          <w:color w:val="auto"/>
          <w:sz w:val="24"/>
          <w:highlight w:val="none"/>
          <w:lang w:val="en-US" w:eastAsia="zh-CN"/>
        </w:rPr>
        <w:t>张晶晶</w:t>
      </w:r>
      <w:r>
        <w:rPr>
          <w:rFonts w:hint="eastAsia" w:ascii="宋体" w:hAnsi="宋体" w:cs="宋体"/>
          <w:color w:val="auto"/>
          <w:sz w:val="24"/>
          <w:highlight w:val="none"/>
        </w:rPr>
        <w:t xml:space="preserve">       联系电话：</w:t>
      </w:r>
      <w:r>
        <w:rPr>
          <w:rFonts w:hint="eastAsia" w:ascii="宋体" w:hAnsi="宋体" w:cs="宋体"/>
          <w:color w:val="auto"/>
          <w:sz w:val="24"/>
          <w:highlight w:val="none"/>
          <w:lang w:val="en-US" w:eastAsia="zh-CN"/>
        </w:rPr>
        <w:t>15190702127</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新沂市</w:t>
      </w:r>
      <w:r>
        <w:rPr>
          <w:rFonts w:hint="eastAsia" w:ascii="宋体" w:hAnsi="宋体" w:cs="宋体"/>
          <w:color w:val="auto"/>
          <w:sz w:val="24"/>
          <w:highlight w:val="none"/>
          <w:lang w:val="en-US" w:eastAsia="zh-CN"/>
        </w:rPr>
        <w:t>建邺东路18-2-2</w:t>
      </w:r>
    </w:p>
    <w:p>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第八章 其他</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1、代理服务费由成交人向采购代理机构支付，收取标准见附件。</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2、成交结果在徐州政府采购网http://czj.xz.gov.cn/Home/HomeIndex上公布。</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3、采购人：</w:t>
      </w:r>
      <w:r>
        <w:rPr>
          <w:rFonts w:hint="eastAsia" w:ascii="宋体" w:hAnsi="宋体" w:cs="宋体"/>
          <w:color w:val="auto"/>
          <w:sz w:val="24"/>
          <w:highlight w:val="none"/>
          <w:lang w:eastAsia="zh-CN"/>
        </w:rPr>
        <w:t>新沂市窑湾镇人民政府</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val="en-US" w:eastAsia="zh-CN"/>
        </w:rPr>
        <w:t>新沂市窑湾镇人民政府</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outlineLvl w:val="9"/>
        <w:rPr>
          <w:rFonts w:ascii="宋体" w:hAnsi="宋体" w:cs="宋体"/>
          <w:color w:val="auto"/>
          <w:sz w:val="24"/>
          <w:highlight w:val="none"/>
        </w:rPr>
      </w:pPr>
      <w:r>
        <w:rPr>
          <w:rStyle w:val="247"/>
          <w:rFonts w:hint="eastAsia" w:ascii="宋体" w:hAnsi="宋体" w:cs="宋体"/>
          <w:color w:val="auto"/>
          <w:sz w:val="24"/>
          <w:highlight w:val="none"/>
        </w:rPr>
        <w:t>联系人</w:t>
      </w:r>
      <w:r>
        <w:rPr>
          <w:rFonts w:hint="eastAsia" w:ascii="宋体" w:hAnsi="宋体" w:eastAsia="宋体" w:cs="宋体"/>
          <w:color w:val="auto"/>
          <w:sz w:val="24"/>
          <w:highlight w:val="none"/>
          <w:lang w:val="en-US" w:eastAsia="zh-CN"/>
        </w:rPr>
        <w:t xml:space="preserve">：佟万林 </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联系电话：</w:t>
      </w:r>
      <w:r>
        <w:rPr>
          <w:rFonts w:hint="eastAsia" w:ascii="宋体" w:hAnsi="宋体" w:cs="宋体"/>
          <w:color w:val="000000"/>
          <w:sz w:val="24"/>
          <w:lang w:val="en-US" w:eastAsia="zh-CN"/>
        </w:rPr>
        <w:t>19516092750</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rPr>
        <w:t xml:space="preserve"> </w:t>
      </w:r>
    </w:p>
    <w:p>
      <w:pPr>
        <w:pStyle w:val="26"/>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outlineLvl w:val="9"/>
        <w:rPr>
          <w:rStyle w:val="247"/>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4、</w:t>
      </w:r>
      <w:r>
        <w:rPr>
          <w:rStyle w:val="247"/>
          <w:rFonts w:hint="eastAsia" w:ascii="宋体" w:hAnsi="宋体" w:cs="宋体"/>
          <w:color w:val="auto"/>
          <w:sz w:val="24"/>
          <w:highlight w:val="none"/>
        </w:rPr>
        <w:t>采购代理公司：</w:t>
      </w:r>
      <w:r>
        <w:rPr>
          <w:rStyle w:val="247"/>
          <w:rFonts w:hint="eastAsia" w:ascii="宋体" w:hAnsi="宋体" w:cs="宋体"/>
          <w:color w:val="auto"/>
          <w:sz w:val="24"/>
          <w:highlight w:val="none"/>
          <w:lang w:val="en-US" w:eastAsia="zh-CN"/>
        </w:rPr>
        <w:t>江苏元中项目管理有限公司</w:t>
      </w:r>
    </w:p>
    <w:p>
      <w:pPr>
        <w:pStyle w:val="26"/>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outlineLvl w:val="9"/>
        <w:rPr>
          <w:rStyle w:val="247"/>
          <w:rFonts w:hint="eastAsia" w:ascii="宋体" w:hAnsi="宋体" w:cs="宋体"/>
          <w:color w:val="auto"/>
          <w:sz w:val="24"/>
          <w:highlight w:val="none"/>
          <w:lang w:val="en-US" w:eastAsia="zh-CN"/>
        </w:rPr>
      </w:pPr>
      <w:r>
        <w:rPr>
          <w:rStyle w:val="247"/>
          <w:rFonts w:hint="eastAsia" w:ascii="宋体" w:hAnsi="宋体" w:cs="宋体"/>
          <w:color w:val="auto"/>
          <w:sz w:val="24"/>
          <w:highlight w:val="none"/>
        </w:rPr>
        <w:t>地址：</w:t>
      </w:r>
      <w:r>
        <w:rPr>
          <w:rStyle w:val="247"/>
          <w:rFonts w:hint="eastAsia" w:ascii="宋体" w:hAnsi="宋体" w:cs="宋体"/>
          <w:color w:val="auto"/>
          <w:sz w:val="24"/>
          <w:highlight w:val="none"/>
          <w:lang w:eastAsia="zh-CN"/>
        </w:rPr>
        <w:t>新沂市</w:t>
      </w:r>
      <w:r>
        <w:rPr>
          <w:rStyle w:val="247"/>
          <w:rFonts w:hint="eastAsia" w:ascii="宋体" w:hAnsi="宋体" w:cs="宋体"/>
          <w:color w:val="auto"/>
          <w:sz w:val="24"/>
          <w:highlight w:val="none"/>
          <w:lang w:val="en-US" w:eastAsia="zh-CN"/>
        </w:rPr>
        <w:t xml:space="preserve">建邺东路18-2-2     </w:t>
      </w:r>
    </w:p>
    <w:p>
      <w:pPr>
        <w:pStyle w:val="26"/>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outlineLvl w:val="9"/>
        <w:rPr>
          <w:rStyle w:val="247"/>
          <w:rFonts w:hint="default" w:ascii="宋体" w:hAnsi="宋体" w:eastAsia="宋体" w:cs="宋体"/>
          <w:color w:val="auto"/>
          <w:sz w:val="24"/>
          <w:highlight w:val="none"/>
          <w:lang w:val="en-US" w:eastAsia="zh-CN"/>
        </w:rPr>
      </w:pPr>
      <w:r>
        <w:rPr>
          <w:rStyle w:val="247"/>
          <w:rFonts w:hint="eastAsia" w:ascii="宋体" w:hAnsi="宋体" w:cs="宋体"/>
          <w:color w:val="auto"/>
          <w:sz w:val="24"/>
          <w:highlight w:val="none"/>
        </w:rPr>
        <w:t>联系人：</w:t>
      </w:r>
      <w:r>
        <w:rPr>
          <w:rFonts w:hint="eastAsia" w:ascii="宋体" w:hAnsi="宋体" w:cs="宋体"/>
          <w:color w:val="auto"/>
          <w:sz w:val="24"/>
          <w:highlight w:val="none"/>
          <w:lang w:val="en-US" w:eastAsia="zh-CN"/>
        </w:rPr>
        <w:t>张晶晶</w:t>
      </w:r>
      <w:r>
        <w:rPr>
          <w:rStyle w:val="247"/>
          <w:rFonts w:hint="eastAsia" w:ascii="宋体" w:hAnsi="宋体" w:cs="宋体"/>
          <w:color w:val="auto"/>
          <w:sz w:val="24"/>
          <w:highlight w:val="none"/>
        </w:rPr>
        <w:t xml:space="preserve">    </w:t>
      </w:r>
      <w:r>
        <w:rPr>
          <w:rStyle w:val="247"/>
          <w:rFonts w:hint="eastAsia" w:ascii="宋体" w:hAnsi="宋体" w:cs="宋体"/>
          <w:color w:val="auto"/>
          <w:sz w:val="24"/>
          <w:highlight w:val="none"/>
          <w:lang w:val="en-US" w:eastAsia="zh-CN"/>
        </w:rPr>
        <w:t xml:space="preserve">   </w:t>
      </w:r>
      <w:r>
        <w:rPr>
          <w:rStyle w:val="247"/>
          <w:rFonts w:hint="eastAsia" w:ascii="宋体" w:hAnsi="宋体" w:cs="宋体"/>
          <w:color w:val="auto"/>
          <w:sz w:val="24"/>
          <w:highlight w:val="none"/>
        </w:rPr>
        <w:t xml:space="preserve"> 电  话：</w:t>
      </w:r>
      <w:r>
        <w:rPr>
          <w:rStyle w:val="247"/>
          <w:rFonts w:hint="eastAsia" w:ascii="宋体" w:hAnsi="宋体" w:cs="宋体"/>
          <w:color w:val="auto"/>
          <w:sz w:val="24"/>
          <w:highlight w:val="none"/>
          <w:lang w:val="en-US" w:eastAsia="zh-CN"/>
        </w:rPr>
        <w:t>15190702127</w:t>
      </w:r>
      <w:r>
        <w:rPr>
          <w:rFonts w:hint="eastAsia" w:ascii="宋体" w:hAnsi="宋体" w:cs="宋体"/>
          <w:color w:val="auto"/>
          <w:sz w:val="28"/>
          <w:szCs w:val="28"/>
          <w:highlight w:val="none"/>
        </w:rPr>
        <w:br w:type="page" w:clear="all"/>
      </w:r>
    </w:p>
    <w:p>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第</w:t>
      </w:r>
      <w:r>
        <w:rPr>
          <w:rFonts w:hint="eastAsia" w:ascii="宋体" w:hAnsi="宋体" w:cs="宋体"/>
          <w:color w:val="auto"/>
          <w:sz w:val="28"/>
          <w:szCs w:val="28"/>
          <w:highlight w:val="none"/>
          <w:lang w:val="en-US" w:eastAsia="zh-CN"/>
        </w:rPr>
        <w:t>九</w:t>
      </w:r>
      <w:r>
        <w:rPr>
          <w:rFonts w:hint="eastAsia" w:ascii="宋体" w:hAnsi="宋体" w:cs="宋体"/>
          <w:color w:val="auto"/>
          <w:sz w:val="28"/>
          <w:szCs w:val="28"/>
          <w:highlight w:val="none"/>
        </w:rPr>
        <w:t>章 附件</w:t>
      </w:r>
    </w:p>
    <w:p>
      <w:pPr>
        <w:spacing w:line="360" w:lineRule="auto"/>
        <w:ind w:firstLine="480"/>
        <w:rPr>
          <w:rFonts w:hint="eastAsia" w:ascii="宋体" w:hAnsi="宋体" w:cs="宋体"/>
          <w:color w:val="auto"/>
          <w:sz w:val="24"/>
          <w:highlight w:val="none"/>
        </w:rPr>
      </w:pPr>
      <w:bookmarkStart w:id="11" w:name="_Hlk81899242"/>
      <w:r>
        <w:rPr>
          <w:rFonts w:hint="eastAsia" w:ascii="宋体" w:hAnsi="宋体" w:cs="宋体"/>
          <w:color w:val="auto"/>
          <w:sz w:val="24"/>
          <w:highlight w:val="none"/>
        </w:rPr>
        <w:t>1、《评分细则》</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2、《项目要求（采购需求）》</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3、《磋商报价表》</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bCs/>
          <w:color w:val="auto"/>
          <w:sz w:val="24"/>
          <w:highlight w:val="none"/>
        </w:rPr>
        <w:t>分项价格表</w:t>
      </w:r>
      <w:r>
        <w:rPr>
          <w:rFonts w:hint="eastAsia" w:ascii="宋体" w:hAnsi="宋体" w:cs="宋体"/>
          <w:color w:val="auto"/>
          <w:sz w:val="24"/>
          <w:highlight w:val="none"/>
        </w:rPr>
        <w:t>》</w:t>
      </w:r>
    </w:p>
    <w:p>
      <w:pPr>
        <w:pStyle w:val="22"/>
        <w:ind w:firstLine="480"/>
        <w:rPr>
          <w:rFonts w:ascii="宋体" w:hAnsi="宋体"/>
          <w:color w:val="auto"/>
          <w:highlight w:val="none"/>
        </w:rPr>
      </w:pPr>
      <w:r>
        <w:rPr>
          <w:rFonts w:ascii="宋体" w:hAnsi="宋体"/>
          <w:color w:val="auto"/>
          <w:highlight w:val="none"/>
        </w:rPr>
        <w:t>5</w:t>
      </w:r>
      <w:r>
        <w:rPr>
          <w:rFonts w:hint="eastAsia" w:ascii="宋体" w:hAnsi="宋体"/>
          <w:color w:val="auto"/>
          <w:highlight w:val="none"/>
        </w:rPr>
        <w:t>、</w:t>
      </w:r>
      <w:r>
        <w:rPr>
          <w:rFonts w:ascii="宋体" w:hAnsi="宋体"/>
          <w:color w:val="auto"/>
          <w:highlight w:val="none"/>
        </w:rPr>
        <w:t>《</w:t>
      </w:r>
      <w:r>
        <w:rPr>
          <w:rFonts w:ascii="宋体" w:hAnsi="宋体"/>
          <w:bCs/>
          <w:color w:val="auto"/>
          <w:highlight w:val="none"/>
        </w:rPr>
        <w:t>主要材料（设备）一览表</w:t>
      </w:r>
      <w:r>
        <w:rPr>
          <w:rFonts w:ascii="宋体" w:hAnsi="宋体"/>
          <w:color w:val="auto"/>
          <w:highlight w:val="none"/>
        </w:rPr>
        <w:t>》</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6、《偏离表》</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7、《合同草案条款》</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8、《承诺书》</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9、《授权委托书》</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10、《中小企业声明函》及自测小程序</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11、《供应商参加政府采购活动前3年内在经营活动中没有重大违法记录的书面声明》</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12、《具备履行合同所必需的设备和专业技术能力的书面声明》</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13、《残疾人福利性单位声明函》</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、《代理服务收费标准》</w:t>
      </w:r>
      <w:bookmarkEnd w:id="11"/>
    </w:p>
    <w:p>
      <w:pPr>
        <w:spacing w:line="360" w:lineRule="auto"/>
        <w:ind w:firstLine="480"/>
        <w:jc w:val="right"/>
        <w:rPr>
          <w:rFonts w:ascii="宋体" w:hAnsi="宋体" w:cs="宋体"/>
          <w:color w:val="auto"/>
          <w:sz w:val="24"/>
          <w:highlight w:val="none"/>
        </w:rPr>
      </w:pPr>
    </w:p>
    <w:p>
      <w:pPr>
        <w:numPr>
          <w:ilvl w:val="0"/>
          <w:numId w:val="4"/>
        </w:numPr>
        <w:spacing w:line="0" w:lineRule="atLeast"/>
        <w:jc w:val="center"/>
        <w:rPr>
          <w:rFonts w:hint="eastAsia" w:ascii="宋体" w:hAnsi="宋体" w:cs="宋体"/>
          <w:b/>
          <w:color w:val="auto"/>
          <w:sz w:val="36"/>
          <w:highlight w:val="none"/>
        </w:rPr>
      </w:pPr>
      <w:r>
        <w:rPr>
          <w:rFonts w:hint="eastAsia" w:ascii="宋体" w:hAnsi="宋体" w:cs="宋体"/>
          <w:b/>
          <w:color w:val="auto"/>
          <w:sz w:val="36"/>
          <w:highlight w:val="none"/>
        </w:rPr>
        <w:br w:type="page" w:clear="all"/>
      </w:r>
      <w:r>
        <w:rPr>
          <w:rFonts w:hint="eastAsia" w:ascii="宋体" w:hAnsi="宋体" w:cs="宋体"/>
          <w:b/>
          <w:color w:val="auto"/>
          <w:sz w:val="36"/>
          <w:highlight w:val="none"/>
        </w:rPr>
        <w:t>评分细则</w:t>
      </w:r>
    </w:p>
    <w:tbl>
      <w:tblPr>
        <w:tblStyle w:val="62"/>
        <w:tblW w:w="93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1559"/>
        <w:gridCol w:w="6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1208" w:type="dxa"/>
            <w:tcBorders>
              <w:top w:val="single" w:color="auto" w:sz="4" w:space="0"/>
              <w:left w:val="single" w:color="auto" w:sz="4" w:space="0"/>
              <w:bottom w:val="single" w:color="auto" w:sz="4" w:space="0"/>
              <w:right w:val="single" w:color="auto" w:sz="4" w:space="0"/>
            </w:tcBorders>
          </w:tcPr>
          <w:p>
            <w:pPr>
              <w:pStyle w:val="76"/>
              <w:pageBreakBefore w:val="0"/>
              <w:spacing w:line="360" w:lineRule="auto"/>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项目</w:t>
            </w:r>
          </w:p>
        </w:tc>
        <w:tc>
          <w:tcPr>
            <w:tcW w:w="8102" w:type="dxa"/>
            <w:gridSpan w:val="2"/>
            <w:tcBorders>
              <w:top w:val="single" w:color="auto" w:sz="4" w:space="0"/>
              <w:left w:val="single" w:color="auto" w:sz="4" w:space="0"/>
              <w:bottom w:val="single" w:color="auto" w:sz="4" w:space="0"/>
              <w:right w:val="single" w:color="auto" w:sz="4" w:space="0"/>
            </w:tcBorders>
          </w:tcPr>
          <w:p>
            <w:pPr>
              <w:pStyle w:val="76"/>
              <w:pageBreakBefore w:val="0"/>
              <w:spacing w:line="360" w:lineRule="auto"/>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4"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pStyle w:val="76"/>
              <w:pageBreakBefore w:val="0"/>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价格部分</w:t>
            </w:r>
          </w:p>
          <w:p>
            <w:pPr>
              <w:pageBreakBefore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40</w:t>
            </w:r>
            <w:r>
              <w:rPr>
                <w:rFonts w:hint="eastAsia" w:ascii="宋体" w:hAnsi="宋体" w:eastAsia="宋体" w:cs="宋体"/>
                <w:color w:val="auto"/>
                <w:sz w:val="22"/>
                <w:szCs w:val="22"/>
                <w:highlight w:val="none"/>
                <w:lang w:val="en-US" w:eastAsia="zh-CN"/>
              </w:rPr>
              <w:t>分）</w:t>
            </w:r>
          </w:p>
        </w:tc>
        <w:tc>
          <w:tcPr>
            <w:tcW w:w="1559" w:type="dxa"/>
            <w:tcBorders>
              <w:top w:val="single" w:color="auto" w:sz="4" w:space="0"/>
              <w:left w:val="single" w:color="auto" w:sz="4" w:space="0"/>
              <w:bottom w:val="single" w:color="auto" w:sz="4" w:space="0"/>
              <w:right w:val="single" w:color="auto" w:sz="4" w:space="0"/>
            </w:tcBorders>
            <w:vAlign w:val="center"/>
          </w:tcPr>
          <w:p>
            <w:pPr>
              <w:pStyle w:val="76"/>
              <w:pageBreakBefore w:val="0"/>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价格</w:t>
            </w:r>
            <w:r>
              <w:rPr>
                <w:rFonts w:hint="eastAsia" w:ascii="宋体" w:hAnsi="宋体" w:eastAsia="宋体" w:cs="宋体"/>
                <w:color w:val="auto"/>
                <w:sz w:val="22"/>
                <w:szCs w:val="22"/>
                <w:highlight w:val="none"/>
                <w:lang w:val="en-US" w:eastAsia="zh-CN"/>
              </w:rPr>
              <w:t>分</w:t>
            </w:r>
          </w:p>
          <w:p>
            <w:pPr>
              <w:pStyle w:val="76"/>
              <w:pageBreakBefore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val="en-US" w:eastAsia="zh-CN"/>
              </w:rPr>
              <w:t>40</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p>
        </w:tc>
        <w:tc>
          <w:tcPr>
            <w:tcW w:w="6543" w:type="dxa"/>
            <w:tcBorders>
              <w:top w:val="single" w:color="auto" w:sz="4" w:space="0"/>
              <w:left w:val="single" w:color="auto" w:sz="4" w:space="0"/>
              <w:bottom w:val="single" w:color="auto" w:sz="4" w:space="0"/>
              <w:right w:val="single" w:color="auto" w:sz="4" w:space="0"/>
            </w:tcBorders>
            <w:vAlign w:val="top"/>
          </w:tcPr>
          <w:p>
            <w:pPr>
              <w:pStyle w:val="76"/>
              <w:keepNext w:val="0"/>
              <w:keepLines w:val="0"/>
              <w:pageBreakBefore w:val="0"/>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本项目价格评分采用低价优先法计算，即满足</w:t>
            </w:r>
            <w:r>
              <w:rPr>
                <w:rFonts w:hint="eastAsia" w:ascii="宋体" w:hAnsi="宋体" w:cs="宋体"/>
                <w:color w:val="auto"/>
                <w:sz w:val="22"/>
                <w:szCs w:val="22"/>
                <w:highlight w:val="none"/>
                <w:lang w:val="en-US" w:eastAsia="zh-CN"/>
              </w:rPr>
              <w:t>磋商</w:t>
            </w:r>
            <w:r>
              <w:rPr>
                <w:rFonts w:hint="eastAsia" w:ascii="宋体" w:hAnsi="宋体" w:eastAsia="宋体" w:cs="宋体"/>
                <w:color w:val="auto"/>
                <w:sz w:val="22"/>
                <w:szCs w:val="22"/>
                <w:highlight w:val="none"/>
              </w:rPr>
              <w:t>文件要求且投标价格最低的有效投标报价为评标基准价，其价格分为满分。</w:t>
            </w:r>
          </w:p>
          <w:p>
            <w:pPr>
              <w:pStyle w:val="76"/>
              <w:keepNext w:val="0"/>
              <w:keepLines w:val="0"/>
              <w:pageBreakBefore w:val="0"/>
              <w:spacing w:line="360" w:lineRule="auto"/>
              <w:jc w:val="both"/>
              <w:rPr>
                <w:rFonts w:hint="eastAsia"/>
                <w:color w:val="auto"/>
                <w:highlight w:val="none"/>
              </w:rPr>
            </w:pPr>
            <w:r>
              <w:rPr>
                <w:rFonts w:hint="eastAsia" w:ascii="宋体" w:hAnsi="宋体" w:eastAsia="宋体" w:cs="宋体"/>
                <w:color w:val="auto"/>
                <w:sz w:val="22"/>
                <w:szCs w:val="22"/>
                <w:highlight w:val="none"/>
              </w:rPr>
              <w:t>其他供应商报价得分：投标报价得分=(评标基准价／投标报价)×</w:t>
            </w:r>
            <w:r>
              <w:rPr>
                <w:rFonts w:hint="eastAsia" w:ascii="宋体" w:hAnsi="宋体" w:cs="宋体"/>
                <w:color w:val="auto"/>
                <w:sz w:val="22"/>
                <w:szCs w:val="22"/>
                <w:highlight w:val="none"/>
                <w:lang w:val="en-US" w:eastAsia="zh-CN"/>
              </w:rPr>
              <w:t>40</w:t>
            </w:r>
            <w:r>
              <w:rPr>
                <w:rFonts w:hint="eastAsia" w:ascii="宋体" w:hAnsi="宋体" w:eastAsia="宋体" w:cs="宋体"/>
                <w:color w:val="auto"/>
                <w:sz w:val="22"/>
                <w:szCs w:val="22"/>
                <w:highlight w:val="none"/>
              </w:rPr>
              <w:t xml:space="preserve">（四舍五入后保留小数点后两位）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08" w:type="dxa"/>
            <w:vMerge w:val="restart"/>
            <w:tcBorders>
              <w:top w:val="single" w:color="auto" w:sz="4" w:space="0"/>
              <w:left w:val="single" w:color="auto" w:sz="4" w:space="0"/>
              <w:right w:val="single" w:color="auto" w:sz="4" w:space="0"/>
            </w:tcBorders>
            <w:vAlign w:val="center"/>
          </w:tcPr>
          <w:p>
            <w:pPr>
              <w:pStyle w:val="76"/>
              <w:pageBreakBefore w:val="0"/>
              <w:spacing w:line="360" w:lineRule="auto"/>
              <w:jc w:val="center"/>
              <w:rPr>
                <w:rFonts w:hint="eastAsia" w:ascii="宋体" w:hAnsi="宋体" w:eastAsia="宋体" w:cs="宋体"/>
                <w:b w:val="0"/>
                <w:bCs w:val="0"/>
                <w:color w:val="auto"/>
                <w:sz w:val="22"/>
                <w:szCs w:val="22"/>
                <w:highlight w:val="none"/>
              </w:rPr>
            </w:pPr>
          </w:p>
          <w:p>
            <w:pPr>
              <w:pStyle w:val="76"/>
              <w:pageBreakBefore w:val="0"/>
              <w:spacing w:line="360" w:lineRule="auto"/>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商务</w:t>
            </w:r>
            <w:r>
              <w:rPr>
                <w:rFonts w:hint="eastAsia" w:ascii="宋体" w:hAnsi="宋体" w:eastAsia="宋体" w:cs="宋体"/>
                <w:b w:val="0"/>
                <w:bCs w:val="0"/>
                <w:color w:val="auto"/>
                <w:sz w:val="22"/>
                <w:szCs w:val="22"/>
                <w:highlight w:val="none"/>
                <w:lang w:val="en-US" w:eastAsia="zh-CN"/>
              </w:rPr>
              <w:t>部分</w:t>
            </w:r>
          </w:p>
          <w:p>
            <w:pPr>
              <w:pageBreakBefore w:val="0"/>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9</w:t>
            </w:r>
            <w:r>
              <w:rPr>
                <w:rFonts w:hint="eastAsia" w:ascii="宋体" w:hAnsi="宋体" w:eastAsia="宋体" w:cs="宋体"/>
                <w:b w:val="0"/>
                <w:bCs w:val="0"/>
                <w:color w:val="auto"/>
                <w:sz w:val="22"/>
                <w:szCs w:val="22"/>
                <w:highlight w:val="none"/>
                <w:lang w:val="en-US" w:eastAsia="zh-CN"/>
              </w:rPr>
              <w:t>分）</w:t>
            </w:r>
          </w:p>
        </w:tc>
        <w:tc>
          <w:tcPr>
            <w:tcW w:w="1559" w:type="dxa"/>
            <w:tcBorders>
              <w:top w:val="single" w:color="auto" w:sz="4" w:space="0"/>
              <w:left w:val="single" w:color="auto" w:sz="4" w:space="0"/>
              <w:bottom w:val="single" w:color="auto" w:sz="4" w:space="0"/>
              <w:right w:val="single" w:color="auto" w:sz="4" w:space="0"/>
            </w:tcBorders>
            <w:vAlign w:val="center"/>
          </w:tcPr>
          <w:p>
            <w:pPr>
              <w:pStyle w:val="76"/>
              <w:pageBreakBefore w:val="0"/>
              <w:spacing w:line="360" w:lineRule="auto"/>
              <w:ind w:firstLine="440"/>
              <w:jc w:val="center"/>
              <w:rPr>
                <w:rFonts w:hint="eastAsia" w:ascii="宋体" w:hAnsi="宋体" w:eastAsia="宋体" w:cs="宋体"/>
                <w:b w:val="0"/>
                <w:bCs w:val="0"/>
                <w:color w:val="auto"/>
                <w:sz w:val="22"/>
                <w:szCs w:val="22"/>
                <w:highlight w:val="none"/>
              </w:rPr>
            </w:pPr>
          </w:p>
          <w:p>
            <w:pPr>
              <w:pStyle w:val="76"/>
              <w:pageBreakBefore w:val="0"/>
              <w:spacing w:line="360" w:lineRule="auto"/>
              <w:jc w:val="both"/>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w:t>
            </w:r>
            <w:r>
              <w:rPr>
                <w:rFonts w:hint="eastAsia" w:ascii="宋体" w:hAnsi="宋体" w:cs="宋体"/>
                <w:b w:val="0"/>
                <w:bCs w:val="0"/>
                <w:color w:val="auto"/>
                <w:sz w:val="22"/>
                <w:szCs w:val="22"/>
                <w:highlight w:val="none"/>
                <w:lang w:eastAsia="zh-CN"/>
              </w:rPr>
              <w:t>类似</w:t>
            </w:r>
            <w:r>
              <w:rPr>
                <w:rFonts w:hint="eastAsia" w:ascii="宋体" w:hAnsi="宋体" w:eastAsia="宋体" w:cs="宋体"/>
                <w:b w:val="0"/>
                <w:bCs w:val="0"/>
                <w:color w:val="auto"/>
                <w:sz w:val="22"/>
                <w:szCs w:val="22"/>
                <w:highlight w:val="none"/>
              </w:rPr>
              <w:t>业绩</w:t>
            </w:r>
          </w:p>
          <w:p>
            <w:pPr>
              <w:pStyle w:val="76"/>
              <w:pageBreakBefore w:val="0"/>
              <w:spacing w:line="360" w:lineRule="auto"/>
              <w:jc w:val="both"/>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w:t>
            </w:r>
            <w:r>
              <w:rPr>
                <w:rFonts w:hint="eastAsia" w:ascii="宋体" w:hAnsi="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分）</w:t>
            </w:r>
          </w:p>
        </w:tc>
        <w:tc>
          <w:tcPr>
            <w:tcW w:w="6543" w:type="dxa"/>
            <w:tcBorders>
              <w:top w:val="single" w:color="auto" w:sz="4" w:space="0"/>
              <w:left w:val="single" w:color="auto" w:sz="4" w:space="0"/>
              <w:bottom w:val="single" w:color="auto" w:sz="4" w:space="0"/>
              <w:right w:val="single" w:color="auto" w:sz="4" w:space="0"/>
            </w:tcBorders>
            <w:vAlign w:val="top"/>
          </w:tcPr>
          <w:p>
            <w:pPr>
              <w:pStyle w:val="539"/>
              <w:pageBreakBefore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自202</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shd w:val="clear" w:color="auto"/>
              </w:rPr>
              <w:t>年</w:t>
            </w:r>
            <w:r>
              <w:rPr>
                <w:rFonts w:hint="eastAsia" w:ascii="宋体" w:hAnsi="宋体" w:cs="宋体"/>
                <w:color w:val="auto"/>
                <w:sz w:val="22"/>
                <w:szCs w:val="22"/>
                <w:highlight w:val="none"/>
                <w:shd w:val="clear" w:color="auto"/>
                <w:lang w:val="en-US" w:eastAsia="zh-CN"/>
              </w:rPr>
              <w:t>01</w:t>
            </w:r>
            <w:r>
              <w:rPr>
                <w:rFonts w:hint="eastAsia" w:ascii="宋体" w:hAnsi="宋体" w:eastAsia="宋体" w:cs="宋体"/>
                <w:color w:val="auto"/>
                <w:sz w:val="22"/>
                <w:szCs w:val="22"/>
                <w:highlight w:val="none"/>
                <w:shd w:val="clear" w:color="auto"/>
              </w:rPr>
              <w:t>月</w:t>
            </w:r>
            <w:r>
              <w:rPr>
                <w:rFonts w:hint="eastAsia" w:ascii="宋体" w:hAnsi="宋体" w:cs="宋体"/>
                <w:color w:val="auto"/>
                <w:sz w:val="22"/>
                <w:szCs w:val="22"/>
                <w:highlight w:val="none"/>
                <w:shd w:val="clear" w:color="auto"/>
                <w:lang w:val="en-US" w:eastAsia="zh-CN"/>
              </w:rPr>
              <w:t>01日</w:t>
            </w:r>
            <w:r>
              <w:rPr>
                <w:rFonts w:hint="eastAsia" w:ascii="宋体" w:hAnsi="宋体" w:eastAsia="宋体" w:cs="宋体"/>
                <w:color w:val="auto"/>
                <w:sz w:val="22"/>
                <w:szCs w:val="22"/>
                <w:highlight w:val="none"/>
                <w:shd w:val="clear" w:color="auto"/>
              </w:rPr>
              <w:t>（以合同签订日期为准）以来</w:t>
            </w:r>
            <w:r>
              <w:rPr>
                <w:rFonts w:hint="eastAsia" w:ascii="宋体" w:hAnsi="宋体" w:cs="宋体"/>
                <w:color w:val="auto"/>
                <w:sz w:val="22"/>
                <w:szCs w:val="22"/>
                <w:highlight w:val="none"/>
                <w:shd w:val="clear" w:color="auto"/>
                <w:lang w:val="en-US" w:eastAsia="zh-CN"/>
              </w:rPr>
              <w:t>投标供应商</w:t>
            </w:r>
            <w:r>
              <w:rPr>
                <w:rFonts w:hint="eastAsia" w:ascii="宋体" w:hAnsi="宋体" w:eastAsia="宋体" w:cs="宋体"/>
                <w:color w:val="auto"/>
                <w:sz w:val="22"/>
                <w:szCs w:val="22"/>
                <w:highlight w:val="none"/>
                <w:shd w:val="clear" w:color="auto"/>
              </w:rPr>
              <w:t>承接过类似项目</w:t>
            </w:r>
            <w:r>
              <w:rPr>
                <w:rFonts w:hint="eastAsia" w:ascii="宋体" w:hAnsi="宋体" w:cs="宋体"/>
                <w:color w:val="auto"/>
                <w:sz w:val="22"/>
                <w:szCs w:val="22"/>
                <w:highlight w:val="none"/>
                <w:shd w:val="clear" w:color="auto"/>
                <w:lang w:val="en-US" w:eastAsia="zh-CN"/>
              </w:rPr>
              <w:t>的业绩证明材料</w:t>
            </w:r>
            <w:r>
              <w:rPr>
                <w:rFonts w:hint="eastAsia" w:ascii="宋体" w:hAnsi="宋体" w:eastAsia="宋体" w:cs="宋体"/>
                <w:color w:val="auto"/>
                <w:sz w:val="22"/>
                <w:szCs w:val="22"/>
                <w:highlight w:val="none"/>
                <w:shd w:val="clear" w:color="auto"/>
              </w:rPr>
              <w:t>，每提供一个得</w:t>
            </w:r>
            <w:r>
              <w:rPr>
                <w:rFonts w:hint="eastAsia" w:ascii="宋体" w:hAnsi="宋体" w:cs="宋体"/>
                <w:color w:val="auto"/>
                <w:sz w:val="22"/>
                <w:szCs w:val="22"/>
                <w:highlight w:val="none"/>
                <w:shd w:val="clear" w:color="auto"/>
                <w:lang w:val="en-US" w:eastAsia="zh-CN"/>
              </w:rPr>
              <w:t>2</w:t>
            </w:r>
            <w:r>
              <w:rPr>
                <w:rFonts w:hint="eastAsia" w:ascii="宋体" w:hAnsi="宋体" w:eastAsia="宋体" w:cs="宋体"/>
                <w:color w:val="auto"/>
                <w:sz w:val="22"/>
                <w:szCs w:val="22"/>
                <w:highlight w:val="none"/>
                <w:shd w:val="clear" w:color="auto"/>
              </w:rPr>
              <w:t>分，最多得</w:t>
            </w:r>
            <w:r>
              <w:rPr>
                <w:rFonts w:hint="eastAsia" w:ascii="宋体" w:hAnsi="宋体" w:cs="宋体"/>
                <w:color w:val="auto"/>
                <w:sz w:val="22"/>
                <w:szCs w:val="22"/>
                <w:highlight w:val="none"/>
                <w:shd w:val="clear" w:color="auto"/>
                <w:lang w:val="en-US" w:eastAsia="zh-CN"/>
              </w:rPr>
              <w:t>4</w:t>
            </w:r>
            <w:r>
              <w:rPr>
                <w:rFonts w:hint="eastAsia" w:ascii="宋体" w:hAnsi="宋体" w:eastAsia="宋体" w:cs="宋体"/>
                <w:color w:val="auto"/>
                <w:sz w:val="22"/>
                <w:szCs w:val="22"/>
                <w:highlight w:val="none"/>
                <w:shd w:val="clear" w:color="auto"/>
              </w:rPr>
              <w:t>分；（</w:t>
            </w:r>
            <w:r>
              <w:rPr>
                <w:rFonts w:hint="eastAsia" w:ascii="宋体" w:hAnsi="宋体" w:cs="宋体"/>
                <w:color w:val="auto"/>
                <w:sz w:val="22"/>
                <w:szCs w:val="22"/>
                <w:highlight w:val="none"/>
                <w:shd w:val="clear" w:color="auto"/>
                <w:lang w:eastAsia="zh-CN"/>
              </w:rPr>
              <w:t>响应文件中需</w:t>
            </w:r>
            <w:r>
              <w:rPr>
                <w:rFonts w:hint="eastAsia" w:ascii="宋体" w:hAnsi="宋体" w:eastAsia="宋体" w:cs="宋体"/>
                <w:color w:val="auto"/>
                <w:sz w:val="22"/>
                <w:szCs w:val="22"/>
                <w:highlight w:val="none"/>
                <w:shd w:val="clear" w:color="auto"/>
              </w:rPr>
              <w:t>提供</w:t>
            </w:r>
            <w:r>
              <w:rPr>
                <w:rFonts w:hint="eastAsia" w:ascii="宋体" w:hAnsi="宋体" w:cs="宋体"/>
                <w:color w:val="auto"/>
                <w:sz w:val="22"/>
                <w:szCs w:val="22"/>
                <w:highlight w:val="none"/>
                <w:shd w:val="clear" w:color="auto"/>
                <w:lang w:val="en-US" w:eastAsia="zh-CN"/>
              </w:rPr>
              <w:t>中标通知书、施工</w:t>
            </w:r>
            <w:r>
              <w:rPr>
                <w:rFonts w:hint="eastAsia" w:ascii="宋体" w:hAnsi="宋体" w:eastAsia="宋体" w:cs="宋体"/>
                <w:color w:val="auto"/>
                <w:sz w:val="22"/>
                <w:szCs w:val="22"/>
                <w:highlight w:val="none"/>
                <w:shd w:val="clear" w:color="auto"/>
              </w:rPr>
              <w:t>合同</w:t>
            </w:r>
            <w:r>
              <w:rPr>
                <w:rFonts w:hint="eastAsia" w:ascii="宋体" w:hAnsi="宋体" w:cs="宋体"/>
                <w:color w:val="auto"/>
                <w:sz w:val="22"/>
                <w:szCs w:val="22"/>
                <w:highlight w:val="none"/>
                <w:shd w:val="clear" w:color="auto"/>
                <w:lang w:val="en-US" w:eastAsia="zh-CN"/>
              </w:rPr>
              <w:t>及竣工验收证明材料</w:t>
            </w:r>
            <w:r>
              <w:rPr>
                <w:rFonts w:hint="eastAsia" w:ascii="宋体" w:hAnsi="宋体" w:eastAsia="宋体" w:cs="宋体"/>
                <w:color w:val="auto"/>
                <w:sz w:val="22"/>
                <w:szCs w:val="22"/>
                <w:highlight w:val="none"/>
                <w:lang w:val="en-US" w:eastAsia="zh-CN"/>
              </w:rPr>
              <w:t>原</w:t>
            </w:r>
            <w:r>
              <w:rPr>
                <w:rFonts w:hint="eastAsia" w:ascii="宋体" w:hAnsi="宋体" w:eastAsia="宋体" w:cs="宋体"/>
                <w:color w:val="auto"/>
                <w:sz w:val="22"/>
                <w:szCs w:val="22"/>
                <w:highlight w:val="none"/>
              </w:rPr>
              <w:t>件</w:t>
            </w:r>
            <w:r>
              <w:rPr>
                <w:rFonts w:hint="eastAsia" w:ascii="宋体" w:hAnsi="宋体" w:cs="宋体"/>
                <w:color w:val="auto"/>
                <w:sz w:val="22"/>
                <w:szCs w:val="22"/>
                <w:highlight w:val="none"/>
                <w:lang w:val="en-US" w:eastAsia="zh-CN"/>
              </w:rPr>
              <w:t>扫描件</w:t>
            </w:r>
            <w:r>
              <w:rPr>
                <w:rFonts w:hint="eastAsia" w:ascii="宋体" w:hAnsi="宋体" w:eastAsia="宋体" w:cs="宋体"/>
                <w:color w:val="auto"/>
                <w:sz w:val="22"/>
                <w:szCs w:val="22"/>
                <w:highlight w:val="none"/>
              </w:rPr>
              <w:t>加盖</w:t>
            </w:r>
            <w:r>
              <w:rPr>
                <w:rFonts w:hint="eastAsia" w:ascii="宋体" w:hAnsi="宋体" w:eastAsia="宋体" w:cs="宋体"/>
                <w:color w:val="auto"/>
                <w:sz w:val="22"/>
                <w:szCs w:val="22"/>
                <w:highlight w:val="none"/>
                <w:lang w:val="en-US" w:eastAsia="zh-CN"/>
              </w:rPr>
              <w:t>电子签章</w:t>
            </w:r>
            <w:r>
              <w:rPr>
                <w:rFonts w:hint="eastAsia" w:ascii="宋体" w:hAnsi="宋体" w:cs="宋体"/>
                <w:color w:val="auto"/>
                <w:sz w:val="22"/>
                <w:szCs w:val="22"/>
                <w:highlight w:val="none"/>
                <w:lang w:val="en-US" w:eastAsia="zh-CN"/>
              </w:rPr>
              <w:t>，三者同时具备方可得分，否则不得分）。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jc w:val="center"/>
        </w:trPr>
        <w:tc>
          <w:tcPr>
            <w:tcW w:w="1208" w:type="dxa"/>
            <w:vMerge w:val="continue"/>
            <w:tcBorders>
              <w:left w:val="single" w:color="auto" w:sz="4" w:space="0"/>
              <w:right w:val="single" w:color="auto" w:sz="4" w:space="0"/>
            </w:tcBorders>
            <w:vAlign w:val="center"/>
          </w:tcPr>
          <w:p>
            <w:pPr>
              <w:pageBreakBefore w:val="0"/>
              <w:spacing w:line="360" w:lineRule="auto"/>
              <w:jc w:val="center"/>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pBdr>
                <w:top w:val="none" w:color="000000" w:sz="0" w:space="0"/>
                <w:left w:val="none" w:color="000000" w:sz="0" w:space="0"/>
                <w:bottom w:val="none" w:color="000000" w:sz="0" w:space="0"/>
                <w:right w:val="none" w:color="000000" w:sz="0" w:space="0"/>
              </w:pBdr>
              <w:spacing w:before="200" w:after="200" w:line="68" w:lineRule="atLeast"/>
              <w:ind w:right="0" w:firstLine="22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人员配备</w:t>
            </w:r>
          </w:p>
          <w:p>
            <w:pPr>
              <w:pStyle w:val="76"/>
              <w:pageBreakBefore w:val="0"/>
              <w:spacing w:line="360" w:lineRule="auto"/>
              <w:ind w:firstLine="220"/>
              <w:jc w:val="both"/>
              <w:rPr>
                <w:rFonts w:hint="default" w:ascii="宋体" w:hAnsi="宋体" w:eastAsia="宋体" w:cs="宋体"/>
                <w:b w:val="0"/>
                <w:bCs w:val="0"/>
                <w:color w:val="000000" w:themeColor="text1"/>
                <w:sz w:val="22"/>
                <w:szCs w:val="22"/>
                <w:highlight w:val="yellow"/>
                <w:lang w:val="en-US" w:eastAsia="zh-CN"/>
                <w14:textFill>
                  <w14:solidFill>
                    <w14:schemeClr w14:val="tx1"/>
                  </w14:solidFill>
                </w14:textFill>
              </w:rPr>
            </w:pP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分）</w:t>
            </w:r>
          </w:p>
        </w:tc>
        <w:tc>
          <w:tcPr>
            <w:tcW w:w="6543" w:type="dxa"/>
            <w:tcBorders>
              <w:top w:val="single" w:color="auto" w:sz="4" w:space="0"/>
              <w:left w:val="single" w:color="auto" w:sz="4" w:space="0"/>
              <w:bottom w:val="single" w:color="auto" w:sz="4" w:space="0"/>
              <w:right w:val="single" w:color="auto" w:sz="4" w:space="0"/>
            </w:tcBorders>
            <w:vAlign w:val="top"/>
          </w:tcPr>
          <w:p>
            <w:pPr>
              <w:pStyle w:val="539"/>
              <w:pageBreakBefore w:val="0"/>
              <w:spacing w:line="360" w:lineRule="auto"/>
              <w:rPr>
                <w:rFonts w:hint="eastAsia" w:ascii="宋体" w:hAnsi="宋体" w:eastAsia="宋体" w:cs="宋体"/>
                <w:color w:val="000000" w:themeColor="text1"/>
                <w:sz w:val="22"/>
                <w:szCs w:val="22"/>
                <w:highlight w:val="yellow"/>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投标供应商拟配备项目组其他人员（项目负责人除外）具有建设工程类中级（含）及以上职称的，每</w:t>
            </w:r>
            <w:r>
              <w:rPr>
                <w:rFonts w:hint="eastAsia" w:ascii="宋体" w:hAnsi="宋体" w:eastAsia="宋体" w:cs="宋体"/>
                <w:color w:val="000000" w:themeColor="text1"/>
                <w:sz w:val="22"/>
                <w:szCs w:val="22"/>
                <w:highlight w:val="none"/>
                <w14:textFill>
                  <w14:solidFill>
                    <w14:schemeClr w14:val="tx1"/>
                  </w14:solidFill>
                </w14:textFill>
              </w:rPr>
              <w:t>提供一个</w:t>
            </w:r>
            <w:r>
              <w:rPr>
                <w:rFonts w:hint="eastAsia" w:ascii="宋体" w:hAnsi="宋体" w:cs="宋体"/>
                <w:color w:val="000000" w:themeColor="text1"/>
                <w:sz w:val="22"/>
                <w:szCs w:val="22"/>
                <w:highlight w:val="none"/>
                <w:lang w:val="en-US" w:eastAsia="zh-CN"/>
                <w14:textFill>
                  <w14:solidFill>
                    <w14:schemeClr w14:val="tx1"/>
                  </w14:solidFill>
                </w14:textFill>
              </w:rPr>
              <w:t>得1分，最高得2分。（</w:t>
            </w:r>
            <w:r>
              <w:rPr>
                <w:rFonts w:hint="eastAsia" w:ascii="宋体" w:hAnsi="宋体" w:eastAsia="宋体" w:cs="宋体"/>
                <w:color w:val="000000" w:themeColor="text1"/>
                <w:sz w:val="22"/>
                <w:szCs w:val="22"/>
                <w:highlight w:val="none"/>
                <w14:textFill>
                  <w14:solidFill>
                    <w14:schemeClr w14:val="tx1"/>
                  </w14:solidFill>
                </w14:textFill>
              </w:rPr>
              <w:t>提供</w:t>
            </w:r>
            <w:r>
              <w:rPr>
                <w:rFonts w:hint="eastAsia" w:ascii="宋体" w:hAnsi="宋体" w:cs="宋体"/>
                <w:color w:val="000000" w:themeColor="text1"/>
                <w:sz w:val="22"/>
                <w:szCs w:val="22"/>
                <w:highlight w:val="none"/>
                <w:lang w:val="en-US" w:eastAsia="zh-CN"/>
                <w14:textFill>
                  <w14:solidFill>
                    <w14:schemeClr w14:val="tx1"/>
                  </w14:solidFill>
                </w14:textFill>
              </w:rPr>
              <w:t>人员职称证书</w:t>
            </w:r>
            <w:r>
              <w:rPr>
                <w:rFonts w:hint="eastAsia" w:ascii="宋体" w:hAnsi="宋体" w:eastAsia="宋体" w:cs="宋体"/>
                <w:color w:val="000000" w:themeColor="text1"/>
                <w:sz w:val="22"/>
                <w:szCs w:val="22"/>
                <w:highlight w:val="none"/>
                <w:lang w:val="en-US" w:eastAsia="zh-CN"/>
                <w14:textFill>
                  <w14:solidFill>
                    <w14:schemeClr w14:val="tx1"/>
                  </w14:solidFill>
                </w14:textFill>
              </w:rPr>
              <w:t>原</w:t>
            </w:r>
            <w:r>
              <w:rPr>
                <w:rFonts w:hint="eastAsia" w:ascii="宋体" w:hAnsi="宋体" w:eastAsia="宋体" w:cs="宋体"/>
                <w:color w:val="000000" w:themeColor="text1"/>
                <w:sz w:val="22"/>
                <w:szCs w:val="22"/>
                <w:highlight w:val="none"/>
                <w14:textFill>
                  <w14:solidFill>
                    <w14:schemeClr w14:val="tx1"/>
                  </w14:solidFill>
                </w14:textFill>
              </w:rPr>
              <w:t>件</w:t>
            </w:r>
            <w:r>
              <w:rPr>
                <w:rFonts w:hint="eastAsia" w:ascii="宋体" w:hAnsi="宋体" w:eastAsia="宋体" w:cs="宋体"/>
                <w:color w:val="000000" w:themeColor="text1"/>
                <w:sz w:val="22"/>
                <w:szCs w:val="22"/>
                <w:highlight w:val="none"/>
                <w:lang w:val="en-US" w:eastAsia="zh-CN"/>
                <w14:textFill>
                  <w14:solidFill>
                    <w14:schemeClr w14:val="tx1"/>
                  </w14:solidFill>
                </w14:textFill>
              </w:rPr>
              <w:t>扫描上传并</w:t>
            </w:r>
            <w:r>
              <w:rPr>
                <w:rFonts w:hint="eastAsia" w:ascii="宋体" w:hAnsi="宋体" w:eastAsia="宋体" w:cs="宋体"/>
                <w:color w:val="000000" w:themeColor="text1"/>
                <w:sz w:val="22"/>
                <w:szCs w:val="22"/>
                <w:highlight w:val="none"/>
                <w14:textFill>
                  <w14:solidFill>
                    <w14:schemeClr w14:val="tx1"/>
                  </w14:solidFill>
                </w14:textFill>
              </w:rPr>
              <w:t>加盖</w:t>
            </w:r>
            <w:r>
              <w:rPr>
                <w:rFonts w:hint="eastAsia" w:ascii="宋体" w:hAnsi="宋体" w:eastAsia="宋体" w:cs="宋体"/>
                <w:color w:val="000000" w:themeColor="text1"/>
                <w:sz w:val="22"/>
                <w:szCs w:val="22"/>
                <w:highlight w:val="none"/>
                <w:lang w:val="en-US" w:eastAsia="zh-CN"/>
                <w14:textFill>
                  <w14:solidFill>
                    <w14:schemeClr w14:val="tx1"/>
                  </w14:solidFill>
                </w14:textFill>
              </w:rPr>
              <w:t>电子签章</w:t>
            </w:r>
            <w:r>
              <w:rPr>
                <w:rFonts w:hint="eastAsia" w:ascii="宋体" w:hAnsi="宋体" w:cs="宋体"/>
                <w:color w:val="000000" w:themeColor="text1"/>
                <w:sz w:val="22"/>
                <w:szCs w:val="22"/>
                <w:highlight w:val="none"/>
                <w:lang w:val="en-US" w:eastAsia="zh-CN"/>
                <w14:textFill>
                  <w14:solidFill>
                    <w14:schemeClr w14:val="tx1"/>
                  </w14:solidFill>
                </w14:textFill>
              </w:rPr>
              <w:t>，否则不得分</w:t>
            </w:r>
            <w:r>
              <w:rPr>
                <w:rFonts w:hint="eastAsia" w:ascii="宋体" w:hAnsi="宋体" w:eastAsia="宋体" w:cs="宋体"/>
                <w:color w:val="000000" w:themeColor="text1"/>
                <w:sz w:val="22"/>
                <w:szCs w:val="22"/>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jc w:val="center"/>
        </w:trPr>
        <w:tc>
          <w:tcPr>
            <w:tcW w:w="1208" w:type="dxa"/>
            <w:vMerge w:val="continue"/>
            <w:tcBorders>
              <w:left w:val="single" w:color="auto" w:sz="4" w:space="0"/>
              <w:right w:val="single" w:color="auto" w:sz="4" w:space="0"/>
            </w:tcBorders>
            <w:vAlign w:val="center"/>
          </w:tcPr>
          <w:p>
            <w:pPr>
              <w:pStyle w:val="539"/>
              <w:pageBreakBefore w:val="0"/>
              <w:spacing w:line="360" w:lineRule="auto"/>
            </w:pPr>
          </w:p>
        </w:tc>
        <w:tc>
          <w:tcPr>
            <w:tcW w:w="1559" w:type="dxa"/>
            <w:tcBorders>
              <w:top w:val="single" w:color="auto" w:sz="4" w:space="0"/>
              <w:left w:val="single" w:color="auto" w:sz="4" w:space="0"/>
              <w:bottom w:val="single" w:color="auto" w:sz="4" w:space="0"/>
              <w:right w:val="single" w:color="auto" w:sz="4" w:space="0"/>
            </w:tcBorders>
            <w:vAlign w:val="center"/>
          </w:tcPr>
          <w:p>
            <w:pPr>
              <w:pStyle w:val="76"/>
              <w:pageBreakBefore w:val="0"/>
              <w:spacing w:line="360" w:lineRule="auto"/>
              <w:ind w:firstLine="220"/>
              <w:jc w:val="both"/>
              <w:rPr>
                <w:rFonts w:hint="eastAsia" w:ascii="宋体" w:hAnsi="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企业资信</w:t>
            </w:r>
          </w:p>
          <w:p>
            <w:pPr>
              <w:pStyle w:val="539"/>
              <w:pageBreakBefore w:val="0"/>
              <w:spacing w:line="360" w:lineRule="auto"/>
              <w:ind w:firstLine="220"/>
              <w:rPr>
                <w:rFonts w:hint="eastAsia" w:ascii="宋体" w:hAnsi="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（3分）</w:t>
            </w:r>
          </w:p>
        </w:tc>
        <w:tc>
          <w:tcPr>
            <w:tcW w:w="6543" w:type="dxa"/>
            <w:tcBorders>
              <w:top w:val="single" w:color="auto" w:sz="4" w:space="0"/>
              <w:left w:val="single" w:color="auto" w:sz="4" w:space="0"/>
              <w:bottom w:val="single" w:color="auto" w:sz="4" w:space="0"/>
              <w:right w:val="single" w:color="auto" w:sz="4" w:space="0"/>
            </w:tcBorders>
            <w:vAlign w:val="top"/>
          </w:tcPr>
          <w:p>
            <w:pPr>
              <w:pStyle w:val="539"/>
              <w:pageBreakBefore w:val="0"/>
              <w:spacing w:line="360" w:lineRule="auto"/>
              <w:rPr>
                <w:rFonts w:hint="eastAsia" w:ascii="宋体" w:hAnsi="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供应商同时具有有效期内的质量管理体系认证证书、环境管理体系认证证书、职业健康安全体系认证证书的得3分，每缺少其中一项证书扣1分，扣完为止。</w:t>
            </w:r>
          </w:p>
          <w:p>
            <w:pPr>
              <w:pStyle w:val="539"/>
              <w:pageBreakBefore w:val="0"/>
              <w:spacing w:line="360" w:lineRule="auto"/>
              <w:rPr>
                <w:rFonts w:hint="eastAsia" w:ascii="宋体" w:hAnsi="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认证证书需同时提供在信息公共服务平台官网上的查询结果截图，否则不得分。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208" w:type="dxa"/>
            <w:vMerge w:val="restart"/>
            <w:tcBorders>
              <w:top w:val="single" w:color="auto" w:sz="4" w:space="0"/>
              <w:left w:val="single" w:color="auto" w:sz="4" w:space="0"/>
              <w:right w:val="single" w:color="auto" w:sz="4" w:space="0"/>
            </w:tcBorders>
          </w:tcPr>
          <w:p>
            <w:pPr>
              <w:pStyle w:val="76"/>
              <w:pageBreakBefore w:val="0"/>
              <w:spacing w:line="360" w:lineRule="auto"/>
              <w:jc w:val="center"/>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p>
          <w:p>
            <w:pPr>
              <w:pStyle w:val="76"/>
              <w:pageBreakBefore w:val="0"/>
              <w:spacing w:line="360" w:lineRule="auto"/>
              <w:jc w:val="center"/>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p>
          <w:p>
            <w:pPr>
              <w:pStyle w:val="76"/>
              <w:pageBreakBefore w:val="0"/>
              <w:spacing w:line="360" w:lineRule="auto"/>
              <w:jc w:val="center"/>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p>
          <w:p>
            <w:pPr>
              <w:pStyle w:val="76"/>
              <w:pageBreakBefore w:val="0"/>
              <w:spacing w:line="360" w:lineRule="auto"/>
              <w:jc w:val="center"/>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p>
          <w:p>
            <w:pPr>
              <w:pStyle w:val="76"/>
              <w:pageBreakBefore w:val="0"/>
              <w:spacing w:line="360" w:lineRule="auto"/>
              <w:jc w:val="center"/>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p>
          <w:p>
            <w:pPr>
              <w:pStyle w:val="76"/>
              <w:pageBreakBefore w:val="0"/>
              <w:spacing w:line="360" w:lineRule="auto"/>
              <w:jc w:val="center"/>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p>
          <w:p>
            <w:pPr>
              <w:pStyle w:val="76"/>
              <w:pageBreakBefore w:val="0"/>
              <w:spacing w:line="360" w:lineRule="auto"/>
              <w:jc w:val="center"/>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p>
          <w:p>
            <w:pPr>
              <w:pStyle w:val="76"/>
              <w:pageBreakBefore w:val="0"/>
              <w:spacing w:line="360" w:lineRule="auto"/>
              <w:jc w:val="center"/>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p>
          <w:p>
            <w:pPr>
              <w:pStyle w:val="76"/>
              <w:pageBreakBefore w:val="0"/>
              <w:spacing w:line="360" w:lineRule="auto"/>
              <w:jc w:val="center"/>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bidi="ar-SA"/>
                <w14:textFill>
                  <w14:solidFill>
                    <w14:schemeClr w14:val="tx1"/>
                  </w14:solidFill>
                </w14:textFill>
              </w:rPr>
              <w:t>技术部分</w:t>
            </w:r>
          </w:p>
          <w:p>
            <w:pPr>
              <w:pageBreakBefore w:val="0"/>
              <w:spacing w:line="360" w:lineRule="auto"/>
              <w:jc w:val="center"/>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bidi="ar-SA"/>
                <w14:textFill>
                  <w14:solidFill>
                    <w14:schemeClr w14:val="tx1"/>
                  </w14:solidFill>
                </w14:textFill>
              </w:rPr>
              <w:t>（</w:t>
            </w:r>
            <w:r>
              <w:rPr>
                <w:rFonts w:hint="eastAsia" w:ascii="宋体" w:hAnsi="宋体" w:cs="宋体"/>
                <w:color w:val="000000" w:themeColor="text1"/>
                <w:sz w:val="22"/>
                <w:szCs w:val="22"/>
                <w:highlight w:val="none"/>
                <w:lang w:val="en-US" w:eastAsia="zh-CN" w:bidi="ar-SA"/>
                <w14:textFill>
                  <w14:solidFill>
                    <w14:schemeClr w14:val="tx1"/>
                  </w14:solidFill>
                </w14:textFill>
              </w:rPr>
              <w:t>51</w:t>
            </w:r>
            <w:r>
              <w:rPr>
                <w:rFonts w:hint="eastAsia" w:ascii="宋体" w:hAnsi="宋体" w:eastAsia="宋体" w:cs="宋体"/>
                <w:color w:val="000000" w:themeColor="text1"/>
                <w:sz w:val="22"/>
                <w:szCs w:val="22"/>
                <w:highlight w:val="none"/>
                <w:lang w:val="en-US" w:eastAsia="zh-CN" w:bidi="ar-SA"/>
                <w14:textFill>
                  <w14:solidFill>
                    <w14:schemeClr w14:val="tx1"/>
                  </w14:solidFill>
                </w14:textFill>
              </w:rPr>
              <w:t>分）</w:t>
            </w:r>
          </w:p>
        </w:tc>
        <w:tc>
          <w:tcPr>
            <w:tcW w:w="1559" w:type="dxa"/>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widowControl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总体施工方案</w:t>
            </w:r>
          </w:p>
          <w:p>
            <w:pPr>
              <w:pStyle w:val="26"/>
              <w:keepNext w:val="0"/>
              <w:keepLines w:val="0"/>
              <w:pageBreakBefore w:val="0"/>
              <w:widowControl w:val="0"/>
              <w:spacing w:line="360" w:lineRule="auto"/>
              <w:jc w:val="center"/>
              <w:rPr>
                <w:rFonts w:hint="default" w:ascii="宋体" w:hAnsi="宋体" w:eastAsia="宋体" w:cs="宋体"/>
                <w:color w:val="000000" w:themeColor="text1"/>
                <w:sz w:val="22"/>
                <w:szCs w:val="22"/>
                <w:highlight w:val="none"/>
                <w:lang w:val="en-US" w:eastAsia="zh-CN" w:bidi="ar-SA"/>
                <w14:textFill>
                  <w14:solidFill>
                    <w14:schemeClr w14:val="tx1"/>
                  </w14:solidFill>
                </w14:textFill>
              </w:rPr>
            </w:pP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rPr>
              <w:t>分)</w:t>
            </w:r>
          </w:p>
        </w:tc>
        <w:tc>
          <w:tcPr>
            <w:tcW w:w="6543" w:type="dxa"/>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widowControl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根据供应商提供的总体施工方案</w:t>
            </w:r>
            <w:r>
              <w:rPr>
                <w:rFonts w:hint="eastAsia" w:ascii="宋体" w:hAnsi="宋体" w:cs="宋体"/>
                <w:color w:val="auto"/>
                <w:sz w:val="22"/>
                <w:szCs w:val="22"/>
                <w:highlight w:val="none"/>
                <w:lang w:val="en-US" w:eastAsia="zh-CN"/>
              </w:rPr>
              <w:t>中</w:t>
            </w:r>
            <w:r>
              <w:rPr>
                <w:rFonts w:hint="eastAsia" w:ascii="宋体" w:hAnsi="宋体" w:cs="宋体"/>
                <w:color w:val="auto"/>
                <w:sz w:val="22"/>
                <w:szCs w:val="22"/>
                <w:highlight w:val="none"/>
              </w:rPr>
              <w:t>工程总体概述、针对重点部分施工方案及施工工艺方法等方面进行总体评价。</w:t>
            </w:r>
          </w:p>
          <w:p>
            <w:pPr>
              <w:pStyle w:val="26"/>
              <w:keepNext w:val="0"/>
              <w:keepLines w:val="0"/>
              <w:pageBreakBefore w:val="0"/>
              <w:widowControl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以上内容不存在瑕疵:</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pPr>
              <w:pStyle w:val="26"/>
              <w:keepNext w:val="0"/>
              <w:keepLines w:val="0"/>
              <w:pageBreakBefore w:val="0"/>
              <w:widowControl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以上内容存在1处瑕疵:</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pPr>
              <w:pStyle w:val="26"/>
              <w:keepNext w:val="0"/>
              <w:keepLines w:val="0"/>
              <w:pageBreakBefore w:val="0"/>
              <w:widowControl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以上内容存在2处瑕疵:</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pPr>
              <w:pStyle w:val="26"/>
              <w:keepNext w:val="0"/>
              <w:keepLines w:val="0"/>
              <w:pageBreakBefore w:val="0"/>
              <w:widowControl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以上内容存在3处瑕疵:</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pPr>
              <w:pStyle w:val="26"/>
              <w:keepNext w:val="0"/>
              <w:keepLines w:val="0"/>
              <w:pageBreakBefore w:val="0"/>
              <w:widowControl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未提供方案或不满足施工要求或内容存在</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处及以上瑕疵:0分</w:t>
            </w:r>
            <w:r>
              <w:rPr>
                <w:rFonts w:hint="eastAsia" w:ascii="宋体" w:hAnsi="宋体" w:cs="宋体"/>
                <w:color w:val="auto"/>
                <w:sz w:val="22"/>
                <w:szCs w:val="22"/>
                <w:highlight w:val="none"/>
                <w:lang w:eastAsia="zh-CN"/>
              </w:rPr>
              <w:t>。</w:t>
            </w:r>
          </w:p>
          <w:p>
            <w:pPr>
              <w:pStyle w:val="26"/>
              <w:keepNext w:val="0"/>
              <w:keepLines w:val="0"/>
              <w:pageBreakBefore w:val="0"/>
              <w:widowControl w:val="0"/>
              <w:spacing w:line="360" w:lineRule="auto"/>
              <w:jc w:val="left"/>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本项所称“瑕疵”是指内容缺项、不完整或缺少关键点:非专门针对本工程或不适用本工程特性、套用其他工程内容</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对同一问题前后表述矛盾</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存在逻辑漏洞、科学原理或常识错误</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不利于本工程目标的实现、现有技术条件下不可能出现的情形等任意一种情形)。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 w:hRule="atLeast"/>
          <w:jc w:val="center"/>
        </w:trPr>
        <w:tc>
          <w:tcPr>
            <w:tcW w:w="1208" w:type="dxa"/>
            <w:vMerge w:val="continue"/>
            <w:tcBorders>
              <w:left w:val="single" w:color="auto" w:sz="4" w:space="0"/>
              <w:right w:val="single" w:color="auto" w:sz="4" w:space="0"/>
            </w:tcBorders>
          </w:tcPr>
          <w:p>
            <w:pPr>
              <w:pageBreakBefore w:val="0"/>
              <w:spacing w:line="360" w:lineRule="auto"/>
              <w:jc w:val="center"/>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widowControl w:val="0"/>
              <w:spacing w:line="360" w:lineRule="auto"/>
              <w:jc w:val="center"/>
              <w:rPr>
                <w:rFonts w:hint="eastAsia" w:ascii="宋体" w:hAnsi="宋体" w:cs="宋体"/>
                <w:color w:val="000000"/>
                <w:sz w:val="22"/>
                <w:szCs w:val="22"/>
                <w:highlight w:val="none"/>
                <w:lang w:val="en-US" w:eastAsia="zh-CN"/>
              </w:rPr>
            </w:pPr>
          </w:p>
          <w:p>
            <w:pPr>
              <w:pStyle w:val="26"/>
              <w:keepNext w:val="0"/>
              <w:keepLines w:val="0"/>
              <w:pageBreakBefore w:val="0"/>
              <w:widowControl w:val="0"/>
              <w:spacing w:line="360" w:lineRule="auto"/>
              <w:jc w:val="center"/>
              <w:rPr>
                <w:rFonts w:hint="eastAsia" w:ascii="宋体" w:hAnsi="宋体" w:cs="宋体"/>
                <w:color w:val="000000"/>
                <w:sz w:val="22"/>
                <w:szCs w:val="22"/>
                <w:highlight w:val="none"/>
                <w:lang w:val="en-US" w:eastAsia="zh-CN"/>
              </w:rPr>
            </w:pPr>
          </w:p>
          <w:p>
            <w:pPr>
              <w:pStyle w:val="26"/>
              <w:keepNext w:val="0"/>
              <w:keepLines w:val="0"/>
              <w:pageBreakBefore w:val="0"/>
              <w:widowControl w:val="0"/>
              <w:spacing w:line="360" w:lineRule="auto"/>
              <w:jc w:val="center"/>
              <w:rPr>
                <w:rFonts w:hint="eastAsia" w:ascii="宋体" w:hAnsi="宋体" w:cs="宋体"/>
                <w:color w:val="000000"/>
                <w:sz w:val="22"/>
                <w:szCs w:val="22"/>
                <w:highlight w:val="none"/>
                <w:lang w:val="en-US" w:eastAsia="zh-CN"/>
              </w:rPr>
            </w:pPr>
          </w:p>
          <w:p>
            <w:pPr>
              <w:pStyle w:val="26"/>
              <w:keepNext w:val="0"/>
              <w:keepLines w:val="0"/>
              <w:pageBreakBefore w:val="0"/>
              <w:widowControl w:val="0"/>
              <w:spacing w:line="360" w:lineRule="auto"/>
              <w:jc w:val="center"/>
              <w:rPr>
                <w:rFonts w:hint="eastAsia" w:ascii="宋体" w:hAnsi="宋体" w:cs="宋体"/>
                <w:color w:val="000000"/>
                <w:sz w:val="22"/>
                <w:szCs w:val="22"/>
                <w:highlight w:val="none"/>
                <w:lang w:val="en-US" w:eastAsia="zh-CN"/>
              </w:rPr>
            </w:pPr>
          </w:p>
          <w:p>
            <w:pPr>
              <w:pStyle w:val="26"/>
              <w:keepNext w:val="0"/>
              <w:keepLines w:val="0"/>
              <w:pageBreakBefore w:val="0"/>
              <w:widowControl w:val="0"/>
              <w:spacing w:line="360" w:lineRule="auto"/>
              <w:jc w:val="center"/>
              <w:rPr>
                <w:rFonts w:hint="eastAsia" w:ascii="宋体" w:hAnsi="宋体" w:cs="宋体"/>
                <w:color w:val="000000"/>
                <w:sz w:val="22"/>
                <w:szCs w:val="22"/>
                <w:highlight w:val="none"/>
                <w:lang w:val="en-US" w:eastAsia="zh-CN"/>
              </w:rPr>
            </w:pPr>
          </w:p>
          <w:p>
            <w:pPr>
              <w:pStyle w:val="26"/>
              <w:keepNext w:val="0"/>
              <w:keepLines w:val="0"/>
              <w:pageBreakBefore w:val="0"/>
              <w:widowControl w:val="0"/>
              <w:spacing w:line="360" w:lineRule="auto"/>
              <w:jc w:val="center"/>
              <w:rPr>
                <w:rFonts w:hint="eastAsia"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施工进度计划及保证措施</w:t>
            </w:r>
          </w:p>
          <w:p>
            <w:pPr>
              <w:pStyle w:val="26"/>
              <w:keepNext w:val="0"/>
              <w:keepLines w:val="0"/>
              <w:pageBreakBefore w:val="0"/>
              <w:widowControl w:val="0"/>
              <w:spacing w:line="360" w:lineRule="auto"/>
              <w:jc w:val="center"/>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r>
              <w:rPr>
                <w:rFonts w:hint="eastAsia" w:ascii="宋体" w:hAnsi="宋体" w:cs="宋体"/>
                <w:color w:val="000000"/>
                <w:sz w:val="22"/>
                <w:szCs w:val="22"/>
                <w:highlight w:val="none"/>
                <w:lang w:val="en-US" w:eastAsia="zh-CN"/>
              </w:rPr>
              <w:t>（8分）</w:t>
            </w:r>
          </w:p>
        </w:tc>
        <w:tc>
          <w:tcPr>
            <w:tcW w:w="6543" w:type="dxa"/>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widowControl w:val="0"/>
              <w:spacing w:line="360" w:lineRule="auto"/>
              <w:jc w:val="left"/>
              <w:rPr>
                <w:rFonts w:hint="eastAsia" w:ascii="宋体" w:hAnsi="宋体" w:cs="宋体"/>
                <w:color w:val="000000"/>
                <w:sz w:val="22"/>
                <w:szCs w:val="22"/>
                <w:highlight w:val="none"/>
              </w:rPr>
            </w:pPr>
            <w:r>
              <w:rPr>
                <w:rFonts w:hint="eastAsia" w:ascii="宋体" w:hAnsi="宋体" w:cs="宋体"/>
                <w:color w:val="000000"/>
                <w:sz w:val="22"/>
                <w:szCs w:val="22"/>
                <w:highlight w:val="none"/>
              </w:rPr>
              <w:t>根据供应商提供</w:t>
            </w:r>
            <w:r>
              <w:rPr>
                <w:rFonts w:hint="eastAsia" w:ascii="宋体" w:hAnsi="宋体" w:cs="宋体"/>
                <w:color w:val="000000"/>
                <w:sz w:val="22"/>
                <w:szCs w:val="22"/>
                <w:highlight w:val="none"/>
                <w:lang w:val="en-US" w:eastAsia="zh-CN"/>
              </w:rPr>
              <w:t>的施工进度计划及保证措施中</w:t>
            </w:r>
            <w:r>
              <w:rPr>
                <w:rFonts w:hint="eastAsia" w:ascii="宋体" w:hAnsi="宋体" w:cs="宋体"/>
                <w:color w:val="000000"/>
                <w:sz w:val="22"/>
                <w:szCs w:val="22"/>
                <w:highlight w:val="none"/>
              </w:rPr>
              <w:t>针对本项目工程特点、工程进度计划安排、计划开工竣工日期、关键工作计划及工期保证措施等方面进行总体评价。</w:t>
            </w:r>
          </w:p>
          <w:p>
            <w:pPr>
              <w:pStyle w:val="26"/>
              <w:keepNext w:val="0"/>
              <w:keepLines w:val="0"/>
              <w:pageBreakBefore w:val="0"/>
              <w:widowControl w:val="0"/>
              <w:spacing w:line="360" w:lineRule="auto"/>
              <w:jc w:val="left"/>
              <w:rPr>
                <w:rFonts w:hint="eastAsia" w:ascii="宋体" w:hAnsi="宋体" w:eastAsia="宋体" w:cs="宋体"/>
                <w:color w:val="000000"/>
                <w:sz w:val="22"/>
                <w:szCs w:val="22"/>
                <w:highlight w:val="none"/>
                <w:lang w:eastAsia="zh-CN"/>
              </w:rPr>
            </w:pPr>
            <w:r>
              <w:rPr>
                <w:rFonts w:hint="eastAsia" w:ascii="宋体" w:hAnsi="宋体" w:cs="宋体"/>
                <w:color w:val="000000"/>
                <w:sz w:val="22"/>
                <w:szCs w:val="22"/>
                <w:highlight w:val="none"/>
                <w:lang w:eastAsia="zh-CN"/>
              </w:rPr>
              <w:t>（</w:t>
            </w:r>
            <w:r>
              <w:rPr>
                <w:rFonts w:hint="eastAsia" w:ascii="宋体" w:hAnsi="宋体" w:cs="宋体"/>
                <w:color w:val="000000"/>
                <w:sz w:val="22"/>
                <w:szCs w:val="22"/>
                <w:highlight w:val="none"/>
                <w:lang w:val="en-US" w:eastAsia="zh-CN"/>
              </w:rPr>
              <w:t>1</w:t>
            </w:r>
            <w:r>
              <w:rPr>
                <w:rFonts w:hint="eastAsia" w:ascii="宋体" w:hAnsi="宋体" w:cs="宋体"/>
                <w:color w:val="000000"/>
                <w:sz w:val="22"/>
                <w:szCs w:val="22"/>
                <w:highlight w:val="none"/>
                <w:lang w:eastAsia="zh-CN"/>
              </w:rPr>
              <w:t>）</w:t>
            </w:r>
            <w:r>
              <w:rPr>
                <w:rFonts w:hint="eastAsia" w:ascii="宋体" w:hAnsi="宋体" w:cs="宋体"/>
                <w:color w:val="000000"/>
                <w:sz w:val="22"/>
                <w:szCs w:val="22"/>
                <w:highlight w:val="none"/>
              </w:rPr>
              <w:t>以上内容不存在瑕疵:</w:t>
            </w:r>
            <w:r>
              <w:rPr>
                <w:rFonts w:hint="eastAsia" w:ascii="宋体" w:hAnsi="宋体" w:cs="宋体"/>
                <w:color w:val="000000"/>
                <w:sz w:val="22"/>
                <w:szCs w:val="22"/>
                <w:highlight w:val="none"/>
                <w:lang w:val="en-US" w:eastAsia="zh-CN"/>
              </w:rPr>
              <w:t>8</w:t>
            </w:r>
            <w:r>
              <w:rPr>
                <w:rFonts w:hint="eastAsia" w:ascii="宋体" w:hAnsi="宋体" w:cs="宋体"/>
                <w:color w:val="000000"/>
                <w:sz w:val="22"/>
                <w:szCs w:val="22"/>
                <w:highlight w:val="none"/>
              </w:rPr>
              <w:t>分</w:t>
            </w:r>
            <w:r>
              <w:rPr>
                <w:rFonts w:hint="eastAsia" w:ascii="宋体" w:hAnsi="宋体" w:cs="宋体"/>
                <w:color w:val="000000"/>
                <w:sz w:val="22"/>
                <w:szCs w:val="22"/>
                <w:highlight w:val="none"/>
                <w:lang w:eastAsia="zh-CN"/>
              </w:rPr>
              <w:t>；</w:t>
            </w:r>
          </w:p>
          <w:p>
            <w:pPr>
              <w:pStyle w:val="26"/>
              <w:keepNext w:val="0"/>
              <w:keepLines w:val="0"/>
              <w:pageBreakBefore w:val="0"/>
              <w:widowControl w:val="0"/>
              <w:spacing w:line="360" w:lineRule="auto"/>
              <w:jc w:val="left"/>
              <w:rPr>
                <w:rFonts w:hint="eastAsia" w:ascii="宋体" w:hAnsi="宋体" w:eastAsia="宋体" w:cs="宋体"/>
                <w:color w:val="000000"/>
                <w:sz w:val="22"/>
                <w:szCs w:val="22"/>
                <w:highlight w:val="none"/>
                <w:lang w:eastAsia="zh-CN"/>
              </w:rPr>
            </w:pPr>
            <w:r>
              <w:rPr>
                <w:rFonts w:hint="eastAsia" w:ascii="宋体" w:hAnsi="宋体" w:cs="宋体"/>
                <w:color w:val="000000"/>
                <w:sz w:val="22"/>
                <w:szCs w:val="22"/>
                <w:highlight w:val="none"/>
                <w:lang w:eastAsia="zh-CN"/>
              </w:rPr>
              <w:t>（</w:t>
            </w:r>
            <w:r>
              <w:rPr>
                <w:rFonts w:hint="eastAsia" w:ascii="宋体" w:hAnsi="宋体" w:cs="宋体"/>
                <w:color w:val="000000"/>
                <w:sz w:val="22"/>
                <w:szCs w:val="22"/>
                <w:highlight w:val="none"/>
                <w:lang w:val="en-US" w:eastAsia="zh-CN"/>
              </w:rPr>
              <w:t>2</w:t>
            </w:r>
            <w:r>
              <w:rPr>
                <w:rFonts w:hint="eastAsia" w:ascii="宋体" w:hAnsi="宋体" w:cs="宋体"/>
                <w:color w:val="000000"/>
                <w:sz w:val="22"/>
                <w:szCs w:val="22"/>
                <w:highlight w:val="none"/>
                <w:lang w:eastAsia="zh-CN"/>
              </w:rPr>
              <w:t>）</w:t>
            </w:r>
            <w:r>
              <w:rPr>
                <w:rFonts w:hint="eastAsia" w:ascii="宋体" w:hAnsi="宋体" w:cs="宋体"/>
                <w:color w:val="000000"/>
                <w:sz w:val="22"/>
                <w:szCs w:val="22"/>
                <w:highlight w:val="none"/>
              </w:rPr>
              <w:t>以上内容存在1处瑕疵:</w:t>
            </w:r>
            <w:r>
              <w:rPr>
                <w:rFonts w:hint="eastAsia" w:ascii="宋体" w:hAnsi="宋体" w:cs="宋体"/>
                <w:color w:val="000000"/>
                <w:sz w:val="22"/>
                <w:szCs w:val="22"/>
                <w:highlight w:val="none"/>
                <w:lang w:val="en-US" w:eastAsia="zh-CN"/>
              </w:rPr>
              <w:t>6</w:t>
            </w:r>
            <w:r>
              <w:rPr>
                <w:rFonts w:hint="eastAsia" w:ascii="宋体" w:hAnsi="宋体" w:cs="宋体"/>
                <w:color w:val="000000"/>
                <w:sz w:val="22"/>
                <w:szCs w:val="22"/>
                <w:highlight w:val="none"/>
              </w:rPr>
              <w:t>分</w:t>
            </w:r>
            <w:r>
              <w:rPr>
                <w:rFonts w:hint="eastAsia" w:ascii="宋体" w:hAnsi="宋体" w:cs="宋体"/>
                <w:color w:val="000000"/>
                <w:sz w:val="22"/>
                <w:szCs w:val="22"/>
                <w:highlight w:val="none"/>
                <w:lang w:eastAsia="zh-CN"/>
              </w:rPr>
              <w:t>；</w:t>
            </w:r>
          </w:p>
          <w:p>
            <w:pPr>
              <w:pStyle w:val="26"/>
              <w:keepNext w:val="0"/>
              <w:keepLines w:val="0"/>
              <w:pageBreakBefore w:val="0"/>
              <w:widowControl w:val="0"/>
              <w:spacing w:line="360" w:lineRule="auto"/>
              <w:jc w:val="left"/>
              <w:rPr>
                <w:rFonts w:hint="eastAsia" w:ascii="宋体" w:hAnsi="宋体" w:eastAsia="宋体" w:cs="宋体"/>
                <w:color w:val="000000"/>
                <w:sz w:val="22"/>
                <w:szCs w:val="22"/>
                <w:highlight w:val="none"/>
                <w:lang w:eastAsia="zh-CN"/>
              </w:rPr>
            </w:pPr>
            <w:r>
              <w:rPr>
                <w:rFonts w:hint="eastAsia" w:ascii="宋体" w:hAnsi="宋体" w:cs="宋体"/>
                <w:color w:val="000000"/>
                <w:sz w:val="22"/>
                <w:szCs w:val="22"/>
                <w:highlight w:val="none"/>
                <w:lang w:eastAsia="zh-CN"/>
              </w:rPr>
              <w:t>（</w:t>
            </w:r>
            <w:r>
              <w:rPr>
                <w:rFonts w:hint="eastAsia" w:ascii="宋体" w:hAnsi="宋体" w:cs="宋体"/>
                <w:color w:val="000000"/>
                <w:sz w:val="22"/>
                <w:szCs w:val="22"/>
                <w:highlight w:val="none"/>
                <w:lang w:val="en-US" w:eastAsia="zh-CN"/>
              </w:rPr>
              <w:t>3</w:t>
            </w:r>
            <w:r>
              <w:rPr>
                <w:rFonts w:hint="eastAsia" w:ascii="宋体" w:hAnsi="宋体" w:cs="宋体"/>
                <w:color w:val="000000"/>
                <w:sz w:val="22"/>
                <w:szCs w:val="22"/>
                <w:highlight w:val="none"/>
                <w:lang w:eastAsia="zh-CN"/>
              </w:rPr>
              <w:t>）</w:t>
            </w:r>
            <w:r>
              <w:rPr>
                <w:rFonts w:hint="eastAsia" w:ascii="宋体" w:hAnsi="宋体" w:cs="宋体"/>
                <w:color w:val="000000"/>
                <w:sz w:val="22"/>
                <w:szCs w:val="22"/>
                <w:highlight w:val="none"/>
              </w:rPr>
              <w:t>以上内容存在2处瑕疵:</w:t>
            </w:r>
            <w:r>
              <w:rPr>
                <w:rFonts w:hint="eastAsia" w:ascii="宋体" w:hAnsi="宋体" w:cs="宋体"/>
                <w:color w:val="000000"/>
                <w:sz w:val="22"/>
                <w:szCs w:val="22"/>
                <w:highlight w:val="none"/>
                <w:lang w:val="en-US" w:eastAsia="zh-CN"/>
              </w:rPr>
              <w:t>4</w:t>
            </w:r>
            <w:r>
              <w:rPr>
                <w:rFonts w:hint="eastAsia" w:ascii="宋体" w:hAnsi="宋体" w:cs="宋体"/>
                <w:color w:val="000000"/>
                <w:sz w:val="22"/>
                <w:szCs w:val="22"/>
                <w:highlight w:val="none"/>
              </w:rPr>
              <w:t>分</w:t>
            </w:r>
            <w:r>
              <w:rPr>
                <w:rFonts w:hint="eastAsia" w:ascii="宋体" w:hAnsi="宋体" w:cs="宋体"/>
                <w:color w:val="000000"/>
                <w:sz w:val="22"/>
                <w:szCs w:val="22"/>
                <w:highlight w:val="none"/>
                <w:lang w:eastAsia="zh-CN"/>
              </w:rPr>
              <w:t>；</w:t>
            </w:r>
          </w:p>
          <w:p>
            <w:pPr>
              <w:pStyle w:val="26"/>
              <w:keepNext w:val="0"/>
              <w:keepLines w:val="0"/>
              <w:pageBreakBefore w:val="0"/>
              <w:widowControl w:val="0"/>
              <w:spacing w:line="360" w:lineRule="auto"/>
              <w:jc w:val="left"/>
              <w:rPr>
                <w:rFonts w:hint="eastAsia" w:ascii="宋体" w:hAnsi="宋体" w:eastAsia="宋体" w:cs="宋体"/>
                <w:color w:val="000000"/>
                <w:sz w:val="22"/>
                <w:szCs w:val="22"/>
                <w:highlight w:val="none"/>
                <w:lang w:eastAsia="zh-CN"/>
              </w:rPr>
            </w:pPr>
            <w:r>
              <w:rPr>
                <w:rFonts w:hint="eastAsia" w:ascii="宋体" w:hAnsi="宋体" w:cs="宋体"/>
                <w:color w:val="000000"/>
                <w:sz w:val="22"/>
                <w:szCs w:val="22"/>
                <w:highlight w:val="none"/>
                <w:lang w:eastAsia="zh-CN"/>
              </w:rPr>
              <w:t>（</w:t>
            </w:r>
            <w:r>
              <w:rPr>
                <w:rFonts w:hint="eastAsia" w:ascii="宋体" w:hAnsi="宋体" w:cs="宋体"/>
                <w:color w:val="000000"/>
                <w:sz w:val="22"/>
                <w:szCs w:val="22"/>
                <w:highlight w:val="none"/>
                <w:lang w:val="en-US" w:eastAsia="zh-CN"/>
              </w:rPr>
              <w:t>4</w:t>
            </w:r>
            <w:r>
              <w:rPr>
                <w:rFonts w:hint="eastAsia" w:ascii="宋体" w:hAnsi="宋体" w:cs="宋体"/>
                <w:color w:val="000000"/>
                <w:sz w:val="22"/>
                <w:szCs w:val="22"/>
                <w:highlight w:val="none"/>
                <w:lang w:eastAsia="zh-CN"/>
              </w:rPr>
              <w:t>）</w:t>
            </w:r>
            <w:r>
              <w:rPr>
                <w:rFonts w:hint="eastAsia" w:ascii="宋体" w:hAnsi="宋体" w:cs="宋体"/>
                <w:color w:val="000000"/>
                <w:sz w:val="22"/>
                <w:szCs w:val="22"/>
                <w:highlight w:val="none"/>
              </w:rPr>
              <w:t>以上内容存在3处瑕疵:</w:t>
            </w:r>
            <w:r>
              <w:rPr>
                <w:rFonts w:hint="eastAsia" w:ascii="宋体" w:hAnsi="宋体" w:cs="宋体"/>
                <w:color w:val="000000"/>
                <w:sz w:val="22"/>
                <w:szCs w:val="22"/>
                <w:highlight w:val="none"/>
                <w:lang w:val="en-US" w:eastAsia="zh-CN"/>
              </w:rPr>
              <w:t>2</w:t>
            </w:r>
            <w:r>
              <w:rPr>
                <w:rFonts w:hint="eastAsia" w:ascii="宋体" w:hAnsi="宋体" w:cs="宋体"/>
                <w:color w:val="000000"/>
                <w:sz w:val="22"/>
                <w:szCs w:val="22"/>
                <w:highlight w:val="none"/>
              </w:rPr>
              <w:t>分</w:t>
            </w:r>
            <w:r>
              <w:rPr>
                <w:rFonts w:hint="eastAsia" w:ascii="宋体" w:hAnsi="宋体" w:cs="宋体"/>
                <w:color w:val="000000"/>
                <w:sz w:val="22"/>
                <w:szCs w:val="22"/>
                <w:highlight w:val="none"/>
                <w:lang w:eastAsia="zh-CN"/>
              </w:rPr>
              <w:t>；</w:t>
            </w:r>
          </w:p>
          <w:p>
            <w:pPr>
              <w:pStyle w:val="26"/>
              <w:keepNext w:val="0"/>
              <w:keepLines w:val="0"/>
              <w:pageBreakBefore w:val="0"/>
              <w:widowControl w:val="0"/>
              <w:spacing w:line="360" w:lineRule="auto"/>
              <w:jc w:val="left"/>
              <w:rPr>
                <w:rFonts w:hint="eastAsia" w:ascii="宋体" w:hAnsi="宋体" w:cs="宋体"/>
                <w:color w:val="000000"/>
                <w:sz w:val="22"/>
                <w:szCs w:val="22"/>
                <w:highlight w:val="none"/>
              </w:rPr>
            </w:pPr>
            <w:r>
              <w:rPr>
                <w:rFonts w:hint="eastAsia" w:ascii="宋体" w:hAnsi="宋体" w:cs="宋体"/>
                <w:color w:val="000000"/>
                <w:sz w:val="22"/>
                <w:szCs w:val="22"/>
                <w:highlight w:val="none"/>
                <w:lang w:eastAsia="zh-CN"/>
              </w:rPr>
              <w:t>（</w:t>
            </w:r>
            <w:r>
              <w:rPr>
                <w:rFonts w:hint="eastAsia" w:ascii="宋体" w:hAnsi="宋体" w:cs="宋体"/>
                <w:color w:val="000000"/>
                <w:sz w:val="22"/>
                <w:szCs w:val="22"/>
                <w:highlight w:val="none"/>
                <w:lang w:val="en-US" w:eastAsia="zh-CN"/>
              </w:rPr>
              <w:t>5</w:t>
            </w:r>
            <w:r>
              <w:rPr>
                <w:rFonts w:hint="eastAsia" w:ascii="宋体" w:hAnsi="宋体" w:cs="宋体"/>
                <w:color w:val="000000"/>
                <w:sz w:val="22"/>
                <w:szCs w:val="22"/>
                <w:highlight w:val="none"/>
                <w:lang w:eastAsia="zh-CN"/>
              </w:rPr>
              <w:t>）</w:t>
            </w:r>
            <w:r>
              <w:rPr>
                <w:rFonts w:hint="eastAsia" w:ascii="宋体" w:hAnsi="宋体" w:cs="宋体"/>
                <w:color w:val="000000"/>
                <w:sz w:val="22"/>
                <w:szCs w:val="22"/>
                <w:highlight w:val="none"/>
              </w:rPr>
              <w:t>未提供方案或不满足施工要求或内容存在</w:t>
            </w:r>
            <w:r>
              <w:rPr>
                <w:rFonts w:hint="eastAsia" w:ascii="宋体" w:hAnsi="宋体" w:cs="宋体"/>
                <w:color w:val="000000"/>
                <w:sz w:val="22"/>
                <w:szCs w:val="22"/>
                <w:highlight w:val="none"/>
                <w:lang w:val="en-US" w:eastAsia="zh-CN"/>
              </w:rPr>
              <w:t>4</w:t>
            </w:r>
            <w:r>
              <w:rPr>
                <w:rFonts w:hint="eastAsia" w:ascii="宋体" w:hAnsi="宋体" w:cs="宋体"/>
                <w:color w:val="000000"/>
                <w:sz w:val="22"/>
                <w:szCs w:val="22"/>
                <w:highlight w:val="none"/>
              </w:rPr>
              <w:t>处及以上瑕疵:0分</w:t>
            </w:r>
            <w:r>
              <w:rPr>
                <w:rFonts w:hint="eastAsia" w:ascii="宋体" w:hAnsi="宋体" w:cs="宋体"/>
                <w:color w:val="000000"/>
                <w:sz w:val="22"/>
                <w:szCs w:val="22"/>
                <w:highlight w:val="none"/>
                <w:lang w:eastAsia="zh-CN"/>
              </w:rPr>
              <w:t>。</w:t>
            </w:r>
          </w:p>
          <w:p>
            <w:pPr>
              <w:pStyle w:val="26"/>
              <w:keepNext w:val="0"/>
              <w:keepLines w:val="0"/>
              <w:pageBreakBefore w:val="0"/>
              <w:widowControl w:val="0"/>
              <w:spacing w:line="360" w:lineRule="auto"/>
              <w:jc w:val="left"/>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r>
              <w:rPr>
                <w:rFonts w:hint="eastAsia" w:ascii="宋体" w:hAnsi="宋体" w:cs="宋体"/>
                <w:color w:val="000000"/>
                <w:sz w:val="22"/>
                <w:szCs w:val="22"/>
                <w:highlight w:val="none"/>
                <w:lang w:val="en-US" w:eastAsia="zh-CN"/>
              </w:rPr>
              <w:t>(本项所称“瑕疵”是指内容缺项、不完整或缺少关键点；非专门针对本工程或不适用本工程特性、套用其他工程内容；对同一问题前后表述矛盾；存在逻辑漏洞、科学原理或常识错误；不利于本工程目标的实现、现有技术条件下不可能出现的情形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208" w:type="dxa"/>
            <w:vMerge w:val="continue"/>
            <w:tcBorders>
              <w:left w:val="single" w:color="auto" w:sz="4" w:space="0"/>
              <w:right w:val="single" w:color="auto" w:sz="4" w:space="0"/>
            </w:tcBorders>
          </w:tcPr>
          <w:p>
            <w:pPr>
              <w:pageBreakBefore w:val="0"/>
              <w:spacing w:line="360" w:lineRule="auto"/>
              <w:jc w:val="center"/>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widowControl w:val="0"/>
              <w:spacing w:line="360" w:lineRule="auto"/>
              <w:jc w:val="center"/>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r>
              <w:rPr>
                <w:rFonts w:hint="eastAsia" w:ascii="宋体" w:hAnsi="宋体" w:cs="宋体"/>
                <w:color w:val="000000"/>
                <w:sz w:val="22"/>
                <w:szCs w:val="22"/>
                <w:highlight w:val="none"/>
              </w:rPr>
              <w:t>施工质量保证</w:t>
            </w:r>
            <w:r>
              <w:rPr>
                <w:rFonts w:hint="eastAsia" w:ascii="宋体" w:hAnsi="宋体" w:cs="宋体"/>
                <w:color w:val="000000"/>
                <w:sz w:val="22"/>
                <w:szCs w:val="22"/>
                <w:highlight w:val="none"/>
                <w:lang w:val="en-US" w:eastAsia="zh-CN"/>
              </w:rPr>
              <w:t>措施</w:t>
            </w:r>
            <w:r>
              <w:rPr>
                <w:rFonts w:hint="eastAsia" w:ascii="宋体" w:hAnsi="宋体" w:cs="宋体"/>
                <w:color w:val="000000"/>
                <w:sz w:val="22"/>
                <w:szCs w:val="22"/>
                <w:highlight w:val="none"/>
                <w:lang w:eastAsia="zh-CN"/>
              </w:rPr>
              <w:t>（</w:t>
            </w:r>
            <w:r>
              <w:rPr>
                <w:rFonts w:hint="eastAsia" w:ascii="宋体" w:hAnsi="宋体" w:cs="宋体"/>
                <w:color w:val="000000"/>
                <w:sz w:val="22"/>
                <w:szCs w:val="22"/>
                <w:highlight w:val="none"/>
                <w:lang w:val="en-US" w:eastAsia="zh-CN"/>
              </w:rPr>
              <w:t>8</w:t>
            </w:r>
            <w:r>
              <w:rPr>
                <w:rFonts w:hint="eastAsia" w:ascii="宋体" w:hAnsi="宋体" w:cs="宋体"/>
                <w:color w:val="000000"/>
                <w:sz w:val="22"/>
                <w:szCs w:val="22"/>
                <w:highlight w:val="none"/>
              </w:rPr>
              <w:t>分)</w:t>
            </w:r>
          </w:p>
        </w:tc>
        <w:tc>
          <w:tcPr>
            <w:tcW w:w="6543" w:type="dxa"/>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widowControl w:val="0"/>
              <w:spacing w:line="360" w:lineRule="auto"/>
              <w:ind w:right="-191"/>
              <w:jc w:val="left"/>
              <w:rPr>
                <w:rFonts w:hint="eastAsia" w:ascii="宋体" w:hAnsi="宋体" w:cs="宋体"/>
                <w:color w:val="000000"/>
                <w:sz w:val="22"/>
                <w:szCs w:val="22"/>
                <w:highlight w:val="none"/>
              </w:rPr>
            </w:pPr>
            <w:r>
              <w:rPr>
                <w:rFonts w:hint="eastAsia" w:ascii="宋体" w:hAnsi="宋体" w:cs="宋体"/>
                <w:color w:val="000000"/>
                <w:sz w:val="22"/>
                <w:szCs w:val="22"/>
                <w:highlight w:val="none"/>
              </w:rPr>
              <w:t>根据供应商提供的</w:t>
            </w:r>
            <w:r>
              <w:rPr>
                <w:rFonts w:hint="eastAsia" w:ascii="宋体" w:hAnsi="宋体" w:cs="宋体"/>
                <w:color w:val="000000"/>
                <w:sz w:val="22"/>
                <w:szCs w:val="22"/>
                <w:highlight w:val="none"/>
                <w:lang w:val="en-US" w:eastAsia="zh-CN"/>
              </w:rPr>
              <w:t>施工</w:t>
            </w:r>
            <w:r>
              <w:rPr>
                <w:rFonts w:hint="eastAsia" w:ascii="宋体" w:hAnsi="宋体" w:cs="宋体"/>
                <w:color w:val="000000"/>
                <w:sz w:val="22"/>
                <w:szCs w:val="22"/>
                <w:highlight w:val="none"/>
              </w:rPr>
              <w:t>质量保证措施</w:t>
            </w:r>
            <w:r>
              <w:rPr>
                <w:rFonts w:hint="eastAsia" w:ascii="宋体" w:hAnsi="宋体" w:cs="宋体"/>
                <w:color w:val="000000"/>
                <w:sz w:val="22"/>
                <w:szCs w:val="22"/>
                <w:highlight w:val="none"/>
                <w:lang w:val="en-US" w:eastAsia="zh-CN"/>
              </w:rPr>
              <w:t>中</w:t>
            </w:r>
            <w:r>
              <w:rPr>
                <w:rFonts w:hint="eastAsia" w:ascii="宋体" w:hAnsi="宋体" w:cs="宋体"/>
                <w:color w:val="000000"/>
                <w:sz w:val="22"/>
                <w:szCs w:val="22"/>
                <w:highlight w:val="none"/>
              </w:rPr>
              <w:t>对施工质量管理规划及目标、施工质量保证措施及突发情况预防方式等方面进行总体评价。</w:t>
            </w:r>
          </w:p>
          <w:p>
            <w:pPr>
              <w:pStyle w:val="26"/>
              <w:keepNext w:val="0"/>
              <w:keepLines w:val="0"/>
              <w:pageBreakBefore w:val="0"/>
              <w:widowControl w:val="0"/>
              <w:spacing w:line="360" w:lineRule="auto"/>
              <w:jc w:val="left"/>
              <w:rPr>
                <w:rFonts w:hint="eastAsia" w:ascii="宋体" w:hAnsi="宋体" w:eastAsia="宋体" w:cs="宋体"/>
                <w:color w:val="000000"/>
                <w:sz w:val="22"/>
                <w:szCs w:val="22"/>
                <w:highlight w:val="none"/>
                <w:lang w:eastAsia="zh-CN"/>
              </w:rPr>
            </w:pPr>
            <w:r>
              <w:rPr>
                <w:rFonts w:hint="eastAsia" w:ascii="宋体" w:hAnsi="宋体" w:cs="宋体"/>
                <w:color w:val="000000"/>
                <w:sz w:val="22"/>
                <w:szCs w:val="22"/>
                <w:highlight w:val="none"/>
                <w:lang w:eastAsia="zh-CN"/>
              </w:rPr>
              <w:t>（</w:t>
            </w:r>
            <w:r>
              <w:rPr>
                <w:rFonts w:hint="eastAsia" w:ascii="宋体" w:hAnsi="宋体" w:cs="宋体"/>
                <w:color w:val="000000"/>
                <w:sz w:val="22"/>
                <w:szCs w:val="22"/>
                <w:highlight w:val="none"/>
                <w:lang w:val="en-US" w:eastAsia="zh-CN"/>
              </w:rPr>
              <w:t>1</w:t>
            </w:r>
            <w:r>
              <w:rPr>
                <w:rFonts w:hint="eastAsia" w:ascii="宋体" w:hAnsi="宋体" w:cs="宋体"/>
                <w:color w:val="000000"/>
                <w:sz w:val="22"/>
                <w:szCs w:val="22"/>
                <w:highlight w:val="none"/>
                <w:lang w:eastAsia="zh-CN"/>
              </w:rPr>
              <w:t>）</w:t>
            </w:r>
            <w:r>
              <w:rPr>
                <w:rFonts w:hint="eastAsia" w:ascii="宋体" w:hAnsi="宋体" w:cs="宋体"/>
                <w:color w:val="000000"/>
                <w:sz w:val="22"/>
                <w:szCs w:val="22"/>
                <w:highlight w:val="none"/>
              </w:rPr>
              <w:t>以上内容不存在瑕疵:</w:t>
            </w:r>
            <w:r>
              <w:rPr>
                <w:rFonts w:hint="eastAsia" w:ascii="宋体" w:hAnsi="宋体" w:cs="宋体"/>
                <w:color w:val="000000"/>
                <w:sz w:val="22"/>
                <w:szCs w:val="22"/>
                <w:highlight w:val="none"/>
                <w:lang w:val="en-US" w:eastAsia="zh-CN"/>
              </w:rPr>
              <w:t>8</w:t>
            </w:r>
            <w:r>
              <w:rPr>
                <w:rFonts w:hint="eastAsia" w:ascii="宋体" w:hAnsi="宋体" w:cs="宋体"/>
                <w:color w:val="000000"/>
                <w:sz w:val="22"/>
                <w:szCs w:val="22"/>
                <w:highlight w:val="none"/>
              </w:rPr>
              <w:t>分</w:t>
            </w:r>
            <w:r>
              <w:rPr>
                <w:rFonts w:hint="eastAsia" w:ascii="宋体" w:hAnsi="宋体" w:cs="宋体"/>
                <w:color w:val="000000"/>
                <w:sz w:val="22"/>
                <w:szCs w:val="22"/>
                <w:highlight w:val="none"/>
                <w:lang w:eastAsia="zh-CN"/>
              </w:rPr>
              <w:t>；</w:t>
            </w:r>
          </w:p>
          <w:p>
            <w:pPr>
              <w:pStyle w:val="26"/>
              <w:keepNext w:val="0"/>
              <w:keepLines w:val="0"/>
              <w:pageBreakBefore w:val="0"/>
              <w:widowControl w:val="0"/>
              <w:spacing w:line="360" w:lineRule="auto"/>
              <w:jc w:val="left"/>
              <w:rPr>
                <w:rFonts w:hint="eastAsia" w:ascii="宋体" w:hAnsi="宋体" w:eastAsia="宋体" w:cs="宋体"/>
                <w:color w:val="000000"/>
                <w:sz w:val="22"/>
                <w:szCs w:val="22"/>
                <w:highlight w:val="none"/>
                <w:lang w:eastAsia="zh-CN"/>
              </w:rPr>
            </w:pPr>
            <w:r>
              <w:rPr>
                <w:rFonts w:hint="eastAsia" w:ascii="宋体" w:hAnsi="宋体" w:cs="宋体"/>
                <w:color w:val="000000"/>
                <w:sz w:val="22"/>
                <w:szCs w:val="22"/>
                <w:highlight w:val="none"/>
                <w:lang w:eastAsia="zh-CN"/>
              </w:rPr>
              <w:t>（</w:t>
            </w:r>
            <w:r>
              <w:rPr>
                <w:rFonts w:hint="eastAsia" w:ascii="宋体" w:hAnsi="宋体" w:cs="宋体"/>
                <w:color w:val="000000"/>
                <w:sz w:val="22"/>
                <w:szCs w:val="22"/>
                <w:highlight w:val="none"/>
                <w:lang w:val="en-US" w:eastAsia="zh-CN"/>
              </w:rPr>
              <w:t>2</w:t>
            </w:r>
            <w:r>
              <w:rPr>
                <w:rFonts w:hint="eastAsia" w:ascii="宋体" w:hAnsi="宋体" w:cs="宋体"/>
                <w:color w:val="000000"/>
                <w:sz w:val="22"/>
                <w:szCs w:val="22"/>
                <w:highlight w:val="none"/>
                <w:lang w:eastAsia="zh-CN"/>
              </w:rPr>
              <w:t>）</w:t>
            </w:r>
            <w:r>
              <w:rPr>
                <w:rFonts w:hint="eastAsia" w:ascii="宋体" w:hAnsi="宋体" w:cs="宋体"/>
                <w:color w:val="000000"/>
                <w:sz w:val="22"/>
                <w:szCs w:val="22"/>
                <w:highlight w:val="none"/>
              </w:rPr>
              <w:t>以上内容存在1处瑕疵:</w:t>
            </w:r>
            <w:r>
              <w:rPr>
                <w:rFonts w:hint="eastAsia" w:ascii="宋体" w:hAnsi="宋体" w:cs="宋体"/>
                <w:color w:val="000000"/>
                <w:sz w:val="22"/>
                <w:szCs w:val="22"/>
                <w:highlight w:val="none"/>
                <w:lang w:val="en-US" w:eastAsia="zh-CN"/>
              </w:rPr>
              <w:t>6</w:t>
            </w:r>
            <w:r>
              <w:rPr>
                <w:rFonts w:hint="eastAsia" w:ascii="宋体" w:hAnsi="宋体" w:cs="宋体"/>
                <w:color w:val="000000"/>
                <w:sz w:val="22"/>
                <w:szCs w:val="22"/>
                <w:highlight w:val="none"/>
              </w:rPr>
              <w:t>分</w:t>
            </w:r>
            <w:r>
              <w:rPr>
                <w:rFonts w:hint="eastAsia" w:ascii="宋体" w:hAnsi="宋体" w:cs="宋体"/>
                <w:color w:val="000000"/>
                <w:sz w:val="22"/>
                <w:szCs w:val="22"/>
                <w:highlight w:val="none"/>
                <w:lang w:eastAsia="zh-CN"/>
              </w:rPr>
              <w:t>；</w:t>
            </w:r>
          </w:p>
          <w:p>
            <w:pPr>
              <w:pStyle w:val="26"/>
              <w:keepNext w:val="0"/>
              <w:keepLines w:val="0"/>
              <w:pageBreakBefore w:val="0"/>
              <w:widowControl w:val="0"/>
              <w:spacing w:line="360" w:lineRule="auto"/>
              <w:jc w:val="left"/>
              <w:rPr>
                <w:rFonts w:hint="eastAsia" w:ascii="宋体" w:hAnsi="宋体" w:eastAsia="宋体" w:cs="宋体"/>
                <w:color w:val="000000"/>
                <w:sz w:val="22"/>
                <w:szCs w:val="22"/>
                <w:highlight w:val="none"/>
                <w:lang w:eastAsia="zh-CN"/>
              </w:rPr>
            </w:pPr>
            <w:r>
              <w:rPr>
                <w:rFonts w:hint="eastAsia" w:ascii="宋体" w:hAnsi="宋体" w:cs="宋体"/>
                <w:color w:val="000000"/>
                <w:sz w:val="22"/>
                <w:szCs w:val="22"/>
                <w:highlight w:val="none"/>
                <w:lang w:eastAsia="zh-CN"/>
              </w:rPr>
              <w:t>（</w:t>
            </w:r>
            <w:r>
              <w:rPr>
                <w:rFonts w:hint="eastAsia" w:ascii="宋体" w:hAnsi="宋体" w:cs="宋体"/>
                <w:color w:val="000000"/>
                <w:sz w:val="22"/>
                <w:szCs w:val="22"/>
                <w:highlight w:val="none"/>
                <w:lang w:val="en-US" w:eastAsia="zh-CN"/>
              </w:rPr>
              <w:t>3</w:t>
            </w:r>
            <w:r>
              <w:rPr>
                <w:rFonts w:hint="eastAsia" w:ascii="宋体" w:hAnsi="宋体" w:cs="宋体"/>
                <w:color w:val="000000"/>
                <w:sz w:val="22"/>
                <w:szCs w:val="22"/>
                <w:highlight w:val="none"/>
                <w:lang w:eastAsia="zh-CN"/>
              </w:rPr>
              <w:t>）</w:t>
            </w:r>
            <w:r>
              <w:rPr>
                <w:rFonts w:hint="eastAsia" w:ascii="宋体" w:hAnsi="宋体" w:cs="宋体"/>
                <w:color w:val="000000"/>
                <w:sz w:val="22"/>
                <w:szCs w:val="22"/>
                <w:highlight w:val="none"/>
              </w:rPr>
              <w:t>以上内容存在2处瑕疵:</w:t>
            </w:r>
            <w:r>
              <w:rPr>
                <w:rFonts w:hint="eastAsia" w:ascii="宋体" w:hAnsi="宋体" w:cs="宋体"/>
                <w:color w:val="000000"/>
                <w:sz w:val="22"/>
                <w:szCs w:val="22"/>
                <w:highlight w:val="none"/>
                <w:lang w:val="en-US" w:eastAsia="zh-CN"/>
              </w:rPr>
              <w:t>4</w:t>
            </w:r>
            <w:r>
              <w:rPr>
                <w:rFonts w:hint="eastAsia" w:ascii="宋体" w:hAnsi="宋体" w:cs="宋体"/>
                <w:color w:val="000000"/>
                <w:sz w:val="22"/>
                <w:szCs w:val="22"/>
                <w:highlight w:val="none"/>
              </w:rPr>
              <w:t>分</w:t>
            </w:r>
            <w:r>
              <w:rPr>
                <w:rFonts w:hint="eastAsia" w:ascii="宋体" w:hAnsi="宋体" w:cs="宋体"/>
                <w:color w:val="000000"/>
                <w:sz w:val="22"/>
                <w:szCs w:val="22"/>
                <w:highlight w:val="none"/>
                <w:lang w:eastAsia="zh-CN"/>
              </w:rPr>
              <w:t>；</w:t>
            </w:r>
          </w:p>
          <w:p>
            <w:pPr>
              <w:pStyle w:val="26"/>
              <w:keepNext w:val="0"/>
              <w:keepLines w:val="0"/>
              <w:pageBreakBefore w:val="0"/>
              <w:widowControl w:val="0"/>
              <w:spacing w:line="360" w:lineRule="auto"/>
              <w:jc w:val="left"/>
              <w:rPr>
                <w:rFonts w:hint="eastAsia" w:ascii="宋体" w:hAnsi="宋体" w:eastAsia="宋体" w:cs="宋体"/>
                <w:color w:val="000000"/>
                <w:sz w:val="22"/>
                <w:szCs w:val="22"/>
                <w:highlight w:val="none"/>
                <w:lang w:eastAsia="zh-CN"/>
              </w:rPr>
            </w:pPr>
            <w:r>
              <w:rPr>
                <w:rFonts w:hint="eastAsia" w:ascii="宋体" w:hAnsi="宋体" w:cs="宋体"/>
                <w:color w:val="000000"/>
                <w:sz w:val="22"/>
                <w:szCs w:val="22"/>
                <w:highlight w:val="none"/>
                <w:lang w:eastAsia="zh-CN"/>
              </w:rPr>
              <w:t>（</w:t>
            </w:r>
            <w:r>
              <w:rPr>
                <w:rFonts w:hint="eastAsia" w:ascii="宋体" w:hAnsi="宋体" w:cs="宋体"/>
                <w:color w:val="000000"/>
                <w:sz w:val="22"/>
                <w:szCs w:val="22"/>
                <w:highlight w:val="none"/>
                <w:lang w:val="en-US" w:eastAsia="zh-CN"/>
              </w:rPr>
              <w:t>4</w:t>
            </w:r>
            <w:r>
              <w:rPr>
                <w:rFonts w:hint="eastAsia" w:ascii="宋体" w:hAnsi="宋体" w:cs="宋体"/>
                <w:color w:val="000000"/>
                <w:sz w:val="22"/>
                <w:szCs w:val="22"/>
                <w:highlight w:val="none"/>
                <w:lang w:eastAsia="zh-CN"/>
              </w:rPr>
              <w:t>）</w:t>
            </w:r>
            <w:r>
              <w:rPr>
                <w:rFonts w:hint="eastAsia" w:ascii="宋体" w:hAnsi="宋体" w:cs="宋体"/>
                <w:color w:val="000000"/>
                <w:sz w:val="22"/>
                <w:szCs w:val="22"/>
                <w:highlight w:val="none"/>
              </w:rPr>
              <w:t>以上内容存在3处瑕疵:</w:t>
            </w:r>
            <w:r>
              <w:rPr>
                <w:rFonts w:hint="eastAsia" w:ascii="宋体" w:hAnsi="宋体" w:cs="宋体"/>
                <w:color w:val="000000"/>
                <w:sz w:val="22"/>
                <w:szCs w:val="22"/>
                <w:highlight w:val="none"/>
                <w:lang w:val="en-US" w:eastAsia="zh-CN"/>
              </w:rPr>
              <w:t>2</w:t>
            </w:r>
            <w:r>
              <w:rPr>
                <w:rFonts w:hint="eastAsia" w:ascii="宋体" w:hAnsi="宋体" w:cs="宋体"/>
                <w:color w:val="000000"/>
                <w:sz w:val="22"/>
                <w:szCs w:val="22"/>
                <w:highlight w:val="none"/>
              </w:rPr>
              <w:t>分</w:t>
            </w:r>
            <w:r>
              <w:rPr>
                <w:rFonts w:hint="eastAsia" w:ascii="宋体" w:hAnsi="宋体" w:cs="宋体"/>
                <w:color w:val="000000"/>
                <w:sz w:val="22"/>
                <w:szCs w:val="22"/>
                <w:highlight w:val="none"/>
                <w:lang w:eastAsia="zh-CN"/>
              </w:rPr>
              <w:t>；</w:t>
            </w:r>
          </w:p>
          <w:p>
            <w:pPr>
              <w:pStyle w:val="26"/>
              <w:keepNext w:val="0"/>
              <w:keepLines w:val="0"/>
              <w:pageBreakBefore w:val="0"/>
              <w:widowControl w:val="0"/>
              <w:spacing w:line="360" w:lineRule="auto"/>
              <w:jc w:val="left"/>
              <w:rPr>
                <w:rFonts w:hint="eastAsia" w:ascii="宋体" w:hAnsi="宋体" w:cs="宋体"/>
                <w:color w:val="000000"/>
                <w:sz w:val="22"/>
                <w:szCs w:val="22"/>
                <w:highlight w:val="none"/>
              </w:rPr>
            </w:pPr>
            <w:r>
              <w:rPr>
                <w:rFonts w:hint="eastAsia" w:ascii="宋体" w:hAnsi="宋体" w:cs="宋体"/>
                <w:color w:val="000000"/>
                <w:sz w:val="22"/>
                <w:szCs w:val="22"/>
                <w:highlight w:val="none"/>
                <w:lang w:eastAsia="zh-CN"/>
              </w:rPr>
              <w:t>（</w:t>
            </w:r>
            <w:r>
              <w:rPr>
                <w:rFonts w:hint="eastAsia" w:ascii="宋体" w:hAnsi="宋体" w:cs="宋体"/>
                <w:color w:val="000000"/>
                <w:sz w:val="22"/>
                <w:szCs w:val="22"/>
                <w:highlight w:val="none"/>
                <w:lang w:val="en-US" w:eastAsia="zh-CN"/>
              </w:rPr>
              <w:t>5</w:t>
            </w:r>
            <w:r>
              <w:rPr>
                <w:rFonts w:hint="eastAsia" w:ascii="宋体" w:hAnsi="宋体" w:cs="宋体"/>
                <w:color w:val="000000"/>
                <w:sz w:val="22"/>
                <w:szCs w:val="22"/>
                <w:highlight w:val="none"/>
                <w:lang w:eastAsia="zh-CN"/>
              </w:rPr>
              <w:t>）</w:t>
            </w:r>
            <w:r>
              <w:rPr>
                <w:rFonts w:hint="eastAsia" w:ascii="宋体" w:hAnsi="宋体" w:cs="宋体"/>
                <w:color w:val="000000"/>
                <w:sz w:val="22"/>
                <w:szCs w:val="22"/>
                <w:highlight w:val="none"/>
              </w:rPr>
              <w:t>未提供方案或不满足施工要求或内容存在</w:t>
            </w:r>
            <w:r>
              <w:rPr>
                <w:rFonts w:hint="eastAsia" w:ascii="宋体" w:hAnsi="宋体" w:cs="宋体"/>
                <w:color w:val="000000"/>
                <w:sz w:val="22"/>
                <w:szCs w:val="22"/>
                <w:highlight w:val="none"/>
                <w:lang w:val="en-US" w:eastAsia="zh-CN"/>
              </w:rPr>
              <w:t>4</w:t>
            </w:r>
            <w:r>
              <w:rPr>
                <w:rFonts w:hint="eastAsia" w:ascii="宋体" w:hAnsi="宋体" w:cs="宋体"/>
                <w:color w:val="000000"/>
                <w:sz w:val="22"/>
                <w:szCs w:val="22"/>
                <w:highlight w:val="none"/>
              </w:rPr>
              <w:t>处及以上瑕疵:0分</w:t>
            </w:r>
            <w:r>
              <w:rPr>
                <w:rFonts w:hint="eastAsia" w:ascii="宋体" w:hAnsi="宋体" w:cs="宋体"/>
                <w:color w:val="000000"/>
                <w:sz w:val="22"/>
                <w:szCs w:val="22"/>
                <w:highlight w:val="none"/>
                <w:lang w:eastAsia="zh-CN"/>
              </w:rPr>
              <w:t>。</w:t>
            </w:r>
          </w:p>
          <w:p>
            <w:pPr>
              <w:pStyle w:val="26"/>
              <w:keepNext w:val="0"/>
              <w:keepLines w:val="0"/>
              <w:pageBreakBefore w:val="0"/>
              <w:widowControl w:val="0"/>
              <w:spacing w:line="360" w:lineRule="auto"/>
              <w:jc w:val="left"/>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r>
              <w:rPr>
                <w:rFonts w:hint="eastAsia" w:ascii="宋体" w:hAnsi="宋体" w:cs="宋体"/>
                <w:color w:val="000000"/>
                <w:sz w:val="22"/>
                <w:szCs w:val="22"/>
                <w:highlight w:val="none"/>
              </w:rPr>
              <w:t>(本项所称“瑕疵”是指内容缺项、不完整或缺少关键点</w:t>
            </w:r>
            <w:r>
              <w:rPr>
                <w:rFonts w:hint="eastAsia" w:ascii="宋体" w:hAnsi="宋体" w:cs="宋体"/>
                <w:color w:val="000000"/>
                <w:sz w:val="22"/>
                <w:szCs w:val="22"/>
                <w:highlight w:val="none"/>
                <w:lang w:eastAsia="zh-CN"/>
              </w:rPr>
              <w:t>；</w:t>
            </w:r>
            <w:r>
              <w:rPr>
                <w:rFonts w:hint="eastAsia" w:ascii="宋体" w:hAnsi="宋体" w:cs="宋体"/>
                <w:color w:val="000000"/>
                <w:sz w:val="22"/>
                <w:szCs w:val="22"/>
                <w:highlight w:val="none"/>
              </w:rPr>
              <w:t>非专门针对本工程或不适用本工程特性、套用其他工程内容</w:t>
            </w:r>
            <w:r>
              <w:rPr>
                <w:rFonts w:hint="eastAsia" w:ascii="宋体" w:hAnsi="宋体" w:cs="宋体"/>
                <w:color w:val="000000"/>
                <w:sz w:val="22"/>
                <w:szCs w:val="22"/>
                <w:highlight w:val="none"/>
                <w:lang w:eastAsia="zh-CN"/>
              </w:rPr>
              <w:t>；</w:t>
            </w:r>
            <w:r>
              <w:rPr>
                <w:rFonts w:hint="eastAsia" w:ascii="宋体" w:hAnsi="宋体" w:cs="宋体"/>
                <w:color w:val="000000"/>
                <w:sz w:val="22"/>
                <w:szCs w:val="22"/>
                <w:highlight w:val="none"/>
              </w:rPr>
              <w:t>对同一问题前后表述矛盾</w:t>
            </w:r>
            <w:r>
              <w:rPr>
                <w:rFonts w:hint="eastAsia" w:ascii="宋体" w:hAnsi="宋体" w:cs="宋体"/>
                <w:color w:val="000000"/>
                <w:sz w:val="22"/>
                <w:szCs w:val="22"/>
                <w:highlight w:val="none"/>
                <w:lang w:eastAsia="zh-CN"/>
              </w:rPr>
              <w:t>；</w:t>
            </w:r>
            <w:r>
              <w:rPr>
                <w:rFonts w:hint="eastAsia" w:ascii="宋体" w:hAnsi="宋体" w:cs="宋体"/>
                <w:color w:val="000000"/>
                <w:sz w:val="22"/>
                <w:szCs w:val="22"/>
                <w:highlight w:val="none"/>
              </w:rPr>
              <w:t>存在逻辑漏洞、科学原理或常识错误</w:t>
            </w:r>
            <w:r>
              <w:rPr>
                <w:rFonts w:hint="eastAsia" w:ascii="宋体" w:hAnsi="宋体" w:cs="宋体"/>
                <w:color w:val="000000"/>
                <w:sz w:val="22"/>
                <w:szCs w:val="22"/>
                <w:highlight w:val="none"/>
                <w:lang w:eastAsia="zh-CN"/>
              </w:rPr>
              <w:t>；</w:t>
            </w:r>
            <w:r>
              <w:rPr>
                <w:rFonts w:hint="eastAsia" w:ascii="宋体" w:hAnsi="宋体" w:cs="宋体"/>
                <w:color w:val="000000"/>
                <w:sz w:val="22"/>
                <w:szCs w:val="22"/>
                <w:highlight w:val="none"/>
              </w:rPr>
              <w:t>不利于本工程目标的实现、现有技术条件下不可能出现的情形等任意一种情形)。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6" w:hRule="atLeast"/>
          <w:jc w:val="center"/>
        </w:trPr>
        <w:tc>
          <w:tcPr>
            <w:tcW w:w="1208" w:type="dxa"/>
            <w:vMerge w:val="continue"/>
            <w:tcBorders>
              <w:left w:val="single" w:color="auto" w:sz="4" w:space="0"/>
              <w:right w:val="single" w:color="auto" w:sz="4" w:space="0"/>
            </w:tcBorders>
          </w:tcPr>
          <w:p>
            <w:pPr>
              <w:pageBreakBefore w:val="0"/>
              <w:spacing w:line="360" w:lineRule="auto"/>
              <w:jc w:val="center"/>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widowControl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项目管理班子人员配备、素质及管理经验</w:t>
            </w:r>
          </w:p>
          <w:p>
            <w:pPr>
              <w:pStyle w:val="26"/>
              <w:keepNext w:val="0"/>
              <w:keepLines w:val="0"/>
              <w:pageBreakBefore w:val="0"/>
              <w:widowControl w:val="0"/>
              <w:spacing w:line="360" w:lineRule="auto"/>
              <w:jc w:val="center"/>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rPr>
              <w:t>分）</w:t>
            </w:r>
          </w:p>
        </w:tc>
        <w:tc>
          <w:tcPr>
            <w:tcW w:w="6543" w:type="dxa"/>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widowControl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根据供应商提供的项目管理班子人员配备、素质及管理经验等方面进行总体评价。</w:t>
            </w:r>
          </w:p>
          <w:p>
            <w:pPr>
              <w:pStyle w:val="26"/>
              <w:keepNext w:val="0"/>
              <w:keepLines w:val="0"/>
              <w:pageBreakBefore w:val="0"/>
              <w:widowControl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以上内容不存在瑕疵:</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pPr>
              <w:pStyle w:val="26"/>
              <w:keepNext w:val="0"/>
              <w:keepLines w:val="0"/>
              <w:pageBreakBefore w:val="0"/>
              <w:widowControl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以上内容存在1处瑕疵:</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pPr>
              <w:pStyle w:val="26"/>
              <w:keepNext w:val="0"/>
              <w:keepLines w:val="0"/>
              <w:pageBreakBefore w:val="0"/>
              <w:widowControl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以上内容存在2处瑕疵:</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pPr>
              <w:pStyle w:val="26"/>
              <w:keepNext w:val="0"/>
              <w:keepLines w:val="0"/>
              <w:pageBreakBefore w:val="0"/>
              <w:widowControl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以上内容存在3处瑕疵:</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pPr>
              <w:pStyle w:val="26"/>
              <w:keepNext w:val="0"/>
              <w:keepLines w:val="0"/>
              <w:pageBreakBefore w:val="0"/>
              <w:widowControl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未提供方案或不满足施工要求或内容存在</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处及以上瑕疵:0分</w:t>
            </w:r>
            <w:r>
              <w:rPr>
                <w:rFonts w:hint="eastAsia" w:ascii="宋体" w:hAnsi="宋体" w:cs="宋体"/>
                <w:color w:val="auto"/>
                <w:sz w:val="22"/>
                <w:szCs w:val="22"/>
                <w:highlight w:val="none"/>
                <w:lang w:eastAsia="zh-CN"/>
              </w:rPr>
              <w:t>。</w:t>
            </w:r>
          </w:p>
          <w:p>
            <w:pPr>
              <w:pStyle w:val="26"/>
              <w:keepNext w:val="0"/>
              <w:keepLines w:val="0"/>
              <w:pageBreakBefore w:val="0"/>
              <w:widowControl w:val="0"/>
              <w:spacing w:line="360" w:lineRule="auto"/>
              <w:jc w:val="left"/>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r>
              <w:rPr>
                <w:rFonts w:hint="eastAsia" w:ascii="宋体" w:hAnsi="宋体" w:cs="宋体"/>
                <w:color w:val="auto"/>
                <w:sz w:val="22"/>
                <w:szCs w:val="22"/>
                <w:highlight w:val="none"/>
                <w:lang w:val="en-US" w:eastAsia="zh-CN"/>
              </w:rPr>
              <w:t>（本项所称“瑕疵”是指内容缺项、不完整或缺少关键点:非专门针对本工程或不适用本工程特性、套用其他工程内容,对同一问题前后表述矛盾；存在逻辑漏洞、科学原理或常识错误；不利于本工程目标的实现、现有技术条件下不可能出现的情形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8" w:hRule="atLeast"/>
          <w:jc w:val="center"/>
        </w:trPr>
        <w:tc>
          <w:tcPr>
            <w:tcW w:w="1208" w:type="dxa"/>
            <w:vMerge w:val="continue"/>
            <w:tcBorders>
              <w:left w:val="single" w:color="auto" w:sz="4" w:space="0"/>
              <w:right w:val="single" w:color="auto" w:sz="4" w:space="0"/>
            </w:tcBorders>
          </w:tcPr>
          <w:p>
            <w:pPr>
              <w:pageBreakBefore w:val="0"/>
              <w:spacing w:line="360" w:lineRule="auto"/>
              <w:jc w:val="center"/>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widowControl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关键施工技术、工艺及工程项目实施的重点、难点和解决方案</w:t>
            </w:r>
          </w:p>
          <w:p>
            <w:pPr>
              <w:pStyle w:val="26"/>
              <w:keepNext w:val="0"/>
              <w:keepLines w:val="0"/>
              <w:pageBreakBefore w:val="0"/>
              <w:widowControl w:val="0"/>
              <w:spacing w:line="360" w:lineRule="auto"/>
              <w:jc w:val="center"/>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tc>
        <w:tc>
          <w:tcPr>
            <w:tcW w:w="6543" w:type="dxa"/>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widowControl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根据供应商提供的关键施工技术、工艺及工程项目实施的重点、难点和解决方案等方面进行总体评价。</w:t>
            </w:r>
          </w:p>
          <w:p>
            <w:pPr>
              <w:pStyle w:val="26"/>
              <w:keepNext w:val="0"/>
              <w:keepLines w:val="0"/>
              <w:pageBreakBefore w:val="0"/>
              <w:widowControl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以上内容不存在瑕疵:</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pPr>
              <w:pStyle w:val="26"/>
              <w:keepNext w:val="0"/>
              <w:keepLines w:val="0"/>
              <w:pageBreakBefore w:val="0"/>
              <w:widowControl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以上内容存在1处瑕疵:</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pPr>
              <w:pStyle w:val="26"/>
              <w:keepNext w:val="0"/>
              <w:keepLines w:val="0"/>
              <w:pageBreakBefore w:val="0"/>
              <w:widowControl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以上内容存在2处瑕疵:</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pPr>
              <w:pStyle w:val="26"/>
              <w:keepNext w:val="0"/>
              <w:keepLines w:val="0"/>
              <w:pageBreakBefore w:val="0"/>
              <w:widowControl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以上内容存在3处瑕疵:</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pPr>
              <w:pStyle w:val="26"/>
              <w:keepNext w:val="0"/>
              <w:keepLines w:val="0"/>
              <w:pageBreakBefore w:val="0"/>
              <w:widowControl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未提供方案或不满足施工要求或内容存在</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处及以上瑕疵:0分</w:t>
            </w:r>
            <w:r>
              <w:rPr>
                <w:rFonts w:hint="eastAsia" w:ascii="宋体" w:hAnsi="宋体" w:cs="宋体"/>
                <w:color w:val="auto"/>
                <w:sz w:val="22"/>
                <w:szCs w:val="22"/>
                <w:highlight w:val="none"/>
                <w:lang w:eastAsia="zh-CN"/>
              </w:rPr>
              <w:t>。</w:t>
            </w:r>
          </w:p>
          <w:p>
            <w:pPr>
              <w:pStyle w:val="26"/>
              <w:keepNext w:val="0"/>
              <w:keepLines w:val="0"/>
              <w:pageBreakBefore w:val="0"/>
              <w:widowControl w:val="0"/>
              <w:spacing w:line="360" w:lineRule="auto"/>
              <w:jc w:val="left"/>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r>
              <w:rPr>
                <w:rFonts w:hint="eastAsia" w:ascii="宋体" w:hAnsi="宋体" w:cs="宋体"/>
                <w:color w:val="auto"/>
                <w:sz w:val="22"/>
                <w:szCs w:val="22"/>
                <w:highlight w:val="none"/>
                <w:lang w:val="en-US" w:eastAsia="zh-CN"/>
              </w:rPr>
              <w:t>（本项所称“瑕疵”是指内容缺项、不完整或缺少关键点:非专门针对本工程或不适用本工程特性、套用其他工程内容,对同一问题前后表述矛盾；存在逻辑漏洞、科学原理或常识错误；不利于本工程目标的实现、现有技术条件下不可能出现的情形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1" w:hRule="atLeast"/>
          <w:jc w:val="center"/>
        </w:trPr>
        <w:tc>
          <w:tcPr>
            <w:tcW w:w="1208" w:type="dxa"/>
            <w:vMerge w:val="continue"/>
            <w:tcBorders>
              <w:left w:val="single" w:color="auto" w:sz="4" w:space="0"/>
              <w:right w:val="single" w:color="auto" w:sz="4" w:space="0"/>
            </w:tcBorders>
          </w:tcPr>
          <w:p>
            <w:pPr>
              <w:pageBreakBefore w:val="0"/>
              <w:spacing w:line="360" w:lineRule="auto"/>
              <w:jc w:val="center"/>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widowControl w:val="0"/>
              <w:spacing w:line="360" w:lineRule="auto"/>
              <w:jc w:val="center"/>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r>
              <w:rPr>
                <w:rFonts w:hint="eastAsia" w:ascii="宋体" w:hAnsi="宋体" w:cs="宋体"/>
                <w:color w:val="auto"/>
                <w:sz w:val="22"/>
                <w:szCs w:val="22"/>
                <w:highlight w:val="none"/>
                <w:lang w:val="en-US" w:eastAsia="zh-CN"/>
              </w:rPr>
              <w:t>安全文明施工方案（6分）</w:t>
            </w:r>
          </w:p>
        </w:tc>
        <w:tc>
          <w:tcPr>
            <w:tcW w:w="6543" w:type="dxa"/>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widowControl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根据供应商提供的安全文明施工</w:t>
            </w:r>
            <w:r>
              <w:rPr>
                <w:rFonts w:hint="eastAsia" w:ascii="宋体" w:hAnsi="宋体" w:cs="宋体"/>
                <w:color w:val="auto"/>
                <w:sz w:val="22"/>
                <w:szCs w:val="22"/>
                <w:highlight w:val="none"/>
                <w:lang w:val="en-US" w:eastAsia="zh-CN"/>
              </w:rPr>
              <w:t>方案</w:t>
            </w:r>
            <w:r>
              <w:rPr>
                <w:rFonts w:hint="eastAsia" w:ascii="宋体" w:hAnsi="宋体" w:cs="宋体"/>
                <w:color w:val="auto"/>
                <w:sz w:val="22"/>
                <w:szCs w:val="22"/>
                <w:highlight w:val="none"/>
              </w:rPr>
              <w:t>中安全生产管理措施、文明施工管理措施、环境保护措施等方面进行总体评价。</w:t>
            </w:r>
          </w:p>
          <w:p>
            <w:pPr>
              <w:pStyle w:val="26"/>
              <w:keepNext w:val="0"/>
              <w:keepLines w:val="0"/>
              <w:pageBreakBefore w:val="0"/>
              <w:widowControl w:val="0"/>
              <w:spacing w:line="360" w:lineRule="auto"/>
              <w:jc w:val="left"/>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以上内容不存在瑕疵:</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pPr>
              <w:pStyle w:val="26"/>
              <w:keepNext w:val="0"/>
              <w:keepLines w:val="0"/>
              <w:pageBreakBefore w:val="0"/>
              <w:widowControl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以上内容存在1处瑕疵:</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pPr>
              <w:pStyle w:val="26"/>
              <w:keepNext w:val="0"/>
              <w:keepLines w:val="0"/>
              <w:pageBreakBefore w:val="0"/>
              <w:widowControl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以上内容存在2处瑕疵:</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pPr>
              <w:pStyle w:val="26"/>
              <w:keepNext w:val="0"/>
              <w:keepLines w:val="0"/>
              <w:pageBreakBefore w:val="0"/>
              <w:widowControl w:val="0"/>
              <w:spacing w:line="360" w:lineRule="auto"/>
              <w:jc w:val="left"/>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以上内容存在3处瑕疵:</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pPr>
              <w:pStyle w:val="26"/>
              <w:keepNext w:val="0"/>
              <w:keepLines w:val="0"/>
              <w:pageBreakBefore w:val="0"/>
              <w:widowControl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以上内容存在</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处瑕疵:</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pPr>
              <w:pStyle w:val="26"/>
              <w:keepNext w:val="0"/>
              <w:keepLines w:val="0"/>
              <w:pageBreakBefore w:val="0"/>
              <w:widowControl w:val="0"/>
              <w:spacing w:line="360" w:lineRule="auto"/>
              <w:jc w:val="left"/>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以上内容存在</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处瑕疵:</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pPr>
              <w:pStyle w:val="26"/>
              <w:keepNext w:val="0"/>
              <w:keepLines w:val="0"/>
              <w:pageBreakBefore w:val="0"/>
              <w:widowControl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未提供方案或不满足施工要求或内容存在</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处及以上瑕疵:0分</w:t>
            </w:r>
            <w:r>
              <w:rPr>
                <w:rFonts w:hint="eastAsia" w:ascii="宋体" w:hAnsi="宋体" w:cs="宋体"/>
                <w:color w:val="auto"/>
                <w:sz w:val="22"/>
                <w:szCs w:val="22"/>
                <w:highlight w:val="none"/>
                <w:lang w:eastAsia="zh-CN"/>
              </w:rPr>
              <w:t>。</w:t>
            </w:r>
          </w:p>
          <w:p>
            <w:pPr>
              <w:pStyle w:val="26"/>
              <w:keepNext w:val="0"/>
              <w:keepLines w:val="0"/>
              <w:pageBreakBefore w:val="0"/>
              <w:widowControl w:val="0"/>
              <w:spacing w:line="360" w:lineRule="auto"/>
              <w:jc w:val="left"/>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r>
              <w:rPr>
                <w:rFonts w:hint="eastAsia" w:ascii="宋体" w:hAnsi="宋体" w:cs="宋体"/>
                <w:color w:val="auto"/>
                <w:sz w:val="22"/>
                <w:szCs w:val="22"/>
                <w:highlight w:val="none"/>
                <w:lang w:val="en-US" w:eastAsia="zh-CN"/>
              </w:rPr>
              <w:t>（本项所称“瑕疵”是指内容缺项、不完整或缺少关键点:非专门针对本工程或不适用本工程特性、套用其他工程内容,对同一问题前后表述矛盾；存在逻辑漏洞、科学原理或常识错误；不利于本工程目标的实现、现有技术条件下不可能出现的情形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9" w:hRule="atLeast"/>
          <w:jc w:val="center"/>
        </w:trPr>
        <w:tc>
          <w:tcPr>
            <w:tcW w:w="1208" w:type="dxa"/>
            <w:vMerge w:val="continue"/>
            <w:tcBorders>
              <w:left w:val="single" w:color="auto" w:sz="4" w:space="0"/>
              <w:right w:val="single" w:color="auto" w:sz="4" w:space="0"/>
            </w:tcBorders>
          </w:tcPr>
          <w:p>
            <w:pPr>
              <w:pageBreakBefore w:val="0"/>
              <w:spacing w:line="360" w:lineRule="auto"/>
              <w:jc w:val="center"/>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p>
        </w:tc>
        <w:tc>
          <w:tcPr>
            <w:tcW w:w="1559" w:type="dxa"/>
            <w:tcBorders>
              <w:top w:val="single" w:color="auto" w:sz="4" w:space="0"/>
              <w:left w:val="single" w:color="auto" w:sz="4" w:space="0"/>
              <w:right w:val="single" w:color="auto" w:sz="4" w:space="0"/>
            </w:tcBorders>
            <w:vAlign w:val="center"/>
          </w:tcPr>
          <w:p>
            <w:pPr>
              <w:keepNext w:val="0"/>
              <w:keepLines w:val="0"/>
              <w:pageBreakBefore w:val="0"/>
              <w:pBdr>
                <w:top w:val="none" w:color="000000" w:sz="0" w:space="0"/>
                <w:left w:val="none" w:color="000000" w:sz="0" w:space="0"/>
                <w:bottom w:val="none" w:color="000000" w:sz="0" w:space="0"/>
                <w:right w:val="none" w:color="000000" w:sz="0" w:space="0"/>
              </w:pBdr>
              <w:spacing w:before="240" w:after="240" w:line="360" w:lineRule="auto"/>
              <w:ind w:left="0" w:right="0" w:firstLine="0"/>
              <w:jc w:val="center"/>
              <w:rPr>
                <w:sz w:val="22"/>
                <w:szCs w:val="22"/>
                <w:highlight w:val="none"/>
              </w:rPr>
            </w:pPr>
            <w:r>
              <w:rPr>
                <w:rFonts w:ascii="宋体" w:hAnsi="宋体" w:eastAsia="宋体" w:cs="宋体"/>
                <w:color w:val="000000"/>
                <w:sz w:val="22"/>
                <w:szCs w:val="22"/>
                <w:highlight w:val="none"/>
              </w:rPr>
              <w:t>后期维保方案及措施</w:t>
            </w:r>
          </w:p>
          <w:p>
            <w:pPr>
              <w:pStyle w:val="26"/>
              <w:keepNext w:val="0"/>
              <w:keepLines w:val="0"/>
              <w:pageBreakBefore w:val="0"/>
              <w:spacing w:line="360" w:lineRule="auto"/>
              <w:jc w:val="center"/>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分）</w:t>
            </w:r>
          </w:p>
        </w:tc>
        <w:tc>
          <w:tcPr>
            <w:tcW w:w="6543" w:type="dxa"/>
            <w:tcBorders>
              <w:top w:val="single" w:color="auto" w:sz="4" w:space="0"/>
              <w:left w:val="single" w:color="auto" w:sz="4" w:space="0"/>
              <w:bottom w:val="single" w:color="auto" w:sz="4" w:space="0"/>
              <w:right w:val="single" w:color="auto" w:sz="4" w:space="0"/>
            </w:tcBorders>
            <w:vAlign w:val="center"/>
          </w:tcPr>
          <w:p>
            <w:pPr>
              <w:pStyle w:val="26"/>
              <w:keepNext w:val="0"/>
              <w:keepLines w:val="0"/>
              <w:pageBreakBefore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根据供应商提供的</w:t>
            </w:r>
            <w:r>
              <w:rPr>
                <w:rFonts w:ascii="宋体" w:hAnsi="宋体" w:eastAsia="宋体" w:cs="宋体"/>
                <w:color w:val="000000"/>
                <w:sz w:val="22"/>
                <w:szCs w:val="22"/>
                <w:highlight w:val="none"/>
              </w:rPr>
              <w:t>后期维保</w:t>
            </w:r>
            <w:r>
              <w:rPr>
                <w:rFonts w:hint="eastAsia" w:ascii="宋体" w:hAnsi="宋体" w:cs="宋体"/>
                <w:color w:val="auto"/>
                <w:sz w:val="22"/>
                <w:szCs w:val="22"/>
                <w:highlight w:val="none"/>
              </w:rPr>
              <w:t>方案及措施</w:t>
            </w:r>
            <w:r>
              <w:rPr>
                <w:rFonts w:hint="eastAsia" w:ascii="宋体" w:hAnsi="宋体" w:cs="宋体"/>
                <w:color w:val="auto"/>
                <w:sz w:val="22"/>
                <w:szCs w:val="22"/>
                <w:highlight w:val="none"/>
                <w:lang w:val="en-US" w:eastAsia="zh-CN"/>
              </w:rPr>
              <w:t>中</w:t>
            </w:r>
            <w:r>
              <w:rPr>
                <w:rFonts w:hint="eastAsia" w:ascii="宋体" w:hAnsi="宋体" w:eastAsia="宋体" w:cs="宋体"/>
                <w:color w:val="auto"/>
                <w:sz w:val="22"/>
                <w:szCs w:val="22"/>
                <w:highlight w:val="none"/>
                <w:lang w:val="en-US" w:eastAsia="zh-CN" w:bidi="ar-SA"/>
              </w:rPr>
              <w:t>维护维修服务内容及范围、维修施工人员配备、维修机械设备配备、备品备件配备</w:t>
            </w:r>
            <w:r>
              <w:rPr>
                <w:rFonts w:hint="eastAsia" w:ascii="宋体" w:hAnsi="宋体" w:cs="宋体"/>
                <w:color w:val="auto"/>
                <w:sz w:val="22"/>
                <w:szCs w:val="22"/>
                <w:highlight w:val="none"/>
                <w:lang w:val="en-US" w:eastAsia="zh-CN" w:bidi="ar-SA"/>
              </w:rPr>
              <w:t>等内容</w:t>
            </w:r>
            <w:r>
              <w:rPr>
                <w:rFonts w:hint="eastAsia" w:ascii="宋体" w:hAnsi="宋体" w:cs="宋体"/>
                <w:color w:val="auto"/>
                <w:sz w:val="22"/>
                <w:szCs w:val="22"/>
                <w:highlight w:val="none"/>
              </w:rPr>
              <w:t>等方面进行总体评价。</w:t>
            </w:r>
          </w:p>
          <w:p>
            <w:pPr>
              <w:pStyle w:val="26"/>
              <w:keepNext w:val="0"/>
              <w:keepLines w:val="0"/>
              <w:pageBreakBefore w:val="0"/>
              <w:widowControl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以上内容不存在瑕疵:</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pPr>
              <w:pStyle w:val="26"/>
              <w:keepNext w:val="0"/>
              <w:keepLines w:val="0"/>
              <w:pageBreakBefore w:val="0"/>
              <w:widowControl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以上内容存在1处瑕疵:</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pPr>
              <w:pStyle w:val="26"/>
              <w:keepNext w:val="0"/>
              <w:keepLines w:val="0"/>
              <w:pageBreakBefore w:val="0"/>
              <w:widowControl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以上内容存在2处瑕疵:</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pPr>
              <w:pStyle w:val="26"/>
              <w:keepNext w:val="0"/>
              <w:keepLines w:val="0"/>
              <w:pageBreakBefore w:val="0"/>
              <w:widowControl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以上内容存在3处瑕疵:</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pPr>
              <w:pStyle w:val="26"/>
              <w:keepNext w:val="0"/>
              <w:keepLines w:val="0"/>
              <w:pageBreakBefore w:val="0"/>
              <w:widowControl w:val="0"/>
              <w:spacing w:line="360" w:lineRule="auto"/>
              <w:jc w:val="left"/>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以上内容存在</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处瑕疵:</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pPr>
              <w:pStyle w:val="26"/>
              <w:keepNext w:val="0"/>
              <w:keepLines w:val="0"/>
              <w:pageBreakBefore w:val="0"/>
              <w:widowControl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未提供方案或不满足施工要求或内容存在</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处及以上瑕疵:0分</w:t>
            </w:r>
            <w:r>
              <w:rPr>
                <w:rFonts w:hint="eastAsia" w:ascii="宋体" w:hAnsi="宋体" w:cs="宋体"/>
                <w:color w:val="auto"/>
                <w:sz w:val="22"/>
                <w:szCs w:val="22"/>
                <w:highlight w:val="none"/>
                <w:lang w:eastAsia="zh-CN"/>
              </w:rPr>
              <w:t>。</w:t>
            </w:r>
          </w:p>
          <w:p>
            <w:pPr>
              <w:pStyle w:val="26"/>
              <w:keepNext w:val="0"/>
              <w:keepLines w:val="0"/>
              <w:pageBreakBefore w:val="0"/>
              <w:spacing w:line="360" w:lineRule="auto"/>
              <w:jc w:val="left"/>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r>
              <w:rPr>
                <w:rFonts w:hint="eastAsia" w:ascii="宋体" w:hAnsi="宋体" w:cs="宋体"/>
                <w:color w:val="auto"/>
                <w:sz w:val="22"/>
                <w:szCs w:val="22"/>
                <w:highlight w:val="none"/>
                <w:lang w:val="en-US" w:eastAsia="zh-CN"/>
              </w:rPr>
              <w:t>（本项所称“瑕疵”是指内容缺项、不完整或缺少关键点:非专门针对本工程或不适用本工程特性、套用其他工程内容,对同一问题前后表述矛盾；存在逻辑洞、科学原理或常识错误；不利于本工程目标的实现、现有技术条件下不可能出现的情形等任意一种情形)。</w:t>
            </w:r>
          </w:p>
        </w:tc>
      </w:tr>
    </w:tbl>
    <w:p>
      <w:pPr>
        <w:pStyle w:val="26"/>
        <w:widowControl w:val="0"/>
        <w:spacing w:line="312" w:lineRule="auto"/>
        <w:contextualSpacing/>
        <w:jc w:val="left"/>
        <w:rPr>
          <w:rFonts w:hint="eastAsia" w:ascii="宋体" w:hAnsi="宋体" w:cs="宋体"/>
          <w:color w:val="auto"/>
          <w:sz w:val="24"/>
          <w:szCs w:val="24"/>
          <w:highlight w:val="none"/>
        </w:rPr>
      </w:pPr>
    </w:p>
    <w:p>
      <w:pPr>
        <w:pStyle w:val="26"/>
        <w:widowControl w:val="0"/>
        <w:spacing w:line="312" w:lineRule="auto"/>
        <w:contextualSpacing/>
        <w:jc w:val="left"/>
        <w:rPr>
          <w:rFonts w:hint="eastAsia" w:ascii="宋体" w:hAnsi="宋体" w:cs="宋体"/>
          <w:b/>
          <w:bCs/>
          <w:color w:val="auto"/>
          <w:sz w:val="36"/>
          <w:szCs w:val="36"/>
          <w:highlight w:val="none"/>
        </w:rPr>
      </w:pPr>
      <w:r>
        <w:rPr>
          <w:rFonts w:hint="eastAsia" w:ascii="宋体" w:hAnsi="宋体" w:cs="宋体"/>
          <w:color w:val="auto"/>
          <w:sz w:val="24"/>
          <w:szCs w:val="24"/>
          <w:highlight w:val="none"/>
        </w:rPr>
        <w:t>本章说明：</w:t>
      </w:r>
      <w:r>
        <w:rPr>
          <w:rFonts w:hint="eastAsia" w:ascii="宋体" w:hAnsi="宋体" w:cs="宋体"/>
          <w:color w:val="auto"/>
          <w:sz w:val="24"/>
          <w:highlight w:val="none"/>
        </w:rPr>
        <w:t>本项目采用综合评分法。</w:t>
      </w:r>
      <w:r>
        <w:rPr>
          <w:rFonts w:hint="eastAsia" w:ascii="宋体" w:hAnsi="宋体" w:cs="宋体"/>
          <w:color w:val="auto"/>
          <w:sz w:val="24"/>
          <w:szCs w:val="24"/>
          <w:highlight w:val="none"/>
        </w:rPr>
        <w:t xml:space="preserve"> （供应商技术部分得分取所有评委的平均值，保留小数点后二位）</w:t>
      </w:r>
    </w:p>
    <w:p>
      <w:pP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br w:type="page"/>
      </w:r>
    </w:p>
    <w:p>
      <w:pPr>
        <w:pStyle w:val="19"/>
        <w:numPr>
          <w:ilvl w:val="0"/>
          <w:numId w:val="0"/>
        </w:numPr>
        <w:spacing w:line="0" w:lineRule="atLeast"/>
        <w:jc w:val="center"/>
        <w:outlineLvl w:val="1"/>
        <w:rPr>
          <w:color w:val="auto"/>
        </w:rPr>
      </w:pPr>
      <w:r>
        <w:rPr>
          <w:rFonts w:hint="eastAsia" w:ascii="宋体" w:hAnsi="宋体" w:cs="宋体"/>
          <w:b/>
          <w:bCs/>
          <w:color w:val="auto"/>
          <w:sz w:val="36"/>
          <w:szCs w:val="36"/>
          <w:highlight w:val="none"/>
        </w:rPr>
        <w:t>2、</w:t>
      </w:r>
      <w:r>
        <w:rPr>
          <w:rFonts w:hint="eastAsia" w:ascii="仿宋" w:hAnsi="仿宋" w:eastAsia="仿宋"/>
          <w:b/>
          <w:color w:val="auto"/>
          <w:sz w:val="36"/>
        </w:rPr>
        <w:t>项目要求（采购需求）</w:t>
      </w:r>
    </w:p>
    <w:p>
      <w:pPr>
        <w:spacing w:line="360" w:lineRule="auto"/>
        <w:ind w:firstLine="482"/>
        <w:rPr>
          <w:rFonts w:hint="eastAsia" w:ascii="宋体" w:hAnsi="宋体" w:cs="宋体"/>
          <w:b/>
          <w:color w:val="auto"/>
          <w:sz w:val="24"/>
        </w:rPr>
      </w:pPr>
    </w:p>
    <w:p>
      <w:pPr>
        <w:spacing w:line="360" w:lineRule="auto"/>
        <w:ind w:firstLine="482"/>
        <w:rPr>
          <w:rFonts w:ascii="宋体" w:hAnsi="宋体" w:cs="宋体"/>
          <w:b/>
          <w:bCs/>
          <w:color w:val="auto"/>
          <w:sz w:val="24"/>
        </w:rPr>
      </w:pPr>
      <w:r>
        <w:rPr>
          <w:rFonts w:hint="eastAsia" w:ascii="宋体" w:hAnsi="宋体" w:cs="宋体"/>
          <w:b/>
          <w:color w:val="auto"/>
          <w:sz w:val="24"/>
        </w:rPr>
        <w:t>一、</w:t>
      </w:r>
      <w:r>
        <w:rPr>
          <w:rFonts w:hint="eastAsia" w:ascii="宋体" w:hAnsi="宋体" w:cs="宋体"/>
          <w:b/>
          <w:bCs/>
          <w:color w:val="auto"/>
          <w:sz w:val="24"/>
        </w:rPr>
        <w:t>本项目不接受超过</w:t>
      </w:r>
      <w:r>
        <w:rPr>
          <w:rFonts w:hint="eastAsia" w:ascii="宋体" w:hAnsi="宋体" w:cs="宋体"/>
          <w:b/>
          <w:bCs/>
          <w:color w:val="auto"/>
          <w:sz w:val="24"/>
          <w:highlight w:val="none"/>
          <w:u w:val="single"/>
          <w:lang w:val="en-US" w:eastAsia="zh-CN"/>
        </w:rPr>
        <w:t>3559376.52</w:t>
      </w:r>
      <w:r>
        <w:rPr>
          <w:rFonts w:hint="eastAsia" w:ascii="宋体" w:hAnsi="宋体" w:cs="宋体"/>
          <w:b/>
          <w:bCs/>
          <w:color w:val="auto"/>
          <w:sz w:val="24"/>
          <w:highlight w:val="none"/>
        </w:rPr>
        <w:t>元（</w:t>
      </w:r>
      <w:r>
        <w:rPr>
          <w:rFonts w:hint="eastAsia" w:ascii="宋体" w:hAnsi="宋体" w:cs="宋体"/>
          <w:b/>
          <w:bCs/>
          <w:color w:val="auto"/>
          <w:sz w:val="24"/>
        </w:rPr>
        <w:t>人民币）（采购项目</w:t>
      </w:r>
      <w:r>
        <w:rPr>
          <w:rFonts w:hint="eastAsia" w:ascii="宋体" w:hAnsi="宋体" w:cs="宋体"/>
          <w:b/>
          <w:bCs/>
          <w:color w:val="auto"/>
          <w:sz w:val="24"/>
          <w:lang w:val="en-US" w:eastAsia="zh-CN"/>
        </w:rPr>
        <w:t>最高限价</w:t>
      </w:r>
      <w:r>
        <w:rPr>
          <w:rFonts w:hint="eastAsia" w:ascii="宋体" w:hAnsi="宋体" w:cs="宋体"/>
          <w:b/>
          <w:bCs/>
          <w:color w:val="auto"/>
          <w:sz w:val="24"/>
        </w:rPr>
        <w:t>）的报价</w:t>
      </w:r>
      <w:r>
        <w:rPr>
          <w:rFonts w:hint="eastAsia" w:ascii="宋体" w:hAnsi="宋体"/>
          <w:b/>
          <w:color w:val="auto"/>
          <w:sz w:val="24"/>
        </w:rPr>
        <w:t>，</w:t>
      </w:r>
      <w:r>
        <w:rPr>
          <w:rFonts w:hint="eastAsia" w:ascii="宋体" w:hAnsi="宋体" w:cs="宋体"/>
          <w:b/>
          <w:bCs/>
          <w:color w:val="auto"/>
          <w:sz w:val="24"/>
        </w:rPr>
        <w:t>报价包括为完成本工程所有施工、验收、售后服务等全部费用，采购人不再支付报价以外的任何费用。</w:t>
      </w:r>
    </w:p>
    <w:p>
      <w:pPr>
        <w:spacing w:line="360" w:lineRule="auto"/>
        <w:ind w:firstLine="480"/>
        <w:rPr>
          <w:rFonts w:ascii="宋体" w:hAnsi="宋体" w:cs="宋体"/>
          <w:b/>
          <w:bCs/>
          <w:color w:val="auto"/>
          <w:sz w:val="24"/>
        </w:rPr>
      </w:pPr>
      <w:r>
        <w:rPr>
          <w:rFonts w:hint="eastAsia" w:ascii="宋体" w:hAnsi="宋体" w:cs="宋体"/>
          <w:b/>
          <w:color w:val="auto"/>
          <w:sz w:val="24"/>
          <w:lang w:val="en-US" w:eastAsia="zh-CN"/>
        </w:rPr>
        <w:t>二</w:t>
      </w:r>
      <w:r>
        <w:rPr>
          <w:rFonts w:ascii="宋体" w:hAnsi="宋体" w:cs="宋体"/>
          <w:b/>
          <w:color w:val="auto"/>
          <w:sz w:val="24"/>
        </w:rPr>
        <w:t>、</w:t>
      </w:r>
      <w:r>
        <w:rPr>
          <w:rFonts w:hint="eastAsia" w:ascii="宋体" w:hAnsi="宋体" w:cs="宋体"/>
          <w:b/>
          <w:color w:val="auto"/>
          <w:sz w:val="24"/>
        </w:rPr>
        <w:t>项目范围及要求</w:t>
      </w:r>
    </w:p>
    <w:p>
      <w:pPr>
        <w:pStyle w:val="26"/>
        <w:pageBreakBefore w:val="0"/>
        <w:spacing w:line="360" w:lineRule="auto"/>
        <w:ind w:firstLine="482"/>
        <w:jc w:val="left"/>
        <w:rPr>
          <w:rFonts w:ascii="宋体" w:hAnsi="宋体" w:cs="宋体"/>
          <w:color w:val="auto"/>
          <w:sz w:val="24"/>
        </w:rPr>
      </w:pPr>
      <w:r>
        <w:rPr>
          <w:rFonts w:ascii="宋体" w:hAnsi="宋体" w:cs="宋体"/>
          <w:b/>
          <w:bCs/>
          <w:color w:val="auto"/>
          <w:sz w:val="24"/>
        </w:rPr>
        <w:t>1.项目名称：</w:t>
      </w:r>
      <w:r>
        <w:rPr>
          <w:rFonts w:hint="eastAsia" w:ascii="宋体" w:hAnsi="宋体" w:cs="宋体"/>
          <w:color w:val="000000" w:themeColor="text1"/>
          <w:sz w:val="24"/>
          <w:szCs w:val="24"/>
          <w:highlight w:val="none"/>
          <w:lang w:val="en-US" w:eastAsia="zh-CN" w:bidi="ar-SA"/>
          <w14:textFill>
            <w14:solidFill>
              <w14:schemeClr w14:val="tx1"/>
            </w14:solidFill>
          </w14:textFill>
        </w:rPr>
        <w:t>2025年度新沂市骆马湖片区（窑湾镇腰庄村）省级宜居宜业和美乡村工程建设项目</w:t>
      </w:r>
      <w:r>
        <w:rPr>
          <w:rFonts w:hint="eastAsia" w:ascii="宋体" w:hAnsi="宋体" w:cs="宋体"/>
          <w:color w:val="auto"/>
          <w:sz w:val="24"/>
        </w:rPr>
        <w:t>；</w:t>
      </w:r>
    </w:p>
    <w:p>
      <w:pPr>
        <w:pStyle w:val="16"/>
        <w:ind w:firstLine="482"/>
        <w:rPr>
          <w:rFonts w:ascii="宋体" w:hAnsi="宋体" w:cs="宋体"/>
          <w:color w:val="auto"/>
          <w:sz w:val="24"/>
          <w:highlight w:val="yellow"/>
        </w:rPr>
      </w:pPr>
      <w:r>
        <w:rPr>
          <w:rFonts w:ascii="宋体" w:hAnsi="宋体" w:cs="宋体"/>
          <w:b/>
          <w:bCs/>
          <w:color w:val="auto"/>
          <w:sz w:val="24"/>
          <w:szCs w:val="22"/>
        </w:rPr>
        <w:t>2.项目地址</w:t>
      </w:r>
      <w:r>
        <w:rPr>
          <w:rFonts w:ascii="宋体" w:hAnsi="宋体" w:cs="宋体"/>
          <w:b/>
          <w:bCs/>
          <w:color w:val="auto"/>
          <w:sz w:val="24"/>
        </w:rPr>
        <w:t>：</w:t>
      </w:r>
      <w:r>
        <w:rPr>
          <w:rFonts w:hint="eastAsia" w:ascii="宋体" w:hAnsi="宋体" w:cs="宋体"/>
          <w:color w:val="auto"/>
          <w:sz w:val="24"/>
          <w:szCs w:val="22"/>
          <w:lang w:eastAsia="zh-CN"/>
        </w:rPr>
        <w:t>新沂市</w:t>
      </w:r>
      <w:r>
        <w:rPr>
          <w:rFonts w:hint="eastAsia" w:ascii="宋体" w:hAnsi="宋体" w:cs="宋体"/>
          <w:color w:val="auto"/>
          <w:sz w:val="24"/>
          <w:szCs w:val="22"/>
          <w:lang w:val="en-US" w:eastAsia="zh-CN"/>
        </w:rPr>
        <w:t>窑湾镇腰庄村</w:t>
      </w:r>
      <w:r>
        <w:rPr>
          <w:rFonts w:ascii="宋体" w:hAnsi="宋体" w:cs="宋体"/>
          <w:color w:val="auto"/>
          <w:sz w:val="24"/>
        </w:rPr>
        <w:t>；</w:t>
      </w:r>
    </w:p>
    <w:p>
      <w:pPr>
        <w:spacing w:line="360" w:lineRule="auto"/>
        <w:ind w:firstLine="422"/>
        <w:rPr>
          <w:rFonts w:ascii="宋体" w:hAnsi="宋体" w:cs="宋体"/>
          <w:color w:val="auto"/>
          <w:sz w:val="24"/>
          <w:highlight w:val="none"/>
        </w:rPr>
      </w:pPr>
      <w:r>
        <w:rPr>
          <w:rFonts w:ascii="宋体" w:hAnsi="宋体" w:cs="宋体"/>
          <w:b/>
          <w:bCs/>
          <w:color w:val="auto"/>
          <w:sz w:val="24"/>
          <w:highlight w:val="none"/>
        </w:rPr>
        <w:t>3.计划工期：</w:t>
      </w:r>
      <w:r>
        <w:rPr>
          <w:rFonts w:ascii="宋体" w:hAnsi="宋体" w:cs="宋体"/>
          <w:b w:val="0"/>
          <w:bCs w:val="0"/>
          <w:color w:val="auto"/>
          <w:sz w:val="24"/>
          <w:highlight w:val="none"/>
        </w:rPr>
        <w:t>60</w:t>
      </w:r>
      <w:r>
        <w:rPr>
          <w:rFonts w:hint="eastAsia" w:ascii="宋体" w:hAnsi="宋体" w:cs="宋体"/>
          <w:b w:val="0"/>
          <w:bCs w:val="0"/>
          <w:color w:val="auto"/>
          <w:sz w:val="24"/>
          <w:highlight w:val="none"/>
        </w:rPr>
        <w:t>日</w:t>
      </w:r>
      <w:r>
        <w:rPr>
          <w:rFonts w:ascii="宋体" w:hAnsi="宋体" w:cs="宋体"/>
          <w:b w:val="0"/>
          <w:bCs w:val="0"/>
          <w:color w:val="auto"/>
          <w:sz w:val="24"/>
          <w:highlight w:val="none"/>
        </w:rPr>
        <w:t>历天；</w:t>
      </w:r>
    </w:p>
    <w:p>
      <w:pPr>
        <w:pStyle w:val="26"/>
        <w:pageBreakBefore w:val="0"/>
        <w:spacing w:line="360" w:lineRule="auto"/>
        <w:ind w:firstLine="482"/>
        <w:jc w:val="left"/>
        <w:rPr>
          <w:rFonts w:hint="eastAsia" w:ascii="宋体" w:hAnsi="宋体" w:eastAsia="宋体" w:cs="宋体"/>
          <w:color w:val="auto"/>
          <w:sz w:val="24"/>
          <w:lang w:eastAsia="zh-CN"/>
        </w:rPr>
      </w:pPr>
      <w:r>
        <w:rPr>
          <w:rFonts w:ascii="宋体" w:hAnsi="宋体" w:cs="宋体"/>
          <w:b/>
          <w:bCs/>
          <w:color w:val="auto"/>
          <w:sz w:val="24"/>
        </w:rPr>
        <w:t>4.项目内容</w:t>
      </w:r>
      <w:r>
        <w:rPr>
          <w:rFonts w:ascii="宋体" w:hAnsi="宋体" w:cs="宋体"/>
          <w:b/>
          <w:bCs/>
          <w:color w:val="auto"/>
          <w:sz w:val="24"/>
          <w:highlight w:val="none"/>
        </w:rPr>
        <w:t>：</w:t>
      </w:r>
      <w:r>
        <w:rPr>
          <w:rFonts w:hint="eastAsia" w:ascii="宋体" w:hAnsi="宋体" w:cs="宋体"/>
          <w:color w:val="000000" w:themeColor="text1"/>
          <w:sz w:val="24"/>
          <w:szCs w:val="24"/>
          <w:highlight w:val="none"/>
          <w:lang w:val="en-US" w:eastAsia="zh-CN" w:bidi="ar-SA"/>
          <w14:textFill>
            <w14:solidFill>
              <w14:schemeClr w14:val="tx1"/>
            </w14:solidFill>
          </w14:textFill>
        </w:rPr>
        <w:t>2025年度新沂市骆马湖片区（窑湾镇腰庄村）省级宜居宜业和美乡村工程建设项目</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包括道路硬化提升、景观及绿化工程、水系整治工程、亮化工程、公厕、三线治理、垃圾站治理、墙面出新等，</w:t>
      </w:r>
      <w:r>
        <w:rPr>
          <w:rFonts w:hint="eastAsia" w:ascii="宋体" w:hAnsi="宋体" w:cs="宋体"/>
          <w:color w:val="auto"/>
          <w:sz w:val="24"/>
        </w:rPr>
        <w:t>具体详见竞争性磋商文件及工程量清单</w:t>
      </w:r>
      <w:r>
        <w:rPr>
          <w:rFonts w:hint="eastAsia" w:ascii="宋体" w:hAnsi="宋体" w:cs="宋体"/>
          <w:color w:val="auto"/>
          <w:sz w:val="24"/>
          <w:lang w:eastAsia="zh-CN"/>
        </w:rPr>
        <w:t>。</w:t>
      </w:r>
    </w:p>
    <w:p>
      <w:pPr>
        <w:spacing w:line="360" w:lineRule="auto"/>
        <w:ind w:firstLine="422"/>
        <w:rPr>
          <w:rFonts w:ascii="宋体" w:hAnsi="宋体" w:cs="宋体"/>
          <w:color w:val="auto"/>
          <w:sz w:val="24"/>
        </w:rPr>
      </w:pPr>
      <w:r>
        <w:rPr>
          <w:rFonts w:ascii="宋体" w:hAnsi="宋体" w:cs="宋体"/>
          <w:b/>
          <w:bCs/>
          <w:color w:val="auto"/>
          <w:sz w:val="24"/>
        </w:rPr>
        <w:t>5.</w:t>
      </w:r>
      <w:r>
        <w:rPr>
          <w:rFonts w:hint="eastAsia" w:ascii="宋体" w:hAnsi="宋体" w:cs="宋体"/>
          <w:b/>
          <w:bCs/>
          <w:color w:val="auto"/>
          <w:sz w:val="24"/>
        </w:rPr>
        <w:t>质量标准：</w:t>
      </w:r>
      <w:r>
        <w:rPr>
          <w:rFonts w:hint="eastAsia" w:ascii="宋体" w:hAnsi="宋体" w:cs="宋体"/>
          <w:color w:val="auto"/>
          <w:sz w:val="24"/>
        </w:rPr>
        <w:t>合格（符合国家标准及行业要求，满足采购人需求），</w:t>
      </w:r>
      <w:r>
        <w:rPr>
          <w:rFonts w:hint="eastAsia" w:ascii="宋体" w:hAnsi="宋体"/>
          <w:color w:val="auto"/>
          <w:sz w:val="24"/>
          <w:szCs w:val="24"/>
        </w:rPr>
        <w:t>通过相关部门验收</w:t>
      </w:r>
      <w:r>
        <w:rPr>
          <w:rFonts w:hint="eastAsia" w:ascii="宋体" w:hAnsi="宋体" w:cs="宋体"/>
          <w:color w:val="auto"/>
          <w:sz w:val="24"/>
        </w:rPr>
        <w:t>；</w:t>
      </w:r>
    </w:p>
    <w:p>
      <w:pPr>
        <w:spacing w:line="360" w:lineRule="auto"/>
        <w:ind w:firstLine="422"/>
        <w:rPr>
          <w:rFonts w:hint="eastAsia" w:ascii="宋体" w:hAnsi="宋体" w:cs="宋体"/>
          <w:color w:val="auto"/>
          <w:sz w:val="24"/>
          <w:szCs w:val="24"/>
          <w:lang w:eastAsia="zh-CN"/>
        </w:rPr>
      </w:pPr>
      <w:r>
        <w:rPr>
          <w:rFonts w:hint="eastAsia" w:ascii="宋体" w:hAnsi="宋体" w:cs="宋体"/>
          <w:color w:val="auto"/>
          <w:sz w:val="24"/>
        </w:rPr>
        <w:t>工程质量必须达到合同约定标准，且保证相关部门验收通过；未达到质量要求的，成交供应商负责无条件返工，直至达到要求，所发生的费用由成交供应商承担，成交供应商还应赔偿因此给采购人造成的损失，工期不予顺延，同时采购人有权对成交供应商进行适当处罚</w:t>
      </w:r>
      <w:r>
        <w:rPr>
          <w:rFonts w:hint="eastAsia" w:ascii="宋体" w:hAnsi="宋体" w:cs="宋体"/>
          <w:color w:val="auto"/>
          <w:sz w:val="24"/>
          <w:lang w:eastAsia="zh-CN"/>
        </w:rPr>
        <w:t>。</w:t>
      </w:r>
    </w:p>
    <w:p>
      <w:pPr>
        <w:spacing w:line="360" w:lineRule="auto"/>
        <w:ind w:firstLine="422"/>
        <w:rPr>
          <w:rFonts w:hint="eastAsia" w:ascii="宋体" w:hAnsi="宋体" w:cs="宋体"/>
          <w:color w:val="auto"/>
          <w:sz w:val="24"/>
          <w:szCs w:val="24"/>
          <w:lang w:eastAsia="zh-CN"/>
        </w:rPr>
      </w:pPr>
      <w:r>
        <w:rPr>
          <w:rFonts w:ascii="宋体" w:hAnsi="宋体" w:eastAsia="宋体" w:cs="宋体"/>
          <w:color w:val="000000"/>
          <w:sz w:val="24"/>
        </w:rPr>
        <w:t>6、施工工艺的特殊要求：按国家有关规定执行。</w:t>
      </w:r>
    </w:p>
    <w:p>
      <w:pPr>
        <w:pBdr>
          <w:top w:val="none" w:color="000000" w:sz="0" w:space="0"/>
          <w:left w:val="none" w:color="000000" w:sz="0" w:space="0"/>
          <w:bottom w:val="none" w:color="000000" w:sz="0" w:space="0"/>
          <w:right w:val="none" w:color="000000" w:sz="0" w:space="0"/>
        </w:pBdr>
        <w:spacing w:before="0" w:after="0"/>
        <w:ind w:left="0" w:right="0" w:firstLine="0"/>
        <w:jc w:val="both"/>
        <w:rPr>
          <w:rFonts w:hint="eastAsia" w:ascii="宋体" w:hAnsi="宋体" w:cs="宋体"/>
          <w:b/>
          <w:color w:val="auto"/>
          <w:sz w:val="24"/>
          <w:lang w:val="en-US" w:eastAsia="zh-CN"/>
        </w:rPr>
      </w:pPr>
      <w:r>
        <w:rPr>
          <w:rFonts w:ascii="宋体" w:hAnsi="宋体" w:eastAsia="宋体" w:cs="宋体"/>
          <w:color w:val="000000"/>
          <w:sz w:val="24"/>
        </w:rPr>
        <w:t xml:space="preserve">    7、承包方式：包工包料，不得分包与转包。</w:t>
      </w:r>
      <w:r>
        <w:rPr>
          <w:rFonts w:hint="eastAsia" w:ascii="宋体" w:hAnsi="宋体" w:eastAsia="宋体" w:cs="宋体"/>
          <w:color w:val="000000"/>
          <w:sz w:val="24"/>
          <w:lang w:eastAsia="zh-CN"/>
        </w:rPr>
        <w:t xml:space="preserve">  </w:t>
      </w:r>
      <w:r>
        <w:rPr>
          <w:rFonts w:hint="eastAsia" w:ascii="宋体" w:hAnsi="宋体" w:cs="宋体"/>
          <w:color w:val="auto"/>
          <w:sz w:val="24"/>
          <w:lang w:eastAsia="zh-CN"/>
        </w:rPr>
        <w:t xml:space="preserve"> </w:t>
      </w:r>
    </w:p>
    <w:p>
      <w:pPr>
        <w:spacing w:line="360" w:lineRule="auto"/>
        <w:ind w:firstLine="480"/>
        <w:rPr>
          <w:rFonts w:hint="eastAsia" w:ascii="宋体" w:hAnsi="宋体" w:cs="宋体"/>
          <w:b/>
          <w:color w:val="auto"/>
          <w:sz w:val="24"/>
        </w:rPr>
      </w:pPr>
      <w:r>
        <w:rPr>
          <w:rFonts w:hint="eastAsia" w:ascii="宋体" w:hAnsi="宋体" w:cs="宋体"/>
          <w:b/>
          <w:color w:val="auto"/>
          <w:sz w:val="24"/>
          <w:lang w:val="en-US" w:eastAsia="zh-CN"/>
        </w:rPr>
        <w:t>三</w:t>
      </w:r>
      <w:r>
        <w:rPr>
          <w:rFonts w:hint="eastAsia" w:ascii="宋体" w:hAnsi="宋体" w:cs="宋体"/>
          <w:b/>
          <w:color w:val="auto"/>
          <w:sz w:val="24"/>
        </w:rPr>
        <w:t>、工程量清单报价</w:t>
      </w:r>
    </w:p>
    <w:p>
      <w:pPr>
        <w:spacing w:line="360" w:lineRule="auto"/>
        <w:ind w:firstLine="422"/>
        <w:rPr>
          <w:rFonts w:hint="eastAsia" w:ascii="宋体" w:hAnsi="宋体" w:cs="宋体"/>
          <w:color w:val="auto"/>
          <w:sz w:val="24"/>
        </w:rPr>
      </w:pPr>
      <w:r>
        <w:rPr>
          <w:rFonts w:hint="eastAsia" w:ascii="宋体" w:hAnsi="宋体" w:cs="宋体"/>
          <w:color w:val="auto"/>
          <w:sz w:val="24"/>
        </w:rPr>
        <w:t>(一) 工程量清单以及图纸详见本项目磋商文件附件（后附）</w:t>
      </w:r>
    </w:p>
    <w:p>
      <w:pPr>
        <w:spacing w:line="360" w:lineRule="auto"/>
        <w:ind w:firstLine="422"/>
        <w:rPr>
          <w:rFonts w:hint="eastAsia" w:ascii="宋体" w:hAnsi="宋体" w:cs="宋体"/>
          <w:color w:val="auto"/>
          <w:sz w:val="24"/>
        </w:rPr>
      </w:pPr>
      <w:r>
        <w:rPr>
          <w:rFonts w:hint="eastAsia" w:ascii="宋体" w:hAnsi="宋体" w:cs="宋体"/>
          <w:color w:val="auto"/>
          <w:sz w:val="24"/>
        </w:rPr>
        <w:t>(二) 《已标价的工程量清单》报价要求</w:t>
      </w:r>
    </w:p>
    <w:p>
      <w:pPr>
        <w:spacing w:line="360" w:lineRule="auto"/>
        <w:ind w:firstLine="422"/>
        <w:rPr>
          <w:rFonts w:hint="eastAsia" w:ascii="宋体" w:hAnsi="宋体" w:cs="宋体"/>
          <w:b/>
          <w:bCs/>
          <w:color w:val="auto"/>
          <w:sz w:val="24"/>
        </w:rPr>
      </w:pPr>
      <w:r>
        <w:rPr>
          <w:rFonts w:hint="eastAsia" w:ascii="宋体" w:hAnsi="宋体" w:cs="宋体"/>
          <w:b/>
          <w:bCs/>
          <w:color w:val="auto"/>
          <w:sz w:val="24"/>
        </w:rPr>
        <w:t>1、报价内容</w:t>
      </w:r>
    </w:p>
    <w:p>
      <w:pPr>
        <w:numPr>
          <w:ilvl w:val="0"/>
          <w:numId w:val="0"/>
        </w:numPr>
        <w:spacing w:line="440" w:lineRule="exact"/>
        <w:ind w:left="480"/>
        <w:rPr>
          <w:rFonts w:hint="eastAsia" w:ascii="宋体" w:hAnsi="宋体" w:cs="宋体"/>
          <w:color w:val="auto"/>
          <w:sz w:val="24"/>
        </w:rPr>
      </w:pPr>
      <w:r>
        <w:rPr>
          <w:rFonts w:hint="eastAsia" w:ascii="宋体" w:hAnsi="宋体" w:cs="宋体"/>
          <w:color w:val="auto"/>
          <w:sz w:val="24"/>
        </w:rPr>
        <w:t>1.1 响应报价应包括磋商文件中所确定的范围内工程量清单以及施工图中所含的</w:t>
      </w:r>
    </w:p>
    <w:p>
      <w:pPr>
        <w:numPr>
          <w:ilvl w:val="0"/>
          <w:numId w:val="0"/>
        </w:numPr>
        <w:spacing w:line="440" w:lineRule="exact"/>
        <w:rPr>
          <w:rFonts w:ascii="宋体" w:hAnsi="宋体" w:cs="宋体"/>
          <w:color w:val="auto"/>
          <w:sz w:val="24"/>
        </w:rPr>
      </w:pPr>
      <w:r>
        <w:rPr>
          <w:rFonts w:hint="eastAsia" w:ascii="宋体" w:hAnsi="宋体" w:cs="宋体"/>
          <w:color w:val="auto"/>
          <w:sz w:val="24"/>
        </w:rPr>
        <w:t>全部内容，以及为完</w:t>
      </w:r>
      <w:r>
        <w:rPr>
          <w:rFonts w:ascii="宋体" w:hAnsi="宋体" w:cs="宋体"/>
          <w:color w:val="auto"/>
          <w:sz w:val="24"/>
        </w:rPr>
        <w:t>成上述内容所需的全部费用。</w:t>
      </w:r>
      <w:r>
        <w:rPr>
          <w:rFonts w:hint="eastAsia" w:ascii="宋体" w:hAnsi="宋体" w:cs="宋体"/>
          <w:color w:val="auto"/>
          <w:sz w:val="24"/>
        </w:rPr>
        <w:t>投标单位在其报价中应充分考虑且应包含完成全部图纸、技术要求、相关标准图集及招标要求施工内容所有可能发生的费用，以及在工程量清单计算及报价中可能发生的误差或缺项部分的价格；且误差或漏缺部分的单价和合价已包括在其他列明的项目的单价或合价中，并在实施时不再提出费用和工期要求</w:t>
      </w:r>
      <w:r>
        <w:rPr>
          <w:rFonts w:hint="eastAsia" w:ascii="宋体" w:hAnsi="宋体" w:cs="宋体"/>
          <w:color w:val="auto"/>
          <w:sz w:val="24"/>
          <w:lang w:eastAsia="zh-CN"/>
        </w:rPr>
        <w:t>。</w:t>
      </w:r>
      <w:r>
        <w:rPr>
          <w:rFonts w:hint="eastAsia" w:ascii="宋体" w:hAnsi="宋体" w:cs="宋体"/>
          <w:color w:val="auto"/>
          <w:sz w:val="24"/>
        </w:rPr>
        <w:t xml:space="preserve"> </w:t>
      </w:r>
    </w:p>
    <w:p>
      <w:pPr>
        <w:spacing w:line="440" w:lineRule="exact"/>
        <w:ind w:firstLine="480"/>
        <w:rPr>
          <w:rFonts w:ascii="宋体" w:hAnsi="宋体" w:cs="宋体"/>
          <w:color w:val="auto"/>
          <w:sz w:val="24"/>
        </w:rPr>
      </w:pPr>
      <w:r>
        <w:rPr>
          <w:rFonts w:ascii="宋体" w:hAnsi="宋体" w:cs="宋体"/>
          <w:color w:val="auto"/>
          <w:sz w:val="24"/>
        </w:rPr>
        <w:t>注：供应商必须按采购人提供的工程量清单进行报价，否则视为对竞争性磋商文件商务条款的实质性偏离。供应商不得修改工程量清单中的分布分项内容及数量，否则视为不响应磋商文件。</w:t>
      </w:r>
    </w:p>
    <w:p>
      <w:pPr>
        <w:spacing w:line="440" w:lineRule="exact"/>
        <w:ind w:firstLine="480"/>
        <w:rPr>
          <w:rFonts w:ascii="宋体" w:hAnsi="宋体" w:cs="宋体"/>
          <w:color w:val="auto"/>
          <w:sz w:val="24"/>
        </w:rPr>
      </w:pPr>
      <w:r>
        <w:rPr>
          <w:rFonts w:ascii="宋体" w:hAnsi="宋体" w:cs="宋体"/>
          <w:color w:val="auto"/>
          <w:sz w:val="24"/>
        </w:rPr>
        <w:t>1.2 供应商应按采购人提供的工程量清单填报价格。填写的项目名称、项目特征、计量单位、工程量必须与采购人提供的一致。</w:t>
      </w:r>
    </w:p>
    <w:p>
      <w:pPr>
        <w:spacing w:line="440" w:lineRule="exact"/>
        <w:ind w:firstLine="480"/>
        <w:rPr>
          <w:rFonts w:ascii="宋体" w:hAnsi="宋体" w:cs="宋体"/>
          <w:color w:val="auto"/>
          <w:sz w:val="24"/>
        </w:rPr>
      </w:pPr>
      <w:r>
        <w:rPr>
          <w:rFonts w:ascii="宋体" w:hAnsi="宋体" w:cs="宋体"/>
          <w:color w:val="auto"/>
          <w:sz w:val="24"/>
        </w:rPr>
        <w:t>1.3 供应商应按采购人提供的工程量计算工程项目的单价和合价。工程量清单中的每一单项均需计算填写单价和合价，供应商没有填写单价和合价的项目将被认为此项费用已包括在工程量清单的其他单价和合价中。</w:t>
      </w:r>
    </w:p>
    <w:p>
      <w:pPr>
        <w:spacing w:line="440" w:lineRule="exact"/>
        <w:ind w:firstLine="480"/>
        <w:rPr>
          <w:rFonts w:ascii="宋体" w:hAnsi="宋体" w:cs="宋体"/>
          <w:color w:val="auto"/>
          <w:sz w:val="24"/>
        </w:rPr>
      </w:pPr>
      <w:r>
        <w:rPr>
          <w:rFonts w:ascii="宋体" w:hAnsi="宋体" w:cs="宋体"/>
          <w:color w:val="auto"/>
          <w:sz w:val="24"/>
        </w:rPr>
        <w:t>1.4 响应的供应商必须按统一的工程量清单报价，成交后，在施工过程中，不论由于工程量清单有误或漏项，还是由于设计变更、现场变更、签证引起的工程量清单项目或清单项目工程数量的增减，均按实调整。</w:t>
      </w:r>
    </w:p>
    <w:p>
      <w:pPr>
        <w:spacing w:line="440" w:lineRule="exact"/>
        <w:ind w:firstLine="480"/>
        <w:rPr>
          <w:rFonts w:ascii="宋体" w:hAnsi="宋体" w:cs="宋体"/>
          <w:color w:val="auto"/>
          <w:sz w:val="24"/>
        </w:rPr>
      </w:pPr>
      <w:r>
        <w:rPr>
          <w:rFonts w:ascii="宋体" w:hAnsi="宋体" w:cs="宋体"/>
          <w:color w:val="auto"/>
          <w:sz w:val="24"/>
        </w:rPr>
        <w:t>1.5 技术参数、项目实施方案所描述的技术措施所发生的费用，视为已体现在供应商报价的非实体性消耗所发生的费用中。</w:t>
      </w:r>
    </w:p>
    <w:p>
      <w:pPr>
        <w:spacing w:line="440" w:lineRule="exact"/>
        <w:ind w:firstLine="480"/>
        <w:rPr>
          <w:rFonts w:ascii="宋体" w:hAnsi="宋体" w:cs="宋体"/>
          <w:color w:val="auto"/>
          <w:sz w:val="24"/>
        </w:rPr>
      </w:pPr>
      <w:r>
        <w:rPr>
          <w:rFonts w:ascii="宋体" w:hAnsi="宋体" w:cs="宋体"/>
          <w:color w:val="auto"/>
          <w:sz w:val="24"/>
        </w:rPr>
        <w:t>1.6 供应商自行勘察，了解周边原有建筑、设施，事先视察工地，充分了解工程位置、邻近建筑物、工地情况，通路、储存空间、起卸限制、及任何其它足以影响报价之情况，供应商须按接收工地日的现况，接收工地及自费清理任何遗留在工地上之废物，施工过程中因工地特殊情况而引起二次搬运、安全防护等。供应商在响应报价时应考虑这样因素，并在响应报价中予以考虑，</w:t>
      </w:r>
      <w:r>
        <w:rPr>
          <w:rFonts w:hint="eastAsia" w:ascii="宋体" w:hAnsi="宋体" w:cs="宋体"/>
          <w:color w:val="auto"/>
          <w:sz w:val="24"/>
        </w:rPr>
        <w:t>施工现场的地表现状、相关路段的施工范围 、临时道路、用水用电等相关费用需综合考虑在报价中</w:t>
      </w:r>
      <w:r>
        <w:rPr>
          <w:rFonts w:hint="eastAsia" w:ascii="宋体" w:hAnsi="宋体" w:cs="宋体"/>
          <w:color w:val="auto"/>
          <w:sz w:val="24"/>
          <w:lang w:eastAsia="zh-CN"/>
        </w:rPr>
        <w:t>，</w:t>
      </w:r>
      <w:r>
        <w:rPr>
          <w:rFonts w:ascii="宋体" w:hAnsi="宋体" w:cs="宋体"/>
          <w:color w:val="auto"/>
          <w:sz w:val="24"/>
        </w:rPr>
        <w:t>采购人不接受供应商关于此类费用的任何诉讼或索赔。</w:t>
      </w:r>
    </w:p>
    <w:p>
      <w:pPr>
        <w:spacing w:line="440" w:lineRule="exact"/>
        <w:ind w:firstLine="480"/>
        <w:rPr>
          <w:rFonts w:ascii="宋体" w:hAnsi="宋体" w:cs="宋体"/>
          <w:color w:val="auto"/>
          <w:sz w:val="24"/>
        </w:rPr>
      </w:pPr>
      <w:r>
        <w:rPr>
          <w:rFonts w:ascii="宋体" w:hAnsi="宋体" w:cs="宋体"/>
          <w:color w:val="auto"/>
          <w:sz w:val="24"/>
        </w:rPr>
        <w:t>1.7 安全文明施工是供应商的责任，采购人不接受任何由于供应商施工而导致的扰民或民扰引起的诉讼或索赔。供应商应在其响应报价时充分考虑因扰民与民扰而造成的工期影响与费用增加，在报价予以考虑，采购人不接受任何由于供应商考虑不周为由而提出的任何索赔。</w:t>
      </w:r>
    </w:p>
    <w:p>
      <w:pPr>
        <w:spacing w:line="440" w:lineRule="exact"/>
        <w:ind w:firstLine="480"/>
        <w:rPr>
          <w:rFonts w:ascii="宋体" w:hAnsi="宋体" w:cs="宋体"/>
          <w:color w:val="auto"/>
          <w:sz w:val="24"/>
        </w:rPr>
      </w:pPr>
      <w:r>
        <w:rPr>
          <w:rFonts w:hint="eastAsia" w:ascii="宋体" w:hAnsi="宋体" w:cs="宋体"/>
          <w:color w:val="auto"/>
          <w:sz w:val="24"/>
        </w:rPr>
        <w:t>1.8由供应商负责办理相关建设、城管、市政、安全、环保等部门的手续，施工供应商在响应报价时应考虑这样因素，费用包含在报价中，采购人不接受供应商关于此类费用的任何诉讼或索赔。</w:t>
      </w:r>
    </w:p>
    <w:p>
      <w:pPr>
        <w:spacing w:line="440" w:lineRule="exact"/>
        <w:ind w:firstLine="480"/>
        <w:rPr>
          <w:rFonts w:ascii="宋体" w:hAnsi="宋体" w:cs="宋体"/>
          <w:color w:val="auto"/>
          <w:sz w:val="24"/>
        </w:rPr>
      </w:pPr>
      <w:r>
        <w:rPr>
          <w:rFonts w:ascii="宋体" w:hAnsi="宋体" w:cs="宋体"/>
          <w:color w:val="auto"/>
          <w:sz w:val="24"/>
        </w:rPr>
        <w:t>1.</w:t>
      </w:r>
      <w:r>
        <w:rPr>
          <w:rFonts w:hint="eastAsia" w:ascii="宋体" w:hAnsi="宋体" w:cs="宋体"/>
          <w:color w:val="auto"/>
          <w:sz w:val="24"/>
        </w:rPr>
        <w:t>9</w:t>
      </w:r>
      <w:r>
        <w:rPr>
          <w:rFonts w:ascii="宋体" w:hAnsi="宋体" w:cs="宋体"/>
          <w:color w:val="auto"/>
          <w:sz w:val="24"/>
        </w:rPr>
        <w:t xml:space="preserve"> 垃圾外运，在报价中综合考虑。</w:t>
      </w:r>
    </w:p>
    <w:p>
      <w:pPr>
        <w:spacing w:line="440" w:lineRule="exact"/>
        <w:ind w:firstLine="480"/>
        <w:rPr>
          <w:rFonts w:ascii="宋体" w:hAnsi="宋体" w:cs="宋体"/>
          <w:color w:val="auto"/>
          <w:sz w:val="24"/>
        </w:rPr>
      </w:pPr>
      <w:r>
        <w:rPr>
          <w:rFonts w:ascii="宋体" w:hAnsi="宋体" w:cs="宋体"/>
          <w:color w:val="auto"/>
          <w:sz w:val="24"/>
        </w:rPr>
        <w:t>1.</w:t>
      </w:r>
      <w:r>
        <w:rPr>
          <w:rFonts w:hint="eastAsia" w:ascii="宋体" w:hAnsi="宋体" w:cs="宋体"/>
          <w:color w:val="auto"/>
          <w:sz w:val="24"/>
        </w:rPr>
        <w:t>10</w:t>
      </w:r>
      <w:r>
        <w:rPr>
          <w:rFonts w:ascii="宋体" w:hAnsi="宋体" w:cs="宋体"/>
          <w:color w:val="auto"/>
          <w:sz w:val="24"/>
        </w:rPr>
        <w:t>辅助工程部分：综合单价中应包括招标人提供的施工图所含内容，以及工程量清单报价中的价格，应包括完成清单项目的人工费、材料费、机械费、管理费及利润等费用。政策性文件规定及施工进程中包含的所有风险、责任等各项应有费用，并含相应的平整场地、地基处理调整等图纸及建设方要求的工程施工全部内容的全部费用。</w:t>
      </w:r>
    </w:p>
    <w:p>
      <w:pPr>
        <w:spacing w:line="440" w:lineRule="exact"/>
        <w:ind w:firstLine="480"/>
        <w:rPr>
          <w:rFonts w:ascii="宋体" w:hAnsi="宋体" w:cs="宋体"/>
          <w:color w:val="auto"/>
          <w:sz w:val="24"/>
        </w:rPr>
      </w:pPr>
      <w:r>
        <w:rPr>
          <w:rFonts w:ascii="宋体" w:hAnsi="宋体" w:cs="宋体"/>
          <w:color w:val="auto"/>
          <w:sz w:val="24"/>
        </w:rPr>
        <w:t>1.1</w:t>
      </w:r>
      <w:r>
        <w:rPr>
          <w:rFonts w:hint="eastAsia" w:ascii="宋体" w:hAnsi="宋体" w:cs="宋体"/>
          <w:color w:val="auto"/>
          <w:sz w:val="24"/>
        </w:rPr>
        <w:t>1</w:t>
      </w:r>
      <w:r>
        <w:rPr>
          <w:rFonts w:ascii="宋体" w:hAnsi="宋体" w:cs="宋体"/>
          <w:color w:val="auto"/>
          <w:sz w:val="24"/>
        </w:rPr>
        <w:t>地方关系协调费</w:t>
      </w:r>
      <w:r>
        <w:rPr>
          <w:rFonts w:hint="eastAsia" w:ascii="宋体" w:hAnsi="宋体" w:cs="宋体"/>
          <w:color w:val="auto"/>
          <w:sz w:val="24"/>
          <w:lang w:val="en-US" w:eastAsia="zh-CN"/>
        </w:rPr>
        <w:t>供应商</w:t>
      </w:r>
      <w:r>
        <w:rPr>
          <w:rFonts w:ascii="宋体" w:hAnsi="宋体" w:cs="宋体"/>
          <w:color w:val="auto"/>
          <w:sz w:val="24"/>
        </w:rPr>
        <w:t>自行考虑，就此项招标人不支付任何费用。</w:t>
      </w:r>
    </w:p>
    <w:p>
      <w:pPr>
        <w:spacing w:line="440" w:lineRule="exact"/>
        <w:ind w:firstLine="480"/>
        <w:rPr>
          <w:rFonts w:ascii="宋体" w:hAnsi="宋体" w:cs="宋体"/>
          <w:color w:val="auto"/>
          <w:sz w:val="24"/>
        </w:rPr>
      </w:pPr>
      <w:r>
        <w:rPr>
          <w:rFonts w:ascii="宋体" w:hAnsi="宋体" w:cs="宋体"/>
          <w:color w:val="auto"/>
          <w:sz w:val="24"/>
        </w:rPr>
        <w:t>1.1</w:t>
      </w:r>
      <w:r>
        <w:rPr>
          <w:rFonts w:hint="eastAsia" w:ascii="宋体" w:hAnsi="宋体" w:cs="宋体"/>
          <w:color w:val="auto"/>
          <w:sz w:val="24"/>
        </w:rPr>
        <w:t>2</w:t>
      </w:r>
      <w:r>
        <w:rPr>
          <w:rFonts w:ascii="宋体" w:hAnsi="宋体" w:cs="宋体"/>
          <w:color w:val="auto"/>
          <w:sz w:val="24"/>
        </w:rPr>
        <w:t>施工时需做好防护措施保证周边安全，因中标人保障不利对招标人或第三方造成损失的，赔偿责任全部由中标人承担，若因此会增加费用，控制价不计取，</w:t>
      </w:r>
      <w:r>
        <w:rPr>
          <w:rFonts w:hint="eastAsia" w:ascii="宋体" w:hAnsi="宋体" w:cs="宋体"/>
          <w:color w:val="auto"/>
          <w:sz w:val="24"/>
          <w:lang w:val="en-US" w:eastAsia="zh-CN"/>
        </w:rPr>
        <w:t>供应商</w:t>
      </w:r>
      <w:r>
        <w:rPr>
          <w:rFonts w:ascii="宋体" w:hAnsi="宋体" w:cs="宋体"/>
          <w:color w:val="auto"/>
          <w:sz w:val="24"/>
        </w:rPr>
        <w:t>自行考虑在报价中，结算时不予调整。</w:t>
      </w:r>
    </w:p>
    <w:p>
      <w:pPr>
        <w:spacing w:line="440" w:lineRule="exact"/>
        <w:ind w:firstLine="482"/>
        <w:rPr>
          <w:rFonts w:ascii="宋体" w:hAnsi="宋体" w:cs="宋体"/>
          <w:b/>
          <w:color w:val="auto"/>
          <w:sz w:val="24"/>
        </w:rPr>
      </w:pPr>
      <w:r>
        <w:rPr>
          <w:rFonts w:ascii="宋体" w:hAnsi="宋体" w:cs="宋体"/>
          <w:b/>
          <w:color w:val="auto"/>
          <w:sz w:val="24"/>
        </w:rPr>
        <w:t>2、报价方式</w:t>
      </w:r>
    </w:p>
    <w:p>
      <w:pPr>
        <w:spacing w:line="440" w:lineRule="exact"/>
        <w:ind w:firstLine="480"/>
        <w:rPr>
          <w:rFonts w:ascii="宋体" w:hAnsi="宋体" w:cs="宋体"/>
          <w:color w:val="auto"/>
          <w:sz w:val="24"/>
        </w:rPr>
      </w:pPr>
      <w:r>
        <w:rPr>
          <w:rFonts w:ascii="宋体" w:hAnsi="宋体" w:cs="宋体"/>
          <w:color w:val="auto"/>
          <w:sz w:val="24"/>
        </w:rPr>
        <w:t>2.1本工程采用固定单价合同（除另有规定外）。供应商应充分考虑施工期间各类建材的市场风险，并计入总报价，供应商在计算报价时应考虑一定的风险系数。</w:t>
      </w:r>
    </w:p>
    <w:p>
      <w:pPr>
        <w:spacing w:line="440" w:lineRule="exact"/>
        <w:ind w:firstLine="480"/>
        <w:rPr>
          <w:rFonts w:ascii="宋体" w:hAnsi="宋体" w:cs="宋体"/>
          <w:color w:val="auto"/>
          <w:sz w:val="24"/>
        </w:rPr>
      </w:pPr>
      <w:r>
        <w:rPr>
          <w:rFonts w:ascii="宋体" w:hAnsi="宋体" w:cs="宋体"/>
          <w:color w:val="auto"/>
          <w:sz w:val="24"/>
        </w:rPr>
        <w:t>2.2 材料风险约定：</w:t>
      </w:r>
    </w:p>
    <w:p>
      <w:pPr>
        <w:spacing w:line="440" w:lineRule="exact"/>
        <w:ind w:firstLine="480"/>
        <w:rPr>
          <w:rFonts w:ascii="宋体" w:hAnsi="宋体" w:cs="宋体"/>
          <w:color w:val="auto"/>
          <w:sz w:val="24"/>
        </w:rPr>
      </w:pPr>
      <w:r>
        <w:rPr>
          <w:rFonts w:ascii="宋体" w:hAnsi="宋体" w:cs="宋体"/>
          <w:color w:val="auto"/>
          <w:sz w:val="24"/>
        </w:rPr>
        <w:t>2.2.1对于法律、法规、规章或有关政策出台导致工程税金、规费等发生变化的，应按照有关规定执行。</w:t>
      </w:r>
    </w:p>
    <w:p>
      <w:pPr>
        <w:spacing w:line="440" w:lineRule="exact"/>
        <w:ind w:firstLine="480"/>
        <w:rPr>
          <w:rFonts w:ascii="宋体" w:hAnsi="宋体" w:cs="宋体"/>
          <w:color w:val="auto"/>
          <w:sz w:val="24"/>
        </w:rPr>
      </w:pPr>
      <w:r>
        <w:rPr>
          <w:rFonts w:ascii="宋体" w:hAnsi="宋体" w:cs="宋体"/>
          <w:color w:val="auto"/>
          <w:sz w:val="24"/>
        </w:rPr>
        <w:t>2.2.2本工程对材料风险约定如下：供应商应充分考虑施工期间各类建材的市场风险，充分考虑政策性关于人工、机械费用等方面调整，并计入总报价，供应商所填写的单价在合同实施期间不因市场变化因素而变动，结算不再调整。</w:t>
      </w:r>
    </w:p>
    <w:p>
      <w:pPr>
        <w:spacing w:line="440" w:lineRule="exact"/>
        <w:ind w:firstLine="482"/>
        <w:rPr>
          <w:rFonts w:ascii="宋体" w:hAnsi="宋体" w:cs="宋体"/>
          <w:b/>
          <w:color w:val="auto"/>
          <w:sz w:val="24"/>
        </w:rPr>
      </w:pPr>
      <w:r>
        <w:rPr>
          <w:rFonts w:ascii="宋体" w:hAnsi="宋体" w:cs="宋体"/>
          <w:b/>
          <w:color w:val="auto"/>
          <w:sz w:val="24"/>
        </w:rPr>
        <w:t>3、报价的计价方法</w:t>
      </w:r>
    </w:p>
    <w:p>
      <w:pPr>
        <w:spacing w:line="440" w:lineRule="exact"/>
        <w:ind w:firstLine="480"/>
        <w:rPr>
          <w:rFonts w:ascii="宋体" w:hAnsi="宋体" w:cs="宋体"/>
          <w:color w:val="auto"/>
          <w:sz w:val="24"/>
        </w:rPr>
      </w:pPr>
      <w:r>
        <w:rPr>
          <w:rFonts w:ascii="宋体" w:hAnsi="宋体" w:cs="宋体"/>
          <w:color w:val="auto"/>
          <w:sz w:val="24"/>
        </w:rPr>
        <w:t>本工程项目采用工程量清单计价。供应商应根据采购人提供的工程量清单计算工程项目的单价、合价。工程量清单中每一个子目和单项均需计算填写单价、合价。若供应商没有填写单价、合价的项目采购人将不予支付，并认为此项费用已包括在工程量清单的其它单价、合价中。</w:t>
      </w:r>
    </w:p>
    <w:p>
      <w:pPr>
        <w:numPr>
          <w:ilvl w:val="0"/>
          <w:numId w:val="5"/>
        </w:numPr>
        <w:pBdr>
          <w:top w:val="none" w:color="000000" w:sz="0" w:space="0"/>
          <w:left w:val="none" w:color="000000" w:sz="0" w:space="0"/>
          <w:bottom w:val="none" w:color="000000" w:sz="0" w:space="0"/>
          <w:right w:val="none" w:color="000000" w:sz="0" w:space="0"/>
        </w:pBdr>
        <w:spacing w:before="210" w:after="120"/>
        <w:ind w:firstLine="482"/>
        <w:jc w:val="both"/>
        <w:rPr>
          <w:rFonts w:hint="eastAsia"/>
          <w:b/>
          <w:color w:val="auto"/>
          <w:sz w:val="24"/>
        </w:rPr>
      </w:pPr>
      <w:r>
        <w:rPr>
          <w:rFonts w:eastAsia="Times New Roman"/>
          <w:b/>
          <w:color w:val="auto"/>
          <w:sz w:val="24"/>
        </w:rPr>
        <w:t>报价编制依据及要求：</w:t>
      </w:r>
      <w:r>
        <w:rPr>
          <w:rFonts w:hint="eastAsia"/>
          <w:b/>
          <w:color w:val="auto"/>
          <w:sz w:val="24"/>
        </w:rPr>
        <w:t>详见工程量清单。</w:t>
      </w:r>
    </w:p>
    <w:p>
      <w:pPr>
        <w:spacing w:line="440" w:lineRule="exact"/>
        <w:ind w:firstLine="480"/>
        <w:rPr>
          <w:rFonts w:hint="eastAsia" w:ascii="宋体" w:hAnsi="宋体" w:cs="宋体"/>
          <w:color w:val="auto"/>
          <w:sz w:val="24"/>
          <w:lang w:val="en-US" w:eastAsia="zh-CN"/>
        </w:rPr>
      </w:pPr>
      <w:r>
        <w:rPr>
          <w:rFonts w:hint="eastAsia" w:ascii="宋体" w:hAnsi="宋体" w:cs="宋体"/>
          <w:color w:val="auto"/>
          <w:sz w:val="24"/>
          <w:lang w:val="en-US" w:eastAsia="zh-CN"/>
        </w:rPr>
        <w:t>说明:</w:t>
      </w:r>
    </w:p>
    <w:p>
      <w:pPr>
        <w:spacing w:line="440" w:lineRule="exact"/>
        <w:ind w:firstLine="480"/>
        <w:rPr>
          <w:rFonts w:hint="eastAsia" w:ascii="宋体" w:hAnsi="宋体" w:cs="宋体"/>
          <w:color w:val="auto"/>
          <w:sz w:val="24"/>
          <w:lang w:val="en-US" w:eastAsia="zh-CN"/>
        </w:rPr>
      </w:pPr>
      <w:r>
        <w:rPr>
          <w:rFonts w:hint="eastAsia" w:ascii="宋体" w:hAnsi="宋体" w:cs="宋体"/>
          <w:color w:val="auto"/>
          <w:sz w:val="24"/>
          <w:lang w:val="en-US" w:eastAsia="zh-CN"/>
        </w:rPr>
        <w:t>1.1响应报价应包括磋商文件所确定的招标范围内工程量清单中所含的全部内容以及为完成上述内容所需的全部费用，其根据为供应商提交的已标价的工程量清单及附表。</w:t>
      </w:r>
    </w:p>
    <w:p>
      <w:pPr>
        <w:spacing w:line="440" w:lineRule="exact"/>
        <w:ind w:firstLine="480"/>
        <w:rPr>
          <w:rFonts w:hint="eastAsia" w:ascii="宋体" w:hAnsi="宋体" w:cs="宋体"/>
          <w:color w:val="auto"/>
          <w:sz w:val="24"/>
          <w:lang w:val="en-US" w:eastAsia="zh-CN"/>
        </w:rPr>
      </w:pPr>
      <w:r>
        <w:rPr>
          <w:rFonts w:hint="eastAsia" w:ascii="宋体" w:hAnsi="宋体" w:cs="宋体"/>
          <w:color w:val="auto"/>
          <w:sz w:val="24"/>
          <w:lang w:val="en-US" w:eastAsia="zh-CN"/>
        </w:rPr>
        <w:t>1.2 供应商应按采购人提供的工程量清单填报价格。填写的项目编码、项目名称、项目特征、计量单位、工程量必须与采购人提供的一致。</w:t>
      </w:r>
    </w:p>
    <w:p>
      <w:pPr>
        <w:spacing w:line="440" w:lineRule="exact"/>
        <w:ind w:firstLine="480"/>
        <w:rPr>
          <w:rFonts w:hint="eastAsia" w:ascii="宋体" w:hAnsi="宋体" w:cs="宋体"/>
          <w:color w:val="auto"/>
          <w:sz w:val="24"/>
          <w:lang w:val="en-US" w:eastAsia="zh-CN"/>
        </w:rPr>
      </w:pPr>
      <w:r>
        <w:rPr>
          <w:rFonts w:hint="eastAsia" w:ascii="宋体" w:hAnsi="宋体" w:cs="宋体"/>
          <w:color w:val="auto"/>
          <w:sz w:val="24"/>
          <w:lang w:val="en-US" w:eastAsia="zh-CN"/>
        </w:rPr>
        <w:t>1.3执行工程量清单招标的工程建设项目，招标清单中工程量的风险由发包人承担，综合单价的风险在约定风险范围内的，由承包人承担，风险范围以外的按合同约定。</w:t>
      </w:r>
    </w:p>
    <w:p>
      <w:pPr>
        <w:spacing w:line="440" w:lineRule="exact"/>
        <w:ind w:firstLine="480"/>
        <w:rPr>
          <w:rFonts w:hint="eastAsia" w:ascii="宋体" w:hAnsi="宋体" w:cs="宋体"/>
          <w:color w:val="auto"/>
          <w:sz w:val="24"/>
        </w:rPr>
      </w:pPr>
      <w:r>
        <w:rPr>
          <w:rFonts w:hint="eastAsia" w:ascii="宋体" w:hAnsi="宋体" w:cs="宋体"/>
          <w:color w:val="auto"/>
          <w:sz w:val="24"/>
        </w:rPr>
        <w:t>1.4 供应商应按采购人提供的工程量计算工程项目的单价和合价。工程量清单中的每一单项均需计算填写单价和合价，供应商没有填写单价和合价的项目将不予支付，认为此项费用已包括在工程量清单的其他单价和合价中。</w:t>
      </w:r>
    </w:p>
    <w:p>
      <w:pPr>
        <w:spacing w:line="440" w:lineRule="exact"/>
        <w:ind w:firstLine="480"/>
        <w:rPr>
          <w:rFonts w:hint="eastAsia" w:ascii="宋体" w:hAnsi="宋体" w:cs="宋体"/>
          <w:color w:val="auto"/>
          <w:sz w:val="24"/>
        </w:rPr>
      </w:pPr>
      <w:r>
        <w:rPr>
          <w:rFonts w:hint="eastAsia" w:ascii="宋体" w:hAnsi="宋体" w:cs="宋体"/>
          <w:color w:val="auto"/>
          <w:sz w:val="24"/>
        </w:rPr>
        <w:t>1.5 施工组织设计所描述的技术措施所发生的费用，视为已体现在供应商响应报价的非实体性消耗所发生的费用中。</w:t>
      </w:r>
    </w:p>
    <w:p>
      <w:pPr>
        <w:spacing w:line="440" w:lineRule="exact"/>
        <w:ind w:firstLine="480"/>
        <w:rPr>
          <w:rFonts w:hint="eastAsia" w:ascii="宋体" w:hAnsi="宋体" w:cs="宋体"/>
          <w:color w:val="auto"/>
          <w:sz w:val="24"/>
        </w:rPr>
      </w:pPr>
      <w:r>
        <w:rPr>
          <w:rFonts w:hint="eastAsia" w:ascii="宋体" w:hAnsi="宋体" w:cs="宋体"/>
          <w:color w:val="auto"/>
          <w:sz w:val="24"/>
        </w:rPr>
        <w:t>1.6 供应商应充分了解周边原有建筑、设施，事先视察工地，取得所有有关资料及充分了解工程位置、邻近建筑物、工地情况、开挖的土质，通路、储存空间、起卸限制、及任何其它足以影响投标价之情况，供应商须按接收工地日的现况，接收工地及自费清理任何遗留在工地上之废物，施工过程中因工地特殊情况而引起二次搬运、安全防护等。施工供应商在投标时应考虑这样因素，并在投标报价中予以考虑，采购人不接受供应商关于此类费用的任何诉讼或索赔。</w:t>
      </w:r>
    </w:p>
    <w:p>
      <w:pPr>
        <w:spacing w:line="440" w:lineRule="exact"/>
        <w:ind w:firstLine="480"/>
        <w:rPr>
          <w:rFonts w:hint="eastAsia" w:ascii="宋体" w:hAnsi="宋体" w:cs="宋体"/>
          <w:color w:val="auto"/>
          <w:sz w:val="24"/>
        </w:rPr>
      </w:pPr>
      <w:r>
        <w:rPr>
          <w:rFonts w:hint="eastAsia" w:ascii="宋体" w:hAnsi="宋体" w:cs="宋体"/>
          <w:color w:val="auto"/>
          <w:sz w:val="24"/>
        </w:rPr>
        <w:t>1.7安全文明施工是供应商的责任，采购人不接受任何由于供应商施工而导致的扰民或民扰引起的诉讼或索赔。供应商应在其投标时充分考虑因扰民与民扰而造成的工期影响与费用增加，在报价予以考虑，采购人不接受任何由于供应商考虑不周为由而提出的任何索赔。</w:t>
      </w:r>
    </w:p>
    <w:p>
      <w:pPr>
        <w:spacing w:line="440" w:lineRule="exact"/>
        <w:ind w:firstLine="480"/>
        <w:rPr>
          <w:rFonts w:hint="eastAsia" w:ascii="宋体" w:hAnsi="宋体" w:cs="宋体"/>
          <w:color w:val="auto"/>
          <w:sz w:val="24"/>
        </w:rPr>
      </w:pPr>
      <w:r>
        <w:rPr>
          <w:rFonts w:hint="eastAsia" w:ascii="宋体" w:hAnsi="宋体" w:cs="宋体"/>
          <w:color w:val="auto"/>
          <w:sz w:val="24"/>
        </w:rPr>
        <w:t>1.8由供应商负责办理相关建设、城管、市政、安全、环保等部门的手续，施工供应商在投标时应考虑这样因素，费用包含在响应报价中，采购人不接受供应商关于此类费用的任何诉讼或索赔。</w:t>
      </w:r>
    </w:p>
    <w:p>
      <w:pPr>
        <w:spacing w:line="440" w:lineRule="exact"/>
        <w:ind w:firstLine="480"/>
        <w:rPr>
          <w:rFonts w:hint="eastAsia" w:ascii="宋体" w:hAnsi="宋体" w:cs="宋体"/>
          <w:color w:val="auto"/>
          <w:sz w:val="24"/>
        </w:rPr>
      </w:pPr>
      <w:r>
        <w:rPr>
          <w:rFonts w:hint="eastAsia" w:ascii="宋体" w:hAnsi="宋体" w:cs="宋体"/>
          <w:color w:val="auto"/>
          <w:sz w:val="24"/>
        </w:rPr>
        <w:t>1.9垃圾外运，运距及运输方式供应商自行考虑。</w:t>
      </w:r>
    </w:p>
    <w:p>
      <w:pPr>
        <w:spacing w:line="440" w:lineRule="exact"/>
        <w:ind w:firstLine="480"/>
        <w:rPr>
          <w:rFonts w:hint="eastAsia" w:ascii="宋体" w:hAnsi="宋体" w:cs="宋体"/>
          <w:color w:val="auto"/>
          <w:sz w:val="24"/>
        </w:rPr>
      </w:pPr>
      <w:r>
        <w:rPr>
          <w:rFonts w:hint="eastAsia" w:ascii="宋体" w:hAnsi="宋体" w:cs="宋体"/>
          <w:color w:val="auto"/>
          <w:sz w:val="24"/>
        </w:rPr>
        <w:t>1.10</w:t>
      </w:r>
      <w:r>
        <w:rPr>
          <w:rFonts w:hint="eastAsia" w:ascii="宋体" w:hAnsi="宋体" w:cs="宋体"/>
          <w:color w:val="auto"/>
          <w:sz w:val="24"/>
          <w:lang w:val="en-US" w:eastAsia="zh-CN"/>
        </w:rPr>
        <w:t>执行</w:t>
      </w:r>
      <w:r>
        <w:rPr>
          <w:rFonts w:hint="eastAsia" w:ascii="宋体" w:hAnsi="宋体" w:cs="宋体"/>
          <w:color w:val="auto"/>
          <w:sz w:val="24"/>
        </w:rPr>
        <w:t>工程量清单采购的工程建设项目，</w:t>
      </w:r>
      <w:r>
        <w:rPr>
          <w:rFonts w:hint="eastAsia" w:ascii="宋体" w:hAnsi="宋体" w:cs="宋体"/>
          <w:color w:val="auto"/>
          <w:sz w:val="24"/>
          <w:lang w:val="en-US" w:eastAsia="zh-CN"/>
        </w:rPr>
        <w:t>招标清单中工程</w:t>
      </w:r>
      <w:r>
        <w:rPr>
          <w:rFonts w:hint="eastAsia" w:ascii="宋体" w:hAnsi="宋体" w:cs="宋体"/>
          <w:color w:val="auto"/>
          <w:sz w:val="24"/>
        </w:rPr>
        <w:t>量的风险由采购人承担，</w:t>
      </w:r>
      <w:r>
        <w:rPr>
          <w:rFonts w:hint="eastAsia" w:ascii="宋体" w:hAnsi="宋体" w:cs="宋体"/>
          <w:color w:val="auto"/>
          <w:sz w:val="24"/>
          <w:lang w:val="en-US" w:eastAsia="zh-CN"/>
        </w:rPr>
        <w:t>综合单</w:t>
      </w:r>
      <w:r>
        <w:rPr>
          <w:rFonts w:hint="eastAsia" w:ascii="宋体" w:hAnsi="宋体" w:cs="宋体"/>
          <w:color w:val="auto"/>
          <w:sz w:val="24"/>
        </w:rPr>
        <w:t>价的风险在约定风险范围内的，由供应商承担，风险范围以外的按合同约定。</w:t>
      </w:r>
    </w:p>
    <w:p>
      <w:pPr>
        <w:spacing w:line="440" w:lineRule="exact"/>
        <w:ind w:firstLine="480"/>
        <w:rPr>
          <w:rFonts w:hint="eastAsia" w:ascii="宋体" w:hAnsi="宋体" w:cs="宋体"/>
          <w:color w:val="auto"/>
          <w:sz w:val="24"/>
        </w:rPr>
      </w:pPr>
      <w:r>
        <w:rPr>
          <w:rFonts w:hint="eastAsia" w:ascii="宋体" w:hAnsi="宋体" w:cs="宋体"/>
          <w:color w:val="auto"/>
          <w:sz w:val="24"/>
        </w:rPr>
        <w:t>1.11清单项目中特征描述不全的工序，如是常规工艺必须的工序，应包括在报价中。</w:t>
      </w:r>
    </w:p>
    <w:p>
      <w:pPr>
        <w:spacing w:line="440" w:lineRule="exact"/>
        <w:ind w:firstLine="480"/>
        <w:rPr>
          <w:rFonts w:hint="eastAsia" w:ascii="宋体" w:hAnsi="宋体" w:cs="宋体"/>
          <w:color w:val="auto"/>
          <w:sz w:val="24"/>
        </w:rPr>
      </w:pPr>
      <w:r>
        <w:rPr>
          <w:rFonts w:hint="eastAsia" w:ascii="宋体" w:hAnsi="宋体" w:cs="宋体"/>
          <w:color w:val="auto"/>
          <w:sz w:val="24"/>
        </w:rPr>
        <w:t>1.12供应商应认真研读竞争性磋商文件和合同内容，已明示含在投标报价中的费用供应商自行考虑，不管工程量清单是否单独列支，采购人均认为供应商已充分考虑此部分费用，应包括在报价中。</w:t>
      </w:r>
    </w:p>
    <w:p>
      <w:pPr>
        <w:spacing w:line="440" w:lineRule="exact"/>
        <w:ind w:firstLine="480"/>
        <w:rPr>
          <w:rFonts w:hint="eastAsia" w:ascii="宋体" w:hAnsi="宋体" w:cs="宋体"/>
          <w:color w:val="auto"/>
          <w:sz w:val="24"/>
        </w:rPr>
      </w:pPr>
      <w:r>
        <w:rPr>
          <w:rFonts w:hint="eastAsia" w:ascii="宋体" w:hAnsi="宋体" w:cs="宋体"/>
          <w:color w:val="auto"/>
          <w:sz w:val="24"/>
        </w:rPr>
        <w:t>1.13场地障碍物（包括地表、地下及围档增设开口）清除（包含挖填等处理）、场地内的积水处理、周边关系、第三方关系的协调及其它的一切相关配合等均在风险系数内考虑。</w:t>
      </w:r>
    </w:p>
    <w:p>
      <w:pPr>
        <w:pBdr>
          <w:top w:val="none" w:color="000000" w:sz="0" w:space="0"/>
          <w:left w:val="none" w:color="000000" w:sz="0" w:space="0"/>
          <w:bottom w:val="none" w:color="000000" w:sz="0" w:space="0"/>
          <w:right w:val="none" w:color="000000" w:sz="0" w:space="0"/>
        </w:pBdr>
        <w:spacing w:before="210" w:after="120"/>
        <w:ind w:firstLine="482"/>
        <w:jc w:val="both"/>
        <w:rPr>
          <w:b/>
          <w:bCs/>
          <w:color w:val="auto"/>
        </w:rPr>
      </w:pPr>
      <w:r>
        <w:rPr>
          <w:rFonts w:ascii="宋体" w:hAnsi="宋体" w:cs="宋体"/>
          <w:b/>
          <w:bCs/>
          <w:color w:val="auto"/>
          <w:sz w:val="24"/>
        </w:rPr>
        <w:t>五、低于成本报价：</w:t>
      </w:r>
    </w:p>
    <w:p>
      <w:pPr>
        <w:spacing w:line="440" w:lineRule="exact"/>
        <w:ind w:firstLine="480"/>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一</w:t>
      </w:r>
      <w:r>
        <w:rPr>
          <w:rFonts w:hint="eastAsia" w:ascii="宋体" w:hAnsi="宋体" w:eastAsia="宋体" w:cs="宋体"/>
          <w:color w:val="auto"/>
          <w:sz w:val="24"/>
          <w:lang w:eastAsia="zh-CN"/>
        </w:rPr>
        <w:t>）评审过程中出现下列情形之一的，评审委员会应当启动异常低价投标(响应)审查程序：</w:t>
      </w:r>
    </w:p>
    <w:p>
      <w:pPr>
        <w:spacing w:line="440" w:lineRule="exact"/>
        <w:ind w:firstLine="480"/>
        <w:rPr>
          <w:rFonts w:hint="eastAsia" w:ascii="宋体" w:hAnsi="宋体" w:eastAsia="宋体" w:cs="宋体"/>
          <w:color w:val="auto"/>
          <w:sz w:val="24"/>
          <w:lang w:eastAsia="zh-CN"/>
        </w:rPr>
      </w:pPr>
      <w:r>
        <w:rPr>
          <w:rFonts w:hint="eastAsia" w:ascii="宋体" w:hAnsi="宋体" w:eastAsia="宋体" w:cs="宋体"/>
          <w:color w:val="auto"/>
          <w:sz w:val="24"/>
        </w:rPr>
        <w:t>1.投标(响应)报价低于采购项目预算50%的，即投标(响应)报价&lt;采购项目预算</w:t>
      </w:r>
      <w:r>
        <w:rPr>
          <w:rFonts w:hint="eastAsia" w:ascii="宋体" w:hAnsi="宋体" w:eastAsia="宋体" w:cs="宋体"/>
          <w:color w:val="auto"/>
          <w:sz w:val="24"/>
          <w:lang w:val="en-US" w:eastAsia="zh-CN"/>
        </w:rPr>
        <w:t>×</w:t>
      </w:r>
      <w:r>
        <w:rPr>
          <w:rFonts w:hint="eastAsia" w:ascii="宋体" w:hAnsi="宋体" w:eastAsia="宋体" w:cs="宋体"/>
          <w:color w:val="auto"/>
          <w:sz w:val="24"/>
        </w:rPr>
        <w:t>50%</w:t>
      </w:r>
      <w:r>
        <w:rPr>
          <w:rFonts w:hint="eastAsia" w:ascii="宋体" w:hAnsi="宋体" w:eastAsia="宋体" w:cs="宋体"/>
          <w:color w:val="auto"/>
          <w:sz w:val="24"/>
          <w:lang w:eastAsia="zh-CN"/>
        </w:rPr>
        <w:t>；</w:t>
      </w:r>
    </w:p>
    <w:p>
      <w:pPr>
        <w:spacing w:line="440" w:lineRule="exact"/>
        <w:ind w:firstLine="480"/>
        <w:rPr>
          <w:rFonts w:hint="eastAsia" w:ascii="宋体" w:hAnsi="宋体" w:eastAsia="宋体" w:cs="宋体"/>
          <w:color w:val="auto"/>
          <w:sz w:val="24"/>
          <w:lang w:eastAsia="zh-CN"/>
        </w:rPr>
      </w:pPr>
      <w:r>
        <w:rPr>
          <w:rFonts w:hint="eastAsia" w:ascii="宋体" w:hAnsi="宋体" w:eastAsia="宋体" w:cs="宋体"/>
          <w:color w:val="auto"/>
          <w:sz w:val="24"/>
        </w:rPr>
        <w:t>2.投标(响应)报价低于采购项目最高限价45%的，即投标(响应)报价&lt;采购项目最高限价</w:t>
      </w:r>
      <w:bookmarkStart w:id="12" w:name="OLE_LINK1"/>
      <w:r>
        <w:rPr>
          <w:rFonts w:hint="eastAsia" w:ascii="宋体" w:hAnsi="宋体" w:eastAsia="宋体" w:cs="宋体"/>
          <w:color w:val="auto"/>
          <w:sz w:val="24"/>
          <w:lang w:val="en-US" w:eastAsia="zh-CN"/>
        </w:rPr>
        <w:t>×</w:t>
      </w:r>
      <w:r>
        <w:rPr>
          <w:rFonts w:hint="eastAsia" w:ascii="宋体" w:hAnsi="宋体" w:eastAsia="宋体" w:cs="宋体"/>
          <w:color w:val="auto"/>
          <w:sz w:val="24"/>
        </w:rPr>
        <w:t>4</w:t>
      </w:r>
      <w:bookmarkEnd w:id="12"/>
      <w:r>
        <w:rPr>
          <w:rFonts w:hint="eastAsia" w:ascii="宋体" w:hAnsi="宋体" w:eastAsia="宋体" w:cs="宋体"/>
          <w:color w:val="auto"/>
          <w:sz w:val="24"/>
        </w:rPr>
        <w:t>5%</w:t>
      </w:r>
      <w:r>
        <w:rPr>
          <w:rFonts w:hint="eastAsia" w:ascii="宋体" w:hAnsi="宋体" w:eastAsia="宋体" w:cs="宋体"/>
          <w:color w:val="auto"/>
          <w:sz w:val="24"/>
          <w:lang w:eastAsia="zh-CN"/>
        </w:rPr>
        <w:t>；</w:t>
      </w:r>
    </w:p>
    <w:p>
      <w:pPr>
        <w:spacing w:line="440" w:lineRule="exact"/>
        <w:ind w:firstLine="480"/>
        <w:rPr>
          <w:rFonts w:hint="eastAsia" w:ascii="宋体" w:hAnsi="宋体" w:eastAsia="宋体" w:cs="宋体"/>
          <w:color w:val="auto"/>
          <w:sz w:val="24"/>
        </w:rPr>
      </w:pPr>
      <w:r>
        <w:rPr>
          <w:rFonts w:hint="eastAsia" w:ascii="宋体" w:hAnsi="宋体" w:eastAsia="宋体" w:cs="宋体"/>
          <w:color w:val="auto"/>
          <w:sz w:val="24"/>
        </w:rPr>
        <w:t>3.评审委员会认定的供应商报价过低、有可能影响产品质量或者不能诚信履约的其他情形。</w:t>
      </w:r>
    </w:p>
    <w:p>
      <w:pPr>
        <w:spacing w:line="440" w:lineRule="exact"/>
        <w:ind w:firstLine="480"/>
        <w:rPr>
          <w:rFonts w:hint="eastAsia" w:ascii="宋体" w:hAnsi="宋体" w:cs="宋体"/>
          <w:color w:val="auto"/>
          <w:sz w:val="24"/>
        </w:rPr>
      </w:pPr>
      <w:r>
        <w:rPr>
          <w:rFonts w:hint="eastAsia" w:ascii="宋体" w:hAnsi="宋体" w:cs="宋体"/>
          <w:color w:val="auto"/>
          <w:sz w:val="24"/>
        </w:rPr>
        <w:t>(二)启动异常低价投标(响应)审查后，评审委员会应当要求相关供应商在评标现场合理的时间内，提供项目具体成本测算等与报价合理性相关的书面说明及相关证明材料，对投标(响应)价格作出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审查相关情况应当在评审报告中进行记录。</w:t>
      </w:r>
    </w:p>
    <w:p>
      <w:pPr>
        <w:pBdr>
          <w:top w:val="none" w:color="000000" w:sz="0" w:space="0"/>
          <w:left w:val="none" w:color="000000" w:sz="0" w:space="0"/>
          <w:bottom w:val="none" w:color="000000" w:sz="0" w:space="0"/>
          <w:right w:val="none" w:color="000000" w:sz="0" w:space="0"/>
        </w:pBdr>
        <w:spacing w:line="400" w:lineRule="atLeast"/>
        <w:ind w:firstLine="482"/>
        <w:jc w:val="both"/>
        <w:rPr>
          <w:color w:val="auto"/>
        </w:rPr>
      </w:pPr>
      <w:r>
        <w:rPr>
          <w:rFonts w:hint="eastAsia" w:ascii="宋体" w:hAnsi="宋体" w:cs="宋体"/>
          <w:b/>
          <w:color w:val="auto"/>
          <w:sz w:val="24"/>
        </w:rPr>
        <w:t>六</w:t>
      </w:r>
      <w:r>
        <w:rPr>
          <w:rFonts w:ascii="宋体" w:hAnsi="宋体" w:cs="宋体"/>
          <w:b/>
          <w:color w:val="auto"/>
          <w:sz w:val="24"/>
        </w:rPr>
        <w:t>、响应文件要求</w:t>
      </w:r>
    </w:p>
    <w:p>
      <w:pPr>
        <w:spacing w:line="440" w:lineRule="exact"/>
        <w:ind w:firstLine="480"/>
        <w:rPr>
          <w:rFonts w:hint="eastAsia" w:ascii="宋体" w:hAnsi="宋体" w:cs="宋体"/>
          <w:color w:val="auto"/>
          <w:sz w:val="24"/>
        </w:rPr>
      </w:pPr>
      <w:r>
        <w:rPr>
          <w:rFonts w:hint="eastAsia" w:ascii="宋体" w:hAnsi="宋体" w:cs="宋体"/>
          <w:color w:val="auto"/>
          <w:sz w:val="24"/>
        </w:rPr>
        <w:t>1.首次响应文件中提供《已标价的工程量清单》文件。</w:t>
      </w:r>
    </w:p>
    <w:p>
      <w:pPr>
        <w:spacing w:line="440" w:lineRule="exact"/>
        <w:ind w:firstLine="480"/>
        <w:rPr>
          <w:rFonts w:hint="eastAsia" w:ascii="宋体" w:hAnsi="宋体" w:cs="宋体"/>
          <w:color w:val="auto"/>
          <w:sz w:val="24"/>
        </w:rPr>
      </w:pPr>
      <w:r>
        <w:rPr>
          <w:rFonts w:hint="eastAsia" w:ascii="宋体" w:hAnsi="宋体" w:cs="宋体"/>
          <w:color w:val="auto"/>
          <w:sz w:val="24"/>
        </w:rPr>
        <w:t>2.按照《工程量清单》编制《已标价的工程量清单》。</w:t>
      </w:r>
    </w:p>
    <w:p>
      <w:pPr>
        <w:spacing w:line="440" w:lineRule="exact"/>
        <w:ind w:firstLine="480"/>
        <w:rPr>
          <w:rFonts w:hint="eastAsia" w:ascii="宋体" w:hAnsi="宋体" w:cs="宋体"/>
          <w:color w:val="auto"/>
          <w:sz w:val="24"/>
        </w:rPr>
      </w:pPr>
      <w:r>
        <w:rPr>
          <w:rFonts w:hint="eastAsia" w:ascii="宋体" w:hAnsi="宋体" w:cs="宋体"/>
          <w:color w:val="auto"/>
          <w:sz w:val="24"/>
        </w:rPr>
        <w:t>供应商必须说明其是否响应采购文件中提出的全部服务内容与要求，如果其中某些条款不响应时，应在文件中逐条列出，未列出的视同响应。</w:t>
      </w:r>
    </w:p>
    <w:p>
      <w:pPr>
        <w:numPr>
          <w:ilvl w:val="0"/>
          <w:numId w:val="6"/>
        </w:numPr>
        <w:pBdr>
          <w:top w:val="none" w:color="000000" w:sz="0" w:space="0"/>
          <w:left w:val="none" w:color="000000" w:sz="0" w:space="0"/>
          <w:bottom w:val="none" w:color="000000" w:sz="0" w:space="0"/>
          <w:right w:val="none" w:color="000000" w:sz="0" w:space="0"/>
        </w:pBdr>
        <w:spacing w:line="400" w:lineRule="atLeast"/>
        <w:ind w:firstLine="482"/>
        <w:jc w:val="both"/>
        <w:rPr>
          <w:rFonts w:hint="eastAsia" w:ascii="宋体" w:hAnsi="宋体" w:cs="宋体"/>
          <w:b/>
          <w:color w:val="auto"/>
          <w:sz w:val="24"/>
        </w:rPr>
      </w:pPr>
      <w:r>
        <w:rPr>
          <w:rFonts w:hint="eastAsia" w:ascii="宋体" w:hAnsi="宋体" w:cs="宋体"/>
          <w:b/>
          <w:color w:val="auto"/>
          <w:sz w:val="24"/>
        </w:rPr>
        <w:t>其他要求：</w:t>
      </w:r>
    </w:p>
    <w:p>
      <w:pPr>
        <w:numPr>
          <w:ilvl w:val="0"/>
          <w:numId w:val="0"/>
        </w:numPr>
        <w:pBdr>
          <w:top w:val="none" w:color="000000" w:sz="0" w:space="0"/>
          <w:left w:val="none" w:color="000000" w:sz="0" w:space="0"/>
          <w:bottom w:val="none" w:color="000000" w:sz="0" w:space="0"/>
          <w:right w:val="none" w:color="000000" w:sz="0" w:space="0"/>
        </w:pBdr>
        <w:spacing w:line="400" w:lineRule="atLeast"/>
        <w:ind w:firstLine="480" w:firstLineChars="200"/>
        <w:jc w:val="both"/>
        <w:rPr>
          <w:rFonts w:hint="eastAsia" w:ascii="宋体" w:hAnsi="宋体" w:cs="宋体"/>
          <w:b w:val="0"/>
          <w:bCs/>
          <w:color w:val="auto"/>
          <w:sz w:val="24"/>
        </w:rPr>
      </w:pPr>
      <w:r>
        <w:rPr>
          <w:rFonts w:hint="eastAsia" w:ascii="宋体" w:hAnsi="宋体" w:cs="宋体"/>
          <w:b w:val="0"/>
          <w:bCs/>
          <w:color w:val="auto"/>
          <w:sz w:val="24"/>
        </w:rPr>
        <w:t>见《磋商文件》附件：《拟签订的合同文本》。</w:t>
      </w:r>
    </w:p>
    <w:p>
      <w:pPr>
        <w:pStyle w:val="21"/>
        <w:rPr>
          <w:rFonts w:hint="eastAsia"/>
        </w:rPr>
      </w:pPr>
    </w:p>
    <w:p>
      <w:pPr>
        <w:pStyle w:val="26"/>
        <w:rPr>
          <w:rFonts w:hint="eastAsia"/>
        </w:rPr>
      </w:pPr>
    </w:p>
    <w:p>
      <w:pPr>
        <w:pStyle w:val="67"/>
        <w:rPr>
          <w:rFonts w:hint="eastAsia"/>
        </w:rPr>
      </w:pPr>
    </w:p>
    <w:p>
      <w:pPr>
        <w:pStyle w:val="69"/>
        <w:rPr>
          <w:rFonts w:hint="eastAsia"/>
        </w:rPr>
      </w:pPr>
    </w:p>
    <w:p>
      <w:pPr>
        <w:pStyle w:val="69"/>
        <w:rPr>
          <w:rFonts w:hint="eastAsia"/>
        </w:rPr>
      </w:pPr>
    </w:p>
    <w:p>
      <w:pPr>
        <w:pStyle w:val="69"/>
        <w:rPr>
          <w:rFonts w:hint="eastAsia"/>
        </w:rPr>
      </w:pPr>
    </w:p>
    <w:p>
      <w:pPr>
        <w:pStyle w:val="69"/>
        <w:rPr>
          <w:rFonts w:hint="eastAsia"/>
        </w:rPr>
      </w:pPr>
    </w:p>
    <w:p>
      <w:pPr>
        <w:pStyle w:val="69"/>
        <w:rPr>
          <w:rFonts w:hint="eastAsia"/>
        </w:rPr>
      </w:pPr>
    </w:p>
    <w:p>
      <w:pPr>
        <w:pStyle w:val="69"/>
        <w:ind w:left="0" w:firstLine="0"/>
        <w:rPr>
          <w:rFonts w:hint="eastAsia"/>
        </w:rPr>
      </w:pPr>
    </w:p>
    <w:p>
      <w:pPr>
        <w:pStyle w:val="28"/>
        <w:spacing w:line="360" w:lineRule="auto"/>
        <w:ind w:left="0" w:firstLine="0"/>
        <w:jc w:val="center"/>
        <w:rPr>
          <w:rFonts w:hint="eastAsia" w:ascii="宋体" w:hAnsi="宋体" w:eastAsia="宋体" w:cs="宋体"/>
          <w:b/>
          <w:bCs/>
          <w:color w:val="auto"/>
          <w:sz w:val="36"/>
          <w:highlight w:val="none"/>
        </w:rPr>
      </w:pPr>
      <w:r>
        <w:rPr>
          <w:rFonts w:hint="eastAsia" w:ascii="宋体" w:hAnsi="宋体" w:eastAsia="宋体" w:cs="宋体"/>
          <w:b/>
          <w:bCs/>
          <w:color w:val="auto"/>
          <w:sz w:val="36"/>
          <w:highlight w:val="none"/>
        </w:rPr>
        <w:t>3、磋商报价表</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val="en-US" w:eastAsia="zh-CN"/>
        </w:rPr>
        <w:t>JSZC-320381037-ZGYZ-C2025-0004</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本次为首次报价</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货币单位：人民币元</w:t>
      </w:r>
    </w:p>
    <w:tbl>
      <w:tblPr>
        <w:tblStyle w:val="62"/>
        <w:tblW w:w="91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1"/>
        <w:gridCol w:w="2100"/>
        <w:gridCol w:w="2044"/>
        <w:gridCol w:w="22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7" w:hRule="atLeast"/>
          <w:jc w:val="center"/>
        </w:trPr>
        <w:tc>
          <w:tcPr>
            <w:tcW w:w="2731" w:type="dxa"/>
            <w:vAlign w:val="center"/>
          </w:tcPr>
          <w:p>
            <w:pPr>
              <w:pStyle w:val="26"/>
              <w:widowControl w:val="0"/>
              <w:jc w:val="center"/>
              <w:rPr>
                <w:rStyle w:val="173"/>
                <w:rFonts w:hint="eastAsia" w:ascii="宋体" w:hAnsi="宋体" w:cs="宋体"/>
                <w:color w:val="auto"/>
                <w:sz w:val="24"/>
                <w:highlight w:val="none"/>
              </w:rPr>
            </w:pPr>
            <w:r>
              <w:rPr>
                <w:rStyle w:val="173"/>
                <w:rFonts w:hint="eastAsia" w:ascii="宋体" w:hAnsi="宋体" w:cs="宋体"/>
                <w:color w:val="auto"/>
                <w:sz w:val="24"/>
                <w:highlight w:val="none"/>
              </w:rPr>
              <w:t>项目名称</w:t>
            </w:r>
          </w:p>
        </w:tc>
        <w:tc>
          <w:tcPr>
            <w:tcW w:w="2100" w:type="dxa"/>
            <w:vAlign w:val="center"/>
          </w:tcPr>
          <w:p>
            <w:pPr>
              <w:pStyle w:val="26"/>
              <w:widowControl w:val="0"/>
              <w:jc w:val="center"/>
              <w:rPr>
                <w:rStyle w:val="173"/>
                <w:rFonts w:hint="eastAsia" w:ascii="宋体" w:hAnsi="宋体" w:cs="宋体"/>
                <w:color w:val="auto"/>
                <w:sz w:val="24"/>
                <w:highlight w:val="none"/>
              </w:rPr>
            </w:pPr>
            <w:r>
              <w:rPr>
                <w:rStyle w:val="173"/>
                <w:rFonts w:hint="eastAsia" w:ascii="宋体" w:hAnsi="宋体" w:cs="宋体"/>
                <w:color w:val="auto"/>
                <w:sz w:val="24"/>
                <w:highlight w:val="none"/>
              </w:rPr>
              <w:t>项目内容</w:t>
            </w:r>
          </w:p>
        </w:tc>
        <w:tc>
          <w:tcPr>
            <w:tcW w:w="2044" w:type="dxa"/>
            <w:vAlign w:val="center"/>
          </w:tcPr>
          <w:p>
            <w:pPr>
              <w:pStyle w:val="26"/>
              <w:widowControl w:val="0"/>
              <w:jc w:val="center"/>
              <w:rPr>
                <w:rStyle w:val="173"/>
                <w:rFonts w:hint="eastAsia" w:ascii="宋体" w:hAnsi="宋体" w:cs="宋体"/>
                <w:color w:val="auto"/>
                <w:sz w:val="24"/>
                <w:highlight w:val="none"/>
              </w:rPr>
            </w:pPr>
            <w:r>
              <w:rPr>
                <w:rStyle w:val="173"/>
                <w:rFonts w:hint="eastAsia" w:ascii="宋体" w:hAnsi="宋体" w:cs="宋体"/>
                <w:color w:val="auto"/>
                <w:sz w:val="24"/>
                <w:highlight w:val="none"/>
              </w:rPr>
              <w:t>总价（小写</w:t>
            </w:r>
            <w:r>
              <w:rPr>
                <w:rStyle w:val="173"/>
                <w:rFonts w:hint="eastAsia" w:ascii="宋体" w:hAnsi="宋体" w:cs="宋体"/>
                <w:color w:val="auto"/>
                <w:sz w:val="24"/>
                <w:highlight w:val="none"/>
                <w:lang w:val="en-US" w:eastAsia="zh-CN"/>
              </w:rPr>
              <w:t>/元</w:t>
            </w:r>
            <w:r>
              <w:rPr>
                <w:rStyle w:val="173"/>
                <w:rFonts w:hint="eastAsia" w:ascii="宋体" w:hAnsi="宋体" w:cs="宋体"/>
                <w:color w:val="auto"/>
                <w:sz w:val="24"/>
                <w:highlight w:val="none"/>
              </w:rPr>
              <w:t>）</w:t>
            </w:r>
          </w:p>
        </w:tc>
        <w:tc>
          <w:tcPr>
            <w:tcW w:w="2225" w:type="dxa"/>
            <w:vAlign w:val="center"/>
          </w:tcPr>
          <w:p>
            <w:pPr>
              <w:pStyle w:val="26"/>
              <w:widowControl w:val="0"/>
              <w:jc w:val="center"/>
              <w:rPr>
                <w:rStyle w:val="173"/>
                <w:rFonts w:ascii="宋体" w:hAnsi="宋体" w:cs="宋体"/>
                <w:color w:val="auto"/>
                <w:sz w:val="24"/>
                <w:highlight w:val="none"/>
              </w:rPr>
            </w:pPr>
            <w:r>
              <w:rPr>
                <w:rStyle w:val="173"/>
                <w:rFonts w:hint="eastAsia" w:ascii="宋体" w:hAnsi="宋体" w:cs="宋体"/>
                <w:color w:val="auto"/>
                <w:sz w:val="24"/>
                <w:highlight w:val="none"/>
              </w:rPr>
              <w:t>工期（日历天）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6" w:hRule="atLeast"/>
          <w:jc w:val="center"/>
        </w:trPr>
        <w:tc>
          <w:tcPr>
            <w:tcW w:w="2731" w:type="dxa"/>
            <w:vAlign w:val="center"/>
          </w:tcPr>
          <w:p>
            <w:pPr>
              <w:pStyle w:val="26"/>
              <w:widowControl w:val="0"/>
              <w:jc w:val="left"/>
              <w:rPr>
                <w:rStyle w:val="173"/>
                <w:rFonts w:hint="eastAsia" w:ascii="宋体" w:hAnsi="宋体" w:eastAsia="宋体" w:cs="宋体"/>
                <w:color w:val="auto"/>
                <w:sz w:val="24"/>
                <w:highlight w:val="none"/>
                <w:lang w:eastAsia="zh-CN"/>
              </w:rPr>
            </w:pPr>
            <w:r>
              <w:rPr>
                <w:rStyle w:val="173"/>
                <w:rFonts w:hint="eastAsia" w:ascii="宋体" w:hAnsi="宋体" w:cs="宋体"/>
                <w:color w:val="auto"/>
                <w:sz w:val="24"/>
                <w:highlight w:val="none"/>
                <w:lang w:val="en-US" w:eastAsia="zh-CN"/>
              </w:rPr>
              <w:t>2025年度新沂市骆马湖片区（窑湾镇腰庄村）省级宜居宜业和美乡村工程建设项目</w:t>
            </w:r>
          </w:p>
        </w:tc>
        <w:tc>
          <w:tcPr>
            <w:tcW w:w="2100" w:type="dxa"/>
            <w:vAlign w:val="center"/>
          </w:tcPr>
          <w:p>
            <w:pPr>
              <w:pStyle w:val="26"/>
              <w:widowControl w:val="0"/>
              <w:jc w:val="center"/>
              <w:rPr>
                <w:rStyle w:val="173"/>
                <w:rFonts w:hint="eastAsia" w:ascii="宋体" w:hAnsi="宋体" w:cs="宋体"/>
                <w:color w:val="auto"/>
                <w:sz w:val="24"/>
                <w:highlight w:val="none"/>
              </w:rPr>
            </w:pPr>
            <w:r>
              <w:rPr>
                <w:rStyle w:val="173"/>
                <w:rFonts w:hint="eastAsia" w:ascii="宋体" w:hAnsi="宋体" w:cs="宋体"/>
                <w:color w:val="auto"/>
                <w:sz w:val="24"/>
                <w:highlight w:val="none"/>
              </w:rPr>
              <w:t>详见</w:t>
            </w:r>
            <w:r>
              <w:rPr>
                <w:rStyle w:val="173"/>
                <w:rFonts w:hint="eastAsia" w:ascii="宋体" w:hAnsi="宋体" w:cs="宋体"/>
                <w:color w:val="auto"/>
                <w:sz w:val="24"/>
                <w:highlight w:val="none"/>
                <w:lang w:val="en-US" w:eastAsia="zh-CN"/>
              </w:rPr>
              <w:t>响应</w:t>
            </w:r>
            <w:r>
              <w:rPr>
                <w:rStyle w:val="173"/>
                <w:rFonts w:hint="eastAsia" w:ascii="宋体" w:hAnsi="宋体" w:cs="宋体"/>
                <w:color w:val="auto"/>
                <w:sz w:val="24"/>
                <w:highlight w:val="none"/>
              </w:rPr>
              <w:t>文件</w:t>
            </w:r>
          </w:p>
        </w:tc>
        <w:tc>
          <w:tcPr>
            <w:tcW w:w="2044" w:type="dxa"/>
            <w:vAlign w:val="center"/>
          </w:tcPr>
          <w:p>
            <w:pPr>
              <w:pStyle w:val="26"/>
              <w:widowControl w:val="0"/>
              <w:jc w:val="center"/>
              <w:rPr>
                <w:rStyle w:val="173"/>
                <w:rFonts w:hint="eastAsia" w:ascii="宋体" w:hAnsi="宋体" w:cs="宋体"/>
                <w:color w:val="auto"/>
                <w:sz w:val="24"/>
                <w:highlight w:val="none"/>
              </w:rPr>
            </w:pPr>
          </w:p>
        </w:tc>
        <w:tc>
          <w:tcPr>
            <w:tcW w:w="2225" w:type="dxa"/>
            <w:vAlign w:val="center"/>
          </w:tcPr>
          <w:p>
            <w:pPr>
              <w:pStyle w:val="26"/>
              <w:widowControl w:val="0"/>
              <w:jc w:val="center"/>
              <w:rPr>
                <w:rStyle w:val="173"/>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33" w:hRule="atLeast"/>
          <w:jc w:val="center"/>
        </w:trPr>
        <w:tc>
          <w:tcPr>
            <w:tcW w:w="2731" w:type="dxa"/>
            <w:vAlign w:val="center"/>
          </w:tcPr>
          <w:p>
            <w:pPr>
              <w:pStyle w:val="26"/>
              <w:widowControl w:val="0"/>
              <w:jc w:val="center"/>
              <w:rPr>
                <w:rStyle w:val="173"/>
                <w:rFonts w:hint="eastAsia" w:ascii="宋体" w:hAnsi="宋体" w:cs="宋体"/>
                <w:color w:val="auto"/>
                <w:sz w:val="24"/>
                <w:highlight w:val="none"/>
              </w:rPr>
            </w:pPr>
            <w:r>
              <w:rPr>
                <w:rStyle w:val="173"/>
                <w:rFonts w:hint="eastAsia" w:ascii="宋体" w:hAnsi="宋体" w:cs="宋体"/>
                <w:color w:val="auto"/>
                <w:sz w:val="24"/>
                <w:highlight w:val="none"/>
              </w:rPr>
              <w:t>总价（大写）：</w:t>
            </w:r>
          </w:p>
        </w:tc>
        <w:tc>
          <w:tcPr>
            <w:tcW w:w="6369" w:type="dxa"/>
            <w:gridSpan w:val="3"/>
            <w:vAlign w:val="center"/>
          </w:tcPr>
          <w:p>
            <w:pPr>
              <w:pStyle w:val="26"/>
              <w:widowControl w:val="0"/>
              <w:jc w:val="center"/>
              <w:rPr>
                <w:rStyle w:val="173"/>
                <w:rFonts w:hint="eastAsia" w:ascii="宋体" w:hAnsi="宋体" w:cs="宋体"/>
                <w:color w:val="auto"/>
                <w:sz w:val="24"/>
                <w:highlight w:val="none"/>
              </w:rPr>
            </w:pPr>
          </w:p>
        </w:tc>
      </w:tr>
    </w:tbl>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供应商承诺：本报价（总价）为供应商本企业提供的服务。</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报价说明：</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1、报价应包括磋商文件所确定的招标范围内工程量清单及所含施工图的全部内容，以及为完成上述内容所需的全部费用。</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2、报价以总价为准，大小写不一致以大写为准；</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3、偏离说明：详见《偏离表》；</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4、如最后报价未列明单价，则最后所报各项单价计算方法为：（最后报价/最初报价）* 各项最初报价的单价。</w:t>
      </w:r>
    </w:p>
    <w:p>
      <w:pPr>
        <w:spacing w:line="360" w:lineRule="auto"/>
        <w:ind w:firstLine="480"/>
        <w:rPr>
          <w:rFonts w:hint="eastAsia" w:ascii="宋体" w:hAnsi="宋体" w:cs="宋体"/>
          <w:color w:val="auto"/>
          <w:sz w:val="24"/>
          <w:highlight w:val="none"/>
        </w:rPr>
      </w:pPr>
    </w:p>
    <w:p>
      <w:pPr>
        <w:spacing w:line="360" w:lineRule="auto"/>
        <w:ind w:firstLine="480"/>
        <w:rPr>
          <w:rFonts w:hint="eastAsia" w:ascii="宋体" w:hAnsi="宋体" w:cs="宋体"/>
          <w:color w:val="auto"/>
          <w:sz w:val="24"/>
          <w:highlight w:val="none"/>
        </w:rPr>
      </w:pPr>
    </w:p>
    <w:p>
      <w:pPr>
        <w:spacing w:line="360" w:lineRule="auto"/>
        <w:ind w:right="29"/>
        <w:rPr>
          <w:rFonts w:hint="eastAsia" w:ascii="宋体" w:hAnsi="宋体" w:cs="宋体"/>
          <w:color w:val="auto"/>
          <w:sz w:val="24"/>
          <w:highlight w:val="none"/>
        </w:rPr>
      </w:pPr>
      <w:r>
        <w:rPr>
          <w:rFonts w:hint="eastAsia" w:ascii="宋体" w:hAnsi="宋体" w:cs="宋体"/>
          <w:color w:val="auto"/>
          <w:sz w:val="24"/>
          <w:highlight w:val="none"/>
        </w:rPr>
        <w:t xml:space="preserve">                       供应商（电子签章）：</w:t>
      </w:r>
    </w:p>
    <w:p>
      <w:pPr>
        <w:spacing w:line="360" w:lineRule="auto"/>
        <w:ind w:right="29"/>
        <w:rPr>
          <w:rFonts w:hint="eastAsia" w:ascii="宋体" w:hAnsi="宋体" w:cs="宋体"/>
          <w:color w:val="auto"/>
          <w:sz w:val="24"/>
          <w:highlight w:val="none"/>
        </w:rPr>
      </w:pPr>
      <w:r>
        <w:rPr>
          <w:rFonts w:hint="eastAsia" w:ascii="宋体" w:hAnsi="宋体" w:cs="宋体"/>
          <w:color w:val="auto"/>
          <w:sz w:val="24"/>
          <w:highlight w:val="none"/>
        </w:rPr>
        <w:t xml:space="preserve">                       法定代表人（负责人)或授权代表（签字或盖章）：  </w:t>
      </w:r>
    </w:p>
    <w:p>
      <w:pPr>
        <w:spacing w:line="360" w:lineRule="auto"/>
        <w:ind w:right="29"/>
        <w:rPr>
          <w:rFonts w:hint="eastAsia" w:ascii="宋体" w:hAnsi="宋体" w:cs="宋体"/>
          <w:color w:val="auto"/>
          <w:sz w:val="24"/>
          <w:highlight w:val="none"/>
        </w:rPr>
      </w:pPr>
      <w:r>
        <w:rPr>
          <w:rFonts w:hint="eastAsia" w:ascii="宋体" w:hAnsi="宋体" w:cs="宋体"/>
          <w:color w:val="auto"/>
          <w:sz w:val="24"/>
          <w:highlight w:val="none"/>
        </w:rPr>
        <w:t xml:space="preserve">                       日期：</w:t>
      </w:r>
    </w:p>
    <w:p>
      <w:pPr>
        <w:jc w:val="left"/>
        <w:rPr>
          <w:rFonts w:hint="eastAsia" w:ascii="宋体" w:hAnsi="宋体" w:cs="宋体"/>
          <w:b/>
          <w:bCs/>
          <w:color w:val="auto"/>
          <w:sz w:val="36"/>
          <w:highlight w:val="none"/>
        </w:rPr>
      </w:pPr>
    </w:p>
    <w:p>
      <w:pPr>
        <w:jc w:val="both"/>
        <w:rPr>
          <w:rFonts w:hint="eastAsia" w:ascii="宋体" w:hAnsi="宋体" w:cs="宋体"/>
          <w:b/>
          <w:bCs/>
          <w:color w:val="auto"/>
          <w:sz w:val="36"/>
          <w:highlight w:val="none"/>
        </w:rPr>
      </w:pPr>
    </w:p>
    <w:p>
      <w:pPr>
        <w:rPr>
          <w:rFonts w:hint="eastAsia" w:ascii="宋体" w:hAnsi="宋体" w:cs="宋体"/>
          <w:b/>
          <w:bCs/>
          <w:color w:val="auto"/>
          <w:sz w:val="36"/>
          <w:highlight w:val="none"/>
        </w:rPr>
      </w:pPr>
      <w:r>
        <w:rPr>
          <w:rFonts w:hint="eastAsia" w:ascii="宋体" w:hAnsi="宋体" w:cs="宋体"/>
          <w:b/>
          <w:bCs/>
          <w:color w:val="auto"/>
          <w:sz w:val="36"/>
          <w:highlight w:val="none"/>
        </w:rPr>
        <w:br w:type="page"/>
      </w:r>
    </w:p>
    <w:p>
      <w:pPr>
        <w:jc w:val="center"/>
        <w:rPr>
          <w:rFonts w:ascii="宋体" w:hAnsi="宋体"/>
          <w:b/>
          <w:bCs/>
          <w:color w:val="auto"/>
          <w:sz w:val="36"/>
          <w:highlight w:val="none"/>
        </w:rPr>
      </w:pPr>
      <w:r>
        <w:rPr>
          <w:rFonts w:hint="eastAsia" w:ascii="宋体" w:hAnsi="宋体" w:cs="宋体"/>
          <w:b/>
          <w:bCs/>
          <w:color w:val="auto"/>
          <w:sz w:val="36"/>
          <w:highlight w:val="none"/>
        </w:rPr>
        <w:t>4、</w:t>
      </w:r>
      <w:bookmarkStart w:id="13" w:name="_Hlk81985238"/>
      <w:r>
        <w:rPr>
          <w:rFonts w:hint="eastAsia" w:ascii="宋体" w:hAnsi="宋体" w:cs="宋体"/>
          <w:b/>
          <w:bCs/>
          <w:color w:val="auto"/>
          <w:sz w:val="36"/>
          <w:highlight w:val="none"/>
        </w:rPr>
        <w:t>分项价格表</w:t>
      </w:r>
    </w:p>
    <w:p>
      <w:pPr>
        <w:spacing w:line="360" w:lineRule="auto"/>
        <w:jc w:val="center"/>
        <w:rPr>
          <w:rFonts w:hint="eastAsia" w:ascii="宋体" w:hAnsi="宋体" w:cs="宋体"/>
          <w:color w:val="auto"/>
          <w:sz w:val="24"/>
          <w:highlight w:val="none"/>
        </w:rPr>
      </w:pPr>
      <w:r>
        <w:rPr>
          <w:rFonts w:ascii="宋体" w:hAnsi="宋体"/>
          <w:b/>
          <w:bCs/>
          <w:color w:val="auto"/>
          <w:sz w:val="36"/>
          <w:highlight w:val="none"/>
        </w:rPr>
        <w:t>（具有标价的工程量清单与报价表）</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本次为首次报价</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val="en-US" w:eastAsia="zh-CN"/>
        </w:rPr>
        <w:t>JSZC-320381037-ZGYZ-C2025-0004</w:t>
      </w:r>
    </w:p>
    <w:p>
      <w:pPr>
        <w:pStyle w:val="26"/>
        <w:widowControl w:val="0"/>
        <w:ind w:left="1200" w:hanging="1200"/>
        <w:jc w:val="left"/>
        <w:rPr>
          <w:rStyle w:val="173"/>
          <w:rFonts w:hint="eastAsia" w:ascii="宋体" w:hAnsi="宋体" w:cs="宋体"/>
          <w:color w:val="auto"/>
          <w:sz w:val="24"/>
          <w:highlight w:val="none"/>
          <w:lang w:eastAsia="zh-CN"/>
        </w:rPr>
      </w:pPr>
      <w:r>
        <w:rPr>
          <w:rFonts w:hint="eastAsia" w:ascii="宋体" w:hAnsi="宋体" w:cs="宋体"/>
          <w:color w:val="auto"/>
          <w:sz w:val="24"/>
          <w:highlight w:val="none"/>
        </w:rPr>
        <w:t>项目名称：</w:t>
      </w:r>
      <w:r>
        <w:rPr>
          <w:rStyle w:val="173"/>
          <w:rFonts w:hint="eastAsia" w:ascii="宋体" w:hAnsi="宋体" w:cs="宋体"/>
          <w:color w:val="auto"/>
          <w:sz w:val="24"/>
          <w:highlight w:val="none"/>
          <w:lang w:val="en-US" w:eastAsia="zh-CN"/>
        </w:rPr>
        <w:t>2025年度新沂市骆马湖片区（窑湾镇腰庄村）省级宜居宜业和美乡村工程建设项目</w:t>
      </w:r>
    </w:p>
    <w:p>
      <w:pPr>
        <w:spacing w:line="360" w:lineRule="auto"/>
        <w:rPr>
          <w:rFonts w:hint="eastAsia" w:ascii="宋体" w:hAnsi="宋体" w:eastAsia="宋体" w:cs="宋体"/>
          <w:color w:val="auto"/>
          <w:sz w:val="24"/>
          <w:highlight w:val="none"/>
          <w:lang w:eastAsia="zh-CN"/>
        </w:rPr>
      </w:pPr>
    </w:p>
    <w:p>
      <w:pPr>
        <w:pStyle w:val="70"/>
        <w:rPr>
          <w:rFonts w:hint="eastAsia"/>
          <w:color w:val="auto"/>
          <w:highlight w:val="none"/>
        </w:rPr>
      </w:pPr>
    </w:p>
    <w:p>
      <w:pPr>
        <w:spacing w:line="276" w:lineRule="auto"/>
        <w:rPr>
          <w:rFonts w:hint="eastAsia" w:ascii="宋体" w:hAnsi="宋体" w:cs="宋体"/>
          <w:color w:val="auto"/>
          <w:sz w:val="24"/>
          <w:highlight w:val="none"/>
        </w:rPr>
      </w:pPr>
    </w:p>
    <w:p>
      <w:pPr>
        <w:pStyle w:val="348"/>
        <w:rPr>
          <w:rFonts w:hint="eastAsia" w:ascii="宋体" w:hAnsi="宋体" w:cs="宋体"/>
          <w:color w:val="auto"/>
          <w:highlight w:val="none"/>
        </w:rPr>
      </w:pPr>
    </w:p>
    <w:p>
      <w:pPr>
        <w:pStyle w:val="348"/>
        <w:ind w:left="0"/>
        <w:jc w:val="center"/>
        <w:rPr>
          <w:rFonts w:hint="eastAsia" w:ascii="宋体" w:hAnsi="宋体" w:cs="宋体"/>
          <w:color w:val="auto"/>
          <w:highlight w:val="none"/>
        </w:rPr>
      </w:pPr>
      <w:r>
        <w:rPr>
          <w:rFonts w:hint="eastAsia" w:ascii="宋体" w:hAnsi="宋体" w:cs="宋体"/>
          <w:color w:val="auto"/>
          <w:highlight w:val="none"/>
        </w:rPr>
        <w:t>【根据《工程量清单》进行编制】</w:t>
      </w:r>
    </w:p>
    <w:p>
      <w:pPr>
        <w:spacing w:line="276"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276" w:lineRule="auto"/>
        <w:rPr>
          <w:rFonts w:hint="eastAsia" w:ascii="宋体" w:hAnsi="宋体" w:cs="宋体"/>
          <w:color w:val="auto"/>
          <w:sz w:val="24"/>
          <w:highlight w:val="none"/>
        </w:rPr>
      </w:pPr>
    </w:p>
    <w:p>
      <w:pPr>
        <w:spacing w:line="276" w:lineRule="auto"/>
        <w:rPr>
          <w:rFonts w:hint="eastAsia" w:ascii="宋体" w:hAnsi="宋体" w:cs="宋体"/>
          <w:color w:val="auto"/>
          <w:sz w:val="24"/>
          <w:highlight w:val="none"/>
        </w:rPr>
      </w:pPr>
    </w:p>
    <w:p>
      <w:pPr>
        <w:spacing w:line="276" w:lineRule="auto"/>
        <w:rPr>
          <w:rFonts w:hint="eastAsia" w:ascii="宋体" w:hAnsi="宋体" w:cs="宋体"/>
          <w:color w:val="auto"/>
          <w:sz w:val="24"/>
          <w:highlight w:val="none"/>
        </w:rPr>
      </w:pPr>
    </w:p>
    <w:p>
      <w:pPr>
        <w:spacing w:line="276" w:lineRule="auto"/>
        <w:rPr>
          <w:rFonts w:hint="eastAsia" w:ascii="宋体" w:hAnsi="宋体" w:cs="宋体"/>
          <w:color w:val="auto"/>
          <w:sz w:val="24"/>
          <w:highlight w:val="none"/>
        </w:rPr>
      </w:pPr>
    </w:p>
    <w:p>
      <w:pPr>
        <w:spacing w:line="276" w:lineRule="auto"/>
        <w:rPr>
          <w:rFonts w:hint="eastAsia" w:ascii="宋体" w:hAnsi="宋体" w:cs="宋体"/>
          <w:color w:val="auto"/>
          <w:sz w:val="24"/>
          <w:highlight w:val="none"/>
        </w:rPr>
      </w:pPr>
    </w:p>
    <w:p>
      <w:pPr>
        <w:spacing w:line="276" w:lineRule="auto"/>
        <w:ind w:firstLine="2280"/>
        <w:rPr>
          <w:rFonts w:hint="eastAsia" w:ascii="宋体" w:hAnsi="宋体" w:cs="宋体"/>
          <w:color w:val="auto"/>
          <w:sz w:val="24"/>
          <w:highlight w:val="none"/>
        </w:rPr>
      </w:pPr>
      <w:r>
        <w:rPr>
          <w:rFonts w:hint="eastAsia" w:ascii="宋体" w:hAnsi="宋体" w:cs="宋体"/>
          <w:color w:val="auto"/>
          <w:sz w:val="24"/>
          <w:highlight w:val="none"/>
        </w:rPr>
        <w:t xml:space="preserve">     供应商（电子签章）：</w:t>
      </w:r>
    </w:p>
    <w:p>
      <w:pPr>
        <w:spacing w:line="276" w:lineRule="auto"/>
        <w:rPr>
          <w:rFonts w:hint="eastAsia" w:ascii="宋体" w:hAnsi="宋体" w:cs="宋体"/>
          <w:color w:val="auto"/>
          <w:sz w:val="24"/>
          <w:highlight w:val="none"/>
        </w:rPr>
      </w:pPr>
      <w:r>
        <w:rPr>
          <w:rFonts w:hint="eastAsia" w:ascii="宋体" w:hAnsi="宋体" w:cs="宋体"/>
          <w:color w:val="auto"/>
          <w:sz w:val="24"/>
          <w:highlight w:val="none"/>
        </w:rPr>
        <w:t xml:space="preserve">                        法定代表人（负责人)或授权代表（签字或盖章）：  </w:t>
      </w:r>
    </w:p>
    <w:p>
      <w:pPr>
        <w:spacing w:line="276" w:lineRule="auto"/>
        <w:rPr>
          <w:rFonts w:hint="eastAsia" w:ascii="宋体" w:hAnsi="宋体" w:cs="宋体"/>
          <w:color w:val="auto"/>
          <w:sz w:val="24"/>
          <w:highlight w:val="none"/>
        </w:rPr>
      </w:pPr>
      <w:r>
        <w:rPr>
          <w:rFonts w:hint="eastAsia" w:ascii="宋体" w:hAnsi="宋体" w:cs="宋体"/>
          <w:color w:val="auto"/>
          <w:sz w:val="24"/>
          <w:highlight w:val="none"/>
        </w:rPr>
        <w:t xml:space="preserve">                        日期：</w:t>
      </w:r>
    </w:p>
    <w:p>
      <w:pPr>
        <w:spacing w:line="276" w:lineRule="auto"/>
        <w:rPr>
          <w:rFonts w:hint="eastAsia" w:ascii="宋体" w:hAnsi="宋体" w:cs="宋体"/>
          <w:b/>
          <w:bCs/>
          <w:color w:val="auto"/>
          <w:sz w:val="24"/>
          <w:highlight w:val="none"/>
        </w:rPr>
      </w:pPr>
      <w:r>
        <w:rPr>
          <w:rFonts w:hint="eastAsia" w:ascii="宋体" w:hAnsi="宋体" w:cs="宋体"/>
          <w:b/>
          <w:bCs/>
          <w:color w:val="auto"/>
          <w:sz w:val="24"/>
          <w:highlight w:val="none"/>
        </w:rPr>
        <w:t>说明：</w:t>
      </w:r>
    </w:p>
    <w:p>
      <w:pPr>
        <w:spacing w:line="276" w:lineRule="auto"/>
        <w:rPr>
          <w:rFonts w:hint="eastAsia" w:ascii="宋体" w:hAnsi="宋体" w:cs="宋体"/>
          <w:color w:val="auto"/>
          <w:sz w:val="24"/>
          <w:highlight w:val="none"/>
        </w:rPr>
      </w:pPr>
      <w:r>
        <w:rPr>
          <w:rFonts w:hint="eastAsia" w:ascii="宋体" w:hAnsi="宋体" w:cs="宋体"/>
          <w:color w:val="auto"/>
          <w:sz w:val="24"/>
          <w:highlight w:val="none"/>
        </w:rPr>
        <w:t>1.中小微企业的划分具体以《政府采购促进中小企业发展管理办法》（财库（ 2020) 46号）和《工业和信息化部、国家统计局、国家发展和改革委员会、财政部关于印发中小企业划型标准规定的通知》（工信部联企业[2011]300号）的规定为准。</w:t>
      </w:r>
    </w:p>
    <w:p>
      <w:pPr>
        <w:pStyle w:val="26"/>
        <w:rPr>
          <w:rFonts w:hint="eastAsia" w:ascii="宋体" w:hAnsi="宋体" w:cs="宋体"/>
          <w:color w:val="auto"/>
          <w:sz w:val="24"/>
          <w:highlight w:val="none"/>
        </w:rPr>
      </w:pPr>
      <w:r>
        <w:rPr>
          <w:rFonts w:ascii="宋体" w:hAnsi="宋体" w:cs="宋体"/>
          <w:sz w:val="24"/>
          <w:highlight w:val="none"/>
        </w:rPr>
        <w:t>2</w:t>
      </w:r>
      <w:r>
        <w:rPr>
          <w:rFonts w:hint="eastAsia" w:ascii="宋体" w:hAnsi="宋体" w:cs="宋体"/>
          <w:sz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具体以《财政部 司法部关于政府采购支持监狱企业发展有关问题的通知》（财库〔2014〕68号）的规定为准。</w:t>
      </w:r>
    </w:p>
    <w:p>
      <w:pPr>
        <w:spacing w:line="276"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.享受政府采购支持政策的残疾人福利性单位应满足的条件以《关于促进残疾人就业政府采购政策的通知》（财库〔2017〕141号）的规定为准。</w:t>
      </w:r>
    </w:p>
    <w:p>
      <w:pPr>
        <w:spacing w:line="276" w:lineRule="auto"/>
        <w:rPr>
          <w:rFonts w:hint="eastAsia" w:ascii="宋体" w:hAnsi="宋体" w:cs="宋体"/>
          <w:color w:val="auto"/>
          <w:sz w:val="24"/>
          <w:highlight w:val="none"/>
        </w:rPr>
      </w:pPr>
      <w:r>
        <w:rPr>
          <w:rFonts w:hint="eastAsia" w:ascii="宋体" w:hAnsi="宋体" w:cs="宋体"/>
          <w:color w:val="auto"/>
          <w:sz w:val="24"/>
          <w:highlight w:val="none"/>
        </w:rPr>
        <w:t>注：1．</w:t>
      </w:r>
      <w:r>
        <w:rPr>
          <w:rFonts w:hint="eastAsia" w:ascii="宋体" w:hAnsi="宋体" w:cs="宋体"/>
          <w:b/>
          <w:color w:val="auto"/>
          <w:sz w:val="24"/>
          <w:highlight w:val="none"/>
        </w:rPr>
        <w:t>如果不提供《分项价格表》将视为没有实质性响应。</w:t>
      </w:r>
    </w:p>
    <w:p>
      <w:pPr>
        <w:numPr>
          <w:ilvl w:val="0"/>
          <w:numId w:val="7"/>
        </w:numPr>
        <w:spacing w:line="276" w:lineRule="auto"/>
        <w:ind w:firstLine="480"/>
        <w:rPr>
          <w:rFonts w:hint="eastAsia" w:ascii="宋体" w:hAnsi="宋体" w:cs="宋体"/>
          <w:color w:val="auto"/>
          <w:sz w:val="24"/>
          <w:highlight w:val="none"/>
        </w:rPr>
      </w:pPr>
      <w:r>
        <w:rPr>
          <w:rFonts w:hint="eastAsia" w:ascii="宋体" w:hAnsi="宋体" w:cs="宋体"/>
          <w:color w:val="auto"/>
          <w:sz w:val="24"/>
          <w:highlight w:val="none"/>
        </w:rPr>
        <w:t>响应供应商对以上数据的真实性负责。</w:t>
      </w:r>
      <w:bookmarkEnd w:id="13"/>
    </w:p>
    <w:p>
      <w:pPr>
        <w:spacing w:line="276" w:lineRule="auto"/>
        <w:rPr>
          <w:rFonts w:ascii="宋体" w:hAnsi="宋体"/>
          <w:b/>
          <w:i/>
          <w:color w:val="auto"/>
          <w:sz w:val="24"/>
          <w:highlight w:val="none"/>
          <w:u w:val="single"/>
        </w:rPr>
      </w:pPr>
    </w:p>
    <w:p>
      <w:pPr>
        <w:spacing w:line="276" w:lineRule="auto"/>
        <w:jc w:val="center"/>
        <w:rPr>
          <w:rFonts w:hint="eastAsia" w:ascii="宋体" w:hAnsi="宋体" w:cs="宋体"/>
          <w:b/>
          <w:bCs/>
          <w:color w:val="auto"/>
          <w:sz w:val="24"/>
          <w:highlight w:val="none"/>
        </w:rPr>
      </w:pPr>
      <w:r>
        <w:rPr>
          <w:rFonts w:ascii="宋体" w:hAnsi="宋体"/>
          <w:b/>
          <w:i/>
          <w:color w:val="auto"/>
          <w:sz w:val="24"/>
          <w:highlight w:val="none"/>
          <w:u w:val="single"/>
        </w:rPr>
        <w:t>采购人或采购代理机构有权将以上内容进行公示。</w:t>
      </w:r>
    </w:p>
    <w:p>
      <w:pPr>
        <w:pStyle w:val="26"/>
        <w:jc w:val="center"/>
        <w:rPr>
          <w:rFonts w:ascii="宋体" w:hAnsi="宋体"/>
          <w:b/>
          <w:bCs/>
          <w:color w:val="auto"/>
          <w:sz w:val="36"/>
          <w:szCs w:val="36"/>
          <w:highlight w:val="none"/>
        </w:rPr>
      </w:pPr>
    </w:p>
    <w:p>
      <w:pPr>
        <w:pStyle w:val="26"/>
        <w:jc w:val="center"/>
        <w:rPr>
          <w:rFonts w:ascii="宋体" w:hAnsi="宋体"/>
          <w:b/>
          <w:bCs/>
          <w:color w:val="auto"/>
          <w:sz w:val="36"/>
          <w:szCs w:val="36"/>
          <w:highlight w:val="none"/>
        </w:rPr>
      </w:pPr>
      <w:r>
        <w:rPr>
          <w:rFonts w:ascii="宋体" w:hAnsi="宋体"/>
          <w:b/>
          <w:bCs/>
          <w:color w:val="auto"/>
          <w:sz w:val="36"/>
          <w:highlight w:val="none"/>
        </w:rPr>
        <w:t>5、主要材料（设备）一览表</w:t>
      </w:r>
    </w:p>
    <w:p>
      <w:pPr>
        <w:pStyle w:val="26"/>
        <w:spacing w:line="360" w:lineRule="auto"/>
        <w:rPr>
          <w:rFonts w:ascii="宋体" w:hAnsi="宋体"/>
          <w:color w:val="auto"/>
          <w:sz w:val="24"/>
          <w:szCs w:val="24"/>
          <w:highlight w:val="none"/>
        </w:rPr>
      </w:pPr>
      <w:r>
        <w:rPr>
          <w:rFonts w:ascii="宋体" w:hAnsi="宋体"/>
          <w:color w:val="auto"/>
          <w:sz w:val="24"/>
          <w:szCs w:val="24"/>
          <w:highlight w:val="none"/>
        </w:rPr>
        <w:t>本次为首次报价</w:t>
      </w:r>
    </w:p>
    <w:p>
      <w:pPr>
        <w:pStyle w:val="26"/>
        <w:spacing w:line="0" w:lineRule="atLeast"/>
        <w:jc w:val="left"/>
        <w:rPr>
          <w:rFonts w:ascii="宋体" w:hAnsi="宋体"/>
          <w:color w:val="auto"/>
          <w:sz w:val="24"/>
          <w:szCs w:val="24"/>
          <w:highlight w:val="none"/>
        </w:rPr>
      </w:pPr>
      <w:r>
        <w:rPr>
          <w:rFonts w:ascii="宋体" w:hAnsi="宋体"/>
          <w:color w:val="auto"/>
          <w:sz w:val="24"/>
          <w:szCs w:val="24"/>
          <w:highlight w:val="none"/>
        </w:rPr>
        <w:t>项目编号：</w:t>
      </w:r>
      <w:r>
        <w:rPr>
          <w:rFonts w:hint="eastAsia" w:ascii="宋体" w:hAnsi="宋体" w:cs="宋体"/>
          <w:color w:val="auto"/>
          <w:sz w:val="24"/>
          <w:highlight w:val="none"/>
          <w:lang w:val="en-US" w:eastAsia="zh-CN"/>
        </w:rPr>
        <w:t>JSZC-320381037-ZGYZ-C2025-0004</w:t>
      </w:r>
    </w:p>
    <w:tbl>
      <w:tblPr>
        <w:tblStyle w:val="62"/>
        <w:tblpPr w:leftFromText="180" w:rightFromText="180" w:vertAnchor="text" w:horzAnchor="page" w:tblpX="984" w:tblpY="1155"/>
        <w:tblW w:w="9821"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
      <w:tblGrid>
        <w:gridCol w:w="545"/>
        <w:gridCol w:w="1050"/>
        <w:gridCol w:w="1876"/>
        <w:gridCol w:w="927"/>
        <w:gridCol w:w="1232"/>
        <w:gridCol w:w="1989"/>
        <w:gridCol w:w="978"/>
        <w:gridCol w:w="12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583" w:hRule="atLeast"/>
        </w:trPr>
        <w:tc>
          <w:tcPr>
            <w:tcW w:w="545" w:type="dxa"/>
            <w:tcMar>
              <w:top w:w="15" w:type="dxa"/>
              <w:left w:w="15" w:type="dxa"/>
              <w:bottom w:w="0" w:type="dxa"/>
              <w:right w:w="15" w:type="dxa"/>
            </w:tcMar>
            <w:vAlign w:val="center"/>
          </w:tcPr>
          <w:p>
            <w:pPr>
              <w:pStyle w:val="26"/>
              <w:spacing w:line="360" w:lineRule="auto"/>
              <w:jc w:val="center"/>
              <w:rPr>
                <w:rFonts w:ascii="宋体" w:hAnsi="宋体"/>
                <w:b/>
                <w:bCs/>
                <w:color w:val="auto"/>
                <w:sz w:val="24"/>
                <w:szCs w:val="24"/>
                <w:highlight w:val="none"/>
              </w:rPr>
            </w:pPr>
            <w:r>
              <w:rPr>
                <w:rFonts w:ascii="宋体" w:hAnsi="宋体"/>
                <w:b/>
                <w:bCs/>
                <w:color w:val="auto"/>
                <w:sz w:val="24"/>
                <w:szCs w:val="24"/>
                <w:highlight w:val="none"/>
              </w:rPr>
              <w:t>序号</w:t>
            </w:r>
          </w:p>
        </w:tc>
        <w:tc>
          <w:tcPr>
            <w:tcW w:w="1050" w:type="dxa"/>
            <w:tcMar>
              <w:top w:w="15" w:type="dxa"/>
              <w:left w:w="15" w:type="dxa"/>
              <w:bottom w:w="0" w:type="dxa"/>
              <w:right w:w="15" w:type="dxa"/>
            </w:tcMar>
            <w:vAlign w:val="center"/>
          </w:tcPr>
          <w:p>
            <w:pPr>
              <w:pStyle w:val="26"/>
              <w:spacing w:line="360" w:lineRule="auto"/>
              <w:jc w:val="center"/>
              <w:rPr>
                <w:rFonts w:ascii="宋体" w:hAnsi="宋体"/>
                <w:b/>
                <w:bCs/>
                <w:color w:val="auto"/>
                <w:sz w:val="24"/>
                <w:szCs w:val="24"/>
                <w:highlight w:val="none"/>
              </w:rPr>
            </w:pPr>
            <w:r>
              <w:rPr>
                <w:rFonts w:ascii="宋体" w:hAnsi="宋体"/>
                <w:b/>
                <w:bCs/>
                <w:color w:val="auto"/>
                <w:sz w:val="24"/>
                <w:szCs w:val="24"/>
                <w:highlight w:val="none"/>
              </w:rPr>
              <w:t>材料编码</w:t>
            </w:r>
          </w:p>
        </w:tc>
        <w:tc>
          <w:tcPr>
            <w:tcW w:w="1876" w:type="dxa"/>
            <w:tcMar>
              <w:top w:w="15" w:type="dxa"/>
              <w:left w:w="15" w:type="dxa"/>
              <w:bottom w:w="0" w:type="dxa"/>
              <w:right w:w="15" w:type="dxa"/>
            </w:tcMar>
            <w:vAlign w:val="center"/>
          </w:tcPr>
          <w:p>
            <w:pPr>
              <w:pStyle w:val="26"/>
              <w:spacing w:line="360" w:lineRule="auto"/>
              <w:jc w:val="center"/>
              <w:rPr>
                <w:rFonts w:ascii="宋体" w:hAnsi="宋体"/>
                <w:b/>
                <w:bCs/>
                <w:color w:val="auto"/>
                <w:sz w:val="24"/>
                <w:szCs w:val="24"/>
                <w:highlight w:val="none"/>
              </w:rPr>
            </w:pPr>
            <w:r>
              <w:rPr>
                <w:rFonts w:ascii="宋体" w:hAnsi="宋体"/>
                <w:b/>
                <w:bCs/>
                <w:color w:val="auto"/>
                <w:sz w:val="24"/>
                <w:szCs w:val="24"/>
                <w:highlight w:val="none"/>
              </w:rPr>
              <w:t>材料（设备）名称</w:t>
            </w:r>
          </w:p>
        </w:tc>
        <w:tc>
          <w:tcPr>
            <w:tcW w:w="927" w:type="dxa"/>
            <w:tcMar>
              <w:top w:w="15" w:type="dxa"/>
              <w:left w:w="15" w:type="dxa"/>
              <w:bottom w:w="0" w:type="dxa"/>
              <w:right w:w="15" w:type="dxa"/>
            </w:tcMar>
            <w:vAlign w:val="center"/>
          </w:tcPr>
          <w:p>
            <w:pPr>
              <w:pStyle w:val="26"/>
              <w:spacing w:line="360" w:lineRule="auto"/>
              <w:jc w:val="center"/>
              <w:rPr>
                <w:rFonts w:ascii="宋体" w:hAnsi="宋体"/>
                <w:b/>
                <w:bCs/>
                <w:color w:val="auto"/>
                <w:sz w:val="24"/>
                <w:szCs w:val="24"/>
                <w:highlight w:val="none"/>
              </w:rPr>
            </w:pPr>
            <w:r>
              <w:rPr>
                <w:rFonts w:ascii="宋体" w:hAnsi="宋体"/>
                <w:b/>
                <w:bCs/>
                <w:color w:val="auto"/>
                <w:sz w:val="24"/>
                <w:szCs w:val="24"/>
                <w:highlight w:val="none"/>
              </w:rPr>
              <w:t>品牌</w:t>
            </w:r>
          </w:p>
        </w:tc>
        <w:tc>
          <w:tcPr>
            <w:tcW w:w="1232" w:type="dxa"/>
            <w:tcMar>
              <w:top w:w="15" w:type="dxa"/>
              <w:left w:w="15" w:type="dxa"/>
              <w:bottom w:w="0" w:type="dxa"/>
              <w:right w:w="15" w:type="dxa"/>
            </w:tcMar>
            <w:vAlign w:val="center"/>
          </w:tcPr>
          <w:p>
            <w:pPr>
              <w:pStyle w:val="26"/>
              <w:spacing w:line="360" w:lineRule="auto"/>
              <w:jc w:val="center"/>
              <w:rPr>
                <w:rFonts w:ascii="宋体" w:hAnsi="宋体"/>
                <w:b/>
                <w:bCs/>
                <w:color w:val="auto"/>
                <w:sz w:val="24"/>
                <w:szCs w:val="24"/>
                <w:highlight w:val="none"/>
              </w:rPr>
            </w:pPr>
            <w:r>
              <w:rPr>
                <w:rFonts w:ascii="宋体" w:hAnsi="宋体"/>
                <w:b/>
                <w:bCs/>
                <w:color w:val="auto"/>
                <w:sz w:val="24"/>
                <w:szCs w:val="24"/>
                <w:highlight w:val="none"/>
              </w:rPr>
              <w:t>规格、型号</w:t>
            </w:r>
          </w:p>
        </w:tc>
        <w:tc>
          <w:tcPr>
            <w:tcW w:w="1989" w:type="dxa"/>
            <w:tcMar>
              <w:top w:w="15" w:type="dxa"/>
              <w:left w:w="15" w:type="dxa"/>
              <w:bottom w:w="0" w:type="dxa"/>
              <w:right w:w="15" w:type="dxa"/>
            </w:tcMar>
            <w:vAlign w:val="center"/>
          </w:tcPr>
          <w:p>
            <w:pPr>
              <w:pStyle w:val="26"/>
              <w:spacing w:line="360" w:lineRule="auto"/>
              <w:jc w:val="center"/>
              <w:rPr>
                <w:rFonts w:ascii="宋体" w:hAnsi="宋体"/>
                <w:b/>
                <w:bCs/>
                <w:color w:val="auto"/>
                <w:sz w:val="24"/>
                <w:szCs w:val="24"/>
                <w:highlight w:val="none"/>
              </w:rPr>
            </w:pPr>
            <w:r>
              <w:rPr>
                <w:rFonts w:ascii="宋体" w:hAnsi="宋体"/>
                <w:b/>
                <w:bCs/>
                <w:color w:val="auto"/>
                <w:sz w:val="24"/>
                <w:szCs w:val="24"/>
                <w:highlight w:val="none"/>
              </w:rPr>
              <w:t>产品制造企业名称</w:t>
            </w:r>
          </w:p>
        </w:tc>
        <w:tc>
          <w:tcPr>
            <w:tcW w:w="978" w:type="dxa"/>
            <w:tcMar>
              <w:top w:w="15" w:type="dxa"/>
              <w:left w:w="15" w:type="dxa"/>
              <w:bottom w:w="0" w:type="dxa"/>
              <w:right w:w="15" w:type="dxa"/>
            </w:tcMar>
            <w:vAlign w:val="center"/>
          </w:tcPr>
          <w:p>
            <w:pPr>
              <w:pStyle w:val="26"/>
              <w:spacing w:line="360" w:lineRule="auto"/>
              <w:jc w:val="center"/>
              <w:rPr>
                <w:rFonts w:ascii="宋体" w:hAnsi="宋体"/>
                <w:b/>
                <w:bCs/>
                <w:color w:val="auto"/>
                <w:sz w:val="24"/>
                <w:szCs w:val="24"/>
                <w:highlight w:val="none"/>
              </w:rPr>
            </w:pPr>
            <w:r>
              <w:rPr>
                <w:rFonts w:ascii="宋体" w:hAnsi="宋体"/>
                <w:b/>
                <w:bCs/>
                <w:color w:val="auto"/>
                <w:sz w:val="24"/>
                <w:szCs w:val="24"/>
                <w:highlight w:val="none"/>
              </w:rPr>
              <w:t>单位</w:t>
            </w:r>
          </w:p>
        </w:tc>
        <w:tc>
          <w:tcPr>
            <w:tcW w:w="1224" w:type="dxa"/>
            <w:tcMar>
              <w:top w:w="15" w:type="dxa"/>
              <w:left w:w="15" w:type="dxa"/>
              <w:bottom w:w="0" w:type="dxa"/>
              <w:right w:w="15" w:type="dxa"/>
            </w:tcMar>
            <w:vAlign w:val="center"/>
          </w:tcPr>
          <w:p>
            <w:pPr>
              <w:pStyle w:val="26"/>
              <w:spacing w:line="360" w:lineRule="auto"/>
              <w:jc w:val="center"/>
              <w:rPr>
                <w:rFonts w:ascii="宋体" w:hAnsi="宋体"/>
                <w:b/>
                <w:bCs/>
                <w:color w:val="auto"/>
                <w:sz w:val="24"/>
                <w:szCs w:val="24"/>
                <w:highlight w:val="none"/>
              </w:rPr>
            </w:pPr>
            <w:r>
              <w:rPr>
                <w:rFonts w:ascii="宋体" w:hAnsi="宋体"/>
                <w:b/>
                <w:bCs/>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300" w:hRule="atLeast"/>
        </w:trPr>
        <w:tc>
          <w:tcPr>
            <w:tcW w:w="545" w:type="dxa"/>
            <w:tcMar>
              <w:top w:w="15" w:type="dxa"/>
              <w:left w:w="15" w:type="dxa"/>
              <w:bottom w:w="0" w:type="dxa"/>
              <w:right w:w="15" w:type="dxa"/>
            </w:tcMar>
            <w:vAlign w:val="bottom"/>
          </w:tcPr>
          <w:p>
            <w:pPr>
              <w:pStyle w:val="26"/>
              <w:spacing w:line="360" w:lineRule="auto"/>
              <w:jc w:val="center"/>
              <w:rPr>
                <w:rFonts w:ascii="宋体" w:hAnsi="宋体"/>
                <w:color w:val="auto"/>
                <w:sz w:val="24"/>
                <w:szCs w:val="24"/>
                <w:highlight w:val="none"/>
              </w:rPr>
            </w:pPr>
            <w:r>
              <w:rPr>
                <w:rFonts w:ascii="宋体" w:hAnsi="宋体"/>
                <w:color w:val="auto"/>
                <w:sz w:val="24"/>
                <w:szCs w:val="24"/>
                <w:highlight w:val="none"/>
              </w:rPr>
              <w:t>1</w:t>
            </w:r>
          </w:p>
        </w:tc>
        <w:tc>
          <w:tcPr>
            <w:tcW w:w="1050" w:type="dxa"/>
            <w:tcMar>
              <w:top w:w="15" w:type="dxa"/>
              <w:left w:w="15" w:type="dxa"/>
              <w:bottom w:w="0" w:type="dxa"/>
              <w:right w:w="15" w:type="dxa"/>
            </w:tcMar>
            <w:vAlign w:val="bottom"/>
          </w:tcPr>
          <w:p>
            <w:pPr>
              <w:pStyle w:val="26"/>
              <w:spacing w:line="360" w:lineRule="auto"/>
              <w:jc w:val="center"/>
              <w:rPr>
                <w:rFonts w:ascii="宋体" w:hAnsi="宋体"/>
                <w:color w:val="auto"/>
                <w:sz w:val="24"/>
                <w:szCs w:val="24"/>
                <w:highlight w:val="none"/>
              </w:rPr>
            </w:pPr>
          </w:p>
        </w:tc>
        <w:tc>
          <w:tcPr>
            <w:tcW w:w="1876" w:type="dxa"/>
            <w:tcMar>
              <w:top w:w="15" w:type="dxa"/>
              <w:left w:w="15" w:type="dxa"/>
              <w:bottom w:w="0" w:type="dxa"/>
              <w:right w:w="15" w:type="dxa"/>
            </w:tcMar>
            <w:vAlign w:val="bottom"/>
          </w:tcPr>
          <w:p>
            <w:pPr>
              <w:pStyle w:val="26"/>
              <w:spacing w:line="360" w:lineRule="auto"/>
              <w:jc w:val="center"/>
              <w:rPr>
                <w:rFonts w:ascii="宋体" w:hAnsi="宋体" w:eastAsia="宋体"/>
                <w:color w:val="auto"/>
                <w:sz w:val="24"/>
                <w:szCs w:val="24"/>
                <w:highlight w:val="none"/>
                <w:lang w:val="en-US" w:eastAsia="zh-CN"/>
              </w:rPr>
            </w:pPr>
          </w:p>
        </w:tc>
        <w:tc>
          <w:tcPr>
            <w:tcW w:w="927" w:type="dxa"/>
            <w:tcMar>
              <w:top w:w="15" w:type="dxa"/>
              <w:left w:w="15" w:type="dxa"/>
              <w:bottom w:w="0" w:type="dxa"/>
              <w:right w:w="15" w:type="dxa"/>
            </w:tcMar>
            <w:vAlign w:val="top"/>
          </w:tcPr>
          <w:p>
            <w:pPr>
              <w:pStyle w:val="26"/>
              <w:spacing w:line="360" w:lineRule="auto"/>
              <w:jc w:val="center"/>
              <w:rPr>
                <w:rFonts w:ascii="宋体" w:hAnsi="宋体"/>
                <w:color w:val="auto"/>
                <w:sz w:val="24"/>
                <w:szCs w:val="24"/>
                <w:highlight w:val="none"/>
              </w:rPr>
            </w:pPr>
          </w:p>
        </w:tc>
        <w:tc>
          <w:tcPr>
            <w:tcW w:w="1232" w:type="dxa"/>
            <w:tcMar>
              <w:top w:w="15" w:type="dxa"/>
              <w:left w:w="15" w:type="dxa"/>
              <w:bottom w:w="0" w:type="dxa"/>
              <w:right w:w="15" w:type="dxa"/>
            </w:tcMar>
            <w:vAlign w:val="bottom"/>
          </w:tcPr>
          <w:p>
            <w:pPr>
              <w:pStyle w:val="26"/>
              <w:spacing w:line="360" w:lineRule="auto"/>
              <w:jc w:val="center"/>
              <w:rPr>
                <w:rFonts w:ascii="宋体" w:hAnsi="宋体"/>
                <w:color w:val="auto"/>
                <w:sz w:val="24"/>
                <w:szCs w:val="24"/>
                <w:highlight w:val="none"/>
              </w:rPr>
            </w:pPr>
          </w:p>
        </w:tc>
        <w:tc>
          <w:tcPr>
            <w:tcW w:w="1989" w:type="dxa"/>
            <w:tcMar>
              <w:top w:w="15" w:type="dxa"/>
              <w:left w:w="15" w:type="dxa"/>
              <w:bottom w:w="0" w:type="dxa"/>
              <w:right w:w="15" w:type="dxa"/>
            </w:tcMar>
            <w:vAlign w:val="top"/>
          </w:tcPr>
          <w:p>
            <w:pPr>
              <w:pStyle w:val="26"/>
              <w:spacing w:line="360" w:lineRule="auto"/>
              <w:jc w:val="center"/>
              <w:rPr>
                <w:rFonts w:ascii="宋体" w:hAnsi="宋体"/>
                <w:color w:val="auto"/>
                <w:sz w:val="24"/>
                <w:szCs w:val="24"/>
                <w:highlight w:val="none"/>
              </w:rPr>
            </w:pPr>
          </w:p>
        </w:tc>
        <w:tc>
          <w:tcPr>
            <w:tcW w:w="978" w:type="dxa"/>
            <w:tcMar>
              <w:top w:w="15" w:type="dxa"/>
              <w:left w:w="15" w:type="dxa"/>
              <w:bottom w:w="0" w:type="dxa"/>
              <w:right w:w="15" w:type="dxa"/>
            </w:tcMar>
            <w:vAlign w:val="bottom"/>
          </w:tcPr>
          <w:p>
            <w:pPr>
              <w:pStyle w:val="26"/>
              <w:spacing w:line="360" w:lineRule="auto"/>
              <w:jc w:val="center"/>
              <w:rPr>
                <w:rFonts w:ascii="宋体" w:hAnsi="宋体"/>
                <w:color w:val="auto"/>
                <w:sz w:val="24"/>
                <w:szCs w:val="24"/>
                <w:highlight w:val="none"/>
              </w:rPr>
            </w:pPr>
          </w:p>
        </w:tc>
        <w:tc>
          <w:tcPr>
            <w:tcW w:w="1224" w:type="dxa"/>
            <w:tcMar>
              <w:top w:w="15" w:type="dxa"/>
              <w:left w:w="15" w:type="dxa"/>
              <w:bottom w:w="0" w:type="dxa"/>
              <w:right w:w="15" w:type="dxa"/>
            </w:tcMar>
            <w:vAlign w:val="bottom"/>
          </w:tcPr>
          <w:p>
            <w:pPr>
              <w:pStyle w:val="26"/>
              <w:spacing w:line="360" w:lineRule="auto"/>
              <w:jc w:val="center"/>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214" w:hRule="atLeast"/>
        </w:trPr>
        <w:tc>
          <w:tcPr>
            <w:tcW w:w="545" w:type="dxa"/>
            <w:tcMar>
              <w:top w:w="15" w:type="dxa"/>
              <w:left w:w="15" w:type="dxa"/>
              <w:bottom w:w="0" w:type="dxa"/>
              <w:right w:w="15" w:type="dxa"/>
            </w:tcMar>
            <w:vAlign w:val="bottom"/>
          </w:tcPr>
          <w:p>
            <w:pPr>
              <w:pStyle w:val="26"/>
              <w:spacing w:line="360" w:lineRule="auto"/>
              <w:jc w:val="center"/>
              <w:rPr>
                <w:rFonts w:ascii="宋体" w:hAnsi="宋体"/>
                <w:color w:val="auto"/>
                <w:sz w:val="24"/>
                <w:szCs w:val="24"/>
                <w:highlight w:val="none"/>
              </w:rPr>
            </w:pPr>
            <w:r>
              <w:rPr>
                <w:rFonts w:ascii="宋体" w:hAnsi="宋体"/>
                <w:color w:val="auto"/>
                <w:sz w:val="24"/>
                <w:szCs w:val="24"/>
                <w:highlight w:val="none"/>
              </w:rPr>
              <w:t>2</w:t>
            </w:r>
          </w:p>
        </w:tc>
        <w:tc>
          <w:tcPr>
            <w:tcW w:w="1050" w:type="dxa"/>
            <w:tcMar>
              <w:top w:w="15" w:type="dxa"/>
              <w:left w:w="15" w:type="dxa"/>
              <w:bottom w:w="0" w:type="dxa"/>
              <w:right w:w="15" w:type="dxa"/>
            </w:tcMar>
            <w:vAlign w:val="bottom"/>
          </w:tcPr>
          <w:p>
            <w:pPr>
              <w:pStyle w:val="26"/>
              <w:spacing w:line="360" w:lineRule="auto"/>
              <w:jc w:val="center"/>
              <w:rPr>
                <w:rFonts w:ascii="宋体" w:hAnsi="宋体"/>
                <w:color w:val="auto"/>
                <w:sz w:val="24"/>
                <w:szCs w:val="24"/>
                <w:highlight w:val="none"/>
              </w:rPr>
            </w:pPr>
          </w:p>
        </w:tc>
        <w:tc>
          <w:tcPr>
            <w:tcW w:w="1876" w:type="dxa"/>
            <w:tcMar>
              <w:top w:w="15" w:type="dxa"/>
              <w:left w:w="15" w:type="dxa"/>
              <w:bottom w:w="0" w:type="dxa"/>
              <w:right w:w="15" w:type="dxa"/>
            </w:tcMar>
            <w:vAlign w:val="bottom"/>
          </w:tcPr>
          <w:p>
            <w:pPr>
              <w:pStyle w:val="26"/>
              <w:spacing w:line="360" w:lineRule="auto"/>
              <w:jc w:val="center"/>
              <w:rPr>
                <w:rFonts w:hint="eastAsia" w:ascii="宋体" w:hAnsi="宋体" w:eastAsia="宋体"/>
                <w:color w:val="auto"/>
                <w:sz w:val="24"/>
                <w:szCs w:val="24"/>
                <w:highlight w:val="none"/>
                <w:lang w:val="en-US" w:eastAsia="zh-CN"/>
              </w:rPr>
            </w:pPr>
          </w:p>
        </w:tc>
        <w:tc>
          <w:tcPr>
            <w:tcW w:w="927" w:type="dxa"/>
            <w:tcMar>
              <w:top w:w="15" w:type="dxa"/>
              <w:left w:w="15" w:type="dxa"/>
              <w:bottom w:w="0" w:type="dxa"/>
              <w:right w:w="15" w:type="dxa"/>
            </w:tcMar>
            <w:vAlign w:val="top"/>
          </w:tcPr>
          <w:p>
            <w:pPr>
              <w:pStyle w:val="26"/>
              <w:spacing w:line="360" w:lineRule="auto"/>
              <w:jc w:val="center"/>
              <w:rPr>
                <w:rFonts w:ascii="宋体" w:hAnsi="宋体"/>
                <w:color w:val="auto"/>
                <w:sz w:val="24"/>
                <w:szCs w:val="24"/>
                <w:highlight w:val="none"/>
              </w:rPr>
            </w:pPr>
          </w:p>
        </w:tc>
        <w:tc>
          <w:tcPr>
            <w:tcW w:w="1232" w:type="dxa"/>
            <w:tcMar>
              <w:top w:w="15" w:type="dxa"/>
              <w:left w:w="15" w:type="dxa"/>
              <w:bottom w:w="0" w:type="dxa"/>
              <w:right w:w="15" w:type="dxa"/>
            </w:tcMar>
            <w:vAlign w:val="bottom"/>
          </w:tcPr>
          <w:p>
            <w:pPr>
              <w:pStyle w:val="26"/>
              <w:spacing w:line="360" w:lineRule="auto"/>
              <w:jc w:val="center"/>
              <w:rPr>
                <w:rFonts w:ascii="宋体" w:hAnsi="宋体"/>
                <w:color w:val="auto"/>
                <w:sz w:val="24"/>
                <w:szCs w:val="24"/>
                <w:highlight w:val="none"/>
              </w:rPr>
            </w:pPr>
          </w:p>
        </w:tc>
        <w:tc>
          <w:tcPr>
            <w:tcW w:w="1989" w:type="dxa"/>
            <w:tcMar>
              <w:top w:w="15" w:type="dxa"/>
              <w:left w:w="15" w:type="dxa"/>
              <w:bottom w:w="0" w:type="dxa"/>
              <w:right w:w="15" w:type="dxa"/>
            </w:tcMar>
            <w:vAlign w:val="top"/>
          </w:tcPr>
          <w:p>
            <w:pPr>
              <w:pStyle w:val="26"/>
              <w:spacing w:line="360" w:lineRule="auto"/>
              <w:jc w:val="center"/>
              <w:rPr>
                <w:rFonts w:ascii="宋体" w:hAnsi="宋体"/>
                <w:color w:val="auto"/>
                <w:sz w:val="24"/>
                <w:szCs w:val="24"/>
                <w:highlight w:val="none"/>
              </w:rPr>
            </w:pPr>
          </w:p>
        </w:tc>
        <w:tc>
          <w:tcPr>
            <w:tcW w:w="978" w:type="dxa"/>
            <w:tcMar>
              <w:top w:w="15" w:type="dxa"/>
              <w:left w:w="15" w:type="dxa"/>
              <w:bottom w:w="0" w:type="dxa"/>
              <w:right w:w="15" w:type="dxa"/>
            </w:tcMar>
            <w:vAlign w:val="bottom"/>
          </w:tcPr>
          <w:p>
            <w:pPr>
              <w:pStyle w:val="26"/>
              <w:spacing w:line="360" w:lineRule="auto"/>
              <w:jc w:val="center"/>
              <w:rPr>
                <w:rFonts w:ascii="宋体" w:hAnsi="宋体"/>
                <w:color w:val="auto"/>
                <w:sz w:val="24"/>
                <w:szCs w:val="24"/>
                <w:highlight w:val="none"/>
              </w:rPr>
            </w:pPr>
          </w:p>
        </w:tc>
        <w:tc>
          <w:tcPr>
            <w:tcW w:w="1224" w:type="dxa"/>
            <w:tcMar>
              <w:top w:w="15" w:type="dxa"/>
              <w:left w:w="15" w:type="dxa"/>
              <w:bottom w:w="0" w:type="dxa"/>
              <w:right w:w="15" w:type="dxa"/>
            </w:tcMar>
            <w:vAlign w:val="bottom"/>
          </w:tcPr>
          <w:p>
            <w:pPr>
              <w:pStyle w:val="26"/>
              <w:spacing w:line="360" w:lineRule="auto"/>
              <w:jc w:val="center"/>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214" w:hRule="atLeast"/>
        </w:trPr>
        <w:tc>
          <w:tcPr>
            <w:tcW w:w="545" w:type="dxa"/>
            <w:tcMar>
              <w:top w:w="15" w:type="dxa"/>
              <w:left w:w="15" w:type="dxa"/>
              <w:bottom w:w="0" w:type="dxa"/>
              <w:right w:w="15" w:type="dxa"/>
            </w:tcMar>
            <w:vAlign w:val="bottom"/>
          </w:tcPr>
          <w:p>
            <w:pPr>
              <w:pStyle w:val="26"/>
              <w:spacing w:line="360" w:lineRule="auto"/>
              <w:jc w:val="center"/>
              <w:rPr>
                <w:rFonts w:ascii="宋体" w:hAnsi="宋体"/>
                <w:color w:val="auto"/>
                <w:sz w:val="24"/>
                <w:szCs w:val="24"/>
                <w:highlight w:val="none"/>
              </w:rPr>
            </w:pPr>
            <w:r>
              <w:rPr>
                <w:rFonts w:ascii="宋体" w:hAnsi="宋体"/>
                <w:color w:val="auto"/>
                <w:sz w:val="24"/>
                <w:szCs w:val="24"/>
                <w:highlight w:val="none"/>
              </w:rPr>
              <w:t>3</w:t>
            </w:r>
          </w:p>
        </w:tc>
        <w:tc>
          <w:tcPr>
            <w:tcW w:w="1050" w:type="dxa"/>
            <w:tcMar>
              <w:top w:w="15" w:type="dxa"/>
              <w:left w:w="15" w:type="dxa"/>
              <w:bottom w:w="0" w:type="dxa"/>
              <w:right w:w="15" w:type="dxa"/>
            </w:tcMar>
            <w:vAlign w:val="bottom"/>
          </w:tcPr>
          <w:p>
            <w:pPr>
              <w:pStyle w:val="26"/>
              <w:spacing w:line="360" w:lineRule="auto"/>
              <w:jc w:val="center"/>
              <w:rPr>
                <w:rFonts w:ascii="宋体" w:hAnsi="宋体"/>
                <w:color w:val="auto"/>
                <w:sz w:val="24"/>
                <w:szCs w:val="24"/>
                <w:highlight w:val="none"/>
              </w:rPr>
            </w:pPr>
          </w:p>
        </w:tc>
        <w:tc>
          <w:tcPr>
            <w:tcW w:w="1876" w:type="dxa"/>
            <w:tcMar>
              <w:top w:w="15" w:type="dxa"/>
              <w:left w:w="15" w:type="dxa"/>
              <w:bottom w:w="0" w:type="dxa"/>
              <w:right w:w="15" w:type="dxa"/>
            </w:tcMar>
            <w:vAlign w:val="bottom"/>
          </w:tcPr>
          <w:p>
            <w:pPr>
              <w:pStyle w:val="26"/>
              <w:spacing w:line="360" w:lineRule="auto"/>
              <w:jc w:val="center"/>
              <w:rPr>
                <w:rFonts w:ascii="宋体" w:hAnsi="宋体" w:eastAsia="宋体"/>
                <w:color w:val="auto"/>
                <w:sz w:val="24"/>
                <w:szCs w:val="24"/>
                <w:highlight w:val="none"/>
                <w:lang w:val="en-US" w:eastAsia="zh-CN"/>
              </w:rPr>
            </w:pPr>
          </w:p>
        </w:tc>
        <w:tc>
          <w:tcPr>
            <w:tcW w:w="927" w:type="dxa"/>
            <w:tcMar>
              <w:top w:w="15" w:type="dxa"/>
              <w:left w:w="15" w:type="dxa"/>
              <w:bottom w:w="0" w:type="dxa"/>
              <w:right w:w="15" w:type="dxa"/>
            </w:tcMar>
            <w:vAlign w:val="top"/>
          </w:tcPr>
          <w:p>
            <w:pPr>
              <w:pStyle w:val="26"/>
              <w:spacing w:line="360" w:lineRule="auto"/>
              <w:jc w:val="center"/>
              <w:rPr>
                <w:rFonts w:ascii="宋体" w:hAnsi="宋体"/>
                <w:color w:val="auto"/>
                <w:sz w:val="24"/>
                <w:szCs w:val="24"/>
                <w:highlight w:val="none"/>
              </w:rPr>
            </w:pPr>
          </w:p>
        </w:tc>
        <w:tc>
          <w:tcPr>
            <w:tcW w:w="1232" w:type="dxa"/>
            <w:tcMar>
              <w:top w:w="15" w:type="dxa"/>
              <w:left w:w="15" w:type="dxa"/>
              <w:bottom w:w="0" w:type="dxa"/>
              <w:right w:w="15" w:type="dxa"/>
            </w:tcMar>
            <w:vAlign w:val="bottom"/>
          </w:tcPr>
          <w:p>
            <w:pPr>
              <w:pStyle w:val="26"/>
              <w:spacing w:line="360" w:lineRule="auto"/>
              <w:jc w:val="center"/>
              <w:rPr>
                <w:rFonts w:ascii="宋体" w:hAnsi="宋体"/>
                <w:color w:val="auto"/>
                <w:sz w:val="24"/>
                <w:szCs w:val="24"/>
                <w:highlight w:val="none"/>
              </w:rPr>
            </w:pPr>
          </w:p>
        </w:tc>
        <w:tc>
          <w:tcPr>
            <w:tcW w:w="1989" w:type="dxa"/>
            <w:tcMar>
              <w:top w:w="15" w:type="dxa"/>
              <w:left w:w="15" w:type="dxa"/>
              <w:bottom w:w="0" w:type="dxa"/>
              <w:right w:w="15" w:type="dxa"/>
            </w:tcMar>
            <w:vAlign w:val="top"/>
          </w:tcPr>
          <w:p>
            <w:pPr>
              <w:pStyle w:val="26"/>
              <w:spacing w:line="360" w:lineRule="auto"/>
              <w:jc w:val="center"/>
              <w:rPr>
                <w:rFonts w:ascii="宋体" w:hAnsi="宋体"/>
                <w:color w:val="auto"/>
                <w:sz w:val="24"/>
                <w:szCs w:val="24"/>
                <w:highlight w:val="none"/>
              </w:rPr>
            </w:pPr>
          </w:p>
        </w:tc>
        <w:tc>
          <w:tcPr>
            <w:tcW w:w="978" w:type="dxa"/>
            <w:tcMar>
              <w:top w:w="15" w:type="dxa"/>
              <w:left w:w="15" w:type="dxa"/>
              <w:bottom w:w="0" w:type="dxa"/>
              <w:right w:w="15" w:type="dxa"/>
            </w:tcMar>
            <w:vAlign w:val="bottom"/>
          </w:tcPr>
          <w:p>
            <w:pPr>
              <w:pStyle w:val="26"/>
              <w:spacing w:line="360" w:lineRule="auto"/>
              <w:jc w:val="center"/>
              <w:rPr>
                <w:rFonts w:ascii="宋体" w:hAnsi="宋体"/>
                <w:color w:val="auto"/>
                <w:sz w:val="24"/>
                <w:szCs w:val="24"/>
                <w:highlight w:val="none"/>
              </w:rPr>
            </w:pPr>
          </w:p>
        </w:tc>
        <w:tc>
          <w:tcPr>
            <w:tcW w:w="1224" w:type="dxa"/>
            <w:tcMar>
              <w:top w:w="15" w:type="dxa"/>
              <w:left w:w="15" w:type="dxa"/>
              <w:bottom w:w="0" w:type="dxa"/>
              <w:right w:w="15" w:type="dxa"/>
            </w:tcMar>
            <w:vAlign w:val="bottom"/>
          </w:tcPr>
          <w:p>
            <w:pPr>
              <w:pStyle w:val="26"/>
              <w:spacing w:line="360" w:lineRule="auto"/>
              <w:jc w:val="center"/>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322" w:hRule="atLeast"/>
        </w:trPr>
        <w:tc>
          <w:tcPr>
            <w:tcW w:w="545" w:type="dxa"/>
            <w:tcMar>
              <w:top w:w="15" w:type="dxa"/>
              <w:left w:w="15" w:type="dxa"/>
              <w:bottom w:w="0" w:type="dxa"/>
              <w:right w:w="15" w:type="dxa"/>
            </w:tcMar>
            <w:vAlign w:val="bottom"/>
          </w:tcPr>
          <w:p>
            <w:pPr>
              <w:pStyle w:val="26"/>
              <w:spacing w:line="360" w:lineRule="auto"/>
              <w:jc w:val="center"/>
              <w:rPr>
                <w:rFonts w:ascii="宋体" w:hAnsi="宋体"/>
                <w:color w:val="auto"/>
                <w:sz w:val="24"/>
                <w:szCs w:val="24"/>
                <w:highlight w:val="none"/>
              </w:rPr>
            </w:pPr>
            <w:r>
              <w:rPr>
                <w:rFonts w:ascii="宋体" w:hAnsi="宋体"/>
                <w:color w:val="auto"/>
                <w:sz w:val="24"/>
                <w:szCs w:val="24"/>
                <w:highlight w:val="none"/>
              </w:rPr>
              <w:t>4</w:t>
            </w:r>
          </w:p>
        </w:tc>
        <w:tc>
          <w:tcPr>
            <w:tcW w:w="1050" w:type="dxa"/>
            <w:tcMar>
              <w:top w:w="15" w:type="dxa"/>
              <w:left w:w="15" w:type="dxa"/>
              <w:bottom w:w="0" w:type="dxa"/>
              <w:right w:w="15" w:type="dxa"/>
            </w:tcMar>
            <w:vAlign w:val="bottom"/>
          </w:tcPr>
          <w:p>
            <w:pPr>
              <w:pStyle w:val="26"/>
              <w:spacing w:line="360" w:lineRule="auto"/>
              <w:jc w:val="center"/>
              <w:rPr>
                <w:rFonts w:ascii="宋体" w:hAnsi="宋体"/>
                <w:color w:val="auto"/>
                <w:sz w:val="24"/>
                <w:szCs w:val="24"/>
                <w:highlight w:val="none"/>
              </w:rPr>
            </w:pPr>
          </w:p>
        </w:tc>
        <w:tc>
          <w:tcPr>
            <w:tcW w:w="1876" w:type="dxa"/>
            <w:tcMar>
              <w:top w:w="15" w:type="dxa"/>
              <w:left w:w="15" w:type="dxa"/>
              <w:bottom w:w="0" w:type="dxa"/>
              <w:right w:w="15" w:type="dxa"/>
            </w:tcMar>
            <w:vAlign w:val="bottom"/>
          </w:tcPr>
          <w:p>
            <w:pPr>
              <w:pStyle w:val="26"/>
              <w:spacing w:line="360" w:lineRule="auto"/>
              <w:jc w:val="center"/>
              <w:rPr>
                <w:rFonts w:hint="eastAsia" w:ascii="宋体" w:hAnsi="宋体" w:eastAsia="宋体"/>
                <w:color w:val="auto"/>
                <w:sz w:val="24"/>
                <w:szCs w:val="24"/>
                <w:highlight w:val="none"/>
                <w:lang w:val="en-US" w:eastAsia="zh-CN"/>
              </w:rPr>
            </w:pPr>
          </w:p>
        </w:tc>
        <w:tc>
          <w:tcPr>
            <w:tcW w:w="927" w:type="dxa"/>
            <w:tcMar>
              <w:top w:w="15" w:type="dxa"/>
              <w:left w:w="15" w:type="dxa"/>
              <w:bottom w:w="0" w:type="dxa"/>
              <w:right w:w="15" w:type="dxa"/>
            </w:tcMar>
            <w:vAlign w:val="top"/>
          </w:tcPr>
          <w:p>
            <w:pPr>
              <w:pStyle w:val="26"/>
              <w:spacing w:line="360" w:lineRule="auto"/>
              <w:jc w:val="center"/>
              <w:rPr>
                <w:rFonts w:ascii="宋体" w:hAnsi="宋体"/>
                <w:color w:val="auto"/>
                <w:sz w:val="24"/>
                <w:szCs w:val="24"/>
                <w:highlight w:val="none"/>
              </w:rPr>
            </w:pPr>
          </w:p>
        </w:tc>
        <w:tc>
          <w:tcPr>
            <w:tcW w:w="1232" w:type="dxa"/>
            <w:tcMar>
              <w:top w:w="15" w:type="dxa"/>
              <w:left w:w="15" w:type="dxa"/>
              <w:bottom w:w="0" w:type="dxa"/>
              <w:right w:w="15" w:type="dxa"/>
            </w:tcMar>
            <w:vAlign w:val="bottom"/>
          </w:tcPr>
          <w:p>
            <w:pPr>
              <w:pStyle w:val="26"/>
              <w:spacing w:line="360" w:lineRule="auto"/>
              <w:jc w:val="center"/>
              <w:rPr>
                <w:rFonts w:ascii="宋体" w:hAnsi="宋体"/>
                <w:color w:val="auto"/>
                <w:sz w:val="24"/>
                <w:szCs w:val="24"/>
                <w:highlight w:val="none"/>
              </w:rPr>
            </w:pPr>
          </w:p>
        </w:tc>
        <w:tc>
          <w:tcPr>
            <w:tcW w:w="1989" w:type="dxa"/>
            <w:tcMar>
              <w:top w:w="15" w:type="dxa"/>
              <w:left w:w="15" w:type="dxa"/>
              <w:bottom w:w="0" w:type="dxa"/>
              <w:right w:w="15" w:type="dxa"/>
            </w:tcMar>
            <w:vAlign w:val="top"/>
          </w:tcPr>
          <w:p>
            <w:pPr>
              <w:pStyle w:val="26"/>
              <w:spacing w:line="360" w:lineRule="auto"/>
              <w:jc w:val="center"/>
              <w:rPr>
                <w:rFonts w:ascii="宋体" w:hAnsi="宋体"/>
                <w:color w:val="auto"/>
                <w:sz w:val="24"/>
                <w:szCs w:val="24"/>
                <w:highlight w:val="none"/>
              </w:rPr>
            </w:pPr>
          </w:p>
        </w:tc>
        <w:tc>
          <w:tcPr>
            <w:tcW w:w="978" w:type="dxa"/>
            <w:tcMar>
              <w:top w:w="15" w:type="dxa"/>
              <w:left w:w="15" w:type="dxa"/>
              <w:bottom w:w="0" w:type="dxa"/>
              <w:right w:w="15" w:type="dxa"/>
            </w:tcMar>
            <w:vAlign w:val="bottom"/>
          </w:tcPr>
          <w:p>
            <w:pPr>
              <w:pStyle w:val="26"/>
              <w:spacing w:line="360" w:lineRule="auto"/>
              <w:jc w:val="center"/>
              <w:rPr>
                <w:rFonts w:ascii="宋体" w:hAnsi="宋体"/>
                <w:color w:val="auto"/>
                <w:sz w:val="24"/>
                <w:szCs w:val="24"/>
                <w:highlight w:val="none"/>
              </w:rPr>
            </w:pPr>
          </w:p>
        </w:tc>
        <w:tc>
          <w:tcPr>
            <w:tcW w:w="1224" w:type="dxa"/>
            <w:tcMar>
              <w:top w:w="15" w:type="dxa"/>
              <w:left w:w="15" w:type="dxa"/>
              <w:bottom w:w="0" w:type="dxa"/>
              <w:right w:w="15" w:type="dxa"/>
            </w:tcMar>
            <w:vAlign w:val="bottom"/>
          </w:tcPr>
          <w:p>
            <w:pPr>
              <w:pStyle w:val="26"/>
              <w:spacing w:line="360" w:lineRule="auto"/>
              <w:jc w:val="center"/>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285" w:hRule="atLeast"/>
        </w:trPr>
        <w:tc>
          <w:tcPr>
            <w:tcW w:w="545" w:type="dxa"/>
            <w:tcMar>
              <w:top w:w="15" w:type="dxa"/>
              <w:left w:w="15" w:type="dxa"/>
              <w:bottom w:w="0" w:type="dxa"/>
              <w:right w:w="15" w:type="dxa"/>
            </w:tcMar>
            <w:vAlign w:val="bottom"/>
          </w:tcPr>
          <w:p>
            <w:pPr>
              <w:pStyle w:val="26"/>
              <w:spacing w:line="360" w:lineRule="auto"/>
              <w:jc w:val="center"/>
              <w:rPr>
                <w:rFonts w:ascii="宋体" w:hAnsi="宋体"/>
                <w:color w:val="auto"/>
                <w:sz w:val="24"/>
                <w:szCs w:val="24"/>
                <w:highlight w:val="none"/>
              </w:rPr>
            </w:pPr>
            <w:r>
              <w:rPr>
                <w:rFonts w:ascii="宋体" w:hAnsi="宋体"/>
                <w:color w:val="auto"/>
                <w:sz w:val="24"/>
                <w:szCs w:val="24"/>
                <w:highlight w:val="none"/>
              </w:rPr>
              <w:t>5</w:t>
            </w:r>
          </w:p>
        </w:tc>
        <w:tc>
          <w:tcPr>
            <w:tcW w:w="1050" w:type="dxa"/>
            <w:tcMar>
              <w:top w:w="15" w:type="dxa"/>
              <w:left w:w="15" w:type="dxa"/>
              <w:bottom w:w="0" w:type="dxa"/>
              <w:right w:w="15" w:type="dxa"/>
            </w:tcMar>
            <w:vAlign w:val="bottom"/>
          </w:tcPr>
          <w:p>
            <w:pPr>
              <w:pStyle w:val="26"/>
              <w:spacing w:line="360" w:lineRule="auto"/>
              <w:jc w:val="center"/>
              <w:rPr>
                <w:rFonts w:ascii="宋体" w:hAnsi="宋体"/>
                <w:color w:val="auto"/>
                <w:sz w:val="24"/>
                <w:szCs w:val="24"/>
                <w:highlight w:val="none"/>
              </w:rPr>
            </w:pPr>
          </w:p>
        </w:tc>
        <w:tc>
          <w:tcPr>
            <w:tcW w:w="1876" w:type="dxa"/>
            <w:tcMar>
              <w:top w:w="15" w:type="dxa"/>
              <w:left w:w="15" w:type="dxa"/>
              <w:bottom w:w="0" w:type="dxa"/>
              <w:right w:w="15" w:type="dxa"/>
            </w:tcMar>
            <w:vAlign w:val="bottom"/>
          </w:tcPr>
          <w:p>
            <w:pPr>
              <w:pStyle w:val="26"/>
              <w:spacing w:line="360" w:lineRule="auto"/>
              <w:jc w:val="center"/>
              <w:rPr>
                <w:rFonts w:hint="eastAsia" w:ascii="宋体" w:hAnsi="宋体" w:eastAsia="宋体"/>
                <w:color w:val="auto"/>
                <w:sz w:val="24"/>
                <w:szCs w:val="24"/>
                <w:highlight w:val="none"/>
                <w:lang w:val="en-US" w:eastAsia="zh-CN"/>
              </w:rPr>
            </w:pPr>
          </w:p>
        </w:tc>
        <w:tc>
          <w:tcPr>
            <w:tcW w:w="927" w:type="dxa"/>
            <w:tcMar>
              <w:top w:w="15" w:type="dxa"/>
              <w:left w:w="15" w:type="dxa"/>
              <w:bottom w:w="0" w:type="dxa"/>
              <w:right w:w="15" w:type="dxa"/>
            </w:tcMar>
            <w:vAlign w:val="top"/>
          </w:tcPr>
          <w:p>
            <w:pPr>
              <w:pStyle w:val="26"/>
              <w:spacing w:line="360" w:lineRule="auto"/>
              <w:jc w:val="center"/>
              <w:rPr>
                <w:rFonts w:ascii="宋体" w:hAnsi="宋体"/>
                <w:color w:val="auto"/>
                <w:sz w:val="24"/>
                <w:szCs w:val="24"/>
                <w:highlight w:val="none"/>
              </w:rPr>
            </w:pPr>
          </w:p>
        </w:tc>
        <w:tc>
          <w:tcPr>
            <w:tcW w:w="1232" w:type="dxa"/>
            <w:tcMar>
              <w:top w:w="15" w:type="dxa"/>
              <w:left w:w="15" w:type="dxa"/>
              <w:bottom w:w="0" w:type="dxa"/>
              <w:right w:w="15" w:type="dxa"/>
            </w:tcMar>
            <w:vAlign w:val="bottom"/>
          </w:tcPr>
          <w:p>
            <w:pPr>
              <w:pStyle w:val="26"/>
              <w:spacing w:line="360" w:lineRule="auto"/>
              <w:jc w:val="center"/>
              <w:rPr>
                <w:rFonts w:ascii="宋体" w:hAnsi="宋体"/>
                <w:color w:val="auto"/>
                <w:sz w:val="24"/>
                <w:szCs w:val="24"/>
                <w:highlight w:val="none"/>
              </w:rPr>
            </w:pPr>
          </w:p>
        </w:tc>
        <w:tc>
          <w:tcPr>
            <w:tcW w:w="1989" w:type="dxa"/>
            <w:tcMar>
              <w:top w:w="15" w:type="dxa"/>
              <w:left w:w="15" w:type="dxa"/>
              <w:bottom w:w="0" w:type="dxa"/>
              <w:right w:w="15" w:type="dxa"/>
            </w:tcMar>
            <w:vAlign w:val="top"/>
          </w:tcPr>
          <w:p>
            <w:pPr>
              <w:pStyle w:val="26"/>
              <w:spacing w:line="360" w:lineRule="auto"/>
              <w:jc w:val="center"/>
              <w:rPr>
                <w:rFonts w:ascii="宋体" w:hAnsi="宋体"/>
                <w:color w:val="auto"/>
                <w:sz w:val="24"/>
                <w:szCs w:val="24"/>
                <w:highlight w:val="none"/>
              </w:rPr>
            </w:pPr>
          </w:p>
        </w:tc>
        <w:tc>
          <w:tcPr>
            <w:tcW w:w="978" w:type="dxa"/>
            <w:tcMar>
              <w:top w:w="15" w:type="dxa"/>
              <w:left w:w="15" w:type="dxa"/>
              <w:bottom w:w="0" w:type="dxa"/>
              <w:right w:w="15" w:type="dxa"/>
            </w:tcMar>
            <w:vAlign w:val="bottom"/>
          </w:tcPr>
          <w:p>
            <w:pPr>
              <w:pStyle w:val="26"/>
              <w:spacing w:line="360" w:lineRule="auto"/>
              <w:jc w:val="center"/>
              <w:rPr>
                <w:rFonts w:ascii="宋体" w:hAnsi="宋体"/>
                <w:color w:val="auto"/>
                <w:sz w:val="24"/>
                <w:szCs w:val="24"/>
                <w:highlight w:val="none"/>
              </w:rPr>
            </w:pPr>
          </w:p>
        </w:tc>
        <w:tc>
          <w:tcPr>
            <w:tcW w:w="1224" w:type="dxa"/>
            <w:tcMar>
              <w:top w:w="15" w:type="dxa"/>
              <w:left w:w="15" w:type="dxa"/>
              <w:bottom w:w="0" w:type="dxa"/>
              <w:right w:w="15" w:type="dxa"/>
            </w:tcMar>
            <w:vAlign w:val="bottom"/>
          </w:tcPr>
          <w:p>
            <w:pPr>
              <w:pStyle w:val="26"/>
              <w:spacing w:line="360" w:lineRule="auto"/>
              <w:jc w:val="center"/>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Ex>
        <w:trPr>
          <w:trHeight w:val="285" w:hRule="atLeast"/>
        </w:trPr>
        <w:tc>
          <w:tcPr>
            <w:tcW w:w="545" w:type="dxa"/>
            <w:tcMar>
              <w:top w:w="15" w:type="dxa"/>
              <w:left w:w="15" w:type="dxa"/>
              <w:bottom w:w="0" w:type="dxa"/>
              <w:right w:w="15" w:type="dxa"/>
            </w:tcMar>
            <w:vAlign w:val="bottom"/>
          </w:tcPr>
          <w:p>
            <w:pPr>
              <w:pStyle w:val="26"/>
              <w:spacing w:line="360" w:lineRule="auto"/>
              <w:jc w:val="center"/>
              <w:rPr>
                <w:rFonts w:ascii="宋体" w:hAnsi="宋体"/>
                <w:color w:val="auto"/>
                <w:sz w:val="24"/>
                <w:szCs w:val="24"/>
                <w:highlight w:val="none"/>
              </w:rPr>
            </w:pPr>
            <w:r>
              <w:rPr>
                <w:rFonts w:ascii="宋体" w:hAnsi="宋体"/>
                <w:color w:val="auto"/>
                <w:sz w:val="24"/>
                <w:szCs w:val="24"/>
                <w:highlight w:val="none"/>
              </w:rPr>
              <w:t>6</w:t>
            </w:r>
          </w:p>
        </w:tc>
        <w:tc>
          <w:tcPr>
            <w:tcW w:w="1050" w:type="dxa"/>
            <w:tcMar>
              <w:top w:w="15" w:type="dxa"/>
              <w:left w:w="15" w:type="dxa"/>
              <w:bottom w:w="0" w:type="dxa"/>
              <w:right w:w="15" w:type="dxa"/>
            </w:tcMar>
            <w:vAlign w:val="bottom"/>
          </w:tcPr>
          <w:p>
            <w:pPr>
              <w:pStyle w:val="26"/>
              <w:spacing w:line="360" w:lineRule="auto"/>
              <w:jc w:val="center"/>
              <w:rPr>
                <w:rFonts w:ascii="宋体" w:hAnsi="宋体"/>
                <w:color w:val="auto"/>
                <w:sz w:val="24"/>
                <w:szCs w:val="24"/>
                <w:highlight w:val="none"/>
              </w:rPr>
            </w:pPr>
          </w:p>
        </w:tc>
        <w:tc>
          <w:tcPr>
            <w:tcW w:w="1876" w:type="dxa"/>
            <w:tcMar>
              <w:top w:w="15" w:type="dxa"/>
              <w:left w:w="15" w:type="dxa"/>
              <w:bottom w:w="0" w:type="dxa"/>
              <w:right w:w="15" w:type="dxa"/>
            </w:tcMar>
            <w:vAlign w:val="bottom"/>
          </w:tcPr>
          <w:p>
            <w:pPr>
              <w:pStyle w:val="26"/>
              <w:spacing w:line="360" w:lineRule="auto"/>
              <w:jc w:val="center"/>
              <w:rPr>
                <w:rFonts w:ascii="宋体" w:hAnsi="宋体" w:eastAsia="宋体"/>
                <w:color w:val="auto"/>
                <w:sz w:val="24"/>
                <w:szCs w:val="24"/>
                <w:highlight w:val="none"/>
                <w:lang w:val="en-US" w:eastAsia="zh-CN"/>
              </w:rPr>
            </w:pPr>
          </w:p>
        </w:tc>
        <w:tc>
          <w:tcPr>
            <w:tcW w:w="927" w:type="dxa"/>
            <w:tcMar>
              <w:top w:w="15" w:type="dxa"/>
              <w:left w:w="15" w:type="dxa"/>
              <w:bottom w:w="0" w:type="dxa"/>
              <w:right w:w="15" w:type="dxa"/>
            </w:tcMar>
            <w:vAlign w:val="top"/>
          </w:tcPr>
          <w:p>
            <w:pPr>
              <w:pStyle w:val="26"/>
              <w:spacing w:line="360" w:lineRule="auto"/>
              <w:jc w:val="center"/>
              <w:rPr>
                <w:rFonts w:ascii="宋体" w:hAnsi="宋体"/>
                <w:color w:val="auto"/>
                <w:sz w:val="24"/>
                <w:szCs w:val="24"/>
                <w:highlight w:val="none"/>
              </w:rPr>
            </w:pPr>
          </w:p>
        </w:tc>
        <w:tc>
          <w:tcPr>
            <w:tcW w:w="1232" w:type="dxa"/>
            <w:tcMar>
              <w:top w:w="15" w:type="dxa"/>
              <w:left w:w="15" w:type="dxa"/>
              <w:bottom w:w="0" w:type="dxa"/>
              <w:right w:w="15" w:type="dxa"/>
            </w:tcMar>
            <w:vAlign w:val="bottom"/>
          </w:tcPr>
          <w:p>
            <w:pPr>
              <w:pStyle w:val="26"/>
              <w:spacing w:line="360" w:lineRule="auto"/>
              <w:jc w:val="center"/>
              <w:rPr>
                <w:rFonts w:ascii="宋体" w:hAnsi="宋体"/>
                <w:color w:val="auto"/>
                <w:sz w:val="24"/>
                <w:szCs w:val="24"/>
                <w:highlight w:val="none"/>
              </w:rPr>
            </w:pPr>
          </w:p>
        </w:tc>
        <w:tc>
          <w:tcPr>
            <w:tcW w:w="1989" w:type="dxa"/>
            <w:tcMar>
              <w:top w:w="15" w:type="dxa"/>
              <w:left w:w="15" w:type="dxa"/>
              <w:bottom w:w="0" w:type="dxa"/>
              <w:right w:w="15" w:type="dxa"/>
            </w:tcMar>
            <w:vAlign w:val="top"/>
          </w:tcPr>
          <w:p>
            <w:pPr>
              <w:pStyle w:val="26"/>
              <w:spacing w:line="360" w:lineRule="auto"/>
              <w:jc w:val="center"/>
              <w:rPr>
                <w:rFonts w:ascii="宋体" w:hAnsi="宋体"/>
                <w:color w:val="auto"/>
                <w:sz w:val="24"/>
                <w:szCs w:val="24"/>
                <w:highlight w:val="none"/>
              </w:rPr>
            </w:pPr>
          </w:p>
        </w:tc>
        <w:tc>
          <w:tcPr>
            <w:tcW w:w="978" w:type="dxa"/>
            <w:tcMar>
              <w:top w:w="15" w:type="dxa"/>
              <w:left w:w="15" w:type="dxa"/>
              <w:bottom w:w="0" w:type="dxa"/>
              <w:right w:w="15" w:type="dxa"/>
            </w:tcMar>
            <w:vAlign w:val="bottom"/>
          </w:tcPr>
          <w:p>
            <w:pPr>
              <w:pStyle w:val="26"/>
              <w:spacing w:line="360" w:lineRule="auto"/>
              <w:jc w:val="center"/>
              <w:rPr>
                <w:rFonts w:ascii="宋体" w:hAnsi="宋体"/>
                <w:color w:val="auto"/>
                <w:sz w:val="24"/>
                <w:szCs w:val="24"/>
                <w:highlight w:val="none"/>
              </w:rPr>
            </w:pPr>
          </w:p>
        </w:tc>
        <w:tc>
          <w:tcPr>
            <w:tcW w:w="1224" w:type="dxa"/>
            <w:tcMar>
              <w:top w:w="15" w:type="dxa"/>
              <w:left w:w="15" w:type="dxa"/>
              <w:bottom w:w="0" w:type="dxa"/>
              <w:right w:w="15" w:type="dxa"/>
            </w:tcMar>
            <w:vAlign w:val="bottom"/>
          </w:tcPr>
          <w:p>
            <w:pPr>
              <w:pStyle w:val="26"/>
              <w:spacing w:line="360" w:lineRule="auto"/>
              <w:jc w:val="center"/>
              <w:rPr>
                <w:rFonts w:ascii="宋体" w:hAnsi="宋体"/>
                <w:color w:val="auto"/>
                <w:sz w:val="24"/>
                <w:szCs w:val="24"/>
                <w:highlight w:val="none"/>
              </w:rPr>
            </w:pPr>
          </w:p>
        </w:tc>
      </w:tr>
    </w:tbl>
    <w:p>
      <w:pPr>
        <w:pStyle w:val="26"/>
        <w:spacing w:line="0" w:lineRule="atLeast"/>
        <w:jc w:val="left"/>
        <w:rPr>
          <w:rFonts w:ascii="宋体" w:hAnsi="宋体"/>
          <w:color w:val="auto"/>
          <w:sz w:val="24"/>
          <w:szCs w:val="24"/>
          <w:highlight w:val="none"/>
        </w:rPr>
      </w:pPr>
      <w:r>
        <w:rPr>
          <w:rFonts w:ascii="宋体" w:hAnsi="宋体"/>
          <w:color w:val="auto"/>
          <w:sz w:val="24"/>
          <w:szCs w:val="24"/>
          <w:highlight w:val="none"/>
        </w:rPr>
        <w:t>项目名称：</w:t>
      </w:r>
    </w:p>
    <w:p>
      <w:pPr>
        <w:pStyle w:val="26"/>
        <w:rPr>
          <w:rFonts w:ascii="宋体" w:hAnsi="宋体"/>
          <w:color w:val="auto"/>
          <w:sz w:val="24"/>
          <w:szCs w:val="24"/>
          <w:highlight w:val="none"/>
        </w:rPr>
      </w:pPr>
    </w:p>
    <w:p>
      <w:pPr>
        <w:pStyle w:val="26"/>
        <w:rPr>
          <w:rFonts w:ascii="宋体" w:hAnsi="宋体"/>
          <w:color w:val="auto"/>
          <w:sz w:val="24"/>
          <w:szCs w:val="24"/>
          <w:highlight w:val="none"/>
        </w:rPr>
      </w:pPr>
    </w:p>
    <w:p>
      <w:pPr>
        <w:pStyle w:val="26"/>
        <w:spacing w:line="520" w:lineRule="exact"/>
        <w:rPr>
          <w:rFonts w:ascii="宋体" w:hAnsi="宋体"/>
          <w:color w:val="auto"/>
          <w:sz w:val="24"/>
          <w:szCs w:val="24"/>
          <w:highlight w:val="none"/>
        </w:rPr>
      </w:pPr>
      <w:r>
        <w:rPr>
          <w:rFonts w:ascii="宋体" w:hAnsi="宋体"/>
          <w:color w:val="auto"/>
          <w:sz w:val="24"/>
          <w:szCs w:val="24"/>
          <w:highlight w:val="none"/>
        </w:rPr>
        <w:t>供应商（</w:t>
      </w:r>
      <w:r>
        <w:rPr>
          <w:rFonts w:hint="eastAsia" w:ascii="宋体" w:hAnsi="宋体" w:cs="宋体"/>
          <w:color w:val="auto"/>
          <w:sz w:val="24"/>
          <w:highlight w:val="none"/>
        </w:rPr>
        <w:t>电子签章</w:t>
      </w:r>
      <w:r>
        <w:rPr>
          <w:rFonts w:ascii="宋体" w:hAnsi="宋体"/>
          <w:color w:val="auto"/>
          <w:sz w:val="24"/>
          <w:szCs w:val="24"/>
          <w:highlight w:val="none"/>
        </w:rPr>
        <w:t>）：</w:t>
      </w:r>
    </w:p>
    <w:p>
      <w:pPr>
        <w:pStyle w:val="26"/>
        <w:spacing w:line="520" w:lineRule="exact"/>
        <w:rPr>
          <w:rFonts w:ascii="宋体" w:hAnsi="宋体"/>
          <w:color w:val="auto"/>
          <w:sz w:val="24"/>
          <w:szCs w:val="24"/>
          <w:highlight w:val="none"/>
        </w:rPr>
      </w:pPr>
      <w:r>
        <w:rPr>
          <w:rFonts w:ascii="宋体" w:hAnsi="宋体"/>
          <w:color w:val="auto"/>
          <w:sz w:val="24"/>
          <w:szCs w:val="24"/>
          <w:highlight w:val="none"/>
        </w:rPr>
        <w:t xml:space="preserve">法定代表人(负责人)或授权代表（签字或盖章）：  </w:t>
      </w:r>
    </w:p>
    <w:p>
      <w:pPr>
        <w:pStyle w:val="26"/>
        <w:spacing w:line="520" w:lineRule="exact"/>
        <w:rPr>
          <w:rFonts w:ascii="宋体" w:hAnsi="宋体"/>
          <w:b/>
          <w:bCs/>
          <w:color w:val="auto"/>
          <w:sz w:val="24"/>
          <w:szCs w:val="24"/>
          <w:highlight w:val="none"/>
        </w:rPr>
      </w:pPr>
      <w:r>
        <w:rPr>
          <w:rFonts w:ascii="宋体" w:hAnsi="宋体"/>
          <w:b/>
          <w:bCs/>
          <w:color w:val="auto"/>
          <w:sz w:val="24"/>
          <w:szCs w:val="24"/>
          <w:highlight w:val="none"/>
        </w:rPr>
        <w:t>日期： 年  月  日</w:t>
      </w:r>
    </w:p>
    <w:p>
      <w:pPr>
        <w:pStyle w:val="26"/>
        <w:spacing w:line="520" w:lineRule="exact"/>
        <w:rPr>
          <w:rFonts w:ascii="宋体" w:hAnsi="宋体"/>
          <w:color w:val="auto"/>
          <w:sz w:val="30"/>
          <w:szCs w:val="30"/>
          <w:highlight w:val="none"/>
        </w:rPr>
      </w:pPr>
    </w:p>
    <w:p>
      <w:pPr>
        <w:pStyle w:val="26"/>
        <w:spacing w:line="520" w:lineRule="exact"/>
        <w:rPr>
          <w:rFonts w:ascii="宋体" w:hAnsi="宋体"/>
          <w:b/>
          <w:bCs/>
          <w:color w:val="auto"/>
          <w:sz w:val="24"/>
          <w:szCs w:val="24"/>
          <w:highlight w:val="none"/>
        </w:rPr>
      </w:pPr>
      <w:r>
        <w:rPr>
          <w:rFonts w:ascii="宋体" w:hAnsi="宋体"/>
          <w:b/>
          <w:bCs/>
          <w:color w:val="auto"/>
          <w:sz w:val="24"/>
          <w:szCs w:val="24"/>
          <w:highlight w:val="none"/>
        </w:rPr>
        <w:t>注：1、如果不提供《主要材料（设备）一览表》将视为没有实质性响应。</w:t>
      </w:r>
    </w:p>
    <w:p>
      <w:pPr>
        <w:pStyle w:val="26"/>
        <w:spacing w:line="520" w:lineRule="exact"/>
        <w:ind w:firstLine="480"/>
        <w:rPr>
          <w:rFonts w:ascii="宋体" w:hAnsi="宋体"/>
          <w:color w:val="auto"/>
          <w:sz w:val="24"/>
          <w:szCs w:val="24"/>
          <w:highlight w:val="none"/>
        </w:rPr>
      </w:pPr>
      <w:r>
        <w:rPr>
          <w:rFonts w:ascii="宋体" w:hAnsi="宋体"/>
          <w:color w:val="auto"/>
          <w:sz w:val="24"/>
          <w:szCs w:val="24"/>
          <w:highlight w:val="none"/>
        </w:rPr>
        <w:t>2、响应供应商对以上数据的真实性负责。</w:t>
      </w:r>
    </w:p>
    <w:p>
      <w:pPr>
        <w:rPr>
          <w:rFonts w:ascii="宋体" w:hAnsi="宋体"/>
          <w:b/>
          <w:bCs/>
          <w:color w:val="auto"/>
          <w:sz w:val="24"/>
          <w:highlight w:val="none"/>
        </w:rPr>
      </w:pPr>
    </w:p>
    <w:p>
      <w:pPr>
        <w:rPr>
          <w:rFonts w:ascii="宋体" w:hAnsi="宋体"/>
          <w:b/>
          <w:bCs/>
          <w:color w:val="auto"/>
          <w:sz w:val="24"/>
          <w:highlight w:val="none"/>
        </w:rPr>
      </w:pPr>
    </w:p>
    <w:p>
      <w:pPr>
        <w:rPr>
          <w:rFonts w:ascii="宋体" w:hAnsi="宋体"/>
          <w:b/>
          <w:bCs/>
          <w:color w:val="auto"/>
          <w:sz w:val="24"/>
          <w:highlight w:val="none"/>
        </w:rPr>
      </w:pPr>
    </w:p>
    <w:p>
      <w:pPr>
        <w:jc w:val="center"/>
        <w:rPr>
          <w:rFonts w:ascii="宋体" w:hAnsi="宋体"/>
          <w:b/>
          <w:bCs/>
          <w:color w:val="auto"/>
          <w:sz w:val="24"/>
          <w:highlight w:val="none"/>
        </w:rPr>
      </w:pPr>
      <w:r>
        <w:rPr>
          <w:rFonts w:ascii="宋体" w:hAnsi="宋体"/>
          <w:b/>
          <w:bCs/>
          <w:i/>
          <w:iCs/>
          <w:color w:val="auto"/>
          <w:sz w:val="24"/>
          <w:highlight w:val="none"/>
          <w:u w:val="single"/>
        </w:rPr>
        <w:t>采购人或采购代理机构有权将以上内容进行公示</w:t>
      </w:r>
      <w:r>
        <w:rPr>
          <w:rFonts w:ascii="宋体" w:hAnsi="宋体"/>
          <w:b/>
          <w:bCs/>
          <w:color w:val="auto"/>
          <w:sz w:val="24"/>
          <w:highlight w:val="none"/>
        </w:rPr>
        <w:t>。</w:t>
      </w:r>
    </w:p>
    <w:p>
      <w:pPr>
        <w:pStyle w:val="348"/>
        <w:rPr>
          <w:rFonts w:ascii="宋体" w:hAnsi="宋体"/>
          <w:b/>
          <w:bCs/>
          <w:color w:val="auto"/>
          <w:szCs w:val="24"/>
          <w:highlight w:val="none"/>
        </w:rPr>
      </w:pPr>
    </w:p>
    <w:p>
      <w:pPr>
        <w:pStyle w:val="348"/>
        <w:rPr>
          <w:rFonts w:ascii="宋体" w:hAnsi="宋体"/>
          <w:b/>
          <w:bCs/>
          <w:color w:val="auto"/>
          <w:szCs w:val="24"/>
          <w:highlight w:val="none"/>
        </w:rPr>
      </w:pPr>
    </w:p>
    <w:p>
      <w:pPr>
        <w:pStyle w:val="348"/>
        <w:rPr>
          <w:rFonts w:ascii="宋体" w:hAnsi="宋体"/>
          <w:b/>
          <w:bCs/>
          <w:color w:val="auto"/>
          <w:szCs w:val="24"/>
          <w:highlight w:val="none"/>
        </w:rPr>
      </w:pPr>
    </w:p>
    <w:p>
      <w:pPr>
        <w:pStyle w:val="348"/>
        <w:rPr>
          <w:rFonts w:ascii="宋体" w:hAnsi="宋体"/>
          <w:b/>
          <w:bCs/>
          <w:color w:val="auto"/>
          <w:szCs w:val="24"/>
          <w:highlight w:val="none"/>
        </w:rPr>
      </w:pPr>
    </w:p>
    <w:p>
      <w:pPr>
        <w:pStyle w:val="348"/>
        <w:rPr>
          <w:rFonts w:ascii="宋体" w:hAnsi="宋体"/>
          <w:b/>
          <w:bCs/>
          <w:color w:val="auto"/>
          <w:szCs w:val="24"/>
          <w:highlight w:val="none"/>
        </w:rPr>
      </w:pPr>
    </w:p>
    <w:p>
      <w:pPr>
        <w:pStyle w:val="348"/>
        <w:rPr>
          <w:rFonts w:ascii="宋体" w:hAnsi="宋体"/>
          <w:b/>
          <w:bCs/>
          <w:color w:val="auto"/>
          <w:szCs w:val="24"/>
          <w:highlight w:val="none"/>
        </w:rPr>
      </w:pPr>
    </w:p>
    <w:p>
      <w:pPr>
        <w:pStyle w:val="348"/>
        <w:rPr>
          <w:rFonts w:ascii="宋体" w:hAnsi="宋体"/>
          <w:b/>
          <w:bCs/>
          <w:color w:val="auto"/>
          <w:szCs w:val="24"/>
          <w:highlight w:val="none"/>
        </w:rPr>
      </w:pPr>
    </w:p>
    <w:p>
      <w:pPr>
        <w:pStyle w:val="348"/>
        <w:rPr>
          <w:rFonts w:ascii="宋体" w:hAnsi="宋体"/>
          <w:b/>
          <w:bCs/>
          <w:color w:val="auto"/>
          <w:szCs w:val="24"/>
          <w:highlight w:val="none"/>
        </w:rPr>
      </w:pPr>
    </w:p>
    <w:p>
      <w:pPr>
        <w:rPr>
          <w:rFonts w:hint="eastAsia" w:ascii="宋体" w:hAnsi="宋体" w:cs="宋体"/>
          <w:b/>
          <w:bCs/>
          <w:color w:val="auto"/>
          <w:sz w:val="36"/>
          <w:highlight w:val="none"/>
        </w:rPr>
      </w:pPr>
    </w:p>
    <w:p>
      <w:pPr>
        <w:spacing w:line="360" w:lineRule="auto"/>
        <w:jc w:val="center"/>
        <w:rPr>
          <w:rFonts w:hint="eastAsia" w:ascii="宋体" w:hAnsi="宋体" w:cs="宋体"/>
          <w:b/>
          <w:bCs/>
          <w:color w:val="auto"/>
          <w:sz w:val="36"/>
          <w:highlight w:val="none"/>
        </w:rPr>
      </w:pPr>
      <w:r>
        <w:rPr>
          <w:rFonts w:hint="eastAsia" w:ascii="宋体" w:hAnsi="宋体" w:cs="宋体"/>
          <w:b/>
          <w:bCs/>
          <w:color w:val="auto"/>
          <w:sz w:val="36"/>
          <w:highlight w:val="none"/>
        </w:rPr>
        <w:t>6、</w:t>
      </w:r>
      <w:bookmarkStart w:id="14" w:name="_Hlk81985343"/>
      <w:r>
        <w:rPr>
          <w:rFonts w:hint="eastAsia" w:ascii="宋体" w:hAnsi="宋体" w:cs="宋体"/>
          <w:b/>
          <w:bCs/>
          <w:color w:val="auto"/>
          <w:sz w:val="36"/>
          <w:highlight w:val="none"/>
        </w:rPr>
        <w:t>偏离表</w:t>
      </w:r>
    </w:p>
    <w:p>
      <w:pPr>
        <w:pStyle w:val="21"/>
        <w:spacing w:before="0" w:after="0" w:line="360" w:lineRule="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项目编号：</w:t>
      </w:r>
      <w:r>
        <w:rPr>
          <w:rFonts w:hint="eastAsia" w:ascii="宋体" w:hAnsi="宋体" w:cs="宋体"/>
          <w:color w:val="auto"/>
          <w:sz w:val="24"/>
          <w:highlight w:val="none"/>
          <w:lang w:val="en-US" w:eastAsia="zh-CN"/>
        </w:rPr>
        <w:t>JSZC-320381037-ZGYZ-C2025-0004</w:t>
      </w:r>
      <w:r>
        <w:rPr>
          <w:rFonts w:hint="eastAsia" w:ascii="宋体" w:hAnsi="宋体" w:eastAsia="宋体" w:cs="宋体"/>
          <w:b w:val="0"/>
          <w:bCs w:val="0"/>
          <w:color w:val="auto"/>
          <w:sz w:val="24"/>
          <w:highlight w:val="none"/>
        </w:rPr>
        <w:t xml:space="preserve"> </w:t>
      </w:r>
    </w:p>
    <w:p>
      <w:pPr>
        <w:pStyle w:val="21"/>
        <w:spacing w:before="0" w:after="0" w:line="360" w:lineRule="auto"/>
        <w:rPr>
          <w:rFonts w:hint="eastAsia"/>
          <w:color w:val="auto"/>
          <w:highlight w:val="none"/>
        </w:rPr>
      </w:pPr>
      <w:r>
        <w:rPr>
          <w:rFonts w:hint="eastAsia" w:ascii="宋体" w:hAnsi="宋体" w:eastAsia="宋体" w:cs="宋体"/>
          <w:b w:val="0"/>
          <w:bCs w:val="0"/>
          <w:color w:val="auto"/>
          <w:sz w:val="24"/>
          <w:highlight w:val="none"/>
        </w:rPr>
        <w:t>项目名称：</w:t>
      </w:r>
    </w:p>
    <w:tbl>
      <w:tblPr>
        <w:tblStyle w:val="62"/>
        <w:tblW w:w="872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0"/>
        <w:gridCol w:w="740"/>
        <w:gridCol w:w="3685"/>
        <w:gridCol w:w="1515"/>
        <w:gridCol w:w="1230"/>
        <w:gridCol w:w="7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4" w:hRule="atLeast"/>
          <w:jc w:val="center"/>
        </w:trPr>
        <w:tc>
          <w:tcPr>
            <w:tcW w:w="780" w:type="dxa"/>
            <w:vAlign w:val="center"/>
          </w:tcPr>
          <w:p>
            <w:pPr>
              <w:jc w:val="center"/>
              <w:rPr>
                <w:rFonts w:hint="eastAsia" w:ascii="宋体" w:hAnsi="宋体" w:cs="宋体"/>
                <w:caps/>
                <w:color w:val="auto"/>
                <w:sz w:val="24"/>
                <w:highlight w:val="none"/>
              </w:rPr>
            </w:pPr>
            <w:r>
              <w:rPr>
                <w:rFonts w:hint="eastAsia" w:ascii="宋体" w:hAnsi="宋体" w:cs="宋体"/>
                <w:caps/>
                <w:color w:val="auto"/>
                <w:sz w:val="24"/>
                <w:highlight w:val="none"/>
              </w:rPr>
              <w:t>序号</w:t>
            </w:r>
          </w:p>
        </w:tc>
        <w:tc>
          <w:tcPr>
            <w:tcW w:w="740" w:type="dxa"/>
            <w:vAlign w:val="center"/>
          </w:tcPr>
          <w:p>
            <w:pPr>
              <w:jc w:val="center"/>
              <w:rPr>
                <w:rFonts w:hint="eastAsia" w:ascii="宋体" w:hAnsi="宋体" w:cs="宋体"/>
                <w:caps/>
                <w:color w:val="auto"/>
                <w:sz w:val="24"/>
                <w:highlight w:val="none"/>
              </w:rPr>
            </w:pPr>
            <w:r>
              <w:rPr>
                <w:rFonts w:hint="eastAsia" w:ascii="宋体" w:hAnsi="宋体" w:cs="宋体"/>
                <w:caps/>
                <w:color w:val="auto"/>
                <w:sz w:val="24"/>
                <w:highlight w:val="none"/>
              </w:rPr>
              <w:t>偏离内容</w:t>
            </w:r>
          </w:p>
        </w:tc>
        <w:tc>
          <w:tcPr>
            <w:tcW w:w="3685" w:type="dxa"/>
            <w:vAlign w:val="center"/>
          </w:tcPr>
          <w:p>
            <w:pPr>
              <w:jc w:val="center"/>
              <w:rPr>
                <w:rFonts w:hint="eastAsia" w:ascii="宋体" w:hAnsi="宋体" w:cs="宋体"/>
                <w:caps/>
                <w:color w:val="auto"/>
                <w:sz w:val="24"/>
                <w:highlight w:val="none"/>
              </w:rPr>
            </w:pPr>
            <w:r>
              <w:rPr>
                <w:rFonts w:hint="eastAsia" w:ascii="宋体" w:hAnsi="宋体" w:cs="宋体"/>
                <w:color w:val="auto"/>
                <w:sz w:val="24"/>
                <w:highlight w:val="none"/>
              </w:rPr>
              <w:t>竞争性磋商文件（含竞争性磋商文件的澄清或者修改）的要求</w:t>
            </w:r>
          </w:p>
        </w:tc>
        <w:tc>
          <w:tcPr>
            <w:tcW w:w="1515" w:type="dxa"/>
            <w:vAlign w:val="center"/>
          </w:tcPr>
          <w:p>
            <w:pPr>
              <w:jc w:val="center"/>
              <w:rPr>
                <w:rFonts w:hint="eastAsia" w:ascii="宋体" w:hAnsi="宋体" w:cs="宋体"/>
                <w:caps/>
                <w:color w:val="auto"/>
                <w:sz w:val="24"/>
                <w:highlight w:val="none"/>
              </w:rPr>
            </w:pPr>
            <w:r>
              <w:rPr>
                <w:rFonts w:hint="eastAsia" w:ascii="宋体" w:hAnsi="宋体" w:cs="宋体"/>
                <w:color w:val="auto"/>
                <w:sz w:val="24"/>
                <w:highlight w:val="none"/>
              </w:rPr>
              <w:t>首次响应文件中的内容</w:t>
            </w:r>
          </w:p>
        </w:tc>
        <w:tc>
          <w:tcPr>
            <w:tcW w:w="1230" w:type="dxa"/>
            <w:vAlign w:val="center"/>
          </w:tcPr>
          <w:p>
            <w:pPr>
              <w:rPr>
                <w:rFonts w:hint="eastAsia" w:ascii="宋体" w:hAnsi="宋体" w:cs="宋体"/>
                <w:caps/>
                <w:color w:val="auto"/>
                <w:sz w:val="24"/>
                <w:highlight w:val="none"/>
              </w:rPr>
            </w:pPr>
            <w:r>
              <w:rPr>
                <w:rFonts w:hint="eastAsia" w:ascii="宋体" w:hAnsi="宋体" w:cs="宋体"/>
                <w:caps/>
                <w:color w:val="auto"/>
                <w:sz w:val="24"/>
                <w:highlight w:val="none"/>
              </w:rPr>
              <w:t>（正/负/无）偏离</w:t>
            </w:r>
          </w:p>
        </w:tc>
        <w:tc>
          <w:tcPr>
            <w:tcW w:w="770" w:type="dxa"/>
            <w:vAlign w:val="center"/>
          </w:tcPr>
          <w:p>
            <w:pPr>
              <w:jc w:val="center"/>
              <w:rPr>
                <w:rFonts w:hint="eastAsia" w:ascii="宋体" w:hAnsi="宋体" w:cs="宋体"/>
                <w:caps/>
                <w:color w:val="auto"/>
                <w:sz w:val="24"/>
                <w:highlight w:val="none"/>
              </w:rPr>
            </w:pPr>
            <w:r>
              <w:rPr>
                <w:rFonts w:hint="eastAsia" w:ascii="宋体" w:hAnsi="宋体" w:cs="宋体"/>
                <w:caps/>
                <w:color w:val="auto"/>
                <w:sz w:val="24"/>
                <w:highlight w:val="none"/>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atLeast"/>
          <w:jc w:val="center"/>
        </w:trPr>
        <w:tc>
          <w:tcPr>
            <w:tcW w:w="780" w:type="dxa"/>
            <w:vAlign w:val="center"/>
          </w:tcPr>
          <w:p>
            <w:pPr>
              <w:jc w:val="center"/>
              <w:rPr>
                <w:rFonts w:hint="eastAsia" w:ascii="宋体" w:hAnsi="宋体" w:cs="宋体"/>
                <w:caps/>
                <w:color w:val="auto"/>
                <w:sz w:val="24"/>
                <w:highlight w:val="none"/>
              </w:rPr>
            </w:pPr>
          </w:p>
        </w:tc>
        <w:tc>
          <w:tcPr>
            <w:tcW w:w="740" w:type="dxa"/>
            <w:vAlign w:val="center"/>
          </w:tcPr>
          <w:p>
            <w:pPr>
              <w:jc w:val="center"/>
              <w:rPr>
                <w:rFonts w:hint="eastAsia" w:ascii="宋体" w:hAnsi="宋体" w:cs="宋体"/>
                <w:caps/>
                <w:color w:val="auto"/>
                <w:sz w:val="24"/>
                <w:highlight w:val="none"/>
              </w:rPr>
            </w:pPr>
          </w:p>
        </w:tc>
        <w:tc>
          <w:tcPr>
            <w:tcW w:w="3685" w:type="dxa"/>
            <w:vAlign w:val="center"/>
          </w:tcPr>
          <w:p>
            <w:pPr>
              <w:jc w:val="center"/>
              <w:rPr>
                <w:rFonts w:hint="eastAsia" w:ascii="宋体" w:hAnsi="宋体" w:cs="宋体"/>
                <w:caps/>
                <w:color w:val="auto"/>
                <w:sz w:val="24"/>
                <w:highlight w:val="none"/>
              </w:rPr>
            </w:pPr>
          </w:p>
        </w:tc>
        <w:tc>
          <w:tcPr>
            <w:tcW w:w="1515" w:type="dxa"/>
            <w:vAlign w:val="center"/>
          </w:tcPr>
          <w:p>
            <w:pPr>
              <w:jc w:val="center"/>
              <w:rPr>
                <w:rFonts w:hint="eastAsia" w:ascii="宋体" w:hAnsi="宋体" w:cs="宋体"/>
                <w:caps/>
                <w:color w:val="auto"/>
                <w:sz w:val="24"/>
                <w:highlight w:val="none"/>
              </w:rPr>
            </w:pPr>
          </w:p>
        </w:tc>
        <w:tc>
          <w:tcPr>
            <w:tcW w:w="1230" w:type="dxa"/>
            <w:vAlign w:val="center"/>
          </w:tcPr>
          <w:p>
            <w:pPr>
              <w:jc w:val="center"/>
              <w:rPr>
                <w:rFonts w:hint="eastAsia" w:ascii="宋体" w:hAnsi="宋体" w:cs="宋体"/>
                <w:caps/>
                <w:color w:val="auto"/>
                <w:sz w:val="24"/>
                <w:highlight w:val="none"/>
              </w:rPr>
            </w:pPr>
          </w:p>
        </w:tc>
        <w:tc>
          <w:tcPr>
            <w:tcW w:w="770" w:type="dxa"/>
            <w:vAlign w:val="center"/>
          </w:tcPr>
          <w:p>
            <w:pPr>
              <w:jc w:val="center"/>
              <w:rPr>
                <w:rFonts w:hint="eastAsia" w:ascii="宋体" w:hAnsi="宋体" w:cs="宋体"/>
                <w:caps/>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atLeast"/>
          <w:jc w:val="center"/>
        </w:trPr>
        <w:tc>
          <w:tcPr>
            <w:tcW w:w="780" w:type="dxa"/>
            <w:vAlign w:val="center"/>
          </w:tcPr>
          <w:p>
            <w:pPr>
              <w:rPr>
                <w:rFonts w:hint="eastAsia" w:ascii="宋体" w:hAnsi="宋体" w:cs="宋体"/>
                <w:color w:val="auto"/>
                <w:sz w:val="24"/>
                <w:highlight w:val="none"/>
              </w:rPr>
            </w:pPr>
          </w:p>
        </w:tc>
        <w:tc>
          <w:tcPr>
            <w:tcW w:w="740" w:type="dxa"/>
            <w:vAlign w:val="center"/>
          </w:tcPr>
          <w:p>
            <w:pPr>
              <w:rPr>
                <w:rFonts w:hint="eastAsia" w:ascii="宋体" w:hAnsi="宋体" w:cs="宋体"/>
                <w:color w:val="auto"/>
                <w:sz w:val="24"/>
                <w:highlight w:val="none"/>
              </w:rPr>
            </w:pPr>
          </w:p>
        </w:tc>
        <w:tc>
          <w:tcPr>
            <w:tcW w:w="3685" w:type="dxa"/>
            <w:vAlign w:val="center"/>
          </w:tcPr>
          <w:p>
            <w:pPr>
              <w:rPr>
                <w:rFonts w:hint="eastAsia" w:ascii="宋体" w:hAnsi="宋体" w:cs="宋体"/>
                <w:color w:val="auto"/>
                <w:sz w:val="24"/>
                <w:highlight w:val="none"/>
              </w:rPr>
            </w:pPr>
          </w:p>
        </w:tc>
        <w:tc>
          <w:tcPr>
            <w:tcW w:w="1515" w:type="dxa"/>
            <w:vAlign w:val="center"/>
          </w:tcPr>
          <w:p>
            <w:pPr>
              <w:rPr>
                <w:rFonts w:hint="eastAsia" w:ascii="宋体" w:hAnsi="宋体" w:cs="宋体"/>
                <w:color w:val="auto"/>
                <w:sz w:val="24"/>
                <w:highlight w:val="none"/>
              </w:rPr>
            </w:pPr>
          </w:p>
        </w:tc>
        <w:tc>
          <w:tcPr>
            <w:tcW w:w="1230" w:type="dxa"/>
            <w:vAlign w:val="center"/>
          </w:tcPr>
          <w:p>
            <w:pPr>
              <w:rPr>
                <w:rFonts w:hint="eastAsia" w:ascii="宋体" w:hAnsi="宋体" w:cs="宋体"/>
                <w:color w:val="auto"/>
                <w:sz w:val="24"/>
                <w:highlight w:val="none"/>
              </w:rPr>
            </w:pPr>
          </w:p>
        </w:tc>
        <w:tc>
          <w:tcPr>
            <w:tcW w:w="770" w:type="dxa"/>
            <w:vAlign w:val="center"/>
          </w:tcPr>
          <w:p>
            <w:pP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atLeast"/>
          <w:jc w:val="center"/>
        </w:trPr>
        <w:tc>
          <w:tcPr>
            <w:tcW w:w="780" w:type="dxa"/>
            <w:vAlign w:val="center"/>
          </w:tcPr>
          <w:p>
            <w:pPr>
              <w:rPr>
                <w:rFonts w:hint="eastAsia" w:ascii="宋体" w:hAnsi="宋体" w:cs="宋体"/>
                <w:color w:val="auto"/>
                <w:sz w:val="24"/>
                <w:highlight w:val="none"/>
              </w:rPr>
            </w:pPr>
          </w:p>
        </w:tc>
        <w:tc>
          <w:tcPr>
            <w:tcW w:w="740" w:type="dxa"/>
            <w:vAlign w:val="center"/>
          </w:tcPr>
          <w:p>
            <w:pPr>
              <w:rPr>
                <w:rFonts w:hint="eastAsia" w:ascii="宋体" w:hAnsi="宋体" w:cs="宋体"/>
                <w:color w:val="auto"/>
                <w:sz w:val="24"/>
                <w:highlight w:val="none"/>
              </w:rPr>
            </w:pPr>
          </w:p>
        </w:tc>
        <w:tc>
          <w:tcPr>
            <w:tcW w:w="3685" w:type="dxa"/>
            <w:vAlign w:val="center"/>
          </w:tcPr>
          <w:p>
            <w:pPr>
              <w:rPr>
                <w:rFonts w:hint="eastAsia" w:ascii="宋体" w:hAnsi="宋体" w:cs="宋体"/>
                <w:color w:val="auto"/>
                <w:sz w:val="24"/>
                <w:highlight w:val="none"/>
              </w:rPr>
            </w:pPr>
          </w:p>
        </w:tc>
        <w:tc>
          <w:tcPr>
            <w:tcW w:w="1515" w:type="dxa"/>
            <w:vAlign w:val="center"/>
          </w:tcPr>
          <w:p>
            <w:pPr>
              <w:rPr>
                <w:rFonts w:hint="eastAsia" w:ascii="宋体" w:hAnsi="宋体" w:cs="宋体"/>
                <w:color w:val="auto"/>
                <w:sz w:val="24"/>
                <w:highlight w:val="none"/>
              </w:rPr>
            </w:pPr>
          </w:p>
        </w:tc>
        <w:tc>
          <w:tcPr>
            <w:tcW w:w="1230" w:type="dxa"/>
            <w:vAlign w:val="center"/>
          </w:tcPr>
          <w:p>
            <w:pPr>
              <w:rPr>
                <w:rFonts w:hint="eastAsia" w:ascii="宋体" w:hAnsi="宋体" w:cs="宋体"/>
                <w:color w:val="auto"/>
                <w:sz w:val="24"/>
                <w:highlight w:val="none"/>
              </w:rPr>
            </w:pPr>
          </w:p>
        </w:tc>
        <w:tc>
          <w:tcPr>
            <w:tcW w:w="770" w:type="dxa"/>
            <w:vAlign w:val="center"/>
          </w:tcPr>
          <w:p>
            <w:pP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atLeast"/>
          <w:jc w:val="center"/>
        </w:trPr>
        <w:tc>
          <w:tcPr>
            <w:tcW w:w="780" w:type="dxa"/>
            <w:vAlign w:val="center"/>
          </w:tcPr>
          <w:p>
            <w:pPr>
              <w:rPr>
                <w:rFonts w:hint="eastAsia" w:ascii="宋体" w:hAnsi="宋体" w:cs="宋体"/>
                <w:color w:val="auto"/>
                <w:sz w:val="24"/>
                <w:highlight w:val="none"/>
              </w:rPr>
            </w:pPr>
          </w:p>
        </w:tc>
        <w:tc>
          <w:tcPr>
            <w:tcW w:w="740" w:type="dxa"/>
            <w:vAlign w:val="center"/>
          </w:tcPr>
          <w:p>
            <w:pPr>
              <w:rPr>
                <w:rFonts w:hint="eastAsia" w:ascii="宋体" w:hAnsi="宋体" w:cs="宋体"/>
                <w:color w:val="auto"/>
                <w:sz w:val="24"/>
                <w:highlight w:val="none"/>
              </w:rPr>
            </w:pPr>
          </w:p>
        </w:tc>
        <w:tc>
          <w:tcPr>
            <w:tcW w:w="3685" w:type="dxa"/>
            <w:vAlign w:val="center"/>
          </w:tcPr>
          <w:p>
            <w:pPr>
              <w:rPr>
                <w:rFonts w:hint="eastAsia" w:ascii="宋体" w:hAnsi="宋体" w:cs="宋体"/>
                <w:color w:val="auto"/>
                <w:sz w:val="24"/>
                <w:highlight w:val="none"/>
              </w:rPr>
            </w:pPr>
          </w:p>
        </w:tc>
        <w:tc>
          <w:tcPr>
            <w:tcW w:w="1515" w:type="dxa"/>
            <w:vAlign w:val="center"/>
          </w:tcPr>
          <w:p>
            <w:pPr>
              <w:rPr>
                <w:rFonts w:hint="eastAsia" w:ascii="宋体" w:hAnsi="宋体" w:cs="宋体"/>
                <w:color w:val="auto"/>
                <w:sz w:val="24"/>
                <w:highlight w:val="none"/>
              </w:rPr>
            </w:pPr>
          </w:p>
        </w:tc>
        <w:tc>
          <w:tcPr>
            <w:tcW w:w="1230" w:type="dxa"/>
            <w:vAlign w:val="center"/>
          </w:tcPr>
          <w:p>
            <w:pPr>
              <w:rPr>
                <w:rFonts w:hint="eastAsia" w:ascii="宋体" w:hAnsi="宋体" w:cs="宋体"/>
                <w:color w:val="auto"/>
                <w:sz w:val="24"/>
                <w:highlight w:val="none"/>
              </w:rPr>
            </w:pPr>
          </w:p>
        </w:tc>
        <w:tc>
          <w:tcPr>
            <w:tcW w:w="770" w:type="dxa"/>
            <w:vAlign w:val="center"/>
          </w:tcPr>
          <w:p>
            <w:pP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atLeast"/>
          <w:jc w:val="center"/>
        </w:trPr>
        <w:tc>
          <w:tcPr>
            <w:tcW w:w="780" w:type="dxa"/>
            <w:vAlign w:val="center"/>
          </w:tcPr>
          <w:p>
            <w:pPr>
              <w:rPr>
                <w:rFonts w:hint="eastAsia" w:ascii="宋体" w:hAnsi="宋体" w:cs="宋体"/>
                <w:color w:val="auto"/>
                <w:sz w:val="24"/>
                <w:highlight w:val="none"/>
              </w:rPr>
            </w:pPr>
          </w:p>
        </w:tc>
        <w:tc>
          <w:tcPr>
            <w:tcW w:w="740" w:type="dxa"/>
            <w:vAlign w:val="center"/>
          </w:tcPr>
          <w:p>
            <w:pPr>
              <w:rPr>
                <w:rFonts w:hint="eastAsia" w:ascii="宋体" w:hAnsi="宋体" w:cs="宋体"/>
                <w:color w:val="auto"/>
                <w:sz w:val="24"/>
                <w:highlight w:val="none"/>
              </w:rPr>
            </w:pPr>
          </w:p>
        </w:tc>
        <w:tc>
          <w:tcPr>
            <w:tcW w:w="3685" w:type="dxa"/>
            <w:vAlign w:val="center"/>
          </w:tcPr>
          <w:p>
            <w:pPr>
              <w:rPr>
                <w:rFonts w:hint="eastAsia" w:ascii="宋体" w:hAnsi="宋体" w:cs="宋体"/>
                <w:color w:val="auto"/>
                <w:sz w:val="24"/>
                <w:highlight w:val="none"/>
              </w:rPr>
            </w:pPr>
          </w:p>
        </w:tc>
        <w:tc>
          <w:tcPr>
            <w:tcW w:w="1515" w:type="dxa"/>
            <w:vAlign w:val="center"/>
          </w:tcPr>
          <w:p>
            <w:pPr>
              <w:rPr>
                <w:rFonts w:hint="eastAsia" w:ascii="宋体" w:hAnsi="宋体" w:cs="宋体"/>
                <w:color w:val="auto"/>
                <w:sz w:val="24"/>
                <w:highlight w:val="none"/>
              </w:rPr>
            </w:pPr>
          </w:p>
        </w:tc>
        <w:tc>
          <w:tcPr>
            <w:tcW w:w="1230" w:type="dxa"/>
            <w:vAlign w:val="center"/>
          </w:tcPr>
          <w:p>
            <w:pPr>
              <w:rPr>
                <w:rFonts w:hint="eastAsia" w:ascii="宋体" w:hAnsi="宋体" w:cs="宋体"/>
                <w:color w:val="auto"/>
                <w:sz w:val="24"/>
                <w:highlight w:val="none"/>
              </w:rPr>
            </w:pPr>
          </w:p>
        </w:tc>
        <w:tc>
          <w:tcPr>
            <w:tcW w:w="770" w:type="dxa"/>
            <w:vAlign w:val="center"/>
          </w:tcPr>
          <w:p>
            <w:pP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atLeast"/>
          <w:jc w:val="center"/>
        </w:trPr>
        <w:tc>
          <w:tcPr>
            <w:tcW w:w="780" w:type="dxa"/>
            <w:vAlign w:val="center"/>
          </w:tcPr>
          <w:p>
            <w:pPr>
              <w:rPr>
                <w:rFonts w:hint="eastAsia" w:ascii="宋体" w:hAnsi="宋体" w:cs="宋体"/>
                <w:color w:val="auto"/>
                <w:sz w:val="24"/>
                <w:highlight w:val="none"/>
              </w:rPr>
            </w:pPr>
          </w:p>
        </w:tc>
        <w:tc>
          <w:tcPr>
            <w:tcW w:w="740" w:type="dxa"/>
            <w:vAlign w:val="center"/>
          </w:tcPr>
          <w:p>
            <w:pPr>
              <w:rPr>
                <w:rFonts w:hint="eastAsia" w:ascii="宋体" w:hAnsi="宋体" w:cs="宋体"/>
                <w:color w:val="auto"/>
                <w:sz w:val="24"/>
                <w:highlight w:val="none"/>
              </w:rPr>
            </w:pPr>
          </w:p>
        </w:tc>
        <w:tc>
          <w:tcPr>
            <w:tcW w:w="3685" w:type="dxa"/>
            <w:vAlign w:val="center"/>
          </w:tcPr>
          <w:p>
            <w:pPr>
              <w:rPr>
                <w:rFonts w:hint="eastAsia" w:ascii="宋体" w:hAnsi="宋体" w:cs="宋体"/>
                <w:color w:val="auto"/>
                <w:sz w:val="24"/>
                <w:highlight w:val="none"/>
              </w:rPr>
            </w:pPr>
          </w:p>
        </w:tc>
        <w:tc>
          <w:tcPr>
            <w:tcW w:w="1515" w:type="dxa"/>
            <w:vAlign w:val="center"/>
          </w:tcPr>
          <w:p>
            <w:pPr>
              <w:rPr>
                <w:rFonts w:hint="eastAsia" w:ascii="宋体" w:hAnsi="宋体" w:cs="宋体"/>
                <w:color w:val="auto"/>
                <w:sz w:val="24"/>
                <w:highlight w:val="none"/>
              </w:rPr>
            </w:pPr>
          </w:p>
        </w:tc>
        <w:tc>
          <w:tcPr>
            <w:tcW w:w="1230" w:type="dxa"/>
            <w:vAlign w:val="center"/>
          </w:tcPr>
          <w:p>
            <w:pPr>
              <w:rPr>
                <w:rFonts w:hint="eastAsia" w:ascii="宋体" w:hAnsi="宋体" w:cs="宋体"/>
                <w:color w:val="auto"/>
                <w:sz w:val="24"/>
                <w:highlight w:val="none"/>
              </w:rPr>
            </w:pPr>
          </w:p>
        </w:tc>
        <w:tc>
          <w:tcPr>
            <w:tcW w:w="770" w:type="dxa"/>
            <w:vAlign w:val="center"/>
          </w:tcPr>
          <w:p>
            <w:pP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atLeast"/>
          <w:jc w:val="center"/>
        </w:trPr>
        <w:tc>
          <w:tcPr>
            <w:tcW w:w="780" w:type="dxa"/>
            <w:vAlign w:val="center"/>
          </w:tcPr>
          <w:p>
            <w:pPr>
              <w:rPr>
                <w:rFonts w:hint="eastAsia" w:ascii="宋体" w:hAnsi="宋体" w:cs="宋体"/>
                <w:color w:val="auto"/>
                <w:sz w:val="24"/>
                <w:highlight w:val="none"/>
              </w:rPr>
            </w:pPr>
          </w:p>
        </w:tc>
        <w:tc>
          <w:tcPr>
            <w:tcW w:w="740" w:type="dxa"/>
            <w:vAlign w:val="center"/>
          </w:tcPr>
          <w:p>
            <w:pPr>
              <w:rPr>
                <w:rFonts w:hint="eastAsia" w:ascii="宋体" w:hAnsi="宋体" w:cs="宋体"/>
                <w:color w:val="auto"/>
                <w:sz w:val="24"/>
                <w:highlight w:val="none"/>
              </w:rPr>
            </w:pPr>
          </w:p>
        </w:tc>
        <w:tc>
          <w:tcPr>
            <w:tcW w:w="3685" w:type="dxa"/>
            <w:vAlign w:val="center"/>
          </w:tcPr>
          <w:p>
            <w:pPr>
              <w:rPr>
                <w:rFonts w:hint="eastAsia" w:ascii="宋体" w:hAnsi="宋体" w:cs="宋体"/>
                <w:color w:val="auto"/>
                <w:sz w:val="24"/>
                <w:highlight w:val="none"/>
              </w:rPr>
            </w:pPr>
          </w:p>
        </w:tc>
        <w:tc>
          <w:tcPr>
            <w:tcW w:w="1515" w:type="dxa"/>
            <w:vAlign w:val="center"/>
          </w:tcPr>
          <w:p>
            <w:pPr>
              <w:rPr>
                <w:rFonts w:hint="eastAsia" w:ascii="宋体" w:hAnsi="宋体" w:cs="宋体"/>
                <w:color w:val="auto"/>
                <w:sz w:val="24"/>
                <w:highlight w:val="none"/>
              </w:rPr>
            </w:pPr>
          </w:p>
        </w:tc>
        <w:tc>
          <w:tcPr>
            <w:tcW w:w="1230" w:type="dxa"/>
            <w:vAlign w:val="center"/>
          </w:tcPr>
          <w:p>
            <w:pPr>
              <w:rPr>
                <w:rFonts w:hint="eastAsia" w:ascii="宋体" w:hAnsi="宋体" w:cs="宋体"/>
                <w:color w:val="auto"/>
                <w:sz w:val="24"/>
                <w:highlight w:val="none"/>
              </w:rPr>
            </w:pPr>
          </w:p>
        </w:tc>
        <w:tc>
          <w:tcPr>
            <w:tcW w:w="770" w:type="dxa"/>
            <w:vAlign w:val="center"/>
          </w:tcPr>
          <w:p>
            <w:pP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atLeast"/>
          <w:jc w:val="center"/>
        </w:trPr>
        <w:tc>
          <w:tcPr>
            <w:tcW w:w="780" w:type="dxa"/>
            <w:vAlign w:val="center"/>
          </w:tcPr>
          <w:p>
            <w:pPr>
              <w:rPr>
                <w:rFonts w:hint="eastAsia" w:ascii="宋体" w:hAnsi="宋体" w:cs="宋体"/>
                <w:color w:val="auto"/>
                <w:sz w:val="24"/>
                <w:highlight w:val="none"/>
              </w:rPr>
            </w:pPr>
          </w:p>
        </w:tc>
        <w:tc>
          <w:tcPr>
            <w:tcW w:w="740" w:type="dxa"/>
            <w:vAlign w:val="center"/>
          </w:tcPr>
          <w:p>
            <w:pPr>
              <w:rPr>
                <w:rFonts w:hint="eastAsia" w:ascii="宋体" w:hAnsi="宋体" w:cs="宋体"/>
                <w:color w:val="auto"/>
                <w:sz w:val="24"/>
                <w:highlight w:val="none"/>
              </w:rPr>
            </w:pPr>
          </w:p>
        </w:tc>
        <w:tc>
          <w:tcPr>
            <w:tcW w:w="3685" w:type="dxa"/>
            <w:vAlign w:val="center"/>
          </w:tcPr>
          <w:p>
            <w:pPr>
              <w:rPr>
                <w:rFonts w:hint="eastAsia" w:ascii="宋体" w:hAnsi="宋体" w:cs="宋体"/>
                <w:color w:val="auto"/>
                <w:sz w:val="24"/>
                <w:highlight w:val="none"/>
              </w:rPr>
            </w:pPr>
          </w:p>
        </w:tc>
        <w:tc>
          <w:tcPr>
            <w:tcW w:w="1515" w:type="dxa"/>
            <w:vAlign w:val="center"/>
          </w:tcPr>
          <w:p>
            <w:pPr>
              <w:rPr>
                <w:rFonts w:hint="eastAsia" w:ascii="宋体" w:hAnsi="宋体" w:cs="宋体"/>
                <w:color w:val="auto"/>
                <w:sz w:val="24"/>
                <w:highlight w:val="none"/>
              </w:rPr>
            </w:pPr>
          </w:p>
        </w:tc>
        <w:tc>
          <w:tcPr>
            <w:tcW w:w="1230" w:type="dxa"/>
            <w:vAlign w:val="center"/>
          </w:tcPr>
          <w:p>
            <w:pPr>
              <w:rPr>
                <w:rFonts w:hint="eastAsia" w:ascii="宋体" w:hAnsi="宋体" w:cs="宋体"/>
                <w:color w:val="auto"/>
                <w:sz w:val="24"/>
                <w:highlight w:val="none"/>
              </w:rPr>
            </w:pPr>
          </w:p>
        </w:tc>
        <w:tc>
          <w:tcPr>
            <w:tcW w:w="770" w:type="dxa"/>
            <w:vAlign w:val="center"/>
          </w:tcPr>
          <w:p>
            <w:pP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atLeast"/>
          <w:jc w:val="center"/>
        </w:trPr>
        <w:tc>
          <w:tcPr>
            <w:tcW w:w="780" w:type="dxa"/>
            <w:vAlign w:val="center"/>
          </w:tcPr>
          <w:p>
            <w:pPr>
              <w:rPr>
                <w:rFonts w:hint="eastAsia" w:ascii="宋体" w:hAnsi="宋体" w:cs="宋体"/>
                <w:color w:val="auto"/>
                <w:sz w:val="24"/>
                <w:highlight w:val="none"/>
              </w:rPr>
            </w:pPr>
          </w:p>
        </w:tc>
        <w:tc>
          <w:tcPr>
            <w:tcW w:w="740" w:type="dxa"/>
            <w:vAlign w:val="center"/>
          </w:tcPr>
          <w:p>
            <w:pPr>
              <w:rPr>
                <w:rFonts w:hint="eastAsia" w:ascii="宋体" w:hAnsi="宋体" w:cs="宋体"/>
                <w:color w:val="auto"/>
                <w:sz w:val="24"/>
                <w:highlight w:val="none"/>
              </w:rPr>
            </w:pPr>
          </w:p>
        </w:tc>
        <w:tc>
          <w:tcPr>
            <w:tcW w:w="3685" w:type="dxa"/>
            <w:vAlign w:val="center"/>
          </w:tcPr>
          <w:p>
            <w:pPr>
              <w:rPr>
                <w:rFonts w:hint="eastAsia" w:ascii="宋体" w:hAnsi="宋体" w:cs="宋体"/>
                <w:color w:val="auto"/>
                <w:sz w:val="24"/>
                <w:highlight w:val="none"/>
              </w:rPr>
            </w:pPr>
          </w:p>
        </w:tc>
        <w:tc>
          <w:tcPr>
            <w:tcW w:w="1515" w:type="dxa"/>
            <w:vAlign w:val="center"/>
          </w:tcPr>
          <w:p>
            <w:pPr>
              <w:rPr>
                <w:rFonts w:hint="eastAsia" w:ascii="宋体" w:hAnsi="宋体" w:cs="宋体"/>
                <w:color w:val="auto"/>
                <w:sz w:val="24"/>
                <w:highlight w:val="none"/>
              </w:rPr>
            </w:pPr>
          </w:p>
        </w:tc>
        <w:tc>
          <w:tcPr>
            <w:tcW w:w="1230" w:type="dxa"/>
            <w:vAlign w:val="center"/>
          </w:tcPr>
          <w:p>
            <w:pPr>
              <w:rPr>
                <w:rFonts w:hint="eastAsia" w:ascii="宋体" w:hAnsi="宋体" w:cs="宋体"/>
                <w:color w:val="auto"/>
                <w:sz w:val="24"/>
                <w:highlight w:val="none"/>
              </w:rPr>
            </w:pPr>
          </w:p>
        </w:tc>
        <w:tc>
          <w:tcPr>
            <w:tcW w:w="770" w:type="dxa"/>
            <w:vAlign w:val="center"/>
          </w:tcPr>
          <w:p>
            <w:pPr>
              <w:rPr>
                <w:rFonts w:hint="eastAsia" w:ascii="宋体" w:hAnsi="宋体" w:cs="宋体"/>
                <w:color w:val="auto"/>
                <w:sz w:val="24"/>
                <w:highlight w:val="none"/>
              </w:rPr>
            </w:pPr>
          </w:p>
        </w:tc>
      </w:tr>
    </w:tbl>
    <w:p>
      <w:pPr>
        <w:rPr>
          <w:rFonts w:hint="eastAsia" w:ascii="宋体" w:hAnsi="宋体" w:cs="宋体"/>
          <w:color w:val="auto"/>
          <w:sz w:val="24"/>
          <w:highlight w:val="none"/>
          <w:u w:val="singl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注：供应商的首次响应文件中的内容与竞争性磋商文件（含竞争性磋商文件的澄清或者修改，下同）的要求不同时，逐条列在偏离表中，否则将认为供应商接受竞争性磋商文件的要求</w:t>
      </w:r>
      <w:r>
        <w:rPr>
          <w:rFonts w:hint="eastAsia" w:ascii="宋体" w:hAnsi="宋体" w:cs="宋体"/>
          <w:color w:val="auto"/>
          <w:sz w:val="24"/>
          <w:highlight w:val="none"/>
        </w:rPr>
        <w:t>。</w:t>
      </w:r>
    </w:p>
    <w:p>
      <w:pPr>
        <w:spacing w:line="360" w:lineRule="auto"/>
        <w:ind w:right="29"/>
        <w:rPr>
          <w:rFonts w:hint="eastAsia" w:ascii="宋体" w:hAnsi="宋体" w:cs="宋体"/>
          <w:color w:val="auto"/>
          <w:sz w:val="24"/>
          <w:highlight w:val="none"/>
        </w:rPr>
      </w:pPr>
      <w:r>
        <w:rPr>
          <w:rFonts w:hint="eastAsia" w:ascii="宋体" w:hAnsi="宋体" w:cs="宋体"/>
          <w:color w:val="auto"/>
          <w:sz w:val="24"/>
          <w:highlight w:val="none"/>
        </w:rPr>
        <w:t xml:space="preserve">                       供应商（电子签章）：</w:t>
      </w:r>
    </w:p>
    <w:p>
      <w:pPr>
        <w:spacing w:line="360" w:lineRule="auto"/>
        <w:ind w:right="29"/>
        <w:rPr>
          <w:rFonts w:hint="eastAsia" w:ascii="宋体" w:hAnsi="宋体" w:cs="宋体"/>
          <w:color w:val="auto"/>
          <w:sz w:val="24"/>
          <w:highlight w:val="none"/>
        </w:rPr>
      </w:pPr>
      <w:r>
        <w:rPr>
          <w:rFonts w:hint="eastAsia" w:ascii="宋体" w:hAnsi="宋体" w:cs="宋体"/>
          <w:color w:val="auto"/>
          <w:sz w:val="24"/>
          <w:highlight w:val="none"/>
        </w:rPr>
        <w:t xml:space="preserve">                       法定代表人（负责人)或授权代表（签字或盖章）： </w:t>
      </w:r>
    </w:p>
    <w:p>
      <w:pPr>
        <w:spacing w:line="360" w:lineRule="auto"/>
        <w:ind w:right="29" w:firstLine="2880"/>
        <w:rPr>
          <w:rFonts w:hint="eastAsia" w:ascii="宋体" w:hAnsi="宋体" w:cs="宋体"/>
          <w:color w:val="auto"/>
          <w:sz w:val="24"/>
          <w:highlight w:val="none"/>
        </w:rPr>
      </w:pPr>
      <w:r>
        <w:rPr>
          <w:rFonts w:hint="eastAsia" w:ascii="宋体" w:hAnsi="宋体" w:cs="宋体"/>
          <w:color w:val="auto"/>
          <w:sz w:val="24"/>
          <w:highlight w:val="none"/>
        </w:rPr>
        <w:t>日期：</w:t>
      </w:r>
      <w:bookmarkEnd w:id="14"/>
    </w:p>
    <w:p>
      <w:pPr>
        <w:pStyle w:val="348"/>
        <w:rPr>
          <w:rFonts w:hint="eastAsia"/>
          <w:color w:val="auto"/>
          <w:highlight w:val="none"/>
        </w:rPr>
      </w:pPr>
    </w:p>
    <w:p>
      <w:pPr>
        <w:spacing w:line="360" w:lineRule="auto"/>
        <w:ind w:right="29"/>
        <w:jc w:val="center"/>
        <w:rPr>
          <w:rFonts w:hint="eastAsia" w:ascii="宋体" w:hAnsi="宋体" w:cs="宋体"/>
          <w:color w:val="auto"/>
          <w:sz w:val="24"/>
          <w:highlight w:val="none"/>
        </w:rPr>
      </w:pPr>
      <w:r>
        <w:rPr>
          <w:rFonts w:hint="eastAsia" w:ascii="宋体" w:hAnsi="宋体" w:cs="宋体"/>
          <w:b/>
          <w:color w:val="auto"/>
          <w:sz w:val="36"/>
          <w:highlight w:val="none"/>
        </w:rPr>
        <w:br w:type="page" w:clear="all"/>
      </w:r>
      <w:r>
        <w:rPr>
          <w:rFonts w:hint="eastAsia" w:ascii="宋体" w:hAnsi="宋体" w:cs="宋体"/>
          <w:b/>
          <w:color w:val="auto"/>
          <w:sz w:val="36"/>
          <w:highlight w:val="none"/>
        </w:rPr>
        <w:t>7、合同草案条款</w:t>
      </w:r>
    </w:p>
    <w:p>
      <w:pPr>
        <w:spacing w:line="360" w:lineRule="auto"/>
        <w:ind w:firstLine="482"/>
        <w:jc w:val="center"/>
        <w:rPr>
          <w:rFonts w:hint="eastAsia" w:ascii="宋体" w:hAnsi="宋体" w:cs="宋体"/>
          <w:b/>
          <w:color w:val="auto"/>
          <w:sz w:val="24"/>
          <w:highlight w:val="none"/>
        </w:rPr>
      </w:pPr>
      <w:bookmarkStart w:id="15" w:name="_Toc65317831"/>
      <w:r>
        <w:rPr>
          <w:rFonts w:hint="eastAsia" w:ascii="宋体" w:hAnsi="宋体" w:cs="宋体"/>
          <w:b/>
          <w:color w:val="auto"/>
          <w:sz w:val="24"/>
          <w:highlight w:val="none"/>
        </w:rPr>
        <w:t>（以采购人与成交供应商最终签订版本为准）</w:t>
      </w:r>
    </w:p>
    <w:p>
      <w:pPr>
        <w:widowControl/>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p>
    <w:p>
      <w:pPr>
        <w:widowControl/>
        <w:spacing w:line="360" w:lineRule="auto"/>
        <w:rPr>
          <w:rFonts w:hint="eastAsia" w:ascii="宋体" w:hAnsi="宋体" w:cs="宋体"/>
          <w:color w:val="auto"/>
          <w:sz w:val="24"/>
          <w:highlight w:val="none"/>
        </w:rPr>
      </w:pPr>
      <w:r>
        <w:rPr>
          <w:rFonts w:hint="eastAsia" w:ascii="宋体" w:hAnsi="宋体" w:cs="宋体"/>
          <w:color w:val="auto"/>
          <w:sz w:val="24"/>
          <w:highlight w:val="none"/>
        </w:rPr>
        <w:t>项目编号：</w:t>
      </w:r>
    </w:p>
    <w:p>
      <w:pPr>
        <w:pStyle w:val="157"/>
        <w:jc w:val="center"/>
        <w:rPr>
          <w:rFonts w:hint="eastAsia" w:ascii="宋体" w:hAnsi="宋体" w:cs="宋体"/>
          <w:color w:val="auto"/>
          <w:sz w:val="72"/>
          <w:szCs w:val="72"/>
          <w:highlight w:val="none"/>
        </w:rPr>
      </w:pPr>
      <w:r>
        <w:rPr>
          <w:rFonts w:hint="eastAsia" w:ascii="宋体" w:hAnsi="宋体" w:cs="宋体"/>
          <w:color w:val="auto"/>
          <w:sz w:val="72"/>
          <w:szCs w:val="72"/>
          <w:highlight w:val="none"/>
        </w:rPr>
        <w:t>政</w:t>
      </w:r>
    </w:p>
    <w:p>
      <w:pPr>
        <w:pStyle w:val="157"/>
        <w:jc w:val="center"/>
        <w:rPr>
          <w:rFonts w:hint="eastAsia" w:ascii="宋体" w:hAnsi="宋体" w:cs="宋体"/>
          <w:color w:val="auto"/>
          <w:sz w:val="72"/>
          <w:szCs w:val="72"/>
          <w:highlight w:val="none"/>
        </w:rPr>
      </w:pPr>
      <w:r>
        <w:rPr>
          <w:rFonts w:hint="eastAsia" w:ascii="宋体" w:hAnsi="宋体" w:cs="宋体"/>
          <w:color w:val="auto"/>
          <w:sz w:val="72"/>
          <w:szCs w:val="72"/>
          <w:highlight w:val="none"/>
        </w:rPr>
        <w:t>府</w:t>
      </w:r>
    </w:p>
    <w:p>
      <w:pPr>
        <w:pStyle w:val="157"/>
        <w:jc w:val="center"/>
        <w:rPr>
          <w:rFonts w:hint="eastAsia" w:ascii="宋体" w:hAnsi="宋体" w:cs="宋体"/>
          <w:color w:val="auto"/>
          <w:sz w:val="72"/>
          <w:szCs w:val="72"/>
          <w:highlight w:val="none"/>
        </w:rPr>
      </w:pPr>
      <w:r>
        <w:rPr>
          <w:rFonts w:hint="eastAsia" w:ascii="宋体" w:hAnsi="宋体" w:cs="宋体"/>
          <w:color w:val="auto"/>
          <w:sz w:val="72"/>
          <w:szCs w:val="72"/>
          <w:highlight w:val="none"/>
        </w:rPr>
        <w:t>采</w:t>
      </w:r>
    </w:p>
    <w:p>
      <w:pPr>
        <w:pStyle w:val="157"/>
        <w:jc w:val="center"/>
        <w:rPr>
          <w:rFonts w:hint="eastAsia" w:ascii="宋体" w:hAnsi="宋体" w:cs="宋体"/>
          <w:color w:val="auto"/>
          <w:sz w:val="72"/>
          <w:szCs w:val="72"/>
          <w:highlight w:val="none"/>
        </w:rPr>
      </w:pPr>
      <w:r>
        <w:rPr>
          <w:rFonts w:hint="eastAsia" w:ascii="宋体" w:hAnsi="宋体" w:cs="宋体"/>
          <w:color w:val="auto"/>
          <w:sz w:val="72"/>
          <w:szCs w:val="72"/>
          <w:highlight w:val="none"/>
        </w:rPr>
        <w:t>购</w:t>
      </w:r>
    </w:p>
    <w:p>
      <w:pPr>
        <w:pStyle w:val="157"/>
        <w:jc w:val="center"/>
        <w:rPr>
          <w:rFonts w:hint="eastAsia" w:ascii="宋体" w:hAnsi="宋体" w:cs="宋体"/>
          <w:color w:val="auto"/>
          <w:sz w:val="72"/>
          <w:szCs w:val="72"/>
          <w:highlight w:val="none"/>
        </w:rPr>
      </w:pPr>
      <w:r>
        <w:rPr>
          <w:rFonts w:hint="eastAsia" w:ascii="宋体" w:hAnsi="宋体" w:cs="宋体"/>
          <w:color w:val="auto"/>
          <w:sz w:val="72"/>
          <w:szCs w:val="72"/>
          <w:highlight w:val="none"/>
        </w:rPr>
        <w:t>合</w:t>
      </w:r>
    </w:p>
    <w:p>
      <w:pPr>
        <w:pStyle w:val="157"/>
        <w:jc w:val="center"/>
        <w:rPr>
          <w:rFonts w:hint="eastAsia" w:ascii="宋体" w:hAnsi="宋体" w:cs="宋体"/>
          <w:color w:val="auto"/>
          <w:sz w:val="24"/>
          <w:highlight w:val="none"/>
        </w:rPr>
      </w:pPr>
      <w:r>
        <w:rPr>
          <w:rFonts w:hint="eastAsia" w:ascii="宋体" w:hAnsi="宋体" w:cs="宋体"/>
          <w:color w:val="auto"/>
          <w:sz w:val="72"/>
          <w:szCs w:val="72"/>
          <w:highlight w:val="none"/>
        </w:rPr>
        <w:t>同</w:t>
      </w:r>
    </w:p>
    <w:p>
      <w:pPr>
        <w:widowControl/>
        <w:spacing w:line="360" w:lineRule="auto"/>
        <w:ind w:firstLine="360"/>
        <w:rPr>
          <w:rFonts w:hint="eastAsia" w:ascii="宋体" w:hAnsi="宋体" w:cs="宋体"/>
          <w:color w:val="auto"/>
          <w:sz w:val="24"/>
          <w:highlight w:val="none"/>
        </w:rPr>
      </w:pPr>
    </w:p>
    <w:p>
      <w:pPr>
        <w:widowControl/>
        <w:spacing w:line="360" w:lineRule="auto"/>
        <w:ind w:firstLine="1320"/>
        <w:rPr>
          <w:rFonts w:hint="eastAsia" w:ascii="宋体" w:hAnsi="宋体" w:eastAsia="宋体" w:cs="宋体"/>
          <w:color w:val="auto"/>
          <w:sz w:val="24"/>
          <w:highlight w:val="none"/>
          <w:lang w:eastAsia="zh-CN"/>
        </w:rPr>
      </w:pPr>
      <w:r>
        <w:rPr>
          <w:rFonts w:hint="eastAsia" w:ascii="宋体" w:hAnsi="宋体" w:cs="宋体"/>
          <w:color w:val="auto"/>
          <w:sz w:val="24"/>
          <w:highlight w:val="none"/>
        </w:rPr>
        <w:t>采  购  人：</w:t>
      </w:r>
    </w:p>
    <w:p>
      <w:pPr>
        <w:widowControl/>
        <w:spacing w:line="360" w:lineRule="auto"/>
        <w:ind w:firstLine="1320"/>
        <w:rPr>
          <w:rFonts w:hint="eastAsia" w:ascii="宋体" w:hAnsi="宋体" w:cs="宋体"/>
          <w:color w:val="auto"/>
          <w:sz w:val="24"/>
          <w:highlight w:val="none"/>
        </w:rPr>
      </w:pPr>
      <w:r>
        <w:rPr>
          <w:rFonts w:hint="eastAsia" w:ascii="宋体" w:hAnsi="宋体" w:cs="宋体"/>
          <w:color w:val="auto"/>
          <w:sz w:val="24"/>
          <w:highlight w:val="none"/>
        </w:rPr>
        <w:t>成交供应商：</w:t>
      </w:r>
    </w:p>
    <w:p>
      <w:pPr>
        <w:widowControl/>
        <w:spacing w:line="360" w:lineRule="auto"/>
        <w:ind w:firstLine="1320"/>
        <w:rPr>
          <w:rFonts w:hint="eastAsia" w:ascii="宋体" w:hAnsi="宋体" w:cs="宋体"/>
          <w:color w:val="auto"/>
          <w:sz w:val="24"/>
          <w:highlight w:val="none"/>
        </w:rPr>
      </w:pPr>
      <w:r>
        <w:rPr>
          <w:rFonts w:hint="eastAsia" w:ascii="宋体" w:hAnsi="宋体" w:cs="宋体"/>
          <w:color w:val="auto"/>
          <w:sz w:val="24"/>
          <w:highlight w:val="none"/>
        </w:rPr>
        <w:t>合同签订日期：     年     月     日</w:t>
      </w:r>
    </w:p>
    <w:p>
      <w:pPr>
        <w:pStyle w:val="26"/>
        <w:spacing w:line="360" w:lineRule="auto"/>
        <w:ind w:firstLine="480"/>
        <w:rPr>
          <w:rFonts w:hint="eastAsia" w:ascii="宋体" w:hAnsi="宋体" w:cs="宋体"/>
          <w:b/>
          <w:color w:val="auto"/>
          <w:sz w:val="24"/>
          <w:szCs w:val="24"/>
          <w:highlight w:val="none"/>
        </w:rPr>
      </w:pPr>
      <w:r>
        <w:rPr>
          <w:rFonts w:hint="eastAsia" w:ascii="宋体" w:hAnsi="宋体" w:cs="宋体"/>
          <w:bCs/>
          <w:color w:val="auto"/>
          <w:sz w:val="24"/>
          <w:szCs w:val="24"/>
          <w:highlight w:val="none"/>
        </w:rPr>
        <w:t>友情提醒：采购人与中标、成交供应商应当在中标、成交通知书发出之日起</w:t>
      </w:r>
      <w:r>
        <w:rPr>
          <w:rFonts w:hint="eastAsia" w:ascii="宋体" w:hAnsi="宋体" w:eastAsia="宋体" w:cs="宋体"/>
          <w:bCs/>
          <w:color w:val="auto"/>
          <w:sz w:val="24"/>
          <w:szCs w:val="24"/>
          <w:highlight w:val="none"/>
          <w:lang w:val="en-US" w:eastAsia="zh-CN"/>
        </w:rPr>
        <w:t>30</w:t>
      </w:r>
      <w:r>
        <w:rPr>
          <w:rFonts w:hint="eastAsia" w:ascii="宋体" w:hAnsi="宋体" w:cs="宋体"/>
          <w:bCs/>
          <w:color w:val="auto"/>
          <w:sz w:val="24"/>
          <w:szCs w:val="24"/>
          <w:highlight w:val="none"/>
        </w:rPr>
        <w:t>内，按照采购文件确定的事项签订政府采购合同。</w:t>
      </w:r>
    </w:p>
    <w:p>
      <w:pPr>
        <w:pStyle w:val="26"/>
        <w:spacing w:line="360" w:lineRule="auto"/>
        <w:ind w:firstLine="480"/>
        <w:rPr>
          <w:rFonts w:hint="eastAsia" w:ascii="宋体" w:hAnsi="宋体" w:cs="宋体"/>
          <w:bCs/>
          <w:color w:val="auto"/>
          <w:highlight w:val="none"/>
        </w:rPr>
        <w:sectPr>
          <w:headerReference r:id="rId3" w:type="default"/>
          <w:footerReference r:id="rId4" w:type="default"/>
          <w:pgSz w:w="11906" w:h="16838"/>
          <w:pgMar w:top="1440" w:right="1406" w:bottom="1440" w:left="1406" w:header="851" w:footer="992" w:gutter="0"/>
          <w:pgNumType w:start="1"/>
          <w:cols w:space="1701" w:num="1"/>
          <w:docGrid w:linePitch="360" w:charSpace="0"/>
        </w:sectPr>
      </w:pPr>
      <w:r>
        <w:rPr>
          <w:rFonts w:hint="eastAsia" w:ascii="宋体" w:hAnsi="宋体" w:cs="宋体"/>
          <w:bCs/>
          <w:color w:val="auto"/>
          <w:sz w:val="24"/>
          <w:szCs w:val="24"/>
          <w:highlight w:val="none"/>
        </w:rPr>
        <w:t>采购人应当自政府采购合同签订之日起</w:t>
      </w: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rPr>
        <w:t>个工作日内，将政府采购合同在省级以上人民政府财政部门指定的媒体上公告，但政府采购合同中涉及国家秘密、商业秘密的内容除外。</w:t>
      </w:r>
      <w:bookmarkEnd w:id="15"/>
    </w:p>
    <w:p>
      <w:pPr>
        <w:pStyle w:val="75"/>
        <w:rPr>
          <w:color w:val="auto"/>
          <w:highlight w:val="none"/>
        </w:rPr>
      </w:pPr>
    </w:p>
    <w:p>
      <w:pPr>
        <w:pStyle w:val="26"/>
        <w:jc w:val="center"/>
        <w:rPr>
          <w:rFonts w:ascii="宋体" w:hAnsi="宋体"/>
          <w:b/>
          <w:color w:val="auto"/>
          <w:sz w:val="52"/>
          <w:szCs w:val="52"/>
        </w:rPr>
      </w:pPr>
      <w:r>
        <w:rPr>
          <w:rFonts w:ascii="宋体" w:hAnsi="宋体" w:eastAsia="宋体" w:cs="宋体"/>
          <w:b/>
          <w:color w:val="auto"/>
          <w:sz w:val="72"/>
          <w:szCs w:val="52"/>
        </w:rPr>
        <w:t>建设工程施工合同</w:t>
      </w:r>
      <w:r>
        <w:rPr>
          <w:rFonts w:ascii="宋体" w:hAnsi="宋体" w:eastAsia="宋体" w:cs="宋体"/>
          <w:b/>
          <w:color w:val="auto"/>
          <w:sz w:val="52"/>
          <w:szCs w:val="52"/>
        </w:rPr>
        <w:br w:type="textWrapping"/>
      </w:r>
      <w:r>
        <w:rPr>
          <w:rFonts w:ascii="宋体" w:hAnsi="宋体" w:eastAsia="宋体" w:cs="宋体"/>
          <w:b/>
          <w:color w:val="auto"/>
          <w:sz w:val="52"/>
          <w:szCs w:val="52"/>
        </w:rPr>
        <w:t>（示范文本）</w:t>
      </w:r>
    </w:p>
    <w:p>
      <w:pPr>
        <w:pStyle w:val="26"/>
        <w:jc w:val="center"/>
        <w:rPr>
          <w:rFonts w:ascii="宋体" w:hAnsi="宋体"/>
          <w:bCs/>
          <w:color w:val="auto"/>
          <w:sz w:val="32"/>
          <w:szCs w:val="32"/>
        </w:rPr>
      </w:pPr>
      <w:r>
        <w:rPr>
          <w:rFonts w:ascii="宋体" w:hAnsi="宋体" w:eastAsia="宋体" w:cs="宋体"/>
          <w:bCs/>
          <w:color w:val="auto"/>
          <w:sz w:val="32"/>
          <w:szCs w:val="32"/>
        </w:rPr>
        <w:t>（GF—2017—0201）</w:t>
      </w:r>
    </w:p>
    <w:p>
      <w:pPr>
        <w:pStyle w:val="26"/>
        <w:jc w:val="center"/>
        <w:rPr>
          <w:rFonts w:ascii="宋体" w:hAnsi="宋体"/>
          <w:b/>
          <w:color w:val="auto"/>
          <w:sz w:val="52"/>
          <w:szCs w:val="52"/>
        </w:rPr>
      </w:pPr>
    </w:p>
    <w:p>
      <w:pPr>
        <w:pStyle w:val="26"/>
        <w:jc w:val="center"/>
        <w:rPr>
          <w:rFonts w:ascii="宋体" w:hAnsi="宋体"/>
          <w:b/>
          <w:color w:val="auto"/>
          <w:sz w:val="72"/>
          <w:szCs w:val="72"/>
        </w:rPr>
      </w:pPr>
    </w:p>
    <w:p>
      <w:pPr>
        <w:pStyle w:val="108"/>
        <w:spacing w:after="312" w:line="520" w:lineRule="exact"/>
        <w:jc w:val="center"/>
        <w:rPr>
          <w:rFonts w:hAnsi="宋体"/>
          <w:color w:val="auto"/>
          <w:lang w:eastAsia="zh-CN"/>
        </w:rPr>
      </w:pPr>
      <w:r>
        <w:rPr>
          <w:rFonts w:ascii="宋体" w:hAnsi="宋体" w:eastAsia="宋体" w:cs="宋体"/>
          <w:color w:val="auto"/>
          <w:lang w:eastAsia="zh-CN"/>
        </w:rPr>
        <w:br w:type="page" w:clear="all"/>
      </w:r>
    </w:p>
    <w:p>
      <w:pPr>
        <w:pStyle w:val="4"/>
        <w:jc w:val="center"/>
        <w:rPr>
          <w:b/>
          <w:bCs/>
          <w:color w:val="auto"/>
          <w:highlight w:val="none"/>
        </w:rPr>
      </w:pPr>
      <w:bookmarkStart w:id="16" w:name="_Toc2049"/>
      <w:bookmarkStart w:id="17" w:name="_Toc358569763"/>
      <w:r>
        <w:rPr>
          <w:b/>
          <w:bCs/>
          <w:color w:val="auto"/>
          <w:highlight w:val="none"/>
        </w:rPr>
        <w:t>第一部分 协议书</w:t>
      </w:r>
      <w:bookmarkEnd w:id="16"/>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发包人（全称）：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承包人（全称）：</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根据《中华人民共和国民法典》、《中华人民共和国建筑法》及有关法律规定，遵循平等、自愿、公平和诚实信用的原则，双方就</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施工及有关事项协商一致，共同达成如下协议：</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一、工程概况</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58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1.工程名称：</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588"/>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2.工程地点：</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588"/>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3.工程立项批准文号：</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588"/>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.资金来源：</w:t>
      </w:r>
      <w:r>
        <w:rPr>
          <w:rFonts w:hint="eastAsia" w:ascii="宋体" w:hAnsi="宋体" w:cs="宋体"/>
          <w:color w:val="auto"/>
          <w:sz w:val="24"/>
          <w:szCs w:val="24"/>
          <w:highlight w:val="none"/>
          <w:lang w:val="en-US" w:eastAsia="zh-CN"/>
        </w:rPr>
        <w:t>财政。</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58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.工程内容：</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6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.工程承包范围：</w:t>
      </w:r>
      <w:r>
        <w:rPr>
          <w:rFonts w:hint="eastAsia" w:ascii="宋体" w:hAnsi="宋体" w:eastAsia="宋体" w:cs="宋体"/>
          <w:color w:val="auto"/>
          <w:sz w:val="24"/>
          <w:szCs w:val="24"/>
          <w:highlight w:val="none"/>
          <w:u w:val="single"/>
        </w:rPr>
        <w:t>详见工程量清单及施工图所含项目</w:t>
      </w:r>
      <w:r>
        <w:rPr>
          <w:rFonts w:hint="eastAsia" w:ascii="宋体" w:hAnsi="宋体" w:eastAsia="宋体" w:cs="宋体"/>
          <w:color w:val="auto"/>
          <w:sz w:val="24"/>
          <w:szCs w:val="24"/>
          <w:highlight w:val="none"/>
          <w:u w:val="single"/>
          <w:lang w:val="en-US" w:eastAsia="zh-CN"/>
        </w:rPr>
        <w:t>全部</w:t>
      </w:r>
      <w:r>
        <w:rPr>
          <w:rFonts w:hint="eastAsia" w:ascii="宋体" w:hAnsi="宋体" w:eastAsia="宋体" w:cs="宋体"/>
          <w:color w:val="auto"/>
          <w:sz w:val="24"/>
          <w:szCs w:val="24"/>
          <w:highlight w:val="none"/>
          <w:u w:val="single"/>
        </w:rPr>
        <w:t>内容</w:t>
      </w:r>
      <w:r>
        <w:rPr>
          <w:rFonts w:hint="eastAsia" w:ascii="宋体" w:hAnsi="宋体" w:eastAsia="宋体" w:cs="宋体"/>
          <w:color w:val="auto"/>
          <w:sz w:val="24"/>
          <w:szCs w:val="24"/>
          <w:highlight w:val="none"/>
          <w:u w:val="single"/>
          <w:lang w:eastAsia="zh-CN"/>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588"/>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承包方式：</w:t>
      </w:r>
      <w:r>
        <w:rPr>
          <w:rFonts w:hint="eastAsia" w:ascii="宋体" w:hAnsi="宋体" w:eastAsia="宋体" w:cs="宋体"/>
          <w:color w:val="auto"/>
          <w:sz w:val="24"/>
          <w:szCs w:val="24"/>
          <w:highlight w:val="none"/>
          <w:u w:val="single"/>
        </w:rPr>
        <w:t>包工包料。</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二、合同工期</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4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计划开工日期：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日。（实际开工日期以发包人书面通知的开工日期为准）</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4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计划竣工日期：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日。（实际竣工日期以工程接收证书中写明的日期为准）</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4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工期总日历天数：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天。工期总日历天数与根据前述计划开竣工日期计算的工期天数不一致的，以工期总日历天数为准。</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三、质量标准</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4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质量要求标准：</w:t>
      </w:r>
      <w:r>
        <w:rPr>
          <w:rFonts w:hint="eastAsia" w:ascii="宋体" w:hAnsi="宋体" w:eastAsia="宋体" w:cs="宋体"/>
          <w:color w:val="auto"/>
          <w:sz w:val="24"/>
          <w:szCs w:val="24"/>
          <w:highlight w:val="none"/>
          <w:u w:val="single"/>
        </w:rPr>
        <w:t>合格（符合国家标准及行业要求</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四、签约合同价与合同价格形式</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4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1.签约合同价为：</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4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4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2.合同价格形式：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固定单价合同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五、项目</w:t>
      </w:r>
      <w:r>
        <w:rPr>
          <w:rFonts w:hint="eastAsia" w:ascii="宋体" w:hAnsi="宋体" w:eastAsia="宋体" w:cs="宋体"/>
          <w:color w:val="auto"/>
          <w:sz w:val="24"/>
          <w:szCs w:val="24"/>
          <w:highlight w:val="none"/>
          <w:lang w:val="en-US" w:eastAsia="zh-CN"/>
        </w:rPr>
        <w:t>经理</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承包人项目</w:t>
      </w:r>
      <w:r>
        <w:rPr>
          <w:rFonts w:hint="eastAsia" w:ascii="宋体" w:hAnsi="宋体" w:eastAsia="宋体" w:cs="宋体"/>
          <w:color w:val="auto"/>
          <w:sz w:val="24"/>
          <w:szCs w:val="24"/>
          <w:highlight w:val="none"/>
          <w:lang w:val="en-US" w:eastAsia="zh-CN"/>
        </w:rPr>
        <w:t>经理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六、合同文件构成</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本协议书与下列文件一起构成合同文件：</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（1）中标通知书（如果有）；</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（2）投标函及其附录（如果有）；</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（3）专用合同条款及其附件；</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（4）通用合同条款；</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（5）技术标准和要求；</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（6）图纸；</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（7）已标价工程量清单或预算书；</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（8）其他合同文件。</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除专用合同条款另有约定外，组成本合同的文件及优先解释顺序与本合同第二部分《通用条款》第1.5款赋予的规定一致。</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七、承诺</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1.发包人承诺按照法律规定履行项目审批手续、筹集工程建设资金并按照合同约定的期限和方式支付合同价款。</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2.承包人承诺按照法律规定及合同约定组织完成工程施工，确保工程质量和安全，不进行转包、违法分包及挂靠，并在缺陷责任期及保修期内承担相应的工程维修责任。</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3.发包人和承包人通过招投标形式签订合同的，双方理解并承诺不再就同一工程另行签订与合同实质性内容相背离的协议。</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八、词语含义</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本协议书中词语含义与第二部分通用合同条款中赋予的含义相同。</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九、签订时间</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日签订。</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十、签订地点</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本合同在</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签订。</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十一、补充协议</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合同未尽事宜，合同当事人另行签订补充协议，补充协议是合同的组成部分。</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十二、合同生效</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双方签字、盖章后</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生效。</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十三、合同份数</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份，均具有同等法律效力，发包人执</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四 </w:t>
      </w:r>
      <w:r>
        <w:rPr>
          <w:rFonts w:hint="eastAsia" w:ascii="宋体" w:hAnsi="宋体" w:eastAsia="宋体" w:cs="宋体"/>
          <w:color w:val="auto"/>
          <w:sz w:val="24"/>
          <w:szCs w:val="24"/>
          <w:highlight w:val="none"/>
        </w:rPr>
        <w:t>份，承包人执</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二 </w:t>
      </w:r>
      <w:r>
        <w:rPr>
          <w:rFonts w:hint="eastAsia" w:ascii="宋体" w:hAnsi="宋体" w:eastAsia="宋体" w:cs="宋体"/>
          <w:color w:val="auto"/>
          <w:sz w:val="24"/>
          <w:szCs w:val="24"/>
          <w:highlight w:val="none"/>
        </w:rPr>
        <w:t>份</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采购代理机构</w:t>
      </w:r>
      <w:r>
        <w:rPr>
          <w:rFonts w:hint="eastAsia" w:ascii="宋体" w:hAnsi="宋体" w:cs="宋体"/>
          <w:color w:val="auto"/>
          <w:sz w:val="24"/>
          <w:szCs w:val="24"/>
          <w:highlight w:val="none"/>
          <w:u w:val="single"/>
          <w:lang w:val="en-US" w:eastAsia="zh-CN"/>
        </w:rPr>
        <w:t xml:space="preserve"> 一 </w:t>
      </w:r>
      <w:r>
        <w:rPr>
          <w:rFonts w:hint="eastAsia" w:ascii="宋体" w:hAnsi="宋体" w:cs="宋体"/>
          <w:color w:val="auto"/>
          <w:sz w:val="24"/>
          <w:szCs w:val="24"/>
          <w:highlight w:val="none"/>
          <w:lang w:val="en-US" w:eastAsia="zh-CN"/>
        </w:rPr>
        <w:t>份</w:t>
      </w:r>
      <w:r>
        <w:rPr>
          <w:rFonts w:hint="eastAsia" w:ascii="宋体" w:hAnsi="宋体" w:eastAsia="宋体" w:cs="宋体"/>
          <w:color w:val="auto"/>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auto"/>
          <w:sz w:val="24"/>
          <w:szCs w:val="24"/>
          <w:highlight w:val="none"/>
        </w:rPr>
      </w:pPr>
    </w:p>
    <w:p>
      <w:pPr>
        <w:pStyle w:val="150"/>
        <w:keepNext w:val="0"/>
        <w:keepLines w:val="0"/>
        <w:pageBreakBefore w:val="0"/>
        <w:spacing w:line="440" w:lineRule="exact"/>
        <w:jc w:val="both"/>
        <w:rPr>
          <w:rFonts w:hint="eastAsia" w:ascii="宋体" w:hAnsi="宋体" w:eastAsia="宋体" w:cs="宋体"/>
          <w:color w:val="auto"/>
          <w:sz w:val="24"/>
          <w:szCs w:val="24"/>
          <w:highlight w:val="none"/>
        </w:rPr>
      </w:pPr>
    </w:p>
    <w:p>
      <w:pPr>
        <w:pStyle w:val="108"/>
        <w:keepNext w:val="0"/>
        <w:keepLines w:val="0"/>
        <w:pageBreakBefore w:val="0"/>
        <w:spacing w:line="440" w:lineRule="exact"/>
        <w:rPr>
          <w:rFonts w:hint="eastAsia" w:ascii="宋体" w:hAnsi="宋体" w:eastAsia="宋体" w:cs="宋体"/>
          <w:color w:val="auto"/>
          <w:sz w:val="24"/>
          <w:szCs w:val="24"/>
          <w:highlight w:val="none"/>
        </w:rPr>
      </w:pP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发包人：(公章)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承包人：(公章)</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法定代表人或其委托代理人：</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（签字）</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组织机构代码：</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组织机构代码：</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地址：</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邮政编码：</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法定代表人：</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委托代理人：</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电话：</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传真：</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电子信箱：</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开户银行：</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账号：</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440" w:lineRule="exact"/>
        <w:ind w:right="-36"/>
        <w:rPr>
          <w:rFonts w:hint="eastAsia" w:ascii="仿宋" w:hAnsi="仿宋" w:eastAsia="仿宋" w:cs="仿宋"/>
          <w:color w:val="auto"/>
          <w:sz w:val="24"/>
          <w:szCs w:val="24"/>
          <w:highlight w:val="none"/>
        </w:rPr>
      </w:pP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0"/>
        <w:jc w:val="both"/>
        <w:rPr>
          <w:color w:val="auto"/>
          <w:highlight w:val="none"/>
        </w:rPr>
      </w:pPr>
      <w:r>
        <w:rPr>
          <w:color w:val="auto"/>
          <w:highlight w:val="none"/>
        </w:rPr>
        <w:br w:type="page" w:clear="all"/>
      </w:r>
    </w:p>
    <w:p>
      <w:pPr>
        <w:pStyle w:val="4"/>
        <w:jc w:val="center"/>
        <w:rPr>
          <w:rFonts w:hint="eastAsia"/>
          <w:b/>
          <w:bCs/>
          <w:color w:val="auto"/>
          <w:highlight w:val="none"/>
        </w:rPr>
      </w:pPr>
      <w:bookmarkStart w:id="18" w:name="_Toc75"/>
      <w:r>
        <w:rPr>
          <w:rFonts w:hint="eastAsia"/>
          <w:b/>
          <w:bCs/>
          <w:color w:val="auto"/>
          <w:highlight w:val="none"/>
        </w:rPr>
        <w:t>第二部分</w:t>
      </w:r>
      <w:r>
        <w:rPr>
          <w:rFonts w:hint="eastAsia"/>
          <w:b/>
          <w:bCs/>
          <w:color w:val="auto"/>
          <w:highlight w:val="none"/>
          <w:lang w:val="en-US" w:eastAsia="zh-CN"/>
        </w:rPr>
        <w:t xml:space="preserve"> </w:t>
      </w:r>
      <w:r>
        <w:rPr>
          <w:rFonts w:hint="eastAsia"/>
          <w:b/>
          <w:bCs/>
          <w:color w:val="auto"/>
          <w:highlight w:val="none"/>
        </w:rPr>
        <w:t>通用合同条款</w:t>
      </w:r>
      <w:bookmarkEnd w:id="18"/>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40"/>
        <w:rPr>
          <w:rFonts w:hint="eastAsia" w:ascii="仿宋" w:hAnsi="仿宋" w:eastAsia="仿宋" w:cs="仿宋"/>
          <w:color w:val="auto"/>
          <w:sz w:val="24"/>
          <w:szCs w:val="24"/>
          <w:highlight w:val="none"/>
        </w:rPr>
      </w:pP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采用《建设工程施工合同（示范文本）》（GF—2017—0201）。</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此部分在正式签订合同时应不加修改的、完整的装订在合同中</w:t>
      </w:r>
    </w:p>
    <w:p>
      <w:pPr>
        <w:pBdr>
          <w:top w:val="none" w:color="000000" w:sz="0" w:space="0"/>
          <w:left w:val="none" w:color="000000" w:sz="0" w:space="0"/>
          <w:bottom w:val="none" w:color="000000" w:sz="0" w:space="0"/>
          <w:right w:val="none" w:color="000000" w:sz="0" w:space="0"/>
        </w:pBdr>
        <w:spacing w:before="0" w:after="0" w:line="400" w:lineRule="atLeast"/>
        <w:ind w:left="0" w:right="0" w:firstLine="0"/>
        <w:jc w:val="center"/>
        <w:rPr>
          <w:color w:val="auto"/>
          <w:highlight w:val="none"/>
        </w:rPr>
      </w:pPr>
      <w:r>
        <w:rPr>
          <w:color w:val="auto"/>
          <w:highlight w:val="none"/>
        </w:rPr>
        <w:br w:type="page" w:clear="all"/>
      </w:r>
    </w:p>
    <w:p>
      <w:pPr>
        <w:pStyle w:val="4"/>
        <w:jc w:val="center"/>
        <w:rPr>
          <w:b/>
          <w:bCs/>
          <w:color w:val="auto"/>
          <w:highlight w:val="none"/>
        </w:rPr>
      </w:pPr>
      <w:bookmarkStart w:id="19" w:name="_Toc15325"/>
      <w:r>
        <w:rPr>
          <w:b/>
          <w:bCs/>
          <w:color w:val="auto"/>
          <w:highlight w:val="none"/>
        </w:rPr>
        <w:t>第三部分 专用合同条款</w:t>
      </w:r>
      <w:bookmarkEnd w:id="19"/>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1、一般约定</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 词语定义</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1.1.1合同</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其他合同文件包括：</w:t>
      </w:r>
      <w:r>
        <w:rPr>
          <w:rFonts w:hint="eastAsia" w:ascii="宋体" w:hAnsi="宋体" w:eastAsia="宋体" w:cs="宋体"/>
          <w:color w:val="auto"/>
          <w:sz w:val="24"/>
          <w:szCs w:val="24"/>
          <w:highlight w:val="none"/>
          <w:u w:val="single"/>
        </w:rPr>
        <w:t>合同履行过程中经双方授权代表共同签字认可的对合同有影响的会议纪要、签证及设计变更等相关书面资料。</w:t>
      </w:r>
    </w:p>
    <w:p>
      <w:pPr>
        <w:keepNext w:val="0"/>
        <w:keepLines w:val="0"/>
        <w:pageBreakBefore w:val="0"/>
        <w:widowControl/>
        <w:spacing w:after="0" w:line="336" w:lineRule="auto"/>
        <w:ind w:left="0" w:right="0"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1.1.2合同当事人及其他相关方</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监理人：</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设计人：</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3 工程和设备</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作为施工现场组成部分的其他场所包括：</w:t>
      </w:r>
      <w:r>
        <w:rPr>
          <w:rFonts w:hint="eastAsia" w:ascii="宋体" w:hAnsi="宋体" w:eastAsia="宋体" w:cs="宋体"/>
          <w:color w:val="auto"/>
          <w:sz w:val="24"/>
          <w:szCs w:val="24"/>
          <w:highlight w:val="none"/>
          <w:u w:val="single"/>
        </w:rPr>
        <w:t>现场临时办公及施工场地</w:t>
      </w:r>
      <w:r>
        <w:rPr>
          <w:rFonts w:hint="eastAsia" w:ascii="宋体" w:hAnsi="宋体" w:eastAsia="宋体" w:cs="宋体"/>
          <w:color w:val="auto"/>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永久占地包括：</w:t>
      </w:r>
      <w:r>
        <w:rPr>
          <w:rFonts w:hint="eastAsia" w:ascii="宋体" w:hAnsi="宋体" w:eastAsia="宋体" w:cs="宋体"/>
          <w:color w:val="auto"/>
          <w:sz w:val="24"/>
          <w:szCs w:val="24"/>
          <w:highlight w:val="none"/>
          <w:u w:val="single"/>
        </w:rPr>
        <w:t>规划用地范围内</w:t>
      </w:r>
      <w:r>
        <w:rPr>
          <w:rFonts w:hint="eastAsia" w:ascii="宋体" w:hAnsi="宋体" w:eastAsia="宋体" w:cs="宋体"/>
          <w:color w:val="auto"/>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临时占地包括：</w:t>
      </w:r>
      <w:r>
        <w:rPr>
          <w:rFonts w:hint="eastAsia" w:ascii="宋体" w:hAnsi="宋体" w:eastAsia="宋体" w:cs="宋体"/>
          <w:color w:val="auto"/>
          <w:sz w:val="24"/>
          <w:szCs w:val="24"/>
          <w:highlight w:val="none"/>
          <w:u w:val="single"/>
        </w:rPr>
        <w:t>双方在合同履行过程中确定</w:t>
      </w:r>
      <w:r>
        <w:rPr>
          <w:rFonts w:hint="eastAsia" w:ascii="宋体" w:hAnsi="宋体" w:eastAsia="宋体" w:cs="宋体"/>
          <w:color w:val="auto"/>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 xml:space="preserve"> 法律 </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适用于工程的标准规范包括：</w:t>
      </w:r>
      <w:r>
        <w:rPr>
          <w:rFonts w:hint="eastAsia" w:ascii="宋体" w:hAnsi="宋体" w:eastAsia="宋体" w:cs="宋体"/>
          <w:color w:val="auto"/>
          <w:sz w:val="24"/>
          <w:szCs w:val="24"/>
          <w:highlight w:val="none"/>
          <w:u w:val="single"/>
        </w:rPr>
        <w:t xml:space="preserve"> 现行国家及江苏省、徐州市的有关标准及其他适用于本工程的技术标准、规范等。</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 xml:space="preserve"> 标准和规范</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适用于工程的标准规范包括：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现行国家及江苏省、徐州市的有关标准及其他适用于本工程的技术标准、规范等。</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发包人提供国外标准、规范的名称：</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u w:val="singl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1.4.3发包人对工程的技术标准和功能要求的特殊要求：</w:t>
      </w:r>
      <w:r>
        <w:rPr>
          <w:rFonts w:hint="eastAsia" w:ascii="宋体" w:hAnsi="宋体" w:eastAsia="宋体" w:cs="宋体"/>
          <w:color w:val="auto"/>
          <w:sz w:val="24"/>
          <w:szCs w:val="24"/>
          <w:highlight w:val="none"/>
          <w:u w:val="single"/>
        </w:rPr>
        <w:t>符合有关行业主管部门及发包人的要求</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 xml:space="preserve"> 合同文件的优先顺序</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.1合同文件组成及优先顺序为：</w:t>
      </w:r>
    </w:p>
    <w:p>
      <w:pPr>
        <w:keepNext w:val="0"/>
        <w:keepLines w:val="0"/>
        <w:pageBreakBefore w:val="0"/>
        <w:widowControl/>
        <w:numPr>
          <w:ilvl w:val="0"/>
          <w:numId w:val="8"/>
        </w:numPr>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合同专用条款及补充协议书；</w:t>
      </w:r>
    </w:p>
    <w:p>
      <w:pPr>
        <w:keepNext w:val="0"/>
        <w:keepLines w:val="0"/>
        <w:pageBreakBefore w:val="0"/>
        <w:widowControl/>
        <w:numPr>
          <w:ilvl w:val="0"/>
          <w:numId w:val="8"/>
        </w:numPr>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中标通知书；</w:t>
      </w:r>
    </w:p>
    <w:p>
      <w:pPr>
        <w:keepNext w:val="0"/>
        <w:keepLines w:val="0"/>
        <w:pageBreakBefore w:val="0"/>
        <w:widowControl/>
        <w:numPr>
          <w:ilvl w:val="0"/>
          <w:numId w:val="8"/>
        </w:numPr>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招标文件；</w:t>
      </w:r>
    </w:p>
    <w:p>
      <w:pPr>
        <w:keepNext w:val="0"/>
        <w:keepLines w:val="0"/>
        <w:pageBreakBefore w:val="0"/>
        <w:widowControl/>
        <w:numPr>
          <w:ilvl w:val="0"/>
          <w:numId w:val="8"/>
        </w:numPr>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投标书及其附件；</w:t>
      </w:r>
    </w:p>
    <w:p>
      <w:pPr>
        <w:keepNext w:val="0"/>
        <w:keepLines w:val="0"/>
        <w:pageBreakBefore w:val="0"/>
        <w:widowControl/>
        <w:numPr>
          <w:ilvl w:val="0"/>
          <w:numId w:val="8"/>
        </w:numPr>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通用合同条款；</w:t>
      </w:r>
    </w:p>
    <w:p>
      <w:pPr>
        <w:keepNext w:val="0"/>
        <w:keepLines w:val="0"/>
        <w:pageBreakBefore w:val="0"/>
        <w:widowControl/>
        <w:numPr>
          <w:ilvl w:val="0"/>
          <w:numId w:val="8"/>
        </w:numPr>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技术标准和要求；</w:t>
      </w:r>
    </w:p>
    <w:p>
      <w:pPr>
        <w:keepNext w:val="0"/>
        <w:keepLines w:val="0"/>
        <w:pageBreakBefore w:val="0"/>
        <w:widowControl/>
        <w:numPr>
          <w:ilvl w:val="0"/>
          <w:numId w:val="8"/>
        </w:numPr>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图纸；</w:t>
      </w:r>
    </w:p>
    <w:p>
      <w:pPr>
        <w:keepNext w:val="0"/>
        <w:keepLines w:val="0"/>
        <w:pageBreakBefore w:val="0"/>
        <w:widowControl/>
        <w:numPr>
          <w:ilvl w:val="0"/>
          <w:numId w:val="8"/>
        </w:numPr>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预算书；</w:t>
      </w:r>
    </w:p>
    <w:p>
      <w:pPr>
        <w:keepNext w:val="0"/>
        <w:keepLines w:val="0"/>
        <w:pageBreakBefore w:val="0"/>
        <w:widowControl/>
        <w:numPr>
          <w:ilvl w:val="0"/>
          <w:numId w:val="8"/>
        </w:numPr>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已标价工程量清单；</w:t>
      </w:r>
    </w:p>
    <w:p>
      <w:pPr>
        <w:keepNext w:val="0"/>
        <w:keepLines w:val="0"/>
        <w:pageBreakBefore w:val="0"/>
        <w:widowControl/>
        <w:numPr>
          <w:ilvl w:val="0"/>
          <w:numId w:val="8"/>
        </w:numPr>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其他合同文件。</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双方有关工程的洽商、变更、会议纪要、双方来往函件(施工过程中的)等书面协议或文件视为本合同的组成部分，对同一事项叙述不一致的，以日期靠后的为准。</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 xml:space="preserve"> 图纸和承包人文件</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 图纸</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开工前5天 </w:t>
      </w:r>
      <w:r>
        <w:rPr>
          <w:rFonts w:hint="eastAsia" w:ascii="宋体" w:hAnsi="宋体" w:eastAsia="宋体" w:cs="宋体"/>
          <w:color w:val="auto"/>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发包人向承包人提供图纸的数量：</w:t>
      </w:r>
      <w:r>
        <w:rPr>
          <w:rFonts w:hint="eastAsia" w:ascii="宋体" w:hAnsi="宋体" w:eastAsia="宋体" w:cs="宋体"/>
          <w:color w:val="auto"/>
          <w:sz w:val="24"/>
          <w:szCs w:val="24"/>
          <w:highlight w:val="none"/>
          <w:u w:val="single"/>
        </w:rPr>
        <w:t>贰套，如承包人需增加施工图纸，由发包人与设计院联系，出图费用由承包人自行承担。设计文件和图纸由发包人统一提供，承包人不得直接接收设计单位提供的设计文件和图纸</w:t>
      </w:r>
      <w:r>
        <w:rPr>
          <w:rFonts w:hint="eastAsia" w:ascii="宋体" w:hAnsi="宋体" w:eastAsia="宋体" w:cs="宋体"/>
          <w:color w:val="auto"/>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承包人收到设计文件和图纸后，要根据技术标准、设计规范、标准设计图、通用图和有关规定，对设计文件和图纸认真审查。发现其他问题，承包人必须及时以书面形式报告发包人，经发包人审批后执行。否则，若因设计文件和图纸存在差错，则视为承包人未尽审查义务，造成的损失由承包人据实承担</w:t>
      </w:r>
      <w:r>
        <w:rPr>
          <w:rFonts w:hint="eastAsia" w:ascii="宋体" w:hAnsi="宋体" w:eastAsia="宋体" w:cs="宋体"/>
          <w:color w:val="auto"/>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发包人向承包人提供图纸的内容：</w:t>
      </w:r>
      <w:r>
        <w:rPr>
          <w:rFonts w:hint="eastAsia" w:ascii="宋体" w:hAnsi="宋体" w:eastAsia="宋体" w:cs="宋体"/>
          <w:color w:val="auto"/>
          <w:sz w:val="24"/>
          <w:szCs w:val="24"/>
          <w:highlight w:val="none"/>
          <w:u w:val="single"/>
        </w:rPr>
        <w:t>全套施工图纸</w:t>
      </w:r>
      <w:r>
        <w:rPr>
          <w:rFonts w:hint="eastAsia" w:ascii="宋体" w:hAnsi="宋体" w:eastAsia="宋体" w:cs="宋体"/>
          <w:color w:val="auto"/>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承包人文件</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需要由承包人提供的文件，包括：</w:t>
      </w:r>
    </w:p>
    <w:p>
      <w:pPr>
        <w:keepNext w:val="0"/>
        <w:keepLines w:val="0"/>
        <w:pageBreakBefore w:val="0"/>
        <w:widowControl/>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①本合同第二部分通用合同条款7.1和7.2编制施工组织设计、施工措施计划、施工方案报监理人审核和发包人确认；</w:t>
      </w:r>
    </w:p>
    <w:p>
      <w:pPr>
        <w:keepNext w:val="0"/>
        <w:keepLines w:val="0"/>
        <w:pageBreakBefore w:val="0"/>
        <w:widowControl/>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②应由承包人办理的许可和批准的办理结果书面报送监理人审核和发包人确认、留存；</w:t>
      </w:r>
    </w:p>
    <w:p>
      <w:pPr>
        <w:keepNext w:val="0"/>
        <w:keepLines w:val="0"/>
        <w:pageBreakBefore w:val="0"/>
        <w:widowControl/>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③拟制施工人员名册（动态），并与为其办理工伤保险的有效证明一起报送监理人审核和发包人确认；</w:t>
      </w:r>
    </w:p>
    <w:p>
      <w:pPr>
        <w:keepNext w:val="0"/>
        <w:keepLines w:val="0"/>
        <w:pageBreakBefore w:val="0"/>
        <w:widowControl/>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④承包人项目管理机构、职责及施工现场人员安排的报告（其内容执行通用条款3.3）和主要施工管理人员与承包人之间的劳动关系证明和缴纳社会保险的有效证明，报送监理人审核和发包人确认；</w:t>
      </w:r>
    </w:p>
    <w:p>
      <w:pPr>
        <w:keepNext w:val="0"/>
        <w:keepLines w:val="0"/>
        <w:pageBreakBefore w:val="0"/>
        <w:widowControl/>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⑤特殊工种作业人员资格证明报送监理人审核和发包人确认；</w:t>
      </w:r>
    </w:p>
    <w:p>
      <w:pPr>
        <w:keepNext w:val="0"/>
        <w:keepLines w:val="0"/>
        <w:pageBreakBefore w:val="0"/>
        <w:widowControl/>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⑥项目经理的姓名、职称、注册建造师的编号、联系方式、授权范围等事项，和与承包人之间的正式聘用劳动合同、承包人为其缴纳社会保险的有效证明，一起报送监理人审核和发包人确认；</w:t>
      </w:r>
    </w:p>
    <w:p>
      <w:pPr>
        <w:keepNext w:val="0"/>
        <w:keepLines w:val="0"/>
        <w:pageBreakBefore w:val="0"/>
        <w:widowControl/>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⑦工程质量管理体系及措施文件、质量检查制度、质量控制文件，报送监理人审核和发包人确认；</w:t>
      </w:r>
    </w:p>
    <w:p>
      <w:pPr>
        <w:keepNext w:val="0"/>
        <w:keepLines w:val="0"/>
        <w:pageBreakBefore w:val="0"/>
        <w:widowControl/>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⑧工程安全管理体系及措施文件、安全检查制度、安全控制文件，报送监理人审核和发包人确认；</w:t>
      </w:r>
    </w:p>
    <w:p>
      <w:pPr>
        <w:keepNext w:val="0"/>
        <w:keepLines w:val="0"/>
        <w:pageBreakBefore w:val="0"/>
        <w:widowControl/>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⑨发包人管理需要的其他文件。</w:t>
      </w:r>
    </w:p>
    <w:p>
      <w:pPr>
        <w:keepNext w:val="0"/>
        <w:keepLines w:val="0"/>
        <w:pageBreakBefore w:val="0"/>
        <w:widowControl/>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⑩上述文件如发包人因管理需增加时，承包人有义务按发包人提出的形式、格式、数量、时间等要求提供。</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承包人提供的文件的期限为：</w:t>
      </w:r>
      <w:r>
        <w:rPr>
          <w:rFonts w:hint="eastAsia" w:ascii="宋体" w:hAnsi="宋体" w:eastAsia="宋体" w:cs="宋体"/>
          <w:color w:val="auto"/>
          <w:sz w:val="24"/>
          <w:szCs w:val="24"/>
          <w:highlight w:val="none"/>
          <w:u w:val="single"/>
        </w:rPr>
        <w:t>合同签订后7日内</w:t>
      </w:r>
      <w:r>
        <w:rPr>
          <w:rFonts w:hint="eastAsia" w:ascii="宋体" w:hAnsi="宋体" w:eastAsia="宋体" w:cs="宋体"/>
          <w:color w:val="auto"/>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承包人提供的文件的数量为：</w:t>
      </w:r>
      <w:r>
        <w:rPr>
          <w:rFonts w:hint="eastAsia" w:ascii="宋体" w:hAnsi="宋体" w:eastAsia="宋体" w:cs="宋体"/>
          <w:color w:val="auto"/>
          <w:sz w:val="24"/>
          <w:szCs w:val="24"/>
          <w:highlight w:val="none"/>
          <w:u w:val="single"/>
        </w:rPr>
        <w:t>纸质版肆套，电子版一套</w:t>
      </w:r>
      <w:r>
        <w:rPr>
          <w:rFonts w:hint="eastAsia" w:ascii="宋体" w:hAnsi="宋体" w:eastAsia="宋体" w:cs="宋体"/>
          <w:color w:val="auto"/>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承包人提供的文件的形式为：</w:t>
      </w:r>
      <w:r>
        <w:rPr>
          <w:rFonts w:hint="eastAsia" w:ascii="宋体" w:hAnsi="宋体" w:eastAsia="宋体" w:cs="宋体"/>
          <w:color w:val="auto"/>
          <w:sz w:val="24"/>
          <w:szCs w:val="24"/>
          <w:highlight w:val="none"/>
          <w:u w:val="single"/>
        </w:rPr>
        <w:t>纸质版、电子版</w:t>
      </w:r>
      <w:r>
        <w:rPr>
          <w:rFonts w:hint="eastAsia" w:ascii="宋体" w:hAnsi="宋体" w:eastAsia="宋体" w:cs="宋体"/>
          <w:color w:val="auto"/>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发包人审批承包人文件的期限：</w:t>
      </w:r>
      <w:r>
        <w:rPr>
          <w:rFonts w:hint="eastAsia" w:ascii="宋体" w:hAnsi="宋体" w:eastAsia="宋体" w:cs="宋体"/>
          <w:color w:val="auto"/>
          <w:sz w:val="24"/>
          <w:szCs w:val="24"/>
          <w:highlight w:val="none"/>
          <w:u w:val="single"/>
        </w:rPr>
        <w:t>应在监理人收到承包人文件后7天内审查完毕</w:t>
      </w:r>
      <w:r>
        <w:rPr>
          <w:rFonts w:hint="eastAsia" w:ascii="宋体" w:hAnsi="宋体" w:eastAsia="宋体" w:cs="宋体"/>
          <w:color w:val="auto"/>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现场图纸准备</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关于现场图纸准备的约定：</w:t>
      </w:r>
      <w:r>
        <w:rPr>
          <w:rFonts w:hint="eastAsia" w:ascii="宋体" w:hAnsi="宋体" w:eastAsia="宋体" w:cs="宋体"/>
          <w:color w:val="auto"/>
          <w:sz w:val="24"/>
          <w:szCs w:val="24"/>
          <w:highlight w:val="none"/>
          <w:u w:val="single"/>
        </w:rPr>
        <w:t>执行通用合同条款</w:t>
      </w:r>
      <w:r>
        <w:rPr>
          <w:rFonts w:hint="eastAsia" w:ascii="宋体" w:hAnsi="宋体" w:eastAsia="宋体" w:cs="宋体"/>
          <w:color w:val="auto"/>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1.7联络</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1.7.1发包人和承包人应当在</w:t>
      </w:r>
      <w:r>
        <w:rPr>
          <w:rFonts w:hint="eastAsia" w:ascii="宋体" w:hAnsi="宋体" w:eastAsia="宋体" w:cs="宋体"/>
          <w:color w:val="auto"/>
          <w:sz w:val="24"/>
          <w:szCs w:val="24"/>
          <w:highlight w:val="none"/>
          <w:u w:val="single"/>
        </w:rPr>
        <w:t>3</w:t>
      </w:r>
      <w:r>
        <w:rPr>
          <w:rFonts w:hint="eastAsia" w:ascii="宋体" w:hAnsi="宋体" w:eastAsia="宋体" w:cs="宋体"/>
          <w:color w:val="auto"/>
          <w:sz w:val="24"/>
          <w:szCs w:val="24"/>
          <w:highlight w:val="none"/>
        </w:rPr>
        <w:t>天内将与合同有关的通知、批准、证明、证书、指示、指令、要求、请求、同意、意见、确定和决定等书面函件送达对方当事人。</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发包人接收文件的地点：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发包人指定的接收人为：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承包人接收文件的地点：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承包人指定的接收人为：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监理人接收文件的地点：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监理人指定的接收人为：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 交通运输</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 出入现场的权利</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关于出入现场的权利的约定：</w:t>
      </w:r>
      <w:r>
        <w:rPr>
          <w:rFonts w:hint="eastAsia" w:ascii="宋体" w:hAnsi="宋体" w:eastAsia="宋体" w:cs="宋体"/>
          <w:color w:val="auto"/>
          <w:sz w:val="24"/>
          <w:szCs w:val="24"/>
          <w:highlight w:val="none"/>
          <w:u w:val="single"/>
        </w:rPr>
        <w:t xml:space="preserve">发包人享有无条件出入施工现场的权利，承包人无条件负责办理发包人进入施工现场所需的批准手续，并承担相关手续费用和建设费用，此费用包含在投标报价内。 </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场内交通</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关于场外交通和场内交通的边界的约定：</w:t>
      </w:r>
      <w:r>
        <w:rPr>
          <w:rFonts w:hint="eastAsia" w:ascii="宋体" w:hAnsi="宋体" w:eastAsia="宋体" w:cs="宋体"/>
          <w:color w:val="auto"/>
          <w:sz w:val="24"/>
          <w:szCs w:val="24"/>
          <w:highlight w:val="none"/>
          <w:u w:val="single"/>
        </w:rPr>
        <w:t>以现场实际施工条件为准。</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关于发包人向承包人免费提供满足工程施工需要的场内道路和交通设施的约定：</w:t>
      </w:r>
      <w:r>
        <w:rPr>
          <w:rFonts w:hint="eastAsia" w:ascii="宋体" w:hAnsi="宋体" w:eastAsia="宋体" w:cs="宋体"/>
          <w:color w:val="auto"/>
          <w:sz w:val="24"/>
          <w:szCs w:val="24"/>
          <w:highlight w:val="none"/>
          <w:u w:val="single"/>
        </w:rPr>
        <w:t>不提供，承包人应负责修建、维修、养护和管理施工所需的临时道路和交通设施，包括维修、养护和管理发包人提供的道路和交通设施，并承担相应费用。承包人修建的临时道路和交通设施应免费提供为实现合同目的人员使用。</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超大件和超重件的运输</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运输超大件或超重件所需的道路和桥梁临时加固改造费用和其他有关费用由</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承包人 </w:t>
      </w:r>
      <w:r>
        <w:rPr>
          <w:rFonts w:hint="eastAsia" w:ascii="宋体" w:hAnsi="宋体" w:eastAsia="宋体" w:cs="宋体"/>
          <w:color w:val="auto"/>
          <w:sz w:val="24"/>
          <w:szCs w:val="24"/>
          <w:highlight w:val="none"/>
        </w:rPr>
        <w:t>承担。</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知识产权</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关于发包人提供的上述文件的使用限制的要求：</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 关于承包人为实施工程所编制文件的著作权的归属：</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关于承包人提供的上述文件的使用限制的要求：</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承包人在施工过程中所采用的专利、专有技术、技术秘密的使用费的承担方式：</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1.13工程量清单错误的修正</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出现工程量清单错误时，是否调整合同价格：</w:t>
      </w:r>
      <w:r>
        <w:rPr>
          <w:rFonts w:hint="eastAsia" w:ascii="宋体" w:hAnsi="宋体" w:eastAsia="宋体" w:cs="宋体"/>
          <w:color w:val="auto"/>
          <w:sz w:val="24"/>
          <w:szCs w:val="24"/>
          <w:highlight w:val="none"/>
          <w:u w:val="single"/>
        </w:rPr>
        <w:t>供应商应认真研读图纸，仔细核对清单，发现工程量清单漏项、清单中工程量有误差，特征描述不清、图纸设计不详及其工程量清单项目的完整性等内容，供应商必须以书面形式于磋商文件规定时间内提出，并报送采购人。采购人进行核对，若有误及时进行更正，并以书面的形式回复给供应商。否则视为供应商同意采购人工程量清单数量及项目和特征描述符合图纸设计全部内容，合同范围以图纸设计内容为准</w:t>
      </w:r>
      <w:r>
        <w:rPr>
          <w:rFonts w:hint="eastAsia" w:ascii="宋体" w:hAnsi="宋体" w:eastAsia="宋体" w:cs="宋体"/>
          <w:color w:val="auto"/>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允许调整合同价格的工程量偏差范围：</w:t>
      </w:r>
      <w:r>
        <w:rPr>
          <w:rFonts w:hint="eastAsia" w:ascii="宋体" w:hAnsi="宋体" w:eastAsia="宋体" w:cs="宋体"/>
          <w:color w:val="auto"/>
          <w:sz w:val="24"/>
          <w:szCs w:val="24"/>
          <w:highlight w:val="none"/>
          <w:u w:val="single"/>
        </w:rPr>
        <w:t xml:space="preserve">执行“合同价格、计量与支付”相关条款。 </w:t>
      </w:r>
    </w:p>
    <w:p>
      <w:pPr>
        <w:pageBreakBefore w:val="0"/>
        <w:widowControl/>
        <w:spacing w:after="0" w:line="336" w:lineRule="auto"/>
        <w:ind w:left="0" w:right="0" w:firstLine="482"/>
        <w:rPr>
          <w:rFonts w:hint="eastAsia" w:ascii="宋体" w:hAnsi="宋体" w:eastAsia="宋体" w:cs="宋体"/>
          <w:b/>
          <w:bCs/>
          <w:color w:val="auto"/>
          <w:sz w:val="24"/>
          <w:szCs w:val="24"/>
          <w:highlight w:val="none"/>
        </w:rPr>
      </w:pPr>
      <w:bookmarkStart w:id="20" w:name="_Toc351203634"/>
      <w:r>
        <w:rPr>
          <w:rFonts w:hint="eastAsia" w:ascii="宋体" w:hAnsi="宋体" w:eastAsia="宋体" w:cs="宋体"/>
          <w:b/>
          <w:bCs/>
          <w:color w:val="auto"/>
          <w:sz w:val="24"/>
          <w:szCs w:val="24"/>
          <w:highlight w:val="none"/>
        </w:rPr>
        <w:t>2</w:t>
      </w:r>
      <w:bookmarkStart w:id="21" w:name="_Toc292559362"/>
      <w:bookmarkStart w:id="22" w:name="_Toc296890985"/>
      <w:bookmarkStart w:id="23" w:name="_Toc292559867"/>
      <w:bookmarkStart w:id="24" w:name="_Toc297048343"/>
      <w:bookmarkStart w:id="25" w:name="_Toc296503157"/>
      <w:bookmarkStart w:id="26" w:name="_Toc296347156"/>
      <w:bookmarkStart w:id="27" w:name="_Toc296346658"/>
      <w:bookmarkStart w:id="28" w:name="_Toc297120457"/>
      <w:bookmarkStart w:id="29" w:name="_Toc296944496"/>
      <w:bookmarkStart w:id="30" w:name="_Toc296891197"/>
      <w:r>
        <w:rPr>
          <w:rFonts w:hint="eastAsia" w:ascii="宋体" w:hAnsi="宋体" w:eastAsia="宋体" w:cs="宋体"/>
          <w:b/>
          <w:bCs/>
          <w:color w:val="auto"/>
          <w:sz w:val="24"/>
          <w:szCs w:val="24"/>
          <w:highlight w:val="none"/>
        </w:rPr>
        <w:t>.发包人</w:t>
      </w:r>
      <w:bookmarkEnd w:id="20"/>
      <w:bookmarkEnd w:id="21"/>
      <w:bookmarkEnd w:id="22"/>
      <w:bookmarkEnd w:id="23"/>
      <w:bookmarkEnd w:id="24"/>
      <w:bookmarkEnd w:id="25"/>
      <w:bookmarkEnd w:id="26"/>
      <w:bookmarkEnd w:id="27"/>
      <w:bookmarkEnd w:id="28"/>
      <w:bookmarkEnd w:id="29"/>
      <w:bookmarkEnd w:id="30"/>
    </w:p>
    <w:p>
      <w:pPr>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发包人代表</w:t>
      </w:r>
    </w:p>
    <w:p>
      <w:pPr>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发包人代表：</w:t>
      </w:r>
    </w:p>
    <w:p>
      <w:pPr>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ageBreakBefore w:val="0"/>
        <w:widowControl/>
        <w:spacing w:after="0" w:line="336" w:lineRule="auto"/>
        <w:ind w:left="0" w:right="0" w:firstLine="480"/>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发包人对发包人代表的授权范围如下：</w:t>
      </w:r>
      <w:r>
        <w:rPr>
          <w:rFonts w:hint="eastAsia" w:ascii="宋体" w:hAnsi="宋体" w:eastAsia="宋体" w:cs="宋体"/>
          <w:bCs/>
          <w:color w:val="auto"/>
          <w:sz w:val="24"/>
          <w:szCs w:val="24"/>
          <w:highlight w:val="none"/>
          <w:u w:val="single"/>
        </w:rPr>
        <w:t>协助外部环境的协调与配合主持工程的竣工验收；负责组织工程质量、进度、安全的检查监督；经发包人授权签署与工程投资有关的各种施工技术变更、施工技术方案和图纸会审纪要等；签字确认经监理工程师核准的分项工程量，并报发包人核准。</w:t>
      </w:r>
    </w:p>
    <w:p>
      <w:pPr>
        <w:pageBreakBefore w:val="0"/>
        <w:widowControl/>
        <w:spacing w:after="0" w:line="336" w:lineRule="auto"/>
        <w:ind w:left="0" w:right="0" w:firstLine="480"/>
        <w:rPr>
          <w:rFonts w:hint="eastAsia" w:ascii="宋体" w:hAnsi="宋体" w:eastAsia="宋体" w:cs="宋体"/>
          <w:color w:val="auto"/>
          <w:sz w:val="24"/>
          <w:szCs w:val="24"/>
          <w:highlight w:val="none"/>
          <w:u w:val="single"/>
          <w:lang w:val="en-US" w:eastAsia="en-US"/>
        </w:rPr>
      </w:pPr>
      <w:r>
        <w:rPr>
          <w:rFonts w:hint="eastAsia" w:ascii="宋体" w:hAnsi="宋体" w:eastAsia="宋体" w:cs="宋体"/>
          <w:color w:val="auto"/>
          <w:sz w:val="24"/>
          <w:szCs w:val="24"/>
          <w:highlight w:val="none"/>
          <w:u w:val="single"/>
          <w:lang w:val="en-US" w:eastAsia="en-US"/>
        </w:rPr>
        <w:t>①检查和督促承包人和监理人执行合同；</w:t>
      </w:r>
    </w:p>
    <w:p>
      <w:pPr>
        <w:pageBreakBefore w:val="0"/>
        <w:widowControl/>
        <w:spacing w:after="0" w:line="336" w:lineRule="auto"/>
        <w:ind w:left="0" w:right="0" w:firstLine="480"/>
        <w:rPr>
          <w:rFonts w:hint="eastAsia" w:ascii="宋体" w:hAnsi="宋体" w:eastAsia="宋体" w:cs="宋体"/>
          <w:color w:val="auto"/>
          <w:sz w:val="24"/>
          <w:szCs w:val="24"/>
          <w:highlight w:val="none"/>
          <w:u w:val="single"/>
          <w:lang w:val="en-US" w:eastAsia="en-US"/>
        </w:rPr>
      </w:pPr>
      <w:r>
        <w:rPr>
          <w:rFonts w:hint="eastAsia" w:ascii="宋体" w:hAnsi="宋体" w:eastAsia="宋体" w:cs="宋体"/>
          <w:color w:val="auto"/>
          <w:sz w:val="24"/>
          <w:szCs w:val="24"/>
          <w:highlight w:val="none"/>
          <w:u w:val="single"/>
          <w:lang w:val="en-US" w:eastAsia="en-US"/>
        </w:rPr>
        <w:t>②检查和督促监理工程师行使职权；</w:t>
      </w:r>
    </w:p>
    <w:p>
      <w:pPr>
        <w:pageBreakBefore w:val="0"/>
        <w:widowControl/>
        <w:spacing w:after="0" w:line="336" w:lineRule="auto"/>
        <w:ind w:left="0" w:right="0" w:firstLine="480"/>
        <w:rPr>
          <w:rFonts w:hint="eastAsia" w:ascii="宋体" w:hAnsi="宋体" w:eastAsia="宋体" w:cs="宋体"/>
          <w:color w:val="auto"/>
          <w:sz w:val="24"/>
          <w:szCs w:val="24"/>
          <w:highlight w:val="none"/>
          <w:u w:val="single"/>
          <w:lang w:val="en-US" w:eastAsia="en-US"/>
        </w:rPr>
      </w:pPr>
      <w:r>
        <w:rPr>
          <w:rFonts w:hint="eastAsia" w:ascii="宋体" w:hAnsi="宋体" w:eastAsia="宋体" w:cs="宋体"/>
          <w:color w:val="auto"/>
          <w:sz w:val="24"/>
          <w:szCs w:val="24"/>
          <w:highlight w:val="none"/>
          <w:u w:val="single"/>
          <w:lang w:val="en-US" w:eastAsia="en-US"/>
        </w:rPr>
        <w:t>③协调施工现场各方面的关系；</w:t>
      </w:r>
    </w:p>
    <w:p>
      <w:pPr>
        <w:pageBreakBefore w:val="0"/>
        <w:widowControl/>
        <w:spacing w:after="0" w:line="336" w:lineRule="auto"/>
        <w:ind w:left="0" w:right="0" w:firstLine="480"/>
        <w:rPr>
          <w:rFonts w:hint="eastAsia" w:ascii="宋体" w:hAnsi="宋体" w:eastAsia="宋体" w:cs="宋体"/>
          <w:color w:val="auto"/>
          <w:sz w:val="24"/>
          <w:szCs w:val="24"/>
          <w:highlight w:val="none"/>
          <w:u w:val="single"/>
          <w:lang w:val="en-US" w:eastAsia="en-US"/>
        </w:rPr>
      </w:pPr>
      <w:r>
        <w:rPr>
          <w:rFonts w:hint="eastAsia" w:ascii="宋体" w:hAnsi="宋体" w:eastAsia="宋体" w:cs="宋体"/>
          <w:color w:val="auto"/>
          <w:sz w:val="24"/>
          <w:szCs w:val="24"/>
          <w:highlight w:val="none"/>
          <w:u w:val="single"/>
          <w:lang w:val="en-US" w:eastAsia="en-US"/>
        </w:rPr>
        <w:t>④协调工程质量、进度和安全文明等施工中出现的问题；</w:t>
      </w:r>
    </w:p>
    <w:p>
      <w:pPr>
        <w:pageBreakBefore w:val="0"/>
        <w:widowControl/>
        <w:spacing w:after="0" w:line="336" w:lineRule="auto"/>
        <w:ind w:left="0" w:right="0" w:firstLine="480"/>
        <w:rPr>
          <w:rFonts w:hint="eastAsia" w:ascii="宋体" w:hAnsi="宋体" w:eastAsia="宋体" w:cs="宋体"/>
          <w:color w:val="auto"/>
          <w:sz w:val="24"/>
          <w:szCs w:val="24"/>
          <w:highlight w:val="none"/>
          <w:u w:val="single"/>
          <w:lang w:val="en-US" w:eastAsia="en-US"/>
        </w:rPr>
      </w:pPr>
      <w:r>
        <w:rPr>
          <w:rFonts w:hint="eastAsia" w:ascii="宋体" w:hAnsi="宋体" w:eastAsia="宋体" w:cs="宋体"/>
          <w:color w:val="auto"/>
          <w:sz w:val="24"/>
          <w:szCs w:val="24"/>
          <w:highlight w:val="none"/>
          <w:u w:val="single"/>
          <w:lang w:val="en-US" w:eastAsia="en-US"/>
        </w:rPr>
        <w:t>⑤责令监理工程师查封、扣押施工现场发现不符合质量要求的建筑材料、建筑构配件和设备；</w:t>
      </w:r>
    </w:p>
    <w:p>
      <w:pPr>
        <w:pageBreakBefore w:val="0"/>
        <w:widowControl/>
        <w:spacing w:after="0" w:line="336" w:lineRule="auto"/>
        <w:ind w:left="0" w:right="0" w:firstLine="480"/>
        <w:rPr>
          <w:rFonts w:hint="eastAsia" w:ascii="宋体" w:hAnsi="宋体" w:eastAsia="宋体" w:cs="宋体"/>
          <w:color w:val="auto"/>
          <w:sz w:val="24"/>
          <w:szCs w:val="24"/>
          <w:highlight w:val="none"/>
          <w:u w:val="single"/>
          <w:lang w:val="en-US" w:eastAsia="en-US"/>
        </w:rPr>
      </w:pPr>
      <w:r>
        <w:rPr>
          <w:rFonts w:hint="eastAsia" w:ascii="宋体" w:hAnsi="宋体" w:eastAsia="宋体" w:cs="宋体"/>
          <w:color w:val="auto"/>
          <w:sz w:val="24"/>
          <w:szCs w:val="24"/>
          <w:highlight w:val="none"/>
          <w:u w:val="single"/>
          <w:lang w:val="en-US" w:eastAsia="en-US"/>
        </w:rPr>
        <w:t>⑥审核工程进度报表，参与审核工程进度款的支付；</w:t>
      </w:r>
    </w:p>
    <w:p>
      <w:pPr>
        <w:pageBreakBefore w:val="0"/>
        <w:widowControl/>
        <w:spacing w:after="0" w:line="336" w:lineRule="auto"/>
        <w:ind w:left="0" w:right="0" w:firstLine="480"/>
        <w:rPr>
          <w:rFonts w:hint="eastAsia" w:ascii="宋体" w:hAnsi="宋体" w:eastAsia="宋体" w:cs="宋体"/>
          <w:color w:val="auto"/>
          <w:sz w:val="24"/>
          <w:szCs w:val="24"/>
          <w:highlight w:val="none"/>
          <w:u w:val="single"/>
          <w:lang w:val="en-US" w:eastAsia="en-US"/>
        </w:rPr>
      </w:pPr>
      <w:r>
        <w:rPr>
          <w:rFonts w:hint="eastAsia" w:ascii="宋体" w:hAnsi="宋体" w:eastAsia="宋体" w:cs="宋体"/>
          <w:color w:val="auto"/>
          <w:sz w:val="24"/>
          <w:szCs w:val="24"/>
          <w:highlight w:val="none"/>
          <w:u w:val="single"/>
          <w:lang w:val="en-US" w:eastAsia="en-US"/>
        </w:rPr>
        <w:t>⑦监督和检查确认承包人主要施工管理人员施工现场在岗/出勤情况及监理人主要监理人员施工现场在岗/出勤情况；</w:t>
      </w:r>
    </w:p>
    <w:p>
      <w:pPr>
        <w:pageBreakBefore w:val="0"/>
        <w:widowControl/>
        <w:spacing w:after="0" w:line="336" w:lineRule="auto"/>
        <w:ind w:left="0" w:right="0" w:firstLine="480"/>
        <w:rPr>
          <w:rFonts w:hint="eastAsia" w:ascii="宋体" w:hAnsi="宋体" w:eastAsia="宋体" w:cs="宋体"/>
          <w:color w:val="auto"/>
          <w:sz w:val="24"/>
          <w:szCs w:val="24"/>
          <w:highlight w:val="none"/>
          <w:u w:val="single"/>
          <w:lang w:val="en-US" w:eastAsia="en-US"/>
        </w:rPr>
      </w:pPr>
      <w:r>
        <w:rPr>
          <w:rFonts w:hint="eastAsia" w:ascii="宋体" w:hAnsi="宋体" w:eastAsia="宋体" w:cs="宋体"/>
          <w:color w:val="auto"/>
          <w:sz w:val="24"/>
          <w:szCs w:val="24"/>
          <w:highlight w:val="none"/>
          <w:u w:val="single"/>
          <w:lang w:val="en-US" w:eastAsia="en-US"/>
        </w:rPr>
        <w:t>⑧对承包人、监理人提交文件的签证；</w:t>
      </w:r>
    </w:p>
    <w:p>
      <w:pPr>
        <w:pageBreakBefore w:val="0"/>
        <w:widowControl/>
        <w:spacing w:after="0" w:line="336" w:lineRule="auto"/>
        <w:ind w:left="0" w:right="0" w:firstLine="480"/>
        <w:rPr>
          <w:rFonts w:hint="eastAsia" w:ascii="宋体" w:hAnsi="宋体" w:eastAsia="宋体" w:cs="宋体"/>
          <w:color w:val="auto"/>
          <w:sz w:val="24"/>
          <w:szCs w:val="24"/>
          <w:highlight w:val="none"/>
          <w:u w:val="single"/>
          <w:lang w:val="en-US" w:eastAsia="en-US"/>
        </w:rPr>
      </w:pPr>
      <w:r>
        <w:rPr>
          <w:rFonts w:hint="eastAsia" w:ascii="宋体" w:hAnsi="宋体" w:eastAsia="宋体" w:cs="宋体"/>
          <w:color w:val="auto"/>
          <w:sz w:val="24"/>
          <w:szCs w:val="24"/>
          <w:highlight w:val="none"/>
          <w:u w:val="single"/>
          <w:lang w:val="en-US" w:eastAsia="en-US"/>
        </w:rPr>
        <w:t>⑨组织工程竣工验收；</w:t>
      </w:r>
    </w:p>
    <w:p>
      <w:pPr>
        <w:pageBreakBefore w:val="0"/>
        <w:widowControl/>
        <w:spacing w:after="0" w:line="336" w:lineRule="auto"/>
        <w:ind w:left="0" w:right="0" w:firstLine="480"/>
        <w:rPr>
          <w:rFonts w:hint="eastAsia" w:ascii="宋体" w:hAnsi="宋体" w:eastAsia="宋体" w:cs="宋体"/>
          <w:color w:val="auto"/>
          <w:sz w:val="24"/>
          <w:szCs w:val="24"/>
          <w:highlight w:val="none"/>
          <w:u w:val="single"/>
          <w:lang w:val="en-US" w:eastAsia="en-US"/>
        </w:rPr>
      </w:pPr>
      <w:r>
        <w:rPr>
          <w:rFonts w:hint="eastAsia" w:ascii="宋体" w:hAnsi="宋体" w:eastAsia="宋体" w:cs="宋体"/>
          <w:color w:val="auto"/>
          <w:sz w:val="24"/>
          <w:szCs w:val="24"/>
          <w:highlight w:val="none"/>
          <w:u w:val="single"/>
          <w:lang w:val="en-US" w:eastAsia="en-US"/>
        </w:rPr>
        <w:t>⑩发包人授权的其他事项。</w:t>
      </w:r>
    </w:p>
    <w:p>
      <w:pPr>
        <w:pageBreakBefore w:val="0"/>
        <w:widowControl/>
        <w:spacing w:after="0" w:line="336" w:lineRule="auto"/>
        <w:ind w:left="0" w:right="0" w:firstLine="480"/>
        <w:rPr>
          <w:rFonts w:hint="eastAsia" w:ascii="宋体" w:hAnsi="宋体" w:eastAsia="宋体" w:cs="宋体"/>
          <w:color w:val="auto"/>
          <w:sz w:val="24"/>
          <w:szCs w:val="24"/>
          <w:highlight w:val="none"/>
          <w:u w:val="single"/>
          <w:lang w:val="en-US" w:eastAsia="en-US"/>
        </w:rPr>
      </w:pPr>
      <w:r>
        <w:rPr>
          <w:rFonts w:hint="eastAsia" w:ascii="宋体" w:hAnsi="宋体" w:eastAsia="宋体" w:cs="宋体"/>
          <w:color w:val="auto"/>
          <w:sz w:val="24"/>
          <w:szCs w:val="24"/>
          <w:highlight w:val="none"/>
          <w:u w:val="single"/>
          <w:lang w:val="en-US" w:eastAsia="en-US"/>
        </w:rPr>
        <w:t>需要取得发包人批准才能行使的职权：</w:t>
      </w:r>
    </w:p>
    <w:p>
      <w:pPr>
        <w:pageBreakBefore w:val="0"/>
        <w:widowControl/>
        <w:spacing w:after="0" w:line="336" w:lineRule="auto"/>
        <w:ind w:left="0" w:right="0" w:firstLine="480"/>
        <w:rPr>
          <w:rFonts w:hint="eastAsia" w:ascii="宋体" w:hAnsi="宋体" w:eastAsia="宋体" w:cs="宋体"/>
          <w:color w:val="auto"/>
          <w:sz w:val="24"/>
          <w:szCs w:val="24"/>
          <w:highlight w:val="none"/>
          <w:u w:val="single"/>
          <w:lang w:val="en-US" w:eastAsia="en-US"/>
        </w:rPr>
      </w:pPr>
      <w:r>
        <w:rPr>
          <w:rFonts w:hint="eastAsia" w:ascii="宋体" w:hAnsi="宋体" w:eastAsia="宋体" w:cs="宋体"/>
          <w:color w:val="auto"/>
          <w:sz w:val="24"/>
          <w:szCs w:val="24"/>
          <w:highlight w:val="none"/>
          <w:u w:val="single"/>
          <w:lang w:val="en-US" w:eastAsia="en-US"/>
        </w:rPr>
        <w:t>(1)批准改变工程质量验收的标准；(2)批准延长工期； (3)批准涉及到对合同总价有影响的变更或指示；(4)批准工程索赔；(5)批准施工程序的重大变更；(6)批准重要部位的设计变更；(7)确定工程变更估价。</w:t>
      </w:r>
    </w:p>
    <w:p>
      <w:pPr>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2.4施工现场、施工条件和基础资料的提供</w:t>
      </w:r>
    </w:p>
    <w:p>
      <w:pPr>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2.4.1提供施工现场</w:t>
      </w:r>
    </w:p>
    <w:p>
      <w:pPr>
        <w:pageBreakBefore w:val="0"/>
        <w:widowControl/>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关于发包人移交施工现场的期限要求：</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开工通知</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中载明的开工日期7天前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2.4.2提供施工条件</w:t>
      </w:r>
    </w:p>
    <w:p>
      <w:pPr>
        <w:pageBreakBefore w:val="0"/>
        <w:widowControl/>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关于发包人应负责提供施工所需要的条件，包括：</w:t>
      </w:r>
      <w:r>
        <w:rPr>
          <w:rFonts w:hint="eastAsia" w:ascii="宋体" w:hAnsi="宋体" w:eastAsia="宋体" w:cs="宋体"/>
          <w:color w:val="auto"/>
          <w:sz w:val="24"/>
          <w:szCs w:val="24"/>
          <w:highlight w:val="none"/>
          <w:u w:val="single"/>
        </w:rPr>
        <w:t>发包人负责提供电源接入点，由承包人从接点接入施工现场。从发包人提供的电源至施工用电设备线路的安装由承包人负责实施，安装费、线路、设备购置费及施工过程中发生的所有电费，无论承包人是否在投标报价中单独列支，发包人均认为此项费用包含在投标报价中 。</w:t>
      </w:r>
    </w:p>
    <w:p>
      <w:pPr>
        <w:pageBreakBefore w:val="0"/>
        <w:widowControl/>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发包人负责提供水源接入点，由承包人从接点接入施工现场。从发包人提供的水源至施工各用水点的管路安装、布置由承包人负责实施，其安装费、管材、设备购置费及施工过程中发生的所有水费，无论承包人是否在投标报价中单独列支，发包人均认为此项费用包含在投标报价中。</w:t>
      </w:r>
    </w:p>
    <w:p>
      <w:pPr>
        <w:pageBreakBefore w:val="0"/>
        <w:widowControl/>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场外施工道路为市政现状，场内施工道路由承包人根据批准的施工组织设计在开工前自行完成，并满足施工要求及有关规定，此费用包含在投标报价内。</w:t>
      </w:r>
    </w:p>
    <w:p>
      <w:pPr>
        <w:pageBreakBefore w:val="0"/>
        <w:widowControl/>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图纸会审和设计交底时间： 开工前一周内完成 。 </w:t>
      </w:r>
    </w:p>
    <w:p>
      <w:pPr>
        <w:pageBreakBefore w:val="0"/>
        <w:widowControl/>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由承包人负责协调处理施工场地周围地下管线和邻近建筑物、构筑物（含文物保护建筑）、古树名木的保护工作。承包人根据施工需要进行保护，所需费用含在投标报价内。</w:t>
      </w:r>
    </w:p>
    <w:p>
      <w:pPr>
        <w:pageBreakBefore w:val="0"/>
        <w:widowControl/>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施工期间的周边关系及第三方干扰等由承包人负责协调，所需费用含在投标报价内。</w:t>
      </w:r>
    </w:p>
    <w:p>
      <w:pPr>
        <w:pageBreakBefore w:val="0"/>
        <w:widowControl/>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2.4.3 提供基础资料</w:t>
      </w:r>
    </w:p>
    <w:p>
      <w:pPr>
        <w:pageBreakBefore w:val="0"/>
        <w:widowControl/>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在办理施工安全技术措施审查前，组织工程监理单位、施工总承包单位共同拟定文明施工现场创建目标、规划和措施。工程项目开工前，建设单位、监理单位、施工单位应在办理安全技术措施审查的同时，签署工程文明施工管理目标</w:t>
      </w:r>
    </w:p>
    <w:p>
      <w:pPr>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2.5资金来源证明及支付担保</w:t>
      </w:r>
    </w:p>
    <w:p>
      <w:pPr>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发包人提供资金来源证明的期限要求：</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w:t>
      </w:r>
    </w:p>
    <w:p>
      <w:pPr>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发包人是否提供支付担保：</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w:t>
      </w:r>
    </w:p>
    <w:p>
      <w:pPr>
        <w:pageBreakBefore w:val="0"/>
        <w:widowControl/>
        <w:spacing w:after="0" w:line="336" w:lineRule="auto"/>
        <w:ind w:left="0" w:right="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发包人提供支付担保的形式：</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2"/>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 承包人</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承包人的一般义务</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承包人提交的竣工资料的内容：</w:t>
      </w:r>
      <w:r>
        <w:rPr>
          <w:rFonts w:hint="eastAsia" w:ascii="宋体" w:hAnsi="宋体" w:eastAsia="宋体" w:cs="宋体"/>
          <w:color w:val="auto"/>
          <w:sz w:val="24"/>
          <w:szCs w:val="24"/>
          <w:highlight w:val="none"/>
          <w:u w:val="single"/>
        </w:rPr>
        <w:t>承包人按照《建设工程文件归档整理规范》及江苏省相关法规、规范标准及本合同要求绘制竣工图及完整的工程技术档案、工程质量保修书、及有关工程使用、维护的说明。</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承包人需要提交的竣工资料套数：</w:t>
      </w:r>
      <w:r>
        <w:rPr>
          <w:rFonts w:hint="eastAsia" w:ascii="宋体" w:hAnsi="宋体" w:eastAsia="宋体" w:cs="宋体"/>
          <w:color w:val="auto"/>
          <w:sz w:val="24"/>
          <w:szCs w:val="24"/>
          <w:highlight w:val="none"/>
          <w:u w:val="single"/>
        </w:rPr>
        <w:t>①满足行政主管部门要求且符合属地建设工程档案归档规范要求及属地城建档案馆要求；②向发包人提交盖承包人公章和工程竣工资料专用章的纸质版资料竣工图叁套，竣工资料肆套、电子文档资料</w:t>
      </w:r>
      <w:r>
        <w:rPr>
          <w:rFonts w:hint="eastAsia" w:ascii="宋体" w:hAnsi="宋体" w:cs="宋体"/>
          <w:color w:val="auto"/>
          <w:sz w:val="24"/>
          <w:szCs w:val="24"/>
          <w:highlight w:val="none"/>
          <w:u w:val="single"/>
          <w:lang w:val="en-US" w:eastAsia="zh-CN"/>
        </w:rPr>
        <w:t>壹</w:t>
      </w:r>
      <w:r>
        <w:rPr>
          <w:rFonts w:hint="eastAsia" w:ascii="宋体" w:hAnsi="宋体" w:eastAsia="宋体" w:cs="宋体"/>
          <w:color w:val="auto"/>
          <w:sz w:val="24"/>
          <w:szCs w:val="24"/>
          <w:highlight w:val="none"/>
          <w:u w:val="single"/>
        </w:rPr>
        <w:t>套</w:t>
      </w:r>
      <w:r>
        <w:rPr>
          <w:rFonts w:hint="eastAsia" w:ascii="宋体" w:hAnsi="宋体" w:eastAsia="宋体" w:cs="宋体"/>
          <w:color w:val="auto"/>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承包人提交的竣工资料的费用承担：</w:t>
      </w:r>
      <w:r>
        <w:rPr>
          <w:rFonts w:hint="eastAsia" w:ascii="宋体" w:hAnsi="宋体" w:eastAsia="宋体" w:cs="宋体"/>
          <w:color w:val="auto"/>
          <w:sz w:val="24"/>
          <w:szCs w:val="24"/>
          <w:highlight w:val="none"/>
          <w:u w:val="single"/>
        </w:rPr>
        <w:t>由承包人承担</w:t>
      </w:r>
      <w:r>
        <w:rPr>
          <w:rFonts w:hint="eastAsia" w:ascii="宋体" w:hAnsi="宋体" w:eastAsia="宋体" w:cs="宋体"/>
          <w:color w:val="auto"/>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承包人提交的竣工资料移交时间：</w:t>
      </w:r>
      <w:r>
        <w:rPr>
          <w:rFonts w:hint="eastAsia" w:ascii="宋体" w:hAnsi="宋体" w:eastAsia="宋体" w:cs="宋体"/>
          <w:color w:val="auto"/>
          <w:sz w:val="24"/>
          <w:szCs w:val="24"/>
          <w:highlight w:val="none"/>
          <w:u w:val="single"/>
        </w:rPr>
        <w:t>工程竣工验收合格之日起28日内完成移交，若逾期提交，发包人有权暂停支付工程款</w:t>
      </w:r>
      <w:r>
        <w:rPr>
          <w:rFonts w:hint="eastAsia" w:ascii="宋体" w:hAnsi="宋体" w:eastAsia="宋体" w:cs="宋体"/>
          <w:color w:val="auto"/>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承包人提交的竣工资料形式要求：</w:t>
      </w:r>
      <w:r>
        <w:rPr>
          <w:rFonts w:hint="eastAsia" w:ascii="宋体" w:hAnsi="宋体" w:eastAsia="宋体" w:cs="宋体"/>
          <w:color w:val="auto"/>
          <w:sz w:val="24"/>
          <w:szCs w:val="24"/>
          <w:highlight w:val="none"/>
          <w:u w:val="single"/>
        </w:rPr>
        <w:t>立卷、装订成册的纸质文档和电子文档</w:t>
      </w:r>
      <w:r>
        <w:rPr>
          <w:rFonts w:hint="eastAsia" w:ascii="宋体" w:hAnsi="宋体" w:eastAsia="宋体" w:cs="宋体"/>
          <w:color w:val="auto"/>
          <w:sz w:val="24"/>
          <w:szCs w:val="24"/>
          <w:highlight w:val="none"/>
        </w:rPr>
        <w:t>。</w:t>
      </w:r>
    </w:p>
    <w:p>
      <w:pPr>
        <w:pageBreakBefore w:val="0"/>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承包人应履行的其他义务：</w:t>
      </w:r>
      <w:r>
        <w:rPr>
          <w:rFonts w:hint="eastAsia" w:ascii="宋体" w:hAnsi="宋体" w:eastAsia="宋体" w:cs="宋体"/>
          <w:color w:val="auto"/>
          <w:sz w:val="24"/>
          <w:szCs w:val="24"/>
          <w:highlight w:val="none"/>
          <w:u w:val="single"/>
        </w:rPr>
        <w:t>1）施工过程中的排污、环保、渣土、环卫、市容、城建、城管、治安、人口管理等相关手续由承包人按规定负责办理并承担因此产生的一切费用，施工时对临近居民和行人的干扰及影响由承包人负责处理并承担一切责任，如因与临近居民或行人发生冲突，导致工程停工，所有停工损失及其产生的费用由承包人承担，结算时不再调整。若因上述原因引起相关部门的处罚，则由承包人承担处罚的费用，并从工程款中扣除。</w:t>
      </w:r>
    </w:p>
    <w:p>
      <w:pPr>
        <w:pageBreakBefore w:val="0"/>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承包人作为一名有经验的承包方，应预见施工中与其他专业施工单位发生的配合工作，并自主将相关配合费用综合考虑在投标报价内，结算时不再调整。承包人按规定做好施工场地及周围已完工程的保护。若因承包人原因造成损坏，由承包人负责修复并承担一切费用。若承包人拒绝修复，发包人有权安排其他施工单位修复，所需费用从承包人工程款中扣除。</w:t>
      </w:r>
    </w:p>
    <w:p>
      <w:pPr>
        <w:pageBreakBefore w:val="0"/>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符合徐州市有关部门规定的标准化施工现场要求，同时应满足市政、市容等相关主管部门的有关规定。道路施工工地一律实行封闭施工、防尘网覆盖、定时洒水，控制扬尘污染等安全文明施工措施。不符合要求者， 承包人应承担 200-2000 元/次的违约金。承包人违反规定所造成的损失和处罚由承包人承担。承包人负责在竣工验收合格后十日内将施工现场彻底清洁完毕，承包人拒绝清洁的，发包人有权安排其他施工单位修复，所需费用从承包人工程款中扣除。</w:t>
      </w:r>
    </w:p>
    <w:p>
      <w:pPr>
        <w:pageBreakBefore w:val="0"/>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4）承担施工安全保卫工作及非夜间施工照明的责任和要求：由承包人按建设行政管理部门和相关部门的要求自行承担，并设置明显警示标志和专职人员维护公共安全。</w:t>
      </w:r>
    </w:p>
    <w:p>
      <w:pPr>
        <w:pageBreakBefore w:val="0"/>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5）向发包人提供的办公和生活房屋及设施的要求：发包人</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监理人</w:t>
      </w:r>
      <w:r>
        <w:rPr>
          <w:rFonts w:hint="eastAsia" w:ascii="宋体" w:hAnsi="宋体" w:eastAsia="宋体" w:cs="宋体"/>
          <w:color w:val="auto"/>
          <w:sz w:val="24"/>
          <w:szCs w:val="24"/>
          <w:highlight w:val="none"/>
          <w:u w:val="single"/>
        </w:rPr>
        <w:t>驻施工现场管理人员必要的办公用房及设施由承包人负责免费提供。</w:t>
      </w:r>
    </w:p>
    <w:p>
      <w:pPr>
        <w:pageBreakBefore w:val="0"/>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6）需承包人办理的有关施工场地交通、环卫和施工噪音管理等手续：由承包人负责承担，费用也由承包方承担并综合考虑在投标报价内。</w:t>
      </w:r>
    </w:p>
    <w:p>
      <w:pPr>
        <w:pageBreakBefore w:val="0"/>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7）承包人综合考虑本项目全线封闭施工，且考虑可能存在的半幅道路施工，因此可能增加的费用综合考虑在投标报价内，结算时不再增加于此相关的费用。</w:t>
      </w:r>
    </w:p>
    <w:p>
      <w:pPr>
        <w:pageBreakBefore w:val="0"/>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8）已完工程成品保护的特殊要求及费用承担：由承包人负责承担。</w:t>
      </w:r>
    </w:p>
    <w:p>
      <w:pPr>
        <w:pageBreakBefore w:val="0"/>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9）施工场地清洁卫生和要求：应按建设行政主管部门和相关部门的规定办理，所需费用由承包人负担。</w:t>
      </w:r>
    </w:p>
    <w:p>
      <w:pPr>
        <w:pageBreakBefore w:val="0"/>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10）承包人负责在需要的时间和地点，自费提供和维护有灯光、护板、格栅警告信号和警卫，以及对工程进行保护或为公众提供安全和方便。承包人负责在工程施工整个过程中施工现场在承包范围内全部人员的安全。发包人不承担承包人或其内部班组雇用工人或其他人员的伤亡赔偿或补偿责任。承包人在施工现场的安全管理、教育和安全事故的责任由承包人承担。因承包人未履行上述义务给发包方造成的损失及财产损失的，承包方应负全部的赔偿责任。</w:t>
      </w:r>
    </w:p>
    <w:p>
      <w:pPr>
        <w:pageBreakBefore w:val="0"/>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11）承包人应积极配合各类上级主管部门的各项检查及验收工作等，并积极做好各项迎检工作，所产生费用由承包人承担。若承包人拒绝配合，发包人有权安排其他施工单位配合，所需费用从承包人工程款中扣除。</w:t>
      </w:r>
    </w:p>
    <w:p>
      <w:pPr>
        <w:pageBreakBefore w:val="0"/>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12）承包人必须对工程现场施工人员全部实行实名制考勤管理，签订劳动合同，设立工资存储专户，按照工程进度和工人实名制登记信息，按月足额由银行代发工资。</w:t>
      </w:r>
    </w:p>
    <w:p>
      <w:pPr>
        <w:pageBreakBefore w:val="0"/>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13）承包人应按发包人的指令，完成发包人要求的对工程内容的任何增加和删减；费用按相关条款执行。</w:t>
      </w:r>
    </w:p>
    <w:p>
      <w:pPr>
        <w:pageBreakBefore w:val="0"/>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14）承包人应积极主动核对图纸中的技术数据，充分理解设计意图。若由于明显的图纸设计问题（例如尺寸标注不闭合、文字标识相互矛盾等）和发包人（包括监理）不正确的指令，承包人发现后有及时告知义务，否则造成工程质量、安全、进度损失，不能免除承包人的责任。</w:t>
      </w:r>
    </w:p>
    <w:p>
      <w:pPr>
        <w:pageBreakBefore w:val="0"/>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15）承包人投标前自行踏勘现场，充分了解现在实际情况，根据现在实际情况展开施工，不得以现场场区不满足施工布局、已完施工的建筑物存在施工缺陷等问题拒绝施工或要求增加费用。 </w:t>
      </w:r>
    </w:p>
    <w:p>
      <w:pPr>
        <w:pageBreakBefore w:val="0"/>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16）检测机构检测费用不单独列项，</w:t>
      </w:r>
      <w:r>
        <w:rPr>
          <w:rFonts w:hint="eastAsia" w:ascii="宋体" w:hAnsi="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rPr>
        <w:t>应综合考虑在企业管理费中，结算时不再调整。招标人如需增加抽检，检测合格费用由招标人支付；检测不合格，视为</w:t>
      </w:r>
      <w:r>
        <w:rPr>
          <w:rFonts w:hint="eastAsia" w:ascii="宋体" w:hAnsi="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rPr>
        <w:t>违约，检测费、整改至合格的费用由</w:t>
      </w:r>
      <w:r>
        <w:rPr>
          <w:rFonts w:hint="eastAsia" w:ascii="宋体" w:hAnsi="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rPr>
        <w:t>支付，且需要支付相关分项工程5%的违约金。</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3.2项目经理</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3.2.1项目经理：</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ab/>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建造师执业资格等级：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建造师注册证书号：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建造师执业印章号：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安全生产考核合格证书号：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承包人对项目经理的授权范围如下：</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1.领导、决策，调集企业所属各单位、各部门为项目进行全面服务和控制。</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2.代表承包人履行对业主的合约，并受业主委托行使对项目所有分包商统一指挥、协调、管理权；</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3.负责组织编制与审批工程总体进度计划及其修订与调整；</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4.负责组织编制与审批质量保证计划及其修订与调整；</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5.负责组织编制与审批主要物资供应与采购计划及其修订与调整；</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6.负责组织编制与审批工程分包计划及其修订与调整；</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7.组织工程成本的分析、预测及控制，对项目资金管理与财务运作负责；</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8.与业主、监理保持经常沟通，了解业主需求，解决随时出现的问题，替业主排忧解难，保护业主利益；</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9.负责组织人力资源调配、内部和外部关系协调；遵照合同约定及施工组织设计中的内容实施于工程，当超出实施范围应向上级决策机构申报</w:t>
      </w:r>
      <w:r>
        <w:rPr>
          <w:rFonts w:hint="eastAsia" w:ascii="宋体" w:hAnsi="宋体" w:eastAsia="宋体" w:cs="宋体"/>
          <w:color w:val="auto"/>
          <w:sz w:val="24"/>
          <w:szCs w:val="24"/>
          <w:highlight w:val="none"/>
        </w:rPr>
        <w:t>。</w:t>
      </w:r>
    </w:p>
    <w:p>
      <w:pPr>
        <w:keepNext w:val="0"/>
        <w:keepLines w:val="0"/>
        <w:pageBreakBefore w:val="0"/>
        <w:widowControl/>
        <w:spacing w:after="0" w:line="336" w:lineRule="auto"/>
        <w:ind w:left="0" w:right="0" w:firstLine="480"/>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关于项目经理每月在施工现场的时间要求：</w:t>
      </w:r>
      <w:r>
        <w:rPr>
          <w:rFonts w:hint="eastAsia" w:ascii="宋体" w:hAnsi="宋体" w:eastAsia="宋体" w:cs="宋体"/>
          <w:color w:val="auto"/>
          <w:sz w:val="24"/>
          <w:szCs w:val="24"/>
          <w:highlight w:val="none"/>
          <w:u w:val="single"/>
        </w:rPr>
        <w:t xml:space="preserve"> 注册建造师为本单位人员，且资格审查合格后不再更换。中标后，项目经理必须在现场组织施工，每周至少在现场</w:t>
      </w:r>
      <w:r>
        <w:rPr>
          <w:rFonts w:hint="eastAsia" w:ascii="宋体" w:hAnsi="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rPr>
        <w:t>日，每日不少于 8 小时，切实发挥作用，未经</w:t>
      </w:r>
      <w:r>
        <w:rPr>
          <w:rFonts w:hint="eastAsia" w:ascii="宋体" w:hAnsi="宋体" w:eastAsia="宋体" w:cs="宋体"/>
          <w:color w:val="auto"/>
          <w:sz w:val="24"/>
          <w:szCs w:val="24"/>
          <w:highlight w:val="none"/>
          <w:u w:val="single"/>
          <w:lang w:val="en-US" w:eastAsia="zh-CN"/>
        </w:rPr>
        <w:t>发包人</w:t>
      </w:r>
      <w:r>
        <w:rPr>
          <w:rFonts w:hint="eastAsia" w:ascii="宋体" w:hAnsi="宋体" w:eastAsia="宋体" w:cs="宋体"/>
          <w:color w:val="auto"/>
          <w:sz w:val="24"/>
          <w:szCs w:val="24"/>
          <w:highlight w:val="none"/>
          <w:u w:val="single"/>
        </w:rPr>
        <w:t>书面同意，不得离开现场，否则按次处罚，2000 元/次，累计 5 次发包人有权单方面终止合同，并由承包人承担一切相应后果 。施工组织设计中现场管理机构的其它人员必须按期到位，否则应向发包人支付违约金1000元/日·人</w:t>
      </w:r>
      <w:r>
        <w:rPr>
          <w:rFonts w:hint="eastAsia" w:ascii="宋体" w:hAnsi="宋体" w:eastAsia="宋体" w:cs="宋体"/>
          <w:color w:val="auto"/>
          <w:sz w:val="24"/>
          <w:szCs w:val="24"/>
          <w:highlight w:val="none"/>
          <w:u w:val="single"/>
          <w:lang w:eastAsia="zh-CN"/>
        </w:rPr>
        <w:t>。</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承包人未提交劳动合同，以及没有为项目经理缴纳社会保险证明的违约责任：</w:t>
      </w:r>
      <w:r>
        <w:rPr>
          <w:rFonts w:hint="eastAsia" w:ascii="宋体" w:hAnsi="宋体" w:eastAsia="宋体" w:cs="宋体"/>
          <w:color w:val="auto"/>
          <w:sz w:val="24"/>
          <w:szCs w:val="24"/>
          <w:highlight w:val="none"/>
          <w:u w:val="single"/>
        </w:rPr>
        <w:t>承包人承担叁万元的违约金，责令限期提交劳动合同并补缴社会保险</w:t>
      </w:r>
      <w:r>
        <w:rPr>
          <w:rFonts w:hint="eastAsia" w:ascii="宋体" w:hAnsi="宋体" w:eastAsia="宋体" w:cs="宋体"/>
          <w:color w:val="auto"/>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项目经理未经批准，擅自离开施工现场的违约责任：</w:t>
      </w:r>
      <w:r>
        <w:rPr>
          <w:rFonts w:hint="eastAsia" w:ascii="宋体" w:hAnsi="宋体" w:eastAsia="宋体" w:cs="宋体"/>
          <w:color w:val="auto"/>
          <w:sz w:val="24"/>
          <w:szCs w:val="24"/>
          <w:highlight w:val="none"/>
          <w:u w:val="single"/>
        </w:rPr>
        <w:t>每查实一次向发包人支付违约金2000元，费用从当期应付工程款中直接扣除。如有特殊情况离开现场，应提前报请监理人、发包人同意 ；施工组织设计中现场管理机构的其它人员必须按期到位，否则应向发包人支付违约金1000元/日·人</w:t>
      </w:r>
      <w:r>
        <w:rPr>
          <w:rFonts w:hint="eastAsia" w:ascii="宋体" w:hAnsi="宋体" w:eastAsia="宋体" w:cs="宋体"/>
          <w:color w:val="auto"/>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承包人擅自更换项目经理的违约责任：</w:t>
      </w:r>
      <w:r>
        <w:rPr>
          <w:rFonts w:hint="eastAsia" w:ascii="宋体" w:hAnsi="宋体" w:eastAsia="宋体" w:cs="宋体"/>
          <w:color w:val="auto"/>
          <w:sz w:val="24"/>
          <w:szCs w:val="24"/>
          <w:highlight w:val="none"/>
          <w:u w:val="single"/>
        </w:rPr>
        <w:t>本项目在建设过程中不得擅自更换项目负责人（注册建造师）、技术负责人和项目组人员，发包人有权要求承包人承担壹拾万元的违约金，并有权解除合同并责令承包人退场，由此产生的一切损失及后果由承包人承担。如需更换则需</w:t>
      </w:r>
      <w:r>
        <w:rPr>
          <w:rFonts w:hint="eastAsia" w:ascii="宋体" w:hAnsi="宋体" w:eastAsia="宋体" w:cs="宋体"/>
          <w:color w:val="auto"/>
          <w:sz w:val="24"/>
          <w:szCs w:val="24"/>
          <w:highlight w:val="none"/>
          <w:u w:val="single"/>
          <w:lang w:val="en-US" w:eastAsia="zh-CN"/>
        </w:rPr>
        <w:t>发包人</w:t>
      </w:r>
      <w:r>
        <w:rPr>
          <w:rFonts w:hint="eastAsia" w:ascii="宋体" w:hAnsi="宋体" w:eastAsia="宋体" w:cs="宋体"/>
          <w:color w:val="auto"/>
          <w:sz w:val="24"/>
          <w:szCs w:val="24"/>
          <w:highlight w:val="none"/>
          <w:u w:val="single"/>
        </w:rPr>
        <w:t>、监理方、建设主管部门同时认可、办理相应手续后方可更换</w:t>
      </w:r>
      <w:r>
        <w:rPr>
          <w:rFonts w:hint="eastAsia" w:ascii="宋体" w:hAnsi="宋体" w:eastAsia="宋体" w:cs="宋体"/>
          <w:color w:val="auto"/>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承包人无正当理由拒绝更换项目经理的违约责任：</w:t>
      </w:r>
      <w:r>
        <w:rPr>
          <w:rFonts w:hint="eastAsia" w:ascii="宋体" w:hAnsi="宋体" w:eastAsia="宋体" w:cs="宋体"/>
          <w:color w:val="auto"/>
          <w:sz w:val="24"/>
          <w:szCs w:val="24"/>
          <w:highlight w:val="none"/>
          <w:u w:val="single"/>
        </w:rPr>
        <w:t>发包人有权要求承包人承担壹拾万元的违约金，并有权解除合同并责令承包人退场，由此产生的一切损失及后果由承包人承担。</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3.3承包人人员</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3.3.1承包人提交项目管理机构及施工现场管理人员安排报告的期限：</w:t>
      </w:r>
      <w:r>
        <w:rPr>
          <w:rFonts w:hint="eastAsia" w:ascii="宋体" w:hAnsi="宋体" w:eastAsia="宋体" w:cs="宋体"/>
          <w:color w:val="auto"/>
          <w:sz w:val="24"/>
          <w:szCs w:val="24"/>
          <w:highlight w:val="none"/>
          <w:u w:val="single"/>
        </w:rPr>
        <w:t>合同签订后7天内</w:t>
      </w:r>
      <w:r>
        <w:rPr>
          <w:rFonts w:hint="eastAsia" w:ascii="宋体" w:hAnsi="宋体" w:eastAsia="宋体" w:cs="宋体"/>
          <w:color w:val="auto"/>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承包人无正当理由拒绝撤换主要施工管理人员的违约责任</w:t>
      </w:r>
      <w:r>
        <w:rPr>
          <w:rFonts w:hint="eastAsia" w:ascii="宋体" w:hAnsi="宋体" w:eastAsia="宋体" w:cs="宋体"/>
          <w:color w:val="auto"/>
          <w:sz w:val="24"/>
          <w:szCs w:val="24"/>
          <w:highlight w:val="none"/>
          <w:u w:val="single"/>
        </w:rPr>
        <w:t>：发包人有权要求承包人承担叁万元的违约金，并有权解除合同并责令承包人退场，由此产生的一切损失及后果由承包人承担</w:t>
      </w:r>
      <w:r>
        <w:rPr>
          <w:rFonts w:hint="eastAsia" w:ascii="宋体" w:hAnsi="宋体" w:eastAsia="宋体" w:cs="宋体"/>
          <w:color w:val="auto"/>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3.3.</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承包人主要施工管理人员离开施工现场的批准要求：</w:t>
      </w:r>
      <w:r>
        <w:rPr>
          <w:rFonts w:hint="eastAsia" w:ascii="宋体" w:hAnsi="宋体" w:eastAsia="宋体" w:cs="宋体"/>
          <w:color w:val="auto"/>
          <w:sz w:val="24"/>
          <w:szCs w:val="24"/>
          <w:highlight w:val="none"/>
          <w:u w:val="single"/>
        </w:rPr>
        <w:t>由总监理工程师批准，发包人认可后方可离开</w:t>
      </w:r>
      <w:r>
        <w:rPr>
          <w:rFonts w:hint="eastAsia" w:ascii="宋体" w:hAnsi="宋体" w:eastAsia="宋体" w:cs="宋体"/>
          <w:color w:val="auto"/>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承包人擅自更换主要施工管理人员的违约责任：</w:t>
      </w:r>
      <w:r>
        <w:rPr>
          <w:rFonts w:hint="eastAsia" w:ascii="宋体" w:hAnsi="宋体" w:eastAsia="宋体" w:cs="宋体"/>
          <w:color w:val="auto"/>
          <w:sz w:val="24"/>
          <w:szCs w:val="24"/>
          <w:highlight w:val="none"/>
          <w:u w:val="single"/>
        </w:rPr>
        <w:t>发包人有权要求承包人承担壹万元的违约金，并有权解除合同并责令承包人退场，由此产生的一切损失及后果由承包人承担</w:t>
      </w:r>
      <w:r>
        <w:rPr>
          <w:rFonts w:hint="eastAsia" w:ascii="宋体" w:hAnsi="宋体" w:eastAsia="宋体" w:cs="宋体"/>
          <w:color w:val="auto"/>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承包人主要施工管理人员擅自离开施工现场的违约责任：</w:t>
      </w:r>
      <w:r>
        <w:rPr>
          <w:rFonts w:hint="eastAsia" w:ascii="宋体" w:hAnsi="宋体" w:eastAsia="宋体" w:cs="宋体"/>
          <w:color w:val="auto"/>
          <w:sz w:val="24"/>
          <w:szCs w:val="24"/>
          <w:highlight w:val="none"/>
          <w:u w:val="single"/>
        </w:rPr>
        <w:t>承包人承担壹万元/次的违约金，承包人承担及因上述违约给发包人造成的全部损失</w:t>
      </w:r>
      <w:r>
        <w:rPr>
          <w:rFonts w:hint="eastAsia" w:ascii="宋体" w:hAnsi="宋体" w:eastAsia="宋体" w:cs="宋体"/>
          <w:color w:val="auto"/>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31" w:name="_Toc292559869"/>
      <w:bookmarkStart w:id="32" w:name="_Toc304295523"/>
      <w:bookmarkStart w:id="33" w:name="_Toc296503159"/>
      <w:bookmarkStart w:id="34" w:name="_Toc296891199"/>
      <w:bookmarkStart w:id="35" w:name="_Toc296890987"/>
      <w:bookmarkStart w:id="36" w:name="_Toc312677988"/>
      <w:bookmarkStart w:id="37" w:name="_Toc297048345"/>
      <w:bookmarkStart w:id="38" w:name="_Toc296347158"/>
      <w:bookmarkStart w:id="39" w:name="_Toc297123492"/>
      <w:bookmarkStart w:id="40" w:name="_Toc292559364"/>
      <w:bookmarkStart w:id="41" w:name="_Toc296944498"/>
      <w:bookmarkStart w:id="42" w:name="_Toc296346660"/>
      <w:bookmarkStart w:id="43" w:name="_Toc297216151"/>
      <w:bookmarkStart w:id="44" w:name="_Toc303539102"/>
      <w:bookmarkStart w:id="45" w:name="_Toc300934945"/>
      <w:bookmarkStart w:id="46" w:name="_Toc297120459"/>
      <w:r>
        <w:rPr>
          <w:rFonts w:hint="eastAsia" w:ascii="宋体" w:hAnsi="宋体" w:eastAsia="宋体" w:cs="宋体"/>
          <w:color w:val="auto"/>
          <w:sz w:val="24"/>
          <w:szCs w:val="24"/>
          <w:highlight w:val="none"/>
        </w:rPr>
        <w:t>.5分包</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47" w:name="_Toc296890988"/>
      <w:bookmarkStart w:id="48" w:name="_Toc296944499"/>
      <w:bookmarkStart w:id="49" w:name="_Toc292559365"/>
      <w:bookmarkStart w:id="50" w:name="_Toc297123493"/>
      <w:bookmarkStart w:id="51" w:name="_Toc296891200"/>
      <w:bookmarkStart w:id="52" w:name="_Toc292559870"/>
      <w:bookmarkStart w:id="53" w:name="_Toc297216152"/>
      <w:bookmarkStart w:id="54" w:name="_Toc297120460"/>
      <w:bookmarkStart w:id="55" w:name="_Toc296346661"/>
      <w:bookmarkStart w:id="56" w:name="_Toc304295524"/>
      <w:bookmarkStart w:id="57" w:name="_Toc303539103"/>
      <w:bookmarkStart w:id="58" w:name="_Toc297048346"/>
      <w:bookmarkStart w:id="59" w:name="_Toc300934946"/>
      <w:bookmarkStart w:id="60" w:name="_Toc296503160"/>
      <w:bookmarkStart w:id="61" w:name="_Toc296347159"/>
      <w:bookmarkStart w:id="62" w:name="_Toc318581158"/>
      <w:bookmarkStart w:id="63" w:name="_Toc312677989"/>
      <w:r>
        <w:rPr>
          <w:rFonts w:hint="eastAsia" w:ascii="宋体" w:hAnsi="宋体" w:eastAsia="宋体" w:cs="宋体"/>
          <w:color w:val="auto"/>
          <w:sz w:val="24"/>
          <w:szCs w:val="24"/>
          <w:highlight w:val="none"/>
        </w:rPr>
        <w:t>.5.1分包的一般约定</w:t>
      </w:r>
    </w:p>
    <w:p>
      <w:pPr>
        <w:keepNext w:val="0"/>
        <w:keepLines w:val="0"/>
        <w:pageBreakBefore w:val="0"/>
        <w:widowControl/>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禁止分包的工程包括：</w:t>
      </w:r>
      <w:r>
        <w:rPr>
          <w:rFonts w:hint="eastAsia" w:ascii="宋体" w:hAnsi="宋体" w:eastAsia="宋体" w:cs="宋体"/>
          <w:color w:val="auto"/>
          <w:sz w:val="24"/>
          <w:szCs w:val="24"/>
          <w:highlight w:val="none"/>
          <w:u w:val="single"/>
        </w:rPr>
        <w:t>本工程禁止违法分包</w:t>
      </w:r>
      <w:r>
        <w:rPr>
          <w:rFonts w:hint="eastAsia" w:ascii="宋体" w:hAnsi="宋体" w:eastAsia="宋体" w:cs="宋体"/>
          <w:color w:val="auto"/>
          <w:sz w:val="24"/>
          <w:szCs w:val="24"/>
          <w:highlight w:val="none"/>
        </w:rPr>
        <w:t>。</w:t>
      </w:r>
    </w:p>
    <w:p>
      <w:pPr>
        <w:keepNext w:val="0"/>
        <w:keepLines w:val="0"/>
        <w:pageBreakBefore w:val="0"/>
        <w:widowControl/>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主体结构、关键性工作的范围：</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Pr>
          <w:rFonts w:hint="eastAsia" w:ascii="宋体" w:hAnsi="宋体" w:eastAsia="宋体" w:cs="宋体"/>
          <w:color w:val="auto"/>
          <w:sz w:val="24"/>
          <w:szCs w:val="24"/>
          <w:highlight w:val="none"/>
          <w:u w:val="single"/>
        </w:rPr>
        <w:t>执行国家相关法律、法规规定</w:t>
      </w:r>
      <w:r>
        <w:rPr>
          <w:rFonts w:hint="eastAsia" w:ascii="宋体" w:hAnsi="宋体" w:eastAsia="宋体" w:cs="宋体"/>
          <w:color w:val="auto"/>
          <w:sz w:val="24"/>
          <w:szCs w:val="24"/>
          <w:highlight w:val="none"/>
        </w:rPr>
        <w:t>。</w:t>
      </w:r>
      <w:bookmarkEnd w:id="62"/>
      <w:bookmarkEnd w:id="63"/>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64" w:name="_Toc312677990"/>
      <w:bookmarkStart w:id="65" w:name="_Toc318581159"/>
      <w:r>
        <w:rPr>
          <w:rFonts w:hint="eastAsia" w:ascii="宋体" w:hAnsi="宋体" w:eastAsia="宋体" w:cs="宋体"/>
          <w:color w:val="auto"/>
          <w:sz w:val="24"/>
          <w:szCs w:val="24"/>
          <w:highlight w:val="none"/>
        </w:rPr>
        <w:t>.5.2分包的确定</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允许分包的专业工程包括：</w:t>
      </w:r>
      <w:r>
        <w:rPr>
          <w:rFonts w:hint="eastAsia" w:ascii="宋体" w:hAnsi="宋体" w:eastAsia="宋体" w:cs="宋体"/>
          <w:color w:val="auto"/>
          <w:sz w:val="24"/>
          <w:szCs w:val="24"/>
          <w:highlight w:val="none"/>
          <w:u w:val="single"/>
        </w:rPr>
        <w:t>执行国家相关法律、法规规定</w:t>
      </w:r>
      <w:r>
        <w:rPr>
          <w:rFonts w:hint="eastAsia" w:ascii="宋体" w:hAnsi="宋体" w:eastAsia="宋体" w:cs="宋体"/>
          <w:color w:val="auto"/>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其他关于分包的约定：</w:t>
      </w:r>
      <w:r>
        <w:rPr>
          <w:rFonts w:hint="eastAsia" w:ascii="宋体" w:hAnsi="宋体" w:eastAsia="宋体" w:cs="宋体"/>
          <w:color w:val="auto"/>
          <w:sz w:val="24"/>
          <w:szCs w:val="24"/>
          <w:highlight w:val="none"/>
          <w:u w:val="single"/>
        </w:rPr>
        <w:t xml:space="preserve"> 除通用合同条款的约定外，分包还应遵循以下约定：</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未经发包人和监理人同意，承包人不得将其他非主体、非关键性工作分包给第三人；未经发包人和监理人审批同意的分包工程和分包人，发包人有权拒绝验收分包工程和支付相应款项，由此引起的费用增加和(或)延误的工期由承包人承担。</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(2)承包人应保障分包工作不得再次分包。</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分包合同价款</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关于分包合同价款支付的约定：</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w:t>
      </w:r>
      <w:bookmarkEnd w:id="64"/>
      <w:bookmarkEnd w:id="65"/>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3.6工程照管与成品、半成品保护</w:t>
      </w:r>
    </w:p>
    <w:p>
      <w:pPr>
        <w:keepNext w:val="0"/>
        <w:keepLines w:val="0"/>
        <w:pageBreakBefore w:val="0"/>
        <w:widowControl/>
        <w:spacing w:after="0" w:line="336" w:lineRule="auto"/>
        <w:ind w:left="0" w:right="0" w:firstLine="480"/>
        <w:jc w:val="left"/>
        <w:rPr>
          <w:rFonts w:hint="eastAsia" w:ascii="宋体" w:hAnsi="宋体" w:eastAsia="宋体" w:cs="宋体"/>
          <w:b w:val="0"/>
          <w:bCs/>
          <w:color w:val="auto"/>
          <w:sz w:val="24"/>
          <w:szCs w:val="24"/>
          <w:highlight w:val="none"/>
          <w:u w:val="single"/>
        </w:rPr>
      </w:pPr>
      <w:r>
        <w:rPr>
          <w:rFonts w:hint="eastAsia" w:ascii="宋体" w:hAnsi="宋体" w:eastAsia="宋体" w:cs="宋体"/>
          <w:color w:val="auto"/>
          <w:sz w:val="24"/>
          <w:szCs w:val="24"/>
          <w:highlight w:val="none"/>
        </w:rPr>
        <w:t>承包人负责照管工程及工程相关的材料、工程设备的起始时间：</w:t>
      </w:r>
      <w:r>
        <w:rPr>
          <w:rFonts w:hint="eastAsia" w:ascii="宋体" w:hAnsi="宋体" w:eastAsia="宋体" w:cs="宋体"/>
          <w:b w:val="0"/>
          <w:bCs/>
          <w:color w:val="auto"/>
          <w:sz w:val="24"/>
          <w:szCs w:val="24"/>
          <w:highlight w:val="none"/>
          <w:u w:val="single"/>
        </w:rPr>
        <w:t>工程施工开始至竣工验收合格并办理完工程移交手续止。设备、人员进场至工程移交/接收证书签发前由承包人负责照管，费用由承包人承担。承包人负责采取有效措施对已完成工程成品的保护，费用由承包人承担。保护期间发生的损坏承包人予以修理并承担因此产生的一切损失和费用。损坏其他单位所承担的施工内容，由承包人负责赔偿或修复，并承担因此产生的一切损失费用。承包人拒绝赔偿或修复的，发包人有权另行委托施工单位进行修复，所需费用从承包人工程款中直接扣除，承包人不得有任何异议。</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3.7履约担保</w:t>
      </w:r>
    </w:p>
    <w:p>
      <w:pPr>
        <w:keepNext w:val="0"/>
        <w:keepLines w:val="0"/>
        <w:pageBreakBefore w:val="0"/>
        <w:widowControl/>
        <w:spacing w:after="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承包人是否提供履约担保：</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是</w:t>
      </w:r>
      <w:r>
        <w:rPr>
          <w:rFonts w:hint="eastAsia" w:ascii="宋体" w:hAnsi="宋体" w:eastAsia="宋体" w:cs="宋体"/>
          <w:color w:val="auto"/>
          <w:sz w:val="24"/>
          <w:szCs w:val="24"/>
          <w:highlight w:val="none"/>
          <w:u w:val="single"/>
        </w:rPr>
        <w:t xml:space="preserve"> 。</w:t>
      </w:r>
    </w:p>
    <w:p>
      <w:pPr>
        <w:keepNext w:val="0"/>
        <w:keepLines w:val="0"/>
        <w:pageBreakBefore w:val="0"/>
        <w:widowControl/>
        <w:spacing w:after="0" w:line="360" w:lineRule="auto"/>
        <w:ind w:firstLine="48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承包人提供履约担保的金额：</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中标价的10%，</w:t>
      </w:r>
      <w:r>
        <w:rPr>
          <w:rFonts w:hint="eastAsia" w:ascii="宋体" w:hAnsi="宋体" w:eastAsia="宋体" w:cs="宋体"/>
          <w:color w:val="auto"/>
          <w:sz w:val="24"/>
          <w:szCs w:val="24"/>
          <w:highlight w:val="none"/>
          <w:u w:val="single"/>
          <w:lang w:val="en-US" w:eastAsia="zh-CN"/>
        </w:rPr>
        <w:t>。</w:t>
      </w:r>
    </w:p>
    <w:p>
      <w:pPr>
        <w:pStyle w:val="16"/>
        <w:ind w:firstLine="48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履约保证金的缴纳方式：电汇、银行转账形式</w:t>
      </w:r>
    </w:p>
    <w:p>
      <w:pPr>
        <w:pStyle w:val="15"/>
        <w:numPr>
          <w:ilvl w:val="0"/>
          <w:numId w:val="0"/>
        </w:numPr>
        <w:spacing w:line="360" w:lineRule="auto"/>
        <w:ind w:firstLine="48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履约保证金缴纳时间：中标通知书领取后7日内。</w:t>
      </w:r>
    </w:p>
    <w:p>
      <w:pPr>
        <w:pStyle w:val="15"/>
        <w:numPr>
          <w:ilvl w:val="0"/>
          <w:numId w:val="0"/>
        </w:numPr>
        <w:spacing w:line="360" w:lineRule="auto"/>
        <w:ind w:firstLine="48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中标人自领取书面中标通知书7日内按招标文件规定缴纳履约保证金。中标人未在规定期限内缴纳履约保证金的，视为自动放弃中标资格。 </w:t>
      </w:r>
    </w:p>
    <w:p>
      <w:pPr>
        <w:pStyle w:val="15"/>
        <w:numPr>
          <w:ilvl w:val="0"/>
          <w:numId w:val="0"/>
        </w:numPr>
        <w:spacing w:line="360" w:lineRule="auto"/>
        <w:ind w:firstLine="48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履约保证金返还：工程竣工验收合格后14日历天内全额退还（不计利息）。</w:t>
      </w:r>
      <w:r>
        <w:rPr>
          <w:rFonts w:hint="eastAsia" w:ascii="宋体" w:hAnsi="宋体" w:cs="宋体"/>
          <w:b/>
          <w:szCs w:val="21"/>
        </w:rPr>
        <w:t xml:space="preserve"> </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2"/>
        <w:jc w:val="both"/>
        <w:rPr>
          <w:rFonts w:hint="eastAsia" w:ascii="宋体" w:hAnsi="宋体" w:eastAsia="宋体" w:cs="宋体"/>
          <w:color w:val="auto"/>
          <w:sz w:val="24"/>
          <w:szCs w:val="24"/>
          <w:highlight w:val="none"/>
        </w:rPr>
      </w:pPr>
      <w:bookmarkStart w:id="66" w:name="_Toc351203636"/>
      <w:r>
        <w:rPr>
          <w:rFonts w:hint="eastAsia" w:ascii="宋体" w:hAnsi="宋体" w:eastAsia="宋体" w:cs="宋体"/>
          <w:b/>
          <w:bCs/>
          <w:color w:val="auto"/>
          <w:sz w:val="24"/>
          <w:szCs w:val="24"/>
          <w:highlight w:val="none"/>
        </w:rPr>
        <w:t>4</w:t>
      </w:r>
      <w:bookmarkStart w:id="67" w:name="_Toc297048348"/>
      <w:bookmarkStart w:id="68" w:name="_Toc296890990"/>
      <w:bookmarkStart w:id="69" w:name="_Toc296346663"/>
      <w:bookmarkStart w:id="70" w:name="_Toc296347161"/>
      <w:bookmarkStart w:id="71" w:name="_Toc297120462"/>
      <w:bookmarkStart w:id="72" w:name="_Toc296944501"/>
      <w:bookmarkStart w:id="73" w:name="_Toc296503162"/>
      <w:bookmarkStart w:id="74" w:name="_Toc292559871"/>
      <w:bookmarkStart w:id="75" w:name="_Toc267251413"/>
      <w:bookmarkStart w:id="76" w:name="_Toc296891202"/>
      <w:bookmarkStart w:id="77" w:name="_Toc292559366"/>
      <w:r>
        <w:rPr>
          <w:rFonts w:hint="eastAsia" w:ascii="宋体" w:hAnsi="宋体" w:eastAsia="宋体" w:cs="宋体"/>
          <w:b/>
          <w:bCs/>
          <w:color w:val="auto"/>
          <w:sz w:val="24"/>
          <w:szCs w:val="24"/>
          <w:highlight w:val="none"/>
        </w:rPr>
        <w:t>.监</w:t>
      </w:r>
      <w:bookmarkEnd w:id="67"/>
      <w:bookmarkEnd w:id="68"/>
      <w:bookmarkEnd w:id="69"/>
      <w:bookmarkEnd w:id="70"/>
      <w:bookmarkEnd w:id="71"/>
      <w:bookmarkEnd w:id="72"/>
      <w:bookmarkEnd w:id="73"/>
      <w:bookmarkEnd w:id="74"/>
      <w:bookmarkEnd w:id="75"/>
      <w:bookmarkEnd w:id="76"/>
      <w:bookmarkEnd w:id="77"/>
      <w:r>
        <w:rPr>
          <w:rFonts w:hint="eastAsia" w:ascii="宋体" w:hAnsi="宋体" w:eastAsia="宋体" w:cs="宋体"/>
          <w:b/>
          <w:bCs/>
          <w:color w:val="auto"/>
          <w:sz w:val="24"/>
          <w:szCs w:val="24"/>
          <w:highlight w:val="none"/>
        </w:rPr>
        <w:t>理人</w:t>
      </w:r>
      <w:bookmarkEnd w:id="66"/>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4.1监理人的一般规定</w:t>
      </w:r>
    </w:p>
    <w:p>
      <w:pPr>
        <w:keepNext w:val="0"/>
        <w:keepLines w:val="0"/>
        <w:pageBreakBefore w:val="0"/>
        <w:widowControl/>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关于监理人的监理内容：</w:t>
      </w:r>
      <w:r>
        <w:rPr>
          <w:rFonts w:hint="eastAsia" w:ascii="宋体" w:hAnsi="宋体" w:eastAsia="宋体" w:cs="宋体"/>
          <w:color w:val="auto"/>
          <w:sz w:val="24"/>
          <w:szCs w:val="24"/>
          <w:highlight w:val="none"/>
          <w:u w:val="single"/>
        </w:rPr>
        <w:t>见监理合同</w:t>
      </w:r>
      <w:r>
        <w:rPr>
          <w:rFonts w:hint="eastAsia" w:ascii="宋体" w:hAnsi="宋体" w:eastAsia="宋体" w:cs="宋体"/>
          <w:color w:val="auto"/>
          <w:sz w:val="24"/>
          <w:szCs w:val="24"/>
          <w:highlight w:val="none"/>
        </w:rPr>
        <w:t>。</w:t>
      </w:r>
    </w:p>
    <w:p>
      <w:pPr>
        <w:keepNext w:val="0"/>
        <w:keepLines w:val="0"/>
        <w:pageBreakBefore w:val="0"/>
        <w:widowControl/>
        <w:spacing w:after="0" w:line="336" w:lineRule="auto"/>
        <w:ind w:left="0" w:right="0" w:firstLine="48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关于监理人的监理权限：</w:t>
      </w:r>
      <w:r>
        <w:rPr>
          <w:rFonts w:hint="eastAsia" w:ascii="宋体" w:hAnsi="宋体" w:eastAsia="宋体" w:cs="宋体"/>
          <w:color w:val="auto"/>
          <w:sz w:val="24"/>
          <w:szCs w:val="24"/>
          <w:highlight w:val="none"/>
          <w:u w:val="single"/>
        </w:rPr>
        <w:t>见监理合同</w:t>
      </w:r>
      <w:r>
        <w:rPr>
          <w:rFonts w:hint="eastAsia" w:ascii="宋体" w:hAnsi="宋体" w:eastAsia="宋体" w:cs="宋体"/>
          <w:color w:val="auto"/>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关于监理人在施工现场的办公场所、生活场所的提供和费用承担的约定：</w:t>
      </w:r>
      <w:r>
        <w:rPr>
          <w:rFonts w:hint="eastAsia" w:ascii="宋体" w:hAnsi="宋体" w:eastAsia="宋体" w:cs="宋体"/>
          <w:color w:val="auto"/>
          <w:sz w:val="24"/>
          <w:szCs w:val="24"/>
          <w:highlight w:val="none"/>
          <w:u w:val="single"/>
        </w:rPr>
        <w:t>由承包人承担</w:t>
      </w:r>
      <w:r>
        <w:rPr>
          <w:rFonts w:hint="eastAsia" w:ascii="宋体" w:hAnsi="宋体" w:eastAsia="宋体" w:cs="宋体"/>
          <w:color w:val="auto"/>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4.2监理人员</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总监理工程师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监理工程师执业资格证书号：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关于监理人的其他约定：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详见本工程监理合同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商定或确定</w:t>
      </w:r>
    </w:p>
    <w:p>
      <w:pPr>
        <w:keepNext w:val="0"/>
        <w:keepLines w:val="0"/>
        <w:pageBreakBefore w:val="0"/>
        <w:widowControl/>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在发包人和承包人不能通过协商达成一致意见时，发包人授权监理人对以下事项进行确定：</w:t>
      </w:r>
    </w:p>
    <w:p>
      <w:pPr>
        <w:keepNext w:val="0"/>
        <w:keepLines w:val="0"/>
        <w:pageBreakBefore w:val="0"/>
        <w:widowControl/>
        <w:numPr>
          <w:ilvl w:val="0"/>
          <w:numId w:val="9"/>
        </w:numPr>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总监理工程师在对合同内涉及费用变化的任何事项进行商定或确定时，必须取得发包人的书面确认，否则无效</w:t>
      </w:r>
      <w:r>
        <w:rPr>
          <w:rFonts w:hint="eastAsia" w:ascii="宋体" w:hAnsi="宋体" w:cs="宋体"/>
          <w:color w:val="auto"/>
          <w:sz w:val="24"/>
          <w:szCs w:val="24"/>
          <w:highlight w:val="none"/>
          <w:u w:val="single"/>
          <w:lang w:eastAsia="zh-CN"/>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2"/>
        <w:jc w:val="both"/>
        <w:rPr>
          <w:rFonts w:hint="eastAsia" w:ascii="宋体" w:hAnsi="宋体" w:eastAsia="宋体" w:cs="宋体"/>
          <w:b/>
          <w:bCs/>
          <w:color w:val="auto"/>
          <w:sz w:val="24"/>
          <w:szCs w:val="24"/>
          <w:highlight w:val="none"/>
        </w:rPr>
      </w:pPr>
      <w:bookmarkStart w:id="78" w:name="_Toc351203637"/>
      <w:r>
        <w:rPr>
          <w:rFonts w:hint="eastAsia" w:ascii="宋体" w:hAnsi="宋体" w:eastAsia="宋体" w:cs="宋体"/>
          <w:b/>
          <w:bCs/>
          <w:color w:val="auto"/>
          <w:sz w:val="24"/>
          <w:szCs w:val="24"/>
          <w:highlight w:val="none"/>
        </w:rPr>
        <w:t>5.工程质量</w:t>
      </w:r>
      <w:bookmarkEnd w:id="78"/>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5.1质量要求</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5.1.1特殊质量标准和要求：</w:t>
      </w:r>
      <w:r>
        <w:rPr>
          <w:rFonts w:hint="eastAsia" w:ascii="宋体" w:hAnsi="宋体" w:eastAsia="宋体" w:cs="宋体"/>
          <w:bCs/>
          <w:color w:val="auto"/>
          <w:sz w:val="24"/>
          <w:szCs w:val="24"/>
          <w:highlight w:val="none"/>
          <w:u w:val="single"/>
        </w:rPr>
        <w:t>工程质量必须达到合同约定标准，且保证相关部门验收通过；未达到质量要求的，承包人负责无条件返工，直至达到要求，所发生的费用由承包人承担，承包人还应赔偿因此给发包人造成的损失，工期不予顺延，同时发包人有权对承包人进行适当处罚；</w:t>
      </w:r>
    </w:p>
    <w:p>
      <w:pPr>
        <w:pStyle w:val="362"/>
        <w:pageBreakBefore w:val="0"/>
        <w:spacing w:line="336" w:lineRule="auto"/>
        <w:ind w:left="0" w:right="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①承包人必须按发包人批准的施工组织设计、分项工程及关键部位的专项施工方案施工，现场放线后，须经监理、发包人专业工程师复核后才能施工，严把工序报验关。</w:t>
      </w:r>
    </w:p>
    <w:p>
      <w:pPr>
        <w:pStyle w:val="362"/>
        <w:pageBreakBefore w:val="0"/>
        <w:spacing w:line="336" w:lineRule="auto"/>
        <w:ind w:left="0" w:right="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②现场钢筋成形场地必须硬化，避免钢筋污染。</w:t>
      </w:r>
    </w:p>
    <w:p>
      <w:pPr>
        <w:pStyle w:val="15"/>
        <w:pageBreakBefore w:val="0"/>
        <w:spacing w:after="0" w:line="336" w:lineRule="auto"/>
        <w:ind w:left="0" w:right="0"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rPr>
        <w:t>③施工过程中若出现质量事故，承包人必须立即上报监理及发包人，发包人视情况严重性上报质监、行业监管部门，查明原因，要求承包人停工整改，工期不得顺延，同时承包人须承担1-5万元的违约金，承包人须赔偿发包人由此造成的一切经济损失，直至清退出场</w:t>
      </w:r>
      <w:r>
        <w:rPr>
          <w:rFonts w:hint="eastAsia" w:ascii="宋体" w:hAnsi="宋体" w:eastAsia="宋体" w:cs="宋体"/>
          <w:color w:val="auto"/>
          <w:sz w:val="24"/>
          <w:szCs w:val="24"/>
          <w:highlight w:val="none"/>
          <w:u w:val="single"/>
          <w:lang w:eastAsia="zh-CN"/>
        </w:rPr>
        <w:t>。</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关于工程奖项的约定：</w:t>
      </w:r>
      <w:r>
        <w:rPr>
          <w:rFonts w:hint="eastAsia" w:ascii="宋体" w:hAnsi="宋体" w:eastAsia="宋体" w:cs="宋体"/>
          <w:color w:val="auto"/>
          <w:sz w:val="24"/>
          <w:szCs w:val="24"/>
          <w:highlight w:val="none"/>
          <w:u w:val="single"/>
        </w:rPr>
        <w:t>按相关文件执行</w:t>
      </w:r>
      <w:r>
        <w:rPr>
          <w:rFonts w:hint="eastAsia" w:ascii="宋体" w:hAnsi="宋体" w:eastAsia="宋体" w:cs="宋体"/>
          <w:color w:val="auto"/>
          <w:sz w:val="24"/>
          <w:szCs w:val="24"/>
          <w:highlight w:val="none"/>
        </w:rPr>
        <w:t>。</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隐蔽工程检查</w:t>
      </w:r>
    </w:p>
    <w:p>
      <w:pPr>
        <w:pageBreakBefore w:val="0"/>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隐蔽工程覆盖前的检查：未经监理工程师、</w:t>
      </w:r>
      <w:r>
        <w:rPr>
          <w:rFonts w:hint="eastAsia" w:ascii="宋体" w:hAnsi="宋体" w:eastAsia="宋体" w:cs="宋体"/>
          <w:color w:val="auto"/>
          <w:sz w:val="24"/>
          <w:szCs w:val="24"/>
          <w:highlight w:val="none"/>
          <w:u w:val="single"/>
          <w:lang w:val="en-US" w:eastAsia="zh-CN"/>
        </w:rPr>
        <w:t>发包人</w:t>
      </w:r>
      <w:r>
        <w:rPr>
          <w:rFonts w:hint="eastAsia" w:ascii="宋体" w:hAnsi="宋体" w:eastAsia="宋体" w:cs="宋体"/>
          <w:color w:val="auto"/>
          <w:sz w:val="24"/>
          <w:szCs w:val="24"/>
          <w:highlight w:val="none"/>
          <w:u w:val="single"/>
        </w:rPr>
        <w:t>代表批准，工程的任何部位都不能覆盖，当任何部分的隐蔽工程或基础已经具备检验条件时，承包人应及时通知监理工程师、承包人代表。监理工程师、</w:t>
      </w:r>
      <w:r>
        <w:rPr>
          <w:rFonts w:hint="eastAsia" w:ascii="宋体" w:hAnsi="宋体" w:eastAsia="宋体" w:cs="宋体"/>
          <w:color w:val="auto"/>
          <w:sz w:val="24"/>
          <w:szCs w:val="24"/>
          <w:highlight w:val="none"/>
          <w:u w:val="single"/>
          <w:lang w:val="en-US" w:eastAsia="zh-CN"/>
        </w:rPr>
        <w:t>发包人</w:t>
      </w:r>
      <w:r>
        <w:rPr>
          <w:rFonts w:hint="eastAsia" w:ascii="宋体" w:hAnsi="宋体" w:eastAsia="宋体" w:cs="宋体"/>
          <w:color w:val="auto"/>
          <w:sz w:val="24"/>
          <w:szCs w:val="24"/>
          <w:highlight w:val="none"/>
          <w:u w:val="single"/>
        </w:rPr>
        <w:t>代表在接到承包人通知 24 小时后没有批复，承包人可以覆盖这部分工程或基础。</w:t>
      </w:r>
    </w:p>
    <w:p>
      <w:pPr>
        <w:pageBreakBefore w:val="0"/>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剥露和开口：承包人应按监理工程师、发包人代表随时发出的指示，对工程的任何部分剥露或开口，并负责这部分工程恢复原样，若这部分工程已按 17.2 条的要求覆盖，而剥露后查明其施工质量符合合同约定，则监理工程师、发包人代表应在与发包人和承包人协商后，确定承包人在剥露或开口的恢复和修复等方面的费用，并将其数额追加到合同价格上，所影响的工期相应顺延。若属承包人责任发生的费用及影响的工期由承包人承担。 </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承包人提前通知监理人隐蔽工程检查的期限的约定：</w:t>
      </w:r>
      <w:r>
        <w:rPr>
          <w:rFonts w:hint="eastAsia" w:ascii="宋体" w:hAnsi="宋体" w:eastAsia="宋体" w:cs="宋体"/>
          <w:color w:val="auto"/>
          <w:sz w:val="24"/>
          <w:szCs w:val="24"/>
          <w:highlight w:val="none"/>
          <w:u w:val="single"/>
        </w:rPr>
        <w:t>共同检查前48小时书面通知监理人</w:t>
      </w:r>
      <w:r>
        <w:rPr>
          <w:rFonts w:hint="eastAsia" w:ascii="宋体" w:hAnsi="宋体" w:eastAsia="宋体" w:cs="宋体"/>
          <w:color w:val="auto"/>
          <w:sz w:val="24"/>
          <w:szCs w:val="24"/>
          <w:highlight w:val="none"/>
        </w:rPr>
        <w:t>。</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监理人不能按时进行检查时，应提前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24</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小时提交书面延期要求。</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48</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小时。</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2"/>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 安全文明施工与环境保护</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6.1安全文明施工</w:t>
      </w:r>
    </w:p>
    <w:p>
      <w:pPr>
        <w:keepNext w:val="0"/>
        <w:keepLines w:val="0"/>
        <w:pageBreakBefore w:val="0"/>
        <w:widowControl/>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6.1.1项目安全生产的达标目标及相应事项的约定：</w:t>
      </w:r>
      <w:r>
        <w:rPr>
          <w:rFonts w:hint="eastAsia" w:ascii="宋体" w:hAnsi="宋体" w:eastAsia="宋体" w:cs="宋体"/>
          <w:color w:val="auto"/>
          <w:sz w:val="24"/>
          <w:szCs w:val="24"/>
          <w:highlight w:val="none"/>
          <w:u w:val="single"/>
        </w:rPr>
        <w:t>①在本合同实施过程中，承包人应对现场施工人员及现场其他第三人的安全、现场施工秩序、工程保护、环境保护、消防、用电安全等负责，并就工地照明、防护标志和警示信号设置、门卫人员配置等作出具体安排，充分考虑施工的特殊性，确保安全生产无事故，并承担相关的责任和损失。②施工过程中的排污、环卫、市容、城建、城管、治安、人口管理等相关手续由承包人按规定负责办理，对临近居民和行人的影响由承包人负责处理并承担相应费用。③承包人负责采取有效措施对已完成工程成品的保护，费用由承包人承担。保护期间发生的损坏承包人自费予以修理。损坏其他单位所承担的施工内容，由承包人负责赔偿，并承担修复费用。④承包人按规定做好施工场地周围地下管线和邻近建筑物的保护。⑤其安全文明施工费已经含在合同价款（即中标价）内。</w:t>
      </w:r>
    </w:p>
    <w:p>
      <w:pPr>
        <w:keepNext w:val="0"/>
        <w:keepLines w:val="0"/>
        <w:pageBreakBefore w:val="0"/>
        <w:widowControl/>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扬尘治理按徐建价2018年1号文执行，2号文计取。承包人须按规范要求做好扬尘污染防治措施，全部费用均包含在内；</w:t>
      </w:r>
    </w:p>
    <w:p>
      <w:pPr>
        <w:keepNext w:val="0"/>
        <w:keepLines w:val="0"/>
        <w:pageBreakBefore w:val="0"/>
        <w:widowControl/>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开工通知载明的开工日期 20 天前提交安全技术措施或专项施工方案、安全生产责任制度、治安保卫制度及安全生产教育培训制度；开工通知载明的开工日期 20 天前提交安全技术措施或专项施工方案、安全生产责任制度、治安保卫制度及安全生产教育培训制度；</w:t>
      </w:r>
    </w:p>
    <w:p>
      <w:pPr>
        <w:keepNext w:val="0"/>
        <w:keepLines w:val="0"/>
        <w:pageBreakBefore w:val="0"/>
        <w:widowControl/>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在施工和维修整个工程期间，承包人应于工程地点明显位置，日间设置具有警示作用的装置，夜间设置照明装置，在施工现场出入口设置监控装置，或加防护设施，费用由承包人承担；对于工地附近公私建筑、路面、沟渠、街道上下的水电及通讯管线、私有林木植物及人民生命财产者的安全均应采取防范措施。</w:t>
      </w:r>
    </w:p>
    <w:p>
      <w:pPr>
        <w:keepNext w:val="0"/>
        <w:keepLines w:val="0"/>
        <w:pageBreakBefore w:val="0"/>
        <w:widowControl/>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承包人应服从发包人、监理对施工现场安全施工方面的监管。如发包人或监理发现承包人工作中的安全措施/设施不符合国家、地方、行业及本合同的有关规定，承包人应向发包人承担500/次的违约金，并在发包人要求期限内整改，发包人有权上报主管部门。</w:t>
      </w:r>
    </w:p>
    <w:p>
      <w:pPr>
        <w:keepNext w:val="0"/>
        <w:keepLines w:val="0"/>
        <w:pageBreakBefore w:val="0"/>
        <w:widowControl/>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6.1.4关于治安保卫的特别约定：</w:t>
      </w:r>
      <w:r>
        <w:rPr>
          <w:rFonts w:hint="eastAsia" w:ascii="宋体" w:hAnsi="宋体" w:eastAsia="宋体" w:cs="宋体"/>
          <w:color w:val="auto"/>
          <w:sz w:val="24"/>
          <w:szCs w:val="24"/>
          <w:highlight w:val="none"/>
          <w:u w:val="single"/>
        </w:rPr>
        <w:t>由承包人承担</w:t>
      </w:r>
      <w:r>
        <w:rPr>
          <w:rFonts w:hint="eastAsia" w:ascii="宋体" w:hAnsi="宋体" w:eastAsia="宋体" w:cs="宋体"/>
          <w:color w:val="auto"/>
          <w:sz w:val="24"/>
          <w:szCs w:val="24"/>
          <w:highlight w:val="none"/>
        </w:rPr>
        <w:t>。</w:t>
      </w:r>
    </w:p>
    <w:p>
      <w:pPr>
        <w:keepNext w:val="0"/>
        <w:keepLines w:val="0"/>
        <w:pageBreakBefore w:val="0"/>
        <w:widowControl/>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关于编制施工场地治安管理计划的约定：</w:t>
      </w:r>
      <w:r>
        <w:rPr>
          <w:rFonts w:hint="eastAsia" w:ascii="宋体" w:hAnsi="宋体" w:eastAsia="宋体" w:cs="宋体"/>
          <w:color w:val="auto"/>
          <w:sz w:val="24"/>
          <w:szCs w:val="24"/>
          <w:highlight w:val="none"/>
          <w:u w:val="single"/>
        </w:rPr>
        <w:t>承包人编制，开工前5日内报监理。</w:t>
      </w:r>
    </w:p>
    <w:p>
      <w:pPr>
        <w:keepNext w:val="0"/>
        <w:keepLines w:val="0"/>
        <w:pageBreakBefore w:val="0"/>
        <w:widowControl/>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6.1.5文明施工</w:t>
      </w:r>
    </w:p>
    <w:p>
      <w:pPr>
        <w:pStyle w:val="20"/>
        <w:pBdr>
          <w:top w:val="none" w:color="000000" w:sz="0" w:space="0"/>
          <w:left w:val="none" w:color="000000" w:sz="0" w:space="0"/>
          <w:bottom w:val="none" w:color="000000" w:sz="0" w:space="0"/>
          <w:right w:val="none" w:color="000000" w:sz="0" w:space="0"/>
        </w:pBdr>
        <w:spacing w:after="200" w:line="85" w:lineRule="atLeast"/>
        <w:ind w:firstLine="440"/>
        <w:rPr>
          <w:color w:val="000000"/>
        </w:rPr>
      </w:pPr>
      <w:r>
        <w:rPr>
          <w:rFonts w:ascii="Arial" w:hAnsi="Arial" w:eastAsia="Arial"/>
          <w:color w:val="000000"/>
          <w:sz w:val="22"/>
        </w:rPr>
        <w:t>合同当事人对文明施工的要求：</w:t>
      </w:r>
      <w:r>
        <w:rPr>
          <w:rFonts w:ascii="Arial" w:hAnsi="Arial" w:eastAsia="Arial"/>
          <w:color w:val="000000"/>
          <w:sz w:val="22"/>
          <w:u w:val="single"/>
        </w:rPr>
        <w:t>符合徐州市有关部门规定的标准化施工现场要求，同时应满足市政、市容等相关主管部门的有关规定</w:t>
      </w:r>
      <w:r>
        <w:rPr>
          <w:rFonts w:ascii="Arial" w:hAnsi="Arial" w:eastAsia="Arial"/>
          <w:color w:val="000000"/>
          <w:sz w:val="22"/>
        </w:rPr>
        <w:t>。</w:t>
      </w:r>
    </w:p>
    <w:p>
      <w:pPr>
        <w:pStyle w:val="20"/>
        <w:pBdr>
          <w:top w:val="none" w:color="000000" w:sz="0" w:space="0"/>
          <w:left w:val="none" w:color="000000" w:sz="0" w:space="0"/>
          <w:bottom w:val="none" w:color="000000" w:sz="0" w:space="0"/>
          <w:right w:val="none" w:color="000000" w:sz="0" w:space="0"/>
        </w:pBdr>
        <w:spacing w:after="200" w:line="85" w:lineRule="atLeast"/>
        <w:ind w:firstLine="440"/>
        <w:rPr>
          <w:color w:val="000000"/>
        </w:rPr>
      </w:pPr>
      <w:r>
        <w:rPr>
          <w:rFonts w:ascii="Arial" w:hAnsi="Arial" w:eastAsia="Arial"/>
          <w:b/>
          <w:color w:val="000000"/>
          <w:sz w:val="22"/>
          <w:u w:val="single"/>
        </w:rPr>
        <w:t>①承包人按当地有关主管部门的规定办理相关手续，并承担相应费用，同时以书面形式通知发包人，承担施工过程中因自身原因造成的罚款</w:t>
      </w:r>
      <w:r>
        <w:rPr>
          <w:rFonts w:ascii="Arial" w:hAnsi="Arial" w:eastAsia="Arial"/>
          <w:b/>
          <w:color w:val="000000"/>
          <w:sz w:val="22"/>
        </w:rPr>
        <w:t>。</w:t>
      </w:r>
    </w:p>
    <w:p>
      <w:pPr>
        <w:pStyle w:val="20"/>
        <w:pBdr>
          <w:top w:val="none" w:color="000000" w:sz="0" w:space="0"/>
          <w:left w:val="none" w:color="000000" w:sz="0" w:space="0"/>
          <w:bottom w:val="none" w:color="000000" w:sz="0" w:space="0"/>
          <w:right w:val="none" w:color="000000" w:sz="0" w:space="0"/>
        </w:pBdr>
        <w:spacing w:after="200" w:line="85" w:lineRule="atLeast"/>
        <w:ind w:firstLine="440"/>
        <w:rPr>
          <w:color w:val="000000"/>
        </w:rPr>
      </w:pPr>
      <w:r>
        <w:rPr>
          <w:rFonts w:ascii="Arial" w:hAnsi="Arial" w:eastAsia="Arial"/>
          <w:b/>
          <w:color w:val="000000"/>
          <w:sz w:val="22"/>
          <w:u w:val="single"/>
        </w:rPr>
        <w:t>②承包人应遵守环境保护、和清洁卫生方面的法律、法规、规定以及发包人《建设工程安全文明施工管理办法》的规定，所发生的费用由承包人承担</w:t>
      </w:r>
      <w:r>
        <w:rPr>
          <w:rFonts w:ascii="Arial" w:hAnsi="Arial" w:eastAsia="Arial"/>
          <w:b/>
          <w:color w:val="000000"/>
          <w:sz w:val="22"/>
        </w:rPr>
        <w:t>。</w:t>
      </w:r>
    </w:p>
    <w:p>
      <w:pPr>
        <w:pStyle w:val="20"/>
        <w:pBdr>
          <w:top w:val="none" w:color="000000" w:sz="0" w:space="0"/>
          <w:left w:val="none" w:color="000000" w:sz="0" w:space="0"/>
          <w:bottom w:val="none" w:color="000000" w:sz="0" w:space="0"/>
          <w:right w:val="none" w:color="000000" w:sz="0" w:space="0"/>
        </w:pBdr>
        <w:spacing w:after="200" w:line="85" w:lineRule="atLeast"/>
        <w:ind w:firstLine="440"/>
        <w:rPr>
          <w:color w:val="000000"/>
        </w:rPr>
      </w:pPr>
      <w:r>
        <w:rPr>
          <w:rFonts w:ascii="Arial" w:hAnsi="Arial" w:eastAsia="Arial"/>
          <w:b/>
          <w:color w:val="000000"/>
          <w:sz w:val="22"/>
          <w:u w:val="single"/>
        </w:rPr>
        <w:t>③承包人对施工现场的各种粉尘、废水、废气、固体废物和振动、噪声等采取必要的控制措施，及时进行处理并承担相关费用</w:t>
      </w:r>
      <w:r>
        <w:rPr>
          <w:rFonts w:ascii="Arial" w:hAnsi="Arial" w:eastAsia="Arial"/>
          <w:b/>
          <w:color w:val="000000"/>
          <w:sz w:val="22"/>
        </w:rPr>
        <w:t>。</w:t>
      </w:r>
    </w:p>
    <w:p>
      <w:pPr>
        <w:pStyle w:val="20"/>
        <w:pBdr>
          <w:top w:val="none" w:color="000000" w:sz="0" w:space="0"/>
          <w:left w:val="none" w:color="000000" w:sz="0" w:space="0"/>
          <w:bottom w:val="none" w:color="000000" w:sz="0" w:space="0"/>
          <w:right w:val="none" w:color="000000" w:sz="0" w:space="0"/>
        </w:pBdr>
        <w:spacing w:after="200" w:line="85" w:lineRule="atLeast"/>
        <w:ind w:firstLine="440"/>
        <w:rPr>
          <w:color w:val="000000"/>
        </w:rPr>
      </w:pPr>
      <w:r>
        <w:rPr>
          <w:rFonts w:ascii="Arial" w:hAnsi="Arial" w:eastAsia="Arial"/>
          <w:b/>
          <w:color w:val="000000"/>
          <w:sz w:val="22"/>
          <w:u w:val="single"/>
        </w:rPr>
        <w:t>④承包人在施工过程中不得将施工范围内的建筑垃圾搬运或投放至施工范围外的其他场地上，一旦发生且承包人不清理或清理不干净，发包人有权委托其它单位或个人清理，所产生的一切费用由承包人承担，发包人在工程款支付时在承包人的工程款中按所发生的费用双倍扣</w:t>
      </w:r>
      <w:r>
        <w:rPr>
          <w:rFonts w:ascii="宋体" w:hAnsi="宋体"/>
          <w:b/>
          <w:color w:val="000000"/>
          <w:sz w:val="22"/>
          <w:u w:val="single"/>
        </w:rPr>
        <w:t>除</w:t>
      </w:r>
      <w:r>
        <w:rPr>
          <w:rFonts w:ascii="Arial" w:hAnsi="Arial" w:eastAsia="Arial"/>
          <w:b/>
          <w:color w:val="000000"/>
          <w:sz w:val="22"/>
        </w:rPr>
        <w:t>。</w:t>
      </w:r>
    </w:p>
    <w:p>
      <w:pPr>
        <w:pStyle w:val="20"/>
        <w:pBdr>
          <w:top w:val="none" w:color="000000" w:sz="0" w:space="0"/>
          <w:left w:val="none" w:color="000000" w:sz="0" w:space="0"/>
          <w:bottom w:val="none" w:color="000000" w:sz="0" w:space="0"/>
          <w:right w:val="none" w:color="000000" w:sz="0" w:space="0"/>
        </w:pBdr>
        <w:spacing w:after="200" w:line="85" w:lineRule="atLeast"/>
        <w:ind w:firstLine="440"/>
        <w:rPr>
          <w:color w:val="000000"/>
        </w:rPr>
      </w:pPr>
      <w:r>
        <w:rPr>
          <w:rFonts w:ascii="Arial" w:hAnsi="Arial" w:eastAsia="Arial"/>
          <w:b/>
          <w:color w:val="000000"/>
          <w:sz w:val="22"/>
          <w:u w:val="single"/>
        </w:rPr>
        <w:t>⑤承包人在竣工验收前应将施工场地范围内的建筑垃圾、建筑杂物、临时道路、生活垃圾等清理干净，并及时清除出施工现场，不得弃置在发包人区域范围内。如承包人不清理或清理不干净，发包人有权委托其它单位或个人清理，所产生的一切费用由承包人承担，发包人在工程款结算时在承包人的工程款中按所发生的费用双倍扣</w:t>
      </w:r>
      <w:r>
        <w:rPr>
          <w:rFonts w:ascii="宋体" w:hAnsi="宋体"/>
          <w:b/>
          <w:color w:val="000000"/>
          <w:sz w:val="22"/>
          <w:u w:val="single"/>
        </w:rPr>
        <w:t>除</w:t>
      </w:r>
      <w:r>
        <w:rPr>
          <w:rFonts w:ascii="Arial" w:hAnsi="Arial" w:eastAsia="Arial"/>
          <w:b/>
          <w:color w:val="000000"/>
          <w:sz w:val="22"/>
        </w:rPr>
        <w:t>。</w:t>
      </w:r>
    </w:p>
    <w:p>
      <w:pPr>
        <w:pStyle w:val="20"/>
        <w:pBdr>
          <w:top w:val="none" w:color="000000" w:sz="0" w:space="0"/>
          <w:left w:val="none" w:color="000000" w:sz="0" w:space="0"/>
          <w:bottom w:val="none" w:color="000000" w:sz="0" w:space="0"/>
          <w:right w:val="none" w:color="000000" w:sz="0" w:space="0"/>
        </w:pBdr>
        <w:spacing w:after="200" w:line="85" w:lineRule="atLeast"/>
        <w:ind w:firstLine="440"/>
        <w:rPr>
          <w:color w:val="000000"/>
        </w:rPr>
      </w:pPr>
      <w:r>
        <w:rPr>
          <w:rFonts w:ascii="Arial" w:hAnsi="Arial" w:eastAsia="Arial"/>
          <w:b/>
          <w:color w:val="000000"/>
          <w:sz w:val="22"/>
          <w:u w:val="single"/>
        </w:rPr>
        <w:t>⑥现场施工及管理人员均需挂牌进场，否则，发包人有权对承包人处以 50元∕人·次的违约金</w:t>
      </w:r>
      <w:r>
        <w:rPr>
          <w:rFonts w:ascii="Arial" w:hAnsi="Arial" w:eastAsia="Arial"/>
          <w:b/>
          <w:color w:val="000000"/>
          <w:sz w:val="22"/>
        </w:rPr>
        <w:t>。</w:t>
      </w:r>
    </w:p>
    <w:p>
      <w:pPr>
        <w:pStyle w:val="20"/>
        <w:pBdr>
          <w:top w:val="none" w:color="000000" w:sz="0" w:space="0"/>
          <w:left w:val="none" w:color="000000" w:sz="0" w:space="0"/>
          <w:bottom w:val="none" w:color="000000" w:sz="0" w:space="0"/>
          <w:right w:val="none" w:color="000000" w:sz="0" w:space="0"/>
        </w:pBdr>
        <w:spacing w:after="200" w:line="85" w:lineRule="atLeast"/>
        <w:ind w:firstLine="440"/>
        <w:rPr>
          <w:color w:val="000000"/>
        </w:rPr>
      </w:pPr>
      <w:r>
        <w:rPr>
          <w:rFonts w:ascii="Arial" w:hAnsi="Arial" w:eastAsia="Arial"/>
          <w:b/>
          <w:color w:val="000000"/>
          <w:sz w:val="22"/>
          <w:u w:val="single"/>
        </w:rPr>
        <w:t>⑦扬尘防控环保要求必须符合严格按照《市政府关于印发徐州市 2017-2018 年秋冬季大气污染防治强化管控方案的通知》（徐政发﹝2017﹞53 号）、《关于印发徐州市市区工地扬尘污染管理规范的通知》（徐空气提升办﹝2018﹞11 号）和《徐州市 2018 年大气污染防治攻坚行动方案》、徐城管发【2018】55 号文</w:t>
      </w:r>
      <w:r>
        <w:rPr>
          <w:rFonts w:hint="eastAsia" w:ascii="Arial" w:hAnsi="Arial"/>
          <w:b/>
          <w:color w:val="000000"/>
          <w:sz w:val="22"/>
          <w:u w:val="single"/>
        </w:rPr>
        <w:t>、“《关于印发&lt;徐州市建设工程扬尘（噪声）智慧监管系统建设实施意见（试行）&gt;的通知》（徐污防攻坚指办〔2023〕26号）”</w:t>
      </w:r>
      <w:r>
        <w:rPr>
          <w:rFonts w:ascii="Arial" w:hAnsi="Arial" w:eastAsia="Arial"/>
          <w:b/>
          <w:color w:val="000000"/>
          <w:sz w:val="22"/>
          <w:u w:val="single"/>
        </w:rPr>
        <w:t>的规定。</w:t>
      </w:r>
      <w:r>
        <w:rPr>
          <w:rFonts w:hint="eastAsia" w:ascii="Arial" w:hAnsi="Arial" w:eastAsia="宋体"/>
          <w:b/>
          <w:color w:val="000000"/>
          <w:sz w:val="22"/>
          <w:u w:val="single"/>
          <w:lang w:val="en-US" w:eastAsia="zh-CN"/>
        </w:rPr>
        <w:t>供应商</w:t>
      </w:r>
      <w:r>
        <w:rPr>
          <w:rFonts w:ascii="Arial" w:hAnsi="Arial" w:eastAsia="Arial"/>
          <w:b/>
          <w:color w:val="000000"/>
          <w:sz w:val="22"/>
          <w:u w:val="single"/>
        </w:rPr>
        <w:t>的扬尘防控环保要求必须符合严格按《徐建价 2018年1号》文执行，扬尘污染防治费按江苏省住房和城乡建设厅公告（2018）24号文执行计取。该费用已经包含在投标报价当中， 结算不再增加此项费用</w:t>
      </w:r>
      <w:r>
        <w:rPr>
          <w:rFonts w:ascii="Arial" w:hAnsi="Arial" w:eastAsia="Arial"/>
          <w:b/>
          <w:color w:val="000000"/>
          <w:sz w:val="22"/>
        </w:rPr>
        <w:t>。</w:t>
      </w:r>
    </w:p>
    <w:p>
      <w:pPr>
        <w:pStyle w:val="20"/>
        <w:pBdr>
          <w:top w:val="none" w:color="000000" w:sz="0" w:space="0"/>
          <w:left w:val="none" w:color="000000" w:sz="0" w:space="0"/>
          <w:bottom w:val="none" w:color="000000" w:sz="0" w:space="0"/>
          <w:right w:val="none" w:color="000000" w:sz="0" w:space="0"/>
        </w:pBdr>
        <w:spacing w:after="200" w:line="85" w:lineRule="atLeast"/>
        <w:ind w:firstLine="440"/>
        <w:rPr>
          <w:color w:val="000000"/>
        </w:rPr>
      </w:pPr>
      <w:r>
        <w:rPr>
          <w:rFonts w:ascii="Arial" w:hAnsi="Arial" w:eastAsia="Arial"/>
          <w:b/>
          <w:color w:val="000000"/>
          <w:sz w:val="22"/>
          <w:u w:val="single"/>
        </w:rPr>
        <w:t>按照《徐州市市区扬尘污染防治办法》的要求，开工前 7 日内向项目所在地环境保护行政主管部门进行排污申报；道路施工工地一律实行封闭施工、防尘网覆盖、定时洒水，控制扬尘污染等安全文明施工措施，制定并落实扬尘污染防治措施；扬尘污染防治设施应当保持完好、正常运行，不得擅自拆除和闲置；确需拆除和闲置的，应当报经环境保护行政主管部门批准；拆除、开挖后的建筑垃圾必须当日清除，并且覆盖运输，如因建筑垃圾未及时清理或运输不当，造成工地周边扬尘及其他给发包人带来不利影响的事件，每查实一次向发包人支付 3000 元违约金；造成损失的，由承包人承担</w:t>
      </w:r>
      <w:r>
        <w:rPr>
          <w:rFonts w:ascii="Arial" w:hAnsi="Arial" w:eastAsia="Arial"/>
          <w:b/>
          <w:color w:val="000000"/>
          <w:sz w:val="22"/>
        </w:rPr>
        <w:t>。</w:t>
      </w:r>
    </w:p>
    <w:p>
      <w:pPr>
        <w:pStyle w:val="20"/>
        <w:pBdr>
          <w:top w:val="none" w:color="000000" w:sz="0" w:space="0"/>
          <w:left w:val="none" w:color="000000" w:sz="0" w:space="0"/>
          <w:bottom w:val="none" w:color="000000" w:sz="0" w:space="0"/>
          <w:right w:val="none" w:color="000000" w:sz="0" w:space="0"/>
        </w:pBdr>
        <w:spacing w:after="200" w:line="85" w:lineRule="atLeast"/>
        <w:ind w:firstLine="440"/>
        <w:rPr>
          <w:color w:val="000000"/>
        </w:rPr>
      </w:pPr>
      <w:r>
        <w:rPr>
          <w:rFonts w:ascii="Arial" w:hAnsi="Arial" w:eastAsia="Arial"/>
          <w:b/>
          <w:color w:val="000000"/>
          <w:sz w:val="22"/>
          <w:u w:val="single"/>
        </w:rPr>
        <w:t>⑧因扬尘治理、环境保护等情况未到达标准，而导致</w:t>
      </w:r>
      <w:r>
        <w:rPr>
          <w:rFonts w:ascii="宋体" w:hAnsi="宋体"/>
          <w:b/>
          <w:color w:val="000000"/>
          <w:sz w:val="22"/>
          <w:u w:val="single"/>
        </w:rPr>
        <w:t>发包方</w:t>
      </w:r>
      <w:r>
        <w:rPr>
          <w:rFonts w:ascii="Arial" w:hAnsi="Arial" w:eastAsia="Arial"/>
          <w:b/>
          <w:color w:val="000000"/>
          <w:sz w:val="22"/>
          <w:u w:val="single"/>
        </w:rPr>
        <w:t>被处罚，</w:t>
      </w:r>
      <w:r>
        <w:rPr>
          <w:rFonts w:ascii="宋体" w:hAnsi="宋体"/>
          <w:b/>
          <w:color w:val="000000"/>
          <w:sz w:val="22"/>
          <w:u w:val="single"/>
        </w:rPr>
        <w:t>发包方</w:t>
      </w:r>
      <w:r>
        <w:rPr>
          <w:rFonts w:ascii="Arial" w:hAnsi="Arial" w:eastAsia="Arial"/>
          <w:b/>
          <w:color w:val="000000"/>
          <w:sz w:val="22"/>
          <w:u w:val="single"/>
        </w:rPr>
        <w:t>将处罚金额从</w:t>
      </w:r>
      <w:r>
        <w:rPr>
          <w:rFonts w:ascii="宋体" w:hAnsi="宋体"/>
          <w:b/>
          <w:color w:val="000000"/>
          <w:sz w:val="22"/>
          <w:u w:val="single"/>
        </w:rPr>
        <w:t>承包方</w:t>
      </w:r>
      <w:r>
        <w:rPr>
          <w:rFonts w:ascii="Arial" w:hAnsi="Arial" w:eastAsia="Arial"/>
          <w:b/>
          <w:color w:val="000000"/>
          <w:sz w:val="22"/>
          <w:u w:val="single"/>
        </w:rPr>
        <w:t>工程款中扣除</w:t>
      </w:r>
      <w:r>
        <w:rPr>
          <w:rFonts w:ascii="Arial" w:hAnsi="Arial" w:eastAsia="Arial"/>
          <w:b/>
          <w:color w:val="000000"/>
          <w:sz w:val="22"/>
        </w:rPr>
        <w:t>。</w:t>
      </w:r>
    </w:p>
    <w:p>
      <w:pPr>
        <w:keepNext w:val="0"/>
        <w:keepLines w:val="0"/>
        <w:pageBreakBefore w:val="0"/>
        <w:widowControl/>
        <w:spacing w:after="0" w:line="336" w:lineRule="auto"/>
        <w:ind w:left="0" w:right="0" w:firstLine="480"/>
        <w:jc w:val="left"/>
        <w:rPr>
          <w:rFonts w:ascii="Arial" w:hAnsi="Arial" w:eastAsia="Arial"/>
          <w:b/>
          <w:color w:val="000000"/>
          <w:sz w:val="22"/>
        </w:rPr>
      </w:pPr>
      <w:r>
        <w:rPr>
          <w:rFonts w:ascii="Arial" w:hAnsi="Arial" w:eastAsia="Arial"/>
          <w:b/>
          <w:color w:val="000000"/>
          <w:sz w:val="22"/>
          <w:u w:val="single"/>
        </w:rPr>
        <w:t>⑨文明施工相关法律、标准和规范的其他要求</w:t>
      </w:r>
      <w:r>
        <w:rPr>
          <w:rFonts w:ascii="Arial" w:hAnsi="Arial" w:eastAsia="Arial"/>
          <w:b/>
          <w:color w:val="000000"/>
          <w:sz w:val="22"/>
        </w:rPr>
        <w:t>。</w:t>
      </w:r>
    </w:p>
    <w:p>
      <w:pPr>
        <w:keepNext w:val="0"/>
        <w:keepLines w:val="0"/>
        <w:pageBreakBefore w:val="0"/>
        <w:widowControl/>
        <w:spacing w:after="0" w:line="336" w:lineRule="auto"/>
        <w:ind w:left="0" w:right="0" w:firstLine="48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6.1.6关于安全文明施工费支付比例和支付期限的约定：</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2"/>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 工期和进度</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施工组织设计</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7.1.1 合同当事人约定的施工组织设计应包括的其他内容：</w:t>
      </w:r>
      <w:r>
        <w:rPr>
          <w:rFonts w:hint="eastAsia" w:ascii="宋体" w:hAnsi="宋体" w:eastAsia="宋体" w:cs="宋体"/>
          <w:color w:val="auto"/>
          <w:sz w:val="24"/>
          <w:szCs w:val="24"/>
          <w:highlight w:val="none"/>
          <w:u w:val="single"/>
        </w:rPr>
        <w:t>施工组织设计应包含以下内容：（1）施工方案；（2）施工现场平面布置图；（3）施工进度计划和保证措施；（4）劳动力及材料供应计划；（5）施工机械设备的选用；（6）质量保证体系及措施；（7）安全生产、文明施工措施；（8）环境保护、成本控制措施；（9）合同当事人约定的其他内容。</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 施工组织设计的提交和修改</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承包人提交详细施工组织设计的期限的约定：</w:t>
      </w:r>
      <w:r>
        <w:rPr>
          <w:rFonts w:hint="eastAsia" w:ascii="宋体" w:hAnsi="宋体" w:eastAsia="宋体" w:cs="宋体"/>
          <w:color w:val="auto"/>
          <w:sz w:val="24"/>
          <w:szCs w:val="24"/>
          <w:highlight w:val="none"/>
          <w:u w:val="single"/>
        </w:rPr>
        <w:t>施工组织设计和总进度计划应于施工前7天提交发包人及监理工程师审批， 总进度计划应满足招标文件和合同对工期的要求，每周报下周进度计划。发包人和监理人在收到详细的施工组织设计后确认或提出修改意见的期限：发包人代表和监理工程师应于收到承包人资料48小时内予以确认，逾期不批复，可视为该施工组织设计（施工方案）和进度计划已获批准。承包人必须按照批准的进度计划组织施工，接受发包人代表和监理工程师对进度的检查、监督，当工程实际进展与进度计划不符时，应及时调整，调整后的进度计划及相应的措施报发包人代表和监理工程师批准后执行。承包人执行已审批的施工组织设计（施工方案）和进度计划时，不免除其工期、质量的责任（不可抗力事件除外）。</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发包人和监理人在收到详细的施工组织设计后确认或提出修改意见的期限：收到后7日内 。</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施工进度计划</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施工进度计划的修订</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发包人和监理人在收到修订的施工进度计划后确认或提出修改意见的期限：</w:t>
      </w:r>
      <w:r>
        <w:rPr>
          <w:rFonts w:hint="eastAsia" w:ascii="宋体" w:hAnsi="宋体" w:eastAsia="宋体" w:cs="宋体"/>
          <w:color w:val="auto"/>
          <w:sz w:val="24"/>
          <w:szCs w:val="24"/>
          <w:highlight w:val="none"/>
          <w:u w:val="single"/>
        </w:rPr>
        <w:t>收到后3日内。</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施工期间，承包人每月25日前向监理工程师报送下月的“月度工程进度计划表”，经监理工程师审核和发包人代表确认后，应于3日内返回承包人；“月度工程进度计划表”如需修改时，应于当日发回承包人修改，承包人须于次日报送修改稿。</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开工</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 开工准备</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关于承包人提交工程开工报审表的期限：</w:t>
      </w:r>
      <w:r>
        <w:rPr>
          <w:rFonts w:hint="eastAsia" w:ascii="宋体" w:hAnsi="宋体" w:eastAsia="宋体" w:cs="宋体"/>
          <w:color w:val="auto"/>
          <w:sz w:val="24"/>
          <w:szCs w:val="24"/>
          <w:highlight w:val="none"/>
          <w:u w:val="single"/>
        </w:rPr>
        <w:t xml:space="preserve">合同签订后、接到监理方的书面开工指令7日内 </w:t>
      </w:r>
      <w:r>
        <w:rPr>
          <w:rFonts w:hint="eastAsia" w:ascii="宋体" w:hAnsi="宋体" w:eastAsia="宋体" w:cs="宋体"/>
          <w:color w:val="auto"/>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关于发包人应完成的其他开工准备工作及期限：</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关于承包人应完成的其他开工准备工作及期限：</w:t>
      </w:r>
      <w:r>
        <w:rPr>
          <w:rFonts w:hint="eastAsia" w:ascii="宋体" w:hAnsi="宋体" w:eastAsia="宋体" w:cs="宋体"/>
          <w:color w:val="auto"/>
          <w:sz w:val="24"/>
          <w:szCs w:val="24"/>
          <w:highlight w:val="none"/>
          <w:u w:val="single"/>
        </w:rPr>
        <w:t xml:space="preserve">开工报告批准日期之前 </w:t>
      </w:r>
      <w:r>
        <w:rPr>
          <w:rFonts w:hint="eastAsia" w:ascii="宋体" w:hAnsi="宋体" w:eastAsia="宋体" w:cs="宋体"/>
          <w:color w:val="auto"/>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7.3.2开工通知</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因发包人原因造成监理人未能在计划开工日期之日起</w:t>
      </w:r>
      <w:r>
        <w:rPr>
          <w:rFonts w:hint="eastAsia" w:ascii="宋体" w:hAnsi="宋体" w:eastAsia="宋体" w:cs="宋体"/>
          <w:color w:val="auto"/>
          <w:sz w:val="24"/>
          <w:szCs w:val="24"/>
          <w:highlight w:val="none"/>
          <w:u w:val="single"/>
          <w:lang w:val="en-US" w:eastAsia="zh-CN"/>
        </w:rPr>
        <w:t>28</w:t>
      </w:r>
      <w:r>
        <w:rPr>
          <w:rFonts w:hint="eastAsia" w:ascii="宋体" w:hAnsi="宋体" w:eastAsia="宋体" w:cs="宋体"/>
          <w:color w:val="auto"/>
          <w:sz w:val="24"/>
          <w:szCs w:val="24"/>
          <w:highlight w:val="none"/>
        </w:rPr>
        <w:t>天内发出开工通知的，承包人有权提出价格调整要求，或者解除合同。</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测量放线</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7.4.1发包人通过监理人向承包人提供测量基准点、基准线和水准点及其书面资料的期限：</w:t>
      </w:r>
      <w:r>
        <w:rPr>
          <w:rFonts w:hint="eastAsia" w:ascii="宋体" w:hAnsi="宋体" w:eastAsia="宋体" w:cs="宋体"/>
          <w:color w:val="auto"/>
          <w:sz w:val="24"/>
          <w:szCs w:val="24"/>
          <w:highlight w:val="none"/>
          <w:u w:val="single"/>
        </w:rPr>
        <w:t xml:space="preserve">①开工前发包人现场确定水准点与坐标控制点位置，承包人负责现场接收。②发包人将水准点与坐标控制点测量成果书面形式交给承包人，成果上所示的所有坐标及标高均由承包人进行校验，如有差错承包人应及时书面通知发包人。③承包人接收后负责保护，此后由于差错不能闭合和点位破坏或丢失造成的损失均由承包人承担。④由发包人工程师或其代表对任何放线或标高进行的检查工作，均不能免除承包人对有关工程的准确程度应负的任何责任。 </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工期延误</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除不可抗力和</w:t>
      </w:r>
      <w:r>
        <w:rPr>
          <w:rFonts w:hint="eastAsia" w:ascii="宋体" w:hAnsi="宋体" w:eastAsia="宋体" w:cs="宋体"/>
          <w:color w:val="auto"/>
          <w:sz w:val="24"/>
          <w:szCs w:val="24"/>
          <w:highlight w:val="none"/>
        </w:rPr>
        <w:t>发包人</w:t>
      </w:r>
      <w:r>
        <w:rPr>
          <w:rFonts w:hint="eastAsia" w:ascii="宋体" w:hAnsi="宋体" w:eastAsia="宋体" w:cs="宋体"/>
          <w:b w:val="0"/>
          <w:bCs/>
          <w:color w:val="auto"/>
          <w:sz w:val="24"/>
          <w:szCs w:val="24"/>
          <w:highlight w:val="none"/>
        </w:rPr>
        <w:t>原因造成的工期延误外，工期不得顺延。非</w:t>
      </w:r>
      <w:r>
        <w:rPr>
          <w:rFonts w:hint="eastAsia" w:ascii="宋体" w:hAnsi="宋体" w:eastAsia="宋体" w:cs="宋体"/>
          <w:color w:val="auto"/>
          <w:sz w:val="24"/>
          <w:szCs w:val="24"/>
          <w:highlight w:val="none"/>
        </w:rPr>
        <w:t>承包人</w:t>
      </w:r>
      <w:r>
        <w:rPr>
          <w:rFonts w:hint="eastAsia" w:ascii="宋体" w:hAnsi="宋体" w:eastAsia="宋体" w:cs="宋体"/>
          <w:b w:val="0"/>
          <w:bCs/>
          <w:color w:val="auto"/>
          <w:sz w:val="24"/>
          <w:szCs w:val="24"/>
          <w:highlight w:val="none"/>
        </w:rPr>
        <w:t>原因造成的工期延误，经</w:t>
      </w:r>
      <w:r>
        <w:rPr>
          <w:rFonts w:hint="eastAsia" w:ascii="宋体" w:hAnsi="宋体" w:eastAsia="宋体" w:cs="宋体"/>
          <w:color w:val="auto"/>
          <w:sz w:val="24"/>
          <w:szCs w:val="24"/>
          <w:highlight w:val="none"/>
        </w:rPr>
        <w:t>发包人</w:t>
      </w:r>
      <w:r>
        <w:rPr>
          <w:rFonts w:hint="eastAsia" w:ascii="宋体" w:hAnsi="宋体" w:eastAsia="宋体" w:cs="宋体"/>
          <w:b w:val="0"/>
          <w:bCs/>
          <w:color w:val="auto"/>
          <w:sz w:val="24"/>
          <w:szCs w:val="24"/>
          <w:highlight w:val="none"/>
        </w:rPr>
        <w:t>确认后，工期顺延。</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7.5.1 因发包人原因导致工期延误</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）因发包人原因导致工期延误的其他情形：</w:t>
      </w:r>
      <w:r>
        <w:rPr>
          <w:rFonts w:hint="eastAsia" w:ascii="宋体" w:hAnsi="宋体" w:eastAsia="宋体" w:cs="宋体"/>
          <w:color w:val="auto"/>
          <w:sz w:val="24"/>
          <w:szCs w:val="24"/>
          <w:highlight w:val="none"/>
          <w:u w:val="single"/>
        </w:rPr>
        <w:t>执行通用条款。</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7.5.2 因承包人原因导致工期延误</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因承包人原因造成工期延误，逾期竣工违约金的计算方法为：</w:t>
      </w:r>
      <w:r>
        <w:rPr>
          <w:rFonts w:hint="eastAsia" w:ascii="宋体" w:hAnsi="宋体" w:eastAsia="宋体" w:cs="宋体"/>
          <w:color w:val="auto"/>
          <w:sz w:val="24"/>
          <w:szCs w:val="24"/>
          <w:highlight w:val="none"/>
          <w:u w:val="single"/>
        </w:rPr>
        <w:t>每延误一天，由承包人向发包人按合同价款的</w:t>
      </w:r>
      <w:r>
        <w:rPr>
          <w:rFonts w:hint="eastAsia" w:ascii="宋体" w:hAnsi="宋体" w:eastAsia="宋体" w:cs="宋体"/>
          <w:color w:val="auto"/>
          <w:sz w:val="24"/>
          <w:szCs w:val="24"/>
          <w:highlight w:val="none"/>
          <w:u w:val="single"/>
          <w:lang w:val="en-US" w:eastAsia="zh-CN"/>
        </w:rPr>
        <w:t>百分之一</w:t>
      </w:r>
      <w:r>
        <w:rPr>
          <w:rFonts w:hint="eastAsia" w:ascii="宋体" w:hAnsi="宋体" w:eastAsia="宋体" w:cs="宋体"/>
          <w:color w:val="auto"/>
          <w:sz w:val="24"/>
          <w:szCs w:val="24"/>
          <w:highlight w:val="none"/>
          <w:u w:val="single"/>
        </w:rPr>
        <w:t>/天支付违约金。</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因承包人原因造成工期延误，逾期竣工违约金的上限：</w:t>
      </w:r>
      <w:r>
        <w:rPr>
          <w:rFonts w:hint="eastAsia" w:ascii="宋体" w:hAnsi="宋体" w:eastAsia="宋体" w:cs="宋体"/>
          <w:color w:val="auto"/>
          <w:sz w:val="24"/>
          <w:szCs w:val="24"/>
          <w:highlight w:val="none"/>
          <w:u w:val="single"/>
        </w:rPr>
        <w:t>总额不超过合同价款的</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0% </w:t>
      </w:r>
      <w:r>
        <w:rPr>
          <w:rFonts w:hint="eastAsia" w:ascii="宋体" w:hAnsi="宋体" w:eastAsia="宋体" w:cs="宋体"/>
          <w:color w:val="auto"/>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 不利物质条件</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不利物质条件的其他情形和有关约定：</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7.7异常恶劣的气候条件</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发包人和承包人同意以下情形视为异常恶劣的气候条件：</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异常恶劣的气候条件的认定标准，以政府有关部门的规定为准。</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 提前竣工的奖励</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提前竣工的奖励：</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2"/>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 材料与设备</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材料与工程设备的保管与使用</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.1发包人供应的材料设备的保管费用的承担：</w:t>
      </w:r>
      <w:r>
        <w:rPr>
          <w:rFonts w:hint="eastAsia" w:ascii="宋体" w:hAnsi="宋体" w:eastAsia="宋体" w:cs="宋体"/>
          <w:color w:val="auto"/>
          <w:sz w:val="24"/>
          <w:szCs w:val="24"/>
          <w:highlight w:val="none"/>
          <w:u w:val="single"/>
        </w:rPr>
        <w:t>承包人承担。</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样品</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.1样品的报送与封存</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需要承包人报送样品的材料或工程设备，样品的种类、名称、规格、数量要求：</w:t>
      </w:r>
      <w:r>
        <w:rPr>
          <w:rFonts w:hint="eastAsia" w:ascii="宋体" w:hAnsi="宋体" w:eastAsia="宋体" w:cs="宋体"/>
          <w:color w:val="auto"/>
          <w:sz w:val="24"/>
          <w:szCs w:val="24"/>
          <w:highlight w:val="none"/>
          <w:u w:val="single"/>
        </w:rPr>
        <w:t>双方约定承包人采购的材料设备必须符合有关规范、设计图纸规定的质量要求，且需经发包人代表及监理工程师验收并现场取样送检合格后方可进场，否则必须及时清退，因未经检验或检验不合格擅自投入使用造成的损失及相关责任由承包人负责，且承包人自愿承担 2000 元/ 次的违约金。</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施工设备和临时设施</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承包人提供的施工设备和临时设施</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rPr>
        <w:t>关于修建临时设施费用承担的约定：</w:t>
      </w:r>
      <w:r>
        <w:rPr>
          <w:rFonts w:hint="eastAsia" w:ascii="宋体" w:hAnsi="宋体" w:eastAsia="宋体" w:cs="宋体"/>
          <w:color w:val="auto"/>
          <w:sz w:val="24"/>
          <w:szCs w:val="24"/>
          <w:highlight w:val="none"/>
          <w:u w:val="single"/>
        </w:rPr>
        <w:t>由承包人自行承担</w:t>
      </w:r>
      <w:r>
        <w:rPr>
          <w:rFonts w:hint="eastAsia" w:ascii="宋体" w:hAnsi="宋体" w:eastAsia="宋体" w:cs="宋体"/>
          <w:color w:val="auto"/>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2"/>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 试验与检验</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9.1试验设备与试验人员</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试验设备</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施工现场需要配置的试验场所：</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u w:val="singl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施工现场需要配备的试验设备：</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u w:val="singl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施工现场需要具备的其他试验条件：</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u w:val="singl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现场工艺试验 </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现场工艺试验的有关约定：</w:t>
      </w:r>
      <w:r>
        <w:rPr>
          <w:rFonts w:hint="eastAsia" w:ascii="宋体" w:hAnsi="宋体" w:eastAsia="宋体" w:cs="宋体"/>
          <w:color w:val="auto"/>
          <w:sz w:val="24"/>
          <w:szCs w:val="24"/>
          <w:highlight w:val="none"/>
          <w:u w:val="single"/>
        </w:rPr>
        <w:t>承包人根据相关法律、标准和规范及按照监理人指示进行试验并承担检测费用。</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2"/>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 变更</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变更的范围</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关于变更的范围的约定：</w:t>
      </w:r>
      <w:r>
        <w:rPr>
          <w:rFonts w:hint="eastAsia" w:ascii="宋体" w:hAnsi="宋体" w:eastAsia="宋体" w:cs="宋体"/>
          <w:color w:val="auto"/>
          <w:sz w:val="24"/>
          <w:szCs w:val="24"/>
          <w:highlight w:val="none"/>
          <w:u w:val="single"/>
        </w:rPr>
        <w:t>执行通用条款。</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u w:val="single"/>
          <w:lang w:val="en-US" w:eastAsia="en-US"/>
        </w:rPr>
      </w:pPr>
      <w:r>
        <w:rPr>
          <w:rFonts w:hint="eastAsia" w:ascii="宋体" w:hAnsi="宋体" w:eastAsia="宋体" w:cs="宋体"/>
          <w:color w:val="auto"/>
          <w:sz w:val="24"/>
          <w:szCs w:val="24"/>
          <w:highlight w:val="none"/>
          <w:u w:val="single"/>
          <w:lang w:val="en-US" w:eastAsia="en-US"/>
        </w:rPr>
        <w:t>承包人根据发包人书面确认的变更文件予以变更。变更文件中须明确原做法、变更后做法及工艺、材料名称、规格、品牌、尺寸等，标注要清晰 。</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变更估价</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 变更估价原则</w:t>
      </w:r>
    </w:p>
    <w:p>
      <w:pPr>
        <w:keepNext w:val="0"/>
        <w:keepLines w:val="0"/>
        <w:pageBreakBefore w:val="0"/>
        <w:widowControl/>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关于变更估价的约定: </w:t>
      </w:r>
    </w:p>
    <w:p>
      <w:pPr>
        <w:keepNext w:val="0"/>
        <w:keepLines w:val="0"/>
        <w:pageBreakBefore w:val="0"/>
        <w:widowControl/>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10.</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1.1设计变更引起新增工程量清单项目，其相应综合单价按本招标文件规定的招标控制价计价编制办法计算，再乘以中标价与招标控制价相比的浮动比率后作为综合单价进行结算。以上变更及工程量签证，必须由发、承包双方、现场监理工程师共同确认。</w:t>
      </w:r>
    </w:p>
    <w:p>
      <w:pPr>
        <w:keepNext w:val="0"/>
        <w:keepLines w:val="0"/>
        <w:pageBreakBefore w:val="0"/>
        <w:widowControl/>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10.</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.1.2工程量增减，其相应综合单价执行投标报价的综合单价，但不得高于定额价的综合单价。</w:t>
      </w:r>
    </w:p>
    <w:p>
      <w:pPr>
        <w:keepNext w:val="0"/>
        <w:keepLines w:val="0"/>
        <w:pageBreakBefore w:val="0"/>
        <w:widowControl/>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10.</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.1.3清单项目中特征描述不全的工序，如图纸已明确或已指明引用的规范、图集等或是常规工艺必须的工序，应包括在报价中。</w:t>
      </w:r>
    </w:p>
    <w:p>
      <w:pPr>
        <w:keepNext w:val="0"/>
        <w:keepLines w:val="0"/>
        <w:pageBreakBefore w:val="0"/>
        <w:widowControl/>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10.</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.1.4</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以上10.</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.1.1、10.</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.1.2条以外原因引起的价款调整按照以下方法处理：</w:t>
      </w:r>
    </w:p>
    <w:p>
      <w:pPr>
        <w:keepNext w:val="0"/>
        <w:keepLines w:val="0"/>
        <w:pageBreakBefore w:val="0"/>
        <w:widowControl/>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（1）有类似单价的，参照类似单价；</w:t>
      </w:r>
    </w:p>
    <w:p>
      <w:pPr>
        <w:keepNext w:val="0"/>
        <w:keepLines w:val="0"/>
        <w:pageBreakBefore w:val="0"/>
        <w:widowControl/>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（2）没有类似单价的，按照变更发生前一个月的《徐州工程造价信息》中相应的材料价格和相应的定额计价，同时按照中标价与招标控制价的整体下浮比率下浮；</w:t>
      </w:r>
    </w:p>
    <w:p>
      <w:pPr>
        <w:keepNext w:val="0"/>
        <w:keepLines w:val="0"/>
        <w:pageBreakBefore w:val="0"/>
        <w:widowControl/>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徐州工程造价信息》中没有相应材料价格的，双方比价采购或者由招标人经招标确定价格后，计入相应的定额计价，但该部分材料价格不再参与下浮，其余部分按照中标价与招标控制价的整体下浮比率下浮。</w:t>
      </w:r>
    </w:p>
    <w:p>
      <w:pPr>
        <w:keepNext w:val="0"/>
        <w:keepLines w:val="0"/>
        <w:pageBreakBefore w:val="0"/>
        <w:widowControl/>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10.</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.1.5因分部分项工程量清单漏项、数量调整或非承包人原因的工程变更，造成施工组织设计或施工方案变更，引起措施项目发生变化时，在结算按照以下规定调整：</w:t>
      </w:r>
    </w:p>
    <w:p>
      <w:pPr>
        <w:keepNext w:val="0"/>
        <w:keepLines w:val="0"/>
        <w:pageBreakBefore w:val="0"/>
        <w:widowControl/>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（1）总价措施措施费仍按投标时费率进行调整（其中安全文明增加费及按质论价费的费率按实调整）。</w:t>
      </w:r>
    </w:p>
    <w:p>
      <w:pPr>
        <w:keepNext w:val="0"/>
        <w:keepLines w:val="0"/>
        <w:pageBreakBefore w:val="0"/>
        <w:widowControl/>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单价措施（排水、降水、脚手架、围堰、便桥、封底混凝土、便道、围挡）的措施费按照单价措施项目清单投标单价，结算按实调整（除由设计变更引起的单价措施工程量调整外，结算工程量不得超过投标清单工程量）。</w:t>
      </w:r>
    </w:p>
    <w:p>
      <w:pPr>
        <w:keepNext w:val="0"/>
        <w:keepLines w:val="0"/>
        <w:pageBreakBefore w:val="0"/>
        <w:widowControl/>
        <w:spacing w:after="0" w:line="336" w:lineRule="auto"/>
        <w:ind w:left="0" w:right="0" w:firstLine="480"/>
        <w:jc w:val="lef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rPr>
        <w:t>（3）因设计变更引起的原措施费中没有的单价措施项目，由承包人根据措施项目变更情况，提出适当的措施费变更要求，经发包人确认后调整。</w:t>
      </w:r>
    </w:p>
    <w:p>
      <w:pPr>
        <w:pageBreakBefore w:val="0"/>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79" w:name="_Toc296891025"/>
      <w:bookmarkStart w:id="80" w:name="_Toc296346698"/>
      <w:bookmarkStart w:id="81" w:name="_Toc297123544"/>
      <w:bookmarkStart w:id="82" w:name="_Toc296944536"/>
      <w:bookmarkStart w:id="83" w:name="_Toc296503197"/>
      <w:bookmarkStart w:id="84" w:name="_Toc303539150"/>
      <w:bookmarkStart w:id="85" w:name="_Toc297120497"/>
      <w:bookmarkStart w:id="86" w:name="_Toc292559402"/>
      <w:bookmarkStart w:id="87" w:name="_Toc300934993"/>
      <w:bookmarkStart w:id="88" w:name="_Toc296347196"/>
      <w:bookmarkStart w:id="89" w:name="_Toc297216203"/>
      <w:bookmarkStart w:id="90" w:name="_Toc292559907"/>
      <w:bookmarkStart w:id="91" w:name="_Toc296891237"/>
      <w:bookmarkStart w:id="92" w:name="_Toc297048383"/>
      <w:bookmarkStart w:id="93" w:name="_Toc312677503"/>
      <w:bookmarkStart w:id="94" w:name="_Toc312678029"/>
      <w:bookmarkStart w:id="95" w:name="_Toc304295570"/>
      <w:r>
        <w:rPr>
          <w:rFonts w:hint="eastAsia" w:ascii="宋体" w:hAnsi="宋体" w:eastAsia="宋体" w:cs="宋体"/>
          <w:color w:val="auto"/>
          <w:sz w:val="24"/>
          <w:szCs w:val="24"/>
          <w:highlight w:val="none"/>
        </w:rPr>
        <w:t>0.5承</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Start w:id="96" w:name="_Toc296503203"/>
      <w:bookmarkStart w:id="97" w:name="_Toc297120503"/>
      <w:bookmarkStart w:id="98" w:name="_Toc297123545"/>
      <w:bookmarkStart w:id="99" w:name="_Toc292559913"/>
      <w:bookmarkStart w:id="100" w:name="_Toc292559408"/>
      <w:bookmarkStart w:id="101" w:name="_Toc296944542"/>
      <w:bookmarkStart w:id="102" w:name="_Toc300934994"/>
      <w:bookmarkStart w:id="103" w:name="_Toc296347202"/>
      <w:bookmarkStart w:id="104" w:name="_Toc303539151"/>
      <w:bookmarkStart w:id="105" w:name="_Toc296346704"/>
      <w:bookmarkStart w:id="106" w:name="_Toc297048389"/>
      <w:bookmarkStart w:id="107" w:name="_Toc296891243"/>
      <w:bookmarkStart w:id="108" w:name="_Toc297216204"/>
      <w:bookmarkStart w:id="109" w:name="_Toc296891031"/>
      <w:r>
        <w:rPr>
          <w:rFonts w:hint="eastAsia" w:ascii="宋体" w:hAnsi="宋体" w:eastAsia="宋体" w:cs="宋体"/>
          <w:color w:val="auto"/>
          <w:sz w:val="24"/>
          <w:szCs w:val="24"/>
          <w:highlight w:val="none"/>
        </w:rPr>
        <w:t>包人的合理化建议</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监理人审查承包人合理化建议的期限：</w:t>
      </w:r>
      <w:r>
        <w:rPr>
          <w:rFonts w:hint="eastAsia" w:ascii="宋体" w:hAnsi="宋体" w:eastAsia="宋体" w:cs="宋体"/>
          <w:color w:val="auto"/>
          <w:sz w:val="24"/>
          <w:szCs w:val="24"/>
          <w:highlight w:val="none"/>
          <w:u w:val="single"/>
        </w:rPr>
        <w:t>实施前14日内</w:t>
      </w:r>
      <w:r>
        <w:rPr>
          <w:rFonts w:hint="eastAsia" w:ascii="宋体" w:hAnsi="宋体" w:eastAsia="宋体" w:cs="宋体"/>
          <w:color w:val="auto"/>
          <w:sz w:val="24"/>
          <w:szCs w:val="24"/>
          <w:highlight w:val="none"/>
        </w:rPr>
        <w:t>。</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发包人审批承包人合理化建议的期限：</w:t>
      </w:r>
      <w:r>
        <w:rPr>
          <w:rFonts w:hint="eastAsia" w:ascii="宋体" w:hAnsi="宋体" w:eastAsia="宋体" w:cs="宋体"/>
          <w:color w:val="auto"/>
          <w:sz w:val="24"/>
          <w:szCs w:val="24"/>
          <w:highlight w:val="none"/>
          <w:u w:val="single"/>
        </w:rPr>
        <w:t>实施前7日内</w:t>
      </w:r>
      <w:r>
        <w:rPr>
          <w:rFonts w:hint="eastAsia" w:ascii="宋体" w:hAnsi="宋体" w:eastAsia="宋体" w:cs="宋体"/>
          <w:color w:val="auto"/>
          <w:sz w:val="24"/>
          <w:szCs w:val="24"/>
          <w:highlight w:val="none"/>
        </w:rPr>
        <w:t>。</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w:t>
      </w:r>
      <w:bookmarkStart w:id="110" w:name="_Toc296347203"/>
      <w:bookmarkStart w:id="111" w:name="_Toc297120504"/>
      <w:bookmarkStart w:id="112" w:name="_Toc304295571"/>
      <w:bookmarkStart w:id="113" w:name="_Toc296891244"/>
      <w:bookmarkStart w:id="114" w:name="_Toc296944543"/>
      <w:bookmarkStart w:id="115" w:name="_Toc300934995"/>
      <w:bookmarkStart w:id="116" w:name="_Toc292559914"/>
      <w:bookmarkStart w:id="117" w:name="_Toc318581175"/>
      <w:bookmarkStart w:id="118" w:name="_Toc303539152"/>
      <w:bookmarkStart w:id="119" w:name="_Toc312677504"/>
      <w:bookmarkStart w:id="120" w:name="_Toc296346705"/>
      <w:bookmarkStart w:id="121" w:name="_Toc292559409"/>
      <w:bookmarkStart w:id="122" w:name="_Toc296503204"/>
      <w:bookmarkStart w:id="123" w:name="_Toc312678030"/>
      <w:bookmarkStart w:id="124" w:name="_Toc297216205"/>
      <w:bookmarkStart w:id="125" w:name="_Toc297123546"/>
      <w:bookmarkStart w:id="126" w:name="_Toc297048390"/>
      <w:bookmarkStart w:id="127" w:name="_Toc296891032"/>
      <w:r>
        <w:rPr>
          <w:rFonts w:hint="eastAsia" w:ascii="宋体" w:hAnsi="宋体" w:eastAsia="宋体" w:cs="宋体"/>
          <w:color w:val="auto"/>
          <w:sz w:val="24"/>
          <w:szCs w:val="24"/>
          <w:highlight w:val="none"/>
        </w:rPr>
        <w:t>包人提出的合理化建议降低了合同价格或者提高了工程经济效益的奖励的方法和金额为：</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2"/>
        <w:jc w:val="both"/>
        <w:rPr>
          <w:rFonts w:hint="eastAsia" w:ascii="宋体" w:hAnsi="宋体" w:eastAsia="宋体" w:cs="宋体"/>
          <w:b/>
          <w:bCs/>
          <w:color w:val="auto"/>
          <w:sz w:val="24"/>
          <w:szCs w:val="24"/>
          <w:highlight w:val="none"/>
        </w:rPr>
      </w:pPr>
      <w:bookmarkStart w:id="128" w:name="_Toc351203643"/>
      <w:r>
        <w:rPr>
          <w:rFonts w:hint="eastAsia" w:ascii="宋体" w:hAnsi="宋体" w:eastAsia="宋体" w:cs="宋体"/>
          <w:b/>
          <w:bCs/>
          <w:color w:val="auto"/>
          <w:sz w:val="24"/>
          <w:szCs w:val="24"/>
          <w:highlight w:val="none"/>
        </w:rPr>
        <w:t>11.价格调整</w:t>
      </w:r>
      <w:bookmarkEnd w:id="128"/>
    </w:p>
    <w:p>
      <w:pPr>
        <w:pageBreakBefore w:val="0"/>
        <w:spacing w:after="0" w:line="336" w:lineRule="auto"/>
        <w:ind w:left="0" w:right="0" w:firstLine="480"/>
        <w:rPr>
          <w:rFonts w:hint="eastAsia" w:ascii="宋体" w:hAnsi="宋体" w:eastAsia="宋体" w:cs="宋体"/>
          <w:color w:val="auto"/>
          <w:sz w:val="24"/>
          <w:szCs w:val="24"/>
          <w:highlight w:val="none"/>
        </w:rPr>
      </w:pPr>
      <w:bookmarkStart w:id="129" w:name="_Toc312678039"/>
      <w:bookmarkStart w:id="130" w:name="_Toc296503201"/>
      <w:bookmarkStart w:id="131" w:name="_Toc303539157"/>
      <w:bookmarkStart w:id="132" w:name="_Toc297120501"/>
      <w:bookmarkStart w:id="133" w:name="_Toc292559406"/>
      <w:bookmarkStart w:id="134" w:name="_Toc297123550"/>
      <w:bookmarkStart w:id="135" w:name="_Toc297048387"/>
      <w:bookmarkStart w:id="136" w:name="_Toc296891029"/>
      <w:bookmarkStart w:id="137" w:name="_Toc296347200"/>
      <w:bookmarkStart w:id="138" w:name="_Toc296346702"/>
      <w:bookmarkStart w:id="139" w:name="_Toc292559911"/>
      <w:bookmarkStart w:id="140" w:name="_Toc304295577"/>
      <w:bookmarkStart w:id="141" w:name="_Toc296891241"/>
      <w:bookmarkStart w:id="142" w:name="_Toc296944540"/>
      <w:bookmarkStart w:id="143" w:name="_Toc300935000"/>
      <w:bookmarkStart w:id="144" w:name="_Toc297216209"/>
      <w:r>
        <w:rPr>
          <w:rFonts w:hint="eastAsia" w:ascii="宋体" w:hAnsi="宋体" w:eastAsia="宋体" w:cs="宋体"/>
          <w:color w:val="auto"/>
          <w:sz w:val="24"/>
          <w:szCs w:val="24"/>
          <w:highlight w:val="none"/>
        </w:rPr>
        <w:t>11.1市场价格波动引起的调整</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pPr>
        <w:pStyle w:val="15"/>
        <w:pageBreakBefore w:val="0"/>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市场价格波动是否调整合同价格的约定：</w:t>
      </w:r>
      <w:r>
        <w:rPr>
          <w:rFonts w:hint="eastAsia" w:ascii="宋体" w:hAnsi="宋体" w:eastAsia="宋体" w:cs="宋体"/>
          <w:b/>
          <w:color w:val="auto"/>
          <w:sz w:val="24"/>
          <w:szCs w:val="24"/>
          <w:highlight w:val="none"/>
          <w:u w:val="single"/>
        </w:rPr>
        <w:t>承包人在投标时应已充分考虑到施工期间各类建材的市场风险，并计入总报价，合同履行期间不予调整</w:t>
      </w:r>
      <w:r>
        <w:rPr>
          <w:rFonts w:hint="eastAsia" w:ascii="宋体" w:hAnsi="宋体" w:eastAsia="宋体" w:cs="宋体"/>
          <w:color w:val="auto"/>
          <w:sz w:val="24"/>
          <w:szCs w:val="24"/>
          <w:highlight w:val="none"/>
          <w:u w:val="single"/>
        </w:rPr>
        <w:t>。</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因市场价格波动调整合同价格，采用以下第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3</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种方式对合同价格进行调整：</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第1种方式：采用价格指数进行价格调整。</w:t>
      </w:r>
    </w:p>
    <w:p>
      <w:pPr>
        <w:pageBreakBefore w:val="0"/>
        <w:spacing w:after="0" w:line="336" w:lineRule="auto"/>
        <w:ind w:left="0" w:right="0" w:firstLine="48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关于各可调因子、定值和变值权重，以及基本价格指数及其来源的约定：</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第2种方式：采用造价信息进行价格调整。</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（2）关于基准价格的约定：</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p>
    <w:p>
      <w:pPr>
        <w:pageBreakBefore w:val="0"/>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专用合同条款：</w:t>
      </w:r>
      <w:r>
        <w:rPr>
          <w:rFonts w:hint="eastAsia" w:ascii="宋体" w:hAnsi="宋体" w:eastAsia="宋体" w:cs="宋体"/>
          <w:color w:val="auto"/>
          <w:sz w:val="24"/>
          <w:szCs w:val="24"/>
          <w:highlight w:val="none"/>
          <w:u w:val="single"/>
        </w:rPr>
        <w:t>（1）承包人投标报价中材料单价低于基准单价：施工期间材料单价涨幅以基准单价为基础超过5%，或材料单价跌幅以投标报价为基础超过5%时，其超过部分按实调整。</w:t>
      </w:r>
    </w:p>
    <w:p>
      <w:pPr>
        <w:pageBreakBefore w:val="0"/>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（2）承包人投标报价中材料单价高于基准单价：施工期间材料单价跌幅以基准单价为基础超过5%，或材料单价涨幅以投标报价为基础超过5%时，其超过部分按实调整。</w:t>
      </w:r>
    </w:p>
    <w:p>
      <w:pPr>
        <w:pageBreakBefore w:val="0"/>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（3）承包人投标报价中材料单价等于基准单价：施工期间材料单价涨、跌幅均以基准单价为基础，涨幅超过5%和跌幅超过5%，其超过部分按实调整。</w:t>
      </w:r>
    </w:p>
    <w:p>
      <w:pPr>
        <w:pageBreakBefore w:val="0"/>
        <w:spacing w:after="0" w:line="336" w:lineRule="auto"/>
        <w:ind w:left="0" w:right="0" w:firstLine="480"/>
        <w:jc w:val="left"/>
        <w:rPr>
          <w:rFonts w:hint="eastAsia" w:ascii="宋体" w:hAnsi="宋体" w:eastAsia="宋体" w:cs="宋体"/>
          <w:b/>
          <w:bCs/>
          <w:color w:val="auto"/>
          <w:sz w:val="24"/>
          <w:szCs w:val="24"/>
          <w:highlight w:val="none"/>
          <w:u w:val="single"/>
        </w:rPr>
      </w:pPr>
      <w:r>
        <w:rPr>
          <w:rFonts w:hint="eastAsia" w:ascii="宋体" w:hAnsi="宋体" w:eastAsia="宋体" w:cs="宋体"/>
          <w:b w:val="0"/>
          <w:bCs w:val="0"/>
          <w:color w:val="auto"/>
          <w:sz w:val="24"/>
          <w:szCs w:val="24"/>
          <w:highlight w:val="none"/>
        </w:rPr>
        <w:t>第3种方式：其他价格调整方式：</w:t>
      </w:r>
      <w:r>
        <w:rPr>
          <w:rFonts w:hint="eastAsia" w:ascii="宋体" w:hAnsi="宋体" w:eastAsia="宋体" w:cs="宋体"/>
          <w:b/>
          <w:bCs/>
          <w:color w:val="auto"/>
          <w:sz w:val="24"/>
          <w:szCs w:val="24"/>
          <w:highlight w:val="none"/>
          <w:u w:val="single"/>
        </w:rPr>
        <w:t>本工程工期较短，市场价格波动不调整。</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2"/>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12.合同价格、计量与支付</w:t>
      </w:r>
    </w:p>
    <w:p>
      <w:pPr>
        <w:pageBreakBefore w:val="0"/>
        <w:spacing w:after="0" w:line="336" w:lineRule="auto"/>
        <w:ind w:left="0" w:right="0" w:firstLine="480"/>
        <w:rPr>
          <w:rFonts w:hint="eastAsia" w:ascii="宋体" w:hAnsi="宋体" w:eastAsia="宋体" w:cs="宋体"/>
          <w:color w:val="auto"/>
          <w:sz w:val="24"/>
          <w:szCs w:val="24"/>
          <w:highlight w:val="none"/>
        </w:rPr>
      </w:pPr>
      <w:bookmarkStart w:id="145" w:name="_Toc292559411"/>
      <w:bookmarkStart w:id="146" w:name="_Toc267251461"/>
      <w:bookmarkStart w:id="147" w:name="_Toc292559916"/>
      <w:bookmarkStart w:id="148" w:name="_Toc296944545"/>
      <w:bookmarkStart w:id="149" w:name="_Toc296891034"/>
      <w:bookmarkStart w:id="150" w:name="_Toc296891246"/>
      <w:bookmarkStart w:id="151" w:name="_Toc297120506"/>
      <w:bookmarkStart w:id="152" w:name="_Toc296503206"/>
      <w:bookmarkStart w:id="153" w:name="_Toc297048392"/>
      <w:bookmarkStart w:id="154" w:name="_Toc296347205"/>
      <w:bookmarkStart w:id="155" w:name="_Toc296346707"/>
      <w:bookmarkStart w:id="156" w:name="_Toc303539160"/>
      <w:bookmarkStart w:id="157" w:name="_Toc304295580"/>
      <w:bookmarkStart w:id="158" w:name="_Toc300935003"/>
      <w:bookmarkStart w:id="159" w:name="_Toc312678041"/>
      <w:bookmarkStart w:id="160" w:name="_Toc297216212"/>
      <w:bookmarkStart w:id="161" w:name="_Toc297123553"/>
      <w:r>
        <w:rPr>
          <w:rFonts w:hint="eastAsia" w:ascii="宋体" w:hAnsi="宋体" w:eastAsia="宋体" w:cs="宋体"/>
          <w:color w:val="auto"/>
          <w:sz w:val="24"/>
          <w:szCs w:val="24"/>
          <w:highlight w:val="none"/>
        </w:rPr>
        <w:t>12.1合</w:t>
      </w:r>
      <w:bookmarkEnd w:id="145"/>
      <w:bookmarkEnd w:id="146"/>
      <w:bookmarkEnd w:id="147"/>
      <w:r>
        <w:rPr>
          <w:rFonts w:hint="eastAsia" w:ascii="宋体" w:hAnsi="宋体" w:eastAsia="宋体" w:cs="宋体"/>
          <w:color w:val="auto"/>
          <w:sz w:val="24"/>
          <w:szCs w:val="24"/>
          <w:highlight w:val="none"/>
        </w:rPr>
        <w:t>同价</w:t>
      </w:r>
      <w:bookmarkEnd w:id="148"/>
      <w:bookmarkEnd w:id="149"/>
      <w:bookmarkEnd w:id="150"/>
      <w:bookmarkEnd w:id="151"/>
      <w:bookmarkEnd w:id="152"/>
      <w:bookmarkEnd w:id="153"/>
      <w:bookmarkEnd w:id="154"/>
      <w:bookmarkEnd w:id="155"/>
      <w:r>
        <w:rPr>
          <w:rFonts w:hint="eastAsia" w:ascii="宋体" w:hAnsi="宋体" w:eastAsia="宋体" w:cs="宋体"/>
          <w:color w:val="auto"/>
          <w:sz w:val="24"/>
          <w:szCs w:val="24"/>
          <w:highlight w:val="none"/>
        </w:rPr>
        <w:t>格形式</w:t>
      </w:r>
      <w:bookmarkEnd w:id="156"/>
      <w:bookmarkEnd w:id="157"/>
      <w:bookmarkEnd w:id="158"/>
      <w:bookmarkEnd w:id="159"/>
      <w:bookmarkEnd w:id="160"/>
      <w:bookmarkEnd w:id="161"/>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综合单价包含的风险范围：</w:t>
      </w:r>
    </w:p>
    <w:p>
      <w:pPr>
        <w:pageBreakBefore w:val="0"/>
        <w:spacing w:after="0" w:line="336" w:lineRule="auto"/>
        <w:ind w:left="0" w:right="0" w:firstLine="48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w:t>
      </w:r>
      <w:r>
        <w:rPr>
          <w:rFonts w:hint="eastAsia" w:ascii="宋体" w:hAnsi="宋体" w:cs="宋体"/>
          <w:bCs/>
          <w:color w:val="auto"/>
          <w:sz w:val="24"/>
          <w:szCs w:val="24"/>
          <w:highlight w:val="none"/>
          <w:u w:val="single"/>
          <w:lang w:val="en-US" w:eastAsia="zh-CN"/>
        </w:rPr>
        <w:t>供应商</w:t>
      </w:r>
      <w:r>
        <w:rPr>
          <w:rFonts w:hint="eastAsia" w:ascii="宋体" w:hAnsi="宋体" w:eastAsia="宋体" w:cs="宋体"/>
          <w:bCs/>
          <w:color w:val="auto"/>
          <w:sz w:val="24"/>
          <w:szCs w:val="24"/>
          <w:highlight w:val="none"/>
          <w:u w:val="single"/>
        </w:rPr>
        <w:t>应充分考虑可能出现的反季节种植，并视为已体现在投标报价中,结算时不予调整。</w:t>
      </w:r>
    </w:p>
    <w:p>
      <w:pPr>
        <w:pageBreakBefore w:val="0"/>
        <w:spacing w:after="0" w:line="336" w:lineRule="auto"/>
        <w:ind w:left="0" w:right="0" w:firstLine="48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2）开工后，根据现场实际施工条件，招标人可能会安排中标人分段施工，</w:t>
      </w:r>
      <w:r>
        <w:rPr>
          <w:rFonts w:hint="eastAsia" w:ascii="宋体" w:hAnsi="宋体" w:cs="宋体"/>
          <w:bCs/>
          <w:color w:val="auto"/>
          <w:sz w:val="24"/>
          <w:szCs w:val="24"/>
          <w:highlight w:val="none"/>
          <w:u w:val="single"/>
          <w:lang w:val="en-US" w:eastAsia="zh-CN"/>
        </w:rPr>
        <w:t>供应商</w:t>
      </w:r>
      <w:r>
        <w:rPr>
          <w:rFonts w:hint="eastAsia" w:ascii="宋体" w:hAnsi="宋体" w:eastAsia="宋体" w:cs="宋体"/>
          <w:bCs/>
          <w:color w:val="auto"/>
          <w:sz w:val="24"/>
          <w:szCs w:val="24"/>
          <w:highlight w:val="none"/>
          <w:u w:val="single"/>
        </w:rPr>
        <w:t>需考虑时间间隔对自身产生的影响并视为已体现在投标报价中。</w:t>
      </w:r>
    </w:p>
    <w:p>
      <w:pPr>
        <w:pageBreakBefore w:val="0"/>
        <w:spacing w:after="0" w:line="336" w:lineRule="auto"/>
        <w:ind w:left="0" w:right="0" w:firstLine="48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）本工程工期紧、任务重，</w:t>
      </w:r>
      <w:r>
        <w:rPr>
          <w:rFonts w:hint="eastAsia" w:ascii="宋体" w:hAnsi="宋体" w:cs="宋体"/>
          <w:bCs/>
          <w:color w:val="auto"/>
          <w:sz w:val="24"/>
          <w:szCs w:val="24"/>
          <w:highlight w:val="none"/>
          <w:u w:val="single"/>
          <w:lang w:val="en-US" w:eastAsia="zh-CN"/>
        </w:rPr>
        <w:t>供应商</w:t>
      </w:r>
      <w:r>
        <w:rPr>
          <w:rFonts w:hint="eastAsia" w:ascii="宋体" w:hAnsi="宋体" w:eastAsia="宋体" w:cs="宋体"/>
          <w:bCs/>
          <w:color w:val="auto"/>
          <w:sz w:val="24"/>
          <w:szCs w:val="24"/>
          <w:highlight w:val="none"/>
          <w:u w:val="single"/>
        </w:rPr>
        <w:t>务必充分考虑施工人员的组织工作，并在施工组织设计中体现出确保人员及工期的措施方案。中标后不得以市场工人短缺、赶工等借口拖延工期或申请追加合同金额，否则视为中标人违约。</w:t>
      </w:r>
    </w:p>
    <w:p>
      <w:pPr>
        <w:pageBreakBefore w:val="0"/>
        <w:spacing w:after="0" w:line="336" w:lineRule="auto"/>
        <w:ind w:left="0" w:right="0" w:firstLine="48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lang w:val="en-US" w:eastAsia="zh-CN"/>
        </w:rPr>
        <w:t>4</w:t>
      </w:r>
      <w:r>
        <w:rPr>
          <w:rFonts w:hint="eastAsia" w:ascii="宋体" w:hAnsi="宋体" w:eastAsia="宋体" w:cs="宋体"/>
          <w:bCs/>
          <w:color w:val="auto"/>
          <w:sz w:val="24"/>
          <w:szCs w:val="24"/>
          <w:highlight w:val="none"/>
          <w:u w:val="single"/>
        </w:rPr>
        <w:t>）地方关系、施工涉及的交通协调费</w:t>
      </w:r>
      <w:r>
        <w:rPr>
          <w:rFonts w:hint="eastAsia" w:ascii="宋体" w:hAnsi="宋体" w:cs="宋体"/>
          <w:bCs/>
          <w:color w:val="auto"/>
          <w:sz w:val="24"/>
          <w:szCs w:val="24"/>
          <w:highlight w:val="none"/>
          <w:u w:val="single"/>
          <w:lang w:val="en-US" w:eastAsia="zh-CN"/>
        </w:rPr>
        <w:t>供应商</w:t>
      </w:r>
      <w:r>
        <w:rPr>
          <w:rFonts w:hint="eastAsia" w:ascii="宋体" w:hAnsi="宋体" w:eastAsia="宋体" w:cs="宋体"/>
          <w:bCs/>
          <w:color w:val="auto"/>
          <w:sz w:val="24"/>
          <w:szCs w:val="24"/>
          <w:highlight w:val="none"/>
          <w:u w:val="single"/>
        </w:rPr>
        <w:t>自行考虑，就此项招标人不支付任何费用。</w:t>
      </w:r>
    </w:p>
    <w:p>
      <w:pPr>
        <w:pageBreakBefore w:val="0"/>
        <w:spacing w:after="0" w:line="336" w:lineRule="auto"/>
        <w:ind w:left="0" w:right="0" w:firstLine="48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）中标人的施工组织设计施工前，必须报监理、业主审批，进行再深化后执行。</w:t>
      </w:r>
    </w:p>
    <w:p>
      <w:pPr>
        <w:pageBreakBefore w:val="0"/>
        <w:spacing w:after="0" w:line="336" w:lineRule="auto"/>
        <w:ind w:left="0" w:right="0" w:firstLine="48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lang w:val="en-US" w:eastAsia="zh-CN"/>
        </w:rPr>
        <w:t>6</w:t>
      </w:r>
      <w:r>
        <w:rPr>
          <w:rFonts w:hint="eastAsia" w:ascii="宋体" w:hAnsi="宋体" w:eastAsia="宋体" w:cs="宋体"/>
          <w:bCs/>
          <w:color w:val="auto"/>
          <w:sz w:val="24"/>
          <w:szCs w:val="24"/>
          <w:highlight w:val="none"/>
          <w:u w:val="single"/>
        </w:rPr>
        <w:t>）</w:t>
      </w:r>
      <w:r>
        <w:rPr>
          <w:rFonts w:hint="eastAsia" w:ascii="宋体" w:hAnsi="宋体" w:cs="宋体"/>
          <w:bCs/>
          <w:color w:val="auto"/>
          <w:sz w:val="24"/>
          <w:szCs w:val="24"/>
          <w:highlight w:val="none"/>
          <w:u w:val="single"/>
          <w:lang w:val="en-US" w:eastAsia="zh-CN"/>
        </w:rPr>
        <w:t>供应商</w:t>
      </w:r>
      <w:r>
        <w:rPr>
          <w:rFonts w:hint="eastAsia" w:ascii="宋体" w:hAnsi="宋体" w:eastAsia="宋体" w:cs="宋体"/>
          <w:bCs/>
          <w:color w:val="auto"/>
          <w:sz w:val="24"/>
          <w:szCs w:val="24"/>
          <w:highlight w:val="none"/>
          <w:u w:val="single"/>
        </w:rPr>
        <w:t>作为一个有经验的承包商，施工时自行采取措施避免干扰周围居民的生活，杜绝人身安全事故等，如因与周围居民发生冲突，导致工程停工，所有停工损失及其需增加的费用</w:t>
      </w:r>
      <w:r>
        <w:rPr>
          <w:rFonts w:hint="eastAsia" w:ascii="宋体" w:hAnsi="宋体" w:cs="宋体"/>
          <w:bCs/>
          <w:color w:val="auto"/>
          <w:sz w:val="24"/>
          <w:szCs w:val="24"/>
          <w:highlight w:val="none"/>
          <w:u w:val="single"/>
          <w:lang w:val="en-US" w:eastAsia="zh-CN"/>
        </w:rPr>
        <w:t>供应商</w:t>
      </w:r>
      <w:r>
        <w:rPr>
          <w:rFonts w:hint="eastAsia" w:ascii="宋体" w:hAnsi="宋体" w:eastAsia="宋体" w:cs="宋体"/>
          <w:bCs/>
          <w:color w:val="auto"/>
          <w:sz w:val="24"/>
          <w:szCs w:val="24"/>
          <w:highlight w:val="none"/>
          <w:u w:val="single"/>
        </w:rPr>
        <w:t>应自主考虑在投标报价中，结算时不作调整。</w:t>
      </w:r>
    </w:p>
    <w:p>
      <w:pPr>
        <w:pageBreakBefore w:val="0"/>
        <w:spacing w:after="0" w:line="336" w:lineRule="auto"/>
        <w:ind w:left="0" w:right="0" w:firstLine="48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w:t>
      </w:r>
      <w:r>
        <w:rPr>
          <w:rFonts w:hint="eastAsia" w:ascii="宋体" w:hAnsi="宋体" w:cs="宋体"/>
          <w:bCs/>
          <w:color w:val="auto"/>
          <w:sz w:val="24"/>
          <w:szCs w:val="24"/>
          <w:highlight w:val="none"/>
          <w:u w:val="single"/>
          <w:lang w:val="en-US" w:eastAsia="zh-CN"/>
        </w:rPr>
        <w:t>供应商</w:t>
      </w:r>
      <w:r>
        <w:rPr>
          <w:rFonts w:hint="eastAsia" w:ascii="宋体" w:hAnsi="宋体" w:eastAsia="宋体" w:cs="宋体"/>
          <w:bCs/>
          <w:color w:val="auto"/>
          <w:sz w:val="24"/>
          <w:szCs w:val="24"/>
          <w:highlight w:val="none"/>
          <w:u w:val="single"/>
        </w:rPr>
        <w:t>勘查现场后必须在施工组织设计中体现：1、</w:t>
      </w:r>
      <w:r>
        <w:rPr>
          <w:rFonts w:hint="eastAsia" w:ascii="宋体" w:hAnsi="宋体" w:cs="宋体"/>
          <w:bCs/>
          <w:color w:val="auto"/>
          <w:sz w:val="24"/>
          <w:szCs w:val="24"/>
          <w:highlight w:val="none"/>
          <w:u w:val="single"/>
          <w:lang w:val="en-US" w:eastAsia="zh-CN"/>
        </w:rPr>
        <w:t>供应商</w:t>
      </w:r>
      <w:r>
        <w:rPr>
          <w:rFonts w:hint="eastAsia" w:ascii="宋体" w:hAnsi="宋体" w:eastAsia="宋体" w:cs="宋体"/>
          <w:bCs/>
          <w:color w:val="auto"/>
          <w:sz w:val="24"/>
          <w:szCs w:val="24"/>
          <w:highlight w:val="none"/>
          <w:u w:val="single"/>
        </w:rPr>
        <w:t>保正有序、和谐施工，力保不发生人身伤害等恶性事件；2、现场分段施工的措施方案，临设搭设转移等措施项目费用；3、保护已有建筑、管网、线路等措施；4、控制现场扬尘、施工围挡等文明施工措施，</w:t>
      </w:r>
      <w:r>
        <w:rPr>
          <w:rFonts w:hint="eastAsia" w:ascii="宋体" w:hAnsi="宋体" w:cs="宋体"/>
          <w:bCs/>
          <w:color w:val="auto"/>
          <w:sz w:val="24"/>
          <w:szCs w:val="24"/>
          <w:highlight w:val="none"/>
          <w:u w:val="single"/>
          <w:lang w:val="en-US" w:eastAsia="zh-CN"/>
        </w:rPr>
        <w:t>供应商</w:t>
      </w:r>
      <w:r>
        <w:rPr>
          <w:rFonts w:hint="eastAsia" w:ascii="宋体" w:hAnsi="宋体" w:eastAsia="宋体" w:cs="宋体"/>
          <w:bCs/>
          <w:color w:val="auto"/>
          <w:sz w:val="24"/>
          <w:szCs w:val="24"/>
          <w:highlight w:val="none"/>
          <w:u w:val="single"/>
        </w:rPr>
        <w:t>必须</w:t>
      </w:r>
      <w:r>
        <w:rPr>
          <w:rFonts w:hint="eastAsia" w:ascii="宋体" w:hAnsi="宋体" w:eastAsia="宋体" w:cs="宋体"/>
          <w:bCs/>
          <w:color w:val="auto"/>
          <w:sz w:val="24"/>
          <w:szCs w:val="24"/>
          <w:highlight w:val="none"/>
          <w:u w:val="single"/>
          <w:lang w:val="en-US" w:eastAsia="zh-CN"/>
        </w:rPr>
        <w:t>严格按照</w:t>
      </w:r>
      <w:r>
        <w:rPr>
          <w:rFonts w:hint="eastAsia" w:ascii="宋体" w:hAnsi="宋体" w:eastAsia="宋体" w:cs="宋体"/>
          <w:bCs/>
          <w:color w:val="auto"/>
          <w:sz w:val="24"/>
          <w:szCs w:val="24"/>
          <w:highlight w:val="none"/>
          <w:u w:val="single"/>
        </w:rPr>
        <w:t>《市政府关于印发徐州市2017-2018年秋冬季大气污染防治强化管控方案的通知》（徐政发</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2017</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53号）、《关于印发徐州市市区工地扬尘污染管理规范的通知》（徐空气提升办﹝2018﹞11号）和《徐州市2018年大气污染防治攻坚行动方案》、徐城管发</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2018</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55号文</w:t>
      </w:r>
      <w:r>
        <w:rPr>
          <w:rFonts w:hint="eastAsia" w:ascii="宋体" w:hAnsi="宋体" w:eastAsia="宋体" w:cs="宋体"/>
          <w:bCs/>
          <w:color w:val="auto"/>
          <w:sz w:val="24"/>
          <w:szCs w:val="24"/>
          <w:highlight w:val="none"/>
          <w:u w:val="single"/>
          <w:lang w:eastAsia="zh-CN"/>
        </w:rPr>
        <w:t>、《关于印发&lt;徐州市建设工程扬尘（噪声）智慧监管系统建设实施意见（试行）&gt;的通知》（徐污防攻坚指办〔2023〕26号）、《关于进一步加强市区建设工地扬尘污染防治的通知》(徐住建发(2023)62号)</w:t>
      </w:r>
      <w:r>
        <w:rPr>
          <w:rFonts w:hint="eastAsia" w:ascii="宋体" w:hAnsi="宋体" w:eastAsia="宋体" w:cs="宋体"/>
          <w:bCs/>
          <w:color w:val="auto"/>
          <w:sz w:val="24"/>
          <w:szCs w:val="24"/>
          <w:highlight w:val="none"/>
          <w:u w:val="single"/>
        </w:rPr>
        <w:t>的规定。扬尘治理按徐建价2018年1号文执行、2号文计取。承包人须按规范要求做好扬尘污染防治措施，全部费用均包含在内。</w:t>
      </w:r>
    </w:p>
    <w:p>
      <w:pPr>
        <w:pageBreakBefore w:val="0"/>
        <w:spacing w:after="0" w:line="336" w:lineRule="auto"/>
        <w:ind w:left="0" w:right="0" w:firstLine="48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lang w:val="en-US" w:eastAsia="zh-CN"/>
        </w:rPr>
        <w:t>8</w:t>
      </w:r>
      <w:r>
        <w:rPr>
          <w:rFonts w:hint="eastAsia" w:ascii="宋体" w:hAnsi="宋体" w:eastAsia="宋体" w:cs="宋体"/>
          <w:bCs/>
          <w:color w:val="auto"/>
          <w:sz w:val="24"/>
          <w:szCs w:val="24"/>
          <w:highlight w:val="none"/>
          <w:u w:val="single"/>
        </w:rPr>
        <w:t>）</w:t>
      </w:r>
      <w:r>
        <w:rPr>
          <w:rFonts w:hint="eastAsia" w:ascii="宋体" w:hAnsi="宋体" w:cs="宋体"/>
          <w:bCs/>
          <w:color w:val="auto"/>
          <w:sz w:val="24"/>
          <w:szCs w:val="24"/>
          <w:highlight w:val="none"/>
          <w:u w:val="single"/>
          <w:lang w:val="en-US" w:eastAsia="zh-CN"/>
        </w:rPr>
        <w:t>供应商</w:t>
      </w:r>
      <w:r>
        <w:rPr>
          <w:rFonts w:hint="eastAsia" w:ascii="宋体" w:hAnsi="宋体" w:eastAsia="宋体" w:cs="宋体"/>
          <w:bCs/>
          <w:color w:val="auto"/>
          <w:sz w:val="24"/>
          <w:szCs w:val="24"/>
          <w:highlight w:val="none"/>
          <w:u w:val="single"/>
        </w:rPr>
        <w:t>作为一名有经验的承包商，应预见施工中与综合管线等其他专业施工单位发生的配合工作，请</w:t>
      </w:r>
      <w:r>
        <w:rPr>
          <w:rFonts w:hint="eastAsia" w:ascii="宋体" w:hAnsi="宋体" w:cs="宋体"/>
          <w:bCs/>
          <w:color w:val="auto"/>
          <w:sz w:val="24"/>
          <w:szCs w:val="24"/>
          <w:highlight w:val="none"/>
          <w:u w:val="single"/>
          <w:lang w:val="en-US" w:eastAsia="zh-CN"/>
        </w:rPr>
        <w:t>供应商</w:t>
      </w:r>
      <w:r>
        <w:rPr>
          <w:rFonts w:hint="eastAsia" w:ascii="宋体" w:hAnsi="宋体" w:eastAsia="宋体" w:cs="宋体"/>
          <w:bCs/>
          <w:color w:val="auto"/>
          <w:sz w:val="24"/>
          <w:szCs w:val="24"/>
          <w:highlight w:val="none"/>
          <w:u w:val="single"/>
        </w:rPr>
        <w:t>自主考虑相关配合费用在本工程投标报价中，招标人不再另行支付，今后按工作需要根据招标人指示处理。</w:t>
      </w:r>
    </w:p>
    <w:p>
      <w:pPr>
        <w:pageBreakBefore w:val="0"/>
        <w:spacing w:after="0" w:line="336" w:lineRule="auto"/>
        <w:ind w:left="0" w:right="0" w:firstLine="48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）清单项目中特征描述不全的工序，如图纸已明确或已指明引用的规范、图集等或是常规工艺必须的工序，应包括在报价中。</w:t>
      </w:r>
    </w:p>
    <w:p>
      <w:pPr>
        <w:pageBreakBefore w:val="0"/>
        <w:spacing w:after="0" w:line="336" w:lineRule="auto"/>
        <w:ind w:left="0" w:right="0" w:firstLine="480"/>
        <w:jc w:val="left"/>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u w:val="single"/>
          <w:lang w:val="en-US" w:eastAsia="zh-CN"/>
        </w:rPr>
        <w:t>10）承包人必须对工程现场施工人员全部实行实名制考勤管理，签订劳动合同，设立工资存储专用账户，按照工程进度和工人实名制登记信息，按月足额由银行代发工资。</w:t>
      </w:r>
    </w:p>
    <w:p>
      <w:pPr>
        <w:pageBreakBefore w:val="0"/>
        <w:spacing w:after="0" w:line="336" w:lineRule="auto"/>
        <w:ind w:left="0" w:right="0" w:firstLine="480"/>
        <w:jc w:val="left"/>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u w:val="single"/>
          <w:lang w:val="en-US" w:eastAsia="zh-CN"/>
        </w:rPr>
        <w:t>11</w:t>
      </w:r>
      <w:r>
        <w:rPr>
          <w:rFonts w:hint="eastAsia" w:ascii="宋体" w:hAnsi="宋体" w:eastAsia="宋体" w:cs="宋体"/>
          <w:bCs/>
          <w:color w:val="auto"/>
          <w:sz w:val="24"/>
          <w:szCs w:val="24"/>
          <w:highlight w:val="none"/>
          <w:u w:val="single"/>
        </w:rPr>
        <w:t>）±5%以内的可调材料价格风险以及除可调材料以外其他材料的全部风险。</w:t>
      </w:r>
    </w:p>
    <w:p>
      <w:pPr>
        <w:pageBreakBefore w:val="0"/>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u w:val="single"/>
          <w:lang w:val="en-US" w:eastAsia="zh-CN"/>
        </w:rPr>
        <w:t>12</w:t>
      </w:r>
      <w:r>
        <w:rPr>
          <w:rFonts w:hint="eastAsia" w:ascii="宋体" w:hAnsi="宋体" w:eastAsia="宋体" w:cs="宋体"/>
          <w:bCs/>
          <w:color w:val="auto"/>
          <w:sz w:val="24"/>
          <w:szCs w:val="24"/>
          <w:highlight w:val="none"/>
          <w:u w:val="single"/>
        </w:rPr>
        <w:t>）其他招标文件已指明的内容。</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风险范围以外合同价格的调整方法：</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w:t>
      </w:r>
    </w:p>
    <w:p>
      <w:pPr>
        <w:pageBreakBefore w:val="0"/>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总价包含的风险范围：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p>
    <w:p>
      <w:pPr>
        <w:pageBreakBefore w:val="0"/>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风险费用的计算方法：</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风险范围以外合同价格的调整方法：</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p>
    <w:p>
      <w:pPr>
        <w:pageBreakBefore w:val="0"/>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3、其他价格方式：</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p>
    <w:p>
      <w:pPr>
        <w:pageBreakBefore w:val="0"/>
        <w:spacing w:after="0" w:line="336" w:lineRule="auto"/>
        <w:ind w:left="0" w:right="0" w:firstLine="480"/>
        <w:rPr>
          <w:rFonts w:hint="eastAsia" w:ascii="宋体" w:hAnsi="宋体" w:eastAsia="宋体" w:cs="宋体"/>
          <w:color w:val="auto"/>
          <w:sz w:val="24"/>
          <w:szCs w:val="24"/>
          <w:highlight w:val="none"/>
        </w:rPr>
      </w:pPr>
      <w:bookmarkStart w:id="162" w:name="_Toc297123554"/>
      <w:bookmarkStart w:id="163" w:name="_Toc297216213"/>
      <w:bookmarkStart w:id="164" w:name="_Toc312678042"/>
      <w:bookmarkStart w:id="165" w:name="_Toc300935004"/>
      <w:bookmarkStart w:id="166" w:name="_Toc303539161"/>
      <w:bookmarkStart w:id="167" w:name="_Toc304295581"/>
      <w:bookmarkStart w:id="168" w:name="_Toc296944546"/>
      <w:bookmarkStart w:id="169" w:name="_Toc296346708"/>
      <w:bookmarkStart w:id="170" w:name="_Toc292559412"/>
      <w:bookmarkStart w:id="171" w:name="_Toc297048393"/>
      <w:bookmarkStart w:id="172" w:name="_Toc297120507"/>
      <w:bookmarkStart w:id="173" w:name="_Toc296891247"/>
      <w:bookmarkStart w:id="174" w:name="_Toc296503207"/>
      <w:bookmarkStart w:id="175" w:name="_Toc292559917"/>
      <w:bookmarkStart w:id="176" w:name="_Toc296891035"/>
      <w:bookmarkStart w:id="177" w:name="_Toc296347206"/>
      <w:r>
        <w:rPr>
          <w:rFonts w:hint="eastAsia" w:ascii="宋体" w:hAnsi="宋体" w:eastAsia="宋体" w:cs="宋体"/>
          <w:color w:val="auto"/>
          <w:sz w:val="24"/>
          <w:szCs w:val="24"/>
          <w:highlight w:val="none"/>
        </w:rPr>
        <w:t>12.2预付款</w:t>
      </w:r>
      <w:bookmarkEnd w:id="162"/>
      <w:bookmarkEnd w:id="163"/>
      <w:bookmarkEnd w:id="164"/>
      <w:bookmarkEnd w:id="165"/>
      <w:bookmarkEnd w:id="166"/>
      <w:bookmarkEnd w:id="167"/>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12.2.1预付款的支付</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预付款支付比例或金额：</w:t>
      </w:r>
      <w:r>
        <w:rPr>
          <w:rFonts w:hint="eastAsia" w:ascii="宋体" w:hAnsi="宋体" w:eastAsia="宋体" w:cs="宋体"/>
          <w:color w:val="auto"/>
          <w:sz w:val="24"/>
          <w:szCs w:val="24"/>
          <w:highlight w:val="none"/>
          <w:u w:val="single"/>
          <w:lang w:val="en-US" w:eastAsia="zh-CN"/>
        </w:rPr>
        <w:t xml:space="preserve"> 详见12.4.1 付款周期 </w:t>
      </w:r>
      <w:r>
        <w:rPr>
          <w:rFonts w:hint="eastAsia" w:ascii="宋体" w:hAnsi="宋体" w:eastAsia="宋体" w:cs="宋体"/>
          <w:color w:val="auto"/>
          <w:sz w:val="24"/>
          <w:szCs w:val="24"/>
          <w:highlight w:val="none"/>
          <w:u w:val="single"/>
        </w:rPr>
        <w:t>。</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预付款支付期限：</w:t>
      </w:r>
      <w:r>
        <w:rPr>
          <w:rFonts w:hint="eastAsia" w:ascii="宋体" w:hAnsi="宋体" w:eastAsia="宋体" w:cs="宋体"/>
          <w:color w:val="auto"/>
          <w:sz w:val="24"/>
          <w:szCs w:val="24"/>
          <w:highlight w:val="none"/>
          <w:u w:val="single"/>
          <w:lang w:val="en-US" w:eastAsia="zh-CN"/>
        </w:rPr>
        <w:t xml:space="preserve"> 详见12.4.1 付款周期 </w:t>
      </w:r>
      <w:r>
        <w:rPr>
          <w:rFonts w:hint="eastAsia" w:ascii="宋体" w:hAnsi="宋体" w:eastAsia="宋体" w:cs="宋体"/>
          <w:color w:val="auto"/>
          <w:sz w:val="24"/>
          <w:szCs w:val="24"/>
          <w:highlight w:val="none"/>
          <w:u w:val="single"/>
        </w:rPr>
        <w:t>。</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预付款扣回的方式：</w:t>
      </w:r>
      <w:r>
        <w:rPr>
          <w:rFonts w:hint="eastAsia" w:ascii="宋体" w:hAnsi="宋体" w:eastAsia="宋体" w:cs="宋体"/>
          <w:color w:val="auto"/>
          <w:sz w:val="24"/>
          <w:szCs w:val="24"/>
          <w:highlight w:val="none"/>
          <w:u w:val="single"/>
        </w:rPr>
        <w:t>不扣回</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转为工程进度款</w:t>
      </w:r>
      <w:r>
        <w:rPr>
          <w:rFonts w:hint="eastAsia" w:ascii="宋体" w:hAnsi="宋体" w:eastAsia="宋体" w:cs="宋体"/>
          <w:color w:val="auto"/>
          <w:sz w:val="24"/>
          <w:szCs w:val="24"/>
          <w:highlight w:val="none"/>
        </w:rPr>
        <w:t>。</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12.2.2预付款担保</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承包人提交预付款担保的期限：</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预付款担保的形式为：</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w:t>
      </w:r>
      <w:bookmarkEnd w:id="168"/>
      <w:bookmarkEnd w:id="169"/>
      <w:bookmarkEnd w:id="170"/>
      <w:bookmarkEnd w:id="171"/>
      <w:bookmarkEnd w:id="172"/>
      <w:bookmarkEnd w:id="173"/>
      <w:bookmarkEnd w:id="174"/>
      <w:bookmarkEnd w:id="175"/>
      <w:bookmarkEnd w:id="176"/>
      <w:bookmarkEnd w:id="177"/>
    </w:p>
    <w:p>
      <w:pPr>
        <w:pageBreakBefore w:val="0"/>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12.3计量</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12.3.1计量原则</w:t>
      </w:r>
    </w:p>
    <w:p>
      <w:pPr>
        <w:pageBreakBefore w:val="0"/>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工程量计算规则：</w:t>
      </w:r>
      <w:r>
        <w:rPr>
          <w:rFonts w:hint="eastAsia" w:ascii="宋体" w:hAnsi="宋体" w:eastAsia="宋体" w:cs="宋体"/>
          <w:color w:val="auto"/>
          <w:sz w:val="24"/>
          <w:szCs w:val="24"/>
          <w:highlight w:val="none"/>
          <w:u w:val="single"/>
        </w:rPr>
        <w:t>本工程采用工程量清单方式计价，竣工结算的工程量按发承包双方在合同中约定应予计量且实际完成的工程量确定，完成发包人要求的合同以外的零星工作或发生非承包人责任事件的工程量按现场签证确定。</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工程量计算规则：执行现行国家标准《建设工程工程量清单计价规范》（GB50500-2013）、《市政工程工程量计算规范》（GB50857-2013）、《房屋建筑与装饰工程工程量计算规范》（GB50854-2013）、《通用安装工程工程量计算规范》（GB50856-2013）、《江苏省建筑与装饰工程计价定额》（2014）、《江苏省安装工程计价定额》（2014）、《江苏省建设工程费用定额》（2014）、苏建价〔2016〕154号《江苏省建设工程费用定额》（2014）、苏建函价〔2020〕115号等有关文件规定及招标人提供的工程量清单。</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12.3.2计量周期</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关于计量周期的约定：</w:t>
      </w:r>
      <w:r>
        <w:rPr>
          <w:rFonts w:hint="eastAsia" w:ascii="宋体" w:hAnsi="宋体" w:eastAsia="宋体" w:cs="宋体"/>
          <w:color w:val="auto"/>
          <w:sz w:val="24"/>
          <w:szCs w:val="24"/>
          <w:highlight w:val="none"/>
          <w:u w:val="single"/>
        </w:rPr>
        <w:t>按月进行，每月的 25日前提交本月已完工程量报告及相关形象进度资料。如承包人未按时报送工程量，影响工程款支付的，由承包人自行负责。</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12.3.3单价合同的计量</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关于单价合同计量的约定：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12.3.4总价合同的计量</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关于总价合同计量的约定：</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12.3.5总价合同采用支付分解表计量支付的，是否适用第12.3.4项〔总价合同的计量〕约定进行计量：</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12.3.6其他价格形式合同的计量</w:t>
      </w:r>
    </w:p>
    <w:p>
      <w:pPr>
        <w:pageBreakBefore w:val="0"/>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其他价格形式的计量方式和程序：</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2"/>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12.4</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工程进度款支付</w:t>
      </w:r>
    </w:p>
    <w:p>
      <w:pPr>
        <w:pBdr>
          <w:top w:val="none" w:color="000000" w:sz="0" w:space="0"/>
          <w:left w:val="none" w:color="000000" w:sz="0" w:space="0"/>
          <w:bottom w:val="none" w:color="000000" w:sz="0" w:space="0"/>
          <w:right w:val="none" w:color="000000" w:sz="0" w:space="0"/>
        </w:pBdr>
        <w:spacing w:before="0" w:after="0" w:line="85" w:lineRule="atLeast"/>
        <w:ind w:left="0" w:right="0" w:firstLine="480"/>
        <w:jc w:val="both"/>
        <w:rPr>
          <w:rFonts w:ascii="宋体" w:hAnsi="宋体" w:cs="宋体"/>
        </w:rPr>
      </w:pPr>
      <w:r>
        <w:rPr>
          <w:rFonts w:ascii="宋体" w:hAnsi="宋体" w:eastAsia="宋体" w:cs="宋体"/>
          <w:color w:val="000000"/>
          <w:sz w:val="24"/>
        </w:rPr>
        <w:t>12.4.1 付款周期</w:t>
      </w:r>
    </w:p>
    <w:p>
      <w:pPr>
        <w:pBdr>
          <w:top w:val="none" w:color="000000" w:sz="0" w:space="0"/>
          <w:left w:val="none" w:color="000000" w:sz="0" w:space="0"/>
          <w:bottom w:val="none" w:color="000000" w:sz="0" w:space="0"/>
          <w:right w:val="none" w:color="000000" w:sz="0" w:space="0"/>
        </w:pBdr>
        <w:spacing w:before="0" w:after="200" w:line="519" w:lineRule="atLeast"/>
        <w:ind w:left="0" w:right="0" w:firstLine="48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本合同总金额为人民币大写金额</w:t>
      </w:r>
      <w:r>
        <w:rPr>
          <w:rFonts w:hint="eastAsia" w:ascii="宋体" w:hAnsi="宋体" w:eastAsia="宋体" w:cs="宋体"/>
          <w:b/>
          <w:color w:val="auto"/>
          <w:sz w:val="24"/>
          <w:szCs w:val="24"/>
          <w:highlight w:val="none"/>
          <w:u w:val="single"/>
        </w:rPr>
        <w:t>        </w:t>
      </w:r>
      <w:r>
        <w:rPr>
          <w:rFonts w:hint="eastAsia" w:ascii="宋体" w:hAnsi="宋体" w:eastAsia="宋体" w:cs="宋体"/>
          <w:b/>
          <w:color w:val="auto"/>
          <w:sz w:val="24"/>
          <w:szCs w:val="24"/>
          <w:highlight w:val="none"/>
        </w:rPr>
        <w:t>元（小写金额：</w:t>
      </w:r>
      <w:r>
        <w:rPr>
          <w:rFonts w:hint="eastAsia" w:ascii="宋体" w:hAnsi="宋体" w:eastAsia="宋体" w:cs="宋体"/>
          <w:b/>
          <w:color w:val="auto"/>
          <w:sz w:val="24"/>
          <w:szCs w:val="24"/>
          <w:highlight w:val="none"/>
          <w:u w:val="single"/>
        </w:rPr>
        <w:t>        </w:t>
      </w:r>
      <w:r>
        <w:rPr>
          <w:rFonts w:hint="eastAsia" w:ascii="宋体" w:hAnsi="宋体" w:eastAsia="宋体" w:cs="宋体"/>
          <w:b/>
          <w:color w:val="auto"/>
          <w:sz w:val="24"/>
          <w:szCs w:val="24"/>
          <w:highlight w:val="none"/>
        </w:rPr>
        <w:t>元），经双方协商一致，选择以下付款方式：</w:t>
      </w:r>
    </w:p>
    <w:p>
      <w:pPr>
        <w:pStyle w:val="26"/>
        <w:widowControl w:val="0"/>
        <w:tabs>
          <w:tab w:val="left" w:pos="294"/>
        </w:tabs>
        <w:spacing w:line="360" w:lineRule="auto"/>
        <w:ind w:firstLine="480"/>
        <w:rPr>
          <w:rFonts w:hint="eastAsia" w:ascii="宋体" w:hAnsi="宋体" w:eastAsia="宋体" w:cs="宋体"/>
          <w:b/>
          <w:bCs w:val="0"/>
          <w:color w:val="auto"/>
          <w:sz w:val="24"/>
          <w:highlight w:val="none"/>
        </w:rPr>
      </w:pPr>
      <w:r>
        <w:rPr>
          <w:rFonts w:hint="eastAsia" w:ascii="宋体" w:hAnsi="宋体" w:cs="宋体"/>
          <w:b/>
          <w:bCs w:val="0"/>
          <w:color w:val="auto"/>
          <w:sz w:val="24"/>
          <w:szCs w:val="24"/>
          <w:highlight w:val="none"/>
          <w:lang w:val="en-US" w:eastAsia="zh-CN"/>
        </w:rPr>
        <w:t>1、</w:t>
      </w:r>
      <w:r>
        <w:rPr>
          <w:rFonts w:hint="eastAsia" w:ascii="宋体" w:hAnsi="宋体" w:eastAsia="宋体" w:cs="宋体"/>
          <w:b/>
          <w:bCs w:val="0"/>
          <w:color w:val="auto"/>
          <w:sz w:val="24"/>
          <w:highlight w:val="none"/>
        </w:rPr>
        <w:t>工程竣工</w:t>
      </w:r>
      <w:r>
        <w:rPr>
          <w:rFonts w:hint="eastAsia" w:ascii="宋体" w:hAnsi="宋体" w:eastAsia="宋体" w:cs="宋体"/>
          <w:b/>
          <w:bCs w:val="0"/>
          <w:color w:val="auto"/>
          <w:sz w:val="24"/>
          <w:highlight w:val="none"/>
          <w:lang w:val="en-US" w:eastAsia="zh-CN"/>
        </w:rPr>
        <w:t>并通过省级和美乡村</w:t>
      </w:r>
      <w:r>
        <w:rPr>
          <w:rFonts w:hint="eastAsia" w:ascii="宋体" w:hAnsi="宋体" w:cs="宋体"/>
          <w:b/>
          <w:bCs w:val="0"/>
          <w:color w:val="auto"/>
          <w:sz w:val="24"/>
          <w:highlight w:val="none"/>
          <w:lang w:val="en-US" w:eastAsia="zh-CN"/>
        </w:rPr>
        <w:t>综合</w:t>
      </w:r>
      <w:r>
        <w:rPr>
          <w:rFonts w:hint="eastAsia" w:ascii="宋体" w:hAnsi="宋体" w:eastAsia="宋体" w:cs="宋体"/>
          <w:b/>
          <w:bCs w:val="0"/>
          <w:color w:val="auto"/>
          <w:sz w:val="24"/>
          <w:highlight w:val="none"/>
        </w:rPr>
        <w:t>验收合格</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待</w:t>
      </w:r>
      <w:r>
        <w:rPr>
          <w:rFonts w:hint="eastAsia" w:ascii="宋体" w:hAnsi="宋体" w:eastAsia="宋体" w:cs="宋体"/>
          <w:b/>
          <w:bCs w:val="0"/>
          <w:color w:val="auto"/>
          <w:sz w:val="24"/>
          <w:highlight w:val="none"/>
          <w:lang w:val="en-US" w:eastAsia="zh-CN"/>
        </w:rPr>
        <w:t>省级和美乡村</w:t>
      </w:r>
      <w:r>
        <w:rPr>
          <w:rFonts w:hint="eastAsia" w:ascii="宋体" w:hAnsi="宋体" w:cs="宋体"/>
          <w:b/>
          <w:bCs w:val="0"/>
          <w:color w:val="auto"/>
          <w:sz w:val="24"/>
          <w:highlight w:val="none"/>
          <w:lang w:val="en-US" w:eastAsia="zh-CN"/>
        </w:rPr>
        <w:t>专项资金拨付</w:t>
      </w:r>
      <w:r>
        <w:rPr>
          <w:rFonts w:hint="eastAsia" w:ascii="宋体" w:hAnsi="宋体" w:eastAsia="宋体" w:cs="宋体"/>
          <w:b/>
          <w:bCs w:val="0"/>
          <w:color w:val="auto"/>
          <w:sz w:val="24"/>
          <w:highlight w:val="none"/>
        </w:rPr>
        <w:t>后付至合同价款的</w:t>
      </w:r>
      <w:r>
        <w:rPr>
          <w:rFonts w:hint="eastAsia" w:ascii="宋体" w:hAnsi="宋体" w:cs="宋体"/>
          <w:b/>
          <w:bCs w:val="0"/>
          <w:color w:val="auto"/>
          <w:sz w:val="24"/>
          <w:highlight w:val="none"/>
          <w:lang w:val="en-US" w:eastAsia="zh-CN"/>
        </w:rPr>
        <w:t>50</w:t>
      </w:r>
      <w:r>
        <w:rPr>
          <w:rFonts w:hint="eastAsia" w:ascii="宋体" w:hAnsi="宋体" w:eastAsia="宋体" w:cs="宋体"/>
          <w:b/>
          <w:bCs w:val="0"/>
          <w:color w:val="auto"/>
          <w:sz w:val="24"/>
          <w:highlight w:val="none"/>
        </w:rPr>
        <w:t>%；完整规范的竣工结算资料报送招标人并完成竣工结算审核后付至</w:t>
      </w:r>
      <w:r>
        <w:rPr>
          <w:rFonts w:hint="eastAsia" w:ascii="宋体" w:hAnsi="宋体" w:cs="宋体"/>
          <w:b/>
          <w:bCs w:val="0"/>
          <w:color w:val="auto"/>
          <w:sz w:val="24"/>
          <w:highlight w:val="none"/>
          <w:lang w:val="en-US" w:eastAsia="zh-CN"/>
        </w:rPr>
        <w:t>审计</w:t>
      </w:r>
      <w:r>
        <w:rPr>
          <w:rFonts w:hint="eastAsia" w:ascii="宋体" w:hAnsi="宋体" w:eastAsia="宋体" w:cs="宋体"/>
          <w:b/>
          <w:bCs w:val="0"/>
          <w:color w:val="auto"/>
          <w:sz w:val="24"/>
          <w:highlight w:val="none"/>
        </w:rPr>
        <w:t>价的100%。</w:t>
      </w:r>
    </w:p>
    <w:p>
      <w:pPr>
        <w:pBdr>
          <w:top w:val="none" w:color="000000" w:sz="0" w:space="0"/>
          <w:left w:val="none" w:color="000000" w:sz="0" w:space="0"/>
          <w:bottom w:val="none" w:color="000000" w:sz="0" w:space="0"/>
          <w:right w:val="none" w:color="000000" w:sz="0" w:space="0"/>
        </w:pBdr>
        <w:spacing w:before="0" w:after="0" w:line="360" w:lineRule="auto"/>
        <w:ind w:left="0" w:right="0" w:firstLine="480"/>
        <w:jc w:val="both"/>
        <w:rPr>
          <w:rFonts w:ascii="宋体" w:hAnsi="宋体" w:eastAsia="宋体" w:cs="宋体"/>
          <w:b/>
          <w:bCs w:val="0"/>
          <w:color w:val="auto"/>
          <w:sz w:val="24"/>
          <w:highlight w:val="none"/>
        </w:rPr>
      </w:pPr>
      <w:r>
        <w:rPr>
          <w:rFonts w:hint="eastAsia" w:ascii="宋体" w:hAnsi="宋体" w:cs="宋体"/>
          <w:b/>
          <w:bCs w:val="0"/>
          <w:color w:val="auto"/>
          <w:sz w:val="24"/>
          <w:highlight w:val="none"/>
          <w:lang w:val="en-US" w:eastAsia="zh-CN"/>
        </w:rPr>
        <w:t>2、乙方应在甲方付款前向甲方开具等额的增值税发票，甲方见票付</w:t>
      </w:r>
      <w:r>
        <w:rPr>
          <w:rFonts w:ascii="宋体" w:hAnsi="宋体" w:eastAsia="宋体" w:cs="宋体"/>
          <w:b/>
          <w:bCs w:val="0"/>
          <w:color w:val="auto"/>
          <w:sz w:val="24"/>
          <w:highlight w:val="none"/>
        </w:rPr>
        <w:t>款</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 xml:space="preserve">    进度款</w:t>
      </w:r>
      <w:r>
        <w:rPr>
          <w:rFonts w:ascii="宋体" w:hAnsi="宋体" w:eastAsia="宋体" w:cs="宋体"/>
          <w:b/>
          <w:bCs w:val="0"/>
          <w:color w:val="auto"/>
          <w:sz w:val="24"/>
          <w:highlight w:val="none"/>
        </w:rPr>
        <w:t>与质量挂钩，如果所完成工程的质量达不到验收规范要求，发包人有权暂缓支付该部分工程款。待承包人整改完成符合验收规范要求后再行支付。</w:t>
      </w:r>
    </w:p>
    <w:p>
      <w:pPr>
        <w:pBdr>
          <w:top w:val="none" w:color="000000" w:sz="0" w:space="0"/>
          <w:left w:val="none" w:color="000000" w:sz="0" w:space="0"/>
          <w:bottom w:val="none" w:color="000000" w:sz="0" w:space="0"/>
          <w:right w:val="none" w:color="000000" w:sz="0" w:space="0"/>
        </w:pBdr>
        <w:spacing w:before="0" w:after="0" w:line="360" w:lineRule="auto"/>
        <w:ind w:left="0" w:right="0" w:firstLine="480"/>
        <w:jc w:val="both"/>
        <w:rPr>
          <w:rFonts w:ascii="宋体" w:hAnsi="宋体" w:cs="宋体"/>
        </w:rPr>
      </w:pPr>
      <w:r>
        <w:rPr>
          <w:rFonts w:ascii="宋体" w:hAnsi="宋体" w:eastAsia="宋体" w:cs="宋体"/>
          <w:color w:val="000000"/>
          <w:sz w:val="24"/>
        </w:rPr>
        <w:t>12.4.2 进度付款申请单的编制</w:t>
      </w:r>
    </w:p>
    <w:p>
      <w:pPr>
        <w:pBdr>
          <w:top w:val="none" w:color="000000" w:sz="0" w:space="0"/>
          <w:left w:val="none" w:color="000000" w:sz="0" w:space="0"/>
          <w:bottom w:val="none" w:color="000000" w:sz="0" w:space="0"/>
          <w:right w:val="none" w:color="000000" w:sz="0" w:space="0"/>
        </w:pBdr>
        <w:spacing w:before="0" w:after="0" w:line="360" w:lineRule="auto"/>
        <w:ind w:left="0" w:right="0" w:firstLine="480"/>
        <w:jc w:val="both"/>
        <w:rPr>
          <w:rFonts w:ascii="宋体" w:hAnsi="宋体" w:cs="宋体"/>
        </w:rPr>
      </w:pPr>
      <w:r>
        <w:rPr>
          <w:rFonts w:ascii="宋体" w:hAnsi="宋体" w:eastAsia="宋体" w:cs="宋体"/>
          <w:color w:val="000000"/>
          <w:sz w:val="24"/>
        </w:rPr>
        <w:t>关于进度付款申请单编制的约定：</w:t>
      </w:r>
      <w:r>
        <w:rPr>
          <w:rFonts w:ascii="宋体" w:hAnsi="宋体" w:eastAsia="宋体" w:cs="宋体"/>
          <w:color w:val="000000"/>
          <w:sz w:val="24"/>
          <w:u w:val="single"/>
        </w:rPr>
        <w:t xml:space="preserve">每月20日前提交本月已完工程量报告及相关形象进度影像资料。逾期提交的，发包人有权拒绝支付工程款。 </w:t>
      </w:r>
    </w:p>
    <w:p>
      <w:pPr>
        <w:pBdr>
          <w:top w:val="none" w:color="000000" w:sz="0" w:space="0"/>
          <w:left w:val="none" w:color="000000" w:sz="0" w:space="0"/>
          <w:bottom w:val="none" w:color="000000" w:sz="0" w:space="0"/>
          <w:right w:val="none" w:color="000000" w:sz="0" w:space="0"/>
        </w:pBdr>
        <w:spacing w:before="0" w:after="0" w:line="360" w:lineRule="auto"/>
        <w:ind w:left="0" w:right="0" w:firstLine="480"/>
        <w:jc w:val="both"/>
        <w:rPr>
          <w:rFonts w:ascii="宋体" w:hAnsi="宋体" w:cs="宋体"/>
        </w:rPr>
      </w:pPr>
      <w:r>
        <w:rPr>
          <w:rFonts w:ascii="宋体" w:hAnsi="宋体" w:eastAsia="宋体" w:cs="宋体"/>
          <w:color w:val="000000"/>
          <w:sz w:val="24"/>
        </w:rPr>
        <w:t>12.4.3 进度付款申请单的提交</w:t>
      </w:r>
    </w:p>
    <w:p>
      <w:pPr>
        <w:pBdr>
          <w:top w:val="none" w:color="000000" w:sz="0" w:space="0"/>
          <w:left w:val="none" w:color="000000" w:sz="0" w:space="0"/>
          <w:bottom w:val="none" w:color="000000" w:sz="0" w:space="0"/>
          <w:right w:val="none" w:color="000000" w:sz="0" w:space="0"/>
        </w:pBdr>
        <w:spacing w:before="0" w:after="0" w:line="360" w:lineRule="auto"/>
        <w:ind w:left="0" w:right="0" w:firstLine="480"/>
        <w:jc w:val="both"/>
        <w:rPr>
          <w:rFonts w:ascii="宋体" w:hAnsi="宋体" w:cs="宋体"/>
        </w:rPr>
      </w:pPr>
      <w:r>
        <w:rPr>
          <w:rFonts w:ascii="宋体" w:hAnsi="宋体" w:eastAsia="宋体" w:cs="宋体"/>
          <w:color w:val="000000"/>
          <w:sz w:val="24"/>
        </w:rPr>
        <w:t>（1）单价合同进度付款申请单提交的约定：</w:t>
      </w:r>
    </w:p>
    <w:p>
      <w:pPr>
        <w:pBdr>
          <w:top w:val="none" w:color="000000" w:sz="0" w:space="0"/>
          <w:left w:val="none" w:color="000000" w:sz="0" w:space="0"/>
          <w:bottom w:val="none" w:color="000000" w:sz="0" w:space="0"/>
          <w:right w:val="none" w:color="000000" w:sz="0" w:space="0"/>
        </w:pBdr>
        <w:spacing w:before="0" w:after="0" w:line="360" w:lineRule="auto"/>
        <w:ind w:left="0" w:right="0" w:firstLine="480"/>
        <w:jc w:val="both"/>
        <w:rPr>
          <w:rFonts w:ascii="宋体" w:hAnsi="宋体" w:cs="宋体"/>
        </w:rPr>
      </w:pPr>
      <w:r>
        <w:rPr>
          <w:rFonts w:ascii="宋体" w:hAnsi="宋体" w:eastAsia="宋体" w:cs="宋体"/>
          <w:color w:val="000000"/>
          <w:sz w:val="24"/>
          <w:u w:val="single"/>
        </w:rPr>
        <w:t xml:space="preserve">按发包人工程款支付管理规定和本合同约定执行。 </w:t>
      </w:r>
    </w:p>
    <w:p>
      <w:pPr>
        <w:pBdr>
          <w:top w:val="none" w:color="000000" w:sz="0" w:space="0"/>
          <w:left w:val="none" w:color="000000" w:sz="0" w:space="0"/>
          <w:bottom w:val="none" w:color="000000" w:sz="0" w:space="0"/>
          <w:right w:val="none" w:color="000000" w:sz="0" w:space="0"/>
        </w:pBdr>
        <w:spacing w:before="0" w:after="0" w:line="360" w:lineRule="auto"/>
        <w:ind w:left="0" w:right="0" w:firstLine="480"/>
        <w:jc w:val="both"/>
        <w:rPr>
          <w:rFonts w:ascii="宋体" w:hAnsi="宋体" w:cs="宋体"/>
        </w:rPr>
      </w:pPr>
      <w:r>
        <w:rPr>
          <w:rFonts w:ascii="宋体" w:hAnsi="宋体" w:eastAsia="宋体" w:cs="宋体"/>
          <w:color w:val="000000"/>
          <w:sz w:val="24"/>
        </w:rPr>
        <w:t>（2）总价合同进度付款申请单提交的约定：</w:t>
      </w:r>
      <w:r>
        <w:rPr>
          <w:rFonts w:ascii="宋体" w:hAnsi="宋体" w:eastAsia="仿宋" w:cs="宋体"/>
          <w:color w:val="000000"/>
          <w:sz w:val="24"/>
          <w:u w:val="single"/>
        </w:rPr>
        <w:t xml:space="preserve"> / </w:t>
      </w:r>
      <w:r>
        <w:rPr>
          <w:rFonts w:ascii="宋体" w:hAnsi="宋体" w:eastAsia="宋体" w:cs="宋体"/>
          <w:color w:val="000000"/>
          <w:sz w:val="24"/>
        </w:rPr>
        <w:t>。</w:t>
      </w:r>
    </w:p>
    <w:p>
      <w:pPr>
        <w:pBdr>
          <w:top w:val="none" w:color="000000" w:sz="0" w:space="0"/>
          <w:left w:val="none" w:color="000000" w:sz="0" w:space="0"/>
          <w:bottom w:val="none" w:color="000000" w:sz="0" w:space="0"/>
          <w:right w:val="none" w:color="000000" w:sz="0" w:space="0"/>
        </w:pBdr>
        <w:spacing w:before="0" w:after="0" w:line="360" w:lineRule="auto"/>
        <w:ind w:left="0" w:right="0" w:firstLine="0"/>
        <w:jc w:val="both"/>
        <w:rPr>
          <w:rFonts w:ascii="宋体" w:hAnsi="宋体" w:cs="宋体"/>
        </w:rPr>
      </w:pPr>
      <w:r>
        <w:rPr>
          <w:rFonts w:ascii="宋体" w:hAnsi="宋体" w:eastAsia="宋体" w:cs="宋体"/>
          <w:color w:val="000000"/>
          <w:sz w:val="24"/>
        </w:rPr>
        <w:t>（3）其他价格形式合同进度付款申请单提交的约定：</w:t>
      </w:r>
      <w:r>
        <w:rPr>
          <w:rFonts w:ascii="宋体" w:hAnsi="宋体" w:eastAsia="仿宋" w:cs="宋体"/>
          <w:color w:val="000000"/>
          <w:sz w:val="24"/>
          <w:u w:val="single"/>
        </w:rPr>
        <w:t xml:space="preserve"> / </w:t>
      </w:r>
      <w:r>
        <w:rPr>
          <w:rFonts w:ascii="宋体" w:hAnsi="宋体" w:eastAsia="宋体" w:cs="宋体"/>
          <w:color w:val="000000"/>
          <w:sz w:val="24"/>
        </w:rPr>
        <w:t>。</w:t>
      </w:r>
    </w:p>
    <w:p>
      <w:pPr>
        <w:pBdr>
          <w:top w:val="none" w:color="000000" w:sz="0" w:space="0"/>
          <w:left w:val="none" w:color="000000" w:sz="0" w:space="0"/>
          <w:bottom w:val="none" w:color="000000" w:sz="0" w:space="0"/>
          <w:right w:val="none" w:color="000000" w:sz="0" w:space="0"/>
        </w:pBdr>
        <w:spacing w:before="0" w:after="0" w:line="360" w:lineRule="auto"/>
        <w:ind w:left="0" w:right="0" w:firstLine="480"/>
        <w:jc w:val="both"/>
        <w:rPr>
          <w:rFonts w:ascii="宋体" w:hAnsi="宋体" w:cs="宋体"/>
        </w:rPr>
      </w:pPr>
      <w:r>
        <w:rPr>
          <w:rFonts w:ascii="宋体" w:hAnsi="宋体" w:eastAsia="宋体" w:cs="宋体"/>
          <w:color w:val="000000"/>
          <w:sz w:val="24"/>
        </w:rPr>
        <w:t>12.4.4 进度款审核和支付</w:t>
      </w:r>
    </w:p>
    <w:p>
      <w:pPr>
        <w:pBdr>
          <w:top w:val="none" w:color="000000" w:sz="0" w:space="0"/>
          <w:left w:val="none" w:color="000000" w:sz="0" w:space="0"/>
          <w:bottom w:val="none" w:color="000000" w:sz="0" w:space="0"/>
          <w:right w:val="none" w:color="000000" w:sz="0" w:space="0"/>
        </w:pBdr>
        <w:spacing w:before="0" w:after="0" w:line="360" w:lineRule="auto"/>
        <w:ind w:left="0" w:right="0" w:firstLine="240"/>
        <w:jc w:val="both"/>
        <w:rPr>
          <w:rFonts w:ascii="宋体" w:hAnsi="宋体" w:cs="宋体"/>
        </w:rPr>
      </w:pPr>
      <w:r>
        <w:rPr>
          <w:rFonts w:ascii="宋体" w:hAnsi="宋体" w:eastAsia="宋体" w:cs="宋体"/>
          <w:color w:val="000000"/>
          <w:sz w:val="24"/>
        </w:rPr>
        <w:t>（1）监理人审查并报送发包人的期限：</w:t>
      </w:r>
      <w:r>
        <w:rPr>
          <w:rFonts w:ascii="宋体" w:hAnsi="宋体" w:eastAsia="宋体" w:cs="宋体"/>
          <w:color w:val="000000"/>
          <w:sz w:val="24"/>
          <w:u w:val="single"/>
        </w:rPr>
        <w:t xml:space="preserve">收到承包人进度付款申请单及发票后3个工作日内。 </w:t>
      </w:r>
    </w:p>
    <w:p>
      <w:pPr>
        <w:pBdr>
          <w:top w:val="none" w:color="000000" w:sz="0" w:space="0"/>
          <w:left w:val="none" w:color="000000" w:sz="0" w:space="0"/>
          <w:bottom w:val="none" w:color="000000" w:sz="0" w:space="0"/>
          <w:right w:val="none" w:color="000000" w:sz="0" w:space="0"/>
        </w:pBdr>
        <w:spacing w:before="0" w:after="0" w:line="360" w:lineRule="auto"/>
        <w:ind w:left="0" w:right="0" w:firstLine="480"/>
        <w:jc w:val="both"/>
        <w:rPr>
          <w:rFonts w:ascii="宋体" w:hAnsi="宋体" w:cs="宋体"/>
        </w:rPr>
      </w:pPr>
      <w:r>
        <w:rPr>
          <w:rFonts w:ascii="宋体" w:hAnsi="宋体" w:eastAsia="宋体" w:cs="宋体"/>
          <w:color w:val="000000"/>
          <w:sz w:val="24"/>
        </w:rPr>
        <w:t>发包人完成审批并签发进度款支付证书的期限：</w:t>
      </w:r>
      <w:r>
        <w:rPr>
          <w:rFonts w:ascii="宋体" w:hAnsi="宋体" w:eastAsia="宋体" w:cs="宋体"/>
          <w:color w:val="000000"/>
          <w:sz w:val="24"/>
          <w:u w:val="single"/>
        </w:rPr>
        <w:t>收到监理人报送的进度付款申请单及相关资料后10个工作日内。</w:t>
      </w:r>
    </w:p>
    <w:p>
      <w:pPr>
        <w:pBdr>
          <w:top w:val="none" w:color="000000" w:sz="0" w:space="0"/>
          <w:left w:val="none" w:color="000000" w:sz="0" w:space="0"/>
          <w:bottom w:val="none" w:color="000000" w:sz="0" w:space="0"/>
          <w:right w:val="none" w:color="000000" w:sz="0" w:space="0"/>
        </w:pBdr>
        <w:spacing w:before="0" w:after="0" w:line="360" w:lineRule="auto"/>
        <w:ind w:left="0" w:right="0" w:firstLine="480"/>
        <w:jc w:val="both"/>
        <w:rPr>
          <w:rFonts w:ascii="宋体" w:hAnsi="宋体" w:cs="宋体"/>
        </w:rPr>
      </w:pPr>
      <w:r>
        <w:rPr>
          <w:rFonts w:ascii="宋体" w:hAnsi="宋体" w:eastAsia="宋体" w:cs="宋体"/>
          <w:color w:val="000000"/>
          <w:sz w:val="24"/>
        </w:rPr>
        <w:t>（2）发包人支付进度款的期限：</w:t>
      </w:r>
      <w:r>
        <w:rPr>
          <w:rFonts w:ascii="宋体" w:hAnsi="宋体" w:eastAsia="仿宋" w:cs="宋体"/>
          <w:color w:val="000000"/>
          <w:sz w:val="24"/>
          <w:u w:val="single"/>
        </w:rPr>
        <w:t xml:space="preserve"> / </w:t>
      </w:r>
      <w:r>
        <w:rPr>
          <w:rFonts w:ascii="宋体" w:hAnsi="宋体" w:eastAsia="宋体" w:cs="宋体"/>
          <w:color w:val="000000"/>
          <w:sz w:val="24"/>
        </w:rPr>
        <w:t>。</w:t>
      </w:r>
    </w:p>
    <w:p>
      <w:pPr>
        <w:pBdr>
          <w:top w:val="none" w:color="000000" w:sz="0" w:space="0"/>
          <w:left w:val="none" w:color="000000" w:sz="0" w:space="0"/>
          <w:bottom w:val="none" w:color="000000" w:sz="0" w:space="0"/>
          <w:right w:val="none" w:color="000000" w:sz="0" w:space="0"/>
        </w:pBdr>
        <w:spacing w:before="0" w:after="0" w:line="360" w:lineRule="auto"/>
        <w:ind w:left="0" w:right="0" w:firstLine="600"/>
        <w:jc w:val="both"/>
        <w:rPr>
          <w:rFonts w:ascii="宋体" w:hAnsi="宋体" w:cs="宋体"/>
        </w:rPr>
      </w:pPr>
      <w:r>
        <w:rPr>
          <w:rFonts w:ascii="宋体" w:hAnsi="宋体" w:eastAsia="宋体" w:cs="宋体"/>
          <w:color w:val="000000"/>
          <w:sz w:val="24"/>
        </w:rPr>
        <w:t>12.4.6 支付分解表的编制</w:t>
      </w:r>
    </w:p>
    <w:p>
      <w:pPr>
        <w:pBdr>
          <w:top w:val="none" w:color="000000" w:sz="0" w:space="0"/>
          <w:left w:val="none" w:color="000000" w:sz="0" w:space="0"/>
          <w:bottom w:val="none" w:color="000000" w:sz="0" w:space="0"/>
          <w:right w:val="none" w:color="000000" w:sz="0" w:space="0"/>
        </w:pBdr>
        <w:spacing w:before="0" w:after="0" w:line="360" w:lineRule="auto"/>
        <w:ind w:left="0" w:right="0" w:firstLine="600"/>
        <w:jc w:val="both"/>
        <w:rPr>
          <w:rFonts w:ascii="宋体" w:hAnsi="宋体" w:cs="宋体"/>
        </w:rPr>
      </w:pPr>
      <w:r>
        <w:rPr>
          <w:rFonts w:ascii="宋体" w:hAnsi="宋体" w:eastAsia="宋体" w:cs="宋体"/>
          <w:color w:val="000000"/>
          <w:sz w:val="24"/>
        </w:rPr>
        <w:t>2、总价合同支付分解表的编制与审批：</w:t>
      </w:r>
      <w:r>
        <w:rPr>
          <w:rFonts w:ascii="宋体" w:hAnsi="宋体" w:eastAsia="仿宋" w:cs="宋体"/>
          <w:color w:val="000000"/>
          <w:sz w:val="24"/>
          <w:u w:val="single"/>
        </w:rPr>
        <w:t>  /   </w:t>
      </w:r>
      <w:r>
        <w:rPr>
          <w:rFonts w:ascii="宋体" w:hAnsi="宋体" w:eastAsia="宋体" w:cs="宋体"/>
          <w:color w:val="000000"/>
          <w:sz w:val="24"/>
        </w:rPr>
        <w:t>。</w:t>
      </w:r>
    </w:p>
    <w:p>
      <w:pPr>
        <w:pBdr>
          <w:top w:val="none" w:color="000000" w:sz="0" w:space="0"/>
          <w:left w:val="none" w:color="000000" w:sz="0" w:space="0"/>
          <w:bottom w:val="none" w:color="000000" w:sz="0" w:space="0"/>
          <w:right w:val="none" w:color="000000" w:sz="0" w:space="0"/>
        </w:pBdr>
        <w:spacing w:before="0" w:after="0" w:line="360" w:lineRule="auto"/>
        <w:ind w:left="0" w:right="0" w:firstLine="600"/>
        <w:jc w:val="both"/>
        <w:rPr>
          <w:rFonts w:ascii="宋体" w:hAnsi="宋体" w:cs="宋体"/>
        </w:rPr>
      </w:pPr>
      <w:r>
        <w:rPr>
          <w:rFonts w:ascii="宋体" w:hAnsi="宋体" w:eastAsia="宋体" w:cs="宋体"/>
          <w:color w:val="000000"/>
          <w:sz w:val="24"/>
        </w:rPr>
        <w:t>3、单价合同的总价项目支付分解表的编制与审批：</w:t>
      </w:r>
      <w:r>
        <w:rPr>
          <w:rFonts w:ascii="宋体" w:hAnsi="宋体" w:eastAsia="仿宋" w:cs="宋体"/>
          <w:color w:val="000000"/>
          <w:sz w:val="24"/>
          <w:u w:val="single"/>
        </w:rPr>
        <w:t>   /   </w:t>
      </w:r>
      <w:r>
        <w:rPr>
          <w:rFonts w:ascii="宋体" w:hAnsi="宋体" w:eastAsia="宋体" w:cs="宋体"/>
          <w:color w:val="000000"/>
          <w:sz w:val="24"/>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2"/>
        <w:jc w:val="both"/>
        <w:rPr>
          <w:rFonts w:hint="eastAsia" w:ascii="宋体" w:hAnsi="宋体" w:eastAsia="宋体" w:cs="宋体"/>
          <w:b/>
          <w:bCs/>
          <w:color w:val="auto"/>
          <w:sz w:val="24"/>
          <w:szCs w:val="24"/>
          <w:highlight w:val="none"/>
        </w:rPr>
      </w:pPr>
      <w:bookmarkStart w:id="178" w:name="_Toc312678053"/>
      <w:bookmarkStart w:id="179" w:name="_Toc297120519"/>
      <w:bookmarkStart w:id="180" w:name="_Toc303539172"/>
      <w:bookmarkStart w:id="181" w:name="_Toc296944558"/>
      <w:bookmarkStart w:id="182" w:name="_Toc296503219"/>
      <w:bookmarkStart w:id="183" w:name="_Toc296891259"/>
      <w:bookmarkStart w:id="184" w:name="_Toc292559929"/>
      <w:bookmarkStart w:id="185" w:name="_Toc300935015"/>
      <w:bookmarkStart w:id="186" w:name="_Toc297123564"/>
      <w:bookmarkStart w:id="187" w:name="_Toc296891047"/>
      <w:bookmarkStart w:id="188" w:name="_Toc296347218"/>
      <w:bookmarkStart w:id="189" w:name="_Toc292559424"/>
      <w:bookmarkStart w:id="190" w:name="_Toc297216223"/>
      <w:bookmarkStart w:id="191" w:name="_Toc351203645"/>
      <w:bookmarkStart w:id="192" w:name="_Toc297048405"/>
      <w:bookmarkStart w:id="193" w:name="_Toc296346720"/>
      <w:bookmarkStart w:id="194" w:name="_Toc304295593"/>
      <w:r>
        <w:rPr>
          <w:rFonts w:hint="eastAsia" w:ascii="宋体" w:hAnsi="宋体" w:eastAsia="宋体" w:cs="宋体"/>
          <w:b/>
          <w:bCs/>
          <w:color w:val="auto"/>
          <w:sz w:val="24"/>
          <w:szCs w:val="24"/>
          <w:highlight w:val="none"/>
        </w:rPr>
        <w:t>13.验收和工程试车</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pPr>
        <w:pageBreakBefore w:val="0"/>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13.1分部分项工程验收</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13.1.2监理人不能按时进行验收时，应提前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24</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小时提交书面延期要求。</w:t>
      </w:r>
    </w:p>
    <w:p>
      <w:pPr>
        <w:pageBreakBefore w:val="0"/>
        <w:spacing w:after="0" w:line="336" w:lineRule="auto"/>
        <w:ind w:left="0" w:right="0" w:firstLine="48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48</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小时。</w:t>
      </w:r>
    </w:p>
    <w:p>
      <w:pPr>
        <w:pageBreakBefore w:val="0"/>
        <w:spacing w:after="0" w:line="336" w:lineRule="auto"/>
        <w:ind w:left="0" w:right="0" w:firstLine="480"/>
        <w:rPr>
          <w:rFonts w:hint="eastAsia" w:ascii="宋体" w:hAnsi="宋体" w:eastAsia="宋体" w:cs="宋体"/>
          <w:color w:val="auto"/>
          <w:sz w:val="24"/>
          <w:szCs w:val="24"/>
          <w:highlight w:val="none"/>
        </w:rPr>
      </w:pPr>
      <w:bookmarkStart w:id="195" w:name="_Toc296347222"/>
      <w:bookmarkStart w:id="196" w:name="_Toc297216224"/>
      <w:bookmarkStart w:id="197" w:name="_Toc296503223"/>
      <w:bookmarkStart w:id="198" w:name="_Toc296346724"/>
      <w:bookmarkStart w:id="199" w:name="_Toc297120523"/>
      <w:bookmarkStart w:id="200" w:name="_Toc297123565"/>
      <w:bookmarkStart w:id="201" w:name="_Toc292559933"/>
      <w:bookmarkStart w:id="202" w:name="_Toc296891263"/>
      <w:bookmarkStart w:id="203" w:name="_Toc296891051"/>
      <w:bookmarkStart w:id="204" w:name="_Toc296944562"/>
      <w:bookmarkStart w:id="205" w:name="_Toc303539173"/>
      <w:bookmarkStart w:id="206" w:name="_Toc300935016"/>
      <w:bookmarkStart w:id="207" w:name="_Toc312678056"/>
      <w:bookmarkStart w:id="208" w:name="_Toc297048409"/>
      <w:bookmarkStart w:id="209" w:name="_Toc304295596"/>
      <w:bookmarkStart w:id="210" w:name="_Toc292559428"/>
      <w:bookmarkStart w:id="211" w:name="_Toc267251474"/>
      <w:bookmarkStart w:id="212" w:name="_Toc267251472"/>
      <w:bookmarkStart w:id="213" w:name="_Toc267251475"/>
      <w:bookmarkStart w:id="214" w:name="_Toc267251470"/>
      <w:bookmarkStart w:id="215" w:name="_Toc267251473"/>
      <w:bookmarkStart w:id="216" w:name="_Toc267251471"/>
      <w:bookmarkStart w:id="217" w:name="_Toc267251476"/>
      <w:r>
        <w:rPr>
          <w:rFonts w:hint="eastAsia" w:ascii="宋体" w:hAnsi="宋体" w:eastAsia="宋体" w:cs="宋体"/>
          <w:color w:val="auto"/>
          <w:sz w:val="24"/>
          <w:szCs w:val="24"/>
          <w:highlight w:val="none"/>
        </w:rPr>
        <w:t>13.2竣工验收</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pPr>
        <w:pageBreakBefore w:val="0"/>
        <w:spacing w:after="0" w:line="336" w:lineRule="auto"/>
        <w:ind w:left="0" w:right="0" w:firstLine="480"/>
        <w:jc w:val="left"/>
        <w:rPr>
          <w:rFonts w:hint="eastAsia" w:ascii="宋体" w:hAnsi="宋体" w:eastAsia="宋体" w:cs="宋体"/>
          <w:color w:val="auto"/>
          <w:sz w:val="24"/>
          <w:szCs w:val="24"/>
          <w:highlight w:val="none"/>
        </w:rPr>
      </w:pPr>
      <w:bookmarkStart w:id="218" w:name="_Toc280868704"/>
      <w:bookmarkStart w:id="219" w:name="_Toc280868705"/>
      <w:bookmarkStart w:id="220" w:name="_Toc280868706"/>
      <w:bookmarkStart w:id="221" w:name="_Toc280868707"/>
      <w:bookmarkStart w:id="222" w:name="_Toc280868708"/>
      <w:bookmarkStart w:id="223" w:name="_Toc280868709"/>
      <w:r>
        <w:rPr>
          <w:rFonts w:hint="eastAsia" w:ascii="宋体" w:hAnsi="宋体" w:eastAsia="宋体" w:cs="宋体"/>
          <w:color w:val="auto"/>
          <w:sz w:val="24"/>
          <w:szCs w:val="24"/>
          <w:highlight w:val="none"/>
        </w:rPr>
        <w:t>13.2.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竣工验收程序</w:t>
      </w:r>
      <w:bookmarkEnd w:id="218"/>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关于竣工验收程序的约定：</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发包人不按照本项约定组织竣工验收、颁发工程接收证书的违约金的计算方法：</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rPr>
        <w:t>。</w:t>
      </w:r>
      <w:bookmarkEnd w:id="219"/>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移交、接收全部与部分工程</w:t>
      </w:r>
      <w:bookmarkEnd w:id="220"/>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承包人向发包人移交工程的期限：</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pPr>
        <w:pageBreakBefore w:val="0"/>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发包人未按本合同约定接收全部或部分工程的，违约金的计算方法为：</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bookmarkEnd w:id="221"/>
    </w:p>
    <w:p>
      <w:pPr>
        <w:pageBreakBefore w:val="0"/>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承包人未按时移交工程的，违约金的计算方法为：</w:t>
      </w:r>
      <w:r>
        <w:rPr>
          <w:rFonts w:hint="eastAsia" w:ascii="宋体" w:hAnsi="宋体" w:eastAsia="宋体" w:cs="宋体"/>
          <w:b w:val="0"/>
          <w:bCs w:val="0"/>
          <w:color w:val="auto"/>
          <w:sz w:val="24"/>
          <w:szCs w:val="24"/>
          <w:highlight w:val="none"/>
          <w:u w:val="single"/>
          <w:lang w:val="en-US" w:eastAsia="zh-CN"/>
        </w:rPr>
        <w:t xml:space="preserve"> 每延迟一天承包人应向发包人支付合同价的百分之一的违约金 </w:t>
      </w:r>
      <w:r>
        <w:rPr>
          <w:rFonts w:hint="eastAsia" w:ascii="宋体" w:hAnsi="宋体" w:eastAsia="宋体" w:cs="宋体"/>
          <w:b w:val="0"/>
          <w:bCs w:val="0"/>
          <w:color w:val="auto"/>
          <w:sz w:val="24"/>
          <w:szCs w:val="24"/>
          <w:highlight w:val="none"/>
          <w:u w:val="single"/>
        </w:rPr>
        <w:t>。</w:t>
      </w:r>
    </w:p>
    <w:p>
      <w:pPr>
        <w:pageBreakBefore w:val="0"/>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13.3工程试车</w:t>
      </w:r>
      <w:bookmarkEnd w:id="222"/>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13.3.1试车程序</w:t>
      </w:r>
    </w:p>
    <w:p>
      <w:pPr>
        <w:pageBreakBefore w:val="0"/>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工程试车内容：</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（1）单机无负荷试车费用由</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承包人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承担；</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（2）无负荷联动试车费用由</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承包人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承担。</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13.3.3投料试车</w:t>
      </w:r>
    </w:p>
    <w:p>
      <w:pPr>
        <w:pageBreakBefore w:val="0"/>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关于投料试车相关事项的约定：</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13.6竣工退场</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13.6.1竣工退场</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承包人完成竣工退场的期限：</w:t>
      </w:r>
      <w:r>
        <w:rPr>
          <w:rFonts w:hint="eastAsia" w:ascii="宋体" w:hAnsi="宋体" w:eastAsia="宋体" w:cs="宋体"/>
          <w:color w:val="auto"/>
          <w:sz w:val="24"/>
          <w:szCs w:val="24"/>
          <w:highlight w:val="none"/>
          <w:u w:val="single"/>
        </w:rPr>
        <w:t>竣工验收合格后7日内</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2"/>
        <w:jc w:val="both"/>
        <w:rPr>
          <w:rFonts w:hint="eastAsia" w:ascii="宋体" w:hAnsi="宋体" w:eastAsia="宋体" w:cs="宋体"/>
          <w:b/>
          <w:bCs/>
          <w:color w:val="auto"/>
          <w:sz w:val="24"/>
          <w:szCs w:val="24"/>
          <w:highlight w:val="none"/>
        </w:rPr>
      </w:pPr>
      <w:bookmarkStart w:id="224" w:name="_Toc351203646"/>
      <w:r>
        <w:rPr>
          <w:rFonts w:hint="eastAsia" w:ascii="宋体" w:hAnsi="宋体" w:eastAsia="宋体" w:cs="宋体"/>
          <w:b/>
          <w:bCs/>
          <w:color w:val="auto"/>
          <w:sz w:val="24"/>
          <w:szCs w:val="24"/>
          <w:highlight w:val="none"/>
        </w:rPr>
        <w:t>14.竣工结算</w:t>
      </w:r>
      <w:bookmarkEnd w:id="224"/>
    </w:p>
    <w:p>
      <w:pPr>
        <w:pageBreakBefore w:val="0"/>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14.1竣工结算申请</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承包人提交竣工结算申请单的期限：</w:t>
      </w:r>
      <w:r>
        <w:rPr>
          <w:rFonts w:hint="eastAsia" w:ascii="宋体" w:hAnsi="宋体" w:eastAsia="宋体" w:cs="宋体"/>
          <w:color w:val="auto"/>
          <w:sz w:val="24"/>
          <w:szCs w:val="24"/>
          <w:highlight w:val="none"/>
          <w:u w:val="single"/>
        </w:rPr>
        <w:t>工程竣工验收报告及竣工资料经发包人认可后28天内。</w:t>
      </w:r>
    </w:p>
    <w:p>
      <w:pPr>
        <w:pageBreakBefore w:val="0"/>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竣工结算申请单应包括的内容：</w:t>
      </w:r>
      <w:r>
        <w:rPr>
          <w:rFonts w:hint="eastAsia" w:ascii="宋体" w:hAnsi="宋体" w:eastAsia="宋体" w:cs="宋体"/>
          <w:color w:val="auto"/>
          <w:sz w:val="24"/>
          <w:szCs w:val="24"/>
          <w:highlight w:val="none"/>
          <w:u w:val="single"/>
        </w:rPr>
        <w:t>工程验收合格证书、工程移交单、工程竣工图（施工、设计、监理等单位签字盖章）、工程结算书（含现场签证）、接收甲供材料数量一览表并附相关凭证（含供货单位、</w:t>
      </w:r>
      <w:r>
        <w:rPr>
          <w:rFonts w:hint="eastAsia" w:ascii="宋体" w:hAnsi="宋体" w:eastAsia="宋体" w:cs="宋体"/>
          <w:color w:val="auto"/>
          <w:sz w:val="24"/>
          <w:szCs w:val="24"/>
          <w:highlight w:val="none"/>
          <w:u w:val="single"/>
          <w:lang w:val="en-US" w:eastAsia="zh-CN"/>
        </w:rPr>
        <w:t>发包人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承包人</w:t>
      </w:r>
      <w:r>
        <w:rPr>
          <w:rFonts w:hint="eastAsia" w:ascii="宋体" w:hAnsi="宋体" w:eastAsia="宋体" w:cs="宋体"/>
          <w:color w:val="auto"/>
          <w:sz w:val="24"/>
          <w:szCs w:val="24"/>
          <w:highlight w:val="none"/>
          <w:u w:val="single"/>
        </w:rPr>
        <w:t>、监理单位签字盖章）、工程中标通知书（复印件）、工程投标书及其附件和其它报财政评审需要的资料，一式肆份。</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14.2竣工结算审核</w:t>
      </w:r>
    </w:p>
    <w:p>
      <w:pPr>
        <w:pageBreakBefore w:val="0"/>
        <w:spacing w:after="0" w:line="336" w:lineRule="auto"/>
        <w:ind w:left="0" w:right="0" w:firstLine="48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发包人审批竣工付款申请单的期限：</w:t>
      </w:r>
      <w:r>
        <w:rPr>
          <w:rFonts w:hint="eastAsia" w:ascii="宋体" w:hAnsi="宋体" w:eastAsia="宋体" w:cs="宋体"/>
          <w:color w:val="auto"/>
          <w:sz w:val="24"/>
          <w:szCs w:val="24"/>
          <w:highlight w:val="none"/>
          <w:u w:val="single"/>
        </w:rPr>
        <w:t>发包人自接到承包人递交的完整真实的结算资料28天内按照合同约定的合同价款及合同价款调整办法及调整因素，进行工程竣工结算。承包人在上述时间内应积极配合发包人及审计部门的审核，若承包人不配合，或双方存在争议的，审计时间相应顺延。</w:t>
      </w:r>
      <w:r>
        <w:rPr>
          <w:rFonts w:hint="eastAsia" w:ascii="宋体" w:hAnsi="宋体" w:eastAsia="宋体" w:cs="宋体"/>
          <w:bCs/>
          <w:color w:val="auto"/>
          <w:sz w:val="24"/>
          <w:szCs w:val="24"/>
          <w:highlight w:val="none"/>
          <w:u w:val="single"/>
        </w:rPr>
        <w:t>承包人的竣工结算送审报告应客观且符合实际，工程审减额若超过送审额的7%以上（不含7%），超出部分按审减额5%给予罚款【参照徐建重办</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2015</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20号文件执行】</w:t>
      </w:r>
      <w:r>
        <w:rPr>
          <w:rFonts w:hint="eastAsia" w:ascii="宋体" w:hAnsi="宋体" w:eastAsia="宋体" w:cs="宋体"/>
          <w:bCs/>
          <w:color w:val="auto"/>
          <w:sz w:val="24"/>
          <w:szCs w:val="24"/>
          <w:highlight w:val="none"/>
        </w:rPr>
        <w:t>。</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发包人完成竣工付款的期限：：</w:t>
      </w:r>
      <w:r>
        <w:rPr>
          <w:rFonts w:hint="eastAsia" w:ascii="宋体" w:hAnsi="宋体" w:eastAsia="宋体" w:cs="宋体"/>
          <w:color w:val="auto"/>
          <w:sz w:val="24"/>
          <w:szCs w:val="24"/>
          <w:highlight w:val="none"/>
          <w:u w:val="single"/>
        </w:rPr>
        <w:t>在终审结束后28日内</w:t>
      </w:r>
      <w:r>
        <w:rPr>
          <w:rFonts w:hint="eastAsia" w:ascii="宋体" w:hAnsi="宋体" w:eastAsia="宋体" w:cs="宋体"/>
          <w:color w:val="auto"/>
          <w:sz w:val="24"/>
          <w:szCs w:val="24"/>
          <w:highlight w:val="none"/>
        </w:rPr>
        <w:t>。</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关于竣工付款证书异议部分复核的方式和程序：</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pPr>
        <w:spacing w:line="360" w:lineRule="auto"/>
        <w:ind w:firstLine="420"/>
        <w:rPr>
          <w:rFonts w:hint="eastAsia" w:ascii="宋体" w:hAnsi="宋体" w:eastAsia="宋体" w:cs="宋体"/>
          <w:color w:val="0000FF"/>
          <w:sz w:val="24"/>
          <w:szCs w:val="24"/>
          <w:highlight w:val="none"/>
          <w:u w:val="single"/>
        </w:rPr>
      </w:pPr>
      <w:r>
        <w:rPr>
          <w:rFonts w:hint="eastAsia" w:ascii="宋体" w:hAnsi="宋体" w:eastAsia="宋体" w:cs="宋体"/>
          <w:color w:val="0000FF"/>
          <w:sz w:val="24"/>
          <w:szCs w:val="24"/>
        </w:rPr>
        <w:t>审减率约定：</w:t>
      </w:r>
      <w:r>
        <w:rPr>
          <w:rFonts w:hint="eastAsia" w:ascii="宋体" w:hAnsi="宋体" w:eastAsia="宋体" w:cs="宋体"/>
          <w:color w:val="0000FF"/>
          <w:sz w:val="24"/>
          <w:szCs w:val="24"/>
          <w:highlight w:val="none"/>
          <w:u w:val="single"/>
        </w:rPr>
        <w:t>审计报告结（决）算审减率10%-15%的，承包人按审减金额的20%支付违约金，超过15%的，按照审减金额的30%支付违约金，发包人有权从工程款中直接扣除。对于一年内审减率连续两次超过15%的承包人试行黑名单制度，两年内不得参与</w:t>
      </w:r>
      <w:r>
        <w:rPr>
          <w:rFonts w:hint="eastAsia" w:ascii="宋体" w:hAnsi="宋体" w:cs="宋体"/>
          <w:color w:val="0000FF"/>
          <w:sz w:val="24"/>
          <w:szCs w:val="24"/>
          <w:highlight w:val="none"/>
          <w:u w:val="single"/>
          <w:lang w:val="en-US" w:eastAsia="zh-CN"/>
        </w:rPr>
        <w:t>新沂市草桥镇</w:t>
      </w:r>
      <w:r>
        <w:rPr>
          <w:rFonts w:hint="eastAsia" w:ascii="宋体" w:hAnsi="宋体" w:eastAsia="宋体" w:cs="宋体"/>
          <w:color w:val="0000FF"/>
          <w:sz w:val="24"/>
          <w:szCs w:val="24"/>
          <w:highlight w:val="none"/>
          <w:u w:val="single"/>
        </w:rPr>
        <w:t>工程项目建设。</w:t>
      </w:r>
    </w:p>
    <w:p>
      <w:pPr>
        <w:spacing w:line="360" w:lineRule="auto"/>
        <w:ind w:firstLine="420"/>
        <w:rPr>
          <w:rFonts w:hint="eastAsia"/>
        </w:rPr>
      </w:pPr>
      <w:r>
        <w:rPr>
          <w:rFonts w:hint="eastAsia" w:ascii="宋体" w:hAnsi="宋体" w:eastAsia="宋体" w:cs="宋体"/>
          <w:color w:val="0000FF"/>
          <w:sz w:val="24"/>
          <w:szCs w:val="24"/>
        </w:rPr>
        <w:t>项目终审费用约定：</w:t>
      </w:r>
      <w:r>
        <w:rPr>
          <w:rFonts w:hint="eastAsia" w:ascii="宋体" w:hAnsi="宋体" w:eastAsia="宋体" w:cs="宋体"/>
          <w:color w:val="0000FF"/>
          <w:sz w:val="24"/>
          <w:szCs w:val="24"/>
          <w:u w:val="single"/>
        </w:rPr>
        <w:t>工程结（决）算经审计</w:t>
      </w:r>
      <w:r>
        <w:rPr>
          <w:rFonts w:hint="eastAsia" w:ascii="宋体" w:hAnsi="宋体" w:cs="宋体"/>
          <w:color w:val="0000FF"/>
          <w:sz w:val="24"/>
          <w:szCs w:val="24"/>
          <w:u w:val="single"/>
          <w:lang w:val="en-US" w:eastAsia="zh-CN"/>
        </w:rPr>
        <w:t>单位</w:t>
      </w:r>
      <w:r>
        <w:rPr>
          <w:rFonts w:hint="eastAsia" w:ascii="宋体" w:hAnsi="宋体" w:eastAsia="宋体" w:cs="宋体"/>
          <w:color w:val="0000FF"/>
          <w:sz w:val="24"/>
          <w:szCs w:val="24"/>
          <w:u w:val="single"/>
        </w:rPr>
        <w:t>终审后，审减率在3%（含3%）以内的，审计服务费用由发包人支付，3%-5%（含5%）发包人和承包人各付一半，5%以上的承包人全额支付。</w:t>
      </w:r>
    </w:p>
    <w:p>
      <w:pPr>
        <w:pageBreakBefore w:val="0"/>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14.4最终结清</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14.4.1最终结清申请单</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承包人提交最终结清申请单的份数：</w:t>
      </w:r>
      <w:r>
        <w:rPr>
          <w:rFonts w:hint="eastAsia" w:ascii="宋体" w:hAnsi="宋体" w:eastAsia="宋体" w:cs="宋体"/>
          <w:color w:val="auto"/>
          <w:sz w:val="24"/>
          <w:szCs w:val="24"/>
          <w:highlight w:val="none"/>
          <w:u w:val="single"/>
        </w:rPr>
        <w:t>一式</w:t>
      </w:r>
      <w:r>
        <w:rPr>
          <w:rFonts w:hint="eastAsia" w:ascii="宋体" w:hAnsi="宋体" w:cs="宋体"/>
          <w:color w:val="auto"/>
          <w:sz w:val="24"/>
          <w:szCs w:val="24"/>
          <w:highlight w:val="none"/>
          <w:u w:val="single"/>
          <w:lang w:val="en-US" w:eastAsia="zh-CN"/>
        </w:rPr>
        <w:t>肆</w:t>
      </w:r>
      <w:r>
        <w:rPr>
          <w:rFonts w:hint="eastAsia" w:ascii="宋体" w:hAnsi="宋体" w:eastAsia="宋体" w:cs="宋体"/>
          <w:color w:val="auto"/>
          <w:sz w:val="24"/>
          <w:szCs w:val="24"/>
          <w:highlight w:val="none"/>
          <w:u w:val="single"/>
        </w:rPr>
        <w:t>份</w:t>
      </w:r>
      <w:r>
        <w:rPr>
          <w:rFonts w:hint="eastAsia" w:ascii="宋体" w:hAnsi="宋体" w:eastAsia="宋体" w:cs="宋体"/>
          <w:color w:val="auto"/>
          <w:sz w:val="24"/>
          <w:szCs w:val="24"/>
          <w:highlight w:val="none"/>
        </w:rPr>
        <w:t>。</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承包人提交最终结算申请单的期限：</w:t>
      </w:r>
      <w:r>
        <w:rPr>
          <w:rFonts w:hint="eastAsia" w:ascii="宋体" w:hAnsi="宋体" w:eastAsia="宋体" w:cs="宋体"/>
          <w:color w:val="auto"/>
          <w:sz w:val="24"/>
          <w:szCs w:val="24"/>
          <w:highlight w:val="none"/>
          <w:u w:val="single"/>
        </w:rPr>
        <w:t>验收合格后28内</w:t>
      </w:r>
      <w:r>
        <w:rPr>
          <w:rFonts w:hint="eastAsia" w:ascii="宋体" w:hAnsi="宋体" w:eastAsia="宋体" w:cs="宋体"/>
          <w:color w:val="auto"/>
          <w:sz w:val="24"/>
          <w:szCs w:val="24"/>
          <w:highlight w:val="none"/>
        </w:rPr>
        <w:t>。</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14.4.2最终结清证书和支付</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（1）发包人完成最终结清申请单的审批并颁发最终结清证书的期限：</w:t>
      </w:r>
      <w:r>
        <w:rPr>
          <w:rFonts w:hint="eastAsia" w:ascii="宋体" w:hAnsi="宋体" w:eastAsia="宋体" w:cs="宋体"/>
          <w:b w:val="0"/>
          <w:bCs w:val="0"/>
          <w:color w:val="auto"/>
          <w:sz w:val="24"/>
          <w:szCs w:val="24"/>
          <w:highlight w:val="none"/>
          <w:u w:val="single"/>
          <w:lang w:val="en-US" w:eastAsia="zh-CN"/>
        </w:rPr>
        <w:t xml:space="preserve"> 收到承包人提交的最终结清申请单后15日内。</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（2）发包人完成支付的期限：</w:t>
      </w:r>
      <w:r>
        <w:rPr>
          <w:rFonts w:hint="eastAsia" w:ascii="宋体" w:hAnsi="宋体" w:eastAsia="宋体" w:cs="宋体"/>
          <w:b w:val="0"/>
          <w:bCs w:val="0"/>
          <w:color w:val="auto"/>
          <w:sz w:val="24"/>
          <w:szCs w:val="24"/>
          <w:highlight w:val="none"/>
          <w:u w:val="single"/>
          <w:lang w:val="en-US" w:eastAsia="zh-CN"/>
        </w:rPr>
        <w:t xml:space="preserve"> 最终结清申请单的审批结束后15个工作日内</w:t>
      </w:r>
      <w:r>
        <w:rPr>
          <w:rFonts w:hint="eastAsia" w:ascii="宋体" w:hAnsi="宋体" w:eastAsia="宋体" w:cs="宋体"/>
          <w:b w:val="0"/>
          <w:bCs w:val="0"/>
          <w:color w:val="auto"/>
          <w:sz w:val="24"/>
          <w:szCs w:val="24"/>
          <w:highlight w:val="none"/>
          <w:u w:val="single"/>
        </w:rPr>
        <w:t>。</w:t>
      </w:r>
      <w:bookmarkEnd w:id="211"/>
      <w:bookmarkEnd w:id="212"/>
      <w:bookmarkEnd w:id="213"/>
      <w:bookmarkEnd w:id="214"/>
      <w:bookmarkEnd w:id="215"/>
      <w:bookmarkEnd w:id="216"/>
      <w:bookmarkEnd w:id="217"/>
      <w:bookmarkEnd w:id="223"/>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2"/>
        <w:jc w:val="both"/>
        <w:rPr>
          <w:rFonts w:hint="eastAsia" w:ascii="宋体" w:hAnsi="宋体" w:eastAsia="宋体" w:cs="宋体"/>
          <w:b/>
          <w:bCs/>
          <w:color w:val="auto"/>
          <w:sz w:val="24"/>
          <w:szCs w:val="24"/>
          <w:highlight w:val="none"/>
        </w:rPr>
      </w:pPr>
      <w:bookmarkStart w:id="225" w:name="_Toc351203647"/>
      <w:bookmarkStart w:id="226" w:name="_Toc267251483"/>
      <w:bookmarkStart w:id="227" w:name="_Toc267251482"/>
      <w:bookmarkStart w:id="228" w:name="_Toc267251484"/>
      <w:bookmarkStart w:id="229" w:name="_Toc267251485"/>
      <w:bookmarkStart w:id="230" w:name="_Toc267251488"/>
      <w:bookmarkStart w:id="231" w:name="_Toc267251486"/>
      <w:bookmarkStart w:id="232" w:name="_Toc267251489"/>
      <w:bookmarkStart w:id="233" w:name="_Toc267251490"/>
      <w:bookmarkStart w:id="234" w:name="_Toc267251501"/>
      <w:bookmarkStart w:id="235" w:name="_Toc267251503"/>
      <w:bookmarkStart w:id="236" w:name="_Toc267251499"/>
      <w:bookmarkStart w:id="237" w:name="_Toc267251495"/>
      <w:bookmarkStart w:id="238" w:name="_Toc267251496"/>
      <w:bookmarkStart w:id="239" w:name="_Toc267251494"/>
      <w:bookmarkStart w:id="240" w:name="_Toc267251493"/>
      <w:bookmarkStart w:id="241" w:name="_Toc267251497"/>
      <w:bookmarkStart w:id="242" w:name="_Toc267251498"/>
      <w:bookmarkStart w:id="243" w:name="_Toc267251492"/>
      <w:bookmarkStart w:id="244" w:name="_Toc267251502"/>
      <w:bookmarkStart w:id="245" w:name="_Toc267251491"/>
      <w:bookmarkStart w:id="246" w:name="_Toc267251506"/>
      <w:bookmarkStart w:id="247" w:name="_Toc267251504"/>
      <w:bookmarkStart w:id="248" w:name="_Toc267251507"/>
      <w:bookmarkStart w:id="249" w:name="_Toc267251508"/>
      <w:bookmarkStart w:id="250" w:name="_Toc267251514"/>
      <w:bookmarkStart w:id="251" w:name="_Toc267251515"/>
      <w:bookmarkStart w:id="252" w:name="_Toc267251510"/>
      <w:bookmarkStart w:id="253" w:name="_Toc267251513"/>
      <w:bookmarkStart w:id="254" w:name="_Toc267251511"/>
      <w:bookmarkStart w:id="255" w:name="_Toc267251509"/>
      <w:r>
        <w:rPr>
          <w:rFonts w:hint="eastAsia" w:ascii="宋体" w:hAnsi="宋体" w:eastAsia="宋体" w:cs="宋体"/>
          <w:b/>
          <w:bCs/>
          <w:color w:val="auto"/>
          <w:sz w:val="24"/>
          <w:szCs w:val="24"/>
          <w:highlight w:val="none"/>
        </w:rPr>
        <w:t>15.缺陷责任期与保修</w:t>
      </w:r>
      <w:bookmarkEnd w:id="225"/>
    </w:p>
    <w:p>
      <w:pPr>
        <w:pageBreakBefore w:val="0"/>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缺陷责任期</w:t>
      </w:r>
      <w:bookmarkEnd w:id="226"/>
    </w:p>
    <w:p>
      <w:pPr>
        <w:pageBreakBefore w:val="0"/>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缺陷责任期的具体期限：</w:t>
      </w:r>
      <w:r>
        <w:rPr>
          <w:rFonts w:hint="eastAsia" w:ascii="宋体" w:hAnsi="宋体" w:eastAsia="宋体" w:cs="宋体"/>
          <w:color w:val="auto"/>
          <w:sz w:val="24"/>
          <w:szCs w:val="24"/>
          <w:highlight w:val="none"/>
          <w:u w:val="single"/>
        </w:rPr>
        <w:t>整体工程竣工验收合格之日起24个月</w:t>
      </w:r>
      <w:r>
        <w:rPr>
          <w:rFonts w:hint="eastAsia" w:ascii="宋体" w:hAnsi="宋体" w:eastAsia="宋体" w:cs="宋体"/>
          <w:color w:val="auto"/>
          <w:sz w:val="24"/>
          <w:szCs w:val="24"/>
          <w:highlight w:val="none"/>
        </w:rPr>
        <w:t>。</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质量保证金</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关于是否扣留质量保证金的约定：</w:t>
      </w:r>
      <w:r>
        <w:rPr>
          <w:rFonts w:hint="eastAsia" w:ascii="宋体" w:hAnsi="宋体" w:eastAsia="宋体" w:cs="宋体"/>
          <w:color w:val="auto"/>
          <w:sz w:val="24"/>
          <w:szCs w:val="24"/>
          <w:highlight w:val="none"/>
          <w:u w:val="single"/>
          <w:lang w:val="en-US" w:eastAsia="zh-CN"/>
        </w:rPr>
        <w:t>不</w:t>
      </w:r>
      <w:r>
        <w:rPr>
          <w:rFonts w:hint="eastAsia" w:ascii="宋体" w:hAnsi="宋体" w:eastAsia="宋体" w:cs="宋体"/>
          <w:color w:val="auto"/>
          <w:sz w:val="24"/>
          <w:szCs w:val="24"/>
          <w:highlight w:val="none"/>
          <w:u w:val="single"/>
        </w:rPr>
        <w:t>扣留</w:t>
      </w:r>
      <w:r>
        <w:rPr>
          <w:rFonts w:hint="eastAsia" w:ascii="宋体" w:hAnsi="宋体" w:eastAsia="宋体" w:cs="宋体"/>
          <w:color w:val="auto"/>
          <w:sz w:val="24"/>
          <w:szCs w:val="24"/>
          <w:highlight w:val="none"/>
        </w:rPr>
        <w:t>。</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.1承包人提供质量保证金的方式</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质量保证金采用以下第</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种方式：</w:t>
      </w:r>
    </w:p>
    <w:p>
      <w:pPr>
        <w:pageBreakBefore w:val="0"/>
        <w:spacing w:after="0" w:line="336" w:lineRule="auto"/>
        <w:ind w:left="0" w:right="0" w:firstLine="48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（1）质量保证金保函，保证金额为：</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的工程款；</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（3）其他方式:</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bookmarkEnd w:id="227"/>
      <w:bookmarkEnd w:id="228"/>
    </w:p>
    <w:p>
      <w:pPr>
        <w:pageBreakBefore w:val="0"/>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保修</w:t>
      </w:r>
      <w:bookmarkEnd w:id="229"/>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.1保修责任</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工程保修期为：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修复通知</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承包人收到保修通知并到达工程现场的合理时间：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bookmarkEnd w:id="230"/>
      <w:bookmarkEnd w:id="231"/>
      <w:bookmarkEnd w:id="232"/>
      <w:bookmarkEnd w:id="233"/>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2"/>
        <w:jc w:val="both"/>
        <w:rPr>
          <w:rFonts w:hint="eastAsia" w:ascii="宋体" w:hAnsi="宋体" w:eastAsia="宋体" w:cs="宋体"/>
          <w:b/>
          <w:bCs/>
          <w:color w:val="auto"/>
          <w:sz w:val="24"/>
          <w:szCs w:val="24"/>
          <w:highlight w:val="none"/>
        </w:rPr>
      </w:pPr>
      <w:bookmarkStart w:id="256" w:name="_Toc351203648"/>
      <w:bookmarkStart w:id="257" w:name="_Toc280868717"/>
      <w:bookmarkStart w:id="258" w:name="_Toc280868718"/>
      <w:r>
        <w:rPr>
          <w:rFonts w:hint="eastAsia" w:ascii="宋体" w:hAnsi="宋体" w:eastAsia="宋体" w:cs="宋体"/>
          <w:b/>
          <w:bCs/>
          <w:color w:val="auto"/>
          <w:sz w:val="24"/>
          <w:szCs w:val="24"/>
          <w:highlight w:val="none"/>
        </w:rPr>
        <w:t>16.违约</w:t>
      </w:r>
      <w:bookmarkEnd w:id="256"/>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16.1发包人违约</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16.1.1发包人违约的情形</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发包人违约的其他情形：</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16.1.2发包人违约的责任</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发包人违约责任的承担方式和计算方法：</w:t>
      </w:r>
    </w:p>
    <w:p>
      <w:pPr>
        <w:pageBreakBefore w:val="0"/>
        <w:spacing w:after="0" w:line="336" w:lineRule="auto"/>
        <w:ind w:right="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（1）因发包人原因未能在计划开工日期前7天内下达开工通知的违约责任</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p>
    <w:p>
      <w:pPr>
        <w:pageBreakBefore w:val="0"/>
        <w:spacing w:after="0" w:line="336" w:lineRule="auto"/>
        <w:ind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（2）因发包人原因未能按合同约定支付合同价款的违约责任：</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p>
    <w:p>
      <w:pPr>
        <w:pageBreakBefore w:val="0"/>
        <w:spacing w:after="0" w:line="336" w:lineRule="auto"/>
        <w:ind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（3）发包人违反第10.1款〔变更的范围〕第（2）项约定，自行实施被取消的工作或转由他人实施的违约责任：</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p>
    <w:p>
      <w:pPr>
        <w:pageBreakBefore w:val="0"/>
        <w:spacing w:after="0" w:line="336" w:lineRule="auto"/>
        <w:ind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p>
    <w:p>
      <w:pPr>
        <w:pageBreakBefore w:val="0"/>
        <w:spacing w:after="0" w:line="336" w:lineRule="auto"/>
        <w:ind w:right="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（5）因发包人违反合同约定造成暂停施工的违约责任：</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p>
    <w:p>
      <w:pPr>
        <w:pageBreakBefore w:val="0"/>
        <w:spacing w:after="0" w:line="336" w:lineRule="auto"/>
        <w:ind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（6）发包人无正当理由没有在约定期限内发出复工指示，导致承包人无法复工的违约责任：</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ageBreakBefore w:val="0"/>
        <w:spacing w:after="0" w:line="336" w:lineRule="auto"/>
        <w:ind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16.1.3因发包人违约解除合同</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承包人按16.1.1项〔发包人违约的情形〕约定暂停施工满</w:t>
      </w:r>
      <w:r>
        <w:rPr>
          <w:rFonts w:hint="eastAsia" w:ascii="宋体" w:hAnsi="宋体" w:eastAsia="宋体" w:cs="宋体"/>
          <w:color w:val="auto"/>
          <w:sz w:val="24"/>
          <w:szCs w:val="24"/>
          <w:highlight w:val="none"/>
          <w:u w:val="single"/>
        </w:rPr>
        <w:t>28</w:t>
      </w:r>
      <w:r>
        <w:rPr>
          <w:rFonts w:hint="eastAsia" w:ascii="宋体" w:hAnsi="宋体" w:eastAsia="宋体" w:cs="宋体"/>
          <w:color w:val="auto"/>
          <w:sz w:val="24"/>
          <w:szCs w:val="24"/>
          <w:highlight w:val="none"/>
        </w:rPr>
        <w:t>天后发包人仍不纠正其违约行为并致使合同目的不能实现的，承包人有权解除合同。</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16.2承包人违约</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16.2.1承包人违约的情形</w:t>
      </w:r>
    </w:p>
    <w:p>
      <w:pPr>
        <w:pageBreakBefore w:val="0"/>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承包人违约的其他情形：</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16.2.2承包人违约的责任</w:t>
      </w:r>
    </w:p>
    <w:p>
      <w:pPr>
        <w:pageBreakBefore w:val="0"/>
        <w:spacing w:after="0" w:line="336" w:lineRule="auto"/>
        <w:ind w:left="0" w:right="0" w:firstLine="480"/>
        <w:jc w:val="lef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承包人违约责任的承担方式和计算方法：</w:t>
      </w:r>
      <w:r>
        <w:rPr>
          <w:rFonts w:hint="eastAsia" w:ascii="宋体" w:hAnsi="宋体" w:eastAsia="宋体" w:cs="宋体"/>
          <w:color w:val="auto"/>
          <w:sz w:val="24"/>
          <w:szCs w:val="24"/>
          <w:highlight w:val="none"/>
          <w:u w:val="single"/>
        </w:rPr>
        <w:t>由承包人承担全部费用并承担相关法律责任</w:t>
      </w:r>
      <w:r>
        <w:rPr>
          <w:rFonts w:hint="eastAsia" w:ascii="宋体" w:hAnsi="宋体" w:eastAsia="宋体" w:cs="宋体"/>
          <w:color w:val="auto"/>
          <w:sz w:val="24"/>
          <w:szCs w:val="24"/>
          <w:highlight w:val="none"/>
        </w:rPr>
        <w:t>。</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16.2.3因承包人违约解除合同</w:t>
      </w:r>
    </w:p>
    <w:p>
      <w:pPr>
        <w:pageBreakBefore w:val="0"/>
        <w:spacing w:after="0" w:line="336" w:lineRule="auto"/>
        <w:ind w:left="0" w:right="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关于承包人违约解除合同的特别约定：</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p>
    <w:p>
      <w:pPr>
        <w:pageBreakBefore w:val="0"/>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2"/>
        <w:jc w:val="both"/>
        <w:rPr>
          <w:rFonts w:hint="eastAsia" w:ascii="宋体" w:hAnsi="宋体" w:eastAsia="宋体" w:cs="宋体"/>
          <w:b/>
          <w:bCs/>
          <w:color w:val="auto"/>
          <w:sz w:val="24"/>
          <w:szCs w:val="24"/>
          <w:highlight w:val="none"/>
          <w:lang w:eastAsia="zh-CN"/>
        </w:rPr>
      </w:pPr>
      <w:bookmarkStart w:id="259" w:name="_Toc351203649"/>
      <w:r>
        <w:rPr>
          <w:rFonts w:hint="eastAsia" w:ascii="宋体" w:hAnsi="宋体" w:eastAsia="宋体" w:cs="宋体"/>
          <w:b/>
          <w:bCs/>
          <w:color w:val="auto"/>
          <w:sz w:val="24"/>
          <w:szCs w:val="24"/>
          <w:highlight w:val="none"/>
        </w:rPr>
        <w:t>17.不可抗力</w:t>
      </w:r>
      <w:bookmarkEnd w:id="257"/>
      <w:bookmarkEnd w:id="259"/>
    </w:p>
    <w:p>
      <w:pPr>
        <w:pageBreakBefore w:val="0"/>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17.1不可抗力的确认</w:t>
      </w:r>
    </w:p>
    <w:p>
      <w:pPr>
        <w:pageBreakBefore w:val="0"/>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除通用合同条款约定的不可抗力事件之外，视为不可抗力的其他情形：</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因不可抗力解除合同</w:t>
      </w:r>
    </w:p>
    <w:p>
      <w:pPr>
        <w:pageBreakBefore w:val="0"/>
        <w:spacing w:after="0" w:line="336" w:lineRule="auto"/>
        <w:ind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合同解除后，发包人应在商定或确定发包人应支付款项后</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天内完成款项的支付。</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2"/>
        <w:jc w:val="both"/>
        <w:rPr>
          <w:rFonts w:hint="eastAsia" w:ascii="宋体" w:hAnsi="宋体" w:eastAsia="宋体" w:cs="宋体"/>
          <w:b/>
          <w:bCs/>
          <w:color w:val="auto"/>
          <w:sz w:val="24"/>
          <w:szCs w:val="24"/>
          <w:highlight w:val="none"/>
        </w:rPr>
      </w:pPr>
      <w:bookmarkStart w:id="260" w:name="_Toc351203650"/>
      <w:r>
        <w:rPr>
          <w:rFonts w:hint="eastAsia" w:ascii="宋体" w:hAnsi="宋体" w:eastAsia="宋体" w:cs="宋体"/>
          <w:b/>
          <w:bCs/>
          <w:color w:val="auto"/>
          <w:sz w:val="24"/>
          <w:szCs w:val="24"/>
          <w:highlight w:val="none"/>
        </w:rPr>
        <w:t>18.保险</w:t>
      </w:r>
      <w:bookmarkEnd w:id="258"/>
      <w:bookmarkEnd w:id="260"/>
    </w:p>
    <w:p>
      <w:pPr>
        <w:pageBreakBefore w:val="0"/>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18.1工程保险</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关于工程保险的特别约定：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承包人应为其施工现场的全部人员办理意外伤害保险并支付保险费，包括其员工及为履行合同聘请的第三方的人员 </w:t>
      </w:r>
      <w:r>
        <w:rPr>
          <w:rFonts w:hint="eastAsia" w:ascii="宋体" w:hAnsi="宋体" w:eastAsia="宋体" w:cs="宋体"/>
          <w:color w:val="auto"/>
          <w:sz w:val="24"/>
          <w:szCs w:val="24"/>
          <w:highlight w:val="none"/>
        </w:rPr>
        <w:t>。</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其他保险</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关于其他保险的约定：</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pPr>
        <w:pageBreakBefore w:val="0"/>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承包人是否应为其施工设备等办理财产保险：</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pPr>
        <w:pageBreakBefore w:val="0"/>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通知义务</w:t>
      </w:r>
    </w:p>
    <w:p>
      <w:pPr>
        <w:pageBreakBefore w:val="0"/>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关于变更保险合同时的通知义务的约定：</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bookmarkEnd w:id="234"/>
      <w:bookmarkEnd w:id="235"/>
      <w:bookmarkEnd w:id="236"/>
      <w:bookmarkEnd w:id="237"/>
      <w:bookmarkEnd w:id="238"/>
      <w:bookmarkEnd w:id="239"/>
      <w:bookmarkEnd w:id="240"/>
      <w:bookmarkEnd w:id="241"/>
      <w:bookmarkEnd w:id="242"/>
      <w:bookmarkEnd w:id="243"/>
      <w:bookmarkEnd w:id="244"/>
      <w:bookmarkEnd w:id="245"/>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2"/>
        <w:jc w:val="both"/>
        <w:rPr>
          <w:rFonts w:hint="eastAsia" w:ascii="宋体" w:hAnsi="宋体" w:eastAsia="宋体" w:cs="宋体"/>
          <w:b/>
          <w:bCs/>
          <w:color w:val="auto"/>
          <w:sz w:val="24"/>
          <w:szCs w:val="24"/>
          <w:highlight w:val="none"/>
        </w:rPr>
      </w:pPr>
      <w:bookmarkStart w:id="261" w:name="_Toc351203651"/>
      <w:r>
        <w:rPr>
          <w:rFonts w:hint="eastAsia" w:ascii="宋体" w:hAnsi="宋体" w:eastAsia="宋体" w:cs="宋体"/>
          <w:b/>
          <w:bCs/>
          <w:color w:val="auto"/>
          <w:sz w:val="24"/>
          <w:szCs w:val="24"/>
          <w:highlight w:val="none"/>
        </w:rPr>
        <w:t>20.争议解决</w:t>
      </w:r>
      <w:bookmarkEnd w:id="246"/>
      <w:bookmarkEnd w:id="247"/>
      <w:bookmarkEnd w:id="261"/>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争</w:t>
      </w:r>
      <w:bookmarkEnd w:id="248"/>
      <w:r>
        <w:rPr>
          <w:rFonts w:hint="eastAsia" w:ascii="宋体" w:hAnsi="宋体" w:eastAsia="宋体" w:cs="宋体"/>
          <w:color w:val="auto"/>
          <w:sz w:val="24"/>
          <w:szCs w:val="24"/>
          <w:highlight w:val="none"/>
        </w:rPr>
        <w:t>议评审</w:t>
      </w:r>
    </w:p>
    <w:p>
      <w:pPr>
        <w:pageBreakBefore w:val="0"/>
        <w:spacing w:after="0" w:line="336" w:lineRule="auto"/>
        <w:ind w:left="0" w:right="0" w:firstLine="480"/>
        <w:jc w:val="lef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合同当事人是否同意将工程争议提交争议评审小组决定：</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.1争议评审小组的确定</w:t>
      </w:r>
    </w:p>
    <w:p>
      <w:pPr>
        <w:pageBreakBefore w:val="0"/>
        <w:spacing w:after="0" w:line="336" w:lineRule="auto"/>
        <w:ind w:left="0" w:right="0"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争议评审小组成员的确定：</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选定争议评审员的期限：</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争议评审小组成员的报酬承担方式：</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其他事项的约定：</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.2争议评审小组的决定</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合同当事人关于本项的约定：</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仲裁或诉讼</w:t>
      </w:r>
      <w:bookmarkEnd w:id="249"/>
    </w:p>
    <w:p>
      <w:pPr>
        <w:pageBreakBefore w:val="0"/>
        <w:spacing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因合同及合同有关事项发生的争议，按下列第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种方式解决：</w:t>
      </w:r>
    </w:p>
    <w:p>
      <w:pPr>
        <w:pageBreakBefore w:val="0"/>
        <w:spacing w:after="0" w:line="336" w:lineRule="auto"/>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（1）向仲裁委员会申请仲裁；</w:t>
      </w:r>
    </w:p>
    <w:p>
      <w:pPr>
        <w:pageBreakBefore w:val="0"/>
        <w:spacing w:after="0" w:line="336" w:lineRule="auto"/>
        <w:ind w:left="0" w:right="0"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工程所在地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人民法院起诉。</w:t>
      </w:r>
      <w:bookmarkEnd w:id="250"/>
      <w:bookmarkEnd w:id="251"/>
      <w:bookmarkEnd w:id="252"/>
      <w:bookmarkEnd w:id="253"/>
      <w:bookmarkEnd w:id="254"/>
      <w:bookmarkEnd w:id="255"/>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36" w:lineRule="auto"/>
        <w:ind w:left="0" w:right="0" w:firstLine="482"/>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.补充条款：</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lang w:val="en-US" w:eastAsia="zh-CN"/>
        </w:rPr>
        <w:t>1</w:t>
      </w: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rPr>
        <w:t>不在施工范围内的各种原有设施设备及建（构）筑物。如因施工造成损坏，由</w:t>
      </w:r>
      <w:r>
        <w:rPr>
          <w:rFonts w:hint="eastAsia" w:ascii="宋体" w:hAnsi="宋体" w:eastAsia="宋体" w:cs="宋体"/>
          <w:b w:val="0"/>
          <w:bCs/>
          <w:color w:val="auto"/>
          <w:sz w:val="24"/>
          <w:szCs w:val="24"/>
          <w:highlight w:val="none"/>
          <w:u w:val="single"/>
          <w:lang w:val="en-US" w:eastAsia="zh-CN"/>
        </w:rPr>
        <w:t>承包人</w:t>
      </w:r>
      <w:r>
        <w:rPr>
          <w:rFonts w:hint="eastAsia" w:ascii="宋体" w:hAnsi="宋体" w:eastAsia="宋体" w:cs="宋体"/>
          <w:b w:val="0"/>
          <w:bCs/>
          <w:color w:val="auto"/>
          <w:sz w:val="24"/>
          <w:szCs w:val="24"/>
          <w:highlight w:val="none"/>
          <w:u w:val="single"/>
        </w:rPr>
        <w:t>负责修复。</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auto"/>
          <w:sz w:val="24"/>
          <w:szCs w:val="24"/>
          <w:highlight w:val="none"/>
          <w:u w:val="single"/>
          <w:lang w:eastAsia="zh-CN"/>
        </w:rPr>
      </w:pP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lang w:val="en-US" w:eastAsia="zh-CN"/>
        </w:rPr>
        <w:t>2</w:t>
      </w: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lang w:val="en-US" w:eastAsia="zh-CN"/>
        </w:rPr>
        <w:t>承包人</w:t>
      </w:r>
      <w:r>
        <w:rPr>
          <w:rFonts w:hint="eastAsia" w:ascii="宋体" w:hAnsi="宋体" w:eastAsia="宋体" w:cs="宋体"/>
          <w:b w:val="0"/>
          <w:bCs/>
          <w:color w:val="auto"/>
          <w:sz w:val="24"/>
          <w:szCs w:val="24"/>
          <w:highlight w:val="none"/>
          <w:u w:val="single"/>
          <w:lang w:eastAsia="zh-CN"/>
        </w:rPr>
        <w:t>应实行农民工劳动用工实名制管理，与招用的农民工书面约定或者通过依法制定的规章制度规定工资支付标准、支付时间、支付方式等内容；</w:t>
      </w:r>
      <w:r>
        <w:rPr>
          <w:rFonts w:hint="eastAsia" w:ascii="宋体" w:hAnsi="宋体" w:eastAsia="宋体" w:cs="宋体"/>
          <w:b w:val="0"/>
          <w:bCs/>
          <w:color w:val="auto"/>
          <w:sz w:val="24"/>
          <w:szCs w:val="24"/>
          <w:highlight w:val="none"/>
          <w:u w:val="single"/>
          <w:lang w:val="en-US" w:eastAsia="zh-CN"/>
        </w:rPr>
        <w:t>承包人</w:t>
      </w:r>
      <w:r>
        <w:rPr>
          <w:rFonts w:hint="eastAsia" w:ascii="宋体" w:hAnsi="宋体" w:eastAsia="宋体" w:cs="宋体"/>
          <w:b w:val="0"/>
          <w:bCs/>
          <w:color w:val="auto"/>
          <w:sz w:val="24"/>
          <w:szCs w:val="24"/>
          <w:highlight w:val="none"/>
          <w:u w:val="single"/>
          <w:lang w:eastAsia="zh-CN"/>
        </w:rPr>
        <w:t>应当按照有关规定开设农民工工资专用账户，专项用于支付该项目农民工工资，工程完工未拖欠农民工工资的，</w:t>
      </w:r>
      <w:r>
        <w:rPr>
          <w:rFonts w:hint="eastAsia" w:ascii="宋体" w:hAnsi="宋体" w:eastAsia="宋体" w:cs="宋体"/>
          <w:b w:val="0"/>
          <w:bCs/>
          <w:color w:val="auto"/>
          <w:sz w:val="24"/>
          <w:szCs w:val="24"/>
          <w:highlight w:val="none"/>
          <w:u w:val="single"/>
          <w:lang w:val="en-US" w:eastAsia="zh-CN"/>
        </w:rPr>
        <w:t>承包人</w:t>
      </w:r>
      <w:r>
        <w:rPr>
          <w:rFonts w:hint="eastAsia" w:ascii="宋体" w:hAnsi="宋体" w:eastAsia="宋体" w:cs="宋体"/>
          <w:b w:val="0"/>
          <w:bCs/>
          <w:color w:val="auto"/>
          <w:sz w:val="24"/>
          <w:szCs w:val="24"/>
          <w:highlight w:val="none"/>
          <w:u w:val="single"/>
          <w:lang w:eastAsia="zh-CN"/>
        </w:rPr>
        <w:t>公示30日后，方可申请办理注销手续；</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auto"/>
          <w:sz w:val="24"/>
          <w:szCs w:val="24"/>
          <w:highlight w:val="none"/>
          <w:u w:val="single"/>
          <w:lang w:eastAsia="zh-CN"/>
        </w:rPr>
      </w:pPr>
      <w:r>
        <w:rPr>
          <w:rFonts w:hint="eastAsia" w:ascii="宋体" w:hAnsi="宋体" w:eastAsia="宋体" w:cs="宋体"/>
          <w:b w:val="0"/>
          <w:bCs/>
          <w:color w:val="auto"/>
          <w:sz w:val="24"/>
          <w:szCs w:val="24"/>
          <w:highlight w:val="none"/>
          <w:u w:val="single"/>
          <w:lang w:eastAsia="zh-CN"/>
        </w:rPr>
        <w:t>在</w:t>
      </w:r>
      <w:r>
        <w:rPr>
          <w:rFonts w:hint="eastAsia" w:ascii="宋体" w:hAnsi="宋体" w:eastAsia="宋体" w:cs="宋体"/>
          <w:b w:val="0"/>
          <w:bCs/>
          <w:color w:val="auto"/>
          <w:sz w:val="24"/>
          <w:szCs w:val="24"/>
          <w:highlight w:val="none"/>
          <w:u w:val="single"/>
          <w:lang w:val="en-US" w:eastAsia="zh-CN"/>
        </w:rPr>
        <w:t>发包人</w:t>
      </w:r>
      <w:r>
        <w:rPr>
          <w:rFonts w:hint="eastAsia" w:ascii="宋体" w:hAnsi="宋体" w:eastAsia="宋体" w:cs="宋体"/>
          <w:b w:val="0"/>
          <w:bCs/>
          <w:color w:val="auto"/>
          <w:sz w:val="24"/>
          <w:szCs w:val="24"/>
          <w:highlight w:val="none"/>
          <w:u w:val="single"/>
          <w:lang w:eastAsia="zh-CN"/>
        </w:rPr>
        <w:t>已按约定足额支付工程款后，因</w:t>
      </w:r>
      <w:r>
        <w:rPr>
          <w:rFonts w:hint="eastAsia" w:ascii="宋体" w:hAnsi="宋体" w:eastAsia="宋体" w:cs="宋体"/>
          <w:b w:val="0"/>
          <w:bCs/>
          <w:color w:val="auto"/>
          <w:sz w:val="24"/>
          <w:szCs w:val="24"/>
          <w:highlight w:val="none"/>
          <w:u w:val="single"/>
          <w:lang w:val="en-US" w:eastAsia="zh-CN"/>
        </w:rPr>
        <w:t>承包人</w:t>
      </w:r>
      <w:r>
        <w:rPr>
          <w:rFonts w:hint="eastAsia" w:ascii="宋体" w:hAnsi="宋体" w:eastAsia="宋体" w:cs="宋体"/>
          <w:b w:val="0"/>
          <w:bCs/>
          <w:color w:val="auto"/>
          <w:sz w:val="24"/>
          <w:szCs w:val="24"/>
          <w:highlight w:val="none"/>
          <w:u w:val="single"/>
          <w:lang w:eastAsia="zh-CN"/>
        </w:rPr>
        <w:t>的拖欠行为未能支付其相关人员工资时,</w:t>
      </w:r>
      <w:r>
        <w:rPr>
          <w:rFonts w:hint="eastAsia" w:ascii="宋体" w:hAnsi="宋体" w:eastAsia="宋体" w:cs="宋体"/>
          <w:b w:val="0"/>
          <w:bCs/>
          <w:color w:val="auto"/>
          <w:sz w:val="24"/>
          <w:szCs w:val="24"/>
          <w:highlight w:val="none"/>
          <w:u w:val="single"/>
          <w:lang w:val="en-US" w:eastAsia="zh-CN"/>
        </w:rPr>
        <w:t>发包人</w:t>
      </w:r>
      <w:r>
        <w:rPr>
          <w:rFonts w:hint="eastAsia" w:ascii="宋体" w:hAnsi="宋体" w:eastAsia="宋体" w:cs="宋体"/>
          <w:b w:val="0"/>
          <w:bCs/>
          <w:color w:val="auto"/>
          <w:sz w:val="24"/>
          <w:szCs w:val="24"/>
          <w:highlight w:val="none"/>
          <w:u w:val="single"/>
          <w:lang w:eastAsia="zh-CN"/>
        </w:rPr>
        <w:t>又被建设行政主管部门依据《保障农民工工资支付条例》责令先行垫付并实际支付款项之日起，</w:t>
      </w:r>
      <w:r>
        <w:rPr>
          <w:rFonts w:hint="eastAsia" w:ascii="宋体" w:hAnsi="宋体" w:eastAsia="宋体" w:cs="宋体"/>
          <w:b w:val="0"/>
          <w:bCs/>
          <w:color w:val="auto"/>
          <w:sz w:val="24"/>
          <w:szCs w:val="24"/>
          <w:highlight w:val="none"/>
          <w:u w:val="single"/>
          <w:lang w:val="en-US" w:eastAsia="zh-CN"/>
        </w:rPr>
        <w:t>发包人</w:t>
      </w:r>
      <w:r>
        <w:rPr>
          <w:rFonts w:hint="eastAsia" w:ascii="宋体" w:hAnsi="宋体" w:eastAsia="宋体" w:cs="宋体"/>
          <w:b w:val="0"/>
          <w:bCs/>
          <w:color w:val="auto"/>
          <w:sz w:val="24"/>
          <w:szCs w:val="24"/>
          <w:highlight w:val="none"/>
          <w:u w:val="single"/>
          <w:lang w:eastAsia="zh-CN"/>
        </w:rPr>
        <w:t>有权在其任一期剩余工程款或履约保证金中据实予以扣除；若无法扣除或不足以扣除的，</w:t>
      </w:r>
      <w:r>
        <w:rPr>
          <w:rFonts w:hint="eastAsia" w:ascii="宋体" w:hAnsi="宋体" w:eastAsia="宋体" w:cs="宋体"/>
          <w:b w:val="0"/>
          <w:bCs/>
          <w:color w:val="auto"/>
          <w:sz w:val="24"/>
          <w:szCs w:val="24"/>
          <w:highlight w:val="none"/>
          <w:u w:val="single"/>
          <w:lang w:val="en-US" w:eastAsia="zh-CN"/>
        </w:rPr>
        <w:t>承包人</w:t>
      </w:r>
      <w:r>
        <w:rPr>
          <w:rFonts w:hint="eastAsia" w:ascii="宋体" w:hAnsi="宋体" w:eastAsia="宋体" w:cs="宋体"/>
          <w:b w:val="0"/>
          <w:bCs/>
          <w:color w:val="auto"/>
          <w:sz w:val="24"/>
          <w:szCs w:val="24"/>
          <w:highlight w:val="none"/>
          <w:u w:val="single"/>
          <w:lang w:eastAsia="zh-CN"/>
        </w:rPr>
        <w:t>应在</w:t>
      </w:r>
      <w:r>
        <w:rPr>
          <w:rFonts w:hint="eastAsia" w:ascii="宋体" w:hAnsi="宋体" w:eastAsia="宋体" w:cs="宋体"/>
          <w:b w:val="0"/>
          <w:bCs/>
          <w:color w:val="auto"/>
          <w:sz w:val="24"/>
          <w:szCs w:val="24"/>
          <w:highlight w:val="none"/>
          <w:u w:val="single"/>
          <w:lang w:val="en-US" w:eastAsia="zh-CN"/>
        </w:rPr>
        <w:t>发包人</w:t>
      </w:r>
      <w:r>
        <w:rPr>
          <w:rFonts w:hint="eastAsia" w:ascii="宋体" w:hAnsi="宋体" w:eastAsia="宋体" w:cs="宋体"/>
          <w:b w:val="0"/>
          <w:bCs/>
          <w:color w:val="auto"/>
          <w:sz w:val="24"/>
          <w:szCs w:val="24"/>
          <w:highlight w:val="none"/>
          <w:u w:val="single"/>
          <w:lang w:eastAsia="zh-CN"/>
        </w:rPr>
        <w:t>实际垫付之日起—日内据实予以返还。否则，</w:t>
      </w:r>
      <w:r>
        <w:rPr>
          <w:rFonts w:hint="eastAsia" w:ascii="宋体" w:hAnsi="宋体" w:eastAsia="宋体" w:cs="宋体"/>
          <w:b w:val="0"/>
          <w:bCs/>
          <w:color w:val="auto"/>
          <w:sz w:val="24"/>
          <w:szCs w:val="24"/>
          <w:highlight w:val="none"/>
          <w:u w:val="single"/>
          <w:lang w:val="en-US" w:eastAsia="zh-CN"/>
        </w:rPr>
        <w:t>发包人</w:t>
      </w:r>
      <w:r>
        <w:rPr>
          <w:rFonts w:hint="eastAsia" w:ascii="宋体" w:hAnsi="宋体" w:eastAsia="宋体" w:cs="宋体"/>
          <w:b w:val="0"/>
          <w:bCs/>
          <w:color w:val="auto"/>
          <w:sz w:val="24"/>
          <w:szCs w:val="24"/>
          <w:highlight w:val="none"/>
          <w:u w:val="single"/>
          <w:lang w:eastAsia="zh-CN"/>
        </w:rPr>
        <w:t>有权依法追偿。</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lang w:eastAsia="zh-CN"/>
        </w:rPr>
        <w:t>若发生上述垫付行为，无论</w:t>
      </w:r>
      <w:r>
        <w:rPr>
          <w:rFonts w:hint="eastAsia" w:ascii="宋体" w:hAnsi="宋体" w:eastAsia="宋体" w:cs="宋体"/>
          <w:b w:val="0"/>
          <w:bCs/>
          <w:color w:val="auto"/>
          <w:sz w:val="24"/>
          <w:szCs w:val="24"/>
          <w:highlight w:val="none"/>
          <w:u w:val="single"/>
          <w:lang w:val="en-US" w:eastAsia="zh-CN"/>
        </w:rPr>
        <w:t>发包人</w:t>
      </w:r>
      <w:r>
        <w:rPr>
          <w:rFonts w:hint="eastAsia" w:ascii="宋体" w:hAnsi="宋体" w:eastAsia="宋体" w:cs="宋体"/>
          <w:b w:val="0"/>
          <w:bCs/>
          <w:color w:val="auto"/>
          <w:sz w:val="24"/>
          <w:szCs w:val="24"/>
          <w:highlight w:val="none"/>
          <w:u w:val="single"/>
          <w:lang w:eastAsia="zh-CN"/>
        </w:rPr>
        <w:t>从剩余工程款或履约保证金中扣除或依法追偿的,</w:t>
      </w:r>
      <w:r>
        <w:rPr>
          <w:rFonts w:hint="eastAsia" w:ascii="宋体" w:hAnsi="宋体" w:eastAsia="宋体" w:cs="宋体"/>
          <w:b w:val="0"/>
          <w:bCs/>
          <w:color w:val="auto"/>
          <w:sz w:val="24"/>
          <w:szCs w:val="24"/>
          <w:highlight w:val="none"/>
          <w:u w:val="single"/>
          <w:lang w:val="en-US" w:eastAsia="zh-CN"/>
        </w:rPr>
        <w:t>承包人</w:t>
      </w:r>
      <w:r>
        <w:rPr>
          <w:rFonts w:hint="eastAsia" w:ascii="宋体" w:hAnsi="宋体" w:eastAsia="宋体" w:cs="宋体"/>
          <w:b w:val="0"/>
          <w:bCs/>
          <w:color w:val="auto"/>
          <w:sz w:val="24"/>
          <w:szCs w:val="24"/>
          <w:highlight w:val="none"/>
          <w:u w:val="single"/>
          <w:lang w:eastAsia="zh-CN"/>
        </w:rPr>
        <w:t>均自愿按合同总金额的</w:t>
      </w:r>
      <w:r>
        <w:rPr>
          <w:rFonts w:hint="eastAsia" w:ascii="宋体" w:hAnsi="宋体" w:eastAsia="宋体" w:cs="宋体"/>
          <w:b w:val="0"/>
          <w:bCs/>
          <w:color w:val="auto"/>
          <w:sz w:val="24"/>
          <w:szCs w:val="24"/>
          <w:highlight w:val="none"/>
          <w:u w:val="single"/>
          <w:lang w:val="en-US" w:eastAsia="zh-CN"/>
        </w:rPr>
        <w:t>30%向发包人支付违约金。</w:t>
      </w:r>
      <w:r>
        <w:rPr>
          <w:rFonts w:hint="eastAsia" w:ascii="宋体" w:hAnsi="宋体" w:eastAsia="宋体" w:cs="宋体"/>
          <w:b w:val="0"/>
          <w:bCs/>
          <w:color w:val="auto"/>
          <w:sz w:val="24"/>
          <w:szCs w:val="24"/>
          <w:highlight w:val="none"/>
          <w:u w:val="single"/>
        </w:rPr>
        <w:t>对施工企业予以不良行为记录，并在市建设局网上公布。</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lang w:val="en-US" w:eastAsia="zh-CN"/>
        </w:rPr>
        <w:t>3</w:t>
      </w: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rPr>
        <w:t>承包人人要对周围环境及各种影响施工的不利因素有充分了解和应对准备，施工期间要自行化解因施工对周围楼房产生影响所造成的矛盾，并做好群众解释工作。因以上矛盾造成的误工，工期不予顺延。</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rPr>
        <w:t>4）承包方自行办理环保、交管、市政、渣土等部门的相关手续，费用按相关规定执行。</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rPr>
        <w:t>5）承包方</w:t>
      </w:r>
      <w:r>
        <w:rPr>
          <w:rFonts w:hint="eastAsia" w:ascii="宋体" w:hAnsi="宋体" w:eastAsia="宋体" w:cs="宋体"/>
          <w:b w:val="0"/>
          <w:bCs/>
          <w:color w:val="auto"/>
          <w:sz w:val="24"/>
          <w:szCs w:val="24"/>
          <w:highlight w:val="none"/>
          <w:u w:val="single"/>
          <w:lang w:val="en-US" w:eastAsia="zh-CN"/>
        </w:rPr>
        <w:t>采购的工程材料和设备</w:t>
      </w:r>
      <w:r>
        <w:rPr>
          <w:rFonts w:hint="eastAsia" w:ascii="宋体" w:hAnsi="宋体" w:eastAsia="宋体" w:cs="宋体"/>
          <w:b w:val="0"/>
          <w:bCs/>
          <w:color w:val="auto"/>
          <w:sz w:val="24"/>
          <w:szCs w:val="24"/>
          <w:highlight w:val="none"/>
          <w:u w:val="single"/>
        </w:rPr>
        <w:t>，采购前报发包方确认，进场时须提供产品合格证、质量保证书、检测报告等材料进场报验相关资料，验收合格后方可安装。检测或验收不合格，货物无条件退场，由此造成的损失自负。</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rPr>
        <w:t>6）承包人所提供的一切施工设备、临时工程和材料已经携入现场就应当认为是专供本工程的施工和建设之用，未经工程师的书面同意（不得无理拒绝），承包人不得将其或其中的任何一部分移走（为了将其从现场的某部分移至另一部分者除外）。设备的撤离：在本工程竣工时，承包人应把他所提供的留在现场的所有上述施工设备和临时工程以及任何未使用过的材料撤离现场。发包人在任何时候对上述任何施工设备、临时工程或材料所受的损失或伤害概不负责。</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lang w:val="en-US" w:eastAsia="zh-CN"/>
        </w:rPr>
        <w:t>7</w:t>
      </w:r>
      <w:r>
        <w:rPr>
          <w:rFonts w:hint="eastAsia" w:ascii="宋体" w:hAnsi="宋体" w:eastAsia="宋体" w:cs="宋体"/>
          <w:b w:val="0"/>
          <w:bCs/>
          <w:color w:val="auto"/>
          <w:sz w:val="24"/>
          <w:szCs w:val="24"/>
          <w:highlight w:val="none"/>
          <w:u w:val="single"/>
        </w:rPr>
        <w:t>）承包人不得虚报工程量和冒算，工程审减额若超过送审额的7%以上（不含7%），超出部分按审减额5%给予处罚。工程结算审计费用皆由承包人承担。</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lang w:val="en-US" w:eastAsia="zh-CN"/>
        </w:rPr>
        <w:t>（8</w:t>
      </w:r>
      <w:r>
        <w:rPr>
          <w:rFonts w:hint="eastAsia" w:ascii="宋体" w:hAnsi="宋体" w:eastAsia="宋体" w:cs="宋体"/>
          <w:b w:val="0"/>
          <w:bCs/>
          <w:color w:val="auto"/>
          <w:sz w:val="24"/>
          <w:szCs w:val="24"/>
          <w:highlight w:val="none"/>
          <w:u w:val="single"/>
        </w:rPr>
        <w:t>）承包人不按发包人要求参加施工期间各种会议的，每人次扣款500元，迟到的每人次扣款300元。</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lang w:val="en-US" w:eastAsia="zh-CN"/>
        </w:rPr>
        <w:t>（9）</w:t>
      </w:r>
      <w:r>
        <w:rPr>
          <w:rFonts w:hint="eastAsia" w:ascii="宋体" w:hAnsi="宋体" w:eastAsia="宋体" w:cs="宋体"/>
          <w:b w:val="0"/>
          <w:bCs/>
          <w:color w:val="auto"/>
          <w:sz w:val="24"/>
          <w:szCs w:val="24"/>
          <w:highlight w:val="none"/>
          <w:u w:val="single"/>
        </w:rPr>
        <w:t>廉洁管理条款：承包人不得对发包人的工作人员和监理人员有请吃、送礼行为。如有违反按有关法律规定送交有关机关处理外，发包人将按下列标准扣减中标人应得的工程款。工程款竣工结算后被发现的，发包人有权向承包人按下列标准的金额索赔，这种索赔将是无时限的。</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rPr>
        <w:t>(a)宴请或以其它方式提供消费的，按5,000元/次 。</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rPr>
        <w:t>(b)所送礼品、现金、有价证券等，价值在5,000元以下的，按50,000元/次 。</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rPr>
        <w:t>(c)所送礼品、现金、有价证券等，价值在5,000元以上的，按标段总造价的5%/次 。</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lang w:val="en-US" w:eastAsia="zh-CN"/>
        </w:rPr>
        <w:t>（10）</w:t>
      </w:r>
      <w:r>
        <w:rPr>
          <w:rFonts w:hint="eastAsia" w:ascii="宋体" w:hAnsi="宋体" w:eastAsia="宋体" w:cs="宋体"/>
          <w:b w:val="0"/>
          <w:bCs/>
          <w:color w:val="auto"/>
          <w:sz w:val="24"/>
          <w:szCs w:val="24"/>
          <w:highlight w:val="none"/>
          <w:u w:val="single"/>
        </w:rPr>
        <w:t>农忙季节不得停工。</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lang w:val="en-US" w:eastAsia="zh-CN"/>
        </w:rPr>
        <w:t>（11）</w:t>
      </w:r>
      <w:r>
        <w:rPr>
          <w:rFonts w:hint="eastAsia" w:ascii="宋体" w:hAnsi="宋体" w:eastAsia="宋体" w:cs="宋体"/>
          <w:b w:val="0"/>
          <w:bCs/>
          <w:color w:val="auto"/>
          <w:sz w:val="24"/>
          <w:szCs w:val="24"/>
          <w:highlight w:val="none"/>
          <w:u w:val="single"/>
        </w:rPr>
        <w:t>合同备案时，社会保障费由承包人缴付。</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lang w:val="en-US" w:eastAsia="zh-CN"/>
        </w:rPr>
        <w:t>（12）</w:t>
      </w:r>
      <w:r>
        <w:rPr>
          <w:rFonts w:hint="eastAsia" w:ascii="宋体" w:hAnsi="宋体" w:eastAsia="宋体" w:cs="宋体"/>
          <w:b w:val="0"/>
          <w:bCs/>
          <w:color w:val="auto"/>
          <w:sz w:val="24"/>
          <w:szCs w:val="24"/>
          <w:highlight w:val="none"/>
          <w:u w:val="single"/>
        </w:rPr>
        <w:t>施工过程中，承包人无条件配合发包人处理周围相关事宜。</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lang w:val="en-US" w:eastAsia="zh-CN"/>
        </w:rPr>
        <w:t>13</w:t>
      </w: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rPr>
        <w:t>承包人必须遵守发包人现场的管理制度和规定，服从发包人及监理人的管理和监督检查。施工过程中，承包人如违反现场管理制度和规定，发包人有权对承包人进行经济处罚，若未按发包人限期内缴纳，发包人有权暂缓支付工程款直至缴纳罚金。</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lang w:val="en-US" w:eastAsia="zh-CN"/>
        </w:rPr>
        <w:t>14</w:t>
      </w: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rPr>
        <w:t>对放线验线、关键工序、主要原材料，发包人有权请权威机构或部门进行复核或检验，复核或检验结果合格则发包人承担相应费用；如不合格则承包人承担相应费用及造成的一切损失。</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lang w:val="en-US" w:eastAsia="zh-CN"/>
        </w:rPr>
        <w:t>15</w:t>
      </w: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rPr>
        <w:t>如承包人未按设计图纸、国家规范及合同要求施工，发包人可勒令承包人暂停施工，待承包人整改完毕并报经监理人、发包人验收同意后方可复工，由此造成的损失由承包人负责。</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lang w:val="en-US" w:eastAsia="zh-CN"/>
        </w:rPr>
        <w:t>16</w:t>
      </w: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rPr>
        <w:t>如承包人拒绝执行发包人的合理指令，发包人有权另行委托第三方执行指令，并视情节轻重支付发包人1000-5000元/次的违约金，且执行指令的费用由承包人支付；若承包人拒绝支付，则发包人有权从承包人工程款中扣除。如因发包人指令错误造成的损失费用则由发包人承担。</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lang w:val="en-US" w:eastAsia="zh-CN"/>
        </w:rPr>
        <w:t>17</w:t>
      </w: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rPr>
        <w:t>承包人收到设计施工图后，应在10天内做出详细的施工组织设计，报总监及发包人审批；施工组织设计应包括施工进度计划、总包的范围及交叉施工部署、施工方案、工艺与措施、设备材料进场计划、劳动力计划、安全文明施工措施、施工机械设备配置以及施工现场优化布置等内容。总监及发包人在收到施工组织设计后10日内进行审核批准或提出修改意见；承包人不按时送审符合要求的施工组织设计，造成总监及发包人无法判断工程施工顺利与否，需向发包人支付1000-5000元的违约金，发包人可暂缓支付相应部分的工程进度款，直至符合要求，责任由承包人承担。发包人对施工组织设计方案的确认是对其可行性的确认，并不是对所涉及费用的确认；施工组织设计方案属承包人自身的施工措施，所增加的人工、材料、机械等费用均由承包人自行承担。</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lang w:val="en-US" w:eastAsia="zh-CN"/>
        </w:rPr>
        <w:t>18</w:t>
      </w: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rPr>
        <w:t>施工期间，承包人不得辱骂、殴打、威胁发包人、监理人及跟踪审计人员，如若发生将支付发包人1万元/次的违约金，停止支付工程款，并追究其法律责任，直至承包人向发包人保证此类事件不再发生。</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lang w:val="en-US" w:eastAsia="zh-CN"/>
        </w:rPr>
        <w:t>19</w:t>
      </w: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rPr>
        <w:t>承包人在招投标时已详细勘察了施工现场及周围的环境状况，掌握了所有与工程施工有关或对施工有影响的情况；发包人将施工场地移交给承包人后，承包人有责任和义务保护自身合法权益，应对施工现场发生的一切负责；施工过程中若发生非政府原因（如其他势力的干扰等）或非发包人原因而影响施工导致工期拖延和财产损失的，发包人概不负责，由承包人自行解决。</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lang w:val="en-US" w:eastAsia="zh-CN"/>
        </w:rPr>
        <w:t>20</w:t>
      </w: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rPr>
        <w:t>保修期内因承包人原因造成的工程质量问题给发包人、业主或他人造成财产损失和人身伤害的，由承包人承担一切责任。</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lang w:val="en-US" w:eastAsia="zh-CN"/>
        </w:rPr>
        <w:t>21</w:t>
      </w: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rPr>
        <w:t>监理人及发包人有权对承包人的违章现象与安全文明情况进行检查并提出整改意见，承包人接到通知后在规定时间内未采取相应措施进行整改的，发包人将按照现场管理规定进行处罚。</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lang w:val="en-US" w:eastAsia="zh-CN"/>
        </w:rPr>
        <w:t>22</w:t>
      </w: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rPr>
        <w:t>本合同履行期间，承包人与第三方产生的债权、债务均由承包人自行解决，与发包人无关。</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lang w:val="en-US" w:eastAsia="zh-CN"/>
        </w:rPr>
        <w:t>23</w:t>
      </w: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rPr>
        <w:t>开工前承包方对施工图纸认真核查，积极配合发包方组织的施工图纸交底及会审工作，指出图纸上任何不符施工常规、惯例或规范之处，以及设计图纸中错、漏、碰问题，并做好各系统管线的综合平衡工作。</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lang w:val="en-US" w:eastAsia="zh-CN"/>
        </w:rPr>
        <w:t>24</w:t>
      </w: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rPr>
        <w:t>工地实行周报制度，周报在每周例会前一天报送发包方和监理，周报包括本周计划和上周完成工作、未完成情况说明（包括拟采取措施、最终完成时间）。参加各类施工协调、配合会，由于工地交叉施工引起的问题，有义务进行配合协商解决，服从发包方及监理现场总协调作出的决定。</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lang w:val="en-US" w:eastAsia="zh-CN"/>
        </w:rPr>
        <w:t>25</w:t>
      </w: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rPr>
        <w:t>在施工过程中必须配合发包方工期要求并按发包方指令时限完成。</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lang w:val="en-US" w:eastAsia="zh-CN"/>
        </w:rPr>
        <w:t>26</w:t>
      </w: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rPr>
        <w:t>遵守政府主管部门对施工场地交通、施工噪音以及和安全生产有关的管理规定，按规定办理有关手续，并以书面形式知会发包方、监理，严格遵守有关环境保护法律法规，并严格按照环境检查审核要求，加强施工现场的环境管理，在施工过程中严格落实粉尘、废水等污染防治措施及生态保护、水土保持措施。并且由此发生的费用及罚款由承包方负责。施工过程所需一切证件（包括夜间施工证）由承包方及时自行办理。如发生扰民和民扰自行妥善处理。</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lang w:val="en-US" w:eastAsia="zh-CN"/>
        </w:rPr>
        <w:t>27</w:t>
      </w: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rPr>
        <w:t>本工程工期紧、任务重，承包人务必充分考虑施工人员的组织工作，并在施工组织设计中体现出确保人员及工期的措施方案。中标后不得以市场工人短缺、赶工等借口拖延工期或申请追加合同金额，否则视为中标人违约。</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lang w:val="en-US" w:eastAsia="zh-CN"/>
        </w:rPr>
        <w:t>28</w:t>
      </w: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rPr>
        <w:t>地方关系、道路施工涉及的交通协调费</w:t>
      </w:r>
      <w:r>
        <w:rPr>
          <w:rFonts w:hint="eastAsia" w:ascii="宋体" w:hAnsi="宋体" w:cs="宋体"/>
          <w:b w:val="0"/>
          <w:bCs/>
          <w:color w:val="auto"/>
          <w:sz w:val="24"/>
          <w:szCs w:val="24"/>
          <w:highlight w:val="none"/>
          <w:u w:val="single"/>
          <w:lang w:val="en-US" w:eastAsia="zh-CN"/>
        </w:rPr>
        <w:t>供应商</w:t>
      </w:r>
      <w:r>
        <w:rPr>
          <w:rFonts w:hint="eastAsia" w:ascii="宋体" w:hAnsi="宋体" w:eastAsia="宋体" w:cs="宋体"/>
          <w:b w:val="0"/>
          <w:bCs/>
          <w:color w:val="auto"/>
          <w:sz w:val="24"/>
          <w:szCs w:val="24"/>
          <w:highlight w:val="none"/>
          <w:u w:val="single"/>
        </w:rPr>
        <w:t>自行考虑，就此项招标人不支付任何费用。</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lang w:val="en-US" w:eastAsia="zh-CN"/>
        </w:rPr>
        <w:t>29</w:t>
      </w: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rPr>
        <w:t>中标后至施工前间隔期对可能对中标人产生的影响请</w:t>
      </w:r>
      <w:r>
        <w:rPr>
          <w:rFonts w:hint="eastAsia" w:ascii="宋体" w:hAnsi="宋体" w:cs="宋体"/>
          <w:b w:val="0"/>
          <w:bCs/>
          <w:color w:val="auto"/>
          <w:sz w:val="24"/>
          <w:szCs w:val="24"/>
          <w:highlight w:val="none"/>
          <w:u w:val="single"/>
          <w:lang w:val="en-US" w:eastAsia="zh-CN"/>
        </w:rPr>
        <w:t>供应商</w:t>
      </w:r>
      <w:r>
        <w:rPr>
          <w:rFonts w:hint="eastAsia" w:ascii="宋体" w:hAnsi="宋体" w:eastAsia="宋体" w:cs="宋体"/>
          <w:b w:val="0"/>
          <w:bCs/>
          <w:color w:val="auto"/>
          <w:sz w:val="24"/>
          <w:szCs w:val="24"/>
          <w:highlight w:val="none"/>
          <w:u w:val="single"/>
        </w:rPr>
        <w:t>在投标报价时自行考虑。</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lang w:val="en-US" w:eastAsia="zh-CN"/>
        </w:rPr>
        <w:t>30</w:t>
      </w:r>
      <w:r>
        <w:rPr>
          <w:rFonts w:hint="eastAsia" w:ascii="宋体" w:hAnsi="宋体" w:eastAsia="宋体" w:cs="宋体"/>
          <w:b w:val="0"/>
          <w:bCs/>
          <w:color w:val="auto"/>
          <w:sz w:val="24"/>
          <w:szCs w:val="24"/>
          <w:highlight w:val="none"/>
          <w:u w:val="single"/>
          <w:lang w:eastAsia="zh-CN"/>
        </w:rPr>
        <w:t>）</w:t>
      </w:r>
      <w:r>
        <w:rPr>
          <w:rFonts w:hint="eastAsia" w:ascii="宋体" w:hAnsi="宋体" w:cs="宋体"/>
          <w:b w:val="0"/>
          <w:bCs/>
          <w:color w:val="auto"/>
          <w:sz w:val="24"/>
          <w:szCs w:val="24"/>
          <w:highlight w:val="none"/>
          <w:u w:val="single"/>
          <w:lang w:val="en-US" w:eastAsia="zh-CN"/>
        </w:rPr>
        <w:t>供应商</w:t>
      </w:r>
      <w:r>
        <w:rPr>
          <w:rFonts w:hint="eastAsia" w:ascii="宋体" w:hAnsi="宋体" w:eastAsia="宋体" w:cs="宋体"/>
          <w:b w:val="0"/>
          <w:bCs/>
          <w:color w:val="auto"/>
          <w:sz w:val="24"/>
          <w:szCs w:val="24"/>
          <w:highlight w:val="none"/>
          <w:u w:val="single"/>
        </w:rPr>
        <w:t>作为一个有经验的承包商，施工时自行采取措施避免干扰周围居民的生活，杜绝人身安全事故等，如因与周围居民发生冲突，导致工程停工，所有停工损失及其需增加的费用</w:t>
      </w:r>
      <w:r>
        <w:rPr>
          <w:rFonts w:hint="eastAsia" w:ascii="宋体" w:hAnsi="宋体" w:cs="宋体"/>
          <w:b w:val="0"/>
          <w:bCs/>
          <w:color w:val="auto"/>
          <w:sz w:val="24"/>
          <w:szCs w:val="24"/>
          <w:highlight w:val="none"/>
          <w:u w:val="single"/>
          <w:lang w:val="en-US" w:eastAsia="zh-CN"/>
        </w:rPr>
        <w:t>供应商</w:t>
      </w:r>
      <w:r>
        <w:rPr>
          <w:rFonts w:hint="eastAsia" w:ascii="宋体" w:hAnsi="宋体" w:eastAsia="宋体" w:cs="宋体"/>
          <w:b w:val="0"/>
          <w:bCs/>
          <w:color w:val="auto"/>
          <w:sz w:val="24"/>
          <w:szCs w:val="24"/>
          <w:highlight w:val="none"/>
          <w:u w:val="single"/>
        </w:rPr>
        <w:t>应自主考虑在投标报价中，结算时不作调整。</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lang w:val="en-US" w:eastAsia="zh-CN"/>
        </w:rPr>
        <w:t>31</w:t>
      </w:r>
      <w:r>
        <w:rPr>
          <w:rFonts w:hint="eastAsia" w:ascii="宋体" w:hAnsi="宋体" w:eastAsia="宋体" w:cs="宋体"/>
          <w:b w:val="0"/>
          <w:bCs/>
          <w:color w:val="auto"/>
          <w:sz w:val="24"/>
          <w:szCs w:val="24"/>
          <w:highlight w:val="none"/>
          <w:u w:val="single"/>
          <w:lang w:eastAsia="zh-CN"/>
        </w:rPr>
        <w:t>）</w:t>
      </w:r>
      <w:r>
        <w:rPr>
          <w:rFonts w:hint="eastAsia" w:ascii="宋体" w:hAnsi="宋体" w:cs="宋体"/>
          <w:b w:val="0"/>
          <w:bCs/>
          <w:color w:val="auto"/>
          <w:sz w:val="24"/>
          <w:szCs w:val="24"/>
          <w:highlight w:val="none"/>
          <w:u w:val="single"/>
          <w:lang w:val="en-US" w:eastAsia="zh-CN"/>
        </w:rPr>
        <w:t>供应商</w:t>
      </w:r>
      <w:r>
        <w:rPr>
          <w:rFonts w:hint="eastAsia" w:ascii="宋体" w:hAnsi="宋体" w:eastAsia="宋体" w:cs="宋体"/>
          <w:b w:val="0"/>
          <w:bCs/>
          <w:color w:val="auto"/>
          <w:sz w:val="24"/>
          <w:szCs w:val="24"/>
          <w:highlight w:val="none"/>
          <w:u w:val="single"/>
        </w:rPr>
        <w:t>作为一名有经验的承包商，应预见施工中与综合管线等其他专业施工单位发生的配合工作，请</w:t>
      </w:r>
      <w:r>
        <w:rPr>
          <w:rFonts w:hint="eastAsia" w:ascii="宋体" w:hAnsi="宋体" w:cs="宋体"/>
          <w:b w:val="0"/>
          <w:bCs/>
          <w:color w:val="auto"/>
          <w:sz w:val="24"/>
          <w:szCs w:val="24"/>
          <w:highlight w:val="none"/>
          <w:u w:val="single"/>
          <w:lang w:val="en-US" w:eastAsia="zh-CN"/>
        </w:rPr>
        <w:t>供应商</w:t>
      </w:r>
      <w:r>
        <w:rPr>
          <w:rFonts w:hint="eastAsia" w:ascii="宋体" w:hAnsi="宋体" w:eastAsia="宋体" w:cs="宋体"/>
          <w:b w:val="0"/>
          <w:bCs/>
          <w:color w:val="auto"/>
          <w:sz w:val="24"/>
          <w:szCs w:val="24"/>
          <w:highlight w:val="none"/>
          <w:u w:val="single"/>
        </w:rPr>
        <w:t>自主考虑相关配合费用在本工程投标报价中，招标人不再另行支付，今后按工作需要根据招标人指示处理。</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lang w:val="en-US" w:eastAsia="zh-CN"/>
        </w:rPr>
        <w:t>32</w:t>
      </w: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rPr>
        <w:t>因承包人自身原因，对同一分项工程连续验收项目达二次验收不合格,发包人将对承包人给予每次壹万元违约金处罚,直至解除本合同。</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lang w:val="en-US" w:eastAsia="zh-CN"/>
        </w:rPr>
        <w:t>33</w:t>
      </w: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rPr>
        <w:t>对于承包人多次违约，严重影响工程进度和工程质量的，发包方享有单方解除权，解除与承包方的合同，由此产生的所有损失由承包方承担。</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auto"/>
          <w:sz w:val="24"/>
          <w:szCs w:val="24"/>
          <w:highlight w:val="none"/>
          <w:u w:val="single"/>
          <w:lang w:eastAsia="zh-CN"/>
        </w:rPr>
      </w:pP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lang w:val="en-US" w:eastAsia="zh-CN"/>
        </w:rPr>
        <w:t>34</w:t>
      </w:r>
      <w:r>
        <w:rPr>
          <w:rFonts w:hint="eastAsia" w:ascii="宋体" w:hAnsi="宋体" w:eastAsia="宋体" w:cs="宋体"/>
          <w:b w:val="0"/>
          <w:bCs/>
          <w:color w:val="auto"/>
          <w:sz w:val="24"/>
          <w:szCs w:val="24"/>
          <w:highlight w:val="none"/>
          <w:u w:val="single"/>
          <w:lang w:eastAsia="zh-CN"/>
        </w:rPr>
        <w:t>）承包人</w:t>
      </w:r>
      <w:r>
        <w:rPr>
          <w:rFonts w:hint="eastAsia" w:ascii="宋体" w:hAnsi="宋体" w:eastAsia="宋体" w:cs="宋体"/>
          <w:b w:val="0"/>
          <w:bCs/>
          <w:color w:val="auto"/>
          <w:sz w:val="24"/>
          <w:szCs w:val="24"/>
          <w:highlight w:val="none"/>
          <w:u w:val="single"/>
          <w:lang w:val="en-US" w:eastAsia="zh-CN"/>
        </w:rPr>
        <w:t>承诺本工程免费质保期为   年。</w:t>
      </w:r>
      <w:r>
        <w:rPr>
          <w:rFonts w:hint="eastAsia" w:ascii="宋体" w:hAnsi="宋体" w:eastAsia="宋体" w:cs="宋体"/>
          <w:b w:val="0"/>
          <w:bCs/>
          <w:color w:val="auto"/>
          <w:sz w:val="24"/>
          <w:szCs w:val="24"/>
          <w:highlight w:val="none"/>
          <w:u w:val="single"/>
          <w:lang w:eastAsia="zh-CN"/>
        </w:rPr>
        <w:t>在缺陷责任期及保修期内，如未按时到场维修或经过两次（含两次）以上维修，仍未能解决问题或承包人未按要求维修，发包人有权另行委托第三方进行维修，因此而产生的费用将从承包人</w:t>
      </w:r>
      <w:r>
        <w:rPr>
          <w:rFonts w:hint="eastAsia" w:ascii="宋体" w:hAnsi="宋体" w:cs="宋体"/>
          <w:b w:val="0"/>
          <w:bCs/>
          <w:color w:val="auto"/>
          <w:sz w:val="24"/>
          <w:szCs w:val="24"/>
          <w:highlight w:val="none"/>
          <w:u w:val="single"/>
          <w:lang w:val="en-US" w:eastAsia="zh-CN"/>
        </w:rPr>
        <w:t>履约</w:t>
      </w:r>
      <w:r>
        <w:rPr>
          <w:rFonts w:hint="eastAsia" w:ascii="宋体" w:hAnsi="宋体" w:eastAsia="宋体" w:cs="宋体"/>
          <w:b w:val="0"/>
          <w:bCs/>
          <w:color w:val="auto"/>
          <w:sz w:val="24"/>
          <w:szCs w:val="24"/>
          <w:highlight w:val="none"/>
          <w:u w:val="single"/>
          <w:lang w:eastAsia="zh-CN"/>
        </w:rPr>
        <w:t>保证金中双倍扣除，超支部分由承包人承担。缺陷责任期及保修期内因工程质量问题给发包人、业主或他人造成财产损失和人身伤害的，由承包人承担一切责任。</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auto"/>
          <w:sz w:val="24"/>
          <w:szCs w:val="24"/>
          <w:highlight w:val="none"/>
          <w:u w:val="single"/>
          <w:lang w:val="en-US" w:eastAsia="zh-CN" w:bidi="ar-SA"/>
        </w:rPr>
      </w:pPr>
      <w:r>
        <w:rPr>
          <w:rFonts w:hint="eastAsia" w:ascii="宋体" w:hAnsi="宋体" w:eastAsia="宋体" w:cs="宋体"/>
          <w:b w:val="0"/>
          <w:bCs/>
          <w:color w:val="auto"/>
          <w:sz w:val="24"/>
          <w:szCs w:val="24"/>
          <w:highlight w:val="none"/>
          <w:u w:val="single"/>
          <w:lang w:val="en-US" w:eastAsia="zh-CN" w:bidi="ar-SA"/>
        </w:rPr>
        <w:t>（35）甲乙双方签订本合同时登记的地址、联系方式为通知及法律文书（含诉讼文书、传票等）送达地址，如有变更，甲乙双方须在变更前三个工作日内以书面形式通知对方。否则，在变更前已经通知的，如出现无法通知、文书被退回、拒收等情形，则视为有效通 知,由此产生的法律后果均由责任方承担。</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auto"/>
          <w:sz w:val="24"/>
          <w:szCs w:val="24"/>
          <w:highlight w:val="none"/>
          <w:u w:val="single"/>
          <w:lang w:val="en-US" w:eastAsia="zh-CN" w:bidi="ar-SA"/>
        </w:rPr>
      </w:pPr>
      <w:r>
        <w:rPr>
          <w:rFonts w:hint="eastAsia" w:ascii="宋体" w:hAnsi="宋体" w:eastAsia="宋体" w:cs="宋体"/>
          <w:b w:val="0"/>
          <w:bCs/>
          <w:color w:val="auto"/>
          <w:sz w:val="24"/>
          <w:szCs w:val="24"/>
          <w:highlight w:val="none"/>
          <w:u w:val="single"/>
          <w:lang w:val="en-US" w:eastAsia="zh-CN" w:bidi="ar-SA"/>
        </w:rPr>
        <w:t>（36）除本合同另有约定外，承包人存在其他违约行为的，应按签约合同价格的10%向发包人承担违约责任。</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auto"/>
          <w:sz w:val="24"/>
          <w:szCs w:val="24"/>
          <w:highlight w:val="none"/>
          <w:u w:val="single"/>
          <w:lang w:val="en-US" w:eastAsia="zh-CN" w:bidi="ar-SA"/>
        </w:rPr>
      </w:pPr>
      <w:r>
        <w:rPr>
          <w:rFonts w:hint="eastAsia" w:ascii="宋体" w:hAnsi="宋体" w:eastAsia="宋体" w:cs="宋体"/>
          <w:b w:val="0"/>
          <w:bCs/>
          <w:color w:val="auto"/>
          <w:sz w:val="24"/>
          <w:szCs w:val="24"/>
          <w:highlight w:val="none"/>
          <w:u w:val="single"/>
          <w:lang w:val="en-US" w:eastAsia="zh-CN" w:bidi="ar-SA"/>
        </w:rPr>
        <w:t>（37）承包人因违约需支付的违约金或赔偿损失的，发包人有权从任何一期应付款项中予以扣除。</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auto"/>
          <w:sz w:val="24"/>
          <w:szCs w:val="24"/>
          <w:highlight w:val="none"/>
          <w:u w:val="single"/>
          <w:lang w:val="en-US" w:eastAsia="zh-CN" w:bidi="ar-SA"/>
        </w:rPr>
      </w:pPr>
      <w:r>
        <w:rPr>
          <w:rFonts w:hint="eastAsia" w:ascii="宋体" w:hAnsi="宋体" w:eastAsia="宋体" w:cs="宋体"/>
          <w:b w:val="0"/>
          <w:bCs/>
          <w:color w:val="auto"/>
          <w:sz w:val="24"/>
          <w:szCs w:val="24"/>
          <w:highlight w:val="none"/>
          <w:u w:val="single"/>
          <w:lang w:val="en-US" w:eastAsia="zh-CN" w:bidi="ar-SA"/>
        </w:rPr>
        <w:t>（38）因承包人违约的，发包人向承包人主张权利所产生的费用包括但不限于诉讼费、保全费、保单费、律师费差旅费等亦由承包人承担。</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lang w:val="en-US" w:eastAsia="zh-CN"/>
        </w:rPr>
        <w:t>39</w:t>
      </w:r>
      <w:r>
        <w:rPr>
          <w:rFonts w:hint="eastAsia" w:ascii="宋体" w:hAnsi="宋体" w:eastAsia="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rPr>
        <w:t>发承包双方如在本合同的执行过程中，还有需要补充及修正的内容，应在遵循《中华人民共和国建筑法》和《中华人民共和国民法典》及其他有关法律、法规个省市有关规定、条例的前提下另行签订补充协议或条款。补充协议或条款与本合同具有相同法律效力。</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pPr>
        <w:pStyle w:val="108"/>
        <w:keepNext w:val="0"/>
        <w:keepLines w:val="0"/>
        <w:pageBreakBefore w:val="0"/>
        <w:spacing w:line="360" w:lineRule="auto"/>
        <w:rPr>
          <w:rFonts w:hint="eastAsia" w:ascii="宋体" w:hAnsi="宋体" w:eastAsia="宋体" w:cs="宋体"/>
          <w:color w:val="auto"/>
          <w:sz w:val="24"/>
          <w:szCs w:val="24"/>
          <w:highlight w:val="none"/>
        </w:rPr>
      </w:pP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发包人：(公章)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承包人：(公章)</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法定代表人：（签字）</w:t>
      </w:r>
    </w:p>
    <w:p>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p>
    <w:p>
      <w:pPr>
        <w:rPr>
          <w:color w:val="auto"/>
        </w:rPr>
        <w:sectPr>
          <w:pgSz w:w="11907" w:h="16840"/>
          <w:pgMar w:top="1417" w:right="1701" w:bottom="1417" w:left="1701" w:header="851" w:footer="851" w:gutter="0"/>
          <w:cols w:space="720" w:num="1"/>
          <w:docGrid w:linePitch="360" w:charSpace="0"/>
        </w:sectPr>
      </w:pPr>
    </w:p>
    <w:p>
      <w:pPr>
        <w:spacing w:before="156" w:after="156" w:line="440" w:lineRule="exact"/>
        <w:rPr>
          <w:color w:val="auto"/>
          <w:sz w:val="21"/>
          <w:szCs w:val="21"/>
        </w:rPr>
      </w:pPr>
      <w:r>
        <w:rPr>
          <w:rFonts w:hint="eastAsia" w:ascii="宋体" w:hAnsi="宋体" w:eastAsia="宋体" w:cs="宋体"/>
          <w:color w:val="auto"/>
          <w:sz w:val="21"/>
          <w:szCs w:val="21"/>
        </w:rPr>
        <w:t>附件1：</w:t>
      </w:r>
    </w:p>
    <w:p>
      <w:pPr>
        <w:spacing w:before="156" w:after="156" w:line="440" w:lineRule="exact"/>
        <w:jc w:val="center"/>
        <w:rPr>
          <w:color w:val="auto"/>
          <w:sz w:val="21"/>
          <w:szCs w:val="21"/>
        </w:rPr>
      </w:pPr>
      <w:r>
        <w:rPr>
          <w:rFonts w:hint="eastAsia" w:ascii="宋体" w:hAnsi="宋体" w:eastAsia="宋体" w:cs="宋体"/>
          <w:color w:val="auto"/>
          <w:sz w:val="21"/>
          <w:szCs w:val="21"/>
        </w:rPr>
        <w:t>承包人承揽工程项目一览表</w:t>
      </w:r>
    </w:p>
    <w:tbl>
      <w:tblPr>
        <w:tblStyle w:val="62"/>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277" w:type="dxa"/>
            <w:tcBorders>
              <w:top w:val="single" w:color="auto" w:sz="12" w:space="0"/>
              <w:bottom w:val="single" w:color="auto" w:sz="6" w:space="0"/>
            </w:tcBorders>
            <w:vAlign w:val="center"/>
          </w:tcPr>
          <w:p>
            <w:pPr>
              <w:keepNext/>
              <w:widowControl w:val="0"/>
              <w:spacing w:after="120" w:line="440" w:lineRule="exact"/>
              <w:ind w:right="72"/>
              <w:jc w:val="both"/>
              <w:rPr>
                <w:rFonts w:ascii="宋体" w:hAnsi="宋体" w:cs="宋体"/>
                <w:color w:val="auto"/>
                <w:sz w:val="24"/>
                <w:szCs w:val="21"/>
              </w:rPr>
            </w:pPr>
            <w:r>
              <w:rPr>
                <w:rFonts w:hint="eastAsia" w:ascii="宋体" w:hAnsi="宋体" w:cs="宋体"/>
                <w:color w:val="auto"/>
                <w:sz w:val="24"/>
                <w:szCs w:val="21"/>
              </w:rPr>
              <w:t>单位工程名称</w:t>
            </w:r>
          </w:p>
        </w:tc>
        <w:tc>
          <w:tcPr>
            <w:tcW w:w="1843" w:type="dxa"/>
            <w:tcBorders>
              <w:top w:val="single" w:color="auto" w:sz="12" w:space="0"/>
              <w:bottom w:val="single" w:color="auto" w:sz="6" w:space="0"/>
            </w:tcBorders>
            <w:vAlign w:val="center"/>
          </w:tcPr>
          <w:p>
            <w:pPr>
              <w:keepNext/>
              <w:widowControl w:val="0"/>
              <w:spacing w:after="120" w:line="440" w:lineRule="exact"/>
              <w:ind w:right="72"/>
              <w:jc w:val="both"/>
              <w:rPr>
                <w:rFonts w:ascii="宋体" w:hAnsi="宋体" w:cs="宋体"/>
                <w:color w:val="auto"/>
                <w:sz w:val="24"/>
                <w:szCs w:val="21"/>
              </w:rPr>
            </w:pPr>
            <w:r>
              <w:rPr>
                <w:rFonts w:hint="eastAsia" w:ascii="宋体" w:hAnsi="宋体" w:cs="宋体"/>
                <w:color w:val="auto"/>
                <w:sz w:val="24"/>
                <w:szCs w:val="21"/>
              </w:rPr>
              <w:t>建设规模</w:t>
            </w:r>
          </w:p>
        </w:tc>
        <w:tc>
          <w:tcPr>
            <w:tcW w:w="1417" w:type="dxa"/>
            <w:tcBorders>
              <w:top w:val="single" w:color="auto" w:sz="12" w:space="0"/>
              <w:bottom w:val="single" w:color="auto" w:sz="6" w:space="0"/>
            </w:tcBorders>
            <w:vAlign w:val="center"/>
          </w:tcPr>
          <w:p>
            <w:pPr>
              <w:keepNext/>
              <w:widowControl w:val="0"/>
              <w:spacing w:after="120" w:line="440" w:lineRule="exact"/>
              <w:ind w:right="72"/>
              <w:jc w:val="both"/>
              <w:rPr>
                <w:rFonts w:ascii="宋体" w:hAnsi="宋体" w:cs="宋体"/>
                <w:color w:val="auto"/>
                <w:sz w:val="24"/>
                <w:szCs w:val="21"/>
              </w:rPr>
            </w:pPr>
            <w:r>
              <w:rPr>
                <w:rFonts w:hint="eastAsia" w:ascii="宋体" w:hAnsi="宋体" w:cs="宋体"/>
                <w:color w:val="auto"/>
                <w:sz w:val="24"/>
                <w:szCs w:val="21"/>
              </w:rPr>
              <w:t>建筑面积(平方米)</w:t>
            </w:r>
          </w:p>
        </w:tc>
        <w:tc>
          <w:tcPr>
            <w:tcW w:w="2410" w:type="dxa"/>
            <w:tcBorders>
              <w:top w:val="single" w:color="auto" w:sz="12" w:space="0"/>
              <w:bottom w:val="single" w:color="auto" w:sz="6" w:space="0"/>
            </w:tcBorders>
            <w:vAlign w:val="center"/>
          </w:tcPr>
          <w:p>
            <w:pPr>
              <w:keepNext/>
              <w:widowControl w:val="0"/>
              <w:spacing w:after="120" w:line="440" w:lineRule="exact"/>
              <w:ind w:right="72"/>
              <w:jc w:val="both"/>
              <w:rPr>
                <w:rFonts w:ascii="宋体" w:hAnsi="宋体" w:cs="宋体"/>
                <w:color w:val="auto"/>
                <w:sz w:val="24"/>
                <w:szCs w:val="21"/>
              </w:rPr>
            </w:pPr>
            <w:r>
              <w:rPr>
                <w:rFonts w:hint="eastAsia" w:ascii="宋体" w:hAnsi="宋体" w:cs="宋体"/>
                <w:color w:val="auto"/>
                <w:sz w:val="24"/>
                <w:szCs w:val="21"/>
              </w:rPr>
              <w:t>结构形式</w:t>
            </w:r>
          </w:p>
        </w:tc>
        <w:tc>
          <w:tcPr>
            <w:tcW w:w="850" w:type="dxa"/>
            <w:tcBorders>
              <w:top w:val="single" w:color="auto" w:sz="12" w:space="0"/>
              <w:bottom w:val="single" w:color="auto" w:sz="6" w:space="0"/>
            </w:tcBorders>
            <w:vAlign w:val="center"/>
          </w:tcPr>
          <w:p>
            <w:pPr>
              <w:keepNext/>
              <w:widowControl w:val="0"/>
              <w:spacing w:after="120" w:line="440" w:lineRule="exact"/>
              <w:ind w:right="72"/>
              <w:jc w:val="both"/>
              <w:rPr>
                <w:rFonts w:ascii="宋体" w:hAnsi="宋体" w:cs="宋体"/>
                <w:color w:val="auto"/>
                <w:sz w:val="24"/>
                <w:szCs w:val="21"/>
              </w:rPr>
            </w:pPr>
            <w:r>
              <w:rPr>
                <w:rFonts w:hint="eastAsia" w:ascii="宋体" w:hAnsi="宋体" w:cs="宋体"/>
                <w:color w:val="auto"/>
                <w:sz w:val="24"/>
                <w:szCs w:val="21"/>
              </w:rPr>
              <w:t>层数</w:t>
            </w:r>
          </w:p>
        </w:tc>
        <w:tc>
          <w:tcPr>
            <w:tcW w:w="1560" w:type="dxa"/>
            <w:tcBorders>
              <w:top w:val="single" w:color="auto" w:sz="12" w:space="0"/>
              <w:bottom w:val="single" w:color="auto" w:sz="6" w:space="0"/>
            </w:tcBorders>
            <w:vAlign w:val="center"/>
          </w:tcPr>
          <w:p>
            <w:pPr>
              <w:keepNext/>
              <w:widowControl w:val="0"/>
              <w:spacing w:after="120" w:line="440" w:lineRule="exact"/>
              <w:ind w:right="72"/>
              <w:jc w:val="both"/>
              <w:rPr>
                <w:rFonts w:ascii="宋体" w:hAnsi="宋体" w:cs="宋体"/>
                <w:color w:val="auto"/>
                <w:sz w:val="24"/>
                <w:szCs w:val="21"/>
              </w:rPr>
            </w:pPr>
            <w:r>
              <w:rPr>
                <w:rFonts w:hint="eastAsia" w:ascii="宋体" w:hAnsi="宋体" w:cs="宋体"/>
                <w:color w:val="auto"/>
                <w:sz w:val="24"/>
                <w:szCs w:val="21"/>
              </w:rPr>
              <w:t>生产能力</w:t>
            </w:r>
          </w:p>
        </w:tc>
        <w:tc>
          <w:tcPr>
            <w:tcW w:w="2126" w:type="dxa"/>
            <w:tcBorders>
              <w:top w:val="single" w:color="auto" w:sz="12" w:space="0"/>
              <w:bottom w:val="single" w:color="auto" w:sz="6" w:space="0"/>
            </w:tcBorders>
            <w:vAlign w:val="center"/>
          </w:tcPr>
          <w:p>
            <w:pPr>
              <w:keepNext/>
              <w:widowControl w:val="0"/>
              <w:spacing w:after="120" w:line="440" w:lineRule="exact"/>
              <w:ind w:right="72"/>
              <w:jc w:val="both"/>
              <w:rPr>
                <w:rFonts w:ascii="宋体" w:hAnsi="宋体" w:cs="宋体"/>
                <w:color w:val="auto"/>
                <w:sz w:val="24"/>
                <w:szCs w:val="21"/>
              </w:rPr>
            </w:pPr>
            <w:r>
              <w:rPr>
                <w:rFonts w:hint="eastAsia" w:ascii="宋体" w:hAnsi="宋体" w:cs="宋体"/>
                <w:color w:val="auto"/>
                <w:sz w:val="24"/>
                <w:szCs w:val="21"/>
              </w:rPr>
              <w:t>设备安装内容</w:t>
            </w:r>
          </w:p>
        </w:tc>
        <w:tc>
          <w:tcPr>
            <w:tcW w:w="1417" w:type="dxa"/>
            <w:tcBorders>
              <w:top w:val="single" w:color="auto" w:sz="12" w:space="0"/>
              <w:bottom w:val="single" w:color="auto" w:sz="6" w:space="0"/>
            </w:tcBorders>
            <w:vAlign w:val="center"/>
          </w:tcPr>
          <w:p>
            <w:pPr>
              <w:keepNext/>
              <w:widowControl w:val="0"/>
              <w:spacing w:after="120" w:line="440" w:lineRule="exact"/>
              <w:ind w:right="72"/>
              <w:jc w:val="both"/>
              <w:rPr>
                <w:rFonts w:ascii="宋体" w:hAnsi="宋体" w:cs="宋体"/>
                <w:color w:val="auto"/>
                <w:sz w:val="24"/>
                <w:szCs w:val="21"/>
              </w:rPr>
            </w:pPr>
            <w:r>
              <w:rPr>
                <w:rFonts w:hint="eastAsia" w:ascii="宋体" w:hAnsi="宋体" w:cs="宋体"/>
                <w:color w:val="auto"/>
                <w:sz w:val="24"/>
                <w:szCs w:val="21"/>
              </w:rPr>
              <w:t>合同价格（元）</w:t>
            </w:r>
          </w:p>
        </w:tc>
        <w:tc>
          <w:tcPr>
            <w:tcW w:w="851" w:type="dxa"/>
            <w:tcBorders>
              <w:top w:val="single" w:color="auto" w:sz="12" w:space="0"/>
              <w:bottom w:val="single" w:color="auto" w:sz="6" w:space="0"/>
            </w:tcBorders>
            <w:vAlign w:val="center"/>
          </w:tcPr>
          <w:p>
            <w:pPr>
              <w:keepNext/>
              <w:widowControl w:val="0"/>
              <w:spacing w:after="120" w:line="440" w:lineRule="exact"/>
              <w:ind w:right="72"/>
              <w:jc w:val="both"/>
              <w:rPr>
                <w:rFonts w:ascii="宋体" w:hAnsi="宋体" w:cs="宋体"/>
                <w:color w:val="auto"/>
                <w:sz w:val="24"/>
                <w:szCs w:val="21"/>
              </w:rPr>
            </w:pPr>
            <w:r>
              <w:rPr>
                <w:rFonts w:hint="eastAsia" w:ascii="宋体" w:hAnsi="宋体" w:cs="宋体"/>
                <w:color w:val="auto"/>
                <w:sz w:val="24"/>
                <w:szCs w:val="21"/>
              </w:rPr>
              <w:t>开工日期</w:t>
            </w:r>
          </w:p>
        </w:tc>
        <w:tc>
          <w:tcPr>
            <w:tcW w:w="850" w:type="dxa"/>
            <w:tcBorders>
              <w:top w:val="single" w:color="auto" w:sz="12" w:space="0"/>
              <w:bottom w:val="single" w:color="auto" w:sz="6" w:space="0"/>
            </w:tcBorders>
            <w:vAlign w:val="center"/>
          </w:tcPr>
          <w:p>
            <w:pPr>
              <w:keepNext/>
              <w:widowControl w:val="0"/>
              <w:spacing w:after="120" w:line="440" w:lineRule="exact"/>
              <w:ind w:right="72"/>
              <w:jc w:val="both"/>
              <w:rPr>
                <w:rFonts w:ascii="宋体" w:hAnsi="宋体" w:cs="宋体"/>
                <w:color w:val="auto"/>
                <w:sz w:val="24"/>
                <w:szCs w:val="21"/>
              </w:rPr>
            </w:pPr>
            <w:r>
              <w:rPr>
                <w:rFonts w:hint="eastAsia" w:ascii="宋体" w:hAnsi="宋体" w:cs="宋体"/>
                <w:color w:val="auto"/>
                <w:sz w:val="24"/>
                <w:szCs w:val="21"/>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single" w:color="auto" w:sz="6" w:space="0"/>
              <w:bottom w:val="single" w:color="auto" w:sz="6" w:space="0"/>
            </w:tcBorders>
            <w:vAlign w:val="center"/>
          </w:tcPr>
          <w:p>
            <w:pPr>
              <w:keepNext/>
              <w:widowControl w:val="0"/>
              <w:spacing w:after="120" w:line="440" w:lineRule="exact"/>
              <w:ind w:right="72"/>
              <w:jc w:val="both"/>
              <w:rPr>
                <w:rFonts w:ascii="宋体" w:hAnsi="宋体" w:cs="宋体"/>
                <w:color w:val="auto"/>
                <w:sz w:val="24"/>
                <w:szCs w:val="21"/>
              </w:rPr>
            </w:pPr>
          </w:p>
        </w:tc>
        <w:tc>
          <w:tcPr>
            <w:tcW w:w="1843" w:type="dxa"/>
            <w:tcBorders>
              <w:top w:val="single" w:color="auto" w:sz="6" w:space="0"/>
              <w:bottom w:val="single" w:color="auto" w:sz="6" w:space="0"/>
            </w:tcBorders>
            <w:vAlign w:val="center"/>
          </w:tcPr>
          <w:p>
            <w:pPr>
              <w:keepNext/>
              <w:widowControl w:val="0"/>
              <w:spacing w:after="120" w:line="440" w:lineRule="exact"/>
              <w:ind w:right="72"/>
              <w:jc w:val="both"/>
              <w:rPr>
                <w:rFonts w:ascii="宋体" w:hAnsi="宋体" w:cs="宋体"/>
                <w:color w:val="auto"/>
                <w:sz w:val="24"/>
                <w:szCs w:val="21"/>
              </w:rPr>
            </w:pPr>
          </w:p>
        </w:tc>
        <w:tc>
          <w:tcPr>
            <w:tcW w:w="1417" w:type="dxa"/>
            <w:tcBorders>
              <w:top w:val="single" w:color="auto" w:sz="6" w:space="0"/>
              <w:bottom w:val="single" w:color="auto" w:sz="6" w:space="0"/>
            </w:tcBorders>
            <w:vAlign w:val="center"/>
          </w:tcPr>
          <w:p>
            <w:pPr>
              <w:keepNext/>
              <w:widowControl w:val="0"/>
              <w:spacing w:after="120" w:line="440" w:lineRule="exact"/>
              <w:ind w:right="72"/>
              <w:jc w:val="both"/>
              <w:rPr>
                <w:rFonts w:ascii="宋体" w:hAnsi="宋体" w:cs="宋体"/>
                <w:color w:val="auto"/>
                <w:sz w:val="24"/>
                <w:szCs w:val="21"/>
              </w:rPr>
            </w:pPr>
          </w:p>
        </w:tc>
        <w:tc>
          <w:tcPr>
            <w:tcW w:w="2410" w:type="dxa"/>
            <w:tcBorders>
              <w:top w:val="single" w:color="auto" w:sz="6" w:space="0"/>
              <w:bottom w:val="single" w:color="auto" w:sz="6" w:space="0"/>
            </w:tcBorders>
            <w:vAlign w:val="center"/>
          </w:tcPr>
          <w:p>
            <w:pPr>
              <w:keepNext/>
              <w:widowControl w:val="0"/>
              <w:spacing w:after="120" w:line="440" w:lineRule="exact"/>
              <w:ind w:right="72"/>
              <w:jc w:val="both"/>
              <w:rPr>
                <w:rFonts w:ascii="宋体" w:hAnsi="宋体" w:cs="宋体"/>
                <w:color w:val="auto"/>
                <w:sz w:val="24"/>
                <w:szCs w:val="21"/>
              </w:rPr>
            </w:pPr>
          </w:p>
        </w:tc>
        <w:tc>
          <w:tcPr>
            <w:tcW w:w="850" w:type="dxa"/>
            <w:tcBorders>
              <w:top w:val="single" w:color="auto" w:sz="6" w:space="0"/>
              <w:bottom w:val="single" w:color="auto" w:sz="6" w:space="0"/>
            </w:tcBorders>
            <w:vAlign w:val="center"/>
          </w:tcPr>
          <w:p>
            <w:pPr>
              <w:keepNext/>
              <w:widowControl w:val="0"/>
              <w:spacing w:after="120" w:line="440" w:lineRule="exact"/>
              <w:ind w:right="72"/>
              <w:jc w:val="both"/>
              <w:rPr>
                <w:rFonts w:ascii="宋体" w:hAnsi="宋体" w:cs="宋体"/>
                <w:color w:val="auto"/>
                <w:sz w:val="24"/>
                <w:szCs w:val="21"/>
              </w:rPr>
            </w:pPr>
          </w:p>
        </w:tc>
        <w:tc>
          <w:tcPr>
            <w:tcW w:w="1560" w:type="dxa"/>
            <w:tcBorders>
              <w:top w:val="single" w:color="auto" w:sz="6" w:space="0"/>
              <w:bottom w:val="single" w:color="auto" w:sz="6" w:space="0"/>
            </w:tcBorders>
            <w:vAlign w:val="center"/>
          </w:tcPr>
          <w:p>
            <w:pPr>
              <w:keepNext/>
              <w:widowControl w:val="0"/>
              <w:spacing w:after="120" w:line="440" w:lineRule="exact"/>
              <w:ind w:right="72"/>
              <w:jc w:val="both"/>
              <w:rPr>
                <w:rFonts w:ascii="宋体" w:hAnsi="宋体" w:cs="宋体"/>
                <w:color w:val="auto"/>
                <w:sz w:val="24"/>
                <w:szCs w:val="21"/>
              </w:rPr>
            </w:pPr>
          </w:p>
        </w:tc>
        <w:tc>
          <w:tcPr>
            <w:tcW w:w="2126" w:type="dxa"/>
            <w:tcBorders>
              <w:top w:val="single" w:color="auto" w:sz="6" w:space="0"/>
              <w:bottom w:val="single" w:color="auto" w:sz="6" w:space="0"/>
            </w:tcBorders>
            <w:vAlign w:val="center"/>
          </w:tcPr>
          <w:p>
            <w:pPr>
              <w:keepNext/>
              <w:widowControl w:val="0"/>
              <w:spacing w:after="120" w:line="440" w:lineRule="exact"/>
              <w:ind w:right="72"/>
              <w:jc w:val="both"/>
              <w:rPr>
                <w:rFonts w:ascii="宋体" w:hAnsi="宋体" w:cs="宋体"/>
                <w:color w:val="auto"/>
                <w:sz w:val="24"/>
                <w:szCs w:val="21"/>
              </w:rPr>
            </w:pPr>
          </w:p>
        </w:tc>
        <w:tc>
          <w:tcPr>
            <w:tcW w:w="1417" w:type="dxa"/>
            <w:tcBorders>
              <w:top w:val="single" w:color="auto" w:sz="6" w:space="0"/>
              <w:bottom w:val="single" w:color="auto" w:sz="6" w:space="0"/>
            </w:tcBorders>
            <w:vAlign w:val="center"/>
          </w:tcPr>
          <w:p>
            <w:pPr>
              <w:keepNext/>
              <w:widowControl w:val="0"/>
              <w:spacing w:after="120" w:line="440" w:lineRule="exact"/>
              <w:ind w:right="72"/>
              <w:jc w:val="both"/>
              <w:rPr>
                <w:rFonts w:ascii="宋体" w:hAnsi="宋体" w:cs="宋体"/>
                <w:color w:val="auto"/>
                <w:sz w:val="24"/>
                <w:szCs w:val="21"/>
              </w:rPr>
            </w:pPr>
          </w:p>
        </w:tc>
        <w:tc>
          <w:tcPr>
            <w:tcW w:w="851" w:type="dxa"/>
            <w:tcBorders>
              <w:top w:val="single" w:color="auto" w:sz="6" w:space="0"/>
              <w:bottom w:val="single" w:color="auto" w:sz="6" w:space="0"/>
            </w:tcBorders>
            <w:vAlign w:val="center"/>
          </w:tcPr>
          <w:p>
            <w:pPr>
              <w:keepNext/>
              <w:widowControl w:val="0"/>
              <w:spacing w:after="120" w:line="440" w:lineRule="exact"/>
              <w:ind w:right="72"/>
              <w:jc w:val="both"/>
              <w:rPr>
                <w:rFonts w:ascii="宋体" w:hAnsi="宋体" w:cs="宋体"/>
                <w:color w:val="auto"/>
                <w:sz w:val="24"/>
                <w:szCs w:val="21"/>
              </w:rPr>
            </w:pPr>
          </w:p>
        </w:tc>
        <w:tc>
          <w:tcPr>
            <w:tcW w:w="850" w:type="dxa"/>
            <w:tcBorders>
              <w:top w:val="single" w:color="auto" w:sz="6" w:space="0"/>
              <w:bottom w:val="single" w:color="auto" w:sz="6" w:space="0"/>
            </w:tcBorders>
            <w:vAlign w:val="center"/>
          </w:tcPr>
          <w:p>
            <w:pPr>
              <w:keepNext/>
              <w:widowControl w:val="0"/>
              <w:spacing w:after="120" w:line="440" w:lineRule="exact"/>
              <w:ind w:right="72"/>
              <w:jc w:val="both"/>
              <w:rPr>
                <w:rFonts w:ascii="宋体" w:hAnsi="宋体" w:cs="宋体"/>
                <w:color w:val="auto"/>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1843"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1417"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2410"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850"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1560"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2126"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1417"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851"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850"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1843"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1417"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2410"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850"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1560"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2126"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1417"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851"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850"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keepNext/>
              <w:widowControl w:val="0"/>
              <w:spacing w:after="120" w:line="440" w:lineRule="exact"/>
              <w:ind w:right="72"/>
              <w:jc w:val="both"/>
              <w:rPr>
                <w:rFonts w:ascii="宋体" w:hAnsi="宋体" w:cs="宋体"/>
                <w:color w:val="auto"/>
                <w:sz w:val="24"/>
                <w:szCs w:val="21"/>
              </w:rPr>
            </w:pPr>
          </w:p>
        </w:tc>
        <w:tc>
          <w:tcPr>
            <w:tcW w:w="1843" w:type="dxa"/>
            <w:vAlign w:val="center"/>
          </w:tcPr>
          <w:p>
            <w:pPr>
              <w:keepNext/>
              <w:widowControl w:val="0"/>
              <w:spacing w:after="120" w:line="440" w:lineRule="exact"/>
              <w:ind w:right="72"/>
              <w:jc w:val="both"/>
              <w:rPr>
                <w:rFonts w:ascii="宋体" w:hAnsi="宋体" w:cs="宋体"/>
                <w:color w:val="auto"/>
                <w:sz w:val="24"/>
                <w:szCs w:val="21"/>
              </w:rPr>
            </w:pPr>
          </w:p>
        </w:tc>
        <w:tc>
          <w:tcPr>
            <w:tcW w:w="1417" w:type="dxa"/>
            <w:vAlign w:val="center"/>
          </w:tcPr>
          <w:p>
            <w:pPr>
              <w:keepNext/>
              <w:widowControl w:val="0"/>
              <w:spacing w:after="120" w:line="440" w:lineRule="exact"/>
              <w:ind w:right="72"/>
              <w:jc w:val="both"/>
              <w:rPr>
                <w:rFonts w:ascii="宋体" w:hAnsi="宋体" w:cs="宋体"/>
                <w:color w:val="auto"/>
                <w:sz w:val="24"/>
                <w:szCs w:val="21"/>
              </w:rPr>
            </w:pPr>
          </w:p>
        </w:tc>
        <w:tc>
          <w:tcPr>
            <w:tcW w:w="2410" w:type="dxa"/>
            <w:vAlign w:val="center"/>
          </w:tcPr>
          <w:p>
            <w:pPr>
              <w:keepNext/>
              <w:widowControl w:val="0"/>
              <w:spacing w:after="120" w:line="440" w:lineRule="exact"/>
              <w:ind w:right="72"/>
              <w:jc w:val="both"/>
              <w:rPr>
                <w:rFonts w:ascii="宋体" w:hAnsi="宋体" w:cs="宋体"/>
                <w:color w:val="auto"/>
                <w:sz w:val="24"/>
                <w:szCs w:val="21"/>
              </w:rPr>
            </w:pPr>
          </w:p>
        </w:tc>
        <w:tc>
          <w:tcPr>
            <w:tcW w:w="850" w:type="dxa"/>
            <w:vAlign w:val="center"/>
          </w:tcPr>
          <w:p>
            <w:pPr>
              <w:keepNext/>
              <w:widowControl w:val="0"/>
              <w:spacing w:after="120" w:line="440" w:lineRule="exact"/>
              <w:ind w:right="72"/>
              <w:jc w:val="both"/>
              <w:rPr>
                <w:rFonts w:ascii="宋体" w:hAnsi="宋体" w:cs="宋体"/>
                <w:color w:val="auto"/>
                <w:sz w:val="24"/>
                <w:szCs w:val="21"/>
              </w:rPr>
            </w:pPr>
          </w:p>
        </w:tc>
        <w:tc>
          <w:tcPr>
            <w:tcW w:w="1560" w:type="dxa"/>
            <w:vAlign w:val="center"/>
          </w:tcPr>
          <w:p>
            <w:pPr>
              <w:keepNext/>
              <w:widowControl w:val="0"/>
              <w:spacing w:after="120" w:line="440" w:lineRule="exact"/>
              <w:ind w:right="72"/>
              <w:jc w:val="both"/>
              <w:rPr>
                <w:rFonts w:ascii="宋体" w:hAnsi="宋体" w:cs="宋体"/>
                <w:color w:val="auto"/>
                <w:sz w:val="24"/>
                <w:szCs w:val="21"/>
              </w:rPr>
            </w:pPr>
          </w:p>
        </w:tc>
        <w:tc>
          <w:tcPr>
            <w:tcW w:w="2126" w:type="dxa"/>
            <w:vAlign w:val="center"/>
          </w:tcPr>
          <w:p>
            <w:pPr>
              <w:keepNext/>
              <w:widowControl w:val="0"/>
              <w:spacing w:after="120" w:line="440" w:lineRule="exact"/>
              <w:ind w:right="72"/>
              <w:jc w:val="both"/>
              <w:rPr>
                <w:rFonts w:ascii="宋体" w:hAnsi="宋体" w:cs="宋体"/>
                <w:color w:val="auto"/>
                <w:sz w:val="24"/>
                <w:szCs w:val="21"/>
              </w:rPr>
            </w:pPr>
          </w:p>
        </w:tc>
        <w:tc>
          <w:tcPr>
            <w:tcW w:w="1417" w:type="dxa"/>
            <w:vAlign w:val="center"/>
          </w:tcPr>
          <w:p>
            <w:pPr>
              <w:keepNext/>
              <w:widowControl w:val="0"/>
              <w:spacing w:after="120" w:line="440" w:lineRule="exact"/>
              <w:ind w:right="72"/>
              <w:jc w:val="both"/>
              <w:rPr>
                <w:rFonts w:ascii="宋体" w:hAnsi="宋体" w:cs="宋体"/>
                <w:color w:val="auto"/>
                <w:sz w:val="24"/>
                <w:szCs w:val="21"/>
              </w:rPr>
            </w:pPr>
          </w:p>
        </w:tc>
        <w:tc>
          <w:tcPr>
            <w:tcW w:w="851" w:type="dxa"/>
            <w:vAlign w:val="center"/>
          </w:tcPr>
          <w:p>
            <w:pPr>
              <w:keepNext/>
              <w:widowControl w:val="0"/>
              <w:spacing w:after="120" w:line="440" w:lineRule="exact"/>
              <w:ind w:right="72"/>
              <w:jc w:val="both"/>
              <w:rPr>
                <w:rFonts w:ascii="宋体" w:hAnsi="宋体" w:cs="宋体"/>
                <w:color w:val="auto"/>
                <w:sz w:val="24"/>
                <w:szCs w:val="21"/>
              </w:rPr>
            </w:pPr>
          </w:p>
        </w:tc>
        <w:tc>
          <w:tcPr>
            <w:tcW w:w="850" w:type="dxa"/>
            <w:vAlign w:val="center"/>
          </w:tcPr>
          <w:p>
            <w:pPr>
              <w:keepNext/>
              <w:widowControl w:val="0"/>
              <w:spacing w:after="120" w:line="440" w:lineRule="exact"/>
              <w:ind w:right="72"/>
              <w:jc w:val="both"/>
              <w:rPr>
                <w:rFonts w:ascii="宋体" w:hAnsi="宋体" w:cs="宋体"/>
                <w:color w:val="auto"/>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1843"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1417"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2410"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850"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1560"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2126"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1417"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851"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850"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keepNext/>
              <w:widowControl w:val="0"/>
              <w:spacing w:after="120" w:line="440" w:lineRule="exact"/>
              <w:ind w:right="72"/>
              <w:jc w:val="both"/>
              <w:rPr>
                <w:rFonts w:ascii="宋体" w:hAnsi="宋体" w:cs="宋体"/>
                <w:color w:val="auto"/>
                <w:sz w:val="24"/>
                <w:szCs w:val="21"/>
              </w:rPr>
            </w:pPr>
          </w:p>
        </w:tc>
        <w:tc>
          <w:tcPr>
            <w:tcW w:w="1843" w:type="dxa"/>
            <w:vAlign w:val="center"/>
          </w:tcPr>
          <w:p>
            <w:pPr>
              <w:keepNext/>
              <w:widowControl w:val="0"/>
              <w:spacing w:after="120" w:line="440" w:lineRule="exact"/>
              <w:ind w:right="72"/>
              <w:jc w:val="both"/>
              <w:rPr>
                <w:rFonts w:ascii="宋体" w:hAnsi="宋体" w:cs="宋体"/>
                <w:color w:val="auto"/>
                <w:sz w:val="24"/>
                <w:szCs w:val="21"/>
              </w:rPr>
            </w:pPr>
          </w:p>
        </w:tc>
        <w:tc>
          <w:tcPr>
            <w:tcW w:w="1417" w:type="dxa"/>
            <w:vAlign w:val="center"/>
          </w:tcPr>
          <w:p>
            <w:pPr>
              <w:keepNext/>
              <w:widowControl w:val="0"/>
              <w:spacing w:after="120" w:line="440" w:lineRule="exact"/>
              <w:ind w:right="72"/>
              <w:jc w:val="both"/>
              <w:rPr>
                <w:rFonts w:ascii="宋体" w:hAnsi="宋体" w:cs="宋体"/>
                <w:color w:val="auto"/>
                <w:sz w:val="24"/>
                <w:szCs w:val="21"/>
              </w:rPr>
            </w:pPr>
          </w:p>
        </w:tc>
        <w:tc>
          <w:tcPr>
            <w:tcW w:w="2410" w:type="dxa"/>
            <w:vAlign w:val="center"/>
          </w:tcPr>
          <w:p>
            <w:pPr>
              <w:keepNext/>
              <w:widowControl w:val="0"/>
              <w:spacing w:after="120" w:line="440" w:lineRule="exact"/>
              <w:ind w:right="72"/>
              <w:jc w:val="both"/>
              <w:rPr>
                <w:rFonts w:ascii="宋体" w:hAnsi="宋体" w:cs="宋体"/>
                <w:color w:val="auto"/>
                <w:sz w:val="24"/>
                <w:szCs w:val="21"/>
              </w:rPr>
            </w:pPr>
          </w:p>
        </w:tc>
        <w:tc>
          <w:tcPr>
            <w:tcW w:w="850" w:type="dxa"/>
            <w:vAlign w:val="center"/>
          </w:tcPr>
          <w:p>
            <w:pPr>
              <w:keepNext/>
              <w:widowControl w:val="0"/>
              <w:spacing w:after="120" w:line="440" w:lineRule="exact"/>
              <w:ind w:right="72"/>
              <w:jc w:val="both"/>
              <w:rPr>
                <w:rFonts w:ascii="宋体" w:hAnsi="宋体" w:cs="宋体"/>
                <w:color w:val="auto"/>
                <w:sz w:val="24"/>
                <w:szCs w:val="21"/>
              </w:rPr>
            </w:pPr>
          </w:p>
        </w:tc>
        <w:tc>
          <w:tcPr>
            <w:tcW w:w="1560" w:type="dxa"/>
            <w:vAlign w:val="center"/>
          </w:tcPr>
          <w:p>
            <w:pPr>
              <w:keepNext/>
              <w:widowControl w:val="0"/>
              <w:spacing w:after="120" w:line="440" w:lineRule="exact"/>
              <w:ind w:right="72"/>
              <w:jc w:val="both"/>
              <w:rPr>
                <w:rFonts w:ascii="宋体" w:hAnsi="宋体" w:cs="宋体"/>
                <w:color w:val="auto"/>
                <w:sz w:val="24"/>
                <w:szCs w:val="21"/>
              </w:rPr>
            </w:pPr>
          </w:p>
        </w:tc>
        <w:tc>
          <w:tcPr>
            <w:tcW w:w="2126" w:type="dxa"/>
            <w:vAlign w:val="center"/>
          </w:tcPr>
          <w:p>
            <w:pPr>
              <w:keepNext/>
              <w:widowControl w:val="0"/>
              <w:spacing w:after="120" w:line="440" w:lineRule="exact"/>
              <w:ind w:right="72"/>
              <w:jc w:val="both"/>
              <w:rPr>
                <w:rFonts w:ascii="宋体" w:hAnsi="宋体" w:cs="宋体"/>
                <w:color w:val="auto"/>
                <w:sz w:val="24"/>
                <w:szCs w:val="21"/>
              </w:rPr>
            </w:pPr>
          </w:p>
        </w:tc>
        <w:tc>
          <w:tcPr>
            <w:tcW w:w="1417" w:type="dxa"/>
            <w:vAlign w:val="center"/>
          </w:tcPr>
          <w:p>
            <w:pPr>
              <w:keepNext/>
              <w:widowControl w:val="0"/>
              <w:spacing w:after="120" w:line="440" w:lineRule="exact"/>
              <w:ind w:right="72"/>
              <w:jc w:val="both"/>
              <w:rPr>
                <w:rFonts w:ascii="宋体" w:hAnsi="宋体" w:cs="宋体"/>
                <w:color w:val="auto"/>
                <w:sz w:val="24"/>
                <w:szCs w:val="21"/>
              </w:rPr>
            </w:pPr>
          </w:p>
        </w:tc>
        <w:tc>
          <w:tcPr>
            <w:tcW w:w="851" w:type="dxa"/>
            <w:vAlign w:val="center"/>
          </w:tcPr>
          <w:p>
            <w:pPr>
              <w:keepNext/>
              <w:widowControl w:val="0"/>
              <w:spacing w:after="120" w:line="440" w:lineRule="exact"/>
              <w:ind w:right="72"/>
              <w:jc w:val="both"/>
              <w:rPr>
                <w:rFonts w:ascii="宋体" w:hAnsi="宋体" w:cs="宋体"/>
                <w:color w:val="auto"/>
                <w:sz w:val="24"/>
                <w:szCs w:val="21"/>
              </w:rPr>
            </w:pPr>
          </w:p>
        </w:tc>
        <w:tc>
          <w:tcPr>
            <w:tcW w:w="850" w:type="dxa"/>
            <w:vAlign w:val="center"/>
          </w:tcPr>
          <w:p>
            <w:pPr>
              <w:keepNext/>
              <w:widowControl w:val="0"/>
              <w:spacing w:after="120" w:line="440" w:lineRule="exact"/>
              <w:ind w:right="72"/>
              <w:jc w:val="both"/>
              <w:rPr>
                <w:rFonts w:ascii="宋体" w:hAnsi="宋体" w:cs="宋体"/>
                <w:color w:val="auto"/>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1843"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1417"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2410"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850"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1560"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2126"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1417"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851"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850"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1843"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1417"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2410"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850"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1560"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2126"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1417"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851"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850"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keepNext/>
              <w:widowControl w:val="0"/>
              <w:spacing w:after="120" w:line="440" w:lineRule="exact"/>
              <w:ind w:right="72"/>
              <w:jc w:val="both"/>
              <w:rPr>
                <w:rFonts w:ascii="宋体" w:hAnsi="宋体" w:cs="宋体"/>
                <w:color w:val="auto"/>
                <w:sz w:val="24"/>
                <w:szCs w:val="21"/>
              </w:rPr>
            </w:pPr>
          </w:p>
        </w:tc>
        <w:tc>
          <w:tcPr>
            <w:tcW w:w="1843" w:type="dxa"/>
            <w:vAlign w:val="center"/>
          </w:tcPr>
          <w:p>
            <w:pPr>
              <w:keepNext/>
              <w:widowControl w:val="0"/>
              <w:spacing w:after="120" w:line="440" w:lineRule="exact"/>
              <w:ind w:right="72"/>
              <w:jc w:val="both"/>
              <w:rPr>
                <w:rFonts w:ascii="宋体" w:hAnsi="宋体" w:cs="宋体"/>
                <w:color w:val="auto"/>
                <w:sz w:val="24"/>
                <w:szCs w:val="21"/>
              </w:rPr>
            </w:pPr>
          </w:p>
        </w:tc>
        <w:tc>
          <w:tcPr>
            <w:tcW w:w="1417" w:type="dxa"/>
            <w:vAlign w:val="center"/>
          </w:tcPr>
          <w:p>
            <w:pPr>
              <w:keepNext/>
              <w:widowControl w:val="0"/>
              <w:spacing w:after="120" w:line="440" w:lineRule="exact"/>
              <w:ind w:right="72"/>
              <w:jc w:val="both"/>
              <w:rPr>
                <w:rFonts w:ascii="宋体" w:hAnsi="宋体" w:cs="宋体"/>
                <w:color w:val="auto"/>
                <w:sz w:val="24"/>
                <w:szCs w:val="21"/>
              </w:rPr>
            </w:pPr>
          </w:p>
        </w:tc>
        <w:tc>
          <w:tcPr>
            <w:tcW w:w="2410" w:type="dxa"/>
            <w:vAlign w:val="center"/>
          </w:tcPr>
          <w:p>
            <w:pPr>
              <w:keepNext/>
              <w:widowControl w:val="0"/>
              <w:spacing w:after="120" w:line="440" w:lineRule="exact"/>
              <w:ind w:right="72"/>
              <w:jc w:val="both"/>
              <w:rPr>
                <w:rFonts w:ascii="宋体" w:hAnsi="宋体" w:cs="宋体"/>
                <w:color w:val="auto"/>
                <w:sz w:val="24"/>
                <w:szCs w:val="21"/>
              </w:rPr>
            </w:pPr>
          </w:p>
        </w:tc>
        <w:tc>
          <w:tcPr>
            <w:tcW w:w="850" w:type="dxa"/>
            <w:vAlign w:val="center"/>
          </w:tcPr>
          <w:p>
            <w:pPr>
              <w:keepNext/>
              <w:widowControl w:val="0"/>
              <w:spacing w:after="120" w:line="440" w:lineRule="exact"/>
              <w:ind w:right="72"/>
              <w:jc w:val="both"/>
              <w:rPr>
                <w:rFonts w:ascii="宋体" w:hAnsi="宋体" w:cs="宋体"/>
                <w:color w:val="auto"/>
                <w:sz w:val="24"/>
                <w:szCs w:val="21"/>
              </w:rPr>
            </w:pPr>
          </w:p>
        </w:tc>
        <w:tc>
          <w:tcPr>
            <w:tcW w:w="1560" w:type="dxa"/>
            <w:vAlign w:val="center"/>
          </w:tcPr>
          <w:p>
            <w:pPr>
              <w:keepNext/>
              <w:widowControl w:val="0"/>
              <w:spacing w:after="120" w:line="440" w:lineRule="exact"/>
              <w:ind w:right="72"/>
              <w:jc w:val="both"/>
              <w:rPr>
                <w:rFonts w:ascii="宋体" w:hAnsi="宋体" w:cs="宋体"/>
                <w:color w:val="auto"/>
                <w:sz w:val="24"/>
                <w:szCs w:val="21"/>
              </w:rPr>
            </w:pPr>
          </w:p>
        </w:tc>
        <w:tc>
          <w:tcPr>
            <w:tcW w:w="2126" w:type="dxa"/>
            <w:vAlign w:val="center"/>
          </w:tcPr>
          <w:p>
            <w:pPr>
              <w:keepNext/>
              <w:widowControl w:val="0"/>
              <w:spacing w:after="120" w:line="440" w:lineRule="exact"/>
              <w:ind w:right="72"/>
              <w:jc w:val="both"/>
              <w:rPr>
                <w:rFonts w:ascii="宋体" w:hAnsi="宋体" w:cs="宋体"/>
                <w:color w:val="auto"/>
                <w:sz w:val="24"/>
                <w:szCs w:val="21"/>
              </w:rPr>
            </w:pPr>
          </w:p>
        </w:tc>
        <w:tc>
          <w:tcPr>
            <w:tcW w:w="1417" w:type="dxa"/>
            <w:vAlign w:val="center"/>
          </w:tcPr>
          <w:p>
            <w:pPr>
              <w:keepNext/>
              <w:widowControl w:val="0"/>
              <w:spacing w:after="120" w:line="440" w:lineRule="exact"/>
              <w:ind w:right="72"/>
              <w:jc w:val="both"/>
              <w:rPr>
                <w:rFonts w:ascii="宋体" w:hAnsi="宋体" w:cs="宋体"/>
                <w:color w:val="auto"/>
                <w:sz w:val="24"/>
                <w:szCs w:val="21"/>
              </w:rPr>
            </w:pPr>
          </w:p>
        </w:tc>
        <w:tc>
          <w:tcPr>
            <w:tcW w:w="851" w:type="dxa"/>
            <w:vAlign w:val="center"/>
          </w:tcPr>
          <w:p>
            <w:pPr>
              <w:keepNext/>
              <w:widowControl w:val="0"/>
              <w:spacing w:after="120" w:line="440" w:lineRule="exact"/>
              <w:ind w:right="72"/>
              <w:jc w:val="both"/>
              <w:rPr>
                <w:rFonts w:ascii="宋体" w:hAnsi="宋体" w:cs="宋体"/>
                <w:color w:val="auto"/>
                <w:sz w:val="24"/>
                <w:szCs w:val="21"/>
              </w:rPr>
            </w:pPr>
          </w:p>
        </w:tc>
        <w:tc>
          <w:tcPr>
            <w:tcW w:w="850" w:type="dxa"/>
            <w:vAlign w:val="center"/>
          </w:tcPr>
          <w:p>
            <w:pPr>
              <w:keepNext/>
              <w:widowControl w:val="0"/>
              <w:spacing w:after="120" w:line="440" w:lineRule="exact"/>
              <w:ind w:right="72"/>
              <w:jc w:val="both"/>
              <w:rPr>
                <w:rFonts w:ascii="宋体" w:hAnsi="宋体" w:cs="宋体"/>
                <w:color w:val="auto"/>
                <w:sz w:val="24"/>
                <w:szCs w:val="21"/>
              </w:rPr>
            </w:pPr>
          </w:p>
        </w:tc>
      </w:tr>
    </w:tbl>
    <w:p>
      <w:pPr>
        <w:spacing w:line="440" w:lineRule="exact"/>
        <w:rPr>
          <w:b/>
          <w:color w:val="auto"/>
          <w:sz w:val="21"/>
          <w:szCs w:val="21"/>
        </w:rPr>
        <w:sectPr>
          <w:footerReference r:id="rId7" w:type="first"/>
          <w:headerReference r:id="rId5" w:type="default"/>
          <w:footerReference r:id="rId6" w:type="default"/>
          <w:pgSz w:w="16838" w:h="11906" w:orient="landscape"/>
          <w:pgMar w:top="1554" w:right="1418" w:bottom="1531" w:left="1418" w:header="851" w:footer="992" w:gutter="0"/>
          <w:cols w:space="720" w:num="1"/>
          <w:titlePg/>
          <w:docGrid w:linePitch="360" w:charSpace="0"/>
        </w:sectPr>
      </w:pPr>
    </w:p>
    <w:p>
      <w:pPr>
        <w:spacing w:line="440" w:lineRule="exact"/>
        <w:rPr>
          <w:color w:val="auto"/>
          <w:sz w:val="21"/>
          <w:szCs w:val="21"/>
        </w:rPr>
      </w:pPr>
      <w:r>
        <w:rPr>
          <w:rFonts w:hint="eastAsia" w:ascii="宋体" w:hAnsi="宋体" w:eastAsia="宋体" w:cs="宋体"/>
          <w:color w:val="auto"/>
          <w:sz w:val="21"/>
          <w:szCs w:val="21"/>
        </w:rPr>
        <w:t>附</w:t>
      </w:r>
      <w:bookmarkStart w:id="262" w:name="_Toc296346726"/>
      <w:bookmarkStart w:id="263" w:name="_Toc296347224"/>
      <w:bookmarkStart w:id="264" w:name="_Toc296891265"/>
      <w:bookmarkStart w:id="265" w:name="_Toc267261692"/>
      <w:bookmarkStart w:id="266" w:name="_Toc296891053"/>
      <w:bookmarkStart w:id="267" w:name="_Toc296503225"/>
      <w:bookmarkStart w:id="268" w:name="_Toc296944564"/>
      <w:r>
        <w:rPr>
          <w:rFonts w:hint="eastAsia" w:ascii="宋体" w:hAnsi="宋体" w:eastAsia="宋体" w:cs="宋体"/>
          <w:color w:val="auto"/>
          <w:sz w:val="21"/>
          <w:szCs w:val="21"/>
        </w:rPr>
        <w:t>件2：</w:t>
      </w:r>
      <w:bookmarkEnd w:id="262"/>
      <w:bookmarkEnd w:id="263"/>
      <w:bookmarkEnd w:id="264"/>
      <w:bookmarkEnd w:id="265"/>
      <w:bookmarkEnd w:id="266"/>
      <w:bookmarkEnd w:id="267"/>
      <w:bookmarkEnd w:id="268"/>
    </w:p>
    <w:p>
      <w:pPr>
        <w:spacing w:before="156" w:after="156" w:line="440" w:lineRule="exact"/>
        <w:jc w:val="center"/>
        <w:rPr>
          <w:color w:val="auto"/>
          <w:sz w:val="21"/>
          <w:szCs w:val="21"/>
        </w:rPr>
      </w:pPr>
      <w:r>
        <w:rPr>
          <w:rFonts w:hint="eastAsia" w:ascii="宋体" w:hAnsi="宋体" w:eastAsia="宋体" w:cs="宋体"/>
          <w:color w:val="auto"/>
          <w:sz w:val="21"/>
          <w:szCs w:val="21"/>
        </w:rPr>
        <w:t>发包人供应材料设备一览表</w:t>
      </w:r>
    </w:p>
    <w:tbl>
      <w:tblPr>
        <w:tblStyle w:val="62"/>
        <w:tblW w:w="1070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851" w:type="dxa"/>
            <w:tcBorders>
              <w:top w:val="single" w:color="auto" w:sz="12" w:space="0"/>
              <w:bottom w:val="single" w:color="auto" w:sz="6" w:space="0"/>
            </w:tcBorders>
            <w:vAlign w:val="center"/>
          </w:tcPr>
          <w:p>
            <w:pPr>
              <w:keepNext/>
              <w:widowControl w:val="0"/>
              <w:spacing w:after="120" w:line="440" w:lineRule="exact"/>
              <w:ind w:right="72"/>
              <w:jc w:val="both"/>
              <w:rPr>
                <w:rFonts w:ascii="宋体" w:hAnsi="宋体" w:cs="宋体"/>
                <w:color w:val="auto"/>
                <w:sz w:val="24"/>
                <w:szCs w:val="21"/>
              </w:rPr>
            </w:pPr>
            <w:r>
              <w:rPr>
                <w:rFonts w:hint="eastAsia" w:ascii="宋体" w:hAnsi="宋体" w:cs="宋体"/>
                <w:color w:val="auto"/>
                <w:sz w:val="24"/>
                <w:szCs w:val="21"/>
              </w:rPr>
              <w:t>序号</w:t>
            </w:r>
          </w:p>
        </w:tc>
        <w:tc>
          <w:tcPr>
            <w:tcW w:w="1276" w:type="dxa"/>
            <w:tcBorders>
              <w:top w:val="single" w:color="auto" w:sz="12" w:space="0"/>
              <w:bottom w:val="single" w:color="auto" w:sz="6" w:space="0"/>
            </w:tcBorders>
            <w:vAlign w:val="center"/>
          </w:tcPr>
          <w:p>
            <w:pPr>
              <w:keepNext/>
              <w:widowControl w:val="0"/>
              <w:spacing w:after="120" w:line="440" w:lineRule="exact"/>
              <w:ind w:right="72"/>
              <w:jc w:val="both"/>
              <w:rPr>
                <w:rFonts w:ascii="宋体" w:hAnsi="宋体" w:cs="宋体"/>
                <w:color w:val="auto"/>
                <w:sz w:val="24"/>
                <w:szCs w:val="21"/>
              </w:rPr>
            </w:pPr>
            <w:r>
              <w:rPr>
                <w:rFonts w:hint="eastAsia" w:ascii="宋体" w:hAnsi="宋体" w:cs="宋体"/>
                <w:color w:val="auto"/>
                <w:sz w:val="24"/>
                <w:szCs w:val="21"/>
              </w:rPr>
              <w:t xml:space="preserve">  材料、</w:t>
            </w:r>
          </w:p>
          <w:p>
            <w:pPr>
              <w:keepNext/>
              <w:widowControl w:val="0"/>
              <w:spacing w:after="120" w:line="440" w:lineRule="exact"/>
              <w:ind w:right="72"/>
              <w:jc w:val="both"/>
              <w:rPr>
                <w:rFonts w:ascii="宋体" w:hAnsi="宋体" w:cs="宋体"/>
                <w:color w:val="auto"/>
                <w:sz w:val="24"/>
                <w:szCs w:val="21"/>
              </w:rPr>
            </w:pPr>
            <w:r>
              <w:rPr>
                <w:rFonts w:hint="eastAsia" w:ascii="宋体" w:hAnsi="宋体" w:cs="宋体"/>
                <w:color w:val="auto"/>
                <w:sz w:val="24"/>
                <w:szCs w:val="21"/>
              </w:rPr>
              <w:t>设备品种</w:t>
            </w:r>
          </w:p>
        </w:tc>
        <w:tc>
          <w:tcPr>
            <w:tcW w:w="1418" w:type="dxa"/>
            <w:tcBorders>
              <w:top w:val="single" w:color="auto" w:sz="12" w:space="0"/>
              <w:bottom w:val="single" w:color="auto" w:sz="6" w:space="0"/>
            </w:tcBorders>
            <w:vAlign w:val="center"/>
          </w:tcPr>
          <w:p>
            <w:pPr>
              <w:keepNext/>
              <w:widowControl w:val="0"/>
              <w:spacing w:after="120" w:line="440" w:lineRule="exact"/>
              <w:ind w:right="72"/>
              <w:jc w:val="both"/>
              <w:rPr>
                <w:rFonts w:ascii="宋体" w:hAnsi="宋体" w:cs="宋体"/>
                <w:color w:val="auto"/>
                <w:sz w:val="24"/>
                <w:szCs w:val="21"/>
              </w:rPr>
            </w:pPr>
            <w:r>
              <w:rPr>
                <w:rFonts w:hint="eastAsia" w:ascii="宋体" w:hAnsi="宋体" w:cs="宋体"/>
                <w:color w:val="auto"/>
                <w:sz w:val="24"/>
                <w:szCs w:val="21"/>
              </w:rPr>
              <w:t>规格型号</w:t>
            </w:r>
          </w:p>
        </w:tc>
        <w:tc>
          <w:tcPr>
            <w:tcW w:w="940" w:type="dxa"/>
            <w:tcBorders>
              <w:top w:val="single" w:color="auto" w:sz="12" w:space="0"/>
              <w:bottom w:val="single" w:color="auto" w:sz="6" w:space="0"/>
            </w:tcBorders>
            <w:vAlign w:val="center"/>
          </w:tcPr>
          <w:p>
            <w:pPr>
              <w:keepNext/>
              <w:widowControl w:val="0"/>
              <w:spacing w:after="120" w:line="440" w:lineRule="exact"/>
              <w:ind w:right="72"/>
              <w:jc w:val="both"/>
              <w:rPr>
                <w:rFonts w:ascii="宋体" w:hAnsi="宋体" w:cs="宋体"/>
                <w:color w:val="auto"/>
                <w:sz w:val="24"/>
                <w:szCs w:val="21"/>
              </w:rPr>
            </w:pPr>
            <w:r>
              <w:rPr>
                <w:rFonts w:hint="eastAsia" w:ascii="宋体" w:hAnsi="宋体" w:cs="宋体"/>
                <w:color w:val="auto"/>
                <w:sz w:val="24"/>
                <w:szCs w:val="21"/>
              </w:rPr>
              <w:t>单位</w:t>
            </w:r>
          </w:p>
        </w:tc>
        <w:tc>
          <w:tcPr>
            <w:tcW w:w="851" w:type="dxa"/>
            <w:tcBorders>
              <w:top w:val="single" w:color="auto" w:sz="12" w:space="0"/>
              <w:bottom w:val="single" w:color="auto" w:sz="6" w:space="0"/>
            </w:tcBorders>
            <w:vAlign w:val="center"/>
          </w:tcPr>
          <w:p>
            <w:pPr>
              <w:keepNext/>
              <w:widowControl w:val="0"/>
              <w:spacing w:after="120" w:line="440" w:lineRule="exact"/>
              <w:ind w:right="72"/>
              <w:jc w:val="both"/>
              <w:rPr>
                <w:rFonts w:ascii="宋体" w:hAnsi="宋体" w:cs="宋体"/>
                <w:color w:val="auto"/>
                <w:sz w:val="24"/>
                <w:szCs w:val="21"/>
              </w:rPr>
            </w:pPr>
            <w:r>
              <w:rPr>
                <w:rFonts w:hint="eastAsia" w:ascii="宋体" w:hAnsi="宋体" w:cs="宋体"/>
                <w:color w:val="auto"/>
                <w:sz w:val="24"/>
                <w:szCs w:val="21"/>
              </w:rPr>
              <w:t>数量</w:t>
            </w:r>
          </w:p>
        </w:tc>
        <w:tc>
          <w:tcPr>
            <w:tcW w:w="1044" w:type="dxa"/>
            <w:tcBorders>
              <w:top w:val="single" w:color="auto" w:sz="12" w:space="0"/>
              <w:bottom w:val="single" w:color="auto" w:sz="6" w:space="0"/>
            </w:tcBorders>
            <w:vAlign w:val="center"/>
          </w:tcPr>
          <w:p>
            <w:pPr>
              <w:keepNext/>
              <w:widowControl w:val="0"/>
              <w:spacing w:after="120" w:line="440" w:lineRule="exact"/>
              <w:ind w:right="72"/>
              <w:jc w:val="both"/>
              <w:rPr>
                <w:rFonts w:ascii="宋体" w:hAnsi="宋体" w:cs="宋体"/>
                <w:color w:val="auto"/>
                <w:sz w:val="24"/>
                <w:szCs w:val="21"/>
              </w:rPr>
            </w:pPr>
            <w:r>
              <w:rPr>
                <w:rFonts w:hint="eastAsia" w:ascii="宋体" w:hAnsi="宋体" w:cs="宋体"/>
                <w:color w:val="auto"/>
                <w:sz w:val="24"/>
                <w:szCs w:val="21"/>
              </w:rPr>
              <w:t>单价（元）</w:t>
            </w:r>
          </w:p>
        </w:tc>
        <w:tc>
          <w:tcPr>
            <w:tcW w:w="992" w:type="dxa"/>
            <w:tcBorders>
              <w:top w:val="single" w:color="auto" w:sz="12" w:space="0"/>
              <w:bottom w:val="single" w:color="auto" w:sz="6" w:space="0"/>
            </w:tcBorders>
            <w:vAlign w:val="center"/>
          </w:tcPr>
          <w:p>
            <w:pPr>
              <w:keepNext/>
              <w:widowControl w:val="0"/>
              <w:spacing w:after="120" w:line="440" w:lineRule="exact"/>
              <w:ind w:right="72"/>
              <w:jc w:val="both"/>
              <w:rPr>
                <w:rFonts w:ascii="宋体" w:hAnsi="宋体" w:cs="宋体"/>
                <w:color w:val="auto"/>
                <w:sz w:val="24"/>
                <w:szCs w:val="21"/>
              </w:rPr>
            </w:pPr>
            <w:r>
              <w:rPr>
                <w:rFonts w:hint="eastAsia" w:ascii="宋体" w:hAnsi="宋体" w:cs="宋体"/>
                <w:color w:val="auto"/>
                <w:sz w:val="24"/>
                <w:szCs w:val="21"/>
              </w:rPr>
              <w:t>质量等级</w:t>
            </w:r>
          </w:p>
        </w:tc>
        <w:tc>
          <w:tcPr>
            <w:tcW w:w="851" w:type="dxa"/>
            <w:tcBorders>
              <w:top w:val="single" w:color="auto" w:sz="12" w:space="0"/>
              <w:bottom w:val="single" w:color="auto" w:sz="6" w:space="0"/>
            </w:tcBorders>
            <w:vAlign w:val="center"/>
          </w:tcPr>
          <w:p>
            <w:pPr>
              <w:keepNext/>
              <w:widowControl w:val="0"/>
              <w:spacing w:after="120" w:line="440" w:lineRule="exact"/>
              <w:ind w:right="72"/>
              <w:jc w:val="both"/>
              <w:rPr>
                <w:rFonts w:ascii="宋体" w:hAnsi="宋体" w:cs="宋体"/>
                <w:color w:val="auto"/>
                <w:sz w:val="24"/>
                <w:szCs w:val="21"/>
              </w:rPr>
            </w:pPr>
            <w:r>
              <w:rPr>
                <w:rFonts w:hint="eastAsia" w:ascii="宋体" w:hAnsi="宋体" w:cs="宋体"/>
                <w:color w:val="auto"/>
                <w:sz w:val="24"/>
                <w:szCs w:val="21"/>
              </w:rPr>
              <w:t>供应时间</w:t>
            </w:r>
          </w:p>
        </w:tc>
        <w:tc>
          <w:tcPr>
            <w:tcW w:w="1487" w:type="dxa"/>
            <w:tcBorders>
              <w:top w:val="single" w:color="auto" w:sz="12" w:space="0"/>
              <w:bottom w:val="single" w:color="auto" w:sz="6" w:space="0"/>
            </w:tcBorders>
            <w:vAlign w:val="center"/>
          </w:tcPr>
          <w:p>
            <w:pPr>
              <w:keepNext/>
              <w:widowControl w:val="0"/>
              <w:spacing w:after="120" w:line="440" w:lineRule="exact"/>
              <w:ind w:right="72"/>
              <w:jc w:val="both"/>
              <w:rPr>
                <w:rFonts w:ascii="宋体" w:hAnsi="宋体" w:cs="宋体"/>
                <w:color w:val="auto"/>
                <w:sz w:val="24"/>
                <w:szCs w:val="21"/>
              </w:rPr>
            </w:pPr>
            <w:r>
              <w:rPr>
                <w:rFonts w:hint="eastAsia" w:ascii="宋体" w:hAnsi="宋体" w:cs="宋体"/>
                <w:color w:val="auto"/>
                <w:sz w:val="24"/>
                <w:szCs w:val="21"/>
              </w:rPr>
              <w:t>送达地点</w:t>
            </w:r>
          </w:p>
        </w:tc>
        <w:tc>
          <w:tcPr>
            <w:tcW w:w="992" w:type="dxa"/>
            <w:tcBorders>
              <w:top w:val="single" w:color="auto" w:sz="12" w:space="0"/>
              <w:bottom w:val="single" w:color="auto" w:sz="6" w:space="0"/>
            </w:tcBorders>
            <w:vAlign w:val="center"/>
          </w:tcPr>
          <w:p>
            <w:pPr>
              <w:keepNext/>
              <w:widowControl w:val="0"/>
              <w:spacing w:after="120" w:line="440" w:lineRule="exact"/>
              <w:ind w:right="72"/>
              <w:jc w:val="both"/>
              <w:rPr>
                <w:rFonts w:ascii="宋体" w:hAnsi="宋体" w:cs="宋体"/>
                <w:color w:val="auto"/>
                <w:sz w:val="24"/>
                <w:szCs w:val="21"/>
              </w:rPr>
            </w:pPr>
            <w:r>
              <w:rPr>
                <w:rFonts w:hint="eastAsia" w:ascii="宋体" w:hAnsi="宋体" w:cs="宋体"/>
                <w:color w:val="auto"/>
                <w:sz w:val="24"/>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tcBorders>
              <w:top w:val="single" w:color="auto" w:sz="6" w:space="0"/>
              <w:bottom w:val="single" w:color="auto" w:sz="6" w:space="0"/>
            </w:tcBorders>
            <w:vAlign w:val="center"/>
          </w:tcPr>
          <w:p>
            <w:pPr>
              <w:keepNext/>
              <w:widowControl w:val="0"/>
              <w:spacing w:after="120" w:line="440" w:lineRule="exact"/>
              <w:ind w:right="72"/>
              <w:jc w:val="both"/>
              <w:rPr>
                <w:rFonts w:ascii="宋体" w:hAnsi="宋体" w:cs="宋体"/>
                <w:color w:val="auto"/>
                <w:sz w:val="24"/>
                <w:szCs w:val="21"/>
              </w:rPr>
            </w:pPr>
          </w:p>
        </w:tc>
        <w:tc>
          <w:tcPr>
            <w:tcW w:w="1276" w:type="dxa"/>
            <w:tcBorders>
              <w:top w:val="single" w:color="auto" w:sz="6" w:space="0"/>
              <w:bottom w:val="single" w:color="auto" w:sz="6" w:space="0"/>
            </w:tcBorders>
            <w:vAlign w:val="center"/>
          </w:tcPr>
          <w:p>
            <w:pPr>
              <w:keepNext/>
              <w:widowControl w:val="0"/>
              <w:spacing w:after="120" w:line="440" w:lineRule="exact"/>
              <w:ind w:right="72"/>
              <w:jc w:val="both"/>
              <w:rPr>
                <w:rFonts w:ascii="宋体" w:hAnsi="宋体" w:cs="宋体"/>
                <w:color w:val="auto"/>
                <w:sz w:val="24"/>
                <w:szCs w:val="21"/>
              </w:rPr>
            </w:pPr>
          </w:p>
        </w:tc>
        <w:tc>
          <w:tcPr>
            <w:tcW w:w="1418" w:type="dxa"/>
            <w:tcBorders>
              <w:top w:val="single" w:color="auto" w:sz="6" w:space="0"/>
              <w:bottom w:val="single" w:color="auto" w:sz="6" w:space="0"/>
            </w:tcBorders>
            <w:vAlign w:val="center"/>
          </w:tcPr>
          <w:p>
            <w:pPr>
              <w:keepNext/>
              <w:widowControl w:val="0"/>
              <w:spacing w:after="120" w:line="440" w:lineRule="exact"/>
              <w:ind w:right="72"/>
              <w:jc w:val="both"/>
              <w:rPr>
                <w:rFonts w:ascii="宋体" w:hAnsi="宋体" w:cs="宋体"/>
                <w:color w:val="auto"/>
                <w:sz w:val="24"/>
                <w:szCs w:val="21"/>
              </w:rPr>
            </w:pPr>
          </w:p>
        </w:tc>
        <w:tc>
          <w:tcPr>
            <w:tcW w:w="940" w:type="dxa"/>
            <w:tcBorders>
              <w:top w:val="single" w:color="auto" w:sz="6" w:space="0"/>
              <w:bottom w:val="single" w:color="auto" w:sz="6" w:space="0"/>
            </w:tcBorders>
            <w:vAlign w:val="center"/>
          </w:tcPr>
          <w:p>
            <w:pPr>
              <w:keepNext/>
              <w:widowControl w:val="0"/>
              <w:spacing w:after="120" w:line="440" w:lineRule="exact"/>
              <w:ind w:right="72"/>
              <w:jc w:val="both"/>
              <w:rPr>
                <w:rFonts w:ascii="宋体" w:hAnsi="宋体" w:cs="宋体"/>
                <w:color w:val="auto"/>
                <w:sz w:val="24"/>
                <w:szCs w:val="21"/>
              </w:rPr>
            </w:pPr>
          </w:p>
        </w:tc>
        <w:tc>
          <w:tcPr>
            <w:tcW w:w="851" w:type="dxa"/>
            <w:tcBorders>
              <w:top w:val="single" w:color="auto" w:sz="6" w:space="0"/>
              <w:bottom w:val="single" w:color="auto" w:sz="6" w:space="0"/>
            </w:tcBorders>
            <w:vAlign w:val="center"/>
          </w:tcPr>
          <w:p>
            <w:pPr>
              <w:keepNext/>
              <w:widowControl w:val="0"/>
              <w:spacing w:after="120" w:line="440" w:lineRule="exact"/>
              <w:ind w:right="72"/>
              <w:jc w:val="both"/>
              <w:rPr>
                <w:rFonts w:ascii="宋体" w:hAnsi="宋体" w:cs="宋体"/>
                <w:color w:val="auto"/>
                <w:sz w:val="24"/>
                <w:szCs w:val="21"/>
              </w:rPr>
            </w:pPr>
          </w:p>
        </w:tc>
        <w:tc>
          <w:tcPr>
            <w:tcW w:w="1044" w:type="dxa"/>
            <w:tcBorders>
              <w:top w:val="single" w:color="auto" w:sz="6" w:space="0"/>
              <w:bottom w:val="single" w:color="auto" w:sz="6" w:space="0"/>
            </w:tcBorders>
            <w:vAlign w:val="center"/>
          </w:tcPr>
          <w:p>
            <w:pPr>
              <w:keepNext/>
              <w:widowControl w:val="0"/>
              <w:spacing w:after="120" w:line="440" w:lineRule="exact"/>
              <w:ind w:right="72"/>
              <w:jc w:val="both"/>
              <w:rPr>
                <w:rFonts w:ascii="宋体" w:hAnsi="宋体" w:cs="宋体"/>
                <w:color w:val="auto"/>
                <w:sz w:val="24"/>
                <w:szCs w:val="21"/>
              </w:rPr>
            </w:pPr>
          </w:p>
        </w:tc>
        <w:tc>
          <w:tcPr>
            <w:tcW w:w="992" w:type="dxa"/>
            <w:tcBorders>
              <w:top w:val="single" w:color="auto" w:sz="6" w:space="0"/>
              <w:bottom w:val="single" w:color="auto" w:sz="6" w:space="0"/>
            </w:tcBorders>
            <w:vAlign w:val="center"/>
          </w:tcPr>
          <w:p>
            <w:pPr>
              <w:keepNext/>
              <w:widowControl w:val="0"/>
              <w:spacing w:after="120" w:line="440" w:lineRule="exact"/>
              <w:ind w:right="72"/>
              <w:jc w:val="both"/>
              <w:rPr>
                <w:rFonts w:ascii="宋体" w:hAnsi="宋体" w:cs="宋体"/>
                <w:color w:val="auto"/>
                <w:sz w:val="24"/>
                <w:szCs w:val="21"/>
              </w:rPr>
            </w:pPr>
          </w:p>
        </w:tc>
        <w:tc>
          <w:tcPr>
            <w:tcW w:w="851" w:type="dxa"/>
            <w:tcBorders>
              <w:top w:val="single" w:color="auto" w:sz="6" w:space="0"/>
              <w:bottom w:val="single" w:color="auto" w:sz="6" w:space="0"/>
            </w:tcBorders>
            <w:vAlign w:val="center"/>
          </w:tcPr>
          <w:p>
            <w:pPr>
              <w:keepNext/>
              <w:widowControl w:val="0"/>
              <w:spacing w:after="120" w:line="440" w:lineRule="exact"/>
              <w:ind w:right="72"/>
              <w:jc w:val="both"/>
              <w:rPr>
                <w:rFonts w:ascii="宋体" w:hAnsi="宋体" w:cs="宋体"/>
                <w:color w:val="auto"/>
                <w:sz w:val="24"/>
                <w:szCs w:val="21"/>
              </w:rPr>
            </w:pPr>
          </w:p>
        </w:tc>
        <w:tc>
          <w:tcPr>
            <w:tcW w:w="1487" w:type="dxa"/>
            <w:tcBorders>
              <w:top w:val="single" w:color="auto" w:sz="6" w:space="0"/>
              <w:bottom w:val="single" w:color="auto" w:sz="6" w:space="0"/>
            </w:tcBorders>
            <w:vAlign w:val="center"/>
          </w:tcPr>
          <w:p>
            <w:pPr>
              <w:keepNext/>
              <w:widowControl w:val="0"/>
              <w:spacing w:after="120" w:line="440" w:lineRule="exact"/>
              <w:ind w:right="72"/>
              <w:jc w:val="both"/>
              <w:rPr>
                <w:rFonts w:ascii="宋体" w:hAnsi="宋体" w:cs="宋体"/>
                <w:color w:val="auto"/>
                <w:sz w:val="24"/>
                <w:szCs w:val="21"/>
              </w:rPr>
            </w:pPr>
          </w:p>
        </w:tc>
        <w:tc>
          <w:tcPr>
            <w:tcW w:w="992" w:type="dxa"/>
            <w:tcBorders>
              <w:top w:val="single" w:color="auto" w:sz="6" w:space="0"/>
              <w:bottom w:val="single" w:color="auto" w:sz="6" w:space="0"/>
            </w:tcBorders>
            <w:vAlign w:val="center"/>
          </w:tcPr>
          <w:p>
            <w:pPr>
              <w:keepNext/>
              <w:widowControl w:val="0"/>
              <w:spacing w:after="120" w:line="440" w:lineRule="exact"/>
              <w:ind w:right="72"/>
              <w:jc w:val="both"/>
              <w:rPr>
                <w:rFonts w:ascii="宋体" w:hAnsi="宋体" w:cs="宋体"/>
                <w:color w:val="auto"/>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1276"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1418"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940"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851"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1044"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992"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851"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1487"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c>
          <w:tcPr>
            <w:tcW w:w="992" w:type="dxa"/>
            <w:tcBorders>
              <w:top w:val="nil"/>
            </w:tcBorders>
            <w:vAlign w:val="center"/>
          </w:tcPr>
          <w:p>
            <w:pPr>
              <w:keepNext/>
              <w:widowControl w:val="0"/>
              <w:spacing w:after="120" w:line="440" w:lineRule="exact"/>
              <w:ind w:right="72"/>
              <w:jc w:val="both"/>
              <w:rPr>
                <w:rFonts w:ascii="宋体" w:hAnsi="宋体" w:cs="宋体"/>
                <w:color w:val="auto"/>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keepNext/>
              <w:widowControl w:val="0"/>
              <w:spacing w:after="120" w:line="440" w:lineRule="exact"/>
              <w:ind w:right="72"/>
              <w:jc w:val="both"/>
              <w:rPr>
                <w:rFonts w:ascii="宋体" w:hAnsi="宋体" w:cs="宋体"/>
                <w:color w:val="auto"/>
                <w:sz w:val="24"/>
                <w:szCs w:val="21"/>
              </w:rPr>
            </w:pPr>
          </w:p>
        </w:tc>
        <w:tc>
          <w:tcPr>
            <w:tcW w:w="1276" w:type="dxa"/>
            <w:vAlign w:val="center"/>
          </w:tcPr>
          <w:p>
            <w:pPr>
              <w:keepNext/>
              <w:widowControl w:val="0"/>
              <w:spacing w:after="120" w:line="440" w:lineRule="exact"/>
              <w:ind w:right="72"/>
              <w:jc w:val="both"/>
              <w:rPr>
                <w:rFonts w:ascii="宋体" w:hAnsi="宋体" w:cs="宋体"/>
                <w:color w:val="auto"/>
                <w:sz w:val="24"/>
                <w:szCs w:val="21"/>
              </w:rPr>
            </w:pPr>
          </w:p>
        </w:tc>
        <w:tc>
          <w:tcPr>
            <w:tcW w:w="1418" w:type="dxa"/>
            <w:vAlign w:val="center"/>
          </w:tcPr>
          <w:p>
            <w:pPr>
              <w:keepNext/>
              <w:widowControl w:val="0"/>
              <w:spacing w:after="120" w:line="440" w:lineRule="exact"/>
              <w:ind w:right="72"/>
              <w:jc w:val="both"/>
              <w:rPr>
                <w:rFonts w:ascii="宋体" w:hAnsi="宋体" w:cs="宋体"/>
                <w:color w:val="auto"/>
                <w:sz w:val="24"/>
                <w:szCs w:val="21"/>
              </w:rPr>
            </w:pPr>
          </w:p>
        </w:tc>
        <w:tc>
          <w:tcPr>
            <w:tcW w:w="940" w:type="dxa"/>
            <w:vAlign w:val="center"/>
          </w:tcPr>
          <w:p>
            <w:pPr>
              <w:keepNext/>
              <w:widowControl w:val="0"/>
              <w:spacing w:after="120" w:line="440" w:lineRule="exact"/>
              <w:ind w:right="72"/>
              <w:jc w:val="both"/>
              <w:rPr>
                <w:rFonts w:ascii="宋体" w:hAnsi="宋体" w:cs="宋体"/>
                <w:color w:val="auto"/>
                <w:sz w:val="24"/>
                <w:szCs w:val="21"/>
              </w:rPr>
            </w:pPr>
          </w:p>
        </w:tc>
        <w:tc>
          <w:tcPr>
            <w:tcW w:w="851" w:type="dxa"/>
            <w:vAlign w:val="center"/>
          </w:tcPr>
          <w:p>
            <w:pPr>
              <w:keepNext/>
              <w:widowControl w:val="0"/>
              <w:spacing w:after="120" w:line="440" w:lineRule="exact"/>
              <w:ind w:right="72"/>
              <w:jc w:val="both"/>
              <w:rPr>
                <w:rFonts w:ascii="宋体" w:hAnsi="宋体" w:cs="宋体"/>
                <w:color w:val="auto"/>
                <w:sz w:val="24"/>
                <w:szCs w:val="21"/>
              </w:rPr>
            </w:pPr>
          </w:p>
        </w:tc>
        <w:tc>
          <w:tcPr>
            <w:tcW w:w="1044" w:type="dxa"/>
            <w:vAlign w:val="center"/>
          </w:tcPr>
          <w:p>
            <w:pPr>
              <w:keepNext/>
              <w:widowControl w:val="0"/>
              <w:spacing w:after="120" w:line="440" w:lineRule="exact"/>
              <w:ind w:right="72"/>
              <w:jc w:val="both"/>
              <w:rPr>
                <w:rFonts w:ascii="宋体" w:hAnsi="宋体" w:cs="宋体"/>
                <w:color w:val="auto"/>
                <w:sz w:val="24"/>
                <w:szCs w:val="21"/>
              </w:rPr>
            </w:pPr>
          </w:p>
        </w:tc>
        <w:tc>
          <w:tcPr>
            <w:tcW w:w="992" w:type="dxa"/>
            <w:vAlign w:val="center"/>
          </w:tcPr>
          <w:p>
            <w:pPr>
              <w:keepNext/>
              <w:widowControl w:val="0"/>
              <w:spacing w:after="120" w:line="440" w:lineRule="exact"/>
              <w:ind w:right="72"/>
              <w:jc w:val="both"/>
              <w:rPr>
                <w:rFonts w:ascii="宋体" w:hAnsi="宋体" w:cs="宋体"/>
                <w:color w:val="auto"/>
                <w:sz w:val="24"/>
                <w:szCs w:val="21"/>
              </w:rPr>
            </w:pPr>
          </w:p>
        </w:tc>
        <w:tc>
          <w:tcPr>
            <w:tcW w:w="851" w:type="dxa"/>
            <w:vAlign w:val="center"/>
          </w:tcPr>
          <w:p>
            <w:pPr>
              <w:keepNext/>
              <w:widowControl w:val="0"/>
              <w:spacing w:after="120" w:line="440" w:lineRule="exact"/>
              <w:ind w:right="72"/>
              <w:jc w:val="both"/>
              <w:rPr>
                <w:rFonts w:ascii="宋体" w:hAnsi="宋体" w:cs="宋体"/>
                <w:color w:val="auto"/>
                <w:sz w:val="24"/>
                <w:szCs w:val="21"/>
              </w:rPr>
            </w:pPr>
          </w:p>
        </w:tc>
        <w:tc>
          <w:tcPr>
            <w:tcW w:w="1487" w:type="dxa"/>
            <w:vAlign w:val="center"/>
          </w:tcPr>
          <w:p>
            <w:pPr>
              <w:keepNext/>
              <w:widowControl w:val="0"/>
              <w:spacing w:after="120" w:line="440" w:lineRule="exact"/>
              <w:ind w:right="72"/>
              <w:jc w:val="both"/>
              <w:rPr>
                <w:rFonts w:ascii="宋体" w:hAnsi="宋体" w:cs="宋体"/>
                <w:color w:val="auto"/>
                <w:sz w:val="24"/>
                <w:szCs w:val="21"/>
              </w:rPr>
            </w:pPr>
          </w:p>
        </w:tc>
        <w:tc>
          <w:tcPr>
            <w:tcW w:w="992" w:type="dxa"/>
            <w:vAlign w:val="center"/>
          </w:tcPr>
          <w:p>
            <w:pPr>
              <w:keepNext/>
              <w:widowControl w:val="0"/>
              <w:spacing w:after="120" w:line="440" w:lineRule="exact"/>
              <w:ind w:right="72"/>
              <w:jc w:val="both"/>
              <w:rPr>
                <w:rFonts w:ascii="宋体" w:hAnsi="宋体" w:cs="宋体"/>
                <w:color w:val="auto"/>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keepNext/>
              <w:widowControl w:val="0"/>
              <w:spacing w:after="120" w:line="440" w:lineRule="exact"/>
              <w:ind w:right="72"/>
              <w:jc w:val="both"/>
              <w:rPr>
                <w:rFonts w:ascii="宋体" w:hAnsi="宋体" w:cs="宋体"/>
                <w:color w:val="auto"/>
                <w:sz w:val="24"/>
                <w:szCs w:val="21"/>
              </w:rPr>
            </w:pPr>
          </w:p>
        </w:tc>
        <w:tc>
          <w:tcPr>
            <w:tcW w:w="1276" w:type="dxa"/>
            <w:vAlign w:val="center"/>
          </w:tcPr>
          <w:p>
            <w:pPr>
              <w:keepNext/>
              <w:widowControl w:val="0"/>
              <w:spacing w:after="120" w:line="440" w:lineRule="exact"/>
              <w:ind w:right="72"/>
              <w:jc w:val="both"/>
              <w:rPr>
                <w:rFonts w:ascii="宋体" w:hAnsi="宋体" w:cs="宋体"/>
                <w:color w:val="auto"/>
                <w:sz w:val="24"/>
                <w:szCs w:val="21"/>
              </w:rPr>
            </w:pPr>
          </w:p>
        </w:tc>
        <w:tc>
          <w:tcPr>
            <w:tcW w:w="1418" w:type="dxa"/>
            <w:vAlign w:val="center"/>
          </w:tcPr>
          <w:p>
            <w:pPr>
              <w:keepNext/>
              <w:widowControl w:val="0"/>
              <w:spacing w:after="120" w:line="440" w:lineRule="exact"/>
              <w:ind w:right="72"/>
              <w:jc w:val="both"/>
              <w:rPr>
                <w:rFonts w:ascii="宋体" w:hAnsi="宋体" w:cs="宋体"/>
                <w:color w:val="auto"/>
                <w:sz w:val="24"/>
                <w:szCs w:val="21"/>
              </w:rPr>
            </w:pPr>
          </w:p>
        </w:tc>
        <w:tc>
          <w:tcPr>
            <w:tcW w:w="940" w:type="dxa"/>
            <w:vAlign w:val="center"/>
          </w:tcPr>
          <w:p>
            <w:pPr>
              <w:keepNext/>
              <w:widowControl w:val="0"/>
              <w:spacing w:after="120" w:line="440" w:lineRule="exact"/>
              <w:ind w:right="72"/>
              <w:jc w:val="both"/>
              <w:rPr>
                <w:rFonts w:ascii="宋体" w:hAnsi="宋体" w:cs="宋体"/>
                <w:color w:val="auto"/>
                <w:sz w:val="24"/>
                <w:szCs w:val="21"/>
              </w:rPr>
            </w:pPr>
          </w:p>
        </w:tc>
        <w:tc>
          <w:tcPr>
            <w:tcW w:w="851" w:type="dxa"/>
            <w:vAlign w:val="center"/>
          </w:tcPr>
          <w:p>
            <w:pPr>
              <w:keepNext/>
              <w:widowControl w:val="0"/>
              <w:spacing w:after="120" w:line="440" w:lineRule="exact"/>
              <w:ind w:right="72"/>
              <w:jc w:val="both"/>
              <w:rPr>
                <w:rFonts w:ascii="宋体" w:hAnsi="宋体" w:cs="宋体"/>
                <w:color w:val="auto"/>
                <w:sz w:val="24"/>
                <w:szCs w:val="21"/>
              </w:rPr>
            </w:pPr>
          </w:p>
        </w:tc>
        <w:tc>
          <w:tcPr>
            <w:tcW w:w="1044" w:type="dxa"/>
            <w:vAlign w:val="center"/>
          </w:tcPr>
          <w:p>
            <w:pPr>
              <w:keepNext/>
              <w:widowControl w:val="0"/>
              <w:spacing w:after="120" w:line="440" w:lineRule="exact"/>
              <w:ind w:right="72"/>
              <w:jc w:val="both"/>
              <w:rPr>
                <w:rFonts w:ascii="宋体" w:hAnsi="宋体" w:cs="宋体"/>
                <w:color w:val="auto"/>
                <w:sz w:val="24"/>
                <w:szCs w:val="21"/>
              </w:rPr>
            </w:pPr>
          </w:p>
        </w:tc>
        <w:tc>
          <w:tcPr>
            <w:tcW w:w="992" w:type="dxa"/>
            <w:vAlign w:val="center"/>
          </w:tcPr>
          <w:p>
            <w:pPr>
              <w:keepNext/>
              <w:widowControl w:val="0"/>
              <w:spacing w:after="120" w:line="440" w:lineRule="exact"/>
              <w:ind w:right="72"/>
              <w:jc w:val="both"/>
              <w:rPr>
                <w:rFonts w:ascii="宋体" w:hAnsi="宋体" w:cs="宋体"/>
                <w:color w:val="auto"/>
                <w:sz w:val="24"/>
                <w:szCs w:val="21"/>
              </w:rPr>
            </w:pPr>
          </w:p>
        </w:tc>
        <w:tc>
          <w:tcPr>
            <w:tcW w:w="851" w:type="dxa"/>
            <w:vAlign w:val="center"/>
          </w:tcPr>
          <w:p>
            <w:pPr>
              <w:keepNext/>
              <w:widowControl w:val="0"/>
              <w:spacing w:after="120" w:line="440" w:lineRule="exact"/>
              <w:ind w:right="72"/>
              <w:jc w:val="both"/>
              <w:rPr>
                <w:rFonts w:ascii="宋体" w:hAnsi="宋体" w:cs="宋体"/>
                <w:color w:val="auto"/>
                <w:sz w:val="24"/>
                <w:szCs w:val="21"/>
              </w:rPr>
            </w:pPr>
          </w:p>
        </w:tc>
        <w:tc>
          <w:tcPr>
            <w:tcW w:w="1487" w:type="dxa"/>
            <w:vAlign w:val="center"/>
          </w:tcPr>
          <w:p>
            <w:pPr>
              <w:keepNext/>
              <w:widowControl w:val="0"/>
              <w:spacing w:after="120" w:line="440" w:lineRule="exact"/>
              <w:ind w:right="72"/>
              <w:jc w:val="both"/>
              <w:rPr>
                <w:rFonts w:ascii="宋体" w:hAnsi="宋体" w:cs="宋体"/>
                <w:color w:val="auto"/>
                <w:sz w:val="24"/>
                <w:szCs w:val="21"/>
              </w:rPr>
            </w:pPr>
          </w:p>
        </w:tc>
        <w:tc>
          <w:tcPr>
            <w:tcW w:w="992" w:type="dxa"/>
            <w:vAlign w:val="center"/>
          </w:tcPr>
          <w:p>
            <w:pPr>
              <w:keepNext/>
              <w:widowControl w:val="0"/>
              <w:spacing w:after="120" w:line="440" w:lineRule="exact"/>
              <w:ind w:right="72"/>
              <w:jc w:val="both"/>
              <w:rPr>
                <w:rFonts w:ascii="宋体" w:hAnsi="宋体" w:cs="宋体"/>
                <w:color w:val="auto"/>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keepNext/>
              <w:widowControl w:val="0"/>
              <w:spacing w:after="120" w:line="440" w:lineRule="exact"/>
              <w:ind w:right="72"/>
              <w:jc w:val="both"/>
              <w:rPr>
                <w:rFonts w:ascii="宋体" w:hAnsi="宋体" w:cs="宋体"/>
                <w:color w:val="auto"/>
                <w:sz w:val="24"/>
                <w:szCs w:val="21"/>
              </w:rPr>
            </w:pPr>
          </w:p>
        </w:tc>
        <w:tc>
          <w:tcPr>
            <w:tcW w:w="1276" w:type="dxa"/>
            <w:vAlign w:val="center"/>
          </w:tcPr>
          <w:p>
            <w:pPr>
              <w:keepNext/>
              <w:widowControl w:val="0"/>
              <w:spacing w:after="120" w:line="440" w:lineRule="exact"/>
              <w:ind w:right="72"/>
              <w:jc w:val="both"/>
              <w:rPr>
                <w:rFonts w:ascii="宋体" w:hAnsi="宋体" w:cs="宋体"/>
                <w:color w:val="auto"/>
                <w:sz w:val="24"/>
                <w:szCs w:val="21"/>
              </w:rPr>
            </w:pPr>
          </w:p>
        </w:tc>
        <w:tc>
          <w:tcPr>
            <w:tcW w:w="1418" w:type="dxa"/>
            <w:vAlign w:val="center"/>
          </w:tcPr>
          <w:p>
            <w:pPr>
              <w:keepNext/>
              <w:widowControl w:val="0"/>
              <w:spacing w:after="120" w:line="440" w:lineRule="exact"/>
              <w:ind w:right="72"/>
              <w:jc w:val="both"/>
              <w:rPr>
                <w:rFonts w:ascii="宋体" w:hAnsi="宋体" w:cs="宋体"/>
                <w:color w:val="auto"/>
                <w:sz w:val="24"/>
                <w:szCs w:val="21"/>
              </w:rPr>
            </w:pPr>
          </w:p>
        </w:tc>
        <w:tc>
          <w:tcPr>
            <w:tcW w:w="940" w:type="dxa"/>
            <w:vAlign w:val="center"/>
          </w:tcPr>
          <w:p>
            <w:pPr>
              <w:keepNext/>
              <w:widowControl w:val="0"/>
              <w:spacing w:after="120" w:line="440" w:lineRule="exact"/>
              <w:ind w:right="72"/>
              <w:jc w:val="both"/>
              <w:rPr>
                <w:rFonts w:ascii="宋体" w:hAnsi="宋体" w:cs="宋体"/>
                <w:color w:val="auto"/>
                <w:sz w:val="24"/>
                <w:szCs w:val="21"/>
              </w:rPr>
            </w:pPr>
          </w:p>
        </w:tc>
        <w:tc>
          <w:tcPr>
            <w:tcW w:w="851" w:type="dxa"/>
            <w:vAlign w:val="center"/>
          </w:tcPr>
          <w:p>
            <w:pPr>
              <w:keepNext/>
              <w:widowControl w:val="0"/>
              <w:spacing w:after="120" w:line="440" w:lineRule="exact"/>
              <w:ind w:right="72"/>
              <w:jc w:val="both"/>
              <w:rPr>
                <w:rFonts w:ascii="宋体" w:hAnsi="宋体" w:cs="宋体"/>
                <w:color w:val="auto"/>
                <w:sz w:val="24"/>
                <w:szCs w:val="21"/>
              </w:rPr>
            </w:pPr>
          </w:p>
        </w:tc>
        <w:tc>
          <w:tcPr>
            <w:tcW w:w="1044" w:type="dxa"/>
            <w:vAlign w:val="center"/>
          </w:tcPr>
          <w:p>
            <w:pPr>
              <w:keepNext/>
              <w:widowControl w:val="0"/>
              <w:spacing w:after="120" w:line="440" w:lineRule="exact"/>
              <w:ind w:right="72"/>
              <w:jc w:val="both"/>
              <w:rPr>
                <w:rFonts w:ascii="宋体" w:hAnsi="宋体" w:cs="宋体"/>
                <w:color w:val="auto"/>
                <w:sz w:val="24"/>
                <w:szCs w:val="21"/>
              </w:rPr>
            </w:pPr>
          </w:p>
        </w:tc>
        <w:tc>
          <w:tcPr>
            <w:tcW w:w="992" w:type="dxa"/>
            <w:vAlign w:val="center"/>
          </w:tcPr>
          <w:p>
            <w:pPr>
              <w:keepNext/>
              <w:widowControl w:val="0"/>
              <w:spacing w:after="120" w:line="440" w:lineRule="exact"/>
              <w:ind w:right="72"/>
              <w:jc w:val="both"/>
              <w:rPr>
                <w:rFonts w:ascii="宋体" w:hAnsi="宋体" w:cs="宋体"/>
                <w:color w:val="auto"/>
                <w:sz w:val="24"/>
                <w:szCs w:val="21"/>
              </w:rPr>
            </w:pPr>
          </w:p>
        </w:tc>
        <w:tc>
          <w:tcPr>
            <w:tcW w:w="851" w:type="dxa"/>
            <w:vAlign w:val="center"/>
          </w:tcPr>
          <w:p>
            <w:pPr>
              <w:keepNext/>
              <w:widowControl w:val="0"/>
              <w:spacing w:after="120" w:line="440" w:lineRule="exact"/>
              <w:ind w:right="72"/>
              <w:jc w:val="both"/>
              <w:rPr>
                <w:rFonts w:ascii="宋体" w:hAnsi="宋体" w:cs="宋体"/>
                <w:color w:val="auto"/>
                <w:sz w:val="24"/>
                <w:szCs w:val="21"/>
              </w:rPr>
            </w:pPr>
          </w:p>
        </w:tc>
        <w:tc>
          <w:tcPr>
            <w:tcW w:w="1487" w:type="dxa"/>
            <w:vAlign w:val="center"/>
          </w:tcPr>
          <w:p>
            <w:pPr>
              <w:keepNext/>
              <w:widowControl w:val="0"/>
              <w:spacing w:after="120" w:line="440" w:lineRule="exact"/>
              <w:ind w:right="72"/>
              <w:jc w:val="both"/>
              <w:rPr>
                <w:rFonts w:ascii="宋体" w:hAnsi="宋体" w:cs="宋体"/>
                <w:color w:val="auto"/>
                <w:sz w:val="24"/>
                <w:szCs w:val="21"/>
              </w:rPr>
            </w:pPr>
          </w:p>
        </w:tc>
        <w:tc>
          <w:tcPr>
            <w:tcW w:w="992" w:type="dxa"/>
            <w:vAlign w:val="center"/>
          </w:tcPr>
          <w:p>
            <w:pPr>
              <w:keepNext/>
              <w:widowControl w:val="0"/>
              <w:spacing w:after="120" w:line="440" w:lineRule="exact"/>
              <w:ind w:right="72"/>
              <w:jc w:val="both"/>
              <w:rPr>
                <w:rFonts w:ascii="宋体" w:hAnsi="宋体" w:cs="宋体"/>
                <w:color w:val="auto"/>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keepNext/>
              <w:widowControl w:val="0"/>
              <w:spacing w:after="120" w:line="440" w:lineRule="exact"/>
              <w:ind w:right="72"/>
              <w:jc w:val="both"/>
              <w:rPr>
                <w:rFonts w:ascii="宋体" w:hAnsi="宋体" w:cs="宋体"/>
                <w:color w:val="auto"/>
                <w:sz w:val="24"/>
                <w:szCs w:val="21"/>
              </w:rPr>
            </w:pPr>
          </w:p>
        </w:tc>
        <w:tc>
          <w:tcPr>
            <w:tcW w:w="1276" w:type="dxa"/>
            <w:vAlign w:val="center"/>
          </w:tcPr>
          <w:p>
            <w:pPr>
              <w:keepNext/>
              <w:widowControl w:val="0"/>
              <w:spacing w:after="120" w:line="440" w:lineRule="exact"/>
              <w:ind w:right="72"/>
              <w:jc w:val="both"/>
              <w:rPr>
                <w:rFonts w:ascii="宋体" w:hAnsi="宋体" w:cs="宋体"/>
                <w:color w:val="auto"/>
                <w:sz w:val="24"/>
                <w:szCs w:val="21"/>
              </w:rPr>
            </w:pPr>
          </w:p>
        </w:tc>
        <w:tc>
          <w:tcPr>
            <w:tcW w:w="1418" w:type="dxa"/>
            <w:vAlign w:val="center"/>
          </w:tcPr>
          <w:p>
            <w:pPr>
              <w:keepNext/>
              <w:widowControl w:val="0"/>
              <w:spacing w:after="120" w:line="440" w:lineRule="exact"/>
              <w:ind w:right="72"/>
              <w:jc w:val="both"/>
              <w:rPr>
                <w:rFonts w:ascii="宋体" w:hAnsi="宋体" w:cs="宋体"/>
                <w:color w:val="auto"/>
                <w:sz w:val="24"/>
                <w:szCs w:val="21"/>
              </w:rPr>
            </w:pPr>
          </w:p>
        </w:tc>
        <w:tc>
          <w:tcPr>
            <w:tcW w:w="940" w:type="dxa"/>
            <w:vAlign w:val="center"/>
          </w:tcPr>
          <w:p>
            <w:pPr>
              <w:keepNext/>
              <w:widowControl w:val="0"/>
              <w:spacing w:after="120" w:line="440" w:lineRule="exact"/>
              <w:ind w:right="72"/>
              <w:jc w:val="both"/>
              <w:rPr>
                <w:rFonts w:ascii="宋体" w:hAnsi="宋体" w:cs="宋体"/>
                <w:color w:val="auto"/>
                <w:sz w:val="24"/>
                <w:szCs w:val="21"/>
              </w:rPr>
            </w:pPr>
          </w:p>
        </w:tc>
        <w:tc>
          <w:tcPr>
            <w:tcW w:w="851" w:type="dxa"/>
            <w:vAlign w:val="center"/>
          </w:tcPr>
          <w:p>
            <w:pPr>
              <w:keepNext/>
              <w:widowControl w:val="0"/>
              <w:spacing w:after="120" w:line="440" w:lineRule="exact"/>
              <w:ind w:right="72"/>
              <w:jc w:val="both"/>
              <w:rPr>
                <w:rFonts w:ascii="宋体" w:hAnsi="宋体" w:cs="宋体"/>
                <w:color w:val="auto"/>
                <w:sz w:val="24"/>
                <w:szCs w:val="21"/>
              </w:rPr>
            </w:pPr>
          </w:p>
        </w:tc>
        <w:tc>
          <w:tcPr>
            <w:tcW w:w="1044" w:type="dxa"/>
            <w:vAlign w:val="center"/>
          </w:tcPr>
          <w:p>
            <w:pPr>
              <w:keepNext/>
              <w:widowControl w:val="0"/>
              <w:spacing w:after="120" w:line="440" w:lineRule="exact"/>
              <w:ind w:right="72"/>
              <w:jc w:val="both"/>
              <w:rPr>
                <w:rFonts w:ascii="宋体" w:hAnsi="宋体" w:cs="宋体"/>
                <w:color w:val="auto"/>
                <w:sz w:val="24"/>
                <w:szCs w:val="21"/>
              </w:rPr>
            </w:pPr>
          </w:p>
        </w:tc>
        <w:tc>
          <w:tcPr>
            <w:tcW w:w="992" w:type="dxa"/>
            <w:vAlign w:val="center"/>
          </w:tcPr>
          <w:p>
            <w:pPr>
              <w:keepNext/>
              <w:widowControl w:val="0"/>
              <w:spacing w:after="120" w:line="440" w:lineRule="exact"/>
              <w:ind w:right="72"/>
              <w:jc w:val="both"/>
              <w:rPr>
                <w:rFonts w:ascii="宋体" w:hAnsi="宋体" w:cs="宋体"/>
                <w:color w:val="auto"/>
                <w:sz w:val="24"/>
                <w:szCs w:val="21"/>
              </w:rPr>
            </w:pPr>
          </w:p>
        </w:tc>
        <w:tc>
          <w:tcPr>
            <w:tcW w:w="851" w:type="dxa"/>
            <w:vAlign w:val="center"/>
          </w:tcPr>
          <w:p>
            <w:pPr>
              <w:keepNext/>
              <w:widowControl w:val="0"/>
              <w:spacing w:after="120" w:line="440" w:lineRule="exact"/>
              <w:ind w:right="72"/>
              <w:jc w:val="both"/>
              <w:rPr>
                <w:rFonts w:ascii="宋体" w:hAnsi="宋体" w:cs="宋体"/>
                <w:color w:val="auto"/>
                <w:sz w:val="24"/>
                <w:szCs w:val="21"/>
              </w:rPr>
            </w:pPr>
          </w:p>
        </w:tc>
        <w:tc>
          <w:tcPr>
            <w:tcW w:w="1487" w:type="dxa"/>
            <w:vAlign w:val="center"/>
          </w:tcPr>
          <w:p>
            <w:pPr>
              <w:keepNext/>
              <w:widowControl w:val="0"/>
              <w:spacing w:after="120" w:line="440" w:lineRule="exact"/>
              <w:ind w:right="72"/>
              <w:jc w:val="both"/>
              <w:rPr>
                <w:rFonts w:ascii="宋体" w:hAnsi="宋体" w:cs="宋体"/>
                <w:color w:val="auto"/>
                <w:sz w:val="24"/>
                <w:szCs w:val="21"/>
              </w:rPr>
            </w:pPr>
          </w:p>
        </w:tc>
        <w:tc>
          <w:tcPr>
            <w:tcW w:w="992" w:type="dxa"/>
            <w:vAlign w:val="center"/>
          </w:tcPr>
          <w:p>
            <w:pPr>
              <w:keepNext/>
              <w:widowControl w:val="0"/>
              <w:spacing w:after="120" w:line="440" w:lineRule="exact"/>
              <w:ind w:right="72"/>
              <w:jc w:val="both"/>
              <w:rPr>
                <w:rFonts w:ascii="宋体" w:hAnsi="宋体" w:cs="宋体"/>
                <w:color w:val="auto"/>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keepNext/>
              <w:widowControl w:val="0"/>
              <w:spacing w:after="120" w:line="440" w:lineRule="exact"/>
              <w:ind w:right="72"/>
              <w:jc w:val="both"/>
              <w:rPr>
                <w:rFonts w:ascii="宋体" w:hAnsi="宋体" w:cs="宋体"/>
                <w:color w:val="auto"/>
                <w:sz w:val="24"/>
                <w:szCs w:val="21"/>
              </w:rPr>
            </w:pPr>
          </w:p>
        </w:tc>
        <w:tc>
          <w:tcPr>
            <w:tcW w:w="1276" w:type="dxa"/>
            <w:vAlign w:val="center"/>
          </w:tcPr>
          <w:p>
            <w:pPr>
              <w:keepNext/>
              <w:widowControl w:val="0"/>
              <w:spacing w:after="120" w:line="440" w:lineRule="exact"/>
              <w:ind w:right="72"/>
              <w:jc w:val="both"/>
              <w:rPr>
                <w:rFonts w:ascii="宋体" w:hAnsi="宋体" w:cs="宋体"/>
                <w:color w:val="auto"/>
                <w:sz w:val="24"/>
                <w:szCs w:val="21"/>
              </w:rPr>
            </w:pPr>
          </w:p>
        </w:tc>
        <w:tc>
          <w:tcPr>
            <w:tcW w:w="1418" w:type="dxa"/>
            <w:vAlign w:val="center"/>
          </w:tcPr>
          <w:p>
            <w:pPr>
              <w:keepNext/>
              <w:widowControl w:val="0"/>
              <w:spacing w:after="120" w:line="440" w:lineRule="exact"/>
              <w:ind w:right="72"/>
              <w:jc w:val="both"/>
              <w:rPr>
                <w:rFonts w:ascii="宋体" w:hAnsi="宋体" w:cs="宋体"/>
                <w:color w:val="auto"/>
                <w:sz w:val="24"/>
                <w:szCs w:val="21"/>
              </w:rPr>
            </w:pPr>
          </w:p>
        </w:tc>
        <w:tc>
          <w:tcPr>
            <w:tcW w:w="940" w:type="dxa"/>
            <w:vAlign w:val="center"/>
          </w:tcPr>
          <w:p>
            <w:pPr>
              <w:keepNext/>
              <w:widowControl w:val="0"/>
              <w:spacing w:after="120" w:line="440" w:lineRule="exact"/>
              <w:ind w:right="72"/>
              <w:jc w:val="both"/>
              <w:rPr>
                <w:rFonts w:ascii="宋体" w:hAnsi="宋体" w:cs="宋体"/>
                <w:color w:val="auto"/>
                <w:sz w:val="24"/>
                <w:szCs w:val="21"/>
              </w:rPr>
            </w:pPr>
          </w:p>
        </w:tc>
        <w:tc>
          <w:tcPr>
            <w:tcW w:w="851" w:type="dxa"/>
            <w:vAlign w:val="center"/>
          </w:tcPr>
          <w:p>
            <w:pPr>
              <w:keepNext/>
              <w:widowControl w:val="0"/>
              <w:spacing w:after="120" w:line="440" w:lineRule="exact"/>
              <w:ind w:right="72"/>
              <w:jc w:val="both"/>
              <w:rPr>
                <w:rFonts w:ascii="宋体" w:hAnsi="宋体" w:cs="宋体"/>
                <w:color w:val="auto"/>
                <w:sz w:val="24"/>
                <w:szCs w:val="21"/>
              </w:rPr>
            </w:pPr>
          </w:p>
        </w:tc>
        <w:tc>
          <w:tcPr>
            <w:tcW w:w="1044" w:type="dxa"/>
            <w:vAlign w:val="center"/>
          </w:tcPr>
          <w:p>
            <w:pPr>
              <w:keepNext/>
              <w:widowControl w:val="0"/>
              <w:spacing w:after="120" w:line="440" w:lineRule="exact"/>
              <w:ind w:right="72"/>
              <w:jc w:val="both"/>
              <w:rPr>
                <w:rFonts w:ascii="宋体" w:hAnsi="宋体" w:cs="宋体"/>
                <w:color w:val="auto"/>
                <w:sz w:val="24"/>
                <w:szCs w:val="21"/>
              </w:rPr>
            </w:pPr>
          </w:p>
        </w:tc>
        <w:tc>
          <w:tcPr>
            <w:tcW w:w="992" w:type="dxa"/>
            <w:vAlign w:val="center"/>
          </w:tcPr>
          <w:p>
            <w:pPr>
              <w:keepNext/>
              <w:widowControl w:val="0"/>
              <w:spacing w:after="120" w:line="440" w:lineRule="exact"/>
              <w:ind w:right="72"/>
              <w:jc w:val="both"/>
              <w:rPr>
                <w:rFonts w:ascii="宋体" w:hAnsi="宋体" w:cs="宋体"/>
                <w:color w:val="auto"/>
                <w:sz w:val="24"/>
                <w:szCs w:val="21"/>
              </w:rPr>
            </w:pPr>
          </w:p>
        </w:tc>
        <w:tc>
          <w:tcPr>
            <w:tcW w:w="851" w:type="dxa"/>
            <w:vAlign w:val="center"/>
          </w:tcPr>
          <w:p>
            <w:pPr>
              <w:keepNext/>
              <w:widowControl w:val="0"/>
              <w:spacing w:after="120" w:line="440" w:lineRule="exact"/>
              <w:ind w:right="72"/>
              <w:jc w:val="both"/>
              <w:rPr>
                <w:rFonts w:ascii="宋体" w:hAnsi="宋体" w:cs="宋体"/>
                <w:color w:val="auto"/>
                <w:sz w:val="24"/>
                <w:szCs w:val="21"/>
              </w:rPr>
            </w:pPr>
          </w:p>
        </w:tc>
        <w:tc>
          <w:tcPr>
            <w:tcW w:w="1487" w:type="dxa"/>
            <w:vAlign w:val="center"/>
          </w:tcPr>
          <w:p>
            <w:pPr>
              <w:keepNext/>
              <w:widowControl w:val="0"/>
              <w:spacing w:after="120" w:line="440" w:lineRule="exact"/>
              <w:ind w:right="72"/>
              <w:jc w:val="both"/>
              <w:rPr>
                <w:rFonts w:ascii="宋体" w:hAnsi="宋体" w:cs="宋体"/>
                <w:color w:val="auto"/>
                <w:sz w:val="24"/>
                <w:szCs w:val="21"/>
              </w:rPr>
            </w:pPr>
          </w:p>
        </w:tc>
        <w:tc>
          <w:tcPr>
            <w:tcW w:w="992" w:type="dxa"/>
            <w:vAlign w:val="center"/>
          </w:tcPr>
          <w:p>
            <w:pPr>
              <w:keepNext/>
              <w:widowControl w:val="0"/>
              <w:spacing w:after="120" w:line="440" w:lineRule="exact"/>
              <w:ind w:right="72"/>
              <w:jc w:val="both"/>
              <w:rPr>
                <w:rFonts w:ascii="宋体" w:hAnsi="宋体" w:cs="宋体"/>
                <w:color w:val="auto"/>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keepNext/>
              <w:widowControl w:val="0"/>
              <w:spacing w:after="120" w:line="440" w:lineRule="exact"/>
              <w:ind w:right="72"/>
              <w:jc w:val="both"/>
              <w:rPr>
                <w:rFonts w:ascii="宋体" w:hAnsi="宋体" w:cs="宋体"/>
                <w:color w:val="auto"/>
                <w:sz w:val="24"/>
                <w:szCs w:val="21"/>
              </w:rPr>
            </w:pPr>
          </w:p>
        </w:tc>
        <w:tc>
          <w:tcPr>
            <w:tcW w:w="1276" w:type="dxa"/>
            <w:vAlign w:val="center"/>
          </w:tcPr>
          <w:p>
            <w:pPr>
              <w:keepNext/>
              <w:widowControl w:val="0"/>
              <w:spacing w:after="120" w:line="440" w:lineRule="exact"/>
              <w:ind w:right="72"/>
              <w:jc w:val="both"/>
              <w:rPr>
                <w:rFonts w:ascii="宋体" w:hAnsi="宋体" w:cs="宋体"/>
                <w:color w:val="auto"/>
                <w:sz w:val="24"/>
                <w:szCs w:val="21"/>
              </w:rPr>
            </w:pPr>
          </w:p>
        </w:tc>
        <w:tc>
          <w:tcPr>
            <w:tcW w:w="1418" w:type="dxa"/>
            <w:vAlign w:val="center"/>
          </w:tcPr>
          <w:p>
            <w:pPr>
              <w:keepNext/>
              <w:widowControl w:val="0"/>
              <w:spacing w:after="120" w:line="440" w:lineRule="exact"/>
              <w:ind w:right="72"/>
              <w:jc w:val="both"/>
              <w:rPr>
                <w:rFonts w:ascii="宋体" w:hAnsi="宋体" w:cs="宋体"/>
                <w:color w:val="auto"/>
                <w:sz w:val="24"/>
                <w:szCs w:val="21"/>
              </w:rPr>
            </w:pPr>
          </w:p>
        </w:tc>
        <w:tc>
          <w:tcPr>
            <w:tcW w:w="940" w:type="dxa"/>
            <w:vAlign w:val="center"/>
          </w:tcPr>
          <w:p>
            <w:pPr>
              <w:keepNext/>
              <w:widowControl w:val="0"/>
              <w:spacing w:after="120" w:line="440" w:lineRule="exact"/>
              <w:ind w:right="72"/>
              <w:jc w:val="both"/>
              <w:rPr>
                <w:rFonts w:ascii="宋体" w:hAnsi="宋体" w:cs="宋体"/>
                <w:color w:val="auto"/>
                <w:sz w:val="24"/>
                <w:szCs w:val="21"/>
              </w:rPr>
            </w:pPr>
          </w:p>
        </w:tc>
        <w:tc>
          <w:tcPr>
            <w:tcW w:w="851" w:type="dxa"/>
            <w:vAlign w:val="center"/>
          </w:tcPr>
          <w:p>
            <w:pPr>
              <w:keepNext/>
              <w:widowControl w:val="0"/>
              <w:spacing w:after="120" w:line="440" w:lineRule="exact"/>
              <w:ind w:right="72"/>
              <w:jc w:val="both"/>
              <w:rPr>
                <w:rFonts w:ascii="宋体" w:hAnsi="宋体" w:cs="宋体"/>
                <w:color w:val="auto"/>
                <w:sz w:val="24"/>
                <w:szCs w:val="21"/>
              </w:rPr>
            </w:pPr>
          </w:p>
        </w:tc>
        <w:tc>
          <w:tcPr>
            <w:tcW w:w="1044" w:type="dxa"/>
            <w:vAlign w:val="center"/>
          </w:tcPr>
          <w:p>
            <w:pPr>
              <w:keepNext/>
              <w:widowControl w:val="0"/>
              <w:spacing w:after="120" w:line="440" w:lineRule="exact"/>
              <w:ind w:right="72"/>
              <w:jc w:val="both"/>
              <w:rPr>
                <w:rFonts w:ascii="宋体" w:hAnsi="宋体" w:cs="宋体"/>
                <w:color w:val="auto"/>
                <w:sz w:val="24"/>
                <w:szCs w:val="21"/>
              </w:rPr>
            </w:pPr>
          </w:p>
        </w:tc>
        <w:tc>
          <w:tcPr>
            <w:tcW w:w="992" w:type="dxa"/>
            <w:vAlign w:val="center"/>
          </w:tcPr>
          <w:p>
            <w:pPr>
              <w:keepNext/>
              <w:widowControl w:val="0"/>
              <w:spacing w:after="120" w:line="440" w:lineRule="exact"/>
              <w:ind w:right="72"/>
              <w:jc w:val="both"/>
              <w:rPr>
                <w:rFonts w:ascii="宋体" w:hAnsi="宋体" w:cs="宋体"/>
                <w:color w:val="auto"/>
                <w:sz w:val="24"/>
                <w:szCs w:val="21"/>
              </w:rPr>
            </w:pPr>
          </w:p>
        </w:tc>
        <w:tc>
          <w:tcPr>
            <w:tcW w:w="851" w:type="dxa"/>
            <w:vAlign w:val="center"/>
          </w:tcPr>
          <w:p>
            <w:pPr>
              <w:keepNext/>
              <w:widowControl w:val="0"/>
              <w:spacing w:after="120" w:line="440" w:lineRule="exact"/>
              <w:ind w:right="72"/>
              <w:jc w:val="both"/>
              <w:rPr>
                <w:rFonts w:ascii="宋体" w:hAnsi="宋体" w:cs="宋体"/>
                <w:color w:val="auto"/>
                <w:sz w:val="24"/>
                <w:szCs w:val="21"/>
              </w:rPr>
            </w:pPr>
          </w:p>
        </w:tc>
        <w:tc>
          <w:tcPr>
            <w:tcW w:w="1487" w:type="dxa"/>
            <w:vAlign w:val="center"/>
          </w:tcPr>
          <w:p>
            <w:pPr>
              <w:keepNext/>
              <w:widowControl w:val="0"/>
              <w:spacing w:after="120" w:line="440" w:lineRule="exact"/>
              <w:ind w:right="72"/>
              <w:jc w:val="both"/>
              <w:rPr>
                <w:rFonts w:ascii="宋体" w:hAnsi="宋体" w:cs="宋体"/>
                <w:color w:val="auto"/>
                <w:sz w:val="24"/>
                <w:szCs w:val="21"/>
              </w:rPr>
            </w:pPr>
          </w:p>
        </w:tc>
        <w:tc>
          <w:tcPr>
            <w:tcW w:w="992" w:type="dxa"/>
            <w:vAlign w:val="center"/>
          </w:tcPr>
          <w:p>
            <w:pPr>
              <w:keepNext/>
              <w:widowControl w:val="0"/>
              <w:spacing w:after="120" w:line="440" w:lineRule="exact"/>
              <w:ind w:right="72"/>
              <w:jc w:val="both"/>
              <w:rPr>
                <w:rFonts w:ascii="宋体" w:hAnsi="宋体" w:cs="宋体"/>
                <w:color w:val="auto"/>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jc w:val="center"/>
              <w:rPr>
                <w:color w:val="auto"/>
                <w:sz w:val="21"/>
                <w:szCs w:val="21"/>
              </w:rPr>
            </w:pPr>
          </w:p>
        </w:tc>
        <w:tc>
          <w:tcPr>
            <w:tcW w:w="1276" w:type="dxa"/>
            <w:vAlign w:val="center"/>
          </w:tcPr>
          <w:p>
            <w:pPr>
              <w:jc w:val="center"/>
              <w:rPr>
                <w:color w:val="auto"/>
                <w:sz w:val="21"/>
                <w:szCs w:val="21"/>
              </w:rPr>
            </w:pPr>
          </w:p>
        </w:tc>
        <w:tc>
          <w:tcPr>
            <w:tcW w:w="1418" w:type="dxa"/>
            <w:vAlign w:val="center"/>
          </w:tcPr>
          <w:p>
            <w:pPr>
              <w:jc w:val="center"/>
              <w:rPr>
                <w:color w:val="auto"/>
                <w:sz w:val="21"/>
                <w:szCs w:val="21"/>
              </w:rPr>
            </w:pPr>
          </w:p>
        </w:tc>
        <w:tc>
          <w:tcPr>
            <w:tcW w:w="940" w:type="dxa"/>
            <w:vAlign w:val="center"/>
          </w:tcPr>
          <w:p>
            <w:pPr>
              <w:jc w:val="center"/>
              <w:rPr>
                <w:color w:val="auto"/>
                <w:sz w:val="21"/>
                <w:szCs w:val="21"/>
              </w:rPr>
            </w:pPr>
          </w:p>
        </w:tc>
        <w:tc>
          <w:tcPr>
            <w:tcW w:w="851" w:type="dxa"/>
            <w:vAlign w:val="center"/>
          </w:tcPr>
          <w:p>
            <w:pPr>
              <w:jc w:val="center"/>
              <w:rPr>
                <w:color w:val="auto"/>
                <w:sz w:val="21"/>
                <w:szCs w:val="21"/>
              </w:rPr>
            </w:pPr>
          </w:p>
        </w:tc>
        <w:tc>
          <w:tcPr>
            <w:tcW w:w="1044" w:type="dxa"/>
            <w:vAlign w:val="center"/>
          </w:tcPr>
          <w:p>
            <w:pPr>
              <w:jc w:val="center"/>
              <w:rPr>
                <w:color w:val="auto"/>
                <w:sz w:val="21"/>
                <w:szCs w:val="21"/>
              </w:rPr>
            </w:pPr>
          </w:p>
        </w:tc>
        <w:tc>
          <w:tcPr>
            <w:tcW w:w="992" w:type="dxa"/>
            <w:vAlign w:val="center"/>
          </w:tcPr>
          <w:p>
            <w:pPr>
              <w:jc w:val="center"/>
              <w:rPr>
                <w:color w:val="auto"/>
                <w:sz w:val="21"/>
                <w:szCs w:val="21"/>
              </w:rPr>
            </w:pPr>
          </w:p>
        </w:tc>
        <w:tc>
          <w:tcPr>
            <w:tcW w:w="851" w:type="dxa"/>
            <w:vAlign w:val="center"/>
          </w:tcPr>
          <w:p>
            <w:pPr>
              <w:jc w:val="center"/>
              <w:rPr>
                <w:color w:val="auto"/>
                <w:sz w:val="21"/>
                <w:szCs w:val="21"/>
              </w:rPr>
            </w:pPr>
          </w:p>
        </w:tc>
        <w:tc>
          <w:tcPr>
            <w:tcW w:w="1487" w:type="dxa"/>
            <w:vAlign w:val="center"/>
          </w:tcPr>
          <w:p>
            <w:pPr>
              <w:jc w:val="center"/>
              <w:rPr>
                <w:color w:val="auto"/>
                <w:sz w:val="21"/>
                <w:szCs w:val="21"/>
              </w:rPr>
            </w:pPr>
          </w:p>
        </w:tc>
        <w:tc>
          <w:tcPr>
            <w:tcW w:w="992" w:type="dxa"/>
            <w:vAlign w:val="center"/>
          </w:tcPr>
          <w:p>
            <w:pPr>
              <w:jc w:val="center"/>
              <w:rPr>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keepNext/>
              <w:widowControl w:val="0"/>
              <w:spacing w:after="120" w:line="440" w:lineRule="exact"/>
              <w:ind w:right="72"/>
              <w:jc w:val="both"/>
              <w:rPr>
                <w:rFonts w:ascii="宋体" w:hAnsi="宋体" w:cs="宋体"/>
                <w:color w:val="auto"/>
                <w:sz w:val="24"/>
                <w:szCs w:val="21"/>
              </w:rPr>
            </w:pPr>
          </w:p>
        </w:tc>
        <w:tc>
          <w:tcPr>
            <w:tcW w:w="1276" w:type="dxa"/>
            <w:vAlign w:val="center"/>
          </w:tcPr>
          <w:p>
            <w:pPr>
              <w:keepNext/>
              <w:widowControl w:val="0"/>
              <w:spacing w:after="120" w:line="440" w:lineRule="exact"/>
              <w:ind w:right="72"/>
              <w:jc w:val="both"/>
              <w:rPr>
                <w:rFonts w:ascii="宋体" w:hAnsi="宋体" w:cs="宋体"/>
                <w:color w:val="auto"/>
                <w:sz w:val="24"/>
                <w:szCs w:val="21"/>
              </w:rPr>
            </w:pPr>
          </w:p>
        </w:tc>
        <w:tc>
          <w:tcPr>
            <w:tcW w:w="1418" w:type="dxa"/>
            <w:vAlign w:val="center"/>
          </w:tcPr>
          <w:p>
            <w:pPr>
              <w:keepNext/>
              <w:widowControl w:val="0"/>
              <w:spacing w:after="120" w:line="440" w:lineRule="exact"/>
              <w:ind w:right="72"/>
              <w:jc w:val="both"/>
              <w:rPr>
                <w:rFonts w:ascii="宋体" w:hAnsi="宋体" w:cs="宋体"/>
                <w:color w:val="auto"/>
                <w:sz w:val="24"/>
                <w:szCs w:val="21"/>
              </w:rPr>
            </w:pPr>
          </w:p>
        </w:tc>
        <w:tc>
          <w:tcPr>
            <w:tcW w:w="940" w:type="dxa"/>
            <w:vAlign w:val="center"/>
          </w:tcPr>
          <w:p>
            <w:pPr>
              <w:keepNext/>
              <w:widowControl w:val="0"/>
              <w:spacing w:after="120" w:line="440" w:lineRule="exact"/>
              <w:ind w:right="72"/>
              <w:jc w:val="both"/>
              <w:rPr>
                <w:rFonts w:ascii="宋体" w:hAnsi="宋体" w:cs="宋体"/>
                <w:color w:val="auto"/>
                <w:sz w:val="24"/>
                <w:szCs w:val="21"/>
              </w:rPr>
            </w:pPr>
          </w:p>
        </w:tc>
        <w:tc>
          <w:tcPr>
            <w:tcW w:w="851" w:type="dxa"/>
            <w:vAlign w:val="center"/>
          </w:tcPr>
          <w:p>
            <w:pPr>
              <w:keepNext/>
              <w:widowControl w:val="0"/>
              <w:spacing w:after="120" w:line="440" w:lineRule="exact"/>
              <w:ind w:right="72"/>
              <w:jc w:val="both"/>
              <w:rPr>
                <w:rFonts w:ascii="宋体" w:hAnsi="宋体" w:cs="宋体"/>
                <w:color w:val="auto"/>
                <w:sz w:val="24"/>
                <w:szCs w:val="21"/>
              </w:rPr>
            </w:pPr>
          </w:p>
        </w:tc>
        <w:tc>
          <w:tcPr>
            <w:tcW w:w="1044" w:type="dxa"/>
            <w:vAlign w:val="center"/>
          </w:tcPr>
          <w:p>
            <w:pPr>
              <w:keepNext/>
              <w:widowControl w:val="0"/>
              <w:spacing w:after="120" w:line="440" w:lineRule="exact"/>
              <w:ind w:right="72"/>
              <w:jc w:val="both"/>
              <w:rPr>
                <w:rFonts w:ascii="宋体" w:hAnsi="宋体" w:cs="宋体"/>
                <w:color w:val="auto"/>
                <w:sz w:val="24"/>
                <w:szCs w:val="21"/>
              </w:rPr>
            </w:pPr>
          </w:p>
        </w:tc>
        <w:tc>
          <w:tcPr>
            <w:tcW w:w="992" w:type="dxa"/>
            <w:vAlign w:val="center"/>
          </w:tcPr>
          <w:p>
            <w:pPr>
              <w:keepNext/>
              <w:widowControl w:val="0"/>
              <w:spacing w:after="120" w:line="440" w:lineRule="exact"/>
              <w:ind w:right="72"/>
              <w:jc w:val="both"/>
              <w:rPr>
                <w:rFonts w:ascii="宋体" w:hAnsi="宋体" w:cs="宋体"/>
                <w:color w:val="auto"/>
                <w:sz w:val="24"/>
                <w:szCs w:val="21"/>
              </w:rPr>
            </w:pPr>
          </w:p>
        </w:tc>
        <w:tc>
          <w:tcPr>
            <w:tcW w:w="851" w:type="dxa"/>
            <w:vAlign w:val="center"/>
          </w:tcPr>
          <w:p>
            <w:pPr>
              <w:keepNext/>
              <w:widowControl w:val="0"/>
              <w:spacing w:after="120" w:line="440" w:lineRule="exact"/>
              <w:ind w:right="72"/>
              <w:jc w:val="both"/>
              <w:rPr>
                <w:rFonts w:ascii="宋体" w:hAnsi="宋体" w:cs="宋体"/>
                <w:color w:val="auto"/>
                <w:sz w:val="24"/>
                <w:szCs w:val="21"/>
              </w:rPr>
            </w:pPr>
          </w:p>
        </w:tc>
        <w:tc>
          <w:tcPr>
            <w:tcW w:w="1487" w:type="dxa"/>
            <w:vAlign w:val="center"/>
          </w:tcPr>
          <w:p>
            <w:pPr>
              <w:keepNext/>
              <w:widowControl w:val="0"/>
              <w:spacing w:after="120" w:line="440" w:lineRule="exact"/>
              <w:ind w:right="72"/>
              <w:jc w:val="both"/>
              <w:rPr>
                <w:rFonts w:ascii="宋体" w:hAnsi="宋体" w:cs="宋体"/>
                <w:color w:val="auto"/>
                <w:sz w:val="24"/>
                <w:szCs w:val="21"/>
              </w:rPr>
            </w:pPr>
          </w:p>
        </w:tc>
        <w:tc>
          <w:tcPr>
            <w:tcW w:w="992" w:type="dxa"/>
            <w:vAlign w:val="center"/>
          </w:tcPr>
          <w:p>
            <w:pPr>
              <w:keepNext/>
              <w:widowControl w:val="0"/>
              <w:spacing w:after="120" w:line="440" w:lineRule="exact"/>
              <w:ind w:right="72"/>
              <w:jc w:val="both"/>
              <w:rPr>
                <w:rFonts w:ascii="宋体" w:hAnsi="宋体" w:cs="宋体"/>
                <w:color w:val="auto"/>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jc w:val="center"/>
              <w:rPr>
                <w:color w:val="auto"/>
                <w:sz w:val="21"/>
                <w:szCs w:val="21"/>
              </w:rPr>
            </w:pPr>
          </w:p>
        </w:tc>
        <w:tc>
          <w:tcPr>
            <w:tcW w:w="1276" w:type="dxa"/>
            <w:vAlign w:val="center"/>
          </w:tcPr>
          <w:p>
            <w:pPr>
              <w:jc w:val="center"/>
              <w:rPr>
                <w:color w:val="auto"/>
                <w:sz w:val="21"/>
                <w:szCs w:val="21"/>
              </w:rPr>
            </w:pPr>
          </w:p>
        </w:tc>
        <w:tc>
          <w:tcPr>
            <w:tcW w:w="1418" w:type="dxa"/>
            <w:vAlign w:val="center"/>
          </w:tcPr>
          <w:p>
            <w:pPr>
              <w:jc w:val="center"/>
              <w:rPr>
                <w:color w:val="auto"/>
                <w:sz w:val="21"/>
                <w:szCs w:val="21"/>
              </w:rPr>
            </w:pPr>
          </w:p>
        </w:tc>
        <w:tc>
          <w:tcPr>
            <w:tcW w:w="940" w:type="dxa"/>
            <w:vAlign w:val="center"/>
          </w:tcPr>
          <w:p>
            <w:pPr>
              <w:jc w:val="center"/>
              <w:rPr>
                <w:color w:val="auto"/>
                <w:sz w:val="21"/>
                <w:szCs w:val="21"/>
              </w:rPr>
            </w:pPr>
          </w:p>
        </w:tc>
        <w:tc>
          <w:tcPr>
            <w:tcW w:w="851" w:type="dxa"/>
            <w:vAlign w:val="center"/>
          </w:tcPr>
          <w:p>
            <w:pPr>
              <w:jc w:val="center"/>
              <w:rPr>
                <w:color w:val="auto"/>
                <w:sz w:val="21"/>
                <w:szCs w:val="21"/>
              </w:rPr>
            </w:pPr>
          </w:p>
        </w:tc>
        <w:tc>
          <w:tcPr>
            <w:tcW w:w="1044" w:type="dxa"/>
            <w:vAlign w:val="center"/>
          </w:tcPr>
          <w:p>
            <w:pPr>
              <w:jc w:val="center"/>
              <w:rPr>
                <w:color w:val="auto"/>
                <w:sz w:val="21"/>
                <w:szCs w:val="21"/>
              </w:rPr>
            </w:pPr>
          </w:p>
        </w:tc>
        <w:tc>
          <w:tcPr>
            <w:tcW w:w="992" w:type="dxa"/>
            <w:vAlign w:val="center"/>
          </w:tcPr>
          <w:p>
            <w:pPr>
              <w:jc w:val="center"/>
              <w:rPr>
                <w:color w:val="auto"/>
                <w:sz w:val="21"/>
                <w:szCs w:val="21"/>
              </w:rPr>
            </w:pPr>
          </w:p>
        </w:tc>
        <w:tc>
          <w:tcPr>
            <w:tcW w:w="851" w:type="dxa"/>
            <w:vAlign w:val="center"/>
          </w:tcPr>
          <w:p>
            <w:pPr>
              <w:jc w:val="center"/>
              <w:rPr>
                <w:color w:val="auto"/>
                <w:sz w:val="21"/>
                <w:szCs w:val="21"/>
              </w:rPr>
            </w:pPr>
          </w:p>
        </w:tc>
        <w:tc>
          <w:tcPr>
            <w:tcW w:w="1487" w:type="dxa"/>
            <w:vAlign w:val="center"/>
          </w:tcPr>
          <w:p>
            <w:pPr>
              <w:jc w:val="center"/>
              <w:rPr>
                <w:color w:val="auto"/>
                <w:sz w:val="21"/>
                <w:szCs w:val="21"/>
              </w:rPr>
            </w:pPr>
          </w:p>
        </w:tc>
        <w:tc>
          <w:tcPr>
            <w:tcW w:w="992" w:type="dxa"/>
            <w:vAlign w:val="center"/>
          </w:tcPr>
          <w:p>
            <w:pPr>
              <w:jc w:val="center"/>
              <w:rPr>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jc w:val="center"/>
              <w:rPr>
                <w:color w:val="auto"/>
                <w:sz w:val="21"/>
                <w:szCs w:val="21"/>
              </w:rPr>
            </w:pPr>
          </w:p>
        </w:tc>
        <w:tc>
          <w:tcPr>
            <w:tcW w:w="1276" w:type="dxa"/>
            <w:vAlign w:val="center"/>
          </w:tcPr>
          <w:p>
            <w:pPr>
              <w:jc w:val="center"/>
              <w:rPr>
                <w:color w:val="auto"/>
                <w:sz w:val="21"/>
                <w:szCs w:val="21"/>
              </w:rPr>
            </w:pPr>
          </w:p>
        </w:tc>
        <w:tc>
          <w:tcPr>
            <w:tcW w:w="1418" w:type="dxa"/>
            <w:vAlign w:val="center"/>
          </w:tcPr>
          <w:p>
            <w:pPr>
              <w:jc w:val="center"/>
              <w:rPr>
                <w:color w:val="auto"/>
                <w:sz w:val="21"/>
                <w:szCs w:val="21"/>
              </w:rPr>
            </w:pPr>
          </w:p>
        </w:tc>
        <w:tc>
          <w:tcPr>
            <w:tcW w:w="940" w:type="dxa"/>
            <w:vAlign w:val="center"/>
          </w:tcPr>
          <w:p>
            <w:pPr>
              <w:jc w:val="center"/>
              <w:rPr>
                <w:color w:val="auto"/>
                <w:sz w:val="21"/>
                <w:szCs w:val="21"/>
              </w:rPr>
            </w:pPr>
          </w:p>
        </w:tc>
        <w:tc>
          <w:tcPr>
            <w:tcW w:w="851" w:type="dxa"/>
            <w:vAlign w:val="center"/>
          </w:tcPr>
          <w:p>
            <w:pPr>
              <w:jc w:val="center"/>
              <w:rPr>
                <w:color w:val="auto"/>
                <w:sz w:val="21"/>
                <w:szCs w:val="21"/>
              </w:rPr>
            </w:pPr>
          </w:p>
        </w:tc>
        <w:tc>
          <w:tcPr>
            <w:tcW w:w="1044" w:type="dxa"/>
            <w:vAlign w:val="center"/>
          </w:tcPr>
          <w:p>
            <w:pPr>
              <w:jc w:val="center"/>
              <w:rPr>
                <w:color w:val="auto"/>
                <w:sz w:val="21"/>
                <w:szCs w:val="21"/>
              </w:rPr>
            </w:pPr>
          </w:p>
        </w:tc>
        <w:tc>
          <w:tcPr>
            <w:tcW w:w="992" w:type="dxa"/>
            <w:vAlign w:val="center"/>
          </w:tcPr>
          <w:p>
            <w:pPr>
              <w:jc w:val="center"/>
              <w:rPr>
                <w:color w:val="auto"/>
                <w:sz w:val="21"/>
                <w:szCs w:val="21"/>
              </w:rPr>
            </w:pPr>
          </w:p>
        </w:tc>
        <w:tc>
          <w:tcPr>
            <w:tcW w:w="851" w:type="dxa"/>
            <w:vAlign w:val="center"/>
          </w:tcPr>
          <w:p>
            <w:pPr>
              <w:jc w:val="center"/>
              <w:rPr>
                <w:color w:val="auto"/>
                <w:sz w:val="21"/>
                <w:szCs w:val="21"/>
              </w:rPr>
            </w:pPr>
          </w:p>
        </w:tc>
        <w:tc>
          <w:tcPr>
            <w:tcW w:w="1487" w:type="dxa"/>
            <w:vAlign w:val="center"/>
          </w:tcPr>
          <w:p>
            <w:pPr>
              <w:jc w:val="center"/>
              <w:rPr>
                <w:color w:val="auto"/>
                <w:sz w:val="21"/>
                <w:szCs w:val="21"/>
              </w:rPr>
            </w:pPr>
          </w:p>
        </w:tc>
        <w:tc>
          <w:tcPr>
            <w:tcW w:w="992" w:type="dxa"/>
            <w:vAlign w:val="center"/>
          </w:tcPr>
          <w:p>
            <w:pPr>
              <w:jc w:val="center"/>
              <w:rPr>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jc w:val="center"/>
              <w:rPr>
                <w:color w:val="auto"/>
                <w:sz w:val="21"/>
                <w:szCs w:val="21"/>
              </w:rPr>
            </w:pPr>
          </w:p>
        </w:tc>
        <w:tc>
          <w:tcPr>
            <w:tcW w:w="1276" w:type="dxa"/>
            <w:vAlign w:val="center"/>
          </w:tcPr>
          <w:p>
            <w:pPr>
              <w:jc w:val="center"/>
              <w:rPr>
                <w:color w:val="auto"/>
                <w:sz w:val="21"/>
                <w:szCs w:val="21"/>
              </w:rPr>
            </w:pPr>
          </w:p>
        </w:tc>
        <w:tc>
          <w:tcPr>
            <w:tcW w:w="1418" w:type="dxa"/>
            <w:vAlign w:val="center"/>
          </w:tcPr>
          <w:p>
            <w:pPr>
              <w:jc w:val="center"/>
              <w:rPr>
                <w:color w:val="auto"/>
                <w:sz w:val="21"/>
                <w:szCs w:val="21"/>
              </w:rPr>
            </w:pPr>
          </w:p>
        </w:tc>
        <w:tc>
          <w:tcPr>
            <w:tcW w:w="940" w:type="dxa"/>
            <w:vAlign w:val="center"/>
          </w:tcPr>
          <w:p>
            <w:pPr>
              <w:jc w:val="center"/>
              <w:rPr>
                <w:color w:val="auto"/>
                <w:sz w:val="21"/>
                <w:szCs w:val="21"/>
              </w:rPr>
            </w:pPr>
          </w:p>
        </w:tc>
        <w:tc>
          <w:tcPr>
            <w:tcW w:w="851" w:type="dxa"/>
            <w:vAlign w:val="center"/>
          </w:tcPr>
          <w:p>
            <w:pPr>
              <w:jc w:val="center"/>
              <w:rPr>
                <w:color w:val="auto"/>
                <w:sz w:val="21"/>
                <w:szCs w:val="21"/>
              </w:rPr>
            </w:pPr>
          </w:p>
        </w:tc>
        <w:tc>
          <w:tcPr>
            <w:tcW w:w="1044" w:type="dxa"/>
            <w:vAlign w:val="center"/>
          </w:tcPr>
          <w:p>
            <w:pPr>
              <w:jc w:val="center"/>
              <w:rPr>
                <w:color w:val="auto"/>
                <w:sz w:val="21"/>
                <w:szCs w:val="21"/>
              </w:rPr>
            </w:pPr>
          </w:p>
        </w:tc>
        <w:tc>
          <w:tcPr>
            <w:tcW w:w="992" w:type="dxa"/>
            <w:vAlign w:val="center"/>
          </w:tcPr>
          <w:p>
            <w:pPr>
              <w:jc w:val="center"/>
              <w:rPr>
                <w:color w:val="auto"/>
                <w:sz w:val="21"/>
                <w:szCs w:val="21"/>
              </w:rPr>
            </w:pPr>
          </w:p>
        </w:tc>
        <w:tc>
          <w:tcPr>
            <w:tcW w:w="851" w:type="dxa"/>
            <w:vAlign w:val="center"/>
          </w:tcPr>
          <w:p>
            <w:pPr>
              <w:jc w:val="center"/>
              <w:rPr>
                <w:color w:val="auto"/>
                <w:sz w:val="21"/>
                <w:szCs w:val="21"/>
              </w:rPr>
            </w:pPr>
          </w:p>
        </w:tc>
        <w:tc>
          <w:tcPr>
            <w:tcW w:w="1487" w:type="dxa"/>
            <w:vAlign w:val="center"/>
          </w:tcPr>
          <w:p>
            <w:pPr>
              <w:jc w:val="center"/>
              <w:rPr>
                <w:color w:val="auto"/>
                <w:sz w:val="21"/>
                <w:szCs w:val="21"/>
              </w:rPr>
            </w:pPr>
          </w:p>
        </w:tc>
        <w:tc>
          <w:tcPr>
            <w:tcW w:w="992" w:type="dxa"/>
            <w:vAlign w:val="center"/>
          </w:tcPr>
          <w:p>
            <w:pPr>
              <w:jc w:val="center"/>
              <w:rPr>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jc w:val="center"/>
              <w:rPr>
                <w:color w:val="auto"/>
                <w:sz w:val="21"/>
                <w:szCs w:val="21"/>
              </w:rPr>
            </w:pPr>
          </w:p>
        </w:tc>
        <w:tc>
          <w:tcPr>
            <w:tcW w:w="1276" w:type="dxa"/>
            <w:vAlign w:val="center"/>
          </w:tcPr>
          <w:p>
            <w:pPr>
              <w:jc w:val="center"/>
              <w:rPr>
                <w:color w:val="auto"/>
                <w:sz w:val="21"/>
                <w:szCs w:val="21"/>
              </w:rPr>
            </w:pPr>
          </w:p>
        </w:tc>
        <w:tc>
          <w:tcPr>
            <w:tcW w:w="1418" w:type="dxa"/>
            <w:vAlign w:val="center"/>
          </w:tcPr>
          <w:p>
            <w:pPr>
              <w:jc w:val="center"/>
              <w:rPr>
                <w:color w:val="auto"/>
                <w:sz w:val="21"/>
                <w:szCs w:val="21"/>
              </w:rPr>
            </w:pPr>
          </w:p>
        </w:tc>
        <w:tc>
          <w:tcPr>
            <w:tcW w:w="940" w:type="dxa"/>
            <w:vAlign w:val="center"/>
          </w:tcPr>
          <w:p>
            <w:pPr>
              <w:jc w:val="center"/>
              <w:rPr>
                <w:color w:val="auto"/>
                <w:sz w:val="21"/>
                <w:szCs w:val="21"/>
              </w:rPr>
            </w:pPr>
          </w:p>
        </w:tc>
        <w:tc>
          <w:tcPr>
            <w:tcW w:w="851" w:type="dxa"/>
            <w:vAlign w:val="center"/>
          </w:tcPr>
          <w:p>
            <w:pPr>
              <w:jc w:val="center"/>
              <w:rPr>
                <w:color w:val="auto"/>
                <w:sz w:val="21"/>
                <w:szCs w:val="21"/>
              </w:rPr>
            </w:pPr>
          </w:p>
        </w:tc>
        <w:tc>
          <w:tcPr>
            <w:tcW w:w="1044" w:type="dxa"/>
            <w:vAlign w:val="center"/>
          </w:tcPr>
          <w:p>
            <w:pPr>
              <w:jc w:val="center"/>
              <w:rPr>
                <w:color w:val="auto"/>
                <w:sz w:val="21"/>
                <w:szCs w:val="21"/>
              </w:rPr>
            </w:pPr>
          </w:p>
        </w:tc>
        <w:tc>
          <w:tcPr>
            <w:tcW w:w="992" w:type="dxa"/>
            <w:vAlign w:val="center"/>
          </w:tcPr>
          <w:p>
            <w:pPr>
              <w:jc w:val="center"/>
              <w:rPr>
                <w:color w:val="auto"/>
                <w:sz w:val="21"/>
                <w:szCs w:val="21"/>
              </w:rPr>
            </w:pPr>
          </w:p>
        </w:tc>
        <w:tc>
          <w:tcPr>
            <w:tcW w:w="851" w:type="dxa"/>
            <w:vAlign w:val="center"/>
          </w:tcPr>
          <w:p>
            <w:pPr>
              <w:jc w:val="center"/>
              <w:rPr>
                <w:color w:val="auto"/>
                <w:sz w:val="21"/>
                <w:szCs w:val="21"/>
              </w:rPr>
            </w:pPr>
          </w:p>
        </w:tc>
        <w:tc>
          <w:tcPr>
            <w:tcW w:w="1487" w:type="dxa"/>
            <w:vAlign w:val="center"/>
          </w:tcPr>
          <w:p>
            <w:pPr>
              <w:jc w:val="center"/>
              <w:rPr>
                <w:color w:val="auto"/>
                <w:sz w:val="21"/>
                <w:szCs w:val="21"/>
              </w:rPr>
            </w:pPr>
          </w:p>
        </w:tc>
        <w:tc>
          <w:tcPr>
            <w:tcW w:w="992" w:type="dxa"/>
            <w:vAlign w:val="center"/>
          </w:tcPr>
          <w:p>
            <w:pPr>
              <w:jc w:val="center"/>
              <w:rPr>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jc w:val="center"/>
              <w:rPr>
                <w:color w:val="auto"/>
                <w:sz w:val="21"/>
                <w:szCs w:val="21"/>
              </w:rPr>
            </w:pPr>
          </w:p>
        </w:tc>
        <w:tc>
          <w:tcPr>
            <w:tcW w:w="1276" w:type="dxa"/>
            <w:vAlign w:val="center"/>
          </w:tcPr>
          <w:p>
            <w:pPr>
              <w:jc w:val="center"/>
              <w:rPr>
                <w:color w:val="auto"/>
                <w:sz w:val="21"/>
                <w:szCs w:val="21"/>
              </w:rPr>
            </w:pPr>
          </w:p>
        </w:tc>
        <w:tc>
          <w:tcPr>
            <w:tcW w:w="1418" w:type="dxa"/>
            <w:vAlign w:val="center"/>
          </w:tcPr>
          <w:p>
            <w:pPr>
              <w:jc w:val="center"/>
              <w:rPr>
                <w:color w:val="auto"/>
                <w:sz w:val="21"/>
                <w:szCs w:val="21"/>
              </w:rPr>
            </w:pPr>
          </w:p>
        </w:tc>
        <w:tc>
          <w:tcPr>
            <w:tcW w:w="940" w:type="dxa"/>
            <w:vAlign w:val="center"/>
          </w:tcPr>
          <w:p>
            <w:pPr>
              <w:jc w:val="center"/>
              <w:rPr>
                <w:color w:val="auto"/>
                <w:sz w:val="21"/>
                <w:szCs w:val="21"/>
              </w:rPr>
            </w:pPr>
          </w:p>
        </w:tc>
        <w:tc>
          <w:tcPr>
            <w:tcW w:w="851" w:type="dxa"/>
            <w:vAlign w:val="center"/>
          </w:tcPr>
          <w:p>
            <w:pPr>
              <w:jc w:val="center"/>
              <w:rPr>
                <w:color w:val="auto"/>
                <w:sz w:val="21"/>
                <w:szCs w:val="21"/>
              </w:rPr>
            </w:pPr>
          </w:p>
        </w:tc>
        <w:tc>
          <w:tcPr>
            <w:tcW w:w="1044" w:type="dxa"/>
            <w:vAlign w:val="center"/>
          </w:tcPr>
          <w:p>
            <w:pPr>
              <w:jc w:val="center"/>
              <w:rPr>
                <w:color w:val="auto"/>
                <w:sz w:val="21"/>
                <w:szCs w:val="21"/>
              </w:rPr>
            </w:pPr>
          </w:p>
        </w:tc>
        <w:tc>
          <w:tcPr>
            <w:tcW w:w="992" w:type="dxa"/>
            <w:vAlign w:val="center"/>
          </w:tcPr>
          <w:p>
            <w:pPr>
              <w:jc w:val="center"/>
              <w:rPr>
                <w:color w:val="auto"/>
                <w:sz w:val="21"/>
                <w:szCs w:val="21"/>
              </w:rPr>
            </w:pPr>
          </w:p>
        </w:tc>
        <w:tc>
          <w:tcPr>
            <w:tcW w:w="851" w:type="dxa"/>
            <w:vAlign w:val="center"/>
          </w:tcPr>
          <w:p>
            <w:pPr>
              <w:jc w:val="center"/>
              <w:rPr>
                <w:color w:val="auto"/>
                <w:sz w:val="21"/>
                <w:szCs w:val="21"/>
              </w:rPr>
            </w:pPr>
          </w:p>
        </w:tc>
        <w:tc>
          <w:tcPr>
            <w:tcW w:w="1487" w:type="dxa"/>
            <w:vAlign w:val="center"/>
          </w:tcPr>
          <w:p>
            <w:pPr>
              <w:jc w:val="center"/>
              <w:rPr>
                <w:color w:val="auto"/>
                <w:sz w:val="21"/>
                <w:szCs w:val="21"/>
              </w:rPr>
            </w:pPr>
          </w:p>
        </w:tc>
        <w:tc>
          <w:tcPr>
            <w:tcW w:w="992" w:type="dxa"/>
            <w:vAlign w:val="center"/>
          </w:tcPr>
          <w:p>
            <w:pPr>
              <w:jc w:val="center"/>
              <w:rPr>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jc w:val="center"/>
              <w:rPr>
                <w:color w:val="auto"/>
                <w:sz w:val="21"/>
                <w:szCs w:val="21"/>
              </w:rPr>
            </w:pPr>
          </w:p>
        </w:tc>
        <w:tc>
          <w:tcPr>
            <w:tcW w:w="1276" w:type="dxa"/>
            <w:vAlign w:val="center"/>
          </w:tcPr>
          <w:p>
            <w:pPr>
              <w:jc w:val="center"/>
              <w:rPr>
                <w:color w:val="auto"/>
                <w:sz w:val="21"/>
                <w:szCs w:val="21"/>
              </w:rPr>
            </w:pPr>
          </w:p>
        </w:tc>
        <w:tc>
          <w:tcPr>
            <w:tcW w:w="1418" w:type="dxa"/>
            <w:vAlign w:val="center"/>
          </w:tcPr>
          <w:p>
            <w:pPr>
              <w:jc w:val="center"/>
              <w:rPr>
                <w:color w:val="auto"/>
                <w:sz w:val="21"/>
                <w:szCs w:val="21"/>
              </w:rPr>
            </w:pPr>
          </w:p>
        </w:tc>
        <w:tc>
          <w:tcPr>
            <w:tcW w:w="940" w:type="dxa"/>
            <w:vAlign w:val="center"/>
          </w:tcPr>
          <w:p>
            <w:pPr>
              <w:jc w:val="center"/>
              <w:rPr>
                <w:color w:val="auto"/>
                <w:sz w:val="21"/>
                <w:szCs w:val="21"/>
              </w:rPr>
            </w:pPr>
          </w:p>
        </w:tc>
        <w:tc>
          <w:tcPr>
            <w:tcW w:w="851" w:type="dxa"/>
            <w:vAlign w:val="center"/>
          </w:tcPr>
          <w:p>
            <w:pPr>
              <w:jc w:val="center"/>
              <w:rPr>
                <w:color w:val="auto"/>
                <w:sz w:val="21"/>
                <w:szCs w:val="21"/>
              </w:rPr>
            </w:pPr>
          </w:p>
        </w:tc>
        <w:tc>
          <w:tcPr>
            <w:tcW w:w="1044" w:type="dxa"/>
            <w:vAlign w:val="center"/>
          </w:tcPr>
          <w:p>
            <w:pPr>
              <w:jc w:val="center"/>
              <w:rPr>
                <w:color w:val="auto"/>
                <w:sz w:val="21"/>
                <w:szCs w:val="21"/>
              </w:rPr>
            </w:pPr>
          </w:p>
        </w:tc>
        <w:tc>
          <w:tcPr>
            <w:tcW w:w="992" w:type="dxa"/>
            <w:vAlign w:val="center"/>
          </w:tcPr>
          <w:p>
            <w:pPr>
              <w:jc w:val="center"/>
              <w:rPr>
                <w:color w:val="auto"/>
                <w:sz w:val="21"/>
                <w:szCs w:val="21"/>
              </w:rPr>
            </w:pPr>
          </w:p>
        </w:tc>
        <w:tc>
          <w:tcPr>
            <w:tcW w:w="851" w:type="dxa"/>
            <w:vAlign w:val="center"/>
          </w:tcPr>
          <w:p>
            <w:pPr>
              <w:jc w:val="center"/>
              <w:rPr>
                <w:color w:val="auto"/>
                <w:sz w:val="21"/>
                <w:szCs w:val="21"/>
              </w:rPr>
            </w:pPr>
          </w:p>
        </w:tc>
        <w:tc>
          <w:tcPr>
            <w:tcW w:w="1487" w:type="dxa"/>
            <w:vAlign w:val="center"/>
          </w:tcPr>
          <w:p>
            <w:pPr>
              <w:jc w:val="center"/>
              <w:rPr>
                <w:color w:val="auto"/>
                <w:sz w:val="21"/>
                <w:szCs w:val="21"/>
              </w:rPr>
            </w:pPr>
          </w:p>
        </w:tc>
        <w:tc>
          <w:tcPr>
            <w:tcW w:w="992" w:type="dxa"/>
            <w:vAlign w:val="center"/>
          </w:tcPr>
          <w:p>
            <w:pPr>
              <w:jc w:val="center"/>
              <w:rPr>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jc w:val="center"/>
              <w:rPr>
                <w:color w:val="auto"/>
                <w:sz w:val="21"/>
                <w:szCs w:val="21"/>
              </w:rPr>
            </w:pPr>
          </w:p>
        </w:tc>
        <w:tc>
          <w:tcPr>
            <w:tcW w:w="1276" w:type="dxa"/>
            <w:vAlign w:val="center"/>
          </w:tcPr>
          <w:p>
            <w:pPr>
              <w:jc w:val="center"/>
              <w:rPr>
                <w:color w:val="auto"/>
                <w:sz w:val="21"/>
                <w:szCs w:val="21"/>
              </w:rPr>
            </w:pPr>
          </w:p>
        </w:tc>
        <w:tc>
          <w:tcPr>
            <w:tcW w:w="1418" w:type="dxa"/>
            <w:vAlign w:val="center"/>
          </w:tcPr>
          <w:p>
            <w:pPr>
              <w:jc w:val="center"/>
              <w:rPr>
                <w:color w:val="auto"/>
                <w:sz w:val="21"/>
                <w:szCs w:val="21"/>
              </w:rPr>
            </w:pPr>
          </w:p>
        </w:tc>
        <w:tc>
          <w:tcPr>
            <w:tcW w:w="940" w:type="dxa"/>
            <w:vAlign w:val="center"/>
          </w:tcPr>
          <w:p>
            <w:pPr>
              <w:jc w:val="center"/>
              <w:rPr>
                <w:color w:val="auto"/>
                <w:sz w:val="21"/>
                <w:szCs w:val="21"/>
              </w:rPr>
            </w:pPr>
          </w:p>
        </w:tc>
        <w:tc>
          <w:tcPr>
            <w:tcW w:w="851" w:type="dxa"/>
            <w:vAlign w:val="center"/>
          </w:tcPr>
          <w:p>
            <w:pPr>
              <w:jc w:val="center"/>
              <w:rPr>
                <w:color w:val="auto"/>
                <w:sz w:val="21"/>
                <w:szCs w:val="21"/>
              </w:rPr>
            </w:pPr>
          </w:p>
        </w:tc>
        <w:tc>
          <w:tcPr>
            <w:tcW w:w="1044" w:type="dxa"/>
            <w:vAlign w:val="center"/>
          </w:tcPr>
          <w:p>
            <w:pPr>
              <w:jc w:val="center"/>
              <w:rPr>
                <w:color w:val="auto"/>
                <w:sz w:val="21"/>
                <w:szCs w:val="21"/>
              </w:rPr>
            </w:pPr>
          </w:p>
        </w:tc>
        <w:tc>
          <w:tcPr>
            <w:tcW w:w="992" w:type="dxa"/>
            <w:vAlign w:val="center"/>
          </w:tcPr>
          <w:p>
            <w:pPr>
              <w:jc w:val="center"/>
              <w:rPr>
                <w:color w:val="auto"/>
                <w:sz w:val="21"/>
                <w:szCs w:val="21"/>
              </w:rPr>
            </w:pPr>
          </w:p>
        </w:tc>
        <w:tc>
          <w:tcPr>
            <w:tcW w:w="851" w:type="dxa"/>
            <w:vAlign w:val="center"/>
          </w:tcPr>
          <w:p>
            <w:pPr>
              <w:jc w:val="center"/>
              <w:rPr>
                <w:color w:val="auto"/>
                <w:sz w:val="21"/>
                <w:szCs w:val="21"/>
              </w:rPr>
            </w:pPr>
          </w:p>
        </w:tc>
        <w:tc>
          <w:tcPr>
            <w:tcW w:w="1487" w:type="dxa"/>
            <w:vAlign w:val="center"/>
          </w:tcPr>
          <w:p>
            <w:pPr>
              <w:jc w:val="center"/>
              <w:rPr>
                <w:color w:val="auto"/>
                <w:sz w:val="21"/>
                <w:szCs w:val="21"/>
              </w:rPr>
            </w:pPr>
          </w:p>
        </w:tc>
        <w:tc>
          <w:tcPr>
            <w:tcW w:w="992" w:type="dxa"/>
            <w:vAlign w:val="center"/>
          </w:tcPr>
          <w:p>
            <w:pPr>
              <w:jc w:val="center"/>
              <w:rPr>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jc w:val="center"/>
              <w:rPr>
                <w:color w:val="auto"/>
                <w:sz w:val="21"/>
                <w:szCs w:val="21"/>
              </w:rPr>
            </w:pPr>
          </w:p>
        </w:tc>
        <w:tc>
          <w:tcPr>
            <w:tcW w:w="1276" w:type="dxa"/>
            <w:vAlign w:val="center"/>
          </w:tcPr>
          <w:p>
            <w:pPr>
              <w:jc w:val="center"/>
              <w:rPr>
                <w:color w:val="auto"/>
                <w:sz w:val="21"/>
                <w:szCs w:val="21"/>
              </w:rPr>
            </w:pPr>
          </w:p>
        </w:tc>
        <w:tc>
          <w:tcPr>
            <w:tcW w:w="1418" w:type="dxa"/>
            <w:vAlign w:val="center"/>
          </w:tcPr>
          <w:p>
            <w:pPr>
              <w:jc w:val="center"/>
              <w:rPr>
                <w:color w:val="auto"/>
                <w:sz w:val="21"/>
                <w:szCs w:val="21"/>
              </w:rPr>
            </w:pPr>
          </w:p>
        </w:tc>
        <w:tc>
          <w:tcPr>
            <w:tcW w:w="940" w:type="dxa"/>
            <w:vAlign w:val="center"/>
          </w:tcPr>
          <w:p>
            <w:pPr>
              <w:jc w:val="center"/>
              <w:rPr>
                <w:color w:val="auto"/>
                <w:sz w:val="21"/>
                <w:szCs w:val="21"/>
              </w:rPr>
            </w:pPr>
          </w:p>
        </w:tc>
        <w:tc>
          <w:tcPr>
            <w:tcW w:w="851" w:type="dxa"/>
            <w:vAlign w:val="center"/>
          </w:tcPr>
          <w:p>
            <w:pPr>
              <w:jc w:val="center"/>
              <w:rPr>
                <w:color w:val="auto"/>
                <w:sz w:val="21"/>
                <w:szCs w:val="21"/>
              </w:rPr>
            </w:pPr>
          </w:p>
        </w:tc>
        <w:tc>
          <w:tcPr>
            <w:tcW w:w="1044" w:type="dxa"/>
            <w:vAlign w:val="center"/>
          </w:tcPr>
          <w:p>
            <w:pPr>
              <w:jc w:val="center"/>
              <w:rPr>
                <w:color w:val="auto"/>
                <w:sz w:val="21"/>
                <w:szCs w:val="21"/>
              </w:rPr>
            </w:pPr>
          </w:p>
        </w:tc>
        <w:tc>
          <w:tcPr>
            <w:tcW w:w="992" w:type="dxa"/>
            <w:vAlign w:val="center"/>
          </w:tcPr>
          <w:p>
            <w:pPr>
              <w:jc w:val="center"/>
              <w:rPr>
                <w:color w:val="auto"/>
                <w:sz w:val="21"/>
                <w:szCs w:val="21"/>
              </w:rPr>
            </w:pPr>
          </w:p>
        </w:tc>
        <w:tc>
          <w:tcPr>
            <w:tcW w:w="851" w:type="dxa"/>
            <w:vAlign w:val="center"/>
          </w:tcPr>
          <w:p>
            <w:pPr>
              <w:jc w:val="center"/>
              <w:rPr>
                <w:color w:val="auto"/>
                <w:sz w:val="21"/>
                <w:szCs w:val="21"/>
              </w:rPr>
            </w:pPr>
          </w:p>
        </w:tc>
        <w:tc>
          <w:tcPr>
            <w:tcW w:w="1487" w:type="dxa"/>
            <w:vAlign w:val="center"/>
          </w:tcPr>
          <w:p>
            <w:pPr>
              <w:jc w:val="center"/>
              <w:rPr>
                <w:color w:val="auto"/>
                <w:sz w:val="21"/>
                <w:szCs w:val="21"/>
              </w:rPr>
            </w:pPr>
          </w:p>
        </w:tc>
        <w:tc>
          <w:tcPr>
            <w:tcW w:w="992" w:type="dxa"/>
            <w:vAlign w:val="center"/>
          </w:tcPr>
          <w:p>
            <w:pPr>
              <w:jc w:val="center"/>
              <w:rPr>
                <w:color w:val="auto"/>
                <w:sz w:val="21"/>
                <w:szCs w:val="21"/>
              </w:rPr>
            </w:pPr>
          </w:p>
        </w:tc>
      </w:tr>
    </w:tbl>
    <w:p>
      <w:pPr>
        <w:spacing w:line="440" w:lineRule="exact"/>
        <w:rPr>
          <w:color w:val="auto"/>
          <w:sz w:val="21"/>
          <w:szCs w:val="21"/>
        </w:rPr>
      </w:pPr>
    </w:p>
    <w:p>
      <w:pPr>
        <w:spacing w:line="440" w:lineRule="exact"/>
        <w:rPr>
          <w:color w:val="auto"/>
          <w:sz w:val="21"/>
          <w:szCs w:val="21"/>
        </w:rPr>
      </w:pPr>
    </w:p>
    <w:p>
      <w:pPr>
        <w:spacing w:line="400" w:lineRule="exact"/>
        <w:rPr>
          <w:color w:val="auto"/>
          <w:sz w:val="21"/>
          <w:szCs w:val="21"/>
        </w:rPr>
      </w:pPr>
      <w:r>
        <w:rPr>
          <w:rFonts w:hint="eastAsia" w:ascii="宋体" w:hAnsi="宋体" w:eastAsia="宋体" w:cs="宋体"/>
          <w:color w:val="auto"/>
          <w:sz w:val="21"/>
          <w:szCs w:val="21"/>
        </w:rPr>
        <w:t>附</w:t>
      </w:r>
      <w:bookmarkStart w:id="269" w:name="_Toc296944565"/>
      <w:bookmarkStart w:id="270" w:name="_Toc296891266"/>
      <w:bookmarkStart w:id="271" w:name="_Toc267261693"/>
      <w:bookmarkStart w:id="272" w:name="_Toc296346727"/>
      <w:bookmarkStart w:id="273" w:name="_Toc296891054"/>
      <w:bookmarkStart w:id="274" w:name="_Toc296503226"/>
      <w:bookmarkStart w:id="275" w:name="_Toc296347225"/>
      <w:r>
        <w:rPr>
          <w:rFonts w:hint="eastAsia" w:ascii="宋体" w:hAnsi="宋体" w:eastAsia="宋体" w:cs="宋体"/>
          <w:color w:val="auto"/>
          <w:sz w:val="21"/>
          <w:szCs w:val="21"/>
        </w:rPr>
        <w:t>件3：</w:t>
      </w:r>
      <w:bookmarkEnd w:id="269"/>
      <w:bookmarkEnd w:id="270"/>
      <w:bookmarkEnd w:id="271"/>
      <w:bookmarkEnd w:id="272"/>
      <w:bookmarkEnd w:id="273"/>
      <w:bookmarkEnd w:id="274"/>
      <w:bookmarkEnd w:id="275"/>
    </w:p>
    <w:p>
      <w:pPr>
        <w:spacing w:before="156" w:after="156" w:line="400" w:lineRule="exact"/>
        <w:jc w:val="center"/>
        <w:rPr>
          <w:color w:val="auto"/>
          <w:sz w:val="21"/>
          <w:szCs w:val="21"/>
        </w:rPr>
      </w:pPr>
      <w:r>
        <w:rPr>
          <w:rFonts w:hint="eastAsia" w:ascii="宋体" w:hAnsi="宋体" w:eastAsia="宋体" w:cs="宋体"/>
          <w:color w:val="auto"/>
          <w:sz w:val="21"/>
          <w:szCs w:val="21"/>
        </w:rPr>
        <w:t>工程质量保修书</w:t>
      </w:r>
    </w:p>
    <w:p>
      <w:pPr>
        <w:spacing w:line="400" w:lineRule="exact"/>
        <w:ind w:firstLine="400"/>
        <w:rPr>
          <w:rFonts w:hint="eastAsia" w:eastAsia="宋体"/>
          <w:color w:val="auto"/>
          <w:sz w:val="21"/>
          <w:szCs w:val="21"/>
          <w:lang w:eastAsia="zh-CN"/>
        </w:rPr>
      </w:pPr>
      <w:r>
        <w:rPr>
          <w:rFonts w:hint="eastAsia" w:ascii="宋体" w:hAnsi="宋体" w:eastAsia="宋体" w:cs="宋体"/>
          <w:color w:val="auto"/>
          <w:sz w:val="21"/>
          <w:szCs w:val="21"/>
        </w:rPr>
        <w:t>发包人（全称）：</w:t>
      </w:r>
    </w:p>
    <w:p>
      <w:pPr>
        <w:spacing w:line="400" w:lineRule="exact"/>
        <w:rPr>
          <w:color w:val="auto"/>
          <w:sz w:val="21"/>
          <w:szCs w:val="21"/>
        </w:rPr>
      </w:pPr>
      <w:r>
        <w:rPr>
          <w:rFonts w:hint="eastAsia" w:ascii="宋体" w:hAnsi="宋体" w:eastAsia="宋体" w:cs="宋体"/>
          <w:color w:val="auto"/>
          <w:sz w:val="21"/>
          <w:szCs w:val="21"/>
        </w:rPr>
        <w:t>　　承包人（全称）：</w:t>
      </w:r>
    </w:p>
    <w:p>
      <w:pPr>
        <w:spacing w:line="400" w:lineRule="exact"/>
        <w:rPr>
          <w:color w:val="auto"/>
          <w:sz w:val="21"/>
          <w:szCs w:val="21"/>
        </w:rPr>
      </w:pPr>
      <w:r>
        <w:rPr>
          <w:rFonts w:hint="eastAsia" w:ascii="宋体" w:hAnsi="宋体" w:eastAsia="宋体" w:cs="宋体"/>
          <w:color w:val="auto"/>
          <w:sz w:val="21"/>
          <w:szCs w:val="21"/>
        </w:rPr>
        <w:t>　　发包人和承包人根据《中华人民共和国建筑法》和《建设工程质量管理条例》，经协商一致就</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rPr>
        <w:t>签订工程质量保修书。</w:t>
      </w:r>
    </w:p>
    <w:p>
      <w:pPr>
        <w:spacing w:line="400" w:lineRule="exact"/>
        <w:outlineLvl w:val="0"/>
        <w:rPr>
          <w:color w:val="auto"/>
          <w:sz w:val="21"/>
          <w:szCs w:val="21"/>
        </w:rPr>
      </w:pPr>
      <w:r>
        <w:rPr>
          <w:rFonts w:hint="eastAsia" w:ascii="宋体" w:hAnsi="宋体" w:eastAsia="宋体" w:cs="宋体"/>
          <w:color w:val="auto"/>
          <w:sz w:val="21"/>
          <w:szCs w:val="21"/>
        </w:rPr>
        <w:t>　　一、工程质量保修范围和内容</w:t>
      </w:r>
    </w:p>
    <w:p>
      <w:pPr>
        <w:spacing w:line="400" w:lineRule="exact"/>
        <w:rPr>
          <w:color w:val="auto"/>
          <w:sz w:val="21"/>
          <w:szCs w:val="21"/>
        </w:rPr>
      </w:pPr>
      <w:r>
        <w:rPr>
          <w:rFonts w:hint="eastAsia" w:ascii="宋体" w:hAnsi="宋体" w:eastAsia="宋体" w:cs="宋体"/>
          <w:color w:val="auto"/>
          <w:sz w:val="21"/>
          <w:szCs w:val="21"/>
        </w:rPr>
        <w:t>　　承包人在质量保修期内，按照有关法律规定和合同约定，承担工程质量保修责任。</w:t>
      </w:r>
    </w:p>
    <w:p>
      <w:pPr>
        <w:spacing w:line="400" w:lineRule="exact"/>
        <w:rPr>
          <w:color w:val="auto"/>
          <w:sz w:val="21"/>
          <w:szCs w:val="21"/>
        </w:rPr>
      </w:pPr>
      <w:r>
        <w:rPr>
          <w:rFonts w:hint="eastAsia" w:ascii="宋体" w:hAnsi="宋体" w:eastAsia="宋体" w:cs="宋体"/>
          <w:color w:val="auto"/>
          <w:sz w:val="21"/>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400" w:lineRule="exact"/>
        <w:rPr>
          <w:color w:val="auto"/>
          <w:sz w:val="21"/>
          <w:szCs w:val="21"/>
        </w:rPr>
      </w:pPr>
      <w:r>
        <w:rPr>
          <w:rFonts w:hint="eastAsia" w:ascii="宋体" w:hAnsi="宋体" w:eastAsia="宋体" w:cs="宋体"/>
          <w:color w:val="auto"/>
          <w:sz w:val="21"/>
          <w:szCs w:val="21"/>
        </w:rPr>
        <w:t>　　</w:t>
      </w:r>
      <w:r>
        <w:rPr>
          <w:rFonts w:hint="eastAsia" w:ascii="宋体" w:hAnsi="宋体" w:eastAsia="宋体" w:cs="宋体"/>
          <w:b/>
          <w:bCs/>
          <w:color w:val="auto"/>
          <w:sz w:val="21"/>
          <w:szCs w:val="21"/>
          <w:u w:val="single"/>
        </w:rPr>
        <w:t>施工图设计及变更范围内全部内容</w:t>
      </w:r>
      <w:r>
        <w:rPr>
          <w:rFonts w:hint="eastAsia" w:ascii="宋体" w:hAnsi="宋体" w:eastAsia="宋体" w:cs="宋体"/>
          <w:color w:val="auto"/>
          <w:sz w:val="21"/>
          <w:szCs w:val="21"/>
        </w:rPr>
        <w:t>。</w:t>
      </w:r>
    </w:p>
    <w:p>
      <w:pPr>
        <w:spacing w:line="400" w:lineRule="exact"/>
        <w:outlineLvl w:val="0"/>
        <w:rPr>
          <w:color w:val="auto"/>
          <w:sz w:val="21"/>
          <w:szCs w:val="21"/>
        </w:rPr>
      </w:pPr>
      <w:r>
        <w:rPr>
          <w:rFonts w:hint="eastAsia" w:ascii="宋体" w:hAnsi="宋体" w:eastAsia="宋体" w:cs="宋体"/>
          <w:b/>
          <w:color w:val="auto"/>
          <w:sz w:val="21"/>
          <w:szCs w:val="21"/>
        </w:rPr>
        <w:t>　　</w:t>
      </w:r>
      <w:r>
        <w:rPr>
          <w:rFonts w:hint="eastAsia" w:ascii="宋体" w:hAnsi="宋体" w:eastAsia="宋体" w:cs="宋体"/>
          <w:color w:val="auto"/>
          <w:sz w:val="21"/>
          <w:szCs w:val="21"/>
        </w:rPr>
        <w:t>二、质量保修期</w:t>
      </w:r>
    </w:p>
    <w:p>
      <w:pPr>
        <w:spacing w:line="400" w:lineRule="exact"/>
        <w:ind w:firstLine="400"/>
        <w:rPr>
          <w:color w:val="auto"/>
          <w:sz w:val="21"/>
          <w:szCs w:val="21"/>
        </w:rPr>
      </w:pPr>
      <w:r>
        <w:rPr>
          <w:rFonts w:hint="eastAsia" w:ascii="宋体" w:hAnsi="宋体" w:eastAsia="宋体" w:cs="宋体"/>
          <w:color w:val="auto"/>
          <w:sz w:val="21"/>
          <w:szCs w:val="21"/>
        </w:rPr>
        <w:t>根据《建设工程质量管理条例》及有关规定，工程的质量保修期如下：</w:t>
      </w:r>
    </w:p>
    <w:p>
      <w:pPr>
        <w:spacing w:line="400" w:lineRule="exact"/>
        <w:ind w:firstLine="400"/>
        <w:outlineLvl w:val="0"/>
        <w:rPr>
          <w:color w:val="auto"/>
          <w:sz w:val="21"/>
          <w:szCs w:val="21"/>
        </w:rPr>
      </w:pPr>
      <w:r>
        <w:rPr>
          <w:rFonts w:hint="eastAsia" w:ascii="宋体" w:hAnsi="宋体" w:eastAsia="宋体" w:cs="宋体"/>
          <w:color w:val="auto"/>
          <w:sz w:val="21"/>
          <w:szCs w:val="21"/>
        </w:rPr>
        <w:t>1．地基基础工程和主体结构工程为设计文件规定的工程合理使用年限；</w:t>
      </w:r>
    </w:p>
    <w:p>
      <w:pPr>
        <w:spacing w:line="400" w:lineRule="exact"/>
        <w:ind w:firstLine="400"/>
        <w:outlineLvl w:val="0"/>
        <w:rPr>
          <w:color w:val="auto"/>
          <w:sz w:val="21"/>
          <w:szCs w:val="21"/>
        </w:rPr>
      </w:pPr>
      <w:r>
        <w:rPr>
          <w:rFonts w:hint="eastAsia" w:ascii="宋体" w:hAnsi="宋体" w:eastAsia="宋体" w:cs="宋体"/>
          <w:color w:val="auto"/>
          <w:sz w:val="21"/>
          <w:szCs w:val="21"/>
        </w:rPr>
        <w:t>2．屋面防水工程、有防水要求的卫生间、房间和外墙面的防渗为</w:t>
      </w:r>
      <w:r>
        <w:rPr>
          <w:rFonts w:hint="eastAsia" w:ascii="宋体" w:hAnsi="宋体" w:eastAsia="宋体" w:cs="宋体"/>
          <w:color w:val="auto"/>
          <w:sz w:val="21"/>
          <w:szCs w:val="21"/>
          <w:u w:val="single"/>
        </w:rPr>
        <w:t xml:space="preserve">  5  </w:t>
      </w:r>
      <w:r>
        <w:rPr>
          <w:rFonts w:hint="eastAsia" w:ascii="宋体" w:hAnsi="宋体" w:eastAsia="宋体" w:cs="宋体"/>
          <w:color w:val="auto"/>
          <w:sz w:val="21"/>
          <w:szCs w:val="21"/>
        </w:rPr>
        <w:t>年；</w:t>
      </w:r>
    </w:p>
    <w:p>
      <w:pPr>
        <w:spacing w:line="400" w:lineRule="exact"/>
        <w:ind w:firstLine="400"/>
        <w:outlineLvl w:val="0"/>
        <w:rPr>
          <w:color w:val="auto"/>
          <w:sz w:val="21"/>
          <w:szCs w:val="21"/>
        </w:rPr>
      </w:pPr>
      <w:r>
        <w:rPr>
          <w:rFonts w:hint="eastAsia" w:ascii="宋体" w:hAnsi="宋体" w:eastAsia="宋体" w:cs="宋体"/>
          <w:color w:val="auto"/>
          <w:sz w:val="21"/>
          <w:szCs w:val="21"/>
        </w:rPr>
        <w:t>3．装修工程为</w:t>
      </w:r>
      <w:r>
        <w:rPr>
          <w:rFonts w:hint="eastAsia" w:ascii="宋体" w:hAnsi="宋体" w:eastAsia="宋体" w:cs="宋体"/>
          <w:color w:val="auto"/>
          <w:sz w:val="21"/>
          <w:szCs w:val="21"/>
          <w:u w:val="single"/>
        </w:rPr>
        <w:t xml:space="preserve"> 2</w:t>
      </w:r>
      <w:r>
        <w:rPr>
          <w:rFonts w:hint="eastAsia" w:ascii="宋体" w:hAnsi="宋体" w:eastAsia="宋体" w:cs="宋体"/>
          <w:color w:val="auto"/>
          <w:sz w:val="21"/>
          <w:szCs w:val="21"/>
        </w:rPr>
        <w:t>年；</w:t>
      </w:r>
    </w:p>
    <w:p>
      <w:pPr>
        <w:spacing w:line="400" w:lineRule="exact"/>
        <w:ind w:firstLine="400"/>
        <w:outlineLvl w:val="0"/>
        <w:rPr>
          <w:color w:val="auto"/>
          <w:sz w:val="21"/>
          <w:szCs w:val="21"/>
        </w:rPr>
      </w:pPr>
      <w:r>
        <w:rPr>
          <w:rFonts w:hint="eastAsia" w:ascii="宋体" w:hAnsi="宋体" w:eastAsia="宋体" w:cs="宋体"/>
          <w:color w:val="auto"/>
          <w:sz w:val="21"/>
          <w:szCs w:val="21"/>
        </w:rPr>
        <w:t>4．电气管线、给排水管道、设备安装工程为</w:t>
      </w:r>
      <w:r>
        <w:rPr>
          <w:rFonts w:hint="eastAsia" w:ascii="宋体" w:hAnsi="宋体" w:eastAsia="宋体" w:cs="宋体"/>
          <w:color w:val="auto"/>
          <w:sz w:val="21"/>
          <w:szCs w:val="21"/>
          <w:u w:val="single"/>
        </w:rPr>
        <w:t xml:space="preserve"> 2</w:t>
      </w:r>
      <w:r>
        <w:rPr>
          <w:rFonts w:hint="eastAsia" w:ascii="宋体" w:hAnsi="宋体" w:eastAsia="宋体" w:cs="宋体"/>
          <w:color w:val="auto"/>
          <w:sz w:val="21"/>
          <w:szCs w:val="21"/>
        </w:rPr>
        <w:t>年；</w:t>
      </w:r>
    </w:p>
    <w:p>
      <w:pPr>
        <w:spacing w:line="400" w:lineRule="exact"/>
        <w:ind w:firstLine="400"/>
        <w:outlineLvl w:val="0"/>
        <w:rPr>
          <w:color w:val="auto"/>
          <w:sz w:val="21"/>
          <w:szCs w:val="21"/>
        </w:rPr>
      </w:pPr>
      <w:r>
        <w:rPr>
          <w:rFonts w:hint="eastAsia" w:ascii="宋体" w:hAnsi="宋体" w:eastAsia="宋体" w:cs="宋体"/>
          <w:color w:val="auto"/>
          <w:sz w:val="21"/>
          <w:szCs w:val="21"/>
        </w:rPr>
        <w:t>5．供热与供冷系统为</w:t>
      </w:r>
      <w:r>
        <w:rPr>
          <w:rFonts w:hint="eastAsia" w:ascii="宋体" w:hAnsi="宋体" w:eastAsia="宋体" w:cs="宋体"/>
          <w:color w:val="auto"/>
          <w:sz w:val="21"/>
          <w:szCs w:val="21"/>
          <w:u w:val="single"/>
        </w:rPr>
        <w:t xml:space="preserve"> 2 </w:t>
      </w:r>
      <w:r>
        <w:rPr>
          <w:rFonts w:hint="eastAsia" w:ascii="宋体" w:hAnsi="宋体" w:eastAsia="宋体" w:cs="宋体"/>
          <w:color w:val="auto"/>
          <w:sz w:val="21"/>
          <w:szCs w:val="21"/>
        </w:rPr>
        <w:t>个采暖期、供冷期；</w:t>
      </w:r>
    </w:p>
    <w:p>
      <w:pPr>
        <w:spacing w:line="400" w:lineRule="exact"/>
        <w:ind w:firstLine="400"/>
        <w:outlineLvl w:val="0"/>
        <w:rPr>
          <w:color w:val="auto"/>
          <w:sz w:val="21"/>
          <w:szCs w:val="21"/>
        </w:rPr>
      </w:pPr>
      <w:r>
        <w:rPr>
          <w:rFonts w:hint="eastAsia" w:ascii="宋体" w:hAnsi="宋体" w:eastAsia="宋体" w:cs="宋体"/>
          <w:color w:val="auto"/>
          <w:sz w:val="21"/>
          <w:szCs w:val="21"/>
        </w:rPr>
        <w:t>6．住宅小区内的给排水设施、道路等配套工程为</w:t>
      </w:r>
      <w:r>
        <w:rPr>
          <w:rFonts w:hint="eastAsia" w:ascii="宋体" w:hAnsi="宋体" w:eastAsia="宋体" w:cs="宋体"/>
          <w:color w:val="auto"/>
          <w:sz w:val="21"/>
          <w:szCs w:val="21"/>
          <w:u w:val="single"/>
        </w:rPr>
        <w:t xml:space="preserve"> 2 </w:t>
      </w:r>
      <w:r>
        <w:rPr>
          <w:rFonts w:hint="eastAsia" w:ascii="宋体" w:hAnsi="宋体" w:eastAsia="宋体" w:cs="宋体"/>
          <w:color w:val="auto"/>
          <w:sz w:val="21"/>
          <w:szCs w:val="21"/>
        </w:rPr>
        <w:t>年；</w:t>
      </w:r>
    </w:p>
    <w:p>
      <w:pPr>
        <w:spacing w:line="400" w:lineRule="exact"/>
        <w:ind w:firstLine="400"/>
        <w:outlineLvl w:val="0"/>
        <w:rPr>
          <w:color w:val="auto"/>
          <w:sz w:val="21"/>
          <w:szCs w:val="21"/>
        </w:rPr>
      </w:pPr>
      <w:r>
        <w:rPr>
          <w:rFonts w:hint="eastAsia" w:ascii="宋体" w:hAnsi="宋体" w:eastAsia="宋体" w:cs="宋体"/>
          <w:color w:val="auto"/>
          <w:sz w:val="21"/>
          <w:szCs w:val="21"/>
        </w:rPr>
        <w:t>7．其他项目保修期限约定如下：质量保修期</w:t>
      </w:r>
      <w:r>
        <w:rPr>
          <w:rFonts w:hint="eastAsia" w:ascii="宋体" w:hAnsi="宋体" w:cs="宋体"/>
          <w:color w:val="auto"/>
          <w:sz w:val="21"/>
          <w:szCs w:val="21"/>
          <w:u w:val="single"/>
          <w:lang w:val="en-US" w:eastAsia="zh-CN"/>
        </w:rPr>
        <w:t>2</w:t>
      </w:r>
      <w:r>
        <w:rPr>
          <w:rFonts w:hint="eastAsia" w:ascii="宋体" w:hAnsi="宋体" w:eastAsia="宋体" w:cs="宋体"/>
          <w:color w:val="auto"/>
          <w:sz w:val="21"/>
          <w:szCs w:val="21"/>
        </w:rPr>
        <w:t>年。</w:t>
      </w:r>
    </w:p>
    <w:p>
      <w:pPr>
        <w:spacing w:line="400" w:lineRule="exact"/>
        <w:ind w:firstLine="400"/>
        <w:outlineLvl w:val="0"/>
        <w:rPr>
          <w:color w:val="auto"/>
          <w:sz w:val="21"/>
          <w:szCs w:val="21"/>
        </w:rPr>
      </w:pPr>
      <w:r>
        <w:rPr>
          <w:rFonts w:hint="eastAsia" w:ascii="宋体" w:hAnsi="宋体" w:eastAsia="宋体" w:cs="宋体"/>
          <w:color w:val="auto"/>
          <w:sz w:val="21"/>
          <w:szCs w:val="21"/>
        </w:rPr>
        <w:t>三、缺陷责任期</w:t>
      </w:r>
    </w:p>
    <w:p>
      <w:pPr>
        <w:spacing w:line="400" w:lineRule="exact"/>
        <w:ind w:firstLine="400"/>
        <w:rPr>
          <w:color w:val="auto"/>
          <w:sz w:val="21"/>
          <w:szCs w:val="21"/>
        </w:rPr>
      </w:pPr>
      <w:r>
        <w:rPr>
          <w:rFonts w:hint="eastAsia" w:ascii="宋体" w:hAnsi="宋体" w:eastAsia="宋体" w:cs="宋体"/>
          <w:color w:val="auto"/>
          <w:sz w:val="21"/>
          <w:szCs w:val="21"/>
        </w:rPr>
        <w:t>工程缺陷责任期为</w:t>
      </w:r>
      <w:r>
        <w:rPr>
          <w:rFonts w:hint="eastAsia" w:ascii="宋体" w:hAnsi="宋体" w:eastAsia="宋体" w:cs="宋体"/>
          <w:color w:val="auto"/>
          <w:sz w:val="21"/>
          <w:szCs w:val="21"/>
          <w:u w:val="single"/>
        </w:rPr>
        <w:t xml:space="preserve">   24   </w:t>
      </w:r>
      <w:r>
        <w:rPr>
          <w:rFonts w:hint="eastAsia" w:ascii="宋体" w:hAnsi="宋体" w:eastAsia="宋体" w:cs="宋体"/>
          <w:color w:val="auto"/>
          <w:sz w:val="21"/>
          <w:szCs w:val="21"/>
        </w:rPr>
        <w:t>个月，缺陷责任期自工程通过竣工验收之日起计算。单位工程先于全部工程进行验收，单位工程缺陷责任期自单位工程验收合格之日起算。</w:t>
      </w:r>
    </w:p>
    <w:p>
      <w:pPr>
        <w:spacing w:line="400" w:lineRule="exact"/>
        <w:outlineLvl w:val="0"/>
        <w:rPr>
          <w:color w:val="auto"/>
          <w:sz w:val="21"/>
          <w:szCs w:val="21"/>
        </w:rPr>
      </w:pPr>
      <w:r>
        <w:rPr>
          <w:rFonts w:hint="eastAsia" w:ascii="宋体" w:hAnsi="宋体" w:eastAsia="宋体" w:cs="宋体"/>
          <w:color w:val="auto"/>
          <w:sz w:val="21"/>
          <w:szCs w:val="21"/>
        </w:rPr>
        <w:t>四、质量保修责任</w:t>
      </w:r>
    </w:p>
    <w:p>
      <w:pPr>
        <w:spacing w:line="400" w:lineRule="exact"/>
        <w:rPr>
          <w:color w:val="auto"/>
          <w:sz w:val="21"/>
          <w:szCs w:val="21"/>
        </w:rPr>
      </w:pPr>
      <w:r>
        <w:rPr>
          <w:rFonts w:hint="eastAsia" w:ascii="宋体" w:hAnsi="宋体" w:eastAsia="宋体" w:cs="宋体"/>
          <w:color w:val="auto"/>
          <w:sz w:val="21"/>
          <w:szCs w:val="21"/>
        </w:rPr>
        <w:t>1．属于保修范围、内容的项目，承包人应当在接到保修通知之日起7天内派人保修。承包人不在约定期限内派人保修的，发包人可以委托他人修理</w:t>
      </w:r>
      <w:r>
        <w:rPr>
          <w:rFonts w:hint="eastAsia" w:ascii="宋体" w:hAnsi="宋体" w:cs="宋体"/>
          <w:color w:val="auto"/>
          <w:sz w:val="21"/>
          <w:szCs w:val="21"/>
          <w:lang w:eastAsia="zh-CN"/>
        </w:rPr>
        <w:t>，</w:t>
      </w:r>
      <w:r>
        <w:rPr>
          <w:rFonts w:hint="eastAsia" w:ascii="宋体" w:hAnsi="宋体" w:eastAsia="宋体" w:cs="宋体"/>
          <w:color w:val="auto"/>
          <w:sz w:val="21"/>
          <w:szCs w:val="21"/>
        </w:rPr>
        <w:t>发生一切费用由承包方承担。</w:t>
      </w:r>
    </w:p>
    <w:p>
      <w:pPr>
        <w:spacing w:line="400" w:lineRule="exact"/>
        <w:rPr>
          <w:color w:val="auto"/>
          <w:sz w:val="21"/>
          <w:szCs w:val="21"/>
        </w:rPr>
      </w:pPr>
      <w:r>
        <w:rPr>
          <w:rFonts w:hint="eastAsia" w:ascii="宋体" w:hAnsi="宋体" w:eastAsia="宋体" w:cs="宋体"/>
          <w:color w:val="auto"/>
          <w:sz w:val="21"/>
          <w:szCs w:val="21"/>
        </w:rPr>
        <w:t>2．发生紧急事故需抢修的，承包人在接到事故通知后，应当立即到达事故现场抢修。</w:t>
      </w:r>
    </w:p>
    <w:p>
      <w:pPr>
        <w:spacing w:line="400" w:lineRule="exact"/>
        <w:rPr>
          <w:color w:val="auto"/>
          <w:sz w:val="21"/>
          <w:szCs w:val="21"/>
        </w:rPr>
      </w:pPr>
      <w:r>
        <w:rPr>
          <w:rFonts w:hint="eastAsia" w:ascii="宋体" w:hAnsi="宋体" w:eastAsia="宋体" w:cs="宋体"/>
          <w:color w:val="auto"/>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400" w:lineRule="exact"/>
        <w:rPr>
          <w:color w:val="auto"/>
          <w:sz w:val="21"/>
          <w:szCs w:val="21"/>
        </w:rPr>
      </w:pPr>
      <w:r>
        <w:rPr>
          <w:rFonts w:hint="eastAsia" w:ascii="宋体" w:hAnsi="宋体" w:eastAsia="宋体" w:cs="宋体"/>
          <w:color w:val="auto"/>
          <w:sz w:val="21"/>
          <w:szCs w:val="21"/>
        </w:rPr>
        <w:t>4．质量保修完成后，由发包人组织验收。</w:t>
      </w:r>
    </w:p>
    <w:p>
      <w:pPr>
        <w:spacing w:line="400" w:lineRule="exact"/>
        <w:rPr>
          <w:color w:val="auto"/>
          <w:sz w:val="21"/>
          <w:szCs w:val="21"/>
        </w:rPr>
      </w:pPr>
      <w:r>
        <w:rPr>
          <w:rFonts w:hint="eastAsia" w:ascii="宋体" w:hAnsi="宋体" w:eastAsia="宋体" w:cs="宋体"/>
          <w:color w:val="auto"/>
          <w:sz w:val="21"/>
          <w:szCs w:val="21"/>
        </w:rPr>
        <w:t>5.工程保修服务承诺</w:t>
      </w:r>
    </w:p>
    <w:p>
      <w:pPr>
        <w:spacing w:line="400" w:lineRule="exact"/>
        <w:rPr>
          <w:color w:val="auto"/>
          <w:sz w:val="21"/>
          <w:szCs w:val="21"/>
        </w:rPr>
      </w:pPr>
      <w:r>
        <w:rPr>
          <w:rFonts w:hint="eastAsia" w:ascii="宋体" w:hAnsi="宋体" w:eastAsia="宋体" w:cs="宋体"/>
          <w:color w:val="auto"/>
          <w:sz w:val="21"/>
          <w:szCs w:val="21"/>
        </w:rPr>
        <w:t>1）建立回访制，进行定期、不定期回访，每年内工程回访不少于两次，认真听取建设单位意见，并形成回访记录。</w:t>
      </w:r>
    </w:p>
    <w:p>
      <w:pPr>
        <w:spacing w:line="400" w:lineRule="exact"/>
        <w:rPr>
          <w:color w:val="auto"/>
          <w:sz w:val="21"/>
          <w:szCs w:val="21"/>
        </w:rPr>
      </w:pPr>
      <w:r>
        <w:rPr>
          <w:rFonts w:hint="eastAsia" w:ascii="宋体" w:hAnsi="宋体" w:eastAsia="宋体" w:cs="宋体"/>
          <w:color w:val="auto"/>
          <w:sz w:val="21"/>
          <w:szCs w:val="21"/>
        </w:rPr>
        <w:t>2）建立维修工程专班专人负责制，由公司工程部、技术部派人负责。</w:t>
      </w:r>
    </w:p>
    <w:p>
      <w:pPr>
        <w:spacing w:line="400" w:lineRule="exact"/>
        <w:rPr>
          <w:color w:val="auto"/>
          <w:sz w:val="21"/>
          <w:szCs w:val="21"/>
        </w:rPr>
      </w:pPr>
      <w:r>
        <w:rPr>
          <w:rFonts w:hint="eastAsia" w:ascii="宋体" w:hAnsi="宋体" w:eastAsia="宋体" w:cs="宋体"/>
          <w:color w:val="auto"/>
          <w:sz w:val="21"/>
          <w:szCs w:val="21"/>
        </w:rPr>
        <w:t>3）在质保期内承包人做到：</w:t>
      </w:r>
    </w:p>
    <w:p>
      <w:pPr>
        <w:spacing w:line="400" w:lineRule="exact"/>
        <w:rPr>
          <w:color w:val="auto"/>
          <w:sz w:val="21"/>
          <w:szCs w:val="21"/>
        </w:rPr>
      </w:pPr>
      <w:r>
        <w:rPr>
          <w:rFonts w:hint="eastAsia" w:ascii="宋体" w:hAnsi="宋体" w:eastAsia="宋体" w:cs="宋体"/>
          <w:color w:val="auto"/>
          <w:sz w:val="21"/>
          <w:szCs w:val="21"/>
        </w:rPr>
        <w:t>A、免费提供所需的工作人员和材料进行维修。针对现场破坏程度，制定相关处理方案，得到业主同意后，对工程进行维护修复工作。</w:t>
      </w:r>
    </w:p>
    <w:p>
      <w:pPr>
        <w:spacing w:line="400" w:lineRule="exact"/>
        <w:rPr>
          <w:color w:val="auto"/>
          <w:sz w:val="21"/>
          <w:szCs w:val="21"/>
        </w:rPr>
      </w:pPr>
      <w:r>
        <w:rPr>
          <w:rFonts w:hint="eastAsia" w:ascii="宋体" w:hAnsi="宋体" w:eastAsia="宋体" w:cs="宋体"/>
          <w:color w:val="auto"/>
          <w:sz w:val="21"/>
          <w:szCs w:val="21"/>
        </w:rPr>
        <w:t>B、负责对工程进行日常一般性的定期维修保养，同时提供日夜24小时应答的紧急维修服务。</w:t>
      </w:r>
    </w:p>
    <w:p>
      <w:pPr>
        <w:spacing w:line="400" w:lineRule="exact"/>
        <w:rPr>
          <w:color w:val="auto"/>
          <w:sz w:val="21"/>
          <w:szCs w:val="21"/>
        </w:rPr>
      </w:pPr>
      <w:r>
        <w:rPr>
          <w:rFonts w:hint="eastAsia" w:ascii="宋体" w:hAnsi="宋体" w:eastAsia="宋体" w:cs="宋体"/>
          <w:color w:val="auto"/>
          <w:sz w:val="21"/>
          <w:szCs w:val="21"/>
        </w:rPr>
        <w:t>4）工程保修原则及质量回访计划</w:t>
      </w:r>
    </w:p>
    <w:p>
      <w:pPr>
        <w:spacing w:line="400" w:lineRule="exact"/>
        <w:rPr>
          <w:color w:val="auto"/>
          <w:sz w:val="21"/>
          <w:szCs w:val="21"/>
        </w:rPr>
      </w:pPr>
      <w:r>
        <w:rPr>
          <w:rFonts w:hint="eastAsia" w:ascii="宋体" w:hAnsi="宋体" w:eastAsia="宋体" w:cs="宋体"/>
          <w:color w:val="auto"/>
          <w:sz w:val="21"/>
          <w:szCs w:val="21"/>
        </w:rPr>
        <w:t>A、工程保修原则</w:t>
      </w:r>
    </w:p>
    <w:p>
      <w:pPr>
        <w:spacing w:line="400" w:lineRule="exact"/>
        <w:rPr>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eq \o\ac(○,1)</w:instrTex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在保修期间，承包人将本着“向发包人负责，让用户满意”的态度，以有效的制度及措施，以优质迅速的维修质量维护承包人利益。</w:t>
      </w:r>
    </w:p>
    <w:p>
      <w:pPr>
        <w:spacing w:line="400" w:lineRule="exact"/>
        <w:rPr>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eq \o\ac(○,2)</w:instrTex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由承包人原因造成的任何损伤和损坏，承包人将对所有缺陷的进行无偿检修，并承担由此造成的发包人的损失。</w:t>
      </w:r>
    </w:p>
    <w:p>
      <w:pPr>
        <w:spacing w:line="400" w:lineRule="exact"/>
        <w:rPr>
          <w:color w:val="auto"/>
          <w:sz w:val="21"/>
          <w:szCs w:val="21"/>
        </w:rPr>
      </w:pPr>
      <w:r>
        <w:rPr>
          <w:rFonts w:hint="eastAsia" w:ascii="宋体" w:hAnsi="宋体" w:eastAsia="宋体" w:cs="宋体"/>
          <w:color w:val="auto"/>
          <w:sz w:val="21"/>
          <w:szCs w:val="21"/>
        </w:rPr>
        <w:t>B、工程保修回访计划</w:t>
      </w:r>
    </w:p>
    <w:p>
      <w:pPr>
        <w:spacing w:line="400" w:lineRule="exact"/>
        <w:rPr>
          <w:color w:val="auto"/>
          <w:sz w:val="21"/>
          <w:szCs w:val="21"/>
        </w:rPr>
      </w:pPr>
      <w:r>
        <w:rPr>
          <w:rFonts w:hint="eastAsia" w:ascii="宋体" w:hAnsi="宋体" w:eastAsia="宋体" w:cs="宋体"/>
          <w:color w:val="auto"/>
          <w:sz w:val="21"/>
          <w:szCs w:val="21"/>
        </w:rPr>
        <w:t>工程移交后三个月即进行工程质量回访，缺陷责任期内每3个月，缺陷责任期届满后每6个月进行工程质量回访，并对存在的问题形成回访书面记录，制定检修方案，进行彻底的整改，直至发包人验收合格。</w:t>
      </w:r>
    </w:p>
    <w:p>
      <w:pPr>
        <w:spacing w:line="400" w:lineRule="exact"/>
        <w:outlineLvl w:val="0"/>
        <w:rPr>
          <w:color w:val="auto"/>
          <w:sz w:val="21"/>
          <w:szCs w:val="21"/>
        </w:rPr>
      </w:pPr>
      <w:r>
        <w:rPr>
          <w:rFonts w:hint="eastAsia" w:ascii="宋体" w:hAnsi="宋体" w:eastAsia="宋体" w:cs="宋体"/>
          <w:color w:val="auto"/>
          <w:sz w:val="21"/>
          <w:szCs w:val="21"/>
        </w:rPr>
        <w:t>　　五、保修费用</w:t>
      </w:r>
    </w:p>
    <w:p>
      <w:pPr>
        <w:spacing w:line="400" w:lineRule="exact"/>
        <w:rPr>
          <w:color w:val="auto"/>
          <w:sz w:val="21"/>
          <w:szCs w:val="21"/>
        </w:rPr>
      </w:pPr>
      <w:r>
        <w:rPr>
          <w:rFonts w:hint="eastAsia" w:ascii="宋体" w:hAnsi="宋体" w:eastAsia="宋体" w:cs="宋体"/>
          <w:color w:val="auto"/>
          <w:sz w:val="21"/>
          <w:szCs w:val="21"/>
        </w:rPr>
        <w:t>　　保修费用由造成质量缺陷的责任方承担。</w:t>
      </w:r>
    </w:p>
    <w:p>
      <w:pPr>
        <w:spacing w:line="400" w:lineRule="exact"/>
        <w:ind w:firstLine="402"/>
        <w:rPr>
          <w:color w:val="auto"/>
          <w:sz w:val="21"/>
          <w:szCs w:val="21"/>
        </w:rPr>
      </w:pPr>
      <w:r>
        <w:rPr>
          <w:rFonts w:hint="eastAsia" w:ascii="宋体" w:hAnsi="宋体" w:eastAsia="宋体" w:cs="宋体"/>
          <w:b/>
          <w:color w:val="auto"/>
          <w:sz w:val="21"/>
          <w:szCs w:val="21"/>
        </w:rPr>
        <w:t>六</w:t>
      </w:r>
      <w:r>
        <w:rPr>
          <w:rFonts w:hint="eastAsia" w:ascii="宋体" w:hAnsi="宋体" w:eastAsia="宋体" w:cs="宋体"/>
          <w:color w:val="auto"/>
          <w:sz w:val="21"/>
          <w:szCs w:val="21"/>
        </w:rPr>
        <w:t>、双方约定的其他工程质量保修事项：</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pPr>
        <w:spacing w:line="400" w:lineRule="exact"/>
        <w:ind w:firstLine="380"/>
        <w:rPr>
          <w:color w:val="auto"/>
          <w:sz w:val="21"/>
          <w:szCs w:val="21"/>
        </w:rPr>
      </w:pPr>
      <w:r>
        <w:rPr>
          <w:rFonts w:hint="eastAsia" w:ascii="宋体" w:hAnsi="宋体" w:eastAsia="宋体" w:cs="宋体"/>
          <w:color w:val="auto"/>
          <w:sz w:val="21"/>
          <w:szCs w:val="21"/>
        </w:rPr>
        <w:t>工程质量保修书由发包人、承包人在工程竣工验收前共同签署，作为施工合同附件，其有效期限至保修期满。</w:t>
      </w:r>
    </w:p>
    <w:p>
      <w:pPr>
        <w:spacing w:line="400" w:lineRule="exact"/>
        <w:rPr>
          <w:color w:val="auto"/>
          <w:sz w:val="21"/>
          <w:szCs w:val="21"/>
        </w:rPr>
      </w:pPr>
      <w:r>
        <w:rPr>
          <w:rFonts w:hint="eastAsia" w:ascii="宋体" w:hAnsi="宋体" w:eastAsia="宋体" w:cs="宋体"/>
          <w:color w:val="auto"/>
          <w:sz w:val="21"/>
          <w:szCs w:val="21"/>
        </w:rPr>
        <w:t>发包人(公章)：</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承包人(公章)：</w:t>
      </w:r>
    </w:p>
    <w:p>
      <w:pPr>
        <w:spacing w:line="400" w:lineRule="exact"/>
        <w:rPr>
          <w:color w:val="auto"/>
          <w:sz w:val="21"/>
          <w:szCs w:val="21"/>
        </w:rPr>
      </w:pPr>
      <w:r>
        <w:rPr>
          <w:rFonts w:hint="eastAsia" w:ascii="宋体" w:hAnsi="宋体" w:eastAsia="宋体" w:cs="宋体"/>
          <w:color w:val="auto"/>
          <w:sz w:val="21"/>
          <w:szCs w:val="21"/>
        </w:rPr>
        <w:t>地址：</w:t>
      </w:r>
      <w:r>
        <w:rPr>
          <w:rFonts w:hint="eastAsia" w:ascii="宋体" w:hAnsi="宋体" w:cs="宋体"/>
          <w:color w:val="auto"/>
          <w:sz w:val="21"/>
          <w:szCs w:val="21"/>
          <w:lang w:val="en-US" w:eastAsia="zh-CN"/>
        </w:rPr>
        <w:t xml:space="preserve">                                  </w:t>
      </w:r>
      <w:r>
        <w:rPr>
          <w:rStyle w:val="59"/>
          <w:rFonts w:hint="eastAsia" w:ascii="宋体" w:hAnsi="宋体" w:eastAsia="宋体" w:cs="宋体"/>
          <w:color w:val="auto"/>
        </w:rPr>
        <w:t>地址：</w:t>
      </w:r>
    </w:p>
    <w:p>
      <w:pPr>
        <w:spacing w:line="400" w:lineRule="exact"/>
        <w:rPr>
          <w:color w:val="auto"/>
          <w:sz w:val="21"/>
          <w:szCs w:val="21"/>
        </w:rPr>
      </w:pPr>
      <w:r>
        <w:rPr>
          <w:rFonts w:hint="eastAsia" w:ascii="宋体" w:hAnsi="宋体" w:eastAsia="宋体" w:cs="宋体"/>
          <w:color w:val="auto"/>
          <w:sz w:val="21"/>
          <w:szCs w:val="21"/>
        </w:rPr>
        <w:t>法定代表人(签字)：</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法定代表人(签字)：</w:t>
      </w:r>
    </w:p>
    <w:p>
      <w:pPr>
        <w:spacing w:line="400" w:lineRule="exact"/>
        <w:rPr>
          <w:color w:val="auto"/>
          <w:sz w:val="21"/>
          <w:szCs w:val="21"/>
        </w:rPr>
      </w:pPr>
      <w:r>
        <w:rPr>
          <w:rFonts w:hint="eastAsia" w:ascii="宋体" w:hAnsi="宋体" w:eastAsia="宋体" w:cs="宋体"/>
          <w:color w:val="auto"/>
          <w:sz w:val="21"/>
          <w:szCs w:val="21"/>
        </w:rPr>
        <w:t>委托代理人(签字)：</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委托代理人(签字)：</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电话：</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none"/>
          <w:lang w:val="en-US" w:eastAsia="zh-CN"/>
        </w:rPr>
        <w:t xml:space="preserve">                               </w:t>
      </w:r>
      <w:r>
        <w:rPr>
          <w:rFonts w:hint="eastAsia" w:ascii="宋体" w:hAnsi="宋体" w:eastAsia="宋体" w:cs="宋体"/>
          <w:color w:val="auto"/>
          <w:sz w:val="21"/>
          <w:szCs w:val="21"/>
        </w:rPr>
        <w:t>电话：</w:t>
      </w:r>
    </w:p>
    <w:p>
      <w:pPr>
        <w:spacing w:line="400" w:lineRule="exact"/>
        <w:rPr>
          <w:color w:val="auto"/>
          <w:sz w:val="21"/>
          <w:szCs w:val="21"/>
        </w:rPr>
      </w:pPr>
      <w:r>
        <w:rPr>
          <w:rFonts w:hint="eastAsia" w:ascii="宋体" w:hAnsi="宋体" w:eastAsia="宋体" w:cs="宋体"/>
          <w:color w:val="auto"/>
          <w:sz w:val="21"/>
          <w:szCs w:val="21"/>
        </w:rPr>
        <w:t>传真：</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none"/>
          <w:lang w:val="en-US" w:eastAsia="zh-CN"/>
        </w:rPr>
        <w:t xml:space="preserve">                               </w:t>
      </w:r>
      <w:r>
        <w:rPr>
          <w:rFonts w:hint="eastAsia" w:ascii="宋体" w:hAnsi="宋体" w:eastAsia="宋体" w:cs="宋体"/>
          <w:color w:val="auto"/>
          <w:sz w:val="21"/>
          <w:szCs w:val="21"/>
        </w:rPr>
        <w:t>传真：</w:t>
      </w:r>
    </w:p>
    <w:p>
      <w:pPr>
        <w:spacing w:line="400" w:lineRule="exact"/>
        <w:rPr>
          <w:color w:val="auto"/>
          <w:sz w:val="21"/>
          <w:szCs w:val="21"/>
        </w:rPr>
      </w:pPr>
      <w:r>
        <w:rPr>
          <w:rFonts w:hint="eastAsia" w:ascii="宋体" w:hAnsi="宋体" w:eastAsia="宋体" w:cs="宋体"/>
          <w:color w:val="auto"/>
          <w:sz w:val="21"/>
          <w:szCs w:val="21"/>
        </w:rPr>
        <w:t>开户银行：</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开户银行：</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账号：</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none"/>
          <w:lang w:val="en-US" w:eastAsia="zh-CN"/>
        </w:rPr>
        <w:t xml:space="preserve">                             </w:t>
      </w:r>
      <w:r>
        <w:rPr>
          <w:rFonts w:hint="eastAsia" w:ascii="宋体" w:hAnsi="宋体" w:eastAsia="宋体" w:cs="宋体"/>
          <w:color w:val="auto"/>
          <w:sz w:val="21"/>
          <w:szCs w:val="21"/>
        </w:rPr>
        <w:t>账号：</w:t>
      </w:r>
    </w:p>
    <w:p>
      <w:pPr>
        <w:spacing w:line="400" w:lineRule="exact"/>
        <w:rPr>
          <w:color w:val="auto"/>
          <w:sz w:val="21"/>
          <w:szCs w:val="21"/>
        </w:rPr>
      </w:pPr>
      <w:r>
        <w:rPr>
          <w:rFonts w:hint="eastAsia" w:ascii="宋体" w:hAnsi="宋体" w:eastAsia="宋体" w:cs="宋体"/>
          <w:color w:val="auto"/>
          <w:sz w:val="21"/>
          <w:szCs w:val="21"/>
        </w:rPr>
        <w:t>邮政编码：</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none"/>
          <w:lang w:val="en-US" w:eastAsia="zh-CN"/>
        </w:rPr>
        <w:t xml:space="preserve">                        </w:t>
      </w:r>
      <w:r>
        <w:rPr>
          <w:rFonts w:hint="eastAsia" w:ascii="宋体" w:hAnsi="宋体" w:eastAsia="宋体" w:cs="宋体"/>
          <w:color w:val="auto"/>
          <w:sz w:val="21"/>
          <w:szCs w:val="21"/>
        </w:rPr>
        <w:t>邮政编码：</w:t>
      </w:r>
      <w:bookmarkEnd w:id="17"/>
    </w:p>
    <w:p>
      <w:pPr>
        <w:spacing w:line="360" w:lineRule="auto"/>
        <w:ind w:left="4382" w:hanging="3882"/>
        <w:rPr>
          <w:rFonts w:ascii="宋体" w:hAnsi="宋体" w:cs="宋体"/>
          <w:color w:val="auto"/>
          <w:u w:val="single"/>
        </w:rPr>
      </w:pPr>
    </w:p>
    <w:p>
      <w:pPr>
        <w:spacing w:line="440" w:lineRule="exact"/>
        <w:ind w:firstLine="600"/>
        <w:rPr>
          <w:rFonts w:ascii="宋体" w:hAnsi="宋体" w:cs="宋体"/>
          <w:color w:val="auto"/>
          <w:sz w:val="30"/>
          <w:szCs w:val="30"/>
        </w:rPr>
      </w:pPr>
    </w:p>
    <w:p>
      <w:pPr>
        <w:spacing w:line="440" w:lineRule="exact"/>
        <w:ind w:firstLine="600"/>
        <w:rPr>
          <w:rFonts w:ascii="宋体" w:hAnsi="宋体" w:cs="宋体"/>
          <w:color w:val="auto"/>
          <w:sz w:val="30"/>
          <w:szCs w:val="30"/>
        </w:rPr>
      </w:pPr>
    </w:p>
    <w:p>
      <w:pPr>
        <w:rPr>
          <w:color w:val="auto"/>
        </w:rPr>
      </w:pPr>
    </w:p>
    <w:p>
      <w:pPr>
        <w:spacing w:line="440" w:lineRule="exact"/>
        <w:ind w:firstLine="600"/>
        <w:rPr>
          <w:rFonts w:ascii="宋体" w:hAnsi="宋体" w:cs="宋体"/>
          <w:color w:val="auto"/>
          <w:sz w:val="30"/>
          <w:szCs w:val="30"/>
        </w:rPr>
      </w:pPr>
    </w:p>
    <w:p>
      <w:pPr>
        <w:spacing w:line="440" w:lineRule="exact"/>
        <w:ind w:firstLine="600"/>
        <w:rPr>
          <w:rFonts w:ascii="宋体" w:hAnsi="宋体" w:cs="宋体"/>
          <w:color w:val="auto"/>
          <w:sz w:val="30"/>
          <w:szCs w:val="30"/>
        </w:rPr>
      </w:pPr>
      <w:r>
        <w:rPr>
          <w:rFonts w:hint="eastAsia" w:ascii="宋体" w:hAnsi="宋体" w:eastAsia="宋体" w:cs="宋体"/>
          <w:color w:val="auto"/>
          <w:sz w:val="30"/>
          <w:szCs w:val="30"/>
        </w:rPr>
        <w:t>附件4：</w:t>
      </w:r>
    </w:p>
    <w:p>
      <w:pPr>
        <w:spacing w:before="120" w:after="120" w:line="440" w:lineRule="exact"/>
        <w:ind w:firstLine="600"/>
        <w:jc w:val="center"/>
        <w:rPr>
          <w:rFonts w:ascii="宋体" w:hAnsi="宋体" w:cs="宋体"/>
          <w:color w:val="auto"/>
          <w:sz w:val="30"/>
          <w:szCs w:val="30"/>
        </w:rPr>
      </w:pPr>
      <w:r>
        <w:rPr>
          <w:rFonts w:hint="eastAsia" w:ascii="宋体" w:hAnsi="宋体" w:eastAsia="宋体" w:cs="宋体"/>
          <w:color w:val="auto"/>
          <w:sz w:val="30"/>
          <w:szCs w:val="30"/>
        </w:rPr>
        <w:t>主要建设工程文件目录</w:t>
      </w:r>
    </w:p>
    <w:tbl>
      <w:tblPr>
        <w:tblStyle w:val="62"/>
        <w:tblW w:w="90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953" w:type="dxa"/>
            <w:tcBorders>
              <w:top w:val="single" w:color="auto" w:sz="12" w:space="0"/>
              <w:bottom w:val="single" w:color="auto" w:sz="6" w:space="0"/>
            </w:tcBorders>
            <w:vAlign w:val="center"/>
          </w:tcPr>
          <w:p>
            <w:pPr>
              <w:keepNext/>
              <w:widowControl w:val="0"/>
              <w:spacing w:line="440" w:lineRule="exact"/>
              <w:ind w:left="63" w:right="63"/>
              <w:jc w:val="both"/>
              <w:rPr>
                <w:rFonts w:ascii="宋体" w:hAnsi="宋体" w:cs="宋体"/>
                <w:color w:val="auto"/>
                <w:sz w:val="28"/>
                <w:szCs w:val="30"/>
              </w:rPr>
            </w:pPr>
            <w:r>
              <w:rPr>
                <w:rFonts w:hint="eastAsia" w:ascii="宋体" w:hAnsi="宋体" w:cs="宋体"/>
                <w:color w:val="auto"/>
                <w:sz w:val="28"/>
                <w:szCs w:val="30"/>
              </w:rPr>
              <w:t>文件名称</w:t>
            </w:r>
          </w:p>
        </w:tc>
        <w:tc>
          <w:tcPr>
            <w:tcW w:w="1276" w:type="dxa"/>
            <w:tcBorders>
              <w:top w:val="single" w:color="auto" w:sz="12" w:space="0"/>
              <w:bottom w:val="single" w:color="auto" w:sz="6" w:space="0"/>
            </w:tcBorders>
            <w:vAlign w:val="center"/>
          </w:tcPr>
          <w:p>
            <w:pPr>
              <w:keepNext/>
              <w:widowControl w:val="0"/>
              <w:spacing w:line="440" w:lineRule="exact"/>
              <w:ind w:left="63" w:right="63"/>
              <w:jc w:val="both"/>
              <w:rPr>
                <w:rFonts w:ascii="宋体" w:hAnsi="宋体" w:cs="宋体"/>
                <w:color w:val="auto"/>
                <w:sz w:val="28"/>
                <w:szCs w:val="30"/>
              </w:rPr>
            </w:pPr>
            <w:r>
              <w:rPr>
                <w:rFonts w:hint="eastAsia" w:ascii="宋体" w:hAnsi="宋体" w:cs="宋体"/>
                <w:color w:val="auto"/>
                <w:sz w:val="28"/>
                <w:szCs w:val="30"/>
              </w:rPr>
              <w:t>套数</w:t>
            </w:r>
          </w:p>
        </w:tc>
        <w:tc>
          <w:tcPr>
            <w:tcW w:w="1450" w:type="dxa"/>
            <w:tcBorders>
              <w:top w:val="single" w:color="auto" w:sz="12" w:space="0"/>
              <w:bottom w:val="single" w:color="auto" w:sz="6" w:space="0"/>
            </w:tcBorders>
            <w:vAlign w:val="center"/>
          </w:tcPr>
          <w:p>
            <w:pPr>
              <w:keepNext/>
              <w:widowControl w:val="0"/>
              <w:spacing w:line="440" w:lineRule="exact"/>
              <w:ind w:left="63" w:right="63"/>
              <w:jc w:val="both"/>
              <w:rPr>
                <w:rFonts w:ascii="宋体" w:hAnsi="宋体" w:cs="宋体"/>
                <w:color w:val="auto"/>
                <w:sz w:val="28"/>
                <w:szCs w:val="30"/>
              </w:rPr>
            </w:pPr>
            <w:r>
              <w:rPr>
                <w:rFonts w:hint="eastAsia" w:ascii="宋体" w:hAnsi="宋体" w:cs="宋体"/>
                <w:color w:val="auto"/>
                <w:sz w:val="28"/>
                <w:szCs w:val="30"/>
              </w:rPr>
              <w:t>费用（元）</w:t>
            </w:r>
          </w:p>
        </w:tc>
        <w:tc>
          <w:tcPr>
            <w:tcW w:w="1243" w:type="dxa"/>
            <w:tcBorders>
              <w:top w:val="single" w:color="auto" w:sz="12" w:space="0"/>
              <w:bottom w:val="single" w:color="auto" w:sz="6" w:space="0"/>
            </w:tcBorders>
            <w:vAlign w:val="center"/>
          </w:tcPr>
          <w:p>
            <w:pPr>
              <w:keepNext/>
              <w:widowControl w:val="0"/>
              <w:spacing w:line="440" w:lineRule="exact"/>
              <w:ind w:left="63" w:right="63"/>
              <w:jc w:val="both"/>
              <w:rPr>
                <w:rFonts w:ascii="宋体" w:hAnsi="宋体" w:cs="宋体"/>
                <w:color w:val="auto"/>
                <w:sz w:val="28"/>
                <w:szCs w:val="30"/>
              </w:rPr>
            </w:pPr>
            <w:r>
              <w:rPr>
                <w:rFonts w:hint="eastAsia" w:ascii="宋体" w:hAnsi="宋体" w:cs="宋体"/>
                <w:color w:val="auto"/>
                <w:sz w:val="28"/>
                <w:szCs w:val="30"/>
              </w:rPr>
              <w:t>质量</w:t>
            </w:r>
          </w:p>
        </w:tc>
        <w:tc>
          <w:tcPr>
            <w:tcW w:w="1450" w:type="dxa"/>
            <w:tcBorders>
              <w:top w:val="single" w:color="auto" w:sz="12" w:space="0"/>
              <w:bottom w:val="single" w:color="auto" w:sz="6" w:space="0"/>
            </w:tcBorders>
            <w:vAlign w:val="top"/>
          </w:tcPr>
          <w:p>
            <w:pPr>
              <w:spacing w:line="440" w:lineRule="exact"/>
              <w:rPr>
                <w:rFonts w:ascii="宋体" w:hAnsi="宋体" w:cs="宋体"/>
                <w:color w:val="auto"/>
                <w:sz w:val="28"/>
                <w:szCs w:val="30"/>
              </w:rPr>
            </w:pPr>
            <w:r>
              <w:rPr>
                <w:rFonts w:hint="eastAsia" w:ascii="宋体" w:hAnsi="宋体" w:cs="宋体"/>
                <w:color w:val="auto"/>
                <w:sz w:val="28"/>
                <w:szCs w:val="30"/>
              </w:rPr>
              <w:t>移交时间</w:t>
            </w:r>
          </w:p>
        </w:tc>
        <w:tc>
          <w:tcPr>
            <w:tcW w:w="1667" w:type="dxa"/>
            <w:tcBorders>
              <w:top w:val="single" w:color="auto" w:sz="12" w:space="0"/>
              <w:bottom w:val="single" w:color="auto" w:sz="6" w:space="0"/>
            </w:tcBorders>
            <w:vAlign w:val="top"/>
          </w:tcPr>
          <w:p>
            <w:pPr>
              <w:spacing w:line="440" w:lineRule="exact"/>
              <w:rPr>
                <w:rFonts w:ascii="宋体" w:hAnsi="宋体" w:cs="宋体"/>
                <w:color w:val="auto"/>
                <w:sz w:val="28"/>
                <w:szCs w:val="30"/>
              </w:rPr>
            </w:pPr>
            <w:r>
              <w:rPr>
                <w:rFonts w:hint="eastAsia" w:ascii="宋体" w:hAnsi="宋体" w:cs="宋体"/>
                <w:color w:val="auto"/>
                <w:sz w:val="28"/>
                <w:szCs w:val="30"/>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Borders>
              <w:top w:val="single" w:color="auto" w:sz="6" w:space="0"/>
              <w:bottom w:val="single" w:color="auto" w:sz="6" w:space="0"/>
            </w:tcBorders>
            <w:vAlign w:val="center"/>
          </w:tcPr>
          <w:p>
            <w:pPr>
              <w:keepNext/>
              <w:widowControl w:val="0"/>
              <w:spacing w:line="440" w:lineRule="exact"/>
              <w:ind w:left="63" w:right="63" w:firstLine="600"/>
              <w:jc w:val="both"/>
              <w:rPr>
                <w:rFonts w:ascii="宋体" w:hAnsi="宋体" w:cs="宋体"/>
                <w:color w:val="auto"/>
                <w:sz w:val="28"/>
                <w:szCs w:val="30"/>
              </w:rPr>
            </w:pPr>
          </w:p>
        </w:tc>
        <w:tc>
          <w:tcPr>
            <w:tcW w:w="1276" w:type="dxa"/>
            <w:tcBorders>
              <w:top w:val="single" w:color="auto" w:sz="6" w:space="0"/>
              <w:bottom w:val="single" w:color="auto" w:sz="6" w:space="0"/>
            </w:tcBorders>
            <w:vAlign w:val="center"/>
          </w:tcPr>
          <w:p>
            <w:pPr>
              <w:keepNext/>
              <w:widowControl w:val="0"/>
              <w:spacing w:line="440" w:lineRule="exact"/>
              <w:ind w:left="63" w:right="63" w:firstLine="600"/>
              <w:jc w:val="both"/>
              <w:rPr>
                <w:rFonts w:ascii="宋体" w:hAnsi="宋体" w:cs="宋体"/>
                <w:color w:val="auto"/>
                <w:sz w:val="28"/>
                <w:szCs w:val="30"/>
              </w:rPr>
            </w:pPr>
          </w:p>
        </w:tc>
        <w:tc>
          <w:tcPr>
            <w:tcW w:w="1450" w:type="dxa"/>
            <w:tcBorders>
              <w:top w:val="single" w:color="auto" w:sz="6" w:space="0"/>
              <w:bottom w:val="single" w:color="auto" w:sz="6" w:space="0"/>
            </w:tcBorders>
            <w:vAlign w:val="center"/>
          </w:tcPr>
          <w:p>
            <w:pPr>
              <w:keepNext/>
              <w:widowControl w:val="0"/>
              <w:spacing w:line="440" w:lineRule="exact"/>
              <w:ind w:left="63" w:right="63" w:firstLine="600"/>
              <w:jc w:val="both"/>
              <w:rPr>
                <w:rFonts w:ascii="宋体" w:hAnsi="宋体" w:cs="宋体"/>
                <w:color w:val="auto"/>
                <w:sz w:val="28"/>
                <w:szCs w:val="30"/>
              </w:rPr>
            </w:pPr>
          </w:p>
        </w:tc>
        <w:tc>
          <w:tcPr>
            <w:tcW w:w="1243" w:type="dxa"/>
            <w:tcBorders>
              <w:top w:val="single" w:color="auto" w:sz="6" w:space="0"/>
              <w:bottom w:val="single" w:color="auto" w:sz="6" w:space="0"/>
            </w:tcBorders>
            <w:vAlign w:val="center"/>
          </w:tcPr>
          <w:p>
            <w:pPr>
              <w:keepNext/>
              <w:widowControl w:val="0"/>
              <w:spacing w:line="440" w:lineRule="exact"/>
              <w:ind w:left="63" w:right="63" w:firstLine="600"/>
              <w:jc w:val="both"/>
              <w:rPr>
                <w:rFonts w:ascii="宋体" w:hAnsi="宋体" w:cs="宋体"/>
                <w:color w:val="auto"/>
                <w:sz w:val="28"/>
                <w:szCs w:val="30"/>
              </w:rPr>
            </w:pPr>
          </w:p>
        </w:tc>
        <w:tc>
          <w:tcPr>
            <w:tcW w:w="1450" w:type="dxa"/>
            <w:tcBorders>
              <w:top w:val="single" w:color="auto" w:sz="6" w:space="0"/>
              <w:bottom w:val="single" w:color="auto" w:sz="6" w:space="0"/>
            </w:tcBorders>
            <w:vAlign w:val="center"/>
          </w:tcPr>
          <w:p>
            <w:pPr>
              <w:keepNext/>
              <w:widowControl w:val="0"/>
              <w:spacing w:line="440" w:lineRule="exact"/>
              <w:ind w:left="63" w:right="63" w:firstLine="600"/>
              <w:jc w:val="both"/>
              <w:rPr>
                <w:rFonts w:ascii="宋体" w:hAnsi="宋体" w:cs="宋体"/>
                <w:color w:val="auto"/>
                <w:sz w:val="28"/>
                <w:szCs w:val="30"/>
              </w:rPr>
            </w:pPr>
          </w:p>
        </w:tc>
        <w:tc>
          <w:tcPr>
            <w:tcW w:w="1667" w:type="dxa"/>
            <w:tcBorders>
              <w:top w:val="single" w:color="auto" w:sz="6" w:space="0"/>
              <w:bottom w:val="single" w:color="auto" w:sz="6" w:space="0"/>
            </w:tcBorders>
            <w:vAlign w:val="center"/>
          </w:tcPr>
          <w:p>
            <w:pPr>
              <w:keepNext/>
              <w:widowControl w:val="0"/>
              <w:spacing w:line="440" w:lineRule="exact"/>
              <w:ind w:left="63" w:right="63" w:firstLine="600"/>
              <w:jc w:val="both"/>
              <w:rPr>
                <w:rFonts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Borders>
              <w:top w:val="nil"/>
            </w:tcBorders>
            <w:vAlign w:val="center"/>
          </w:tcPr>
          <w:p>
            <w:pPr>
              <w:keepNext/>
              <w:widowControl w:val="0"/>
              <w:spacing w:line="440" w:lineRule="exact"/>
              <w:ind w:left="63" w:right="63" w:firstLine="600"/>
              <w:jc w:val="both"/>
              <w:rPr>
                <w:rFonts w:ascii="宋体" w:hAnsi="宋体" w:cs="宋体"/>
                <w:color w:val="auto"/>
                <w:sz w:val="28"/>
                <w:szCs w:val="30"/>
              </w:rPr>
            </w:pPr>
          </w:p>
        </w:tc>
        <w:tc>
          <w:tcPr>
            <w:tcW w:w="1276" w:type="dxa"/>
            <w:tcBorders>
              <w:top w:val="nil"/>
            </w:tcBorders>
            <w:vAlign w:val="center"/>
          </w:tcPr>
          <w:p>
            <w:pPr>
              <w:keepNext/>
              <w:widowControl w:val="0"/>
              <w:spacing w:line="440" w:lineRule="exact"/>
              <w:ind w:left="63" w:right="63" w:firstLine="600"/>
              <w:jc w:val="both"/>
              <w:rPr>
                <w:rFonts w:ascii="宋体" w:hAnsi="宋体" w:cs="宋体"/>
                <w:color w:val="auto"/>
                <w:sz w:val="28"/>
                <w:szCs w:val="30"/>
              </w:rPr>
            </w:pPr>
          </w:p>
        </w:tc>
        <w:tc>
          <w:tcPr>
            <w:tcW w:w="1450" w:type="dxa"/>
            <w:tcBorders>
              <w:top w:val="nil"/>
            </w:tcBorders>
            <w:vAlign w:val="center"/>
          </w:tcPr>
          <w:p>
            <w:pPr>
              <w:keepNext/>
              <w:widowControl w:val="0"/>
              <w:spacing w:line="440" w:lineRule="exact"/>
              <w:ind w:left="63" w:right="63" w:firstLine="600"/>
              <w:jc w:val="both"/>
              <w:rPr>
                <w:rFonts w:ascii="宋体" w:hAnsi="宋体" w:cs="宋体"/>
                <w:color w:val="auto"/>
                <w:sz w:val="28"/>
                <w:szCs w:val="30"/>
              </w:rPr>
            </w:pPr>
          </w:p>
        </w:tc>
        <w:tc>
          <w:tcPr>
            <w:tcW w:w="1243" w:type="dxa"/>
            <w:tcBorders>
              <w:top w:val="nil"/>
            </w:tcBorders>
            <w:vAlign w:val="center"/>
          </w:tcPr>
          <w:p>
            <w:pPr>
              <w:keepNext/>
              <w:widowControl w:val="0"/>
              <w:spacing w:line="440" w:lineRule="exact"/>
              <w:ind w:left="63" w:right="63" w:firstLine="600"/>
              <w:jc w:val="both"/>
              <w:rPr>
                <w:rFonts w:ascii="宋体" w:hAnsi="宋体" w:cs="宋体"/>
                <w:color w:val="auto"/>
                <w:sz w:val="28"/>
                <w:szCs w:val="30"/>
              </w:rPr>
            </w:pPr>
          </w:p>
        </w:tc>
        <w:tc>
          <w:tcPr>
            <w:tcW w:w="1450" w:type="dxa"/>
            <w:tcBorders>
              <w:top w:val="nil"/>
            </w:tcBorders>
            <w:vAlign w:val="center"/>
          </w:tcPr>
          <w:p>
            <w:pPr>
              <w:keepNext/>
              <w:widowControl w:val="0"/>
              <w:spacing w:line="440" w:lineRule="exact"/>
              <w:ind w:left="63" w:right="63" w:firstLine="600"/>
              <w:jc w:val="both"/>
              <w:rPr>
                <w:rFonts w:ascii="宋体" w:hAnsi="宋体" w:cs="宋体"/>
                <w:color w:val="auto"/>
                <w:sz w:val="28"/>
                <w:szCs w:val="30"/>
              </w:rPr>
            </w:pPr>
          </w:p>
        </w:tc>
        <w:tc>
          <w:tcPr>
            <w:tcW w:w="1667" w:type="dxa"/>
            <w:tcBorders>
              <w:top w:val="nil"/>
            </w:tcBorders>
            <w:vAlign w:val="center"/>
          </w:tcPr>
          <w:p>
            <w:pPr>
              <w:keepNext/>
              <w:widowControl w:val="0"/>
              <w:spacing w:line="440" w:lineRule="exact"/>
              <w:ind w:left="63" w:right="63" w:firstLine="600"/>
              <w:jc w:val="both"/>
              <w:rPr>
                <w:rFonts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keepNext/>
              <w:widowControl w:val="0"/>
              <w:spacing w:line="440" w:lineRule="exact"/>
              <w:ind w:left="63" w:right="63" w:firstLine="600"/>
              <w:jc w:val="both"/>
              <w:rPr>
                <w:rFonts w:ascii="宋体" w:hAnsi="宋体" w:cs="宋体"/>
                <w:color w:val="auto"/>
                <w:sz w:val="28"/>
                <w:szCs w:val="30"/>
              </w:rPr>
            </w:pPr>
          </w:p>
        </w:tc>
        <w:tc>
          <w:tcPr>
            <w:tcW w:w="1276" w:type="dxa"/>
            <w:vAlign w:val="center"/>
          </w:tcPr>
          <w:p>
            <w:pPr>
              <w:keepNext/>
              <w:widowControl w:val="0"/>
              <w:spacing w:line="440" w:lineRule="exact"/>
              <w:ind w:left="63" w:right="63" w:firstLine="600"/>
              <w:jc w:val="both"/>
              <w:rPr>
                <w:rFonts w:ascii="宋体" w:hAnsi="宋体" w:cs="宋体"/>
                <w:color w:val="auto"/>
                <w:sz w:val="28"/>
                <w:szCs w:val="30"/>
              </w:rPr>
            </w:pPr>
          </w:p>
        </w:tc>
        <w:tc>
          <w:tcPr>
            <w:tcW w:w="1450" w:type="dxa"/>
            <w:vAlign w:val="center"/>
          </w:tcPr>
          <w:p>
            <w:pPr>
              <w:keepNext/>
              <w:widowControl w:val="0"/>
              <w:spacing w:line="440" w:lineRule="exact"/>
              <w:ind w:left="63" w:right="63" w:firstLine="600"/>
              <w:jc w:val="both"/>
              <w:rPr>
                <w:rFonts w:ascii="宋体" w:hAnsi="宋体" w:cs="宋体"/>
                <w:color w:val="auto"/>
                <w:sz w:val="28"/>
                <w:szCs w:val="30"/>
              </w:rPr>
            </w:pPr>
          </w:p>
        </w:tc>
        <w:tc>
          <w:tcPr>
            <w:tcW w:w="1243" w:type="dxa"/>
            <w:vAlign w:val="center"/>
          </w:tcPr>
          <w:p>
            <w:pPr>
              <w:keepNext/>
              <w:widowControl w:val="0"/>
              <w:spacing w:line="440" w:lineRule="exact"/>
              <w:ind w:left="63" w:right="63" w:firstLine="600"/>
              <w:jc w:val="both"/>
              <w:rPr>
                <w:rFonts w:ascii="宋体" w:hAnsi="宋体" w:cs="宋体"/>
                <w:color w:val="auto"/>
                <w:sz w:val="28"/>
                <w:szCs w:val="30"/>
              </w:rPr>
            </w:pPr>
          </w:p>
        </w:tc>
        <w:tc>
          <w:tcPr>
            <w:tcW w:w="1450" w:type="dxa"/>
            <w:vAlign w:val="center"/>
          </w:tcPr>
          <w:p>
            <w:pPr>
              <w:keepNext/>
              <w:widowControl w:val="0"/>
              <w:spacing w:line="440" w:lineRule="exact"/>
              <w:ind w:left="63" w:right="63" w:firstLine="600"/>
              <w:jc w:val="both"/>
              <w:rPr>
                <w:rFonts w:ascii="宋体" w:hAnsi="宋体" w:cs="宋体"/>
                <w:color w:val="auto"/>
                <w:sz w:val="28"/>
                <w:szCs w:val="30"/>
              </w:rPr>
            </w:pPr>
          </w:p>
        </w:tc>
        <w:tc>
          <w:tcPr>
            <w:tcW w:w="1667" w:type="dxa"/>
            <w:vAlign w:val="center"/>
          </w:tcPr>
          <w:p>
            <w:pPr>
              <w:keepNext/>
              <w:widowControl w:val="0"/>
              <w:spacing w:line="440" w:lineRule="exact"/>
              <w:ind w:left="63" w:right="63" w:firstLine="600"/>
              <w:jc w:val="both"/>
              <w:rPr>
                <w:rFonts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keepNext/>
              <w:widowControl w:val="0"/>
              <w:spacing w:line="440" w:lineRule="exact"/>
              <w:ind w:left="63" w:right="63" w:firstLine="600"/>
              <w:jc w:val="both"/>
              <w:rPr>
                <w:rFonts w:ascii="宋体" w:hAnsi="宋体" w:cs="宋体"/>
                <w:color w:val="auto"/>
                <w:sz w:val="28"/>
                <w:szCs w:val="30"/>
              </w:rPr>
            </w:pPr>
          </w:p>
        </w:tc>
        <w:tc>
          <w:tcPr>
            <w:tcW w:w="1276" w:type="dxa"/>
            <w:vAlign w:val="center"/>
          </w:tcPr>
          <w:p>
            <w:pPr>
              <w:keepNext/>
              <w:widowControl w:val="0"/>
              <w:spacing w:line="440" w:lineRule="exact"/>
              <w:ind w:left="63" w:right="63" w:firstLine="600"/>
              <w:jc w:val="both"/>
              <w:rPr>
                <w:rFonts w:ascii="宋体" w:hAnsi="宋体" w:cs="宋体"/>
                <w:color w:val="auto"/>
                <w:sz w:val="28"/>
                <w:szCs w:val="30"/>
              </w:rPr>
            </w:pPr>
          </w:p>
        </w:tc>
        <w:tc>
          <w:tcPr>
            <w:tcW w:w="1450" w:type="dxa"/>
            <w:vAlign w:val="center"/>
          </w:tcPr>
          <w:p>
            <w:pPr>
              <w:keepNext/>
              <w:widowControl w:val="0"/>
              <w:spacing w:line="440" w:lineRule="exact"/>
              <w:ind w:left="63" w:right="63" w:firstLine="600"/>
              <w:jc w:val="both"/>
              <w:rPr>
                <w:rFonts w:ascii="宋体" w:hAnsi="宋体" w:cs="宋体"/>
                <w:color w:val="auto"/>
                <w:sz w:val="28"/>
                <w:szCs w:val="30"/>
              </w:rPr>
            </w:pPr>
          </w:p>
        </w:tc>
        <w:tc>
          <w:tcPr>
            <w:tcW w:w="1243" w:type="dxa"/>
            <w:vAlign w:val="center"/>
          </w:tcPr>
          <w:p>
            <w:pPr>
              <w:keepNext/>
              <w:widowControl w:val="0"/>
              <w:spacing w:line="440" w:lineRule="exact"/>
              <w:ind w:left="63" w:right="63" w:firstLine="600"/>
              <w:jc w:val="both"/>
              <w:rPr>
                <w:rFonts w:ascii="宋体" w:hAnsi="宋体" w:cs="宋体"/>
                <w:color w:val="auto"/>
                <w:sz w:val="28"/>
                <w:szCs w:val="30"/>
              </w:rPr>
            </w:pPr>
          </w:p>
        </w:tc>
        <w:tc>
          <w:tcPr>
            <w:tcW w:w="1450" w:type="dxa"/>
            <w:vAlign w:val="center"/>
          </w:tcPr>
          <w:p>
            <w:pPr>
              <w:keepNext/>
              <w:widowControl w:val="0"/>
              <w:spacing w:line="440" w:lineRule="exact"/>
              <w:ind w:left="63" w:right="63" w:firstLine="600"/>
              <w:jc w:val="both"/>
              <w:rPr>
                <w:rFonts w:ascii="宋体" w:hAnsi="宋体" w:cs="宋体"/>
                <w:color w:val="auto"/>
                <w:sz w:val="28"/>
                <w:szCs w:val="30"/>
              </w:rPr>
            </w:pPr>
          </w:p>
        </w:tc>
        <w:tc>
          <w:tcPr>
            <w:tcW w:w="1667" w:type="dxa"/>
            <w:vAlign w:val="center"/>
          </w:tcPr>
          <w:p>
            <w:pPr>
              <w:keepNext/>
              <w:widowControl w:val="0"/>
              <w:spacing w:line="440" w:lineRule="exact"/>
              <w:ind w:left="63" w:right="63" w:firstLine="600"/>
              <w:jc w:val="both"/>
              <w:rPr>
                <w:rFonts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keepNext/>
              <w:widowControl w:val="0"/>
              <w:spacing w:line="440" w:lineRule="exact"/>
              <w:ind w:left="63" w:right="63" w:firstLine="600"/>
              <w:jc w:val="both"/>
              <w:rPr>
                <w:rFonts w:ascii="宋体" w:hAnsi="宋体" w:cs="宋体"/>
                <w:color w:val="auto"/>
                <w:sz w:val="28"/>
                <w:szCs w:val="30"/>
              </w:rPr>
            </w:pPr>
          </w:p>
        </w:tc>
        <w:tc>
          <w:tcPr>
            <w:tcW w:w="1276" w:type="dxa"/>
            <w:vAlign w:val="center"/>
          </w:tcPr>
          <w:p>
            <w:pPr>
              <w:keepNext/>
              <w:widowControl w:val="0"/>
              <w:spacing w:line="440" w:lineRule="exact"/>
              <w:ind w:left="63" w:right="63" w:firstLine="600"/>
              <w:jc w:val="both"/>
              <w:rPr>
                <w:rFonts w:ascii="宋体" w:hAnsi="宋体" w:cs="宋体"/>
                <w:color w:val="auto"/>
                <w:sz w:val="28"/>
                <w:szCs w:val="30"/>
              </w:rPr>
            </w:pPr>
          </w:p>
        </w:tc>
        <w:tc>
          <w:tcPr>
            <w:tcW w:w="1450" w:type="dxa"/>
            <w:vAlign w:val="center"/>
          </w:tcPr>
          <w:p>
            <w:pPr>
              <w:keepNext/>
              <w:widowControl w:val="0"/>
              <w:spacing w:line="440" w:lineRule="exact"/>
              <w:ind w:left="63" w:right="63" w:firstLine="600"/>
              <w:jc w:val="both"/>
              <w:rPr>
                <w:rFonts w:ascii="宋体" w:hAnsi="宋体" w:cs="宋体"/>
                <w:color w:val="auto"/>
                <w:sz w:val="28"/>
                <w:szCs w:val="30"/>
              </w:rPr>
            </w:pPr>
          </w:p>
        </w:tc>
        <w:tc>
          <w:tcPr>
            <w:tcW w:w="1243" w:type="dxa"/>
            <w:vAlign w:val="center"/>
          </w:tcPr>
          <w:p>
            <w:pPr>
              <w:keepNext/>
              <w:widowControl w:val="0"/>
              <w:spacing w:line="440" w:lineRule="exact"/>
              <w:ind w:left="63" w:right="63" w:firstLine="600"/>
              <w:jc w:val="both"/>
              <w:rPr>
                <w:rFonts w:ascii="宋体" w:hAnsi="宋体" w:cs="宋体"/>
                <w:color w:val="auto"/>
                <w:sz w:val="28"/>
                <w:szCs w:val="30"/>
              </w:rPr>
            </w:pPr>
          </w:p>
        </w:tc>
        <w:tc>
          <w:tcPr>
            <w:tcW w:w="1450" w:type="dxa"/>
            <w:vAlign w:val="center"/>
          </w:tcPr>
          <w:p>
            <w:pPr>
              <w:keepNext/>
              <w:widowControl w:val="0"/>
              <w:spacing w:line="440" w:lineRule="exact"/>
              <w:ind w:left="63" w:right="63" w:firstLine="600"/>
              <w:jc w:val="both"/>
              <w:rPr>
                <w:rFonts w:ascii="宋体" w:hAnsi="宋体" w:cs="宋体"/>
                <w:color w:val="auto"/>
                <w:sz w:val="28"/>
                <w:szCs w:val="30"/>
              </w:rPr>
            </w:pPr>
          </w:p>
        </w:tc>
        <w:tc>
          <w:tcPr>
            <w:tcW w:w="1667" w:type="dxa"/>
            <w:vAlign w:val="center"/>
          </w:tcPr>
          <w:p>
            <w:pPr>
              <w:keepNext/>
              <w:widowControl w:val="0"/>
              <w:spacing w:line="440" w:lineRule="exact"/>
              <w:ind w:left="63" w:right="63" w:firstLine="600"/>
              <w:jc w:val="both"/>
              <w:rPr>
                <w:rFonts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keepNext/>
              <w:widowControl w:val="0"/>
              <w:spacing w:line="440" w:lineRule="exact"/>
              <w:ind w:left="63" w:right="63" w:firstLine="600"/>
              <w:jc w:val="both"/>
              <w:rPr>
                <w:rFonts w:ascii="宋体" w:hAnsi="宋体" w:cs="宋体"/>
                <w:color w:val="auto"/>
                <w:sz w:val="28"/>
                <w:szCs w:val="30"/>
              </w:rPr>
            </w:pPr>
          </w:p>
        </w:tc>
        <w:tc>
          <w:tcPr>
            <w:tcW w:w="1276" w:type="dxa"/>
            <w:vAlign w:val="center"/>
          </w:tcPr>
          <w:p>
            <w:pPr>
              <w:keepNext/>
              <w:widowControl w:val="0"/>
              <w:spacing w:line="440" w:lineRule="exact"/>
              <w:ind w:left="63" w:right="63" w:firstLine="600"/>
              <w:jc w:val="both"/>
              <w:rPr>
                <w:rFonts w:ascii="宋体" w:hAnsi="宋体" w:cs="宋体"/>
                <w:color w:val="auto"/>
                <w:sz w:val="28"/>
                <w:szCs w:val="30"/>
              </w:rPr>
            </w:pPr>
          </w:p>
        </w:tc>
        <w:tc>
          <w:tcPr>
            <w:tcW w:w="1450" w:type="dxa"/>
            <w:vAlign w:val="center"/>
          </w:tcPr>
          <w:p>
            <w:pPr>
              <w:keepNext/>
              <w:widowControl w:val="0"/>
              <w:spacing w:line="440" w:lineRule="exact"/>
              <w:ind w:left="63" w:right="63" w:firstLine="600"/>
              <w:jc w:val="both"/>
              <w:rPr>
                <w:rFonts w:ascii="宋体" w:hAnsi="宋体" w:cs="宋体"/>
                <w:color w:val="auto"/>
                <w:sz w:val="28"/>
                <w:szCs w:val="30"/>
              </w:rPr>
            </w:pPr>
          </w:p>
        </w:tc>
        <w:tc>
          <w:tcPr>
            <w:tcW w:w="1243" w:type="dxa"/>
            <w:vAlign w:val="center"/>
          </w:tcPr>
          <w:p>
            <w:pPr>
              <w:keepNext/>
              <w:widowControl w:val="0"/>
              <w:spacing w:line="440" w:lineRule="exact"/>
              <w:ind w:left="63" w:right="63" w:firstLine="600"/>
              <w:jc w:val="both"/>
              <w:rPr>
                <w:rFonts w:ascii="宋体" w:hAnsi="宋体" w:cs="宋体"/>
                <w:color w:val="auto"/>
                <w:sz w:val="28"/>
                <w:szCs w:val="30"/>
              </w:rPr>
            </w:pPr>
          </w:p>
        </w:tc>
        <w:tc>
          <w:tcPr>
            <w:tcW w:w="1450" w:type="dxa"/>
            <w:vAlign w:val="center"/>
          </w:tcPr>
          <w:p>
            <w:pPr>
              <w:keepNext/>
              <w:widowControl w:val="0"/>
              <w:spacing w:line="440" w:lineRule="exact"/>
              <w:ind w:left="63" w:right="63" w:firstLine="600"/>
              <w:jc w:val="both"/>
              <w:rPr>
                <w:rFonts w:ascii="宋体" w:hAnsi="宋体" w:cs="宋体"/>
                <w:color w:val="auto"/>
                <w:sz w:val="28"/>
                <w:szCs w:val="30"/>
              </w:rPr>
            </w:pPr>
          </w:p>
        </w:tc>
        <w:tc>
          <w:tcPr>
            <w:tcW w:w="1667" w:type="dxa"/>
            <w:vAlign w:val="center"/>
          </w:tcPr>
          <w:p>
            <w:pPr>
              <w:keepNext/>
              <w:widowControl w:val="0"/>
              <w:spacing w:line="440" w:lineRule="exact"/>
              <w:ind w:left="63" w:right="63" w:firstLine="600"/>
              <w:jc w:val="both"/>
              <w:rPr>
                <w:rFonts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keepNext/>
              <w:widowControl w:val="0"/>
              <w:spacing w:line="440" w:lineRule="exact"/>
              <w:ind w:left="63" w:right="63" w:firstLine="600"/>
              <w:jc w:val="both"/>
              <w:rPr>
                <w:rFonts w:ascii="宋体" w:hAnsi="宋体" w:cs="宋体"/>
                <w:color w:val="auto"/>
                <w:sz w:val="28"/>
                <w:szCs w:val="30"/>
              </w:rPr>
            </w:pPr>
          </w:p>
        </w:tc>
        <w:tc>
          <w:tcPr>
            <w:tcW w:w="1276" w:type="dxa"/>
            <w:vAlign w:val="center"/>
          </w:tcPr>
          <w:p>
            <w:pPr>
              <w:keepNext/>
              <w:widowControl w:val="0"/>
              <w:spacing w:line="440" w:lineRule="exact"/>
              <w:ind w:left="63" w:right="63" w:firstLine="600"/>
              <w:jc w:val="both"/>
              <w:rPr>
                <w:rFonts w:ascii="宋体" w:hAnsi="宋体" w:cs="宋体"/>
                <w:color w:val="auto"/>
                <w:sz w:val="28"/>
                <w:szCs w:val="30"/>
              </w:rPr>
            </w:pPr>
          </w:p>
        </w:tc>
        <w:tc>
          <w:tcPr>
            <w:tcW w:w="1450" w:type="dxa"/>
            <w:vAlign w:val="center"/>
          </w:tcPr>
          <w:p>
            <w:pPr>
              <w:keepNext/>
              <w:widowControl w:val="0"/>
              <w:spacing w:line="440" w:lineRule="exact"/>
              <w:ind w:left="63" w:right="63" w:firstLine="600"/>
              <w:jc w:val="both"/>
              <w:rPr>
                <w:rFonts w:ascii="宋体" w:hAnsi="宋体" w:cs="宋体"/>
                <w:color w:val="auto"/>
                <w:sz w:val="28"/>
                <w:szCs w:val="30"/>
              </w:rPr>
            </w:pPr>
          </w:p>
        </w:tc>
        <w:tc>
          <w:tcPr>
            <w:tcW w:w="1243" w:type="dxa"/>
            <w:vAlign w:val="center"/>
          </w:tcPr>
          <w:p>
            <w:pPr>
              <w:keepNext/>
              <w:widowControl w:val="0"/>
              <w:spacing w:line="440" w:lineRule="exact"/>
              <w:ind w:left="63" w:right="63" w:firstLine="600"/>
              <w:jc w:val="both"/>
              <w:rPr>
                <w:rFonts w:ascii="宋体" w:hAnsi="宋体" w:cs="宋体"/>
                <w:color w:val="auto"/>
                <w:sz w:val="28"/>
                <w:szCs w:val="30"/>
              </w:rPr>
            </w:pPr>
          </w:p>
        </w:tc>
        <w:tc>
          <w:tcPr>
            <w:tcW w:w="1450" w:type="dxa"/>
            <w:vAlign w:val="center"/>
          </w:tcPr>
          <w:p>
            <w:pPr>
              <w:keepNext/>
              <w:widowControl w:val="0"/>
              <w:spacing w:line="440" w:lineRule="exact"/>
              <w:ind w:left="63" w:right="63" w:firstLine="600"/>
              <w:jc w:val="both"/>
              <w:rPr>
                <w:rFonts w:ascii="宋体" w:hAnsi="宋体" w:cs="宋体"/>
                <w:color w:val="auto"/>
                <w:sz w:val="28"/>
                <w:szCs w:val="30"/>
              </w:rPr>
            </w:pPr>
          </w:p>
        </w:tc>
        <w:tc>
          <w:tcPr>
            <w:tcW w:w="1667" w:type="dxa"/>
            <w:vAlign w:val="center"/>
          </w:tcPr>
          <w:p>
            <w:pPr>
              <w:keepNext/>
              <w:widowControl w:val="0"/>
              <w:spacing w:line="440" w:lineRule="exact"/>
              <w:ind w:left="63" w:right="63" w:firstLine="600"/>
              <w:jc w:val="both"/>
              <w:rPr>
                <w:rFonts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keepNext/>
              <w:widowControl w:val="0"/>
              <w:spacing w:line="440" w:lineRule="exact"/>
              <w:ind w:left="63" w:right="63" w:firstLine="600"/>
              <w:jc w:val="both"/>
              <w:rPr>
                <w:rFonts w:ascii="宋体" w:hAnsi="宋体" w:cs="宋体"/>
                <w:color w:val="auto"/>
                <w:sz w:val="28"/>
                <w:szCs w:val="30"/>
              </w:rPr>
            </w:pPr>
          </w:p>
        </w:tc>
        <w:tc>
          <w:tcPr>
            <w:tcW w:w="1276" w:type="dxa"/>
            <w:vAlign w:val="center"/>
          </w:tcPr>
          <w:p>
            <w:pPr>
              <w:keepNext/>
              <w:widowControl w:val="0"/>
              <w:spacing w:line="440" w:lineRule="exact"/>
              <w:ind w:left="63" w:right="63" w:firstLine="600"/>
              <w:jc w:val="both"/>
              <w:rPr>
                <w:rFonts w:ascii="宋体" w:hAnsi="宋体" w:cs="宋体"/>
                <w:color w:val="auto"/>
                <w:sz w:val="28"/>
                <w:szCs w:val="30"/>
              </w:rPr>
            </w:pPr>
          </w:p>
        </w:tc>
        <w:tc>
          <w:tcPr>
            <w:tcW w:w="1450" w:type="dxa"/>
            <w:vAlign w:val="center"/>
          </w:tcPr>
          <w:p>
            <w:pPr>
              <w:keepNext/>
              <w:widowControl w:val="0"/>
              <w:spacing w:line="440" w:lineRule="exact"/>
              <w:ind w:left="63" w:right="63" w:firstLine="600"/>
              <w:jc w:val="both"/>
              <w:rPr>
                <w:rFonts w:ascii="宋体" w:hAnsi="宋体" w:cs="宋体"/>
                <w:color w:val="auto"/>
                <w:sz w:val="28"/>
                <w:szCs w:val="30"/>
              </w:rPr>
            </w:pPr>
          </w:p>
        </w:tc>
        <w:tc>
          <w:tcPr>
            <w:tcW w:w="1243" w:type="dxa"/>
            <w:vAlign w:val="center"/>
          </w:tcPr>
          <w:p>
            <w:pPr>
              <w:keepNext/>
              <w:widowControl w:val="0"/>
              <w:spacing w:line="440" w:lineRule="exact"/>
              <w:ind w:left="63" w:right="63" w:firstLine="600"/>
              <w:jc w:val="both"/>
              <w:rPr>
                <w:rFonts w:ascii="宋体" w:hAnsi="宋体" w:cs="宋体"/>
                <w:color w:val="auto"/>
                <w:sz w:val="28"/>
                <w:szCs w:val="30"/>
              </w:rPr>
            </w:pPr>
          </w:p>
        </w:tc>
        <w:tc>
          <w:tcPr>
            <w:tcW w:w="1450" w:type="dxa"/>
            <w:vAlign w:val="center"/>
          </w:tcPr>
          <w:p>
            <w:pPr>
              <w:keepNext/>
              <w:widowControl w:val="0"/>
              <w:spacing w:line="440" w:lineRule="exact"/>
              <w:ind w:left="63" w:right="63" w:firstLine="600"/>
              <w:jc w:val="both"/>
              <w:rPr>
                <w:rFonts w:ascii="宋体" w:hAnsi="宋体" w:cs="宋体"/>
                <w:color w:val="auto"/>
                <w:sz w:val="28"/>
                <w:szCs w:val="30"/>
              </w:rPr>
            </w:pPr>
          </w:p>
        </w:tc>
        <w:tc>
          <w:tcPr>
            <w:tcW w:w="1667" w:type="dxa"/>
            <w:vAlign w:val="center"/>
          </w:tcPr>
          <w:p>
            <w:pPr>
              <w:keepNext/>
              <w:widowControl w:val="0"/>
              <w:spacing w:line="440" w:lineRule="exact"/>
              <w:ind w:left="63" w:right="63" w:firstLine="600"/>
              <w:jc w:val="both"/>
              <w:rPr>
                <w:rFonts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top"/>
          </w:tcPr>
          <w:p>
            <w:pPr>
              <w:ind w:firstLine="600"/>
              <w:rPr>
                <w:rFonts w:ascii="宋体" w:hAnsi="宋体" w:cs="宋体"/>
                <w:color w:val="auto"/>
                <w:sz w:val="30"/>
                <w:szCs w:val="30"/>
              </w:rPr>
            </w:pPr>
          </w:p>
        </w:tc>
        <w:tc>
          <w:tcPr>
            <w:tcW w:w="1276" w:type="dxa"/>
            <w:vAlign w:val="top"/>
          </w:tcPr>
          <w:p>
            <w:pPr>
              <w:ind w:firstLine="600"/>
              <w:rPr>
                <w:rFonts w:ascii="宋体" w:hAnsi="宋体" w:cs="宋体"/>
                <w:color w:val="auto"/>
                <w:sz w:val="30"/>
                <w:szCs w:val="30"/>
              </w:rPr>
            </w:pPr>
          </w:p>
        </w:tc>
        <w:tc>
          <w:tcPr>
            <w:tcW w:w="1450" w:type="dxa"/>
            <w:vAlign w:val="top"/>
          </w:tcPr>
          <w:p>
            <w:pPr>
              <w:ind w:firstLine="600"/>
              <w:rPr>
                <w:rFonts w:ascii="宋体" w:hAnsi="宋体" w:cs="宋体"/>
                <w:color w:val="auto"/>
                <w:sz w:val="30"/>
                <w:szCs w:val="30"/>
              </w:rPr>
            </w:pPr>
          </w:p>
        </w:tc>
        <w:tc>
          <w:tcPr>
            <w:tcW w:w="1243" w:type="dxa"/>
            <w:vAlign w:val="top"/>
          </w:tcPr>
          <w:p>
            <w:pPr>
              <w:ind w:firstLine="600"/>
              <w:rPr>
                <w:rFonts w:ascii="宋体" w:hAnsi="宋体" w:cs="宋体"/>
                <w:color w:val="auto"/>
                <w:sz w:val="30"/>
                <w:szCs w:val="30"/>
              </w:rPr>
            </w:pPr>
          </w:p>
        </w:tc>
        <w:tc>
          <w:tcPr>
            <w:tcW w:w="1450" w:type="dxa"/>
            <w:vAlign w:val="top"/>
          </w:tcPr>
          <w:p>
            <w:pPr>
              <w:ind w:firstLine="600"/>
              <w:rPr>
                <w:rFonts w:ascii="宋体" w:hAnsi="宋体" w:cs="宋体"/>
                <w:color w:val="auto"/>
                <w:sz w:val="30"/>
                <w:szCs w:val="30"/>
              </w:rPr>
            </w:pPr>
          </w:p>
        </w:tc>
        <w:tc>
          <w:tcPr>
            <w:tcW w:w="1667" w:type="dxa"/>
            <w:vAlign w:val="top"/>
          </w:tcPr>
          <w:p>
            <w:pPr>
              <w:ind w:firstLine="600"/>
              <w:rPr>
                <w:rFonts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keepNext/>
              <w:widowControl w:val="0"/>
              <w:spacing w:line="440" w:lineRule="exact"/>
              <w:ind w:left="63" w:right="63" w:firstLine="600"/>
              <w:jc w:val="both"/>
              <w:rPr>
                <w:rFonts w:ascii="宋体" w:hAnsi="宋体" w:cs="宋体"/>
                <w:color w:val="auto"/>
                <w:sz w:val="28"/>
                <w:szCs w:val="30"/>
              </w:rPr>
            </w:pPr>
          </w:p>
        </w:tc>
        <w:tc>
          <w:tcPr>
            <w:tcW w:w="1276" w:type="dxa"/>
            <w:vAlign w:val="center"/>
          </w:tcPr>
          <w:p>
            <w:pPr>
              <w:keepNext/>
              <w:widowControl w:val="0"/>
              <w:spacing w:line="440" w:lineRule="exact"/>
              <w:ind w:left="63" w:right="63" w:firstLine="600"/>
              <w:jc w:val="both"/>
              <w:rPr>
                <w:rFonts w:ascii="宋体" w:hAnsi="宋体" w:cs="宋体"/>
                <w:color w:val="auto"/>
                <w:sz w:val="28"/>
                <w:szCs w:val="30"/>
              </w:rPr>
            </w:pPr>
          </w:p>
        </w:tc>
        <w:tc>
          <w:tcPr>
            <w:tcW w:w="1450" w:type="dxa"/>
            <w:vAlign w:val="center"/>
          </w:tcPr>
          <w:p>
            <w:pPr>
              <w:keepNext/>
              <w:widowControl w:val="0"/>
              <w:spacing w:line="440" w:lineRule="exact"/>
              <w:ind w:left="63" w:right="63" w:firstLine="600"/>
              <w:jc w:val="both"/>
              <w:rPr>
                <w:rFonts w:ascii="宋体" w:hAnsi="宋体" w:cs="宋体"/>
                <w:color w:val="auto"/>
                <w:sz w:val="28"/>
                <w:szCs w:val="30"/>
              </w:rPr>
            </w:pPr>
          </w:p>
        </w:tc>
        <w:tc>
          <w:tcPr>
            <w:tcW w:w="1243" w:type="dxa"/>
            <w:vAlign w:val="center"/>
          </w:tcPr>
          <w:p>
            <w:pPr>
              <w:keepNext/>
              <w:widowControl w:val="0"/>
              <w:spacing w:line="440" w:lineRule="exact"/>
              <w:ind w:left="63" w:right="63" w:firstLine="600"/>
              <w:jc w:val="both"/>
              <w:rPr>
                <w:rFonts w:ascii="宋体" w:hAnsi="宋体" w:cs="宋体"/>
                <w:color w:val="auto"/>
                <w:sz w:val="28"/>
                <w:szCs w:val="30"/>
              </w:rPr>
            </w:pPr>
          </w:p>
        </w:tc>
        <w:tc>
          <w:tcPr>
            <w:tcW w:w="1450" w:type="dxa"/>
            <w:vAlign w:val="center"/>
          </w:tcPr>
          <w:p>
            <w:pPr>
              <w:keepNext/>
              <w:widowControl w:val="0"/>
              <w:spacing w:line="440" w:lineRule="exact"/>
              <w:ind w:left="63" w:right="63" w:firstLine="600"/>
              <w:jc w:val="both"/>
              <w:rPr>
                <w:rFonts w:ascii="宋体" w:hAnsi="宋体" w:cs="宋体"/>
                <w:color w:val="auto"/>
                <w:sz w:val="28"/>
                <w:szCs w:val="30"/>
              </w:rPr>
            </w:pPr>
          </w:p>
        </w:tc>
        <w:tc>
          <w:tcPr>
            <w:tcW w:w="1667" w:type="dxa"/>
            <w:vAlign w:val="center"/>
          </w:tcPr>
          <w:p>
            <w:pPr>
              <w:keepNext/>
              <w:widowControl w:val="0"/>
              <w:spacing w:line="440" w:lineRule="exact"/>
              <w:ind w:left="63" w:right="63" w:firstLine="600"/>
              <w:jc w:val="both"/>
              <w:rPr>
                <w:rFonts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top"/>
          </w:tcPr>
          <w:p>
            <w:pPr>
              <w:ind w:firstLine="600"/>
              <w:rPr>
                <w:rFonts w:ascii="宋体" w:hAnsi="宋体" w:cs="宋体"/>
                <w:color w:val="auto"/>
                <w:sz w:val="30"/>
                <w:szCs w:val="30"/>
              </w:rPr>
            </w:pPr>
          </w:p>
        </w:tc>
        <w:tc>
          <w:tcPr>
            <w:tcW w:w="1276" w:type="dxa"/>
            <w:vAlign w:val="top"/>
          </w:tcPr>
          <w:p>
            <w:pPr>
              <w:ind w:firstLine="600"/>
              <w:rPr>
                <w:rFonts w:ascii="宋体" w:hAnsi="宋体" w:cs="宋体"/>
                <w:color w:val="auto"/>
                <w:sz w:val="30"/>
                <w:szCs w:val="30"/>
              </w:rPr>
            </w:pPr>
          </w:p>
        </w:tc>
        <w:tc>
          <w:tcPr>
            <w:tcW w:w="1450" w:type="dxa"/>
            <w:vAlign w:val="top"/>
          </w:tcPr>
          <w:p>
            <w:pPr>
              <w:ind w:firstLine="600"/>
              <w:rPr>
                <w:rFonts w:ascii="宋体" w:hAnsi="宋体" w:cs="宋体"/>
                <w:color w:val="auto"/>
                <w:sz w:val="30"/>
                <w:szCs w:val="30"/>
              </w:rPr>
            </w:pPr>
          </w:p>
        </w:tc>
        <w:tc>
          <w:tcPr>
            <w:tcW w:w="1243" w:type="dxa"/>
            <w:vAlign w:val="top"/>
          </w:tcPr>
          <w:p>
            <w:pPr>
              <w:ind w:firstLine="600"/>
              <w:rPr>
                <w:rFonts w:ascii="宋体" w:hAnsi="宋体" w:cs="宋体"/>
                <w:color w:val="auto"/>
                <w:sz w:val="30"/>
                <w:szCs w:val="30"/>
              </w:rPr>
            </w:pPr>
          </w:p>
        </w:tc>
        <w:tc>
          <w:tcPr>
            <w:tcW w:w="1450" w:type="dxa"/>
            <w:vAlign w:val="top"/>
          </w:tcPr>
          <w:p>
            <w:pPr>
              <w:ind w:firstLine="600"/>
              <w:rPr>
                <w:rFonts w:ascii="宋体" w:hAnsi="宋体" w:cs="宋体"/>
                <w:color w:val="auto"/>
                <w:sz w:val="30"/>
                <w:szCs w:val="30"/>
              </w:rPr>
            </w:pPr>
          </w:p>
        </w:tc>
        <w:tc>
          <w:tcPr>
            <w:tcW w:w="1667" w:type="dxa"/>
            <w:vAlign w:val="top"/>
          </w:tcPr>
          <w:p>
            <w:pPr>
              <w:ind w:firstLine="600"/>
              <w:rPr>
                <w:rFonts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top"/>
          </w:tcPr>
          <w:p>
            <w:pPr>
              <w:ind w:firstLine="600"/>
              <w:rPr>
                <w:rFonts w:ascii="宋体" w:hAnsi="宋体" w:cs="宋体"/>
                <w:color w:val="auto"/>
                <w:sz w:val="30"/>
                <w:szCs w:val="30"/>
              </w:rPr>
            </w:pPr>
          </w:p>
        </w:tc>
        <w:tc>
          <w:tcPr>
            <w:tcW w:w="1276" w:type="dxa"/>
            <w:vAlign w:val="top"/>
          </w:tcPr>
          <w:p>
            <w:pPr>
              <w:ind w:firstLine="600"/>
              <w:rPr>
                <w:rFonts w:ascii="宋体" w:hAnsi="宋体" w:cs="宋体"/>
                <w:color w:val="auto"/>
                <w:sz w:val="30"/>
                <w:szCs w:val="30"/>
              </w:rPr>
            </w:pPr>
          </w:p>
        </w:tc>
        <w:tc>
          <w:tcPr>
            <w:tcW w:w="1450" w:type="dxa"/>
            <w:vAlign w:val="top"/>
          </w:tcPr>
          <w:p>
            <w:pPr>
              <w:ind w:firstLine="600"/>
              <w:rPr>
                <w:rFonts w:ascii="宋体" w:hAnsi="宋体" w:cs="宋体"/>
                <w:color w:val="auto"/>
                <w:sz w:val="30"/>
                <w:szCs w:val="30"/>
              </w:rPr>
            </w:pPr>
          </w:p>
        </w:tc>
        <w:tc>
          <w:tcPr>
            <w:tcW w:w="1243" w:type="dxa"/>
            <w:vAlign w:val="top"/>
          </w:tcPr>
          <w:p>
            <w:pPr>
              <w:ind w:firstLine="600"/>
              <w:rPr>
                <w:rFonts w:ascii="宋体" w:hAnsi="宋体" w:cs="宋体"/>
                <w:color w:val="auto"/>
                <w:sz w:val="30"/>
                <w:szCs w:val="30"/>
              </w:rPr>
            </w:pPr>
          </w:p>
        </w:tc>
        <w:tc>
          <w:tcPr>
            <w:tcW w:w="1450" w:type="dxa"/>
            <w:vAlign w:val="top"/>
          </w:tcPr>
          <w:p>
            <w:pPr>
              <w:ind w:firstLine="600"/>
              <w:rPr>
                <w:rFonts w:ascii="宋体" w:hAnsi="宋体" w:cs="宋体"/>
                <w:color w:val="auto"/>
                <w:sz w:val="30"/>
                <w:szCs w:val="30"/>
              </w:rPr>
            </w:pPr>
          </w:p>
        </w:tc>
        <w:tc>
          <w:tcPr>
            <w:tcW w:w="1667" w:type="dxa"/>
            <w:vAlign w:val="top"/>
          </w:tcPr>
          <w:p>
            <w:pPr>
              <w:ind w:firstLine="600"/>
              <w:rPr>
                <w:rFonts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top"/>
          </w:tcPr>
          <w:p>
            <w:pPr>
              <w:ind w:firstLine="600"/>
              <w:rPr>
                <w:rFonts w:ascii="宋体" w:hAnsi="宋体" w:cs="宋体"/>
                <w:color w:val="auto"/>
                <w:sz w:val="30"/>
                <w:szCs w:val="30"/>
              </w:rPr>
            </w:pPr>
          </w:p>
        </w:tc>
        <w:tc>
          <w:tcPr>
            <w:tcW w:w="1276" w:type="dxa"/>
            <w:vAlign w:val="top"/>
          </w:tcPr>
          <w:p>
            <w:pPr>
              <w:ind w:firstLine="600"/>
              <w:rPr>
                <w:rFonts w:ascii="宋体" w:hAnsi="宋体" w:cs="宋体"/>
                <w:color w:val="auto"/>
                <w:sz w:val="30"/>
                <w:szCs w:val="30"/>
              </w:rPr>
            </w:pPr>
          </w:p>
        </w:tc>
        <w:tc>
          <w:tcPr>
            <w:tcW w:w="1450" w:type="dxa"/>
            <w:vAlign w:val="top"/>
          </w:tcPr>
          <w:p>
            <w:pPr>
              <w:ind w:firstLine="600"/>
              <w:rPr>
                <w:rFonts w:ascii="宋体" w:hAnsi="宋体" w:cs="宋体"/>
                <w:color w:val="auto"/>
                <w:sz w:val="30"/>
                <w:szCs w:val="30"/>
              </w:rPr>
            </w:pPr>
          </w:p>
        </w:tc>
        <w:tc>
          <w:tcPr>
            <w:tcW w:w="1243" w:type="dxa"/>
            <w:vAlign w:val="top"/>
          </w:tcPr>
          <w:p>
            <w:pPr>
              <w:ind w:firstLine="600"/>
              <w:rPr>
                <w:rFonts w:ascii="宋体" w:hAnsi="宋体" w:cs="宋体"/>
                <w:color w:val="auto"/>
                <w:sz w:val="30"/>
                <w:szCs w:val="30"/>
              </w:rPr>
            </w:pPr>
          </w:p>
        </w:tc>
        <w:tc>
          <w:tcPr>
            <w:tcW w:w="1450" w:type="dxa"/>
            <w:vAlign w:val="top"/>
          </w:tcPr>
          <w:p>
            <w:pPr>
              <w:ind w:firstLine="600"/>
              <w:rPr>
                <w:rFonts w:ascii="宋体" w:hAnsi="宋体" w:cs="宋体"/>
                <w:color w:val="auto"/>
                <w:sz w:val="30"/>
                <w:szCs w:val="30"/>
              </w:rPr>
            </w:pPr>
          </w:p>
        </w:tc>
        <w:tc>
          <w:tcPr>
            <w:tcW w:w="1667" w:type="dxa"/>
            <w:vAlign w:val="top"/>
          </w:tcPr>
          <w:p>
            <w:pPr>
              <w:ind w:firstLine="600"/>
              <w:rPr>
                <w:rFonts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top"/>
          </w:tcPr>
          <w:p>
            <w:pPr>
              <w:ind w:firstLine="600"/>
              <w:rPr>
                <w:rFonts w:ascii="宋体" w:hAnsi="宋体" w:cs="宋体"/>
                <w:color w:val="auto"/>
                <w:sz w:val="30"/>
                <w:szCs w:val="30"/>
              </w:rPr>
            </w:pPr>
          </w:p>
        </w:tc>
        <w:tc>
          <w:tcPr>
            <w:tcW w:w="1276" w:type="dxa"/>
            <w:vAlign w:val="top"/>
          </w:tcPr>
          <w:p>
            <w:pPr>
              <w:ind w:firstLine="600"/>
              <w:rPr>
                <w:rFonts w:ascii="宋体" w:hAnsi="宋体" w:cs="宋体"/>
                <w:color w:val="auto"/>
                <w:sz w:val="30"/>
                <w:szCs w:val="30"/>
              </w:rPr>
            </w:pPr>
          </w:p>
        </w:tc>
        <w:tc>
          <w:tcPr>
            <w:tcW w:w="1450" w:type="dxa"/>
            <w:vAlign w:val="top"/>
          </w:tcPr>
          <w:p>
            <w:pPr>
              <w:ind w:firstLine="600"/>
              <w:rPr>
                <w:rFonts w:ascii="宋体" w:hAnsi="宋体" w:cs="宋体"/>
                <w:color w:val="auto"/>
                <w:sz w:val="30"/>
                <w:szCs w:val="30"/>
              </w:rPr>
            </w:pPr>
          </w:p>
        </w:tc>
        <w:tc>
          <w:tcPr>
            <w:tcW w:w="1243" w:type="dxa"/>
            <w:vAlign w:val="top"/>
          </w:tcPr>
          <w:p>
            <w:pPr>
              <w:ind w:firstLine="600"/>
              <w:rPr>
                <w:rFonts w:ascii="宋体" w:hAnsi="宋体" w:cs="宋体"/>
                <w:color w:val="auto"/>
                <w:sz w:val="30"/>
                <w:szCs w:val="30"/>
              </w:rPr>
            </w:pPr>
          </w:p>
        </w:tc>
        <w:tc>
          <w:tcPr>
            <w:tcW w:w="1450" w:type="dxa"/>
            <w:vAlign w:val="top"/>
          </w:tcPr>
          <w:p>
            <w:pPr>
              <w:ind w:firstLine="600"/>
              <w:rPr>
                <w:rFonts w:ascii="宋体" w:hAnsi="宋体" w:cs="宋体"/>
                <w:color w:val="auto"/>
                <w:sz w:val="30"/>
                <w:szCs w:val="30"/>
              </w:rPr>
            </w:pPr>
          </w:p>
        </w:tc>
        <w:tc>
          <w:tcPr>
            <w:tcW w:w="1667" w:type="dxa"/>
            <w:vAlign w:val="top"/>
          </w:tcPr>
          <w:p>
            <w:pPr>
              <w:ind w:firstLine="600"/>
              <w:rPr>
                <w:rFonts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top"/>
          </w:tcPr>
          <w:p>
            <w:pPr>
              <w:ind w:firstLine="600"/>
              <w:rPr>
                <w:rFonts w:ascii="宋体" w:hAnsi="宋体" w:cs="宋体"/>
                <w:color w:val="auto"/>
                <w:sz w:val="30"/>
                <w:szCs w:val="30"/>
              </w:rPr>
            </w:pPr>
          </w:p>
        </w:tc>
        <w:tc>
          <w:tcPr>
            <w:tcW w:w="1276" w:type="dxa"/>
            <w:vAlign w:val="top"/>
          </w:tcPr>
          <w:p>
            <w:pPr>
              <w:ind w:firstLine="600"/>
              <w:rPr>
                <w:rFonts w:ascii="宋体" w:hAnsi="宋体" w:cs="宋体"/>
                <w:color w:val="auto"/>
                <w:sz w:val="30"/>
                <w:szCs w:val="30"/>
              </w:rPr>
            </w:pPr>
          </w:p>
        </w:tc>
        <w:tc>
          <w:tcPr>
            <w:tcW w:w="1450" w:type="dxa"/>
            <w:vAlign w:val="top"/>
          </w:tcPr>
          <w:p>
            <w:pPr>
              <w:ind w:firstLine="600"/>
              <w:rPr>
                <w:rFonts w:ascii="宋体" w:hAnsi="宋体" w:cs="宋体"/>
                <w:color w:val="auto"/>
                <w:sz w:val="30"/>
                <w:szCs w:val="30"/>
              </w:rPr>
            </w:pPr>
          </w:p>
        </w:tc>
        <w:tc>
          <w:tcPr>
            <w:tcW w:w="1243" w:type="dxa"/>
            <w:vAlign w:val="top"/>
          </w:tcPr>
          <w:p>
            <w:pPr>
              <w:ind w:firstLine="600"/>
              <w:rPr>
                <w:rFonts w:ascii="宋体" w:hAnsi="宋体" w:cs="宋体"/>
                <w:color w:val="auto"/>
                <w:sz w:val="30"/>
                <w:szCs w:val="30"/>
              </w:rPr>
            </w:pPr>
          </w:p>
        </w:tc>
        <w:tc>
          <w:tcPr>
            <w:tcW w:w="1450" w:type="dxa"/>
            <w:vAlign w:val="top"/>
          </w:tcPr>
          <w:p>
            <w:pPr>
              <w:ind w:firstLine="600"/>
              <w:rPr>
                <w:rFonts w:ascii="宋体" w:hAnsi="宋体" w:cs="宋体"/>
                <w:color w:val="auto"/>
                <w:sz w:val="30"/>
                <w:szCs w:val="30"/>
              </w:rPr>
            </w:pPr>
          </w:p>
        </w:tc>
        <w:tc>
          <w:tcPr>
            <w:tcW w:w="1667" w:type="dxa"/>
            <w:vAlign w:val="top"/>
          </w:tcPr>
          <w:p>
            <w:pPr>
              <w:ind w:firstLine="600"/>
              <w:rPr>
                <w:rFonts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top"/>
          </w:tcPr>
          <w:p>
            <w:pPr>
              <w:ind w:firstLine="600"/>
              <w:rPr>
                <w:rFonts w:ascii="宋体" w:hAnsi="宋体" w:cs="宋体"/>
                <w:color w:val="auto"/>
                <w:sz w:val="30"/>
                <w:szCs w:val="30"/>
              </w:rPr>
            </w:pPr>
          </w:p>
        </w:tc>
        <w:tc>
          <w:tcPr>
            <w:tcW w:w="1276" w:type="dxa"/>
            <w:vAlign w:val="top"/>
          </w:tcPr>
          <w:p>
            <w:pPr>
              <w:ind w:firstLine="600"/>
              <w:rPr>
                <w:rFonts w:ascii="宋体" w:hAnsi="宋体" w:cs="宋体"/>
                <w:color w:val="auto"/>
                <w:sz w:val="30"/>
                <w:szCs w:val="30"/>
              </w:rPr>
            </w:pPr>
          </w:p>
        </w:tc>
        <w:tc>
          <w:tcPr>
            <w:tcW w:w="1450" w:type="dxa"/>
            <w:vAlign w:val="top"/>
          </w:tcPr>
          <w:p>
            <w:pPr>
              <w:ind w:firstLine="600"/>
              <w:rPr>
                <w:rFonts w:ascii="宋体" w:hAnsi="宋体" w:cs="宋体"/>
                <w:color w:val="auto"/>
                <w:sz w:val="30"/>
                <w:szCs w:val="30"/>
              </w:rPr>
            </w:pPr>
          </w:p>
        </w:tc>
        <w:tc>
          <w:tcPr>
            <w:tcW w:w="1243" w:type="dxa"/>
            <w:vAlign w:val="top"/>
          </w:tcPr>
          <w:p>
            <w:pPr>
              <w:ind w:firstLine="600"/>
              <w:rPr>
                <w:rFonts w:ascii="宋体" w:hAnsi="宋体" w:cs="宋体"/>
                <w:color w:val="auto"/>
                <w:sz w:val="30"/>
                <w:szCs w:val="30"/>
              </w:rPr>
            </w:pPr>
          </w:p>
        </w:tc>
        <w:tc>
          <w:tcPr>
            <w:tcW w:w="1450" w:type="dxa"/>
            <w:vAlign w:val="top"/>
          </w:tcPr>
          <w:p>
            <w:pPr>
              <w:ind w:firstLine="600"/>
              <w:rPr>
                <w:rFonts w:ascii="宋体" w:hAnsi="宋体" w:cs="宋体"/>
                <w:color w:val="auto"/>
                <w:sz w:val="30"/>
                <w:szCs w:val="30"/>
              </w:rPr>
            </w:pPr>
          </w:p>
        </w:tc>
        <w:tc>
          <w:tcPr>
            <w:tcW w:w="1667" w:type="dxa"/>
            <w:vAlign w:val="top"/>
          </w:tcPr>
          <w:p>
            <w:pPr>
              <w:ind w:firstLine="600"/>
              <w:rPr>
                <w:rFonts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top"/>
          </w:tcPr>
          <w:p>
            <w:pPr>
              <w:ind w:firstLine="600"/>
              <w:rPr>
                <w:rFonts w:ascii="宋体" w:hAnsi="宋体" w:cs="宋体"/>
                <w:color w:val="auto"/>
                <w:sz w:val="30"/>
                <w:szCs w:val="30"/>
              </w:rPr>
            </w:pPr>
          </w:p>
        </w:tc>
        <w:tc>
          <w:tcPr>
            <w:tcW w:w="1276" w:type="dxa"/>
            <w:vAlign w:val="top"/>
          </w:tcPr>
          <w:p>
            <w:pPr>
              <w:ind w:firstLine="600"/>
              <w:rPr>
                <w:rFonts w:ascii="宋体" w:hAnsi="宋体" w:cs="宋体"/>
                <w:color w:val="auto"/>
                <w:sz w:val="30"/>
                <w:szCs w:val="30"/>
              </w:rPr>
            </w:pPr>
          </w:p>
        </w:tc>
        <w:tc>
          <w:tcPr>
            <w:tcW w:w="1450" w:type="dxa"/>
            <w:vAlign w:val="top"/>
          </w:tcPr>
          <w:p>
            <w:pPr>
              <w:ind w:firstLine="600"/>
              <w:rPr>
                <w:rFonts w:ascii="宋体" w:hAnsi="宋体" w:cs="宋体"/>
                <w:color w:val="auto"/>
                <w:sz w:val="30"/>
                <w:szCs w:val="30"/>
              </w:rPr>
            </w:pPr>
          </w:p>
        </w:tc>
        <w:tc>
          <w:tcPr>
            <w:tcW w:w="1243" w:type="dxa"/>
            <w:vAlign w:val="top"/>
          </w:tcPr>
          <w:p>
            <w:pPr>
              <w:ind w:firstLine="600"/>
              <w:rPr>
                <w:rFonts w:ascii="宋体" w:hAnsi="宋体" w:cs="宋体"/>
                <w:color w:val="auto"/>
                <w:sz w:val="30"/>
                <w:szCs w:val="30"/>
              </w:rPr>
            </w:pPr>
          </w:p>
        </w:tc>
        <w:tc>
          <w:tcPr>
            <w:tcW w:w="1450" w:type="dxa"/>
            <w:vAlign w:val="top"/>
          </w:tcPr>
          <w:p>
            <w:pPr>
              <w:ind w:firstLine="600"/>
              <w:rPr>
                <w:rFonts w:ascii="宋体" w:hAnsi="宋体" w:cs="宋体"/>
                <w:color w:val="auto"/>
                <w:sz w:val="30"/>
                <w:szCs w:val="30"/>
              </w:rPr>
            </w:pPr>
          </w:p>
        </w:tc>
        <w:tc>
          <w:tcPr>
            <w:tcW w:w="1667" w:type="dxa"/>
            <w:vAlign w:val="top"/>
          </w:tcPr>
          <w:p>
            <w:pPr>
              <w:ind w:firstLine="600"/>
              <w:rPr>
                <w:rFonts w:ascii="宋体" w:hAnsi="宋体" w:cs="宋体"/>
                <w:color w:val="auto"/>
                <w:sz w:val="30"/>
                <w:szCs w:val="30"/>
              </w:rPr>
            </w:pPr>
          </w:p>
        </w:tc>
      </w:tr>
    </w:tbl>
    <w:p>
      <w:pPr>
        <w:spacing w:line="440" w:lineRule="exact"/>
        <w:rPr>
          <w:rFonts w:ascii="宋体" w:hAnsi="宋体" w:cs="宋体"/>
          <w:color w:val="auto"/>
          <w:sz w:val="30"/>
          <w:szCs w:val="30"/>
        </w:rPr>
        <w:sectPr>
          <w:footerReference r:id="rId10" w:type="first"/>
          <w:headerReference r:id="rId8" w:type="default"/>
          <w:footerReference r:id="rId9" w:type="default"/>
          <w:pgSz w:w="11906" w:h="16838"/>
          <w:pgMar w:top="1417" w:right="850" w:bottom="1417" w:left="1134" w:header="851" w:footer="992" w:gutter="0"/>
          <w:cols w:space="720" w:num="1"/>
          <w:titlePg/>
          <w:docGrid w:linePitch="360" w:charSpace="0"/>
        </w:sectPr>
      </w:pPr>
    </w:p>
    <w:p>
      <w:pPr>
        <w:spacing w:line="440" w:lineRule="exact"/>
        <w:rPr>
          <w:rFonts w:ascii="宋体" w:hAnsi="宋体" w:cs="宋体"/>
          <w:color w:val="auto"/>
          <w:sz w:val="30"/>
          <w:szCs w:val="30"/>
        </w:rPr>
      </w:pPr>
      <w:r>
        <w:rPr>
          <w:rFonts w:hint="eastAsia" w:ascii="宋体" w:hAnsi="宋体" w:eastAsia="宋体" w:cs="宋体"/>
          <w:color w:val="auto"/>
          <w:sz w:val="30"/>
          <w:szCs w:val="30"/>
        </w:rPr>
        <w:t>附</w:t>
      </w:r>
      <w:bookmarkStart w:id="276" w:name="_Toc296891055"/>
      <w:bookmarkStart w:id="277" w:name="_Toc267261698"/>
      <w:bookmarkStart w:id="278" w:name="_Toc296503227"/>
      <w:bookmarkStart w:id="279" w:name="_Toc296347226"/>
      <w:bookmarkStart w:id="280" w:name="_Toc296891267"/>
      <w:bookmarkStart w:id="281" w:name="_Toc296944566"/>
      <w:bookmarkStart w:id="282" w:name="_Toc296346728"/>
      <w:r>
        <w:rPr>
          <w:rFonts w:hint="eastAsia" w:ascii="宋体" w:hAnsi="宋体" w:eastAsia="宋体" w:cs="宋体"/>
          <w:color w:val="auto"/>
          <w:sz w:val="30"/>
          <w:szCs w:val="30"/>
        </w:rPr>
        <w:t>件5：</w:t>
      </w:r>
      <w:bookmarkEnd w:id="276"/>
      <w:bookmarkEnd w:id="277"/>
      <w:bookmarkEnd w:id="278"/>
      <w:bookmarkEnd w:id="279"/>
      <w:bookmarkEnd w:id="280"/>
      <w:bookmarkEnd w:id="281"/>
      <w:bookmarkEnd w:id="282"/>
    </w:p>
    <w:p>
      <w:pPr>
        <w:spacing w:before="120" w:after="120" w:line="440" w:lineRule="exact"/>
        <w:ind w:firstLine="600"/>
        <w:jc w:val="center"/>
        <w:rPr>
          <w:rFonts w:ascii="宋体" w:hAnsi="宋体" w:cs="宋体"/>
          <w:color w:val="auto"/>
          <w:sz w:val="30"/>
          <w:szCs w:val="30"/>
        </w:rPr>
      </w:pPr>
      <w:r>
        <w:rPr>
          <w:rFonts w:hint="eastAsia" w:ascii="宋体" w:hAnsi="宋体" w:eastAsia="宋体" w:cs="宋体"/>
          <w:color w:val="auto"/>
          <w:sz w:val="30"/>
          <w:szCs w:val="30"/>
        </w:rPr>
        <w:t>承包人用于本工程施工的机械设备表</w:t>
      </w:r>
    </w:p>
    <w:tbl>
      <w:tblPr>
        <w:tblStyle w:val="62"/>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162" w:type="dxa"/>
            <w:tcBorders>
              <w:top w:val="single" w:color="auto" w:sz="12" w:space="0"/>
              <w:bottom w:val="single" w:color="auto" w:sz="6" w:space="0"/>
            </w:tcBorders>
            <w:vAlign w:val="center"/>
          </w:tcPr>
          <w:p>
            <w:pPr>
              <w:keepNext/>
              <w:widowControl w:val="0"/>
              <w:spacing w:line="440" w:lineRule="exact"/>
              <w:ind w:left="63" w:right="63"/>
              <w:jc w:val="both"/>
              <w:rPr>
                <w:rFonts w:ascii="宋体" w:hAnsi="宋体" w:cs="宋体"/>
                <w:color w:val="auto"/>
                <w:sz w:val="28"/>
                <w:szCs w:val="30"/>
              </w:rPr>
            </w:pPr>
            <w:r>
              <w:rPr>
                <w:rFonts w:hint="eastAsia" w:ascii="宋体" w:hAnsi="宋体" w:cs="宋体"/>
                <w:color w:val="auto"/>
                <w:sz w:val="28"/>
                <w:szCs w:val="30"/>
              </w:rPr>
              <w:t>序号</w:t>
            </w:r>
          </w:p>
        </w:tc>
        <w:tc>
          <w:tcPr>
            <w:tcW w:w="1418" w:type="dxa"/>
            <w:tcBorders>
              <w:top w:val="single" w:color="auto" w:sz="12" w:space="0"/>
              <w:bottom w:val="single" w:color="auto" w:sz="6" w:space="0"/>
            </w:tcBorders>
            <w:vAlign w:val="center"/>
          </w:tcPr>
          <w:p>
            <w:pPr>
              <w:keepNext/>
              <w:widowControl w:val="0"/>
              <w:spacing w:line="440" w:lineRule="exact"/>
              <w:ind w:left="63" w:right="63"/>
              <w:jc w:val="both"/>
              <w:rPr>
                <w:rFonts w:ascii="宋体" w:hAnsi="宋体" w:cs="宋体"/>
                <w:color w:val="auto"/>
                <w:sz w:val="28"/>
                <w:szCs w:val="30"/>
              </w:rPr>
            </w:pPr>
            <w:r>
              <w:rPr>
                <w:rFonts w:hint="eastAsia" w:ascii="宋体" w:hAnsi="宋体" w:cs="宋体"/>
                <w:color w:val="auto"/>
                <w:sz w:val="28"/>
                <w:szCs w:val="30"/>
              </w:rPr>
              <w:t>机械或设备名称</w:t>
            </w:r>
          </w:p>
        </w:tc>
        <w:tc>
          <w:tcPr>
            <w:tcW w:w="850" w:type="dxa"/>
            <w:tcBorders>
              <w:top w:val="single" w:color="auto" w:sz="12" w:space="0"/>
              <w:bottom w:val="single" w:color="auto" w:sz="6" w:space="0"/>
            </w:tcBorders>
            <w:vAlign w:val="center"/>
          </w:tcPr>
          <w:p>
            <w:pPr>
              <w:keepNext/>
              <w:widowControl w:val="0"/>
              <w:spacing w:line="440" w:lineRule="exact"/>
              <w:ind w:left="63" w:right="63"/>
              <w:jc w:val="both"/>
              <w:rPr>
                <w:rFonts w:ascii="宋体" w:hAnsi="宋体" w:cs="宋体"/>
                <w:color w:val="auto"/>
                <w:sz w:val="28"/>
                <w:szCs w:val="30"/>
              </w:rPr>
            </w:pPr>
            <w:r>
              <w:rPr>
                <w:rFonts w:hint="eastAsia" w:ascii="宋体" w:hAnsi="宋体" w:cs="宋体"/>
                <w:color w:val="auto"/>
                <w:sz w:val="28"/>
                <w:szCs w:val="30"/>
              </w:rPr>
              <w:t>规格型号</w:t>
            </w:r>
          </w:p>
        </w:tc>
        <w:tc>
          <w:tcPr>
            <w:tcW w:w="1058" w:type="dxa"/>
            <w:tcBorders>
              <w:top w:val="single" w:color="auto" w:sz="12" w:space="0"/>
              <w:bottom w:val="single" w:color="auto" w:sz="6" w:space="0"/>
            </w:tcBorders>
            <w:vAlign w:val="center"/>
          </w:tcPr>
          <w:p>
            <w:pPr>
              <w:keepNext/>
              <w:widowControl w:val="0"/>
              <w:spacing w:line="440" w:lineRule="exact"/>
              <w:ind w:left="63" w:right="63"/>
              <w:jc w:val="both"/>
              <w:rPr>
                <w:rFonts w:ascii="宋体" w:hAnsi="宋体" w:cs="宋体"/>
                <w:color w:val="auto"/>
                <w:sz w:val="28"/>
                <w:szCs w:val="30"/>
              </w:rPr>
            </w:pPr>
            <w:r>
              <w:rPr>
                <w:rFonts w:hint="eastAsia" w:ascii="宋体" w:hAnsi="宋体" w:cs="宋体"/>
                <w:color w:val="auto"/>
                <w:sz w:val="28"/>
                <w:szCs w:val="30"/>
              </w:rPr>
              <w:t>数量</w:t>
            </w:r>
          </w:p>
        </w:tc>
        <w:tc>
          <w:tcPr>
            <w:tcW w:w="880" w:type="dxa"/>
            <w:tcBorders>
              <w:top w:val="single" w:color="auto" w:sz="12" w:space="0"/>
              <w:bottom w:val="single" w:color="auto" w:sz="6" w:space="0"/>
            </w:tcBorders>
            <w:vAlign w:val="center"/>
          </w:tcPr>
          <w:p>
            <w:pPr>
              <w:keepNext/>
              <w:widowControl w:val="0"/>
              <w:spacing w:line="440" w:lineRule="exact"/>
              <w:ind w:left="63" w:right="63"/>
              <w:jc w:val="both"/>
              <w:rPr>
                <w:rFonts w:ascii="宋体" w:hAnsi="宋体" w:cs="宋体"/>
                <w:color w:val="auto"/>
                <w:sz w:val="28"/>
                <w:szCs w:val="30"/>
              </w:rPr>
            </w:pPr>
            <w:r>
              <w:rPr>
                <w:rFonts w:hint="eastAsia" w:ascii="宋体" w:hAnsi="宋体" w:cs="宋体"/>
                <w:color w:val="auto"/>
                <w:sz w:val="28"/>
                <w:szCs w:val="30"/>
              </w:rPr>
              <w:t>产地</w:t>
            </w:r>
          </w:p>
        </w:tc>
        <w:tc>
          <w:tcPr>
            <w:tcW w:w="1020" w:type="dxa"/>
            <w:tcBorders>
              <w:top w:val="single" w:color="auto" w:sz="12" w:space="0"/>
              <w:bottom w:val="single" w:color="auto" w:sz="6" w:space="0"/>
            </w:tcBorders>
            <w:vAlign w:val="center"/>
          </w:tcPr>
          <w:p>
            <w:pPr>
              <w:keepNext/>
              <w:widowControl w:val="0"/>
              <w:spacing w:line="440" w:lineRule="exact"/>
              <w:ind w:left="63" w:right="63"/>
              <w:jc w:val="both"/>
              <w:rPr>
                <w:rFonts w:ascii="宋体" w:hAnsi="宋体" w:cs="宋体"/>
                <w:color w:val="auto"/>
                <w:sz w:val="28"/>
                <w:szCs w:val="30"/>
              </w:rPr>
            </w:pPr>
            <w:r>
              <w:rPr>
                <w:rFonts w:hint="eastAsia" w:ascii="宋体" w:hAnsi="宋体" w:cs="宋体"/>
                <w:color w:val="auto"/>
                <w:sz w:val="28"/>
                <w:szCs w:val="30"/>
              </w:rPr>
              <w:t>制造年份</w:t>
            </w:r>
          </w:p>
        </w:tc>
        <w:tc>
          <w:tcPr>
            <w:tcW w:w="1480" w:type="dxa"/>
            <w:tcBorders>
              <w:top w:val="single" w:color="auto" w:sz="12" w:space="0"/>
              <w:bottom w:val="single" w:color="auto" w:sz="6" w:space="0"/>
            </w:tcBorders>
            <w:vAlign w:val="center"/>
          </w:tcPr>
          <w:p>
            <w:pPr>
              <w:keepNext/>
              <w:widowControl w:val="0"/>
              <w:spacing w:line="440" w:lineRule="exact"/>
              <w:ind w:left="63" w:right="63"/>
              <w:jc w:val="both"/>
              <w:rPr>
                <w:rFonts w:ascii="宋体" w:hAnsi="宋体" w:cs="宋体"/>
                <w:color w:val="auto"/>
                <w:sz w:val="28"/>
                <w:szCs w:val="30"/>
              </w:rPr>
            </w:pPr>
            <w:r>
              <w:rPr>
                <w:rFonts w:hint="eastAsia" w:ascii="宋体" w:hAnsi="宋体" w:cs="宋体"/>
                <w:color w:val="auto"/>
                <w:sz w:val="28"/>
                <w:szCs w:val="30"/>
              </w:rPr>
              <w:t>额定功率(kW)</w:t>
            </w:r>
          </w:p>
        </w:tc>
        <w:tc>
          <w:tcPr>
            <w:tcW w:w="1020" w:type="dxa"/>
            <w:tcBorders>
              <w:top w:val="single" w:color="auto" w:sz="12" w:space="0"/>
              <w:bottom w:val="single" w:color="auto" w:sz="6" w:space="0"/>
            </w:tcBorders>
            <w:vAlign w:val="center"/>
          </w:tcPr>
          <w:p>
            <w:pPr>
              <w:keepNext/>
              <w:widowControl w:val="0"/>
              <w:spacing w:line="440" w:lineRule="exact"/>
              <w:ind w:left="63" w:right="63"/>
              <w:jc w:val="both"/>
              <w:rPr>
                <w:rFonts w:ascii="宋体" w:hAnsi="宋体" w:cs="宋体"/>
                <w:color w:val="auto"/>
                <w:sz w:val="28"/>
                <w:szCs w:val="30"/>
              </w:rPr>
            </w:pPr>
            <w:r>
              <w:rPr>
                <w:rFonts w:hint="eastAsia" w:ascii="宋体" w:hAnsi="宋体" w:cs="宋体"/>
                <w:color w:val="auto"/>
                <w:sz w:val="28"/>
                <w:szCs w:val="30"/>
              </w:rPr>
              <w:t>生产能力</w:t>
            </w:r>
          </w:p>
        </w:tc>
        <w:tc>
          <w:tcPr>
            <w:tcW w:w="921" w:type="dxa"/>
            <w:tcBorders>
              <w:top w:val="single" w:color="auto" w:sz="12" w:space="0"/>
              <w:bottom w:val="single" w:color="auto" w:sz="6" w:space="0"/>
            </w:tcBorders>
            <w:vAlign w:val="center"/>
          </w:tcPr>
          <w:p>
            <w:pPr>
              <w:keepNext/>
              <w:widowControl w:val="0"/>
              <w:spacing w:line="440" w:lineRule="exact"/>
              <w:ind w:left="63" w:right="63"/>
              <w:jc w:val="both"/>
              <w:rPr>
                <w:rFonts w:ascii="宋体" w:hAnsi="宋体" w:cs="宋体"/>
                <w:color w:val="auto"/>
                <w:sz w:val="28"/>
                <w:szCs w:val="30"/>
              </w:rPr>
            </w:pPr>
            <w:r>
              <w:rPr>
                <w:rFonts w:hint="eastAsia" w:ascii="宋体" w:hAnsi="宋体" w:cs="宋体"/>
                <w:color w:val="auto"/>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Borders>
              <w:top w:val="single" w:color="auto" w:sz="6" w:space="0"/>
              <w:bottom w:val="single" w:color="auto" w:sz="6" w:space="0"/>
            </w:tcBorders>
            <w:vAlign w:val="center"/>
          </w:tcPr>
          <w:p>
            <w:pPr>
              <w:keepNext/>
              <w:widowControl w:val="0"/>
              <w:spacing w:line="440" w:lineRule="exact"/>
              <w:ind w:left="63" w:right="63" w:firstLine="600"/>
              <w:jc w:val="both"/>
              <w:rPr>
                <w:rFonts w:ascii="宋体" w:hAnsi="宋体" w:cs="宋体"/>
                <w:color w:val="auto"/>
                <w:sz w:val="28"/>
                <w:szCs w:val="30"/>
              </w:rPr>
            </w:pPr>
          </w:p>
        </w:tc>
        <w:tc>
          <w:tcPr>
            <w:tcW w:w="1418" w:type="dxa"/>
            <w:tcBorders>
              <w:top w:val="single" w:color="auto" w:sz="6" w:space="0"/>
              <w:bottom w:val="single" w:color="auto" w:sz="6" w:space="0"/>
            </w:tcBorders>
            <w:vAlign w:val="center"/>
          </w:tcPr>
          <w:p>
            <w:pPr>
              <w:keepNext/>
              <w:widowControl w:val="0"/>
              <w:spacing w:line="440" w:lineRule="exact"/>
              <w:ind w:left="63" w:right="63" w:firstLine="600"/>
              <w:jc w:val="both"/>
              <w:rPr>
                <w:rFonts w:ascii="宋体" w:hAnsi="宋体" w:cs="宋体"/>
                <w:color w:val="auto"/>
                <w:sz w:val="28"/>
                <w:szCs w:val="30"/>
              </w:rPr>
            </w:pPr>
          </w:p>
        </w:tc>
        <w:tc>
          <w:tcPr>
            <w:tcW w:w="850" w:type="dxa"/>
            <w:tcBorders>
              <w:top w:val="single" w:color="auto" w:sz="6" w:space="0"/>
              <w:bottom w:val="single" w:color="auto" w:sz="6" w:space="0"/>
            </w:tcBorders>
            <w:vAlign w:val="center"/>
          </w:tcPr>
          <w:p>
            <w:pPr>
              <w:keepNext/>
              <w:widowControl w:val="0"/>
              <w:spacing w:line="440" w:lineRule="exact"/>
              <w:ind w:left="63" w:right="63" w:firstLine="600"/>
              <w:jc w:val="both"/>
              <w:rPr>
                <w:rFonts w:ascii="宋体" w:hAnsi="宋体" w:cs="宋体"/>
                <w:color w:val="auto"/>
                <w:sz w:val="28"/>
                <w:szCs w:val="30"/>
              </w:rPr>
            </w:pPr>
          </w:p>
        </w:tc>
        <w:tc>
          <w:tcPr>
            <w:tcW w:w="1058" w:type="dxa"/>
            <w:tcBorders>
              <w:top w:val="single" w:color="auto" w:sz="6" w:space="0"/>
              <w:bottom w:val="single" w:color="auto" w:sz="6" w:space="0"/>
            </w:tcBorders>
            <w:vAlign w:val="center"/>
          </w:tcPr>
          <w:p>
            <w:pPr>
              <w:keepNext/>
              <w:widowControl w:val="0"/>
              <w:spacing w:line="440" w:lineRule="exact"/>
              <w:ind w:left="63" w:right="63" w:firstLine="600"/>
              <w:jc w:val="both"/>
              <w:rPr>
                <w:rFonts w:ascii="宋体" w:hAnsi="宋体" w:cs="宋体"/>
                <w:color w:val="auto"/>
                <w:sz w:val="28"/>
                <w:szCs w:val="30"/>
              </w:rPr>
            </w:pPr>
          </w:p>
        </w:tc>
        <w:tc>
          <w:tcPr>
            <w:tcW w:w="880" w:type="dxa"/>
            <w:tcBorders>
              <w:top w:val="single" w:color="auto" w:sz="6" w:space="0"/>
              <w:bottom w:val="single" w:color="auto" w:sz="6" w:space="0"/>
            </w:tcBorders>
            <w:vAlign w:val="center"/>
          </w:tcPr>
          <w:p>
            <w:pPr>
              <w:keepNext/>
              <w:widowControl w:val="0"/>
              <w:spacing w:line="440" w:lineRule="exact"/>
              <w:ind w:left="63" w:right="63" w:firstLine="600"/>
              <w:jc w:val="both"/>
              <w:rPr>
                <w:rFonts w:ascii="宋体" w:hAnsi="宋体" w:cs="宋体"/>
                <w:color w:val="auto"/>
                <w:sz w:val="28"/>
                <w:szCs w:val="30"/>
              </w:rPr>
            </w:pPr>
          </w:p>
        </w:tc>
        <w:tc>
          <w:tcPr>
            <w:tcW w:w="1020" w:type="dxa"/>
            <w:tcBorders>
              <w:top w:val="single" w:color="auto" w:sz="6" w:space="0"/>
              <w:bottom w:val="single" w:color="auto" w:sz="6" w:space="0"/>
            </w:tcBorders>
            <w:vAlign w:val="center"/>
          </w:tcPr>
          <w:p>
            <w:pPr>
              <w:keepNext/>
              <w:widowControl w:val="0"/>
              <w:spacing w:line="440" w:lineRule="exact"/>
              <w:ind w:left="63" w:right="63" w:firstLine="600"/>
              <w:jc w:val="both"/>
              <w:rPr>
                <w:rFonts w:ascii="宋体" w:hAnsi="宋体" w:cs="宋体"/>
                <w:color w:val="auto"/>
                <w:sz w:val="28"/>
                <w:szCs w:val="30"/>
              </w:rPr>
            </w:pPr>
          </w:p>
        </w:tc>
        <w:tc>
          <w:tcPr>
            <w:tcW w:w="1480" w:type="dxa"/>
            <w:tcBorders>
              <w:top w:val="single" w:color="auto" w:sz="6" w:space="0"/>
              <w:bottom w:val="single" w:color="auto" w:sz="6" w:space="0"/>
            </w:tcBorders>
            <w:vAlign w:val="center"/>
          </w:tcPr>
          <w:p>
            <w:pPr>
              <w:keepNext/>
              <w:widowControl w:val="0"/>
              <w:spacing w:line="440" w:lineRule="exact"/>
              <w:ind w:left="63" w:right="63" w:firstLine="600"/>
              <w:jc w:val="both"/>
              <w:rPr>
                <w:rFonts w:ascii="宋体" w:hAnsi="宋体" w:cs="宋体"/>
                <w:color w:val="auto"/>
                <w:sz w:val="28"/>
                <w:szCs w:val="30"/>
              </w:rPr>
            </w:pPr>
          </w:p>
        </w:tc>
        <w:tc>
          <w:tcPr>
            <w:tcW w:w="1020" w:type="dxa"/>
            <w:tcBorders>
              <w:top w:val="single" w:color="auto" w:sz="6" w:space="0"/>
              <w:bottom w:val="single" w:color="auto" w:sz="6" w:space="0"/>
            </w:tcBorders>
            <w:vAlign w:val="center"/>
          </w:tcPr>
          <w:p>
            <w:pPr>
              <w:keepNext/>
              <w:widowControl w:val="0"/>
              <w:spacing w:line="440" w:lineRule="exact"/>
              <w:ind w:left="63" w:right="63" w:firstLine="600"/>
              <w:jc w:val="both"/>
              <w:rPr>
                <w:rFonts w:ascii="宋体" w:hAnsi="宋体" w:cs="宋体"/>
                <w:color w:val="auto"/>
                <w:sz w:val="28"/>
                <w:szCs w:val="30"/>
              </w:rPr>
            </w:pPr>
          </w:p>
        </w:tc>
        <w:tc>
          <w:tcPr>
            <w:tcW w:w="921" w:type="dxa"/>
            <w:tcBorders>
              <w:top w:val="single" w:color="auto" w:sz="6" w:space="0"/>
              <w:bottom w:val="single" w:color="auto" w:sz="6" w:space="0"/>
            </w:tcBorders>
            <w:vAlign w:val="center"/>
          </w:tcPr>
          <w:p>
            <w:pPr>
              <w:keepNext/>
              <w:widowControl w:val="0"/>
              <w:spacing w:line="440" w:lineRule="exact"/>
              <w:ind w:left="63" w:right="63" w:firstLine="600"/>
              <w:jc w:val="both"/>
              <w:rPr>
                <w:rFonts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Borders>
              <w:top w:val="nil"/>
            </w:tcBorders>
            <w:vAlign w:val="center"/>
          </w:tcPr>
          <w:p>
            <w:pPr>
              <w:keepNext/>
              <w:widowControl w:val="0"/>
              <w:spacing w:line="440" w:lineRule="exact"/>
              <w:ind w:left="63" w:right="63" w:firstLine="600"/>
              <w:jc w:val="both"/>
              <w:rPr>
                <w:rFonts w:ascii="宋体" w:hAnsi="宋体" w:cs="宋体"/>
                <w:color w:val="auto"/>
                <w:sz w:val="28"/>
                <w:szCs w:val="30"/>
              </w:rPr>
            </w:pPr>
          </w:p>
        </w:tc>
        <w:tc>
          <w:tcPr>
            <w:tcW w:w="1418" w:type="dxa"/>
            <w:tcBorders>
              <w:top w:val="nil"/>
            </w:tcBorders>
            <w:vAlign w:val="center"/>
          </w:tcPr>
          <w:p>
            <w:pPr>
              <w:keepNext/>
              <w:widowControl w:val="0"/>
              <w:spacing w:line="440" w:lineRule="exact"/>
              <w:ind w:left="63" w:right="63" w:firstLine="600"/>
              <w:jc w:val="both"/>
              <w:rPr>
                <w:rFonts w:ascii="宋体" w:hAnsi="宋体" w:cs="宋体"/>
                <w:color w:val="auto"/>
                <w:sz w:val="28"/>
                <w:szCs w:val="30"/>
              </w:rPr>
            </w:pPr>
          </w:p>
        </w:tc>
        <w:tc>
          <w:tcPr>
            <w:tcW w:w="850" w:type="dxa"/>
            <w:tcBorders>
              <w:top w:val="nil"/>
            </w:tcBorders>
            <w:vAlign w:val="center"/>
          </w:tcPr>
          <w:p>
            <w:pPr>
              <w:keepNext/>
              <w:widowControl w:val="0"/>
              <w:spacing w:line="440" w:lineRule="exact"/>
              <w:ind w:left="63" w:right="63" w:firstLine="600"/>
              <w:jc w:val="both"/>
              <w:rPr>
                <w:rFonts w:ascii="宋体" w:hAnsi="宋体" w:cs="宋体"/>
                <w:color w:val="auto"/>
                <w:sz w:val="28"/>
                <w:szCs w:val="30"/>
              </w:rPr>
            </w:pPr>
          </w:p>
        </w:tc>
        <w:tc>
          <w:tcPr>
            <w:tcW w:w="1058" w:type="dxa"/>
            <w:tcBorders>
              <w:top w:val="nil"/>
            </w:tcBorders>
            <w:vAlign w:val="center"/>
          </w:tcPr>
          <w:p>
            <w:pPr>
              <w:keepNext/>
              <w:widowControl w:val="0"/>
              <w:spacing w:line="440" w:lineRule="exact"/>
              <w:ind w:left="63" w:right="63" w:firstLine="600"/>
              <w:jc w:val="both"/>
              <w:rPr>
                <w:rFonts w:ascii="宋体" w:hAnsi="宋体" w:cs="宋体"/>
                <w:color w:val="auto"/>
                <w:sz w:val="28"/>
                <w:szCs w:val="30"/>
              </w:rPr>
            </w:pPr>
          </w:p>
        </w:tc>
        <w:tc>
          <w:tcPr>
            <w:tcW w:w="880" w:type="dxa"/>
            <w:tcBorders>
              <w:top w:val="nil"/>
            </w:tcBorders>
            <w:vAlign w:val="center"/>
          </w:tcPr>
          <w:p>
            <w:pPr>
              <w:keepNext/>
              <w:widowControl w:val="0"/>
              <w:spacing w:line="440" w:lineRule="exact"/>
              <w:ind w:left="63" w:right="63" w:firstLine="600"/>
              <w:jc w:val="both"/>
              <w:rPr>
                <w:rFonts w:ascii="宋体" w:hAnsi="宋体" w:cs="宋体"/>
                <w:color w:val="auto"/>
                <w:sz w:val="28"/>
                <w:szCs w:val="30"/>
              </w:rPr>
            </w:pPr>
          </w:p>
        </w:tc>
        <w:tc>
          <w:tcPr>
            <w:tcW w:w="1020" w:type="dxa"/>
            <w:tcBorders>
              <w:top w:val="nil"/>
            </w:tcBorders>
            <w:vAlign w:val="center"/>
          </w:tcPr>
          <w:p>
            <w:pPr>
              <w:keepNext/>
              <w:widowControl w:val="0"/>
              <w:spacing w:line="440" w:lineRule="exact"/>
              <w:ind w:left="63" w:right="63" w:firstLine="600"/>
              <w:jc w:val="both"/>
              <w:rPr>
                <w:rFonts w:ascii="宋体" w:hAnsi="宋体" w:cs="宋体"/>
                <w:color w:val="auto"/>
                <w:sz w:val="28"/>
                <w:szCs w:val="30"/>
              </w:rPr>
            </w:pPr>
          </w:p>
        </w:tc>
        <w:tc>
          <w:tcPr>
            <w:tcW w:w="1480" w:type="dxa"/>
            <w:tcBorders>
              <w:top w:val="nil"/>
            </w:tcBorders>
            <w:vAlign w:val="center"/>
          </w:tcPr>
          <w:p>
            <w:pPr>
              <w:keepNext/>
              <w:widowControl w:val="0"/>
              <w:spacing w:line="440" w:lineRule="exact"/>
              <w:ind w:left="63" w:right="63" w:firstLine="600"/>
              <w:jc w:val="both"/>
              <w:rPr>
                <w:rFonts w:ascii="宋体" w:hAnsi="宋体" w:cs="宋体"/>
                <w:color w:val="auto"/>
                <w:sz w:val="28"/>
                <w:szCs w:val="30"/>
              </w:rPr>
            </w:pPr>
          </w:p>
        </w:tc>
        <w:tc>
          <w:tcPr>
            <w:tcW w:w="1020" w:type="dxa"/>
            <w:tcBorders>
              <w:top w:val="nil"/>
            </w:tcBorders>
            <w:vAlign w:val="center"/>
          </w:tcPr>
          <w:p>
            <w:pPr>
              <w:keepNext/>
              <w:widowControl w:val="0"/>
              <w:spacing w:line="440" w:lineRule="exact"/>
              <w:ind w:left="63" w:right="63" w:firstLine="600"/>
              <w:jc w:val="both"/>
              <w:rPr>
                <w:rFonts w:ascii="宋体" w:hAnsi="宋体" w:cs="宋体"/>
                <w:color w:val="auto"/>
                <w:sz w:val="28"/>
                <w:szCs w:val="30"/>
              </w:rPr>
            </w:pPr>
          </w:p>
        </w:tc>
        <w:tc>
          <w:tcPr>
            <w:tcW w:w="921" w:type="dxa"/>
            <w:tcBorders>
              <w:top w:val="nil"/>
            </w:tcBorders>
            <w:vAlign w:val="center"/>
          </w:tcPr>
          <w:p>
            <w:pPr>
              <w:keepNext/>
              <w:widowControl w:val="0"/>
              <w:spacing w:line="440" w:lineRule="exact"/>
              <w:ind w:left="63" w:right="63" w:firstLine="600"/>
              <w:jc w:val="both"/>
              <w:rPr>
                <w:rFonts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keepNext/>
              <w:widowControl w:val="0"/>
              <w:spacing w:line="440" w:lineRule="exact"/>
              <w:ind w:left="63" w:right="63" w:firstLine="600"/>
              <w:jc w:val="both"/>
              <w:rPr>
                <w:rFonts w:ascii="宋体" w:hAnsi="宋体" w:cs="宋体"/>
                <w:color w:val="auto"/>
                <w:sz w:val="28"/>
                <w:szCs w:val="30"/>
              </w:rPr>
            </w:pPr>
          </w:p>
        </w:tc>
        <w:tc>
          <w:tcPr>
            <w:tcW w:w="1418" w:type="dxa"/>
            <w:vAlign w:val="center"/>
          </w:tcPr>
          <w:p>
            <w:pPr>
              <w:keepNext/>
              <w:widowControl w:val="0"/>
              <w:spacing w:line="440" w:lineRule="exact"/>
              <w:ind w:left="63" w:right="63" w:firstLine="600"/>
              <w:jc w:val="both"/>
              <w:rPr>
                <w:rFonts w:ascii="宋体" w:hAnsi="宋体" w:cs="宋体"/>
                <w:color w:val="auto"/>
                <w:sz w:val="28"/>
                <w:szCs w:val="30"/>
              </w:rPr>
            </w:pPr>
          </w:p>
        </w:tc>
        <w:tc>
          <w:tcPr>
            <w:tcW w:w="850" w:type="dxa"/>
            <w:vAlign w:val="center"/>
          </w:tcPr>
          <w:p>
            <w:pPr>
              <w:keepNext/>
              <w:widowControl w:val="0"/>
              <w:spacing w:line="440" w:lineRule="exact"/>
              <w:ind w:left="63" w:right="63" w:firstLine="600"/>
              <w:jc w:val="both"/>
              <w:rPr>
                <w:rFonts w:ascii="宋体" w:hAnsi="宋体" w:cs="宋体"/>
                <w:color w:val="auto"/>
                <w:sz w:val="28"/>
                <w:szCs w:val="30"/>
              </w:rPr>
            </w:pPr>
          </w:p>
        </w:tc>
        <w:tc>
          <w:tcPr>
            <w:tcW w:w="1058" w:type="dxa"/>
            <w:vAlign w:val="center"/>
          </w:tcPr>
          <w:p>
            <w:pPr>
              <w:keepNext/>
              <w:widowControl w:val="0"/>
              <w:spacing w:line="440" w:lineRule="exact"/>
              <w:ind w:left="63" w:right="63" w:firstLine="600"/>
              <w:jc w:val="both"/>
              <w:rPr>
                <w:rFonts w:ascii="宋体" w:hAnsi="宋体" w:cs="宋体"/>
                <w:color w:val="auto"/>
                <w:sz w:val="28"/>
                <w:szCs w:val="30"/>
              </w:rPr>
            </w:pPr>
          </w:p>
        </w:tc>
        <w:tc>
          <w:tcPr>
            <w:tcW w:w="880" w:type="dxa"/>
            <w:vAlign w:val="center"/>
          </w:tcPr>
          <w:p>
            <w:pPr>
              <w:keepNext/>
              <w:widowControl w:val="0"/>
              <w:spacing w:line="440" w:lineRule="exact"/>
              <w:ind w:left="63" w:right="63" w:firstLine="600"/>
              <w:jc w:val="both"/>
              <w:rPr>
                <w:rFonts w:ascii="宋体" w:hAnsi="宋体" w:cs="宋体"/>
                <w:color w:val="auto"/>
                <w:sz w:val="28"/>
                <w:szCs w:val="30"/>
              </w:rPr>
            </w:pPr>
          </w:p>
        </w:tc>
        <w:tc>
          <w:tcPr>
            <w:tcW w:w="1020" w:type="dxa"/>
            <w:vAlign w:val="center"/>
          </w:tcPr>
          <w:p>
            <w:pPr>
              <w:keepNext/>
              <w:widowControl w:val="0"/>
              <w:spacing w:line="440" w:lineRule="exact"/>
              <w:ind w:left="63" w:right="63" w:firstLine="600"/>
              <w:jc w:val="both"/>
              <w:rPr>
                <w:rFonts w:ascii="宋体" w:hAnsi="宋体" w:cs="宋体"/>
                <w:color w:val="auto"/>
                <w:sz w:val="28"/>
                <w:szCs w:val="30"/>
              </w:rPr>
            </w:pPr>
          </w:p>
        </w:tc>
        <w:tc>
          <w:tcPr>
            <w:tcW w:w="1480" w:type="dxa"/>
            <w:vAlign w:val="center"/>
          </w:tcPr>
          <w:p>
            <w:pPr>
              <w:keepNext/>
              <w:widowControl w:val="0"/>
              <w:spacing w:line="440" w:lineRule="exact"/>
              <w:ind w:left="63" w:right="63" w:firstLine="600"/>
              <w:jc w:val="both"/>
              <w:rPr>
                <w:rFonts w:ascii="宋体" w:hAnsi="宋体" w:cs="宋体"/>
                <w:color w:val="auto"/>
                <w:sz w:val="28"/>
                <w:szCs w:val="30"/>
              </w:rPr>
            </w:pPr>
          </w:p>
        </w:tc>
        <w:tc>
          <w:tcPr>
            <w:tcW w:w="1020" w:type="dxa"/>
            <w:vAlign w:val="center"/>
          </w:tcPr>
          <w:p>
            <w:pPr>
              <w:keepNext/>
              <w:widowControl w:val="0"/>
              <w:spacing w:line="440" w:lineRule="exact"/>
              <w:ind w:left="63" w:right="63" w:firstLine="600"/>
              <w:jc w:val="both"/>
              <w:rPr>
                <w:rFonts w:ascii="宋体" w:hAnsi="宋体" w:cs="宋体"/>
                <w:color w:val="auto"/>
                <w:sz w:val="28"/>
                <w:szCs w:val="30"/>
              </w:rPr>
            </w:pPr>
          </w:p>
        </w:tc>
        <w:tc>
          <w:tcPr>
            <w:tcW w:w="921" w:type="dxa"/>
            <w:vAlign w:val="center"/>
          </w:tcPr>
          <w:p>
            <w:pPr>
              <w:keepNext/>
              <w:widowControl w:val="0"/>
              <w:spacing w:line="440" w:lineRule="exact"/>
              <w:ind w:left="63" w:right="63" w:firstLine="600"/>
              <w:jc w:val="both"/>
              <w:rPr>
                <w:rFonts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keepNext/>
              <w:widowControl w:val="0"/>
              <w:spacing w:line="440" w:lineRule="exact"/>
              <w:ind w:left="63" w:right="63" w:firstLine="600"/>
              <w:jc w:val="both"/>
              <w:rPr>
                <w:rFonts w:ascii="宋体" w:hAnsi="宋体" w:cs="宋体"/>
                <w:color w:val="auto"/>
                <w:sz w:val="28"/>
                <w:szCs w:val="30"/>
              </w:rPr>
            </w:pPr>
          </w:p>
        </w:tc>
        <w:tc>
          <w:tcPr>
            <w:tcW w:w="1418" w:type="dxa"/>
            <w:vAlign w:val="center"/>
          </w:tcPr>
          <w:p>
            <w:pPr>
              <w:keepNext/>
              <w:widowControl w:val="0"/>
              <w:spacing w:line="440" w:lineRule="exact"/>
              <w:ind w:left="63" w:right="63" w:firstLine="600"/>
              <w:jc w:val="both"/>
              <w:rPr>
                <w:rFonts w:ascii="宋体" w:hAnsi="宋体" w:cs="宋体"/>
                <w:color w:val="auto"/>
                <w:sz w:val="28"/>
                <w:szCs w:val="30"/>
              </w:rPr>
            </w:pPr>
          </w:p>
        </w:tc>
        <w:tc>
          <w:tcPr>
            <w:tcW w:w="850" w:type="dxa"/>
            <w:vAlign w:val="center"/>
          </w:tcPr>
          <w:p>
            <w:pPr>
              <w:keepNext/>
              <w:widowControl w:val="0"/>
              <w:spacing w:line="440" w:lineRule="exact"/>
              <w:ind w:left="63" w:right="63" w:firstLine="600"/>
              <w:jc w:val="both"/>
              <w:rPr>
                <w:rFonts w:ascii="宋体" w:hAnsi="宋体" w:cs="宋体"/>
                <w:color w:val="auto"/>
                <w:sz w:val="28"/>
                <w:szCs w:val="30"/>
              </w:rPr>
            </w:pPr>
          </w:p>
        </w:tc>
        <w:tc>
          <w:tcPr>
            <w:tcW w:w="1058" w:type="dxa"/>
            <w:vAlign w:val="center"/>
          </w:tcPr>
          <w:p>
            <w:pPr>
              <w:keepNext/>
              <w:widowControl w:val="0"/>
              <w:spacing w:line="440" w:lineRule="exact"/>
              <w:ind w:left="63" w:right="63" w:firstLine="600"/>
              <w:jc w:val="both"/>
              <w:rPr>
                <w:rFonts w:ascii="宋体" w:hAnsi="宋体" w:cs="宋体"/>
                <w:color w:val="auto"/>
                <w:sz w:val="28"/>
                <w:szCs w:val="30"/>
              </w:rPr>
            </w:pPr>
          </w:p>
        </w:tc>
        <w:tc>
          <w:tcPr>
            <w:tcW w:w="880" w:type="dxa"/>
            <w:vAlign w:val="center"/>
          </w:tcPr>
          <w:p>
            <w:pPr>
              <w:keepNext/>
              <w:widowControl w:val="0"/>
              <w:spacing w:line="440" w:lineRule="exact"/>
              <w:ind w:left="63" w:right="63" w:firstLine="600"/>
              <w:jc w:val="both"/>
              <w:rPr>
                <w:rFonts w:ascii="宋体" w:hAnsi="宋体" w:cs="宋体"/>
                <w:color w:val="auto"/>
                <w:sz w:val="28"/>
                <w:szCs w:val="30"/>
              </w:rPr>
            </w:pPr>
          </w:p>
        </w:tc>
        <w:tc>
          <w:tcPr>
            <w:tcW w:w="1020" w:type="dxa"/>
            <w:vAlign w:val="center"/>
          </w:tcPr>
          <w:p>
            <w:pPr>
              <w:keepNext/>
              <w:widowControl w:val="0"/>
              <w:spacing w:line="440" w:lineRule="exact"/>
              <w:ind w:left="63" w:right="63" w:firstLine="600"/>
              <w:jc w:val="both"/>
              <w:rPr>
                <w:rFonts w:ascii="宋体" w:hAnsi="宋体" w:cs="宋体"/>
                <w:color w:val="auto"/>
                <w:sz w:val="28"/>
                <w:szCs w:val="30"/>
              </w:rPr>
            </w:pPr>
          </w:p>
        </w:tc>
        <w:tc>
          <w:tcPr>
            <w:tcW w:w="1480" w:type="dxa"/>
            <w:vAlign w:val="center"/>
          </w:tcPr>
          <w:p>
            <w:pPr>
              <w:keepNext/>
              <w:widowControl w:val="0"/>
              <w:spacing w:line="440" w:lineRule="exact"/>
              <w:ind w:left="63" w:right="63" w:firstLine="600"/>
              <w:jc w:val="both"/>
              <w:rPr>
                <w:rFonts w:ascii="宋体" w:hAnsi="宋体" w:cs="宋体"/>
                <w:color w:val="auto"/>
                <w:sz w:val="28"/>
                <w:szCs w:val="30"/>
              </w:rPr>
            </w:pPr>
          </w:p>
        </w:tc>
        <w:tc>
          <w:tcPr>
            <w:tcW w:w="1020" w:type="dxa"/>
            <w:vAlign w:val="center"/>
          </w:tcPr>
          <w:p>
            <w:pPr>
              <w:keepNext/>
              <w:widowControl w:val="0"/>
              <w:spacing w:line="440" w:lineRule="exact"/>
              <w:ind w:left="63" w:right="63" w:firstLine="600"/>
              <w:jc w:val="both"/>
              <w:rPr>
                <w:rFonts w:ascii="宋体" w:hAnsi="宋体" w:cs="宋体"/>
                <w:color w:val="auto"/>
                <w:sz w:val="28"/>
                <w:szCs w:val="30"/>
              </w:rPr>
            </w:pPr>
          </w:p>
        </w:tc>
        <w:tc>
          <w:tcPr>
            <w:tcW w:w="921" w:type="dxa"/>
            <w:vAlign w:val="center"/>
          </w:tcPr>
          <w:p>
            <w:pPr>
              <w:keepNext/>
              <w:widowControl w:val="0"/>
              <w:spacing w:line="440" w:lineRule="exact"/>
              <w:ind w:left="63" w:right="63" w:firstLine="600"/>
              <w:jc w:val="both"/>
              <w:rPr>
                <w:rFonts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keepNext/>
              <w:widowControl w:val="0"/>
              <w:spacing w:line="440" w:lineRule="exact"/>
              <w:ind w:left="63" w:right="63" w:firstLine="600"/>
              <w:jc w:val="both"/>
              <w:rPr>
                <w:rFonts w:ascii="宋体" w:hAnsi="宋体" w:cs="宋体"/>
                <w:color w:val="auto"/>
                <w:sz w:val="28"/>
                <w:szCs w:val="30"/>
              </w:rPr>
            </w:pPr>
          </w:p>
        </w:tc>
        <w:tc>
          <w:tcPr>
            <w:tcW w:w="1418" w:type="dxa"/>
            <w:vAlign w:val="center"/>
          </w:tcPr>
          <w:p>
            <w:pPr>
              <w:keepNext/>
              <w:widowControl w:val="0"/>
              <w:spacing w:line="440" w:lineRule="exact"/>
              <w:ind w:left="63" w:right="63" w:firstLine="600"/>
              <w:jc w:val="both"/>
              <w:rPr>
                <w:rFonts w:ascii="宋体" w:hAnsi="宋体" w:cs="宋体"/>
                <w:color w:val="auto"/>
                <w:sz w:val="28"/>
                <w:szCs w:val="30"/>
              </w:rPr>
            </w:pPr>
          </w:p>
        </w:tc>
        <w:tc>
          <w:tcPr>
            <w:tcW w:w="850" w:type="dxa"/>
            <w:vAlign w:val="center"/>
          </w:tcPr>
          <w:p>
            <w:pPr>
              <w:keepNext/>
              <w:widowControl w:val="0"/>
              <w:spacing w:line="440" w:lineRule="exact"/>
              <w:ind w:left="63" w:right="63" w:firstLine="600"/>
              <w:jc w:val="both"/>
              <w:rPr>
                <w:rFonts w:ascii="宋体" w:hAnsi="宋体" w:cs="宋体"/>
                <w:color w:val="auto"/>
                <w:sz w:val="28"/>
                <w:szCs w:val="30"/>
              </w:rPr>
            </w:pPr>
          </w:p>
        </w:tc>
        <w:tc>
          <w:tcPr>
            <w:tcW w:w="1058" w:type="dxa"/>
            <w:vAlign w:val="center"/>
          </w:tcPr>
          <w:p>
            <w:pPr>
              <w:keepNext/>
              <w:widowControl w:val="0"/>
              <w:spacing w:line="440" w:lineRule="exact"/>
              <w:ind w:left="63" w:right="63" w:firstLine="600"/>
              <w:jc w:val="both"/>
              <w:rPr>
                <w:rFonts w:ascii="宋体" w:hAnsi="宋体" w:cs="宋体"/>
                <w:color w:val="auto"/>
                <w:sz w:val="28"/>
                <w:szCs w:val="30"/>
              </w:rPr>
            </w:pPr>
          </w:p>
        </w:tc>
        <w:tc>
          <w:tcPr>
            <w:tcW w:w="880" w:type="dxa"/>
            <w:vAlign w:val="center"/>
          </w:tcPr>
          <w:p>
            <w:pPr>
              <w:keepNext/>
              <w:widowControl w:val="0"/>
              <w:spacing w:line="440" w:lineRule="exact"/>
              <w:ind w:left="63" w:right="63" w:firstLine="600"/>
              <w:jc w:val="both"/>
              <w:rPr>
                <w:rFonts w:ascii="宋体" w:hAnsi="宋体" w:cs="宋体"/>
                <w:color w:val="auto"/>
                <w:sz w:val="28"/>
                <w:szCs w:val="30"/>
              </w:rPr>
            </w:pPr>
          </w:p>
        </w:tc>
        <w:tc>
          <w:tcPr>
            <w:tcW w:w="1020" w:type="dxa"/>
            <w:vAlign w:val="center"/>
          </w:tcPr>
          <w:p>
            <w:pPr>
              <w:keepNext/>
              <w:widowControl w:val="0"/>
              <w:spacing w:line="440" w:lineRule="exact"/>
              <w:ind w:left="63" w:right="63" w:firstLine="600"/>
              <w:jc w:val="both"/>
              <w:rPr>
                <w:rFonts w:ascii="宋体" w:hAnsi="宋体" w:cs="宋体"/>
                <w:color w:val="auto"/>
                <w:sz w:val="28"/>
                <w:szCs w:val="30"/>
              </w:rPr>
            </w:pPr>
          </w:p>
        </w:tc>
        <w:tc>
          <w:tcPr>
            <w:tcW w:w="1480" w:type="dxa"/>
            <w:vAlign w:val="center"/>
          </w:tcPr>
          <w:p>
            <w:pPr>
              <w:keepNext/>
              <w:widowControl w:val="0"/>
              <w:spacing w:line="440" w:lineRule="exact"/>
              <w:ind w:left="63" w:right="63" w:firstLine="600"/>
              <w:jc w:val="both"/>
              <w:rPr>
                <w:rFonts w:ascii="宋体" w:hAnsi="宋体" w:cs="宋体"/>
                <w:color w:val="auto"/>
                <w:sz w:val="28"/>
                <w:szCs w:val="30"/>
              </w:rPr>
            </w:pPr>
          </w:p>
        </w:tc>
        <w:tc>
          <w:tcPr>
            <w:tcW w:w="1020" w:type="dxa"/>
            <w:vAlign w:val="center"/>
          </w:tcPr>
          <w:p>
            <w:pPr>
              <w:keepNext/>
              <w:widowControl w:val="0"/>
              <w:spacing w:line="440" w:lineRule="exact"/>
              <w:ind w:left="63" w:right="63" w:firstLine="600"/>
              <w:jc w:val="both"/>
              <w:rPr>
                <w:rFonts w:ascii="宋体" w:hAnsi="宋体" w:cs="宋体"/>
                <w:color w:val="auto"/>
                <w:sz w:val="28"/>
                <w:szCs w:val="30"/>
              </w:rPr>
            </w:pPr>
          </w:p>
        </w:tc>
        <w:tc>
          <w:tcPr>
            <w:tcW w:w="921" w:type="dxa"/>
            <w:vAlign w:val="center"/>
          </w:tcPr>
          <w:p>
            <w:pPr>
              <w:keepNext/>
              <w:widowControl w:val="0"/>
              <w:spacing w:line="440" w:lineRule="exact"/>
              <w:ind w:left="63" w:right="63" w:firstLine="600"/>
              <w:jc w:val="both"/>
              <w:rPr>
                <w:rFonts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keepNext/>
              <w:widowControl w:val="0"/>
              <w:spacing w:line="440" w:lineRule="exact"/>
              <w:ind w:left="63" w:right="63" w:firstLine="600"/>
              <w:jc w:val="both"/>
              <w:rPr>
                <w:rFonts w:ascii="宋体" w:hAnsi="宋体" w:cs="宋体"/>
                <w:color w:val="auto"/>
                <w:sz w:val="28"/>
                <w:szCs w:val="30"/>
              </w:rPr>
            </w:pPr>
          </w:p>
        </w:tc>
        <w:tc>
          <w:tcPr>
            <w:tcW w:w="1418" w:type="dxa"/>
            <w:vAlign w:val="center"/>
          </w:tcPr>
          <w:p>
            <w:pPr>
              <w:keepNext/>
              <w:widowControl w:val="0"/>
              <w:spacing w:line="440" w:lineRule="exact"/>
              <w:ind w:left="63" w:right="63" w:firstLine="600"/>
              <w:jc w:val="both"/>
              <w:rPr>
                <w:rFonts w:ascii="宋体" w:hAnsi="宋体" w:cs="宋体"/>
                <w:color w:val="auto"/>
                <w:sz w:val="28"/>
                <w:szCs w:val="30"/>
              </w:rPr>
            </w:pPr>
          </w:p>
        </w:tc>
        <w:tc>
          <w:tcPr>
            <w:tcW w:w="850" w:type="dxa"/>
            <w:vAlign w:val="center"/>
          </w:tcPr>
          <w:p>
            <w:pPr>
              <w:keepNext/>
              <w:widowControl w:val="0"/>
              <w:spacing w:line="440" w:lineRule="exact"/>
              <w:ind w:left="63" w:right="63" w:firstLine="600"/>
              <w:jc w:val="both"/>
              <w:rPr>
                <w:rFonts w:ascii="宋体" w:hAnsi="宋体" w:cs="宋体"/>
                <w:color w:val="auto"/>
                <w:sz w:val="28"/>
                <w:szCs w:val="30"/>
              </w:rPr>
            </w:pPr>
          </w:p>
        </w:tc>
        <w:tc>
          <w:tcPr>
            <w:tcW w:w="1058" w:type="dxa"/>
            <w:vAlign w:val="center"/>
          </w:tcPr>
          <w:p>
            <w:pPr>
              <w:keepNext/>
              <w:widowControl w:val="0"/>
              <w:spacing w:line="440" w:lineRule="exact"/>
              <w:ind w:left="63" w:right="63" w:firstLine="600"/>
              <w:jc w:val="both"/>
              <w:rPr>
                <w:rFonts w:ascii="宋体" w:hAnsi="宋体" w:cs="宋体"/>
                <w:color w:val="auto"/>
                <w:sz w:val="28"/>
                <w:szCs w:val="30"/>
              </w:rPr>
            </w:pPr>
          </w:p>
        </w:tc>
        <w:tc>
          <w:tcPr>
            <w:tcW w:w="880" w:type="dxa"/>
            <w:vAlign w:val="center"/>
          </w:tcPr>
          <w:p>
            <w:pPr>
              <w:keepNext/>
              <w:widowControl w:val="0"/>
              <w:spacing w:line="440" w:lineRule="exact"/>
              <w:ind w:left="63" w:right="63" w:firstLine="600"/>
              <w:jc w:val="both"/>
              <w:rPr>
                <w:rFonts w:ascii="宋体" w:hAnsi="宋体" w:cs="宋体"/>
                <w:color w:val="auto"/>
                <w:sz w:val="28"/>
                <w:szCs w:val="30"/>
              </w:rPr>
            </w:pPr>
          </w:p>
        </w:tc>
        <w:tc>
          <w:tcPr>
            <w:tcW w:w="1020" w:type="dxa"/>
            <w:vAlign w:val="center"/>
          </w:tcPr>
          <w:p>
            <w:pPr>
              <w:keepNext/>
              <w:widowControl w:val="0"/>
              <w:spacing w:line="440" w:lineRule="exact"/>
              <w:ind w:left="63" w:right="63" w:firstLine="600"/>
              <w:jc w:val="both"/>
              <w:rPr>
                <w:rFonts w:ascii="宋体" w:hAnsi="宋体" w:cs="宋体"/>
                <w:color w:val="auto"/>
                <w:sz w:val="28"/>
                <w:szCs w:val="30"/>
              </w:rPr>
            </w:pPr>
          </w:p>
        </w:tc>
        <w:tc>
          <w:tcPr>
            <w:tcW w:w="1480" w:type="dxa"/>
            <w:vAlign w:val="center"/>
          </w:tcPr>
          <w:p>
            <w:pPr>
              <w:keepNext/>
              <w:widowControl w:val="0"/>
              <w:spacing w:line="440" w:lineRule="exact"/>
              <w:ind w:left="63" w:right="63" w:firstLine="600"/>
              <w:jc w:val="both"/>
              <w:rPr>
                <w:rFonts w:ascii="宋体" w:hAnsi="宋体" w:cs="宋体"/>
                <w:color w:val="auto"/>
                <w:sz w:val="28"/>
                <w:szCs w:val="30"/>
              </w:rPr>
            </w:pPr>
          </w:p>
        </w:tc>
        <w:tc>
          <w:tcPr>
            <w:tcW w:w="1020" w:type="dxa"/>
            <w:vAlign w:val="center"/>
          </w:tcPr>
          <w:p>
            <w:pPr>
              <w:keepNext/>
              <w:widowControl w:val="0"/>
              <w:spacing w:line="440" w:lineRule="exact"/>
              <w:ind w:left="63" w:right="63" w:firstLine="600"/>
              <w:jc w:val="both"/>
              <w:rPr>
                <w:rFonts w:ascii="宋体" w:hAnsi="宋体" w:cs="宋体"/>
                <w:color w:val="auto"/>
                <w:sz w:val="28"/>
                <w:szCs w:val="30"/>
              </w:rPr>
            </w:pPr>
          </w:p>
        </w:tc>
        <w:tc>
          <w:tcPr>
            <w:tcW w:w="921" w:type="dxa"/>
            <w:vAlign w:val="center"/>
          </w:tcPr>
          <w:p>
            <w:pPr>
              <w:keepNext/>
              <w:widowControl w:val="0"/>
              <w:spacing w:line="440" w:lineRule="exact"/>
              <w:ind w:left="63" w:right="63" w:firstLine="600"/>
              <w:jc w:val="both"/>
              <w:rPr>
                <w:rFonts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keepNext/>
              <w:widowControl w:val="0"/>
              <w:spacing w:line="440" w:lineRule="exact"/>
              <w:ind w:left="63" w:right="63" w:firstLine="600"/>
              <w:jc w:val="both"/>
              <w:rPr>
                <w:rFonts w:ascii="宋体" w:hAnsi="宋体" w:cs="宋体"/>
                <w:color w:val="auto"/>
                <w:sz w:val="28"/>
                <w:szCs w:val="30"/>
              </w:rPr>
            </w:pPr>
          </w:p>
        </w:tc>
        <w:tc>
          <w:tcPr>
            <w:tcW w:w="1418" w:type="dxa"/>
            <w:vAlign w:val="center"/>
          </w:tcPr>
          <w:p>
            <w:pPr>
              <w:keepNext/>
              <w:widowControl w:val="0"/>
              <w:spacing w:line="440" w:lineRule="exact"/>
              <w:ind w:left="63" w:right="63" w:firstLine="600"/>
              <w:jc w:val="both"/>
              <w:rPr>
                <w:rFonts w:ascii="宋体" w:hAnsi="宋体" w:cs="宋体"/>
                <w:color w:val="auto"/>
                <w:sz w:val="28"/>
                <w:szCs w:val="30"/>
              </w:rPr>
            </w:pPr>
          </w:p>
        </w:tc>
        <w:tc>
          <w:tcPr>
            <w:tcW w:w="850" w:type="dxa"/>
            <w:vAlign w:val="center"/>
          </w:tcPr>
          <w:p>
            <w:pPr>
              <w:keepNext/>
              <w:widowControl w:val="0"/>
              <w:spacing w:line="440" w:lineRule="exact"/>
              <w:ind w:left="63" w:right="63" w:firstLine="600"/>
              <w:jc w:val="both"/>
              <w:rPr>
                <w:rFonts w:ascii="宋体" w:hAnsi="宋体" w:cs="宋体"/>
                <w:color w:val="auto"/>
                <w:sz w:val="28"/>
                <w:szCs w:val="30"/>
              </w:rPr>
            </w:pPr>
          </w:p>
        </w:tc>
        <w:tc>
          <w:tcPr>
            <w:tcW w:w="1058" w:type="dxa"/>
            <w:vAlign w:val="center"/>
          </w:tcPr>
          <w:p>
            <w:pPr>
              <w:keepNext/>
              <w:widowControl w:val="0"/>
              <w:spacing w:line="440" w:lineRule="exact"/>
              <w:ind w:left="63" w:right="63" w:firstLine="600"/>
              <w:jc w:val="both"/>
              <w:rPr>
                <w:rFonts w:ascii="宋体" w:hAnsi="宋体" w:cs="宋体"/>
                <w:color w:val="auto"/>
                <w:sz w:val="28"/>
                <w:szCs w:val="30"/>
              </w:rPr>
            </w:pPr>
          </w:p>
        </w:tc>
        <w:tc>
          <w:tcPr>
            <w:tcW w:w="880" w:type="dxa"/>
            <w:vAlign w:val="center"/>
          </w:tcPr>
          <w:p>
            <w:pPr>
              <w:keepNext/>
              <w:widowControl w:val="0"/>
              <w:spacing w:line="440" w:lineRule="exact"/>
              <w:ind w:left="63" w:right="63" w:firstLine="600"/>
              <w:jc w:val="both"/>
              <w:rPr>
                <w:rFonts w:ascii="宋体" w:hAnsi="宋体" w:cs="宋体"/>
                <w:color w:val="auto"/>
                <w:sz w:val="28"/>
                <w:szCs w:val="30"/>
              </w:rPr>
            </w:pPr>
          </w:p>
        </w:tc>
        <w:tc>
          <w:tcPr>
            <w:tcW w:w="1020" w:type="dxa"/>
            <w:vAlign w:val="center"/>
          </w:tcPr>
          <w:p>
            <w:pPr>
              <w:keepNext/>
              <w:widowControl w:val="0"/>
              <w:spacing w:line="440" w:lineRule="exact"/>
              <w:ind w:left="63" w:right="63" w:firstLine="600"/>
              <w:jc w:val="both"/>
              <w:rPr>
                <w:rFonts w:ascii="宋体" w:hAnsi="宋体" w:cs="宋体"/>
                <w:color w:val="auto"/>
                <w:sz w:val="28"/>
                <w:szCs w:val="30"/>
              </w:rPr>
            </w:pPr>
          </w:p>
        </w:tc>
        <w:tc>
          <w:tcPr>
            <w:tcW w:w="1480" w:type="dxa"/>
            <w:vAlign w:val="center"/>
          </w:tcPr>
          <w:p>
            <w:pPr>
              <w:keepNext/>
              <w:widowControl w:val="0"/>
              <w:spacing w:line="440" w:lineRule="exact"/>
              <w:ind w:left="63" w:right="63" w:firstLine="600"/>
              <w:jc w:val="both"/>
              <w:rPr>
                <w:rFonts w:ascii="宋体" w:hAnsi="宋体" w:cs="宋体"/>
                <w:color w:val="auto"/>
                <w:sz w:val="28"/>
                <w:szCs w:val="30"/>
              </w:rPr>
            </w:pPr>
          </w:p>
        </w:tc>
        <w:tc>
          <w:tcPr>
            <w:tcW w:w="1020" w:type="dxa"/>
            <w:vAlign w:val="center"/>
          </w:tcPr>
          <w:p>
            <w:pPr>
              <w:keepNext/>
              <w:widowControl w:val="0"/>
              <w:spacing w:line="440" w:lineRule="exact"/>
              <w:ind w:left="63" w:right="63" w:firstLine="600"/>
              <w:jc w:val="both"/>
              <w:rPr>
                <w:rFonts w:ascii="宋体" w:hAnsi="宋体" w:cs="宋体"/>
                <w:color w:val="auto"/>
                <w:sz w:val="28"/>
                <w:szCs w:val="30"/>
              </w:rPr>
            </w:pPr>
          </w:p>
        </w:tc>
        <w:tc>
          <w:tcPr>
            <w:tcW w:w="921" w:type="dxa"/>
            <w:vAlign w:val="center"/>
          </w:tcPr>
          <w:p>
            <w:pPr>
              <w:keepNext/>
              <w:widowControl w:val="0"/>
              <w:spacing w:line="440" w:lineRule="exact"/>
              <w:ind w:left="63" w:right="63" w:firstLine="600"/>
              <w:jc w:val="both"/>
              <w:rPr>
                <w:rFonts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keepNext/>
              <w:widowControl w:val="0"/>
              <w:spacing w:line="440" w:lineRule="exact"/>
              <w:ind w:left="63" w:right="63" w:firstLine="600"/>
              <w:jc w:val="both"/>
              <w:rPr>
                <w:rFonts w:ascii="宋体" w:hAnsi="宋体" w:cs="宋体"/>
                <w:color w:val="auto"/>
                <w:sz w:val="28"/>
                <w:szCs w:val="30"/>
              </w:rPr>
            </w:pPr>
          </w:p>
        </w:tc>
        <w:tc>
          <w:tcPr>
            <w:tcW w:w="1418" w:type="dxa"/>
            <w:vAlign w:val="center"/>
          </w:tcPr>
          <w:p>
            <w:pPr>
              <w:keepNext/>
              <w:widowControl w:val="0"/>
              <w:spacing w:line="440" w:lineRule="exact"/>
              <w:ind w:left="63" w:right="63" w:firstLine="600"/>
              <w:jc w:val="both"/>
              <w:rPr>
                <w:rFonts w:ascii="宋体" w:hAnsi="宋体" w:cs="宋体"/>
                <w:color w:val="auto"/>
                <w:sz w:val="28"/>
                <w:szCs w:val="30"/>
              </w:rPr>
            </w:pPr>
          </w:p>
        </w:tc>
        <w:tc>
          <w:tcPr>
            <w:tcW w:w="850" w:type="dxa"/>
            <w:vAlign w:val="center"/>
          </w:tcPr>
          <w:p>
            <w:pPr>
              <w:keepNext/>
              <w:widowControl w:val="0"/>
              <w:spacing w:line="440" w:lineRule="exact"/>
              <w:ind w:left="63" w:right="63" w:firstLine="600"/>
              <w:jc w:val="both"/>
              <w:rPr>
                <w:rFonts w:ascii="宋体" w:hAnsi="宋体" w:cs="宋体"/>
                <w:color w:val="auto"/>
                <w:sz w:val="28"/>
                <w:szCs w:val="30"/>
              </w:rPr>
            </w:pPr>
          </w:p>
        </w:tc>
        <w:tc>
          <w:tcPr>
            <w:tcW w:w="1058" w:type="dxa"/>
            <w:vAlign w:val="center"/>
          </w:tcPr>
          <w:p>
            <w:pPr>
              <w:keepNext/>
              <w:widowControl w:val="0"/>
              <w:spacing w:line="440" w:lineRule="exact"/>
              <w:ind w:left="63" w:right="63" w:firstLine="600"/>
              <w:jc w:val="both"/>
              <w:rPr>
                <w:rFonts w:ascii="宋体" w:hAnsi="宋体" w:cs="宋体"/>
                <w:color w:val="auto"/>
                <w:sz w:val="28"/>
                <w:szCs w:val="30"/>
              </w:rPr>
            </w:pPr>
          </w:p>
        </w:tc>
        <w:tc>
          <w:tcPr>
            <w:tcW w:w="880" w:type="dxa"/>
            <w:vAlign w:val="center"/>
          </w:tcPr>
          <w:p>
            <w:pPr>
              <w:keepNext/>
              <w:widowControl w:val="0"/>
              <w:spacing w:line="440" w:lineRule="exact"/>
              <w:ind w:left="63" w:right="63" w:firstLine="600"/>
              <w:jc w:val="both"/>
              <w:rPr>
                <w:rFonts w:ascii="宋体" w:hAnsi="宋体" w:cs="宋体"/>
                <w:color w:val="auto"/>
                <w:sz w:val="28"/>
                <w:szCs w:val="30"/>
              </w:rPr>
            </w:pPr>
          </w:p>
        </w:tc>
        <w:tc>
          <w:tcPr>
            <w:tcW w:w="1020" w:type="dxa"/>
            <w:vAlign w:val="center"/>
          </w:tcPr>
          <w:p>
            <w:pPr>
              <w:keepNext/>
              <w:widowControl w:val="0"/>
              <w:spacing w:line="440" w:lineRule="exact"/>
              <w:ind w:left="63" w:right="63" w:firstLine="600"/>
              <w:jc w:val="both"/>
              <w:rPr>
                <w:rFonts w:ascii="宋体" w:hAnsi="宋体" w:cs="宋体"/>
                <w:color w:val="auto"/>
                <w:sz w:val="28"/>
                <w:szCs w:val="30"/>
              </w:rPr>
            </w:pPr>
          </w:p>
        </w:tc>
        <w:tc>
          <w:tcPr>
            <w:tcW w:w="1480" w:type="dxa"/>
            <w:vAlign w:val="center"/>
          </w:tcPr>
          <w:p>
            <w:pPr>
              <w:keepNext/>
              <w:widowControl w:val="0"/>
              <w:spacing w:line="440" w:lineRule="exact"/>
              <w:ind w:left="63" w:right="63" w:firstLine="600"/>
              <w:jc w:val="both"/>
              <w:rPr>
                <w:rFonts w:ascii="宋体" w:hAnsi="宋体" w:cs="宋体"/>
                <w:color w:val="auto"/>
                <w:sz w:val="28"/>
                <w:szCs w:val="30"/>
              </w:rPr>
            </w:pPr>
          </w:p>
        </w:tc>
        <w:tc>
          <w:tcPr>
            <w:tcW w:w="1020" w:type="dxa"/>
            <w:vAlign w:val="center"/>
          </w:tcPr>
          <w:p>
            <w:pPr>
              <w:keepNext/>
              <w:widowControl w:val="0"/>
              <w:spacing w:line="440" w:lineRule="exact"/>
              <w:ind w:left="63" w:right="63" w:firstLine="600"/>
              <w:jc w:val="both"/>
              <w:rPr>
                <w:rFonts w:ascii="宋体" w:hAnsi="宋体" w:cs="宋体"/>
                <w:color w:val="auto"/>
                <w:sz w:val="28"/>
                <w:szCs w:val="30"/>
              </w:rPr>
            </w:pPr>
          </w:p>
        </w:tc>
        <w:tc>
          <w:tcPr>
            <w:tcW w:w="921" w:type="dxa"/>
            <w:vAlign w:val="center"/>
          </w:tcPr>
          <w:p>
            <w:pPr>
              <w:keepNext/>
              <w:widowControl w:val="0"/>
              <w:spacing w:line="440" w:lineRule="exact"/>
              <w:ind w:left="63" w:right="63" w:firstLine="600"/>
              <w:jc w:val="both"/>
              <w:rPr>
                <w:rFonts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top"/>
          </w:tcPr>
          <w:p>
            <w:pPr>
              <w:ind w:firstLine="600"/>
              <w:rPr>
                <w:rFonts w:ascii="宋体" w:hAnsi="宋体" w:cs="宋体"/>
                <w:color w:val="auto"/>
                <w:sz w:val="30"/>
                <w:szCs w:val="30"/>
              </w:rPr>
            </w:pPr>
          </w:p>
        </w:tc>
        <w:tc>
          <w:tcPr>
            <w:tcW w:w="1418" w:type="dxa"/>
            <w:vAlign w:val="top"/>
          </w:tcPr>
          <w:p>
            <w:pPr>
              <w:ind w:firstLine="600"/>
              <w:rPr>
                <w:rFonts w:ascii="宋体" w:hAnsi="宋体" w:cs="宋体"/>
                <w:color w:val="auto"/>
                <w:sz w:val="30"/>
                <w:szCs w:val="30"/>
              </w:rPr>
            </w:pPr>
          </w:p>
        </w:tc>
        <w:tc>
          <w:tcPr>
            <w:tcW w:w="850" w:type="dxa"/>
            <w:vAlign w:val="top"/>
          </w:tcPr>
          <w:p>
            <w:pPr>
              <w:ind w:firstLine="600"/>
              <w:rPr>
                <w:rFonts w:ascii="宋体" w:hAnsi="宋体" w:cs="宋体"/>
                <w:color w:val="auto"/>
                <w:sz w:val="30"/>
                <w:szCs w:val="30"/>
              </w:rPr>
            </w:pPr>
          </w:p>
        </w:tc>
        <w:tc>
          <w:tcPr>
            <w:tcW w:w="1058" w:type="dxa"/>
            <w:vAlign w:val="top"/>
          </w:tcPr>
          <w:p>
            <w:pPr>
              <w:ind w:firstLine="600"/>
              <w:rPr>
                <w:rFonts w:ascii="宋体" w:hAnsi="宋体" w:cs="宋体"/>
                <w:color w:val="auto"/>
                <w:sz w:val="30"/>
                <w:szCs w:val="30"/>
              </w:rPr>
            </w:pPr>
          </w:p>
        </w:tc>
        <w:tc>
          <w:tcPr>
            <w:tcW w:w="880" w:type="dxa"/>
            <w:vAlign w:val="top"/>
          </w:tcPr>
          <w:p>
            <w:pPr>
              <w:ind w:firstLine="600"/>
              <w:rPr>
                <w:rFonts w:ascii="宋体" w:hAnsi="宋体" w:cs="宋体"/>
                <w:color w:val="auto"/>
                <w:sz w:val="30"/>
                <w:szCs w:val="30"/>
              </w:rPr>
            </w:pPr>
          </w:p>
        </w:tc>
        <w:tc>
          <w:tcPr>
            <w:tcW w:w="1020" w:type="dxa"/>
            <w:vAlign w:val="top"/>
          </w:tcPr>
          <w:p>
            <w:pPr>
              <w:ind w:firstLine="600"/>
              <w:rPr>
                <w:rFonts w:ascii="宋体" w:hAnsi="宋体" w:cs="宋体"/>
                <w:color w:val="auto"/>
                <w:sz w:val="30"/>
                <w:szCs w:val="30"/>
              </w:rPr>
            </w:pPr>
          </w:p>
        </w:tc>
        <w:tc>
          <w:tcPr>
            <w:tcW w:w="1480" w:type="dxa"/>
            <w:vAlign w:val="top"/>
          </w:tcPr>
          <w:p>
            <w:pPr>
              <w:ind w:firstLine="600"/>
              <w:rPr>
                <w:rFonts w:ascii="宋体" w:hAnsi="宋体" w:cs="宋体"/>
                <w:color w:val="auto"/>
                <w:sz w:val="30"/>
                <w:szCs w:val="30"/>
              </w:rPr>
            </w:pPr>
          </w:p>
        </w:tc>
        <w:tc>
          <w:tcPr>
            <w:tcW w:w="1020" w:type="dxa"/>
            <w:vAlign w:val="top"/>
          </w:tcPr>
          <w:p>
            <w:pPr>
              <w:ind w:firstLine="600"/>
              <w:rPr>
                <w:rFonts w:ascii="宋体" w:hAnsi="宋体" w:cs="宋体"/>
                <w:color w:val="auto"/>
                <w:sz w:val="30"/>
                <w:szCs w:val="30"/>
              </w:rPr>
            </w:pPr>
          </w:p>
        </w:tc>
        <w:tc>
          <w:tcPr>
            <w:tcW w:w="921" w:type="dxa"/>
            <w:vAlign w:val="top"/>
          </w:tcPr>
          <w:p>
            <w:pPr>
              <w:ind w:firstLine="600"/>
              <w:rPr>
                <w:rFonts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keepNext/>
              <w:widowControl w:val="0"/>
              <w:spacing w:line="440" w:lineRule="exact"/>
              <w:ind w:left="63" w:right="63" w:firstLine="600"/>
              <w:jc w:val="both"/>
              <w:rPr>
                <w:rFonts w:ascii="宋体" w:hAnsi="宋体" w:cs="宋体"/>
                <w:color w:val="auto"/>
                <w:sz w:val="28"/>
                <w:szCs w:val="30"/>
              </w:rPr>
            </w:pPr>
          </w:p>
        </w:tc>
        <w:tc>
          <w:tcPr>
            <w:tcW w:w="1418" w:type="dxa"/>
            <w:vAlign w:val="center"/>
          </w:tcPr>
          <w:p>
            <w:pPr>
              <w:keepNext/>
              <w:widowControl w:val="0"/>
              <w:spacing w:line="440" w:lineRule="exact"/>
              <w:ind w:left="63" w:right="63" w:firstLine="600"/>
              <w:jc w:val="both"/>
              <w:rPr>
                <w:rFonts w:ascii="宋体" w:hAnsi="宋体" w:cs="宋体"/>
                <w:color w:val="auto"/>
                <w:sz w:val="28"/>
                <w:szCs w:val="30"/>
              </w:rPr>
            </w:pPr>
          </w:p>
        </w:tc>
        <w:tc>
          <w:tcPr>
            <w:tcW w:w="850" w:type="dxa"/>
            <w:vAlign w:val="center"/>
          </w:tcPr>
          <w:p>
            <w:pPr>
              <w:keepNext/>
              <w:widowControl w:val="0"/>
              <w:spacing w:line="440" w:lineRule="exact"/>
              <w:ind w:left="63" w:right="63" w:firstLine="600"/>
              <w:jc w:val="both"/>
              <w:rPr>
                <w:rFonts w:ascii="宋体" w:hAnsi="宋体" w:cs="宋体"/>
                <w:color w:val="auto"/>
                <w:sz w:val="28"/>
                <w:szCs w:val="30"/>
              </w:rPr>
            </w:pPr>
          </w:p>
        </w:tc>
        <w:tc>
          <w:tcPr>
            <w:tcW w:w="1058" w:type="dxa"/>
            <w:vAlign w:val="center"/>
          </w:tcPr>
          <w:p>
            <w:pPr>
              <w:keepNext/>
              <w:widowControl w:val="0"/>
              <w:spacing w:line="440" w:lineRule="exact"/>
              <w:ind w:left="63" w:right="63" w:firstLine="600"/>
              <w:jc w:val="both"/>
              <w:rPr>
                <w:rFonts w:ascii="宋体" w:hAnsi="宋体" w:cs="宋体"/>
                <w:color w:val="auto"/>
                <w:sz w:val="28"/>
                <w:szCs w:val="30"/>
              </w:rPr>
            </w:pPr>
          </w:p>
        </w:tc>
        <w:tc>
          <w:tcPr>
            <w:tcW w:w="880" w:type="dxa"/>
            <w:vAlign w:val="center"/>
          </w:tcPr>
          <w:p>
            <w:pPr>
              <w:keepNext/>
              <w:widowControl w:val="0"/>
              <w:spacing w:line="440" w:lineRule="exact"/>
              <w:ind w:left="63" w:right="63" w:firstLine="600"/>
              <w:jc w:val="both"/>
              <w:rPr>
                <w:rFonts w:ascii="宋体" w:hAnsi="宋体" w:cs="宋体"/>
                <w:color w:val="auto"/>
                <w:sz w:val="28"/>
                <w:szCs w:val="30"/>
              </w:rPr>
            </w:pPr>
          </w:p>
        </w:tc>
        <w:tc>
          <w:tcPr>
            <w:tcW w:w="1020" w:type="dxa"/>
            <w:vAlign w:val="center"/>
          </w:tcPr>
          <w:p>
            <w:pPr>
              <w:keepNext/>
              <w:widowControl w:val="0"/>
              <w:spacing w:line="440" w:lineRule="exact"/>
              <w:ind w:left="63" w:right="63" w:firstLine="600"/>
              <w:jc w:val="both"/>
              <w:rPr>
                <w:rFonts w:ascii="宋体" w:hAnsi="宋体" w:cs="宋体"/>
                <w:color w:val="auto"/>
                <w:sz w:val="28"/>
                <w:szCs w:val="30"/>
              </w:rPr>
            </w:pPr>
          </w:p>
        </w:tc>
        <w:tc>
          <w:tcPr>
            <w:tcW w:w="1480" w:type="dxa"/>
            <w:vAlign w:val="center"/>
          </w:tcPr>
          <w:p>
            <w:pPr>
              <w:keepNext/>
              <w:widowControl w:val="0"/>
              <w:spacing w:line="440" w:lineRule="exact"/>
              <w:ind w:left="63" w:right="63" w:firstLine="600"/>
              <w:jc w:val="both"/>
              <w:rPr>
                <w:rFonts w:ascii="宋体" w:hAnsi="宋体" w:cs="宋体"/>
                <w:color w:val="auto"/>
                <w:sz w:val="28"/>
                <w:szCs w:val="30"/>
              </w:rPr>
            </w:pPr>
          </w:p>
        </w:tc>
        <w:tc>
          <w:tcPr>
            <w:tcW w:w="1020" w:type="dxa"/>
            <w:vAlign w:val="center"/>
          </w:tcPr>
          <w:p>
            <w:pPr>
              <w:keepNext/>
              <w:widowControl w:val="0"/>
              <w:spacing w:line="440" w:lineRule="exact"/>
              <w:ind w:left="63" w:right="63" w:firstLine="600"/>
              <w:jc w:val="both"/>
              <w:rPr>
                <w:rFonts w:ascii="宋体" w:hAnsi="宋体" w:cs="宋体"/>
                <w:color w:val="auto"/>
                <w:sz w:val="28"/>
                <w:szCs w:val="30"/>
              </w:rPr>
            </w:pPr>
          </w:p>
        </w:tc>
        <w:tc>
          <w:tcPr>
            <w:tcW w:w="921" w:type="dxa"/>
            <w:vAlign w:val="center"/>
          </w:tcPr>
          <w:p>
            <w:pPr>
              <w:keepNext/>
              <w:widowControl w:val="0"/>
              <w:spacing w:line="440" w:lineRule="exact"/>
              <w:ind w:left="63" w:right="63" w:firstLine="600"/>
              <w:jc w:val="both"/>
              <w:rPr>
                <w:rFonts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top"/>
          </w:tcPr>
          <w:p>
            <w:pPr>
              <w:ind w:firstLine="600"/>
              <w:rPr>
                <w:rFonts w:ascii="宋体" w:hAnsi="宋体" w:cs="宋体"/>
                <w:color w:val="auto"/>
                <w:sz w:val="30"/>
                <w:szCs w:val="30"/>
              </w:rPr>
            </w:pPr>
          </w:p>
        </w:tc>
        <w:tc>
          <w:tcPr>
            <w:tcW w:w="1418" w:type="dxa"/>
            <w:vAlign w:val="top"/>
          </w:tcPr>
          <w:p>
            <w:pPr>
              <w:ind w:firstLine="600"/>
              <w:rPr>
                <w:rFonts w:ascii="宋体" w:hAnsi="宋体" w:cs="宋体"/>
                <w:color w:val="auto"/>
                <w:sz w:val="30"/>
                <w:szCs w:val="30"/>
              </w:rPr>
            </w:pPr>
          </w:p>
        </w:tc>
        <w:tc>
          <w:tcPr>
            <w:tcW w:w="850" w:type="dxa"/>
            <w:vAlign w:val="top"/>
          </w:tcPr>
          <w:p>
            <w:pPr>
              <w:ind w:firstLine="600"/>
              <w:rPr>
                <w:rFonts w:ascii="宋体" w:hAnsi="宋体" w:cs="宋体"/>
                <w:color w:val="auto"/>
                <w:sz w:val="30"/>
                <w:szCs w:val="30"/>
              </w:rPr>
            </w:pPr>
          </w:p>
        </w:tc>
        <w:tc>
          <w:tcPr>
            <w:tcW w:w="1058" w:type="dxa"/>
            <w:vAlign w:val="top"/>
          </w:tcPr>
          <w:p>
            <w:pPr>
              <w:ind w:firstLine="600"/>
              <w:rPr>
                <w:rFonts w:ascii="宋体" w:hAnsi="宋体" w:cs="宋体"/>
                <w:color w:val="auto"/>
                <w:sz w:val="30"/>
                <w:szCs w:val="30"/>
              </w:rPr>
            </w:pPr>
          </w:p>
        </w:tc>
        <w:tc>
          <w:tcPr>
            <w:tcW w:w="880" w:type="dxa"/>
            <w:vAlign w:val="top"/>
          </w:tcPr>
          <w:p>
            <w:pPr>
              <w:ind w:firstLine="600"/>
              <w:rPr>
                <w:rFonts w:ascii="宋体" w:hAnsi="宋体" w:cs="宋体"/>
                <w:color w:val="auto"/>
                <w:sz w:val="30"/>
                <w:szCs w:val="30"/>
              </w:rPr>
            </w:pPr>
          </w:p>
        </w:tc>
        <w:tc>
          <w:tcPr>
            <w:tcW w:w="1020" w:type="dxa"/>
            <w:vAlign w:val="top"/>
          </w:tcPr>
          <w:p>
            <w:pPr>
              <w:ind w:firstLine="600"/>
              <w:rPr>
                <w:rFonts w:ascii="宋体" w:hAnsi="宋体" w:cs="宋体"/>
                <w:color w:val="auto"/>
                <w:sz w:val="30"/>
                <w:szCs w:val="30"/>
              </w:rPr>
            </w:pPr>
          </w:p>
        </w:tc>
        <w:tc>
          <w:tcPr>
            <w:tcW w:w="1480" w:type="dxa"/>
            <w:vAlign w:val="top"/>
          </w:tcPr>
          <w:p>
            <w:pPr>
              <w:ind w:firstLine="600"/>
              <w:rPr>
                <w:rFonts w:ascii="宋体" w:hAnsi="宋体" w:cs="宋体"/>
                <w:color w:val="auto"/>
                <w:sz w:val="30"/>
                <w:szCs w:val="30"/>
              </w:rPr>
            </w:pPr>
          </w:p>
        </w:tc>
        <w:tc>
          <w:tcPr>
            <w:tcW w:w="1020" w:type="dxa"/>
            <w:vAlign w:val="top"/>
          </w:tcPr>
          <w:p>
            <w:pPr>
              <w:ind w:firstLine="600"/>
              <w:rPr>
                <w:rFonts w:ascii="宋体" w:hAnsi="宋体" w:cs="宋体"/>
                <w:color w:val="auto"/>
                <w:sz w:val="30"/>
                <w:szCs w:val="30"/>
              </w:rPr>
            </w:pPr>
          </w:p>
        </w:tc>
        <w:tc>
          <w:tcPr>
            <w:tcW w:w="921" w:type="dxa"/>
            <w:vAlign w:val="top"/>
          </w:tcPr>
          <w:p>
            <w:pPr>
              <w:ind w:firstLine="600"/>
              <w:rPr>
                <w:rFonts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top"/>
          </w:tcPr>
          <w:p>
            <w:pPr>
              <w:ind w:firstLine="600"/>
              <w:rPr>
                <w:rFonts w:ascii="宋体" w:hAnsi="宋体" w:cs="宋体"/>
                <w:color w:val="auto"/>
                <w:sz w:val="30"/>
                <w:szCs w:val="30"/>
              </w:rPr>
            </w:pPr>
          </w:p>
        </w:tc>
        <w:tc>
          <w:tcPr>
            <w:tcW w:w="1418" w:type="dxa"/>
            <w:vAlign w:val="top"/>
          </w:tcPr>
          <w:p>
            <w:pPr>
              <w:ind w:firstLine="600"/>
              <w:rPr>
                <w:rFonts w:ascii="宋体" w:hAnsi="宋体" w:cs="宋体"/>
                <w:color w:val="auto"/>
                <w:sz w:val="30"/>
                <w:szCs w:val="30"/>
              </w:rPr>
            </w:pPr>
          </w:p>
        </w:tc>
        <w:tc>
          <w:tcPr>
            <w:tcW w:w="850" w:type="dxa"/>
            <w:vAlign w:val="top"/>
          </w:tcPr>
          <w:p>
            <w:pPr>
              <w:ind w:firstLine="600"/>
              <w:rPr>
                <w:rFonts w:ascii="宋体" w:hAnsi="宋体" w:cs="宋体"/>
                <w:color w:val="auto"/>
                <w:sz w:val="30"/>
                <w:szCs w:val="30"/>
              </w:rPr>
            </w:pPr>
          </w:p>
        </w:tc>
        <w:tc>
          <w:tcPr>
            <w:tcW w:w="1058" w:type="dxa"/>
            <w:vAlign w:val="top"/>
          </w:tcPr>
          <w:p>
            <w:pPr>
              <w:ind w:firstLine="600"/>
              <w:rPr>
                <w:rFonts w:ascii="宋体" w:hAnsi="宋体" w:cs="宋体"/>
                <w:color w:val="auto"/>
                <w:sz w:val="30"/>
                <w:szCs w:val="30"/>
              </w:rPr>
            </w:pPr>
          </w:p>
        </w:tc>
        <w:tc>
          <w:tcPr>
            <w:tcW w:w="880" w:type="dxa"/>
            <w:vAlign w:val="top"/>
          </w:tcPr>
          <w:p>
            <w:pPr>
              <w:ind w:firstLine="600"/>
              <w:rPr>
                <w:rFonts w:ascii="宋体" w:hAnsi="宋体" w:cs="宋体"/>
                <w:color w:val="auto"/>
                <w:sz w:val="30"/>
                <w:szCs w:val="30"/>
              </w:rPr>
            </w:pPr>
          </w:p>
        </w:tc>
        <w:tc>
          <w:tcPr>
            <w:tcW w:w="1020" w:type="dxa"/>
            <w:vAlign w:val="top"/>
          </w:tcPr>
          <w:p>
            <w:pPr>
              <w:ind w:firstLine="600"/>
              <w:rPr>
                <w:rFonts w:ascii="宋体" w:hAnsi="宋体" w:cs="宋体"/>
                <w:color w:val="auto"/>
                <w:sz w:val="30"/>
                <w:szCs w:val="30"/>
              </w:rPr>
            </w:pPr>
          </w:p>
        </w:tc>
        <w:tc>
          <w:tcPr>
            <w:tcW w:w="1480" w:type="dxa"/>
            <w:vAlign w:val="top"/>
          </w:tcPr>
          <w:p>
            <w:pPr>
              <w:ind w:firstLine="600"/>
              <w:rPr>
                <w:rFonts w:ascii="宋体" w:hAnsi="宋体" w:cs="宋体"/>
                <w:color w:val="auto"/>
                <w:sz w:val="30"/>
                <w:szCs w:val="30"/>
              </w:rPr>
            </w:pPr>
          </w:p>
        </w:tc>
        <w:tc>
          <w:tcPr>
            <w:tcW w:w="1020" w:type="dxa"/>
            <w:vAlign w:val="top"/>
          </w:tcPr>
          <w:p>
            <w:pPr>
              <w:ind w:firstLine="600"/>
              <w:rPr>
                <w:rFonts w:ascii="宋体" w:hAnsi="宋体" w:cs="宋体"/>
                <w:color w:val="auto"/>
                <w:sz w:val="30"/>
                <w:szCs w:val="30"/>
              </w:rPr>
            </w:pPr>
          </w:p>
        </w:tc>
        <w:tc>
          <w:tcPr>
            <w:tcW w:w="921" w:type="dxa"/>
            <w:vAlign w:val="top"/>
          </w:tcPr>
          <w:p>
            <w:pPr>
              <w:ind w:firstLine="600"/>
              <w:rPr>
                <w:rFonts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top"/>
          </w:tcPr>
          <w:p>
            <w:pPr>
              <w:ind w:firstLine="600"/>
              <w:rPr>
                <w:rFonts w:ascii="宋体" w:hAnsi="宋体" w:cs="宋体"/>
                <w:color w:val="auto"/>
                <w:sz w:val="30"/>
                <w:szCs w:val="30"/>
              </w:rPr>
            </w:pPr>
          </w:p>
        </w:tc>
        <w:tc>
          <w:tcPr>
            <w:tcW w:w="1418" w:type="dxa"/>
            <w:vAlign w:val="top"/>
          </w:tcPr>
          <w:p>
            <w:pPr>
              <w:ind w:firstLine="600"/>
              <w:rPr>
                <w:rFonts w:ascii="宋体" w:hAnsi="宋体" w:cs="宋体"/>
                <w:color w:val="auto"/>
                <w:sz w:val="30"/>
                <w:szCs w:val="30"/>
              </w:rPr>
            </w:pPr>
          </w:p>
        </w:tc>
        <w:tc>
          <w:tcPr>
            <w:tcW w:w="850" w:type="dxa"/>
            <w:vAlign w:val="top"/>
          </w:tcPr>
          <w:p>
            <w:pPr>
              <w:ind w:firstLine="600"/>
              <w:rPr>
                <w:rFonts w:ascii="宋体" w:hAnsi="宋体" w:cs="宋体"/>
                <w:color w:val="auto"/>
                <w:sz w:val="30"/>
                <w:szCs w:val="30"/>
              </w:rPr>
            </w:pPr>
          </w:p>
        </w:tc>
        <w:tc>
          <w:tcPr>
            <w:tcW w:w="1058" w:type="dxa"/>
            <w:vAlign w:val="top"/>
          </w:tcPr>
          <w:p>
            <w:pPr>
              <w:ind w:firstLine="600"/>
              <w:rPr>
                <w:rFonts w:ascii="宋体" w:hAnsi="宋体" w:cs="宋体"/>
                <w:color w:val="auto"/>
                <w:sz w:val="30"/>
                <w:szCs w:val="30"/>
              </w:rPr>
            </w:pPr>
          </w:p>
        </w:tc>
        <w:tc>
          <w:tcPr>
            <w:tcW w:w="880" w:type="dxa"/>
            <w:vAlign w:val="top"/>
          </w:tcPr>
          <w:p>
            <w:pPr>
              <w:ind w:firstLine="600"/>
              <w:rPr>
                <w:rFonts w:ascii="宋体" w:hAnsi="宋体" w:cs="宋体"/>
                <w:color w:val="auto"/>
                <w:sz w:val="30"/>
                <w:szCs w:val="30"/>
              </w:rPr>
            </w:pPr>
          </w:p>
        </w:tc>
        <w:tc>
          <w:tcPr>
            <w:tcW w:w="1020" w:type="dxa"/>
            <w:vAlign w:val="top"/>
          </w:tcPr>
          <w:p>
            <w:pPr>
              <w:ind w:firstLine="600"/>
              <w:rPr>
                <w:rFonts w:ascii="宋体" w:hAnsi="宋体" w:cs="宋体"/>
                <w:color w:val="auto"/>
                <w:sz w:val="30"/>
                <w:szCs w:val="30"/>
              </w:rPr>
            </w:pPr>
          </w:p>
        </w:tc>
        <w:tc>
          <w:tcPr>
            <w:tcW w:w="1480" w:type="dxa"/>
            <w:vAlign w:val="top"/>
          </w:tcPr>
          <w:p>
            <w:pPr>
              <w:ind w:firstLine="600"/>
              <w:rPr>
                <w:rFonts w:ascii="宋体" w:hAnsi="宋体" w:cs="宋体"/>
                <w:color w:val="auto"/>
                <w:sz w:val="30"/>
                <w:szCs w:val="30"/>
              </w:rPr>
            </w:pPr>
          </w:p>
        </w:tc>
        <w:tc>
          <w:tcPr>
            <w:tcW w:w="1020" w:type="dxa"/>
            <w:vAlign w:val="top"/>
          </w:tcPr>
          <w:p>
            <w:pPr>
              <w:ind w:firstLine="600"/>
              <w:rPr>
                <w:rFonts w:ascii="宋体" w:hAnsi="宋体" w:cs="宋体"/>
                <w:color w:val="auto"/>
                <w:sz w:val="30"/>
                <w:szCs w:val="30"/>
              </w:rPr>
            </w:pPr>
          </w:p>
        </w:tc>
        <w:tc>
          <w:tcPr>
            <w:tcW w:w="921" w:type="dxa"/>
            <w:vAlign w:val="top"/>
          </w:tcPr>
          <w:p>
            <w:pPr>
              <w:ind w:firstLine="600"/>
              <w:rPr>
                <w:rFonts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top"/>
          </w:tcPr>
          <w:p>
            <w:pPr>
              <w:ind w:firstLine="600"/>
              <w:rPr>
                <w:rFonts w:ascii="宋体" w:hAnsi="宋体" w:cs="宋体"/>
                <w:color w:val="auto"/>
                <w:sz w:val="30"/>
                <w:szCs w:val="30"/>
              </w:rPr>
            </w:pPr>
          </w:p>
        </w:tc>
        <w:tc>
          <w:tcPr>
            <w:tcW w:w="1418" w:type="dxa"/>
            <w:vAlign w:val="top"/>
          </w:tcPr>
          <w:p>
            <w:pPr>
              <w:ind w:firstLine="600"/>
              <w:rPr>
                <w:rFonts w:ascii="宋体" w:hAnsi="宋体" w:cs="宋体"/>
                <w:color w:val="auto"/>
                <w:sz w:val="30"/>
                <w:szCs w:val="30"/>
              </w:rPr>
            </w:pPr>
          </w:p>
        </w:tc>
        <w:tc>
          <w:tcPr>
            <w:tcW w:w="850" w:type="dxa"/>
            <w:vAlign w:val="top"/>
          </w:tcPr>
          <w:p>
            <w:pPr>
              <w:ind w:firstLine="600"/>
              <w:rPr>
                <w:rFonts w:ascii="宋体" w:hAnsi="宋体" w:cs="宋体"/>
                <w:color w:val="auto"/>
                <w:sz w:val="30"/>
                <w:szCs w:val="30"/>
              </w:rPr>
            </w:pPr>
          </w:p>
        </w:tc>
        <w:tc>
          <w:tcPr>
            <w:tcW w:w="1058" w:type="dxa"/>
            <w:vAlign w:val="top"/>
          </w:tcPr>
          <w:p>
            <w:pPr>
              <w:ind w:firstLine="600"/>
              <w:rPr>
                <w:rFonts w:ascii="宋体" w:hAnsi="宋体" w:cs="宋体"/>
                <w:color w:val="auto"/>
                <w:sz w:val="30"/>
                <w:szCs w:val="30"/>
              </w:rPr>
            </w:pPr>
          </w:p>
        </w:tc>
        <w:tc>
          <w:tcPr>
            <w:tcW w:w="880" w:type="dxa"/>
            <w:vAlign w:val="top"/>
          </w:tcPr>
          <w:p>
            <w:pPr>
              <w:ind w:firstLine="600"/>
              <w:rPr>
                <w:rFonts w:ascii="宋体" w:hAnsi="宋体" w:cs="宋体"/>
                <w:color w:val="auto"/>
                <w:sz w:val="30"/>
                <w:szCs w:val="30"/>
              </w:rPr>
            </w:pPr>
          </w:p>
        </w:tc>
        <w:tc>
          <w:tcPr>
            <w:tcW w:w="1020" w:type="dxa"/>
            <w:vAlign w:val="top"/>
          </w:tcPr>
          <w:p>
            <w:pPr>
              <w:ind w:firstLine="600"/>
              <w:rPr>
                <w:rFonts w:ascii="宋体" w:hAnsi="宋体" w:cs="宋体"/>
                <w:color w:val="auto"/>
                <w:sz w:val="30"/>
                <w:szCs w:val="30"/>
              </w:rPr>
            </w:pPr>
          </w:p>
        </w:tc>
        <w:tc>
          <w:tcPr>
            <w:tcW w:w="1480" w:type="dxa"/>
            <w:vAlign w:val="top"/>
          </w:tcPr>
          <w:p>
            <w:pPr>
              <w:ind w:firstLine="600"/>
              <w:rPr>
                <w:rFonts w:ascii="宋体" w:hAnsi="宋体" w:cs="宋体"/>
                <w:color w:val="auto"/>
                <w:sz w:val="30"/>
                <w:szCs w:val="30"/>
              </w:rPr>
            </w:pPr>
          </w:p>
        </w:tc>
        <w:tc>
          <w:tcPr>
            <w:tcW w:w="1020" w:type="dxa"/>
            <w:vAlign w:val="top"/>
          </w:tcPr>
          <w:p>
            <w:pPr>
              <w:ind w:firstLine="600"/>
              <w:rPr>
                <w:rFonts w:ascii="宋体" w:hAnsi="宋体" w:cs="宋体"/>
                <w:color w:val="auto"/>
                <w:sz w:val="30"/>
                <w:szCs w:val="30"/>
              </w:rPr>
            </w:pPr>
          </w:p>
        </w:tc>
        <w:tc>
          <w:tcPr>
            <w:tcW w:w="921" w:type="dxa"/>
            <w:vAlign w:val="top"/>
          </w:tcPr>
          <w:p>
            <w:pPr>
              <w:ind w:firstLine="600"/>
              <w:rPr>
                <w:rFonts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top"/>
          </w:tcPr>
          <w:p>
            <w:pPr>
              <w:ind w:firstLine="600"/>
              <w:rPr>
                <w:rFonts w:ascii="宋体" w:hAnsi="宋体" w:cs="宋体"/>
                <w:color w:val="auto"/>
                <w:sz w:val="30"/>
                <w:szCs w:val="30"/>
              </w:rPr>
            </w:pPr>
          </w:p>
        </w:tc>
        <w:tc>
          <w:tcPr>
            <w:tcW w:w="1418" w:type="dxa"/>
            <w:vAlign w:val="top"/>
          </w:tcPr>
          <w:p>
            <w:pPr>
              <w:ind w:firstLine="600"/>
              <w:rPr>
                <w:rFonts w:ascii="宋体" w:hAnsi="宋体" w:cs="宋体"/>
                <w:color w:val="auto"/>
                <w:sz w:val="30"/>
                <w:szCs w:val="30"/>
              </w:rPr>
            </w:pPr>
          </w:p>
        </w:tc>
        <w:tc>
          <w:tcPr>
            <w:tcW w:w="850" w:type="dxa"/>
            <w:vAlign w:val="top"/>
          </w:tcPr>
          <w:p>
            <w:pPr>
              <w:ind w:firstLine="600"/>
              <w:rPr>
                <w:rFonts w:ascii="宋体" w:hAnsi="宋体" w:cs="宋体"/>
                <w:color w:val="auto"/>
                <w:sz w:val="30"/>
                <w:szCs w:val="30"/>
              </w:rPr>
            </w:pPr>
          </w:p>
        </w:tc>
        <w:tc>
          <w:tcPr>
            <w:tcW w:w="1058" w:type="dxa"/>
            <w:vAlign w:val="top"/>
          </w:tcPr>
          <w:p>
            <w:pPr>
              <w:ind w:firstLine="600"/>
              <w:rPr>
                <w:rFonts w:ascii="宋体" w:hAnsi="宋体" w:cs="宋体"/>
                <w:color w:val="auto"/>
                <w:sz w:val="30"/>
                <w:szCs w:val="30"/>
              </w:rPr>
            </w:pPr>
          </w:p>
        </w:tc>
        <w:tc>
          <w:tcPr>
            <w:tcW w:w="880" w:type="dxa"/>
            <w:vAlign w:val="top"/>
          </w:tcPr>
          <w:p>
            <w:pPr>
              <w:ind w:firstLine="600"/>
              <w:rPr>
                <w:rFonts w:ascii="宋体" w:hAnsi="宋体" w:cs="宋体"/>
                <w:color w:val="auto"/>
                <w:sz w:val="30"/>
                <w:szCs w:val="30"/>
              </w:rPr>
            </w:pPr>
          </w:p>
        </w:tc>
        <w:tc>
          <w:tcPr>
            <w:tcW w:w="1020" w:type="dxa"/>
            <w:vAlign w:val="top"/>
          </w:tcPr>
          <w:p>
            <w:pPr>
              <w:ind w:firstLine="600"/>
              <w:rPr>
                <w:rFonts w:ascii="宋体" w:hAnsi="宋体" w:cs="宋体"/>
                <w:color w:val="auto"/>
                <w:sz w:val="30"/>
                <w:szCs w:val="30"/>
              </w:rPr>
            </w:pPr>
          </w:p>
        </w:tc>
        <w:tc>
          <w:tcPr>
            <w:tcW w:w="1480" w:type="dxa"/>
            <w:vAlign w:val="top"/>
          </w:tcPr>
          <w:p>
            <w:pPr>
              <w:ind w:firstLine="600"/>
              <w:rPr>
                <w:rFonts w:ascii="宋体" w:hAnsi="宋体" w:cs="宋体"/>
                <w:color w:val="auto"/>
                <w:sz w:val="30"/>
                <w:szCs w:val="30"/>
              </w:rPr>
            </w:pPr>
          </w:p>
        </w:tc>
        <w:tc>
          <w:tcPr>
            <w:tcW w:w="1020" w:type="dxa"/>
            <w:vAlign w:val="top"/>
          </w:tcPr>
          <w:p>
            <w:pPr>
              <w:ind w:firstLine="600"/>
              <w:rPr>
                <w:rFonts w:ascii="宋体" w:hAnsi="宋体" w:cs="宋体"/>
                <w:color w:val="auto"/>
                <w:sz w:val="30"/>
                <w:szCs w:val="30"/>
              </w:rPr>
            </w:pPr>
          </w:p>
        </w:tc>
        <w:tc>
          <w:tcPr>
            <w:tcW w:w="921" w:type="dxa"/>
            <w:vAlign w:val="top"/>
          </w:tcPr>
          <w:p>
            <w:pPr>
              <w:ind w:firstLine="600"/>
              <w:rPr>
                <w:rFonts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top"/>
          </w:tcPr>
          <w:p>
            <w:pPr>
              <w:ind w:firstLine="600"/>
              <w:rPr>
                <w:rFonts w:ascii="宋体" w:hAnsi="宋体" w:cs="宋体"/>
                <w:color w:val="auto"/>
                <w:sz w:val="30"/>
                <w:szCs w:val="30"/>
              </w:rPr>
            </w:pPr>
          </w:p>
        </w:tc>
        <w:tc>
          <w:tcPr>
            <w:tcW w:w="1418" w:type="dxa"/>
            <w:vAlign w:val="top"/>
          </w:tcPr>
          <w:p>
            <w:pPr>
              <w:ind w:firstLine="600"/>
              <w:rPr>
                <w:rFonts w:ascii="宋体" w:hAnsi="宋体" w:cs="宋体"/>
                <w:color w:val="auto"/>
                <w:sz w:val="30"/>
                <w:szCs w:val="30"/>
              </w:rPr>
            </w:pPr>
          </w:p>
        </w:tc>
        <w:tc>
          <w:tcPr>
            <w:tcW w:w="850" w:type="dxa"/>
            <w:vAlign w:val="top"/>
          </w:tcPr>
          <w:p>
            <w:pPr>
              <w:ind w:firstLine="600"/>
              <w:rPr>
                <w:rFonts w:ascii="宋体" w:hAnsi="宋体" w:cs="宋体"/>
                <w:color w:val="auto"/>
                <w:sz w:val="30"/>
                <w:szCs w:val="30"/>
              </w:rPr>
            </w:pPr>
          </w:p>
        </w:tc>
        <w:tc>
          <w:tcPr>
            <w:tcW w:w="1058" w:type="dxa"/>
            <w:vAlign w:val="top"/>
          </w:tcPr>
          <w:p>
            <w:pPr>
              <w:ind w:firstLine="600"/>
              <w:rPr>
                <w:rFonts w:ascii="宋体" w:hAnsi="宋体" w:cs="宋体"/>
                <w:color w:val="auto"/>
                <w:sz w:val="30"/>
                <w:szCs w:val="30"/>
              </w:rPr>
            </w:pPr>
          </w:p>
        </w:tc>
        <w:tc>
          <w:tcPr>
            <w:tcW w:w="880" w:type="dxa"/>
            <w:vAlign w:val="top"/>
          </w:tcPr>
          <w:p>
            <w:pPr>
              <w:ind w:firstLine="600"/>
              <w:rPr>
                <w:rFonts w:ascii="宋体" w:hAnsi="宋体" w:cs="宋体"/>
                <w:color w:val="auto"/>
                <w:sz w:val="30"/>
                <w:szCs w:val="30"/>
              </w:rPr>
            </w:pPr>
          </w:p>
        </w:tc>
        <w:tc>
          <w:tcPr>
            <w:tcW w:w="1020" w:type="dxa"/>
            <w:vAlign w:val="top"/>
          </w:tcPr>
          <w:p>
            <w:pPr>
              <w:ind w:firstLine="600"/>
              <w:rPr>
                <w:rFonts w:ascii="宋体" w:hAnsi="宋体" w:cs="宋体"/>
                <w:color w:val="auto"/>
                <w:sz w:val="30"/>
                <w:szCs w:val="30"/>
              </w:rPr>
            </w:pPr>
          </w:p>
        </w:tc>
        <w:tc>
          <w:tcPr>
            <w:tcW w:w="1480" w:type="dxa"/>
            <w:vAlign w:val="top"/>
          </w:tcPr>
          <w:p>
            <w:pPr>
              <w:ind w:firstLine="600"/>
              <w:rPr>
                <w:rFonts w:ascii="宋体" w:hAnsi="宋体" w:cs="宋体"/>
                <w:color w:val="auto"/>
                <w:sz w:val="30"/>
                <w:szCs w:val="30"/>
              </w:rPr>
            </w:pPr>
          </w:p>
        </w:tc>
        <w:tc>
          <w:tcPr>
            <w:tcW w:w="1020" w:type="dxa"/>
            <w:vAlign w:val="top"/>
          </w:tcPr>
          <w:p>
            <w:pPr>
              <w:ind w:firstLine="600"/>
              <w:rPr>
                <w:rFonts w:ascii="宋体" w:hAnsi="宋体" w:cs="宋体"/>
                <w:color w:val="auto"/>
                <w:sz w:val="30"/>
                <w:szCs w:val="30"/>
              </w:rPr>
            </w:pPr>
          </w:p>
        </w:tc>
        <w:tc>
          <w:tcPr>
            <w:tcW w:w="921" w:type="dxa"/>
            <w:vAlign w:val="top"/>
          </w:tcPr>
          <w:p>
            <w:pPr>
              <w:ind w:firstLine="600"/>
              <w:rPr>
                <w:rFonts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top"/>
          </w:tcPr>
          <w:p>
            <w:pPr>
              <w:ind w:firstLine="600"/>
              <w:rPr>
                <w:rFonts w:ascii="宋体" w:hAnsi="宋体" w:cs="宋体"/>
                <w:color w:val="auto"/>
                <w:sz w:val="30"/>
                <w:szCs w:val="30"/>
              </w:rPr>
            </w:pPr>
          </w:p>
        </w:tc>
        <w:tc>
          <w:tcPr>
            <w:tcW w:w="1418" w:type="dxa"/>
            <w:vAlign w:val="top"/>
          </w:tcPr>
          <w:p>
            <w:pPr>
              <w:ind w:firstLine="600"/>
              <w:rPr>
                <w:rFonts w:ascii="宋体" w:hAnsi="宋体" w:cs="宋体"/>
                <w:color w:val="auto"/>
                <w:sz w:val="30"/>
                <w:szCs w:val="30"/>
              </w:rPr>
            </w:pPr>
          </w:p>
        </w:tc>
        <w:tc>
          <w:tcPr>
            <w:tcW w:w="850" w:type="dxa"/>
            <w:vAlign w:val="top"/>
          </w:tcPr>
          <w:p>
            <w:pPr>
              <w:ind w:firstLine="600"/>
              <w:rPr>
                <w:rFonts w:ascii="宋体" w:hAnsi="宋体" w:cs="宋体"/>
                <w:color w:val="auto"/>
                <w:sz w:val="30"/>
                <w:szCs w:val="30"/>
              </w:rPr>
            </w:pPr>
          </w:p>
        </w:tc>
        <w:tc>
          <w:tcPr>
            <w:tcW w:w="1058" w:type="dxa"/>
            <w:vAlign w:val="top"/>
          </w:tcPr>
          <w:p>
            <w:pPr>
              <w:ind w:firstLine="600"/>
              <w:rPr>
                <w:rFonts w:ascii="宋体" w:hAnsi="宋体" w:cs="宋体"/>
                <w:color w:val="auto"/>
                <w:sz w:val="30"/>
                <w:szCs w:val="30"/>
              </w:rPr>
            </w:pPr>
          </w:p>
        </w:tc>
        <w:tc>
          <w:tcPr>
            <w:tcW w:w="880" w:type="dxa"/>
            <w:vAlign w:val="top"/>
          </w:tcPr>
          <w:p>
            <w:pPr>
              <w:ind w:firstLine="600"/>
              <w:rPr>
                <w:rFonts w:ascii="宋体" w:hAnsi="宋体" w:cs="宋体"/>
                <w:color w:val="auto"/>
                <w:sz w:val="30"/>
                <w:szCs w:val="30"/>
              </w:rPr>
            </w:pPr>
          </w:p>
        </w:tc>
        <w:tc>
          <w:tcPr>
            <w:tcW w:w="1020" w:type="dxa"/>
            <w:vAlign w:val="top"/>
          </w:tcPr>
          <w:p>
            <w:pPr>
              <w:ind w:firstLine="600"/>
              <w:rPr>
                <w:rFonts w:ascii="宋体" w:hAnsi="宋体" w:cs="宋体"/>
                <w:color w:val="auto"/>
                <w:sz w:val="30"/>
                <w:szCs w:val="30"/>
              </w:rPr>
            </w:pPr>
          </w:p>
        </w:tc>
        <w:tc>
          <w:tcPr>
            <w:tcW w:w="1480" w:type="dxa"/>
            <w:vAlign w:val="top"/>
          </w:tcPr>
          <w:p>
            <w:pPr>
              <w:ind w:firstLine="600"/>
              <w:rPr>
                <w:rFonts w:ascii="宋体" w:hAnsi="宋体" w:cs="宋体"/>
                <w:color w:val="auto"/>
                <w:sz w:val="30"/>
                <w:szCs w:val="30"/>
              </w:rPr>
            </w:pPr>
          </w:p>
        </w:tc>
        <w:tc>
          <w:tcPr>
            <w:tcW w:w="1020" w:type="dxa"/>
            <w:vAlign w:val="top"/>
          </w:tcPr>
          <w:p>
            <w:pPr>
              <w:ind w:firstLine="600"/>
              <w:rPr>
                <w:rFonts w:ascii="宋体" w:hAnsi="宋体" w:cs="宋体"/>
                <w:color w:val="auto"/>
                <w:sz w:val="30"/>
                <w:szCs w:val="30"/>
              </w:rPr>
            </w:pPr>
          </w:p>
        </w:tc>
        <w:tc>
          <w:tcPr>
            <w:tcW w:w="921" w:type="dxa"/>
            <w:vAlign w:val="top"/>
          </w:tcPr>
          <w:p>
            <w:pPr>
              <w:ind w:firstLine="600"/>
              <w:rPr>
                <w:rFonts w:ascii="宋体" w:hAnsi="宋体" w:cs="宋体"/>
                <w:color w:val="auto"/>
                <w:sz w:val="30"/>
                <w:szCs w:val="30"/>
              </w:rPr>
            </w:pPr>
          </w:p>
        </w:tc>
      </w:tr>
    </w:tbl>
    <w:p>
      <w:pPr>
        <w:spacing w:line="440" w:lineRule="exact"/>
        <w:rPr>
          <w:rFonts w:ascii="宋体" w:hAnsi="宋体" w:cs="宋体"/>
          <w:color w:val="auto"/>
          <w:sz w:val="30"/>
          <w:szCs w:val="30"/>
        </w:rPr>
        <w:sectPr>
          <w:pgSz w:w="11906" w:h="16838"/>
          <w:pgMar w:top="1417" w:right="850" w:bottom="1417" w:left="1134" w:header="851" w:footer="992" w:gutter="0"/>
          <w:cols w:space="720" w:num="1"/>
          <w:titlePg/>
          <w:docGrid w:linePitch="360" w:charSpace="0"/>
        </w:sectPr>
      </w:pPr>
    </w:p>
    <w:p>
      <w:pPr>
        <w:spacing w:line="440" w:lineRule="exact"/>
        <w:rPr>
          <w:rFonts w:ascii="宋体" w:hAnsi="宋体" w:cs="宋体"/>
          <w:color w:val="auto"/>
          <w:sz w:val="30"/>
          <w:szCs w:val="30"/>
        </w:rPr>
      </w:pPr>
      <w:r>
        <w:rPr>
          <w:rFonts w:hint="eastAsia" w:ascii="宋体" w:hAnsi="宋体" w:eastAsia="宋体" w:cs="宋体"/>
          <w:color w:val="auto"/>
          <w:sz w:val="30"/>
          <w:szCs w:val="30"/>
        </w:rPr>
        <w:t>附</w:t>
      </w:r>
      <w:bookmarkStart w:id="283" w:name="_Toc296346729"/>
      <w:bookmarkStart w:id="284" w:name="_Toc296347227"/>
      <w:bookmarkStart w:id="285" w:name="_Toc296891268"/>
      <w:bookmarkStart w:id="286" w:name="_Toc296891056"/>
      <w:bookmarkStart w:id="287" w:name="_Toc296503228"/>
      <w:bookmarkStart w:id="288" w:name="_Toc267261699"/>
      <w:bookmarkStart w:id="289" w:name="_Toc296944567"/>
      <w:r>
        <w:rPr>
          <w:rFonts w:hint="eastAsia" w:ascii="宋体" w:hAnsi="宋体" w:eastAsia="宋体" w:cs="宋体"/>
          <w:color w:val="auto"/>
          <w:sz w:val="30"/>
          <w:szCs w:val="30"/>
        </w:rPr>
        <w:t>件6：</w:t>
      </w:r>
      <w:bookmarkEnd w:id="283"/>
      <w:bookmarkEnd w:id="284"/>
      <w:bookmarkEnd w:id="285"/>
      <w:bookmarkEnd w:id="286"/>
      <w:bookmarkEnd w:id="287"/>
      <w:bookmarkEnd w:id="288"/>
      <w:bookmarkEnd w:id="289"/>
    </w:p>
    <w:p>
      <w:pPr>
        <w:spacing w:before="120" w:after="120" w:line="440" w:lineRule="exact"/>
        <w:ind w:firstLine="600"/>
        <w:jc w:val="center"/>
        <w:rPr>
          <w:rFonts w:ascii="宋体" w:hAnsi="宋体" w:cs="宋体"/>
          <w:color w:val="auto"/>
          <w:sz w:val="30"/>
          <w:szCs w:val="30"/>
        </w:rPr>
      </w:pPr>
      <w:r>
        <w:rPr>
          <w:rFonts w:hint="eastAsia" w:ascii="宋体" w:hAnsi="宋体" w:eastAsia="宋体" w:cs="宋体"/>
          <w:color w:val="auto"/>
          <w:sz w:val="30"/>
          <w:szCs w:val="30"/>
        </w:rPr>
        <w:t>承包人主要施工管理人员表</w:t>
      </w:r>
    </w:p>
    <w:tbl>
      <w:tblPr>
        <w:tblStyle w:val="62"/>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12" w:space="0"/>
              <w:bottom w:val="single" w:color="auto" w:sz="6" w:space="0"/>
            </w:tcBorders>
            <w:vAlign w:val="center"/>
          </w:tcPr>
          <w:p>
            <w:pPr>
              <w:keepNext/>
              <w:widowControl w:val="0"/>
              <w:spacing w:line="440" w:lineRule="exact"/>
              <w:ind w:left="63" w:right="63"/>
              <w:jc w:val="both"/>
              <w:rPr>
                <w:rFonts w:ascii="宋体" w:hAnsi="宋体" w:cs="宋体"/>
                <w:color w:val="auto"/>
                <w:sz w:val="28"/>
                <w:szCs w:val="30"/>
              </w:rPr>
            </w:pPr>
            <w:r>
              <w:rPr>
                <w:rFonts w:hint="eastAsia" w:ascii="宋体" w:hAnsi="宋体" w:cs="宋体"/>
                <w:color w:val="auto"/>
                <w:sz w:val="28"/>
                <w:szCs w:val="30"/>
              </w:rPr>
              <w:t>名    称</w:t>
            </w:r>
          </w:p>
        </w:tc>
        <w:tc>
          <w:tcPr>
            <w:tcW w:w="1418" w:type="dxa"/>
            <w:tcBorders>
              <w:top w:val="single" w:color="auto" w:sz="12" w:space="0"/>
              <w:bottom w:val="single" w:color="auto" w:sz="6" w:space="0"/>
            </w:tcBorders>
            <w:vAlign w:val="center"/>
          </w:tcPr>
          <w:p>
            <w:pPr>
              <w:keepNext/>
              <w:widowControl w:val="0"/>
              <w:spacing w:line="440" w:lineRule="exact"/>
              <w:ind w:left="63" w:right="63"/>
              <w:jc w:val="both"/>
              <w:rPr>
                <w:rFonts w:ascii="宋体" w:hAnsi="宋体" w:cs="宋体"/>
                <w:color w:val="auto"/>
                <w:sz w:val="28"/>
                <w:szCs w:val="30"/>
              </w:rPr>
            </w:pPr>
            <w:r>
              <w:rPr>
                <w:rFonts w:hint="eastAsia" w:ascii="宋体" w:hAnsi="宋体" w:cs="宋体"/>
                <w:color w:val="auto"/>
                <w:sz w:val="28"/>
                <w:szCs w:val="30"/>
              </w:rPr>
              <w:t>姓名</w:t>
            </w:r>
          </w:p>
        </w:tc>
        <w:tc>
          <w:tcPr>
            <w:tcW w:w="1134" w:type="dxa"/>
            <w:tcBorders>
              <w:top w:val="single" w:color="auto" w:sz="12" w:space="0"/>
              <w:bottom w:val="single" w:color="auto" w:sz="6" w:space="0"/>
            </w:tcBorders>
            <w:vAlign w:val="center"/>
          </w:tcPr>
          <w:p>
            <w:pPr>
              <w:keepNext/>
              <w:widowControl w:val="0"/>
              <w:spacing w:line="440" w:lineRule="exact"/>
              <w:ind w:left="63" w:right="63"/>
              <w:jc w:val="both"/>
              <w:rPr>
                <w:rFonts w:ascii="宋体" w:hAnsi="宋体" w:cs="宋体"/>
                <w:color w:val="auto"/>
                <w:sz w:val="28"/>
                <w:szCs w:val="30"/>
              </w:rPr>
            </w:pPr>
            <w:r>
              <w:rPr>
                <w:rFonts w:hint="eastAsia" w:ascii="宋体" w:hAnsi="宋体" w:cs="宋体"/>
                <w:color w:val="auto"/>
                <w:sz w:val="28"/>
                <w:szCs w:val="30"/>
              </w:rPr>
              <w:t>职务</w:t>
            </w:r>
          </w:p>
        </w:tc>
        <w:tc>
          <w:tcPr>
            <w:tcW w:w="1134" w:type="dxa"/>
            <w:tcBorders>
              <w:top w:val="single" w:color="auto" w:sz="12" w:space="0"/>
              <w:bottom w:val="single" w:color="auto" w:sz="6" w:space="0"/>
            </w:tcBorders>
            <w:vAlign w:val="center"/>
          </w:tcPr>
          <w:p>
            <w:pPr>
              <w:keepNext/>
              <w:widowControl w:val="0"/>
              <w:spacing w:line="440" w:lineRule="exact"/>
              <w:ind w:left="63" w:right="63"/>
              <w:jc w:val="both"/>
              <w:rPr>
                <w:rFonts w:ascii="宋体" w:hAnsi="宋体" w:cs="宋体"/>
                <w:color w:val="auto"/>
                <w:sz w:val="28"/>
                <w:szCs w:val="30"/>
              </w:rPr>
            </w:pPr>
            <w:r>
              <w:rPr>
                <w:rFonts w:hint="eastAsia" w:ascii="宋体" w:hAnsi="宋体" w:cs="宋体"/>
                <w:color w:val="auto"/>
                <w:sz w:val="28"/>
                <w:szCs w:val="30"/>
              </w:rPr>
              <w:t>职称</w:t>
            </w:r>
          </w:p>
        </w:tc>
        <w:tc>
          <w:tcPr>
            <w:tcW w:w="4252" w:type="dxa"/>
            <w:tcBorders>
              <w:top w:val="single" w:color="auto" w:sz="12" w:space="0"/>
              <w:bottom w:val="single" w:color="auto" w:sz="6" w:space="0"/>
            </w:tcBorders>
            <w:vAlign w:val="center"/>
          </w:tcPr>
          <w:p>
            <w:pPr>
              <w:keepNext/>
              <w:widowControl w:val="0"/>
              <w:spacing w:line="440" w:lineRule="exact"/>
              <w:ind w:left="63" w:right="63"/>
              <w:jc w:val="both"/>
              <w:rPr>
                <w:rFonts w:ascii="宋体" w:hAnsi="宋体" w:cs="宋体"/>
                <w:color w:val="auto"/>
                <w:sz w:val="28"/>
                <w:szCs w:val="30"/>
              </w:rPr>
            </w:pPr>
            <w:r>
              <w:rPr>
                <w:rFonts w:hint="eastAsia" w:ascii="宋体" w:hAnsi="宋体" w:cs="宋体"/>
                <w:color w:val="auto"/>
                <w:sz w:val="28"/>
                <w:szCs w:val="30"/>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keepNext/>
              <w:widowControl w:val="0"/>
              <w:spacing w:line="440" w:lineRule="exact"/>
              <w:ind w:left="63" w:right="63"/>
              <w:jc w:val="both"/>
              <w:rPr>
                <w:rFonts w:ascii="宋体" w:hAnsi="宋体" w:cs="宋体"/>
                <w:color w:val="auto"/>
                <w:sz w:val="28"/>
                <w:szCs w:val="30"/>
              </w:rPr>
            </w:pPr>
            <w:r>
              <w:rPr>
                <w:rFonts w:hint="eastAsia" w:ascii="宋体" w:hAnsi="宋体" w:cs="宋体"/>
                <w:color w:val="auto"/>
                <w:sz w:val="28"/>
                <w:szCs w:val="30"/>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keepNext/>
              <w:widowControl w:val="0"/>
              <w:spacing w:line="440" w:lineRule="exact"/>
              <w:ind w:left="63" w:right="63"/>
              <w:jc w:val="both"/>
              <w:rPr>
                <w:rFonts w:ascii="宋体" w:hAnsi="宋体" w:cs="宋体"/>
                <w:color w:val="auto"/>
                <w:sz w:val="28"/>
                <w:szCs w:val="30"/>
              </w:rPr>
            </w:pPr>
            <w:r>
              <w:rPr>
                <w:rFonts w:hint="eastAsia" w:ascii="宋体" w:hAnsi="宋体" w:cs="宋体"/>
                <w:color w:val="auto"/>
                <w:sz w:val="28"/>
                <w:szCs w:val="30"/>
              </w:rPr>
              <w:t>项目主管</w:t>
            </w:r>
          </w:p>
        </w:tc>
        <w:tc>
          <w:tcPr>
            <w:tcW w:w="1418" w:type="dxa"/>
            <w:tcBorders>
              <w:top w:val="nil"/>
            </w:tcBorders>
            <w:vAlign w:val="center"/>
          </w:tcPr>
          <w:p>
            <w:pPr>
              <w:keepNext/>
              <w:widowControl w:val="0"/>
              <w:spacing w:line="440" w:lineRule="exact"/>
              <w:ind w:left="63" w:right="63" w:firstLine="560"/>
              <w:jc w:val="both"/>
              <w:rPr>
                <w:rFonts w:ascii="宋体" w:hAnsi="宋体" w:cs="宋体"/>
                <w:color w:val="auto"/>
                <w:sz w:val="28"/>
                <w:szCs w:val="30"/>
              </w:rPr>
            </w:pPr>
          </w:p>
        </w:tc>
        <w:tc>
          <w:tcPr>
            <w:tcW w:w="1134" w:type="dxa"/>
            <w:tcBorders>
              <w:top w:val="nil"/>
            </w:tcBorders>
            <w:vAlign w:val="center"/>
          </w:tcPr>
          <w:p>
            <w:pPr>
              <w:keepNext/>
              <w:widowControl w:val="0"/>
              <w:spacing w:line="440" w:lineRule="exact"/>
              <w:ind w:left="63" w:right="63" w:firstLine="600"/>
              <w:jc w:val="both"/>
              <w:rPr>
                <w:rFonts w:ascii="宋体" w:hAnsi="宋体" w:cs="宋体"/>
                <w:color w:val="auto"/>
                <w:sz w:val="28"/>
                <w:szCs w:val="30"/>
              </w:rPr>
            </w:pPr>
          </w:p>
        </w:tc>
        <w:tc>
          <w:tcPr>
            <w:tcW w:w="1134" w:type="dxa"/>
            <w:tcBorders>
              <w:top w:val="nil"/>
            </w:tcBorders>
            <w:vAlign w:val="center"/>
          </w:tcPr>
          <w:p>
            <w:pPr>
              <w:keepNext/>
              <w:widowControl w:val="0"/>
              <w:spacing w:line="440" w:lineRule="exact"/>
              <w:ind w:left="63" w:right="63" w:firstLine="600"/>
              <w:jc w:val="both"/>
              <w:rPr>
                <w:rFonts w:ascii="宋体" w:hAnsi="宋体" w:cs="宋体"/>
                <w:color w:val="auto"/>
                <w:sz w:val="28"/>
                <w:szCs w:val="30"/>
              </w:rPr>
            </w:pPr>
          </w:p>
        </w:tc>
        <w:tc>
          <w:tcPr>
            <w:tcW w:w="4252" w:type="dxa"/>
            <w:tcBorders>
              <w:top w:val="nil"/>
            </w:tcBorders>
            <w:vAlign w:val="center"/>
          </w:tcPr>
          <w:p>
            <w:pPr>
              <w:keepNext/>
              <w:widowControl w:val="0"/>
              <w:spacing w:line="440" w:lineRule="exact"/>
              <w:ind w:left="63" w:right="63" w:firstLine="600"/>
              <w:jc w:val="both"/>
              <w:rPr>
                <w:rFonts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keepNext/>
              <w:widowControl w:val="0"/>
              <w:spacing w:line="440" w:lineRule="exact"/>
              <w:ind w:left="63" w:right="63" w:firstLine="560"/>
              <w:jc w:val="both"/>
              <w:rPr>
                <w:rFonts w:ascii="宋体" w:hAnsi="宋体" w:cs="宋体"/>
                <w:color w:val="auto"/>
                <w:sz w:val="28"/>
                <w:szCs w:val="30"/>
              </w:rPr>
            </w:pPr>
          </w:p>
        </w:tc>
        <w:tc>
          <w:tcPr>
            <w:tcW w:w="1418" w:type="dxa"/>
            <w:vAlign w:val="center"/>
          </w:tcPr>
          <w:p>
            <w:pPr>
              <w:keepNext/>
              <w:widowControl w:val="0"/>
              <w:spacing w:line="440" w:lineRule="exact"/>
              <w:ind w:left="63" w:right="63" w:firstLine="560"/>
              <w:jc w:val="both"/>
              <w:rPr>
                <w:rFonts w:ascii="宋体" w:hAnsi="宋体" w:cs="宋体"/>
                <w:color w:val="auto"/>
                <w:sz w:val="28"/>
                <w:szCs w:val="30"/>
              </w:rPr>
            </w:pPr>
          </w:p>
        </w:tc>
        <w:tc>
          <w:tcPr>
            <w:tcW w:w="1134" w:type="dxa"/>
            <w:vAlign w:val="center"/>
          </w:tcPr>
          <w:p>
            <w:pPr>
              <w:keepNext/>
              <w:widowControl w:val="0"/>
              <w:spacing w:line="440" w:lineRule="exact"/>
              <w:ind w:left="63" w:right="63" w:firstLine="600"/>
              <w:jc w:val="both"/>
              <w:rPr>
                <w:rFonts w:ascii="宋体" w:hAnsi="宋体" w:cs="宋体"/>
                <w:color w:val="auto"/>
                <w:sz w:val="28"/>
                <w:szCs w:val="30"/>
              </w:rPr>
            </w:pPr>
          </w:p>
        </w:tc>
        <w:tc>
          <w:tcPr>
            <w:tcW w:w="1134" w:type="dxa"/>
            <w:vAlign w:val="center"/>
          </w:tcPr>
          <w:p>
            <w:pPr>
              <w:keepNext/>
              <w:widowControl w:val="0"/>
              <w:spacing w:line="440" w:lineRule="exact"/>
              <w:ind w:left="63" w:right="63" w:firstLine="600"/>
              <w:jc w:val="both"/>
              <w:rPr>
                <w:rFonts w:ascii="宋体" w:hAnsi="宋体" w:cs="宋体"/>
                <w:color w:val="auto"/>
                <w:sz w:val="28"/>
                <w:szCs w:val="30"/>
              </w:rPr>
            </w:pPr>
          </w:p>
        </w:tc>
        <w:tc>
          <w:tcPr>
            <w:tcW w:w="4252" w:type="dxa"/>
            <w:vAlign w:val="center"/>
          </w:tcPr>
          <w:p>
            <w:pPr>
              <w:keepNext/>
              <w:widowControl w:val="0"/>
              <w:spacing w:line="440" w:lineRule="exact"/>
              <w:ind w:left="63" w:right="63" w:firstLine="600"/>
              <w:jc w:val="both"/>
              <w:rPr>
                <w:rFonts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keepNext/>
              <w:widowControl w:val="0"/>
              <w:spacing w:line="440" w:lineRule="exact"/>
              <w:ind w:left="63" w:right="63"/>
              <w:jc w:val="both"/>
              <w:rPr>
                <w:rFonts w:ascii="宋体" w:hAnsi="宋体" w:cs="宋体"/>
                <w:color w:val="auto"/>
                <w:sz w:val="28"/>
                <w:szCs w:val="30"/>
              </w:rPr>
            </w:pPr>
            <w:r>
              <w:rPr>
                <w:rFonts w:hint="eastAsia" w:ascii="宋体" w:hAnsi="宋体" w:cs="宋体"/>
                <w:color w:val="auto"/>
                <w:sz w:val="28"/>
                <w:szCs w:val="30"/>
              </w:rPr>
              <w:t>其他人员</w:t>
            </w:r>
          </w:p>
        </w:tc>
        <w:tc>
          <w:tcPr>
            <w:tcW w:w="1418" w:type="dxa"/>
            <w:vAlign w:val="center"/>
          </w:tcPr>
          <w:p>
            <w:pPr>
              <w:keepNext/>
              <w:widowControl w:val="0"/>
              <w:spacing w:line="440" w:lineRule="exact"/>
              <w:ind w:left="63" w:right="63" w:firstLine="560"/>
              <w:jc w:val="both"/>
              <w:rPr>
                <w:rFonts w:ascii="宋体" w:hAnsi="宋体" w:cs="宋体"/>
                <w:color w:val="auto"/>
                <w:sz w:val="28"/>
                <w:szCs w:val="30"/>
              </w:rPr>
            </w:pPr>
          </w:p>
        </w:tc>
        <w:tc>
          <w:tcPr>
            <w:tcW w:w="1134" w:type="dxa"/>
            <w:vAlign w:val="center"/>
          </w:tcPr>
          <w:p>
            <w:pPr>
              <w:keepNext/>
              <w:widowControl w:val="0"/>
              <w:spacing w:line="440" w:lineRule="exact"/>
              <w:ind w:left="63" w:right="63" w:firstLine="600"/>
              <w:jc w:val="both"/>
              <w:rPr>
                <w:rFonts w:ascii="宋体" w:hAnsi="宋体" w:cs="宋体"/>
                <w:color w:val="auto"/>
                <w:sz w:val="28"/>
                <w:szCs w:val="30"/>
              </w:rPr>
            </w:pPr>
          </w:p>
        </w:tc>
        <w:tc>
          <w:tcPr>
            <w:tcW w:w="1134" w:type="dxa"/>
            <w:vAlign w:val="center"/>
          </w:tcPr>
          <w:p>
            <w:pPr>
              <w:keepNext/>
              <w:widowControl w:val="0"/>
              <w:spacing w:line="440" w:lineRule="exact"/>
              <w:ind w:left="63" w:right="63" w:firstLine="600"/>
              <w:jc w:val="both"/>
              <w:rPr>
                <w:rFonts w:ascii="宋体" w:hAnsi="宋体" w:cs="宋体"/>
                <w:color w:val="auto"/>
                <w:sz w:val="28"/>
                <w:szCs w:val="30"/>
              </w:rPr>
            </w:pPr>
          </w:p>
        </w:tc>
        <w:tc>
          <w:tcPr>
            <w:tcW w:w="4252" w:type="dxa"/>
            <w:vAlign w:val="center"/>
          </w:tcPr>
          <w:p>
            <w:pPr>
              <w:keepNext/>
              <w:widowControl w:val="0"/>
              <w:spacing w:line="440" w:lineRule="exact"/>
              <w:ind w:left="63" w:right="63" w:firstLine="600"/>
              <w:jc w:val="both"/>
              <w:rPr>
                <w:rFonts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keepNext/>
              <w:widowControl w:val="0"/>
              <w:spacing w:line="440" w:lineRule="exact"/>
              <w:ind w:left="63" w:right="63" w:firstLine="560"/>
              <w:jc w:val="both"/>
              <w:rPr>
                <w:rFonts w:ascii="宋体" w:hAnsi="宋体" w:cs="宋体"/>
                <w:color w:val="auto"/>
                <w:sz w:val="28"/>
                <w:szCs w:val="30"/>
              </w:rPr>
            </w:pPr>
          </w:p>
        </w:tc>
        <w:tc>
          <w:tcPr>
            <w:tcW w:w="1418" w:type="dxa"/>
            <w:vAlign w:val="center"/>
          </w:tcPr>
          <w:p>
            <w:pPr>
              <w:keepNext/>
              <w:widowControl w:val="0"/>
              <w:spacing w:line="440" w:lineRule="exact"/>
              <w:ind w:left="63" w:right="63" w:firstLine="560"/>
              <w:jc w:val="both"/>
              <w:rPr>
                <w:rFonts w:ascii="宋体" w:hAnsi="宋体" w:cs="宋体"/>
                <w:color w:val="auto"/>
                <w:sz w:val="28"/>
                <w:szCs w:val="30"/>
              </w:rPr>
            </w:pPr>
          </w:p>
        </w:tc>
        <w:tc>
          <w:tcPr>
            <w:tcW w:w="1134" w:type="dxa"/>
            <w:vAlign w:val="center"/>
          </w:tcPr>
          <w:p>
            <w:pPr>
              <w:keepNext/>
              <w:widowControl w:val="0"/>
              <w:spacing w:line="440" w:lineRule="exact"/>
              <w:ind w:left="63" w:right="63" w:firstLine="600"/>
              <w:jc w:val="both"/>
              <w:rPr>
                <w:rFonts w:ascii="宋体" w:hAnsi="宋体" w:cs="宋体"/>
                <w:color w:val="auto"/>
                <w:sz w:val="28"/>
                <w:szCs w:val="30"/>
              </w:rPr>
            </w:pPr>
          </w:p>
        </w:tc>
        <w:tc>
          <w:tcPr>
            <w:tcW w:w="1134" w:type="dxa"/>
            <w:vAlign w:val="center"/>
          </w:tcPr>
          <w:p>
            <w:pPr>
              <w:keepNext/>
              <w:widowControl w:val="0"/>
              <w:spacing w:line="440" w:lineRule="exact"/>
              <w:ind w:left="63" w:right="63" w:firstLine="600"/>
              <w:jc w:val="both"/>
              <w:rPr>
                <w:rFonts w:ascii="宋体" w:hAnsi="宋体" w:cs="宋体"/>
                <w:color w:val="auto"/>
                <w:sz w:val="28"/>
                <w:szCs w:val="30"/>
              </w:rPr>
            </w:pPr>
          </w:p>
        </w:tc>
        <w:tc>
          <w:tcPr>
            <w:tcW w:w="4252" w:type="dxa"/>
            <w:vAlign w:val="center"/>
          </w:tcPr>
          <w:p>
            <w:pPr>
              <w:keepNext/>
              <w:widowControl w:val="0"/>
              <w:spacing w:line="440" w:lineRule="exact"/>
              <w:ind w:left="63" w:right="63" w:firstLine="600"/>
              <w:jc w:val="both"/>
              <w:rPr>
                <w:rFonts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keepNext/>
              <w:widowControl w:val="0"/>
              <w:spacing w:line="440" w:lineRule="exact"/>
              <w:ind w:left="63" w:right="63"/>
              <w:jc w:val="both"/>
              <w:rPr>
                <w:rFonts w:ascii="宋体" w:hAnsi="宋体" w:cs="宋体"/>
                <w:color w:val="auto"/>
                <w:sz w:val="28"/>
                <w:szCs w:val="30"/>
              </w:rPr>
            </w:pPr>
            <w:r>
              <w:rPr>
                <w:rFonts w:hint="eastAsia" w:ascii="宋体" w:hAnsi="宋体" w:cs="宋体"/>
                <w:color w:val="auto"/>
                <w:sz w:val="28"/>
                <w:szCs w:val="30"/>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widowControl w:val="0"/>
              <w:spacing w:line="440" w:lineRule="exact"/>
              <w:ind w:left="63" w:right="63"/>
              <w:jc w:val="both"/>
              <w:rPr>
                <w:rFonts w:ascii="宋体" w:hAnsi="宋体" w:cs="宋体"/>
                <w:color w:val="auto"/>
                <w:sz w:val="28"/>
                <w:szCs w:val="30"/>
              </w:rPr>
            </w:pPr>
            <w:r>
              <w:rPr>
                <w:rFonts w:hint="eastAsia" w:ascii="宋体" w:hAnsi="宋体" w:cs="宋体"/>
                <w:color w:val="auto"/>
                <w:sz w:val="28"/>
                <w:szCs w:val="30"/>
              </w:rPr>
              <w:t>项目经理</w:t>
            </w:r>
          </w:p>
        </w:tc>
        <w:tc>
          <w:tcPr>
            <w:tcW w:w="1418" w:type="dxa"/>
            <w:vAlign w:val="center"/>
          </w:tcPr>
          <w:p>
            <w:pPr>
              <w:keepNext/>
              <w:widowControl w:val="0"/>
              <w:spacing w:line="440" w:lineRule="exact"/>
              <w:ind w:left="63" w:right="63" w:firstLine="560"/>
              <w:jc w:val="both"/>
              <w:rPr>
                <w:rFonts w:ascii="宋体" w:hAnsi="宋体" w:cs="宋体"/>
                <w:color w:val="auto"/>
                <w:sz w:val="28"/>
                <w:szCs w:val="30"/>
              </w:rPr>
            </w:pPr>
          </w:p>
        </w:tc>
        <w:tc>
          <w:tcPr>
            <w:tcW w:w="1134" w:type="dxa"/>
            <w:vAlign w:val="center"/>
          </w:tcPr>
          <w:p>
            <w:pPr>
              <w:keepNext/>
              <w:widowControl w:val="0"/>
              <w:spacing w:line="440" w:lineRule="exact"/>
              <w:ind w:left="63" w:right="63" w:firstLine="600"/>
              <w:jc w:val="both"/>
              <w:rPr>
                <w:rFonts w:ascii="宋体" w:hAnsi="宋体" w:cs="宋体"/>
                <w:color w:val="auto"/>
                <w:sz w:val="28"/>
                <w:szCs w:val="30"/>
              </w:rPr>
            </w:pPr>
          </w:p>
        </w:tc>
        <w:tc>
          <w:tcPr>
            <w:tcW w:w="1134" w:type="dxa"/>
            <w:vAlign w:val="center"/>
          </w:tcPr>
          <w:p>
            <w:pPr>
              <w:keepNext/>
              <w:widowControl w:val="0"/>
              <w:spacing w:line="440" w:lineRule="exact"/>
              <w:ind w:left="63" w:right="63" w:firstLine="600"/>
              <w:jc w:val="both"/>
              <w:rPr>
                <w:rFonts w:ascii="宋体" w:hAnsi="宋体" w:cs="宋体"/>
                <w:color w:val="auto"/>
                <w:sz w:val="28"/>
                <w:szCs w:val="30"/>
              </w:rPr>
            </w:pPr>
          </w:p>
        </w:tc>
        <w:tc>
          <w:tcPr>
            <w:tcW w:w="4252" w:type="dxa"/>
            <w:vAlign w:val="center"/>
          </w:tcPr>
          <w:p>
            <w:pPr>
              <w:keepNext/>
              <w:widowControl w:val="0"/>
              <w:spacing w:line="440" w:lineRule="exact"/>
              <w:ind w:left="63" w:right="63" w:firstLine="600"/>
              <w:jc w:val="both"/>
              <w:rPr>
                <w:rFonts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widowControl w:val="0"/>
              <w:spacing w:line="440" w:lineRule="exact"/>
              <w:ind w:left="63" w:right="63"/>
              <w:jc w:val="both"/>
              <w:rPr>
                <w:rFonts w:ascii="宋体" w:hAnsi="宋体" w:cs="宋体"/>
                <w:color w:val="auto"/>
                <w:sz w:val="28"/>
                <w:szCs w:val="30"/>
              </w:rPr>
            </w:pPr>
            <w:r>
              <w:rPr>
                <w:rFonts w:hint="eastAsia" w:ascii="宋体" w:hAnsi="宋体" w:cs="宋体"/>
                <w:color w:val="auto"/>
                <w:sz w:val="28"/>
                <w:szCs w:val="30"/>
              </w:rPr>
              <w:t>项目副经理</w:t>
            </w:r>
          </w:p>
        </w:tc>
        <w:tc>
          <w:tcPr>
            <w:tcW w:w="1418" w:type="dxa"/>
            <w:vAlign w:val="center"/>
          </w:tcPr>
          <w:p>
            <w:pPr>
              <w:keepNext/>
              <w:widowControl w:val="0"/>
              <w:spacing w:line="440" w:lineRule="exact"/>
              <w:ind w:left="63" w:right="63" w:firstLine="560"/>
              <w:jc w:val="both"/>
              <w:rPr>
                <w:rFonts w:ascii="宋体" w:hAnsi="宋体" w:cs="宋体"/>
                <w:color w:val="auto"/>
                <w:sz w:val="28"/>
                <w:szCs w:val="30"/>
              </w:rPr>
            </w:pPr>
          </w:p>
        </w:tc>
        <w:tc>
          <w:tcPr>
            <w:tcW w:w="1134" w:type="dxa"/>
            <w:vAlign w:val="center"/>
          </w:tcPr>
          <w:p>
            <w:pPr>
              <w:keepNext/>
              <w:widowControl w:val="0"/>
              <w:spacing w:line="440" w:lineRule="exact"/>
              <w:ind w:left="63" w:right="63" w:firstLine="600"/>
              <w:jc w:val="both"/>
              <w:rPr>
                <w:rFonts w:ascii="宋体" w:hAnsi="宋体" w:cs="宋体"/>
                <w:color w:val="auto"/>
                <w:sz w:val="28"/>
                <w:szCs w:val="30"/>
              </w:rPr>
            </w:pPr>
          </w:p>
        </w:tc>
        <w:tc>
          <w:tcPr>
            <w:tcW w:w="1134" w:type="dxa"/>
            <w:vAlign w:val="center"/>
          </w:tcPr>
          <w:p>
            <w:pPr>
              <w:keepNext/>
              <w:widowControl w:val="0"/>
              <w:spacing w:line="440" w:lineRule="exact"/>
              <w:ind w:left="63" w:right="63" w:firstLine="600"/>
              <w:jc w:val="both"/>
              <w:rPr>
                <w:rFonts w:ascii="宋体" w:hAnsi="宋体" w:cs="宋体"/>
                <w:color w:val="auto"/>
                <w:sz w:val="28"/>
                <w:szCs w:val="30"/>
              </w:rPr>
            </w:pPr>
          </w:p>
        </w:tc>
        <w:tc>
          <w:tcPr>
            <w:tcW w:w="4252" w:type="dxa"/>
            <w:vAlign w:val="center"/>
          </w:tcPr>
          <w:p>
            <w:pPr>
              <w:keepNext/>
              <w:widowControl w:val="0"/>
              <w:spacing w:line="440" w:lineRule="exact"/>
              <w:ind w:left="63" w:right="63" w:firstLine="600"/>
              <w:jc w:val="both"/>
              <w:rPr>
                <w:rFonts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widowControl w:val="0"/>
              <w:spacing w:line="440" w:lineRule="exact"/>
              <w:ind w:left="63" w:right="63"/>
              <w:jc w:val="both"/>
              <w:rPr>
                <w:rFonts w:ascii="宋体" w:hAnsi="宋体" w:cs="宋体"/>
                <w:color w:val="auto"/>
                <w:sz w:val="28"/>
                <w:szCs w:val="30"/>
              </w:rPr>
            </w:pPr>
            <w:r>
              <w:rPr>
                <w:rFonts w:hint="eastAsia" w:ascii="宋体" w:hAnsi="宋体" w:cs="宋体"/>
                <w:color w:val="auto"/>
                <w:sz w:val="28"/>
                <w:szCs w:val="30"/>
              </w:rPr>
              <w:t>技术负责人</w:t>
            </w:r>
          </w:p>
        </w:tc>
        <w:tc>
          <w:tcPr>
            <w:tcW w:w="1418" w:type="dxa"/>
            <w:vAlign w:val="center"/>
          </w:tcPr>
          <w:p>
            <w:pPr>
              <w:keepNext/>
              <w:widowControl w:val="0"/>
              <w:spacing w:line="440" w:lineRule="exact"/>
              <w:ind w:left="63" w:right="63" w:firstLine="560"/>
              <w:jc w:val="both"/>
              <w:rPr>
                <w:rFonts w:ascii="宋体" w:hAnsi="宋体" w:cs="宋体"/>
                <w:color w:val="auto"/>
                <w:sz w:val="28"/>
                <w:szCs w:val="30"/>
              </w:rPr>
            </w:pPr>
          </w:p>
        </w:tc>
        <w:tc>
          <w:tcPr>
            <w:tcW w:w="1134" w:type="dxa"/>
            <w:vAlign w:val="center"/>
          </w:tcPr>
          <w:p>
            <w:pPr>
              <w:keepNext/>
              <w:widowControl w:val="0"/>
              <w:spacing w:line="440" w:lineRule="exact"/>
              <w:ind w:left="63" w:right="63" w:firstLine="600"/>
              <w:jc w:val="both"/>
              <w:rPr>
                <w:rFonts w:ascii="宋体" w:hAnsi="宋体" w:cs="宋体"/>
                <w:color w:val="auto"/>
                <w:sz w:val="28"/>
                <w:szCs w:val="30"/>
              </w:rPr>
            </w:pPr>
          </w:p>
        </w:tc>
        <w:tc>
          <w:tcPr>
            <w:tcW w:w="1134" w:type="dxa"/>
            <w:vAlign w:val="center"/>
          </w:tcPr>
          <w:p>
            <w:pPr>
              <w:keepNext/>
              <w:widowControl w:val="0"/>
              <w:spacing w:line="440" w:lineRule="exact"/>
              <w:ind w:left="63" w:right="63" w:firstLine="600"/>
              <w:jc w:val="both"/>
              <w:rPr>
                <w:rFonts w:ascii="宋体" w:hAnsi="宋体" w:cs="宋体"/>
                <w:color w:val="auto"/>
                <w:sz w:val="28"/>
                <w:szCs w:val="30"/>
              </w:rPr>
            </w:pPr>
          </w:p>
        </w:tc>
        <w:tc>
          <w:tcPr>
            <w:tcW w:w="4252" w:type="dxa"/>
            <w:vAlign w:val="center"/>
          </w:tcPr>
          <w:p>
            <w:pPr>
              <w:keepNext/>
              <w:widowControl w:val="0"/>
              <w:spacing w:line="440" w:lineRule="exact"/>
              <w:ind w:left="63" w:right="63" w:firstLine="600"/>
              <w:jc w:val="both"/>
              <w:rPr>
                <w:rFonts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widowControl w:val="0"/>
              <w:spacing w:line="440" w:lineRule="exact"/>
              <w:ind w:left="63" w:right="63"/>
              <w:jc w:val="both"/>
              <w:rPr>
                <w:rFonts w:ascii="宋体" w:hAnsi="宋体" w:cs="宋体"/>
                <w:color w:val="auto"/>
                <w:sz w:val="28"/>
                <w:szCs w:val="30"/>
              </w:rPr>
            </w:pPr>
            <w:r>
              <w:rPr>
                <w:rFonts w:hint="eastAsia" w:ascii="宋体" w:hAnsi="宋体" w:cs="宋体"/>
                <w:color w:val="auto"/>
                <w:sz w:val="28"/>
                <w:szCs w:val="30"/>
              </w:rPr>
              <w:t>造价管理</w:t>
            </w:r>
          </w:p>
        </w:tc>
        <w:tc>
          <w:tcPr>
            <w:tcW w:w="1418" w:type="dxa"/>
            <w:vAlign w:val="center"/>
          </w:tcPr>
          <w:p>
            <w:pPr>
              <w:keepNext/>
              <w:widowControl w:val="0"/>
              <w:spacing w:line="440" w:lineRule="exact"/>
              <w:ind w:left="63" w:right="63" w:firstLine="560"/>
              <w:jc w:val="both"/>
              <w:rPr>
                <w:rFonts w:ascii="宋体" w:hAnsi="宋体" w:cs="宋体"/>
                <w:color w:val="auto"/>
                <w:sz w:val="28"/>
                <w:szCs w:val="30"/>
              </w:rPr>
            </w:pPr>
          </w:p>
        </w:tc>
        <w:tc>
          <w:tcPr>
            <w:tcW w:w="1134" w:type="dxa"/>
            <w:vAlign w:val="center"/>
          </w:tcPr>
          <w:p>
            <w:pPr>
              <w:keepNext/>
              <w:widowControl w:val="0"/>
              <w:spacing w:line="440" w:lineRule="exact"/>
              <w:ind w:left="63" w:right="63" w:firstLine="600"/>
              <w:jc w:val="both"/>
              <w:rPr>
                <w:rFonts w:ascii="宋体" w:hAnsi="宋体" w:cs="宋体"/>
                <w:color w:val="auto"/>
                <w:sz w:val="28"/>
                <w:szCs w:val="30"/>
              </w:rPr>
            </w:pPr>
          </w:p>
        </w:tc>
        <w:tc>
          <w:tcPr>
            <w:tcW w:w="1134" w:type="dxa"/>
            <w:vAlign w:val="center"/>
          </w:tcPr>
          <w:p>
            <w:pPr>
              <w:keepNext/>
              <w:widowControl w:val="0"/>
              <w:spacing w:line="440" w:lineRule="exact"/>
              <w:ind w:left="63" w:right="63" w:firstLine="600"/>
              <w:jc w:val="both"/>
              <w:rPr>
                <w:rFonts w:ascii="宋体" w:hAnsi="宋体" w:cs="宋体"/>
                <w:color w:val="auto"/>
                <w:sz w:val="28"/>
                <w:szCs w:val="30"/>
              </w:rPr>
            </w:pPr>
          </w:p>
        </w:tc>
        <w:tc>
          <w:tcPr>
            <w:tcW w:w="4252" w:type="dxa"/>
            <w:vAlign w:val="center"/>
          </w:tcPr>
          <w:p>
            <w:pPr>
              <w:keepNext/>
              <w:widowControl w:val="0"/>
              <w:spacing w:line="440" w:lineRule="exact"/>
              <w:ind w:left="63" w:right="63" w:firstLine="600"/>
              <w:jc w:val="both"/>
              <w:rPr>
                <w:rFonts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widowControl w:val="0"/>
              <w:spacing w:line="440" w:lineRule="exact"/>
              <w:ind w:left="63" w:right="63"/>
              <w:jc w:val="both"/>
              <w:rPr>
                <w:rFonts w:ascii="宋体" w:hAnsi="宋体" w:cs="宋体"/>
                <w:color w:val="auto"/>
                <w:sz w:val="28"/>
                <w:szCs w:val="30"/>
              </w:rPr>
            </w:pPr>
            <w:r>
              <w:rPr>
                <w:rFonts w:hint="eastAsia" w:ascii="宋体" w:hAnsi="宋体" w:cs="宋体"/>
                <w:color w:val="auto"/>
                <w:sz w:val="28"/>
                <w:szCs w:val="30"/>
              </w:rPr>
              <w:t>质量管理</w:t>
            </w:r>
          </w:p>
        </w:tc>
        <w:tc>
          <w:tcPr>
            <w:tcW w:w="1418" w:type="dxa"/>
            <w:vAlign w:val="center"/>
          </w:tcPr>
          <w:p>
            <w:pPr>
              <w:keepNext/>
              <w:widowControl w:val="0"/>
              <w:spacing w:line="440" w:lineRule="exact"/>
              <w:ind w:left="63" w:right="63" w:firstLine="560"/>
              <w:jc w:val="both"/>
              <w:rPr>
                <w:rFonts w:ascii="宋体" w:hAnsi="宋体" w:cs="宋体"/>
                <w:color w:val="auto"/>
                <w:sz w:val="28"/>
                <w:szCs w:val="30"/>
              </w:rPr>
            </w:pPr>
          </w:p>
        </w:tc>
        <w:tc>
          <w:tcPr>
            <w:tcW w:w="1134" w:type="dxa"/>
            <w:vAlign w:val="center"/>
          </w:tcPr>
          <w:p>
            <w:pPr>
              <w:keepNext/>
              <w:widowControl w:val="0"/>
              <w:spacing w:line="440" w:lineRule="exact"/>
              <w:ind w:left="63" w:right="63" w:firstLine="600"/>
              <w:jc w:val="both"/>
              <w:rPr>
                <w:rFonts w:ascii="宋体" w:hAnsi="宋体" w:cs="宋体"/>
                <w:color w:val="auto"/>
                <w:sz w:val="28"/>
                <w:szCs w:val="30"/>
              </w:rPr>
            </w:pPr>
          </w:p>
        </w:tc>
        <w:tc>
          <w:tcPr>
            <w:tcW w:w="1134" w:type="dxa"/>
            <w:vAlign w:val="center"/>
          </w:tcPr>
          <w:p>
            <w:pPr>
              <w:keepNext/>
              <w:widowControl w:val="0"/>
              <w:spacing w:line="440" w:lineRule="exact"/>
              <w:ind w:left="63" w:right="63" w:firstLine="600"/>
              <w:jc w:val="both"/>
              <w:rPr>
                <w:rFonts w:ascii="宋体" w:hAnsi="宋体" w:cs="宋体"/>
                <w:color w:val="auto"/>
                <w:sz w:val="28"/>
                <w:szCs w:val="30"/>
              </w:rPr>
            </w:pPr>
          </w:p>
        </w:tc>
        <w:tc>
          <w:tcPr>
            <w:tcW w:w="4252" w:type="dxa"/>
            <w:vAlign w:val="center"/>
          </w:tcPr>
          <w:p>
            <w:pPr>
              <w:keepNext/>
              <w:widowControl w:val="0"/>
              <w:spacing w:line="440" w:lineRule="exact"/>
              <w:ind w:left="63" w:right="63" w:firstLine="600"/>
              <w:jc w:val="both"/>
              <w:rPr>
                <w:rFonts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widowControl w:val="0"/>
              <w:spacing w:line="440" w:lineRule="exact"/>
              <w:ind w:left="63" w:right="63"/>
              <w:jc w:val="both"/>
              <w:rPr>
                <w:rFonts w:ascii="宋体" w:hAnsi="宋体" w:cs="宋体"/>
                <w:color w:val="auto"/>
                <w:sz w:val="28"/>
                <w:szCs w:val="30"/>
              </w:rPr>
            </w:pPr>
            <w:r>
              <w:rPr>
                <w:rFonts w:hint="eastAsia" w:ascii="宋体" w:hAnsi="宋体" w:cs="宋体"/>
                <w:color w:val="auto"/>
                <w:sz w:val="28"/>
                <w:szCs w:val="30"/>
              </w:rPr>
              <w:t>材料管理</w:t>
            </w:r>
          </w:p>
        </w:tc>
        <w:tc>
          <w:tcPr>
            <w:tcW w:w="1418" w:type="dxa"/>
            <w:vAlign w:val="center"/>
          </w:tcPr>
          <w:p>
            <w:pPr>
              <w:keepNext/>
              <w:widowControl w:val="0"/>
              <w:spacing w:line="440" w:lineRule="exact"/>
              <w:ind w:left="63" w:right="63" w:firstLine="560"/>
              <w:jc w:val="both"/>
              <w:rPr>
                <w:rFonts w:ascii="宋体" w:hAnsi="宋体" w:cs="宋体"/>
                <w:color w:val="auto"/>
                <w:sz w:val="28"/>
                <w:szCs w:val="30"/>
              </w:rPr>
            </w:pPr>
          </w:p>
        </w:tc>
        <w:tc>
          <w:tcPr>
            <w:tcW w:w="1134" w:type="dxa"/>
            <w:vAlign w:val="center"/>
          </w:tcPr>
          <w:p>
            <w:pPr>
              <w:keepNext/>
              <w:widowControl w:val="0"/>
              <w:spacing w:line="440" w:lineRule="exact"/>
              <w:ind w:left="63" w:right="63" w:firstLine="600"/>
              <w:jc w:val="both"/>
              <w:rPr>
                <w:rFonts w:ascii="宋体" w:hAnsi="宋体" w:cs="宋体"/>
                <w:color w:val="auto"/>
                <w:sz w:val="28"/>
                <w:szCs w:val="30"/>
              </w:rPr>
            </w:pPr>
          </w:p>
        </w:tc>
        <w:tc>
          <w:tcPr>
            <w:tcW w:w="1134" w:type="dxa"/>
            <w:vAlign w:val="center"/>
          </w:tcPr>
          <w:p>
            <w:pPr>
              <w:keepNext/>
              <w:widowControl w:val="0"/>
              <w:spacing w:line="440" w:lineRule="exact"/>
              <w:ind w:left="63" w:right="63" w:firstLine="600"/>
              <w:jc w:val="both"/>
              <w:rPr>
                <w:rFonts w:ascii="宋体" w:hAnsi="宋体" w:cs="宋体"/>
                <w:color w:val="auto"/>
                <w:sz w:val="28"/>
                <w:szCs w:val="30"/>
              </w:rPr>
            </w:pPr>
          </w:p>
        </w:tc>
        <w:tc>
          <w:tcPr>
            <w:tcW w:w="4252" w:type="dxa"/>
            <w:vAlign w:val="center"/>
          </w:tcPr>
          <w:p>
            <w:pPr>
              <w:keepNext/>
              <w:widowControl w:val="0"/>
              <w:spacing w:line="440" w:lineRule="exact"/>
              <w:ind w:left="63" w:right="63" w:firstLine="600"/>
              <w:jc w:val="both"/>
              <w:rPr>
                <w:rFonts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widowControl w:val="0"/>
              <w:spacing w:line="440" w:lineRule="exact"/>
              <w:ind w:left="63" w:right="63"/>
              <w:jc w:val="both"/>
              <w:rPr>
                <w:rFonts w:ascii="宋体" w:hAnsi="宋体" w:cs="宋体"/>
                <w:color w:val="auto"/>
                <w:sz w:val="28"/>
                <w:szCs w:val="30"/>
              </w:rPr>
            </w:pPr>
            <w:r>
              <w:rPr>
                <w:rFonts w:hint="eastAsia" w:ascii="宋体" w:hAnsi="宋体" w:cs="宋体"/>
                <w:color w:val="auto"/>
                <w:sz w:val="28"/>
                <w:szCs w:val="30"/>
              </w:rPr>
              <w:t>计划管理</w:t>
            </w:r>
          </w:p>
        </w:tc>
        <w:tc>
          <w:tcPr>
            <w:tcW w:w="1418" w:type="dxa"/>
            <w:vAlign w:val="center"/>
          </w:tcPr>
          <w:p>
            <w:pPr>
              <w:keepNext/>
              <w:widowControl w:val="0"/>
              <w:spacing w:line="440" w:lineRule="exact"/>
              <w:ind w:left="63" w:right="63" w:firstLine="560"/>
              <w:jc w:val="both"/>
              <w:rPr>
                <w:rFonts w:ascii="宋体" w:hAnsi="宋体" w:cs="宋体"/>
                <w:color w:val="auto"/>
                <w:sz w:val="28"/>
                <w:szCs w:val="30"/>
              </w:rPr>
            </w:pPr>
          </w:p>
        </w:tc>
        <w:tc>
          <w:tcPr>
            <w:tcW w:w="1134" w:type="dxa"/>
            <w:vAlign w:val="center"/>
          </w:tcPr>
          <w:p>
            <w:pPr>
              <w:keepNext/>
              <w:widowControl w:val="0"/>
              <w:spacing w:line="440" w:lineRule="exact"/>
              <w:ind w:left="63" w:right="63" w:firstLine="600"/>
              <w:jc w:val="both"/>
              <w:rPr>
                <w:rFonts w:ascii="宋体" w:hAnsi="宋体" w:cs="宋体"/>
                <w:color w:val="auto"/>
                <w:sz w:val="28"/>
                <w:szCs w:val="30"/>
              </w:rPr>
            </w:pPr>
          </w:p>
        </w:tc>
        <w:tc>
          <w:tcPr>
            <w:tcW w:w="1134" w:type="dxa"/>
            <w:vAlign w:val="center"/>
          </w:tcPr>
          <w:p>
            <w:pPr>
              <w:keepNext/>
              <w:widowControl w:val="0"/>
              <w:spacing w:line="440" w:lineRule="exact"/>
              <w:ind w:left="63" w:right="63" w:firstLine="600"/>
              <w:jc w:val="both"/>
              <w:rPr>
                <w:rFonts w:ascii="宋体" w:hAnsi="宋体" w:cs="宋体"/>
                <w:color w:val="auto"/>
                <w:sz w:val="28"/>
                <w:szCs w:val="30"/>
              </w:rPr>
            </w:pPr>
          </w:p>
        </w:tc>
        <w:tc>
          <w:tcPr>
            <w:tcW w:w="4252" w:type="dxa"/>
            <w:vAlign w:val="center"/>
          </w:tcPr>
          <w:p>
            <w:pPr>
              <w:keepNext/>
              <w:widowControl w:val="0"/>
              <w:spacing w:line="440" w:lineRule="exact"/>
              <w:ind w:left="63" w:right="63" w:firstLine="600"/>
              <w:jc w:val="both"/>
              <w:rPr>
                <w:rFonts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widowControl w:val="0"/>
              <w:spacing w:line="440" w:lineRule="exact"/>
              <w:ind w:left="63" w:right="63"/>
              <w:jc w:val="both"/>
              <w:rPr>
                <w:rFonts w:ascii="宋体" w:hAnsi="宋体" w:cs="宋体"/>
                <w:color w:val="auto"/>
                <w:sz w:val="28"/>
                <w:szCs w:val="30"/>
              </w:rPr>
            </w:pPr>
            <w:r>
              <w:rPr>
                <w:rFonts w:hint="eastAsia" w:ascii="宋体" w:hAnsi="宋体" w:cs="宋体"/>
                <w:color w:val="auto"/>
                <w:sz w:val="28"/>
                <w:szCs w:val="30"/>
              </w:rPr>
              <w:t>安全管理</w:t>
            </w:r>
          </w:p>
        </w:tc>
        <w:tc>
          <w:tcPr>
            <w:tcW w:w="1418" w:type="dxa"/>
            <w:vAlign w:val="center"/>
          </w:tcPr>
          <w:p>
            <w:pPr>
              <w:keepNext/>
              <w:widowControl w:val="0"/>
              <w:spacing w:line="440" w:lineRule="exact"/>
              <w:ind w:left="63" w:right="63" w:firstLine="560"/>
              <w:jc w:val="both"/>
              <w:rPr>
                <w:rFonts w:ascii="宋体" w:hAnsi="宋体" w:cs="宋体"/>
                <w:color w:val="auto"/>
                <w:sz w:val="28"/>
                <w:szCs w:val="30"/>
              </w:rPr>
            </w:pPr>
          </w:p>
        </w:tc>
        <w:tc>
          <w:tcPr>
            <w:tcW w:w="1134" w:type="dxa"/>
            <w:vAlign w:val="center"/>
          </w:tcPr>
          <w:p>
            <w:pPr>
              <w:keepNext/>
              <w:widowControl w:val="0"/>
              <w:spacing w:line="440" w:lineRule="exact"/>
              <w:ind w:left="63" w:right="63" w:firstLine="600"/>
              <w:jc w:val="both"/>
              <w:rPr>
                <w:rFonts w:ascii="宋体" w:hAnsi="宋体" w:cs="宋体"/>
                <w:color w:val="auto"/>
                <w:sz w:val="28"/>
                <w:szCs w:val="30"/>
              </w:rPr>
            </w:pPr>
          </w:p>
        </w:tc>
        <w:tc>
          <w:tcPr>
            <w:tcW w:w="1134" w:type="dxa"/>
            <w:vAlign w:val="center"/>
          </w:tcPr>
          <w:p>
            <w:pPr>
              <w:keepNext/>
              <w:widowControl w:val="0"/>
              <w:spacing w:line="440" w:lineRule="exact"/>
              <w:ind w:left="63" w:right="63" w:firstLine="600"/>
              <w:jc w:val="both"/>
              <w:rPr>
                <w:rFonts w:ascii="宋体" w:hAnsi="宋体" w:cs="宋体"/>
                <w:color w:val="auto"/>
                <w:sz w:val="28"/>
                <w:szCs w:val="30"/>
              </w:rPr>
            </w:pPr>
          </w:p>
        </w:tc>
        <w:tc>
          <w:tcPr>
            <w:tcW w:w="4252" w:type="dxa"/>
            <w:vAlign w:val="center"/>
          </w:tcPr>
          <w:p>
            <w:pPr>
              <w:keepNext/>
              <w:widowControl w:val="0"/>
              <w:spacing w:line="440" w:lineRule="exact"/>
              <w:ind w:left="63" w:right="63" w:firstLine="600"/>
              <w:jc w:val="both"/>
              <w:rPr>
                <w:rFonts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keepNext/>
              <w:widowControl w:val="0"/>
              <w:spacing w:line="440" w:lineRule="exact"/>
              <w:ind w:left="63" w:right="63"/>
              <w:jc w:val="both"/>
              <w:rPr>
                <w:rFonts w:ascii="宋体" w:hAnsi="宋体" w:cs="宋体"/>
                <w:color w:val="auto"/>
                <w:sz w:val="28"/>
                <w:szCs w:val="30"/>
              </w:rPr>
            </w:pPr>
            <w:r>
              <w:rPr>
                <w:rFonts w:hint="eastAsia" w:ascii="宋体" w:hAnsi="宋体" w:cs="宋体"/>
                <w:color w:val="auto"/>
                <w:sz w:val="28"/>
                <w:szCs w:val="30"/>
              </w:rPr>
              <w:t>其他人员</w:t>
            </w:r>
          </w:p>
        </w:tc>
        <w:tc>
          <w:tcPr>
            <w:tcW w:w="1418" w:type="dxa"/>
            <w:vAlign w:val="center"/>
          </w:tcPr>
          <w:p>
            <w:pPr>
              <w:keepNext/>
              <w:widowControl w:val="0"/>
              <w:spacing w:line="440" w:lineRule="exact"/>
              <w:ind w:left="63" w:right="63" w:firstLine="560"/>
              <w:jc w:val="both"/>
              <w:rPr>
                <w:rFonts w:ascii="宋体" w:hAnsi="宋体" w:cs="宋体"/>
                <w:color w:val="auto"/>
                <w:sz w:val="28"/>
                <w:szCs w:val="30"/>
              </w:rPr>
            </w:pPr>
          </w:p>
        </w:tc>
        <w:tc>
          <w:tcPr>
            <w:tcW w:w="1134" w:type="dxa"/>
            <w:vAlign w:val="center"/>
          </w:tcPr>
          <w:p>
            <w:pPr>
              <w:keepNext/>
              <w:widowControl w:val="0"/>
              <w:spacing w:line="440" w:lineRule="exact"/>
              <w:ind w:left="63" w:right="63" w:firstLine="600"/>
              <w:jc w:val="both"/>
              <w:rPr>
                <w:rFonts w:ascii="宋体" w:hAnsi="宋体" w:cs="宋体"/>
                <w:color w:val="auto"/>
                <w:sz w:val="28"/>
                <w:szCs w:val="30"/>
              </w:rPr>
            </w:pPr>
          </w:p>
        </w:tc>
        <w:tc>
          <w:tcPr>
            <w:tcW w:w="1134" w:type="dxa"/>
            <w:vAlign w:val="center"/>
          </w:tcPr>
          <w:p>
            <w:pPr>
              <w:keepNext/>
              <w:widowControl w:val="0"/>
              <w:spacing w:line="440" w:lineRule="exact"/>
              <w:ind w:left="63" w:right="63" w:firstLine="600"/>
              <w:jc w:val="both"/>
              <w:rPr>
                <w:rFonts w:ascii="宋体" w:hAnsi="宋体" w:cs="宋体"/>
                <w:color w:val="auto"/>
                <w:sz w:val="28"/>
                <w:szCs w:val="30"/>
              </w:rPr>
            </w:pPr>
          </w:p>
        </w:tc>
        <w:tc>
          <w:tcPr>
            <w:tcW w:w="4252" w:type="dxa"/>
            <w:vAlign w:val="center"/>
          </w:tcPr>
          <w:p>
            <w:pPr>
              <w:keepNext/>
              <w:widowControl w:val="0"/>
              <w:spacing w:line="440" w:lineRule="exact"/>
              <w:ind w:left="63" w:right="63" w:firstLine="600"/>
              <w:jc w:val="both"/>
              <w:rPr>
                <w:rFonts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keepNext/>
              <w:widowControl w:val="0"/>
              <w:spacing w:line="440" w:lineRule="exact"/>
              <w:ind w:left="63" w:right="63" w:firstLine="560"/>
              <w:jc w:val="both"/>
              <w:rPr>
                <w:rFonts w:ascii="宋体" w:hAnsi="宋体" w:cs="宋体"/>
                <w:color w:val="auto"/>
                <w:sz w:val="28"/>
                <w:szCs w:val="30"/>
              </w:rPr>
            </w:pPr>
          </w:p>
        </w:tc>
        <w:tc>
          <w:tcPr>
            <w:tcW w:w="1418" w:type="dxa"/>
            <w:tcBorders>
              <w:bottom w:val="nil"/>
            </w:tcBorders>
            <w:vAlign w:val="center"/>
          </w:tcPr>
          <w:p>
            <w:pPr>
              <w:keepNext/>
              <w:widowControl w:val="0"/>
              <w:spacing w:line="440" w:lineRule="exact"/>
              <w:ind w:left="63" w:right="63" w:firstLine="560"/>
              <w:jc w:val="both"/>
              <w:rPr>
                <w:rFonts w:ascii="宋体" w:hAnsi="宋体" w:cs="宋体"/>
                <w:color w:val="auto"/>
                <w:sz w:val="28"/>
                <w:szCs w:val="30"/>
              </w:rPr>
            </w:pPr>
          </w:p>
        </w:tc>
        <w:tc>
          <w:tcPr>
            <w:tcW w:w="1134" w:type="dxa"/>
            <w:tcBorders>
              <w:bottom w:val="nil"/>
            </w:tcBorders>
            <w:vAlign w:val="center"/>
          </w:tcPr>
          <w:p>
            <w:pPr>
              <w:keepNext/>
              <w:widowControl w:val="0"/>
              <w:spacing w:line="440" w:lineRule="exact"/>
              <w:ind w:left="63" w:right="63" w:firstLine="600"/>
              <w:jc w:val="both"/>
              <w:rPr>
                <w:rFonts w:ascii="宋体" w:hAnsi="宋体" w:cs="宋体"/>
                <w:color w:val="auto"/>
                <w:sz w:val="28"/>
                <w:szCs w:val="30"/>
              </w:rPr>
            </w:pPr>
          </w:p>
        </w:tc>
        <w:tc>
          <w:tcPr>
            <w:tcW w:w="1134" w:type="dxa"/>
            <w:tcBorders>
              <w:bottom w:val="nil"/>
            </w:tcBorders>
            <w:vAlign w:val="center"/>
          </w:tcPr>
          <w:p>
            <w:pPr>
              <w:keepNext/>
              <w:widowControl w:val="0"/>
              <w:spacing w:line="440" w:lineRule="exact"/>
              <w:ind w:left="63" w:right="63" w:firstLine="600"/>
              <w:jc w:val="both"/>
              <w:rPr>
                <w:rFonts w:ascii="宋体" w:hAnsi="宋体" w:cs="宋体"/>
                <w:color w:val="auto"/>
                <w:sz w:val="28"/>
                <w:szCs w:val="30"/>
              </w:rPr>
            </w:pPr>
          </w:p>
        </w:tc>
        <w:tc>
          <w:tcPr>
            <w:tcW w:w="4252" w:type="dxa"/>
            <w:tcBorders>
              <w:bottom w:val="nil"/>
            </w:tcBorders>
            <w:vAlign w:val="center"/>
          </w:tcPr>
          <w:p>
            <w:pPr>
              <w:keepNext/>
              <w:widowControl w:val="0"/>
              <w:spacing w:line="440" w:lineRule="exact"/>
              <w:ind w:left="63" w:right="63" w:firstLine="600"/>
              <w:jc w:val="both"/>
              <w:rPr>
                <w:rFonts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keepNext/>
              <w:widowControl w:val="0"/>
              <w:spacing w:line="440" w:lineRule="exact"/>
              <w:ind w:left="63" w:right="63" w:firstLine="560"/>
              <w:jc w:val="both"/>
              <w:rPr>
                <w:rFonts w:ascii="宋体" w:hAnsi="宋体" w:cs="宋体"/>
                <w:color w:val="auto"/>
                <w:sz w:val="28"/>
                <w:szCs w:val="30"/>
              </w:rPr>
            </w:pPr>
          </w:p>
        </w:tc>
        <w:tc>
          <w:tcPr>
            <w:tcW w:w="1418" w:type="dxa"/>
            <w:vAlign w:val="center"/>
          </w:tcPr>
          <w:p>
            <w:pPr>
              <w:keepNext/>
              <w:widowControl w:val="0"/>
              <w:spacing w:line="440" w:lineRule="exact"/>
              <w:ind w:left="63" w:right="63" w:firstLine="560"/>
              <w:jc w:val="both"/>
              <w:rPr>
                <w:rFonts w:ascii="宋体" w:hAnsi="宋体" w:cs="宋体"/>
                <w:color w:val="auto"/>
                <w:sz w:val="28"/>
                <w:szCs w:val="30"/>
              </w:rPr>
            </w:pPr>
          </w:p>
        </w:tc>
        <w:tc>
          <w:tcPr>
            <w:tcW w:w="1134" w:type="dxa"/>
            <w:vAlign w:val="center"/>
          </w:tcPr>
          <w:p>
            <w:pPr>
              <w:keepNext/>
              <w:widowControl w:val="0"/>
              <w:spacing w:line="440" w:lineRule="exact"/>
              <w:ind w:left="63" w:right="63" w:firstLine="600"/>
              <w:jc w:val="both"/>
              <w:rPr>
                <w:rFonts w:ascii="宋体" w:hAnsi="宋体" w:cs="宋体"/>
                <w:color w:val="auto"/>
                <w:sz w:val="28"/>
                <w:szCs w:val="30"/>
              </w:rPr>
            </w:pPr>
          </w:p>
        </w:tc>
        <w:tc>
          <w:tcPr>
            <w:tcW w:w="1134" w:type="dxa"/>
            <w:vAlign w:val="center"/>
          </w:tcPr>
          <w:p>
            <w:pPr>
              <w:keepNext/>
              <w:widowControl w:val="0"/>
              <w:spacing w:line="440" w:lineRule="exact"/>
              <w:ind w:left="63" w:right="63" w:firstLine="600"/>
              <w:jc w:val="both"/>
              <w:rPr>
                <w:rFonts w:ascii="宋体" w:hAnsi="宋体" w:cs="宋体"/>
                <w:color w:val="auto"/>
                <w:sz w:val="28"/>
                <w:szCs w:val="30"/>
              </w:rPr>
            </w:pPr>
          </w:p>
        </w:tc>
        <w:tc>
          <w:tcPr>
            <w:tcW w:w="4252" w:type="dxa"/>
            <w:vAlign w:val="center"/>
          </w:tcPr>
          <w:p>
            <w:pPr>
              <w:keepNext/>
              <w:widowControl w:val="0"/>
              <w:spacing w:line="440" w:lineRule="exact"/>
              <w:ind w:left="63" w:right="63" w:firstLine="600"/>
              <w:jc w:val="both"/>
              <w:rPr>
                <w:rFonts w:ascii="宋体" w:hAnsi="宋体" w:cs="宋体"/>
                <w:color w:val="auto"/>
                <w:sz w:val="28"/>
                <w:szCs w:val="30"/>
              </w:rPr>
            </w:pPr>
          </w:p>
        </w:tc>
      </w:tr>
    </w:tbl>
    <w:p>
      <w:pPr>
        <w:spacing w:line="440" w:lineRule="exact"/>
        <w:rPr>
          <w:rFonts w:ascii="宋体" w:hAnsi="宋体" w:cs="宋体"/>
          <w:color w:val="auto"/>
          <w:sz w:val="30"/>
          <w:szCs w:val="30"/>
        </w:rPr>
      </w:pPr>
      <w:r>
        <w:rPr>
          <w:rFonts w:hint="eastAsia" w:ascii="宋体" w:hAnsi="宋体" w:eastAsia="宋体" w:cs="宋体"/>
          <w:color w:val="auto"/>
          <w:sz w:val="30"/>
          <w:szCs w:val="30"/>
        </w:rPr>
        <w:t>（此表格</w:t>
      </w:r>
      <w:r>
        <w:rPr>
          <w:rFonts w:hint="eastAsia" w:ascii="宋体" w:hAnsi="宋体" w:cs="宋体"/>
          <w:color w:val="auto"/>
          <w:sz w:val="30"/>
          <w:szCs w:val="30"/>
          <w:lang w:val="en-US" w:eastAsia="zh-CN"/>
        </w:rPr>
        <w:t>供应商</w:t>
      </w:r>
      <w:r>
        <w:rPr>
          <w:rFonts w:hint="eastAsia" w:ascii="宋体" w:hAnsi="宋体" w:eastAsia="宋体" w:cs="宋体"/>
          <w:color w:val="auto"/>
          <w:sz w:val="30"/>
          <w:szCs w:val="30"/>
        </w:rPr>
        <w:t>在招投标阶段无需填写，在合同备案时填写完整）</w:t>
      </w:r>
    </w:p>
    <w:p>
      <w:pPr>
        <w:spacing w:line="440" w:lineRule="exact"/>
        <w:rPr>
          <w:rFonts w:ascii="宋体" w:hAnsi="宋体" w:cs="宋体"/>
          <w:color w:val="auto"/>
          <w:sz w:val="30"/>
          <w:szCs w:val="30"/>
        </w:rPr>
      </w:pPr>
    </w:p>
    <w:p>
      <w:pPr>
        <w:spacing w:line="440" w:lineRule="exact"/>
        <w:rPr>
          <w:rFonts w:ascii="宋体" w:hAnsi="宋体" w:cs="宋体"/>
          <w:color w:val="auto"/>
          <w:sz w:val="30"/>
          <w:szCs w:val="30"/>
        </w:rPr>
      </w:pPr>
    </w:p>
    <w:p>
      <w:pPr>
        <w:spacing w:line="440" w:lineRule="exact"/>
        <w:rPr>
          <w:rFonts w:ascii="宋体" w:hAnsi="宋体" w:cs="宋体"/>
          <w:color w:val="auto"/>
          <w:sz w:val="30"/>
          <w:szCs w:val="30"/>
        </w:rPr>
      </w:pPr>
    </w:p>
    <w:p>
      <w:pPr>
        <w:spacing w:line="440" w:lineRule="exact"/>
        <w:rPr>
          <w:rFonts w:ascii="宋体" w:hAnsi="宋体" w:cs="宋体"/>
          <w:color w:val="auto"/>
          <w:sz w:val="30"/>
          <w:szCs w:val="30"/>
        </w:rPr>
      </w:pPr>
    </w:p>
    <w:p>
      <w:pPr>
        <w:spacing w:line="440" w:lineRule="exact"/>
        <w:rPr>
          <w:rFonts w:ascii="宋体" w:hAnsi="宋体" w:cs="宋体"/>
          <w:color w:val="auto"/>
          <w:sz w:val="30"/>
          <w:szCs w:val="30"/>
        </w:rPr>
        <w:sectPr>
          <w:pgSz w:w="11906" w:h="16838"/>
          <w:pgMar w:top="1417" w:right="850" w:bottom="1417" w:left="1134" w:header="851" w:footer="992" w:gutter="0"/>
          <w:cols w:space="720" w:num="1"/>
          <w:titlePg/>
          <w:docGrid w:linePitch="360" w:charSpace="0"/>
        </w:sectPr>
      </w:pPr>
    </w:p>
    <w:p>
      <w:pPr>
        <w:spacing w:line="360" w:lineRule="auto"/>
        <w:ind w:firstLine="420"/>
        <w:jc w:val="center"/>
        <w:rPr>
          <w:rFonts w:hint="eastAsia" w:ascii="宋体" w:hAnsi="宋体" w:cs="宋体"/>
          <w:b/>
          <w:color w:val="auto"/>
          <w:sz w:val="36"/>
          <w:highlight w:val="none"/>
        </w:rPr>
      </w:pPr>
      <w:r>
        <w:rPr>
          <w:rFonts w:hint="eastAsia" w:ascii="宋体" w:hAnsi="宋体" w:cs="宋体"/>
          <w:b/>
          <w:color w:val="auto"/>
          <w:sz w:val="36"/>
          <w:highlight w:val="none"/>
          <w:lang w:val="en-US" w:eastAsia="zh-CN"/>
        </w:rPr>
        <w:t>8</w:t>
      </w:r>
      <w:r>
        <w:rPr>
          <w:rFonts w:hint="eastAsia" w:ascii="宋体" w:hAnsi="宋体" w:cs="宋体"/>
          <w:b/>
          <w:color w:val="auto"/>
          <w:sz w:val="36"/>
          <w:highlight w:val="none"/>
        </w:rPr>
        <w:t>、承诺书</w:t>
      </w:r>
    </w:p>
    <w:p>
      <w:pPr>
        <w:keepNext w:val="0"/>
        <w:keepLines w:val="0"/>
        <w:pageBreakBefore w:val="0"/>
        <w:widowControl w:val="0"/>
        <w:spacing w:line="400" w:lineRule="exact"/>
        <w:ind w:firstLine="482"/>
        <w:outlineLvl w:val="9"/>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lang w:val="en-US" w:eastAsia="zh-CN"/>
        </w:rPr>
        <w:t xml:space="preserve"> 江苏元中项目管理有限公司 </w:t>
      </w:r>
      <w:r>
        <w:rPr>
          <w:rFonts w:hint="eastAsia" w:ascii="宋体" w:hAnsi="宋体" w:cs="宋体"/>
          <w:color w:val="auto"/>
          <w:sz w:val="24"/>
          <w:highlight w:val="none"/>
        </w:rPr>
        <w:t>：</w:t>
      </w:r>
    </w:p>
    <w:p>
      <w:pPr>
        <w:keepNext w:val="0"/>
        <w:keepLines w:val="0"/>
        <w:pageBreakBefore w:val="0"/>
        <w:widowControl w:val="0"/>
        <w:spacing w:line="400" w:lineRule="exact"/>
        <w:ind w:firstLine="482"/>
        <w:outlineLvl w:val="9"/>
        <w:rPr>
          <w:rFonts w:hint="eastAsia" w:ascii="宋体" w:hAnsi="宋体" w:cs="宋体"/>
          <w:color w:val="auto"/>
          <w:sz w:val="24"/>
          <w:highlight w:val="none"/>
        </w:rPr>
      </w:pPr>
      <w:r>
        <w:rPr>
          <w:rFonts w:hint="eastAsia" w:ascii="宋体" w:hAnsi="宋体" w:cs="宋体"/>
          <w:color w:val="auto"/>
          <w:sz w:val="24"/>
          <w:highlight w:val="none"/>
        </w:rPr>
        <w:t>根据贵方《磋商文件》（项目编号：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）要求，本供应商正式提交以下首次响应文件。</w:t>
      </w:r>
    </w:p>
    <w:p>
      <w:pPr>
        <w:keepNext w:val="0"/>
        <w:keepLines w:val="0"/>
        <w:pageBreakBefore w:val="0"/>
        <w:widowControl w:val="0"/>
        <w:spacing w:line="400" w:lineRule="exact"/>
        <w:ind w:firstLine="482"/>
        <w:outlineLvl w:val="9"/>
        <w:rPr>
          <w:rFonts w:hint="eastAsia" w:ascii="宋体" w:hAnsi="宋体" w:cs="宋体"/>
          <w:color w:val="auto"/>
          <w:sz w:val="24"/>
          <w:highlight w:val="none"/>
        </w:rPr>
      </w:pPr>
      <w:r>
        <w:rPr>
          <w:rFonts w:hint="eastAsia" w:ascii="宋体" w:hAnsi="宋体" w:cs="宋体"/>
          <w:color w:val="auto"/>
          <w:sz w:val="24"/>
          <w:highlight w:val="none"/>
        </w:rPr>
        <w:t xml:space="preserve">（1）承诺书； </w:t>
      </w:r>
    </w:p>
    <w:p>
      <w:pPr>
        <w:keepNext w:val="0"/>
        <w:keepLines w:val="0"/>
        <w:pageBreakBefore w:val="0"/>
        <w:widowControl w:val="0"/>
        <w:spacing w:line="400" w:lineRule="exact"/>
        <w:ind w:firstLine="482"/>
        <w:outlineLvl w:val="9"/>
        <w:rPr>
          <w:rFonts w:hint="eastAsia" w:ascii="宋体" w:hAnsi="宋体" w:cs="宋体"/>
          <w:color w:val="auto"/>
          <w:sz w:val="24"/>
          <w:highlight w:val="none"/>
        </w:rPr>
      </w:pPr>
      <w:r>
        <w:rPr>
          <w:rFonts w:hint="eastAsia" w:ascii="宋体" w:hAnsi="宋体" w:cs="宋体"/>
          <w:color w:val="auto"/>
          <w:sz w:val="24"/>
          <w:highlight w:val="none"/>
        </w:rPr>
        <w:t xml:space="preserve">（2）磋商报价表； </w:t>
      </w:r>
    </w:p>
    <w:p>
      <w:pPr>
        <w:keepNext w:val="0"/>
        <w:keepLines w:val="0"/>
        <w:pageBreakBefore w:val="0"/>
        <w:widowControl w:val="0"/>
        <w:spacing w:line="400" w:lineRule="exact"/>
        <w:ind w:firstLine="482"/>
        <w:outlineLvl w:val="9"/>
        <w:rPr>
          <w:rFonts w:hint="eastAsia" w:ascii="宋体" w:hAnsi="宋体" w:cs="宋体"/>
          <w:color w:val="auto"/>
          <w:sz w:val="24"/>
          <w:highlight w:val="none"/>
        </w:rPr>
      </w:pPr>
      <w:r>
        <w:rPr>
          <w:rFonts w:hint="eastAsia" w:ascii="宋体" w:hAnsi="宋体" w:cs="宋体"/>
          <w:color w:val="auto"/>
          <w:sz w:val="24"/>
          <w:highlight w:val="none"/>
        </w:rPr>
        <w:t>（3）偏离表；</w:t>
      </w:r>
    </w:p>
    <w:p>
      <w:pPr>
        <w:keepNext w:val="0"/>
        <w:keepLines w:val="0"/>
        <w:pageBreakBefore w:val="0"/>
        <w:widowControl w:val="0"/>
        <w:spacing w:line="400" w:lineRule="exact"/>
        <w:ind w:firstLine="482"/>
        <w:outlineLvl w:val="9"/>
        <w:rPr>
          <w:rFonts w:hint="eastAsia" w:ascii="宋体" w:hAnsi="宋体" w:cs="宋体"/>
          <w:color w:val="auto"/>
          <w:sz w:val="24"/>
          <w:highlight w:val="none"/>
        </w:rPr>
      </w:pPr>
      <w:r>
        <w:rPr>
          <w:rFonts w:hint="eastAsia" w:ascii="宋体" w:hAnsi="宋体" w:cs="宋体"/>
          <w:color w:val="auto"/>
          <w:sz w:val="24"/>
          <w:highlight w:val="none"/>
        </w:rPr>
        <w:t>（4）磋商文件要求提供的其他响应文件。</w:t>
      </w:r>
    </w:p>
    <w:p>
      <w:pPr>
        <w:keepNext w:val="0"/>
        <w:keepLines w:val="0"/>
        <w:pageBreakBefore w:val="0"/>
        <w:widowControl w:val="0"/>
        <w:spacing w:line="400" w:lineRule="exact"/>
        <w:ind w:firstLine="482"/>
        <w:outlineLvl w:val="9"/>
        <w:rPr>
          <w:rFonts w:hint="eastAsia" w:ascii="宋体" w:hAnsi="宋体" w:cs="宋体"/>
          <w:color w:val="auto"/>
          <w:sz w:val="24"/>
          <w:highlight w:val="none"/>
        </w:rPr>
      </w:pPr>
      <w:r>
        <w:rPr>
          <w:rFonts w:hint="eastAsia" w:ascii="宋体" w:hAnsi="宋体" w:cs="宋体"/>
          <w:color w:val="auto"/>
          <w:sz w:val="24"/>
          <w:highlight w:val="none"/>
        </w:rPr>
        <w:t>我单位符合《中华人民共和国政府采购法》第二十二条的规定，符合本项目供应商资格要求。</w:t>
      </w:r>
    </w:p>
    <w:p>
      <w:pPr>
        <w:keepNext w:val="0"/>
        <w:keepLines w:val="0"/>
        <w:pageBreakBefore w:val="0"/>
        <w:widowControl w:val="0"/>
        <w:spacing w:line="400" w:lineRule="exact"/>
        <w:ind w:firstLine="482"/>
        <w:outlineLvl w:val="9"/>
        <w:rPr>
          <w:rFonts w:hint="eastAsia" w:ascii="宋体" w:hAnsi="宋体" w:cs="宋体"/>
          <w:color w:val="auto"/>
          <w:sz w:val="24"/>
          <w:highlight w:val="none"/>
        </w:rPr>
      </w:pPr>
      <w:r>
        <w:rPr>
          <w:rFonts w:hint="eastAsia" w:ascii="宋体" w:hAnsi="宋体" w:cs="宋体"/>
          <w:color w:val="auto"/>
          <w:sz w:val="24"/>
          <w:highlight w:val="none"/>
        </w:rPr>
        <w:t>我单位按照磋商文件的要求编制响应文件，并对其提交的响应文件的真实性、合法性承担法律责任。</w:t>
      </w:r>
    </w:p>
    <w:p>
      <w:pPr>
        <w:keepNext w:val="0"/>
        <w:keepLines w:val="0"/>
        <w:pageBreakBefore w:val="0"/>
        <w:widowControl w:val="0"/>
        <w:spacing w:line="400" w:lineRule="exact"/>
        <w:ind w:firstLine="482"/>
        <w:outlineLvl w:val="9"/>
        <w:rPr>
          <w:rFonts w:hint="eastAsia" w:ascii="宋体" w:hAnsi="宋体" w:cs="宋体"/>
          <w:color w:val="auto"/>
          <w:sz w:val="24"/>
          <w:highlight w:val="none"/>
        </w:rPr>
      </w:pPr>
      <w:r>
        <w:rPr>
          <w:rFonts w:hint="eastAsia" w:ascii="宋体" w:hAnsi="宋体" w:cs="宋体"/>
          <w:color w:val="auto"/>
          <w:sz w:val="24"/>
          <w:highlight w:val="none"/>
        </w:rPr>
        <w:t xml:space="preserve">供应商兹宣布同意如下： </w:t>
      </w:r>
    </w:p>
    <w:p>
      <w:pPr>
        <w:keepNext w:val="0"/>
        <w:keepLines w:val="0"/>
        <w:pageBreakBefore w:val="0"/>
        <w:widowControl w:val="0"/>
        <w:spacing w:line="400" w:lineRule="exact"/>
        <w:ind w:firstLine="482"/>
        <w:outlineLvl w:val="9"/>
        <w:rPr>
          <w:rFonts w:hint="eastAsia" w:ascii="宋体" w:hAnsi="宋体" w:cs="宋体"/>
          <w:color w:val="auto"/>
          <w:sz w:val="24"/>
          <w:highlight w:val="none"/>
        </w:rPr>
      </w:pPr>
      <w:r>
        <w:rPr>
          <w:rFonts w:hint="eastAsia" w:ascii="宋体" w:hAnsi="宋体" w:cs="宋体"/>
          <w:color w:val="auto"/>
          <w:sz w:val="24"/>
          <w:highlight w:val="none"/>
        </w:rPr>
        <w:t>一、完全承担根据《磋商文件》规定完成合同的责任和义务（如有偏离，将全部填写在偏离表中）。</w:t>
      </w:r>
    </w:p>
    <w:p>
      <w:pPr>
        <w:keepNext w:val="0"/>
        <w:keepLines w:val="0"/>
        <w:pageBreakBefore w:val="0"/>
        <w:widowControl w:val="0"/>
        <w:spacing w:line="400" w:lineRule="exact"/>
        <w:ind w:firstLine="482"/>
        <w:outlineLvl w:val="9"/>
        <w:rPr>
          <w:rFonts w:hint="eastAsia" w:ascii="宋体" w:hAnsi="宋体" w:cs="宋体"/>
          <w:color w:val="auto"/>
          <w:sz w:val="24"/>
          <w:highlight w:val="none"/>
        </w:rPr>
      </w:pPr>
      <w:r>
        <w:rPr>
          <w:rFonts w:hint="eastAsia" w:ascii="宋体" w:hAnsi="宋体" w:cs="宋体"/>
          <w:color w:val="auto"/>
          <w:sz w:val="24"/>
          <w:highlight w:val="none"/>
        </w:rPr>
        <w:t>二、保证所提供的响应文件及所有材料的真实、合法、有效，并对其负责。</w:t>
      </w:r>
    </w:p>
    <w:p>
      <w:pPr>
        <w:keepNext w:val="0"/>
        <w:keepLines w:val="0"/>
        <w:pageBreakBefore w:val="0"/>
        <w:widowControl w:val="0"/>
        <w:spacing w:line="400" w:lineRule="exact"/>
        <w:ind w:firstLine="482"/>
        <w:outlineLvl w:val="9"/>
        <w:rPr>
          <w:rFonts w:hint="eastAsia" w:ascii="宋体" w:hAnsi="宋体" w:cs="宋体"/>
          <w:color w:val="auto"/>
          <w:sz w:val="24"/>
          <w:highlight w:val="none"/>
        </w:rPr>
      </w:pPr>
      <w:r>
        <w:rPr>
          <w:rFonts w:hint="eastAsia" w:ascii="宋体" w:hAnsi="宋体" w:cs="宋体"/>
          <w:color w:val="auto"/>
          <w:sz w:val="24"/>
          <w:highlight w:val="none"/>
        </w:rPr>
        <w:t>三、已详细审核竞争性磋商文件（含竞争性磋商文件的澄清或者修改），本供应商完全理解并同意放弃对这方面不明及误解的权利。</w:t>
      </w:r>
    </w:p>
    <w:p>
      <w:pPr>
        <w:keepNext w:val="0"/>
        <w:keepLines w:val="0"/>
        <w:pageBreakBefore w:val="0"/>
        <w:widowControl w:val="0"/>
        <w:spacing w:line="400" w:lineRule="exact"/>
        <w:ind w:firstLine="482"/>
        <w:outlineLvl w:val="9"/>
        <w:rPr>
          <w:rFonts w:hint="eastAsia" w:ascii="宋体" w:hAnsi="宋体" w:cs="宋体"/>
          <w:color w:val="auto"/>
          <w:sz w:val="24"/>
          <w:highlight w:val="none"/>
        </w:rPr>
      </w:pPr>
      <w:r>
        <w:rPr>
          <w:rFonts w:hint="eastAsia" w:ascii="宋体" w:hAnsi="宋体" w:cs="宋体"/>
          <w:color w:val="auto"/>
          <w:sz w:val="24"/>
          <w:highlight w:val="none"/>
        </w:rPr>
        <w:t>四、所供货物保证符合国家有关产品质量、性能和安全标准，无权利瑕疵。</w:t>
      </w:r>
    </w:p>
    <w:p>
      <w:pPr>
        <w:keepNext w:val="0"/>
        <w:keepLines w:val="0"/>
        <w:pageBreakBefore w:val="0"/>
        <w:widowControl w:val="0"/>
        <w:spacing w:line="400" w:lineRule="exact"/>
        <w:ind w:firstLine="482"/>
        <w:outlineLvl w:val="9"/>
        <w:rPr>
          <w:rFonts w:hint="eastAsia" w:ascii="宋体" w:hAnsi="宋体" w:cs="宋体"/>
          <w:color w:val="auto"/>
          <w:sz w:val="24"/>
          <w:highlight w:val="none"/>
        </w:rPr>
      </w:pPr>
      <w:r>
        <w:rPr>
          <w:rFonts w:hint="eastAsia" w:ascii="宋体" w:hAnsi="宋体" w:cs="宋体"/>
          <w:color w:val="auto"/>
          <w:sz w:val="24"/>
          <w:highlight w:val="none"/>
        </w:rPr>
        <w:t>五、报价有效期为</w:t>
      </w:r>
      <w:r>
        <w:rPr>
          <w:rFonts w:hint="eastAsia" w:ascii="宋体" w:hAnsi="宋体" w:cs="宋体"/>
          <w:color w:val="auto"/>
          <w:sz w:val="24"/>
          <w:highlight w:val="none"/>
          <w:lang w:val="en-US" w:eastAsia="zh-CN"/>
        </w:rPr>
        <w:t>60</w:t>
      </w:r>
      <w:r>
        <w:rPr>
          <w:rFonts w:hint="eastAsia" w:ascii="宋体" w:hAnsi="宋体" w:cs="宋体"/>
          <w:color w:val="auto"/>
          <w:sz w:val="24"/>
          <w:highlight w:val="none"/>
        </w:rPr>
        <w:t>个工作日。</w:t>
      </w:r>
    </w:p>
    <w:p>
      <w:pPr>
        <w:keepNext w:val="0"/>
        <w:keepLines w:val="0"/>
        <w:pageBreakBefore w:val="0"/>
        <w:widowControl w:val="0"/>
        <w:spacing w:line="400" w:lineRule="exact"/>
        <w:ind w:firstLine="482"/>
        <w:outlineLvl w:val="9"/>
        <w:rPr>
          <w:rFonts w:hint="eastAsia" w:ascii="宋体" w:hAnsi="宋体" w:cs="宋体"/>
          <w:color w:val="auto"/>
          <w:sz w:val="24"/>
          <w:highlight w:val="none"/>
        </w:rPr>
      </w:pPr>
      <w:r>
        <w:rPr>
          <w:rFonts w:hint="eastAsia" w:ascii="宋体" w:hAnsi="宋体" w:cs="宋体"/>
          <w:color w:val="auto"/>
          <w:sz w:val="24"/>
          <w:highlight w:val="none"/>
        </w:rPr>
        <w:t>六、同意向贵方提供贵方可能要求的与本次磋商采购有关的任何证据或资料。</w:t>
      </w:r>
    </w:p>
    <w:p>
      <w:pPr>
        <w:keepNext w:val="0"/>
        <w:keepLines w:val="0"/>
        <w:pageBreakBefore w:val="0"/>
        <w:widowControl w:val="0"/>
        <w:spacing w:line="400" w:lineRule="exact"/>
        <w:ind w:firstLine="482"/>
        <w:outlineLvl w:val="9"/>
        <w:rPr>
          <w:rFonts w:hint="eastAsia" w:ascii="宋体" w:hAnsi="宋体" w:cs="宋体"/>
          <w:color w:val="auto"/>
          <w:sz w:val="24"/>
          <w:highlight w:val="none"/>
        </w:rPr>
      </w:pPr>
      <w:r>
        <w:rPr>
          <w:rFonts w:hint="eastAsia" w:ascii="宋体" w:hAnsi="宋体" w:cs="宋体"/>
          <w:color w:val="auto"/>
          <w:sz w:val="24"/>
          <w:highlight w:val="none"/>
        </w:rPr>
        <w:t>七、完全理解贵方不一定要接受最低的报价或收到的任何报价。</w:t>
      </w:r>
    </w:p>
    <w:p>
      <w:pPr>
        <w:keepNext w:val="0"/>
        <w:keepLines w:val="0"/>
        <w:pageBreakBefore w:val="0"/>
        <w:widowControl w:val="0"/>
        <w:spacing w:line="400" w:lineRule="exact"/>
        <w:ind w:firstLine="482"/>
        <w:outlineLvl w:val="9"/>
        <w:rPr>
          <w:rFonts w:hint="eastAsia" w:ascii="宋体" w:hAnsi="宋体" w:cs="宋体"/>
          <w:color w:val="auto"/>
          <w:sz w:val="24"/>
          <w:highlight w:val="none"/>
        </w:rPr>
      </w:pPr>
      <w:r>
        <w:rPr>
          <w:rFonts w:hint="eastAsia" w:ascii="宋体" w:hAnsi="宋体" w:cs="宋体"/>
          <w:color w:val="auto"/>
          <w:sz w:val="24"/>
          <w:highlight w:val="none"/>
        </w:rPr>
        <w:t>八、采购人或采购代理机构有权将我单位本项目的《磋商报价表》和《分项价格表》予以公示，公示的方式由</w:t>
      </w:r>
      <w:r>
        <w:rPr>
          <w:rFonts w:hint="eastAsia" w:ascii="宋体" w:hAnsi="宋体" w:cs="宋体"/>
          <w:color w:val="auto"/>
          <w:sz w:val="24"/>
          <w:highlight w:val="none"/>
          <w:lang w:val="en-US" w:eastAsia="zh-CN"/>
        </w:rPr>
        <w:t>江苏元中项目管理有限公司</w:t>
      </w:r>
      <w:r>
        <w:rPr>
          <w:rFonts w:hint="eastAsia" w:ascii="宋体" w:hAnsi="宋体" w:cs="宋体"/>
          <w:color w:val="auto"/>
          <w:sz w:val="24"/>
          <w:highlight w:val="none"/>
        </w:rPr>
        <w:t>确定。</w:t>
      </w:r>
    </w:p>
    <w:p>
      <w:pPr>
        <w:keepNext w:val="0"/>
        <w:keepLines w:val="0"/>
        <w:pageBreakBefore w:val="0"/>
        <w:widowControl w:val="0"/>
        <w:spacing w:line="400" w:lineRule="exact"/>
        <w:ind w:firstLine="482"/>
        <w:outlineLvl w:val="9"/>
        <w:rPr>
          <w:rFonts w:hint="eastAsia" w:ascii="宋体" w:hAnsi="宋体" w:cs="宋体"/>
          <w:color w:val="auto"/>
          <w:sz w:val="24"/>
          <w:highlight w:val="none"/>
        </w:rPr>
      </w:pPr>
      <w:r>
        <w:rPr>
          <w:rFonts w:hint="eastAsia" w:ascii="宋体" w:hAnsi="宋体" w:cs="宋体"/>
          <w:color w:val="auto"/>
          <w:sz w:val="24"/>
          <w:highlight w:val="none"/>
        </w:rPr>
        <w:t>九、采购人或采购代理机构有权对供应商的响应文件的真实性进行核实，如供应商不能在采购人规定的时间内向采购人提供有效的证明文件，将被采购人认定为具有《中华人民共和国政府采购法》第七十七条所规定的“提供虚假材料谋取中标、成交的”情形，并承担相应的法律责任。</w:t>
      </w:r>
    </w:p>
    <w:p>
      <w:pPr>
        <w:keepNext w:val="0"/>
        <w:keepLines w:val="0"/>
        <w:pageBreakBefore w:val="0"/>
        <w:widowControl w:val="0"/>
        <w:spacing w:line="400" w:lineRule="exact"/>
        <w:ind w:firstLine="482"/>
        <w:outlineLvl w:val="9"/>
        <w:rPr>
          <w:rFonts w:hint="eastAsia" w:ascii="宋体" w:hAnsi="宋体" w:cs="宋体"/>
          <w:color w:val="auto"/>
          <w:sz w:val="24"/>
          <w:highlight w:val="none"/>
        </w:rPr>
      </w:pPr>
    </w:p>
    <w:p>
      <w:pPr>
        <w:keepNext w:val="0"/>
        <w:keepLines w:val="0"/>
        <w:pageBreakBefore w:val="0"/>
        <w:widowControl w:val="0"/>
        <w:spacing w:line="400" w:lineRule="exact"/>
        <w:ind w:firstLine="482"/>
        <w:outlineLvl w:val="9"/>
        <w:rPr>
          <w:rFonts w:hint="eastAsia" w:ascii="宋体" w:hAnsi="宋体" w:cs="宋体"/>
          <w:color w:val="auto"/>
          <w:sz w:val="24"/>
          <w:highlight w:val="none"/>
        </w:rPr>
      </w:pPr>
      <w:r>
        <w:rPr>
          <w:rFonts w:hint="eastAsia" w:ascii="宋体" w:hAnsi="宋体" w:cs="宋体"/>
          <w:color w:val="auto"/>
          <w:sz w:val="24"/>
          <w:highlight w:val="none"/>
        </w:rPr>
        <w:t>供应商（电子签章）：</w:t>
      </w:r>
    </w:p>
    <w:p>
      <w:pPr>
        <w:keepNext w:val="0"/>
        <w:keepLines w:val="0"/>
        <w:pageBreakBefore w:val="0"/>
        <w:widowControl w:val="0"/>
        <w:spacing w:line="400" w:lineRule="exact"/>
        <w:ind w:firstLine="482"/>
        <w:outlineLvl w:val="9"/>
        <w:rPr>
          <w:rFonts w:hint="eastAsia" w:ascii="宋体" w:hAnsi="宋体" w:cs="宋体"/>
          <w:color w:val="auto"/>
          <w:sz w:val="24"/>
          <w:highlight w:val="none"/>
        </w:rPr>
      </w:pPr>
      <w:r>
        <w:rPr>
          <w:rFonts w:hint="eastAsia" w:ascii="宋体" w:hAnsi="宋体" w:cs="宋体"/>
          <w:color w:val="auto"/>
          <w:sz w:val="24"/>
          <w:highlight w:val="none"/>
        </w:rPr>
        <w:t xml:space="preserve">法定代表人（负责人)或授权代表（签字或盖章）：  </w:t>
      </w:r>
    </w:p>
    <w:p>
      <w:pPr>
        <w:keepNext w:val="0"/>
        <w:keepLines w:val="0"/>
        <w:pageBreakBefore w:val="0"/>
        <w:widowControl w:val="0"/>
        <w:spacing w:line="400" w:lineRule="exact"/>
        <w:ind w:firstLine="482"/>
        <w:outlineLvl w:val="9"/>
        <w:rPr>
          <w:rFonts w:hint="eastAsia" w:ascii="宋体" w:hAnsi="宋体" w:cs="宋体"/>
          <w:color w:val="auto"/>
          <w:sz w:val="24"/>
          <w:highlight w:val="none"/>
        </w:rPr>
      </w:pPr>
      <w:r>
        <w:rPr>
          <w:rFonts w:hint="eastAsia" w:ascii="宋体" w:hAnsi="宋体" w:cs="宋体"/>
          <w:color w:val="auto"/>
          <w:sz w:val="24"/>
          <w:highlight w:val="none"/>
        </w:rPr>
        <w:t>联系电话：</w:t>
      </w:r>
    </w:p>
    <w:p>
      <w:pPr>
        <w:keepNext w:val="0"/>
        <w:keepLines w:val="0"/>
        <w:pageBreakBefore w:val="0"/>
        <w:widowControl w:val="0"/>
        <w:spacing w:line="400" w:lineRule="exact"/>
        <w:ind w:firstLine="482"/>
        <w:outlineLvl w:val="9"/>
        <w:rPr>
          <w:rFonts w:hint="eastAsia" w:ascii="宋体" w:hAnsi="宋体" w:cs="宋体"/>
          <w:color w:val="auto"/>
          <w:sz w:val="24"/>
          <w:highlight w:val="none"/>
        </w:rPr>
      </w:pPr>
      <w:r>
        <w:rPr>
          <w:rFonts w:hint="eastAsia" w:ascii="宋体" w:hAnsi="宋体" w:cs="宋体"/>
          <w:color w:val="auto"/>
          <w:sz w:val="24"/>
          <w:highlight w:val="none"/>
        </w:rPr>
        <w:t>移动电话：</w:t>
      </w:r>
    </w:p>
    <w:p>
      <w:pPr>
        <w:keepNext w:val="0"/>
        <w:keepLines w:val="0"/>
        <w:pageBreakBefore w:val="0"/>
        <w:widowControl w:val="0"/>
        <w:spacing w:line="400" w:lineRule="exact"/>
        <w:ind w:firstLine="482"/>
        <w:outlineLvl w:val="9"/>
        <w:rPr>
          <w:rFonts w:hint="eastAsia" w:ascii="宋体" w:hAnsi="宋体" w:cs="宋体"/>
          <w:color w:val="auto"/>
          <w:sz w:val="24"/>
          <w:highlight w:val="none"/>
        </w:rPr>
      </w:pPr>
      <w:r>
        <w:rPr>
          <w:rFonts w:hint="eastAsia" w:ascii="宋体" w:hAnsi="宋体" w:cs="宋体"/>
          <w:color w:val="auto"/>
          <w:sz w:val="24"/>
          <w:highlight w:val="none"/>
        </w:rPr>
        <w:t>日期：</w:t>
      </w:r>
    </w:p>
    <w:p>
      <w:pPr>
        <w:jc w:val="center"/>
        <w:rPr>
          <w:rFonts w:hint="eastAsia" w:ascii="宋体" w:hAnsi="宋体" w:cs="宋体"/>
          <w:b/>
          <w:color w:val="auto"/>
          <w:sz w:val="36"/>
          <w:highlight w:val="none"/>
        </w:rPr>
      </w:pPr>
      <w:r>
        <w:rPr>
          <w:rFonts w:hint="eastAsia" w:ascii="宋体" w:hAnsi="宋体" w:cs="宋体"/>
          <w:b/>
          <w:bCs/>
          <w:color w:val="auto"/>
          <w:sz w:val="28"/>
          <w:highlight w:val="none"/>
        </w:rPr>
        <w:br w:type="page" w:clear="all"/>
      </w:r>
      <w:r>
        <w:rPr>
          <w:rFonts w:hint="eastAsia" w:ascii="宋体" w:hAnsi="宋体" w:cs="宋体"/>
          <w:b/>
          <w:color w:val="auto"/>
          <w:sz w:val="36"/>
          <w:highlight w:val="none"/>
        </w:rPr>
        <w:t>9、授权委托书</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委托人（全称）：</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地  址：</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 xml:space="preserve">法定代表人（负责人）：     </w:t>
      </w:r>
      <w:r>
        <w:rPr>
          <w:rFonts w:hint="eastAsia" w:ascii="宋体" w:hAnsi="宋体" w:cs="宋体"/>
          <w:color w:val="auto"/>
          <w:sz w:val="24"/>
          <w:highlight w:val="none"/>
          <w:lang w:val="en-US" w:eastAsia="zh-CN"/>
        </w:rPr>
        <w:t xml:space="preserve">   </w:t>
      </w:r>
      <w:r>
        <w:rPr>
          <w:rFonts w:hint="eastAsia" w:ascii="宋体" w:hAnsi="宋体" w:cs="宋体"/>
          <w:bCs/>
          <w:sz w:val="24"/>
          <w:highlight w:val="none"/>
        </w:rPr>
        <w:t>联系方式</w:t>
      </w:r>
      <w:r>
        <w:rPr>
          <w:rFonts w:hint="eastAsia" w:ascii="宋体" w:hAnsi="宋体" w:cs="宋体"/>
          <w:bCs/>
          <w:sz w:val="24"/>
          <w:highlight w:val="none"/>
          <w:lang w:eastAsia="zh-CN"/>
        </w:rPr>
        <w:t>（</w:t>
      </w:r>
      <w:r>
        <w:rPr>
          <w:rFonts w:hint="eastAsia" w:ascii="宋体" w:hAnsi="宋体" w:cs="宋体"/>
          <w:bCs/>
          <w:sz w:val="24"/>
          <w:highlight w:val="none"/>
          <w:lang w:val="en-US" w:eastAsia="zh-CN"/>
        </w:rPr>
        <w:t>手机号</w:t>
      </w:r>
      <w:r>
        <w:rPr>
          <w:rFonts w:hint="eastAsia" w:ascii="宋体" w:hAnsi="宋体" w:cs="宋体"/>
          <w:bCs/>
          <w:sz w:val="24"/>
          <w:highlight w:val="none"/>
          <w:lang w:eastAsia="zh-CN"/>
        </w:rPr>
        <w:t>）</w:t>
      </w:r>
      <w:r>
        <w:rPr>
          <w:rFonts w:hint="eastAsia" w:ascii="宋体" w:hAnsi="宋体" w:cs="宋体"/>
          <w:bCs/>
          <w:sz w:val="24"/>
          <w:highlight w:val="none"/>
        </w:rPr>
        <w:t>：</w:t>
      </w:r>
      <w:r>
        <w:rPr>
          <w:rFonts w:hint="eastAsia" w:ascii="宋体" w:hAnsi="宋体" w:cs="宋体"/>
          <w:color w:val="auto"/>
          <w:sz w:val="24"/>
          <w:highlight w:val="none"/>
        </w:rPr>
        <w:t xml:space="preserve">          </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统一社会信用代码：</w:t>
      </w:r>
    </w:p>
    <w:p>
      <w:pPr>
        <w:spacing w:line="500" w:lineRule="exact"/>
        <w:rPr>
          <w:rFonts w:hint="eastAsia" w:ascii="宋体" w:hAnsi="宋体" w:cs="宋体"/>
          <w:color w:val="auto"/>
          <w:sz w:val="24"/>
          <w:highlight w:val="none"/>
        </w:rPr>
      </w:pP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 xml:space="preserve">受托人：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先生（女士）</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身份证号：</w:t>
      </w:r>
      <w:r>
        <w:rPr>
          <w:rFonts w:hint="eastAsia" w:ascii="宋体" w:hAnsi="宋体" w:cs="宋体"/>
          <w:color w:val="auto"/>
          <w:sz w:val="24"/>
          <w:highlight w:val="none"/>
          <w:lang w:val="en-US" w:eastAsia="zh-CN"/>
        </w:rPr>
        <w:t xml:space="preserve">                 </w:t>
      </w:r>
      <w:r>
        <w:rPr>
          <w:rFonts w:hint="eastAsia" w:ascii="宋体" w:hAnsi="宋体" w:cs="宋体"/>
          <w:bCs/>
          <w:sz w:val="24"/>
          <w:highlight w:val="none"/>
        </w:rPr>
        <w:t>联系方式</w:t>
      </w:r>
      <w:r>
        <w:rPr>
          <w:rFonts w:hint="eastAsia" w:ascii="宋体" w:hAnsi="宋体" w:cs="宋体"/>
          <w:bCs/>
          <w:sz w:val="24"/>
          <w:highlight w:val="none"/>
          <w:lang w:eastAsia="zh-CN"/>
        </w:rPr>
        <w:t>（</w:t>
      </w:r>
      <w:r>
        <w:rPr>
          <w:rFonts w:hint="eastAsia" w:ascii="宋体" w:hAnsi="宋体" w:cs="宋体"/>
          <w:bCs/>
          <w:sz w:val="24"/>
          <w:highlight w:val="none"/>
          <w:lang w:val="en-US" w:eastAsia="zh-CN"/>
        </w:rPr>
        <w:t>手机号</w:t>
      </w:r>
      <w:r>
        <w:rPr>
          <w:rFonts w:hint="eastAsia" w:ascii="宋体" w:hAnsi="宋体" w:cs="宋体"/>
          <w:bCs/>
          <w:sz w:val="24"/>
          <w:highlight w:val="none"/>
          <w:lang w:eastAsia="zh-CN"/>
        </w:rPr>
        <w:t>）</w:t>
      </w:r>
      <w:r>
        <w:rPr>
          <w:rFonts w:hint="eastAsia" w:ascii="宋体" w:hAnsi="宋体" w:cs="宋体"/>
          <w:bCs/>
          <w:sz w:val="24"/>
          <w:highlight w:val="none"/>
        </w:rPr>
        <w:t>：</w:t>
      </w:r>
    </w:p>
    <w:p>
      <w:pPr>
        <w:spacing w:line="0" w:lineRule="atLeast"/>
        <w:jc w:val="center"/>
        <w:rPr>
          <w:rFonts w:hint="eastAsia" w:ascii="宋体" w:hAnsi="宋体" w:cs="宋体"/>
          <w:color w:val="auto"/>
          <w:sz w:val="24"/>
          <w:highlight w:val="none"/>
        </w:rPr>
      </w:pPr>
    </w:p>
    <w:p>
      <w:pPr>
        <w:spacing w:line="500" w:lineRule="exact"/>
        <w:rPr>
          <w:rFonts w:hint="eastAsia" w:ascii="宋体" w:hAnsi="宋体" w:cs="宋体"/>
          <w:color w:val="auto"/>
          <w:sz w:val="24"/>
          <w:highlight w:val="none"/>
        </w:rPr>
      </w:pPr>
    </w:p>
    <w:p>
      <w:pPr>
        <w:pStyle w:val="26"/>
        <w:pageBreakBefore w:val="0"/>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兹委托（            ）全权代表我企业（公司）参与</w:t>
      </w:r>
      <w:r>
        <w:rPr>
          <w:rFonts w:hint="eastAsia" w:ascii="宋体" w:hAnsi="宋体" w:cs="宋体"/>
          <w:color w:val="000000" w:themeColor="text1"/>
          <w:sz w:val="24"/>
          <w:szCs w:val="24"/>
          <w:highlight w:val="none"/>
          <w:u w:val="single"/>
          <w:lang w:val="en-US" w:eastAsia="zh-CN" w:bidi="ar-SA"/>
          <w14:textFill>
            <w14:solidFill>
              <w14:schemeClr w14:val="tx1"/>
            </w14:solidFill>
          </w14:textFill>
        </w:rPr>
        <w:t>2025年度新沂市骆马湖片区（窑湾镇腰庄村）省级宜居宜业和美乡村工程建设项目</w:t>
      </w:r>
      <w:r>
        <w:rPr>
          <w:rFonts w:hint="eastAsia" w:ascii="宋体" w:hAnsi="宋体" w:cs="宋体"/>
          <w:color w:val="auto"/>
          <w:sz w:val="24"/>
          <w:highlight w:val="none"/>
        </w:rPr>
        <w:t>[项目编号：</w:t>
      </w:r>
      <w:r>
        <w:rPr>
          <w:rFonts w:hint="eastAsia" w:ascii="宋体" w:hAnsi="宋体" w:cs="宋体"/>
          <w:color w:val="auto"/>
          <w:sz w:val="24"/>
          <w:highlight w:val="none"/>
          <w:lang w:val="en-US" w:eastAsia="zh-CN"/>
        </w:rPr>
        <w:t>JSZC-320381037-ZGYZ-C2025-0004</w:t>
      </w:r>
      <w:r>
        <w:rPr>
          <w:rFonts w:hint="eastAsia" w:ascii="宋体" w:hAnsi="宋体" w:cs="宋体"/>
          <w:color w:val="auto"/>
          <w:sz w:val="24"/>
          <w:highlight w:val="none"/>
        </w:rPr>
        <w:t>]的磋商活动及签订合同。（         ）以我企业（公司）名义所为的行为及签署的文件，我企业（公司）均予以认可。有关法律责任均由我企业（公司）承担。（         ）无转委托权。委托期限自    年  月   日起至    年  月    日止。</w:t>
      </w:r>
    </w:p>
    <w:p>
      <w:pPr>
        <w:spacing w:line="500" w:lineRule="exact"/>
        <w:rPr>
          <w:rFonts w:hint="eastAsia" w:ascii="宋体" w:hAnsi="宋体" w:cs="宋体"/>
          <w:color w:val="auto"/>
          <w:sz w:val="24"/>
          <w:highlight w:val="none"/>
        </w:rPr>
      </w:pP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委托人（电子签章）：</w:t>
      </w:r>
    </w:p>
    <w:p>
      <w:pPr>
        <w:spacing w:line="500" w:lineRule="exact"/>
        <w:rPr>
          <w:rFonts w:hint="eastAsia" w:ascii="宋体" w:hAnsi="宋体" w:cs="宋体"/>
          <w:color w:val="auto"/>
          <w:sz w:val="24"/>
          <w:highlight w:val="none"/>
        </w:rPr>
      </w:pP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法定代表人（负责人）（签字或盖章）：</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 xml:space="preserve"> 受托人（签字或盖章）：</w:t>
      </w:r>
    </w:p>
    <w:p>
      <w:pPr>
        <w:spacing w:line="500" w:lineRule="exact"/>
        <w:ind w:firstLine="3561"/>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pPr>
        <w:jc w:val="center"/>
        <w:rPr>
          <w:rFonts w:hint="eastAsia" w:ascii="宋体" w:hAnsi="宋体" w:cs="宋体"/>
          <w:color w:val="auto"/>
          <w:sz w:val="24"/>
          <w:highlight w:val="none"/>
        </w:rPr>
      </w:pPr>
    </w:p>
    <w:p>
      <w:pPr>
        <w:jc w:val="center"/>
        <w:rPr>
          <w:rFonts w:hint="eastAsia" w:ascii="宋体" w:hAnsi="宋体" w:cs="宋体"/>
          <w:color w:val="auto"/>
          <w:sz w:val="24"/>
          <w:highlight w:val="none"/>
        </w:rPr>
      </w:pPr>
    </w:p>
    <w:p>
      <w:pPr>
        <w:jc w:val="center"/>
        <w:rPr>
          <w:rFonts w:hint="eastAsia" w:ascii="宋体" w:hAnsi="宋体" w:cs="宋体"/>
          <w:color w:val="auto"/>
          <w:sz w:val="24"/>
          <w:highlight w:val="none"/>
        </w:rPr>
      </w:pPr>
    </w:p>
    <w:p>
      <w:pPr>
        <w:jc w:val="center"/>
        <w:rPr>
          <w:rFonts w:hint="eastAsia" w:ascii="宋体" w:hAnsi="宋体" w:cs="宋体"/>
          <w:color w:val="auto"/>
          <w:sz w:val="24"/>
          <w:highlight w:val="none"/>
        </w:rPr>
      </w:pPr>
    </w:p>
    <w:p>
      <w:pPr>
        <w:jc w:val="center"/>
        <w:rPr>
          <w:rFonts w:hint="eastAsia" w:ascii="宋体" w:hAnsi="宋体" w:cs="宋体"/>
          <w:color w:val="auto"/>
          <w:sz w:val="24"/>
          <w:highlight w:val="none"/>
        </w:rPr>
      </w:pPr>
    </w:p>
    <w:p>
      <w:pPr>
        <w:jc w:val="center"/>
        <w:rPr>
          <w:rFonts w:hint="eastAsia" w:ascii="宋体" w:hAnsi="宋体" w:cs="宋体"/>
          <w:color w:val="auto"/>
          <w:sz w:val="24"/>
          <w:highlight w:val="none"/>
        </w:rPr>
      </w:pPr>
    </w:p>
    <w:p>
      <w:pPr>
        <w:jc w:val="center"/>
        <w:rPr>
          <w:rFonts w:hint="eastAsia" w:ascii="宋体" w:hAnsi="宋体" w:cs="宋体"/>
          <w:color w:val="auto"/>
          <w:sz w:val="24"/>
          <w:highlight w:val="none"/>
        </w:rPr>
      </w:pPr>
      <w:r>
        <w:rPr>
          <w:rFonts w:hint="eastAsia" w:ascii="宋体" w:hAnsi="宋体" w:cs="宋体"/>
          <w:color w:val="auto"/>
          <w:sz w:val="24"/>
          <w:highlight w:val="none"/>
        </w:rPr>
        <w:t>（受托人身份证复印件附后)</w:t>
      </w:r>
    </w:p>
    <w:p>
      <w:pPr>
        <w:widowControl/>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clear="all"/>
      </w:r>
      <w:r>
        <w:rPr>
          <w:rFonts w:hint="eastAsia" w:ascii="宋体" w:hAnsi="宋体" w:cs="宋体"/>
          <w:b/>
          <w:color w:val="auto"/>
          <w:sz w:val="36"/>
          <w:szCs w:val="36"/>
          <w:highlight w:val="none"/>
        </w:rPr>
        <w:t>10、</w:t>
      </w:r>
      <w:bookmarkStart w:id="290" w:name="_Hlk81985284"/>
      <w:r>
        <w:rPr>
          <w:rFonts w:hint="eastAsia" w:ascii="宋体" w:hAnsi="宋体" w:cs="宋体"/>
          <w:b/>
          <w:color w:val="auto"/>
          <w:sz w:val="36"/>
          <w:szCs w:val="36"/>
          <w:highlight w:val="none"/>
        </w:rPr>
        <w:t>中小企业声明函</w:t>
      </w:r>
    </w:p>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项目编号：</w:t>
      </w:r>
      <w:r>
        <w:rPr>
          <w:rFonts w:hint="eastAsia" w:ascii="宋体" w:hAnsi="宋体" w:cs="宋体"/>
          <w:color w:val="auto"/>
          <w:sz w:val="24"/>
          <w:szCs w:val="21"/>
          <w:highlight w:val="none"/>
          <w:lang w:eastAsia="zh-CN"/>
        </w:rPr>
        <w:t>JSZC-320381037-ZGYZ-C2025-0004</w:t>
      </w:r>
    </w:p>
    <w:p>
      <w:pPr>
        <w:pStyle w:val="26"/>
        <w:pageBreakBefore w:val="0"/>
        <w:spacing w:line="360" w:lineRule="auto"/>
        <w:ind w:left="1739" w:hanging="1260"/>
        <w:jc w:val="left"/>
        <w:rPr>
          <w:rFonts w:hint="eastAsia" w:ascii="宋体" w:hAnsi="宋体" w:eastAsia="宋体" w:cs="宋体"/>
          <w:color w:val="auto"/>
          <w:spacing w:val="6"/>
          <w:sz w:val="24"/>
          <w:highlight w:val="none"/>
          <w:lang w:eastAsia="zh-CN"/>
        </w:rPr>
      </w:pPr>
      <w:r>
        <w:rPr>
          <w:rFonts w:hint="eastAsia" w:ascii="宋体" w:hAnsi="宋体" w:cs="宋体"/>
          <w:color w:val="auto"/>
          <w:spacing w:val="6"/>
          <w:sz w:val="24"/>
          <w:highlight w:val="none"/>
        </w:rPr>
        <w:t>项目名称：</w:t>
      </w:r>
      <w:r>
        <w:rPr>
          <w:rFonts w:hint="eastAsia" w:ascii="宋体" w:hAnsi="宋体" w:cs="宋体"/>
          <w:color w:val="000000" w:themeColor="text1"/>
          <w:sz w:val="24"/>
          <w:szCs w:val="24"/>
          <w:highlight w:val="none"/>
          <w:lang w:val="en-US" w:eastAsia="zh-CN" w:bidi="ar-SA"/>
          <w14:textFill>
            <w14:solidFill>
              <w14:schemeClr w14:val="tx1"/>
            </w14:solidFill>
          </w14:textFill>
        </w:rPr>
        <w:t>2025年度新沂市骆马湖片区（窑湾镇腰庄村）省级宜居宜业和美乡村工程建设项目</w:t>
      </w:r>
    </w:p>
    <w:p>
      <w:pPr>
        <w:spacing w:line="360" w:lineRule="auto"/>
        <w:ind w:firstLine="504"/>
        <w:rPr>
          <w:rFonts w:hint="eastAsia" w:ascii="宋体" w:hAnsi="宋体" w:eastAsia="宋体" w:cs="宋体"/>
          <w:color w:val="auto"/>
          <w:spacing w:val="6"/>
          <w:sz w:val="24"/>
          <w:highlight w:val="none"/>
          <w:lang w:eastAsia="zh-CN"/>
        </w:rPr>
      </w:pPr>
      <w:r>
        <w:rPr>
          <w:rFonts w:hint="eastAsia" w:ascii="宋体" w:hAnsi="宋体" w:cs="宋体"/>
          <w:color w:val="auto"/>
          <w:spacing w:val="6"/>
          <w:sz w:val="24"/>
          <w:highlight w:val="none"/>
        </w:rPr>
        <w:t>项目编号：</w:t>
      </w:r>
    </w:p>
    <w:p>
      <w:pPr>
        <w:spacing w:line="360" w:lineRule="auto"/>
        <w:ind w:firstLine="504"/>
        <w:rPr>
          <w:rFonts w:hint="eastAsia" w:ascii="宋体" w:hAnsi="宋体" w:cs="宋体"/>
          <w:color w:val="auto"/>
          <w:spacing w:val="6"/>
          <w:sz w:val="24"/>
          <w:highlight w:val="none"/>
        </w:rPr>
      </w:pPr>
      <w:r>
        <w:rPr>
          <w:rFonts w:hint="eastAsia" w:ascii="宋体" w:hAnsi="宋体" w:cs="宋体"/>
          <w:color w:val="auto"/>
          <w:spacing w:val="6"/>
          <w:sz w:val="24"/>
          <w:highlight w:val="none"/>
        </w:rPr>
        <w:t>本公司（联合体）郑重声明，根据《政府采购促进中小企业发展管理办法》（财库[2020]46号）的规定，本公司</w:t>
      </w:r>
      <w:r>
        <w:rPr>
          <w:rFonts w:ascii="宋体" w:hAnsi="宋体"/>
          <w:color w:val="auto"/>
          <w:sz w:val="24"/>
          <w:highlight w:val="none"/>
        </w:rPr>
        <w:t>参加</w:t>
      </w:r>
      <w:r>
        <w:rPr>
          <w:rFonts w:ascii="宋体" w:hAnsi="宋体"/>
          <w:color w:val="auto"/>
          <w:sz w:val="24"/>
          <w:highlight w:val="none"/>
          <w:u w:val="single"/>
        </w:rPr>
        <w:t>（</w:t>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w:t>
      </w:r>
      <w:r>
        <w:rPr>
          <w:rFonts w:ascii="宋体" w:hAnsi="宋体"/>
          <w:color w:val="auto"/>
          <w:sz w:val="24"/>
          <w:highlight w:val="none"/>
        </w:rPr>
        <w:t>的</w:t>
      </w:r>
      <w:r>
        <w:rPr>
          <w:rFonts w:ascii="宋体" w:hAnsi="宋体"/>
          <w:color w:val="auto"/>
          <w:sz w:val="24"/>
          <w:highlight w:val="none"/>
          <w:u w:val="single"/>
        </w:rPr>
        <w:t>（</w:t>
      </w:r>
      <w:r>
        <w:rPr>
          <w:rFonts w:hint="eastAsia" w:ascii="宋体" w:hAnsi="宋体" w:cs="宋体"/>
          <w:color w:val="000000" w:themeColor="text1"/>
          <w:sz w:val="24"/>
          <w:szCs w:val="24"/>
          <w:highlight w:val="none"/>
          <w:u w:val="single"/>
          <w:lang w:val="en-US" w:eastAsia="zh-CN" w:bidi="ar-SA"/>
          <w14:textFill>
            <w14:solidFill>
              <w14:schemeClr w14:val="tx1"/>
            </w14:solidFill>
          </w14:textFill>
        </w:rPr>
        <w:t>2025年度新沂市骆马湖片区（窑湾镇腰庄村）省级宜居宜业和美乡村工程建设项目</w:t>
      </w:r>
      <w:r>
        <w:rPr>
          <w:rFonts w:ascii="宋体" w:hAnsi="宋体"/>
          <w:color w:val="auto"/>
          <w:sz w:val="24"/>
          <w:highlight w:val="none"/>
          <w:u w:val="single"/>
        </w:rPr>
        <w:t>）</w:t>
      </w:r>
      <w:r>
        <w:rPr>
          <w:rFonts w:ascii="宋体" w:hAnsi="宋体"/>
          <w:color w:val="auto"/>
          <w:sz w:val="24"/>
          <w:highlight w:val="none"/>
        </w:rPr>
        <w:t>采购活动</w:t>
      </w:r>
      <w:r>
        <w:rPr>
          <w:rFonts w:hint="eastAsia" w:ascii="宋体" w:hAnsi="宋体" w:cs="宋体"/>
          <w:color w:val="auto"/>
          <w:spacing w:val="6"/>
          <w:sz w:val="24"/>
          <w:highlight w:val="none"/>
        </w:rPr>
        <w:t>，工程的施工单位全部为符合政策要求的中小企业。相关企业（含联合体中的中小企业、签订分包意向协议的中小企业）的具体情况如下：</w:t>
      </w:r>
    </w:p>
    <w:p>
      <w:pPr>
        <w:spacing w:line="360" w:lineRule="auto"/>
        <w:ind w:firstLine="504"/>
        <w:rPr>
          <w:rFonts w:hint="eastAsia" w:ascii="宋体" w:hAnsi="宋体" w:cs="宋体"/>
          <w:color w:val="auto"/>
          <w:spacing w:val="6"/>
          <w:sz w:val="24"/>
          <w:highlight w:val="none"/>
        </w:rPr>
      </w:pPr>
      <w:r>
        <w:rPr>
          <w:rFonts w:hint="eastAsia" w:ascii="宋体" w:hAnsi="宋体" w:cs="宋体"/>
          <w:color w:val="auto"/>
          <w:spacing w:val="6"/>
          <w:sz w:val="24"/>
          <w:highlight w:val="none"/>
          <w:u w:val="single"/>
        </w:rPr>
        <w:t>（标的名称）</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（采购文件中明确的所属行业）</w:t>
      </w:r>
      <w:r>
        <w:rPr>
          <w:rFonts w:hint="eastAsia" w:ascii="宋体" w:hAnsi="宋体" w:cs="宋体"/>
          <w:color w:val="auto"/>
          <w:spacing w:val="6"/>
          <w:sz w:val="24"/>
          <w:highlight w:val="none"/>
        </w:rPr>
        <w:t>；承建（承建）企业为（企业名称），从业人员（  ）人，营业收入为（   万元），资产总额为（  万元）①，属于（中型企业、小型企业、微型企业,</w:t>
      </w:r>
      <w:r>
        <w:rPr>
          <w:rFonts w:hint="eastAsia" w:ascii="宋体" w:hAnsi="宋体" w:cs="宋体"/>
          <w:b/>
          <w:bCs/>
          <w:color w:val="auto"/>
          <w:spacing w:val="6"/>
          <w:sz w:val="24"/>
          <w:highlight w:val="none"/>
        </w:rPr>
        <w:t>请勾选！</w:t>
      </w:r>
      <w:r>
        <w:rPr>
          <w:rFonts w:hint="eastAsia" w:ascii="宋体" w:hAnsi="宋体" w:cs="宋体"/>
          <w:color w:val="auto"/>
          <w:spacing w:val="6"/>
          <w:sz w:val="24"/>
          <w:highlight w:val="none"/>
        </w:rPr>
        <w:t>）；</w:t>
      </w:r>
    </w:p>
    <w:p>
      <w:pPr>
        <w:pStyle w:val="26"/>
        <w:widowControl w:val="0"/>
        <w:spacing w:line="360" w:lineRule="auto"/>
        <w:ind w:firstLine="480"/>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w:t>
      </w:r>
    </w:p>
    <w:p>
      <w:pPr>
        <w:spacing w:line="480" w:lineRule="exact"/>
        <w:ind w:firstLine="482"/>
        <w:rPr>
          <w:rFonts w:hint="eastAsia" w:ascii="宋体" w:hAnsi="宋体" w:cs="宋体"/>
          <w:b/>
          <w:bCs/>
          <w:color w:val="auto"/>
          <w:spacing w:val="6"/>
          <w:sz w:val="24"/>
          <w:highlight w:val="none"/>
        </w:rPr>
      </w:pPr>
      <w:r>
        <w:rPr>
          <w:rFonts w:hint="eastAsia" w:ascii="宋体" w:hAnsi="宋体" w:cs="宋体"/>
          <w:b/>
          <w:bCs/>
          <w:color w:val="auto"/>
          <w:sz w:val="24"/>
          <w:highlight w:val="none"/>
        </w:rPr>
        <w:t>以上企业，不属于大企业的分支机构，不存在控股股东为大企业的情形，也不存在与大企业的负责人为同一人的情形。</w:t>
      </w:r>
    </w:p>
    <w:p>
      <w:pPr>
        <w:spacing w:line="480" w:lineRule="exact"/>
        <w:ind w:firstLine="480"/>
        <w:rPr>
          <w:rFonts w:hint="eastAsia" w:ascii="宋体" w:hAnsi="宋体" w:cs="宋体"/>
          <w:color w:val="auto"/>
          <w:spacing w:val="6"/>
          <w:sz w:val="24"/>
          <w:highlight w:val="none"/>
        </w:rPr>
      </w:pPr>
      <w:r>
        <w:rPr>
          <w:rFonts w:hint="eastAsia" w:ascii="宋体" w:hAnsi="宋体" w:cs="宋体"/>
          <w:color w:val="auto"/>
          <w:sz w:val="24"/>
          <w:highlight w:val="none"/>
        </w:rPr>
        <w:t>本企业对上述声明内容的真实性负责。如有虚假，将依法承担相应责任。</w:t>
      </w:r>
    </w:p>
    <w:p>
      <w:pPr>
        <w:widowControl/>
        <w:spacing w:line="480" w:lineRule="exact"/>
        <w:ind w:firstLine="600"/>
        <w:jc w:val="left"/>
        <w:rPr>
          <w:rFonts w:hint="eastAsia" w:ascii="宋体" w:hAnsi="宋体" w:cs="宋体"/>
          <w:color w:val="auto"/>
          <w:sz w:val="24"/>
          <w:highlight w:val="none"/>
        </w:rPr>
      </w:pPr>
    </w:p>
    <w:p>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 xml:space="preserve">                         企业名称（</w:t>
      </w:r>
      <w:r>
        <w:rPr>
          <w:rFonts w:hint="eastAsia" w:ascii="宋体" w:hAnsi="宋体" w:cs="宋体"/>
          <w:color w:val="auto"/>
          <w:sz w:val="24"/>
          <w:highlight w:val="none"/>
          <w:lang w:val="en-US" w:eastAsia="zh-CN"/>
        </w:rPr>
        <w:t>电子签章</w:t>
      </w:r>
      <w:r>
        <w:rPr>
          <w:rFonts w:hint="eastAsia" w:ascii="宋体" w:hAnsi="宋体" w:cs="宋体"/>
          <w:color w:val="auto"/>
          <w:sz w:val="24"/>
          <w:highlight w:val="none"/>
        </w:rPr>
        <w:t>）：</w:t>
      </w:r>
    </w:p>
    <w:p>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 xml:space="preserve">                         日期：</w:t>
      </w:r>
    </w:p>
    <w:p>
      <w:pPr>
        <w:spacing w:line="480" w:lineRule="exact"/>
        <w:ind w:firstLine="600"/>
        <w:rPr>
          <w:rFonts w:hint="eastAsia" w:ascii="宋体" w:hAnsi="宋体" w:cs="宋体"/>
          <w:color w:val="auto"/>
          <w:sz w:val="30"/>
          <w:szCs w:val="30"/>
          <w:highlight w:val="none"/>
        </w:rPr>
      </w:pPr>
    </w:p>
    <w:p>
      <w:pPr>
        <w:spacing w:line="480" w:lineRule="exact"/>
        <w:ind w:firstLine="482"/>
        <w:rPr>
          <w:rFonts w:hint="eastAsia" w:ascii="宋体" w:hAnsi="宋体" w:cs="宋体"/>
          <w:b/>
          <w:color w:val="auto"/>
          <w:sz w:val="24"/>
          <w:highlight w:val="none"/>
        </w:rPr>
      </w:pPr>
      <w:r>
        <w:rPr>
          <w:rFonts w:hint="eastAsia" w:ascii="宋体" w:hAnsi="宋体" w:cs="宋体"/>
          <w:b/>
          <w:color w:val="auto"/>
          <w:sz w:val="24"/>
          <w:highlight w:val="none"/>
        </w:rPr>
        <w:t>注：本项目采购项目属性为：</w:t>
      </w:r>
      <w:r>
        <w:rPr>
          <w:rFonts w:hint="eastAsia" w:ascii="宋体" w:hAnsi="宋体" w:cs="宋体"/>
          <w:b/>
          <w:color w:val="auto"/>
          <w:sz w:val="24"/>
          <w:highlight w:val="none"/>
          <w:u w:val="single"/>
        </w:rPr>
        <w:t>建筑业</w:t>
      </w:r>
      <w:r>
        <w:rPr>
          <w:rFonts w:hint="eastAsia" w:ascii="宋体" w:hAnsi="宋体" w:cs="宋体"/>
          <w:b/>
          <w:color w:val="auto"/>
          <w:sz w:val="24"/>
          <w:highlight w:val="none"/>
        </w:rPr>
        <w:t>。</w:t>
      </w:r>
    </w:p>
    <w:p>
      <w:pPr>
        <w:spacing w:line="480" w:lineRule="exact"/>
        <w:ind w:firstLine="482"/>
        <w:rPr>
          <w:rFonts w:hint="eastAsia" w:ascii="宋体" w:hAnsi="宋体" w:cs="宋体"/>
          <w:color w:val="auto"/>
          <w:sz w:val="30"/>
          <w:szCs w:val="30"/>
          <w:highlight w:val="none"/>
        </w:rPr>
      </w:pPr>
      <w:r>
        <w:rPr>
          <w:rFonts w:hint="eastAsia" w:ascii="宋体" w:hAnsi="宋体" w:cs="宋体"/>
          <w:b/>
          <w:color w:val="auto"/>
          <w:sz w:val="24"/>
          <w:highlight w:val="none"/>
        </w:rPr>
        <w:t>备注：从业人员、营业收入、资产总额填报上一年度数据，无上一年度数据的新成立企业可不填报。</w:t>
      </w:r>
    </w:p>
    <w:p>
      <w:pPr>
        <w:spacing w:line="360" w:lineRule="auto"/>
        <w:rPr>
          <w:rFonts w:hint="eastAsia" w:ascii="宋体" w:hAnsi="宋体" w:cs="宋体"/>
          <w:color w:val="auto"/>
          <w:sz w:val="24"/>
          <w:highlight w:val="none"/>
          <w:u w:val="single"/>
        </w:rPr>
      </w:pPr>
    </w:p>
    <w:p>
      <w:pPr>
        <w:pStyle w:val="396"/>
        <w:spacing w:before="0" w:beforeAutospacing="0" w:after="0" w:afterAutospacing="0" w:line="360" w:lineRule="auto"/>
        <w:rPr>
          <w:rFonts w:hint="eastAsia" w:cs="宋体"/>
          <w:color w:val="auto"/>
          <w:sz w:val="15"/>
          <w:szCs w:val="15"/>
          <w:highlight w:val="none"/>
        </w:rPr>
      </w:pPr>
      <w:r>
        <w:rPr>
          <w:rFonts w:hint="eastAsia" w:cs="宋体"/>
          <w:color w:val="auto"/>
          <w:sz w:val="15"/>
          <w:szCs w:val="15"/>
          <w:highlight w:val="none"/>
        </w:rPr>
        <w:br w:type="page" w:clear="all"/>
      </w:r>
    </w:p>
    <w:p>
      <w:pPr>
        <w:pStyle w:val="396"/>
        <w:spacing w:before="0" w:beforeAutospacing="0" w:after="0" w:afterAutospacing="0" w:line="360" w:lineRule="auto"/>
        <w:jc w:val="center"/>
        <w:rPr>
          <w:rFonts w:hint="eastAsia" w:cs="宋体"/>
          <w:color w:val="auto"/>
          <w:sz w:val="15"/>
          <w:szCs w:val="15"/>
          <w:highlight w:val="none"/>
        </w:rPr>
      </w:pPr>
      <w:r>
        <w:rPr>
          <w:rFonts w:hint="eastAsia" w:cs="宋体"/>
          <w:b/>
          <w:color w:val="auto"/>
          <w:highlight w:val="none"/>
        </w:rPr>
        <w:t>《中小企业声明函》查询渠道参考工业和信息化部发布的中小企业规模自测小程序</w:t>
      </w:r>
    </w:p>
    <w:p>
      <w:pPr>
        <w:pStyle w:val="396"/>
        <w:spacing w:before="0" w:beforeAutospacing="0" w:after="0" w:afterAutospacing="0" w:line="360" w:lineRule="auto"/>
        <w:rPr>
          <w:rFonts w:hint="eastAsia" w:cs="宋体"/>
          <w:color w:val="auto"/>
          <w:sz w:val="22"/>
          <w:szCs w:val="22"/>
          <w:highlight w:val="none"/>
        </w:rPr>
      </w:pPr>
      <w:r>
        <w:rPr>
          <w:rFonts w:hint="eastAsia" w:cs="宋体"/>
          <w:color w:val="auto"/>
          <w:sz w:val="22"/>
          <w:szCs w:val="22"/>
          <w:highlight w:val="none"/>
        </w:rPr>
        <w:t>为方便中小企业和社会各界使用自测结果，小程序增加自测结果打印功能，测试者可按照小程序填写测试企业有关信息并完成自测后，保存自测结果自行打印。</w:t>
      </w:r>
    </w:p>
    <w:p>
      <w:pPr>
        <w:pStyle w:val="396"/>
        <w:spacing w:before="0" w:beforeAutospacing="0" w:after="0" w:afterAutospacing="0" w:line="360" w:lineRule="auto"/>
        <w:ind w:firstLine="440"/>
        <w:rPr>
          <w:rFonts w:hint="eastAsia" w:cs="宋体"/>
          <w:color w:val="auto"/>
          <w:sz w:val="22"/>
          <w:szCs w:val="22"/>
          <w:highlight w:val="none"/>
        </w:rPr>
      </w:pPr>
      <w:r>
        <w:rPr>
          <w:rFonts w:hint="eastAsia" w:cs="宋体"/>
          <w:color w:val="auto"/>
          <w:sz w:val="22"/>
          <w:szCs w:val="22"/>
          <w:highlight w:val="none"/>
        </w:rPr>
        <w:t>如有疑问，可与市工信局中小企业综合协调处咨询联系。联系电话：0516-83861958</w:t>
      </w:r>
    </w:p>
    <w:p>
      <w:pPr>
        <w:widowControl/>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color w:val="auto"/>
          <w:sz w:val="24"/>
          <w:szCs w:val="21"/>
          <w:highlight w:val="none"/>
        </w:rPr>
      </w:pPr>
      <w:r>
        <w:rPr>
          <w:rFonts w:hint="eastAsia" w:ascii="宋体" w:hAnsi="宋体" w:cs="宋体"/>
          <w:color w:val="auto"/>
          <w:sz w:val="24"/>
          <w:szCs w:val="21"/>
          <w:highlight w:val="none"/>
        </w:rPr>
        <w:drawing>
          <wp:inline distT="0" distB="0" distL="0" distR="0">
            <wp:extent cx="2860040" cy="5730875"/>
            <wp:effectExtent l="0" t="0" r="0" b="0"/>
            <wp:docPr id="8" name="图片 7"/>
            <wp:cNvGraphicFramePr/>
            <a:graphic xmlns:a="http://schemas.openxmlformats.org/drawingml/2006/main">
              <a:graphicData uri="http://schemas.openxmlformats.org/drawingml/2006/picture">
                <pic:pic xmlns:pic="http://schemas.openxmlformats.org/drawingml/2006/picture">
                  <pic:nvPicPr>
                    <pic:cNvPr id="8" name="图片 7"/>
                    <pic:cNvPicPr/>
                  </pic:nvPicPr>
                  <pic:blipFill>
                    <a:blip r:embed="rId16"/>
                    <a:stretch>
                      <a:fillRect/>
                    </a:stretch>
                  </pic:blipFill>
                  <pic:spPr>
                    <a:xfrm>
                      <a:off x="0" y="0"/>
                      <a:ext cx="2860358" cy="5730888"/>
                    </a:xfrm>
                    <a:prstGeom prst="rect">
                      <a:avLst/>
                    </a:prstGeom>
                    <a:noFill/>
                    <a:ln>
                      <a:noFill/>
                    </a:ln>
                  </pic:spPr>
                </pic:pic>
              </a:graphicData>
            </a:graphic>
          </wp:inline>
        </w:drawing>
      </w:r>
      <w:bookmarkEnd w:id="290"/>
    </w:p>
    <w:p>
      <w:pPr>
        <w:widowControl/>
        <w:spacing w:before="100" w:beforeAutospacing="1" w:afterAutospacing="1" w:line="450" w:lineRule="atLeast"/>
        <w:ind w:right="480"/>
        <w:rPr>
          <w:rFonts w:hint="eastAsia" w:ascii="宋体" w:hAnsi="宋体" w:cs="宋体"/>
          <w:color w:val="auto"/>
          <w:sz w:val="24"/>
          <w:highlight w:val="none"/>
        </w:rPr>
      </w:pPr>
    </w:p>
    <w:p>
      <w:pPr>
        <w:jc w:val="center"/>
        <w:rPr>
          <w:rFonts w:hint="eastAsia" w:ascii="宋体" w:hAnsi="宋体" w:cs="宋体"/>
          <w:b/>
          <w:color w:val="auto"/>
          <w:sz w:val="36"/>
          <w:szCs w:val="36"/>
          <w:highlight w:val="none"/>
        </w:rPr>
      </w:pPr>
      <w:r>
        <w:rPr>
          <w:rFonts w:hint="eastAsia" w:ascii="宋体" w:hAnsi="宋体" w:cs="宋体"/>
          <w:color w:val="auto"/>
          <w:sz w:val="36"/>
          <w:szCs w:val="36"/>
          <w:highlight w:val="none"/>
        </w:rPr>
        <w:br w:type="page" w:clear="all"/>
      </w:r>
      <w:r>
        <w:rPr>
          <w:rFonts w:hint="eastAsia" w:ascii="宋体" w:hAnsi="宋体" w:cs="宋体"/>
          <w:b/>
          <w:bCs/>
          <w:color w:val="auto"/>
          <w:sz w:val="36"/>
          <w:szCs w:val="36"/>
          <w:highlight w:val="none"/>
        </w:rPr>
        <w:t>11、</w:t>
      </w:r>
      <w:r>
        <w:rPr>
          <w:rFonts w:hint="eastAsia" w:ascii="宋体" w:hAnsi="宋体" w:cs="宋体"/>
          <w:b/>
          <w:color w:val="auto"/>
          <w:sz w:val="36"/>
          <w:szCs w:val="36"/>
          <w:highlight w:val="none"/>
        </w:rPr>
        <w:t>供应商参加政府采购活动前3年内在经营活动中没有重大违法记录的书面声明</w:t>
      </w:r>
    </w:p>
    <w:p>
      <w:pPr>
        <w:keepNext w:val="0"/>
        <w:keepLines w:val="0"/>
        <w:pageBreakBefore w:val="0"/>
        <w:widowControl/>
        <w:spacing w:before="100" w:beforeAutospacing="1" w:after="100" w:afterAutospacing="1" w:line="360" w:lineRule="auto"/>
        <w:ind w:firstLine="482"/>
        <w:jc w:val="left"/>
        <w:outlineLvl w:val="9"/>
        <w:rPr>
          <w:rFonts w:hint="eastAsia" w:ascii="宋体" w:hAnsi="宋体" w:cs="宋体"/>
          <w:color w:val="auto"/>
          <w:sz w:val="24"/>
          <w:highlight w:val="none"/>
        </w:rPr>
      </w:pPr>
      <w:r>
        <w:rPr>
          <w:rFonts w:hint="eastAsia" w:ascii="宋体" w:hAnsi="宋体" w:cs="宋体"/>
          <w:color w:val="auto"/>
          <w:sz w:val="24"/>
          <w:highlight w:val="none"/>
        </w:rPr>
        <w:t>我单位在参加</w:t>
      </w:r>
      <w:r>
        <w:rPr>
          <w:rFonts w:hint="eastAsia" w:ascii="宋体" w:hAnsi="宋体" w:cs="宋体"/>
          <w:color w:val="000000" w:themeColor="text1"/>
          <w:sz w:val="24"/>
          <w:szCs w:val="24"/>
          <w:highlight w:val="none"/>
          <w:u w:val="single"/>
          <w:lang w:val="en-US" w:eastAsia="zh-CN" w:bidi="ar-SA"/>
          <w14:textFill>
            <w14:solidFill>
              <w14:schemeClr w14:val="tx1"/>
            </w14:solidFill>
          </w14:textFill>
        </w:rPr>
        <w:t>2025年度新沂市骆马湖片区（窑湾镇腰庄村）省级宜居宜业和美乡村工程建设项目</w:t>
      </w:r>
      <w:r>
        <w:rPr>
          <w:rFonts w:hint="eastAsia" w:ascii="宋体" w:hAnsi="宋体" w:cs="宋体"/>
          <w:color w:val="auto"/>
          <w:sz w:val="24"/>
          <w:highlight w:val="none"/>
        </w:rPr>
        <w:t>（项目编号</w:t>
      </w:r>
      <w:r>
        <w:rPr>
          <w:rFonts w:hint="eastAsia" w:ascii="宋体" w:hAnsi="宋体" w:cs="宋体"/>
          <w:color w:val="auto"/>
          <w:sz w:val="24"/>
          <w:highlight w:val="none"/>
          <w:lang w:val="en-US" w:eastAsia="zh-CN"/>
        </w:rPr>
        <w:t>:</w:t>
      </w:r>
      <w:r>
        <w:rPr>
          <w:rFonts w:hint="eastAsia" w:ascii="宋体" w:hAnsi="宋体" w:cs="宋体"/>
          <w:color w:val="auto"/>
          <w:sz w:val="24"/>
          <w:highlight w:val="none"/>
          <w:u w:val="single"/>
          <w:lang w:val="en-US" w:eastAsia="zh-CN"/>
        </w:rPr>
        <w:t xml:space="preserve"> JSZC-320381037-ZGYZ-C2025-0004 </w:t>
      </w:r>
      <w:r>
        <w:rPr>
          <w:rFonts w:hint="eastAsia" w:ascii="宋体" w:hAnsi="宋体" w:cs="宋体"/>
          <w:color w:val="auto"/>
          <w:sz w:val="24"/>
          <w:highlight w:val="none"/>
        </w:rPr>
        <w:t>）政府采购活动前3年内在经营活动中没有重大违法记录。重大违法记录是指因违法经营受到刑事处罚或者责令停产停业、吊销许可证或者执照、较大数额罚款等行政处罚。</w:t>
      </w:r>
    </w:p>
    <w:p>
      <w:pPr>
        <w:widowControl/>
        <w:spacing w:before="100" w:beforeAutospacing="1" w:after="100" w:afterAutospacing="1"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我单位对上述声明的真实性负责。如有虚假，将依法承担相应责任。</w:t>
      </w:r>
    </w:p>
    <w:p>
      <w:pPr>
        <w:ind w:right="29"/>
        <w:rPr>
          <w:rFonts w:hint="eastAsia" w:ascii="宋体" w:hAnsi="宋体" w:cs="宋体"/>
          <w:color w:val="auto"/>
          <w:sz w:val="24"/>
          <w:highlight w:val="none"/>
        </w:rPr>
      </w:pPr>
    </w:p>
    <w:p>
      <w:pPr>
        <w:ind w:right="29"/>
        <w:rPr>
          <w:rFonts w:hint="eastAsia" w:ascii="宋体" w:hAnsi="宋体" w:cs="宋体"/>
          <w:color w:val="auto"/>
          <w:sz w:val="24"/>
          <w:highlight w:val="none"/>
        </w:rPr>
      </w:pPr>
    </w:p>
    <w:p>
      <w:pPr>
        <w:spacing w:line="360" w:lineRule="auto"/>
        <w:ind w:right="29"/>
        <w:rPr>
          <w:rFonts w:hint="eastAsia" w:ascii="宋体" w:hAnsi="宋体" w:cs="宋体"/>
          <w:color w:val="auto"/>
          <w:sz w:val="24"/>
          <w:highlight w:val="none"/>
        </w:rPr>
      </w:pPr>
      <w:r>
        <w:rPr>
          <w:rFonts w:hint="eastAsia" w:ascii="宋体" w:hAnsi="宋体" w:cs="宋体"/>
          <w:color w:val="auto"/>
          <w:sz w:val="24"/>
          <w:highlight w:val="none"/>
        </w:rPr>
        <w:t xml:space="preserve">                          供应商（电子签章）：</w:t>
      </w:r>
    </w:p>
    <w:p>
      <w:pPr>
        <w:spacing w:line="360" w:lineRule="auto"/>
        <w:ind w:right="29"/>
        <w:rPr>
          <w:rFonts w:hint="eastAsia" w:ascii="宋体" w:hAnsi="宋体" w:cs="宋体"/>
          <w:color w:val="auto"/>
          <w:sz w:val="24"/>
          <w:highlight w:val="none"/>
        </w:rPr>
      </w:pPr>
      <w:r>
        <w:rPr>
          <w:rFonts w:hint="eastAsia" w:ascii="宋体" w:hAnsi="宋体" w:cs="宋体"/>
          <w:color w:val="auto"/>
          <w:sz w:val="24"/>
          <w:highlight w:val="none"/>
        </w:rPr>
        <w:t xml:space="preserve">                           法定代表人（负责人)或授权代表（签字或盖章）：  </w:t>
      </w:r>
    </w:p>
    <w:p>
      <w:pPr>
        <w:spacing w:line="360" w:lineRule="auto"/>
        <w:ind w:right="29"/>
        <w:rPr>
          <w:rFonts w:hint="eastAsia" w:ascii="宋体" w:hAnsi="宋体" w:cs="宋体"/>
          <w:color w:val="auto"/>
          <w:sz w:val="24"/>
          <w:highlight w:val="none"/>
        </w:rPr>
      </w:pPr>
      <w:r>
        <w:rPr>
          <w:rFonts w:hint="eastAsia" w:ascii="宋体" w:hAnsi="宋体" w:cs="宋体"/>
          <w:color w:val="auto"/>
          <w:sz w:val="24"/>
          <w:highlight w:val="none"/>
        </w:rPr>
        <w:t xml:space="preserve">                           日期：</w:t>
      </w:r>
    </w:p>
    <w:p>
      <w:pPr>
        <w:pStyle w:val="274"/>
        <w:spacing w:before="0" w:beforeAutospacing="0" w:after="0" w:afterAutospacing="0" w:line="360" w:lineRule="auto"/>
        <w:ind w:left="239" w:firstLine="2640"/>
        <w:rPr>
          <w:rFonts w:hint="eastAsia" w:cs="宋体"/>
          <w:color w:val="auto"/>
          <w:highlight w:val="none"/>
        </w:rPr>
      </w:pPr>
    </w:p>
    <w:p>
      <w:pPr>
        <w:pStyle w:val="274"/>
        <w:ind w:left="239" w:firstLine="2640"/>
        <w:rPr>
          <w:rFonts w:hint="eastAsia" w:cs="宋体"/>
          <w:color w:val="auto"/>
          <w:highlight w:val="none"/>
        </w:rPr>
      </w:pPr>
    </w:p>
    <w:p>
      <w:pPr>
        <w:pStyle w:val="274"/>
        <w:ind w:left="239" w:firstLine="2640"/>
        <w:rPr>
          <w:rFonts w:hint="eastAsia" w:cs="宋体"/>
          <w:color w:val="auto"/>
          <w:highlight w:val="none"/>
        </w:rPr>
      </w:pPr>
    </w:p>
    <w:p>
      <w:pPr>
        <w:pStyle w:val="274"/>
        <w:ind w:left="239" w:firstLine="2640"/>
        <w:rPr>
          <w:rFonts w:hint="eastAsia" w:cs="宋体"/>
          <w:color w:val="auto"/>
          <w:highlight w:val="none"/>
        </w:rPr>
      </w:pPr>
    </w:p>
    <w:p>
      <w:pPr>
        <w:pStyle w:val="274"/>
        <w:ind w:left="239" w:firstLine="2640"/>
        <w:rPr>
          <w:rFonts w:hint="eastAsia" w:cs="宋体"/>
          <w:color w:val="auto"/>
          <w:highlight w:val="none"/>
        </w:rPr>
      </w:pPr>
    </w:p>
    <w:p>
      <w:pPr>
        <w:pStyle w:val="274"/>
        <w:ind w:left="239" w:firstLine="2640"/>
        <w:rPr>
          <w:rFonts w:hint="eastAsia" w:cs="宋体"/>
          <w:color w:val="auto"/>
          <w:highlight w:val="none"/>
        </w:rPr>
      </w:pPr>
    </w:p>
    <w:p>
      <w:pPr>
        <w:pStyle w:val="274"/>
        <w:ind w:left="239" w:firstLine="2640"/>
        <w:rPr>
          <w:rFonts w:hint="eastAsia" w:cs="宋体"/>
          <w:color w:val="auto"/>
          <w:highlight w:val="none"/>
        </w:rPr>
      </w:pPr>
    </w:p>
    <w:p>
      <w:pPr>
        <w:pStyle w:val="274"/>
        <w:ind w:left="239" w:firstLine="2640"/>
        <w:rPr>
          <w:rFonts w:hint="eastAsia" w:cs="宋体"/>
          <w:color w:val="auto"/>
          <w:highlight w:val="none"/>
        </w:rPr>
      </w:pPr>
    </w:p>
    <w:p>
      <w:pPr>
        <w:jc w:val="center"/>
        <w:rPr>
          <w:rFonts w:hint="eastAsia" w:ascii="宋体" w:hAnsi="宋体" w:cs="宋体"/>
          <w:color w:val="auto"/>
          <w:sz w:val="36"/>
          <w:szCs w:val="36"/>
          <w:highlight w:val="none"/>
        </w:rPr>
        <w:sectPr>
          <w:footerReference r:id="rId13" w:type="first"/>
          <w:headerReference r:id="rId11" w:type="default"/>
          <w:footerReference r:id="rId12" w:type="default"/>
          <w:pgSz w:w="11906" w:h="16838"/>
          <w:pgMar w:top="1440" w:right="1213" w:bottom="1440" w:left="1327" w:header="851" w:footer="992" w:gutter="0"/>
          <w:cols w:space="1701" w:num="1"/>
          <w:titlePg/>
          <w:docGrid w:linePitch="360" w:charSpace="0"/>
        </w:sectPr>
      </w:pPr>
    </w:p>
    <w:p>
      <w:pPr>
        <w:ind w:left="840"/>
        <w:rPr>
          <w:rFonts w:hint="eastAsia" w:ascii="宋体" w:hAnsi="宋体" w:cs="宋体"/>
          <w:b/>
          <w:color w:val="auto"/>
          <w:sz w:val="36"/>
          <w:szCs w:val="36"/>
          <w:highlight w:val="none"/>
        </w:rPr>
      </w:pPr>
      <w:r>
        <w:rPr>
          <w:rFonts w:hint="eastAsia" w:ascii="宋体" w:hAnsi="宋体" w:cs="宋体"/>
          <w:b/>
          <w:color w:val="auto"/>
          <w:sz w:val="36"/>
          <w:szCs w:val="36"/>
          <w:highlight w:val="none"/>
        </w:rPr>
        <w:t>12、具备履行合同所必需的设备和专业技术能力的</w:t>
      </w:r>
    </w:p>
    <w:p>
      <w:p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书面声明</w:t>
      </w:r>
    </w:p>
    <w:p>
      <w:pPr>
        <w:spacing w:line="360" w:lineRule="auto"/>
        <w:ind w:firstLine="480"/>
        <w:rPr>
          <w:rFonts w:hint="eastAsia" w:ascii="宋体" w:hAnsi="宋体" w:cs="宋体"/>
          <w:color w:val="auto"/>
          <w:sz w:val="24"/>
          <w:highlight w:val="none"/>
        </w:rPr>
      </w:pP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项目编号：</w:t>
      </w:r>
    </w:p>
    <w:p>
      <w:pPr>
        <w:spacing w:line="360" w:lineRule="auto"/>
        <w:ind w:left="1679" w:hanging="1200"/>
        <w:rPr>
          <w:rFonts w:hint="eastAsia" w:ascii="宋体" w:hAnsi="宋体" w:eastAsia="宋体" w:cs="宋体"/>
          <w:color w:val="auto"/>
          <w:sz w:val="24"/>
          <w:highlight w:val="none"/>
          <w:u w:val="none"/>
          <w:lang w:eastAsia="zh-CN"/>
        </w:rPr>
      </w:pPr>
      <w:r>
        <w:rPr>
          <w:rFonts w:hint="eastAsia" w:ascii="宋体" w:hAnsi="宋体" w:cs="宋体"/>
          <w:color w:val="auto"/>
          <w:sz w:val="24"/>
          <w:highlight w:val="none"/>
        </w:rPr>
        <w:t>项目名称：</w:t>
      </w:r>
      <w:r>
        <w:rPr>
          <w:rFonts w:hint="eastAsia" w:ascii="宋体" w:hAnsi="宋体" w:cs="宋体"/>
          <w:color w:val="000000" w:themeColor="text1"/>
          <w:sz w:val="24"/>
          <w:szCs w:val="24"/>
          <w:highlight w:val="none"/>
          <w:u w:val="none"/>
          <w:lang w:val="en-US" w:eastAsia="zh-CN" w:bidi="ar-SA"/>
          <w14:textFill>
            <w14:solidFill>
              <w14:schemeClr w14:val="tx1"/>
            </w14:solidFill>
          </w14:textFill>
        </w:rPr>
        <w:t>2025年度新沂市骆马湖片区（窑湾镇腰庄村）省级宜居宜业和美乡村工程建设项目</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供应商郑重声明：供应商具备履行合同（项目名称：</w:t>
      </w:r>
      <w:r>
        <w:rPr>
          <w:rFonts w:hint="eastAsia" w:ascii="宋体" w:hAnsi="宋体" w:cs="宋体"/>
          <w:color w:val="000000" w:themeColor="text1"/>
          <w:sz w:val="24"/>
          <w:szCs w:val="24"/>
          <w:highlight w:val="none"/>
          <w:u w:val="none"/>
          <w:lang w:val="en-US" w:eastAsia="zh-CN" w:bidi="ar-SA"/>
          <w14:textFill>
            <w14:solidFill>
              <w14:schemeClr w14:val="tx1"/>
            </w14:solidFill>
          </w14:textFill>
        </w:rPr>
        <w:t>2025年度新沂市骆马湖片区（窑湾镇腰庄村）省级宜居宜业和美乡村工程建设项目</w:t>
      </w:r>
      <w:r>
        <w:rPr>
          <w:rFonts w:hint="eastAsia" w:ascii="宋体" w:hAnsi="宋体" w:cs="宋体"/>
          <w:color w:val="auto"/>
          <w:sz w:val="24"/>
          <w:highlight w:val="none"/>
        </w:rPr>
        <w:t>，项目编号：</w:t>
      </w:r>
      <w:r>
        <w:rPr>
          <w:rFonts w:hint="eastAsia" w:ascii="宋体" w:hAnsi="宋体" w:cs="宋体"/>
          <w:color w:val="auto"/>
          <w:sz w:val="24"/>
          <w:highlight w:val="none"/>
          <w:lang w:val="en-US" w:eastAsia="zh-CN"/>
        </w:rPr>
        <w:t xml:space="preserve">JSZC-320381037-ZGYZ-C2025-0004 </w:t>
      </w:r>
      <w:r>
        <w:rPr>
          <w:rFonts w:hint="eastAsia" w:ascii="宋体" w:hAnsi="宋体" w:cs="宋体"/>
          <w:color w:val="auto"/>
          <w:sz w:val="24"/>
          <w:highlight w:val="none"/>
        </w:rPr>
        <w:t>）所必需的设备和专业技术能力，具体为：</w:t>
      </w:r>
    </w:p>
    <w:p>
      <w:pPr>
        <w:spacing w:line="360" w:lineRule="auto"/>
        <w:ind w:firstLine="480"/>
        <w:rPr>
          <w:rFonts w:hint="eastAsia" w:ascii="宋体" w:hAnsi="宋体" w:cs="宋体"/>
          <w:color w:val="auto"/>
          <w:sz w:val="24"/>
          <w:highlight w:val="none"/>
        </w:rPr>
      </w:pPr>
    </w:p>
    <w:p>
      <w:pPr>
        <w:pStyle w:val="35"/>
        <w:widowControl w:val="0"/>
        <w:spacing w:after="0" w:line="360" w:lineRule="auto"/>
        <w:ind w:left="0" w:firstLine="482"/>
        <w:rPr>
          <w:rFonts w:hint="eastAsia" w:ascii="宋体" w:hAnsi="宋体" w:cs="宋体"/>
          <w:b/>
          <w:bCs/>
          <w:color w:val="000000"/>
          <w:sz w:val="24"/>
          <w:highlight w:val="none"/>
          <w:lang w:eastAsia="zh-CN"/>
        </w:rPr>
      </w:pPr>
      <w:r>
        <w:rPr>
          <w:rFonts w:hint="eastAsia" w:ascii="宋体" w:hAnsi="宋体" w:cs="宋体"/>
          <w:b/>
          <w:bCs/>
          <w:color w:val="000000"/>
          <w:sz w:val="24"/>
          <w:highlight w:val="none"/>
          <w:lang w:eastAsia="zh-CN"/>
        </w:rPr>
        <w:t>（1）供应商需具备</w:t>
      </w:r>
      <w:r>
        <w:rPr>
          <w:rFonts w:hint="eastAsia" w:ascii="宋体" w:hAnsi="宋体" w:cs="宋体"/>
          <w:b/>
          <w:bCs/>
          <w:color w:val="000000"/>
          <w:sz w:val="24"/>
          <w:highlight w:val="none"/>
          <w:lang w:val="en-US" w:eastAsia="zh-CN"/>
        </w:rPr>
        <w:t>市政公用工程施工总承包叁级（含）以上资质，并在人员、设备、资金等方面具有相应的施工能力；（</w:t>
      </w:r>
      <w:r>
        <w:rPr>
          <w:rFonts w:hint="eastAsia" w:ascii="宋体" w:hAnsi="宋体" w:cs="Times New Roman"/>
          <w:b/>
          <w:bCs/>
          <w:color w:val="auto"/>
          <w:sz w:val="24"/>
          <w:szCs w:val="24"/>
          <w:highlight w:val="none"/>
          <w:lang w:val="en-US" w:eastAsia="zh-CN" w:bidi="ar-SA"/>
        </w:rPr>
        <w:t>以上所提供的材料复印件或扫描件上传并加盖电子签章</w:t>
      </w:r>
      <w:r>
        <w:rPr>
          <w:rFonts w:hint="eastAsia" w:ascii="宋体" w:hAnsi="宋体" w:cs="宋体"/>
          <w:b/>
          <w:bCs/>
          <w:color w:val="000000"/>
          <w:sz w:val="24"/>
          <w:highlight w:val="none"/>
          <w:lang w:val="en-US" w:eastAsia="zh-CN"/>
        </w:rPr>
        <w:t>）；</w:t>
      </w:r>
    </w:p>
    <w:p>
      <w:pPr>
        <w:pStyle w:val="35"/>
        <w:widowControl w:val="0"/>
        <w:spacing w:after="0" w:line="360" w:lineRule="auto"/>
        <w:ind w:left="0" w:firstLine="482"/>
        <w:rPr>
          <w:rFonts w:hint="eastAsia" w:ascii="宋体" w:hAnsi="宋体" w:eastAsia="宋体" w:cs="宋体"/>
          <w:b/>
          <w:bCs/>
          <w:color w:val="000000"/>
          <w:sz w:val="24"/>
          <w:szCs w:val="20"/>
          <w:highlight w:val="none"/>
          <w:lang w:val="en-US" w:eastAsia="zh-CN" w:bidi="ar-SA"/>
        </w:rPr>
      </w:pPr>
      <w:r>
        <w:rPr>
          <w:rFonts w:hint="eastAsia" w:ascii="宋体" w:hAnsi="宋体" w:cs="宋体"/>
          <w:b/>
          <w:bCs/>
          <w:color w:val="000000"/>
          <w:sz w:val="24"/>
          <w:highlight w:val="none"/>
          <w:lang w:eastAsia="zh-CN"/>
        </w:rPr>
        <w:t>（2）供应商</w:t>
      </w:r>
      <w:r>
        <w:rPr>
          <w:rFonts w:hint="eastAsia" w:ascii="宋体" w:hAnsi="宋体" w:eastAsia="宋体" w:cs="宋体"/>
          <w:b/>
          <w:bCs/>
          <w:color w:val="000000"/>
          <w:sz w:val="24"/>
          <w:szCs w:val="20"/>
          <w:highlight w:val="none"/>
          <w:lang w:val="en-US" w:eastAsia="zh-CN" w:bidi="ar-SA"/>
        </w:rPr>
        <w:t>拟选派注册建造师资质等级：市政公用工程贰级（含）以上注册建造师（资格），《建筑施工企业安全生产考核合格证书》（B证），无在建工程（提供无在建</w:t>
      </w:r>
      <w:r>
        <w:rPr>
          <w:rFonts w:hint="eastAsia" w:ascii="宋体" w:hAnsi="宋体" w:cs="宋体"/>
          <w:b/>
          <w:bCs/>
          <w:color w:val="000000"/>
          <w:sz w:val="24"/>
          <w:szCs w:val="20"/>
          <w:highlight w:val="none"/>
          <w:lang w:val="en-US" w:eastAsia="zh-CN" w:bidi="ar-SA"/>
        </w:rPr>
        <w:t>证明材料</w:t>
      </w:r>
      <w:r>
        <w:rPr>
          <w:rFonts w:hint="eastAsia" w:ascii="宋体" w:hAnsi="宋体" w:eastAsia="宋体" w:cs="宋体"/>
          <w:b/>
          <w:bCs/>
          <w:color w:val="000000"/>
          <w:sz w:val="24"/>
          <w:szCs w:val="20"/>
          <w:highlight w:val="none"/>
          <w:lang w:val="en-US" w:eastAsia="zh-CN" w:bidi="ar-SA"/>
        </w:rPr>
        <w:t>）</w:t>
      </w:r>
      <w:r>
        <w:rPr>
          <w:rFonts w:hint="eastAsia" w:ascii="宋体" w:hAnsi="宋体" w:cs="Times New Roman"/>
          <w:b/>
          <w:bCs/>
          <w:color w:val="auto"/>
          <w:sz w:val="24"/>
          <w:szCs w:val="24"/>
          <w:highlight w:val="none"/>
          <w:lang w:val="en-US" w:eastAsia="zh-CN" w:bidi="ar-SA"/>
        </w:rPr>
        <w:t>以上所提供的材料复印件或扫描件上传并加盖电子签章</w:t>
      </w:r>
      <w:r>
        <w:rPr>
          <w:rFonts w:hint="eastAsia" w:ascii="宋体" w:hAnsi="宋体" w:eastAsia="宋体" w:cs="宋体"/>
          <w:b/>
          <w:bCs/>
          <w:color w:val="000000"/>
          <w:sz w:val="24"/>
          <w:szCs w:val="20"/>
          <w:highlight w:val="none"/>
          <w:lang w:val="en-US" w:eastAsia="zh-CN" w:bidi="ar-SA"/>
        </w:rPr>
        <w:t>；</w:t>
      </w:r>
    </w:p>
    <w:p>
      <w:pPr>
        <w:pStyle w:val="35"/>
        <w:widowControl w:val="0"/>
        <w:spacing w:after="0" w:line="360" w:lineRule="auto"/>
        <w:ind w:left="0" w:firstLine="482"/>
        <w:rPr>
          <w:rFonts w:hint="eastAsia" w:ascii="宋体" w:hAnsi="宋体" w:cs="宋体"/>
          <w:b/>
          <w:bCs/>
          <w:color w:val="000000"/>
          <w:sz w:val="24"/>
          <w:highlight w:val="none"/>
          <w:lang w:eastAsia="zh-CN"/>
        </w:rPr>
      </w:pPr>
      <w:r>
        <w:rPr>
          <w:rFonts w:hint="eastAsia" w:ascii="宋体" w:hAnsi="宋体" w:cs="宋体"/>
          <w:b/>
          <w:bCs/>
          <w:color w:val="000000"/>
          <w:sz w:val="24"/>
          <w:highlight w:val="none"/>
          <w:lang w:eastAsia="zh-CN"/>
        </w:rPr>
        <w:t>（3）供应商须具备有效的安全生产许可证（</w:t>
      </w:r>
      <w:r>
        <w:rPr>
          <w:rFonts w:hint="eastAsia" w:ascii="宋体" w:hAnsi="宋体" w:cs="Times New Roman"/>
          <w:b/>
          <w:bCs/>
          <w:color w:val="auto"/>
          <w:sz w:val="24"/>
          <w:szCs w:val="24"/>
          <w:highlight w:val="none"/>
          <w:lang w:val="en-US" w:eastAsia="zh-CN" w:bidi="ar-SA"/>
        </w:rPr>
        <w:t>以上所提供的材料复印件或扫描件上传并加盖电子签章）</w:t>
      </w:r>
      <w:r>
        <w:rPr>
          <w:rFonts w:hint="eastAsia" w:ascii="宋体" w:hAnsi="宋体" w:cs="宋体"/>
          <w:b/>
          <w:bCs/>
          <w:color w:val="000000"/>
          <w:sz w:val="24"/>
          <w:highlight w:val="none"/>
          <w:lang w:eastAsia="zh-CN"/>
        </w:rPr>
        <w:t>。</w:t>
      </w:r>
    </w:p>
    <w:p>
      <w:pPr>
        <w:pStyle w:val="35"/>
        <w:widowControl w:val="0"/>
        <w:spacing w:after="0" w:line="360" w:lineRule="auto"/>
        <w:ind w:left="0" w:firstLine="482"/>
        <w:rPr>
          <w:rFonts w:hint="eastAsia" w:ascii="宋体" w:hAnsi="宋体"/>
          <w:b/>
          <w:bCs/>
          <w:color w:val="auto"/>
          <w:sz w:val="24"/>
          <w:szCs w:val="24"/>
          <w:highlight w:val="none"/>
        </w:rPr>
      </w:pPr>
    </w:p>
    <w:p>
      <w:pPr>
        <w:pStyle w:val="35"/>
        <w:widowControl w:val="0"/>
        <w:spacing w:after="0" w:line="360" w:lineRule="auto"/>
        <w:ind w:left="0" w:firstLine="482"/>
        <w:rPr>
          <w:rFonts w:hint="eastAsia" w:ascii="宋体" w:hAnsi="宋体" w:cs="宋体"/>
          <w:color w:val="auto"/>
          <w:sz w:val="24"/>
          <w:szCs w:val="24"/>
          <w:highlight w:val="none"/>
        </w:rPr>
      </w:pPr>
    </w:p>
    <w:p>
      <w:pPr>
        <w:spacing w:line="360" w:lineRule="auto"/>
        <w:ind w:firstLine="480"/>
        <w:rPr>
          <w:rFonts w:hint="eastAsia" w:ascii="宋体" w:hAnsi="宋体" w:cs="宋体"/>
          <w:color w:val="auto"/>
          <w:sz w:val="24"/>
          <w:highlight w:val="none"/>
        </w:rPr>
      </w:pPr>
    </w:p>
    <w:p>
      <w:pPr>
        <w:spacing w:line="360" w:lineRule="auto"/>
        <w:ind w:firstLine="480"/>
        <w:rPr>
          <w:rFonts w:hint="eastAsia" w:ascii="宋体" w:hAnsi="宋体" w:cs="宋体"/>
          <w:color w:val="auto"/>
          <w:sz w:val="24"/>
          <w:highlight w:val="none"/>
        </w:rPr>
      </w:pP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特此声明。</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供应商对上述声明的真实性负责。如有虚假，将依法承担相应责任。</w:t>
      </w:r>
    </w:p>
    <w:p>
      <w:pPr>
        <w:spacing w:line="360" w:lineRule="auto"/>
        <w:rPr>
          <w:rFonts w:hint="eastAsia" w:ascii="宋体" w:hAnsi="宋体" w:cs="宋体"/>
          <w:color w:val="auto"/>
          <w:sz w:val="24"/>
          <w:highlight w:val="none"/>
        </w:rPr>
      </w:pPr>
    </w:p>
    <w:p>
      <w:pPr>
        <w:spacing w:line="300" w:lineRule="auto"/>
        <w:ind w:firstLine="3600"/>
        <w:rPr>
          <w:rFonts w:hint="eastAsia" w:ascii="宋体" w:hAnsi="宋体" w:cs="宋体"/>
          <w:color w:val="auto"/>
          <w:sz w:val="24"/>
          <w:highlight w:val="none"/>
        </w:rPr>
      </w:pPr>
      <w:r>
        <w:rPr>
          <w:rFonts w:hint="eastAsia" w:ascii="宋体" w:hAnsi="宋体" w:cs="宋体"/>
          <w:color w:val="auto"/>
          <w:sz w:val="24"/>
          <w:highlight w:val="none"/>
        </w:rPr>
        <w:t>供应商：（电子签章）</w:t>
      </w:r>
    </w:p>
    <w:p>
      <w:pPr>
        <w:spacing w:line="300" w:lineRule="auto"/>
        <w:ind w:firstLine="3600"/>
        <w:rPr>
          <w:rFonts w:hint="eastAsia" w:ascii="宋体" w:hAnsi="宋体" w:cs="宋体"/>
          <w:color w:val="auto"/>
          <w:sz w:val="24"/>
          <w:highlight w:val="none"/>
        </w:rPr>
      </w:pPr>
    </w:p>
    <w:p>
      <w:pPr>
        <w:spacing w:line="300" w:lineRule="auto"/>
        <w:ind w:firstLine="3600"/>
        <w:rPr>
          <w:rFonts w:hint="eastAsia" w:ascii="宋体" w:hAnsi="宋体" w:cs="宋体"/>
          <w:color w:val="auto"/>
          <w:sz w:val="24"/>
          <w:highlight w:val="none"/>
        </w:rPr>
      </w:pPr>
      <w:r>
        <w:rPr>
          <w:rFonts w:hint="eastAsia" w:ascii="宋体" w:hAnsi="宋体" w:cs="宋体"/>
          <w:color w:val="auto"/>
          <w:sz w:val="24"/>
          <w:highlight w:val="none"/>
        </w:rPr>
        <w:t xml:space="preserve">供应商授权代表：（签字或盖章）  </w:t>
      </w:r>
    </w:p>
    <w:p>
      <w:pPr>
        <w:spacing w:line="300" w:lineRule="auto"/>
        <w:ind w:firstLine="3600"/>
        <w:rPr>
          <w:rFonts w:hint="eastAsia" w:ascii="宋体" w:hAnsi="宋体" w:cs="宋体"/>
          <w:color w:val="auto"/>
          <w:sz w:val="24"/>
          <w:highlight w:val="none"/>
        </w:rPr>
      </w:pPr>
    </w:p>
    <w:p>
      <w:pPr>
        <w:spacing w:line="300" w:lineRule="auto"/>
        <w:ind w:firstLine="3600"/>
        <w:rPr>
          <w:rFonts w:hint="eastAsia" w:ascii="宋体" w:hAnsi="宋体" w:cs="宋体"/>
          <w:color w:val="auto"/>
          <w:highlight w:val="none"/>
        </w:rPr>
      </w:pPr>
      <w:r>
        <w:rPr>
          <w:rFonts w:hint="eastAsia" w:ascii="宋体" w:hAnsi="宋体" w:cs="宋体"/>
          <w:color w:val="auto"/>
          <w:sz w:val="24"/>
          <w:highlight w:val="none"/>
        </w:rPr>
        <w:t>日期：   年  月  日</w:t>
      </w:r>
    </w:p>
    <w:p>
      <w:pPr>
        <w:spacing w:line="588" w:lineRule="exact"/>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clear="all"/>
      </w:r>
      <w:bookmarkStart w:id="291" w:name="OLE_LINK14"/>
      <w:bookmarkStart w:id="292" w:name="OLE_LINK13"/>
      <w:r>
        <w:rPr>
          <w:rFonts w:hint="eastAsia" w:ascii="宋体" w:hAnsi="宋体" w:cs="宋体"/>
          <w:b/>
          <w:color w:val="auto"/>
          <w:sz w:val="36"/>
          <w:szCs w:val="36"/>
          <w:highlight w:val="none"/>
        </w:rPr>
        <w:t>13、</w:t>
      </w:r>
      <w:bookmarkStart w:id="293" w:name="_Hlk81985305"/>
      <w:r>
        <w:rPr>
          <w:rFonts w:hint="eastAsia" w:ascii="宋体" w:hAnsi="宋体" w:cs="宋体"/>
          <w:b/>
          <w:color w:val="auto"/>
          <w:sz w:val="36"/>
          <w:szCs w:val="36"/>
          <w:highlight w:val="none"/>
        </w:rPr>
        <w:t>残疾人福利性单位声明函</w:t>
      </w:r>
      <w:bookmarkEnd w:id="291"/>
      <w:bookmarkEnd w:id="292"/>
    </w:p>
    <w:p>
      <w:pPr>
        <w:pStyle w:val="26"/>
        <w:spacing w:line="0" w:lineRule="atLeast"/>
        <w:jc w:val="center"/>
        <w:rPr>
          <w:rFonts w:ascii="宋体" w:hAnsi="宋体"/>
          <w:b/>
          <w:bCs/>
          <w:color w:val="auto"/>
          <w:sz w:val="24"/>
          <w:highlight w:val="none"/>
        </w:rPr>
      </w:pPr>
      <w:r>
        <w:rPr>
          <w:rFonts w:ascii="宋体" w:hAnsi="宋体"/>
          <w:b/>
          <w:bCs/>
          <w:color w:val="auto"/>
          <w:sz w:val="24"/>
          <w:highlight w:val="none"/>
        </w:rPr>
        <w:t>（注：如供应商不属于残疾人福利性单位，不需提供此声明函）</w:t>
      </w:r>
    </w:p>
    <w:p>
      <w:pPr>
        <w:pStyle w:val="26"/>
        <w:spacing w:line="0" w:lineRule="atLeast"/>
        <w:jc w:val="both"/>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项目编号： </w:t>
      </w:r>
    </w:p>
    <w:p>
      <w:pPr>
        <w:pStyle w:val="70"/>
        <w:ind w:firstLine="1920"/>
        <w:rPr>
          <w:color w:val="auto"/>
          <w:highlight w:val="none"/>
        </w:rPr>
      </w:pPr>
      <w:r>
        <w:rPr>
          <w:rFonts w:hint="eastAsia" w:ascii="宋体" w:hAnsi="宋体"/>
          <w:color w:val="auto"/>
          <w:sz w:val="24"/>
          <w:highlight w:val="none"/>
        </w:rPr>
        <w:t xml:space="preserve"> </w:t>
      </w:r>
      <w:r>
        <w:rPr>
          <w:rFonts w:hint="eastAsia" w:ascii="Arial" w:hAnsi="Arial" w:eastAsia="Arial"/>
          <w:color w:val="auto"/>
          <w:sz w:val="28"/>
          <w:szCs w:val="32"/>
          <w:highlight w:val="none"/>
        </w:rPr>
        <w:t xml:space="preserve"> </w:t>
      </w:r>
    </w:p>
    <w:p>
      <w:pPr>
        <w:spacing w:line="520" w:lineRule="exact"/>
        <w:ind w:firstLine="504"/>
        <w:rPr>
          <w:rFonts w:hint="eastAsia"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〔2017〕141</w:t>
      </w:r>
      <w:r>
        <w:rPr>
          <w:rFonts w:hint="eastAsia" w:ascii="宋体" w:hAnsi="宋体" w:cs="宋体"/>
          <w:color w:val="auto"/>
          <w:spacing w:val="6"/>
          <w:sz w:val="24"/>
          <w:highlight w:val="none"/>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20" w:lineRule="exact"/>
        <w:ind w:firstLine="504"/>
        <w:rPr>
          <w:rFonts w:hint="eastAsia"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pPr>
        <w:spacing w:line="520" w:lineRule="exact"/>
        <w:ind w:firstLine="504"/>
        <w:rPr>
          <w:rFonts w:hint="eastAsia" w:ascii="宋体" w:hAnsi="宋体" w:cs="宋体"/>
          <w:color w:val="auto"/>
          <w:spacing w:val="6"/>
          <w:sz w:val="24"/>
          <w:highlight w:val="none"/>
        </w:rPr>
      </w:pPr>
    </w:p>
    <w:p>
      <w:pPr>
        <w:spacing w:line="520" w:lineRule="exact"/>
        <w:ind w:firstLine="504"/>
        <w:rPr>
          <w:rFonts w:hint="eastAsia" w:ascii="宋体" w:hAnsi="宋体" w:cs="宋体"/>
          <w:color w:val="auto"/>
          <w:spacing w:val="6"/>
          <w:sz w:val="24"/>
          <w:highlight w:val="none"/>
        </w:rPr>
      </w:pPr>
    </w:p>
    <w:p>
      <w:pPr>
        <w:tabs>
          <w:tab w:val="left" w:pos="4860"/>
        </w:tabs>
        <w:spacing w:line="520" w:lineRule="exact"/>
        <w:ind w:right="1560" w:firstLine="504"/>
        <w:jc w:val="center"/>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               单位名称（</w:t>
      </w:r>
      <w:r>
        <w:rPr>
          <w:rFonts w:ascii="宋体" w:hAnsi="宋体"/>
          <w:color w:val="auto"/>
          <w:spacing w:val="6"/>
          <w:sz w:val="24"/>
          <w:highlight w:val="none"/>
        </w:rPr>
        <w:t>电子签章</w:t>
      </w:r>
      <w:r>
        <w:rPr>
          <w:rFonts w:hint="eastAsia" w:ascii="宋体" w:hAnsi="宋体" w:cs="宋体"/>
          <w:color w:val="auto"/>
          <w:spacing w:val="6"/>
          <w:sz w:val="24"/>
          <w:highlight w:val="none"/>
        </w:rPr>
        <w:t>）：</w:t>
      </w:r>
    </w:p>
    <w:p>
      <w:pPr>
        <w:tabs>
          <w:tab w:val="left" w:pos="4860"/>
        </w:tabs>
        <w:spacing w:line="520" w:lineRule="exact"/>
        <w:ind w:right="1560" w:firstLine="504"/>
        <w:jc w:val="center"/>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       日  期：</w:t>
      </w:r>
    </w:p>
    <w:p>
      <w:pPr>
        <w:spacing w:line="520" w:lineRule="exact"/>
        <w:rPr>
          <w:rFonts w:hint="eastAsia" w:ascii="宋体" w:hAnsi="宋体" w:cs="宋体"/>
          <w:color w:val="auto"/>
          <w:sz w:val="24"/>
          <w:highlight w:val="none"/>
        </w:rPr>
      </w:pPr>
    </w:p>
    <w:p>
      <w:pPr>
        <w:widowControl/>
        <w:spacing w:line="520" w:lineRule="exact"/>
        <w:jc w:val="left"/>
        <w:rPr>
          <w:rFonts w:hint="eastAsia" w:ascii="宋体" w:hAnsi="宋体" w:cs="宋体"/>
          <w:color w:val="auto"/>
          <w:sz w:val="24"/>
          <w:highlight w:val="none"/>
        </w:rPr>
      </w:pPr>
      <w:r>
        <w:rPr>
          <w:rFonts w:hint="eastAsia" w:ascii="宋体" w:hAnsi="宋体" w:cs="宋体"/>
          <w:color w:val="auto"/>
          <w:sz w:val="24"/>
          <w:highlight w:val="none"/>
        </w:rPr>
        <w:t>说明：</w:t>
      </w:r>
    </w:p>
    <w:p>
      <w:pPr>
        <w:widowControl/>
        <w:spacing w:line="520" w:lineRule="exact"/>
        <w:ind w:firstLine="480"/>
        <w:jc w:val="left"/>
        <w:rPr>
          <w:rFonts w:hint="eastAsia" w:ascii="宋体" w:hAnsi="宋体" w:cs="宋体"/>
          <w:color w:val="auto"/>
          <w:sz w:val="24"/>
          <w:highlight w:val="none"/>
        </w:rPr>
      </w:pPr>
      <w:r>
        <w:rPr>
          <w:rFonts w:hint="eastAsia" w:ascii="宋体" w:hAnsi="宋体" w:cs="宋体"/>
          <w:color w:val="auto"/>
          <w:sz w:val="24"/>
          <w:highlight w:val="none"/>
        </w:rPr>
        <w:t>中标、成交供应商为残疾人福利性单位的，采购人或者其委托的采购代理机构应当随中标、成交结果同时公告其《残疾人福利性单位声明函》，接受社会监督。</w:t>
      </w:r>
    </w:p>
    <w:p>
      <w:pPr>
        <w:widowControl/>
        <w:spacing w:line="520" w:lineRule="exact"/>
        <w:ind w:firstLine="480"/>
        <w:jc w:val="left"/>
        <w:rPr>
          <w:rFonts w:hint="eastAsia" w:ascii="宋体" w:hAnsi="宋体" w:cs="宋体"/>
          <w:color w:val="auto"/>
          <w:sz w:val="24"/>
          <w:highlight w:val="none"/>
        </w:rPr>
      </w:pPr>
      <w:r>
        <w:rPr>
          <w:rFonts w:hint="eastAsia" w:ascii="宋体" w:hAnsi="宋体" w:cs="宋体"/>
          <w:color w:val="auto"/>
          <w:sz w:val="24"/>
          <w:highlight w:val="none"/>
        </w:rPr>
        <w:t>供应商提供的《残疾人福利性单位声明函》与事实不符的，依照《政府采购法》第七十七条第一款的规定追究法律责任。</w:t>
      </w:r>
      <w:bookmarkEnd w:id="293"/>
    </w:p>
    <w:p>
      <w:pPr>
        <w:widowControl/>
        <w:ind w:firstLine="600"/>
        <w:jc w:val="left"/>
        <w:rPr>
          <w:rFonts w:hint="eastAsia" w:ascii="宋体" w:hAnsi="宋体" w:cs="宋体"/>
          <w:color w:val="auto"/>
          <w:sz w:val="30"/>
          <w:szCs w:val="30"/>
          <w:highlight w:val="none"/>
        </w:rPr>
      </w:pPr>
    </w:p>
    <w:p>
      <w:pPr>
        <w:rPr>
          <w:rFonts w:hint="eastAsia" w:ascii="宋体" w:hAnsi="宋体" w:cs="宋体"/>
          <w:color w:val="auto"/>
          <w:sz w:val="24"/>
          <w:highlight w:val="none"/>
        </w:rPr>
      </w:pPr>
      <w:r>
        <w:rPr>
          <w:rFonts w:hint="eastAsia" w:ascii="宋体" w:hAnsi="宋体" w:cs="宋体"/>
          <w:color w:val="auto"/>
          <w:sz w:val="30"/>
          <w:szCs w:val="30"/>
          <w:highlight w:val="none"/>
        </w:rPr>
        <w:br w:type="page" w:clear="all"/>
      </w:r>
    </w:p>
    <w:p>
      <w:pPr>
        <w:pStyle w:val="26"/>
        <w:numPr>
          <w:ilvl w:val="0"/>
          <w:numId w:val="0"/>
        </w:num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lang w:val="en-US" w:eastAsia="zh-CN"/>
        </w:rPr>
        <w:t>14、</w:t>
      </w:r>
      <w:r>
        <w:rPr>
          <w:rFonts w:hint="eastAsia" w:ascii="宋体" w:hAnsi="宋体" w:cs="宋体"/>
          <w:b/>
          <w:color w:val="auto"/>
          <w:sz w:val="36"/>
          <w:szCs w:val="36"/>
          <w:highlight w:val="none"/>
        </w:rPr>
        <w:t>代理服务收费标准</w:t>
      </w:r>
    </w:p>
    <w:p>
      <w:pPr>
        <w:pStyle w:val="35"/>
        <w:spacing w:line="360" w:lineRule="auto"/>
        <w:ind w:left="0" w:firstLine="482"/>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成交供应商在领取成交通知书前，应缴纳招标代理服务费，收取标准参照：</w:t>
      </w:r>
    </w:p>
    <w:tbl>
      <w:tblPr>
        <w:tblStyle w:val="63"/>
        <w:tblW w:w="8600" w:type="dxa"/>
        <w:jc w:val="center"/>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
      <w:tblGrid>
        <w:gridCol w:w="5887"/>
        <w:gridCol w:w="2713"/>
      </w:tblGrid>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470" w:hRule="atLeast"/>
          <w:jc w:val="center"/>
        </w:trPr>
        <w:tc>
          <w:tcPr>
            <w:tcW w:w="588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00" w:lineRule="atLeast"/>
              <w:jc w:val="center"/>
              <w:rPr>
                <w:rFonts w:ascii="Times New Roman" w:hAnsi="Times New Roman" w:eastAsia="宋体" w:cs="Times New Roman"/>
              </w:rPr>
            </w:pPr>
            <w:r>
              <w:rPr>
                <w:rFonts w:ascii="宋体" w:hAnsi="宋体" w:eastAsia="宋体" w:cs="宋体"/>
                <w:color w:val="000000"/>
                <w:sz w:val="24"/>
              </w:rPr>
              <w:t>中标或成交金额</w:t>
            </w:r>
          </w:p>
        </w:tc>
        <w:tc>
          <w:tcPr>
            <w:tcW w:w="271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00" w:lineRule="atLeast"/>
              <w:jc w:val="center"/>
              <w:rPr>
                <w:rFonts w:ascii="Times New Roman" w:hAnsi="Times New Roman" w:eastAsia="宋体" w:cs="Times New Roman"/>
              </w:rPr>
            </w:pPr>
            <w:r>
              <w:rPr>
                <w:rFonts w:ascii="宋体" w:hAnsi="宋体" w:eastAsia="宋体" w:cs="宋体"/>
                <w:color w:val="000000"/>
                <w:sz w:val="24"/>
              </w:rPr>
              <w:t>费率</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489" w:hRule="atLeast"/>
          <w:jc w:val="center"/>
        </w:trPr>
        <w:tc>
          <w:tcPr>
            <w:tcW w:w="588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00" w:lineRule="atLeast"/>
              <w:rPr>
                <w:rFonts w:ascii="Times New Roman" w:hAnsi="Times New Roman" w:eastAsia="宋体" w:cs="Times New Roman"/>
              </w:rPr>
            </w:pPr>
            <w:r>
              <w:rPr>
                <w:rFonts w:ascii="宋体" w:hAnsi="宋体" w:eastAsia="宋体" w:cs="宋体"/>
                <w:color w:val="000000"/>
                <w:sz w:val="24"/>
              </w:rPr>
              <w:t>最低收费金额(每个委托项目)</w:t>
            </w:r>
          </w:p>
        </w:tc>
        <w:tc>
          <w:tcPr>
            <w:tcW w:w="271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00" w:lineRule="atLeast"/>
              <w:jc w:val="center"/>
              <w:rPr>
                <w:rFonts w:ascii="Times New Roman" w:hAnsi="Times New Roman" w:eastAsia="宋体" w:cs="Times New Roman"/>
              </w:rPr>
            </w:pPr>
            <w:r>
              <w:rPr>
                <w:rFonts w:ascii="宋体" w:hAnsi="宋体" w:eastAsia="宋体" w:cs="宋体"/>
                <w:color w:val="000000"/>
                <w:sz w:val="24"/>
              </w:rPr>
              <w:t>5000元</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434" w:hRule="atLeast"/>
          <w:jc w:val="center"/>
        </w:trPr>
        <w:tc>
          <w:tcPr>
            <w:tcW w:w="588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00" w:lineRule="atLeast"/>
              <w:rPr>
                <w:rFonts w:ascii="Times New Roman" w:hAnsi="Times New Roman" w:eastAsia="宋体" w:cs="Times New Roman"/>
              </w:rPr>
            </w:pPr>
            <w:r>
              <w:rPr>
                <w:rFonts w:ascii="宋体" w:hAnsi="宋体" w:eastAsia="宋体" w:cs="宋体"/>
                <w:color w:val="000000"/>
                <w:sz w:val="24"/>
              </w:rPr>
              <w:t>50万元以</w:t>
            </w:r>
            <w:r>
              <w:rPr>
                <w:rFonts w:hint="eastAsia" w:ascii="宋体" w:hAnsi="宋体" w:eastAsia="宋体" w:cs="宋体"/>
                <w:color w:val="000000"/>
                <w:sz w:val="24"/>
              </w:rPr>
              <w:t>下</w:t>
            </w:r>
            <w:r>
              <w:rPr>
                <w:rFonts w:ascii="宋体" w:hAnsi="宋体" w:eastAsia="宋体" w:cs="宋体"/>
                <w:color w:val="000000"/>
                <w:sz w:val="24"/>
              </w:rPr>
              <w:t>（含50万元）</w:t>
            </w:r>
          </w:p>
        </w:tc>
        <w:tc>
          <w:tcPr>
            <w:tcW w:w="271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00" w:lineRule="atLeast"/>
              <w:jc w:val="center"/>
              <w:rPr>
                <w:rFonts w:ascii="Times New Roman" w:hAnsi="Times New Roman" w:eastAsia="宋体" w:cs="Times New Roman"/>
              </w:rPr>
            </w:pPr>
            <w:r>
              <w:rPr>
                <w:rFonts w:ascii="宋体" w:hAnsi="宋体" w:eastAsia="宋体" w:cs="宋体"/>
                <w:color w:val="000000"/>
                <w:sz w:val="24"/>
              </w:rPr>
              <w:t>1.60%</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414" w:hRule="atLeast"/>
          <w:jc w:val="center"/>
        </w:trPr>
        <w:tc>
          <w:tcPr>
            <w:tcW w:w="588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00" w:lineRule="atLeast"/>
              <w:rPr>
                <w:rFonts w:ascii="Times New Roman" w:hAnsi="Times New Roman" w:eastAsia="宋体" w:cs="Times New Roman"/>
              </w:rPr>
            </w:pPr>
            <w:r>
              <w:rPr>
                <w:rFonts w:ascii="宋体" w:hAnsi="宋体" w:eastAsia="宋体" w:cs="宋体"/>
                <w:color w:val="000000"/>
                <w:sz w:val="24"/>
              </w:rPr>
              <w:t>50-400万元（含400万元）</w:t>
            </w:r>
          </w:p>
        </w:tc>
        <w:tc>
          <w:tcPr>
            <w:tcW w:w="271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00" w:lineRule="atLeast"/>
              <w:jc w:val="center"/>
              <w:rPr>
                <w:rFonts w:ascii="Times New Roman" w:hAnsi="Times New Roman" w:eastAsia="宋体" w:cs="Times New Roman"/>
              </w:rPr>
            </w:pPr>
            <w:r>
              <w:rPr>
                <w:rFonts w:ascii="宋体" w:hAnsi="宋体" w:eastAsia="宋体" w:cs="宋体"/>
                <w:color w:val="000000"/>
                <w:sz w:val="24"/>
              </w:rPr>
              <w:t>1.50%</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605" w:hRule="atLeast"/>
          <w:jc w:val="center"/>
        </w:trPr>
        <w:tc>
          <w:tcPr>
            <w:tcW w:w="588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00" w:lineRule="atLeast"/>
              <w:rPr>
                <w:rFonts w:ascii="Times New Roman" w:hAnsi="Times New Roman" w:eastAsia="宋体" w:cs="Times New Roman"/>
              </w:rPr>
            </w:pPr>
            <w:r>
              <w:rPr>
                <w:rFonts w:ascii="宋体" w:hAnsi="宋体" w:eastAsia="宋体" w:cs="宋体"/>
                <w:color w:val="000000"/>
                <w:sz w:val="24"/>
              </w:rPr>
              <w:t>400-1000万元（含1000万元）</w:t>
            </w:r>
          </w:p>
        </w:tc>
        <w:tc>
          <w:tcPr>
            <w:tcW w:w="271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00" w:lineRule="atLeast"/>
              <w:jc w:val="center"/>
              <w:rPr>
                <w:rFonts w:ascii="Times New Roman" w:hAnsi="Times New Roman" w:eastAsia="宋体" w:cs="Times New Roman"/>
              </w:rPr>
            </w:pPr>
            <w:r>
              <w:rPr>
                <w:rFonts w:ascii="宋体" w:hAnsi="宋体" w:eastAsia="宋体" w:cs="宋体"/>
                <w:color w:val="000000"/>
                <w:sz w:val="24"/>
              </w:rPr>
              <w:t>1.10%</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480" w:hRule="atLeast"/>
          <w:jc w:val="center"/>
        </w:trPr>
        <w:tc>
          <w:tcPr>
            <w:tcW w:w="588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00" w:lineRule="atLeast"/>
              <w:rPr>
                <w:rFonts w:ascii="Times New Roman" w:hAnsi="Times New Roman" w:eastAsia="宋体" w:cs="Times New Roman"/>
              </w:rPr>
            </w:pPr>
            <w:r>
              <w:rPr>
                <w:rFonts w:ascii="宋体" w:hAnsi="宋体" w:eastAsia="宋体" w:cs="宋体"/>
                <w:color w:val="000000"/>
                <w:sz w:val="24"/>
              </w:rPr>
              <w:t>1000-5000万元（含5000万元）</w:t>
            </w:r>
          </w:p>
        </w:tc>
        <w:tc>
          <w:tcPr>
            <w:tcW w:w="271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00" w:lineRule="atLeast"/>
              <w:jc w:val="center"/>
              <w:rPr>
                <w:rFonts w:ascii="Times New Roman" w:hAnsi="Times New Roman" w:eastAsia="宋体" w:cs="Times New Roman"/>
              </w:rPr>
            </w:pPr>
            <w:r>
              <w:rPr>
                <w:rFonts w:ascii="宋体" w:hAnsi="宋体" w:eastAsia="宋体" w:cs="宋体"/>
                <w:color w:val="000000"/>
                <w:sz w:val="24"/>
              </w:rPr>
              <w:t>0.80%</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486" w:hRule="atLeast"/>
          <w:jc w:val="center"/>
        </w:trPr>
        <w:tc>
          <w:tcPr>
            <w:tcW w:w="588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00" w:lineRule="atLeast"/>
              <w:rPr>
                <w:rFonts w:ascii="Times New Roman" w:hAnsi="Times New Roman" w:eastAsia="宋体" w:cs="Times New Roman"/>
              </w:rPr>
            </w:pPr>
            <w:r>
              <w:rPr>
                <w:rFonts w:ascii="宋体" w:hAnsi="宋体" w:eastAsia="宋体" w:cs="宋体"/>
                <w:color w:val="000000"/>
                <w:sz w:val="24"/>
              </w:rPr>
              <w:t>5000-1亿元（含1亿元）</w:t>
            </w:r>
          </w:p>
        </w:tc>
        <w:tc>
          <w:tcPr>
            <w:tcW w:w="271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00" w:lineRule="atLeast"/>
              <w:jc w:val="center"/>
              <w:rPr>
                <w:rFonts w:ascii="Times New Roman" w:hAnsi="Times New Roman" w:eastAsia="宋体" w:cs="Times New Roman"/>
              </w:rPr>
            </w:pPr>
            <w:r>
              <w:rPr>
                <w:rFonts w:ascii="宋体" w:hAnsi="宋体" w:eastAsia="宋体" w:cs="宋体"/>
                <w:color w:val="000000"/>
                <w:sz w:val="24"/>
              </w:rPr>
              <w:t>0.25%</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480" w:hRule="atLeast"/>
          <w:jc w:val="center"/>
        </w:trPr>
        <w:tc>
          <w:tcPr>
            <w:tcW w:w="588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00" w:lineRule="atLeast"/>
              <w:rPr>
                <w:rFonts w:ascii="Times New Roman" w:hAnsi="Times New Roman" w:eastAsia="宋体" w:cs="Times New Roman"/>
              </w:rPr>
            </w:pPr>
            <w:r>
              <w:rPr>
                <w:rFonts w:ascii="宋体" w:hAnsi="宋体" w:eastAsia="宋体" w:cs="宋体"/>
                <w:color w:val="000000"/>
                <w:sz w:val="24"/>
              </w:rPr>
              <w:t>1-10亿（含10亿元）</w:t>
            </w:r>
          </w:p>
        </w:tc>
        <w:tc>
          <w:tcPr>
            <w:tcW w:w="271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00" w:lineRule="atLeast"/>
              <w:jc w:val="center"/>
              <w:rPr>
                <w:rFonts w:ascii="Times New Roman" w:hAnsi="Times New Roman" w:eastAsia="宋体" w:cs="Times New Roman"/>
              </w:rPr>
            </w:pPr>
            <w:r>
              <w:rPr>
                <w:rFonts w:ascii="宋体" w:hAnsi="宋体" w:eastAsia="宋体" w:cs="宋体"/>
                <w:color w:val="000000"/>
                <w:sz w:val="24"/>
              </w:rPr>
              <w:t>0.05%</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480" w:hRule="atLeast"/>
          <w:jc w:val="center"/>
        </w:trPr>
        <w:tc>
          <w:tcPr>
            <w:tcW w:w="588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00" w:lineRule="atLeast"/>
              <w:rPr>
                <w:rFonts w:ascii="Times New Roman" w:hAnsi="Times New Roman" w:eastAsia="宋体" w:cs="Times New Roman"/>
              </w:rPr>
            </w:pPr>
            <w:r>
              <w:rPr>
                <w:rFonts w:ascii="宋体" w:hAnsi="宋体" w:eastAsia="宋体" w:cs="宋体"/>
                <w:color w:val="000000"/>
                <w:sz w:val="24"/>
              </w:rPr>
              <w:t>10-50亿元（含50亿元）</w:t>
            </w:r>
          </w:p>
        </w:tc>
        <w:tc>
          <w:tcPr>
            <w:tcW w:w="271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00" w:lineRule="atLeast"/>
              <w:jc w:val="center"/>
              <w:rPr>
                <w:rFonts w:ascii="Times New Roman" w:hAnsi="Times New Roman" w:eastAsia="宋体" w:cs="Times New Roman"/>
              </w:rPr>
            </w:pPr>
            <w:r>
              <w:rPr>
                <w:rFonts w:ascii="宋体" w:hAnsi="宋体" w:eastAsia="宋体" w:cs="宋体"/>
                <w:color w:val="000000"/>
                <w:sz w:val="24"/>
              </w:rPr>
              <w:t>0.01%</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Ex>
        <w:trPr>
          <w:trHeight w:val="480" w:hRule="atLeast"/>
          <w:jc w:val="center"/>
        </w:trPr>
        <w:tc>
          <w:tcPr>
            <w:tcW w:w="588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00" w:lineRule="atLeast"/>
              <w:rPr>
                <w:rFonts w:ascii="Times New Roman" w:hAnsi="Times New Roman" w:eastAsia="宋体" w:cs="Times New Roman"/>
              </w:rPr>
            </w:pPr>
            <w:r>
              <w:rPr>
                <w:rFonts w:ascii="宋体" w:hAnsi="宋体" w:eastAsia="宋体" w:cs="宋体"/>
                <w:color w:val="000000"/>
                <w:sz w:val="24"/>
              </w:rPr>
              <w:t>50亿元</w:t>
            </w:r>
          </w:p>
        </w:tc>
        <w:tc>
          <w:tcPr>
            <w:tcW w:w="271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after="0" w:line="400" w:lineRule="atLeast"/>
              <w:jc w:val="center"/>
              <w:rPr>
                <w:rFonts w:ascii="Times New Roman" w:hAnsi="Times New Roman" w:eastAsia="宋体" w:cs="Times New Roman"/>
              </w:rPr>
            </w:pPr>
            <w:r>
              <w:rPr>
                <w:rFonts w:ascii="宋体" w:hAnsi="宋体" w:eastAsia="宋体" w:cs="宋体"/>
                <w:color w:val="000000"/>
                <w:sz w:val="24"/>
              </w:rPr>
              <w:t>0.0</w:t>
            </w:r>
            <w:r>
              <w:rPr>
                <w:rFonts w:hint="eastAsia" w:ascii="宋体" w:hAnsi="宋体" w:eastAsia="宋体" w:cs="宋体"/>
                <w:color w:val="000000"/>
                <w:sz w:val="24"/>
              </w:rPr>
              <w:t>05</w:t>
            </w:r>
            <w:r>
              <w:rPr>
                <w:rFonts w:ascii="宋体" w:hAnsi="宋体" w:eastAsia="宋体" w:cs="宋体"/>
                <w:color w:val="000000"/>
                <w:sz w:val="24"/>
              </w:rPr>
              <w:t>%</w:t>
            </w:r>
          </w:p>
        </w:tc>
      </w:tr>
    </w:tbl>
    <w:p>
      <w:pPr>
        <w:pBdr>
          <w:top w:val="none" w:color="000000" w:sz="0" w:space="0"/>
          <w:left w:val="none" w:color="000000" w:sz="0" w:space="0"/>
          <w:bottom w:val="none" w:color="000000" w:sz="0" w:space="0"/>
          <w:right w:val="none" w:color="000000" w:sz="0" w:space="0"/>
        </w:pBdr>
        <w:spacing w:line="400" w:lineRule="atLeast"/>
        <w:rPr>
          <w:rFonts w:ascii="Times New Roman" w:hAnsi="Times New Roman" w:eastAsia="宋体" w:cs="Times New Roman"/>
        </w:rPr>
      </w:pPr>
      <w:r>
        <w:rPr>
          <w:rFonts w:ascii="宋体" w:hAnsi="宋体" w:eastAsia="宋体" w:cs="宋体"/>
          <w:color w:val="000000"/>
          <w:sz w:val="24"/>
        </w:rPr>
        <w:t>说明：</w:t>
      </w:r>
    </w:p>
    <w:p>
      <w:pPr>
        <w:pBdr>
          <w:top w:val="none" w:color="000000" w:sz="0" w:space="0"/>
          <w:left w:val="none" w:color="000000" w:sz="0" w:space="0"/>
          <w:bottom w:val="none" w:color="000000" w:sz="0" w:space="0"/>
          <w:right w:val="none" w:color="000000" w:sz="0" w:space="0"/>
        </w:pBdr>
        <w:spacing w:line="312" w:lineRule="auto"/>
        <w:rPr>
          <w:rFonts w:ascii="Times New Roman" w:hAnsi="Times New Roman" w:eastAsia="宋体" w:cs="Times New Roman"/>
        </w:rPr>
      </w:pPr>
      <w:r>
        <w:rPr>
          <w:rFonts w:ascii="宋体" w:hAnsi="宋体" w:eastAsia="宋体" w:cs="宋体"/>
          <w:color w:val="000000"/>
          <w:sz w:val="24"/>
        </w:rPr>
        <w:t>1.按上表计算的收费为代理服务全过程的收费金额。各社会代理机构不另外收取采购文件制作售卖费用。</w:t>
      </w:r>
    </w:p>
    <w:p>
      <w:pPr>
        <w:pBdr>
          <w:top w:val="none" w:color="000000" w:sz="0" w:space="0"/>
          <w:left w:val="none" w:color="000000" w:sz="0" w:space="0"/>
          <w:bottom w:val="none" w:color="000000" w:sz="0" w:space="0"/>
          <w:right w:val="none" w:color="000000" w:sz="0" w:space="0"/>
        </w:pBdr>
        <w:spacing w:line="312" w:lineRule="auto"/>
        <w:rPr>
          <w:rFonts w:ascii="Times New Roman" w:hAnsi="Times New Roman" w:eastAsia="宋体" w:cs="Times New Roman"/>
        </w:rPr>
      </w:pPr>
      <w:r>
        <w:rPr>
          <w:rFonts w:ascii="宋体" w:hAnsi="宋体" w:eastAsia="宋体" w:cs="宋体"/>
          <w:color w:val="000000"/>
          <w:sz w:val="24"/>
        </w:rPr>
        <w:t>2.代理服务费按差额定率累进法计算。</w:t>
      </w:r>
    </w:p>
    <w:p>
      <w:pPr>
        <w:pBdr>
          <w:top w:val="none" w:color="000000" w:sz="0" w:space="0"/>
          <w:left w:val="none" w:color="000000" w:sz="0" w:space="0"/>
          <w:bottom w:val="none" w:color="000000" w:sz="0" w:space="0"/>
          <w:right w:val="none" w:color="000000" w:sz="0" w:space="0"/>
        </w:pBdr>
        <w:spacing w:line="312" w:lineRule="auto"/>
        <w:rPr>
          <w:rFonts w:ascii="Times New Roman" w:hAnsi="Times New Roman" w:eastAsia="宋体" w:cs="Times New Roman"/>
        </w:rPr>
      </w:pPr>
      <w:r>
        <w:rPr>
          <w:rFonts w:ascii="宋体" w:hAnsi="宋体" w:eastAsia="宋体" w:cs="宋体"/>
          <w:color w:val="000000"/>
          <w:sz w:val="24"/>
        </w:rPr>
        <w:t>3.代理服务费基准金额（按差额定率累进法计算的）=中标金额（按差额定率累进法计算的）*费率（%）。</w:t>
      </w:r>
    </w:p>
    <w:p>
      <w:pPr>
        <w:pBdr>
          <w:top w:val="none" w:color="000000" w:sz="0" w:space="0"/>
          <w:left w:val="none" w:color="000000" w:sz="0" w:space="0"/>
          <w:bottom w:val="none" w:color="000000" w:sz="0" w:space="0"/>
          <w:right w:val="none" w:color="000000" w:sz="0" w:space="0"/>
        </w:pBdr>
        <w:spacing w:line="312" w:lineRule="auto"/>
        <w:rPr>
          <w:rFonts w:ascii="Times New Roman" w:hAnsi="Times New Roman" w:eastAsia="宋体" w:cs="Times New Roman"/>
        </w:rPr>
      </w:pPr>
      <w:r>
        <w:rPr>
          <w:rFonts w:ascii="宋体" w:hAnsi="宋体" w:eastAsia="宋体" w:cs="宋体"/>
          <w:color w:val="000000"/>
          <w:sz w:val="24"/>
        </w:rPr>
        <w:t>4.代理服务费应收取金额=代理服务费基准金额（按差额定率累进法计算的）的合计数。</w:t>
      </w:r>
    </w:p>
    <w:p>
      <w:pPr>
        <w:pBdr>
          <w:top w:val="none" w:color="000000" w:sz="0" w:space="0"/>
          <w:left w:val="none" w:color="000000" w:sz="0" w:space="0"/>
          <w:bottom w:val="none" w:color="000000" w:sz="0" w:space="0"/>
          <w:right w:val="none" w:color="000000" w:sz="0" w:space="0"/>
        </w:pBdr>
        <w:spacing w:line="312" w:lineRule="auto"/>
        <w:rPr>
          <w:rFonts w:ascii="Times New Roman" w:hAnsi="Times New Roman" w:eastAsia="宋体" w:cs="Times New Roman"/>
        </w:rPr>
      </w:pPr>
      <w:r>
        <w:rPr>
          <w:rFonts w:ascii="宋体" w:hAnsi="宋体" w:eastAsia="宋体" w:cs="宋体"/>
          <w:color w:val="000000"/>
          <w:sz w:val="24"/>
        </w:rPr>
        <w:t>5.定点类等无金额或事先不能计算出价格总额的项目，按中标（成交）金额100万元计算服务费。</w:t>
      </w:r>
    </w:p>
    <w:p>
      <w:pPr>
        <w:pBdr>
          <w:top w:val="none" w:color="000000" w:sz="0" w:space="0"/>
          <w:left w:val="none" w:color="000000" w:sz="0" w:space="0"/>
          <w:bottom w:val="none" w:color="000000" w:sz="0" w:space="0"/>
          <w:right w:val="none" w:color="000000" w:sz="0" w:space="0"/>
        </w:pBdr>
        <w:spacing w:line="312" w:lineRule="auto"/>
        <w:rPr>
          <w:rFonts w:ascii="Times New Roman" w:hAnsi="Times New Roman" w:eastAsia="宋体" w:cs="Times New Roman"/>
        </w:rPr>
      </w:pPr>
      <w:r>
        <w:rPr>
          <w:rFonts w:ascii="宋体" w:hAnsi="宋体" w:eastAsia="宋体" w:cs="宋体"/>
          <w:color w:val="000000"/>
          <w:sz w:val="24"/>
        </w:rPr>
        <w:t>6.有分包（分标段）的按一个项目计算。</w:t>
      </w:r>
    </w:p>
    <w:p>
      <w:pPr>
        <w:pStyle w:val="32"/>
        <w:spacing w:line="360" w:lineRule="auto"/>
        <w:rPr>
          <w:rFonts w:ascii="宋体" w:hAnsi="宋体" w:cs="宋体"/>
          <w:color w:val="000000" w:themeColor="text1"/>
          <w:szCs w:val="21"/>
          <w14:textFill>
            <w14:solidFill>
              <w14:schemeClr w14:val="tx1"/>
            </w14:solidFill>
          </w14:textFill>
        </w:rPr>
      </w:pPr>
      <w:r>
        <w:rPr>
          <w:rFonts w:ascii="宋体" w:hAnsi="宋体" w:cs="宋体"/>
          <w:color w:val="000000"/>
          <w:sz w:val="24"/>
        </w:rPr>
        <w:t>7.以上价格为协会指导价，双方可根据项目难易程度和优质优价原则协商确定</w:t>
      </w:r>
      <w:r>
        <w:rPr>
          <w:rFonts w:hint="eastAsia" w:ascii="宋体" w:hAnsi="宋体" w:cs="宋体"/>
          <w:color w:val="000000" w:themeColor="text1"/>
          <w:szCs w:val="21"/>
          <w14:textFill>
            <w14:solidFill>
              <w14:schemeClr w14:val="tx1"/>
            </w14:solidFill>
          </w14:textFill>
        </w:rPr>
        <w:t>。</w:t>
      </w:r>
    </w:p>
    <w:p>
      <w:pPr>
        <w:pStyle w:val="28"/>
        <w:numPr>
          <w:ilvl w:val="0"/>
          <w:numId w:val="0"/>
        </w:numPr>
        <w:ind w:right="6"/>
        <w:rPr>
          <w:rFonts w:hint="eastAsia"/>
        </w:rPr>
      </w:pPr>
    </w:p>
    <w:sectPr>
      <w:pgSz w:w="11906" w:h="16838"/>
      <w:pgMar w:top="1440" w:right="1440" w:bottom="1440" w:left="1440" w:header="851" w:footer="992" w:gutter="0"/>
      <w:cols w:space="1701"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60101010101"/>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200247B" w:usb2="00000009" w:usb3="00000000" w:csb0="200001FF" w:csb1="00000000"/>
  </w:font>
  <w:font w:name="方正书宋简体">
    <w:altName w:val="宋体"/>
    <w:panose1 w:val="020B0503020202020204"/>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方正仿宋_GBK">
    <w:altName w:val="微软雅黑"/>
    <w:panose1 w:val="020B0503020202020204"/>
    <w:charset w:val="00"/>
    <w:family w:val="auto"/>
    <w:pitch w:val="default"/>
    <w:sig w:usb0="00000000" w:usb1="00000000" w:usb2="00000000" w:usb3="00000000" w:csb0="00000000" w:csb1="00000000"/>
  </w:font>
  <w:font w:name="幼圆">
    <w:panose1 w:val="02010509060101010101"/>
    <w:charset w:val="86"/>
    <w:family w:val="auto"/>
    <w:pitch w:val="default"/>
    <w:sig w:usb0="00000001" w:usb1="080E0000" w:usb2="00000000" w:usb3="00000000" w:csb0="00040000" w:csb1="00000000"/>
  </w:font>
  <w:font w:name="方正楷体_GBK">
    <w:altName w:val="微软雅黑"/>
    <w:panose1 w:val="020B0503020202020204"/>
    <w:charset w:val="00"/>
    <w:family w:val="auto"/>
    <w:pitch w:val="default"/>
    <w:sig w:usb0="00000000" w:usb1="00000000" w:usb2="00000000" w:usb3="00000000" w:csb0="00000000" w:csb1="00000000"/>
  </w:font>
  <w:font w:name="MingLiU">
    <w:altName w:val="PMingLiU-ExtB"/>
    <w:panose1 w:val="02020509000000000000"/>
    <w:charset w:val="88"/>
    <w:family w:val="auto"/>
    <w:pitch w:val="default"/>
    <w:sig w:usb0="00000000" w:usb1="00000000" w:usb2="00000016" w:usb3="00000000" w:csb0="00100001"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60101010101"/>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 w:name="Arial Rounded MT Bold">
    <w:panose1 w:val="020F0704030504030204"/>
    <w:charset w:val="00"/>
    <w:family w:val="auto"/>
    <w:pitch w:val="default"/>
    <w:sig w:usb0="00000003" w:usb1="00000000" w:usb2="00000000" w:usb3="00000000" w:csb0="20000001" w:csb1="00000000"/>
  </w:font>
  <w:font w:name="Arial Black">
    <w:panose1 w:val="020B0A04020102020204"/>
    <w:charset w:val="00"/>
    <w:family w:val="auto"/>
    <w:pitch w:val="default"/>
    <w:sig w:usb0="A00002AF" w:usb1="400078FB" w:usb2="00000000" w:usb3="00000000" w:csb0="6000009F" w:csb1="DFD70000"/>
  </w:font>
  <w:font w:name="Futura Bk">
    <w:altName w:val="AmdtSymbols"/>
    <w:panose1 w:val="020B0503020202020204"/>
    <w:charset w:val="00"/>
    <w:family w:val="auto"/>
    <w:pitch w:val="default"/>
    <w:sig w:usb0="00000000" w:usb1="00000000" w:usb2="00000000" w:usb3="00000000" w:csb0="00000000" w:csb1="00000000"/>
  </w:font>
  <w:font w:name="PMingLiU">
    <w:altName w:val="PMingLiU-ExtB"/>
    <w:panose1 w:val="02020500000000000000"/>
    <w:charset w:val="88"/>
    <w:family w:val="auto"/>
    <w:pitch w:val="default"/>
    <w:sig w:usb0="00000000" w:usb1="00000000" w:usb2="00000016" w:usb3="00000000" w:csb0="00100001" w:csb1="00000000"/>
  </w:font>
  <w:font w:name="Arial Unicode MS">
    <w:panose1 w:val="020B0604020202020204"/>
    <w:charset w:val="86"/>
    <w:family w:val="auto"/>
    <w:pitch w:val="default"/>
    <w:sig w:usb0="F7FFAEFF" w:usb1="F9DFFFFF" w:usb2="0000007F" w:usb3="00000000" w:csb0="203F01FF" w:csb1="DFFF0000"/>
  </w:font>
  <w:font w:name="全真中明體">
    <w:altName w:val="AmdtSymbols"/>
    <w:panose1 w:val="020B0503020202020204"/>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AmdtSymbols">
    <w:panose1 w:val="02000500000000020004"/>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2"/>
      <w:ind w:firstLine="360"/>
      <w:jc w:val="center"/>
    </w:pPr>
    <w:r>
      <w:fldChar w:fldCharType="begin"/>
    </w:r>
    <w:r>
      <w:instrText xml:space="preserve"> PAGE   \* MERGEFORMAT </w:instrText>
    </w:r>
    <w:r>
      <w:fldChar w:fldCharType="separate"/>
    </w:r>
    <w:r>
      <w:rPr>
        <w:lang w:val="zh-CN"/>
      </w:rPr>
      <w:t>22</w:t>
    </w:r>
    <w:r>
      <w:rPr>
        <w:lang w:val="zh-CN"/>
      </w:rPr>
      <w:fldChar w:fldCharType="end"/>
    </w:r>
  </w:p>
  <w:p>
    <w:pPr>
      <w:pStyle w:val="17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jc w:val="center"/>
      <w:rPr>
        <w:rFonts w:eastAsia="仿宋_GB2312"/>
        <w:sz w:val="24"/>
        <w:szCs w:val="18"/>
      </w:rPr>
    </w:pPr>
    <w:r>
      <w:rPr>
        <w:sz w:val="24"/>
        <w:szCs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300" cy="147320"/>
              <wp:effectExtent l="0" t="0" r="0" b="0"/>
              <wp:wrapNone/>
              <wp:docPr id="1" name="任意多边形 1"/>
              <wp:cNvGraphicFramePr/>
              <a:graphic xmlns:a="http://schemas.openxmlformats.org/drawingml/2006/main">
                <a:graphicData uri="http://schemas.microsoft.com/office/word/2010/wordprocessingShape">
                  <wps:wsp>
                    <wps:cNvSpPr/>
                    <wps:spPr bwMode="auto">
                      <a:xfrm>
                        <a:off x="0" y="0"/>
                        <a:ext cx="114300" cy="147320"/>
                      </a:xfrm>
                      <a:custGeom>
                        <a:avLst/>
                        <a:gdLst/>
                        <a:ahLst/>
                        <a:cxnLst/>
                        <a:rect l="0" t="0" r="r" b="b"/>
                        <a:pathLst>
                          <a:path w="100000" h="100000" extrusionOk="0">
                            <a:moveTo>
                              <a:pt x="0" y="0"/>
                            </a:moveTo>
                            <a:lnTo>
                              <a:pt x="0" y="100000"/>
                            </a:lnTo>
                            <a:lnTo>
                              <a:pt x="100000" y="100000"/>
                            </a:lnTo>
                            <a:lnTo>
                              <a:pt x="100000" y="0"/>
                            </a:lnTo>
                            <a:close/>
                          </a:path>
                        </a:pathLst>
                      </a:custGeom>
                      <a:noFill/>
                      <a:ln>
                        <a:noFill/>
                      </a:ln>
                    </wps:spPr>
                    <wps:bodyPr rot="0">
                      <a:noAutofit/>
                    </wps:bodyPr>
                  </wps:wsp>
                </a:graphicData>
              </a:graphic>
            </wp:anchor>
          </w:drawing>
        </mc:Choice>
        <mc:Fallback>
          <w:pict>
            <v:shape id="_x0000_s1026" o:spid="_x0000_s1026" o:spt="100" style="position:absolute;left:0pt;margin-top:0pt;height:11.6pt;width:9pt;mso-position-horizontal:center;mso-position-horizontal-relative:margin;z-index:251663360;mso-width-relative:page;mso-height-relative:page;" filled="f" stroked="f" coordsize="100000,100000" o:gfxdata="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MGiYV0gAAAAMBAAAPAAAAAAAAAAEAIAAAACIAAABkcnMvZG93bnJldi54&#10;bWxQSwECFAAUAAAACACHTuJAUUqj+gACAABIBAAADgAAAAAAAAABACAAAAAhAQAAZHJzL2Uyb0Rv&#10;Yy54bWxQSwUGAAAAAAYABgBZAQAAkwUAAAAA&#10;" path="m0,0l0,100000,100000,100000,100000,0xe">
              <v:fill on="f" focussize="0,0"/>
              <v:stroke on="f"/>
              <v:imagedata o:title=""/>
              <o:lock v:ext="edit" aspectratio="f"/>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300" cy="147320"/>
              <wp:effectExtent l="0" t="0" r="0" b="0"/>
              <wp:wrapNone/>
              <wp:docPr id="2" name="任意多边形 2"/>
              <wp:cNvGraphicFramePr/>
              <a:graphic xmlns:a="http://schemas.openxmlformats.org/drawingml/2006/main">
                <a:graphicData uri="http://schemas.microsoft.com/office/word/2010/wordprocessingShape">
                  <wps:wsp>
                    <wps:cNvSpPr/>
                    <wps:spPr bwMode="auto">
                      <a:xfrm>
                        <a:off x="0" y="0"/>
                        <a:ext cx="114300" cy="147320"/>
                      </a:xfrm>
                      <a:custGeom>
                        <a:avLst/>
                        <a:gdLst/>
                        <a:ahLst/>
                        <a:cxnLst/>
                        <a:rect l="0" t="0" r="r" b="b"/>
                        <a:pathLst>
                          <a:path w="100000" h="100000" extrusionOk="0">
                            <a:moveTo>
                              <a:pt x="0" y="0"/>
                            </a:moveTo>
                            <a:lnTo>
                              <a:pt x="0" y="100000"/>
                            </a:lnTo>
                            <a:lnTo>
                              <a:pt x="100000" y="100000"/>
                            </a:lnTo>
                            <a:lnTo>
                              <a:pt x="100000" y="0"/>
                            </a:lnTo>
                            <a:close/>
                          </a:path>
                        </a:pathLst>
                      </a:custGeom>
                      <a:noFill/>
                      <a:ln>
                        <a:noFill/>
                      </a:ln>
                    </wps:spPr>
                    <wps:bodyPr rot="0">
                      <a:noAutofit/>
                    </wps:bodyPr>
                  </wps:wsp>
                </a:graphicData>
              </a:graphic>
            </wp:anchor>
          </w:drawing>
        </mc:Choice>
        <mc:Fallback>
          <w:pict>
            <v:shape id="_x0000_s1026" o:spid="_x0000_s1026" o:spt="100" style="position:absolute;left:0pt;margin-top:0pt;height:11.6pt;width:9pt;mso-position-horizontal:center;mso-position-horizontal-relative:margin;z-index:251664384;mso-width-relative:page;mso-height-relative:page;" filled="f" stroked="f" coordsize="100000,100000" o:gfxdata="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MGiYV0gAAAAMBAAAPAAAAAAAAAAEAIAAAACIAAABkcnMvZG93bnJldi54&#10;bWxQSwECFAAUAAAACACHTuJACf8DZwACAABIBAAADgAAAAAAAAABACAAAAAhAQAAZHJzL2Uyb0Rv&#10;Yy54bWxQSwUGAAAAAAYABgBZAQAAkwUAAAAA&#10;" path="m0,0l0,100000,100000,100000,100000,0xe">
              <v:fill on="f" focussize="0,0"/>
              <v:stroke on="f"/>
              <v:imagedata o:title=""/>
              <o:lock v:ext="edit" aspectratio="f"/>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任意多边形 1028"/>
              <wp:cNvGraphicFramePr/>
              <a:graphic xmlns:a="http://schemas.openxmlformats.org/drawingml/2006/main">
                <a:graphicData uri="http://schemas.microsoft.com/office/word/2010/wordprocessingShape">
                  <wps:wsp>
                    <wps:cNvSpPr/>
                    <wps:spPr bwMode="auto">
                      <a:xfrm>
                        <a:off x="0" y="0"/>
                        <a:ext cx="1828800" cy="1828800"/>
                      </a:xfrm>
                      <a:custGeom>
                        <a:avLst/>
                        <a:gdLst/>
                        <a:ahLst/>
                        <a:cxnLst/>
                        <a:rect l="0" t="0" r="r" b="b"/>
                        <a:pathLst>
                          <a:path w="100000" h="100000" extrusionOk="0">
                            <a:moveTo>
                              <a:pt x="0" y="0"/>
                            </a:moveTo>
                            <a:lnTo>
                              <a:pt x="0" y="100000"/>
                            </a:lnTo>
                            <a:lnTo>
                              <a:pt x="100000" y="100000"/>
                            </a:lnTo>
                            <a:lnTo>
                              <a:pt x="100000" y="0"/>
                            </a:lnTo>
                            <a:close/>
                          </a:path>
                        </a:pathLst>
                      </a:custGeom>
                      <a:noFill/>
                      <a:ln>
                        <a:noFill/>
                      </a:ln>
                    </wps:spPr>
                    <wps:bodyPr rot="0">
                      <a:noAutofit/>
                    </wps:bodyPr>
                  </wps:wsp>
                </a:graphicData>
              </a:graphic>
            </wp:anchor>
          </w:drawing>
        </mc:Choice>
        <mc:Fallback>
          <w:pict>
            <v:shape id="任意多边形 1028" o:spid="_x0000_s1026" o:spt="100" style="position:absolute;left:0pt;margin-top:0pt;height:144pt;width:144pt;mso-position-horizontal:center;mso-position-horizontal-relative:margin;z-index:251661312;mso-width-relative:page;mso-height-relative:page;" filled="f" stroked="f" coordsize="100000,100000" o:gfxdata="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C6xjTRAAAABQEAAA8AAAAAAAAAAQAgAAAAIgAAAGRycy9kb3ducmV2Lnht&#10;bFBLAQIUABQAAAAIAIdO4kCwJQ7WAAIAAE0EAAAOAAAAAAAAAAEAIAAAACABAABkcnMvZTJvRG9j&#10;LnhtbFBLBQYAAAAABgAGAFkBAACSBQAAAAA=&#10;" path="m0,0l0,100000,100000,100000,100000,0xe">
              <v:fill on="f" focussize="0,0"/>
              <v:stroke on="f"/>
              <v:imagedata o:title=""/>
              <o:lock v:ext="edit" aspectratio="f"/>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6"/>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任意多边形 1027"/>
              <wp:cNvGraphicFramePr/>
              <a:graphic xmlns:a="http://schemas.openxmlformats.org/drawingml/2006/main">
                <a:graphicData uri="http://schemas.microsoft.com/office/word/2010/wordprocessingShape">
                  <wps:wsp>
                    <wps:cNvSpPr/>
                    <wps:spPr bwMode="auto">
                      <a:xfrm>
                        <a:off x="0" y="0"/>
                        <a:ext cx="1828800" cy="1828800"/>
                      </a:xfrm>
                      <a:custGeom>
                        <a:avLst/>
                        <a:gdLst/>
                        <a:ahLst/>
                        <a:cxnLst/>
                        <a:rect l="0" t="0" r="r" b="b"/>
                        <a:pathLst>
                          <a:path w="100000" h="100000" extrusionOk="0">
                            <a:moveTo>
                              <a:pt x="0" y="0"/>
                            </a:moveTo>
                            <a:lnTo>
                              <a:pt x="0" y="100000"/>
                            </a:lnTo>
                            <a:lnTo>
                              <a:pt x="100000" y="100000"/>
                            </a:lnTo>
                            <a:lnTo>
                              <a:pt x="100000" y="0"/>
                            </a:lnTo>
                            <a:close/>
                          </a:path>
                        </a:pathLst>
                      </a:custGeom>
                      <a:noFill/>
                      <a:ln>
                        <a:noFill/>
                      </a:ln>
                    </wps:spPr>
                    <wps:bodyPr rot="0">
                      <a:noAutofit/>
                    </wps:bodyPr>
                  </wps:wsp>
                </a:graphicData>
              </a:graphic>
            </wp:anchor>
          </w:drawing>
        </mc:Choice>
        <mc:Fallback>
          <w:pict>
            <v:shape id="任意多边形 1027" o:spid="_x0000_s1026" o:spt="100" style="position:absolute;left:0pt;margin-top:0pt;height:144pt;width:144pt;mso-position-horizontal:center;mso-position-horizontal-relative:margin;z-index:251662336;mso-width-relative:page;mso-height-relative:page;" filled="f" stroked="f" coordsize="100000,100000" o:gfxdata="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C6xjTRAAAABQEAAA8AAAAAAAAAAQAgAAAAIgAAAGRycy9kb3ducmV2Lnht&#10;bFBLAQIUABQAAAAIAIdO4kDAPqgVAAIAAE0EAAAOAAAAAAAAAAEAIAAAACABAABkcnMvZTJvRG9j&#10;LnhtbFBLBQYAAAAABgAGAFkBAACSBQAAAAA=&#10;" path="m0,0l0,100000,100000,100000,100000,0xe">
              <v:fill on="f" focussize="0,0"/>
              <v:stroke on="f"/>
              <v:imagedata o:title=""/>
              <o:lock v:ext="edit" aspectratio="f"/>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2"/>
      <w:ind w:firstLine="360"/>
      <w:jc w:val="center"/>
    </w:pPr>
    <w:r>
      <w:fldChar w:fldCharType="begin"/>
    </w:r>
    <w:r>
      <w:instrText xml:space="preserve"> PAGE   \* MERGEFORMAT </w:instrText>
    </w:r>
    <w:r>
      <w:fldChar w:fldCharType="separate"/>
    </w:r>
    <w:r>
      <w:rPr>
        <w:lang w:val="zh-CN"/>
      </w:rPr>
      <w:t>71</w:t>
    </w:r>
    <w:r>
      <w:rPr>
        <w:lang w:val="zh-CN"/>
      </w:rPr>
      <w:fldChar w:fldCharType="end"/>
    </w:r>
  </w:p>
  <w:p>
    <w:pPr>
      <w:pStyle w:val="17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172"/>
                            <w:tabs>
                              <w:tab w:val="clear" w:pos="4153"/>
                              <w:tab w:val="clear"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70</w:t>
                          </w:r>
                          <w:r>
                            <w:rPr>
                              <w:rFonts w:hint="eastAsia"/>
                            </w:rPr>
                            <w:fldChar w:fldCharType="end"/>
                          </w:r>
                        </w:p>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uWLxGugEAAFkDAAAOAAAAAAAAAAEAIAAAAB4BAABkcnMvZTJvRG9jLnhtbFBLBQYAAAAABgAG&#10;AFkBAABKBQAAAAA=&#10;">
              <v:fill on="f" focussize="0,0"/>
              <v:stroke on="f"/>
              <v:imagedata o:title=""/>
              <o:lock v:ext="edit" aspectratio="f"/>
              <v:textbox inset="0mm,0mm,0mm,0mm" style="mso-fit-shape-to-text:t;">
                <w:txbxContent>
                  <w:p>
                    <w:pPr>
                      <w:pStyle w:val="172"/>
                      <w:tabs>
                        <w:tab w:val="clear" w:pos="4153"/>
                        <w:tab w:val="clear"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70</w:t>
                    </w:r>
                    <w:r>
                      <w:rPr>
                        <w:rFonts w:hint="eastAsia"/>
                      </w:rPr>
                      <w:fldChar w:fldCharType="end"/>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17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jc w:val="cent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iCs/>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4"/>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BF205925"/>
    <w:multiLevelType w:val="multilevel"/>
    <w:tmpl w:val="BF205925"/>
    <w:lvl w:ilvl="0" w:tentative="0">
      <w:start w:val="1"/>
      <w:numFmt w:val="decimal"/>
      <w:suff w:val="nothing"/>
      <w:lvlText w:val="%1、"/>
      <w:lvlJc w:val="left"/>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2">
    <w:nsid w:val="CF092B84"/>
    <w:multiLevelType w:val="multilevel"/>
    <w:tmpl w:val="CF092B84"/>
    <w:lvl w:ilvl="0" w:tentative="0">
      <w:start w:val="1"/>
      <w:numFmt w:val="decimal"/>
      <w:lvlText w:val="%1."/>
      <w:lvlJc w:val="left"/>
      <w:pPr>
        <w:tabs>
          <w:tab w:val="left" w:pos="720"/>
        </w:tabs>
        <w:ind w:left="720" w:hanging="360"/>
      </w:pPr>
    </w:lvl>
    <w:lvl w:ilvl="1" w:tentative="0">
      <w:start w:val="1"/>
      <w:numFmt w:val="lowerLetter"/>
      <w:pStyle w:val="375"/>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pStyle w:val="387"/>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3">
    <w:nsid w:val="E7C700B5"/>
    <w:multiLevelType w:val="singleLevel"/>
    <w:tmpl w:val="E7C700B5"/>
    <w:lvl w:ilvl="0" w:tentative="0">
      <w:start w:val="7"/>
      <w:numFmt w:val="chineseCounting"/>
      <w:suff w:val="nothing"/>
      <w:lvlText w:val="%1、"/>
      <w:lvlJc w:val="left"/>
      <w:rPr>
        <w:rFonts w:hint="eastAsia"/>
      </w:rPr>
    </w:lvl>
  </w:abstractNum>
  <w:abstractNum w:abstractNumId="4">
    <w:nsid w:val="0053208E"/>
    <w:multiLevelType w:val="multilevel"/>
    <w:tmpl w:val="0053208E"/>
    <w:lvl w:ilvl="0" w:tentative="0">
      <w:start w:val="1"/>
      <w:numFmt w:val="decimal"/>
      <w:pStyle w:val="66"/>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3D62ECE"/>
    <w:multiLevelType w:val="multilevel"/>
    <w:tmpl w:val="03D62ECE"/>
    <w:lvl w:ilvl="0" w:tentative="0">
      <w:start w:val="2"/>
      <w:numFmt w:val="decimal"/>
      <w:suff w:val="space"/>
      <w:lvlText w:val="%1."/>
      <w:lvlJc w:val="left"/>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6">
    <w:nsid w:val="25B654F3"/>
    <w:multiLevelType w:val="multilevel"/>
    <w:tmpl w:val="25B654F3"/>
    <w:lvl w:ilvl="0" w:tentative="0">
      <w:start w:val="1"/>
      <w:numFmt w:val="decimal"/>
      <w:suff w:val="nothing"/>
      <w:lvlText w:val="（%1）"/>
      <w:lvlJc w:val="left"/>
      <w:pPr>
        <w:tabs>
          <w:tab w:val="left" w:pos="420"/>
        </w:tabs>
        <w:ind w:left="0" w:firstLine="0"/>
      </w:pPr>
      <w:rPr>
        <w:rFonts w:hint="default"/>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7">
    <w:nsid w:val="59ADCABA"/>
    <w:multiLevelType w:val="multilevel"/>
    <w:tmpl w:val="59ADCABA"/>
    <w:lvl w:ilvl="0" w:tentative="0">
      <w:start w:val="1"/>
      <w:numFmt w:val="decimal"/>
      <w:lvlText w:val="%1."/>
      <w:lvlJc w:val="left"/>
      <w:pPr>
        <w:tabs>
          <w:tab w:val="left" w:pos="312"/>
        </w:tabs>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8">
    <w:nsid w:val="72183CF9"/>
    <w:multiLevelType w:val="multilevel"/>
    <w:tmpl w:val="72183CF9"/>
    <w:lvl w:ilvl="0" w:tentative="0">
      <w:start w:val="1"/>
      <w:numFmt w:val="decimal"/>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4"/>
  </w:num>
  <w:num w:numId="2">
    <w:abstractNumId w:val="2"/>
  </w:num>
  <w:num w:numId="3">
    <w:abstractNumId w:val="7"/>
  </w:num>
  <w:num w:numId="4">
    <w:abstractNumId w:val="1"/>
  </w:num>
  <w:num w:numId="5">
    <w:abstractNumId w:val="0"/>
  </w:num>
  <w:num w:numId="6">
    <w:abstractNumId w:val="3"/>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Njc3Yjc0MTI4ODg2N2I1ZTMzMDhlYzJiZDY3ZDYifQ=="/>
  </w:docVars>
  <w:rsids>
    <w:rsidRoot w:val="00000000"/>
    <w:rsid w:val="03C26749"/>
    <w:rsid w:val="04EB4D37"/>
    <w:rsid w:val="059F4040"/>
    <w:rsid w:val="09E37902"/>
    <w:rsid w:val="0C8A3F0C"/>
    <w:rsid w:val="0D3D3746"/>
    <w:rsid w:val="0F7C2A92"/>
    <w:rsid w:val="10A9305F"/>
    <w:rsid w:val="153B0F5F"/>
    <w:rsid w:val="16246C53"/>
    <w:rsid w:val="193D0D82"/>
    <w:rsid w:val="205F3C8E"/>
    <w:rsid w:val="23611130"/>
    <w:rsid w:val="23C714FF"/>
    <w:rsid w:val="289A05A6"/>
    <w:rsid w:val="2A103279"/>
    <w:rsid w:val="2C5724B3"/>
    <w:rsid w:val="306C426A"/>
    <w:rsid w:val="3077658E"/>
    <w:rsid w:val="312219C7"/>
    <w:rsid w:val="37B7582F"/>
    <w:rsid w:val="3BAB20EB"/>
    <w:rsid w:val="3CF35A16"/>
    <w:rsid w:val="3D054A4C"/>
    <w:rsid w:val="40AA31D5"/>
    <w:rsid w:val="42325426"/>
    <w:rsid w:val="44BC64D0"/>
    <w:rsid w:val="48CC18F2"/>
    <w:rsid w:val="4D9B37F6"/>
    <w:rsid w:val="534B04C5"/>
    <w:rsid w:val="543E5648"/>
    <w:rsid w:val="55EE6DD2"/>
    <w:rsid w:val="5A082ABB"/>
    <w:rsid w:val="623068E2"/>
    <w:rsid w:val="64032B47"/>
    <w:rsid w:val="67547B43"/>
    <w:rsid w:val="6AB45F8E"/>
    <w:rsid w:val="6F814935"/>
    <w:rsid w:val="738A3DB3"/>
    <w:rsid w:val="73985330"/>
    <w:rsid w:val="74B00D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99" w:semiHidden="0"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6"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33"/>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2">
    <w:name w:val="heading 1"/>
    <w:basedOn w:val="3"/>
    <w:next w:val="3"/>
    <w:qFormat/>
    <w:uiPriority w:val="9"/>
    <w:pPr>
      <w:keepNext/>
      <w:keepLines/>
      <w:spacing w:before="480" w:after="200"/>
      <w:outlineLvl w:val="0"/>
    </w:pPr>
    <w:rPr>
      <w:rFonts w:ascii="Arial" w:hAnsi="Arial" w:eastAsia="Arial" w:cs="Arial"/>
      <w:sz w:val="40"/>
      <w:szCs w:val="40"/>
    </w:rPr>
  </w:style>
  <w:style w:type="paragraph" w:styleId="4">
    <w:name w:val="heading 2"/>
    <w:basedOn w:val="1"/>
    <w:next w:val="1"/>
    <w:unhideWhenUsed/>
    <w:qFormat/>
    <w:uiPriority w:val="9"/>
    <w:pPr>
      <w:keepNext/>
      <w:keepLines/>
      <w:spacing w:before="360" w:after="200"/>
      <w:outlineLvl w:val="1"/>
    </w:pPr>
    <w:rPr>
      <w:rFonts w:ascii="Arial" w:hAnsi="Arial" w:eastAsia="Arial" w:cs="Arial"/>
      <w:sz w:val="34"/>
    </w:rPr>
  </w:style>
  <w:style w:type="paragraph" w:styleId="5">
    <w:name w:val="heading 3"/>
    <w:basedOn w:val="1"/>
    <w:next w:val="1"/>
    <w:unhideWhenUsed/>
    <w:qFormat/>
    <w:uiPriority w:val="9"/>
    <w:pPr>
      <w:keepNext/>
      <w:keepLines/>
      <w:spacing w:before="320" w:after="200"/>
      <w:outlineLvl w:val="2"/>
    </w:pPr>
    <w:rPr>
      <w:rFonts w:ascii="Arial" w:hAnsi="Arial" w:eastAsia="Arial" w:cs="Arial"/>
      <w:sz w:val="30"/>
      <w:szCs w:val="30"/>
    </w:rPr>
  </w:style>
  <w:style w:type="paragraph" w:styleId="6">
    <w:name w:val="heading 4"/>
    <w:basedOn w:val="1"/>
    <w:next w:val="1"/>
    <w:unhideWhenUsed/>
    <w:qFormat/>
    <w:uiPriority w:val="9"/>
    <w:pPr>
      <w:keepNext/>
      <w:keepLines/>
      <w:spacing w:before="320" w:after="200"/>
      <w:outlineLvl w:val="3"/>
    </w:pPr>
    <w:rPr>
      <w:rFonts w:ascii="Arial" w:hAnsi="Arial" w:eastAsia="Arial" w:cs="Arial"/>
      <w:b/>
      <w:bCs/>
      <w:sz w:val="26"/>
      <w:szCs w:val="26"/>
    </w:rPr>
  </w:style>
  <w:style w:type="paragraph" w:styleId="7">
    <w:name w:val="heading 5"/>
    <w:basedOn w:val="1"/>
    <w:next w:val="1"/>
    <w:unhideWhenUsed/>
    <w:qFormat/>
    <w:uiPriority w:val="9"/>
    <w:pPr>
      <w:keepNext/>
      <w:keepLines/>
      <w:spacing w:before="320" w:after="200"/>
      <w:outlineLvl w:val="4"/>
    </w:pPr>
    <w:rPr>
      <w:rFonts w:ascii="Arial" w:hAnsi="Arial" w:eastAsia="Arial" w:cs="Arial"/>
      <w:b/>
      <w:bCs/>
      <w:sz w:val="24"/>
      <w:szCs w:val="24"/>
    </w:rPr>
  </w:style>
  <w:style w:type="paragraph" w:styleId="8">
    <w:name w:val="heading 6"/>
    <w:basedOn w:val="1"/>
    <w:next w:val="1"/>
    <w:unhideWhenUsed/>
    <w:qFormat/>
    <w:uiPriority w:val="9"/>
    <w:pPr>
      <w:keepNext/>
      <w:keepLines/>
      <w:spacing w:before="320" w:after="200"/>
      <w:outlineLvl w:val="5"/>
    </w:pPr>
    <w:rPr>
      <w:rFonts w:ascii="Arial" w:hAnsi="Arial" w:eastAsia="Arial" w:cs="Arial"/>
      <w:b/>
      <w:bCs/>
      <w:sz w:val="22"/>
      <w:szCs w:val="22"/>
    </w:rPr>
  </w:style>
  <w:style w:type="paragraph" w:styleId="9">
    <w:name w:val="heading 7"/>
    <w:basedOn w:val="1"/>
    <w:next w:val="1"/>
    <w:unhideWhenUsed/>
    <w:qFormat/>
    <w:uiPriority w:val="9"/>
    <w:pPr>
      <w:keepNext/>
      <w:keepLines/>
      <w:spacing w:before="320" w:after="200"/>
      <w:outlineLvl w:val="6"/>
    </w:pPr>
    <w:rPr>
      <w:rFonts w:ascii="Arial" w:hAnsi="Arial" w:eastAsia="Arial" w:cs="Arial"/>
      <w:b/>
      <w:bCs/>
      <w:i/>
      <w:iCs/>
      <w:sz w:val="22"/>
      <w:szCs w:val="22"/>
    </w:rPr>
  </w:style>
  <w:style w:type="paragraph" w:styleId="10">
    <w:name w:val="heading 8"/>
    <w:basedOn w:val="1"/>
    <w:next w:val="1"/>
    <w:unhideWhenUsed/>
    <w:qFormat/>
    <w:uiPriority w:val="9"/>
    <w:pPr>
      <w:keepNext/>
      <w:keepLines/>
      <w:spacing w:before="320" w:after="200"/>
      <w:outlineLvl w:val="7"/>
    </w:pPr>
    <w:rPr>
      <w:rFonts w:ascii="Arial" w:hAnsi="Arial" w:eastAsia="Arial" w:cs="Arial"/>
      <w:i/>
      <w:iCs/>
      <w:sz w:val="22"/>
      <w:szCs w:val="22"/>
    </w:rPr>
  </w:style>
  <w:style w:type="paragraph" w:styleId="11">
    <w:name w:val="heading 9"/>
    <w:basedOn w:val="1"/>
    <w:next w:val="1"/>
    <w:unhideWhenUsed/>
    <w:qFormat/>
    <w:uiPriority w:val="9"/>
    <w:pPr>
      <w:keepNext/>
      <w:keepLines/>
      <w:spacing w:before="320" w:after="200"/>
      <w:outlineLvl w:val="8"/>
    </w:pPr>
    <w:rPr>
      <w:rFonts w:ascii="Arial" w:hAnsi="Arial" w:eastAsia="Arial" w:cs="Arial"/>
      <w:i/>
      <w:iCs/>
      <w:sz w:val="21"/>
      <w:szCs w:val="21"/>
    </w:rPr>
  </w:style>
  <w:style w:type="character" w:default="1" w:styleId="56">
    <w:name w:val="Default Paragraph Font"/>
    <w:semiHidden/>
    <w:unhideWhenUsed/>
    <w:qFormat/>
    <w:uiPriority w:val="1"/>
  </w:style>
  <w:style w:type="table" w:default="1" w:styleId="62">
    <w:name w:val="Normal Table"/>
    <w:semiHidden/>
    <w:unhideWhenUsed/>
    <w:qFormat/>
    <w:uiPriority w:val="99"/>
    <w:tblPr>
      <w:tblLayout w:type="fixed"/>
      <w:tblCellMar>
        <w:top w:w="0" w:type="dxa"/>
        <w:left w:w="108" w:type="dxa"/>
        <w:bottom w:w="0" w:type="dxa"/>
        <w:right w:w="108" w:type="dxa"/>
      </w:tblCellMar>
    </w:tblPr>
  </w:style>
  <w:style w:type="paragraph" w:styleId="3">
    <w:name w:val="Block Text"/>
    <w:basedOn w:val="1"/>
    <w:next w:val="1"/>
    <w:qFormat/>
    <w:uiPriority w:val="6"/>
    <w:pPr>
      <w:ind w:left="256" w:right="6" w:firstLine="624"/>
    </w:pPr>
    <w:rPr>
      <w:rFonts w:ascii="Times New Roman" w:hAnsi="Times New Roman" w:eastAsia="仿宋" w:cs="Times New Roman"/>
      <w:sz w:val="28"/>
      <w:szCs w:val="20"/>
    </w:rPr>
  </w:style>
  <w:style w:type="paragraph" w:styleId="12">
    <w:name w:val="toc 7"/>
    <w:basedOn w:val="1"/>
    <w:next w:val="1"/>
    <w:unhideWhenUsed/>
    <w:qFormat/>
    <w:uiPriority w:val="39"/>
    <w:pPr>
      <w:spacing w:after="57"/>
      <w:ind w:left="1701" w:right="0" w:firstLine="0"/>
    </w:pPr>
  </w:style>
  <w:style w:type="paragraph" w:styleId="13">
    <w:name w:val="caption"/>
    <w:basedOn w:val="1"/>
    <w:next w:val="1"/>
    <w:semiHidden/>
    <w:unhideWhenUsed/>
    <w:qFormat/>
    <w:uiPriority w:val="35"/>
    <w:pPr>
      <w:spacing w:line="276" w:lineRule="auto"/>
    </w:pPr>
    <w:rPr>
      <w:b/>
      <w:bCs/>
      <w:color w:val="DDDDDD" w:themeColor="accent1"/>
      <w:sz w:val="18"/>
      <w:szCs w:val="18"/>
      <w14:textFill>
        <w14:solidFill>
          <w14:schemeClr w14:val="accent1"/>
        </w14:solidFill>
      </w14:textFill>
    </w:rPr>
  </w:style>
  <w:style w:type="paragraph" w:styleId="14">
    <w:name w:val="Document Map"/>
    <w:basedOn w:val="1"/>
    <w:qFormat/>
    <w:uiPriority w:val="0"/>
    <w:rPr>
      <w:rFonts w:ascii="宋体" w:hAnsi="Calibri"/>
      <w:sz w:val="18"/>
      <w:szCs w:val="18"/>
    </w:rPr>
  </w:style>
  <w:style w:type="paragraph" w:styleId="15">
    <w:name w:val="annotation text"/>
    <w:basedOn w:val="1"/>
    <w:qFormat/>
    <w:uiPriority w:val="0"/>
    <w:pPr>
      <w:jc w:val="left"/>
    </w:pPr>
    <w:rPr>
      <w:rFonts w:ascii="Times New Roman" w:hAnsi="Times New Roman"/>
      <w:szCs w:val="24"/>
    </w:rPr>
  </w:style>
  <w:style w:type="paragraph" w:styleId="16">
    <w:name w:val="Body Text"/>
    <w:basedOn w:val="1"/>
    <w:next w:val="17"/>
    <w:unhideWhenUsed/>
    <w:qFormat/>
    <w:uiPriority w:val="99"/>
    <w:pPr>
      <w:spacing w:after="120"/>
    </w:pPr>
    <w:rPr>
      <w:szCs w:val="24"/>
    </w:rPr>
  </w:style>
  <w:style w:type="paragraph" w:customStyle="1" w:styleId="17">
    <w:name w:val="一级条标题"/>
    <w:basedOn w:val="18"/>
    <w:next w:val="29"/>
    <w:link w:val="158"/>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18">
    <w:name w:val="章标题"/>
    <w:basedOn w:val="19"/>
    <w:next w:val="19"/>
    <w:link w:val="217"/>
    <w:qFormat/>
    <w:uiPriority w:val="0"/>
    <w:pPr>
      <w:tabs>
        <w:tab w:val="left" w:pos="810"/>
        <w:tab w:val="left" w:pos="1265"/>
      </w:tabs>
      <w:spacing w:before="50" w:after="50"/>
      <w:ind w:left="810" w:hanging="810"/>
      <w:jc w:val="both"/>
      <w:outlineLvl w:val="1"/>
    </w:pPr>
    <w:rPr>
      <w:rFonts w:hint="default" w:ascii="黑体" w:hAnsi="Times New Roman" w:eastAsia="黑体" w:cs="Times New Roman"/>
      <w:sz w:val="21"/>
      <w:szCs w:val="22"/>
      <w:lang w:val="en-US" w:eastAsia="zh-CN" w:bidi="ar-SA"/>
    </w:rPr>
  </w:style>
  <w:style w:type="paragraph" w:customStyle="1" w:styleId="19">
    <w:name w:val="正文1"/>
    <w:basedOn w:val="20"/>
    <w:next w:val="28"/>
    <w:link w:val="216"/>
    <w:qFormat/>
    <w:uiPriority w:val="0"/>
    <w:pPr>
      <w:spacing w:line="360" w:lineRule="auto"/>
      <w:ind w:firstLine="361"/>
    </w:pPr>
    <w:rPr>
      <w:rFonts w:ascii="宋体" w:hAnsi="宋体" w:eastAsia="仿宋_GB2312"/>
      <w:sz w:val="24"/>
    </w:rPr>
  </w:style>
  <w:style w:type="paragraph" w:customStyle="1" w:styleId="20">
    <w:name w:val="正文111"/>
    <w:next w:val="2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1">
    <w:name w:val="标题 41"/>
    <w:basedOn w:val="22"/>
    <w:next w:val="20"/>
    <w:link w:val="179"/>
    <w:qFormat/>
    <w:uiPriority w:val="0"/>
    <w:pPr>
      <w:keepNext/>
      <w:keepLines/>
      <w:spacing w:before="280" w:after="290" w:line="376" w:lineRule="auto"/>
      <w:outlineLvl w:val="3"/>
    </w:pPr>
    <w:rPr>
      <w:rFonts w:ascii="Arial" w:hAnsi="Arial" w:eastAsia="黑体"/>
      <w:b/>
      <w:bCs/>
      <w:sz w:val="28"/>
      <w:szCs w:val="28"/>
    </w:rPr>
  </w:style>
  <w:style w:type="paragraph" w:customStyle="1" w:styleId="22">
    <w:name w:val="正文12"/>
    <w:next w:val="23"/>
    <w:qFormat/>
    <w:uiPriority w:val="0"/>
    <w:pPr>
      <w:widowControl w:val="0"/>
      <w:spacing w:line="360" w:lineRule="auto"/>
      <w:ind w:firstLine="723"/>
      <w:jc w:val="both"/>
    </w:pPr>
    <w:rPr>
      <w:rFonts w:hint="default" w:ascii="Times New Roman" w:hAnsi="Times New Roman" w:eastAsia="宋体" w:cs="Times New Roman"/>
      <w:sz w:val="24"/>
      <w:szCs w:val="24"/>
      <w:lang w:val="en-US" w:eastAsia="zh-CN" w:bidi="ar-SA"/>
    </w:rPr>
  </w:style>
  <w:style w:type="paragraph" w:customStyle="1" w:styleId="23">
    <w:name w:val="脚注文本1"/>
    <w:basedOn w:val="24"/>
    <w:next w:val="27"/>
    <w:qFormat/>
    <w:uiPriority w:val="0"/>
    <w:rPr>
      <w:sz w:val="18"/>
      <w:szCs w:val="18"/>
    </w:rPr>
  </w:style>
  <w:style w:type="paragraph" w:customStyle="1" w:styleId="24">
    <w:name w:val="正文1111"/>
    <w:next w:val="25"/>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5">
    <w:name w:val="标题 211"/>
    <w:basedOn w:val="26"/>
    <w:next w:val="24"/>
    <w:qFormat/>
    <w:uiPriority w:val="0"/>
    <w:pPr>
      <w:keepNext/>
      <w:keepLines/>
      <w:spacing w:before="260" w:after="260" w:line="416" w:lineRule="auto"/>
      <w:outlineLvl w:val="1"/>
    </w:pPr>
    <w:rPr>
      <w:rFonts w:ascii="Calibri Light" w:hAnsi="Calibri Light"/>
      <w:b/>
      <w:bCs/>
      <w:sz w:val="32"/>
      <w:szCs w:val="32"/>
    </w:rPr>
  </w:style>
  <w:style w:type="paragraph" w:customStyle="1" w:styleId="26">
    <w:name w:val="正文11"/>
    <w:next w:val="1"/>
    <w:link w:val="177"/>
    <w:qFormat/>
    <w:uiPriority w:val="0"/>
    <w:pPr>
      <w:jc w:val="both"/>
    </w:pPr>
    <w:rPr>
      <w:rFonts w:hint="default" w:ascii="Times New Roman" w:hAnsi="Times New Roman" w:eastAsia="宋体" w:cs="Times New Roman"/>
      <w:lang w:val="en-US" w:eastAsia="zh-CN" w:bidi="ar-SA"/>
    </w:rPr>
  </w:style>
  <w:style w:type="paragraph" w:customStyle="1" w:styleId="27">
    <w:name w:val="索引 51"/>
    <w:basedOn w:val="22"/>
    <w:next w:val="19"/>
    <w:qFormat/>
    <w:uiPriority w:val="0"/>
    <w:pPr>
      <w:ind w:left="798"/>
      <w:jc w:val="left"/>
    </w:pPr>
  </w:style>
  <w:style w:type="paragraph" w:customStyle="1" w:styleId="28">
    <w:name w:val="文本块1"/>
    <w:basedOn w:val="20"/>
    <w:next w:val="21"/>
    <w:qFormat/>
    <w:uiPriority w:val="0"/>
    <w:pPr>
      <w:ind w:left="256" w:right="6" w:firstLine="624"/>
    </w:pPr>
    <w:rPr>
      <w:rFonts w:eastAsia="仿宋_GB2312"/>
      <w:sz w:val="28"/>
      <w:szCs w:val="20"/>
    </w:rPr>
  </w:style>
  <w:style w:type="paragraph" w:customStyle="1" w:styleId="29">
    <w:name w:val="段"/>
    <w:basedOn w:val="30"/>
    <w:next w:val="19"/>
    <w:qFormat/>
    <w:uiPriority w:val="0"/>
    <w:pPr>
      <w:widowControl/>
      <w:ind w:firstLine="200"/>
    </w:pPr>
    <w:rPr>
      <w:rFonts w:hint="eastAsia" w:ascii="宋体"/>
      <w:sz w:val="20"/>
      <w:szCs w:val="20"/>
    </w:rPr>
  </w:style>
  <w:style w:type="paragraph" w:customStyle="1" w:styleId="30">
    <w:name w:val="正文13"/>
    <w:next w:val="3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1">
    <w:name w:val="正文首行缩进1"/>
    <w:basedOn w:val="32"/>
    <w:next w:val="34"/>
    <w:link w:val="156"/>
    <w:qFormat/>
    <w:uiPriority w:val="0"/>
    <w:pPr>
      <w:spacing w:line="360" w:lineRule="auto"/>
      <w:ind w:firstLine="200"/>
    </w:pPr>
    <w:rPr>
      <w:rFonts w:ascii="仿宋_GB2312" w:eastAsia="仿宋_GB2312"/>
      <w:sz w:val="30"/>
      <w:szCs w:val="30"/>
    </w:rPr>
  </w:style>
  <w:style w:type="paragraph" w:customStyle="1" w:styleId="32">
    <w:name w:val="正文文本11"/>
    <w:basedOn w:val="33"/>
    <w:next w:val="26"/>
    <w:qFormat/>
    <w:uiPriority w:val="0"/>
    <w:pPr>
      <w:spacing w:after="120"/>
    </w:pPr>
  </w:style>
  <w:style w:type="paragraph" w:customStyle="1" w:styleId="33">
    <w:name w:val="正文112"/>
    <w:next w:val="32"/>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34">
    <w:name w:val="正文首行缩进 21"/>
    <w:basedOn w:val="35"/>
    <w:next w:val="20"/>
    <w:qFormat/>
    <w:uiPriority w:val="0"/>
    <w:pPr>
      <w:widowControl/>
      <w:spacing w:after="120"/>
      <w:ind w:left="420" w:firstLine="420"/>
    </w:pPr>
    <w:rPr>
      <w:rFonts w:ascii="仿宋_GB2312" w:eastAsia="仿宋_GB2312"/>
      <w:color w:val="FF6600"/>
      <w:sz w:val="21"/>
    </w:rPr>
  </w:style>
  <w:style w:type="paragraph" w:customStyle="1" w:styleId="35">
    <w:name w:val="正文文本缩进1"/>
    <w:basedOn w:val="26"/>
    <w:next w:val="36"/>
    <w:qFormat/>
    <w:uiPriority w:val="0"/>
    <w:pPr>
      <w:spacing w:after="120"/>
      <w:ind w:left="420"/>
    </w:pPr>
  </w:style>
  <w:style w:type="paragraph" w:customStyle="1" w:styleId="36">
    <w:name w:val="寄信人地址1"/>
    <w:basedOn w:val="22"/>
    <w:qFormat/>
    <w:uiPriority w:val="0"/>
    <w:rPr>
      <w:rFonts w:ascii="Arial" w:hAnsi="Arial"/>
    </w:rPr>
  </w:style>
  <w:style w:type="paragraph" w:styleId="37">
    <w:name w:val="Body Text Indent"/>
    <w:basedOn w:val="1"/>
    <w:next w:val="38"/>
    <w:qFormat/>
    <w:uiPriority w:val="0"/>
    <w:pPr>
      <w:spacing w:line="317" w:lineRule="auto"/>
      <w:ind w:firstLine="600"/>
    </w:pPr>
    <w:rPr>
      <w:rFonts w:ascii="方正书宋简体" w:eastAsia="方正书宋简体"/>
      <w:sz w:val="30"/>
    </w:rPr>
  </w:style>
  <w:style w:type="paragraph" w:styleId="38">
    <w:name w:val="envelope return"/>
    <w:basedOn w:val="1"/>
    <w:qFormat/>
    <w:uiPriority w:val="99"/>
    <w:pPr>
      <w:spacing w:line="360" w:lineRule="auto"/>
      <w:ind w:firstLine="200"/>
    </w:pPr>
    <w:rPr>
      <w:rFonts w:ascii="Arial" w:hAnsi="Arial" w:cs="Arial"/>
      <w:sz w:val="24"/>
    </w:rPr>
  </w:style>
  <w:style w:type="paragraph" w:styleId="39">
    <w:name w:val="toc 5"/>
    <w:basedOn w:val="1"/>
    <w:next w:val="1"/>
    <w:unhideWhenUsed/>
    <w:qFormat/>
    <w:uiPriority w:val="39"/>
    <w:pPr>
      <w:spacing w:after="57"/>
      <w:ind w:left="1134" w:right="0" w:firstLine="0"/>
    </w:pPr>
  </w:style>
  <w:style w:type="paragraph" w:styleId="40">
    <w:name w:val="toc 3"/>
    <w:basedOn w:val="1"/>
    <w:next w:val="1"/>
    <w:unhideWhenUsed/>
    <w:qFormat/>
    <w:uiPriority w:val="39"/>
    <w:pPr>
      <w:spacing w:after="57"/>
      <w:ind w:left="567" w:right="0" w:firstLine="0"/>
    </w:pPr>
  </w:style>
  <w:style w:type="paragraph" w:styleId="41">
    <w:name w:val="toc 8"/>
    <w:basedOn w:val="1"/>
    <w:next w:val="1"/>
    <w:unhideWhenUsed/>
    <w:qFormat/>
    <w:uiPriority w:val="39"/>
    <w:pPr>
      <w:spacing w:after="57"/>
      <w:ind w:left="1984" w:right="0" w:firstLine="0"/>
    </w:pPr>
  </w:style>
  <w:style w:type="paragraph" w:styleId="42">
    <w:name w:val="endnote text"/>
    <w:basedOn w:val="1"/>
    <w:semiHidden/>
    <w:unhideWhenUsed/>
    <w:qFormat/>
    <w:uiPriority w:val="99"/>
    <w:pPr>
      <w:spacing w:after="0" w:line="240" w:lineRule="auto"/>
    </w:pPr>
    <w:rPr>
      <w:sz w:val="20"/>
    </w:rPr>
  </w:style>
  <w:style w:type="paragraph" w:styleId="43">
    <w:name w:val="footer"/>
    <w:basedOn w:val="1"/>
    <w:unhideWhenUsed/>
    <w:qFormat/>
    <w:uiPriority w:val="99"/>
    <w:pPr>
      <w:tabs>
        <w:tab w:val="center" w:pos="7143"/>
        <w:tab w:val="right" w:pos="14287"/>
      </w:tabs>
      <w:spacing w:after="0" w:line="240" w:lineRule="auto"/>
    </w:pPr>
  </w:style>
  <w:style w:type="paragraph" w:styleId="44">
    <w:name w:val="Body Text First Indent 2"/>
    <w:basedOn w:val="37"/>
    <w:qFormat/>
    <w:uiPriority w:val="0"/>
    <w:pPr>
      <w:ind w:firstLine="420"/>
    </w:pPr>
  </w:style>
  <w:style w:type="paragraph" w:styleId="45">
    <w:name w:val="header"/>
    <w:basedOn w:val="1"/>
    <w:unhideWhenUsed/>
    <w:qFormat/>
    <w:uiPriority w:val="99"/>
    <w:pPr>
      <w:tabs>
        <w:tab w:val="center" w:pos="7143"/>
        <w:tab w:val="right" w:pos="14287"/>
      </w:tabs>
      <w:spacing w:after="0" w:line="240" w:lineRule="auto"/>
    </w:pPr>
  </w:style>
  <w:style w:type="paragraph" w:styleId="46">
    <w:name w:val="toc 1"/>
    <w:basedOn w:val="1"/>
    <w:next w:val="1"/>
    <w:unhideWhenUsed/>
    <w:qFormat/>
    <w:uiPriority w:val="39"/>
    <w:pPr>
      <w:spacing w:after="57"/>
      <w:ind w:left="0" w:right="0" w:firstLine="0"/>
    </w:pPr>
  </w:style>
  <w:style w:type="paragraph" w:styleId="47">
    <w:name w:val="toc 4"/>
    <w:basedOn w:val="1"/>
    <w:next w:val="1"/>
    <w:unhideWhenUsed/>
    <w:qFormat/>
    <w:uiPriority w:val="39"/>
    <w:pPr>
      <w:spacing w:after="57"/>
      <w:ind w:left="850" w:right="0" w:firstLine="0"/>
    </w:pPr>
  </w:style>
  <w:style w:type="paragraph" w:styleId="48">
    <w:name w:val="Subtitle"/>
    <w:basedOn w:val="1"/>
    <w:next w:val="1"/>
    <w:qFormat/>
    <w:uiPriority w:val="11"/>
    <w:pPr>
      <w:spacing w:before="200" w:after="200"/>
    </w:pPr>
    <w:rPr>
      <w:sz w:val="24"/>
      <w:szCs w:val="24"/>
    </w:rPr>
  </w:style>
  <w:style w:type="paragraph" w:styleId="49">
    <w:name w:val="footnote text"/>
    <w:basedOn w:val="1"/>
    <w:semiHidden/>
    <w:unhideWhenUsed/>
    <w:qFormat/>
    <w:uiPriority w:val="99"/>
    <w:pPr>
      <w:spacing w:after="40" w:line="240" w:lineRule="auto"/>
    </w:pPr>
    <w:rPr>
      <w:sz w:val="18"/>
    </w:rPr>
  </w:style>
  <w:style w:type="paragraph" w:styleId="50">
    <w:name w:val="toc 6"/>
    <w:basedOn w:val="1"/>
    <w:next w:val="1"/>
    <w:unhideWhenUsed/>
    <w:qFormat/>
    <w:uiPriority w:val="39"/>
    <w:pPr>
      <w:spacing w:after="57"/>
      <w:ind w:left="1417" w:right="0" w:firstLine="0"/>
    </w:pPr>
  </w:style>
  <w:style w:type="paragraph" w:styleId="51">
    <w:name w:val="table of figures"/>
    <w:basedOn w:val="1"/>
    <w:next w:val="1"/>
    <w:unhideWhenUsed/>
    <w:qFormat/>
    <w:uiPriority w:val="99"/>
    <w:pPr>
      <w:spacing w:after="0" w:afterAutospacing="0"/>
    </w:pPr>
  </w:style>
  <w:style w:type="paragraph" w:styleId="52">
    <w:name w:val="toc 2"/>
    <w:basedOn w:val="1"/>
    <w:next w:val="1"/>
    <w:unhideWhenUsed/>
    <w:qFormat/>
    <w:uiPriority w:val="39"/>
    <w:pPr>
      <w:spacing w:after="57"/>
      <w:ind w:left="283" w:right="0" w:firstLine="0"/>
    </w:pPr>
  </w:style>
  <w:style w:type="paragraph" w:styleId="53">
    <w:name w:val="toc 9"/>
    <w:basedOn w:val="1"/>
    <w:next w:val="1"/>
    <w:unhideWhenUsed/>
    <w:qFormat/>
    <w:uiPriority w:val="39"/>
    <w:pPr>
      <w:spacing w:after="57"/>
      <w:ind w:left="2268" w:right="0" w:firstLine="0"/>
    </w:pPr>
  </w:style>
  <w:style w:type="paragraph" w:styleId="54">
    <w:name w:val="Normal (Web)"/>
    <w:basedOn w:val="1"/>
    <w:qFormat/>
    <w:uiPriority w:val="99"/>
    <w:pPr>
      <w:widowControl/>
      <w:spacing w:before="100" w:beforeAutospacing="1" w:after="100" w:afterAutospacing="1"/>
      <w:jc w:val="left"/>
    </w:pPr>
    <w:rPr>
      <w:rFonts w:ascii="宋体" w:hAnsi="宋体" w:cs="宋体"/>
      <w:sz w:val="24"/>
      <w:szCs w:val="24"/>
    </w:rPr>
  </w:style>
  <w:style w:type="paragraph" w:styleId="55">
    <w:name w:val="Title"/>
    <w:basedOn w:val="1"/>
    <w:next w:val="1"/>
    <w:qFormat/>
    <w:uiPriority w:val="10"/>
    <w:pPr>
      <w:spacing w:before="300" w:after="200"/>
      <w:contextualSpacing/>
    </w:pPr>
    <w:rPr>
      <w:sz w:val="48"/>
      <w:szCs w:val="48"/>
    </w:rPr>
  </w:style>
  <w:style w:type="character" w:styleId="57">
    <w:name w:val="Strong"/>
    <w:basedOn w:val="56"/>
    <w:qFormat/>
    <w:uiPriority w:val="22"/>
    <w:rPr>
      <w:b/>
    </w:rPr>
  </w:style>
  <w:style w:type="character" w:styleId="58">
    <w:name w:val="endnote reference"/>
    <w:semiHidden/>
    <w:unhideWhenUsed/>
    <w:qFormat/>
    <w:uiPriority w:val="99"/>
    <w:rPr>
      <w:vertAlign w:val="superscript"/>
    </w:rPr>
  </w:style>
  <w:style w:type="character" w:styleId="59">
    <w:name w:val="page number"/>
    <w:basedOn w:val="56"/>
    <w:qFormat/>
    <w:uiPriority w:val="0"/>
  </w:style>
  <w:style w:type="character" w:styleId="60">
    <w:name w:val="Hyperlink"/>
    <w:unhideWhenUsed/>
    <w:qFormat/>
    <w:uiPriority w:val="99"/>
    <w:rPr>
      <w:color w:val="5F5F5F" w:themeColor="hyperlink"/>
      <w:u w:val="single"/>
      <w14:textFill>
        <w14:solidFill>
          <w14:schemeClr w14:val="hlink"/>
        </w14:solidFill>
      </w14:textFill>
    </w:rPr>
  </w:style>
  <w:style w:type="character" w:styleId="61">
    <w:name w:val="footnote reference"/>
    <w:unhideWhenUsed/>
    <w:qFormat/>
    <w:uiPriority w:val="99"/>
    <w:rPr>
      <w:vertAlign w:val="superscript"/>
    </w:rPr>
  </w:style>
  <w:style w:type="table" w:styleId="63">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64">
    <w:name w:val="正文缩进11"/>
    <w:basedOn w:val="22"/>
    <w:qFormat/>
    <w:uiPriority w:val="99"/>
    <w:pPr>
      <w:ind w:firstLine="420"/>
    </w:pPr>
    <w:rPr>
      <w:rFonts w:eastAsia="Times New Roman"/>
      <w:sz w:val="24"/>
    </w:rPr>
  </w:style>
  <w:style w:type="paragraph" w:customStyle="1" w:styleId="65">
    <w:name w:val="无间隔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6">
    <w:name w:val="标题 21"/>
    <w:basedOn w:val="22"/>
    <w:next w:val="26"/>
    <w:link w:val="230"/>
    <w:qFormat/>
    <w:uiPriority w:val="9"/>
    <w:pPr>
      <w:keepNext/>
      <w:keepLines/>
      <w:numPr>
        <w:ilvl w:val="0"/>
        <w:numId w:val="1"/>
      </w:numPr>
      <w:spacing w:before="260" w:after="260" w:line="416" w:lineRule="auto"/>
      <w:outlineLvl w:val="1"/>
    </w:pPr>
    <w:rPr>
      <w:rFonts w:ascii="Cambria" w:hAnsi="Cambria"/>
      <w:b/>
      <w:bCs/>
      <w:sz w:val="28"/>
      <w:szCs w:val="32"/>
    </w:rPr>
  </w:style>
  <w:style w:type="paragraph" w:customStyle="1" w:styleId="67">
    <w:name w:val="正文首行缩进11"/>
    <w:basedOn w:val="68"/>
    <w:next w:val="69"/>
    <w:qFormat/>
    <w:uiPriority w:val="0"/>
    <w:pPr>
      <w:ind w:firstLine="420"/>
    </w:pPr>
    <w:rPr>
      <w:rFonts w:ascii="仿宋_GB2312" w:eastAsia="仿宋_GB2312"/>
      <w:sz w:val="30"/>
      <w:szCs w:val="30"/>
    </w:rPr>
  </w:style>
  <w:style w:type="paragraph" w:customStyle="1" w:styleId="68">
    <w:name w:val="正文文本1"/>
    <w:basedOn w:val="20"/>
    <w:next w:val="17"/>
    <w:qFormat/>
    <w:uiPriority w:val="0"/>
    <w:pPr>
      <w:spacing w:after="120"/>
    </w:pPr>
  </w:style>
  <w:style w:type="paragraph" w:customStyle="1" w:styleId="69">
    <w:name w:val="正文首行缩进 211"/>
    <w:basedOn w:val="70"/>
    <w:next w:val="20"/>
    <w:link w:val="191"/>
    <w:qFormat/>
    <w:uiPriority w:val="99"/>
    <w:pPr>
      <w:spacing w:after="0" w:line="360" w:lineRule="auto"/>
      <w:ind w:left="0" w:firstLine="420"/>
    </w:pPr>
    <w:rPr>
      <w:rFonts w:ascii="宋体" w:hAnsi="宋体"/>
    </w:rPr>
  </w:style>
  <w:style w:type="paragraph" w:customStyle="1" w:styleId="70">
    <w:name w:val="正文文本缩进11"/>
    <w:basedOn w:val="1"/>
    <w:next w:val="71"/>
    <w:link w:val="103"/>
    <w:qFormat/>
    <w:uiPriority w:val="99"/>
    <w:pPr>
      <w:spacing w:after="120"/>
      <w:ind w:left="420"/>
    </w:pPr>
  </w:style>
  <w:style w:type="paragraph" w:customStyle="1" w:styleId="71">
    <w:name w:val="寄信人地址11"/>
    <w:basedOn w:val="24"/>
    <w:qFormat/>
    <w:uiPriority w:val="0"/>
    <w:rPr>
      <w:rFonts w:ascii="Arial" w:hAnsi="Arial"/>
    </w:rPr>
  </w:style>
  <w:style w:type="paragraph" w:customStyle="1" w:styleId="72">
    <w:name w:val="文本块11"/>
    <w:basedOn w:val="1"/>
    <w:unhideWhenUsed/>
    <w:qFormat/>
    <w:uiPriority w:val="0"/>
    <w:pPr>
      <w:spacing w:after="120"/>
      <w:ind w:left="1440" w:right="1440"/>
    </w:pPr>
  </w:style>
  <w:style w:type="paragraph" w:customStyle="1" w:styleId="73">
    <w:name w:val="目录 11"/>
    <w:basedOn w:val="22"/>
    <w:next w:val="19"/>
    <w:qFormat/>
    <w:uiPriority w:val="0"/>
  </w:style>
  <w:style w:type="paragraph" w:customStyle="1" w:styleId="74">
    <w:name w:val="正文文本111"/>
    <w:basedOn w:val="22"/>
    <w:next w:val="22"/>
    <w:qFormat/>
    <w:uiPriority w:val="0"/>
  </w:style>
  <w:style w:type="paragraph" w:customStyle="1" w:styleId="75">
    <w:name w:val="文本块2"/>
    <w:basedOn w:val="20"/>
    <w:qFormat/>
    <w:uiPriority w:val="0"/>
    <w:pPr>
      <w:ind w:left="420" w:right="33"/>
      <w:jc w:val="left"/>
    </w:pPr>
    <w:rPr>
      <w:sz w:val="24"/>
      <w:szCs w:val="20"/>
    </w:rPr>
  </w:style>
  <w:style w:type="paragraph" w:customStyle="1" w:styleId="76">
    <w:name w:val="Default"/>
    <w:qFormat/>
    <w:uiPriority w:val="0"/>
    <w:pPr>
      <w:widowControl w:val="0"/>
    </w:pPr>
    <w:rPr>
      <w:rFonts w:hint="default" w:ascii="Times New Roman" w:hAnsi="Times New Roman" w:eastAsia="宋体" w:cs="Times New Roman"/>
      <w:color w:val="000000"/>
      <w:sz w:val="24"/>
      <w:szCs w:val="24"/>
      <w:lang w:val="en-US" w:eastAsia="zh-CN" w:bidi="ar-SA"/>
    </w:rPr>
  </w:style>
  <w:style w:type="paragraph" w:customStyle="1" w:styleId="77">
    <w:name w:val="标题 2111"/>
    <w:basedOn w:val="19"/>
    <w:next w:val="19"/>
    <w:link w:val="262"/>
    <w:qFormat/>
    <w:uiPriority w:val="99"/>
    <w:pPr>
      <w:keepNext/>
      <w:keepLines/>
      <w:spacing w:before="260" w:after="260" w:line="360" w:lineRule="auto"/>
      <w:ind w:firstLine="200"/>
      <w:jc w:val="center"/>
      <w:outlineLvl w:val="1"/>
    </w:pPr>
    <w:rPr>
      <w:rFonts w:ascii="Cambria" w:hAnsi="Cambria"/>
      <w:b/>
      <w:bCs/>
      <w:sz w:val="32"/>
      <w:szCs w:val="32"/>
    </w:rPr>
  </w:style>
  <w:style w:type="paragraph" w:customStyle="1" w:styleId="78">
    <w:name w:val="目录 111"/>
    <w:basedOn w:val="1"/>
    <w:next w:val="1"/>
    <w:unhideWhenUsed/>
    <w:qFormat/>
    <w:uiPriority w:val="39"/>
    <w:pPr>
      <w:spacing w:after="57"/>
    </w:pPr>
  </w:style>
  <w:style w:type="paragraph" w:styleId="79">
    <w:name w:val="List Paragraph"/>
    <w:basedOn w:val="1"/>
    <w:qFormat/>
    <w:uiPriority w:val="34"/>
    <w:pPr>
      <w:ind w:left="720"/>
      <w:contextualSpacing/>
    </w:pPr>
  </w:style>
  <w:style w:type="paragraph" w:styleId="80">
    <w:name w:val="No Spacing"/>
    <w:qFormat/>
    <w:uiPriority w:val="1"/>
    <w:pPr>
      <w:spacing w:before="0" w:after="0" w:line="240" w:lineRule="auto"/>
    </w:pPr>
    <w:rPr>
      <w:rFonts w:hint="default" w:ascii="Times New Roman" w:hAnsi="Times New Roman" w:eastAsia="宋体" w:cs="Times New Roman"/>
    </w:rPr>
  </w:style>
  <w:style w:type="paragraph" w:styleId="81">
    <w:name w:val="Quote"/>
    <w:basedOn w:val="1"/>
    <w:next w:val="1"/>
    <w:qFormat/>
    <w:uiPriority w:val="29"/>
    <w:pPr>
      <w:ind w:left="720" w:right="720"/>
    </w:pPr>
    <w:rPr>
      <w:i/>
    </w:rPr>
  </w:style>
  <w:style w:type="paragraph" w:styleId="82">
    <w:name w:val="Intense Quote"/>
    <w:basedOn w:val="1"/>
    <w:next w:val="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paragraph" w:customStyle="1" w:styleId="83">
    <w:name w:val="标题 111"/>
    <w:basedOn w:val="1"/>
    <w:next w:val="1"/>
    <w:link w:val="253"/>
    <w:qFormat/>
    <w:uiPriority w:val="99"/>
    <w:pPr>
      <w:keepNext/>
      <w:keepLines/>
      <w:spacing w:before="340" w:after="330" w:line="578" w:lineRule="atLeast"/>
      <w:outlineLvl w:val="0"/>
    </w:pPr>
    <w:rPr>
      <w:rFonts w:eastAsia="方正仿宋_GBK"/>
      <w:b/>
      <w:sz w:val="44"/>
      <w:szCs w:val="20"/>
    </w:rPr>
  </w:style>
  <w:style w:type="paragraph" w:customStyle="1" w:styleId="84">
    <w:name w:val="标题 311"/>
    <w:basedOn w:val="1"/>
    <w:next w:val="1"/>
    <w:link w:val="268"/>
    <w:qFormat/>
    <w:uiPriority w:val="9"/>
    <w:pPr>
      <w:keepNext/>
      <w:keepLines/>
      <w:spacing w:before="260" w:after="260" w:line="416" w:lineRule="auto"/>
      <w:outlineLvl w:val="2"/>
    </w:pPr>
    <w:rPr>
      <w:b/>
      <w:bCs/>
      <w:sz w:val="32"/>
      <w:szCs w:val="32"/>
    </w:rPr>
  </w:style>
  <w:style w:type="paragraph" w:customStyle="1" w:styleId="85">
    <w:name w:val="标题 411"/>
    <w:basedOn w:val="22"/>
    <w:next w:val="1"/>
    <w:link w:val="163"/>
    <w:qFormat/>
    <w:uiPriority w:val="9"/>
    <w:pPr>
      <w:keepNext/>
      <w:keepLines/>
      <w:spacing w:before="280" w:after="290" w:line="376" w:lineRule="auto"/>
      <w:outlineLvl w:val="3"/>
    </w:pPr>
    <w:rPr>
      <w:rFonts w:ascii="Cambria" w:hAnsi="Cambria"/>
      <w:b/>
      <w:bCs/>
      <w:sz w:val="28"/>
      <w:szCs w:val="28"/>
    </w:rPr>
  </w:style>
  <w:style w:type="paragraph" w:customStyle="1" w:styleId="86">
    <w:name w:val="标题 511"/>
    <w:basedOn w:val="1"/>
    <w:next w:val="1"/>
    <w:link w:val="277"/>
    <w:qFormat/>
    <w:uiPriority w:val="99"/>
    <w:pPr>
      <w:keepNext/>
      <w:keepLines/>
      <w:spacing w:before="280" w:after="290" w:line="376" w:lineRule="auto"/>
      <w:outlineLvl w:val="4"/>
    </w:pPr>
    <w:rPr>
      <w:b/>
      <w:bCs/>
      <w:sz w:val="28"/>
      <w:szCs w:val="28"/>
    </w:rPr>
  </w:style>
  <w:style w:type="paragraph" w:customStyle="1" w:styleId="87">
    <w:name w:val="标题 611"/>
    <w:basedOn w:val="1"/>
    <w:next w:val="1"/>
    <w:link w:val="285"/>
    <w:qFormat/>
    <w:uiPriority w:val="0"/>
    <w:pPr>
      <w:keepNext/>
      <w:keepLines/>
      <w:tabs>
        <w:tab w:val="left" w:pos="2520"/>
      </w:tabs>
      <w:spacing w:before="240" w:after="64" w:line="320" w:lineRule="auto"/>
      <w:ind w:left="2520" w:hanging="420"/>
      <w:outlineLvl w:val="5"/>
    </w:pPr>
    <w:rPr>
      <w:rFonts w:ascii="Arial" w:hAnsi="Arial" w:eastAsia="黑体"/>
      <w:b/>
      <w:bCs/>
      <w:sz w:val="24"/>
      <w:lang w:val="zh-CN"/>
    </w:rPr>
  </w:style>
  <w:style w:type="paragraph" w:customStyle="1" w:styleId="88">
    <w:name w:val="标题 711"/>
    <w:basedOn w:val="1"/>
    <w:next w:val="1"/>
    <w:link w:val="292"/>
    <w:qFormat/>
    <w:uiPriority w:val="0"/>
    <w:pPr>
      <w:keepNext/>
      <w:keepLines/>
      <w:tabs>
        <w:tab w:val="left" w:pos="2940"/>
      </w:tabs>
      <w:spacing w:before="240" w:after="64" w:line="320" w:lineRule="auto"/>
      <w:ind w:left="2940" w:hanging="420"/>
      <w:outlineLvl w:val="6"/>
    </w:pPr>
    <w:rPr>
      <w:b/>
      <w:bCs/>
      <w:sz w:val="24"/>
      <w:lang w:val="zh-CN"/>
    </w:rPr>
  </w:style>
  <w:style w:type="paragraph" w:customStyle="1" w:styleId="89">
    <w:name w:val="标题 811"/>
    <w:basedOn w:val="1"/>
    <w:next w:val="1"/>
    <w:link w:val="300"/>
    <w:qFormat/>
    <w:uiPriority w:val="0"/>
    <w:pPr>
      <w:keepNext/>
      <w:keepLines/>
      <w:tabs>
        <w:tab w:val="left" w:pos="3360"/>
      </w:tabs>
      <w:spacing w:before="240" w:after="64" w:line="320" w:lineRule="auto"/>
      <w:ind w:left="3360" w:hanging="420"/>
      <w:outlineLvl w:val="7"/>
    </w:pPr>
    <w:rPr>
      <w:rFonts w:ascii="Arial" w:hAnsi="Arial" w:eastAsia="黑体"/>
      <w:sz w:val="24"/>
      <w:lang w:val="zh-CN"/>
    </w:rPr>
  </w:style>
  <w:style w:type="paragraph" w:customStyle="1" w:styleId="90">
    <w:name w:val="标题 911"/>
    <w:basedOn w:val="1"/>
    <w:next w:val="1"/>
    <w:link w:val="305"/>
    <w:qFormat/>
    <w:uiPriority w:val="0"/>
    <w:pPr>
      <w:keepNext/>
      <w:keepLines/>
      <w:tabs>
        <w:tab w:val="left" w:pos="3780"/>
      </w:tabs>
      <w:spacing w:before="240" w:after="64" w:line="320" w:lineRule="auto"/>
      <w:ind w:left="3780" w:hanging="420"/>
      <w:outlineLvl w:val="8"/>
    </w:pPr>
    <w:rPr>
      <w:rFonts w:ascii="Arial" w:hAnsi="Arial" w:eastAsia="黑体"/>
      <w:sz w:val="21"/>
      <w:szCs w:val="21"/>
      <w:lang w:val="zh-CN"/>
    </w:rPr>
  </w:style>
  <w:style w:type="character" w:customStyle="1" w:styleId="91">
    <w:name w:val="默认段落字体1"/>
    <w:link w:val="1"/>
    <w:unhideWhenUsed/>
    <w:qFormat/>
    <w:uiPriority w:val="1"/>
  </w:style>
  <w:style w:type="table" w:customStyle="1" w:styleId="92">
    <w:name w:val="普通表格1"/>
    <w:unhideWhenUsed/>
    <w:qFormat/>
    <w:uiPriority w:val="99"/>
  </w:style>
  <w:style w:type="character" w:customStyle="1" w:styleId="93">
    <w:name w:val="已访问的超链接1"/>
    <w:link w:val="1"/>
    <w:unhideWhenUsed/>
    <w:qFormat/>
    <w:uiPriority w:val="99"/>
    <w:rPr>
      <w:color w:val="954F72"/>
      <w:u w:val="single"/>
    </w:rPr>
  </w:style>
  <w:style w:type="character" w:customStyle="1" w:styleId="94">
    <w:name w:val="要点1"/>
    <w:link w:val="1"/>
    <w:qFormat/>
    <w:uiPriority w:val="22"/>
    <w:rPr>
      <w:b/>
      <w:sz w:val="21"/>
    </w:rPr>
  </w:style>
  <w:style w:type="character" w:customStyle="1" w:styleId="95">
    <w:name w:val="强调1"/>
    <w:link w:val="1"/>
    <w:qFormat/>
    <w:uiPriority w:val="0"/>
    <w:rPr>
      <w:i/>
      <w:iCs/>
    </w:rPr>
  </w:style>
  <w:style w:type="character" w:customStyle="1" w:styleId="96">
    <w:name w:val="超链接11"/>
    <w:link w:val="1"/>
    <w:unhideWhenUsed/>
    <w:qFormat/>
    <w:uiPriority w:val="0"/>
    <w:rPr>
      <w:color w:val="0563C1"/>
      <w:u w:val="single"/>
    </w:rPr>
  </w:style>
  <w:style w:type="character" w:customStyle="1" w:styleId="97">
    <w:name w:val="尾注引用1"/>
    <w:link w:val="1"/>
    <w:unhideWhenUsed/>
    <w:qFormat/>
    <w:uiPriority w:val="99"/>
    <w:rPr>
      <w:vertAlign w:val="superscript"/>
    </w:rPr>
  </w:style>
  <w:style w:type="character" w:customStyle="1" w:styleId="98">
    <w:name w:val="页码11"/>
    <w:link w:val="1"/>
    <w:qFormat/>
    <w:uiPriority w:val="0"/>
  </w:style>
  <w:style w:type="character" w:customStyle="1" w:styleId="99">
    <w:name w:val="脚注引用1"/>
    <w:link w:val="1"/>
    <w:unhideWhenUsed/>
    <w:qFormat/>
    <w:uiPriority w:val="99"/>
    <w:rPr>
      <w:vertAlign w:val="superscript"/>
    </w:rPr>
  </w:style>
  <w:style w:type="character" w:customStyle="1" w:styleId="100">
    <w:name w:val="批注引用1"/>
    <w:link w:val="1"/>
    <w:qFormat/>
    <w:uiPriority w:val="0"/>
    <w:rPr>
      <w:sz w:val="21"/>
      <w:szCs w:val="21"/>
    </w:rPr>
  </w:style>
  <w:style w:type="character" w:customStyle="1" w:styleId="101">
    <w:name w:val="标题 5 字符"/>
    <w:link w:val="102"/>
    <w:qFormat/>
    <w:uiPriority w:val="0"/>
    <w:rPr>
      <w:b/>
      <w:bCs/>
      <w:sz w:val="28"/>
      <w:szCs w:val="28"/>
    </w:rPr>
  </w:style>
  <w:style w:type="paragraph" w:customStyle="1" w:styleId="102">
    <w:name w:val="标题 51"/>
    <w:basedOn w:val="1"/>
    <w:next w:val="1"/>
    <w:link w:val="101"/>
    <w:unhideWhenUsed/>
    <w:qFormat/>
    <w:uiPriority w:val="0"/>
    <w:pPr>
      <w:keepNext/>
      <w:keepLines/>
      <w:spacing w:before="280" w:after="290" w:line="376" w:lineRule="auto"/>
      <w:outlineLvl w:val="4"/>
    </w:pPr>
    <w:rPr>
      <w:b/>
      <w:bCs/>
      <w:sz w:val="28"/>
      <w:szCs w:val="28"/>
    </w:rPr>
  </w:style>
  <w:style w:type="character" w:customStyle="1" w:styleId="103">
    <w:name w:val="正文文本缩进 Char"/>
    <w:link w:val="70"/>
    <w:qFormat/>
    <w:uiPriority w:val="99"/>
    <w:rPr>
      <w:sz w:val="21"/>
      <w:szCs w:val="24"/>
    </w:rPr>
  </w:style>
  <w:style w:type="character" w:customStyle="1" w:styleId="104">
    <w:name w:val="正文（首行缩进2字符） Char"/>
    <w:link w:val="105"/>
    <w:qFormat/>
    <w:uiPriority w:val="0"/>
    <w:rPr>
      <w:sz w:val="21"/>
      <w:szCs w:val="21"/>
    </w:rPr>
  </w:style>
  <w:style w:type="paragraph" w:customStyle="1" w:styleId="105">
    <w:name w:val="正文（首行缩进2字符）"/>
    <w:basedOn w:val="1"/>
    <w:link w:val="104"/>
    <w:qFormat/>
    <w:uiPriority w:val="0"/>
    <w:pPr>
      <w:spacing w:line="360" w:lineRule="auto"/>
      <w:ind w:firstLine="420"/>
    </w:pPr>
    <w:rPr>
      <w:sz w:val="20"/>
      <w:szCs w:val="21"/>
    </w:rPr>
  </w:style>
  <w:style w:type="character" w:customStyle="1" w:styleId="106">
    <w:name w:val="批注文字 字符"/>
    <w:link w:val="1"/>
    <w:qFormat/>
    <w:uiPriority w:val="0"/>
    <w:rPr>
      <w:sz w:val="20"/>
    </w:rPr>
  </w:style>
  <w:style w:type="character" w:customStyle="1" w:styleId="107">
    <w:name w:val="纯文本 Char"/>
    <w:link w:val="108"/>
    <w:qFormat/>
    <w:uiPriority w:val="0"/>
    <w:rPr>
      <w:rFonts w:ascii="宋体" w:hAnsi="Courier New" w:eastAsia="宋体"/>
      <w:sz w:val="21"/>
      <w:szCs w:val="21"/>
      <w:lang w:bidi="ar-SA"/>
    </w:rPr>
  </w:style>
  <w:style w:type="paragraph" w:customStyle="1" w:styleId="108">
    <w:name w:val="纯文本1"/>
    <w:basedOn w:val="22"/>
    <w:link w:val="107"/>
    <w:qFormat/>
    <w:uiPriority w:val="0"/>
    <w:rPr>
      <w:rFonts w:ascii="宋体" w:hAnsi="Courier New"/>
      <w:sz w:val="21"/>
      <w:szCs w:val="21"/>
    </w:rPr>
  </w:style>
  <w:style w:type="character" w:customStyle="1" w:styleId="109">
    <w:name w:val="font71"/>
    <w:link w:val="1"/>
    <w:qFormat/>
    <w:uiPriority w:val="99"/>
    <w:rPr>
      <w:rFonts w:ascii="仿宋_GB2312" w:eastAsia="仿宋_GB2312" w:cs="仿宋_GB2312"/>
      <w:color w:val="000000"/>
      <w:sz w:val="24"/>
      <w:szCs w:val="24"/>
      <w:u w:val="none"/>
    </w:rPr>
  </w:style>
  <w:style w:type="character" w:customStyle="1" w:styleId="110">
    <w:name w:val="fix161 Char"/>
    <w:link w:val="111"/>
    <w:qFormat/>
    <w:uiPriority w:val="0"/>
    <w:rPr>
      <w:rFonts w:ascii="宋体" w:hAnsi="宋体"/>
      <w:sz w:val="24"/>
      <w:szCs w:val="24"/>
    </w:rPr>
  </w:style>
  <w:style w:type="paragraph" w:customStyle="1" w:styleId="111">
    <w:name w:val="fix161"/>
    <w:basedOn w:val="1"/>
    <w:link w:val="110"/>
    <w:qFormat/>
    <w:uiPriority w:val="0"/>
    <w:pPr>
      <w:widowControl/>
      <w:spacing w:before="100" w:beforeAutospacing="1" w:after="100" w:afterAutospacing="1"/>
      <w:jc w:val="left"/>
    </w:pPr>
    <w:rPr>
      <w:rFonts w:ascii="宋体" w:hAnsi="宋体"/>
      <w:sz w:val="24"/>
    </w:rPr>
  </w:style>
  <w:style w:type="character" w:customStyle="1" w:styleId="112">
    <w:name w:val="正文1 Char"/>
    <w:link w:val="1"/>
    <w:qFormat/>
    <w:uiPriority w:val="0"/>
    <w:rPr>
      <w:rFonts w:ascii="宋体" w:hAnsi="宋体" w:eastAsia="仿宋_GB2312"/>
      <w:sz w:val="24"/>
      <w:szCs w:val="24"/>
    </w:rPr>
  </w:style>
  <w:style w:type="character" w:customStyle="1" w:styleId="113">
    <w:name w:val="apple-converted-space"/>
    <w:link w:val="1"/>
    <w:qFormat/>
    <w:uiPriority w:val="0"/>
  </w:style>
  <w:style w:type="character" w:customStyle="1" w:styleId="114">
    <w:name w:val="正文文本缩进 3 Char"/>
    <w:link w:val="115"/>
    <w:qFormat/>
    <w:uiPriority w:val="0"/>
    <w:rPr>
      <w:rFonts w:ascii="Arial" w:hAnsi="Arial" w:eastAsia="仿宋_GB2312"/>
      <w:color w:val="FFFF00"/>
      <w:sz w:val="32"/>
      <w:szCs w:val="32"/>
    </w:rPr>
  </w:style>
  <w:style w:type="paragraph" w:customStyle="1" w:styleId="115">
    <w:name w:val="正文文本缩进 31"/>
    <w:basedOn w:val="1"/>
    <w:link w:val="114"/>
    <w:qFormat/>
    <w:uiPriority w:val="0"/>
    <w:pPr>
      <w:ind w:left="645" w:firstLine="645"/>
    </w:pPr>
    <w:rPr>
      <w:rFonts w:ascii="Arial" w:hAnsi="Arial" w:eastAsia="仿宋_GB2312"/>
      <w:color w:val="FFFF00"/>
      <w:sz w:val="32"/>
      <w:szCs w:val="32"/>
    </w:rPr>
  </w:style>
  <w:style w:type="character" w:customStyle="1" w:styleId="116">
    <w:name w:val="正文文本 2 字符"/>
    <w:link w:val="1"/>
    <w:qFormat/>
    <w:uiPriority w:val="0"/>
    <w:rPr>
      <w:sz w:val="20"/>
    </w:rPr>
  </w:style>
  <w:style w:type="character" w:customStyle="1" w:styleId="117">
    <w:name w:val="font91"/>
    <w:link w:val="1"/>
    <w:qFormat/>
    <w:uiPriority w:val="99"/>
    <w:rPr>
      <w:rFonts w:ascii="仿宋_GB2312" w:eastAsia="仿宋_GB2312" w:cs="仿宋_GB2312"/>
      <w:color w:val="FF0000"/>
      <w:sz w:val="24"/>
      <w:szCs w:val="24"/>
      <w:u w:val="none"/>
    </w:rPr>
  </w:style>
  <w:style w:type="character" w:customStyle="1" w:styleId="118">
    <w:name w:val="Heading 1 Char"/>
    <w:link w:val="119"/>
    <w:qFormat/>
    <w:uiPriority w:val="9"/>
    <w:rPr>
      <w:rFonts w:ascii="Arial" w:hAnsi="Arial" w:eastAsia="Arial" w:cs="Arial"/>
      <w:sz w:val="40"/>
      <w:szCs w:val="40"/>
    </w:rPr>
  </w:style>
  <w:style w:type="paragraph" w:customStyle="1" w:styleId="119">
    <w:name w:val="标题 11"/>
    <w:basedOn w:val="1"/>
    <w:next w:val="1"/>
    <w:link w:val="118"/>
    <w:qFormat/>
    <w:uiPriority w:val="0"/>
    <w:pPr>
      <w:keepNext/>
      <w:keepLines/>
      <w:spacing w:before="340" w:after="330" w:line="578" w:lineRule="auto"/>
      <w:jc w:val="center"/>
      <w:outlineLvl w:val="0"/>
    </w:pPr>
    <w:rPr>
      <w:rFonts w:eastAsia="仿宋"/>
      <w:bCs/>
      <w:sz w:val="30"/>
      <w:szCs w:val="44"/>
    </w:rPr>
  </w:style>
  <w:style w:type="character" w:customStyle="1" w:styleId="120">
    <w:name w:val="Footer Char"/>
    <w:link w:val="1"/>
    <w:qFormat/>
    <w:uiPriority w:val="99"/>
  </w:style>
  <w:style w:type="character" w:customStyle="1" w:styleId="121">
    <w:name w:val="Heading 9 Char"/>
    <w:link w:val="122"/>
    <w:qFormat/>
    <w:uiPriority w:val="9"/>
    <w:rPr>
      <w:rFonts w:ascii="Arial" w:hAnsi="Arial" w:eastAsia="Arial" w:cs="Arial"/>
      <w:i/>
      <w:iCs/>
      <w:sz w:val="21"/>
      <w:szCs w:val="21"/>
    </w:rPr>
  </w:style>
  <w:style w:type="paragraph" w:customStyle="1" w:styleId="122">
    <w:name w:val="标题 91"/>
    <w:basedOn w:val="1"/>
    <w:next w:val="1"/>
    <w:link w:val="121"/>
    <w:unhideWhenUsed/>
    <w:qFormat/>
    <w:uiPriority w:val="9"/>
    <w:pPr>
      <w:keepNext/>
      <w:keepLines/>
      <w:spacing w:before="320" w:after="200"/>
      <w:outlineLvl w:val="8"/>
    </w:pPr>
    <w:rPr>
      <w:rFonts w:ascii="Arial" w:hAnsi="Arial" w:eastAsia="Arial" w:cs="Arial"/>
      <w:i/>
      <w:iCs/>
      <w:sz w:val="21"/>
      <w:szCs w:val="21"/>
    </w:rPr>
  </w:style>
  <w:style w:type="character" w:customStyle="1" w:styleId="123">
    <w:name w:val="DeltaView Insertion"/>
    <w:link w:val="1"/>
    <w:qFormat/>
    <w:uiPriority w:val="0"/>
    <w:rPr>
      <w:color w:val="0000FF"/>
      <w:spacing w:val="0"/>
      <w:u w:val="single"/>
    </w:rPr>
  </w:style>
  <w:style w:type="character" w:customStyle="1" w:styleId="124">
    <w:name w:val="批注框文本 Char"/>
    <w:link w:val="125"/>
    <w:qFormat/>
    <w:uiPriority w:val="99"/>
    <w:rPr>
      <w:sz w:val="18"/>
      <w:szCs w:val="18"/>
    </w:rPr>
  </w:style>
  <w:style w:type="paragraph" w:customStyle="1" w:styleId="125">
    <w:name w:val="批注框文本1"/>
    <w:basedOn w:val="1"/>
    <w:link w:val="124"/>
    <w:qFormat/>
    <w:uiPriority w:val="99"/>
    <w:rPr>
      <w:sz w:val="18"/>
      <w:szCs w:val="18"/>
    </w:rPr>
  </w:style>
  <w:style w:type="character" w:customStyle="1" w:styleId="126">
    <w:name w:val="二级目录 Char"/>
    <w:link w:val="127"/>
    <w:qFormat/>
    <w:uiPriority w:val="0"/>
    <w:rPr>
      <w:rFonts w:eastAsia="Times New Roman"/>
      <w:b/>
      <w:sz w:val="30"/>
      <w:szCs w:val="28"/>
    </w:rPr>
  </w:style>
  <w:style w:type="paragraph" w:customStyle="1" w:styleId="127">
    <w:name w:val="二级目录"/>
    <w:next w:val="1"/>
    <w:link w:val="126"/>
    <w:qFormat/>
    <w:uiPriority w:val="0"/>
    <w:pPr>
      <w:tabs>
        <w:tab w:val="left" w:pos="907"/>
        <w:tab w:val="left" w:pos="1145"/>
      </w:tabs>
      <w:ind w:left="907" w:hanging="907"/>
      <w:outlineLvl w:val="1"/>
    </w:pPr>
    <w:rPr>
      <w:rFonts w:hint="default" w:ascii="Times New Roman" w:hAnsi="Times New Roman" w:eastAsia="Times New Roman" w:cs="Times New Roman"/>
      <w:b/>
      <w:sz w:val="30"/>
      <w:szCs w:val="28"/>
      <w:lang w:val="en-US" w:eastAsia="zh-CN" w:bidi="ar-SA"/>
    </w:rPr>
  </w:style>
  <w:style w:type="character" w:customStyle="1" w:styleId="128">
    <w:name w:val="不明显参考1"/>
    <w:link w:val="1"/>
    <w:qFormat/>
    <w:uiPriority w:val="0"/>
    <w:rPr>
      <w:smallCaps/>
      <w:color w:val="C0504D"/>
      <w:u w:val="single"/>
    </w:rPr>
  </w:style>
  <w:style w:type="character" w:customStyle="1" w:styleId="129">
    <w:name w:val="Char Char7"/>
    <w:link w:val="1"/>
    <w:qFormat/>
    <w:uiPriority w:val="0"/>
    <w:rPr>
      <w:rFonts w:ascii="Arial" w:hAnsi="Arial" w:eastAsia="幼圆"/>
      <w:b/>
      <w:bCs/>
      <w:sz w:val="44"/>
      <w:szCs w:val="44"/>
      <w:lang w:val="en-US" w:eastAsia="zh-CN" w:bidi="ar-SA"/>
    </w:rPr>
  </w:style>
  <w:style w:type="character" w:customStyle="1" w:styleId="130">
    <w:name w:val="正文文本缩进 3 字符"/>
    <w:link w:val="1"/>
    <w:qFormat/>
    <w:uiPriority w:val="0"/>
    <w:rPr>
      <w:color w:val="FFFF00"/>
      <w:sz w:val="20"/>
    </w:rPr>
  </w:style>
  <w:style w:type="character" w:customStyle="1" w:styleId="131">
    <w:name w:val="font112"/>
    <w:link w:val="1"/>
    <w:qFormat/>
    <w:uiPriority w:val="0"/>
    <w:rPr>
      <w:rFonts w:hint="eastAsia" w:ascii="宋体" w:hAnsi="宋体" w:eastAsia="宋体" w:cs="宋体"/>
      <w:b/>
      <w:color w:val="000000"/>
      <w:sz w:val="20"/>
      <w:szCs w:val="20"/>
      <w:u w:val="none"/>
    </w:rPr>
  </w:style>
  <w:style w:type="character" w:customStyle="1" w:styleId="132">
    <w:name w:val="二级条标题 + 宋体 Char"/>
    <w:link w:val="133"/>
    <w:qFormat/>
    <w:uiPriority w:val="0"/>
    <w:rPr>
      <w:rFonts w:ascii="宋体" w:hAnsi="宋体" w:eastAsia="黑体"/>
    </w:rPr>
  </w:style>
  <w:style w:type="paragraph" w:customStyle="1" w:styleId="133">
    <w:name w:val="二级条标题 + 宋体"/>
    <w:basedOn w:val="134"/>
    <w:link w:val="132"/>
    <w:qFormat/>
    <w:uiPriority w:val="0"/>
    <w:pPr>
      <w:tabs>
        <w:tab w:val="left" w:pos="810"/>
        <w:tab w:val="left" w:pos="907"/>
        <w:tab w:val="left" w:pos="1265"/>
      </w:tabs>
      <w:ind w:left="0" w:firstLine="0"/>
    </w:pPr>
    <w:rPr>
      <w:rFonts w:ascii="宋体"/>
    </w:rPr>
  </w:style>
  <w:style w:type="paragraph" w:customStyle="1" w:styleId="134">
    <w:name w:val="二级条标题"/>
    <w:basedOn w:val="17"/>
    <w:next w:val="29"/>
    <w:link w:val="233"/>
    <w:qFormat/>
    <w:uiPriority w:val="0"/>
    <w:pPr>
      <w:outlineLvl w:val="3"/>
    </w:pPr>
  </w:style>
  <w:style w:type="character" w:customStyle="1" w:styleId="135">
    <w:name w:val="引用 Char"/>
    <w:link w:val="136"/>
    <w:qFormat/>
    <w:uiPriority w:val="29"/>
    <w:rPr>
      <w:i/>
    </w:rPr>
  </w:style>
  <w:style w:type="paragraph" w:customStyle="1" w:styleId="136">
    <w:name w:val="引用"/>
    <w:basedOn w:val="1"/>
    <w:next w:val="1"/>
    <w:link w:val="135"/>
    <w:qFormat/>
    <w:uiPriority w:val="29"/>
    <w:pPr>
      <w:ind w:left="720" w:right="720"/>
    </w:pPr>
    <w:rPr>
      <w:i/>
    </w:rPr>
  </w:style>
  <w:style w:type="character" w:customStyle="1" w:styleId="137">
    <w:name w:val="标题 3 字符"/>
    <w:link w:val="1"/>
    <w:qFormat/>
    <w:uiPriority w:val="0"/>
    <w:rPr>
      <w:b/>
      <w:sz w:val="20"/>
    </w:rPr>
  </w:style>
  <w:style w:type="character" w:customStyle="1" w:styleId="138">
    <w:name w:val="12black1"/>
    <w:link w:val="1"/>
    <w:qFormat/>
    <w:uiPriority w:val="0"/>
    <w:rPr>
      <w:color w:val="000000"/>
      <w:sz w:val="24"/>
      <w:szCs w:val="24"/>
      <w:u w:val="none"/>
    </w:rPr>
  </w:style>
  <w:style w:type="character" w:customStyle="1" w:styleId="139">
    <w:name w:val="Intense Quote Char"/>
    <w:link w:val="1"/>
    <w:qFormat/>
    <w:uiPriority w:val="30"/>
    <w:rPr>
      <w:i/>
    </w:rPr>
  </w:style>
  <w:style w:type="character" w:customStyle="1" w:styleId="140">
    <w:name w:val="批注主题 Char"/>
    <w:link w:val="141"/>
    <w:qFormat/>
    <w:uiPriority w:val="99"/>
    <w:rPr>
      <w:b/>
      <w:bCs/>
      <w:sz w:val="21"/>
      <w:szCs w:val="24"/>
    </w:rPr>
  </w:style>
  <w:style w:type="paragraph" w:customStyle="1" w:styleId="141">
    <w:name w:val="批注主题1"/>
    <w:basedOn w:val="142"/>
    <w:next w:val="142"/>
    <w:link w:val="140"/>
    <w:qFormat/>
    <w:uiPriority w:val="99"/>
    <w:rPr>
      <w:b/>
      <w:bCs/>
    </w:rPr>
  </w:style>
  <w:style w:type="paragraph" w:customStyle="1" w:styleId="142">
    <w:name w:val="批注文字11"/>
    <w:basedOn w:val="1"/>
    <w:link w:val="336"/>
    <w:qFormat/>
    <w:uiPriority w:val="99"/>
    <w:pPr>
      <w:jc w:val="left"/>
    </w:pPr>
  </w:style>
  <w:style w:type="character" w:customStyle="1" w:styleId="143">
    <w:name w:val="正文首行缩进 Char1"/>
    <w:link w:val="1"/>
    <w:semiHidden/>
    <w:qFormat/>
    <w:uiPriority w:val="99"/>
    <w:rPr>
      <w:sz w:val="21"/>
      <w:szCs w:val="24"/>
    </w:rPr>
  </w:style>
  <w:style w:type="character" w:customStyle="1" w:styleId="144">
    <w:name w:val="列表 3 字符"/>
    <w:link w:val="1"/>
    <w:qFormat/>
    <w:uiPriority w:val="0"/>
    <w:rPr>
      <w:sz w:val="20"/>
    </w:rPr>
  </w:style>
  <w:style w:type="character" w:customStyle="1" w:styleId="145">
    <w:name w:val="页脚 字符"/>
    <w:link w:val="146"/>
    <w:qFormat/>
    <w:uiPriority w:val="0"/>
    <w:rPr>
      <w:sz w:val="18"/>
      <w:szCs w:val="18"/>
    </w:rPr>
  </w:style>
  <w:style w:type="paragraph" w:customStyle="1" w:styleId="146">
    <w:name w:val="页脚1"/>
    <w:basedOn w:val="1"/>
    <w:link w:val="145"/>
    <w:qFormat/>
    <w:uiPriority w:val="99"/>
    <w:pPr>
      <w:tabs>
        <w:tab w:val="center" w:pos="4153"/>
        <w:tab w:val="right" w:pos="8306"/>
      </w:tabs>
      <w:jc w:val="left"/>
    </w:pPr>
    <w:rPr>
      <w:sz w:val="18"/>
      <w:szCs w:val="18"/>
    </w:rPr>
  </w:style>
  <w:style w:type="character" w:customStyle="1" w:styleId="147">
    <w:name w:val="正文文本缩进 2 Char"/>
    <w:link w:val="148"/>
    <w:qFormat/>
    <w:uiPriority w:val="99"/>
    <w:rPr>
      <w:rFonts w:ascii="Arial" w:hAnsi="Arial" w:eastAsia="仿宋_GB2312"/>
      <w:sz w:val="32"/>
      <w:szCs w:val="32"/>
      <w:lang w:val="en-US" w:eastAsia="zh-CN"/>
    </w:rPr>
  </w:style>
  <w:style w:type="paragraph" w:customStyle="1" w:styleId="148">
    <w:name w:val="正文文本缩进 21"/>
    <w:basedOn w:val="1"/>
    <w:link w:val="147"/>
    <w:qFormat/>
    <w:uiPriority w:val="99"/>
    <w:pPr>
      <w:ind w:left="630" w:firstLine="645"/>
    </w:pPr>
    <w:rPr>
      <w:rFonts w:ascii="Arial" w:hAnsi="Arial" w:eastAsia="仿宋_GB2312"/>
      <w:sz w:val="32"/>
      <w:szCs w:val="32"/>
    </w:rPr>
  </w:style>
  <w:style w:type="character" w:customStyle="1" w:styleId="149">
    <w:name w:val="标题 Char"/>
    <w:link w:val="150"/>
    <w:qFormat/>
    <w:uiPriority w:val="10"/>
    <w:rPr>
      <w:sz w:val="48"/>
      <w:szCs w:val="48"/>
    </w:rPr>
  </w:style>
  <w:style w:type="paragraph" w:customStyle="1" w:styleId="150">
    <w:name w:val="标题1"/>
    <w:basedOn w:val="33"/>
    <w:next w:val="108"/>
    <w:link w:val="149"/>
    <w:qFormat/>
    <w:uiPriority w:val="10"/>
    <w:pPr>
      <w:spacing w:before="300" w:after="200"/>
      <w:contextualSpacing/>
    </w:pPr>
    <w:rPr>
      <w:sz w:val="48"/>
      <w:szCs w:val="48"/>
    </w:rPr>
  </w:style>
  <w:style w:type="character" w:customStyle="1" w:styleId="151">
    <w:name w:val="Quote Char"/>
    <w:link w:val="1"/>
    <w:qFormat/>
    <w:uiPriority w:val="29"/>
    <w:rPr>
      <w:i/>
    </w:rPr>
  </w:style>
  <w:style w:type="character" w:customStyle="1" w:styleId="152">
    <w:name w:val="正文文本 字符"/>
    <w:link w:val="1"/>
    <w:qFormat/>
    <w:uiPriority w:val="0"/>
    <w:rPr>
      <w:sz w:val="20"/>
    </w:rPr>
  </w:style>
  <w:style w:type="character" w:customStyle="1" w:styleId="153">
    <w:name w:val="方案文档 Char Char"/>
    <w:link w:val="154"/>
    <w:qFormat/>
    <w:uiPriority w:val="0"/>
    <w:rPr>
      <w:rFonts w:ascii="宋体" w:hAnsi="宋体"/>
      <w:b/>
    </w:rPr>
  </w:style>
  <w:style w:type="paragraph" w:customStyle="1" w:styleId="154">
    <w:name w:val="方案文档"/>
    <w:basedOn w:val="1"/>
    <w:link w:val="153"/>
    <w:qFormat/>
    <w:uiPriority w:val="0"/>
    <w:pPr>
      <w:tabs>
        <w:tab w:val="left" w:pos="420"/>
      </w:tabs>
      <w:spacing w:line="360" w:lineRule="auto"/>
      <w:ind w:left="420"/>
    </w:pPr>
    <w:rPr>
      <w:rFonts w:ascii="宋体" w:hAnsi="宋体"/>
      <w:b/>
      <w:sz w:val="20"/>
      <w:szCs w:val="20"/>
    </w:rPr>
  </w:style>
  <w:style w:type="character" w:customStyle="1" w:styleId="155">
    <w:name w:val="正文文本缩进 Char1"/>
    <w:link w:val="1"/>
    <w:semiHidden/>
    <w:qFormat/>
    <w:uiPriority w:val="0"/>
    <w:rPr>
      <w:sz w:val="21"/>
      <w:szCs w:val="24"/>
    </w:rPr>
  </w:style>
  <w:style w:type="character" w:customStyle="1" w:styleId="156">
    <w:name w:val="正文首行缩进 Char"/>
    <w:link w:val="31"/>
    <w:qFormat/>
    <w:uiPriority w:val="0"/>
    <w:rPr>
      <w:rFonts w:ascii="仿宋_GB2312" w:eastAsia="仿宋_GB2312"/>
      <w:sz w:val="30"/>
      <w:szCs w:val="30"/>
    </w:rPr>
  </w:style>
  <w:style w:type="paragraph" w:customStyle="1" w:styleId="157">
    <w:name w:val="正文文本112"/>
    <w:basedOn w:val="1"/>
    <w:next w:val="17"/>
    <w:link w:val="228"/>
    <w:qFormat/>
    <w:uiPriority w:val="0"/>
    <w:pPr>
      <w:spacing w:after="120"/>
    </w:pPr>
  </w:style>
  <w:style w:type="character" w:customStyle="1" w:styleId="158">
    <w:name w:val="一级条标题 Char"/>
    <w:link w:val="17"/>
    <w:qFormat/>
    <w:uiPriority w:val="0"/>
    <w:rPr>
      <w:rFonts w:ascii="黑体" w:hAnsi="宋体" w:eastAsia="黑体"/>
    </w:rPr>
  </w:style>
  <w:style w:type="character" w:customStyle="1" w:styleId="159">
    <w:name w:val="正文文本首行缩进 字符"/>
    <w:link w:val="1"/>
    <w:qFormat/>
    <w:uiPriority w:val="0"/>
    <w:rPr>
      <w:sz w:val="20"/>
    </w:rPr>
  </w:style>
  <w:style w:type="character" w:customStyle="1" w:styleId="160">
    <w:name w:val="正文文本缩进 字符"/>
    <w:link w:val="1"/>
    <w:qFormat/>
    <w:uiPriority w:val="0"/>
    <w:rPr>
      <w:sz w:val="20"/>
    </w:rPr>
  </w:style>
  <w:style w:type="character" w:customStyle="1" w:styleId="161">
    <w:name w:val="Subtitle Char"/>
    <w:link w:val="1"/>
    <w:qFormat/>
    <w:uiPriority w:val="11"/>
    <w:rPr>
      <w:sz w:val="24"/>
      <w:szCs w:val="24"/>
    </w:rPr>
  </w:style>
  <w:style w:type="character" w:customStyle="1" w:styleId="162">
    <w:name w:val="10"/>
    <w:link w:val="1"/>
    <w:qFormat/>
    <w:uiPriority w:val="0"/>
  </w:style>
  <w:style w:type="character" w:customStyle="1" w:styleId="163">
    <w:name w:val="标题 4 Char"/>
    <w:link w:val="85"/>
    <w:qFormat/>
    <w:uiPriority w:val="9"/>
    <w:rPr>
      <w:rFonts w:ascii="Cambria" w:hAnsi="Cambria"/>
      <w:b/>
      <w:bCs/>
      <w:sz w:val="28"/>
      <w:szCs w:val="28"/>
    </w:rPr>
  </w:style>
  <w:style w:type="character" w:customStyle="1" w:styleId="164">
    <w:name w:val="Table Text Char1"/>
    <w:link w:val="165"/>
    <w:qFormat/>
    <w:uiPriority w:val="0"/>
    <w:rPr>
      <w:rFonts w:ascii="Arial" w:hAnsi="Arial" w:eastAsia="Times New Roman"/>
      <w:sz w:val="18"/>
      <w:szCs w:val="18"/>
    </w:rPr>
  </w:style>
  <w:style w:type="paragraph" w:customStyle="1" w:styleId="165">
    <w:name w:val="Table Text"/>
    <w:link w:val="164"/>
    <w:qFormat/>
    <w:uiPriority w:val="0"/>
    <w:pPr>
      <w:spacing w:before="80" w:after="80"/>
    </w:pPr>
    <w:rPr>
      <w:rFonts w:hint="default" w:ascii="Arial" w:hAnsi="Arial" w:eastAsia="Times New Roman" w:cs="Times New Roman"/>
      <w:sz w:val="18"/>
      <w:szCs w:val="18"/>
      <w:lang w:val="en-US" w:eastAsia="zh-CN" w:bidi="ar-SA"/>
    </w:rPr>
  </w:style>
  <w:style w:type="character" w:customStyle="1" w:styleId="166">
    <w:name w:val="脚注文本 Char"/>
    <w:link w:val="167"/>
    <w:qFormat/>
    <w:uiPriority w:val="99"/>
    <w:rPr>
      <w:sz w:val="18"/>
    </w:rPr>
  </w:style>
  <w:style w:type="paragraph" w:customStyle="1" w:styleId="167">
    <w:name w:val="脚注文本11"/>
    <w:basedOn w:val="1"/>
    <w:next w:val="168"/>
    <w:link w:val="166"/>
    <w:unhideWhenUsed/>
    <w:qFormat/>
    <w:uiPriority w:val="0"/>
    <w:pPr>
      <w:spacing w:after="40"/>
    </w:pPr>
    <w:rPr>
      <w:sz w:val="18"/>
    </w:rPr>
  </w:style>
  <w:style w:type="paragraph" w:customStyle="1" w:styleId="168">
    <w:name w:val="索引 511"/>
    <w:basedOn w:val="1"/>
    <w:next w:val="1"/>
    <w:qFormat/>
    <w:uiPriority w:val="0"/>
    <w:pPr>
      <w:ind w:left="798"/>
      <w:jc w:val="left"/>
    </w:pPr>
    <w:rPr>
      <w:rFonts w:ascii="Calibri" w:hAnsi="Calibri"/>
      <w:sz w:val="21"/>
    </w:rPr>
  </w:style>
  <w:style w:type="character" w:customStyle="1" w:styleId="169">
    <w:name w:val="表格 Char Char"/>
    <w:link w:val="170"/>
    <w:qFormat/>
    <w:uiPriority w:val="0"/>
    <w:rPr>
      <w:rFonts w:ascii="宋体" w:hAnsi="宋体"/>
    </w:rPr>
  </w:style>
  <w:style w:type="paragraph" w:customStyle="1" w:styleId="170">
    <w:name w:val="表格"/>
    <w:basedOn w:val="1"/>
    <w:link w:val="169"/>
    <w:qFormat/>
    <w:uiPriority w:val="0"/>
    <w:pPr>
      <w:ind w:firstLine="42"/>
    </w:pPr>
    <w:rPr>
      <w:rFonts w:ascii="宋体" w:hAnsi="宋体"/>
      <w:sz w:val="20"/>
      <w:szCs w:val="20"/>
    </w:rPr>
  </w:style>
  <w:style w:type="character" w:customStyle="1" w:styleId="171">
    <w:name w:val="页脚 Char"/>
    <w:link w:val="172"/>
    <w:qFormat/>
    <w:uiPriority w:val="99"/>
    <w:rPr>
      <w:sz w:val="18"/>
      <w:szCs w:val="18"/>
    </w:rPr>
  </w:style>
  <w:style w:type="paragraph" w:customStyle="1" w:styleId="172">
    <w:name w:val="页脚11"/>
    <w:basedOn w:val="1"/>
    <w:link w:val="171"/>
    <w:unhideWhenUsed/>
    <w:qFormat/>
    <w:uiPriority w:val="99"/>
    <w:pPr>
      <w:tabs>
        <w:tab w:val="center" w:pos="4153"/>
        <w:tab w:val="right" w:pos="8306"/>
      </w:tabs>
      <w:jc w:val="left"/>
    </w:pPr>
    <w:rPr>
      <w:sz w:val="18"/>
      <w:szCs w:val="18"/>
    </w:rPr>
  </w:style>
  <w:style w:type="character" w:customStyle="1" w:styleId="173">
    <w:name w:val="NormalCharacter1"/>
    <w:link w:val="1"/>
    <w:semiHidden/>
    <w:qFormat/>
    <w:uiPriority w:val="0"/>
    <w:rPr>
      <w:rFonts w:ascii="Times New Roman" w:hAnsi="Times New Roman" w:eastAsia="宋体" w:cs="Times New Roman"/>
      <w:sz w:val="21"/>
      <w:szCs w:val="24"/>
    </w:rPr>
  </w:style>
  <w:style w:type="character" w:customStyle="1" w:styleId="174">
    <w:name w:val="Para head"/>
    <w:link w:val="1"/>
    <w:qFormat/>
    <w:uiPriority w:val="0"/>
  </w:style>
  <w:style w:type="character" w:customStyle="1" w:styleId="175">
    <w:name w:val="Char Char31"/>
    <w:link w:val="1"/>
    <w:qFormat/>
    <w:uiPriority w:val="0"/>
    <w:rPr>
      <w:rFonts w:ascii="Arial" w:hAnsi="Arial" w:eastAsia="幼圆"/>
      <w:b/>
      <w:bCs/>
      <w:sz w:val="44"/>
      <w:szCs w:val="44"/>
      <w:lang w:val="en-US" w:eastAsia="zh-CN" w:bidi="ar-SA"/>
    </w:rPr>
  </w:style>
  <w:style w:type="character" w:customStyle="1" w:styleId="176">
    <w:name w:val="HTML 地址 Char2"/>
    <w:link w:val="1"/>
    <w:semiHidden/>
    <w:qFormat/>
    <w:uiPriority w:val="99"/>
    <w:rPr>
      <w:i/>
      <w:iCs/>
      <w:sz w:val="21"/>
      <w:szCs w:val="24"/>
    </w:rPr>
  </w:style>
  <w:style w:type="character" w:customStyle="1" w:styleId="177">
    <w:name w:val="页码1"/>
    <w:link w:val="26"/>
    <w:qFormat/>
    <w:uiPriority w:val="0"/>
    <w:rPr>
      <w:rFonts w:ascii="Times New Roman" w:hAnsi="Times New Roman" w:eastAsia="宋体" w:cs="Times New Roman"/>
      <w:lang w:val="en-US" w:eastAsia="zh-CN" w:bidi="ar-SA"/>
    </w:rPr>
  </w:style>
  <w:style w:type="character" w:customStyle="1" w:styleId="178">
    <w:name w:val="Plain Text Char"/>
    <w:link w:val="1"/>
    <w:qFormat/>
    <w:uiPriority w:val="99"/>
    <w:rPr>
      <w:rFonts w:ascii="宋体" w:hAnsi="Courier New"/>
      <w:sz w:val="21"/>
    </w:rPr>
  </w:style>
  <w:style w:type="character" w:customStyle="1" w:styleId="179">
    <w:name w:val="Heading 4 Char"/>
    <w:link w:val="21"/>
    <w:qFormat/>
    <w:uiPriority w:val="9"/>
    <w:rPr>
      <w:rFonts w:ascii="Arial" w:hAnsi="Arial" w:eastAsia="Arial" w:cs="Arial"/>
      <w:b/>
      <w:bCs/>
      <w:sz w:val="26"/>
      <w:szCs w:val="26"/>
    </w:rPr>
  </w:style>
  <w:style w:type="character" w:customStyle="1" w:styleId="180">
    <w:name w:val="font21"/>
    <w:link w:val="1"/>
    <w:qFormat/>
    <w:uiPriority w:val="99"/>
    <w:rPr>
      <w:rFonts w:ascii="仿宋_GB2312" w:eastAsia="仿宋_GB2312" w:cs="仿宋_GB2312"/>
      <w:b/>
      <w:color w:val="000000"/>
      <w:sz w:val="24"/>
      <w:szCs w:val="24"/>
      <w:u w:val="none"/>
    </w:rPr>
  </w:style>
  <w:style w:type="character" w:customStyle="1" w:styleId="181">
    <w:name w:val="明显参考1"/>
    <w:link w:val="1"/>
    <w:qFormat/>
    <w:uiPriority w:val="0"/>
    <w:rPr>
      <w:b/>
      <w:bCs/>
      <w:smallCaps/>
      <w:color w:val="C0504D"/>
      <w:spacing w:val="5"/>
      <w:u w:val="single"/>
    </w:rPr>
  </w:style>
  <w:style w:type="character" w:customStyle="1" w:styleId="182">
    <w:name w:val="日期 字符"/>
    <w:link w:val="1"/>
    <w:qFormat/>
    <w:uiPriority w:val="0"/>
    <w:rPr>
      <w:sz w:val="20"/>
    </w:rPr>
  </w:style>
  <w:style w:type="character" w:customStyle="1" w:styleId="183">
    <w:name w:val="HTML 地址 Char"/>
    <w:link w:val="184"/>
    <w:qFormat/>
    <w:uiPriority w:val="0"/>
    <w:rPr>
      <w:rFonts w:ascii="宋体"/>
      <w:i/>
      <w:iCs/>
      <w:sz w:val="21"/>
      <w:szCs w:val="21"/>
    </w:rPr>
  </w:style>
  <w:style w:type="paragraph" w:customStyle="1" w:styleId="184">
    <w:name w:val="HTML 地址1"/>
    <w:basedOn w:val="1"/>
    <w:link w:val="183"/>
    <w:qFormat/>
    <w:uiPriority w:val="0"/>
    <w:rPr>
      <w:rFonts w:ascii="宋体"/>
      <w:i/>
      <w:iCs/>
      <w:sz w:val="20"/>
      <w:szCs w:val="21"/>
    </w:rPr>
  </w:style>
  <w:style w:type="character" w:customStyle="1" w:styleId="185">
    <w:name w:val="HTML 地址 Char1"/>
    <w:link w:val="1"/>
    <w:qFormat/>
    <w:uiPriority w:val="0"/>
    <w:rPr>
      <w:i/>
      <w:iCs/>
      <w:sz w:val="21"/>
      <w:szCs w:val="21"/>
    </w:rPr>
  </w:style>
  <w:style w:type="character" w:customStyle="1" w:styleId="186">
    <w:name w:val="文档结构图 Char1"/>
    <w:link w:val="1"/>
    <w:semiHidden/>
    <w:qFormat/>
    <w:uiPriority w:val="99"/>
    <w:rPr>
      <w:rFonts w:ascii="宋体"/>
      <w:sz w:val="18"/>
      <w:szCs w:val="18"/>
    </w:rPr>
  </w:style>
  <w:style w:type="character" w:customStyle="1" w:styleId="187">
    <w:name w:val="Header Char"/>
    <w:link w:val="188"/>
    <w:qFormat/>
    <w:uiPriority w:val="99"/>
  </w:style>
  <w:style w:type="paragraph" w:customStyle="1" w:styleId="188">
    <w:name w:val="页眉1"/>
    <w:basedOn w:val="1"/>
    <w:link w:val="187"/>
    <w:qFormat/>
    <w:uiPriority w:val="0"/>
    <w:pPr>
      <w:pBdr>
        <w:bottom w:val="single" w:color="000000" w:sz="6" w:space="1"/>
      </w:pBdr>
      <w:tabs>
        <w:tab w:val="center" w:pos="4153"/>
        <w:tab w:val="right" w:pos="8306"/>
      </w:tabs>
      <w:jc w:val="center"/>
    </w:pPr>
    <w:rPr>
      <w:sz w:val="18"/>
      <w:szCs w:val="18"/>
    </w:rPr>
  </w:style>
  <w:style w:type="character" w:customStyle="1" w:styleId="189">
    <w:name w:val="表头 Char"/>
    <w:link w:val="190"/>
    <w:qFormat/>
    <w:uiPriority w:val="0"/>
    <w:rPr>
      <w:rFonts w:eastAsia="黑体"/>
      <w:spacing w:val="-10"/>
    </w:rPr>
  </w:style>
  <w:style w:type="paragraph" w:customStyle="1" w:styleId="190">
    <w:name w:val="表头"/>
    <w:basedOn w:val="1"/>
    <w:link w:val="189"/>
    <w:qFormat/>
    <w:uiPriority w:val="0"/>
    <w:pPr>
      <w:spacing w:line="320" w:lineRule="atLeast"/>
      <w:jc w:val="center"/>
    </w:pPr>
    <w:rPr>
      <w:rFonts w:eastAsia="黑体"/>
      <w:spacing w:val="-10"/>
      <w:sz w:val="20"/>
      <w:szCs w:val="20"/>
    </w:rPr>
  </w:style>
  <w:style w:type="character" w:customStyle="1" w:styleId="191">
    <w:name w:val="正文首行缩进 2 Char"/>
    <w:link w:val="69"/>
    <w:qFormat/>
    <w:uiPriority w:val="99"/>
    <w:rPr>
      <w:rFonts w:ascii="宋体" w:hAnsi="宋体"/>
      <w:sz w:val="21"/>
      <w:szCs w:val="24"/>
      <w:lang w:val="en-US" w:eastAsia="zh-CN"/>
    </w:rPr>
  </w:style>
  <w:style w:type="character" w:customStyle="1" w:styleId="192">
    <w:name w:val="HTML 预设格式 Char"/>
    <w:link w:val="193"/>
    <w:qFormat/>
    <w:uiPriority w:val="99"/>
    <w:rPr>
      <w:rFonts w:ascii="宋体" w:hAnsi="宋体"/>
      <w:sz w:val="24"/>
      <w:szCs w:val="24"/>
    </w:rPr>
  </w:style>
  <w:style w:type="paragraph" w:customStyle="1" w:styleId="193">
    <w:name w:val="HTML 预设格式1"/>
    <w:basedOn w:val="1"/>
    <w:link w:val="19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character" w:customStyle="1" w:styleId="194">
    <w:name w:val="普通正文 Char"/>
    <w:link w:val="195"/>
    <w:qFormat/>
    <w:uiPriority w:val="0"/>
    <w:rPr>
      <w:rFonts w:ascii="Arial" w:hAnsi="Arial"/>
      <w:sz w:val="24"/>
      <w:szCs w:val="24"/>
    </w:rPr>
  </w:style>
  <w:style w:type="paragraph" w:customStyle="1" w:styleId="195">
    <w:name w:val="普通正文"/>
    <w:basedOn w:val="1"/>
    <w:link w:val="194"/>
    <w:qFormat/>
    <w:uiPriority w:val="0"/>
    <w:pPr>
      <w:spacing w:before="120" w:after="120" w:line="360" w:lineRule="auto"/>
      <w:ind w:firstLine="480"/>
      <w:jc w:val="left"/>
    </w:pPr>
    <w:rPr>
      <w:rFonts w:ascii="Arial" w:hAnsi="Arial"/>
      <w:sz w:val="24"/>
    </w:rPr>
  </w:style>
  <w:style w:type="character" w:customStyle="1" w:styleId="196">
    <w:name w:val="标题 字符"/>
    <w:link w:val="1"/>
    <w:qFormat/>
    <w:uiPriority w:val="0"/>
    <w:rPr>
      <w:sz w:val="20"/>
    </w:rPr>
  </w:style>
  <w:style w:type="character" w:customStyle="1" w:styleId="197">
    <w:name w:val="正文文本缩进 3 Char1"/>
    <w:link w:val="1"/>
    <w:semiHidden/>
    <w:qFormat/>
    <w:uiPriority w:val="99"/>
    <w:rPr>
      <w:sz w:val="16"/>
      <w:szCs w:val="16"/>
    </w:rPr>
  </w:style>
  <w:style w:type="character" w:customStyle="1" w:styleId="198">
    <w:name w:val="尾注文本 Char"/>
    <w:link w:val="199"/>
    <w:qFormat/>
    <w:uiPriority w:val="0"/>
    <w:rPr>
      <w:sz w:val="20"/>
    </w:rPr>
  </w:style>
  <w:style w:type="paragraph" w:customStyle="1" w:styleId="199">
    <w:name w:val="尾注文本1"/>
    <w:basedOn w:val="1"/>
    <w:link w:val="198"/>
    <w:unhideWhenUsed/>
    <w:qFormat/>
    <w:uiPriority w:val="0"/>
    <w:rPr>
      <w:sz w:val="20"/>
    </w:rPr>
  </w:style>
  <w:style w:type="character" w:customStyle="1" w:styleId="200">
    <w:name w:val="美标题3 Char Char"/>
    <w:link w:val="201"/>
    <w:qFormat/>
    <w:uiPriority w:val="0"/>
    <w:rPr>
      <w:rFonts w:ascii="宋体" w:hAnsi="宋体"/>
      <w:b/>
    </w:rPr>
  </w:style>
  <w:style w:type="paragraph" w:customStyle="1" w:styleId="201">
    <w:name w:val="美标题3"/>
    <w:basedOn w:val="1"/>
    <w:link w:val="200"/>
    <w:qFormat/>
    <w:uiPriority w:val="0"/>
    <w:pPr>
      <w:spacing w:line="360" w:lineRule="auto"/>
    </w:pPr>
    <w:rPr>
      <w:rFonts w:ascii="宋体" w:hAnsi="宋体"/>
      <w:b/>
      <w:sz w:val="20"/>
      <w:szCs w:val="20"/>
    </w:rPr>
  </w:style>
  <w:style w:type="character" w:customStyle="1" w:styleId="202">
    <w:name w:val="Heading 3 Char"/>
    <w:link w:val="203"/>
    <w:qFormat/>
    <w:uiPriority w:val="9"/>
    <w:rPr>
      <w:rFonts w:ascii="Arial" w:hAnsi="Arial" w:eastAsia="Arial" w:cs="Arial"/>
      <w:sz w:val="30"/>
      <w:szCs w:val="30"/>
    </w:rPr>
  </w:style>
  <w:style w:type="paragraph" w:customStyle="1" w:styleId="203">
    <w:name w:val="标题 31"/>
    <w:basedOn w:val="26"/>
    <w:next w:val="26"/>
    <w:link w:val="202"/>
    <w:unhideWhenUsed/>
    <w:qFormat/>
    <w:uiPriority w:val="9"/>
    <w:pPr>
      <w:keepNext/>
      <w:keepLines/>
      <w:spacing w:before="320" w:after="200"/>
      <w:outlineLvl w:val="2"/>
    </w:pPr>
    <w:rPr>
      <w:rFonts w:ascii="Arial" w:hAnsi="Arial" w:eastAsia="Arial" w:cs="Arial"/>
      <w:sz w:val="30"/>
      <w:szCs w:val="30"/>
    </w:rPr>
  </w:style>
  <w:style w:type="character" w:customStyle="1" w:styleId="204">
    <w:name w:val="标题2 Char Char"/>
    <w:link w:val="205"/>
    <w:qFormat/>
    <w:uiPriority w:val="0"/>
    <w:rPr>
      <w:rFonts w:eastAsia="方正楷体_GBK"/>
      <w:sz w:val="32"/>
    </w:rPr>
  </w:style>
  <w:style w:type="paragraph" w:customStyle="1" w:styleId="205">
    <w:name w:val="标题2"/>
    <w:basedOn w:val="1"/>
    <w:next w:val="1"/>
    <w:link w:val="204"/>
    <w:qFormat/>
    <w:uiPriority w:val="0"/>
    <w:pPr>
      <w:jc w:val="center"/>
    </w:pPr>
    <w:rPr>
      <w:rFonts w:eastAsia="方正楷体_GBK"/>
      <w:sz w:val="32"/>
      <w:szCs w:val="20"/>
    </w:rPr>
  </w:style>
  <w:style w:type="character" w:customStyle="1" w:styleId="206">
    <w:name w:val="正文文本缩进 2 Char1"/>
    <w:link w:val="1"/>
    <w:semiHidden/>
    <w:qFormat/>
    <w:uiPriority w:val="99"/>
    <w:rPr>
      <w:sz w:val="21"/>
      <w:szCs w:val="24"/>
    </w:rPr>
  </w:style>
  <w:style w:type="character" w:customStyle="1" w:styleId="207">
    <w:name w:val="Endnote Text Char"/>
    <w:link w:val="1"/>
    <w:qFormat/>
    <w:uiPriority w:val="99"/>
    <w:rPr>
      <w:sz w:val="20"/>
    </w:rPr>
  </w:style>
  <w:style w:type="character" w:customStyle="1" w:styleId="208">
    <w:name w:val="正文文本 (9)_"/>
    <w:link w:val="209"/>
    <w:qFormat/>
    <w:uiPriority w:val="0"/>
    <w:rPr>
      <w:rFonts w:ascii="MingLiU" w:hAnsi="MingLiU" w:eastAsia="MingLiU"/>
      <w:spacing w:val="20"/>
      <w:sz w:val="16"/>
      <w:szCs w:val="16"/>
      <w:shd w:val="clear" w:color="auto" w:fill="FFFFFF"/>
    </w:rPr>
  </w:style>
  <w:style w:type="paragraph" w:customStyle="1" w:styleId="209">
    <w:name w:val="正文文本 (9)3"/>
    <w:basedOn w:val="1"/>
    <w:link w:val="208"/>
    <w:qFormat/>
    <w:uiPriority w:val="0"/>
    <w:pPr>
      <w:shd w:val="clear" w:color="auto" w:fill="FFFFFF"/>
      <w:spacing w:line="0" w:lineRule="atLeast"/>
      <w:jc w:val="left"/>
    </w:pPr>
    <w:rPr>
      <w:rFonts w:ascii="MingLiU" w:hAnsi="MingLiU" w:eastAsia="MingLiU"/>
      <w:spacing w:val="20"/>
      <w:sz w:val="16"/>
      <w:szCs w:val="16"/>
      <w:shd w:val="clear" w:color="auto" w:fill="FFFFFF"/>
    </w:rPr>
  </w:style>
  <w:style w:type="character" w:customStyle="1" w:styleId="210">
    <w:name w:val="不明显强调1"/>
    <w:link w:val="1"/>
    <w:qFormat/>
    <w:uiPriority w:val="0"/>
    <w:rPr>
      <w:i/>
      <w:color w:val="000000"/>
      <w:sz w:val="21"/>
    </w:rPr>
  </w:style>
  <w:style w:type="character" w:customStyle="1" w:styleId="211">
    <w:name w:val="日期 Char"/>
    <w:link w:val="212"/>
    <w:qFormat/>
    <w:uiPriority w:val="99"/>
    <w:rPr>
      <w:sz w:val="24"/>
      <w:szCs w:val="24"/>
    </w:rPr>
  </w:style>
  <w:style w:type="paragraph" w:customStyle="1" w:styleId="212">
    <w:name w:val="日期1"/>
    <w:basedOn w:val="1"/>
    <w:next w:val="1"/>
    <w:link w:val="211"/>
    <w:qFormat/>
    <w:uiPriority w:val="99"/>
    <w:rPr>
      <w:sz w:val="24"/>
    </w:rPr>
  </w:style>
  <w:style w:type="character" w:customStyle="1" w:styleId="213">
    <w:name w:val="Heading 6 Char"/>
    <w:link w:val="214"/>
    <w:qFormat/>
    <w:uiPriority w:val="9"/>
    <w:rPr>
      <w:rFonts w:ascii="Arial" w:hAnsi="Arial" w:eastAsia="Arial" w:cs="Arial"/>
      <w:b/>
      <w:bCs/>
      <w:sz w:val="22"/>
      <w:szCs w:val="22"/>
    </w:rPr>
  </w:style>
  <w:style w:type="paragraph" w:customStyle="1" w:styleId="214">
    <w:name w:val="标题 61"/>
    <w:basedOn w:val="1"/>
    <w:next w:val="1"/>
    <w:link w:val="213"/>
    <w:unhideWhenUsed/>
    <w:qFormat/>
    <w:uiPriority w:val="9"/>
    <w:pPr>
      <w:keepNext/>
      <w:keepLines/>
      <w:spacing w:before="320" w:after="200"/>
      <w:outlineLvl w:val="5"/>
    </w:pPr>
    <w:rPr>
      <w:rFonts w:ascii="Arial" w:hAnsi="Arial" w:eastAsia="Arial" w:cs="Arial"/>
      <w:b/>
      <w:bCs/>
      <w:sz w:val="22"/>
      <w:szCs w:val="22"/>
    </w:rPr>
  </w:style>
  <w:style w:type="character" w:customStyle="1" w:styleId="215">
    <w:name w:val="fontstyle01"/>
    <w:link w:val="1"/>
    <w:qFormat/>
    <w:uiPriority w:val="0"/>
    <w:rPr>
      <w:rFonts w:hint="eastAsia" w:ascii="宋体" w:hAnsi="宋体" w:eastAsia="宋体"/>
      <w:color w:val="000000"/>
      <w:sz w:val="24"/>
      <w:szCs w:val="24"/>
    </w:rPr>
  </w:style>
  <w:style w:type="character" w:customStyle="1" w:styleId="216">
    <w:name w:val="超链接1"/>
    <w:link w:val="19"/>
    <w:qFormat/>
    <w:uiPriority w:val="0"/>
    <w:rPr>
      <w:rFonts w:ascii="Times New Roman" w:hAnsi="Times New Roman" w:eastAsia="宋体"/>
      <w:sz w:val="21"/>
      <w:szCs w:val="24"/>
      <w:lang w:val="en-US" w:eastAsia="zh-CN" w:bidi="ar-SA"/>
    </w:rPr>
  </w:style>
  <w:style w:type="character" w:customStyle="1" w:styleId="217">
    <w:name w:val="章标题 Char"/>
    <w:link w:val="18"/>
    <w:qFormat/>
    <w:uiPriority w:val="0"/>
    <w:rPr>
      <w:rFonts w:ascii="黑体" w:eastAsia="黑体"/>
      <w:sz w:val="21"/>
      <w:szCs w:val="22"/>
    </w:rPr>
  </w:style>
  <w:style w:type="character" w:customStyle="1" w:styleId="218">
    <w:name w:val="副标题 Char"/>
    <w:link w:val="219"/>
    <w:qFormat/>
    <w:uiPriority w:val="11"/>
    <w:rPr>
      <w:sz w:val="24"/>
      <w:szCs w:val="24"/>
    </w:rPr>
  </w:style>
  <w:style w:type="paragraph" w:customStyle="1" w:styleId="219">
    <w:name w:val="副标题1"/>
    <w:basedOn w:val="1"/>
    <w:next w:val="1"/>
    <w:link w:val="218"/>
    <w:qFormat/>
    <w:uiPriority w:val="11"/>
    <w:pPr>
      <w:spacing w:before="200" w:after="200"/>
    </w:pPr>
    <w:rPr>
      <w:sz w:val="24"/>
    </w:rPr>
  </w:style>
  <w:style w:type="character" w:customStyle="1" w:styleId="220">
    <w:name w:val="Char Char29"/>
    <w:link w:val="1"/>
    <w:qFormat/>
    <w:uiPriority w:val="0"/>
    <w:rPr>
      <w:rFonts w:ascii="Arial" w:hAnsi="Arial" w:eastAsia="黑体"/>
      <w:b/>
      <w:bCs/>
      <w:sz w:val="28"/>
      <w:szCs w:val="28"/>
      <w:lang w:val="en-US" w:eastAsia="zh-CN" w:bidi="ar-SA"/>
    </w:rPr>
  </w:style>
  <w:style w:type="character" w:customStyle="1" w:styleId="221">
    <w:name w:val="font131"/>
    <w:link w:val="1"/>
    <w:qFormat/>
    <w:uiPriority w:val="99"/>
    <w:rPr>
      <w:rFonts w:ascii="Tahoma" w:hAnsi="Tahoma" w:cs="Tahoma"/>
      <w:color w:val="333333"/>
      <w:sz w:val="20"/>
      <w:szCs w:val="20"/>
      <w:u w:val="none"/>
    </w:rPr>
  </w:style>
  <w:style w:type="character" w:customStyle="1" w:styleId="222">
    <w:name w:val="纯文本 Char1"/>
    <w:link w:val="1"/>
    <w:semiHidden/>
    <w:qFormat/>
    <w:uiPriority w:val="0"/>
    <w:rPr>
      <w:rFonts w:ascii="宋体" w:hAnsi="Courier New" w:cs="Courier New"/>
      <w:sz w:val="21"/>
      <w:szCs w:val="21"/>
    </w:rPr>
  </w:style>
  <w:style w:type="character" w:customStyle="1" w:styleId="223">
    <w:name w:val="缺省文本 Char"/>
    <w:link w:val="224"/>
    <w:qFormat/>
    <w:uiPriority w:val="0"/>
    <w:rPr>
      <w:rFonts w:ascii="Arial" w:hAnsi="Arial"/>
      <w:sz w:val="24"/>
      <w:szCs w:val="21"/>
    </w:rPr>
  </w:style>
  <w:style w:type="paragraph" w:customStyle="1" w:styleId="224">
    <w:name w:val="缺省文本"/>
    <w:basedOn w:val="1"/>
    <w:link w:val="223"/>
    <w:qFormat/>
    <w:uiPriority w:val="0"/>
    <w:pPr>
      <w:spacing w:line="360" w:lineRule="auto"/>
      <w:jc w:val="left"/>
    </w:pPr>
    <w:rPr>
      <w:rFonts w:ascii="Arial" w:hAnsi="Arial"/>
      <w:sz w:val="24"/>
      <w:szCs w:val="21"/>
    </w:rPr>
  </w:style>
  <w:style w:type="character" w:customStyle="1" w:styleId="225">
    <w:name w:val="正文文本 3 Char"/>
    <w:link w:val="226"/>
    <w:qFormat/>
    <w:uiPriority w:val="0"/>
    <w:rPr>
      <w:rFonts w:ascii="仿宋_GB2312" w:hAnsi="Arial" w:eastAsia="仿宋_GB2312"/>
      <w:sz w:val="32"/>
      <w:szCs w:val="32"/>
    </w:rPr>
  </w:style>
  <w:style w:type="paragraph" w:customStyle="1" w:styleId="226">
    <w:name w:val="正文文本 31"/>
    <w:basedOn w:val="1"/>
    <w:link w:val="225"/>
    <w:qFormat/>
    <w:uiPriority w:val="0"/>
    <w:rPr>
      <w:rFonts w:ascii="仿宋_GB2312" w:hAnsi="Arial" w:eastAsia="仿宋_GB2312"/>
      <w:sz w:val="32"/>
      <w:szCs w:val="32"/>
    </w:rPr>
  </w:style>
  <w:style w:type="character" w:customStyle="1" w:styleId="227">
    <w:name w:val="font81"/>
    <w:link w:val="1"/>
    <w:qFormat/>
    <w:uiPriority w:val="99"/>
    <w:rPr>
      <w:rFonts w:ascii="仿宋_GB2312" w:eastAsia="仿宋_GB2312" w:cs="仿宋_GB2312"/>
      <w:b/>
      <w:color w:val="000000"/>
      <w:sz w:val="24"/>
      <w:szCs w:val="24"/>
      <w:u w:val="none"/>
    </w:rPr>
  </w:style>
  <w:style w:type="character" w:customStyle="1" w:styleId="228">
    <w:name w:val="正文文本 Char1"/>
    <w:link w:val="157"/>
    <w:qFormat/>
    <w:uiPriority w:val="0"/>
    <w:rPr>
      <w:sz w:val="21"/>
      <w:szCs w:val="24"/>
    </w:rPr>
  </w:style>
  <w:style w:type="character" w:customStyle="1" w:styleId="229">
    <w:name w:val="Footnote Text Char"/>
    <w:link w:val="1"/>
    <w:qFormat/>
    <w:uiPriority w:val="99"/>
    <w:rPr>
      <w:sz w:val="18"/>
    </w:rPr>
  </w:style>
  <w:style w:type="character" w:customStyle="1" w:styleId="230">
    <w:name w:val="标题 2 字符"/>
    <w:link w:val="66"/>
    <w:qFormat/>
    <w:uiPriority w:val="0"/>
    <w:rPr>
      <w:rFonts w:ascii="Cambria" w:hAnsi="Cambria"/>
      <w:b/>
      <w:bCs/>
      <w:sz w:val="28"/>
      <w:szCs w:val="32"/>
    </w:rPr>
  </w:style>
  <w:style w:type="character" w:customStyle="1" w:styleId="231">
    <w:name w:val="Char Char17"/>
    <w:link w:val="1"/>
    <w:qFormat/>
    <w:uiPriority w:val="0"/>
    <w:rPr>
      <w:rFonts w:eastAsia="宋体"/>
      <w:sz w:val="18"/>
      <w:szCs w:val="18"/>
      <w:lang w:bidi="ar-SA"/>
    </w:rPr>
  </w:style>
  <w:style w:type="character" w:customStyle="1" w:styleId="232">
    <w:name w:val="正文文本 3 字符"/>
    <w:link w:val="1"/>
    <w:qFormat/>
    <w:uiPriority w:val="0"/>
    <w:rPr>
      <w:sz w:val="20"/>
    </w:rPr>
  </w:style>
  <w:style w:type="character" w:customStyle="1" w:styleId="233">
    <w:name w:val="二级条标题 Char"/>
    <w:link w:val="134"/>
    <w:qFormat/>
    <w:uiPriority w:val="0"/>
    <w:rPr>
      <w:rFonts w:ascii="黑体" w:hAnsi="宋体" w:eastAsia="黑体"/>
    </w:rPr>
  </w:style>
  <w:style w:type="character" w:customStyle="1" w:styleId="234">
    <w:name w:val="三级条标题 Char"/>
    <w:link w:val="235"/>
    <w:qFormat/>
    <w:uiPriority w:val="0"/>
    <w:rPr>
      <w:rFonts w:ascii="黑体" w:hAnsi="宋体" w:eastAsia="黑体"/>
    </w:rPr>
  </w:style>
  <w:style w:type="paragraph" w:customStyle="1" w:styleId="235">
    <w:name w:val="三级条标题"/>
    <w:basedOn w:val="134"/>
    <w:next w:val="29"/>
    <w:link w:val="234"/>
    <w:qFormat/>
    <w:uiPriority w:val="0"/>
    <w:pPr>
      <w:outlineLvl w:val="4"/>
    </w:pPr>
  </w:style>
  <w:style w:type="character" w:customStyle="1" w:styleId="236">
    <w:name w:val="Table Heading Char"/>
    <w:link w:val="237"/>
    <w:qFormat/>
    <w:uiPriority w:val="0"/>
    <w:rPr>
      <w:rFonts w:ascii="Arial" w:hAnsi="Arial" w:eastAsia="黑体"/>
      <w:sz w:val="18"/>
      <w:szCs w:val="22"/>
      <w:lang w:eastAsia="en-US"/>
    </w:rPr>
  </w:style>
  <w:style w:type="paragraph" w:customStyle="1" w:styleId="237">
    <w:name w:val="Table Heading"/>
    <w:link w:val="236"/>
    <w:qFormat/>
    <w:uiPriority w:val="0"/>
    <w:pPr>
      <w:keepNext/>
      <w:widowControl w:val="0"/>
      <w:spacing w:line="360" w:lineRule="atLeast"/>
      <w:jc w:val="center"/>
    </w:pPr>
    <w:rPr>
      <w:rFonts w:hint="default" w:ascii="Arial" w:hAnsi="Arial" w:eastAsia="黑体" w:cs="Times New Roman"/>
      <w:sz w:val="18"/>
      <w:szCs w:val="22"/>
      <w:lang w:val="en-US" w:eastAsia="en-US" w:bidi="ar-SA"/>
    </w:rPr>
  </w:style>
  <w:style w:type="character" w:customStyle="1" w:styleId="238">
    <w:name w:val="明显强调1"/>
    <w:link w:val="1"/>
    <w:qFormat/>
    <w:uiPriority w:val="0"/>
    <w:rPr>
      <w:i/>
      <w:color w:val="000000"/>
      <w:sz w:val="21"/>
    </w:rPr>
  </w:style>
  <w:style w:type="character" w:customStyle="1" w:styleId="239">
    <w:name w:val="Plain Text Char1"/>
    <w:link w:val="1"/>
    <w:semiHidden/>
    <w:qFormat/>
    <w:uiPriority w:val="99"/>
    <w:rPr>
      <w:rFonts w:ascii="宋体" w:hAnsi="Courier New" w:cs="Courier New"/>
      <w:sz w:val="21"/>
      <w:szCs w:val="21"/>
    </w:rPr>
  </w:style>
  <w:style w:type="character" w:customStyle="1" w:styleId="240">
    <w:name w:val="页眉 Char"/>
    <w:link w:val="241"/>
    <w:qFormat/>
    <w:uiPriority w:val="99"/>
    <w:rPr>
      <w:sz w:val="18"/>
      <w:szCs w:val="18"/>
    </w:rPr>
  </w:style>
  <w:style w:type="paragraph" w:customStyle="1" w:styleId="241">
    <w:name w:val="页眉11"/>
    <w:basedOn w:val="1"/>
    <w:link w:val="240"/>
    <w:unhideWhenUsed/>
    <w:qFormat/>
    <w:uiPriority w:val="99"/>
    <w:pPr>
      <w:pBdr>
        <w:bottom w:val="single" w:color="000000" w:sz="6" w:space="1"/>
      </w:pBdr>
      <w:tabs>
        <w:tab w:val="center" w:pos="4153"/>
        <w:tab w:val="right" w:pos="8306"/>
      </w:tabs>
      <w:jc w:val="center"/>
    </w:pPr>
    <w:rPr>
      <w:sz w:val="18"/>
      <w:szCs w:val="18"/>
    </w:rPr>
  </w:style>
  <w:style w:type="character" w:customStyle="1" w:styleId="242">
    <w:name w:val="Item List Char"/>
    <w:link w:val="243"/>
    <w:qFormat/>
    <w:uiPriority w:val="0"/>
    <w:rPr>
      <w:rFonts w:eastAsia="Times New Roman" w:cs="Arial"/>
      <w:sz w:val="21"/>
      <w:szCs w:val="21"/>
    </w:rPr>
  </w:style>
  <w:style w:type="paragraph" w:customStyle="1" w:styleId="243">
    <w:name w:val="Item List"/>
    <w:link w:val="242"/>
    <w:qFormat/>
    <w:uiPriority w:val="0"/>
    <w:pPr>
      <w:tabs>
        <w:tab w:val="left" w:pos="810"/>
        <w:tab w:val="left" w:pos="2126"/>
      </w:tabs>
      <w:spacing w:before="80" w:after="80" w:line="240" w:lineRule="atLeast"/>
      <w:ind w:left="810" w:hanging="330"/>
    </w:pPr>
    <w:rPr>
      <w:rFonts w:hint="default" w:ascii="Times New Roman" w:hAnsi="Times New Roman" w:eastAsia="Times New Roman" w:cs="Arial"/>
      <w:sz w:val="21"/>
      <w:szCs w:val="21"/>
      <w:lang w:val="en-US" w:eastAsia="zh-CN" w:bidi="ar-SA"/>
    </w:rPr>
  </w:style>
  <w:style w:type="character" w:customStyle="1" w:styleId="244">
    <w:name w:val="列表段落 字符"/>
    <w:link w:val="245"/>
    <w:qFormat/>
    <w:uiPriority w:val="0"/>
    <w:rPr>
      <w:sz w:val="21"/>
      <w:szCs w:val="24"/>
      <w:lang w:val="en-US" w:eastAsia="zh-CN"/>
    </w:rPr>
  </w:style>
  <w:style w:type="paragraph" w:customStyle="1" w:styleId="245">
    <w:name w:val="_Style 34"/>
    <w:basedOn w:val="1"/>
    <w:next w:val="246"/>
    <w:link w:val="244"/>
    <w:qFormat/>
    <w:uiPriority w:val="0"/>
    <w:pPr>
      <w:spacing w:line="274" w:lineRule="auto"/>
      <w:ind w:firstLine="420"/>
    </w:pPr>
  </w:style>
  <w:style w:type="paragraph" w:customStyle="1" w:styleId="246">
    <w:name w:val="列出段落"/>
    <w:basedOn w:val="1"/>
    <w:link w:val="331"/>
    <w:qFormat/>
    <w:uiPriority w:val="0"/>
    <w:pPr>
      <w:ind w:left="720"/>
      <w:contextualSpacing/>
    </w:pPr>
  </w:style>
  <w:style w:type="character" w:customStyle="1" w:styleId="247">
    <w:name w:val="NormalCharacter11"/>
    <w:link w:val="1"/>
    <w:semiHidden/>
    <w:qFormat/>
    <w:uiPriority w:val="0"/>
    <w:rPr>
      <w:rFonts w:ascii="Times New Roman" w:hAnsi="Times New Roman" w:eastAsia="宋体" w:cs="Times New Roman"/>
      <w:sz w:val="21"/>
      <w:szCs w:val="24"/>
    </w:rPr>
  </w:style>
  <w:style w:type="character" w:customStyle="1" w:styleId="248">
    <w:name w:val="正文缩进 字符"/>
    <w:link w:val="1"/>
    <w:qFormat/>
    <w:uiPriority w:val="0"/>
    <w:rPr>
      <w:sz w:val="20"/>
    </w:rPr>
  </w:style>
  <w:style w:type="character" w:customStyle="1" w:styleId="249">
    <w:name w:val="纯文本 字符"/>
    <w:link w:val="1"/>
    <w:qFormat/>
    <w:uiPriority w:val="0"/>
    <w:rPr>
      <w:sz w:val="20"/>
    </w:rPr>
  </w:style>
  <w:style w:type="character" w:customStyle="1" w:styleId="250">
    <w:name w:val="标题 1 字符"/>
    <w:link w:val="1"/>
    <w:qFormat/>
    <w:uiPriority w:val="0"/>
    <w:rPr>
      <w:b/>
      <w:sz w:val="20"/>
    </w:rPr>
  </w:style>
  <w:style w:type="character" w:customStyle="1" w:styleId="251">
    <w:name w:val="日期 Char1"/>
    <w:link w:val="1"/>
    <w:semiHidden/>
    <w:qFormat/>
    <w:uiPriority w:val="99"/>
    <w:rPr>
      <w:sz w:val="21"/>
      <w:szCs w:val="24"/>
    </w:rPr>
  </w:style>
  <w:style w:type="character" w:customStyle="1" w:styleId="252">
    <w:name w:val="书籍标题1"/>
    <w:link w:val="1"/>
    <w:qFormat/>
    <w:uiPriority w:val="0"/>
    <w:rPr>
      <w:b/>
      <w:i/>
      <w:sz w:val="21"/>
    </w:rPr>
  </w:style>
  <w:style w:type="character" w:customStyle="1" w:styleId="253">
    <w:name w:val="标题 1 Char"/>
    <w:link w:val="83"/>
    <w:qFormat/>
    <w:uiPriority w:val="99"/>
    <w:rPr>
      <w:rFonts w:eastAsia="方正仿宋_GBK"/>
      <w:b/>
      <w:sz w:val="44"/>
    </w:rPr>
  </w:style>
  <w:style w:type="character" w:customStyle="1" w:styleId="254">
    <w:name w:val="正文文本 2 Char"/>
    <w:link w:val="255"/>
    <w:qFormat/>
    <w:uiPriority w:val="0"/>
    <w:rPr>
      <w:rFonts w:ascii="楷体_GB2312" w:eastAsia="楷体_GB2312"/>
      <w:sz w:val="28"/>
      <w:szCs w:val="28"/>
    </w:rPr>
  </w:style>
  <w:style w:type="paragraph" w:customStyle="1" w:styleId="255">
    <w:name w:val="正文文本 21"/>
    <w:basedOn w:val="1"/>
    <w:link w:val="254"/>
    <w:qFormat/>
    <w:uiPriority w:val="0"/>
    <w:pPr>
      <w:widowControl/>
      <w:jc w:val="center"/>
    </w:pPr>
    <w:rPr>
      <w:rFonts w:ascii="楷体_GB2312" w:eastAsia="楷体_GB2312"/>
      <w:sz w:val="28"/>
      <w:szCs w:val="28"/>
    </w:rPr>
  </w:style>
  <w:style w:type="character" w:customStyle="1" w:styleId="256">
    <w:name w:val="Heading 2 Char"/>
    <w:link w:val="1"/>
    <w:qFormat/>
    <w:uiPriority w:val="9"/>
    <w:rPr>
      <w:rFonts w:ascii="Arial" w:hAnsi="Arial" w:eastAsia="Arial" w:cs="Arial"/>
      <w:sz w:val="34"/>
    </w:rPr>
  </w:style>
  <w:style w:type="character" w:customStyle="1" w:styleId="257">
    <w:name w:val="Heading 7 Char"/>
    <w:link w:val="258"/>
    <w:qFormat/>
    <w:uiPriority w:val="9"/>
    <w:rPr>
      <w:rFonts w:ascii="Arial" w:hAnsi="Arial" w:eastAsia="Arial" w:cs="Arial"/>
      <w:b/>
      <w:bCs/>
      <w:i/>
      <w:iCs/>
      <w:sz w:val="22"/>
      <w:szCs w:val="22"/>
    </w:rPr>
  </w:style>
  <w:style w:type="paragraph" w:customStyle="1" w:styleId="258">
    <w:name w:val="标题 71"/>
    <w:basedOn w:val="1"/>
    <w:next w:val="1"/>
    <w:link w:val="257"/>
    <w:unhideWhenUsed/>
    <w:qFormat/>
    <w:uiPriority w:val="9"/>
    <w:pPr>
      <w:keepNext/>
      <w:keepLines/>
      <w:spacing w:before="320" w:after="200"/>
      <w:outlineLvl w:val="6"/>
    </w:pPr>
    <w:rPr>
      <w:rFonts w:ascii="Arial" w:hAnsi="Arial" w:eastAsia="Arial" w:cs="Arial"/>
      <w:b/>
      <w:bCs/>
      <w:i/>
      <w:iCs/>
      <w:sz w:val="22"/>
      <w:szCs w:val="22"/>
    </w:rPr>
  </w:style>
  <w:style w:type="character" w:customStyle="1" w:styleId="259">
    <w:name w:val="HTML 预设格式 字符"/>
    <w:link w:val="1"/>
    <w:qFormat/>
    <w:uiPriority w:val="0"/>
    <w:rPr>
      <w:sz w:val="20"/>
    </w:rPr>
  </w:style>
  <w:style w:type="character" w:customStyle="1" w:styleId="260">
    <w:name w:val="正文文本 (2)_"/>
    <w:link w:val="261"/>
    <w:qFormat/>
    <w:uiPriority w:val="0"/>
    <w:rPr>
      <w:rFonts w:ascii="MingLiU" w:hAnsi="MingLiU" w:eastAsia="MingLiU"/>
      <w:spacing w:val="10"/>
      <w:sz w:val="18"/>
      <w:szCs w:val="18"/>
      <w:shd w:val="clear" w:color="auto" w:fill="FFFFFF"/>
    </w:rPr>
  </w:style>
  <w:style w:type="paragraph" w:customStyle="1" w:styleId="261">
    <w:name w:val="正文文本 (2)11"/>
    <w:basedOn w:val="1"/>
    <w:link w:val="260"/>
    <w:qFormat/>
    <w:uiPriority w:val="0"/>
    <w:pPr>
      <w:shd w:val="clear" w:color="auto" w:fill="FFFFFF"/>
      <w:spacing w:after="1620" w:line="216" w:lineRule="exact"/>
      <w:jc w:val="left"/>
    </w:pPr>
    <w:rPr>
      <w:rFonts w:ascii="MingLiU" w:hAnsi="MingLiU" w:eastAsia="MingLiU"/>
      <w:spacing w:val="10"/>
      <w:sz w:val="18"/>
      <w:szCs w:val="18"/>
      <w:shd w:val="clear" w:color="auto" w:fill="FFFFFF"/>
    </w:rPr>
  </w:style>
  <w:style w:type="character" w:customStyle="1" w:styleId="262">
    <w:name w:val="标题 2 Char"/>
    <w:link w:val="77"/>
    <w:qFormat/>
    <w:uiPriority w:val="99"/>
    <w:rPr>
      <w:rFonts w:ascii="Cambria" w:hAnsi="Cambria"/>
      <w:b/>
      <w:bCs/>
      <w:sz w:val="32"/>
      <w:szCs w:val="32"/>
    </w:rPr>
  </w:style>
  <w:style w:type="character" w:customStyle="1" w:styleId="263">
    <w:name w:val="font101"/>
    <w:link w:val="1"/>
    <w:qFormat/>
    <w:uiPriority w:val="99"/>
    <w:rPr>
      <w:rFonts w:hint="eastAsia" w:ascii="宋体" w:hAnsi="宋体" w:eastAsia="宋体" w:cs="宋体"/>
      <w:b/>
      <w:color w:val="000000"/>
      <w:sz w:val="20"/>
      <w:szCs w:val="20"/>
      <w:u w:val="none"/>
    </w:rPr>
  </w:style>
  <w:style w:type="character" w:customStyle="1" w:styleId="264">
    <w:name w:val="font51"/>
    <w:link w:val="1"/>
    <w:qFormat/>
    <w:uiPriority w:val="0"/>
    <w:rPr>
      <w:rFonts w:hint="eastAsia" w:ascii="宋体" w:hAnsi="宋体" w:eastAsia="宋体" w:cs="宋体"/>
      <w:b/>
      <w:color w:val="000000"/>
      <w:sz w:val="36"/>
      <w:szCs w:val="36"/>
      <w:u w:val="none"/>
    </w:rPr>
  </w:style>
  <w:style w:type="character" w:customStyle="1" w:styleId="265">
    <w:name w:val="font41"/>
    <w:link w:val="1"/>
    <w:qFormat/>
    <w:uiPriority w:val="0"/>
    <w:rPr>
      <w:rFonts w:hint="eastAsia" w:ascii="宋体" w:hAnsi="宋体" w:eastAsia="宋体" w:cs="宋体"/>
      <w:color w:val="000000"/>
      <w:sz w:val="22"/>
      <w:szCs w:val="22"/>
      <w:u w:val="none"/>
    </w:rPr>
  </w:style>
  <w:style w:type="character" w:customStyle="1" w:styleId="266">
    <w:name w:val="曹阿龙 Char"/>
    <w:link w:val="267"/>
    <w:qFormat/>
    <w:uiPriority w:val="0"/>
    <w:rPr>
      <w:rFonts w:ascii="宋体" w:hAnsi="宋体" w:eastAsia="幼圆"/>
      <w:b/>
      <w:bCs/>
      <w:sz w:val="28"/>
      <w:szCs w:val="28"/>
    </w:rPr>
  </w:style>
  <w:style w:type="paragraph" w:customStyle="1" w:styleId="267">
    <w:name w:val="曹阿龙"/>
    <w:basedOn w:val="77"/>
    <w:link w:val="266"/>
    <w:qFormat/>
    <w:uiPriority w:val="0"/>
    <w:pPr>
      <w:spacing w:line="400" w:lineRule="exact"/>
      <w:ind w:firstLine="561"/>
      <w:jc w:val="left"/>
    </w:pPr>
    <w:rPr>
      <w:rFonts w:ascii="宋体" w:hAnsi="宋体" w:eastAsia="幼圆"/>
      <w:sz w:val="28"/>
      <w:szCs w:val="28"/>
    </w:rPr>
  </w:style>
  <w:style w:type="character" w:customStyle="1" w:styleId="268">
    <w:name w:val="标题 3 Char"/>
    <w:link w:val="84"/>
    <w:qFormat/>
    <w:uiPriority w:val="9"/>
    <w:rPr>
      <w:b/>
      <w:bCs/>
      <w:sz w:val="32"/>
      <w:szCs w:val="32"/>
    </w:rPr>
  </w:style>
  <w:style w:type="character" w:customStyle="1" w:styleId="269">
    <w:name w:val="明显引用 Char"/>
    <w:link w:val="270"/>
    <w:qFormat/>
    <w:uiPriority w:val="30"/>
    <w:rPr>
      <w:i/>
    </w:rPr>
  </w:style>
  <w:style w:type="paragraph" w:customStyle="1" w:styleId="270">
    <w:name w:val="明显引用"/>
    <w:basedOn w:val="1"/>
    <w:next w:val="1"/>
    <w:link w:val="269"/>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271">
    <w:name w:val="wwwww Char"/>
    <w:link w:val="272"/>
    <w:qFormat/>
    <w:uiPriority w:val="0"/>
    <w:rPr>
      <w:rFonts w:ascii="宋体" w:hAnsi="宋体"/>
      <w:sz w:val="24"/>
      <w:szCs w:val="21"/>
    </w:rPr>
  </w:style>
  <w:style w:type="paragraph" w:customStyle="1" w:styleId="272">
    <w:name w:val="wwwww"/>
    <w:basedOn w:val="1"/>
    <w:link w:val="271"/>
    <w:qFormat/>
    <w:uiPriority w:val="0"/>
    <w:pPr>
      <w:widowControl/>
      <w:spacing w:line="400" w:lineRule="exact"/>
    </w:pPr>
    <w:rPr>
      <w:rFonts w:ascii="宋体" w:hAnsi="宋体"/>
      <w:sz w:val="24"/>
      <w:szCs w:val="21"/>
    </w:rPr>
  </w:style>
  <w:style w:type="character" w:customStyle="1" w:styleId="273">
    <w:name w:val="普通(网站) Char"/>
    <w:link w:val="274"/>
    <w:qFormat/>
    <w:uiPriority w:val="99"/>
    <w:rPr>
      <w:rFonts w:ascii="宋体" w:hAnsi="宋体" w:cs="宋体"/>
      <w:sz w:val="24"/>
      <w:szCs w:val="24"/>
    </w:rPr>
  </w:style>
  <w:style w:type="paragraph" w:customStyle="1" w:styleId="274">
    <w:name w:val="普通(网站)11"/>
    <w:basedOn w:val="1"/>
    <w:link w:val="273"/>
    <w:qFormat/>
    <w:uiPriority w:val="0"/>
    <w:pPr>
      <w:widowControl/>
      <w:spacing w:before="100" w:beforeAutospacing="1" w:after="100" w:afterAutospacing="1"/>
      <w:jc w:val="left"/>
    </w:pPr>
    <w:rPr>
      <w:rFonts w:ascii="宋体" w:hAnsi="宋体"/>
      <w:sz w:val="24"/>
    </w:rPr>
  </w:style>
  <w:style w:type="character" w:customStyle="1" w:styleId="275">
    <w:name w:val="文档结构图 字符"/>
    <w:link w:val="1"/>
    <w:semiHidden/>
    <w:qFormat/>
    <w:uiPriority w:val="0"/>
    <w:rPr>
      <w:sz w:val="20"/>
    </w:rPr>
  </w:style>
  <w:style w:type="character" w:customStyle="1" w:styleId="276">
    <w:name w:val="Title Char"/>
    <w:link w:val="1"/>
    <w:qFormat/>
    <w:uiPriority w:val="10"/>
    <w:rPr>
      <w:sz w:val="48"/>
      <w:szCs w:val="48"/>
    </w:rPr>
  </w:style>
  <w:style w:type="character" w:customStyle="1" w:styleId="277">
    <w:name w:val="标题 5 Char"/>
    <w:link w:val="86"/>
    <w:qFormat/>
    <w:uiPriority w:val="99"/>
    <w:rPr>
      <w:b/>
      <w:bCs/>
      <w:sz w:val="28"/>
      <w:szCs w:val="28"/>
    </w:rPr>
  </w:style>
  <w:style w:type="character" w:customStyle="1" w:styleId="278">
    <w:name w:val="首行缩进正文 Char"/>
    <w:link w:val="279"/>
    <w:qFormat/>
    <w:uiPriority w:val="0"/>
    <w:rPr>
      <w:rFonts w:ascii="微软雅黑" w:hAnsi="微软雅黑" w:eastAsia="微软雅黑"/>
      <w:sz w:val="24"/>
      <w:szCs w:val="24"/>
    </w:rPr>
  </w:style>
  <w:style w:type="paragraph" w:customStyle="1" w:styleId="279">
    <w:name w:val="首行缩进正文"/>
    <w:basedOn w:val="1"/>
    <w:link w:val="278"/>
    <w:qFormat/>
    <w:uiPriority w:val="0"/>
    <w:pPr>
      <w:widowControl/>
      <w:spacing w:line="400" w:lineRule="exact"/>
      <w:ind w:firstLine="420"/>
      <w:jc w:val="left"/>
    </w:pPr>
    <w:rPr>
      <w:rFonts w:ascii="微软雅黑" w:hAnsi="微软雅黑" w:eastAsia="微软雅黑"/>
      <w:sz w:val="20"/>
    </w:rPr>
  </w:style>
  <w:style w:type="character" w:customStyle="1" w:styleId="280">
    <w:name w:val="尾注文本 字符"/>
    <w:link w:val="1"/>
    <w:qFormat/>
    <w:uiPriority w:val="0"/>
    <w:rPr>
      <w:sz w:val="20"/>
    </w:rPr>
  </w:style>
  <w:style w:type="character" w:customStyle="1" w:styleId="281">
    <w:name w:val="正文文本缩进 Char2"/>
    <w:link w:val="1"/>
    <w:semiHidden/>
    <w:qFormat/>
    <w:uiPriority w:val="99"/>
    <w:rPr>
      <w:sz w:val="21"/>
      <w:szCs w:val="24"/>
    </w:rPr>
  </w:style>
  <w:style w:type="character" w:customStyle="1" w:styleId="282">
    <w:name w:val="Heading 5 Char"/>
    <w:link w:val="1"/>
    <w:qFormat/>
    <w:uiPriority w:val="9"/>
    <w:rPr>
      <w:rFonts w:ascii="Arial" w:hAnsi="Arial" w:eastAsia="Arial" w:cs="Arial"/>
      <w:b/>
      <w:bCs/>
      <w:sz w:val="24"/>
      <w:szCs w:val="24"/>
    </w:rPr>
  </w:style>
  <w:style w:type="character" w:customStyle="1" w:styleId="283">
    <w:name w:val="表蕊 Char1"/>
    <w:link w:val="284"/>
    <w:qFormat/>
    <w:uiPriority w:val="0"/>
    <w:rPr>
      <w:rFonts w:eastAsia="楷体_GB2312"/>
      <w:spacing w:val="-10"/>
    </w:rPr>
  </w:style>
  <w:style w:type="paragraph" w:customStyle="1" w:styleId="284">
    <w:name w:val="表蕊"/>
    <w:basedOn w:val="1"/>
    <w:link w:val="283"/>
    <w:qFormat/>
    <w:uiPriority w:val="0"/>
    <w:pPr>
      <w:spacing w:line="320" w:lineRule="atLeast"/>
      <w:jc w:val="left"/>
    </w:pPr>
    <w:rPr>
      <w:rFonts w:eastAsia="楷体_GB2312"/>
      <w:spacing w:val="-10"/>
      <w:sz w:val="20"/>
      <w:szCs w:val="20"/>
    </w:rPr>
  </w:style>
  <w:style w:type="character" w:customStyle="1" w:styleId="285">
    <w:name w:val="标题 6 Char"/>
    <w:link w:val="87"/>
    <w:qFormat/>
    <w:uiPriority w:val="0"/>
    <w:rPr>
      <w:rFonts w:ascii="Arial" w:hAnsi="Arial" w:eastAsia="黑体"/>
      <w:b/>
      <w:bCs/>
      <w:sz w:val="24"/>
      <w:szCs w:val="24"/>
      <w:lang w:val="zh-CN" w:eastAsia="zh-CN"/>
    </w:rPr>
  </w:style>
  <w:style w:type="character" w:customStyle="1" w:styleId="286">
    <w:name w:val="font31"/>
    <w:link w:val="1"/>
    <w:qFormat/>
    <w:uiPriority w:val="0"/>
    <w:rPr>
      <w:rFonts w:ascii="Calibri" w:hAnsi="Calibri" w:eastAsia="宋体" w:cs="Calibri"/>
      <w:color w:val="000000"/>
      <w:sz w:val="22"/>
      <w:szCs w:val="22"/>
      <w:u w:val="none"/>
    </w:rPr>
  </w:style>
  <w:style w:type="character" w:customStyle="1" w:styleId="287">
    <w:name w:val="Heading 8 Char"/>
    <w:link w:val="288"/>
    <w:qFormat/>
    <w:uiPriority w:val="9"/>
    <w:rPr>
      <w:rFonts w:ascii="Arial" w:hAnsi="Arial" w:eastAsia="Arial" w:cs="Arial"/>
      <w:i/>
      <w:iCs/>
      <w:sz w:val="22"/>
      <w:szCs w:val="22"/>
    </w:rPr>
  </w:style>
  <w:style w:type="paragraph" w:customStyle="1" w:styleId="288">
    <w:name w:val="标题 81"/>
    <w:basedOn w:val="1"/>
    <w:next w:val="1"/>
    <w:link w:val="287"/>
    <w:unhideWhenUsed/>
    <w:qFormat/>
    <w:uiPriority w:val="9"/>
    <w:pPr>
      <w:keepNext/>
      <w:keepLines/>
      <w:spacing w:before="320" w:after="200"/>
      <w:outlineLvl w:val="7"/>
    </w:pPr>
    <w:rPr>
      <w:rFonts w:ascii="Arial" w:hAnsi="Arial" w:eastAsia="Arial" w:cs="Arial"/>
      <w:i/>
      <w:iCs/>
      <w:sz w:val="22"/>
      <w:szCs w:val="22"/>
    </w:rPr>
  </w:style>
  <w:style w:type="character" w:customStyle="1" w:styleId="289">
    <w:name w:val="font111"/>
    <w:link w:val="1"/>
    <w:qFormat/>
    <w:uiPriority w:val="99"/>
    <w:rPr>
      <w:rFonts w:ascii="Verdana" w:hAnsi="Verdana" w:cs="Verdana"/>
      <w:color w:val="333333"/>
      <w:sz w:val="20"/>
      <w:szCs w:val="20"/>
      <w:u w:val="none"/>
    </w:rPr>
  </w:style>
  <w:style w:type="character" w:customStyle="1" w:styleId="290">
    <w:name w:val="HTML 地址 字符"/>
    <w:link w:val="1"/>
    <w:qFormat/>
    <w:uiPriority w:val="0"/>
    <w:rPr>
      <w:i/>
      <w:sz w:val="20"/>
    </w:rPr>
  </w:style>
  <w:style w:type="character" w:customStyle="1" w:styleId="291">
    <w:name w:val="font11"/>
    <w:link w:val="1"/>
    <w:qFormat/>
    <w:uiPriority w:val="0"/>
    <w:rPr>
      <w:rFonts w:ascii="Times New Roman" w:hAnsi="Times New Roman" w:cs="Times New Roman"/>
      <w:color w:val="000000"/>
      <w:sz w:val="24"/>
      <w:szCs w:val="24"/>
      <w:u w:val="none"/>
    </w:rPr>
  </w:style>
  <w:style w:type="character" w:customStyle="1" w:styleId="292">
    <w:name w:val="标题 7 Char"/>
    <w:link w:val="88"/>
    <w:qFormat/>
    <w:uiPriority w:val="0"/>
    <w:rPr>
      <w:b/>
      <w:bCs/>
      <w:sz w:val="24"/>
      <w:szCs w:val="24"/>
      <w:lang w:val="zh-CN" w:eastAsia="zh-CN"/>
    </w:rPr>
  </w:style>
  <w:style w:type="character" w:customStyle="1" w:styleId="293">
    <w:name w:val="正文文本 (10)_"/>
    <w:link w:val="294"/>
    <w:qFormat/>
    <w:uiPriority w:val="0"/>
    <w:rPr>
      <w:rFonts w:ascii="MingLiU" w:hAnsi="MingLiU" w:eastAsia="MingLiU"/>
      <w:spacing w:val="40"/>
      <w:sz w:val="19"/>
      <w:szCs w:val="19"/>
      <w:shd w:val="clear" w:color="auto" w:fill="FFFFFF"/>
    </w:rPr>
  </w:style>
  <w:style w:type="paragraph" w:customStyle="1" w:styleId="294">
    <w:name w:val="正文文本 (10)6"/>
    <w:basedOn w:val="1"/>
    <w:link w:val="293"/>
    <w:qFormat/>
    <w:uiPriority w:val="0"/>
    <w:pPr>
      <w:shd w:val="clear" w:color="auto" w:fill="FFFFFF"/>
      <w:spacing w:line="0" w:lineRule="atLeast"/>
      <w:jc w:val="left"/>
    </w:pPr>
    <w:rPr>
      <w:rFonts w:ascii="MingLiU" w:hAnsi="MingLiU" w:eastAsia="MingLiU"/>
      <w:spacing w:val="40"/>
      <w:sz w:val="19"/>
      <w:szCs w:val="19"/>
      <w:shd w:val="clear" w:color="auto" w:fill="FFFFFF"/>
    </w:rPr>
  </w:style>
  <w:style w:type="character" w:customStyle="1" w:styleId="295">
    <w:name w:val="批注框文本 字符"/>
    <w:link w:val="1"/>
    <w:semiHidden/>
    <w:qFormat/>
    <w:uiPriority w:val="0"/>
    <w:rPr>
      <w:sz w:val="20"/>
    </w:rPr>
  </w:style>
  <w:style w:type="character" w:customStyle="1" w:styleId="296">
    <w:name w:val="HTML 预设格式 Char2"/>
    <w:link w:val="1"/>
    <w:semiHidden/>
    <w:qFormat/>
    <w:uiPriority w:val="99"/>
    <w:rPr>
      <w:rFonts w:ascii="Courier New" w:hAnsi="Courier New" w:cs="Courier New"/>
    </w:rPr>
  </w:style>
  <w:style w:type="character" w:customStyle="1" w:styleId="297">
    <w:name w:val="正文4 Char"/>
    <w:link w:val="298"/>
    <w:qFormat/>
    <w:uiPriority w:val="0"/>
    <w:rPr>
      <w:rFonts w:eastAsia="楷体_GB2312"/>
      <w:spacing w:val="8"/>
      <w:sz w:val="28"/>
    </w:rPr>
  </w:style>
  <w:style w:type="paragraph" w:customStyle="1" w:styleId="298">
    <w:name w:val="正文4"/>
    <w:basedOn w:val="1"/>
    <w:link w:val="297"/>
    <w:qFormat/>
    <w:uiPriority w:val="0"/>
    <w:pPr>
      <w:spacing w:line="440" w:lineRule="exact"/>
      <w:ind w:firstLine="601"/>
    </w:pPr>
    <w:rPr>
      <w:rFonts w:eastAsia="楷体_GB2312"/>
      <w:spacing w:val="8"/>
      <w:sz w:val="28"/>
      <w:szCs w:val="20"/>
    </w:rPr>
  </w:style>
  <w:style w:type="character" w:customStyle="1" w:styleId="299">
    <w:name w:val="Char Char33"/>
    <w:link w:val="1"/>
    <w:qFormat/>
    <w:uiPriority w:val="0"/>
    <w:rPr>
      <w:rFonts w:eastAsia="方正仿宋_GBK"/>
      <w:b/>
      <w:sz w:val="44"/>
      <w:lang w:val="en-US" w:eastAsia="zh-CN" w:bidi="ar-SA"/>
    </w:rPr>
  </w:style>
  <w:style w:type="character" w:customStyle="1" w:styleId="300">
    <w:name w:val="标题 8 Char"/>
    <w:link w:val="89"/>
    <w:qFormat/>
    <w:uiPriority w:val="0"/>
    <w:rPr>
      <w:rFonts w:ascii="Arial" w:hAnsi="Arial" w:eastAsia="黑体"/>
      <w:sz w:val="24"/>
      <w:szCs w:val="24"/>
      <w:lang w:val="zh-CN" w:eastAsia="zh-CN"/>
    </w:rPr>
  </w:style>
  <w:style w:type="character" w:customStyle="1" w:styleId="301">
    <w:name w:val="标题 8 字符"/>
    <w:link w:val="1"/>
    <w:qFormat/>
    <w:uiPriority w:val="0"/>
    <w:rPr>
      <w:sz w:val="20"/>
    </w:rPr>
  </w:style>
  <w:style w:type="character" w:customStyle="1" w:styleId="302">
    <w:name w:val="正文文本 Char"/>
    <w:link w:val="1"/>
    <w:qFormat/>
    <w:uiPriority w:val="0"/>
    <w:rPr>
      <w:rFonts w:ascii="楷体_GB2312" w:hAnsi="Arial" w:eastAsia="楷体_GB2312"/>
      <w:sz w:val="28"/>
      <w:szCs w:val="28"/>
      <w:lang w:bidi="ar-SA"/>
    </w:rPr>
  </w:style>
  <w:style w:type="character" w:customStyle="1" w:styleId="303">
    <w:name w:val="批注主题 字符"/>
    <w:link w:val="1"/>
    <w:qFormat/>
    <w:uiPriority w:val="0"/>
    <w:rPr>
      <w:b/>
      <w:sz w:val="20"/>
    </w:rPr>
  </w:style>
  <w:style w:type="character" w:customStyle="1" w:styleId="304">
    <w:name w:val="HTML 预设格式 Char1"/>
    <w:link w:val="1"/>
    <w:semiHidden/>
    <w:qFormat/>
    <w:uiPriority w:val="99"/>
    <w:rPr>
      <w:rFonts w:ascii="Courier New" w:hAnsi="Courier New" w:eastAsia="仿宋_GB2312" w:cs="Courier New"/>
    </w:rPr>
  </w:style>
  <w:style w:type="character" w:customStyle="1" w:styleId="305">
    <w:name w:val="标题 9 Char"/>
    <w:link w:val="90"/>
    <w:qFormat/>
    <w:uiPriority w:val="0"/>
    <w:rPr>
      <w:rFonts w:ascii="Arial" w:hAnsi="Arial" w:eastAsia="黑体"/>
      <w:sz w:val="21"/>
      <w:szCs w:val="21"/>
      <w:lang w:val="zh-CN" w:eastAsia="zh-CN"/>
    </w:rPr>
  </w:style>
  <w:style w:type="character" w:customStyle="1" w:styleId="306">
    <w:name w:val="标题 B Char"/>
    <w:link w:val="307"/>
    <w:qFormat/>
    <w:uiPriority w:val="0"/>
    <w:rPr>
      <w:rFonts w:ascii="Arial Rounded MT Bold" w:hAnsi="Arial Rounded MT Bold" w:eastAsia="黑体"/>
      <w:spacing w:val="8"/>
      <w:sz w:val="32"/>
    </w:rPr>
  </w:style>
  <w:style w:type="paragraph" w:customStyle="1" w:styleId="307">
    <w:name w:val="标题 B"/>
    <w:basedOn w:val="77"/>
    <w:link w:val="306"/>
    <w:qFormat/>
    <w:uiPriority w:val="0"/>
    <w:pPr>
      <w:keepLines w:val="0"/>
      <w:spacing w:before="840" w:after="240" w:line="400" w:lineRule="exact"/>
      <w:ind w:firstLine="0"/>
      <w:outlineLvl w:val="9"/>
    </w:pPr>
    <w:rPr>
      <w:rFonts w:ascii="Arial Rounded MT Bold" w:hAnsi="Arial Rounded MT Bold" w:eastAsia="黑体"/>
      <w:b w:val="0"/>
      <w:bCs w:val="0"/>
      <w:spacing w:val="8"/>
      <w:sz w:val="20"/>
      <w:szCs w:val="20"/>
    </w:rPr>
  </w:style>
  <w:style w:type="character" w:customStyle="1" w:styleId="308">
    <w:name w:val="页眉 字符"/>
    <w:link w:val="1"/>
    <w:qFormat/>
    <w:uiPriority w:val="0"/>
    <w:rPr>
      <w:sz w:val="20"/>
    </w:rPr>
  </w:style>
  <w:style w:type="character" w:customStyle="1" w:styleId="309">
    <w:name w:val="正文文本 2 Char1"/>
    <w:link w:val="1"/>
    <w:semiHidden/>
    <w:qFormat/>
    <w:uiPriority w:val="99"/>
    <w:rPr>
      <w:sz w:val="21"/>
      <w:szCs w:val="24"/>
    </w:rPr>
  </w:style>
  <w:style w:type="character" w:customStyle="1" w:styleId="310">
    <w:name w:val="标题 6 字符"/>
    <w:link w:val="1"/>
    <w:qFormat/>
    <w:uiPriority w:val="0"/>
    <w:rPr>
      <w:b/>
      <w:sz w:val="20"/>
    </w:rPr>
  </w:style>
  <w:style w:type="character" w:customStyle="1" w:styleId="311">
    <w:name w:val="标题 7 字符"/>
    <w:link w:val="1"/>
    <w:qFormat/>
    <w:uiPriority w:val="0"/>
    <w:rPr>
      <w:b/>
      <w:sz w:val="20"/>
    </w:rPr>
  </w:style>
  <w:style w:type="character" w:customStyle="1" w:styleId="312">
    <w:name w:val="列表 3 Char"/>
    <w:link w:val="313"/>
    <w:qFormat/>
    <w:uiPriority w:val="0"/>
    <w:rPr>
      <w:bCs/>
      <w:sz w:val="24"/>
      <w:szCs w:val="32"/>
    </w:rPr>
  </w:style>
  <w:style w:type="paragraph" w:customStyle="1" w:styleId="313">
    <w:name w:val="列表 31"/>
    <w:basedOn w:val="1"/>
    <w:link w:val="312"/>
    <w:qFormat/>
    <w:uiPriority w:val="0"/>
    <w:pPr>
      <w:ind w:left="100" w:hanging="200"/>
    </w:pPr>
    <w:rPr>
      <w:bCs/>
      <w:sz w:val="24"/>
      <w:szCs w:val="32"/>
    </w:rPr>
  </w:style>
  <w:style w:type="character" w:customStyle="1" w:styleId="314">
    <w:name w:val="Caption Char"/>
    <w:link w:val="1"/>
    <w:qFormat/>
    <w:uiPriority w:val="99"/>
  </w:style>
  <w:style w:type="character" w:customStyle="1" w:styleId="315">
    <w:name w:val="美标题2 Char Char"/>
    <w:link w:val="316"/>
    <w:qFormat/>
    <w:uiPriority w:val="0"/>
    <w:rPr>
      <w:rFonts w:ascii="宋体" w:hAnsi="宋体"/>
      <w:b/>
      <w:sz w:val="28"/>
    </w:rPr>
  </w:style>
  <w:style w:type="paragraph" w:customStyle="1" w:styleId="316">
    <w:name w:val="美标题2"/>
    <w:basedOn w:val="1"/>
    <w:link w:val="315"/>
    <w:qFormat/>
    <w:uiPriority w:val="0"/>
    <w:rPr>
      <w:rFonts w:ascii="宋体" w:hAnsi="宋体"/>
      <w:b/>
      <w:sz w:val="28"/>
      <w:szCs w:val="20"/>
    </w:rPr>
  </w:style>
  <w:style w:type="character" w:customStyle="1" w:styleId="317">
    <w:name w:val="font01"/>
    <w:link w:val="1"/>
    <w:qFormat/>
    <w:uiPriority w:val="99"/>
    <w:rPr>
      <w:rFonts w:ascii="仿宋_GB2312" w:eastAsia="仿宋_GB2312" w:cs="仿宋_GB2312"/>
      <w:color w:val="000000"/>
      <w:sz w:val="24"/>
      <w:szCs w:val="24"/>
      <w:u w:val="none"/>
    </w:rPr>
  </w:style>
  <w:style w:type="character" w:customStyle="1" w:styleId="318">
    <w:name w:val="美标题一 Char Char"/>
    <w:link w:val="319"/>
    <w:qFormat/>
    <w:uiPriority w:val="0"/>
    <w:rPr>
      <w:rFonts w:ascii="Calibri" w:hAnsi="Calibri"/>
      <w:b/>
      <w:sz w:val="36"/>
      <w:szCs w:val="24"/>
    </w:rPr>
  </w:style>
  <w:style w:type="paragraph" w:customStyle="1" w:styleId="319">
    <w:name w:val="美标题一"/>
    <w:basedOn w:val="1"/>
    <w:link w:val="318"/>
    <w:qFormat/>
    <w:uiPriority w:val="0"/>
    <w:pPr>
      <w:tabs>
        <w:tab w:val="left" w:pos="480"/>
        <w:tab w:val="left" w:pos="907"/>
        <w:tab w:val="left" w:pos="1035"/>
        <w:tab w:val="left" w:pos="1995"/>
      </w:tabs>
      <w:ind w:left="480" w:hanging="480"/>
      <w:jc w:val="center"/>
    </w:pPr>
    <w:rPr>
      <w:rFonts w:ascii="Calibri" w:hAnsi="Calibri"/>
      <w:b/>
      <w:sz w:val="36"/>
    </w:rPr>
  </w:style>
  <w:style w:type="character" w:customStyle="1" w:styleId="320">
    <w:name w:val="正文缩进 Char"/>
    <w:link w:val="321"/>
    <w:qFormat/>
    <w:uiPriority w:val="99"/>
    <w:rPr>
      <w:sz w:val="21"/>
      <w:szCs w:val="24"/>
    </w:rPr>
  </w:style>
  <w:style w:type="paragraph" w:customStyle="1" w:styleId="321">
    <w:name w:val="正文缩进1"/>
    <w:basedOn w:val="1"/>
    <w:link w:val="320"/>
    <w:qFormat/>
    <w:uiPriority w:val="99"/>
    <w:pPr>
      <w:ind w:firstLine="420"/>
    </w:pPr>
  </w:style>
  <w:style w:type="character" w:customStyle="1" w:styleId="322">
    <w:name w:val="标题 9 字符"/>
    <w:link w:val="1"/>
    <w:qFormat/>
    <w:uiPriority w:val="0"/>
    <w:rPr>
      <w:sz w:val="20"/>
    </w:rPr>
  </w:style>
  <w:style w:type="character" w:customStyle="1" w:styleId="323">
    <w:name w:val="正文首行缩进 2 Char1"/>
    <w:link w:val="1"/>
    <w:semiHidden/>
    <w:qFormat/>
    <w:uiPriority w:val="99"/>
    <w:rPr>
      <w:sz w:val="21"/>
      <w:szCs w:val="24"/>
    </w:rPr>
  </w:style>
  <w:style w:type="character" w:customStyle="1" w:styleId="324">
    <w:name w:val="正文文本 3 Char1"/>
    <w:link w:val="1"/>
    <w:semiHidden/>
    <w:qFormat/>
    <w:uiPriority w:val="99"/>
    <w:rPr>
      <w:sz w:val="16"/>
      <w:szCs w:val="16"/>
    </w:rPr>
  </w:style>
  <w:style w:type="character" w:customStyle="1" w:styleId="325">
    <w:name w:val="标题 4 字符"/>
    <w:link w:val="1"/>
    <w:qFormat/>
    <w:uiPriority w:val="0"/>
    <w:rPr>
      <w:b/>
      <w:sz w:val="20"/>
    </w:rPr>
  </w:style>
  <w:style w:type="character" w:customStyle="1" w:styleId="326">
    <w:name w:val="Char Char30"/>
    <w:link w:val="1"/>
    <w:qFormat/>
    <w:uiPriority w:val="0"/>
    <w:rPr>
      <w:rFonts w:eastAsia="宋体"/>
      <w:b/>
      <w:bCs/>
      <w:sz w:val="32"/>
      <w:szCs w:val="32"/>
      <w:lang w:val="en-US" w:eastAsia="zh-CN" w:bidi="ar-SA"/>
    </w:rPr>
  </w:style>
  <w:style w:type="character" w:customStyle="1" w:styleId="327">
    <w:name w:val="文档结构图 Char"/>
    <w:link w:val="328"/>
    <w:qFormat/>
    <w:uiPriority w:val="99"/>
    <w:rPr>
      <w:rFonts w:ascii="宋体"/>
      <w:sz w:val="18"/>
      <w:szCs w:val="18"/>
    </w:rPr>
  </w:style>
  <w:style w:type="paragraph" w:customStyle="1" w:styleId="328">
    <w:name w:val="文档结构图1"/>
    <w:basedOn w:val="1"/>
    <w:link w:val="327"/>
    <w:unhideWhenUsed/>
    <w:qFormat/>
    <w:uiPriority w:val="99"/>
    <w:rPr>
      <w:rFonts w:ascii="宋体"/>
      <w:sz w:val="18"/>
      <w:szCs w:val="18"/>
    </w:rPr>
  </w:style>
  <w:style w:type="character" w:customStyle="1" w:styleId="329">
    <w:name w:val="表格标题 Char"/>
    <w:link w:val="330"/>
    <w:qFormat/>
    <w:uiPriority w:val="0"/>
    <w:rPr>
      <w:rFonts w:ascii="Arial Black" w:hAnsi="Arial Black" w:eastAsia="黑体"/>
      <w:sz w:val="24"/>
      <w:szCs w:val="24"/>
    </w:rPr>
  </w:style>
  <w:style w:type="paragraph" w:customStyle="1" w:styleId="330">
    <w:name w:val="表格标题"/>
    <w:basedOn w:val="1"/>
    <w:link w:val="329"/>
    <w:qFormat/>
    <w:uiPriority w:val="0"/>
    <w:pPr>
      <w:spacing w:after="156" w:line="400" w:lineRule="exact"/>
      <w:jc w:val="center"/>
    </w:pPr>
    <w:rPr>
      <w:rFonts w:ascii="Arial Black" w:hAnsi="Arial Black" w:eastAsia="黑体"/>
      <w:sz w:val="24"/>
    </w:rPr>
  </w:style>
  <w:style w:type="character" w:customStyle="1" w:styleId="331">
    <w:name w:val="列出段落 Char"/>
    <w:link w:val="246"/>
    <w:qFormat/>
    <w:uiPriority w:val="0"/>
    <w:rPr>
      <w:sz w:val="21"/>
      <w:szCs w:val="24"/>
    </w:rPr>
  </w:style>
  <w:style w:type="character" w:customStyle="1" w:styleId="332">
    <w:name w:val="font141"/>
    <w:link w:val="1"/>
    <w:qFormat/>
    <w:uiPriority w:val="99"/>
    <w:rPr>
      <w:rFonts w:ascii="Tahoma" w:hAnsi="Tahoma" w:cs="Tahoma"/>
      <w:color w:val="000000"/>
      <w:sz w:val="20"/>
      <w:szCs w:val="20"/>
      <w:u w:val="none"/>
    </w:rPr>
  </w:style>
  <w:style w:type="character" w:customStyle="1" w:styleId="333">
    <w:name w:val="bsharetext"/>
    <w:link w:val="1"/>
    <w:qFormat/>
    <w:uiPriority w:val="0"/>
  </w:style>
  <w:style w:type="character" w:customStyle="1" w:styleId="334">
    <w:name w:val="彩色列表 - 强调文字颜色 1 Char1"/>
    <w:link w:val="335"/>
    <w:qFormat/>
    <w:uiPriority w:val="0"/>
    <w:rPr>
      <w:rFonts w:ascii="Calibri" w:hAnsi="Calibri"/>
      <w:sz w:val="24"/>
      <w:szCs w:val="24"/>
      <w:lang w:eastAsia="en-US" w:bidi="en-US"/>
    </w:rPr>
  </w:style>
  <w:style w:type="paragraph" w:customStyle="1" w:styleId="335">
    <w:name w:val="彩色列表 - 强调文字颜色 11"/>
    <w:basedOn w:val="1"/>
    <w:link w:val="334"/>
    <w:qFormat/>
    <w:uiPriority w:val="0"/>
    <w:pPr>
      <w:widowControl/>
      <w:ind w:left="720"/>
      <w:contextualSpacing/>
      <w:jc w:val="left"/>
    </w:pPr>
    <w:rPr>
      <w:rFonts w:ascii="Calibri" w:hAnsi="Calibri"/>
      <w:sz w:val="24"/>
      <w:lang w:eastAsia="en-US" w:bidi="en-US"/>
    </w:rPr>
  </w:style>
  <w:style w:type="character" w:customStyle="1" w:styleId="336">
    <w:name w:val="批注文字 Char"/>
    <w:link w:val="142"/>
    <w:qFormat/>
    <w:uiPriority w:val="99"/>
    <w:rPr>
      <w:sz w:val="21"/>
      <w:szCs w:val="24"/>
    </w:rPr>
  </w:style>
  <w:style w:type="paragraph" w:customStyle="1" w:styleId="337">
    <w:name w:val="样式 Numbered list 2.1 +"/>
    <w:basedOn w:val="1"/>
    <w:qFormat/>
    <w:uiPriority w:val="0"/>
    <w:pPr>
      <w:keepNext/>
      <w:widowControl/>
      <w:tabs>
        <w:tab w:val="left" w:pos="425"/>
        <w:tab w:val="left" w:pos="720"/>
      </w:tabs>
      <w:spacing w:before="240" w:after="60"/>
      <w:ind w:left="709" w:hanging="709"/>
      <w:jc w:val="left"/>
      <w:outlineLvl w:val="0"/>
    </w:pPr>
    <w:rPr>
      <w:rFonts w:ascii="Futura Bk" w:hAnsi="Futura Bk"/>
      <w:b/>
      <w:bCs/>
      <w:sz w:val="28"/>
      <w:szCs w:val="20"/>
      <w:lang w:eastAsia="en-US"/>
    </w:rPr>
  </w:style>
  <w:style w:type="paragraph" w:customStyle="1" w:styleId="338">
    <w:name w:val="图表目录1"/>
    <w:basedOn w:val="1"/>
    <w:next w:val="1"/>
    <w:unhideWhenUsed/>
    <w:qFormat/>
    <w:uiPriority w:val="99"/>
  </w:style>
  <w:style w:type="paragraph" w:customStyle="1" w:styleId="339">
    <w:name w:val="目录 31"/>
    <w:basedOn w:val="1"/>
    <w:next w:val="1"/>
    <w:unhideWhenUsed/>
    <w:qFormat/>
    <w:uiPriority w:val="39"/>
    <w:pPr>
      <w:spacing w:after="57"/>
      <w:ind w:left="567"/>
    </w:pPr>
  </w:style>
  <w:style w:type="paragraph" w:customStyle="1" w:styleId="340">
    <w:name w:val="目录 41"/>
    <w:basedOn w:val="1"/>
    <w:next w:val="1"/>
    <w:unhideWhenUsed/>
    <w:qFormat/>
    <w:uiPriority w:val="39"/>
    <w:pPr>
      <w:spacing w:after="57"/>
      <w:ind w:left="850"/>
    </w:pPr>
  </w:style>
  <w:style w:type="paragraph" w:customStyle="1" w:styleId="341">
    <w:name w:val="题注11"/>
    <w:basedOn w:val="1"/>
    <w:next w:val="1"/>
    <w:qFormat/>
    <w:uiPriority w:val="35"/>
    <w:pPr>
      <w:spacing w:line="276" w:lineRule="auto"/>
    </w:pPr>
    <w:rPr>
      <w:b/>
      <w:bCs/>
      <w:color w:val="4472C4"/>
      <w:sz w:val="18"/>
      <w:szCs w:val="18"/>
    </w:rPr>
  </w:style>
  <w:style w:type="paragraph" w:customStyle="1" w:styleId="342">
    <w:name w:val="目录 91"/>
    <w:basedOn w:val="1"/>
    <w:next w:val="1"/>
    <w:unhideWhenUsed/>
    <w:qFormat/>
    <w:uiPriority w:val="39"/>
    <w:pPr>
      <w:spacing w:after="57"/>
      <w:ind w:left="2268"/>
    </w:pPr>
  </w:style>
  <w:style w:type="paragraph" w:customStyle="1" w:styleId="343">
    <w:name w:val="目录 21"/>
    <w:basedOn w:val="20"/>
    <w:next w:val="344"/>
    <w:unhideWhenUsed/>
    <w:qFormat/>
    <w:uiPriority w:val="39"/>
    <w:pPr>
      <w:spacing w:after="57"/>
      <w:ind w:left="283"/>
    </w:pPr>
  </w:style>
  <w:style w:type="paragraph" w:customStyle="1" w:styleId="344">
    <w:name w:val="正文122"/>
    <w:next w:val="343"/>
    <w:qFormat/>
    <w:uiPriority w:val="0"/>
    <w:rPr>
      <w:rFonts w:hint="default" w:ascii="Times New Roman" w:hAnsi="Times New Roman" w:eastAsia="宋体" w:cs="Times New Roman"/>
      <w:lang w:val="en-US" w:eastAsia="zh-CN" w:bidi="ar-SA"/>
    </w:rPr>
  </w:style>
  <w:style w:type="paragraph" w:customStyle="1" w:styleId="345">
    <w:name w:val="目录 71"/>
    <w:basedOn w:val="1"/>
    <w:next w:val="1"/>
    <w:unhideWhenUsed/>
    <w:qFormat/>
    <w:uiPriority w:val="39"/>
    <w:pPr>
      <w:spacing w:after="57"/>
      <w:ind w:left="1701"/>
    </w:pPr>
  </w:style>
  <w:style w:type="paragraph" w:customStyle="1" w:styleId="346">
    <w:name w:val="列表项目符号1"/>
    <w:basedOn w:val="1"/>
    <w:unhideWhenUsed/>
    <w:qFormat/>
    <w:uiPriority w:val="99"/>
    <w:pPr>
      <w:tabs>
        <w:tab w:val="left" w:pos="360"/>
        <w:tab w:val="left" w:pos="720"/>
      </w:tabs>
      <w:ind w:left="720" w:firstLine="200"/>
    </w:pPr>
    <w:rPr>
      <w:sz w:val="20"/>
      <w:szCs w:val="20"/>
    </w:rPr>
  </w:style>
  <w:style w:type="paragraph" w:customStyle="1" w:styleId="347">
    <w:name w:val="目录 81"/>
    <w:basedOn w:val="1"/>
    <w:next w:val="1"/>
    <w:unhideWhenUsed/>
    <w:qFormat/>
    <w:uiPriority w:val="39"/>
    <w:pPr>
      <w:spacing w:after="57"/>
      <w:ind w:left="1984"/>
    </w:pPr>
  </w:style>
  <w:style w:type="paragraph" w:customStyle="1" w:styleId="348">
    <w:name w:val="文本块21"/>
    <w:basedOn w:val="1"/>
    <w:qFormat/>
    <w:uiPriority w:val="6"/>
    <w:pPr>
      <w:ind w:left="420" w:right="33"/>
      <w:jc w:val="left"/>
    </w:pPr>
    <w:rPr>
      <w:sz w:val="24"/>
      <w:szCs w:val="20"/>
    </w:rPr>
  </w:style>
  <w:style w:type="paragraph" w:customStyle="1" w:styleId="349">
    <w:name w:val="目录 51"/>
    <w:basedOn w:val="1"/>
    <w:next w:val="1"/>
    <w:unhideWhenUsed/>
    <w:qFormat/>
    <w:uiPriority w:val="39"/>
    <w:pPr>
      <w:spacing w:after="57"/>
      <w:ind w:left="1134"/>
    </w:pPr>
  </w:style>
  <w:style w:type="paragraph" w:customStyle="1" w:styleId="350">
    <w:name w:val="目录 61"/>
    <w:basedOn w:val="1"/>
    <w:next w:val="1"/>
    <w:unhideWhenUsed/>
    <w:qFormat/>
    <w:uiPriority w:val="39"/>
    <w:pPr>
      <w:spacing w:after="57"/>
      <w:ind w:left="1417"/>
    </w:pPr>
  </w:style>
  <w:style w:type="paragraph" w:customStyle="1" w:styleId="351">
    <w:name w:val="Char11"/>
    <w:basedOn w:val="1"/>
    <w:qFormat/>
    <w:uiPriority w:val="0"/>
    <w:pPr>
      <w:spacing w:line="360" w:lineRule="auto"/>
    </w:pPr>
    <w:rPr>
      <w:sz w:val="24"/>
      <w:szCs w:val="20"/>
    </w:rPr>
  </w:style>
  <w:style w:type="paragraph" w:customStyle="1" w:styleId="352">
    <w:name w:val="jx标题1"/>
    <w:basedOn w:val="83"/>
    <w:qFormat/>
    <w:uiPriority w:val="0"/>
    <w:pPr>
      <w:tabs>
        <w:tab w:val="left" w:pos="425"/>
      </w:tabs>
      <w:spacing w:line="360" w:lineRule="auto"/>
    </w:pPr>
    <w:rPr>
      <w:rFonts w:ascii="Calibri" w:hAnsi="Calibri" w:eastAsia="黑体"/>
      <w:bCs/>
      <w:sz w:val="44"/>
      <w:szCs w:val="44"/>
    </w:rPr>
  </w:style>
  <w:style w:type="paragraph" w:customStyle="1" w:styleId="353">
    <w:name w:val="Body text|3"/>
    <w:basedOn w:val="1"/>
    <w:qFormat/>
    <w:uiPriority w:val="0"/>
    <w:pPr>
      <w:ind w:left="260" w:hanging="260"/>
      <w:jc w:val="left"/>
    </w:pPr>
    <w:rPr>
      <w:color w:val="000000"/>
      <w:sz w:val="26"/>
      <w:szCs w:val="26"/>
    </w:rPr>
  </w:style>
  <w:style w:type="paragraph" w:customStyle="1" w:styleId="354">
    <w:name w:val="Char Char1 Char Char Char Char Char Char Char Char Char Char Char Char Char Char Char"/>
    <w:basedOn w:val="1"/>
    <w:qFormat/>
    <w:uiPriority w:val="0"/>
    <w:pPr>
      <w:widowControl/>
      <w:tabs>
        <w:tab w:val="left" w:pos="4200"/>
        <w:tab w:val="left" w:pos="4260"/>
      </w:tabs>
      <w:spacing w:after="160" w:line="240" w:lineRule="exact"/>
      <w:ind w:left="4260"/>
      <w:jc w:val="left"/>
    </w:pPr>
    <w:rPr>
      <w:rFonts w:ascii="Verdana" w:hAnsi="Verdana"/>
      <w:sz w:val="20"/>
      <w:szCs w:val="20"/>
      <w:lang w:eastAsia="en-US"/>
    </w:rPr>
  </w:style>
  <w:style w:type="paragraph" w:customStyle="1" w:styleId="355">
    <w:name w:val="列出段落1"/>
    <w:basedOn w:val="1"/>
    <w:qFormat/>
    <w:uiPriority w:val="0"/>
    <w:pPr>
      <w:ind w:left="480"/>
      <w:jc w:val="left"/>
    </w:pPr>
    <w:rPr>
      <w:rFonts w:ascii="Calibri" w:hAnsi="Calibri" w:eastAsia="PMingLiU"/>
      <w:sz w:val="24"/>
      <w:szCs w:val="20"/>
      <w:lang w:val="zh-CN" w:eastAsia="zh-TW"/>
    </w:rPr>
  </w:style>
  <w:style w:type="paragraph" w:customStyle="1" w:styleId="356">
    <w:name w:val="正文 A"/>
    <w:qFormat/>
    <w:uiPriority w:val="0"/>
    <w:pPr>
      <w:widowControl w:val="0"/>
      <w:jc w:val="both"/>
    </w:pPr>
    <w:rPr>
      <w:rFonts w:hint="default" w:ascii="Times New Roman" w:hAnsi="Times New Roman" w:eastAsia="Arial Unicode MS" w:cs="Arial Unicode MS"/>
      <w:color w:val="000000"/>
      <w:sz w:val="32"/>
      <w:szCs w:val="32"/>
      <w:lang w:val="en-US" w:eastAsia="zh-CN" w:bidi="ar-SA"/>
    </w:rPr>
  </w:style>
  <w:style w:type="paragraph" w:customStyle="1" w:styleId="357">
    <w:name w:val="表格3"/>
    <w:basedOn w:val="1"/>
    <w:qFormat/>
    <w:uiPriority w:val="0"/>
    <w:pPr>
      <w:jc w:val="center"/>
    </w:pPr>
  </w:style>
  <w:style w:type="paragraph" w:customStyle="1" w:styleId="358">
    <w:name w:val="列出段落3"/>
    <w:basedOn w:val="359"/>
    <w:qFormat/>
    <w:uiPriority w:val="34"/>
    <w:pPr>
      <w:ind w:firstLine="420"/>
    </w:pPr>
    <w:rPr>
      <w:rFonts w:ascii="Calibri" w:hAnsi="Calibri"/>
      <w:sz w:val="22"/>
      <w:szCs w:val="22"/>
    </w:rPr>
  </w:style>
  <w:style w:type="paragraph" w:customStyle="1" w:styleId="359">
    <w:name w:val="正文2"/>
    <w:next w:val="36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360">
    <w:name w:val="Default_0"/>
    <w:qFormat/>
    <w:uiPriority w:val="0"/>
    <w:pPr>
      <w:widowControl w:val="0"/>
    </w:pPr>
    <w:rPr>
      <w:rFonts w:hint="default" w:ascii="宋体" w:hAnsi="Times New Roman" w:eastAsia="宋体" w:cs="宋体"/>
      <w:color w:val="000000"/>
      <w:sz w:val="24"/>
      <w:szCs w:val="24"/>
      <w:lang w:val="en-US" w:eastAsia="zh-CN" w:bidi="ar-SA"/>
    </w:rPr>
  </w:style>
  <w:style w:type="paragraph" w:customStyle="1" w:styleId="361">
    <w:name w:val="修订2"/>
    <w:semiHidden/>
    <w:qFormat/>
    <w:uiPriority w:val="99"/>
    <w:rPr>
      <w:rFonts w:hint="default" w:ascii="Times New Roman" w:hAnsi="Times New Roman" w:eastAsia="宋体" w:cs="Times New Roman"/>
      <w:sz w:val="21"/>
      <w:szCs w:val="24"/>
      <w:lang w:val="en-US" w:eastAsia="zh-CN" w:bidi="ar-SA"/>
    </w:rPr>
  </w:style>
  <w:style w:type="paragraph" w:customStyle="1" w:styleId="362">
    <w:name w:val="正文_0_0"/>
    <w:unhideWhenUsed/>
    <w:qFormat/>
    <w:uiPriority w:val="99"/>
    <w:rPr>
      <w:rFonts w:hint="default" w:ascii="Calibri" w:hAnsi="Calibri" w:eastAsia="宋体" w:cs="Times New Roman"/>
      <w:sz w:val="21"/>
      <w:lang w:val="en-US" w:eastAsia="zh-CN" w:bidi="ar-SA"/>
    </w:rPr>
  </w:style>
  <w:style w:type="paragraph" w:customStyle="1" w:styleId="363">
    <w:name w:val="正文_0"/>
    <w:unhideWhenUsed/>
    <w:qFormat/>
    <w:uiPriority w:val="0"/>
    <w:rPr>
      <w:rFonts w:hint="eastAsia" w:ascii="Times New Roman" w:hAnsi="Times New Roman" w:eastAsia="宋体" w:cs="Times New Roman"/>
      <w:sz w:val="21"/>
      <w:lang w:val="en-US" w:eastAsia="zh-CN" w:bidi="ar-SA"/>
    </w:rPr>
  </w:style>
  <w:style w:type="paragraph" w:customStyle="1" w:styleId="364">
    <w:name w:val="TOC Heading"/>
    <w:unhideWhenUsed/>
    <w:qFormat/>
    <w:uiPriority w:val="39"/>
    <w:rPr>
      <w:rFonts w:hint="default" w:ascii="Times New Roman" w:hAnsi="Times New Roman" w:eastAsia="宋体" w:cs="Times New Roman"/>
      <w:lang w:val="en-US" w:eastAsia="zh-CN" w:bidi="ar-SA"/>
    </w:rPr>
  </w:style>
  <w:style w:type="paragraph" w:customStyle="1" w:styleId="365">
    <w:name w:val="xc正文"/>
    <w:basedOn w:val="1"/>
    <w:qFormat/>
    <w:uiPriority w:val="0"/>
    <w:pPr>
      <w:spacing w:line="360" w:lineRule="auto"/>
      <w:ind w:firstLine="200"/>
    </w:pPr>
    <w:rPr>
      <w:rFonts w:ascii="Calibri" w:hAnsi="Calibri" w:eastAsia="仿宋_GB2312"/>
      <w:sz w:val="24"/>
      <w:lang w:val="zh-CN"/>
    </w:rPr>
  </w:style>
  <w:style w:type="paragraph" w:customStyle="1" w:styleId="366">
    <w:name w:val="Body text|1"/>
    <w:basedOn w:val="1"/>
    <w:qFormat/>
    <w:uiPriority w:val="0"/>
    <w:pPr>
      <w:spacing w:line="417" w:lineRule="auto"/>
      <w:ind w:firstLine="400"/>
      <w:jc w:val="left"/>
    </w:pPr>
    <w:rPr>
      <w:rFonts w:ascii="宋体" w:hAnsi="宋体" w:cs="宋体"/>
      <w:color w:val="000000"/>
      <w:sz w:val="30"/>
      <w:szCs w:val="30"/>
    </w:rPr>
  </w:style>
  <w:style w:type="paragraph" w:customStyle="1" w:styleId="367">
    <w:name w:val="HPC正文"/>
    <w:basedOn w:val="1"/>
    <w:qFormat/>
    <w:uiPriority w:val="0"/>
    <w:pPr>
      <w:spacing w:line="360" w:lineRule="auto"/>
      <w:ind w:firstLine="424"/>
    </w:pPr>
    <w:rPr>
      <w:sz w:val="24"/>
    </w:rPr>
  </w:style>
  <w:style w:type="paragraph" w:customStyle="1" w:styleId="368">
    <w:name w:val="示例"/>
    <w:next w:val="29"/>
    <w:qFormat/>
    <w:uiPriority w:val="0"/>
    <w:pPr>
      <w:tabs>
        <w:tab w:val="left" w:pos="720"/>
        <w:tab w:val="left" w:pos="816"/>
      </w:tabs>
      <w:ind w:left="720" w:firstLine="419"/>
      <w:jc w:val="both"/>
    </w:pPr>
    <w:rPr>
      <w:rFonts w:hint="default" w:ascii="宋体" w:hAnsi="Times New Roman" w:eastAsia="宋体" w:cs="Times New Roman"/>
      <w:sz w:val="18"/>
      <w:lang w:val="en-US" w:eastAsia="zh-CN" w:bidi="ar-SA"/>
    </w:rPr>
  </w:style>
  <w:style w:type="paragraph" w:customStyle="1" w:styleId="369">
    <w:name w:val="xl1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12"/>
      <w:szCs w:val="12"/>
    </w:rPr>
  </w:style>
  <w:style w:type="paragraph" w:customStyle="1" w:styleId="370">
    <w:name w:val="Char"/>
    <w:basedOn w:val="1"/>
    <w:qFormat/>
    <w:uiPriority w:val="0"/>
    <w:pPr>
      <w:tabs>
        <w:tab w:val="left" w:pos="360"/>
      </w:tabs>
    </w:pPr>
    <w:rPr>
      <w:sz w:val="24"/>
    </w:rPr>
  </w:style>
  <w:style w:type="paragraph" w:customStyle="1" w:styleId="371">
    <w:name w:val="正文缩进编号"/>
    <w:basedOn w:val="1"/>
    <w:qFormat/>
    <w:uiPriority w:val="0"/>
    <w:pPr>
      <w:spacing w:line="360" w:lineRule="auto"/>
      <w:ind w:left="840"/>
    </w:pPr>
    <w:rPr>
      <w:rFonts w:ascii="Calibri" w:hAnsi="Calibri"/>
      <w:sz w:val="24"/>
      <w:szCs w:val="21"/>
    </w:rPr>
  </w:style>
  <w:style w:type="paragraph" w:customStyle="1" w:styleId="372">
    <w:name w:val="一级项目符号"/>
    <w:basedOn w:val="1"/>
    <w:qFormat/>
    <w:uiPriority w:val="0"/>
    <w:pPr>
      <w:widowControl/>
      <w:tabs>
        <w:tab w:val="left" w:pos="425"/>
        <w:tab w:val="left" w:pos="840"/>
      </w:tabs>
      <w:spacing w:line="360" w:lineRule="auto"/>
      <w:ind w:left="425" w:hanging="425"/>
    </w:pPr>
    <w:rPr>
      <w:rFonts w:ascii="Calibri" w:hAnsi="Calibri"/>
      <w:sz w:val="24"/>
    </w:rPr>
  </w:style>
  <w:style w:type="paragraph" w:customStyle="1" w:styleId="373">
    <w:name w:val="正文49"/>
    <w:qFormat/>
    <w:uiPriority w:val="0"/>
    <w:pPr>
      <w:widowControl w:val="0"/>
      <w:jc w:val="both"/>
    </w:pPr>
    <w:rPr>
      <w:rFonts w:hint="default" w:ascii="Calibri" w:hAnsi="Calibri" w:eastAsia="Arial" w:cs="Times New Roman"/>
      <w:sz w:val="21"/>
      <w:szCs w:val="22"/>
      <w:lang w:val="en-US" w:eastAsia="zh-CN" w:bidi="ar-SA"/>
    </w:rPr>
  </w:style>
  <w:style w:type="paragraph" w:customStyle="1" w:styleId="374">
    <w:name w:val="xl62"/>
    <w:basedOn w:val="1"/>
    <w:qFormat/>
    <w:uiPriority w:val="0"/>
    <w:pPr>
      <w:widowControl/>
      <w:pBdr>
        <w:left w:val="single" w:color="000000" w:sz="4" w:space="0"/>
        <w:bottom w:val="single" w:color="000000" w:sz="4" w:space="0"/>
        <w:right w:val="single" w:color="000000" w:sz="4" w:space="0"/>
      </w:pBdr>
      <w:spacing w:before="100" w:beforeAutospacing="1" w:after="100" w:afterAutospacing="1"/>
    </w:pPr>
    <w:rPr>
      <w:sz w:val="22"/>
      <w:szCs w:val="20"/>
    </w:rPr>
  </w:style>
  <w:style w:type="paragraph" w:customStyle="1" w:styleId="375">
    <w:name w:val="一级无"/>
    <w:basedOn w:val="1"/>
    <w:qFormat/>
    <w:uiPriority w:val="0"/>
    <w:pPr>
      <w:widowControl/>
      <w:numPr>
        <w:ilvl w:val="1"/>
        <w:numId w:val="2"/>
      </w:numPr>
      <w:tabs>
        <w:tab w:val="left" w:pos="1440"/>
      </w:tabs>
      <w:jc w:val="left"/>
      <w:outlineLvl w:val="2"/>
    </w:pPr>
    <w:rPr>
      <w:rFonts w:ascii="宋体"/>
      <w:sz w:val="21"/>
      <w:szCs w:val="21"/>
    </w:rPr>
  </w:style>
  <w:style w:type="paragraph" w:customStyle="1" w:styleId="376">
    <w:name w:val="xl70"/>
    <w:basedOn w:val="1"/>
    <w:qFormat/>
    <w:uiPriority w:val="0"/>
    <w:pPr>
      <w:widowControl/>
      <w:pBdr>
        <w:top w:val="single" w:color="000000" w:sz="4" w:space="0"/>
        <w:bottom w:val="single" w:color="000000" w:sz="4" w:space="0"/>
      </w:pBdr>
      <w:spacing w:before="100" w:beforeAutospacing="1" w:after="100" w:afterAutospacing="1"/>
    </w:pPr>
    <w:rPr>
      <w:rFonts w:ascii="宋体" w:hAnsi="宋体"/>
      <w:b/>
      <w:sz w:val="28"/>
      <w:szCs w:val="20"/>
    </w:rPr>
  </w:style>
  <w:style w:type="paragraph" w:customStyle="1" w:styleId="377">
    <w:name w:val="_Style 0"/>
    <w:qFormat/>
    <w:uiPriority w:val="0"/>
    <w:pPr>
      <w:widowControl w:val="0"/>
      <w:jc w:val="center"/>
    </w:pPr>
    <w:rPr>
      <w:rFonts w:hint="default" w:ascii="Times New Roman" w:hAnsi="Times New Roman" w:eastAsia="仿宋_GB2312" w:cs="Times New Roman"/>
      <w:b/>
      <w:sz w:val="21"/>
      <w:lang w:val="en-US" w:eastAsia="zh-CN" w:bidi="ar-SA"/>
    </w:rPr>
  </w:style>
  <w:style w:type="paragraph" w:customStyle="1" w:styleId="378">
    <w:name w:val="Default Text"/>
    <w:basedOn w:val="1"/>
    <w:qFormat/>
    <w:uiPriority w:val="0"/>
    <w:pPr>
      <w:widowControl/>
      <w:jc w:val="left"/>
    </w:pPr>
    <w:rPr>
      <w:rFonts w:ascii="Calibri" w:hAnsi="Calibri"/>
      <w:sz w:val="20"/>
      <w:szCs w:val="20"/>
      <w:lang w:eastAsia="en-US"/>
    </w:rPr>
  </w:style>
  <w:style w:type="paragraph" w:customStyle="1" w:styleId="379">
    <w:name w:val="_Style 10"/>
    <w:basedOn w:val="1"/>
    <w:qFormat/>
    <w:uiPriority w:val="0"/>
    <w:rPr>
      <w:rFonts w:ascii="Tahoma" w:hAnsi="Tahoma"/>
      <w:sz w:val="24"/>
      <w:szCs w:val="20"/>
    </w:rPr>
  </w:style>
  <w:style w:type="paragraph" w:customStyle="1" w:styleId="380">
    <w:name w:val="GP（表格）"/>
    <w:basedOn w:val="1"/>
    <w:qFormat/>
    <w:uiPriority w:val="0"/>
    <w:rPr>
      <w:rFonts w:ascii="Arial" w:hAnsi="Arial"/>
      <w:sz w:val="18"/>
    </w:rPr>
  </w:style>
  <w:style w:type="paragraph" w:customStyle="1" w:styleId="381">
    <w:name w:val="注×："/>
    <w:qFormat/>
    <w:uiPriority w:val="0"/>
    <w:pPr>
      <w:widowControl w:val="0"/>
      <w:tabs>
        <w:tab w:val="left" w:pos="312"/>
        <w:tab w:val="left" w:pos="630"/>
        <w:tab w:val="left" w:pos="1035"/>
      </w:tabs>
      <w:jc w:val="both"/>
    </w:pPr>
    <w:rPr>
      <w:rFonts w:hint="default" w:ascii="宋体" w:hAnsi="Times New Roman" w:eastAsia="宋体" w:cs="Times New Roman"/>
      <w:sz w:val="18"/>
      <w:lang w:val="en-US" w:eastAsia="zh-CN" w:bidi="ar-SA"/>
    </w:rPr>
  </w:style>
  <w:style w:type="paragraph" w:customStyle="1" w:styleId="382">
    <w:name w:val="并列样式"/>
    <w:basedOn w:val="1"/>
    <w:qFormat/>
    <w:uiPriority w:val="0"/>
    <w:pPr>
      <w:spacing w:before="60" w:after="60"/>
    </w:pPr>
    <w:rPr>
      <w:sz w:val="24"/>
      <w:szCs w:val="20"/>
    </w:rPr>
  </w:style>
  <w:style w:type="paragraph" w:customStyle="1" w:styleId="383">
    <w:name w:val="Char1"/>
    <w:basedOn w:val="1"/>
    <w:qFormat/>
    <w:uiPriority w:val="0"/>
    <w:pPr>
      <w:tabs>
        <w:tab w:val="left" w:pos="432"/>
      </w:tabs>
      <w:spacing w:before="156" w:after="156"/>
      <w:ind w:left="432" w:hanging="432"/>
    </w:pPr>
  </w:style>
  <w:style w:type="paragraph" w:customStyle="1" w:styleId="384">
    <w:name w:val="Section VII Header2"/>
    <w:basedOn w:val="83"/>
    <w:qFormat/>
    <w:uiPriority w:val="0"/>
    <w:pPr>
      <w:keepNext w:val="0"/>
      <w:keepLines w:val="0"/>
      <w:widowControl/>
      <w:tabs>
        <w:tab w:val="right" w:pos="9000"/>
      </w:tabs>
      <w:spacing w:before="120" w:after="120" w:line="260" w:lineRule="exact"/>
      <w:ind w:right="12"/>
      <w:jc w:val="center"/>
      <w:outlineLvl w:val="9"/>
    </w:pPr>
    <w:rPr>
      <w:rFonts w:ascii="宋体" w:hAnsi="宋体" w:eastAsia="宋体" w:cs="Arial"/>
      <w:bCs/>
      <w:sz w:val="24"/>
    </w:rPr>
  </w:style>
  <w:style w:type="paragraph" w:customStyle="1" w:styleId="385">
    <w:name w:val="正文_0_0_0"/>
    <w:unhideWhenUsed/>
    <w:qFormat/>
    <w:uiPriority w:val="99"/>
    <w:rPr>
      <w:rFonts w:hint="eastAsia" w:ascii="Times New Roman" w:hAnsi="Times New Roman" w:eastAsia="宋体" w:cs="Times New Roman"/>
      <w:sz w:val="21"/>
      <w:lang w:val="en-US" w:eastAsia="zh-CN" w:bidi="ar-SA"/>
    </w:rPr>
  </w:style>
  <w:style w:type="paragraph" w:customStyle="1" w:styleId="386">
    <w:name w:val="TOC 标题1"/>
    <w:unhideWhenUsed/>
    <w:qFormat/>
    <w:uiPriority w:val="39"/>
    <w:rPr>
      <w:rFonts w:hint="default" w:ascii="Times New Roman" w:hAnsi="Times New Roman" w:eastAsia="宋体" w:cs="Times New Roman"/>
      <w:lang w:val="en-US" w:eastAsia="zh-CN" w:bidi="ar-SA"/>
    </w:rPr>
  </w:style>
  <w:style w:type="paragraph" w:customStyle="1" w:styleId="387">
    <w:name w:val="MM Topic 4"/>
    <w:basedOn w:val="102"/>
    <w:qFormat/>
    <w:uiPriority w:val="0"/>
    <w:pPr>
      <w:keepNext w:val="0"/>
      <w:keepLines w:val="0"/>
      <w:widowControl/>
      <w:numPr>
        <w:ilvl w:val="4"/>
        <w:numId w:val="2"/>
      </w:numPr>
      <w:tabs>
        <w:tab w:val="left" w:pos="1440"/>
      </w:tabs>
      <w:spacing w:before="240" w:after="60" w:line="240" w:lineRule="auto"/>
      <w:ind w:left="1008" w:hanging="1008"/>
      <w:jc w:val="left"/>
    </w:pPr>
    <w:rPr>
      <w:rFonts w:ascii="宋体" w:hAnsi="宋体"/>
      <w:b w:val="0"/>
      <w:i/>
      <w:iCs/>
      <w:sz w:val="26"/>
      <w:szCs w:val="26"/>
    </w:rPr>
  </w:style>
  <w:style w:type="paragraph" w:customStyle="1" w:styleId="388">
    <w:name w:val="_Style 243"/>
    <w:unhideWhenUsed/>
    <w:qFormat/>
    <w:uiPriority w:val="99"/>
    <w:pPr>
      <w:widowControl w:val="0"/>
      <w:jc w:val="both"/>
    </w:pPr>
    <w:rPr>
      <w:rFonts w:hint="default" w:ascii="Times New Roman" w:hAnsi="Times New Roman" w:eastAsia="宋体" w:cs="Times New Roman"/>
      <w:sz w:val="21"/>
      <w:szCs w:val="24"/>
      <w:lang w:val="en-US" w:eastAsia="zh-CN" w:bidi="ar-SA"/>
    </w:rPr>
  </w:style>
  <w:style w:type="paragraph" w:customStyle="1" w:styleId="389">
    <w:name w:val="列项——"/>
    <w:qFormat/>
    <w:uiPriority w:val="0"/>
    <w:pPr>
      <w:widowControl w:val="0"/>
      <w:tabs>
        <w:tab w:val="left" w:pos="720"/>
        <w:tab w:val="left" w:pos="854"/>
        <w:tab w:val="left" w:pos="1035"/>
      </w:tabs>
      <w:ind w:left="200" w:hanging="200"/>
      <w:jc w:val="both"/>
    </w:pPr>
    <w:rPr>
      <w:rFonts w:hint="default" w:ascii="宋体" w:hAnsi="Times New Roman" w:eastAsia="宋体" w:cs="Times New Roman"/>
      <w:sz w:val="21"/>
      <w:lang w:val="en-US" w:eastAsia="zh-CN" w:bidi="ar-SA"/>
    </w:rPr>
  </w:style>
  <w:style w:type="paragraph" w:customStyle="1" w:styleId="390">
    <w:name w:val="P3"/>
    <w:qFormat/>
    <w:uiPriority w:val="0"/>
    <w:pPr>
      <w:widowControl w:val="0"/>
      <w:spacing w:after="240" w:line="0" w:lineRule="atLeast"/>
      <w:ind w:left="2880" w:hanging="576"/>
      <w:jc w:val="both"/>
    </w:pPr>
    <w:rPr>
      <w:rFonts w:hint="default" w:ascii="Times New Roman" w:hAnsi="Times New Roman" w:eastAsia="全真中明體" w:cs="Times New Roman"/>
      <w:spacing w:val="30"/>
      <w:sz w:val="24"/>
      <w:lang w:val="en-GB" w:eastAsia="zh-TW" w:bidi="ar-SA"/>
    </w:rPr>
  </w:style>
  <w:style w:type="paragraph" w:customStyle="1" w:styleId="391">
    <w:name w:val="无间隔"/>
    <w:qFormat/>
    <w:uiPriority w:val="1"/>
    <w:rPr>
      <w:rFonts w:hint="default" w:ascii="Times New Roman" w:hAnsi="Times New Roman" w:eastAsia="宋体" w:cs="Times New Roman"/>
      <w:lang w:val="en-US" w:eastAsia="zh-CN" w:bidi="ar-SA"/>
    </w:rPr>
  </w:style>
  <w:style w:type="paragraph" w:customStyle="1" w:styleId="392">
    <w:name w:val="p0"/>
    <w:basedOn w:val="1"/>
    <w:qFormat/>
    <w:uiPriority w:val="0"/>
    <w:pPr>
      <w:widowControl/>
    </w:pPr>
    <w:rPr>
      <w:sz w:val="21"/>
      <w:szCs w:val="21"/>
    </w:rPr>
  </w:style>
  <w:style w:type="paragraph" w:customStyle="1" w:styleId="393">
    <w:name w:val="BodyText1"/>
    <w:basedOn w:val="1"/>
    <w:qFormat/>
    <w:uiPriority w:val="0"/>
    <w:pPr>
      <w:spacing w:line="380" w:lineRule="exact"/>
    </w:pPr>
  </w:style>
  <w:style w:type="paragraph" w:customStyle="1" w:styleId="394">
    <w:name w:val="正文图标题"/>
    <w:basedOn w:val="1"/>
    <w:next w:val="29"/>
    <w:qFormat/>
    <w:uiPriority w:val="0"/>
    <w:pPr>
      <w:widowControl/>
      <w:tabs>
        <w:tab w:val="left" w:pos="480"/>
      </w:tabs>
      <w:ind w:left="720" w:hanging="720"/>
      <w:jc w:val="center"/>
    </w:pPr>
    <w:rPr>
      <w:rFonts w:hint="eastAsia" w:ascii="黑体" w:eastAsia="黑体"/>
      <w:sz w:val="20"/>
      <w:szCs w:val="20"/>
    </w:rPr>
  </w:style>
  <w:style w:type="paragraph" w:customStyle="1" w:styleId="395">
    <w:name w:val="样式2"/>
    <w:basedOn w:val="83"/>
    <w:qFormat/>
    <w:uiPriority w:val="0"/>
    <w:pPr>
      <w:widowControl/>
      <w:tabs>
        <w:tab w:val="left" w:pos="312"/>
        <w:tab w:val="left" w:pos="480"/>
      </w:tabs>
      <w:spacing w:before="0" w:after="0" w:line="400" w:lineRule="atLeast"/>
      <w:ind w:left="360" w:hanging="360"/>
      <w:outlineLvl w:val="9"/>
    </w:pPr>
    <w:rPr>
      <w:rFonts w:ascii="宋体" w:eastAsia="黑体"/>
      <w:sz w:val="21"/>
    </w:rPr>
  </w:style>
  <w:style w:type="paragraph" w:customStyle="1" w:styleId="396">
    <w:name w:val="普通(网站)1"/>
    <w:basedOn w:val="26"/>
    <w:qFormat/>
    <w:uiPriority w:val="0"/>
    <w:pPr>
      <w:widowControl/>
      <w:spacing w:before="100" w:beforeAutospacing="1" w:after="100" w:afterAutospacing="1"/>
      <w:jc w:val="left"/>
    </w:pPr>
    <w:rPr>
      <w:rFonts w:ascii="宋体" w:hAnsi="宋体"/>
      <w:sz w:val="24"/>
      <w:szCs w:val="24"/>
    </w:rPr>
  </w:style>
  <w:style w:type="paragraph" w:customStyle="1" w:styleId="397">
    <w:name w:val="默认段落字体 Para Char Char Char Char Char Char Char"/>
    <w:basedOn w:val="1"/>
    <w:qFormat/>
    <w:uiPriority w:val="0"/>
    <w:rPr>
      <w:rFonts w:ascii="Tahoma" w:hAnsi="Tahoma"/>
      <w:sz w:val="24"/>
      <w:szCs w:val="20"/>
    </w:rPr>
  </w:style>
  <w:style w:type="paragraph" w:customStyle="1" w:styleId="398">
    <w:name w:val="正文_0_1"/>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399">
    <w:name w:val="题注1"/>
    <w:basedOn w:val="1"/>
    <w:next w:val="1"/>
    <w:unhideWhenUsed/>
    <w:qFormat/>
    <w:uiPriority w:val="35"/>
    <w:pPr>
      <w:spacing w:line="276" w:lineRule="auto"/>
    </w:pPr>
    <w:rPr>
      <w:b/>
      <w:bCs/>
      <w:color w:val="4472C4"/>
      <w:sz w:val="18"/>
      <w:szCs w:val="18"/>
    </w:rPr>
  </w:style>
  <w:style w:type="paragraph" w:customStyle="1" w:styleId="400">
    <w:name w:val="正文缩进2字符"/>
    <w:basedOn w:val="1"/>
    <w:qFormat/>
    <w:uiPriority w:val="0"/>
    <w:pPr>
      <w:spacing w:line="360" w:lineRule="auto"/>
      <w:ind w:firstLine="200"/>
      <w:jc w:val="left"/>
    </w:pPr>
    <w:rPr>
      <w:sz w:val="24"/>
      <w:szCs w:val="20"/>
    </w:rPr>
  </w:style>
  <w:style w:type="paragraph" w:customStyle="1" w:styleId="401">
    <w:name w:val="Blockquote"/>
    <w:basedOn w:val="1"/>
    <w:qFormat/>
    <w:uiPriority w:val="0"/>
    <w:pPr>
      <w:spacing w:before="100" w:after="100"/>
      <w:ind w:left="764" w:right="567"/>
      <w:jc w:val="left"/>
    </w:pPr>
    <w:rPr>
      <w:sz w:val="24"/>
    </w:rPr>
  </w:style>
  <w:style w:type="paragraph" w:customStyle="1" w:styleId="402">
    <w:name w:val="Fließtext"/>
    <w:basedOn w:val="1"/>
    <w:qFormat/>
    <w:uiPriority w:val="99"/>
    <w:rPr>
      <w:rFonts w:ascii="Calibri" w:hAnsi="Calibri"/>
    </w:rPr>
  </w:style>
  <w:style w:type="paragraph" w:customStyle="1" w:styleId="403">
    <w:name w:val="彩色列表 - 着色 11"/>
    <w:basedOn w:val="1"/>
    <w:qFormat/>
    <w:uiPriority w:val="99"/>
    <w:pPr>
      <w:spacing w:line="274" w:lineRule="auto"/>
      <w:ind w:firstLine="420"/>
    </w:pPr>
    <w:rPr>
      <w:rFonts w:ascii="仿宋_GB2312" w:hAnsi="Calibri" w:eastAsia="仿宋_GB2312"/>
      <w:sz w:val="20"/>
    </w:rPr>
  </w:style>
  <w:style w:type="paragraph" w:customStyle="1" w:styleId="404">
    <w:name w:val="WPSOffice手动目录 2"/>
    <w:qFormat/>
    <w:uiPriority w:val="0"/>
    <w:pPr>
      <w:ind w:left="200"/>
    </w:pPr>
    <w:rPr>
      <w:rFonts w:hint="default" w:ascii="Times New Roman" w:hAnsi="Times New Roman" w:eastAsia="宋体" w:cs="Times New Roman"/>
      <w:lang w:val="en-US" w:eastAsia="zh-CN" w:bidi="ar-SA"/>
    </w:rPr>
  </w:style>
  <w:style w:type="paragraph" w:customStyle="1" w:styleId="405">
    <w:name w:val="修订1"/>
    <w:unhideWhenUsed/>
    <w:qFormat/>
    <w:uiPriority w:val="99"/>
    <w:rPr>
      <w:rFonts w:hint="default" w:ascii="Times New Roman" w:hAnsi="Times New Roman" w:eastAsia="宋体" w:cs="Times New Roman"/>
      <w:sz w:val="21"/>
      <w:szCs w:val="24"/>
      <w:lang w:val="en-US" w:eastAsia="zh-CN" w:bidi="ar-SA"/>
    </w:rPr>
  </w:style>
  <w:style w:type="paragraph" w:customStyle="1" w:styleId="406">
    <w:name w:val="正文编号"/>
    <w:basedOn w:val="1"/>
    <w:qFormat/>
    <w:uiPriority w:val="0"/>
    <w:pPr>
      <w:tabs>
        <w:tab w:val="left" w:pos="720"/>
      </w:tabs>
      <w:spacing w:line="400" w:lineRule="exact"/>
    </w:pPr>
    <w:rPr>
      <w:rFonts w:eastAsia="楷体_GB2312"/>
      <w:spacing w:val="8"/>
      <w:sz w:val="28"/>
      <w:szCs w:val="20"/>
    </w:rPr>
  </w:style>
  <w:style w:type="paragraph" w:customStyle="1" w:styleId="407">
    <w:name w:val="正文2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408">
    <w:name w:val="批注文字1"/>
    <w:basedOn w:val="26"/>
    <w:semiHidden/>
    <w:qFormat/>
    <w:uiPriority w:val="0"/>
    <w:pPr>
      <w:jc w:val="left"/>
    </w:pPr>
    <w:rPr>
      <w:rFonts w:ascii="Times New Roman" w:hAnsi="Times New Roman"/>
      <w:sz w:val="21"/>
    </w:rPr>
  </w:style>
  <w:style w:type="paragraph" w:customStyle="1" w:styleId="409">
    <w:name w:val="Sub Item List"/>
    <w:basedOn w:val="1"/>
    <w:qFormat/>
    <w:uiPriority w:val="0"/>
    <w:pPr>
      <w:widowControl/>
      <w:tabs>
        <w:tab w:val="left" w:pos="397"/>
        <w:tab w:val="left" w:pos="1922"/>
      </w:tabs>
      <w:spacing w:before="80" w:line="240" w:lineRule="atLeast"/>
      <w:ind w:left="397" w:hanging="397"/>
      <w:jc w:val="left"/>
    </w:pPr>
    <w:rPr>
      <w:rFonts w:hint="eastAsia" w:cs="Arial"/>
      <w:sz w:val="21"/>
      <w:szCs w:val="21"/>
    </w:rPr>
  </w:style>
  <w:style w:type="table" w:customStyle="1" w:styleId="410">
    <w:name w:val="List Table 5 Dark - Accent 3"/>
    <w:basedOn w:val="92"/>
    <w:qFormat/>
    <w:uiPriority w:val="99"/>
  </w:style>
  <w:style w:type="table" w:customStyle="1" w:styleId="411">
    <w:name w:val="List Table 5 Dark - Accent 4"/>
    <w:basedOn w:val="92"/>
    <w:qFormat/>
    <w:uiPriority w:val="99"/>
  </w:style>
  <w:style w:type="table" w:customStyle="1" w:styleId="412">
    <w:name w:val="Grid Table 3 - Accent 1"/>
    <w:basedOn w:val="92"/>
    <w:qFormat/>
    <w:uiPriority w:val="99"/>
  </w:style>
  <w:style w:type="table" w:customStyle="1" w:styleId="413">
    <w:name w:val="Grid Table 1 Light - Accent 2"/>
    <w:basedOn w:val="92"/>
    <w:qFormat/>
    <w:uiPriority w:val="99"/>
  </w:style>
  <w:style w:type="table" w:customStyle="1" w:styleId="414">
    <w:name w:val="Grid Table 1 Light"/>
    <w:basedOn w:val="92"/>
    <w:qFormat/>
    <w:uiPriority w:val="99"/>
  </w:style>
  <w:style w:type="table" w:customStyle="1" w:styleId="415">
    <w:name w:val="Grid Table 2 - Accent 2"/>
    <w:basedOn w:val="92"/>
    <w:qFormat/>
    <w:uiPriority w:val="99"/>
  </w:style>
  <w:style w:type="table" w:customStyle="1" w:styleId="416">
    <w:name w:val="List Table 5 Dark - Accent 5"/>
    <w:basedOn w:val="92"/>
    <w:qFormat/>
    <w:uiPriority w:val="99"/>
  </w:style>
  <w:style w:type="table" w:customStyle="1" w:styleId="417">
    <w:name w:val="Grid Table 4 - Accent 4"/>
    <w:basedOn w:val="92"/>
    <w:qFormat/>
    <w:uiPriority w:val="59"/>
  </w:style>
  <w:style w:type="table" w:customStyle="1" w:styleId="418">
    <w:name w:val="List Table 4 - Accent 2"/>
    <w:basedOn w:val="92"/>
    <w:qFormat/>
    <w:uiPriority w:val="99"/>
  </w:style>
  <w:style w:type="table" w:customStyle="1" w:styleId="419">
    <w:name w:val="Grid Table 5 Dark"/>
    <w:basedOn w:val="92"/>
    <w:qFormat/>
    <w:uiPriority w:val="99"/>
  </w:style>
  <w:style w:type="table" w:customStyle="1" w:styleId="420">
    <w:name w:val="List Table 1 Light"/>
    <w:basedOn w:val="92"/>
    <w:qFormat/>
    <w:uiPriority w:val="99"/>
  </w:style>
  <w:style w:type="table" w:customStyle="1" w:styleId="421">
    <w:name w:val="Plain Table 1"/>
    <w:basedOn w:val="92"/>
    <w:qFormat/>
    <w:uiPriority w:val="59"/>
  </w:style>
  <w:style w:type="table" w:customStyle="1" w:styleId="422">
    <w:name w:val="Grid Table 5 Dark - Accent 6"/>
    <w:basedOn w:val="92"/>
    <w:qFormat/>
    <w:uiPriority w:val="99"/>
  </w:style>
  <w:style w:type="table" w:customStyle="1" w:styleId="423">
    <w:name w:val="Grid Table 2 - Accent 5"/>
    <w:basedOn w:val="92"/>
    <w:qFormat/>
    <w:uiPriority w:val="99"/>
  </w:style>
  <w:style w:type="table" w:customStyle="1" w:styleId="424">
    <w:name w:val="Grid Table 3 - Accent 5"/>
    <w:basedOn w:val="92"/>
    <w:qFormat/>
    <w:uiPriority w:val="99"/>
  </w:style>
  <w:style w:type="table" w:customStyle="1" w:styleId="425">
    <w:name w:val="Bordered &amp; Lined - Accent 2"/>
    <w:basedOn w:val="92"/>
    <w:qFormat/>
    <w:uiPriority w:val="99"/>
    <w:rPr>
      <w:color w:val="404040"/>
    </w:rPr>
  </w:style>
  <w:style w:type="table" w:customStyle="1" w:styleId="426">
    <w:name w:val="Bordered &amp; Lined - Accent 6"/>
    <w:basedOn w:val="92"/>
    <w:qFormat/>
    <w:uiPriority w:val="99"/>
    <w:rPr>
      <w:color w:val="404040"/>
    </w:rPr>
  </w:style>
  <w:style w:type="table" w:customStyle="1" w:styleId="427">
    <w:name w:val="Grid Table 5 Dark - Accent 5"/>
    <w:basedOn w:val="92"/>
    <w:qFormat/>
    <w:uiPriority w:val="99"/>
  </w:style>
  <w:style w:type="table" w:customStyle="1" w:styleId="428">
    <w:name w:val="Grid Table 4 - Accent 1"/>
    <w:basedOn w:val="92"/>
    <w:qFormat/>
    <w:uiPriority w:val="59"/>
  </w:style>
  <w:style w:type="table" w:customStyle="1" w:styleId="429">
    <w:name w:val="List Table 3 - Accent 4"/>
    <w:basedOn w:val="92"/>
    <w:qFormat/>
    <w:uiPriority w:val="99"/>
  </w:style>
  <w:style w:type="table" w:customStyle="1" w:styleId="430">
    <w:name w:val="Grid Table 1 Light - Accent 4"/>
    <w:basedOn w:val="92"/>
    <w:qFormat/>
    <w:uiPriority w:val="99"/>
  </w:style>
  <w:style w:type="table" w:customStyle="1" w:styleId="431">
    <w:name w:val="List Table 3"/>
    <w:basedOn w:val="92"/>
    <w:qFormat/>
    <w:uiPriority w:val="99"/>
  </w:style>
  <w:style w:type="table" w:customStyle="1" w:styleId="432">
    <w:name w:val="List Table 1 Light - Accent 4"/>
    <w:basedOn w:val="92"/>
    <w:qFormat/>
    <w:uiPriority w:val="99"/>
  </w:style>
  <w:style w:type="table" w:customStyle="1" w:styleId="433">
    <w:name w:val="Grid Table 2 - Accent 1"/>
    <w:basedOn w:val="92"/>
    <w:qFormat/>
    <w:uiPriority w:val="99"/>
  </w:style>
  <w:style w:type="table" w:customStyle="1" w:styleId="434">
    <w:name w:val="Bordered - Accent 3"/>
    <w:basedOn w:val="92"/>
    <w:qFormat/>
    <w:uiPriority w:val="99"/>
  </w:style>
  <w:style w:type="table" w:customStyle="1" w:styleId="435">
    <w:name w:val="List Table 7 Colorful - Accent 2"/>
    <w:basedOn w:val="92"/>
    <w:qFormat/>
    <w:uiPriority w:val="99"/>
  </w:style>
  <w:style w:type="table" w:customStyle="1" w:styleId="436">
    <w:name w:val="List Table 7 Colorful - Accent 6"/>
    <w:basedOn w:val="92"/>
    <w:qFormat/>
    <w:uiPriority w:val="99"/>
  </w:style>
  <w:style w:type="table" w:customStyle="1" w:styleId="437">
    <w:name w:val="Grid Table 2"/>
    <w:basedOn w:val="92"/>
    <w:qFormat/>
    <w:uiPriority w:val="99"/>
  </w:style>
  <w:style w:type="table" w:customStyle="1" w:styleId="438">
    <w:name w:val="Grid Table 3"/>
    <w:basedOn w:val="92"/>
    <w:qFormat/>
    <w:uiPriority w:val="99"/>
  </w:style>
  <w:style w:type="table" w:customStyle="1" w:styleId="439">
    <w:name w:val="Grid Table 4 - Accent 6"/>
    <w:basedOn w:val="92"/>
    <w:qFormat/>
    <w:uiPriority w:val="59"/>
  </w:style>
  <w:style w:type="table" w:customStyle="1" w:styleId="440">
    <w:name w:val="List Table 1 Light - Accent 2"/>
    <w:basedOn w:val="92"/>
    <w:qFormat/>
    <w:uiPriority w:val="99"/>
  </w:style>
  <w:style w:type="table" w:customStyle="1" w:styleId="441">
    <w:name w:val="List Table 6 Colorful - Accent 3"/>
    <w:basedOn w:val="92"/>
    <w:qFormat/>
    <w:uiPriority w:val="99"/>
  </w:style>
  <w:style w:type="table" w:customStyle="1" w:styleId="442">
    <w:name w:val="Grid Table 2 - Accent 3"/>
    <w:basedOn w:val="92"/>
    <w:qFormat/>
    <w:uiPriority w:val="99"/>
  </w:style>
  <w:style w:type="table" w:customStyle="1" w:styleId="443">
    <w:name w:val="Grid Table 5 Dark - Accent 3"/>
    <w:basedOn w:val="92"/>
    <w:qFormat/>
    <w:uiPriority w:val="99"/>
  </w:style>
  <w:style w:type="table" w:customStyle="1" w:styleId="444">
    <w:name w:val="Bordered &amp; Lined - Accent 1"/>
    <w:basedOn w:val="92"/>
    <w:qFormat/>
    <w:uiPriority w:val="99"/>
    <w:rPr>
      <w:color w:val="404040"/>
    </w:rPr>
  </w:style>
  <w:style w:type="table" w:customStyle="1" w:styleId="445">
    <w:name w:val="List Table 3 - Accent 1"/>
    <w:basedOn w:val="92"/>
    <w:qFormat/>
    <w:uiPriority w:val="99"/>
  </w:style>
  <w:style w:type="table" w:customStyle="1" w:styleId="446">
    <w:name w:val="Grid Table 1 Light - Accent 6"/>
    <w:basedOn w:val="92"/>
    <w:qFormat/>
    <w:uiPriority w:val="99"/>
  </w:style>
  <w:style w:type="table" w:customStyle="1" w:styleId="447">
    <w:name w:val="Lined - Accent 6"/>
    <w:basedOn w:val="92"/>
    <w:qFormat/>
    <w:uiPriority w:val="99"/>
    <w:rPr>
      <w:color w:val="404040"/>
    </w:rPr>
  </w:style>
  <w:style w:type="table" w:customStyle="1" w:styleId="448">
    <w:name w:val="List Table 7 Colorful - Accent 3"/>
    <w:basedOn w:val="92"/>
    <w:qFormat/>
    <w:uiPriority w:val="99"/>
  </w:style>
  <w:style w:type="table" w:customStyle="1" w:styleId="449">
    <w:name w:val="Grid Table 1 Light - Accent 3"/>
    <w:basedOn w:val="92"/>
    <w:qFormat/>
    <w:uiPriority w:val="99"/>
  </w:style>
  <w:style w:type="table" w:customStyle="1" w:styleId="450">
    <w:name w:val="Grid Table 3 - Accent 6"/>
    <w:basedOn w:val="92"/>
    <w:qFormat/>
    <w:uiPriority w:val="99"/>
  </w:style>
  <w:style w:type="table" w:customStyle="1" w:styleId="451">
    <w:name w:val="Grid Table 5 Dark - Accent 2"/>
    <w:basedOn w:val="92"/>
    <w:qFormat/>
    <w:uiPriority w:val="99"/>
  </w:style>
  <w:style w:type="table" w:customStyle="1" w:styleId="452">
    <w:name w:val="List Table 7 Colorful - Accent 5"/>
    <w:basedOn w:val="92"/>
    <w:qFormat/>
    <w:uiPriority w:val="99"/>
  </w:style>
  <w:style w:type="table" w:customStyle="1" w:styleId="453">
    <w:name w:val="List Table 6 Colorful"/>
    <w:basedOn w:val="92"/>
    <w:qFormat/>
    <w:uiPriority w:val="99"/>
  </w:style>
  <w:style w:type="table" w:customStyle="1" w:styleId="454">
    <w:name w:val="Grid Table 2 - Accent 6"/>
    <w:basedOn w:val="92"/>
    <w:qFormat/>
    <w:uiPriority w:val="99"/>
  </w:style>
  <w:style w:type="table" w:customStyle="1" w:styleId="455">
    <w:name w:val="List Table 5 Dark - Accent 1"/>
    <w:basedOn w:val="92"/>
    <w:qFormat/>
    <w:uiPriority w:val="99"/>
  </w:style>
  <w:style w:type="table" w:customStyle="1" w:styleId="456">
    <w:name w:val="List Table 3 - Accent 6"/>
    <w:basedOn w:val="92"/>
    <w:qFormat/>
    <w:uiPriority w:val="99"/>
  </w:style>
  <w:style w:type="table" w:customStyle="1" w:styleId="457">
    <w:name w:val="List Table 2 - Accent 3"/>
    <w:basedOn w:val="92"/>
    <w:qFormat/>
    <w:uiPriority w:val="99"/>
  </w:style>
  <w:style w:type="table" w:customStyle="1" w:styleId="458">
    <w:name w:val="Grid Table 7 Colorful - Accent 4"/>
    <w:basedOn w:val="92"/>
    <w:qFormat/>
    <w:uiPriority w:val="99"/>
  </w:style>
  <w:style w:type="table" w:customStyle="1" w:styleId="459">
    <w:name w:val="Grid Table 6 Colorful - Accent 6"/>
    <w:basedOn w:val="92"/>
    <w:qFormat/>
    <w:uiPriority w:val="99"/>
  </w:style>
  <w:style w:type="table" w:customStyle="1" w:styleId="460">
    <w:name w:val="Grid Table 7 Colorful - Accent 2"/>
    <w:basedOn w:val="92"/>
    <w:qFormat/>
    <w:uiPriority w:val="99"/>
  </w:style>
  <w:style w:type="table" w:customStyle="1" w:styleId="461">
    <w:name w:val="List Table 4"/>
    <w:basedOn w:val="92"/>
    <w:qFormat/>
    <w:uiPriority w:val="99"/>
  </w:style>
  <w:style w:type="table" w:customStyle="1" w:styleId="462">
    <w:name w:val="List Table 6 Colorful - Accent 5"/>
    <w:basedOn w:val="92"/>
    <w:qFormat/>
    <w:uiPriority w:val="99"/>
  </w:style>
  <w:style w:type="table" w:customStyle="1" w:styleId="463">
    <w:name w:val="List Table 4 - Accent 6"/>
    <w:basedOn w:val="92"/>
    <w:qFormat/>
    <w:uiPriority w:val="99"/>
  </w:style>
  <w:style w:type="table" w:customStyle="1" w:styleId="464">
    <w:name w:val="Grid Table 6 Colorful - Accent 5"/>
    <w:basedOn w:val="92"/>
    <w:qFormat/>
    <w:uiPriority w:val="99"/>
  </w:style>
  <w:style w:type="table" w:customStyle="1" w:styleId="465">
    <w:name w:val="Grid Table 3 - Accent 4"/>
    <w:basedOn w:val="92"/>
    <w:qFormat/>
    <w:uiPriority w:val="99"/>
  </w:style>
  <w:style w:type="table" w:customStyle="1" w:styleId="466">
    <w:name w:val="List Table 3 - Accent 2"/>
    <w:basedOn w:val="92"/>
    <w:qFormat/>
    <w:uiPriority w:val="99"/>
  </w:style>
  <w:style w:type="table" w:customStyle="1" w:styleId="467">
    <w:name w:val="List Table 2 - Accent 4"/>
    <w:basedOn w:val="92"/>
    <w:qFormat/>
    <w:uiPriority w:val="99"/>
  </w:style>
  <w:style w:type="table" w:customStyle="1" w:styleId="468">
    <w:name w:val="List Table 2 - Accent 5"/>
    <w:basedOn w:val="92"/>
    <w:qFormat/>
    <w:uiPriority w:val="99"/>
  </w:style>
  <w:style w:type="table" w:customStyle="1" w:styleId="469">
    <w:name w:val="List Table 2 - Accent 1"/>
    <w:basedOn w:val="92"/>
    <w:qFormat/>
    <w:uiPriority w:val="99"/>
  </w:style>
  <w:style w:type="table" w:customStyle="1" w:styleId="470">
    <w:name w:val="Bordered - Accent 6"/>
    <w:basedOn w:val="92"/>
    <w:qFormat/>
    <w:uiPriority w:val="99"/>
  </w:style>
  <w:style w:type="table" w:customStyle="1" w:styleId="471">
    <w:name w:val="Grid Table 7 Colorful - Accent 5"/>
    <w:basedOn w:val="92"/>
    <w:qFormat/>
    <w:uiPriority w:val="99"/>
  </w:style>
  <w:style w:type="table" w:customStyle="1" w:styleId="472">
    <w:name w:val="List Table 4 - Accent 1"/>
    <w:basedOn w:val="92"/>
    <w:qFormat/>
    <w:uiPriority w:val="99"/>
  </w:style>
  <w:style w:type="table" w:customStyle="1" w:styleId="473">
    <w:name w:val="List Table 6 Colorful - Accent 1"/>
    <w:basedOn w:val="92"/>
    <w:qFormat/>
    <w:uiPriority w:val="99"/>
  </w:style>
  <w:style w:type="table" w:customStyle="1" w:styleId="474">
    <w:name w:val="Bordered"/>
    <w:basedOn w:val="92"/>
    <w:qFormat/>
    <w:uiPriority w:val="99"/>
  </w:style>
  <w:style w:type="table" w:customStyle="1" w:styleId="475">
    <w:name w:val="List Table 2 - Accent 2"/>
    <w:basedOn w:val="92"/>
    <w:qFormat/>
    <w:uiPriority w:val="99"/>
  </w:style>
  <w:style w:type="table" w:customStyle="1" w:styleId="476">
    <w:name w:val="List Table 4 - Accent 4"/>
    <w:basedOn w:val="92"/>
    <w:qFormat/>
    <w:uiPriority w:val="99"/>
  </w:style>
  <w:style w:type="table" w:customStyle="1" w:styleId="477">
    <w:name w:val="Lined - Accent 2"/>
    <w:basedOn w:val="92"/>
    <w:qFormat/>
    <w:uiPriority w:val="99"/>
    <w:rPr>
      <w:color w:val="404040"/>
    </w:rPr>
  </w:style>
  <w:style w:type="table" w:customStyle="1" w:styleId="478">
    <w:name w:val="Bordered &amp; Lined - Accent"/>
    <w:basedOn w:val="92"/>
    <w:qFormat/>
    <w:uiPriority w:val="99"/>
    <w:rPr>
      <w:color w:val="404040"/>
    </w:rPr>
  </w:style>
  <w:style w:type="table" w:customStyle="1" w:styleId="479">
    <w:name w:val="Bordered &amp; Lined - Accent 3"/>
    <w:basedOn w:val="92"/>
    <w:qFormat/>
    <w:uiPriority w:val="99"/>
    <w:rPr>
      <w:color w:val="404040"/>
    </w:rPr>
  </w:style>
  <w:style w:type="table" w:customStyle="1" w:styleId="480">
    <w:name w:val="Plain Table 3"/>
    <w:basedOn w:val="92"/>
    <w:qFormat/>
    <w:uiPriority w:val="99"/>
  </w:style>
  <w:style w:type="table" w:customStyle="1" w:styleId="481">
    <w:name w:val="Grid Table 1 Light - Accent 5"/>
    <w:basedOn w:val="92"/>
    <w:qFormat/>
    <w:uiPriority w:val="99"/>
  </w:style>
  <w:style w:type="table" w:customStyle="1" w:styleId="482">
    <w:name w:val="List Table 3 - Accent 5"/>
    <w:basedOn w:val="92"/>
    <w:qFormat/>
    <w:uiPriority w:val="99"/>
  </w:style>
  <w:style w:type="table" w:customStyle="1" w:styleId="483">
    <w:name w:val="Grid Table 6 Colorful - Accent 4"/>
    <w:basedOn w:val="92"/>
    <w:qFormat/>
    <w:uiPriority w:val="99"/>
  </w:style>
  <w:style w:type="table" w:customStyle="1" w:styleId="484">
    <w:name w:val="Bordered - Accent 4"/>
    <w:basedOn w:val="92"/>
    <w:qFormat/>
    <w:uiPriority w:val="99"/>
  </w:style>
  <w:style w:type="table" w:customStyle="1" w:styleId="485">
    <w:name w:val="Grid Table 4"/>
    <w:basedOn w:val="92"/>
    <w:qFormat/>
    <w:uiPriority w:val="59"/>
  </w:style>
  <w:style w:type="table" w:customStyle="1" w:styleId="486">
    <w:name w:val="Bordered - Accent 5"/>
    <w:basedOn w:val="92"/>
    <w:qFormat/>
    <w:uiPriority w:val="99"/>
  </w:style>
  <w:style w:type="table" w:customStyle="1" w:styleId="487">
    <w:name w:val="Grid Table 6 Colorful - Accent 2"/>
    <w:basedOn w:val="92"/>
    <w:qFormat/>
    <w:uiPriority w:val="99"/>
  </w:style>
  <w:style w:type="table" w:customStyle="1" w:styleId="488">
    <w:name w:val="Grid Table 1 Light - Accent 1"/>
    <w:basedOn w:val="92"/>
    <w:qFormat/>
    <w:uiPriority w:val="99"/>
  </w:style>
  <w:style w:type="table" w:customStyle="1" w:styleId="489">
    <w:name w:val="Lined - Accent 3"/>
    <w:basedOn w:val="92"/>
    <w:qFormat/>
    <w:uiPriority w:val="99"/>
    <w:rPr>
      <w:color w:val="404040"/>
    </w:rPr>
  </w:style>
  <w:style w:type="table" w:customStyle="1" w:styleId="490">
    <w:name w:val="List Table 2"/>
    <w:basedOn w:val="92"/>
    <w:qFormat/>
    <w:uiPriority w:val="99"/>
  </w:style>
  <w:style w:type="table" w:customStyle="1" w:styleId="491">
    <w:name w:val="Bordered - Accent 2"/>
    <w:basedOn w:val="92"/>
    <w:qFormat/>
    <w:uiPriority w:val="99"/>
  </w:style>
  <w:style w:type="table" w:customStyle="1" w:styleId="492">
    <w:name w:val="Grid Table 6 Colorful"/>
    <w:basedOn w:val="92"/>
    <w:qFormat/>
    <w:uiPriority w:val="99"/>
  </w:style>
  <w:style w:type="table" w:customStyle="1" w:styleId="493">
    <w:name w:val="Grid Table 7 Colorful - Accent 1"/>
    <w:basedOn w:val="92"/>
    <w:qFormat/>
    <w:uiPriority w:val="99"/>
  </w:style>
  <w:style w:type="table" w:customStyle="1" w:styleId="494">
    <w:name w:val="Grid Table 3 - Accent 2"/>
    <w:basedOn w:val="92"/>
    <w:qFormat/>
    <w:uiPriority w:val="99"/>
  </w:style>
  <w:style w:type="table" w:customStyle="1" w:styleId="495">
    <w:name w:val="Lined - Accent 1"/>
    <w:basedOn w:val="92"/>
    <w:qFormat/>
    <w:uiPriority w:val="99"/>
    <w:rPr>
      <w:color w:val="404040"/>
    </w:rPr>
  </w:style>
  <w:style w:type="table" w:customStyle="1" w:styleId="496">
    <w:name w:val="Bordered - Accent 1"/>
    <w:basedOn w:val="92"/>
    <w:qFormat/>
    <w:uiPriority w:val="99"/>
  </w:style>
  <w:style w:type="table" w:customStyle="1" w:styleId="497">
    <w:name w:val="网格型1"/>
    <w:basedOn w:val="92"/>
    <w:qFormat/>
    <w:uiPriority w:val="0"/>
  </w:style>
  <w:style w:type="table" w:customStyle="1" w:styleId="498">
    <w:name w:val="Grid Table 5 Dark- Accent 4"/>
    <w:basedOn w:val="92"/>
    <w:qFormat/>
    <w:uiPriority w:val="99"/>
  </w:style>
  <w:style w:type="table" w:customStyle="1" w:styleId="499">
    <w:name w:val="Grid Table 7 Colorful - Accent 3"/>
    <w:basedOn w:val="92"/>
    <w:qFormat/>
    <w:uiPriority w:val="99"/>
  </w:style>
  <w:style w:type="table" w:customStyle="1" w:styleId="500">
    <w:name w:val="List Table 7 Colorful"/>
    <w:basedOn w:val="92"/>
    <w:qFormat/>
    <w:uiPriority w:val="99"/>
  </w:style>
  <w:style w:type="table" w:customStyle="1" w:styleId="501">
    <w:name w:val="Bordered &amp; Lined - Accent 5"/>
    <w:basedOn w:val="92"/>
    <w:qFormat/>
    <w:uiPriority w:val="99"/>
    <w:rPr>
      <w:color w:val="404040"/>
    </w:rPr>
  </w:style>
  <w:style w:type="table" w:customStyle="1" w:styleId="502">
    <w:name w:val="List Table 5 Dark - Accent 2"/>
    <w:basedOn w:val="92"/>
    <w:qFormat/>
    <w:uiPriority w:val="99"/>
  </w:style>
  <w:style w:type="table" w:customStyle="1" w:styleId="503">
    <w:name w:val="Bordered &amp; Lined - Accent 4"/>
    <w:basedOn w:val="92"/>
    <w:qFormat/>
    <w:uiPriority w:val="99"/>
    <w:rPr>
      <w:color w:val="404040"/>
    </w:rPr>
  </w:style>
  <w:style w:type="table" w:customStyle="1" w:styleId="504">
    <w:name w:val="Grid Table 4 - Accent 5"/>
    <w:basedOn w:val="92"/>
    <w:qFormat/>
    <w:uiPriority w:val="59"/>
  </w:style>
  <w:style w:type="table" w:customStyle="1" w:styleId="505">
    <w:name w:val="Grid Table 7 Colorful - Accent 6"/>
    <w:basedOn w:val="92"/>
    <w:qFormat/>
    <w:uiPriority w:val="99"/>
  </w:style>
  <w:style w:type="table" w:customStyle="1" w:styleId="506">
    <w:name w:val="Lined - Accent 5"/>
    <w:basedOn w:val="92"/>
    <w:qFormat/>
    <w:uiPriority w:val="99"/>
    <w:rPr>
      <w:color w:val="404040"/>
    </w:rPr>
  </w:style>
  <w:style w:type="table" w:customStyle="1" w:styleId="507">
    <w:name w:val="Grid Table 5 Dark- Accent 1"/>
    <w:basedOn w:val="92"/>
    <w:qFormat/>
    <w:uiPriority w:val="99"/>
  </w:style>
  <w:style w:type="table" w:customStyle="1" w:styleId="508">
    <w:name w:val="List Table 7 Colorful - Accent 1"/>
    <w:basedOn w:val="92"/>
    <w:qFormat/>
    <w:uiPriority w:val="99"/>
  </w:style>
  <w:style w:type="table" w:customStyle="1" w:styleId="509">
    <w:name w:val="List Table 6 Colorful - Accent 2"/>
    <w:basedOn w:val="92"/>
    <w:qFormat/>
    <w:uiPriority w:val="99"/>
  </w:style>
  <w:style w:type="table" w:customStyle="1" w:styleId="510">
    <w:name w:val="Grid Table 3 - Accent 3"/>
    <w:basedOn w:val="92"/>
    <w:qFormat/>
    <w:uiPriority w:val="99"/>
  </w:style>
  <w:style w:type="table" w:customStyle="1" w:styleId="511">
    <w:name w:val="List Table 6 Colorful - Accent 4"/>
    <w:basedOn w:val="92"/>
    <w:qFormat/>
    <w:uiPriority w:val="99"/>
  </w:style>
  <w:style w:type="table" w:customStyle="1" w:styleId="512">
    <w:name w:val="List Table 4 - Accent 3"/>
    <w:basedOn w:val="92"/>
    <w:qFormat/>
    <w:uiPriority w:val="99"/>
  </w:style>
  <w:style w:type="table" w:customStyle="1" w:styleId="513">
    <w:name w:val="List Table 4 - Accent 5"/>
    <w:basedOn w:val="92"/>
    <w:qFormat/>
    <w:uiPriority w:val="99"/>
  </w:style>
  <w:style w:type="table" w:customStyle="1" w:styleId="514">
    <w:name w:val="Table Grid Light"/>
    <w:basedOn w:val="92"/>
    <w:qFormat/>
    <w:uiPriority w:val="59"/>
  </w:style>
  <w:style w:type="table" w:customStyle="1" w:styleId="515">
    <w:name w:val="List Table 7 Colorful - Accent 4"/>
    <w:basedOn w:val="92"/>
    <w:qFormat/>
    <w:uiPriority w:val="99"/>
  </w:style>
  <w:style w:type="table" w:customStyle="1" w:styleId="516">
    <w:name w:val="List Table 1 Light - Accent 3"/>
    <w:basedOn w:val="92"/>
    <w:qFormat/>
    <w:uiPriority w:val="99"/>
  </w:style>
  <w:style w:type="table" w:customStyle="1" w:styleId="517">
    <w:name w:val="List Table 1 Light - Accent 6"/>
    <w:basedOn w:val="92"/>
    <w:qFormat/>
    <w:uiPriority w:val="99"/>
  </w:style>
  <w:style w:type="table" w:customStyle="1" w:styleId="518">
    <w:name w:val="Lined - Accent"/>
    <w:basedOn w:val="92"/>
    <w:qFormat/>
    <w:uiPriority w:val="99"/>
    <w:rPr>
      <w:color w:val="404040"/>
    </w:rPr>
  </w:style>
  <w:style w:type="table" w:customStyle="1" w:styleId="519">
    <w:name w:val="List Table 1 Light - Accent 1"/>
    <w:basedOn w:val="92"/>
    <w:qFormat/>
    <w:uiPriority w:val="99"/>
  </w:style>
  <w:style w:type="table" w:customStyle="1" w:styleId="520">
    <w:name w:val="Grid Table 4 - Accent 3"/>
    <w:basedOn w:val="92"/>
    <w:qFormat/>
    <w:uiPriority w:val="59"/>
  </w:style>
  <w:style w:type="table" w:customStyle="1" w:styleId="521">
    <w:name w:val="Plain Table 2"/>
    <w:basedOn w:val="92"/>
    <w:qFormat/>
    <w:uiPriority w:val="59"/>
  </w:style>
  <w:style w:type="table" w:customStyle="1" w:styleId="522">
    <w:name w:val="List Table 2 - Accent 6"/>
    <w:basedOn w:val="92"/>
    <w:qFormat/>
    <w:uiPriority w:val="99"/>
  </w:style>
  <w:style w:type="table" w:customStyle="1" w:styleId="523">
    <w:name w:val="List Table 3 - Accent 3"/>
    <w:basedOn w:val="92"/>
    <w:qFormat/>
    <w:uiPriority w:val="99"/>
  </w:style>
  <w:style w:type="table" w:customStyle="1" w:styleId="524">
    <w:name w:val="Grid Table 4 - Accent 2"/>
    <w:basedOn w:val="92"/>
    <w:qFormat/>
    <w:uiPriority w:val="59"/>
  </w:style>
  <w:style w:type="table" w:customStyle="1" w:styleId="525">
    <w:name w:val="Lined - Accent 4"/>
    <w:basedOn w:val="92"/>
    <w:qFormat/>
    <w:uiPriority w:val="99"/>
    <w:rPr>
      <w:color w:val="404040"/>
    </w:rPr>
  </w:style>
  <w:style w:type="table" w:customStyle="1" w:styleId="526">
    <w:name w:val="List Table 6 Colorful - Accent 6"/>
    <w:basedOn w:val="92"/>
    <w:qFormat/>
    <w:uiPriority w:val="99"/>
  </w:style>
  <w:style w:type="table" w:customStyle="1" w:styleId="527">
    <w:name w:val="Grid Table 6 Colorful - Accent 1"/>
    <w:basedOn w:val="92"/>
    <w:qFormat/>
    <w:uiPriority w:val="99"/>
  </w:style>
  <w:style w:type="table" w:customStyle="1" w:styleId="528">
    <w:name w:val="Plain Table 4"/>
    <w:basedOn w:val="92"/>
    <w:qFormat/>
    <w:uiPriority w:val="99"/>
  </w:style>
  <w:style w:type="table" w:customStyle="1" w:styleId="529">
    <w:name w:val="Grid Table 7 Colorful"/>
    <w:basedOn w:val="92"/>
    <w:qFormat/>
    <w:uiPriority w:val="99"/>
  </w:style>
  <w:style w:type="table" w:customStyle="1" w:styleId="530">
    <w:name w:val="List Table 5 Dark - Accent 6"/>
    <w:basedOn w:val="92"/>
    <w:qFormat/>
    <w:uiPriority w:val="99"/>
  </w:style>
  <w:style w:type="table" w:customStyle="1" w:styleId="531">
    <w:name w:val="Plain Table 5"/>
    <w:basedOn w:val="92"/>
    <w:qFormat/>
    <w:uiPriority w:val="99"/>
  </w:style>
  <w:style w:type="table" w:customStyle="1" w:styleId="532">
    <w:name w:val="Grid Table 6 Colorful - Accent 3"/>
    <w:basedOn w:val="92"/>
    <w:qFormat/>
    <w:uiPriority w:val="99"/>
  </w:style>
  <w:style w:type="table" w:customStyle="1" w:styleId="533">
    <w:name w:val="List Table 5 Dark"/>
    <w:basedOn w:val="92"/>
    <w:qFormat/>
    <w:uiPriority w:val="99"/>
  </w:style>
  <w:style w:type="table" w:customStyle="1" w:styleId="534">
    <w:name w:val="List Table 1 Light - Accent 5"/>
    <w:basedOn w:val="92"/>
    <w:qFormat/>
    <w:uiPriority w:val="99"/>
  </w:style>
  <w:style w:type="table" w:customStyle="1" w:styleId="535">
    <w:name w:val="Grid Table 2 - Accent 4"/>
    <w:basedOn w:val="92"/>
    <w:qFormat/>
    <w:uiPriority w:val="99"/>
  </w:style>
  <w:style w:type="paragraph" w:customStyle="1" w:styleId="536">
    <w:name w:val="要求_wwj"/>
    <w:basedOn w:val="1"/>
    <w:qFormat/>
    <w:uiPriority w:val="0"/>
    <w:pPr>
      <w:tabs>
        <w:tab w:val="left" w:pos="1177"/>
        <w:tab w:val="left" w:pos="1498"/>
      </w:tabs>
      <w:spacing w:before="50" w:after="50" w:line="400" w:lineRule="exact"/>
      <w:ind w:firstLine="200"/>
    </w:pPr>
    <w:rPr>
      <w:rFonts w:ascii="仿宋" w:hAnsi="仿宋" w:eastAsia="仿宋" w:cs="宋体"/>
      <w:color w:val="000000"/>
      <w:sz w:val="28"/>
      <w:szCs w:val="32"/>
    </w:rPr>
  </w:style>
  <w:style w:type="paragraph" w:customStyle="1" w:styleId="537">
    <w:name w:val="投标文件正文"/>
    <w:basedOn w:val="1"/>
    <w:qFormat/>
    <w:uiPriority w:val="0"/>
    <w:pPr>
      <w:spacing w:before="40" w:after="40" w:line="400" w:lineRule="exact"/>
      <w:ind w:firstLine="200"/>
    </w:pPr>
    <w:rPr>
      <w:rFonts w:ascii="Times New Roman" w:hAnsi="Times New Roman"/>
      <w:sz w:val="24"/>
      <w:szCs w:val="24"/>
    </w:rPr>
  </w:style>
  <w:style w:type="paragraph" w:customStyle="1" w:styleId="538">
    <w:name w:val="正文121"/>
    <w:next w:val="343"/>
    <w:qFormat/>
    <w:uiPriority w:val="0"/>
    <w:pPr>
      <w:widowControl w:val="0"/>
      <w:jc w:val="both"/>
    </w:pPr>
    <w:rPr>
      <w:rFonts w:hint="default" w:ascii="Times New Roman" w:hAnsi="Times New Roman" w:eastAsia="宋体" w:cs="Times New Roman"/>
      <w:sz w:val="21"/>
      <w:szCs w:val="24"/>
    </w:rPr>
  </w:style>
  <w:style w:type="paragraph" w:customStyle="1" w:styleId="539">
    <w:name w:val="footer1"/>
    <w:basedOn w:val="1"/>
    <w:qFormat/>
    <w:uiPriority w:val="0"/>
    <w:pPr>
      <w:tabs>
        <w:tab w:val="center" w:pos="4153"/>
        <w:tab w:val="right" w:pos="8306"/>
      </w:tabs>
      <w:spacing w:line="856" w:lineRule="atLeast"/>
    </w:pPr>
    <w:rPr>
      <w:rFonts w:ascii="Times New Roman" w:hAnsi="Times New Roman"/>
      <w:color w:val="000000"/>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wmf"/><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Grayscale">
      <a:dk1>
        <a:srgbClr val="000000"/>
      </a:dk1>
      <a:lt1>
        <a:srgbClr val="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extraClrScheme>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Template>
  <Company>CHI</Company>
  <Pages>79</Pages>
  <Words>27129</Words>
  <Characters>28400</Characters>
  <TotalTime>29</TotalTime>
  <ScaleCrop>false</ScaleCrop>
  <LinksUpToDate>false</LinksUpToDate>
  <CharactersWithSpaces>30551</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2021-09-07T07:04:00Z</dcterms:created>
  <dc:creator>x</dc:creator>
  <cp:lastModifiedBy>南京南大尚诚软件科技有限公司</cp:lastModifiedBy>
  <dcterms:modified xsi:type="dcterms:W3CDTF">2025-09-15T06:14:50Z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4F97712790144D2A8C57002C28141C72_13</vt:lpwstr>
  </property>
  <property fmtid="{D5CDD505-2E9C-101B-9397-08002B2CF9AE}" pid="4" name="KSOTemplateDocerSaveRecord">
    <vt:lpwstr>eyJoZGlkIjoiMzAxOGRlY2M3OWE0MzhiMTNkYjg1ZmYzMjU3ZDVmY2QiLCJ1c2VySWQiOiI1NDc5NTg3MjkifQ==</vt:lpwstr>
  </property>
</Properties>
</file>