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opLinePunct/>
        <w:spacing w:line="360" w:lineRule="auto"/>
        <w:rPr>
          <w:rFonts w:ascii="宋体" w:hAnsi="宋体"/>
          <w:b/>
          <w:color w:val="auto"/>
          <w:sz w:val="52"/>
          <w:szCs w:val="52"/>
          <w:highlight w:val="none"/>
        </w:rPr>
      </w:pPr>
      <w:r>
        <w:rPr>
          <w:rFonts w:ascii="宋体" w:hAnsi="宋体"/>
          <w:b/>
          <w:color w:val="auto"/>
          <w:sz w:val="52"/>
          <w:szCs w:val="52"/>
          <w:highlight w:val="none"/>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b/>
          <w:color w:val="auto"/>
          <w:sz w:val="52"/>
          <w:szCs w:val="52"/>
          <w:highlight w:val="none"/>
        </w:rPr>
        <w:instrText xml:space="preserve">ADDIN CNKISM.UserStyle</w:instrText>
      </w:r>
      <w:r>
        <w:rPr>
          <w:rFonts w:ascii="宋体" w:hAnsi="宋体"/>
          <w:b/>
          <w:color w:val="auto"/>
          <w:sz w:val="52"/>
          <w:szCs w:val="52"/>
          <w:highlight w:val="none"/>
        </w:rPr>
        <w:fldChar w:fldCharType="end"/>
      </w:r>
    </w:p>
    <w:p>
      <w:pPr>
        <w:tabs>
          <w:tab w:val="left" w:pos="4080"/>
        </w:tabs>
        <w:topLinePunct/>
        <w:spacing w:line="360" w:lineRule="auto"/>
        <w:rPr>
          <w:rFonts w:ascii="宋体" w:hAnsi="宋体"/>
          <w:b/>
          <w:color w:val="auto"/>
          <w:sz w:val="52"/>
          <w:szCs w:val="52"/>
          <w:highlight w:val="none"/>
        </w:rPr>
      </w:pPr>
    </w:p>
    <w:p>
      <w:pPr>
        <w:topLinePunct/>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无锡市政府采购项目</w:t>
      </w:r>
    </w:p>
    <w:p>
      <w:pPr>
        <w:topLinePunct/>
        <w:spacing w:line="360" w:lineRule="auto"/>
        <w:jc w:val="center"/>
        <w:rPr>
          <w:rFonts w:ascii="宋体" w:hAnsi="宋体"/>
          <w:b/>
          <w:color w:val="auto"/>
          <w:sz w:val="52"/>
          <w:szCs w:val="52"/>
          <w:highlight w:val="none"/>
        </w:rPr>
      </w:pPr>
    </w:p>
    <w:p>
      <w:pPr>
        <w:topLinePunct/>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公开采购文件</w:t>
      </w:r>
    </w:p>
    <w:p>
      <w:pPr>
        <w:topLinePunct/>
        <w:spacing w:line="360" w:lineRule="auto"/>
        <w:jc w:val="center"/>
        <w:rPr>
          <w:rFonts w:ascii="宋体" w:hAnsi="宋体"/>
          <w:b/>
          <w:color w:val="auto"/>
          <w:sz w:val="24"/>
          <w:highlight w:val="none"/>
        </w:rPr>
      </w:pPr>
    </w:p>
    <w:p>
      <w:pPr>
        <w:tabs>
          <w:tab w:val="left" w:pos="5652"/>
        </w:tabs>
        <w:topLinePunct/>
        <w:spacing w:line="360" w:lineRule="auto"/>
        <w:jc w:val="left"/>
        <w:rPr>
          <w:rFonts w:ascii="宋体" w:hAnsi="宋体"/>
          <w:b/>
          <w:color w:val="auto"/>
          <w:sz w:val="24"/>
          <w:highlight w:val="none"/>
        </w:rPr>
      </w:pPr>
      <w:r>
        <w:rPr>
          <w:rFonts w:ascii="宋体" w:hAnsi="宋体"/>
          <w:b/>
          <w:color w:val="auto"/>
          <w:sz w:val="24"/>
          <w:highlight w:val="none"/>
        </w:rPr>
        <w:tab/>
      </w:r>
    </w:p>
    <w:p>
      <w:pPr>
        <w:ind w:left="3036" w:hanging="3036" w:hangingChars="945"/>
        <w:rPr>
          <w:rFonts w:ascii="宋体" w:hAnsi="宋体"/>
          <w:b/>
          <w:color w:val="auto"/>
          <w:sz w:val="32"/>
          <w:szCs w:val="32"/>
          <w:highlight w:val="none"/>
        </w:rPr>
      </w:pPr>
    </w:p>
    <w:p>
      <w:pPr>
        <w:ind w:left="3036" w:hanging="3036" w:hangingChars="945"/>
        <w:rPr>
          <w:rFonts w:ascii="宋体" w:hAnsi="宋体"/>
          <w:b/>
          <w:color w:val="auto"/>
          <w:sz w:val="32"/>
          <w:szCs w:val="32"/>
          <w:highlight w:val="none"/>
        </w:rPr>
      </w:pPr>
    </w:p>
    <w:p>
      <w:pPr>
        <w:ind w:left="3036" w:hanging="3036" w:hangingChars="945"/>
        <w:rPr>
          <w:rFonts w:ascii="宋体" w:hAnsi="宋体"/>
          <w:b/>
          <w:color w:val="auto"/>
          <w:sz w:val="32"/>
          <w:szCs w:val="32"/>
          <w:highlight w:val="none"/>
        </w:rPr>
      </w:pPr>
    </w:p>
    <w:p>
      <w:pPr>
        <w:ind w:left="3036" w:hanging="3036" w:hangingChars="945"/>
        <w:rPr>
          <w:rFonts w:ascii="宋体" w:hAnsi="宋体"/>
          <w:b/>
          <w:color w:val="auto"/>
          <w:sz w:val="32"/>
          <w:szCs w:val="32"/>
          <w:highlight w:val="none"/>
        </w:rPr>
      </w:pPr>
    </w:p>
    <w:p>
      <w:pPr>
        <w:tabs>
          <w:tab w:val="left" w:pos="5529"/>
        </w:tabs>
        <w:ind w:left="2554" w:hanging="2554" w:hangingChars="795"/>
        <w:rPr>
          <w:rFonts w:ascii="宋体" w:hAnsi="宋体"/>
          <w:b/>
          <w:color w:val="auto"/>
          <w:sz w:val="32"/>
          <w:szCs w:val="32"/>
          <w:highlight w:val="none"/>
        </w:rPr>
      </w:pPr>
      <w:r>
        <w:rPr>
          <w:rFonts w:hint="eastAsia" w:ascii="宋体" w:hAnsi="宋体"/>
          <w:b/>
          <w:color w:val="auto"/>
          <w:sz w:val="32"/>
          <w:szCs w:val="32"/>
          <w:highlight w:val="none"/>
        </w:rPr>
        <w:t>采购项目编号：JSZC-320200-JYJF-G2024-0031</w:t>
      </w:r>
    </w:p>
    <w:p>
      <w:pPr>
        <w:ind w:left="3036" w:hanging="3036" w:hangingChars="945"/>
        <w:rPr>
          <w:rFonts w:ascii="宋体" w:hAnsi="宋体"/>
          <w:b/>
          <w:color w:val="auto"/>
          <w:sz w:val="32"/>
          <w:szCs w:val="32"/>
          <w:highlight w:val="none"/>
        </w:rPr>
      </w:pPr>
    </w:p>
    <w:p>
      <w:pPr>
        <w:ind w:left="3036" w:hanging="3036" w:hangingChars="945"/>
        <w:rPr>
          <w:rFonts w:ascii="宋体" w:hAnsi="宋体"/>
          <w:b/>
          <w:color w:val="auto"/>
          <w:sz w:val="32"/>
          <w:szCs w:val="32"/>
          <w:highlight w:val="none"/>
        </w:rPr>
      </w:pPr>
    </w:p>
    <w:p>
      <w:pPr>
        <w:ind w:left="2268" w:right="672" w:rightChars="320" w:hanging="2268" w:hangingChars="706"/>
        <w:rPr>
          <w:rFonts w:ascii="宋体" w:hAnsi="宋体"/>
          <w:b/>
          <w:color w:val="auto"/>
          <w:sz w:val="32"/>
          <w:szCs w:val="32"/>
          <w:highlight w:val="none"/>
        </w:rPr>
      </w:pPr>
      <w:r>
        <w:rPr>
          <w:rFonts w:hint="eastAsia" w:ascii="宋体" w:hAnsi="宋体"/>
          <w:b/>
          <w:color w:val="auto"/>
          <w:sz w:val="32"/>
          <w:szCs w:val="32"/>
          <w:highlight w:val="none"/>
        </w:rPr>
        <w:t>采购项目名称：2023年度第四批无锡市市级政务信息化项目监理服务</w:t>
      </w:r>
    </w:p>
    <w:p>
      <w:pPr>
        <w:topLinePunct/>
        <w:spacing w:line="360" w:lineRule="auto"/>
        <w:rPr>
          <w:rFonts w:ascii="宋体" w:hAnsi="宋体"/>
          <w:b/>
          <w:color w:val="auto"/>
          <w:sz w:val="32"/>
          <w:szCs w:val="32"/>
          <w:highlight w:val="none"/>
        </w:rPr>
      </w:pPr>
    </w:p>
    <w:p>
      <w:pPr>
        <w:pStyle w:val="2"/>
        <w:rPr>
          <w:rFonts w:eastAsiaTheme="minorEastAsia"/>
          <w:color w:val="auto"/>
          <w:highlight w:val="none"/>
        </w:rPr>
      </w:pPr>
    </w:p>
    <w:p>
      <w:pPr>
        <w:topLinePunct/>
        <w:spacing w:line="360" w:lineRule="auto"/>
        <w:rPr>
          <w:rFonts w:ascii="宋体" w:hAnsi="宋体"/>
          <w:b/>
          <w:color w:val="auto"/>
          <w:sz w:val="32"/>
          <w:szCs w:val="32"/>
          <w:highlight w:val="none"/>
        </w:rPr>
      </w:pPr>
      <w:r>
        <w:rPr>
          <w:rFonts w:hint="eastAsia" w:ascii="宋体" w:hAnsi="宋体"/>
          <w:b/>
          <w:color w:val="auto"/>
          <w:sz w:val="32"/>
          <w:szCs w:val="32"/>
          <w:highlight w:val="none"/>
        </w:rPr>
        <w:t>采购代理机构：江苏建圆建方工程管理咨询有限公司</w:t>
      </w:r>
    </w:p>
    <w:p>
      <w:pPr>
        <w:topLinePunct/>
        <w:spacing w:line="360" w:lineRule="auto"/>
        <w:rPr>
          <w:rFonts w:ascii="宋体" w:hAnsi="宋体"/>
          <w:b/>
          <w:color w:val="auto"/>
          <w:sz w:val="32"/>
          <w:szCs w:val="32"/>
          <w:highlight w:val="none"/>
        </w:rPr>
      </w:pPr>
    </w:p>
    <w:p>
      <w:pPr>
        <w:topLinePunct/>
        <w:spacing w:line="360" w:lineRule="auto"/>
        <w:rPr>
          <w:rFonts w:ascii="宋体" w:hAnsi="宋体"/>
          <w:b/>
          <w:color w:val="auto"/>
          <w:sz w:val="24"/>
          <w:highlight w:val="none"/>
        </w:rPr>
      </w:pPr>
    </w:p>
    <w:p>
      <w:pPr>
        <w:topLinePunct/>
        <w:spacing w:line="360" w:lineRule="auto"/>
        <w:rPr>
          <w:rFonts w:ascii="宋体" w:hAnsi="宋体"/>
          <w:b/>
          <w:color w:val="auto"/>
          <w:sz w:val="24"/>
          <w:highlight w:val="none"/>
        </w:rPr>
      </w:pPr>
    </w:p>
    <w:p>
      <w:pPr>
        <w:topLinePunct/>
        <w:spacing w:line="360" w:lineRule="auto"/>
        <w:rPr>
          <w:rFonts w:ascii="宋体" w:hAnsi="宋体"/>
          <w:b/>
          <w:color w:val="auto"/>
          <w:sz w:val="32"/>
          <w:szCs w:val="32"/>
          <w:highlight w:val="none"/>
        </w:rPr>
      </w:pPr>
    </w:p>
    <w:p>
      <w:pPr>
        <w:topLinePunct/>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二○二四年六月</w:t>
      </w:r>
    </w:p>
    <w:p>
      <w:pPr>
        <w:topLinePunct/>
        <w:snapToGrid w:val="0"/>
        <w:spacing w:line="360" w:lineRule="auto"/>
        <w:jc w:val="center"/>
        <w:rPr>
          <w:rFonts w:ascii="宋体" w:hAnsi="宋体"/>
          <w:b/>
          <w:color w:val="auto"/>
          <w:sz w:val="24"/>
          <w:highlight w:val="none"/>
        </w:rPr>
      </w:pPr>
    </w:p>
    <w:p>
      <w:pPr>
        <w:topLinePunct/>
        <w:snapToGrid w:val="0"/>
        <w:spacing w:line="360" w:lineRule="auto"/>
        <w:rPr>
          <w:rFonts w:ascii="宋体" w:hAnsi="宋体"/>
          <w:b/>
          <w:color w:val="auto"/>
          <w:sz w:val="24"/>
          <w:highlight w:val="none"/>
        </w:rPr>
      </w:pPr>
    </w:p>
    <w:p>
      <w:pPr>
        <w:topLinePunct/>
        <w:snapToGrid w:val="0"/>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pPr>
        <w:topLinePunct/>
        <w:snapToGrid w:val="0"/>
        <w:spacing w:line="360" w:lineRule="auto"/>
        <w:jc w:val="center"/>
        <w:rPr>
          <w:rFonts w:ascii="宋体" w:hAnsi="宋体"/>
          <w:b/>
          <w:color w:val="auto"/>
          <w:sz w:val="30"/>
          <w:szCs w:val="30"/>
          <w:highlight w:val="none"/>
        </w:rPr>
      </w:pPr>
    </w:p>
    <w:p>
      <w:pPr>
        <w:tabs>
          <w:tab w:val="left" w:pos="8000"/>
        </w:tabs>
        <w:topLinePunct/>
        <w:snapToGrid w:val="0"/>
        <w:spacing w:line="1000" w:lineRule="exact"/>
        <w:rPr>
          <w:rFonts w:ascii="宋体" w:hAnsi="宋体"/>
          <w:b/>
          <w:color w:val="auto"/>
          <w:sz w:val="30"/>
          <w:szCs w:val="30"/>
          <w:highlight w:val="none"/>
        </w:rPr>
      </w:pPr>
      <w:r>
        <w:rPr>
          <w:rFonts w:hint="eastAsia" w:ascii="宋体" w:hAnsi="宋体"/>
          <w:b/>
          <w:color w:val="auto"/>
          <w:sz w:val="30"/>
          <w:szCs w:val="30"/>
          <w:highlight w:val="none"/>
        </w:rPr>
        <w:t xml:space="preserve">第一部分 </w:t>
      </w:r>
      <w:r>
        <w:rPr>
          <w:rFonts w:ascii="宋体" w:hAnsi="宋体"/>
          <w:b/>
          <w:color w:val="auto"/>
          <w:sz w:val="30"/>
          <w:szCs w:val="30"/>
          <w:highlight w:val="none"/>
        </w:rPr>
        <w:t xml:space="preserve">  </w:t>
      </w:r>
      <w:r>
        <w:rPr>
          <w:rFonts w:hint="eastAsia" w:ascii="宋体" w:hAnsi="宋体"/>
          <w:b/>
          <w:color w:val="auto"/>
          <w:sz w:val="30"/>
          <w:szCs w:val="30"/>
          <w:highlight w:val="none"/>
        </w:rPr>
        <w:t>投标邀请</w:t>
      </w:r>
      <w:r>
        <w:rPr>
          <w:rFonts w:ascii="宋体" w:hAnsi="宋体"/>
          <w:b/>
          <w:color w:val="auto"/>
          <w:sz w:val="30"/>
          <w:szCs w:val="30"/>
          <w:highlight w:val="none"/>
        </w:rPr>
        <w:t>…………………………………</w:t>
      </w:r>
      <w:r>
        <w:rPr>
          <w:rFonts w:hint="eastAsia" w:ascii="宋体" w:hAnsi="宋体"/>
          <w:b/>
          <w:color w:val="auto"/>
          <w:sz w:val="30"/>
          <w:szCs w:val="30"/>
          <w:highlight w:val="none"/>
        </w:rPr>
        <w:t>…</w:t>
      </w:r>
      <w:r>
        <w:rPr>
          <w:rFonts w:ascii="宋体" w:hAnsi="宋体"/>
          <w:b/>
          <w:color w:val="auto"/>
          <w:sz w:val="30"/>
          <w:szCs w:val="30"/>
          <w:highlight w:val="none"/>
        </w:rPr>
        <w:t>……………</w:t>
      </w:r>
      <w:r>
        <w:rPr>
          <w:rFonts w:hint="eastAsia" w:ascii="宋体" w:hAnsi="宋体"/>
          <w:b/>
          <w:color w:val="auto"/>
          <w:sz w:val="30"/>
          <w:szCs w:val="30"/>
          <w:highlight w:val="none"/>
        </w:rPr>
        <w:t>3</w:t>
      </w:r>
    </w:p>
    <w:p>
      <w:pPr>
        <w:topLinePunct/>
        <w:snapToGrid w:val="0"/>
        <w:spacing w:line="1000" w:lineRule="exact"/>
        <w:rPr>
          <w:rFonts w:ascii="宋体" w:hAnsi="宋体"/>
          <w:b/>
          <w:color w:val="auto"/>
          <w:sz w:val="30"/>
          <w:szCs w:val="30"/>
          <w:highlight w:val="none"/>
        </w:rPr>
      </w:pPr>
      <w:r>
        <w:rPr>
          <w:rFonts w:hint="eastAsia" w:ascii="宋体" w:hAnsi="宋体"/>
          <w:b/>
          <w:color w:val="auto"/>
          <w:sz w:val="30"/>
          <w:szCs w:val="30"/>
          <w:highlight w:val="none"/>
        </w:rPr>
        <w:t xml:space="preserve">第二部分 </w:t>
      </w:r>
      <w:r>
        <w:rPr>
          <w:rFonts w:ascii="宋体" w:hAnsi="宋体"/>
          <w:b/>
          <w:color w:val="auto"/>
          <w:sz w:val="30"/>
          <w:szCs w:val="30"/>
          <w:highlight w:val="none"/>
        </w:rPr>
        <w:t xml:space="preserve">  </w:t>
      </w:r>
      <w:r>
        <w:rPr>
          <w:rFonts w:hint="eastAsia" w:ascii="宋体" w:hAnsi="宋体"/>
          <w:b/>
          <w:color w:val="auto"/>
          <w:sz w:val="30"/>
          <w:szCs w:val="30"/>
          <w:highlight w:val="none"/>
        </w:rPr>
        <w:t>投标供应商须知</w:t>
      </w:r>
      <w:r>
        <w:rPr>
          <w:rFonts w:ascii="宋体" w:hAnsi="宋体"/>
          <w:b/>
          <w:color w:val="auto"/>
          <w:sz w:val="30"/>
          <w:szCs w:val="30"/>
          <w:highlight w:val="none"/>
        </w:rPr>
        <w:t>…………………………………………7</w:t>
      </w:r>
    </w:p>
    <w:p>
      <w:pPr>
        <w:topLinePunct/>
        <w:snapToGrid w:val="0"/>
        <w:spacing w:line="1000" w:lineRule="exact"/>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 xml:space="preserve">第三部分 </w:t>
      </w:r>
      <w:r>
        <w:rPr>
          <w:rFonts w:ascii="宋体" w:hAnsi="宋体"/>
          <w:b/>
          <w:color w:val="auto"/>
          <w:sz w:val="30"/>
          <w:szCs w:val="30"/>
          <w:highlight w:val="none"/>
        </w:rPr>
        <w:t xml:space="preserve">  </w:t>
      </w:r>
      <w:r>
        <w:rPr>
          <w:rFonts w:hint="eastAsia" w:ascii="宋体" w:hAnsi="宋体"/>
          <w:b/>
          <w:color w:val="auto"/>
          <w:sz w:val="30"/>
          <w:szCs w:val="30"/>
          <w:highlight w:val="none"/>
        </w:rPr>
        <w:t>采购需求</w:t>
      </w:r>
      <w:r>
        <w:rPr>
          <w:rFonts w:ascii="宋体" w:hAnsi="宋体"/>
          <w:b/>
          <w:color w:val="auto"/>
          <w:sz w:val="30"/>
          <w:szCs w:val="30"/>
          <w:highlight w:val="none"/>
        </w:rPr>
        <w:t>…………………………………………………</w:t>
      </w:r>
      <w:r>
        <w:rPr>
          <w:rFonts w:hint="eastAsia" w:ascii="宋体" w:hAnsi="宋体"/>
          <w:b/>
          <w:color w:val="auto"/>
          <w:sz w:val="30"/>
          <w:szCs w:val="30"/>
          <w:highlight w:val="none"/>
        </w:rPr>
        <w:t>2</w:t>
      </w:r>
      <w:r>
        <w:rPr>
          <w:rFonts w:hint="eastAsia" w:ascii="宋体" w:hAnsi="宋体"/>
          <w:b/>
          <w:color w:val="auto"/>
          <w:sz w:val="30"/>
          <w:szCs w:val="30"/>
          <w:highlight w:val="none"/>
          <w:lang w:val="en-US" w:eastAsia="zh-CN"/>
        </w:rPr>
        <w:t>2</w:t>
      </w:r>
    </w:p>
    <w:p>
      <w:pPr>
        <w:topLinePunct/>
        <w:snapToGrid w:val="0"/>
        <w:spacing w:line="1000" w:lineRule="exact"/>
        <w:rPr>
          <w:rFonts w:hint="default" w:ascii="宋体" w:hAnsi="宋体" w:eastAsia="宋体"/>
          <w:b/>
          <w:color w:val="auto"/>
          <w:sz w:val="30"/>
          <w:szCs w:val="30"/>
          <w:highlight w:val="none"/>
          <w:lang w:val="en-US" w:eastAsia="zh-CN"/>
        </w:rPr>
      </w:pPr>
      <w:r>
        <w:rPr>
          <w:rFonts w:hint="eastAsia" w:ascii="宋体" w:hAnsi="宋体"/>
          <w:b/>
          <w:color w:val="auto"/>
          <w:sz w:val="30"/>
          <w:szCs w:val="30"/>
          <w:highlight w:val="none"/>
        </w:rPr>
        <w:t xml:space="preserve">第四部分 </w:t>
      </w:r>
      <w:r>
        <w:rPr>
          <w:rFonts w:hint="eastAsia" w:ascii="宋体" w:hAnsi="宋体"/>
          <w:b/>
          <w:color w:val="auto"/>
          <w:sz w:val="30"/>
          <w:szCs w:val="30"/>
          <w:highlight w:val="none"/>
          <w:lang w:val="en-US" w:eastAsia="zh-CN"/>
        </w:rPr>
        <w:t xml:space="preserve">  </w:t>
      </w:r>
      <w:r>
        <w:rPr>
          <w:rFonts w:hint="eastAsia" w:ascii="宋体" w:hAnsi="宋体"/>
          <w:b/>
          <w:color w:val="auto"/>
          <w:sz w:val="30"/>
          <w:szCs w:val="30"/>
          <w:highlight w:val="none"/>
        </w:rPr>
        <w:t>合同书…………………………………………</w:t>
      </w:r>
      <w:r>
        <w:rPr>
          <w:rFonts w:ascii="宋体" w:hAnsi="宋体"/>
          <w:b/>
          <w:color w:val="auto"/>
          <w:sz w:val="30"/>
          <w:szCs w:val="30"/>
          <w:highlight w:val="none"/>
        </w:rPr>
        <w:t>…</w:t>
      </w:r>
      <w:r>
        <w:rPr>
          <w:rFonts w:hint="eastAsia" w:ascii="宋体" w:hAnsi="宋体"/>
          <w:b/>
          <w:color w:val="auto"/>
          <w:sz w:val="30"/>
          <w:szCs w:val="30"/>
          <w:highlight w:val="none"/>
        </w:rPr>
        <w:t>………</w:t>
      </w:r>
      <w:r>
        <w:rPr>
          <w:rFonts w:hint="eastAsia" w:ascii="宋体" w:hAnsi="宋体"/>
          <w:b/>
          <w:color w:val="auto"/>
          <w:sz w:val="30"/>
          <w:szCs w:val="30"/>
          <w:highlight w:val="none"/>
          <w:lang w:val="en-US" w:eastAsia="zh-CN"/>
        </w:rPr>
        <w:t>30</w:t>
      </w:r>
    </w:p>
    <w:p>
      <w:pPr>
        <w:topLinePunct/>
        <w:snapToGrid w:val="0"/>
        <w:spacing w:line="1000" w:lineRule="exact"/>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第五部分   附件</w:t>
      </w:r>
      <w:r>
        <w:rPr>
          <w:rFonts w:ascii="宋体" w:hAnsi="宋体"/>
          <w:b/>
          <w:color w:val="auto"/>
          <w:sz w:val="30"/>
          <w:szCs w:val="30"/>
          <w:highlight w:val="none"/>
        </w:rPr>
        <w:t>………………………………………………………</w:t>
      </w:r>
      <w:r>
        <w:rPr>
          <w:rFonts w:hint="eastAsia" w:ascii="宋体" w:hAnsi="宋体"/>
          <w:b/>
          <w:color w:val="auto"/>
          <w:sz w:val="30"/>
          <w:szCs w:val="30"/>
          <w:highlight w:val="none"/>
          <w:lang w:val="en-US" w:eastAsia="zh-CN"/>
        </w:rPr>
        <w:t>36</w:t>
      </w:r>
    </w:p>
    <w:p>
      <w:pPr>
        <w:widowControl/>
        <w:topLinePunct/>
        <w:snapToGrid w:val="0"/>
        <w:spacing w:line="360" w:lineRule="auto"/>
        <w:rPr>
          <w:rFonts w:ascii="宋体" w:hAnsi="宋体"/>
          <w:b/>
          <w:color w:val="auto"/>
          <w:sz w:val="30"/>
          <w:szCs w:val="30"/>
          <w:highlight w:val="none"/>
        </w:rPr>
      </w:pPr>
    </w:p>
    <w:p>
      <w:pPr>
        <w:widowControl/>
        <w:topLinePunct/>
        <w:snapToGrid w:val="0"/>
        <w:spacing w:line="360" w:lineRule="auto"/>
        <w:rPr>
          <w:rFonts w:ascii="宋体" w:hAnsi="宋体"/>
          <w:b/>
          <w:color w:val="auto"/>
          <w:sz w:val="24"/>
          <w:highlight w:val="none"/>
        </w:rPr>
      </w:pPr>
    </w:p>
    <w:p>
      <w:pPr>
        <w:widowControl/>
        <w:topLinePunct/>
        <w:snapToGrid w:val="0"/>
        <w:spacing w:line="360" w:lineRule="auto"/>
        <w:rPr>
          <w:rFonts w:ascii="宋体" w:hAnsi="宋体"/>
          <w:b/>
          <w:color w:val="auto"/>
          <w:sz w:val="24"/>
          <w:highlight w:val="none"/>
        </w:rPr>
      </w:pPr>
    </w:p>
    <w:p>
      <w:pPr>
        <w:widowControl/>
        <w:topLinePunct/>
        <w:snapToGrid w:val="0"/>
        <w:spacing w:line="360" w:lineRule="auto"/>
        <w:rPr>
          <w:rFonts w:ascii="宋体" w:hAnsi="宋体"/>
          <w:b/>
          <w:color w:val="auto"/>
          <w:sz w:val="24"/>
          <w:highlight w:val="none"/>
        </w:rPr>
      </w:pPr>
    </w:p>
    <w:p>
      <w:pPr>
        <w:widowControl/>
        <w:topLinePunct/>
        <w:spacing w:before="470"/>
        <w:rPr>
          <w:rFonts w:ascii="宋体" w:hAnsi="宋体"/>
          <w:b/>
          <w:color w:val="auto"/>
          <w:sz w:val="24"/>
          <w:highlight w:val="none"/>
        </w:rPr>
      </w:pPr>
    </w:p>
    <w:p>
      <w:pPr>
        <w:widowControl/>
        <w:topLinePunct/>
        <w:spacing w:before="470"/>
        <w:rPr>
          <w:rFonts w:ascii="宋体" w:hAnsi="宋体"/>
          <w:b/>
          <w:color w:val="auto"/>
          <w:sz w:val="24"/>
          <w:highlight w:val="none"/>
        </w:rPr>
      </w:pPr>
    </w:p>
    <w:p>
      <w:pPr>
        <w:spacing w:line="360" w:lineRule="auto"/>
        <w:jc w:val="center"/>
        <w:outlineLvl w:val="0"/>
        <w:rPr>
          <w:rFonts w:ascii="宋体" w:hAnsi="宋体"/>
          <w:b/>
          <w:color w:val="auto"/>
          <w:sz w:val="44"/>
          <w:szCs w:val="44"/>
          <w:highlight w:val="none"/>
        </w:rPr>
      </w:pPr>
      <w:r>
        <w:rPr>
          <w:rFonts w:ascii="宋体" w:hAnsi="宋体"/>
          <w:b/>
          <w:color w:val="auto"/>
          <w:sz w:val="24"/>
          <w:highlight w:val="none"/>
        </w:rPr>
        <w:br w:type="page"/>
      </w:r>
      <w:r>
        <w:rPr>
          <w:rFonts w:hint="eastAsia" w:ascii="宋体" w:hAnsi="宋体"/>
          <w:b/>
          <w:color w:val="auto"/>
          <w:sz w:val="44"/>
          <w:szCs w:val="44"/>
          <w:highlight w:val="none"/>
        </w:rPr>
        <w:t>第一部分. 投标邀请</w:t>
      </w:r>
    </w:p>
    <w:p>
      <w:pPr>
        <w:widowControl/>
        <w:topLinePunct/>
        <w:ind w:firstLine="482" w:firstLineChars="200"/>
        <w:jc w:val="left"/>
        <w:rPr>
          <w:rFonts w:ascii="宋体" w:hAnsi="宋体"/>
          <w:b/>
          <w:color w:val="auto"/>
          <w:sz w:val="44"/>
          <w:szCs w:val="44"/>
          <w:highlight w:val="none"/>
        </w:rPr>
      </w:pPr>
      <w:r>
        <w:rPr>
          <w:rFonts w:hint="eastAsia" w:ascii="宋体" w:hAnsi="宋体" w:cs="ˎ̥"/>
          <w:b/>
          <w:color w:val="auto"/>
          <w:kern w:val="0"/>
          <w:sz w:val="24"/>
          <w:highlight w:val="none"/>
        </w:rPr>
        <w:t>江苏建圆建方工程管理咨询有限公司</w:t>
      </w:r>
      <w:r>
        <w:rPr>
          <w:rFonts w:ascii="宋体" w:hAnsi="宋体" w:cs="ˎ̥"/>
          <w:color w:val="auto"/>
          <w:kern w:val="0"/>
          <w:sz w:val="24"/>
          <w:highlight w:val="none"/>
        </w:rPr>
        <w:t>受</w:t>
      </w:r>
      <w:r>
        <w:rPr>
          <w:rFonts w:hint="eastAsia" w:ascii="宋体" w:hAnsi="宋体" w:cs="ˎ̥"/>
          <w:b/>
          <w:color w:val="auto"/>
          <w:kern w:val="0"/>
          <w:sz w:val="24"/>
          <w:highlight w:val="none"/>
        </w:rPr>
        <w:t>无锡市数据局</w:t>
      </w:r>
      <w:r>
        <w:rPr>
          <w:rFonts w:ascii="宋体" w:hAnsi="宋体" w:cs="ˎ̥"/>
          <w:color w:val="auto"/>
          <w:kern w:val="0"/>
          <w:sz w:val="24"/>
          <w:highlight w:val="none"/>
        </w:rPr>
        <w:t>委托，就其</w:t>
      </w:r>
      <w:r>
        <w:rPr>
          <w:rFonts w:hint="eastAsia" w:ascii="宋体" w:hAnsi="宋体" w:cs="ˎ̥"/>
          <w:b/>
          <w:color w:val="auto"/>
          <w:kern w:val="0"/>
          <w:sz w:val="24"/>
          <w:highlight w:val="none"/>
        </w:rPr>
        <w:t>2023年度第四批无锡市市级政务信息化项目监理服务</w:t>
      </w:r>
      <w:r>
        <w:rPr>
          <w:rFonts w:ascii="宋体" w:hAnsi="宋体" w:cs="ˎ̥"/>
          <w:color w:val="auto"/>
          <w:kern w:val="0"/>
          <w:sz w:val="24"/>
          <w:highlight w:val="none"/>
        </w:rPr>
        <w:t>进行</w:t>
      </w:r>
      <w:r>
        <w:rPr>
          <w:rFonts w:hint="eastAsia" w:ascii="宋体" w:hAnsi="宋体" w:cs="ˎ̥"/>
          <w:color w:val="auto"/>
          <w:kern w:val="0"/>
          <w:sz w:val="24"/>
          <w:highlight w:val="none"/>
        </w:rPr>
        <w:t>公开招标，</w:t>
      </w:r>
      <w:r>
        <w:rPr>
          <w:rFonts w:ascii="宋体" w:hAnsi="宋体" w:cs="ˎ̥"/>
          <w:color w:val="auto"/>
          <w:kern w:val="0"/>
          <w:sz w:val="24"/>
          <w:highlight w:val="none"/>
        </w:rPr>
        <w:t>现欢迎符合相关条件的供应商参加</w:t>
      </w:r>
      <w:r>
        <w:rPr>
          <w:rFonts w:hint="eastAsia" w:ascii="宋体" w:hAnsi="宋体" w:cs="ˎ̥"/>
          <w:color w:val="auto"/>
          <w:kern w:val="0"/>
          <w:sz w:val="24"/>
          <w:highlight w:val="none"/>
        </w:rPr>
        <w:t>投标。本项目注意事项如下：</w:t>
      </w:r>
    </w:p>
    <w:tbl>
      <w:tblPr>
        <w:tblStyle w:val="6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序号</w:t>
            </w:r>
          </w:p>
        </w:tc>
        <w:tc>
          <w:tcPr>
            <w:tcW w:w="822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1</w:t>
            </w:r>
          </w:p>
        </w:tc>
        <w:tc>
          <w:tcPr>
            <w:tcW w:w="8221" w:type="dxa"/>
            <w:vAlign w:val="center"/>
          </w:tcPr>
          <w:p>
            <w:pPr>
              <w:widowControl/>
              <w:topLinePunct/>
              <w:spacing w:line="360" w:lineRule="auto"/>
              <w:rPr>
                <w:rFonts w:ascii="宋体" w:hAnsi="宋体" w:cs="ˎ̥"/>
                <w:b/>
                <w:color w:val="auto"/>
                <w:kern w:val="0"/>
                <w:sz w:val="24"/>
                <w:highlight w:val="none"/>
              </w:rPr>
            </w:pPr>
            <w:r>
              <w:rPr>
                <w:rFonts w:hint="eastAsia" w:ascii="宋体" w:hAnsi="宋体"/>
                <w:color w:val="auto"/>
                <w:sz w:val="24"/>
                <w:highlight w:val="none"/>
              </w:rPr>
              <w:t>项目名称</w:t>
            </w:r>
            <w:r>
              <w:rPr>
                <w:rFonts w:hint="eastAsia" w:ascii="宋体" w:hAnsi="宋体" w:cs="ˎ̥"/>
                <w:b/>
                <w:color w:val="auto"/>
                <w:kern w:val="0"/>
                <w:sz w:val="24"/>
                <w:highlight w:val="none"/>
              </w:rPr>
              <w:t>：2023年度第四批无锡市市级政务信息化项目监理服务</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采购项目编号：JSZC-320200-JYJF-G2024-0031</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采购方式：公开招标</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采购内容：</w:t>
            </w:r>
            <w:r>
              <w:rPr>
                <w:rFonts w:hint="eastAsia" w:ascii="宋体" w:hAnsi="宋体"/>
                <w:b/>
                <w:bCs/>
                <w:color w:val="auto"/>
                <w:sz w:val="24"/>
                <w:highlight w:val="none"/>
              </w:rPr>
              <w:t>2023年度第四批无锡市市级政务信息化项目监理服务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2</w:t>
            </w:r>
          </w:p>
        </w:tc>
        <w:tc>
          <w:tcPr>
            <w:tcW w:w="8221" w:type="dxa"/>
            <w:vAlign w:val="center"/>
          </w:tcPr>
          <w:p>
            <w:pPr>
              <w:widowControl/>
              <w:topLinePunct/>
              <w:spacing w:line="360" w:lineRule="auto"/>
              <w:rPr>
                <w:rFonts w:ascii="宋体" w:hAnsi="宋体" w:cs="ˎ̥"/>
                <w:b/>
                <w:color w:val="auto"/>
                <w:kern w:val="0"/>
                <w:sz w:val="24"/>
                <w:highlight w:val="none"/>
              </w:rPr>
            </w:pPr>
            <w:r>
              <w:rPr>
                <w:rFonts w:hint="eastAsia" w:ascii="宋体" w:hAnsi="宋体"/>
                <w:color w:val="auto"/>
                <w:sz w:val="24"/>
                <w:highlight w:val="none"/>
              </w:rPr>
              <w:t>采购人：</w:t>
            </w:r>
            <w:r>
              <w:rPr>
                <w:rFonts w:hint="eastAsia" w:ascii="宋体" w:hAnsi="宋体" w:cs="ˎ̥"/>
                <w:b/>
                <w:color w:val="auto"/>
                <w:kern w:val="0"/>
                <w:sz w:val="24"/>
                <w:highlight w:val="none"/>
              </w:rPr>
              <w:t>无锡市数据局</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采购人地址：无锡市观山路199号10号楼</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采购代理机构：江苏建圆建方工程管理咨询有限公司</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采购机构地址：无锡市锡山区东亭迎宾南路17号7楼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3</w:t>
            </w:r>
          </w:p>
        </w:tc>
        <w:tc>
          <w:tcPr>
            <w:tcW w:w="8221" w:type="dxa"/>
            <w:vAlign w:val="center"/>
          </w:tcPr>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（一）招标项目简要说明：</w:t>
            </w:r>
          </w:p>
          <w:p>
            <w:pPr>
              <w:widowControl/>
              <w:topLinePunct/>
              <w:spacing w:line="360" w:lineRule="auto"/>
              <w:ind w:firstLine="480" w:firstLineChars="200"/>
              <w:rPr>
                <w:rFonts w:ascii="宋体" w:hAnsi="宋体" w:cs="宋体"/>
                <w:b/>
                <w:bCs/>
                <w:color w:val="auto"/>
                <w:sz w:val="24"/>
                <w:highlight w:val="none"/>
              </w:rPr>
            </w:pPr>
            <w:bookmarkStart w:id="0" w:name="_Hlk46395971"/>
            <w:r>
              <w:rPr>
                <w:rFonts w:hint="eastAsia" w:ascii="宋体" w:hAnsi="宋体" w:cs="宋体"/>
                <w:color w:val="auto"/>
                <w:sz w:val="24"/>
                <w:highlight w:val="none"/>
              </w:rPr>
              <w:t>1.</w:t>
            </w:r>
            <w:r>
              <w:rPr>
                <w:rFonts w:hint="eastAsia" w:ascii="宋体" w:hAnsi="宋体" w:cs="宋体"/>
                <w:b/>
                <w:bCs/>
                <w:color w:val="auto"/>
                <w:sz w:val="24"/>
                <w:highlight w:val="none"/>
              </w:rPr>
              <w:t>采购范围：</w:t>
            </w:r>
            <w:r>
              <w:rPr>
                <w:rFonts w:hint="eastAsia" w:ascii="宋体" w:hAnsi="宋体" w:cs="宋体"/>
                <w:color w:val="auto"/>
                <w:sz w:val="24"/>
                <w:highlight w:val="none"/>
              </w:rPr>
              <w:t>2023年度第四批无锡市市级政务信息化项目监理服务，包括</w:t>
            </w:r>
            <w:r>
              <w:rPr>
                <w:rFonts w:hint="eastAsia" w:ascii="宋体" w:hAnsi="宋体" w:cs="宋体"/>
                <w:b/>
                <w:bCs/>
                <w:color w:val="auto"/>
                <w:sz w:val="24"/>
                <w:highlight w:val="none"/>
              </w:rPr>
              <w:t>2个标段</w:t>
            </w:r>
            <w:r>
              <w:rPr>
                <w:rFonts w:hint="eastAsia" w:ascii="宋体" w:hAnsi="宋体" w:cs="宋体"/>
                <w:color w:val="auto"/>
                <w:sz w:val="24"/>
                <w:highlight w:val="none"/>
              </w:rPr>
              <w:t>（标段1：要求监理单位对市公安局等共计23个项目提供全过程、全方位监理服务；标段2：要求监理单位对市住建局等共计15个项目提供全过程、全方位监理服务）；具体要求详见本采购文件采购需求；</w:t>
            </w:r>
          </w:p>
          <w:p>
            <w:pPr>
              <w:pStyle w:val="60"/>
              <w:tabs>
                <w:tab w:val="left" w:pos="360"/>
                <w:tab w:val="left" w:pos="960"/>
              </w:tabs>
              <w:spacing w:before="0" w:beforeAutospacing="0" w:after="0" w:afterAutospacing="0" w:line="360" w:lineRule="auto"/>
              <w:ind w:firstLine="530" w:firstLineChars="221"/>
              <w:rPr>
                <w:rFonts w:ascii="宋体" w:hAnsi="宋体" w:cs="宋体"/>
                <w:color w:val="auto"/>
                <w:szCs w:val="21"/>
                <w:highlight w:val="none"/>
              </w:rPr>
            </w:pPr>
            <w:bookmarkStart w:id="1" w:name="_Hlk56594533"/>
            <w:r>
              <w:rPr>
                <w:rFonts w:hint="eastAsia" w:ascii="宋体" w:hAnsi="宋体" w:cs="宋体"/>
                <w:color w:val="auto"/>
                <w:szCs w:val="21"/>
                <w:highlight w:val="none"/>
              </w:rPr>
              <w:t>2.</w:t>
            </w:r>
            <w:r>
              <w:rPr>
                <w:rFonts w:hint="eastAsia" w:ascii="宋体" w:hAnsi="宋体" w:cs="宋体"/>
                <w:b/>
                <w:color w:val="auto"/>
                <w:highlight w:val="none"/>
              </w:rPr>
              <w:t>监理范围</w:t>
            </w:r>
            <w:r>
              <w:rPr>
                <w:rFonts w:hint="eastAsia" w:ascii="宋体" w:hAnsi="宋体" w:cs="宋体"/>
                <w:bCs/>
                <w:color w:val="auto"/>
                <w:highlight w:val="none"/>
              </w:rPr>
              <w:t>：监理单位需对标段内所有项目提供全过程、全方位监理服务；</w:t>
            </w:r>
            <w:r>
              <w:rPr>
                <w:rFonts w:hint="eastAsia" w:ascii="宋体" w:hAnsi="宋体" w:cs="宋体"/>
                <w:color w:val="auto"/>
                <w:szCs w:val="21"/>
                <w:highlight w:val="none"/>
              </w:rPr>
              <w:t>监理工作内容主要包括技术总体方案把关、质量控制、进度控制、投资控制、变更控制、合同管理、信息及文档管理、安全管理、沟通管理、知识产权管理等。依据合同做好相关各类项目会议的组织、记录，项目文档起草、归档、移交等管理工作；针对项目建设情况，提出合理化的改进改良建议；全面负责项目各方的工作协调、督办等；协助采购人及建设单位完成上级各部门对本项目的检查、考核、验收等工作。</w:t>
            </w:r>
          </w:p>
          <w:p>
            <w:pPr>
              <w:pStyle w:val="60"/>
              <w:tabs>
                <w:tab w:val="left" w:pos="360"/>
                <w:tab w:val="left" w:pos="960"/>
              </w:tabs>
              <w:spacing w:before="0" w:beforeAutospacing="0" w:after="0" w:afterAutospacing="0" w:line="360" w:lineRule="auto"/>
              <w:ind w:firstLine="530" w:firstLineChars="221"/>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bCs/>
                <w:color w:val="auto"/>
                <w:szCs w:val="21"/>
                <w:highlight w:val="none"/>
              </w:rPr>
              <w:t>服务期限</w:t>
            </w:r>
            <w:r>
              <w:rPr>
                <w:rFonts w:hint="eastAsia" w:ascii="宋体" w:hAnsi="宋体" w:cs="宋体"/>
                <w:color w:val="auto"/>
                <w:szCs w:val="21"/>
                <w:highlight w:val="none"/>
              </w:rPr>
              <w:t>：合同签订后至标段内所有项目通过最终验收为止；</w:t>
            </w:r>
          </w:p>
          <w:p>
            <w:pPr>
              <w:pStyle w:val="60"/>
              <w:tabs>
                <w:tab w:val="left" w:pos="360"/>
                <w:tab w:val="left" w:pos="960"/>
              </w:tabs>
              <w:spacing w:before="0" w:beforeAutospacing="0" w:after="0" w:afterAutospacing="0" w:line="360" w:lineRule="auto"/>
              <w:ind w:firstLine="530" w:firstLineChars="221"/>
              <w:rPr>
                <w:rFonts w:ascii="Times New Roman" w:hAnsi="Times New Roman"/>
                <w:color w:val="auto"/>
                <w:szCs w:val="21"/>
                <w:highlight w:val="none"/>
              </w:rPr>
            </w:pPr>
            <w:r>
              <w:rPr>
                <w:rFonts w:hint="eastAsia" w:ascii="宋体" w:hAnsi="宋体" w:cs="宋体"/>
                <w:color w:val="auto"/>
                <w:szCs w:val="21"/>
                <w:highlight w:val="none"/>
              </w:rPr>
              <w:t>4.</w:t>
            </w:r>
            <w:r>
              <w:rPr>
                <w:rFonts w:hint="eastAsia" w:ascii="宋体" w:hAnsi="宋体" w:cs="宋体"/>
                <w:b/>
                <w:bCs/>
                <w:color w:val="auto"/>
                <w:szCs w:val="21"/>
                <w:highlight w:val="none"/>
              </w:rPr>
              <w:t>质量标准</w:t>
            </w:r>
            <w:r>
              <w:rPr>
                <w:rFonts w:hint="eastAsia" w:ascii="宋体" w:hAnsi="宋体" w:cs="宋体"/>
                <w:color w:val="auto"/>
                <w:szCs w:val="21"/>
                <w:highlight w:val="none"/>
              </w:rPr>
              <w:t>：一次性通过系统验收并</w:t>
            </w:r>
            <w:r>
              <w:rPr>
                <w:rFonts w:hint="eastAsia" w:ascii="Times New Roman" w:hAnsi="Times New Roman"/>
                <w:color w:val="auto"/>
                <w:szCs w:val="21"/>
                <w:highlight w:val="none"/>
              </w:rPr>
              <w:t>达到“合格”标准；</w:t>
            </w:r>
          </w:p>
          <w:bookmarkEnd w:id="0"/>
          <w:bookmarkEnd w:id="1"/>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（二）本项目采购预算为330.3732万元（其中标段一为123.7858万元；标段二为206.5874万元；超出预算价按无效标处理）。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（三）本项目 设定 最高限价，最高限价为330.3732万元（其中标段一为123.7858万元；标段二为206.5874万元）。</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（四）本项目不接受联合体投标。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（五）本项目是否专门面向中小企业：</w:t>
            </w:r>
            <w:r>
              <w:rPr>
                <w:rFonts w:hint="eastAsia" w:ascii="宋体" w:hAnsi="宋体"/>
                <w:color w:val="auto"/>
                <w:sz w:val="24"/>
                <w:highlight w:val="none"/>
                <w:lang w:val="en-US" w:eastAsia="zh-CN"/>
              </w:rPr>
              <w:t>否</w:t>
            </w:r>
            <w:r>
              <w:rPr>
                <w:rFonts w:hint="eastAsia" w:ascii="宋体" w:hAnsi="宋体"/>
                <w:color w:val="auto"/>
                <w:sz w:val="24"/>
                <w:highlight w:val="none"/>
              </w:rPr>
              <w:t>。</w:t>
            </w:r>
          </w:p>
          <w:p>
            <w:pPr>
              <w:tabs>
                <w:tab w:val="left" w:pos="945"/>
                <w:tab w:val="left" w:pos="1155"/>
              </w:tabs>
              <w:adjustRightInd w:val="0"/>
              <w:snapToGrid w:val="0"/>
              <w:spacing w:line="360" w:lineRule="auto"/>
              <w:ind w:firstLine="566" w:firstLineChars="236"/>
              <w:rPr>
                <w:rFonts w:hint="eastAsia" w:ascii="宋体" w:hAnsi="宋体" w:eastAsia="宋体"/>
                <w:color w:val="auto"/>
                <w:sz w:val="24"/>
                <w:highlight w:val="none"/>
                <w:lang w:eastAsia="zh-CN"/>
              </w:rPr>
            </w:pPr>
            <w:r>
              <w:rPr>
                <w:rFonts w:hint="eastAsia" w:ascii="宋体" w:hAnsi="宋体"/>
                <w:color w:val="auto"/>
                <w:sz w:val="24"/>
                <w:highlight w:val="none"/>
              </w:rPr>
              <w:t>（六）本项目标的所属行业：</w:t>
            </w:r>
            <w:r>
              <w:rPr>
                <w:rFonts w:hint="eastAsia" w:hAnsi="宋体" w:cs="宋体"/>
                <w:bCs/>
                <w:color w:val="auto"/>
                <w:sz w:val="24"/>
                <w:highlight w:val="none"/>
              </w:rPr>
              <w:t>软件和信息技术服务业</w:t>
            </w: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eastAsia="宋体" w:cs="宋体"/>
                <w:b/>
                <w:bCs/>
                <w:color w:val="auto"/>
                <w:highlight w:val="none"/>
              </w:rPr>
              <w:t>根据《关于印发中小企业划型标准规定的通知》工信部联企业〔2011〕300号规定，软件和信息技术服务业</w:t>
            </w:r>
            <w:r>
              <w:rPr>
                <w:rFonts w:hint="eastAsia" w:ascii="宋体" w:hAnsi="宋体" w:cs="宋体"/>
                <w:b/>
                <w:bCs/>
                <w:color w:val="auto"/>
                <w:highlight w:val="none"/>
                <w:lang w:eastAsia="zh-CN"/>
              </w:rPr>
              <w:t>：</w:t>
            </w:r>
            <w:r>
              <w:rPr>
                <w:rFonts w:hint="eastAsia" w:ascii="宋体" w:hAnsi="宋体" w:eastAsia="宋体" w:cs="宋体"/>
                <w:b/>
                <w:bCs/>
                <w:color w:val="auto"/>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olor w:val="auto"/>
                <w:sz w:val="24"/>
                <w:highlight w:val="none"/>
                <w:lang w:eastAsia="zh-CN"/>
              </w:rPr>
              <w:t>）</w:t>
            </w:r>
          </w:p>
          <w:p>
            <w:pPr>
              <w:spacing w:line="360" w:lineRule="auto"/>
              <w:ind w:firstLine="482" w:firstLineChars="200"/>
              <w:rPr>
                <w:rFonts w:ascii="宋体" w:hAnsi="宋体"/>
                <w:color w:val="auto"/>
                <w:sz w:val="24"/>
                <w:highlight w:val="none"/>
              </w:rPr>
            </w:pPr>
            <w:r>
              <w:rPr>
                <w:rFonts w:ascii="宋体" w:hAnsi="宋体" w:cs="宋体"/>
                <w:b/>
                <w:bCs/>
                <w:color w:val="auto"/>
                <w:sz w:val="24"/>
                <w:highlight w:val="none"/>
              </w:rPr>
              <w:t>注：投标供应商可参加本次采购所有标段的投标报名，但中标只能中1个标段。评分排名均第一的情况下由投标单位在投标文件中承诺优先中何标段。如某标段排名第一的供应商已经中了其他标段，则该标段由排名第二的供应商中标，</w:t>
            </w:r>
            <w:r>
              <w:rPr>
                <w:rFonts w:hint="eastAsia" w:ascii="宋体" w:hAnsi="宋体" w:cs="宋体"/>
                <w:b/>
                <w:bCs/>
                <w:color w:val="auto"/>
                <w:sz w:val="24"/>
                <w:highlight w:val="none"/>
              </w:rPr>
              <w:t>依此类推</w:t>
            </w:r>
            <w:r>
              <w:rPr>
                <w:rFonts w:ascii="宋体" w:hAnsi="宋体" w:cs="宋体"/>
                <w:b/>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60"/>
              <w:tabs>
                <w:tab w:val="left" w:pos="0"/>
              </w:tabs>
              <w:adjustRightInd/>
              <w:spacing w:before="0" w:beforeAutospacing="0" w:after="0" w:afterAutospacing="0" w:line="320" w:lineRule="exact"/>
              <w:ind w:firstLine="0"/>
              <w:jc w:val="center"/>
              <w:textAlignment w:val="auto"/>
              <w:rPr>
                <w:rFonts w:ascii="宋体" w:hAnsi="宋体"/>
                <w:color w:val="auto"/>
                <w:kern w:val="2"/>
                <w:highlight w:val="none"/>
              </w:rPr>
            </w:pPr>
            <w:r>
              <w:rPr>
                <w:rFonts w:hint="eastAsia" w:ascii="宋体" w:hAnsi="宋体"/>
                <w:color w:val="auto"/>
                <w:kern w:val="2"/>
                <w:highlight w:val="none"/>
              </w:rPr>
              <w:t>4</w:t>
            </w:r>
          </w:p>
        </w:tc>
        <w:tc>
          <w:tcPr>
            <w:tcW w:w="8221" w:type="dxa"/>
            <w:vAlign w:val="center"/>
          </w:tcPr>
          <w:p>
            <w:pPr>
              <w:pStyle w:val="60"/>
              <w:shd w:val="clear" w:color="auto" w:fill="FFFFFF"/>
              <w:spacing w:before="90" w:beforeAutospacing="0" w:after="90" w:afterAutospacing="0" w:line="360" w:lineRule="atLeast"/>
              <w:ind w:firstLine="0"/>
              <w:rPr>
                <w:rStyle w:val="126"/>
                <w:rFonts w:ascii="宋体" w:hAnsi="宋体"/>
                <w:color w:val="auto"/>
                <w:highlight w:val="none"/>
              </w:rPr>
            </w:pPr>
            <w:r>
              <w:rPr>
                <w:rStyle w:val="70"/>
                <w:rFonts w:hint="eastAsia" w:ascii="宋体" w:hAnsi="宋体"/>
                <w:color w:val="auto"/>
                <w:highlight w:val="none"/>
              </w:rPr>
              <w:t>投标供应商资格要求:</w:t>
            </w:r>
          </w:p>
          <w:p>
            <w:pPr>
              <w:pStyle w:val="60"/>
              <w:tabs>
                <w:tab w:val="left" w:pos="360"/>
                <w:tab w:val="left" w:pos="960"/>
              </w:tabs>
              <w:spacing w:before="0" w:beforeAutospacing="0" w:after="0" w:afterAutospacing="0" w:line="360" w:lineRule="auto"/>
              <w:ind w:firstLine="530" w:firstLineChars="221"/>
              <w:rPr>
                <w:rFonts w:ascii="宋体" w:hAnsi="宋体" w:cs="宋体"/>
                <w:color w:val="auto"/>
                <w:szCs w:val="21"/>
                <w:highlight w:val="none"/>
              </w:rPr>
            </w:pPr>
            <w:bookmarkStart w:id="2" w:name="_Hlk25180743"/>
            <w:r>
              <w:rPr>
                <w:rFonts w:hint="eastAsia" w:ascii="宋体" w:hAnsi="宋体" w:cs="宋体"/>
                <w:color w:val="auto"/>
                <w:szCs w:val="21"/>
                <w:highlight w:val="none"/>
              </w:rPr>
              <w:t>1.满足《中华人民共和国政府采购法》第二十二条规定；</w:t>
            </w:r>
          </w:p>
          <w:p>
            <w:pPr>
              <w:pStyle w:val="60"/>
              <w:tabs>
                <w:tab w:val="left" w:pos="360"/>
                <w:tab w:val="left" w:pos="960"/>
              </w:tabs>
              <w:spacing w:before="0" w:beforeAutospacing="0" w:after="0" w:afterAutospacing="0" w:line="360" w:lineRule="auto"/>
              <w:ind w:firstLine="530" w:firstLineChars="221"/>
              <w:rPr>
                <w:rFonts w:hint="eastAsia" w:ascii="宋体" w:hAnsi="宋体" w:eastAsia="宋体"/>
                <w:color w:val="auto"/>
                <w:szCs w:val="21"/>
                <w:highlight w:val="none"/>
                <w:lang w:eastAsia="zh-CN"/>
              </w:rPr>
            </w:pPr>
            <w:r>
              <w:rPr>
                <w:rFonts w:hint="eastAsia" w:ascii="宋体" w:hAnsi="宋体" w:cs="宋体"/>
                <w:color w:val="auto"/>
                <w:szCs w:val="21"/>
                <w:highlight w:val="none"/>
              </w:rPr>
              <w:t>2.落实政府</w:t>
            </w:r>
            <w:r>
              <w:rPr>
                <w:rFonts w:ascii="宋体" w:hAnsi="宋体"/>
                <w:color w:val="auto"/>
                <w:szCs w:val="21"/>
                <w:highlight w:val="none"/>
              </w:rPr>
              <w:t>采购政策需满足的资格要</w:t>
            </w:r>
            <w:r>
              <w:rPr>
                <w:rFonts w:hint="eastAsia" w:ascii="宋体" w:hAnsi="宋体"/>
                <w:color w:val="auto"/>
                <w:szCs w:val="21"/>
                <w:highlight w:val="none"/>
              </w:rPr>
              <w:t>求：</w:t>
            </w:r>
            <w:r>
              <w:rPr>
                <w:rFonts w:hint="eastAsia" w:ascii="宋体" w:hAnsi="宋体"/>
                <w:color w:val="auto"/>
                <w:szCs w:val="21"/>
                <w:highlight w:val="none"/>
                <w:lang w:val="en-US" w:eastAsia="zh-CN"/>
              </w:rPr>
              <w:t>/。</w:t>
            </w:r>
          </w:p>
          <w:p>
            <w:pPr>
              <w:pStyle w:val="60"/>
              <w:tabs>
                <w:tab w:val="left" w:pos="360"/>
                <w:tab w:val="left" w:pos="960"/>
              </w:tabs>
              <w:spacing w:before="0" w:beforeAutospacing="0" w:after="0" w:afterAutospacing="0" w:line="360" w:lineRule="auto"/>
              <w:ind w:firstLine="530" w:firstLineChars="221"/>
              <w:rPr>
                <w:rFonts w:ascii="Times New Roman" w:hAnsi="Times New Roman"/>
                <w:color w:val="auto"/>
                <w:szCs w:val="21"/>
                <w:highlight w:val="none"/>
              </w:rPr>
            </w:pPr>
            <w:r>
              <w:rPr>
                <w:rFonts w:hint="eastAsia" w:ascii="Times New Roman" w:hAnsi="Times New Roman"/>
                <w:color w:val="auto"/>
                <w:szCs w:val="21"/>
                <w:highlight w:val="none"/>
              </w:rPr>
              <w:t>3.本项目的特定资格要求：</w:t>
            </w:r>
          </w:p>
          <w:p>
            <w:pPr>
              <w:pStyle w:val="60"/>
              <w:tabs>
                <w:tab w:val="left" w:pos="360"/>
                <w:tab w:val="left" w:pos="960"/>
              </w:tabs>
              <w:spacing w:before="0" w:beforeAutospacing="0" w:after="0" w:afterAutospacing="0" w:line="360" w:lineRule="auto"/>
              <w:ind w:firstLine="530" w:firstLineChars="221"/>
              <w:rPr>
                <w:rFonts w:ascii="Times New Roman" w:hAnsi="Times New Roman"/>
                <w:color w:val="auto"/>
                <w:szCs w:val="21"/>
                <w:highlight w:val="none"/>
              </w:rPr>
            </w:pPr>
            <w:bookmarkStart w:id="3" w:name="_Hlk46396001"/>
            <w:r>
              <w:rPr>
                <w:rFonts w:hint="eastAsia" w:ascii="Times New Roman" w:hAnsi="Times New Roman"/>
                <w:color w:val="auto"/>
                <w:szCs w:val="21"/>
                <w:highlight w:val="none"/>
              </w:rPr>
              <w:t>（1）投标供应商授权委托人必须为投标供应商企业在职员工；</w:t>
            </w:r>
          </w:p>
          <w:p>
            <w:pPr>
              <w:pStyle w:val="60"/>
              <w:tabs>
                <w:tab w:val="left" w:pos="360"/>
                <w:tab w:val="left" w:pos="960"/>
              </w:tabs>
              <w:spacing w:before="0" w:beforeAutospacing="0" w:after="0" w:afterAutospacing="0" w:line="360" w:lineRule="auto"/>
              <w:ind w:firstLine="530" w:firstLineChars="221"/>
              <w:rPr>
                <w:rFonts w:ascii="宋体" w:hAnsi="宋体" w:cs="ˎ̥"/>
                <w:b/>
                <w:color w:val="auto"/>
                <w:highlight w:val="none"/>
              </w:rPr>
            </w:pPr>
            <w:r>
              <w:rPr>
                <w:rFonts w:hint="eastAsia" w:ascii="Times New Roman" w:hAnsi="Times New Roman"/>
                <w:color w:val="auto"/>
                <w:szCs w:val="21"/>
                <w:highlight w:val="none"/>
              </w:rPr>
              <w:t>（2）未被“信用中国”（www.creditchina.gov.cn）、中国政府采购网（www.ccgp.gov.cn）列入失信被执行人、重大税收违法案件当事人名单、政府采购严重违法失信行为记录名单；</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5</w:t>
            </w:r>
          </w:p>
        </w:tc>
        <w:tc>
          <w:tcPr>
            <w:tcW w:w="8221" w:type="dxa"/>
            <w:vAlign w:val="center"/>
          </w:tcPr>
          <w:p>
            <w:pPr>
              <w:widowControl/>
              <w:topLinePunct/>
              <w:spacing w:line="360" w:lineRule="auto"/>
              <w:rPr>
                <w:rFonts w:ascii="宋体" w:hAnsi="宋体"/>
                <w:color w:val="auto"/>
                <w:sz w:val="24"/>
                <w:highlight w:val="none"/>
              </w:rPr>
            </w:pPr>
            <w:r>
              <w:rPr>
                <w:rFonts w:ascii="宋体" w:hAnsi="宋体"/>
                <w:color w:val="auto"/>
                <w:sz w:val="24"/>
                <w:highlight w:val="none"/>
              </w:rPr>
              <w:t>获取采购文件时间</w:t>
            </w:r>
            <w:r>
              <w:rPr>
                <w:rFonts w:hint="eastAsia" w:ascii="宋体" w:hAnsi="宋体"/>
                <w:color w:val="auto"/>
                <w:sz w:val="24"/>
                <w:highlight w:val="none"/>
              </w:rPr>
              <w:t>：</w:t>
            </w:r>
            <w:bookmarkStart w:id="4" w:name="_Hlk46396015"/>
            <w:r>
              <w:rPr>
                <w:rFonts w:hint="eastAsia" w:ascii="宋体" w:hAnsi="宋体"/>
                <w:b/>
                <w:color w:val="auto"/>
                <w:sz w:val="24"/>
                <w:highlight w:val="none"/>
                <w:u w:val="single"/>
              </w:rPr>
              <w:t>2024年6月</w:t>
            </w:r>
            <w:r>
              <w:rPr>
                <w:rFonts w:hint="eastAsia" w:ascii="宋体" w:hAnsi="宋体"/>
                <w:b/>
                <w:color w:val="auto"/>
                <w:sz w:val="24"/>
                <w:highlight w:val="none"/>
                <w:u w:val="single"/>
                <w:lang w:val="en-US" w:eastAsia="zh-CN"/>
              </w:rPr>
              <w:t>20</w:t>
            </w:r>
            <w:r>
              <w:rPr>
                <w:rFonts w:hint="eastAsia" w:ascii="宋体" w:hAnsi="宋体"/>
                <w:b/>
                <w:color w:val="auto"/>
                <w:sz w:val="24"/>
                <w:highlight w:val="none"/>
                <w:u w:val="single"/>
              </w:rPr>
              <w:t>日</w:t>
            </w:r>
            <w:r>
              <w:rPr>
                <w:rFonts w:hint="eastAsia" w:ascii="宋体" w:hAnsi="宋体"/>
                <w:color w:val="auto"/>
                <w:sz w:val="24"/>
                <w:highlight w:val="none"/>
              </w:rPr>
              <w:t>至</w:t>
            </w:r>
            <w:r>
              <w:rPr>
                <w:rFonts w:hint="eastAsia" w:ascii="宋体" w:hAnsi="宋体"/>
                <w:b/>
                <w:color w:val="auto"/>
                <w:sz w:val="24"/>
                <w:highlight w:val="none"/>
                <w:u w:val="single"/>
              </w:rPr>
              <w:t>2024年6月</w:t>
            </w:r>
            <w:r>
              <w:rPr>
                <w:rFonts w:hint="eastAsia" w:ascii="宋体" w:hAnsi="宋体"/>
                <w:b/>
                <w:color w:val="auto"/>
                <w:sz w:val="24"/>
                <w:highlight w:val="none"/>
                <w:u w:val="single"/>
                <w:lang w:val="en-US" w:eastAsia="zh-CN"/>
              </w:rPr>
              <w:t>27</w:t>
            </w:r>
            <w:r>
              <w:rPr>
                <w:rFonts w:hint="eastAsia" w:ascii="宋体" w:hAnsi="宋体"/>
                <w:b/>
                <w:color w:val="auto"/>
                <w:sz w:val="24"/>
                <w:highlight w:val="none"/>
                <w:u w:val="single"/>
              </w:rPr>
              <w:t>日</w:t>
            </w:r>
            <w:r>
              <w:rPr>
                <w:rFonts w:hint="eastAsia" w:ascii="宋体" w:hAnsi="宋体"/>
                <w:color w:val="auto"/>
                <w:sz w:val="24"/>
                <w:highlight w:val="none"/>
              </w:rPr>
              <w:t>，每天上午9:00至11:30，下午13:30至16:</w:t>
            </w:r>
            <w:r>
              <w:rPr>
                <w:rFonts w:ascii="宋体" w:hAnsi="宋体"/>
                <w:color w:val="auto"/>
                <w:sz w:val="24"/>
                <w:highlight w:val="none"/>
              </w:rPr>
              <w:t>30</w:t>
            </w:r>
            <w:r>
              <w:rPr>
                <w:rFonts w:hint="eastAsia" w:ascii="宋体" w:hAnsi="宋体"/>
                <w:color w:val="auto"/>
                <w:sz w:val="24"/>
                <w:highlight w:val="none"/>
              </w:rPr>
              <w:t>（北京时间，法定节假日除外）</w:t>
            </w:r>
            <w:bookmarkEnd w:id="4"/>
          </w:p>
          <w:p>
            <w:pPr>
              <w:widowControl/>
              <w:topLinePunct/>
              <w:spacing w:line="360" w:lineRule="auto"/>
              <w:rPr>
                <w:rFonts w:ascii="宋体" w:hAnsi="宋体"/>
                <w:color w:val="auto"/>
                <w:sz w:val="24"/>
                <w:highlight w:val="none"/>
              </w:rPr>
            </w:pPr>
            <w:r>
              <w:rPr>
                <w:rFonts w:hint="eastAsia" w:ascii="宋体" w:hAnsi="宋体"/>
                <w:color w:val="auto"/>
                <w:sz w:val="24"/>
                <w:highlight w:val="none"/>
              </w:rPr>
              <w:t>售价：贰佰圆/份，现金支付，采购文件售后不退。</w:t>
            </w:r>
          </w:p>
          <w:p>
            <w:pPr>
              <w:widowControl/>
              <w:topLinePunct/>
              <w:spacing w:line="360" w:lineRule="auto"/>
              <w:rPr>
                <w:rFonts w:ascii="宋体" w:hAnsi="宋体"/>
                <w:color w:val="auto"/>
                <w:sz w:val="24"/>
                <w:highlight w:val="none"/>
              </w:rPr>
            </w:pPr>
            <w:r>
              <w:rPr>
                <w:rFonts w:ascii="宋体" w:hAnsi="宋体"/>
                <w:color w:val="auto"/>
                <w:sz w:val="24"/>
                <w:highlight w:val="none"/>
              </w:rPr>
              <w:t>采购文件提供</w:t>
            </w:r>
            <w:r>
              <w:rPr>
                <w:rFonts w:hint="eastAsia" w:ascii="宋体" w:hAnsi="宋体"/>
                <w:color w:val="auto"/>
                <w:sz w:val="24"/>
                <w:highlight w:val="none"/>
              </w:rPr>
              <w:t>：电子文档为主，纸质文档为辅。请授权委托人带好U盘、单位介绍信或法人授权委托书加盖单位公章</w:t>
            </w:r>
            <w:r>
              <w:rPr>
                <w:rFonts w:hint="eastAsia" w:hAnsi="宋体" w:cs="宋体"/>
                <w:sz w:val="24"/>
                <w:szCs w:val="24"/>
              </w:rPr>
              <w:t>（注明项目名称、标段号、授权委托人身份证号、联系方式、电子邮件地址）</w:t>
            </w:r>
            <w:r>
              <w:rPr>
                <w:rFonts w:hint="eastAsia" w:ascii="宋体" w:hAnsi="宋体"/>
                <w:color w:val="auto"/>
                <w:sz w:val="24"/>
                <w:highlight w:val="none"/>
              </w:rPr>
              <w:t>至无锡市锡山区东亭迎宾南路17号7楼获取采购文件。</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投标供应商应承担其编制投标文件以及递交投标文件所涉及的一切费用。无论评标结果如何，采购人对上述费用不负任何责任。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6</w:t>
            </w:r>
          </w:p>
        </w:tc>
        <w:tc>
          <w:tcPr>
            <w:tcW w:w="8221" w:type="dxa"/>
            <w:vAlign w:val="center"/>
          </w:tcPr>
          <w:p>
            <w:pPr>
              <w:widowControl/>
              <w:topLinePunct/>
              <w:spacing w:line="440" w:lineRule="exact"/>
              <w:rPr>
                <w:rFonts w:ascii="宋体" w:hAnsi="宋体"/>
                <w:color w:val="auto"/>
                <w:sz w:val="24"/>
                <w:highlight w:val="none"/>
              </w:rPr>
            </w:pPr>
            <w:r>
              <w:rPr>
                <w:rFonts w:hint="eastAsia" w:ascii="宋体" w:hAnsi="宋体"/>
                <w:color w:val="auto"/>
                <w:sz w:val="24"/>
                <w:highlight w:val="none"/>
              </w:rPr>
              <w:t>投标供应商要求修改采购文件的截止时间：</w:t>
            </w:r>
            <w:r>
              <w:rPr>
                <w:rFonts w:hint="eastAsia" w:ascii="宋体" w:hAnsi="宋体"/>
                <w:b/>
                <w:color w:val="auto"/>
                <w:sz w:val="24"/>
                <w:highlight w:val="none"/>
                <w:u w:val="single"/>
              </w:rPr>
              <w:t>2024年6月</w:t>
            </w:r>
            <w:r>
              <w:rPr>
                <w:rFonts w:hint="eastAsia" w:ascii="宋体" w:hAnsi="宋体"/>
                <w:b/>
                <w:color w:val="auto"/>
                <w:sz w:val="24"/>
                <w:highlight w:val="none"/>
                <w:u w:val="single"/>
                <w:lang w:val="en-US" w:eastAsia="zh-CN"/>
              </w:rPr>
              <w:t>28</w:t>
            </w:r>
            <w:r>
              <w:rPr>
                <w:rFonts w:hint="eastAsia" w:ascii="宋体" w:hAnsi="宋体"/>
                <w:b/>
                <w:color w:val="auto"/>
                <w:sz w:val="24"/>
                <w:highlight w:val="none"/>
                <w:u w:val="single"/>
              </w:rPr>
              <w:t>日</w:t>
            </w:r>
            <w:r>
              <w:rPr>
                <w:rFonts w:hint="eastAsia" w:ascii="宋体" w:hAnsi="宋体"/>
                <w:color w:val="auto"/>
                <w:sz w:val="24"/>
                <w:highlight w:val="none"/>
              </w:rPr>
              <w:t>10时，以书面传真形式和电子邮件形式发送给采购代理机构。</w:t>
            </w:r>
          </w:p>
          <w:p>
            <w:pPr>
              <w:widowControl/>
              <w:topLinePunct/>
              <w:spacing w:line="440" w:lineRule="exact"/>
              <w:rPr>
                <w:rFonts w:ascii="宋体" w:hAnsi="宋体"/>
                <w:color w:val="auto"/>
                <w:sz w:val="24"/>
                <w:highlight w:val="none"/>
              </w:rPr>
            </w:pPr>
            <w:r>
              <w:rPr>
                <w:rFonts w:hint="eastAsia" w:ascii="宋体" w:hAnsi="宋体"/>
                <w:color w:val="auto"/>
                <w:sz w:val="24"/>
                <w:highlight w:val="none"/>
              </w:rPr>
              <w:t>采购人对采购文件澄清修改的时间：</w:t>
            </w:r>
            <w:r>
              <w:rPr>
                <w:rFonts w:hint="eastAsia" w:ascii="宋体" w:hAnsi="宋体"/>
                <w:b/>
                <w:color w:val="auto"/>
                <w:sz w:val="24"/>
                <w:highlight w:val="none"/>
                <w:u w:val="single"/>
              </w:rPr>
              <w:t>2024年6月</w:t>
            </w:r>
            <w:r>
              <w:rPr>
                <w:rFonts w:hint="eastAsia" w:ascii="宋体" w:hAnsi="宋体"/>
                <w:b/>
                <w:color w:val="auto"/>
                <w:sz w:val="24"/>
                <w:highlight w:val="none"/>
                <w:u w:val="single"/>
                <w:lang w:val="en-US" w:eastAsia="zh-CN"/>
              </w:rPr>
              <w:t>28</w:t>
            </w:r>
            <w:r>
              <w:rPr>
                <w:rFonts w:hint="eastAsia" w:ascii="宋体" w:hAnsi="宋体"/>
                <w:b/>
                <w:color w:val="auto"/>
                <w:sz w:val="24"/>
                <w:highlight w:val="none"/>
                <w:u w:val="single"/>
              </w:rPr>
              <w:t>日</w:t>
            </w:r>
            <w:r>
              <w:rPr>
                <w:rFonts w:hint="eastAsia" w:ascii="宋体" w:hAnsi="宋体"/>
                <w:color w:val="auto"/>
                <w:sz w:val="24"/>
                <w:highlight w:val="none"/>
              </w:rPr>
              <w:t>16时前，以书面（或电子稿）形式发送给各潜在供应商；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7</w:t>
            </w:r>
          </w:p>
        </w:tc>
        <w:tc>
          <w:tcPr>
            <w:tcW w:w="8221" w:type="dxa"/>
            <w:vAlign w:val="center"/>
          </w:tcPr>
          <w:p>
            <w:pPr>
              <w:widowControl/>
              <w:topLinePunct/>
              <w:spacing w:line="360" w:lineRule="auto"/>
              <w:rPr>
                <w:rFonts w:ascii="宋体" w:hAnsi="宋体"/>
                <w:color w:val="auto"/>
                <w:sz w:val="24"/>
                <w:highlight w:val="none"/>
              </w:rPr>
            </w:pPr>
            <w:r>
              <w:rPr>
                <w:rFonts w:hint="eastAsia" w:ascii="宋体" w:hAnsi="宋体"/>
                <w:color w:val="auto"/>
                <w:sz w:val="24"/>
                <w:highlight w:val="none"/>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8</w:t>
            </w:r>
          </w:p>
        </w:tc>
        <w:tc>
          <w:tcPr>
            <w:tcW w:w="8221" w:type="dxa"/>
            <w:vAlign w:val="center"/>
          </w:tcPr>
          <w:p>
            <w:pPr>
              <w:widowControl/>
              <w:topLinePunct/>
              <w:spacing w:line="360" w:lineRule="auto"/>
              <w:rPr>
                <w:rFonts w:ascii="宋体" w:hAnsi="宋体"/>
                <w:color w:val="auto"/>
                <w:sz w:val="24"/>
                <w:highlight w:val="none"/>
              </w:rPr>
            </w:pPr>
            <w:r>
              <w:rPr>
                <w:rFonts w:hint="eastAsia" w:ascii="宋体" w:hAnsi="宋体"/>
                <w:color w:val="auto"/>
                <w:sz w:val="24"/>
                <w:highlight w:val="none"/>
              </w:rPr>
              <w:t>投标有效期：投标截止之日起90天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9</w:t>
            </w:r>
          </w:p>
        </w:tc>
        <w:tc>
          <w:tcPr>
            <w:tcW w:w="8221" w:type="dxa"/>
            <w:vAlign w:val="center"/>
          </w:tcPr>
          <w:p>
            <w:pPr>
              <w:widowControl/>
              <w:topLinePunct/>
              <w:spacing w:line="360" w:lineRule="auto"/>
              <w:rPr>
                <w:rFonts w:ascii="宋体" w:hAnsi="宋体" w:cs="ˎ̥"/>
                <w:color w:val="auto"/>
                <w:kern w:val="0"/>
                <w:sz w:val="24"/>
                <w:highlight w:val="none"/>
              </w:rPr>
            </w:pPr>
            <w:r>
              <w:rPr>
                <w:rFonts w:hint="eastAsia" w:ascii="宋体" w:hAnsi="宋体" w:cs="ˎ̥"/>
                <w:color w:val="auto"/>
                <w:kern w:val="0"/>
                <w:sz w:val="24"/>
                <w:highlight w:val="none"/>
              </w:rPr>
              <w:t>投标</w:t>
            </w:r>
            <w:r>
              <w:rPr>
                <w:rFonts w:ascii="宋体" w:hAnsi="宋体" w:cs="ˎ̥"/>
                <w:color w:val="auto"/>
                <w:kern w:val="0"/>
                <w:sz w:val="24"/>
                <w:highlight w:val="none"/>
              </w:rPr>
              <w:t>文件开始接收时间</w:t>
            </w:r>
            <w:r>
              <w:rPr>
                <w:rFonts w:hint="eastAsia" w:ascii="宋体" w:hAnsi="宋体" w:cs="ˎ̥"/>
                <w:color w:val="auto"/>
                <w:kern w:val="0"/>
                <w:sz w:val="24"/>
                <w:highlight w:val="none"/>
              </w:rPr>
              <w:t>：</w:t>
            </w:r>
            <w:r>
              <w:rPr>
                <w:rFonts w:hint="eastAsia" w:ascii="宋体" w:hAnsi="宋体"/>
                <w:b/>
                <w:color w:val="auto"/>
                <w:sz w:val="24"/>
                <w:highlight w:val="none"/>
                <w:u w:val="single"/>
              </w:rPr>
              <w:t>2024年7月</w:t>
            </w:r>
            <w:r>
              <w:rPr>
                <w:rFonts w:hint="eastAsia" w:ascii="宋体" w:hAnsi="宋体"/>
                <w:b/>
                <w:color w:val="auto"/>
                <w:sz w:val="24"/>
                <w:highlight w:val="none"/>
                <w:u w:val="single"/>
                <w:lang w:val="en-US" w:eastAsia="zh-CN"/>
              </w:rPr>
              <w:t>15</w:t>
            </w:r>
            <w:r>
              <w:rPr>
                <w:rFonts w:hint="eastAsia" w:ascii="宋体" w:hAnsi="宋体"/>
                <w:b/>
                <w:color w:val="auto"/>
                <w:sz w:val="24"/>
                <w:highlight w:val="none"/>
                <w:u w:val="single"/>
              </w:rPr>
              <w:t>日</w:t>
            </w:r>
            <w:r>
              <w:rPr>
                <w:rFonts w:ascii="宋体" w:hAnsi="宋体" w:cs="ˎ̥"/>
                <w:color w:val="auto"/>
                <w:kern w:val="0"/>
                <w:sz w:val="24"/>
                <w:highlight w:val="none"/>
              </w:rPr>
              <w:t>13</w:t>
            </w:r>
            <w:r>
              <w:rPr>
                <w:rFonts w:hint="eastAsia" w:ascii="宋体" w:hAnsi="宋体" w:cs="ˎ̥"/>
                <w:color w:val="auto"/>
                <w:kern w:val="0"/>
                <w:sz w:val="24"/>
                <w:highlight w:val="none"/>
              </w:rPr>
              <w:t>：</w:t>
            </w:r>
            <w:r>
              <w:rPr>
                <w:rFonts w:ascii="宋体" w:hAnsi="宋体" w:cs="ˎ̥"/>
                <w:color w:val="auto"/>
                <w:kern w:val="0"/>
                <w:sz w:val="24"/>
                <w:highlight w:val="none"/>
              </w:rPr>
              <w:t>30</w:t>
            </w:r>
            <w:r>
              <w:rPr>
                <w:rFonts w:hint="eastAsia" w:ascii="宋体" w:hAnsi="宋体" w:cs="ˎ̥"/>
                <w:color w:val="auto"/>
                <w:kern w:val="0"/>
                <w:sz w:val="24"/>
                <w:highlight w:val="none"/>
              </w:rPr>
              <w:t>；</w:t>
            </w:r>
          </w:p>
          <w:p>
            <w:pPr>
              <w:widowControl/>
              <w:topLinePunct/>
              <w:spacing w:line="360" w:lineRule="auto"/>
              <w:rPr>
                <w:rFonts w:ascii="宋体" w:hAnsi="宋体" w:cs="ˎ̥"/>
                <w:color w:val="auto"/>
                <w:kern w:val="0"/>
                <w:sz w:val="24"/>
                <w:highlight w:val="none"/>
              </w:rPr>
            </w:pPr>
            <w:r>
              <w:rPr>
                <w:rFonts w:hint="eastAsia" w:ascii="宋体" w:hAnsi="宋体" w:cs="ˎ̥"/>
                <w:color w:val="auto"/>
                <w:kern w:val="0"/>
                <w:sz w:val="24"/>
                <w:highlight w:val="none"/>
              </w:rPr>
              <w:t>投标</w:t>
            </w:r>
            <w:r>
              <w:rPr>
                <w:rFonts w:ascii="宋体" w:hAnsi="宋体" w:cs="ˎ̥"/>
                <w:color w:val="auto"/>
                <w:kern w:val="0"/>
                <w:sz w:val="24"/>
                <w:highlight w:val="none"/>
              </w:rPr>
              <w:t>文件接</w:t>
            </w:r>
            <w:r>
              <w:rPr>
                <w:rFonts w:hint="eastAsia" w:ascii="宋体" w:hAnsi="宋体" w:cs="ˎ̥"/>
                <w:color w:val="auto"/>
                <w:kern w:val="0"/>
                <w:sz w:val="24"/>
                <w:highlight w:val="none"/>
              </w:rPr>
              <w:t>收</w:t>
            </w:r>
            <w:r>
              <w:rPr>
                <w:rFonts w:ascii="宋体" w:hAnsi="宋体" w:cs="ˎ̥"/>
                <w:color w:val="auto"/>
                <w:kern w:val="0"/>
                <w:sz w:val="24"/>
                <w:highlight w:val="none"/>
              </w:rPr>
              <w:t>截止时间</w:t>
            </w:r>
            <w:r>
              <w:rPr>
                <w:rFonts w:hint="eastAsia" w:ascii="宋体" w:hAnsi="宋体"/>
                <w:color w:val="auto"/>
                <w:sz w:val="24"/>
                <w:highlight w:val="none"/>
              </w:rPr>
              <w:t>：</w:t>
            </w:r>
            <w:r>
              <w:rPr>
                <w:rFonts w:hint="eastAsia" w:ascii="宋体" w:hAnsi="宋体"/>
                <w:b/>
                <w:color w:val="auto"/>
                <w:sz w:val="24"/>
                <w:highlight w:val="none"/>
                <w:u w:val="single"/>
              </w:rPr>
              <w:t>2024年7月</w:t>
            </w:r>
            <w:r>
              <w:rPr>
                <w:rFonts w:hint="eastAsia" w:ascii="宋体" w:hAnsi="宋体"/>
                <w:b/>
                <w:color w:val="auto"/>
                <w:sz w:val="24"/>
                <w:highlight w:val="none"/>
                <w:u w:val="single"/>
                <w:lang w:val="en-US" w:eastAsia="zh-CN"/>
              </w:rPr>
              <w:t>15</w:t>
            </w:r>
            <w:r>
              <w:rPr>
                <w:rFonts w:hint="eastAsia" w:ascii="宋体" w:hAnsi="宋体"/>
                <w:b/>
                <w:color w:val="auto"/>
                <w:sz w:val="24"/>
                <w:highlight w:val="none"/>
                <w:u w:val="single"/>
              </w:rPr>
              <w:t>日</w:t>
            </w:r>
            <w:r>
              <w:rPr>
                <w:rFonts w:ascii="宋体" w:hAnsi="宋体" w:cs="ˎ̥"/>
                <w:color w:val="auto"/>
                <w:kern w:val="0"/>
                <w:sz w:val="24"/>
                <w:highlight w:val="none"/>
              </w:rPr>
              <w:t>14</w:t>
            </w:r>
            <w:r>
              <w:rPr>
                <w:rFonts w:hint="eastAsia" w:ascii="宋体" w:hAnsi="宋体" w:cs="ˎ̥"/>
                <w:color w:val="auto"/>
                <w:kern w:val="0"/>
                <w:sz w:val="24"/>
                <w:highlight w:val="none"/>
              </w:rPr>
              <w:t>：</w:t>
            </w:r>
            <w:r>
              <w:rPr>
                <w:rFonts w:ascii="宋体" w:hAnsi="宋体" w:cs="ˎ̥"/>
                <w:color w:val="auto"/>
                <w:kern w:val="0"/>
                <w:sz w:val="24"/>
                <w:highlight w:val="none"/>
              </w:rPr>
              <w:t>00</w:t>
            </w:r>
            <w:r>
              <w:rPr>
                <w:rFonts w:hint="eastAsia" w:ascii="宋体" w:hAnsi="宋体" w:cs="ˎ̥"/>
                <w:color w:val="auto"/>
                <w:kern w:val="0"/>
                <w:sz w:val="24"/>
                <w:highlight w:val="none"/>
              </w:rPr>
              <w:t>。</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截止期后的投标文件恕不接受。</w:t>
            </w:r>
          </w:p>
          <w:p>
            <w:pPr>
              <w:tabs>
                <w:tab w:val="left" w:pos="360"/>
              </w:tabs>
              <w:autoSpaceDE w:val="0"/>
              <w:autoSpaceDN w:val="0"/>
              <w:adjustRightInd w:val="0"/>
              <w:spacing w:line="360" w:lineRule="exact"/>
              <w:rPr>
                <w:rFonts w:hint="eastAsia" w:ascii="宋体" w:hAnsi="宋体" w:eastAsia="宋体"/>
                <w:color w:val="auto"/>
                <w:sz w:val="24"/>
                <w:highlight w:val="none"/>
                <w:lang w:eastAsia="zh-CN"/>
              </w:rPr>
            </w:pPr>
            <w:r>
              <w:rPr>
                <w:rFonts w:hint="eastAsia" w:ascii="宋体" w:hAnsi="宋体"/>
                <w:color w:val="auto"/>
                <w:sz w:val="24"/>
                <w:highlight w:val="none"/>
              </w:rPr>
              <w:t>投标地点：江苏建圆建方工程管理咨询有限公司（无锡市锡山区东亭迎宾南路17号2楼）</w:t>
            </w:r>
            <w:r>
              <w:rPr>
                <w:rFonts w:hint="eastAsia" w:ascii="宋体" w:hAnsi="宋体"/>
                <w:color w:val="auto"/>
                <w:sz w:val="24"/>
                <w:highlight w:val="none"/>
                <w:lang w:val="en-US" w:eastAsia="zh-CN"/>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10</w:t>
            </w:r>
          </w:p>
        </w:tc>
        <w:tc>
          <w:tcPr>
            <w:tcW w:w="8221" w:type="dxa"/>
            <w:vAlign w:val="center"/>
          </w:tcPr>
          <w:p>
            <w:pPr>
              <w:widowControl/>
              <w:topLinePunct/>
              <w:spacing w:line="360" w:lineRule="auto"/>
              <w:rPr>
                <w:rFonts w:ascii="宋体" w:hAnsi="宋体" w:cs="ˎ̥"/>
                <w:color w:val="auto"/>
                <w:kern w:val="0"/>
                <w:sz w:val="24"/>
                <w:highlight w:val="none"/>
              </w:rPr>
            </w:pPr>
            <w:r>
              <w:rPr>
                <w:rFonts w:hint="eastAsia" w:ascii="宋体" w:hAnsi="宋体"/>
                <w:color w:val="auto"/>
                <w:sz w:val="24"/>
                <w:highlight w:val="none"/>
              </w:rPr>
              <w:t>开标时间：</w:t>
            </w:r>
            <w:r>
              <w:rPr>
                <w:rFonts w:hint="eastAsia" w:ascii="宋体" w:hAnsi="宋体"/>
                <w:b/>
                <w:color w:val="auto"/>
                <w:sz w:val="24"/>
                <w:highlight w:val="none"/>
                <w:u w:val="single"/>
              </w:rPr>
              <w:t>2024年7月</w:t>
            </w:r>
            <w:r>
              <w:rPr>
                <w:rFonts w:hint="eastAsia" w:ascii="宋体" w:hAnsi="宋体"/>
                <w:b/>
                <w:color w:val="auto"/>
                <w:sz w:val="24"/>
                <w:highlight w:val="none"/>
                <w:u w:val="single"/>
                <w:lang w:val="en-US" w:eastAsia="zh-CN"/>
              </w:rPr>
              <w:t>15</w:t>
            </w:r>
            <w:r>
              <w:rPr>
                <w:rFonts w:hint="eastAsia" w:ascii="宋体" w:hAnsi="宋体"/>
                <w:b/>
                <w:color w:val="auto"/>
                <w:sz w:val="24"/>
                <w:highlight w:val="none"/>
                <w:u w:val="single"/>
              </w:rPr>
              <w:t>日</w:t>
            </w:r>
            <w:r>
              <w:rPr>
                <w:rFonts w:ascii="宋体" w:hAnsi="宋体" w:cs="ˎ̥"/>
                <w:color w:val="auto"/>
                <w:kern w:val="0"/>
                <w:sz w:val="24"/>
                <w:highlight w:val="none"/>
              </w:rPr>
              <w:t>14</w:t>
            </w:r>
            <w:r>
              <w:rPr>
                <w:rFonts w:hint="eastAsia" w:ascii="宋体" w:hAnsi="宋体" w:cs="ˎ̥"/>
                <w:color w:val="auto"/>
                <w:kern w:val="0"/>
                <w:sz w:val="24"/>
                <w:highlight w:val="none"/>
              </w:rPr>
              <w:t>：</w:t>
            </w:r>
            <w:r>
              <w:rPr>
                <w:rFonts w:ascii="宋体" w:hAnsi="宋体" w:cs="ˎ̥"/>
                <w:color w:val="auto"/>
                <w:kern w:val="0"/>
                <w:sz w:val="24"/>
                <w:highlight w:val="none"/>
              </w:rPr>
              <w:t>00</w:t>
            </w:r>
          </w:p>
          <w:p>
            <w:pPr>
              <w:tabs>
                <w:tab w:val="left" w:pos="360"/>
              </w:tabs>
              <w:autoSpaceDE w:val="0"/>
              <w:autoSpaceDN w:val="0"/>
              <w:adjustRightInd w:val="0"/>
              <w:spacing w:line="360" w:lineRule="exact"/>
              <w:rPr>
                <w:rFonts w:ascii="宋体" w:hAnsi="宋体"/>
                <w:color w:val="auto"/>
                <w:sz w:val="24"/>
                <w:highlight w:val="none"/>
              </w:rPr>
            </w:pPr>
            <w:r>
              <w:rPr>
                <w:rFonts w:hint="eastAsia" w:ascii="宋体" w:hAnsi="宋体"/>
                <w:color w:val="auto"/>
                <w:sz w:val="24"/>
                <w:highlight w:val="none"/>
              </w:rPr>
              <w:t>开标地点：江苏建圆建方工程管理咨询有限公司（无锡市锡山区东亭迎宾南路17号2楼）</w:t>
            </w:r>
            <w:r>
              <w:rPr>
                <w:rFonts w:hint="eastAsia" w:ascii="宋体" w:hAnsi="宋体"/>
                <w:color w:val="auto"/>
                <w:sz w:val="24"/>
                <w:highlight w:val="none"/>
                <w:lang w:val="en-US" w:eastAsia="zh-CN"/>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11</w:t>
            </w:r>
          </w:p>
        </w:tc>
        <w:tc>
          <w:tcPr>
            <w:tcW w:w="8221" w:type="dxa"/>
            <w:vAlign w:val="center"/>
          </w:tcPr>
          <w:p>
            <w:pPr>
              <w:widowControl/>
              <w:topLinePunct/>
              <w:spacing w:line="360" w:lineRule="auto"/>
              <w:rPr>
                <w:rFonts w:ascii="宋体" w:hAnsi="宋体"/>
                <w:color w:val="auto"/>
                <w:sz w:val="24"/>
                <w:highlight w:val="none"/>
              </w:rPr>
            </w:pPr>
            <w:r>
              <w:rPr>
                <w:rFonts w:hint="eastAsia" w:ascii="宋体" w:hAnsi="宋体"/>
                <w:color w:val="auto"/>
                <w:sz w:val="24"/>
                <w:highlight w:val="none"/>
              </w:rPr>
              <w:t>确定中标单位时间：</w:t>
            </w:r>
            <w:r>
              <w:rPr>
                <w:rFonts w:hint="eastAsia" w:ascii="宋体" w:hAnsi="宋体"/>
                <w:b/>
                <w:color w:val="auto"/>
                <w:sz w:val="24"/>
                <w:highlight w:val="none"/>
                <w:u w:val="single"/>
              </w:rPr>
              <w:t>2024年7月</w:t>
            </w:r>
            <w:r>
              <w:rPr>
                <w:rFonts w:hint="eastAsia" w:ascii="宋体" w:hAnsi="宋体"/>
                <w:b/>
                <w:color w:val="auto"/>
                <w:sz w:val="24"/>
                <w:highlight w:val="none"/>
                <w:u w:val="single"/>
                <w:lang w:val="en-US" w:eastAsia="zh-CN"/>
              </w:rPr>
              <w:t>15</w:t>
            </w:r>
            <w:r>
              <w:rPr>
                <w:rFonts w:hint="eastAsia" w:ascii="宋体" w:hAnsi="宋体"/>
                <w:b/>
                <w:color w:val="auto"/>
                <w:sz w:val="24"/>
                <w:highlight w:val="none"/>
                <w:u w:val="single"/>
              </w:rPr>
              <w:t>日</w:t>
            </w:r>
            <w:r>
              <w:rPr>
                <w:rFonts w:hint="eastAsia" w:ascii="宋体" w:hAnsi="宋体"/>
                <w:color w:val="auto"/>
                <w:sz w:val="24"/>
                <w:highlight w:val="none"/>
              </w:rPr>
              <w:t>评审结束</w:t>
            </w:r>
          </w:p>
          <w:p>
            <w:pPr>
              <w:widowControl/>
              <w:topLinePunct/>
              <w:spacing w:line="360" w:lineRule="auto"/>
              <w:rPr>
                <w:rFonts w:ascii="宋体" w:hAnsi="宋体"/>
                <w:color w:val="auto"/>
                <w:sz w:val="24"/>
                <w:highlight w:val="none"/>
              </w:rPr>
            </w:pPr>
            <w:r>
              <w:rPr>
                <w:rFonts w:hint="eastAsia" w:ascii="宋体" w:hAnsi="宋体"/>
                <w:color w:val="auto"/>
                <w:sz w:val="24"/>
                <w:highlight w:val="none"/>
              </w:rPr>
              <w:t>确定中标单位地点：江苏建圆建方工程管理咨询有限公司（无锡市锡山区东亭迎宾南路17号2楼）</w:t>
            </w:r>
            <w:r>
              <w:rPr>
                <w:rFonts w:hint="eastAsia" w:ascii="宋体" w:hAnsi="宋体"/>
                <w:color w:val="auto"/>
                <w:sz w:val="24"/>
                <w:highlight w:val="none"/>
                <w:lang w:val="en-US" w:eastAsia="zh-CN"/>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12</w:t>
            </w:r>
          </w:p>
        </w:tc>
        <w:tc>
          <w:tcPr>
            <w:tcW w:w="8221" w:type="dxa"/>
            <w:vAlign w:val="center"/>
          </w:tcPr>
          <w:p>
            <w:pPr>
              <w:widowControl/>
              <w:topLinePunct/>
              <w:spacing w:line="360" w:lineRule="auto"/>
              <w:rPr>
                <w:rFonts w:ascii="宋体" w:hAnsi="宋体"/>
                <w:color w:val="auto"/>
                <w:sz w:val="24"/>
                <w:highlight w:val="none"/>
              </w:rPr>
            </w:pPr>
            <w:r>
              <w:rPr>
                <w:rFonts w:hint="eastAsia" w:ascii="宋体" w:hAnsi="宋体"/>
                <w:b/>
                <w:color w:val="auto"/>
                <w:sz w:val="24"/>
                <w:highlight w:val="none"/>
              </w:rPr>
              <w:t>投标文件份数：</w:t>
            </w:r>
            <w:r>
              <w:rPr>
                <w:rFonts w:hint="eastAsia" w:ascii="宋体" w:hAnsi="宋体"/>
                <w:color w:val="auto"/>
                <w:sz w:val="24"/>
                <w:highlight w:val="none"/>
              </w:rPr>
              <w:t>正本明标1份，暗标1份；</w:t>
            </w:r>
          </w:p>
          <w:p>
            <w:pPr>
              <w:widowControl/>
              <w:topLinePunct/>
              <w:spacing w:line="360" w:lineRule="auto"/>
              <w:ind w:firstLine="1680" w:firstLineChars="700"/>
              <w:rPr>
                <w:rFonts w:ascii="宋体" w:hAnsi="宋体"/>
                <w:color w:val="auto"/>
                <w:sz w:val="24"/>
                <w:highlight w:val="none"/>
              </w:rPr>
            </w:pPr>
            <w:r>
              <w:rPr>
                <w:rFonts w:hint="eastAsia" w:ascii="宋体" w:hAnsi="宋体"/>
                <w:color w:val="auto"/>
                <w:sz w:val="24"/>
                <w:highlight w:val="none"/>
              </w:rPr>
              <w:t>副本明标2份，暗标5份；</w:t>
            </w:r>
          </w:p>
          <w:p>
            <w:pPr>
              <w:widowControl/>
              <w:topLinePunct/>
              <w:snapToGrid w:val="0"/>
              <w:spacing w:line="360" w:lineRule="auto"/>
              <w:rPr>
                <w:rFonts w:ascii="宋体" w:hAnsi="宋体"/>
                <w:b/>
                <w:color w:val="auto"/>
                <w:sz w:val="24"/>
                <w:highlight w:val="none"/>
              </w:rPr>
            </w:pPr>
            <w:r>
              <w:rPr>
                <w:rFonts w:hint="eastAsia" w:ascii="宋体" w:hAnsi="宋体"/>
                <w:b/>
                <w:color w:val="auto"/>
                <w:sz w:val="24"/>
                <w:highlight w:val="none"/>
              </w:rPr>
              <w:t>投标文件电子光盘（或U盘）一份（包括明标、暗标部分）；</w:t>
            </w:r>
          </w:p>
          <w:p>
            <w:pPr>
              <w:widowControl/>
              <w:topLinePunct/>
              <w:snapToGrid w:val="0"/>
              <w:spacing w:line="360" w:lineRule="auto"/>
              <w:rPr>
                <w:rFonts w:ascii="宋体" w:hAnsi="宋体"/>
                <w:color w:val="auto"/>
                <w:sz w:val="24"/>
                <w:highlight w:val="none"/>
              </w:rPr>
            </w:pPr>
            <w:r>
              <w:rPr>
                <w:rFonts w:hint="eastAsia" w:ascii="宋体" w:hAnsi="宋体"/>
                <w:b/>
                <w:bCs/>
                <w:color w:val="auto"/>
                <w:sz w:val="24"/>
                <w:highlight w:val="none"/>
              </w:rPr>
              <w:t>本项目无需分标段制作。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13</w:t>
            </w:r>
          </w:p>
        </w:tc>
        <w:tc>
          <w:tcPr>
            <w:tcW w:w="8221" w:type="dxa"/>
            <w:vAlign w:val="center"/>
          </w:tcPr>
          <w:p>
            <w:pPr>
              <w:widowControl/>
              <w:topLinePunct/>
              <w:spacing w:line="360" w:lineRule="auto"/>
              <w:rPr>
                <w:rFonts w:ascii="宋体" w:hAnsi="宋体"/>
                <w:color w:val="auto"/>
                <w:sz w:val="24"/>
                <w:highlight w:val="none"/>
              </w:rPr>
            </w:pPr>
            <w:r>
              <w:rPr>
                <w:rFonts w:hint="eastAsia" w:ascii="宋体" w:hAnsi="宋体"/>
                <w:color w:val="auto"/>
                <w:sz w:val="24"/>
                <w:highlight w:val="none"/>
              </w:rPr>
              <w:t>有关本次采购活动程序方面的问题，可来人、来函（传真）或电话联系。</w:t>
            </w:r>
          </w:p>
          <w:p>
            <w:pPr>
              <w:widowControl/>
              <w:topLinePunct/>
              <w:spacing w:line="360" w:lineRule="auto"/>
              <w:ind w:firstLine="458" w:firstLineChars="191"/>
              <w:rPr>
                <w:rFonts w:ascii="宋体" w:hAnsi="宋体"/>
                <w:color w:val="auto"/>
                <w:sz w:val="24"/>
                <w:highlight w:val="none"/>
              </w:rPr>
            </w:pPr>
            <w:r>
              <w:rPr>
                <w:rFonts w:hint="eastAsia" w:ascii="宋体" w:hAnsi="宋体"/>
                <w:color w:val="auto"/>
                <w:sz w:val="24"/>
                <w:highlight w:val="none"/>
              </w:rPr>
              <w:t>采购单位名称：无锡市数据局</w:t>
            </w:r>
          </w:p>
          <w:p>
            <w:pPr>
              <w:widowControl/>
              <w:topLinePunct/>
              <w:spacing w:line="360" w:lineRule="auto"/>
              <w:ind w:firstLine="458" w:firstLineChars="191"/>
              <w:rPr>
                <w:rFonts w:ascii="宋体" w:hAnsi="宋体"/>
                <w:color w:val="auto"/>
                <w:sz w:val="24"/>
                <w:highlight w:val="none"/>
              </w:rPr>
            </w:pPr>
            <w:r>
              <w:rPr>
                <w:rFonts w:hint="eastAsia" w:ascii="宋体" w:hAnsi="宋体"/>
                <w:color w:val="auto"/>
                <w:sz w:val="24"/>
                <w:highlight w:val="none"/>
              </w:rPr>
              <w:t>采购单位统一社会信用代码：11320200MB1959133Y</w:t>
            </w:r>
          </w:p>
          <w:p>
            <w:pPr>
              <w:widowControl/>
              <w:topLinePunct/>
              <w:spacing w:line="360" w:lineRule="auto"/>
              <w:ind w:firstLine="458" w:firstLineChars="191"/>
              <w:rPr>
                <w:rFonts w:ascii="宋体" w:hAnsi="宋体"/>
                <w:color w:val="auto"/>
                <w:sz w:val="24"/>
                <w:highlight w:val="none"/>
              </w:rPr>
            </w:pPr>
            <w:r>
              <w:rPr>
                <w:rFonts w:hint="eastAsia" w:ascii="宋体" w:hAnsi="宋体"/>
                <w:color w:val="auto"/>
                <w:sz w:val="24"/>
                <w:highlight w:val="none"/>
              </w:rPr>
              <w:t>采购单位联系人：李屹</w:t>
            </w:r>
          </w:p>
          <w:p>
            <w:pPr>
              <w:widowControl/>
              <w:topLinePunct/>
              <w:spacing w:line="360" w:lineRule="auto"/>
              <w:ind w:firstLine="458" w:firstLineChars="191"/>
              <w:rPr>
                <w:rFonts w:ascii="宋体" w:hAnsi="宋体"/>
                <w:color w:val="auto"/>
                <w:sz w:val="24"/>
                <w:highlight w:val="none"/>
              </w:rPr>
            </w:pPr>
            <w:r>
              <w:rPr>
                <w:rFonts w:hint="eastAsia" w:ascii="宋体" w:hAnsi="宋体"/>
                <w:color w:val="auto"/>
                <w:sz w:val="24"/>
                <w:highlight w:val="none"/>
              </w:rPr>
              <w:t>联系电话：0510-81828340</w:t>
            </w:r>
          </w:p>
          <w:p>
            <w:pPr>
              <w:widowControl/>
              <w:topLinePunct/>
              <w:spacing w:line="360" w:lineRule="auto"/>
              <w:ind w:firstLine="458" w:firstLineChars="191"/>
              <w:rPr>
                <w:rFonts w:ascii="宋体" w:hAnsi="宋体"/>
                <w:color w:val="auto"/>
                <w:sz w:val="24"/>
                <w:highlight w:val="none"/>
              </w:rPr>
            </w:pPr>
            <w:r>
              <w:rPr>
                <w:rFonts w:hint="eastAsia" w:ascii="宋体" w:hAnsi="宋体"/>
                <w:color w:val="auto"/>
                <w:sz w:val="24"/>
                <w:highlight w:val="none"/>
              </w:rPr>
              <w:t>联系地址：无锡市观山路199号10号楼</w:t>
            </w:r>
          </w:p>
          <w:p>
            <w:pPr>
              <w:widowControl/>
              <w:spacing w:line="360" w:lineRule="auto"/>
              <w:ind w:firstLine="458" w:firstLineChars="191"/>
              <w:rPr>
                <w:rFonts w:ascii="宋体" w:hAnsi="宋体" w:cs="ˎ̥"/>
                <w:bCs/>
                <w:color w:val="auto"/>
                <w:kern w:val="0"/>
                <w:sz w:val="24"/>
                <w:highlight w:val="none"/>
              </w:rPr>
            </w:pPr>
          </w:p>
          <w:p>
            <w:pPr>
              <w:widowControl/>
              <w:spacing w:line="360" w:lineRule="auto"/>
              <w:ind w:firstLine="458" w:firstLineChars="191"/>
              <w:rPr>
                <w:rFonts w:ascii="宋体" w:hAnsi="宋体" w:cs="ˎ̥"/>
                <w:bCs/>
                <w:color w:val="auto"/>
                <w:kern w:val="0"/>
                <w:sz w:val="24"/>
                <w:highlight w:val="none"/>
              </w:rPr>
            </w:pPr>
            <w:r>
              <w:rPr>
                <w:rFonts w:hint="eastAsia" w:ascii="宋体" w:hAnsi="宋体" w:cs="ˎ̥"/>
                <w:bCs/>
                <w:color w:val="auto"/>
                <w:kern w:val="0"/>
                <w:sz w:val="24"/>
                <w:highlight w:val="none"/>
              </w:rPr>
              <w:t>代理机构名称：江苏建圆建方工程管理咨询有限公司</w:t>
            </w:r>
          </w:p>
          <w:p>
            <w:pPr>
              <w:widowControl/>
              <w:spacing w:line="360" w:lineRule="auto"/>
              <w:ind w:firstLine="458" w:firstLineChars="191"/>
              <w:rPr>
                <w:rFonts w:ascii="宋体" w:hAnsi="宋体" w:cs="ˎ̥"/>
                <w:bCs/>
                <w:color w:val="auto"/>
                <w:kern w:val="0"/>
                <w:sz w:val="24"/>
                <w:highlight w:val="none"/>
              </w:rPr>
            </w:pPr>
            <w:r>
              <w:rPr>
                <w:rFonts w:hint="eastAsia" w:ascii="宋体" w:hAnsi="宋体" w:cs="ˎ̥"/>
                <w:bCs/>
                <w:color w:val="auto"/>
                <w:kern w:val="0"/>
                <w:sz w:val="24"/>
                <w:highlight w:val="none"/>
              </w:rPr>
              <w:t>代理机构统一社会信用代码：9132020566835292XG</w:t>
            </w:r>
          </w:p>
          <w:p>
            <w:pPr>
              <w:widowControl/>
              <w:spacing w:line="360" w:lineRule="auto"/>
              <w:ind w:firstLine="458" w:firstLineChars="191"/>
              <w:rPr>
                <w:rFonts w:ascii="宋体" w:hAnsi="宋体" w:cs="ˎ̥"/>
                <w:bCs/>
                <w:color w:val="auto"/>
                <w:kern w:val="0"/>
                <w:sz w:val="24"/>
                <w:highlight w:val="none"/>
              </w:rPr>
            </w:pPr>
            <w:r>
              <w:rPr>
                <w:rFonts w:hint="eastAsia" w:ascii="宋体" w:hAnsi="宋体" w:cs="ˎ̥"/>
                <w:bCs/>
                <w:color w:val="auto"/>
                <w:kern w:val="0"/>
                <w:sz w:val="24"/>
                <w:highlight w:val="none"/>
              </w:rPr>
              <w:t>代理机构联系人：刘婷婷、袁梦</w:t>
            </w:r>
          </w:p>
          <w:p>
            <w:pPr>
              <w:widowControl/>
              <w:spacing w:line="360" w:lineRule="auto"/>
              <w:ind w:firstLine="458" w:firstLineChars="191"/>
              <w:rPr>
                <w:rFonts w:ascii="宋体" w:hAnsi="宋体" w:cs="ˎ̥"/>
                <w:bCs/>
                <w:color w:val="auto"/>
                <w:kern w:val="0"/>
                <w:sz w:val="24"/>
                <w:highlight w:val="none"/>
              </w:rPr>
            </w:pPr>
            <w:r>
              <w:rPr>
                <w:rFonts w:hint="eastAsia" w:ascii="宋体" w:hAnsi="宋体" w:cs="ˎ̥"/>
                <w:bCs/>
                <w:color w:val="auto"/>
                <w:kern w:val="0"/>
                <w:sz w:val="24"/>
                <w:highlight w:val="none"/>
              </w:rPr>
              <w:t>联系电话、传真电话：</w:t>
            </w:r>
            <w:r>
              <w:rPr>
                <w:rFonts w:ascii="宋体" w:hAnsi="宋体" w:cs="ˎ̥"/>
                <w:bCs/>
                <w:color w:val="auto"/>
                <w:kern w:val="0"/>
                <w:sz w:val="24"/>
                <w:highlight w:val="none"/>
              </w:rPr>
              <w:t>0510-</w:t>
            </w:r>
            <w:r>
              <w:rPr>
                <w:rFonts w:hint="eastAsia" w:ascii="宋体" w:hAnsi="宋体" w:cs="ˎ̥"/>
                <w:bCs/>
                <w:color w:val="auto"/>
                <w:kern w:val="0"/>
                <w:sz w:val="24"/>
                <w:highlight w:val="none"/>
              </w:rPr>
              <w:t>88207527、18112381889</w:t>
            </w:r>
          </w:p>
          <w:p>
            <w:pPr>
              <w:widowControl/>
              <w:spacing w:line="360" w:lineRule="auto"/>
              <w:ind w:firstLine="458" w:firstLineChars="191"/>
              <w:rPr>
                <w:rFonts w:ascii="宋体" w:hAnsi="宋体" w:cs="ˎ̥"/>
                <w:bCs/>
                <w:color w:val="auto"/>
                <w:kern w:val="0"/>
                <w:sz w:val="24"/>
                <w:highlight w:val="none"/>
              </w:rPr>
            </w:pPr>
            <w:r>
              <w:rPr>
                <w:rFonts w:hint="eastAsia" w:ascii="宋体" w:hAnsi="宋体" w:cs="ˎ̥"/>
                <w:bCs/>
                <w:color w:val="auto"/>
                <w:kern w:val="0"/>
                <w:sz w:val="24"/>
                <w:highlight w:val="none"/>
              </w:rPr>
              <w:t>联系地址：</w:t>
            </w:r>
            <w:r>
              <w:rPr>
                <w:rFonts w:hint="eastAsia" w:ascii="宋体" w:hAnsi="宋体"/>
                <w:color w:val="auto"/>
                <w:sz w:val="24"/>
                <w:highlight w:val="none"/>
              </w:rPr>
              <w:t>无锡市锡山区东亭迎宾南路17号7楼</w:t>
            </w:r>
          </w:p>
          <w:p>
            <w:pPr>
              <w:widowControl/>
              <w:spacing w:line="360" w:lineRule="auto"/>
              <w:ind w:firstLine="458" w:firstLineChars="191"/>
              <w:rPr>
                <w:rFonts w:ascii="宋体" w:hAnsi="宋体" w:cs="ˎ̥"/>
                <w:bCs/>
                <w:color w:val="auto"/>
                <w:kern w:val="0"/>
                <w:sz w:val="24"/>
                <w:highlight w:val="none"/>
              </w:rPr>
            </w:pPr>
            <w:r>
              <w:rPr>
                <w:rFonts w:hint="eastAsia" w:ascii="宋体" w:hAnsi="宋体" w:cs="ˎ̥"/>
                <w:bCs/>
                <w:color w:val="auto"/>
                <w:kern w:val="0"/>
                <w:sz w:val="24"/>
                <w:highlight w:val="none"/>
              </w:rPr>
              <w:t>邮政编码：</w:t>
            </w:r>
            <w:r>
              <w:rPr>
                <w:rFonts w:ascii="宋体" w:hAnsi="宋体" w:cs="ˎ̥"/>
                <w:bCs/>
                <w:color w:val="auto"/>
                <w:kern w:val="0"/>
                <w:sz w:val="24"/>
                <w:highlight w:val="none"/>
              </w:rPr>
              <w:t>2140</w:t>
            </w:r>
            <w:r>
              <w:rPr>
                <w:rFonts w:hint="eastAsia" w:ascii="宋体" w:hAnsi="宋体" w:cs="ˎ̥"/>
                <w:bCs/>
                <w:color w:val="auto"/>
                <w:kern w:val="0"/>
                <w:sz w:val="24"/>
                <w:highlight w:val="none"/>
              </w:rPr>
              <w:t>00</w:t>
            </w:r>
          </w:p>
          <w:p>
            <w:pPr>
              <w:widowControl/>
              <w:spacing w:line="360" w:lineRule="auto"/>
              <w:ind w:firstLine="458" w:firstLineChars="191"/>
              <w:rPr>
                <w:rFonts w:ascii="宋体" w:hAnsi="宋体"/>
                <w:color w:val="auto"/>
                <w:sz w:val="24"/>
                <w:highlight w:val="none"/>
              </w:rPr>
            </w:pPr>
            <w:r>
              <w:rPr>
                <w:rFonts w:hint="eastAsia" w:ascii="宋体" w:hAnsi="宋体" w:cs="ˎ̥"/>
                <w:color w:val="auto"/>
                <w:kern w:val="0"/>
                <w:sz w:val="24"/>
                <w:highlight w:val="none"/>
              </w:rPr>
              <w:t>电子邮件地址：jyjfzbdl@163.com</w:t>
            </w:r>
            <w:r>
              <w:rPr>
                <w:rFonts w:ascii="宋体" w:hAnsi="宋体" w:cs="ˎ̥"/>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3" w:hRule="atLeast"/>
        </w:trPr>
        <w:tc>
          <w:tcPr>
            <w:tcW w:w="1101" w:type="dxa"/>
            <w:vAlign w:val="center"/>
          </w:tcPr>
          <w:p>
            <w:pPr>
              <w:widowControl/>
              <w:topLinePunct/>
              <w:jc w:val="center"/>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4</w:t>
            </w:r>
          </w:p>
        </w:tc>
        <w:tc>
          <w:tcPr>
            <w:tcW w:w="8221" w:type="dxa"/>
            <w:vAlign w:val="center"/>
          </w:tcPr>
          <w:p>
            <w:pPr>
              <w:shd w:val="clear" w:color="auto" w:fill="FFFFFF"/>
              <w:snapToGrid w:val="0"/>
              <w:ind w:firstLine="482"/>
              <w:rPr>
                <w:rFonts w:ascii="宋体" w:hAnsi="宋体" w:cs="宋体"/>
                <w:color w:val="auto"/>
                <w:highlight w:val="none"/>
              </w:rPr>
            </w:pPr>
            <w:r>
              <w:rPr>
                <w:rFonts w:hint="eastAsia" w:ascii="宋体" w:hAnsi="宋体" w:cs="宋体"/>
                <w:b/>
                <w:bCs/>
                <w:color w:val="auto"/>
                <w:highlight w:val="none"/>
              </w:rPr>
              <w:t>供应商主体信息库注册</w:t>
            </w:r>
          </w:p>
          <w:p>
            <w:pPr>
              <w:shd w:val="clear" w:color="auto" w:fill="FFFFFF"/>
              <w:snapToGrid w:val="0"/>
              <w:ind w:firstLine="480"/>
              <w:rPr>
                <w:rFonts w:ascii="宋体" w:hAnsi="宋体" w:cs="宋体"/>
                <w:color w:val="auto"/>
                <w:sz w:val="24"/>
                <w:highlight w:val="none"/>
              </w:rPr>
            </w:pPr>
            <w:r>
              <w:rPr>
                <w:rFonts w:hint="eastAsia" w:ascii="宋体" w:hAnsi="宋体" w:cs="宋体"/>
                <w:color w:val="auto"/>
                <w:sz w:val="24"/>
                <w:highlight w:val="none"/>
              </w:rPr>
              <w:t>1.潜在投标供应商访问江苏省政府采购（苏采云）平台的网络地址和方法：</w:t>
            </w:r>
          </w:p>
          <w:p>
            <w:pPr>
              <w:shd w:val="clear" w:color="auto" w:fill="FFFFFF"/>
              <w:snapToGrid w:val="0"/>
              <w:ind w:firstLine="480"/>
              <w:rPr>
                <w:rFonts w:ascii="宋体" w:hAnsi="宋体" w:cs="宋体"/>
                <w:color w:val="auto"/>
                <w:sz w:val="24"/>
                <w:highlight w:val="none"/>
              </w:rPr>
            </w:pPr>
            <w:r>
              <w:rPr>
                <w:rFonts w:hint="eastAsia" w:ascii="宋体" w:hAnsi="宋体" w:cs="宋体"/>
                <w:color w:val="auto"/>
                <w:sz w:val="24"/>
                <w:highlight w:val="none"/>
              </w:rPr>
              <w:t>1）访问“无锡政府采购网”点击“江苏省政府采购（苏采云）平台”（以下简称“苏采云”）进行账号注册，注册完成后需在系统中填写资质信息并提交审核。也可以直接通过http://jszfcg.jsczt.cn/进入注册界面。</w:t>
            </w:r>
          </w:p>
          <w:p>
            <w:pPr>
              <w:shd w:val="clear" w:color="auto" w:fill="FFFFFF"/>
              <w:snapToGrid w:val="0"/>
              <w:ind w:firstLine="480"/>
              <w:rPr>
                <w:rFonts w:ascii="宋体" w:hAnsi="宋体" w:cs="宋体"/>
                <w:color w:val="auto"/>
                <w:sz w:val="24"/>
                <w:highlight w:val="none"/>
              </w:rPr>
            </w:pPr>
            <w:r>
              <w:rPr>
                <w:rFonts w:hint="eastAsia" w:ascii="宋体" w:hAnsi="宋体" w:cs="宋体"/>
                <w:color w:val="auto"/>
                <w:sz w:val="24"/>
                <w:highlight w:val="none"/>
              </w:rPr>
              <w:t>2）潜在供应商访问江苏省政府采购（苏采云）平台的方法：“苏采云”系统用户注册--获取“CA数字证书”--CA绑定与登录--项目参与--下载采购文件（后缀名为“.kedt”）--将后缀名为“.kedt”的采购文件导入政府采购客户端工具--制作投标文件--导出加密的投标文件（后缀名为zip）--通过“苏采云”系统上传响应文件。</w:t>
            </w:r>
          </w:p>
          <w:p>
            <w:pPr>
              <w:shd w:val="clear" w:color="auto" w:fill="FFFFFF"/>
              <w:snapToGrid w:val="0"/>
              <w:ind w:firstLine="480"/>
              <w:rPr>
                <w:rFonts w:ascii="宋体" w:hAnsi="宋体" w:cs="宋体"/>
                <w:color w:val="auto"/>
                <w:sz w:val="24"/>
                <w:highlight w:val="none"/>
              </w:rPr>
            </w:pPr>
            <w:r>
              <w:rPr>
                <w:rFonts w:hint="eastAsia" w:ascii="宋体" w:hAnsi="宋体" w:cs="宋体"/>
                <w:color w:val="auto"/>
                <w:sz w:val="24"/>
                <w:highlight w:val="none"/>
              </w:rPr>
              <w:t>3）供应商应及时办理江苏省电子政务证书认证中心CA证书与电子签章，政府采购交易系统原CA须更换为江苏省电子政务证书认证中心CA，以确保全流程电子化政府采购活动的顺利进行。办理“意源”CA数字证书和“方正”电子签章（办理地址：无锡市滨湖区观山路199号12号楼二楼9号、10号窗口），办理指南链接：http://jsxcmm.com/help/help.html。</w:t>
            </w:r>
          </w:p>
          <w:p>
            <w:pPr>
              <w:shd w:val="clear" w:color="auto" w:fill="FFFFFF"/>
              <w:snapToGrid w:val="0"/>
              <w:ind w:firstLine="480"/>
              <w:rPr>
                <w:rFonts w:ascii="宋体" w:hAnsi="宋体" w:cs="宋体"/>
                <w:color w:val="auto"/>
                <w:sz w:val="24"/>
                <w:highlight w:val="none"/>
              </w:rPr>
            </w:pPr>
            <w:r>
              <w:rPr>
                <w:rFonts w:hint="eastAsia" w:ascii="宋体" w:hAnsi="宋体" w:cs="宋体"/>
                <w:color w:val="auto"/>
                <w:sz w:val="24"/>
                <w:highlight w:val="none"/>
              </w:rPr>
              <w:t>4）CA驱动下载：</w:t>
            </w:r>
          </w:p>
          <w:p>
            <w:pPr>
              <w:shd w:val="clear" w:color="auto" w:fill="FFFFFF"/>
              <w:snapToGrid w:val="0"/>
              <w:ind w:firstLine="480"/>
              <w:rPr>
                <w:rFonts w:ascii="宋体" w:hAnsi="宋体" w:cs="宋体"/>
                <w:color w:val="auto"/>
                <w:sz w:val="24"/>
                <w:highlight w:val="none"/>
              </w:rPr>
            </w:pPr>
            <w:r>
              <w:rPr>
                <w:rFonts w:hint="eastAsia" w:ascii="宋体" w:hAnsi="宋体" w:cs="宋体"/>
                <w:color w:val="auto"/>
                <w:sz w:val="24"/>
                <w:highlight w:val="none"/>
              </w:rPr>
              <w:t>在“江苏省政府采购（苏采云）平台”账号登陆页面，点击“驱动下载”链接中的“政务CA、方正签章控件驱动安装包及安装说明”可以直接下载驱动安装包，安装包中附有驱动安装手册。</w:t>
            </w:r>
          </w:p>
          <w:p>
            <w:pPr>
              <w:shd w:val="clear" w:color="auto" w:fill="FFFFFF"/>
              <w:snapToGrid w:val="0"/>
              <w:ind w:firstLine="480"/>
              <w:rPr>
                <w:rFonts w:ascii="宋体" w:hAnsi="宋体" w:cs="宋体"/>
                <w:color w:val="auto"/>
                <w:sz w:val="24"/>
                <w:highlight w:val="none"/>
              </w:rPr>
            </w:pPr>
            <w:r>
              <w:rPr>
                <w:rFonts w:hint="eastAsia" w:ascii="宋体" w:hAnsi="宋体" w:cs="宋体"/>
                <w:color w:val="auto"/>
                <w:sz w:val="24"/>
                <w:highlight w:val="none"/>
              </w:rPr>
              <w:t>技术服务电话：0510-81827781（服务时间：工作日 9:00-11:30，13:00-17:00）</w:t>
            </w:r>
          </w:p>
          <w:p>
            <w:pPr>
              <w:shd w:val="clear" w:color="auto" w:fill="FFFFFF"/>
              <w:snapToGrid w:val="0"/>
              <w:ind w:firstLine="480"/>
              <w:rPr>
                <w:rFonts w:ascii="宋体" w:hAnsi="宋体" w:cs="宋体"/>
                <w:color w:val="auto"/>
                <w:sz w:val="24"/>
                <w:highlight w:val="none"/>
              </w:rPr>
            </w:pPr>
            <w:r>
              <w:rPr>
                <w:rFonts w:hint="eastAsia" w:ascii="宋体" w:hAnsi="宋体" w:cs="宋体"/>
                <w:color w:val="auto"/>
                <w:sz w:val="24"/>
                <w:highlight w:val="none"/>
              </w:rPr>
              <w:t>2.完成苏采云注册的供应商方可在苏采云中进行CA绑定。登录“江苏省政府采购（苏采云）平台”，插入CA后，点击【账号设置】——【绑定CA】。</w:t>
            </w:r>
          </w:p>
          <w:p>
            <w:pPr>
              <w:shd w:val="clear" w:color="auto" w:fill="FFFFFF"/>
              <w:snapToGrid w:val="0"/>
              <w:ind w:firstLine="480"/>
              <w:rPr>
                <w:rFonts w:ascii="宋体" w:hAnsi="宋体" w:cs="宋体"/>
                <w:color w:val="auto"/>
                <w:sz w:val="24"/>
                <w:highlight w:val="none"/>
              </w:rPr>
            </w:pPr>
            <w:r>
              <w:rPr>
                <w:rFonts w:hint="eastAsia" w:ascii="宋体" w:hAnsi="宋体" w:cs="宋体"/>
                <w:color w:val="auto"/>
                <w:sz w:val="24"/>
                <w:highlight w:val="none"/>
              </w:rPr>
              <w:t>3.供应商应按上述要求提供相关材料及注册登记信息，所提供的材料应均是真实的、准确的，若有违背，供应商自行承担由此而产生的一切后果。</w:t>
            </w:r>
          </w:p>
          <w:p>
            <w:pPr>
              <w:shd w:val="clear" w:color="auto" w:fill="FFFFFF"/>
              <w:snapToGrid w:val="0"/>
              <w:ind w:firstLine="480"/>
              <w:rPr>
                <w:rFonts w:ascii="宋体" w:hAnsi="宋体" w:cs="宋体"/>
                <w:color w:val="auto"/>
                <w:sz w:val="24"/>
                <w:highlight w:val="none"/>
              </w:rPr>
            </w:pPr>
            <w:r>
              <w:rPr>
                <w:rFonts w:hint="eastAsia" w:ascii="宋体" w:hAnsi="宋体" w:cs="宋体"/>
                <w:color w:val="auto"/>
                <w:sz w:val="24"/>
                <w:highlight w:val="none"/>
              </w:rPr>
              <w:t>4.如供应商未按上述要求操作，由此所产生的损失及风险由供应商自行承担。具体操作步骤详见《“苏采云”系统供应商操作手册》（以下简称《操作手册》），下载地址：无锡市政府采购网——资料下载——苏采云——“苏采云”系统供应商操作手册。</w:t>
            </w:r>
          </w:p>
          <w:p>
            <w:pPr>
              <w:snapToGrid w:val="0"/>
              <w:rPr>
                <w:rFonts w:ascii="宋体" w:hAnsi="宋体"/>
                <w:color w:val="auto"/>
                <w:sz w:val="24"/>
                <w:highlight w:val="none"/>
              </w:rPr>
            </w:pPr>
            <w:r>
              <w:rPr>
                <w:rFonts w:hint="eastAsia" w:ascii="宋体" w:hAnsi="宋体" w:cs="宋体"/>
                <w:color w:val="auto"/>
                <w:sz w:val="24"/>
                <w:highlight w:val="none"/>
              </w:rPr>
              <w:t>技术支持QQ：田女士：3071474382 ；王先生：897651173。</w:t>
            </w:r>
          </w:p>
        </w:tc>
      </w:tr>
    </w:tbl>
    <w:p>
      <w:pPr>
        <w:spacing w:line="360" w:lineRule="auto"/>
        <w:jc w:val="center"/>
        <w:outlineLvl w:val="0"/>
        <w:rPr>
          <w:rFonts w:ascii="宋体" w:hAnsi="宋体"/>
          <w:b/>
          <w:color w:val="auto"/>
          <w:sz w:val="18"/>
          <w:szCs w:val="18"/>
          <w:highlight w:val="none"/>
        </w:rPr>
      </w:pPr>
    </w:p>
    <w:p>
      <w:pPr>
        <w:pStyle w:val="2"/>
        <w:rPr>
          <w:color w:val="auto"/>
          <w:sz w:val="18"/>
          <w:szCs w:val="18"/>
          <w:highlight w:val="none"/>
        </w:rPr>
      </w:pPr>
      <w:r>
        <w:rPr>
          <w:color w:val="auto"/>
          <w:sz w:val="18"/>
          <w:szCs w:val="18"/>
          <w:highlight w:val="none"/>
        </w:rPr>
        <w:br w:type="page"/>
      </w:r>
    </w:p>
    <w:p>
      <w:pPr>
        <w:spacing w:line="360" w:lineRule="auto"/>
        <w:jc w:val="center"/>
        <w:outlineLvl w:val="0"/>
        <w:rPr>
          <w:rFonts w:ascii="宋体" w:hAnsi="宋体"/>
          <w:b/>
          <w:color w:val="auto"/>
          <w:sz w:val="44"/>
          <w:szCs w:val="44"/>
          <w:highlight w:val="none"/>
        </w:rPr>
      </w:pPr>
      <w:r>
        <w:rPr>
          <w:rFonts w:hint="eastAsia" w:ascii="宋体" w:hAnsi="宋体"/>
          <w:b/>
          <w:color w:val="auto"/>
          <w:sz w:val="44"/>
          <w:szCs w:val="44"/>
          <w:highlight w:val="none"/>
        </w:rPr>
        <w:t>第二部分. 投标供应商须知</w:t>
      </w:r>
    </w:p>
    <w:p>
      <w:pPr>
        <w:spacing w:line="360" w:lineRule="auto"/>
        <w:ind w:firstLine="241" w:firstLineChars="100"/>
        <w:outlineLvl w:val="0"/>
        <w:rPr>
          <w:rFonts w:ascii="宋体" w:hAnsi="宋体"/>
          <w:b/>
          <w:bCs/>
          <w:color w:val="auto"/>
          <w:sz w:val="24"/>
          <w:highlight w:val="none"/>
        </w:rPr>
      </w:pPr>
      <w:r>
        <w:rPr>
          <w:rFonts w:hint="eastAsia" w:ascii="宋体" w:hAnsi="宋体"/>
          <w:b/>
          <w:bCs/>
          <w:color w:val="auto"/>
          <w:sz w:val="24"/>
          <w:highlight w:val="none"/>
        </w:rPr>
        <w:t>（一）遵循原则：</w:t>
      </w:r>
    </w:p>
    <w:p>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公开透明原则、公平竞争原则、公正原则和诚实信用原则。</w:t>
      </w:r>
    </w:p>
    <w:p>
      <w:pPr>
        <w:spacing w:line="360" w:lineRule="auto"/>
        <w:ind w:firstLine="241" w:firstLineChars="100"/>
        <w:outlineLvl w:val="0"/>
        <w:rPr>
          <w:rFonts w:ascii="宋体" w:hAnsi="宋体"/>
          <w:b/>
          <w:bCs/>
          <w:color w:val="auto"/>
          <w:sz w:val="24"/>
          <w:highlight w:val="none"/>
        </w:rPr>
      </w:pPr>
      <w:r>
        <w:rPr>
          <w:rFonts w:hint="eastAsia" w:ascii="宋体" w:hAnsi="宋体"/>
          <w:b/>
          <w:bCs/>
          <w:color w:val="auto"/>
          <w:sz w:val="24"/>
          <w:highlight w:val="none"/>
        </w:rPr>
        <w:t>（二）采购文件：</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1．采购文件包括文件目录所列全部内容，投标供应商应仔细阅读，并在投标文件中充分响应采购文件的所有要求。</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2．投标供应商应向江苏建圆建方工程管理咨询有限公司购买文件及有关资料，按采购文件要求提交全部资料并对采购文件各项内容做出实质性响应，否则报价无效。</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3．投标供应商一旦参加本项目报价，即表明承诺接受了本采购文件中所有条件和规定。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4．采购文件一经售出、一律不退，且仅作为本次采购报价使用。</w:t>
      </w:r>
    </w:p>
    <w:p>
      <w:pPr>
        <w:spacing w:line="360" w:lineRule="auto"/>
        <w:ind w:firstLine="241" w:firstLineChars="100"/>
        <w:outlineLvl w:val="0"/>
        <w:rPr>
          <w:rFonts w:ascii="宋体" w:hAnsi="宋体"/>
          <w:b/>
          <w:bCs/>
          <w:color w:val="auto"/>
          <w:sz w:val="24"/>
          <w:highlight w:val="none"/>
        </w:rPr>
      </w:pPr>
      <w:r>
        <w:rPr>
          <w:rFonts w:hint="eastAsia" w:ascii="宋体" w:hAnsi="宋体"/>
          <w:b/>
          <w:bCs/>
          <w:color w:val="auto"/>
          <w:sz w:val="24"/>
          <w:highlight w:val="none"/>
        </w:rPr>
        <w:t>（三）采购文件的解释：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供应商如有需要对采购文件要求澄清的问题，请以书面方式提出，并按“投标邀请”第6项规定的时间将电子邮件及书面传真（两种形式均须发送）至江苏建圆建方工程管理咨询有限公司，联系方式详见投标邀请第13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2．采购人、江苏建圆建方工程管理咨询有限公司将按“投标邀请”第6项规定的时间对投标供应商针对采购文件书面提出的要求澄清的问题进行书面答疑。</w:t>
      </w:r>
    </w:p>
    <w:p>
      <w:pPr>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3．本文件的最终解释权归采购人。</w:t>
      </w:r>
    </w:p>
    <w:p>
      <w:pPr>
        <w:spacing w:line="360" w:lineRule="auto"/>
        <w:ind w:firstLine="241" w:firstLineChars="100"/>
        <w:outlineLvl w:val="0"/>
        <w:rPr>
          <w:rFonts w:ascii="宋体" w:hAnsi="宋体"/>
          <w:b/>
          <w:bCs/>
          <w:color w:val="auto"/>
          <w:sz w:val="24"/>
          <w:highlight w:val="none"/>
        </w:rPr>
      </w:pPr>
      <w:r>
        <w:rPr>
          <w:rFonts w:hint="eastAsia" w:ascii="宋体" w:hAnsi="宋体"/>
          <w:b/>
          <w:bCs/>
          <w:color w:val="auto"/>
          <w:sz w:val="24"/>
          <w:highlight w:val="none"/>
        </w:rPr>
        <w:t>（四）采购文件的补充或修正：</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采购人或者采购代理机构可以对已发出的采购文件进行必要的澄清或者修改，澄清或者修改</w:t>
      </w:r>
      <w:r>
        <w:rPr>
          <w:rFonts w:hint="eastAsia" w:ascii="宋体" w:hAnsi="宋体"/>
          <w:color w:val="auto"/>
          <w:sz w:val="24"/>
          <w:highlight w:val="none"/>
        </w:rPr>
        <w:t>将</w:t>
      </w:r>
      <w:r>
        <w:rPr>
          <w:rFonts w:ascii="宋体" w:hAnsi="宋体"/>
          <w:color w:val="auto"/>
          <w:sz w:val="24"/>
          <w:highlight w:val="none"/>
        </w:rPr>
        <w:t>在</w:t>
      </w:r>
      <w:r>
        <w:rPr>
          <w:rFonts w:hint="eastAsia" w:ascii="宋体" w:hAnsi="宋体"/>
          <w:color w:val="auto"/>
          <w:sz w:val="24"/>
          <w:highlight w:val="none"/>
        </w:rPr>
        <w:t>无锡</w:t>
      </w:r>
      <w:r>
        <w:rPr>
          <w:rFonts w:ascii="宋体" w:hAnsi="宋体"/>
          <w:color w:val="auto"/>
          <w:sz w:val="24"/>
          <w:highlight w:val="none"/>
        </w:rPr>
        <w:t>政府采购网</w:t>
      </w:r>
      <w:r>
        <w:rPr>
          <w:rFonts w:hint="eastAsia" w:ascii="宋体" w:hAnsi="宋体"/>
          <w:color w:val="auto"/>
          <w:sz w:val="24"/>
          <w:highlight w:val="none"/>
        </w:rPr>
        <w:t>、</w:t>
      </w:r>
      <w:r>
        <w:rPr>
          <w:rFonts w:ascii="宋体" w:hAnsi="宋体"/>
          <w:color w:val="auto"/>
          <w:sz w:val="24"/>
          <w:highlight w:val="none"/>
        </w:rPr>
        <w:t>江苏政府采购网上发布澄清公告。澄清或者修改的内容为采购文件的组成部分。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澄清或者修改的内容可能影响投标文件编制的，采购人或者采购代理机构</w:t>
      </w:r>
      <w:r>
        <w:rPr>
          <w:rFonts w:hint="eastAsia" w:ascii="宋体" w:hAnsi="宋体"/>
          <w:color w:val="auto"/>
          <w:sz w:val="24"/>
          <w:highlight w:val="none"/>
        </w:rPr>
        <w:t>将</w:t>
      </w:r>
      <w:r>
        <w:rPr>
          <w:rFonts w:ascii="宋体" w:hAnsi="宋体"/>
          <w:color w:val="auto"/>
          <w:sz w:val="24"/>
          <w:highlight w:val="none"/>
        </w:rPr>
        <w:t>在投标截止时间至少15日前，以书面形式通知所有获取采购文件的潜在投标供应商；不足15日的，采购人或者采购代理机构应当顺延提交投标文件的截止时间</w:t>
      </w:r>
      <w:r>
        <w:rPr>
          <w:rFonts w:hint="eastAsia" w:ascii="宋体" w:hAnsi="宋体"/>
          <w:color w:val="auto"/>
          <w:sz w:val="24"/>
          <w:highlight w:val="none"/>
        </w:rPr>
        <w:t>。</w:t>
      </w:r>
    </w:p>
    <w:p>
      <w:pPr>
        <w:spacing w:line="360" w:lineRule="auto"/>
        <w:ind w:firstLine="241" w:firstLineChars="100"/>
        <w:outlineLvl w:val="0"/>
        <w:rPr>
          <w:rFonts w:ascii="宋体" w:hAnsi="宋体"/>
          <w:b/>
          <w:bCs/>
          <w:color w:val="auto"/>
          <w:sz w:val="24"/>
          <w:highlight w:val="none"/>
        </w:rPr>
      </w:pPr>
      <w:r>
        <w:rPr>
          <w:rFonts w:hint="eastAsia" w:ascii="宋体" w:hAnsi="宋体"/>
          <w:b/>
          <w:bCs/>
          <w:color w:val="auto"/>
          <w:sz w:val="24"/>
          <w:highlight w:val="none"/>
        </w:rPr>
        <w:t>（五）投标文件的组成：</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文件分为明标和暗标两部分，明标由证明文件、投标函、报价文件三部分组成（装订成册），暗标为技术文件（装订成一册），同时还需提供投标文件电子光盘（或U盘）一份，电子光盘（或U盘）中必须包括投标文件的所有内容（明标盖章版PDF扫描件及暗标部分）。</w:t>
      </w:r>
    </w:p>
    <w:p>
      <w:pPr>
        <w:spacing w:line="440" w:lineRule="exact"/>
        <w:rPr>
          <w:rFonts w:ascii="宋体" w:hAnsi="宋体"/>
          <w:b/>
          <w:bCs/>
          <w:color w:val="auto"/>
          <w:sz w:val="24"/>
          <w:highlight w:val="none"/>
        </w:rPr>
      </w:pPr>
      <w:bookmarkStart w:id="5" w:name="_Hlk1051095"/>
      <w:r>
        <w:rPr>
          <w:rFonts w:hint="eastAsia" w:ascii="宋体" w:hAnsi="宋体"/>
          <w:b/>
          <w:bCs/>
          <w:color w:val="auto"/>
          <w:sz w:val="24"/>
          <w:highlight w:val="none"/>
        </w:rPr>
        <w:t>明标部分：</w:t>
      </w:r>
    </w:p>
    <w:p>
      <w:pPr>
        <w:spacing w:line="440" w:lineRule="exact"/>
        <w:rPr>
          <w:rFonts w:ascii="宋体" w:hAnsi="宋体"/>
          <w:color w:val="auto"/>
          <w:sz w:val="24"/>
          <w:highlight w:val="none"/>
        </w:rPr>
      </w:pPr>
      <w:r>
        <w:rPr>
          <w:rFonts w:hint="eastAsia" w:ascii="宋体" w:hAnsi="宋体"/>
          <w:color w:val="auto"/>
          <w:sz w:val="24"/>
          <w:highlight w:val="none"/>
        </w:rPr>
        <w:t>1.证明文件：</w:t>
      </w:r>
    </w:p>
    <w:p>
      <w:pPr>
        <w:spacing w:line="440" w:lineRule="exact"/>
        <w:rPr>
          <w:rFonts w:ascii="宋体" w:hAnsi="宋体"/>
          <w:bCs/>
          <w:color w:val="auto"/>
          <w:sz w:val="24"/>
          <w:highlight w:val="none"/>
        </w:rPr>
      </w:pPr>
      <w:r>
        <w:rPr>
          <w:rFonts w:hint="eastAsia" w:ascii="宋体" w:hAnsi="宋体"/>
          <w:color w:val="auto"/>
          <w:sz w:val="24"/>
          <w:highlight w:val="none"/>
        </w:rPr>
        <w:t>1.1资格、资信证明文件</w:t>
      </w:r>
    </w:p>
    <w:p>
      <w:pPr>
        <w:tabs>
          <w:tab w:val="left" w:pos="0"/>
        </w:tabs>
        <w:spacing w:line="440" w:lineRule="exact"/>
        <w:ind w:firstLine="422" w:firstLineChars="176"/>
        <w:rPr>
          <w:rFonts w:ascii="宋体" w:hAnsi="宋体"/>
          <w:color w:val="auto"/>
          <w:sz w:val="24"/>
          <w:highlight w:val="none"/>
        </w:rPr>
      </w:pPr>
      <w:r>
        <w:rPr>
          <w:rFonts w:hint="eastAsia" w:ascii="宋体" w:hAnsi="宋体"/>
          <w:color w:val="auto"/>
          <w:sz w:val="24"/>
          <w:highlight w:val="none"/>
        </w:rPr>
        <w:t>（1）关于资格的声明函（格式见附件）</w:t>
      </w:r>
    </w:p>
    <w:p>
      <w:pPr>
        <w:tabs>
          <w:tab w:val="left" w:pos="0"/>
        </w:tabs>
        <w:spacing w:line="440" w:lineRule="exact"/>
        <w:ind w:firstLine="422" w:firstLineChars="176"/>
        <w:rPr>
          <w:rFonts w:ascii="宋体" w:hAnsi="宋体"/>
          <w:color w:val="auto"/>
          <w:sz w:val="24"/>
          <w:highlight w:val="none"/>
        </w:rPr>
      </w:pPr>
      <w:r>
        <w:rPr>
          <w:rFonts w:hint="eastAsia" w:ascii="宋体" w:hAnsi="宋体"/>
          <w:color w:val="auto"/>
          <w:sz w:val="24"/>
          <w:highlight w:val="none"/>
        </w:rPr>
        <w:t>（2）投标供应商企业</w:t>
      </w:r>
      <w:r>
        <w:rPr>
          <w:rFonts w:ascii="宋体" w:hAnsi="宋体"/>
          <w:color w:val="auto"/>
          <w:sz w:val="24"/>
          <w:highlight w:val="none"/>
        </w:rPr>
        <w:t>营业执照</w:t>
      </w:r>
      <w:r>
        <w:rPr>
          <w:rFonts w:hint="eastAsia" w:ascii="宋体" w:hAnsi="宋体"/>
          <w:color w:val="auto"/>
          <w:sz w:val="24"/>
          <w:highlight w:val="none"/>
        </w:rPr>
        <w:t>复印件并加盖投标供应商公章；</w:t>
      </w:r>
    </w:p>
    <w:p>
      <w:pPr>
        <w:tabs>
          <w:tab w:val="left" w:pos="0"/>
        </w:tabs>
        <w:spacing w:line="440" w:lineRule="exact"/>
        <w:ind w:firstLine="422" w:firstLineChars="176"/>
        <w:rPr>
          <w:rFonts w:ascii="宋体" w:hAnsi="宋体"/>
          <w:color w:val="auto"/>
          <w:sz w:val="24"/>
          <w:highlight w:val="none"/>
        </w:rPr>
      </w:pPr>
      <w:r>
        <w:rPr>
          <w:rFonts w:hint="eastAsia" w:ascii="宋体" w:hAnsi="宋体"/>
          <w:color w:val="auto"/>
          <w:sz w:val="24"/>
          <w:highlight w:val="none"/>
        </w:rPr>
        <w:t>（3）投标供应商法定代表人授权委托书（格式见附件）；</w:t>
      </w:r>
    </w:p>
    <w:p>
      <w:pPr>
        <w:tabs>
          <w:tab w:val="left" w:pos="0"/>
        </w:tabs>
        <w:spacing w:line="440" w:lineRule="exact"/>
        <w:ind w:firstLine="422" w:firstLineChars="176"/>
        <w:rPr>
          <w:rFonts w:ascii="宋体" w:hAnsi="宋体"/>
          <w:color w:val="auto"/>
          <w:sz w:val="24"/>
          <w:highlight w:val="none"/>
        </w:rPr>
      </w:pPr>
      <w:r>
        <w:rPr>
          <w:rFonts w:hint="eastAsia" w:ascii="宋体" w:hAnsi="宋体"/>
          <w:color w:val="auto"/>
          <w:sz w:val="24"/>
          <w:highlight w:val="none"/>
        </w:rPr>
        <w:t>（4）投标供应商法定代表人身份证复印件及法定代表人授权代表身份证复印件（投标时必须携带法定代表人身份证或法定代表人授权代表身份证原件）；</w:t>
      </w:r>
    </w:p>
    <w:p>
      <w:pPr>
        <w:tabs>
          <w:tab w:val="left" w:pos="0"/>
        </w:tabs>
        <w:spacing w:line="440" w:lineRule="exact"/>
        <w:ind w:firstLine="422" w:firstLineChars="176"/>
        <w:rPr>
          <w:rFonts w:ascii="宋体" w:hAnsi="宋体"/>
          <w:color w:val="auto"/>
          <w:sz w:val="24"/>
          <w:highlight w:val="none"/>
        </w:rPr>
      </w:pPr>
      <w:r>
        <w:rPr>
          <w:rFonts w:hint="eastAsia" w:ascii="宋体" w:hAnsi="宋体"/>
          <w:color w:val="auto"/>
          <w:sz w:val="24"/>
          <w:highlight w:val="none"/>
        </w:rPr>
        <w:t>（5）授权委托人与投标供应商企业签订的劳动合同及法定的社保收缴部门出具由投标供应商本企业为授权委托人依法缴纳的</w:t>
      </w:r>
      <w:r>
        <w:rPr>
          <w:rFonts w:hint="eastAsia" w:ascii="宋体" w:hAnsi="宋体"/>
          <w:b/>
          <w:bCs/>
          <w:color w:val="auto"/>
          <w:sz w:val="24"/>
          <w:highlight w:val="none"/>
          <w:u w:val="single"/>
        </w:rPr>
        <w:t>2023年12月-2024年5月</w:t>
      </w:r>
      <w:r>
        <w:rPr>
          <w:rFonts w:hint="eastAsia" w:ascii="宋体" w:hAnsi="宋体"/>
          <w:color w:val="auto"/>
          <w:sz w:val="24"/>
          <w:highlight w:val="none"/>
        </w:rPr>
        <w:t>的社会保障资金的相关材料（提供相关主管部门证明或银行代扣证明）（投标时提供原件）；</w:t>
      </w:r>
    </w:p>
    <w:p>
      <w:pPr>
        <w:tabs>
          <w:tab w:val="left" w:pos="0"/>
        </w:tabs>
        <w:spacing w:line="440" w:lineRule="exact"/>
        <w:ind w:firstLine="422" w:firstLineChars="176"/>
        <w:rPr>
          <w:rFonts w:ascii="宋体" w:hAnsi="宋体"/>
          <w:color w:val="auto"/>
          <w:sz w:val="24"/>
          <w:highlight w:val="none"/>
        </w:rPr>
      </w:pPr>
      <w:r>
        <w:rPr>
          <w:rFonts w:hint="eastAsia" w:ascii="宋体" w:hAnsi="宋体"/>
          <w:color w:val="auto"/>
          <w:sz w:val="24"/>
          <w:highlight w:val="none"/>
        </w:rPr>
        <w:t>（6）投标供应商企业近三个月中任意一个月份(不含投标当月)的财务状况报告（资产负债表和利润表）或由会计师事务所出具的</w:t>
      </w:r>
      <w:r>
        <w:rPr>
          <w:rFonts w:hint="eastAsia" w:ascii="宋体" w:hAnsi="宋体"/>
          <w:b/>
          <w:bCs/>
          <w:color w:val="auto"/>
          <w:sz w:val="24"/>
          <w:highlight w:val="none"/>
        </w:rPr>
        <w:t>2023年度的财务审计报告</w:t>
      </w:r>
      <w:r>
        <w:rPr>
          <w:rFonts w:hint="eastAsia" w:ascii="宋体" w:hAnsi="宋体"/>
          <w:color w:val="auto"/>
          <w:sz w:val="24"/>
          <w:highlight w:val="none"/>
        </w:rPr>
        <w:t xml:space="preserve">和所附已审财务报告复印件并加盖公章； </w:t>
      </w:r>
    </w:p>
    <w:p>
      <w:pPr>
        <w:tabs>
          <w:tab w:val="left" w:pos="0"/>
        </w:tabs>
        <w:spacing w:line="440" w:lineRule="exact"/>
        <w:ind w:firstLine="422" w:firstLineChars="176"/>
        <w:rPr>
          <w:rFonts w:ascii="宋体" w:hAnsi="宋体"/>
          <w:color w:val="auto"/>
          <w:sz w:val="24"/>
          <w:highlight w:val="none"/>
        </w:rPr>
      </w:pPr>
      <w:r>
        <w:rPr>
          <w:rFonts w:hint="eastAsia" w:ascii="宋体" w:hAnsi="宋体"/>
          <w:color w:val="auto"/>
          <w:sz w:val="24"/>
          <w:highlight w:val="none"/>
        </w:rPr>
        <w:t>（7）投标供应商企业近三个月中任意一个月份</w:t>
      </w:r>
      <w:r>
        <w:rPr>
          <w:rFonts w:ascii="宋体" w:hAnsi="宋体"/>
          <w:color w:val="auto"/>
          <w:sz w:val="24"/>
          <w:highlight w:val="none"/>
        </w:rPr>
        <w:t>(</w:t>
      </w:r>
      <w:r>
        <w:rPr>
          <w:rFonts w:hint="eastAsia" w:ascii="宋体" w:hAnsi="宋体"/>
          <w:color w:val="auto"/>
          <w:sz w:val="24"/>
          <w:highlight w:val="none"/>
        </w:rPr>
        <w:t>不含投标当月</w:t>
      </w:r>
      <w:r>
        <w:rPr>
          <w:rFonts w:ascii="宋体" w:hAnsi="宋体"/>
          <w:color w:val="auto"/>
          <w:sz w:val="24"/>
          <w:highlight w:val="none"/>
        </w:rPr>
        <w:t>)</w:t>
      </w:r>
      <w:r>
        <w:rPr>
          <w:rFonts w:hint="eastAsia" w:ascii="宋体" w:hAnsi="宋体"/>
          <w:color w:val="auto"/>
          <w:sz w:val="24"/>
          <w:highlight w:val="none"/>
        </w:rPr>
        <w:t>的依法缴纳税收的相关材料（提供相关主管部门证明或银行代扣证明）复印件加盖公章；</w:t>
      </w:r>
    </w:p>
    <w:p>
      <w:pPr>
        <w:tabs>
          <w:tab w:val="left" w:pos="0"/>
        </w:tabs>
        <w:spacing w:line="440" w:lineRule="exact"/>
        <w:ind w:firstLine="422" w:firstLineChars="176"/>
        <w:rPr>
          <w:rFonts w:ascii="宋体" w:hAnsi="宋体"/>
          <w:color w:val="auto"/>
          <w:sz w:val="24"/>
          <w:highlight w:val="none"/>
        </w:rPr>
      </w:pPr>
      <w:r>
        <w:rPr>
          <w:rFonts w:hint="eastAsia" w:ascii="宋体" w:hAnsi="宋体"/>
          <w:color w:val="auto"/>
          <w:sz w:val="24"/>
          <w:highlight w:val="none"/>
        </w:rPr>
        <w:t>（8）投标供应商企业近三个月中任意一个月份</w:t>
      </w:r>
      <w:r>
        <w:rPr>
          <w:rFonts w:ascii="宋体" w:hAnsi="宋体"/>
          <w:color w:val="auto"/>
          <w:sz w:val="24"/>
          <w:highlight w:val="none"/>
        </w:rPr>
        <w:t>(</w:t>
      </w:r>
      <w:r>
        <w:rPr>
          <w:rFonts w:hint="eastAsia" w:ascii="宋体" w:hAnsi="宋体"/>
          <w:color w:val="auto"/>
          <w:sz w:val="24"/>
          <w:highlight w:val="none"/>
        </w:rPr>
        <w:t>不含投标当月</w:t>
      </w:r>
      <w:r>
        <w:rPr>
          <w:rFonts w:ascii="宋体" w:hAnsi="宋体"/>
          <w:color w:val="auto"/>
          <w:sz w:val="24"/>
          <w:highlight w:val="none"/>
        </w:rPr>
        <w:t>)</w:t>
      </w:r>
      <w:r>
        <w:rPr>
          <w:rFonts w:hint="eastAsia" w:ascii="宋体" w:hAnsi="宋体"/>
          <w:color w:val="auto"/>
          <w:sz w:val="24"/>
          <w:highlight w:val="none"/>
        </w:rPr>
        <w:t>的依法缴纳社会保障资金的相关材料（提供相关主管部门证明或银行代扣证明）复印件加盖公章；</w:t>
      </w:r>
    </w:p>
    <w:p>
      <w:pPr>
        <w:pStyle w:val="60"/>
        <w:shd w:val="clear" w:color="auto" w:fill="FFFFFF"/>
        <w:spacing w:before="90" w:beforeAutospacing="0" w:after="90" w:afterAutospacing="0" w:line="360" w:lineRule="atLeast"/>
        <w:ind w:firstLine="424" w:firstLineChars="177"/>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9</w:t>
      </w:r>
      <w:r>
        <w:rPr>
          <w:rFonts w:hint="eastAsia" w:ascii="宋体" w:hAnsi="宋体"/>
          <w:color w:val="auto"/>
          <w:highlight w:val="none"/>
        </w:rPr>
        <w:t>）承诺书（格式见附件）。</w:t>
      </w:r>
    </w:p>
    <w:p>
      <w:pPr>
        <w:spacing w:line="360" w:lineRule="auto"/>
        <w:ind w:firstLine="482" w:firstLineChars="200"/>
        <w:rPr>
          <w:rFonts w:ascii="宋体" w:hAnsi="宋体"/>
          <w:b/>
          <w:color w:val="auto"/>
          <w:sz w:val="24"/>
          <w:szCs w:val="20"/>
          <w:highlight w:val="none"/>
        </w:rPr>
      </w:pPr>
      <w:r>
        <w:rPr>
          <w:rFonts w:hint="eastAsia" w:ascii="宋体" w:hAnsi="宋体"/>
          <w:b/>
          <w:color w:val="auto"/>
          <w:sz w:val="24"/>
          <w:szCs w:val="20"/>
          <w:highlight w:val="none"/>
        </w:rPr>
        <w:t>*</w:t>
      </w:r>
      <w:r>
        <w:rPr>
          <w:rFonts w:ascii="宋体" w:hAnsi="宋体"/>
          <w:b/>
          <w:color w:val="auto"/>
          <w:sz w:val="24"/>
          <w:szCs w:val="20"/>
          <w:highlight w:val="none"/>
        </w:rPr>
        <w:t>注：</w:t>
      </w:r>
      <w:r>
        <w:rPr>
          <w:rFonts w:hint="eastAsia" w:ascii="宋体" w:hAnsi="宋体"/>
          <w:b/>
          <w:color w:val="auto"/>
          <w:sz w:val="24"/>
          <w:szCs w:val="20"/>
          <w:highlight w:val="none"/>
        </w:rPr>
        <w:t>上述</w:t>
      </w:r>
      <w:bookmarkStart w:id="6" w:name="_Hlk66280230"/>
      <w:r>
        <w:rPr>
          <w:rFonts w:hint="eastAsia" w:ascii="宋体" w:hAnsi="宋体"/>
          <w:b/>
          <w:color w:val="auto"/>
          <w:sz w:val="24"/>
          <w:szCs w:val="20"/>
          <w:highlight w:val="none"/>
        </w:rPr>
        <w:t>资格、资信证明文件</w:t>
      </w:r>
      <w:bookmarkEnd w:id="6"/>
      <w:r>
        <w:rPr>
          <w:rFonts w:hint="eastAsia" w:ascii="宋体" w:hAnsi="宋体"/>
          <w:b/>
          <w:color w:val="auto"/>
          <w:sz w:val="24"/>
          <w:szCs w:val="20"/>
          <w:highlight w:val="none"/>
        </w:rPr>
        <w:t>投标供应商必须按要求全部提供，</w:t>
      </w:r>
      <w:r>
        <w:rPr>
          <w:rFonts w:ascii="宋体" w:hAnsi="宋体"/>
          <w:b/>
          <w:color w:val="auto"/>
          <w:sz w:val="24"/>
          <w:szCs w:val="20"/>
          <w:highlight w:val="none"/>
        </w:rPr>
        <w:t>其中要求提交的原件或公证件必须与投标文件同时提交，如果原件正在年检（或换证），则必须提供法定年检（或换证）单位出具的有效证明原件</w:t>
      </w:r>
      <w:r>
        <w:rPr>
          <w:rFonts w:hint="eastAsia" w:ascii="宋体" w:hAnsi="宋体"/>
          <w:b/>
          <w:color w:val="auto"/>
          <w:sz w:val="24"/>
          <w:szCs w:val="20"/>
          <w:highlight w:val="none"/>
        </w:rPr>
        <w:t>，否则投标文件无效。如上述资格、资信证明文件遇有国家相关政策规定可不具备的，必须提供相关政策规定或相关单位出具的有效证明复印件。投标供应商法定代表人或法定代表人授权代表为外籍、港、澳、台地区人士的，其身份证明须提供有效的护照或港澳同胞来往内地通行证、台湾同胞来往大陆通行证，或其它可在中国大陆有效居留的许可证明。</w:t>
      </w:r>
    </w:p>
    <w:p>
      <w:pPr>
        <w:widowControl/>
        <w:tabs>
          <w:tab w:val="left" w:pos="0"/>
        </w:tabs>
        <w:spacing w:line="360" w:lineRule="auto"/>
        <w:ind w:firstLine="424" w:firstLineChars="177"/>
        <w:jc w:val="left"/>
        <w:rPr>
          <w:rFonts w:ascii="宋体" w:hAnsi="宋体" w:cs="ˎ̥"/>
          <w:color w:val="auto"/>
          <w:kern w:val="0"/>
          <w:sz w:val="24"/>
          <w:highlight w:val="none"/>
        </w:rPr>
      </w:pPr>
      <w:r>
        <w:rPr>
          <w:rFonts w:hint="eastAsia" w:ascii="宋体" w:hAnsi="宋体"/>
          <w:color w:val="auto"/>
          <w:sz w:val="24"/>
          <w:highlight w:val="none"/>
        </w:rPr>
        <w:t>1.2</w:t>
      </w:r>
      <w:r>
        <w:rPr>
          <w:rFonts w:hint="eastAsia" w:ascii="宋体" w:hAnsi="宋体" w:cs="ˎ̥"/>
          <w:color w:val="auto"/>
          <w:kern w:val="0"/>
          <w:sz w:val="24"/>
          <w:highlight w:val="none"/>
        </w:rPr>
        <w:t>补充证明文件：</w:t>
      </w:r>
    </w:p>
    <w:p>
      <w:pPr>
        <w:widowControl/>
        <w:numPr>
          <w:ilvl w:val="0"/>
          <w:numId w:val="0"/>
        </w:numPr>
        <w:tabs>
          <w:tab w:val="left" w:pos="0"/>
        </w:tabs>
        <w:spacing w:line="360" w:lineRule="auto"/>
        <w:ind w:left="0" w:leftChars="0" w:firstLine="424" w:firstLineChars="177"/>
        <w:jc w:val="left"/>
        <w:rPr>
          <w:rFonts w:hint="eastAsia" w:ascii="宋体" w:hAnsi="宋体" w:cs="ˎ̥"/>
          <w:color w:val="auto"/>
          <w:kern w:val="0"/>
          <w:sz w:val="24"/>
          <w:highlight w:val="none"/>
        </w:rPr>
      </w:pPr>
      <w:r>
        <w:rPr>
          <w:rFonts w:hint="eastAsia" w:ascii="宋体" w:hAnsi="宋体" w:eastAsia="宋体" w:cs="ˎ̥"/>
          <w:color w:val="auto"/>
          <w:kern w:val="0"/>
          <w:sz w:val="24"/>
          <w:szCs w:val="24"/>
          <w:lang w:val="en-US" w:eastAsia="zh-CN" w:bidi="ar-SA"/>
        </w:rPr>
        <w:t>（1）</w:t>
      </w:r>
      <w:r>
        <w:rPr>
          <w:rFonts w:hint="eastAsia" w:ascii="宋体" w:hAnsi="宋体" w:cs="ˎ̥"/>
          <w:color w:val="auto"/>
          <w:kern w:val="0"/>
          <w:sz w:val="24"/>
          <w:highlight w:val="none"/>
        </w:rPr>
        <w:t>投标供应商简介；</w:t>
      </w:r>
    </w:p>
    <w:p>
      <w:pPr>
        <w:widowControl/>
        <w:numPr>
          <w:ilvl w:val="0"/>
          <w:numId w:val="0"/>
        </w:numPr>
        <w:tabs>
          <w:tab w:val="left" w:pos="0"/>
        </w:tabs>
        <w:spacing w:line="360" w:lineRule="auto"/>
        <w:ind w:left="0" w:leftChars="0" w:firstLine="424" w:firstLineChars="177"/>
        <w:jc w:val="left"/>
        <w:rPr>
          <w:rFonts w:ascii="宋体" w:hAnsi="宋体" w:cs="ˎ̥"/>
          <w:color w:val="auto"/>
          <w:kern w:val="0"/>
          <w:sz w:val="24"/>
          <w:highlight w:val="none"/>
        </w:rPr>
      </w:pPr>
      <w:r>
        <w:rPr>
          <w:rFonts w:hint="eastAsia" w:ascii="宋体" w:hAnsi="宋体" w:cs="ˎ̥"/>
          <w:color w:val="auto"/>
          <w:kern w:val="0"/>
          <w:sz w:val="24"/>
          <w:highlight w:val="none"/>
        </w:rPr>
        <w:t>（</w:t>
      </w:r>
      <w:r>
        <w:rPr>
          <w:rFonts w:hint="eastAsia" w:ascii="宋体" w:hAnsi="宋体" w:cs="ˎ̥"/>
          <w:color w:val="auto"/>
          <w:kern w:val="0"/>
          <w:sz w:val="24"/>
          <w:highlight w:val="none"/>
          <w:lang w:val="en-US" w:eastAsia="zh-CN"/>
        </w:rPr>
        <w:t>2</w:t>
      </w:r>
      <w:r>
        <w:rPr>
          <w:rFonts w:hint="eastAsia" w:ascii="宋体" w:hAnsi="宋体" w:cs="ˎ̥"/>
          <w:color w:val="auto"/>
          <w:kern w:val="0"/>
          <w:sz w:val="24"/>
          <w:highlight w:val="none"/>
        </w:rPr>
        <w:t>）中小企业声明函（供应商</w:t>
      </w:r>
      <w:r>
        <w:rPr>
          <w:rFonts w:hint="eastAsia" w:ascii="宋体" w:hAnsi="宋体" w:cs="ˎ̥"/>
          <w:color w:val="auto"/>
          <w:kern w:val="0"/>
          <w:sz w:val="24"/>
          <w:highlight w:val="none"/>
          <w:lang w:val="en-US" w:eastAsia="zh-CN"/>
        </w:rPr>
        <w:t>如</w:t>
      </w:r>
      <w:r>
        <w:rPr>
          <w:rFonts w:hint="eastAsia" w:ascii="宋体" w:hAnsi="宋体" w:cs="ˎ̥"/>
          <w:color w:val="auto"/>
          <w:kern w:val="0"/>
          <w:sz w:val="24"/>
          <w:highlight w:val="none"/>
        </w:rPr>
        <w:t>为中小企业的必须提供，格式见附件）或省级以上监狱管理局、戒毒管理局(含新疆生产建设兵团)出具的属于监狱企业的证明文件加盖供应商公章或残疾人福利性单位声明函（供应商</w:t>
      </w:r>
      <w:r>
        <w:rPr>
          <w:rFonts w:hint="eastAsia" w:ascii="宋体" w:hAnsi="宋体" w:cs="ˎ̥"/>
          <w:color w:val="auto"/>
          <w:kern w:val="0"/>
          <w:sz w:val="24"/>
          <w:highlight w:val="none"/>
          <w:lang w:val="en-US" w:eastAsia="zh-CN"/>
        </w:rPr>
        <w:t>如</w:t>
      </w:r>
      <w:r>
        <w:rPr>
          <w:rFonts w:hint="eastAsia" w:ascii="宋体" w:hAnsi="宋体" w:cs="ˎ̥"/>
          <w:color w:val="auto"/>
          <w:kern w:val="0"/>
          <w:sz w:val="24"/>
          <w:highlight w:val="none"/>
        </w:rPr>
        <w:t>为残疾人福利性单位的必须提供，格式见附件）；</w:t>
      </w:r>
    </w:p>
    <w:p>
      <w:pPr>
        <w:widowControl/>
        <w:numPr>
          <w:ilvl w:val="0"/>
          <w:numId w:val="0"/>
        </w:numPr>
        <w:tabs>
          <w:tab w:val="left" w:pos="0"/>
        </w:tabs>
        <w:spacing w:line="360" w:lineRule="auto"/>
        <w:ind w:left="0" w:leftChars="0" w:firstLine="424" w:firstLineChars="177"/>
        <w:jc w:val="left"/>
        <w:rPr>
          <w:rFonts w:ascii="宋体" w:hAnsi="宋体" w:cs="ˎ̥"/>
          <w:color w:val="auto"/>
          <w:kern w:val="0"/>
          <w:sz w:val="24"/>
          <w:highlight w:val="none"/>
        </w:rPr>
      </w:pPr>
      <w:r>
        <w:rPr>
          <w:rFonts w:hint="eastAsia" w:ascii="宋体" w:hAnsi="宋体" w:eastAsia="宋体" w:cs="ˎ̥"/>
          <w:color w:val="auto"/>
          <w:kern w:val="0"/>
          <w:sz w:val="24"/>
          <w:szCs w:val="24"/>
          <w:lang w:val="en-US" w:eastAsia="zh-CN" w:bidi="ar-SA"/>
        </w:rPr>
        <w:t>（</w:t>
      </w:r>
      <w:r>
        <w:rPr>
          <w:rFonts w:hint="eastAsia" w:ascii="宋体" w:hAnsi="宋体" w:cs="ˎ̥"/>
          <w:color w:val="auto"/>
          <w:kern w:val="0"/>
          <w:sz w:val="24"/>
          <w:szCs w:val="24"/>
          <w:lang w:val="en-US" w:eastAsia="zh-CN" w:bidi="ar-SA"/>
        </w:rPr>
        <w:t>3</w:t>
      </w:r>
      <w:r>
        <w:rPr>
          <w:rFonts w:hint="eastAsia" w:ascii="宋体" w:hAnsi="宋体" w:eastAsia="宋体" w:cs="ˎ̥"/>
          <w:color w:val="auto"/>
          <w:kern w:val="0"/>
          <w:sz w:val="24"/>
          <w:szCs w:val="24"/>
          <w:lang w:val="en-US" w:eastAsia="zh-CN" w:bidi="ar-SA"/>
        </w:rPr>
        <w:t>）</w:t>
      </w:r>
      <w:r>
        <w:rPr>
          <w:rFonts w:hint="eastAsia" w:ascii="宋体" w:hAnsi="宋体" w:cs="ˎ̥"/>
          <w:color w:val="auto"/>
          <w:kern w:val="0"/>
          <w:sz w:val="24"/>
          <w:highlight w:val="none"/>
        </w:rPr>
        <w:t>投标供应商经营情况说明</w:t>
      </w:r>
      <w:r>
        <w:rPr>
          <w:rFonts w:hint="eastAsia" w:ascii="宋体" w:hAnsi="宋体"/>
          <w:color w:val="auto"/>
          <w:sz w:val="24"/>
          <w:highlight w:val="none"/>
        </w:rPr>
        <w:t>（格式见附件）</w:t>
      </w:r>
      <w:r>
        <w:rPr>
          <w:rFonts w:hint="eastAsia" w:ascii="宋体" w:hAnsi="宋体" w:cs="ˎ̥"/>
          <w:color w:val="auto"/>
          <w:kern w:val="0"/>
          <w:sz w:val="24"/>
          <w:highlight w:val="none"/>
        </w:rPr>
        <w:t>。</w:t>
      </w:r>
    </w:p>
    <w:p>
      <w:pPr>
        <w:widowControl/>
        <w:numPr>
          <w:ilvl w:val="0"/>
          <w:numId w:val="0"/>
        </w:numPr>
        <w:tabs>
          <w:tab w:val="left" w:pos="0"/>
        </w:tabs>
        <w:spacing w:line="360" w:lineRule="auto"/>
        <w:ind w:left="0" w:leftChars="0" w:firstLine="424" w:firstLineChars="177"/>
        <w:jc w:val="left"/>
        <w:rPr>
          <w:rFonts w:ascii="宋体" w:hAnsi="宋体" w:cs="ˎ̥"/>
          <w:color w:val="auto"/>
          <w:kern w:val="0"/>
          <w:sz w:val="24"/>
          <w:highlight w:val="none"/>
        </w:rPr>
      </w:pPr>
      <w:r>
        <w:rPr>
          <w:rFonts w:hint="eastAsia" w:ascii="宋体" w:hAnsi="宋体" w:eastAsia="宋体" w:cs="ˎ̥"/>
          <w:color w:val="auto"/>
          <w:kern w:val="0"/>
          <w:sz w:val="24"/>
          <w:szCs w:val="24"/>
          <w:lang w:val="en-US" w:eastAsia="zh-CN" w:bidi="ar-SA"/>
        </w:rPr>
        <w:t>（</w:t>
      </w:r>
      <w:r>
        <w:rPr>
          <w:rFonts w:hint="eastAsia" w:ascii="宋体" w:hAnsi="宋体" w:cs="ˎ̥"/>
          <w:color w:val="auto"/>
          <w:kern w:val="0"/>
          <w:sz w:val="24"/>
          <w:szCs w:val="24"/>
          <w:lang w:val="en-US" w:eastAsia="zh-CN" w:bidi="ar-SA"/>
        </w:rPr>
        <w:t>4</w:t>
      </w:r>
      <w:r>
        <w:rPr>
          <w:rFonts w:hint="eastAsia" w:ascii="宋体" w:hAnsi="宋体" w:eastAsia="宋体" w:cs="ˎ̥"/>
          <w:color w:val="auto"/>
          <w:kern w:val="0"/>
          <w:sz w:val="24"/>
          <w:szCs w:val="24"/>
          <w:lang w:val="en-US" w:eastAsia="zh-CN" w:bidi="ar-SA"/>
        </w:rPr>
        <w:t>）</w:t>
      </w:r>
      <w:r>
        <w:rPr>
          <w:rFonts w:hint="eastAsia" w:ascii="宋体" w:hAnsi="宋体" w:cs="ˎ̥"/>
          <w:color w:val="auto"/>
          <w:kern w:val="0"/>
          <w:sz w:val="24"/>
          <w:highlight w:val="none"/>
        </w:rPr>
        <w:t>投标供应商认为必须提供的其他证明材料（含符合性审查、评标办法等所需资料）。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2．投标函部分：</w:t>
      </w:r>
    </w:p>
    <w:p>
      <w:pPr>
        <w:widowControl/>
        <w:numPr>
          <w:ilvl w:val="0"/>
          <w:numId w:val="13"/>
        </w:numPr>
        <w:tabs>
          <w:tab w:val="left" w:pos="0"/>
          <w:tab w:val="left" w:pos="840"/>
        </w:tabs>
        <w:spacing w:line="360" w:lineRule="auto"/>
        <w:ind w:left="0" w:firstLine="424" w:firstLineChars="177"/>
        <w:jc w:val="left"/>
        <w:rPr>
          <w:rFonts w:ascii="宋体" w:hAnsi="宋体" w:cs="ˎ̥"/>
          <w:color w:val="auto"/>
          <w:kern w:val="0"/>
          <w:sz w:val="24"/>
          <w:highlight w:val="none"/>
        </w:rPr>
      </w:pPr>
      <w:r>
        <w:rPr>
          <w:rFonts w:hint="eastAsia" w:ascii="宋体" w:hAnsi="宋体" w:cs="ˎ̥"/>
          <w:color w:val="auto"/>
          <w:kern w:val="0"/>
          <w:sz w:val="24"/>
          <w:highlight w:val="none"/>
        </w:rPr>
        <w:t>投标函（格式见附件） ；</w:t>
      </w:r>
    </w:p>
    <w:p>
      <w:pPr>
        <w:widowControl/>
        <w:numPr>
          <w:ilvl w:val="0"/>
          <w:numId w:val="13"/>
        </w:numPr>
        <w:tabs>
          <w:tab w:val="left" w:pos="0"/>
          <w:tab w:val="left" w:pos="840"/>
        </w:tabs>
        <w:spacing w:line="360" w:lineRule="auto"/>
        <w:ind w:left="0" w:firstLine="424" w:firstLineChars="177"/>
        <w:jc w:val="left"/>
        <w:rPr>
          <w:rFonts w:ascii="宋体" w:hAnsi="宋体" w:cs="ˎ̥"/>
          <w:color w:val="auto"/>
          <w:kern w:val="0"/>
          <w:sz w:val="24"/>
          <w:highlight w:val="none"/>
        </w:rPr>
      </w:pPr>
      <w:r>
        <w:rPr>
          <w:rFonts w:hint="eastAsia" w:ascii="宋体" w:hAnsi="宋体" w:cs="ˎ̥"/>
          <w:color w:val="auto"/>
          <w:kern w:val="0"/>
          <w:sz w:val="24"/>
          <w:highlight w:val="none"/>
        </w:rPr>
        <w:t>项目人员配置清单（格式见附件）；</w:t>
      </w:r>
    </w:p>
    <w:p>
      <w:pPr>
        <w:widowControl/>
        <w:numPr>
          <w:ilvl w:val="0"/>
          <w:numId w:val="13"/>
        </w:numPr>
        <w:tabs>
          <w:tab w:val="left" w:pos="0"/>
          <w:tab w:val="left" w:pos="840"/>
        </w:tabs>
        <w:spacing w:line="360" w:lineRule="auto"/>
        <w:ind w:left="0" w:firstLine="424" w:firstLineChars="177"/>
        <w:jc w:val="left"/>
        <w:rPr>
          <w:rFonts w:ascii="宋体" w:hAnsi="宋体" w:cs="ˎ̥"/>
          <w:color w:val="auto"/>
          <w:kern w:val="0"/>
          <w:sz w:val="24"/>
          <w:highlight w:val="none"/>
        </w:rPr>
      </w:pPr>
      <w:r>
        <w:rPr>
          <w:rFonts w:hint="eastAsia" w:ascii="宋体" w:hAnsi="宋体" w:cs="ˎ̥"/>
          <w:color w:val="auto"/>
          <w:kern w:val="0"/>
          <w:sz w:val="24"/>
          <w:highlight w:val="none"/>
        </w:rPr>
        <w:t>投标偏离表</w:t>
      </w:r>
      <w:r>
        <w:rPr>
          <w:rFonts w:hint="eastAsia" w:ascii="宋体" w:hAnsi="宋体"/>
          <w:color w:val="auto"/>
          <w:sz w:val="24"/>
          <w:highlight w:val="none"/>
        </w:rPr>
        <w:t>（格式见附件）</w:t>
      </w:r>
      <w:r>
        <w:rPr>
          <w:rFonts w:hint="eastAsia" w:ascii="宋体" w:hAnsi="宋体" w:cs="ˎ̥"/>
          <w:color w:val="auto"/>
          <w:kern w:val="0"/>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3.报价部分：</w:t>
      </w:r>
    </w:p>
    <w:p>
      <w:pPr>
        <w:widowControl/>
        <w:numPr>
          <w:ilvl w:val="0"/>
          <w:numId w:val="14"/>
        </w:numPr>
        <w:tabs>
          <w:tab w:val="left" w:pos="0"/>
        </w:tabs>
        <w:spacing w:line="360" w:lineRule="auto"/>
        <w:jc w:val="left"/>
        <w:rPr>
          <w:rFonts w:ascii="宋体" w:hAnsi="宋体" w:cs="ˎ̥"/>
          <w:color w:val="auto"/>
          <w:kern w:val="0"/>
          <w:sz w:val="24"/>
          <w:highlight w:val="none"/>
        </w:rPr>
      </w:pPr>
      <w:r>
        <w:rPr>
          <w:rFonts w:hint="eastAsia" w:ascii="宋体" w:hAnsi="宋体" w:cs="ˎ̥"/>
          <w:color w:val="auto"/>
          <w:kern w:val="0"/>
          <w:sz w:val="24"/>
          <w:highlight w:val="none"/>
        </w:rPr>
        <w:t>开标一览表</w:t>
      </w:r>
      <w:r>
        <w:rPr>
          <w:rFonts w:hint="eastAsia" w:ascii="宋体" w:hAnsi="宋体"/>
          <w:color w:val="auto"/>
          <w:sz w:val="24"/>
          <w:highlight w:val="none"/>
        </w:rPr>
        <w:t>（格式见附件）；</w:t>
      </w:r>
    </w:p>
    <w:p>
      <w:pPr>
        <w:widowControl/>
        <w:numPr>
          <w:ilvl w:val="0"/>
          <w:numId w:val="14"/>
        </w:numPr>
        <w:tabs>
          <w:tab w:val="left" w:pos="0"/>
        </w:tabs>
        <w:spacing w:line="360" w:lineRule="auto"/>
        <w:jc w:val="left"/>
        <w:rPr>
          <w:rFonts w:ascii="宋体" w:hAnsi="宋体" w:cs="ˎ̥"/>
          <w:color w:val="auto"/>
          <w:kern w:val="0"/>
          <w:sz w:val="24"/>
          <w:highlight w:val="none"/>
        </w:rPr>
      </w:pPr>
      <w:r>
        <w:rPr>
          <w:rFonts w:hint="eastAsia" w:ascii="宋体" w:hAnsi="宋体" w:cs="ˎ̥"/>
          <w:color w:val="auto"/>
          <w:kern w:val="0"/>
          <w:sz w:val="24"/>
          <w:highlight w:val="none"/>
        </w:rPr>
        <w:t>明细报价表</w:t>
      </w:r>
      <w:r>
        <w:rPr>
          <w:rFonts w:hint="eastAsia" w:ascii="宋体" w:hAnsi="宋体"/>
          <w:color w:val="auto"/>
          <w:sz w:val="24"/>
          <w:highlight w:val="none"/>
        </w:rPr>
        <w:t>（格式见附件）；</w:t>
      </w:r>
    </w:p>
    <w:p>
      <w:pPr>
        <w:widowControl/>
        <w:tabs>
          <w:tab w:val="left" w:pos="0"/>
        </w:tabs>
        <w:spacing w:line="360" w:lineRule="auto"/>
        <w:ind w:left="420"/>
        <w:jc w:val="left"/>
        <w:rPr>
          <w:rFonts w:ascii="宋体" w:hAnsi="宋体"/>
          <w:b/>
          <w:bCs/>
          <w:color w:val="auto"/>
          <w:sz w:val="24"/>
          <w:highlight w:val="none"/>
        </w:rPr>
      </w:pPr>
      <w:r>
        <w:rPr>
          <w:rFonts w:hint="eastAsia" w:ascii="宋体" w:hAnsi="宋体"/>
          <w:b/>
          <w:bCs/>
          <w:color w:val="auto"/>
          <w:sz w:val="24"/>
          <w:highlight w:val="none"/>
        </w:rPr>
        <w:t>暗标部分：</w:t>
      </w:r>
    </w:p>
    <w:p>
      <w:pPr>
        <w:widowControl/>
        <w:tabs>
          <w:tab w:val="left" w:pos="0"/>
        </w:tabs>
        <w:spacing w:line="360" w:lineRule="auto"/>
        <w:ind w:left="420"/>
        <w:jc w:val="left"/>
        <w:rPr>
          <w:rFonts w:ascii="宋体" w:hAnsi="宋体"/>
          <w:color w:val="auto"/>
          <w:sz w:val="24"/>
          <w:highlight w:val="none"/>
        </w:rPr>
      </w:pPr>
      <w:r>
        <w:rPr>
          <w:rFonts w:hint="eastAsia" w:ascii="宋体" w:hAnsi="宋体"/>
          <w:color w:val="auto"/>
          <w:sz w:val="24"/>
          <w:highlight w:val="none"/>
        </w:rPr>
        <w:t>4.技术文件</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投标供应商须提交证明其拟供的服务符合采购文件规定的技术投标文件，作为投标文件的一部分。证明文件可以是文字资料、图纸和数据，并须同时提供：</w:t>
      </w:r>
    </w:p>
    <w:bookmarkEnd w:id="5"/>
    <w:p>
      <w:pPr>
        <w:widowControl/>
        <w:numPr>
          <w:ilvl w:val="0"/>
          <w:numId w:val="15"/>
        </w:numPr>
        <w:tabs>
          <w:tab w:val="left" w:pos="0"/>
        </w:tabs>
        <w:spacing w:line="360" w:lineRule="auto"/>
        <w:ind w:left="0" w:firstLine="568"/>
        <w:jc w:val="left"/>
        <w:rPr>
          <w:rFonts w:ascii="宋体" w:hAnsi="宋体" w:cs="ˎ̥"/>
          <w:color w:val="auto"/>
          <w:kern w:val="0"/>
          <w:sz w:val="24"/>
          <w:highlight w:val="none"/>
        </w:rPr>
      </w:pPr>
      <w:bookmarkStart w:id="7" w:name="_Hlk52216583"/>
      <w:r>
        <w:rPr>
          <w:rFonts w:hint="eastAsia" w:ascii="宋体" w:hAnsi="宋体" w:cs="ˎ̥"/>
          <w:color w:val="auto"/>
          <w:kern w:val="0"/>
          <w:sz w:val="24"/>
          <w:highlight w:val="none"/>
        </w:rPr>
        <w:t>服务方案；</w:t>
      </w:r>
    </w:p>
    <w:p>
      <w:pPr>
        <w:widowControl/>
        <w:numPr>
          <w:ilvl w:val="0"/>
          <w:numId w:val="15"/>
        </w:numPr>
        <w:tabs>
          <w:tab w:val="left" w:pos="0"/>
        </w:tabs>
        <w:spacing w:line="360" w:lineRule="auto"/>
        <w:ind w:left="0" w:firstLine="568"/>
        <w:jc w:val="left"/>
        <w:rPr>
          <w:rFonts w:ascii="宋体" w:hAnsi="宋体" w:cs="ˎ̥"/>
          <w:color w:val="auto"/>
          <w:kern w:val="0"/>
          <w:sz w:val="24"/>
          <w:highlight w:val="none"/>
        </w:rPr>
      </w:pPr>
      <w:r>
        <w:rPr>
          <w:rFonts w:hint="eastAsia" w:ascii="宋体" w:hAnsi="宋体" w:cs="ˎ̥"/>
          <w:color w:val="auto"/>
          <w:kern w:val="0"/>
          <w:sz w:val="24"/>
          <w:highlight w:val="none"/>
        </w:rPr>
        <w:t>其他投标供应商认为有必要的技术文件内容。</w:t>
      </w:r>
    </w:p>
    <w:p>
      <w:pPr>
        <w:numPr>
          <w:ilvl w:val="0"/>
          <w:numId w:val="16"/>
        </w:numPr>
        <w:snapToGrid w:val="0"/>
        <w:spacing w:line="360" w:lineRule="auto"/>
        <w:ind w:left="0" w:firstLine="284"/>
        <w:rPr>
          <w:rFonts w:ascii="宋体" w:hAnsi="宋体"/>
          <w:b/>
          <w:bCs/>
          <w:color w:val="auto"/>
          <w:sz w:val="24"/>
          <w:highlight w:val="none"/>
        </w:rPr>
      </w:pPr>
      <w:r>
        <w:rPr>
          <w:rFonts w:ascii="宋体" w:hAnsi="宋体"/>
          <w:b/>
          <w:bCs/>
          <w:color w:val="auto"/>
          <w:sz w:val="24"/>
          <w:highlight w:val="none"/>
        </w:rPr>
        <w:t>投标报价</w:t>
      </w:r>
      <w:r>
        <w:rPr>
          <w:rFonts w:hint="eastAsia" w:ascii="宋体" w:hAnsi="宋体"/>
          <w:b/>
          <w:bCs/>
          <w:color w:val="auto"/>
          <w:sz w:val="24"/>
          <w:highlight w:val="none"/>
        </w:rPr>
        <w:t>说明：</w:t>
      </w:r>
      <w:r>
        <w:rPr>
          <w:rFonts w:ascii="宋体" w:hAnsi="宋体"/>
          <w:b/>
          <w:bCs/>
          <w:color w:val="auto"/>
          <w:sz w:val="24"/>
          <w:highlight w:val="none"/>
        </w:rPr>
        <w:t xml:space="preserve">  </w:t>
      </w:r>
    </w:p>
    <w:p>
      <w:pPr>
        <w:numPr>
          <w:ilvl w:val="1"/>
          <w:numId w:val="17"/>
        </w:numPr>
        <w:tabs>
          <w:tab w:val="left" w:pos="0"/>
          <w:tab w:val="clear" w:pos="2040"/>
        </w:tabs>
        <w:snapToGrid w:val="0"/>
        <w:spacing w:line="360" w:lineRule="auto"/>
        <w:ind w:left="0" w:firstLine="360" w:firstLineChars="150"/>
        <w:rPr>
          <w:rFonts w:ascii="宋体" w:hAnsi="宋体"/>
          <w:color w:val="auto"/>
          <w:sz w:val="24"/>
          <w:highlight w:val="none"/>
        </w:rPr>
      </w:pPr>
      <w:r>
        <w:rPr>
          <w:rFonts w:hint="eastAsia" w:ascii="宋体" w:hAnsi="宋体"/>
          <w:color w:val="auto"/>
          <w:sz w:val="24"/>
          <w:highlight w:val="none"/>
        </w:rPr>
        <w:t>本项目投标总报价包括</w:t>
      </w:r>
      <w:r>
        <w:rPr>
          <w:rFonts w:hint="eastAsia" w:hAnsi="宋体" w:cs="宋体"/>
          <w:color w:val="auto"/>
          <w:sz w:val="24"/>
          <w:szCs w:val="22"/>
          <w:highlight w:val="none"/>
        </w:rPr>
        <w:t>完成所投标段的前期准备、施工及保修阶段监理所需的全部相关费用</w:t>
      </w:r>
      <w:r>
        <w:rPr>
          <w:rFonts w:hint="eastAsia" w:ascii="宋体" w:hAnsi="宋体"/>
          <w:color w:val="auto"/>
          <w:sz w:val="24"/>
          <w:highlight w:val="none"/>
        </w:rPr>
        <w:t>及从项目中标起到项目正式交付内所发生的一切费用，投标费用自理。</w:t>
      </w:r>
    </w:p>
    <w:p>
      <w:pPr>
        <w:numPr>
          <w:ilvl w:val="1"/>
          <w:numId w:val="17"/>
        </w:numPr>
        <w:tabs>
          <w:tab w:val="left" w:pos="0"/>
          <w:tab w:val="clear" w:pos="2040"/>
        </w:tabs>
        <w:snapToGrid w:val="0"/>
        <w:spacing w:line="360" w:lineRule="auto"/>
        <w:ind w:left="0" w:firstLine="360" w:firstLineChars="150"/>
        <w:rPr>
          <w:rFonts w:ascii="宋体" w:hAnsi="宋体"/>
          <w:color w:val="auto"/>
          <w:sz w:val="24"/>
          <w:highlight w:val="none"/>
        </w:rPr>
      </w:pPr>
      <w:r>
        <w:rPr>
          <w:rFonts w:ascii="宋体" w:hAnsi="宋体"/>
          <w:color w:val="auto"/>
          <w:sz w:val="24"/>
          <w:highlight w:val="none"/>
        </w:rPr>
        <w:t>在本采购文件</w:t>
      </w:r>
      <w:r>
        <w:rPr>
          <w:rFonts w:hint="eastAsia" w:ascii="宋体" w:hAnsi="宋体"/>
          <w:color w:val="auto"/>
          <w:sz w:val="24"/>
          <w:highlight w:val="none"/>
        </w:rPr>
        <w:t>第五章 附件“（三）明细报价表（格式）</w:t>
      </w:r>
      <w:r>
        <w:rPr>
          <w:rFonts w:ascii="宋体" w:hAnsi="宋体"/>
          <w:color w:val="auto"/>
          <w:sz w:val="24"/>
          <w:highlight w:val="none"/>
        </w:rPr>
        <w:t>”中未列出而投标供应商认为要单独列出的报价项目，投标供应商可增加列出，并计入“价格合计”中。</w:t>
      </w:r>
    </w:p>
    <w:p>
      <w:pPr>
        <w:numPr>
          <w:ilvl w:val="1"/>
          <w:numId w:val="17"/>
        </w:numPr>
        <w:tabs>
          <w:tab w:val="left" w:pos="0"/>
          <w:tab w:val="clear" w:pos="2040"/>
        </w:tabs>
        <w:snapToGrid w:val="0"/>
        <w:spacing w:line="360" w:lineRule="auto"/>
        <w:ind w:left="0" w:firstLine="360" w:firstLineChars="150"/>
        <w:rPr>
          <w:rFonts w:ascii="宋体" w:hAnsi="宋体"/>
          <w:color w:val="auto"/>
          <w:sz w:val="24"/>
          <w:highlight w:val="none"/>
        </w:rPr>
      </w:pPr>
      <w:r>
        <w:rPr>
          <w:rFonts w:ascii="宋体" w:hAnsi="宋体"/>
          <w:color w:val="auto"/>
          <w:sz w:val="24"/>
          <w:highlight w:val="none"/>
        </w:rPr>
        <w:t>投标报价，以人民币万元或元为单位报价。</w:t>
      </w:r>
    </w:p>
    <w:p>
      <w:pPr>
        <w:numPr>
          <w:ilvl w:val="1"/>
          <w:numId w:val="17"/>
        </w:numPr>
        <w:tabs>
          <w:tab w:val="left" w:pos="0"/>
          <w:tab w:val="clear" w:pos="2040"/>
        </w:tabs>
        <w:snapToGrid w:val="0"/>
        <w:spacing w:line="360" w:lineRule="auto"/>
        <w:ind w:left="0" w:firstLine="361" w:firstLineChars="150"/>
        <w:rPr>
          <w:rFonts w:ascii="宋体" w:hAnsi="宋体"/>
          <w:color w:val="auto"/>
          <w:sz w:val="24"/>
          <w:highlight w:val="none"/>
        </w:rPr>
      </w:pPr>
      <w:r>
        <w:rPr>
          <w:rFonts w:hint="eastAsia" w:ascii="宋体" w:hAnsi="宋体"/>
          <w:b/>
          <w:color w:val="auto"/>
          <w:sz w:val="24"/>
          <w:highlight w:val="none"/>
        </w:rPr>
        <w:t>经评标委员会认定投标供应商的投标报价明显低于其他通过符合性审查投标供应商的报价，有可能影响产品质量或者不能诚信履约的，投标供应商必须在一小时内提供书面说明或相关证明材料以证明其报价合理性。</w:t>
      </w:r>
      <w:r>
        <w:rPr>
          <w:rFonts w:ascii="宋体" w:hAnsi="宋体"/>
          <w:b/>
          <w:color w:val="auto"/>
          <w:sz w:val="24"/>
          <w:highlight w:val="none"/>
        </w:rPr>
        <w:t>投标供应商不能证明其报价合理性的，评标委员会应当将其作为无效投标处理。</w:t>
      </w:r>
    </w:p>
    <w:bookmarkEnd w:id="7"/>
    <w:p>
      <w:pPr>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（七）投标文件的制作要求：</w:t>
      </w:r>
    </w:p>
    <w:p>
      <w:pPr>
        <w:numPr>
          <w:ilvl w:val="1"/>
          <w:numId w:val="18"/>
        </w:numPr>
        <w:tabs>
          <w:tab w:val="left" w:pos="0"/>
          <w:tab w:val="left" w:pos="704"/>
          <w:tab w:val="clear" w:pos="2040"/>
        </w:tabs>
        <w:snapToGrid w:val="0"/>
        <w:spacing w:line="360" w:lineRule="auto"/>
        <w:ind w:left="0" w:firstLine="426"/>
        <w:rPr>
          <w:rFonts w:ascii="宋体" w:hAnsi="宋体"/>
          <w:color w:val="auto"/>
          <w:sz w:val="24"/>
          <w:highlight w:val="none"/>
        </w:rPr>
      </w:pPr>
      <w:r>
        <w:rPr>
          <w:rFonts w:hint="eastAsia" w:ascii="宋体" w:hAnsi="宋体"/>
          <w:color w:val="auto"/>
          <w:sz w:val="24"/>
          <w:highlight w:val="none"/>
        </w:rPr>
        <w:t>所有文件、往来函件均应使用简体中文（规格、型号辅助符号除外）。</w:t>
      </w:r>
    </w:p>
    <w:p>
      <w:pPr>
        <w:numPr>
          <w:ilvl w:val="1"/>
          <w:numId w:val="18"/>
        </w:numPr>
        <w:tabs>
          <w:tab w:val="left" w:pos="0"/>
          <w:tab w:val="left" w:pos="704"/>
          <w:tab w:val="clear" w:pos="2040"/>
        </w:tabs>
        <w:snapToGrid w:val="0"/>
        <w:spacing w:line="360" w:lineRule="auto"/>
        <w:ind w:left="0" w:firstLine="426"/>
        <w:rPr>
          <w:rFonts w:ascii="宋体" w:hAnsi="宋体"/>
          <w:color w:val="auto"/>
          <w:sz w:val="24"/>
          <w:highlight w:val="none"/>
        </w:rPr>
      </w:pPr>
      <w:r>
        <w:rPr>
          <w:rFonts w:hint="eastAsia" w:ascii="宋体" w:hAnsi="宋体"/>
          <w:color w:val="auto"/>
          <w:sz w:val="24"/>
          <w:highlight w:val="none"/>
        </w:rPr>
        <w:t>投标文件由投标供应商按给定格式如实填写（编写），须有法人（盖章）、法定代表人或法定代表人授权代表签字或盖章，方为有效，未尽事宜可自行补充。</w:t>
      </w:r>
    </w:p>
    <w:p>
      <w:pPr>
        <w:numPr>
          <w:ilvl w:val="1"/>
          <w:numId w:val="18"/>
        </w:numPr>
        <w:tabs>
          <w:tab w:val="left" w:pos="0"/>
          <w:tab w:val="left" w:pos="704"/>
          <w:tab w:val="clear" w:pos="2040"/>
        </w:tabs>
        <w:snapToGrid w:val="0"/>
        <w:spacing w:line="360" w:lineRule="auto"/>
        <w:ind w:left="0" w:firstLine="426"/>
        <w:rPr>
          <w:rFonts w:ascii="宋体" w:hAnsi="宋体"/>
          <w:color w:val="auto"/>
          <w:sz w:val="24"/>
          <w:highlight w:val="none"/>
        </w:rPr>
      </w:pPr>
      <w:r>
        <w:rPr>
          <w:rFonts w:hint="eastAsia" w:ascii="宋体" w:hAnsi="宋体"/>
          <w:color w:val="auto"/>
          <w:sz w:val="24"/>
          <w:highlight w:val="none"/>
        </w:rPr>
        <w:t>投标供应商报价一律以人民币为报价结算货币，结算单位为“元”。</w:t>
      </w:r>
    </w:p>
    <w:p>
      <w:pPr>
        <w:numPr>
          <w:ilvl w:val="1"/>
          <w:numId w:val="18"/>
        </w:numPr>
        <w:tabs>
          <w:tab w:val="left" w:pos="0"/>
          <w:tab w:val="left" w:pos="704"/>
          <w:tab w:val="clear" w:pos="2040"/>
        </w:tabs>
        <w:snapToGrid w:val="0"/>
        <w:spacing w:line="360" w:lineRule="auto"/>
        <w:ind w:left="0" w:firstLine="426"/>
        <w:rPr>
          <w:rFonts w:ascii="宋体" w:hAnsi="宋体"/>
          <w:color w:val="auto"/>
          <w:sz w:val="24"/>
          <w:highlight w:val="none"/>
        </w:rPr>
      </w:pPr>
      <w:r>
        <w:rPr>
          <w:rFonts w:hint="eastAsia" w:ascii="宋体" w:hAnsi="宋体"/>
          <w:color w:val="auto"/>
          <w:sz w:val="24"/>
          <w:highlight w:val="none"/>
        </w:rPr>
        <w:t>投标文件格式部分，应由投标供应商按给定格式提供，不得更改。</w:t>
      </w:r>
    </w:p>
    <w:p>
      <w:pPr>
        <w:numPr>
          <w:ilvl w:val="1"/>
          <w:numId w:val="18"/>
        </w:numPr>
        <w:tabs>
          <w:tab w:val="left" w:pos="0"/>
          <w:tab w:val="left" w:pos="704"/>
          <w:tab w:val="clear" w:pos="2040"/>
        </w:tabs>
        <w:snapToGrid w:val="0"/>
        <w:spacing w:line="360" w:lineRule="auto"/>
        <w:ind w:left="0" w:firstLine="426"/>
        <w:rPr>
          <w:rFonts w:ascii="宋体" w:hAnsi="宋体"/>
          <w:color w:val="auto"/>
          <w:sz w:val="24"/>
          <w:highlight w:val="none"/>
        </w:rPr>
      </w:pPr>
      <w:r>
        <w:rPr>
          <w:rFonts w:hint="eastAsia" w:ascii="宋体" w:hAnsi="宋体"/>
          <w:color w:val="auto"/>
          <w:sz w:val="24"/>
          <w:highlight w:val="none"/>
        </w:rPr>
        <w:t>投标文件应用不褪色的黑色墨水书写或打印。</w:t>
      </w:r>
    </w:p>
    <w:p>
      <w:pPr>
        <w:numPr>
          <w:ilvl w:val="1"/>
          <w:numId w:val="18"/>
        </w:numPr>
        <w:tabs>
          <w:tab w:val="left" w:pos="0"/>
          <w:tab w:val="left" w:pos="704"/>
          <w:tab w:val="clear" w:pos="2040"/>
        </w:tabs>
        <w:snapToGrid w:val="0"/>
        <w:spacing w:line="360" w:lineRule="auto"/>
        <w:ind w:left="0" w:firstLine="426"/>
        <w:rPr>
          <w:rFonts w:ascii="宋体" w:hAnsi="宋体"/>
          <w:color w:val="auto"/>
          <w:sz w:val="24"/>
          <w:highlight w:val="none"/>
        </w:rPr>
      </w:pPr>
      <w:r>
        <w:rPr>
          <w:rFonts w:hint="eastAsia" w:ascii="宋体" w:hAnsi="宋体"/>
          <w:color w:val="auto"/>
          <w:sz w:val="24"/>
          <w:highlight w:val="none"/>
        </w:rPr>
        <w:t>投标文件统一采用A4纸，按照投标函格式中的顺序制作，并装订成册，并请编制目录及页码。</w:t>
      </w:r>
      <w:r>
        <w:rPr>
          <w:rFonts w:hint="eastAsia" w:ascii="宋体" w:hAnsi="宋体"/>
          <w:b/>
          <w:bCs/>
          <w:color w:val="auto"/>
          <w:sz w:val="24"/>
          <w:highlight w:val="none"/>
        </w:rPr>
        <w:t>本项目无需分标段制作。</w:t>
      </w:r>
    </w:p>
    <w:p>
      <w:pPr>
        <w:numPr>
          <w:ilvl w:val="1"/>
          <w:numId w:val="18"/>
        </w:numPr>
        <w:tabs>
          <w:tab w:val="left" w:pos="0"/>
          <w:tab w:val="left" w:pos="704"/>
          <w:tab w:val="clear" w:pos="2040"/>
        </w:tabs>
        <w:snapToGrid w:val="0"/>
        <w:spacing w:line="360" w:lineRule="auto"/>
        <w:ind w:left="0" w:firstLine="426"/>
        <w:rPr>
          <w:rFonts w:ascii="宋体" w:hAnsi="宋体"/>
          <w:b/>
          <w:bCs/>
          <w:color w:val="auto"/>
          <w:sz w:val="24"/>
          <w:highlight w:val="none"/>
        </w:rPr>
      </w:pPr>
      <w:r>
        <w:rPr>
          <w:rFonts w:hint="eastAsia" w:ascii="宋体" w:hAnsi="宋体"/>
          <w:b/>
          <w:color w:val="auto"/>
          <w:sz w:val="24"/>
          <w:highlight w:val="none"/>
        </w:rPr>
        <w:t>投标文件密封要求：投标文件的明标正本和投标文件电子光盘（或U盘）密封在一个封袋中并在封袋上清楚地标明“明标正本”，明标的所有副本密封在另一个封袋中并在密封袋上清楚地标明</w:t>
      </w:r>
      <w:r>
        <w:rPr>
          <w:rFonts w:ascii="宋体" w:hAnsi="宋体"/>
          <w:b/>
          <w:color w:val="auto"/>
          <w:sz w:val="24"/>
          <w:highlight w:val="none"/>
        </w:rPr>
        <w:t xml:space="preserve"> “明标</w:t>
      </w:r>
      <w:r>
        <w:rPr>
          <w:rFonts w:hint="eastAsia" w:ascii="宋体" w:hAnsi="宋体"/>
          <w:b/>
          <w:color w:val="auto"/>
          <w:sz w:val="24"/>
          <w:highlight w:val="none"/>
        </w:rPr>
        <w:t>副本</w:t>
      </w:r>
      <w:r>
        <w:rPr>
          <w:rFonts w:ascii="宋体" w:hAnsi="宋体"/>
          <w:b/>
          <w:color w:val="auto"/>
          <w:sz w:val="24"/>
          <w:highlight w:val="none"/>
        </w:rPr>
        <w:t>”</w:t>
      </w:r>
      <w:r>
        <w:rPr>
          <w:rFonts w:hint="eastAsia" w:ascii="宋体" w:hAnsi="宋体"/>
          <w:b/>
          <w:color w:val="auto"/>
          <w:sz w:val="24"/>
          <w:highlight w:val="none"/>
        </w:rPr>
        <w:t>。 技术文件（暗标）正本密封在一个封袋中并在密封袋上清楚地标明“暗标正本”，技术文件（暗标）所有副本密封在一个封袋中并在密封袋上清楚地标明“暗标副本”。所有投标文件封袋的封口处应加盖投标供应商印章。密封袋上还均应注明采购编号、项目名称、投标供应商名称。</w:t>
      </w:r>
    </w:p>
    <w:p>
      <w:pPr>
        <w:numPr>
          <w:ilvl w:val="1"/>
          <w:numId w:val="18"/>
        </w:numPr>
        <w:tabs>
          <w:tab w:val="left" w:pos="0"/>
          <w:tab w:val="left" w:pos="704"/>
          <w:tab w:val="clear" w:pos="2040"/>
        </w:tabs>
        <w:snapToGrid w:val="0"/>
        <w:spacing w:line="360" w:lineRule="auto"/>
        <w:ind w:left="0" w:firstLine="426"/>
        <w:rPr>
          <w:rFonts w:ascii="宋体" w:hAnsi="宋体"/>
          <w:b/>
          <w:bCs/>
          <w:color w:val="auto"/>
          <w:sz w:val="24"/>
          <w:highlight w:val="none"/>
        </w:rPr>
      </w:pPr>
      <w:r>
        <w:rPr>
          <w:rFonts w:hint="eastAsia" w:ascii="宋体" w:hAnsi="宋体"/>
          <w:b/>
          <w:bCs/>
          <w:color w:val="auto"/>
          <w:sz w:val="24"/>
          <w:highlight w:val="none"/>
        </w:rPr>
        <w:t>采购文件中所需提供的原件资料装袋要求：需单独装在一个档案袋中，并在档案袋上清楚地标明“原件资料”，还应注明采购项目编号、项目名称、投标供应商名称。（身份证可随身携带）</w:t>
      </w:r>
    </w:p>
    <w:p>
      <w:pPr>
        <w:numPr>
          <w:ilvl w:val="1"/>
          <w:numId w:val="18"/>
        </w:numPr>
        <w:tabs>
          <w:tab w:val="left" w:pos="0"/>
          <w:tab w:val="left" w:pos="704"/>
          <w:tab w:val="clear" w:pos="2040"/>
        </w:tabs>
        <w:snapToGrid w:val="0"/>
        <w:spacing w:line="360" w:lineRule="auto"/>
        <w:ind w:left="0" w:firstLine="426"/>
        <w:rPr>
          <w:rFonts w:ascii="宋体" w:hAnsi="宋体"/>
          <w:b/>
          <w:bCs/>
          <w:color w:val="auto"/>
          <w:sz w:val="24"/>
          <w:highlight w:val="none"/>
        </w:rPr>
      </w:pPr>
      <w:r>
        <w:rPr>
          <w:rFonts w:hint="eastAsia" w:ascii="宋体" w:hAnsi="宋体"/>
          <w:b/>
          <w:bCs/>
          <w:color w:val="auto"/>
          <w:sz w:val="24"/>
          <w:highlight w:val="none"/>
        </w:rPr>
        <w:t>投标文件不应有涂改、增删和潦草之处，如有必须修改时，修改处必须有法人、法定代表人或法定代表人授权代表的签章。</w:t>
      </w:r>
    </w:p>
    <w:p>
      <w:pPr>
        <w:numPr>
          <w:ilvl w:val="1"/>
          <w:numId w:val="18"/>
        </w:numPr>
        <w:tabs>
          <w:tab w:val="left" w:pos="0"/>
          <w:tab w:val="left" w:pos="704"/>
          <w:tab w:val="clear" w:pos="2040"/>
        </w:tabs>
        <w:snapToGrid w:val="0"/>
        <w:spacing w:line="360" w:lineRule="auto"/>
        <w:ind w:left="0" w:firstLine="426"/>
        <w:rPr>
          <w:rFonts w:ascii="宋体" w:hAnsi="宋体"/>
          <w:b/>
          <w:bCs/>
          <w:color w:val="auto"/>
          <w:sz w:val="24"/>
          <w:highlight w:val="none"/>
        </w:rPr>
      </w:pPr>
      <w:r>
        <w:rPr>
          <w:rFonts w:hint="eastAsia" w:ascii="宋体" w:hAnsi="宋体"/>
          <w:b/>
          <w:bCs/>
          <w:color w:val="auto"/>
          <w:sz w:val="24"/>
          <w:highlight w:val="none"/>
        </w:rPr>
        <w:t>暗标编制、装订要求：</w:t>
      </w:r>
    </w:p>
    <w:p>
      <w:pPr>
        <w:tabs>
          <w:tab w:val="left" w:pos="0"/>
          <w:tab w:val="left" w:pos="704"/>
        </w:tabs>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暗标需单独成册，不得有分册。暗标的封面由采购代理机构提供统一格式，不设封底及目录；纸张要求为普白办公用纸。暗标装订夹采用采购代理机构提供的统一样品（白铁皮盖板式装订夹，盖板在上）。</w:t>
      </w:r>
    </w:p>
    <w:p>
      <w:pPr>
        <w:tabs>
          <w:tab w:val="left" w:pos="0"/>
          <w:tab w:val="left" w:pos="704"/>
        </w:tabs>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暗标不得出现投标供应商名称、人员姓名，要求版面整洁、字迹清楚、不许涂改，不得出现能显示企业特征或其它提示性的标记或标识，也不得采用任何不符合常规、有别于其它投标供应商的特殊做法。</w:t>
      </w:r>
    </w:p>
    <w:p>
      <w:pPr>
        <w:tabs>
          <w:tab w:val="left" w:pos="0"/>
          <w:tab w:val="left" w:pos="704"/>
        </w:tabs>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排版要求：使用word文件形式，A4白色复印纸单面黑色打印，字体为小四号宋体，不得出现手写，装订必须在左侧装订。图表中字体、字号不作限制。</w:t>
      </w:r>
    </w:p>
    <w:p>
      <w:pPr>
        <w:numPr>
          <w:ilvl w:val="1"/>
          <w:numId w:val="18"/>
        </w:numPr>
        <w:tabs>
          <w:tab w:val="left" w:pos="0"/>
          <w:tab w:val="clear" w:pos="2040"/>
        </w:tabs>
        <w:snapToGrid w:val="0"/>
        <w:spacing w:line="360" w:lineRule="auto"/>
        <w:ind w:left="0" w:firstLine="426"/>
        <w:rPr>
          <w:rFonts w:ascii="宋体" w:hAnsi="宋体"/>
          <w:color w:val="auto"/>
          <w:sz w:val="24"/>
          <w:highlight w:val="none"/>
        </w:rPr>
      </w:pPr>
      <w:r>
        <w:rPr>
          <w:rFonts w:hint="eastAsia" w:ascii="宋体" w:hAnsi="宋体"/>
          <w:color w:val="auto"/>
          <w:sz w:val="24"/>
          <w:highlight w:val="none"/>
        </w:rPr>
        <w:t>投标费用自理。</w:t>
      </w:r>
    </w:p>
    <w:p>
      <w:pPr>
        <w:snapToGrid w:val="0"/>
        <w:spacing w:line="360" w:lineRule="auto"/>
        <w:ind w:firstLine="241" w:firstLineChars="100"/>
        <w:outlineLvl w:val="0"/>
        <w:rPr>
          <w:rFonts w:ascii="宋体" w:hAnsi="宋体"/>
          <w:b/>
          <w:color w:val="auto"/>
          <w:sz w:val="24"/>
          <w:highlight w:val="none"/>
        </w:rPr>
      </w:pPr>
      <w:r>
        <w:rPr>
          <w:rFonts w:hint="eastAsia" w:ascii="宋体" w:hAnsi="宋体"/>
          <w:b/>
          <w:color w:val="auto"/>
          <w:sz w:val="24"/>
          <w:highlight w:val="none"/>
        </w:rPr>
        <w:t>（八）无效投标文件的确认：</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投标供应商有下列情况之一者，其投标文件无效：</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投标文件未按规定的期限、地点送达的；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投标文件未按采购文件要求签署、盖章的；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投标供应商的法定代表人或法定代表人授权代表，未准时参加投标会议的；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投标供应商的法定代表人授权代表无法定代表人授权委托书的；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不具备采购文件中规定的资格要求的；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投标文件未按采购文件规定的格式、内容和要求填写、制作的；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投标文件书写潦草、字迹模糊不清、无法辨认的；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投标文件中有采购文件未允许提供的选择性内容的；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恶意串通其他投标供应商，故意哄抬价格或压价的；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提供虚假材料的（包括工商营业执照、财务报表、资格证明文件等）；</w:t>
      </w:r>
    </w:p>
    <w:p>
      <w:pPr>
        <w:numPr>
          <w:ilvl w:val="1"/>
          <w:numId w:val="2"/>
        </w:numPr>
        <w:tabs>
          <w:tab w:val="left" w:pos="525"/>
          <w:tab w:val="left" w:pos="1050"/>
          <w:tab w:val="left" w:pos="1254"/>
          <w:tab w:val="left" w:pos="1770"/>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商务标（明标）和服务方案（暗标）未分别制作、装订、密封包装的；</w:t>
      </w:r>
    </w:p>
    <w:p>
      <w:pPr>
        <w:numPr>
          <w:ilvl w:val="1"/>
          <w:numId w:val="2"/>
        </w:numPr>
        <w:tabs>
          <w:tab w:val="left" w:pos="525"/>
          <w:tab w:val="left" w:pos="1050"/>
          <w:tab w:val="left" w:pos="1254"/>
          <w:tab w:val="left" w:pos="1770"/>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投标文件商务标（明标）未加盖投标供应商公章及法定代表人或授权代表签字和盖章的；</w:t>
      </w:r>
    </w:p>
    <w:p>
      <w:pPr>
        <w:numPr>
          <w:ilvl w:val="1"/>
          <w:numId w:val="2"/>
        </w:numPr>
        <w:tabs>
          <w:tab w:val="left" w:pos="525"/>
          <w:tab w:val="left" w:pos="1050"/>
          <w:tab w:val="left" w:pos="1254"/>
          <w:tab w:val="left" w:pos="1770"/>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服务方案（暗标）中出现该投标供应商单位名称、简称、人员姓名、Logo、商标、电话号码等任何标识标记及其他暗示性标志的；</w:t>
      </w:r>
    </w:p>
    <w:p>
      <w:pPr>
        <w:numPr>
          <w:ilvl w:val="1"/>
          <w:numId w:val="2"/>
        </w:numPr>
        <w:tabs>
          <w:tab w:val="left" w:pos="525"/>
          <w:tab w:val="left" w:pos="1050"/>
          <w:tab w:val="left" w:pos="1254"/>
          <w:tab w:val="left" w:pos="1770"/>
        </w:tabs>
        <w:spacing w:line="360" w:lineRule="auto"/>
        <w:ind w:left="1" w:firstLine="628" w:firstLineChars="262"/>
        <w:rPr>
          <w:rFonts w:ascii="宋体" w:hAnsi="宋体"/>
          <w:color w:val="auto"/>
          <w:sz w:val="24"/>
          <w:szCs w:val="20"/>
          <w:highlight w:val="none"/>
        </w:rPr>
      </w:pPr>
      <w:r>
        <w:rPr>
          <w:rFonts w:hint="eastAsia" w:ascii="宋体" w:hAnsi="宋体"/>
          <w:color w:val="auto"/>
          <w:sz w:val="24"/>
          <w:szCs w:val="20"/>
          <w:highlight w:val="none"/>
        </w:rPr>
        <w:t>商务标（明标）和服务方案（暗标），其中某一标被本项目评委确认为无效投标文件的；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不同投标供应商投标文件相互混装的；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不同投标供应商委托同一单位或者个人办理投标事宜；</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不同投标供应商的投标文件载明的项目管理成员或者联系人为同一人的；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不同投标供应商的投标文件异常一致或者投标报价呈规律性差异；</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不同投标供应商的单位负责人为同一人或者存在直接控股、管理关系的；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不同投标供应商的委托代理人、项目负责人以及其他相关人员有在同一个单位缴纳社会保险的；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投标供应商为本项目提供整体设计、规范编制或者项目管理、监理、检测等服务的；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ascii="宋体" w:hAnsi="宋体"/>
          <w:color w:val="auto"/>
          <w:sz w:val="24"/>
          <w:szCs w:val="20"/>
          <w:highlight w:val="none"/>
        </w:rPr>
        <w:t>投标文件中含有采购人不能接受的附加条件的</w:t>
      </w:r>
      <w:r>
        <w:rPr>
          <w:rFonts w:hint="eastAsia" w:ascii="宋体" w:hAnsi="宋体"/>
          <w:color w:val="auto"/>
          <w:sz w:val="24"/>
          <w:szCs w:val="20"/>
          <w:highlight w:val="none"/>
        </w:rPr>
        <w:t>；</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同一投标文件中单位名称落款与公章不是同一单位的；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投标文件中同一方案有选择性报价且未声明以哪一个为准的；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未按要求提供技术文件的；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未按要求提供电子光盘或光盘内容不全、格式不符要求的；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投标报价超过采购文件规定的预算金额或者最高限价的；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经评标委员会认定投标供应商的投标报价明显低于其他通过符合性审查投标供应商的报价（有可能影响产品质量或者不能诚信履约的），且投标供应商未能在一小时内提供书面说明或相关证明材料证明其报价合理性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未通过投标文件资格性检查、投标文件符合性检查的；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列入失信被执行人、重大税收违法案件当事人名单、政府采购严重违法失信行为记录名单及其他不符合《中华人民共和国政府采购法》第二十二条规定条件的；</w:t>
      </w:r>
    </w:p>
    <w:p>
      <w:pPr>
        <w:numPr>
          <w:ilvl w:val="1"/>
          <w:numId w:val="2"/>
        </w:numPr>
        <w:tabs>
          <w:tab w:val="left" w:pos="525"/>
          <w:tab w:val="left" w:pos="1050"/>
          <w:tab w:val="left" w:pos="1146"/>
          <w:tab w:val="left" w:pos="1254"/>
          <w:tab w:val="left" w:pos="1770"/>
          <w:tab w:val="clear" w:pos="3165"/>
        </w:tabs>
        <w:spacing w:line="360" w:lineRule="auto"/>
        <w:ind w:left="0" w:firstLine="631" w:firstLineChars="262"/>
        <w:rPr>
          <w:rFonts w:ascii="宋体" w:hAnsi="宋体"/>
          <w:b/>
          <w:bCs/>
          <w:color w:val="auto"/>
          <w:sz w:val="24"/>
          <w:szCs w:val="20"/>
          <w:highlight w:val="none"/>
        </w:rPr>
      </w:pPr>
      <w:r>
        <w:rPr>
          <w:rFonts w:hint="eastAsia" w:ascii="宋体" w:hAnsi="宋体"/>
          <w:b/>
          <w:bCs/>
          <w:color w:val="auto"/>
          <w:sz w:val="24"/>
          <w:szCs w:val="20"/>
          <w:highlight w:val="none"/>
        </w:rPr>
        <w:t>投标文件未响应采购需求（五）中所列</w:t>
      </w:r>
      <w:r>
        <w:rPr>
          <w:rFonts w:ascii="宋体" w:hAnsi="宋体"/>
          <w:b/>
          <w:bCs/>
          <w:color w:val="auto"/>
          <w:sz w:val="24"/>
          <w:szCs w:val="20"/>
          <w:highlight w:val="none"/>
        </w:rPr>
        <w:t>技术条款</w:t>
      </w:r>
      <w:r>
        <w:rPr>
          <w:rFonts w:hint="eastAsia" w:ascii="宋体" w:hAnsi="宋体"/>
          <w:b/>
          <w:bCs/>
          <w:color w:val="auto"/>
          <w:sz w:val="24"/>
          <w:szCs w:val="20"/>
          <w:highlight w:val="none"/>
        </w:rPr>
        <w:t>要求的（如有）；</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投标供应商的投标报价畸高或畸低，但投标总报价与各分项报价不能相互对应，在询标时没有合理的解释或者不能提供计算依据和报价依据的；</w:t>
      </w:r>
    </w:p>
    <w:p>
      <w:pPr>
        <w:numPr>
          <w:ilvl w:val="1"/>
          <w:numId w:val="2"/>
        </w:numPr>
        <w:tabs>
          <w:tab w:val="left" w:pos="525"/>
          <w:tab w:val="left" w:pos="1050"/>
          <w:tab w:val="left" w:pos="1146"/>
          <w:tab w:val="left" w:pos="1254"/>
          <w:tab w:val="left" w:pos="1770"/>
          <w:tab w:val="clear" w:pos="3165"/>
        </w:tabs>
        <w:spacing w:line="360" w:lineRule="auto"/>
        <w:ind w:left="0" w:firstLine="628" w:firstLineChars="262"/>
        <w:rPr>
          <w:rFonts w:ascii="宋体" w:hAnsi="宋体"/>
          <w:color w:val="auto"/>
          <w:sz w:val="24"/>
          <w:szCs w:val="20"/>
          <w:highlight w:val="none"/>
        </w:rPr>
      </w:pPr>
      <w:r>
        <w:rPr>
          <w:rFonts w:hint="eastAsia" w:ascii="宋体" w:hAnsi="宋体"/>
          <w:color w:val="auto"/>
          <w:sz w:val="24"/>
          <w:szCs w:val="20"/>
          <w:highlight w:val="none"/>
        </w:rPr>
        <w:t>投标文件内容不全或不符合法律法规和采购文件中规定的其他实质性要求的。</w:t>
      </w:r>
    </w:p>
    <w:p>
      <w:pPr>
        <w:spacing w:line="360" w:lineRule="auto"/>
        <w:ind w:firstLine="422" w:firstLineChars="175"/>
        <w:outlineLvl w:val="0"/>
        <w:rPr>
          <w:rFonts w:ascii="宋体" w:hAnsi="宋体"/>
          <w:b/>
          <w:color w:val="auto"/>
          <w:sz w:val="24"/>
          <w:highlight w:val="none"/>
        </w:rPr>
      </w:pPr>
      <w:r>
        <w:rPr>
          <w:rFonts w:hint="eastAsia" w:ascii="宋体" w:hAnsi="宋体"/>
          <w:b/>
          <w:color w:val="auto"/>
          <w:sz w:val="24"/>
          <w:highlight w:val="none"/>
        </w:rPr>
        <w:t>（九） 开标、评标：</w:t>
      </w:r>
    </w:p>
    <w:p>
      <w:pPr>
        <w:tabs>
          <w:tab w:val="left" w:pos="840"/>
          <w:tab w:val="left" w:pos="1050"/>
        </w:tabs>
        <w:spacing w:line="360" w:lineRule="auto"/>
        <w:ind w:firstLine="628" w:firstLineChars="262"/>
        <w:rPr>
          <w:rFonts w:ascii="宋体" w:hAnsi="宋体"/>
          <w:color w:val="auto"/>
          <w:sz w:val="24"/>
          <w:szCs w:val="20"/>
          <w:highlight w:val="none"/>
        </w:rPr>
      </w:pPr>
      <w:r>
        <w:rPr>
          <w:rFonts w:hint="eastAsia" w:ascii="宋体" w:hAnsi="宋体"/>
          <w:color w:val="auto"/>
          <w:sz w:val="24"/>
          <w:szCs w:val="20"/>
          <w:highlight w:val="none"/>
        </w:rPr>
        <w:t>1.开标工作程序</w:t>
      </w:r>
    </w:p>
    <w:p>
      <w:pPr>
        <w:tabs>
          <w:tab w:val="left" w:pos="840"/>
          <w:tab w:val="left" w:pos="1050"/>
        </w:tabs>
        <w:spacing w:line="360" w:lineRule="auto"/>
        <w:ind w:firstLine="628" w:firstLineChars="262"/>
        <w:rPr>
          <w:rFonts w:ascii="宋体" w:hAnsi="宋体"/>
          <w:color w:val="auto"/>
          <w:sz w:val="24"/>
          <w:szCs w:val="20"/>
          <w:highlight w:val="none"/>
        </w:rPr>
      </w:pPr>
      <w:r>
        <w:rPr>
          <w:rFonts w:hint="eastAsia" w:ascii="宋体" w:hAnsi="宋体"/>
          <w:color w:val="auto"/>
          <w:sz w:val="24"/>
          <w:szCs w:val="20"/>
          <w:highlight w:val="none"/>
        </w:rPr>
        <w:t>1.1开标由采购人或者代理机构主持，邀请投标供应商参加。</w:t>
      </w:r>
    </w:p>
    <w:p>
      <w:pPr>
        <w:tabs>
          <w:tab w:val="left" w:pos="840"/>
          <w:tab w:val="left" w:pos="1050"/>
        </w:tabs>
        <w:spacing w:line="360" w:lineRule="auto"/>
        <w:ind w:firstLine="628" w:firstLineChars="262"/>
        <w:rPr>
          <w:rFonts w:ascii="宋体" w:hAnsi="宋体"/>
          <w:color w:val="auto"/>
          <w:sz w:val="24"/>
          <w:szCs w:val="20"/>
          <w:highlight w:val="none"/>
        </w:rPr>
      </w:pPr>
      <w:r>
        <w:rPr>
          <w:rFonts w:hint="eastAsia" w:ascii="宋体" w:hAnsi="宋体"/>
          <w:color w:val="auto"/>
          <w:sz w:val="24"/>
          <w:szCs w:val="20"/>
          <w:highlight w:val="none"/>
        </w:rPr>
        <w:t>1.2 密封性审查：</w:t>
      </w:r>
    </w:p>
    <w:p>
      <w:pPr>
        <w:tabs>
          <w:tab w:val="left" w:pos="840"/>
          <w:tab w:val="left" w:pos="1050"/>
        </w:tabs>
        <w:spacing w:line="360" w:lineRule="auto"/>
        <w:ind w:firstLine="631" w:firstLineChars="262"/>
        <w:rPr>
          <w:rFonts w:ascii="宋体" w:hAnsi="宋体"/>
          <w:b/>
          <w:color w:val="auto"/>
          <w:sz w:val="24"/>
          <w:szCs w:val="20"/>
          <w:highlight w:val="none"/>
        </w:rPr>
      </w:pPr>
      <w:r>
        <w:rPr>
          <w:rFonts w:hint="eastAsia" w:ascii="宋体" w:hAnsi="宋体"/>
          <w:b/>
          <w:color w:val="auto"/>
          <w:sz w:val="24"/>
          <w:szCs w:val="20"/>
          <w:highlight w:val="none"/>
        </w:rPr>
        <w:t>1.2.1由投标供应商或其推选的代表检查投标文件的密封情况；</w:t>
      </w:r>
    </w:p>
    <w:p>
      <w:pPr>
        <w:tabs>
          <w:tab w:val="left" w:pos="840"/>
          <w:tab w:val="left" w:pos="1050"/>
        </w:tabs>
        <w:spacing w:line="360" w:lineRule="auto"/>
        <w:ind w:firstLine="631" w:firstLineChars="262"/>
        <w:rPr>
          <w:rFonts w:ascii="宋体" w:hAnsi="宋体"/>
          <w:b/>
          <w:color w:val="auto"/>
          <w:sz w:val="24"/>
          <w:szCs w:val="20"/>
          <w:highlight w:val="none"/>
        </w:rPr>
      </w:pPr>
      <w:r>
        <w:rPr>
          <w:rFonts w:hint="eastAsia" w:ascii="宋体" w:hAnsi="宋体"/>
          <w:b/>
          <w:color w:val="auto"/>
          <w:sz w:val="24"/>
          <w:szCs w:val="20"/>
          <w:highlight w:val="none"/>
        </w:rPr>
        <w:t>1.2.2经确认无误后，由采购人或者采购代理机构工作人员当众拆封。</w:t>
      </w:r>
    </w:p>
    <w:p>
      <w:pPr>
        <w:tabs>
          <w:tab w:val="left" w:pos="840"/>
          <w:tab w:val="left" w:pos="1050"/>
        </w:tabs>
        <w:spacing w:line="360" w:lineRule="auto"/>
        <w:ind w:firstLine="628" w:firstLineChars="262"/>
        <w:rPr>
          <w:rFonts w:ascii="宋体" w:hAnsi="宋体"/>
          <w:color w:val="auto"/>
          <w:sz w:val="24"/>
          <w:szCs w:val="20"/>
          <w:highlight w:val="none"/>
        </w:rPr>
      </w:pPr>
      <w:r>
        <w:rPr>
          <w:rFonts w:hint="eastAsia" w:ascii="宋体" w:hAnsi="宋体"/>
          <w:color w:val="auto"/>
          <w:sz w:val="24"/>
          <w:szCs w:val="20"/>
          <w:highlight w:val="none"/>
        </w:rPr>
        <w:t>1.3</w:t>
      </w:r>
      <w:r>
        <w:rPr>
          <w:rFonts w:ascii="宋体" w:hAnsi="宋体"/>
          <w:color w:val="auto"/>
          <w:sz w:val="24"/>
          <w:szCs w:val="20"/>
          <w:highlight w:val="none"/>
        </w:rPr>
        <w:t xml:space="preserve"> </w:t>
      </w:r>
      <w:r>
        <w:rPr>
          <w:rFonts w:hint="eastAsia" w:ascii="宋体" w:hAnsi="宋体"/>
          <w:color w:val="auto"/>
          <w:sz w:val="24"/>
          <w:szCs w:val="20"/>
          <w:highlight w:val="none"/>
        </w:rPr>
        <w:t>唱标</w:t>
      </w:r>
    </w:p>
    <w:p>
      <w:pPr>
        <w:tabs>
          <w:tab w:val="left" w:pos="840"/>
          <w:tab w:val="left" w:pos="1050"/>
        </w:tabs>
        <w:spacing w:line="360" w:lineRule="auto"/>
        <w:ind w:firstLine="600" w:firstLineChars="250"/>
        <w:rPr>
          <w:rFonts w:ascii="宋体" w:hAnsi="宋体"/>
          <w:color w:val="auto"/>
          <w:sz w:val="24"/>
          <w:szCs w:val="20"/>
          <w:highlight w:val="none"/>
        </w:rPr>
      </w:pPr>
      <w:r>
        <w:rPr>
          <w:rFonts w:hint="eastAsia" w:ascii="宋体" w:hAnsi="宋体"/>
          <w:color w:val="auto"/>
          <w:sz w:val="24"/>
          <w:szCs w:val="20"/>
          <w:highlight w:val="none"/>
        </w:rPr>
        <w:t>1.3.1由采购人或采购代理机构工作人员，按照投标供应商签到时间顺序，宣布投标供应商名称、投标价格和采购文件规定的需要宣布的其他内容。</w:t>
      </w:r>
    </w:p>
    <w:p>
      <w:pPr>
        <w:tabs>
          <w:tab w:val="left" w:pos="840"/>
          <w:tab w:val="left" w:pos="1050"/>
        </w:tabs>
        <w:spacing w:line="360" w:lineRule="auto"/>
        <w:ind w:firstLine="600" w:firstLineChars="250"/>
        <w:rPr>
          <w:rFonts w:ascii="宋体" w:hAnsi="宋体"/>
          <w:color w:val="auto"/>
          <w:sz w:val="24"/>
          <w:szCs w:val="20"/>
          <w:highlight w:val="none"/>
        </w:rPr>
      </w:pPr>
      <w:r>
        <w:rPr>
          <w:rFonts w:hint="eastAsia" w:ascii="宋体" w:hAnsi="宋体"/>
          <w:color w:val="auto"/>
          <w:sz w:val="24"/>
          <w:szCs w:val="20"/>
          <w:highlight w:val="none"/>
        </w:rPr>
        <w:t>1.3.2唱标内容仅涉及开标一览表。</w:t>
      </w:r>
    </w:p>
    <w:p>
      <w:pPr>
        <w:tabs>
          <w:tab w:val="left" w:pos="840"/>
          <w:tab w:val="left" w:pos="1050"/>
        </w:tabs>
        <w:spacing w:line="360" w:lineRule="auto"/>
        <w:ind w:left="630"/>
        <w:rPr>
          <w:rFonts w:ascii="宋体" w:hAnsi="宋体"/>
          <w:color w:val="auto"/>
          <w:sz w:val="24"/>
          <w:szCs w:val="20"/>
          <w:highlight w:val="none"/>
        </w:rPr>
      </w:pPr>
      <w:r>
        <w:rPr>
          <w:rFonts w:hint="eastAsia" w:ascii="宋体" w:hAnsi="宋体"/>
          <w:color w:val="auto"/>
          <w:sz w:val="24"/>
          <w:szCs w:val="20"/>
          <w:highlight w:val="none"/>
        </w:rPr>
        <w:t>1.4唱标结束，投标供应商退场。</w:t>
      </w:r>
    </w:p>
    <w:p>
      <w:pPr>
        <w:tabs>
          <w:tab w:val="left" w:pos="840"/>
          <w:tab w:val="left" w:pos="1050"/>
        </w:tabs>
        <w:spacing w:line="360" w:lineRule="auto"/>
        <w:ind w:left="630"/>
        <w:rPr>
          <w:rFonts w:ascii="宋体" w:hAnsi="宋体"/>
          <w:bCs/>
          <w:color w:val="auto"/>
          <w:sz w:val="24"/>
          <w:szCs w:val="20"/>
          <w:highlight w:val="none"/>
        </w:rPr>
      </w:pPr>
      <w:r>
        <w:rPr>
          <w:rFonts w:hint="eastAsia" w:ascii="宋体" w:hAnsi="宋体"/>
          <w:bCs/>
          <w:color w:val="auto"/>
          <w:sz w:val="24"/>
          <w:szCs w:val="20"/>
          <w:highlight w:val="none"/>
        </w:rPr>
        <w:t xml:space="preserve">1.5抽取投标供应商暗标编号 </w:t>
      </w:r>
    </w:p>
    <w:p>
      <w:pPr>
        <w:tabs>
          <w:tab w:val="left" w:pos="840"/>
          <w:tab w:val="left" w:pos="1050"/>
        </w:tabs>
        <w:spacing w:line="360" w:lineRule="auto"/>
        <w:ind w:firstLine="602" w:firstLineChars="250"/>
        <w:rPr>
          <w:rFonts w:ascii="宋体" w:hAnsi="宋体"/>
          <w:color w:val="auto"/>
          <w:sz w:val="24"/>
          <w:szCs w:val="20"/>
          <w:highlight w:val="none"/>
        </w:rPr>
      </w:pPr>
      <w:r>
        <w:rPr>
          <w:rFonts w:hint="eastAsia" w:ascii="宋体" w:hAnsi="宋体"/>
          <w:b/>
          <w:bCs/>
          <w:color w:val="auto"/>
          <w:sz w:val="24"/>
          <w:szCs w:val="20"/>
          <w:highlight w:val="none"/>
        </w:rPr>
        <w:t>由工作人员在公证或监督下，随机抽取暗标编号，并记录在暗标编号汇总表上，同时将对应的服务方案（暗标）封面上进行编号，</w:t>
      </w:r>
      <w:r>
        <w:rPr>
          <w:rFonts w:ascii="宋体" w:hAnsi="宋体"/>
          <w:b/>
          <w:color w:val="auto"/>
          <w:sz w:val="24"/>
          <w:szCs w:val="20"/>
          <w:highlight w:val="none"/>
        </w:rPr>
        <w:t>服务方案（暗标）正本不拆封。</w:t>
      </w:r>
      <w:r>
        <w:rPr>
          <w:rFonts w:hint="eastAsia" w:ascii="宋体" w:hAnsi="宋体"/>
          <w:b/>
          <w:bCs/>
          <w:color w:val="auto"/>
          <w:sz w:val="24"/>
          <w:szCs w:val="20"/>
          <w:highlight w:val="none"/>
        </w:rPr>
        <w:t>暗标编号汇总表当场封存、专人保管，直至服务方案（暗标）和商务标（明标）评审全部结束才予打开。</w:t>
      </w:r>
    </w:p>
    <w:p>
      <w:pPr>
        <w:tabs>
          <w:tab w:val="left" w:pos="840"/>
          <w:tab w:val="left" w:pos="1050"/>
        </w:tabs>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2.资格性审查：</w:t>
      </w:r>
    </w:p>
    <w:p>
      <w:pPr>
        <w:tabs>
          <w:tab w:val="left" w:pos="525"/>
        </w:tabs>
        <w:spacing w:line="360" w:lineRule="auto"/>
        <w:ind w:firstLine="600" w:firstLineChars="250"/>
        <w:rPr>
          <w:rFonts w:ascii="宋体" w:hAnsi="宋体"/>
          <w:color w:val="auto"/>
          <w:sz w:val="24"/>
          <w:szCs w:val="20"/>
          <w:highlight w:val="none"/>
        </w:rPr>
      </w:pPr>
      <w:r>
        <w:rPr>
          <w:rFonts w:hint="eastAsia" w:ascii="宋体" w:hAnsi="宋体"/>
          <w:color w:val="auto"/>
          <w:sz w:val="24"/>
          <w:szCs w:val="20"/>
          <w:highlight w:val="none"/>
        </w:rPr>
        <w:t>2.1.1投标文件资格性检查由</w:t>
      </w:r>
      <w:r>
        <w:rPr>
          <w:rFonts w:hint="eastAsia" w:ascii="宋体" w:hAnsi="宋体"/>
          <w:b/>
          <w:color w:val="auto"/>
          <w:sz w:val="24"/>
          <w:szCs w:val="20"/>
          <w:highlight w:val="none"/>
        </w:rPr>
        <w:t>采购人或者采购代理机构组建</w:t>
      </w:r>
      <w:r>
        <w:rPr>
          <w:rFonts w:hint="eastAsia" w:ascii="宋体" w:hAnsi="宋体"/>
          <w:color w:val="auto"/>
          <w:sz w:val="24"/>
          <w:szCs w:val="20"/>
          <w:highlight w:val="none"/>
        </w:rPr>
        <w:t>的资格审查小组负责。</w:t>
      </w:r>
    </w:p>
    <w:p>
      <w:pPr>
        <w:tabs>
          <w:tab w:val="left" w:pos="525"/>
        </w:tabs>
        <w:spacing w:line="360" w:lineRule="auto"/>
        <w:ind w:firstLine="600" w:firstLineChars="250"/>
        <w:rPr>
          <w:rFonts w:ascii="宋体" w:hAnsi="宋体"/>
          <w:color w:val="auto"/>
          <w:sz w:val="24"/>
          <w:szCs w:val="20"/>
          <w:highlight w:val="none"/>
        </w:rPr>
      </w:pPr>
      <w:r>
        <w:rPr>
          <w:rFonts w:hint="eastAsia" w:ascii="宋体" w:hAnsi="宋体"/>
          <w:color w:val="auto"/>
          <w:sz w:val="24"/>
          <w:szCs w:val="20"/>
          <w:highlight w:val="none"/>
        </w:rPr>
        <w:t>2.1.2依据法律法规和采购文件的规定，对投标文件中法定代表人授权代表是否提供有效的身份证明和法定代表人授权委托书等资格、资信证明等进行审查，以确定投标供应商提供资格证明的合法性、真实性，是否具备投标资格。</w:t>
      </w:r>
    </w:p>
    <w:p>
      <w:pPr>
        <w:tabs>
          <w:tab w:val="left" w:pos="525"/>
        </w:tabs>
        <w:spacing w:line="360" w:lineRule="auto"/>
        <w:ind w:firstLine="600" w:firstLineChars="250"/>
        <w:rPr>
          <w:rFonts w:ascii="宋体" w:hAnsi="宋体"/>
          <w:color w:val="auto"/>
          <w:sz w:val="24"/>
          <w:szCs w:val="20"/>
          <w:highlight w:val="none"/>
        </w:rPr>
      </w:pPr>
      <w:r>
        <w:rPr>
          <w:rFonts w:hint="eastAsia" w:ascii="宋体" w:hAnsi="宋体"/>
          <w:color w:val="auto"/>
          <w:sz w:val="24"/>
          <w:szCs w:val="20"/>
          <w:highlight w:val="none"/>
        </w:rPr>
        <w:t>2.1.3信用信息查询</w:t>
      </w:r>
    </w:p>
    <w:p>
      <w:pPr>
        <w:tabs>
          <w:tab w:val="left" w:pos="525"/>
        </w:tabs>
        <w:spacing w:line="360" w:lineRule="auto"/>
        <w:ind w:firstLine="600" w:firstLineChars="250"/>
        <w:rPr>
          <w:rFonts w:ascii="宋体" w:hAnsi="宋体"/>
          <w:color w:val="auto"/>
          <w:sz w:val="24"/>
          <w:szCs w:val="20"/>
          <w:highlight w:val="none"/>
        </w:rPr>
      </w:pPr>
      <w:r>
        <w:rPr>
          <w:rFonts w:hint="eastAsia" w:ascii="宋体" w:hAnsi="宋体"/>
          <w:color w:val="auto"/>
          <w:sz w:val="24"/>
          <w:szCs w:val="20"/>
          <w:highlight w:val="none"/>
        </w:rPr>
        <w:t>采购人或采购代理机构在</w:t>
      </w:r>
      <w:r>
        <w:rPr>
          <w:rFonts w:hint="eastAsia" w:ascii="宋体" w:hAnsi="宋体"/>
          <w:b/>
          <w:color w:val="auto"/>
          <w:sz w:val="24"/>
          <w:highlight w:val="none"/>
          <w:u w:val="single"/>
        </w:rPr>
        <w:t>2024年7月</w:t>
      </w:r>
      <w:r>
        <w:rPr>
          <w:rFonts w:hint="eastAsia" w:ascii="宋体" w:hAnsi="宋体"/>
          <w:b/>
          <w:color w:val="auto"/>
          <w:sz w:val="24"/>
          <w:highlight w:val="none"/>
          <w:u w:val="single"/>
          <w:lang w:val="en-US" w:eastAsia="zh-CN"/>
        </w:rPr>
        <w:t>15</w:t>
      </w:r>
      <w:bookmarkStart w:id="22" w:name="_GoBack"/>
      <w:bookmarkEnd w:id="22"/>
      <w:r>
        <w:rPr>
          <w:rFonts w:hint="eastAsia" w:ascii="宋体" w:hAnsi="宋体"/>
          <w:b/>
          <w:color w:val="auto"/>
          <w:sz w:val="24"/>
          <w:highlight w:val="none"/>
          <w:u w:val="single"/>
        </w:rPr>
        <w:t>日</w:t>
      </w:r>
      <w:r>
        <w:rPr>
          <w:rFonts w:hint="eastAsia" w:ascii="宋体" w:hAnsi="宋体"/>
          <w:color w:val="auto"/>
          <w:sz w:val="24"/>
          <w:szCs w:val="20"/>
          <w:highlight w:val="none"/>
        </w:rPr>
        <w:t>下午</w:t>
      </w:r>
      <w:r>
        <w:rPr>
          <w:rFonts w:ascii="宋体" w:hAnsi="宋体"/>
          <w:color w:val="auto"/>
          <w:sz w:val="24"/>
          <w:szCs w:val="20"/>
          <w:highlight w:val="none"/>
        </w:rPr>
        <w:t>14</w:t>
      </w:r>
      <w:r>
        <w:rPr>
          <w:rFonts w:hint="eastAsia" w:ascii="宋体" w:hAnsi="宋体"/>
          <w:color w:val="auto"/>
          <w:sz w:val="24"/>
          <w:szCs w:val="20"/>
          <w:highlight w:val="none"/>
        </w:rPr>
        <w:t>:</w:t>
      </w:r>
      <w:r>
        <w:rPr>
          <w:rFonts w:ascii="宋体" w:hAnsi="宋体"/>
          <w:color w:val="auto"/>
          <w:sz w:val="24"/>
          <w:szCs w:val="20"/>
          <w:highlight w:val="none"/>
        </w:rPr>
        <w:t>30</w:t>
      </w:r>
      <w:r>
        <w:rPr>
          <w:rFonts w:hint="eastAsia" w:ascii="宋体" w:hAnsi="宋体"/>
          <w:color w:val="auto"/>
          <w:sz w:val="24"/>
          <w:szCs w:val="20"/>
          <w:highlight w:val="none"/>
        </w:rPr>
        <w:t>前通过“信用中国”网站(www.creditchina.gov.cn)、中国政府采购网(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olor w:val="auto"/>
          <w:sz w:val="24"/>
          <w:szCs w:val="20"/>
          <w:highlight w:val="none"/>
        </w:rPr>
        <w:t>www.ccgp.gov.cn</w:t>
      </w:r>
      <w:r>
        <w:rPr>
          <w:rFonts w:hint="eastAsia" w:ascii="宋体" w:hAnsi="宋体"/>
          <w:color w:val="auto"/>
          <w:sz w:val="24"/>
          <w:szCs w:val="20"/>
          <w:highlight w:val="none"/>
        </w:rPr>
        <w:fldChar w:fldCharType="end"/>
      </w:r>
      <w:r>
        <w:rPr>
          <w:rFonts w:hint="eastAsia" w:ascii="宋体" w:hAnsi="宋体"/>
          <w:color w:val="auto"/>
          <w:sz w:val="24"/>
          <w:szCs w:val="20"/>
          <w:highlight w:val="none"/>
        </w:rPr>
        <w:t>)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采购人或采购代理机构通过相关渠道查询的供应商主体信用记录，与项目其他采购资料一并保存。</w:t>
      </w:r>
    </w:p>
    <w:p>
      <w:pPr>
        <w:tabs>
          <w:tab w:val="left" w:pos="0"/>
        </w:tabs>
        <w:spacing w:line="360" w:lineRule="auto"/>
        <w:ind w:firstLine="630"/>
        <w:rPr>
          <w:rFonts w:ascii="宋体" w:hAnsi="宋体"/>
          <w:b/>
          <w:color w:val="auto"/>
          <w:sz w:val="24"/>
          <w:szCs w:val="20"/>
          <w:highlight w:val="none"/>
        </w:rPr>
      </w:pPr>
      <w:r>
        <w:rPr>
          <w:rFonts w:hint="eastAsia" w:ascii="宋体" w:hAnsi="宋体"/>
          <w:b/>
          <w:color w:val="auto"/>
          <w:sz w:val="24"/>
          <w:szCs w:val="20"/>
          <w:highlight w:val="none"/>
        </w:rPr>
        <w:t>3.评标工作程序：</w:t>
      </w:r>
    </w:p>
    <w:p>
      <w:pPr>
        <w:tabs>
          <w:tab w:val="left" w:pos="0"/>
        </w:tabs>
        <w:spacing w:line="360" w:lineRule="auto"/>
        <w:ind w:firstLine="630"/>
        <w:rPr>
          <w:rFonts w:ascii="宋体" w:hAnsi="宋体"/>
          <w:b/>
          <w:color w:val="auto"/>
          <w:sz w:val="24"/>
          <w:szCs w:val="20"/>
          <w:highlight w:val="none"/>
        </w:rPr>
      </w:pPr>
      <w:r>
        <w:rPr>
          <w:rFonts w:hint="eastAsia" w:ascii="宋体" w:hAnsi="宋体"/>
          <w:b/>
          <w:color w:val="auto"/>
          <w:sz w:val="24"/>
          <w:szCs w:val="20"/>
          <w:highlight w:val="none"/>
        </w:rPr>
        <w:t>3.1由专家及采购人代表组成评标委员会，并实行回避制度。</w:t>
      </w:r>
    </w:p>
    <w:p>
      <w:pPr>
        <w:tabs>
          <w:tab w:val="left" w:pos="0"/>
        </w:tabs>
        <w:spacing w:line="360" w:lineRule="auto"/>
        <w:ind w:firstLine="630"/>
        <w:rPr>
          <w:rFonts w:ascii="宋体" w:hAnsi="宋体"/>
          <w:b/>
          <w:color w:val="auto"/>
          <w:sz w:val="24"/>
          <w:szCs w:val="20"/>
          <w:highlight w:val="none"/>
        </w:rPr>
      </w:pPr>
      <w:r>
        <w:rPr>
          <w:rFonts w:hint="eastAsia" w:ascii="宋体" w:hAnsi="宋体"/>
          <w:b/>
          <w:color w:val="auto"/>
          <w:sz w:val="24"/>
          <w:szCs w:val="20"/>
          <w:highlight w:val="none"/>
        </w:rPr>
        <w:t>3.2评审时，投标文件出现不一致情形的，按下列规定执行：</w:t>
      </w:r>
    </w:p>
    <w:p>
      <w:pPr>
        <w:tabs>
          <w:tab w:val="left" w:pos="0"/>
        </w:tabs>
        <w:spacing w:line="360" w:lineRule="auto"/>
        <w:ind w:firstLine="630"/>
        <w:rPr>
          <w:rFonts w:ascii="宋体" w:hAnsi="宋体"/>
          <w:b/>
          <w:color w:val="auto"/>
          <w:sz w:val="24"/>
          <w:szCs w:val="20"/>
          <w:highlight w:val="none"/>
        </w:rPr>
      </w:pPr>
      <w:r>
        <w:rPr>
          <w:rFonts w:hint="eastAsia" w:ascii="宋体" w:hAnsi="宋体"/>
          <w:b/>
          <w:color w:val="auto"/>
          <w:sz w:val="24"/>
          <w:szCs w:val="20"/>
          <w:highlight w:val="none"/>
        </w:rPr>
        <w:t>3.2.1投标文件正本与副本不符的，以正本为准。</w:t>
      </w:r>
    </w:p>
    <w:p>
      <w:pPr>
        <w:tabs>
          <w:tab w:val="left" w:pos="0"/>
        </w:tabs>
        <w:spacing w:line="360" w:lineRule="auto"/>
        <w:ind w:firstLine="630"/>
        <w:rPr>
          <w:rFonts w:ascii="宋体" w:hAnsi="宋体"/>
          <w:b/>
          <w:color w:val="auto"/>
          <w:sz w:val="24"/>
          <w:szCs w:val="20"/>
          <w:highlight w:val="none"/>
        </w:rPr>
      </w:pPr>
      <w:r>
        <w:rPr>
          <w:rFonts w:hint="eastAsia" w:ascii="宋体" w:hAnsi="宋体"/>
          <w:b/>
          <w:color w:val="auto"/>
          <w:sz w:val="24"/>
          <w:szCs w:val="20"/>
          <w:highlight w:val="none"/>
        </w:rPr>
        <w:t>3.2.2投标文件报价出现前后不一致的，按照下列规定修正：</w:t>
      </w:r>
    </w:p>
    <w:p>
      <w:pPr>
        <w:tabs>
          <w:tab w:val="left" w:pos="0"/>
        </w:tabs>
        <w:spacing w:line="360" w:lineRule="auto"/>
        <w:ind w:firstLine="630"/>
        <w:rPr>
          <w:rFonts w:ascii="宋体" w:hAnsi="宋体"/>
          <w:b/>
          <w:color w:val="auto"/>
          <w:sz w:val="24"/>
          <w:szCs w:val="20"/>
          <w:highlight w:val="none"/>
        </w:rPr>
      </w:pPr>
      <w:r>
        <w:rPr>
          <w:rFonts w:hint="eastAsia" w:ascii="宋体" w:hAnsi="宋体"/>
          <w:b/>
          <w:color w:val="auto"/>
          <w:sz w:val="24"/>
          <w:szCs w:val="20"/>
          <w:highlight w:val="none"/>
        </w:rPr>
        <w:t>（1）投标文件中开标一览表（报价表）内容与投标文件中相应内容不一致的，以开标一览表（报价表）为准；</w:t>
      </w:r>
    </w:p>
    <w:p>
      <w:pPr>
        <w:tabs>
          <w:tab w:val="left" w:pos="0"/>
        </w:tabs>
        <w:spacing w:line="360" w:lineRule="auto"/>
        <w:ind w:firstLine="630"/>
        <w:rPr>
          <w:rFonts w:ascii="宋体" w:hAnsi="宋体"/>
          <w:b/>
          <w:color w:val="auto"/>
          <w:sz w:val="24"/>
          <w:szCs w:val="20"/>
          <w:highlight w:val="none"/>
        </w:rPr>
      </w:pPr>
      <w:r>
        <w:rPr>
          <w:rFonts w:hint="eastAsia" w:ascii="宋体" w:hAnsi="宋体"/>
          <w:b/>
          <w:color w:val="auto"/>
          <w:sz w:val="24"/>
          <w:szCs w:val="20"/>
          <w:highlight w:val="none"/>
        </w:rPr>
        <w:t>（2）大写金额和小写金额不一致的，以大写金额为准；</w:t>
      </w:r>
    </w:p>
    <w:p>
      <w:pPr>
        <w:tabs>
          <w:tab w:val="left" w:pos="0"/>
        </w:tabs>
        <w:spacing w:line="360" w:lineRule="auto"/>
        <w:ind w:firstLine="630"/>
        <w:rPr>
          <w:rFonts w:ascii="宋体" w:hAnsi="宋体"/>
          <w:b/>
          <w:color w:val="auto"/>
          <w:sz w:val="24"/>
          <w:szCs w:val="20"/>
          <w:highlight w:val="none"/>
        </w:rPr>
      </w:pPr>
      <w:r>
        <w:rPr>
          <w:rFonts w:hint="eastAsia" w:ascii="宋体" w:hAnsi="宋体"/>
          <w:b/>
          <w:color w:val="auto"/>
          <w:sz w:val="24"/>
          <w:szCs w:val="20"/>
          <w:highlight w:val="none"/>
        </w:rPr>
        <w:t>（3）单价金额小数点或者百分比有明显错位的，以开标一览表的总价为准，并修改单价；</w:t>
      </w:r>
    </w:p>
    <w:p>
      <w:pPr>
        <w:tabs>
          <w:tab w:val="left" w:pos="0"/>
        </w:tabs>
        <w:spacing w:line="360" w:lineRule="auto"/>
        <w:ind w:firstLine="630"/>
        <w:rPr>
          <w:rFonts w:ascii="宋体" w:hAnsi="宋体"/>
          <w:b/>
          <w:color w:val="auto"/>
          <w:sz w:val="24"/>
          <w:szCs w:val="20"/>
          <w:highlight w:val="none"/>
        </w:rPr>
      </w:pPr>
      <w:r>
        <w:rPr>
          <w:rFonts w:hint="eastAsia" w:ascii="宋体" w:hAnsi="宋体"/>
          <w:b/>
          <w:color w:val="auto"/>
          <w:sz w:val="24"/>
          <w:szCs w:val="20"/>
          <w:highlight w:val="none"/>
        </w:rPr>
        <w:t>（4）总价金额与按单价汇总金额不一致的，以单价金额计算结果为准。</w:t>
      </w:r>
    </w:p>
    <w:p>
      <w:pPr>
        <w:tabs>
          <w:tab w:val="left" w:pos="0"/>
        </w:tabs>
        <w:spacing w:line="360" w:lineRule="auto"/>
        <w:ind w:firstLine="630"/>
        <w:rPr>
          <w:rFonts w:ascii="宋体" w:hAnsi="宋体"/>
          <w:b/>
          <w:color w:val="auto"/>
          <w:sz w:val="24"/>
          <w:szCs w:val="20"/>
          <w:highlight w:val="none"/>
        </w:rPr>
      </w:pPr>
      <w:r>
        <w:rPr>
          <w:rFonts w:hint="eastAsia" w:ascii="宋体" w:hAnsi="宋体"/>
          <w:b/>
          <w:color w:val="auto"/>
          <w:sz w:val="24"/>
          <w:szCs w:val="20"/>
          <w:highlight w:val="none"/>
        </w:rPr>
        <w:t>（5）同时出现两种以上不一致的，按照上述（1）-（4）款规定的顺序修正。修正后的报价经投标供应商书面澄清、说明或者补正，并加盖公章，或者有法定代表人或其授权的代表签字作为确认后产生约束力，投标供应商不确认的，其投标无效。</w:t>
      </w:r>
    </w:p>
    <w:p>
      <w:pPr>
        <w:tabs>
          <w:tab w:val="left" w:pos="1365"/>
        </w:tabs>
        <w:spacing w:line="360" w:lineRule="auto"/>
        <w:ind w:firstLine="602" w:firstLineChars="250"/>
        <w:rPr>
          <w:rFonts w:ascii="宋体" w:hAnsi="宋体"/>
          <w:b/>
          <w:color w:val="auto"/>
          <w:sz w:val="24"/>
          <w:szCs w:val="20"/>
          <w:highlight w:val="none"/>
        </w:rPr>
      </w:pPr>
      <w:r>
        <w:rPr>
          <w:rFonts w:hint="eastAsia" w:ascii="宋体" w:hAnsi="宋体"/>
          <w:b/>
          <w:color w:val="auto"/>
          <w:sz w:val="24"/>
          <w:szCs w:val="20"/>
          <w:highlight w:val="none"/>
        </w:rPr>
        <w:t>3.3 投标文件符合性检查。</w:t>
      </w:r>
    </w:p>
    <w:p>
      <w:pPr>
        <w:tabs>
          <w:tab w:val="left" w:pos="525"/>
        </w:tabs>
        <w:spacing w:line="360" w:lineRule="auto"/>
        <w:ind w:firstLine="602" w:firstLineChars="250"/>
        <w:rPr>
          <w:rFonts w:ascii="宋体" w:hAnsi="宋体"/>
          <w:b/>
          <w:color w:val="auto"/>
          <w:sz w:val="24"/>
          <w:szCs w:val="20"/>
          <w:highlight w:val="none"/>
        </w:rPr>
      </w:pPr>
      <w:r>
        <w:rPr>
          <w:rFonts w:hint="eastAsia" w:ascii="宋体" w:hAnsi="宋体"/>
          <w:b/>
          <w:color w:val="auto"/>
          <w:sz w:val="24"/>
          <w:szCs w:val="20"/>
          <w:highlight w:val="none"/>
        </w:rPr>
        <w:t>3.3.1评标委员会对符合资格要求的投标供应商的投标文件进行符合性审查，以确定其是否满足采购文件的实质性要求。明标部分</w:t>
      </w:r>
      <w:r>
        <w:rPr>
          <w:rFonts w:ascii="宋体" w:hAnsi="宋体"/>
          <w:b/>
          <w:color w:val="auto"/>
          <w:sz w:val="24"/>
          <w:szCs w:val="20"/>
          <w:highlight w:val="none"/>
        </w:rPr>
        <w:t>投标文件</w:t>
      </w:r>
      <w:r>
        <w:rPr>
          <w:rFonts w:hint="eastAsia" w:ascii="宋体" w:hAnsi="宋体"/>
          <w:b/>
          <w:color w:val="auto"/>
          <w:sz w:val="24"/>
          <w:szCs w:val="20"/>
          <w:highlight w:val="none"/>
        </w:rPr>
        <w:t>符合性</w:t>
      </w:r>
      <w:r>
        <w:rPr>
          <w:rFonts w:ascii="宋体" w:hAnsi="宋体"/>
          <w:b/>
          <w:color w:val="auto"/>
          <w:sz w:val="24"/>
          <w:szCs w:val="20"/>
          <w:highlight w:val="none"/>
        </w:rPr>
        <w:t>检查</w:t>
      </w:r>
      <w:r>
        <w:rPr>
          <w:rFonts w:hint="eastAsia" w:ascii="宋体" w:hAnsi="宋体"/>
          <w:b/>
          <w:color w:val="auto"/>
          <w:sz w:val="24"/>
          <w:szCs w:val="20"/>
          <w:highlight w:val="none"/>
        </w:rPr>
        <w:t>由评标委员会明标评审小组负责，暗标部分投标文件的符合性检查由评标委员会暗标评审小组负责。</w:t>
      </w:r>
    </w:p>
    <w:p>
      <w:pPr>
        <w:tabs>
          <w:tab w:val="left" w:pos="525"/>
        </w:tabs>
        <w:spacing w:line="360" w:lineRule="auto"/>
        <w:ind w:firstLine="600" w:firstLineChars="250"/>
        <w:rPr>
          <w:rFonts w:ascii="宋体" w:hAnsi="宋体"/>
          <w:color w:val="auto"/>
          <w:sz w:val="24"/>
          <w:szCs w:val="20"/>
          <w:highlight w:val="none"/>
        </w:rPr>
      </w:pPr>
      <w:r>
        <w:rPr>
          <w:rFonts w:hint="eastAsia" w:ascii="宋体" w:hAnsi="宋体"/>
          <w:color w:val="auto"/>
          <w:sz w:val="24"/>
          <w:szCs w:val="20"/>
          <w:highlight w:val="none"/>
        </w:rPr>
        <w:t xml:space="preserve">3.3.2 </w:t>
      </w:r>
      <w:r>
        <w:rPr>
          <w:rFonts w:ascii="宋体" w:hAnsi="宋体"/>
          <w:color w:val="auto"/>
          <w:sz w:val="24"/>
          <w:szCs w:val="20"/>
          <w:highlight w:val="none"/>
        </w:rPr>
        <w:t>对于投标文件中含义不明确、同类问题表述不一致或者有明显文字和计算错误的内容，评标委员会应当以书面形式要求投标供应商作出必要的澄清、说明或者补正。</w:t>
      </w:r>
    </w:p>
    <w:p>
      <w:pPr>
        <w:tabs>
          <w:tab w:val="left" w:pos="525"/>
        </w:tabs>
        <w:spacing w:line="360" w:lineRule="auto"/>
        <w:ind w:firstLine="600" w:firstLineChars="250"/>
        <w:rPr>
          <w:rFonts w:ascii="宋体" w:hAnsi="宋体"/>
          <w:color w:val="auto"/>
          <w:sz w:val="24"/>
          <w:szCs w:val="20"/>
          <w:highlight w:val="none"/>
        </w:rPr>
      </w:pPr>
      <w:r>
        <w:rPr>
          <w:rFonts w:ascii="宋体" w:hAnsi="宋体"/>
          <w:color w:val="auto"/>
          <w:sz w:val="24"/>
          <w:szCs w:val="20"/>
          <w:highlight w:val="none"/>
        </w:rPr>
        <w:t>投标供应商的澄清、说明或者补正应当采用书面形式，明标部分加盖供应商公章，或者由法定代表人或其授权的代表签字。暗标部分由法定代表人或其授权的代表</w:t>
      </w:r>
      <w:r>
        <w:rPr>
          <w:rFonts w:hint="eastAsia" w:ascii="宋体" w:hAnsi="宋体"/>
          <w:color w:val="auto"/>
          <w:sz w:val="24"/>
          <w:szCs w:val="20"/>
          <w:highlight w:val="none"/>
        </w:rPr>
        <w:t>按手印代替</w:t>
      </w:r>
      <w:r>
        <w:rPr>
          <w:rFonts w:ascii="宋体" w:hAnsi="宋体"/>
          <w:color w:val="auto"/>
          <w:sz w:val="24"/>
          <w:szCs w:val="20"/>
          <w:highlight w:val="none"/>
        </w:rPr>
        <w:t>签字</w:t>
      </w:r>
      <w:r>
        <w:rPr>
          <w:rFonts w:hint="eastAsia" w:ascii="宋体" w:hAnsi="宋体"/>
          <w:color w:val="auto"/>
          <w:sz w:val="24"/>
          <w:szCs w:val="20"/>
          <w:highlight w:val="none"/>
        </w:rPr>
        <w:t>。</w:t>
      </w:r>
      <w:r>
        <w:rPr>
          <w:rFonts w:ascii="宋体" w:hAnsi="宋体"/>
          <w:color w:val="auto"/>
          <w:sz w:val="24"/>
          <w:szCs w:val="20"/>
          <w:highlight w:val="none"/>
        </w:rPr>
        <w:t>投标供应商的澄清、说明或者补正不得超出投标文件的范围或者改变投标文件的实质性内容。</w:t>
      </w:r>
    </w:p>
    <w:p>
      <w:pPr>
        <w:tabs>
          <w:tab w:val="left" w:pos="1365"/>
        </w:tabs>
        <w:spacing w:line="360" w:lineRule="auto"/>
        <w:ind w:firstLine="600" w:firstLineChars="250"/>
        <w:rPr>
          <w:rFonts w:ascii="宋体" w:hAnsi="宋体"/>
          <w:color w:val="auto"/>
          <w:sz w:val="24"/>
          <w:szCs w:val="20"/>
          <w:highlight w:val="none"/>
        </w:rPr>
      </w:pPr>
      <w:r>
        <w:rPr>
          <w:rFonts w:hint="eastAsia" w:ascii="宋体" w:hAnsi="宋体"/>
          <w:color w:val="auto"/>
          <w:sz w:val="24"/>
          <w:szCs w:val="20"/>
          <w:highlight w:val="none"/>
        </w:rPr>
        <w:t>3.4比较与评价</w:t>
      </w:r>
    </w:p>
    <w:p>
      <w:pPr>
        <w:tabs>
          <w:tab w:val="left" w:pos="1365"/>
        </w:tabs>
        <w:spacing w:line="360" w:lineRule="auto"/>
        <w:ind w:firstLine="480" w:firstLineChars="200"/>
        <w:rPr>
          <w:rFonts w:ascii="宋体" w:hAnsi="宋体"/>
          <w:b/>
          <w:bCs/>
          <w:color w:val="auto"/>
          <w:sz w:val="24"/>
          <w:szCs w:val="22"/>
          <w:highlight w:val="none"/>
        </w:rPr>
      </w:pPr>
      <w:r>
        <w:rPr>
          <w:rFonts w:hint="eastAsia" w:ascii="宋体" w:hAnsi="宋体"/>
          <w:color w:val="auto"/>
          <w:sz w:val="24"/>
          <w:szCs w:val="20"/>
          <w:highlight w:val="none"/>
        </w:rPr>
        <w:t>3.4</w:t>
      </w:r>
      <w:r>
        <w:rPr>
          <w:rFonts w:hint="eastAsia" w:ascii="宋体" w:hAnsi="宋体"/>
          <w:b/>
          <w:bCs/>
          <w:color w:val="auto"/>
          <w:sz w:val="24"/>
          <w:szCs w:val="22"/>
          <w:highlight w:val="none"/>
        </w:rPr>
        <w:t>.1投标文件资格性检查和符合性检查结束后，凡属于“（八）无效投标文件的确认”的投标文件不进入比较与评价程序。</w:t>
      </w:r>
    </w:p>
    <w:p>
      <w:pPr>
        <w:tabs>
          <w:tab w:val="left" w:pos="1365"/>
        </w:tabs>
        <w:spacing w:line="360" w:lineRule="auto"/>
        <w:ind w:firstLine="480" w:firstLineChars="200"/>
        <w:rPr>
          <w:rFonts w:ascii="宋体" w:hAnsi="宋体"/>
          <w:bCs/>
          <w:color w:val="auto"/>
          <w:sz w:val="24"/>
          <w:szCs w:val="20"/>
          <w:highlight w:val="none"/>
        </w:rPr>
      </w:pPr>
      <w:r>
        <w:rPr>
          <w:rFonts w:hint="eastAsia" w:ascii="宋体" w:hAnsi="宋体"/>
          <w:color w:val="auto"/>
          <w:sz w:val="24"/>
          <w:szCs w:val="20"/>
          <w:highlight w:val="none"/>
        </w:rPr>
        <w:t>3.4</w:t>
      </w:r>
      <w:r>
        <w:rPr>
          <w:rFonts w:hint="eastAsia" w:ascii="宋体" w:hAnsi="宋体"/>
          <w:b/>
          <w:bCs/>
          <w:color w:val="auto"/>
          <w:sz w:val="24"/>
          <w:szCs w:val="22"/>
          <w:highlight w:val="none"/>
        </w:rPr>
        <w:t>.2经评审有效的投标文件按采购文件中规定的评标方法和标准，由评标委员会进行比较与评价。</w:t>
      </w:r>
    </w:p>
    <w:p>
      <w:pPr>
        <w:spacing w:line="360" w:lineRule="auto"/>
        <w:ind w:firstLine="480" w:firstLineChars="200"/>
        <w:rPr>
          <w:rFonts w:ascii="宋体" w:hAnsi="宋体"/>
          <w:bCs/>
          <w:color w:val="auto"/>
          <w:sz w:val="24"/>
          <w:highlight w:val="none"/>
        </w:rPr>
      </w:pPr>
      <w:r>
        <w:rPr>
          <w:rFonts w:hint="eastAsia" w:ascii="宋体" w:hAnsi="宋体"/>
          <w:color w:val="auto"/>
          <w:sz w:val="24"/>
          <w:szCs w:val="22"/>
          <w:highlight w:val="none"/>
        </w:rPr>
        <w:t>3.4.3</w:t>
      </w:r>
      <w:r>
        <w:rPr>
          <w:rFonts w:hint="eastAsia" w:ascii="宋体" w:hAnsi="宋体"/>
          <w:bCs/>
          <w:color w:val="auto"/>
          <w:sz w:val="24"/>
          <w:highlight w:val="none"/>
        </w:rPr>
        <w:t>明标评审小组负责对采购文件评分标准中涉及的投标供应商投标价格、财务状况、业绩、信誉等明标部分内容进行评审；暗标评审小组负责对采购文件评分标准中涉及的技术方案、性能、服务质量等暗标部分内容进行评审。</w:t>
      </w:r>
    </w:p>
    <w:p>
      <w:pPr>
        <w:tabs>
          <w:tab w:val="left" w:pos="136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3.4.4评审中，暗标评审小组成员不接触明标商务标文本。需要对照、查阅明标商务标有关内容的，由工作人员在公证或监督下查阅告知。</w:t>
      </w:r>
    </w:p>
    <w:p>
      <w:pPr>
        <w:tabs>
          <w:tab w:val="left" w:pos="1365"/>
        </w:tabs>
        <w:spacing w:line="360" w:lineRule="auto"/>
        <w:ind w:firstLine="480" w:firstLineChars="200"/>
        <w:rPr>
          <w:rFonts w:ascii="宋体" w:hAnsi="宋体"/>
          <w:bCs/>
          <w:color w:val="auto"/>
          <w:sz w:val="24"/>
          <w:szCs w:val="20"/>
          <w:highlight w:val="none"/>
        </w:rPr>
      </w:pPr>
      <w:r>
        <w:rPr>
          <w:rFonts w:hint="eastAsia" w:ascii="宋体" w:hAnsi="宋体"/>
          <w:bCs/>
          <w:color w:val="auto"/>
          <w:sz w:val="24"/>
          <w:highlight w:val="none"/>
        </w:rPr>
        <w:t>3.4.5暗标和明标评审全部结束后，由工作人员在公证或监督下，在评标室当场核对、公布各投标供应商服务方案暗标编号，汇总各投标供应商明标和暗标得分，确定各投标供应商总分和最终排序。</w:t>
      </w:r>
    </w:p>
    <w:p>
      <w:pPr>
        <w:tabs>
          <w:tab w:val="left" w:pos="0"/>
        </w:tabs>
        <w:spacing w:line="360" w:lineRule="auto"/>
        <w:ind w:firstLine="629"/>
        <w:rPr>
          <w:rFonts w:ascii="宋体" w:hAnsi="宋体"/>
          <w:color w:val="auto"/>
          <w:sz w:val="24"/>
          <w:szCs w:val="20"/>
          <w:highlight w:val="none"/>
        </w:rPr>
      </w:pPr>
      <w:r>
        <w:rPr>
          <w:rFonts w:hint="eastAsia" w:ascii="宋体" w:hAnsi="宋体"/>
          <w:color w:val="auto"/>
          <w:sz w:val="24"/>
          <w:szCs w:val="20"/>
          <w:highlight w:val="none"/>
        </w:rPr>
        <w:t>4. 评标方法</w:t>
      </w:r>
    </w:p>
    <w:p>
      <w:pPr>
        <w:tabs>
          <w:tab w:val="left" w:pos="136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投标供应商通过资格性与符合性审查的，方可进入</w:t>
      </w:r>
      <w:r>
        <w:rPr>
          <w:rFonts w:ascii="宋体" w:hAnsi="宋体"/>
          <w:bCs/>
          <w:color w:val="auto"/>
          <w:sz w:val="24"/>
          <w:highlight w:val="none"/>
        </w:rPr>
        <w:t>比较与评价</w:t>
      </w:r>
      <w:r>
        <w:rPr>
          <w:rFonts w:hint="eastAsia" w:ascii="宋体" w:hAnsi="宋体"/>
          <w:bCs/>
          <w:color w:val="auto"/>
          <w:sz w:val="24"/>
          <w:highlight w:val="none"/>
        </w:rPr>
        <w:t>程序。</w:t>
      </w:r>
    </w:p>
    <w:p>
      <w:pPr>
        <w:tabs>
          <w:tab w:val="left" w:pos="1365"/>
        </w:tabs>
        <w:spacing w:line="360" w:lineRule="auto"/>
        <w:ind w:firstLine="480" w:firstLineChars="200"/>
        <w:rPr>
          <w:rFonts w:ascii="宋体" w:hAnsi="宋体"/>
          <w:bCs/>
          <w:color w:val="auto"/>
          <w:sz w:val="24"/>
          <w:highlight w:val="none"/>
        </w:rPr>
      </w:pPr>
      <w:r>
        <w:rPr>
          <w:rFonts w:ascii="宋体" w:hAnsi="宋体"/>
          <w:bCs/>
          <w:color w:val="auto"/>
          <w:sz w:val="24"/>
          <w:highlight w:val="none"/>
        </w:rPr>
        <w:t>比较与评价</w:t>
      </w:r>
      <w:r>
        <w:rPr>
          <w:rFonts w:hint="eastAsia" w:ascii="宋体" w:hAnsi="宋体"/>
          <w:bCs/>
          <w:color w:val="auto"/>
          <w:sz w:val="24"/>
          <w:highlight w:val="none"/>
        </w:rPr>
        <w:t>采用综合评分法（计分均保留2位小数），评审委员会遵循公平、公正、择优原则，独立按照评分标准分别评定投标供应商的分值；</w:t>
      </w:r>
      <w:r>
        <w:rPr>
          <w:rFonts w:ascii="宋体" w:hAnsi="宋体"/>
          <w:bCs/>
          <w:color w:val="auto"/>
          <w:sz w:val="24"/>
          <w:highlight w:val="none"/>
        </w:rPr>
        <w:t>评标结果按评审后得分由高到低顺序排列</w:t>
      </w:r>
      <w:r>
        <w:rPr>
          <w:rFonts w:hint="eastAsia" w:ascii="宋体" w:hAnsi="宋体"/>
          <w:bCs/>
          <w:color w:val="auto"/>
          <w:sz w:val="24"/>
          <w:highlight w:val="none"/>
        </w:rPr>
        <w:t>，</w:t>
      </w:r>
      <w:r>
        <w:rPr>
          <w:rFonts w:ascii="宋体" w:hAnsi="宋体"/>
          <w:bCs/>
          <w:color w:val="auto"/>
          <w:sz w:val="24"/>
          <w:highlight w:val="none"/>
        </w:rPr>
        <w:t>得分相同的，按投标报价由低到高顺序排列</w:t>
      </w:r>
      <w:r>
        <w:rPr>
          <w:rFonts w:hint="eastAsia" w:ascii="宋体" w:hAnsi="宋体"/>
          <w:bCs/>
          <w:color w:val="auto"/>
          <w:sz w:val="24"/>
          <w:highlight w:val="none"/>
        </w:rPr>
        <w:t>，</w:t>
      </w:r>
      <w:r>
        <w:rPr>
          <w:rFonts w:ascii="宋体" w:hAnsi="宋体"/>
          <w:bCs/>
          <w:color w:val="auto"/>
          <w:sz w:val="24"/>
          <w:highlight w:val="none"/>
        </w:rPr>
        <w:t>得分且投标报价相同的并列。投标文件满足采购文件全部实质性要求，且按照评审因素的量化指标评审得分最高的投标供应商为排名第一的中标候选人。</w:t>
      </w:r>
    </w:p>
    <w:p>
      <w:pPr>
        <w:tabs>
          <w:tab w:val="left" w:pos="1365"/>
        </w:tabs>
        <w:spacing w:line="360" w:lineRule="auto"/>
        <w:ind w:firstLine="482" w:firstLineChars="200"/>
        <w:rPr>
          <w:rFonts w:ascii="宋体" w:hAnsi="宋体"/>
          <w:b/>
          <w:color w:val="auto"/>
          <w:sz w:val="24"/>
          <w:highlight w:val="none"/>
        </w:rPr>
      </w:pPr>
      <w:r>
        <w:rPr>
          <w:rFonts w:ascii="宋体" w:hAnsi="宋体"/>
          <w:b/>
          <w:color w:val="auto"/>
          <w:sz w:val="24"/>
          <w:highlight w:val="none"/>
        </w:rPr>
        <w:t>提供相同品牌产品且通过资格性审查</w:t>
      </w:r>
      <w:r>
        <w:rPr>
          <w:rFonts w:hint="eastAsia" w:ascii="宋体" w:hAnsi="宋体"/>
          <w:b/>
          <w:color w:val="auto"/>
          <w:sz w:val="24"/>
          <w:highlight w:val="none"/>
        </w:rPr>
        <w:t>、</w:t>
      </w:r>
      <w:r>
        <w:rPr>
          <w:rFonts w:ascii="宋体" w:hAnsi="宋体"/>
          <w:b/>
          <w:color w:val="auto"/>
          <w:sz w:val="24"/>
          <w:highlight w:val="none"/>
        </w:rPr>
        <w:t>符合性审查的不同投标供应商参加同一合同项下投标的</w:t>
      </w:r>
      <w:r>
        <w:rPr>
          <w:rFonts w:hint="eastAsia" w:ascii="宋体" w:hAnsi="宋体"/>
          <w:b/>
          <w:color w:val="auto"/>
          <w:sz w:val="24"/>
          <w:highlight w:val="none"/>
        </w:rPr>
        <w:t>，</w:t>
      </w:r>
      <w:r>
        <w:rPr>
          <w:rFonts w:ascii="宋体" w:hAnsi="宋体"/>
          <w:b/>
          <w:color w:val="auto"/>
          <w:sz w:val="24"/>
          <w:highlight w:val="none"/>
        </w:rPr>
        <w:t>按一家投标供应商计算</w:t>
      </w:r>
      <w:r>
        <w:rPr>
          <w:rFonts w:hint="eastAsia" w:ascii="宋体" w:hAnsi="宋体"/>
          <w:b/>
          <w:color w:val="auto"/>
          <w:sz w:val="24"/>
          <w:highlight w:val="none"/>
        </w:rPr>
        <w:t>，</w:t>
      </w:r>
      <w:r>
        <w:rPr>
          <w:rFonts w:ascii="宋体" w:hAnsi="宋体"/>
          <w:b/>
          <w:color w:val="auto"/>
          <w:sz w:val="24"/>
          <w:highlight w:val="none"/>
        </w:rPr>
        <w:t>评审后得分最高的同品牌投标供应商获得中标供应商推荐资格</w:t>
      </w:r>
      <w:r>
        <w:rPr>
          <w:rFonts w:hint="eastAsia" w:ascii="宋体" w:hAnsi="宋体"/>
          <w:b/>
          <w:color w:val="auto"/>
          <w:sz w:val="24"/>
          <w:highlight w:val="none"/>
        </w:rPr>
        <w:t>，评审得分相同的，由采购人或者采购人委托评标委员会按照随机抽取的方式确定一个投标供应商获得中标供应商推荐资格，其他同品牌投标供应商不作为中标候选人。未列入本评分标准的其他条件不作为评分内容。</w:t>
      </w:r>
    </w:p>
    <w:p>
      <w:pPr>
        <w:tabs>
          <w:tab w:val="left" w:pos="1365"/>
        </w:tabs>
        <w:spacing w:line="360" w:lineRule="auto"/>
        <w:ind w:firstLine="480" w:firstLineChars="200"/>
        <w:outlineLvl w:val="3"/>
        <w:rPr>
          <w:rFonts w:ascii="宋体" w:hAnsi="宋体"/>
          <w:bCs/>
          <w:color w:val="auto"/>
          <w:sz w:val="24"/>
          <w:szCs w:val="20"/>
          <w:highlight w:val="none"/>
        </w:rPr>
      </w:pPr>
      <w:r>
        <w:rPr>
          <w:rFonts w:hint="eastAsia" w:ascii="宋体" w:hAnsi="宋体"/>
          <w:bCs/>
          <w:color w:val="auto"/>
          <w:sz w:val="24"/>
          <w:highlight w:val="none"/>
        </w:rPr>
        <w:t>具体评分标准如下：</w:t>
      </w:r>
    </w:p>
    <w:p>
      <w:pPr>
        <w:spacing w:line="360" w:lineRule="auto"/>
        <w:rPr>
          <w:rFonts w:ascii="宋体" w:hAnsi="宋体"/>
          <w:color w:val="auto"/>
          <w:sz w:val="24"/>
          <w:highlight w:val="none"/>
        </w:rPr>
      </w:pPr>
      <w:r>
        <w:rPr>
          <w:rFonts w:hint="eastAsia" w:ascii="宋体" w:hAnsi="宋体"/>
          <w:color w:val="auto"/>
          <w:sz w:val="24"/>
          <w:highlight w:val="none"/>
        </w:rPr>
        <w:t>（一)评分项目及分值（总分100分）</w:t>
      </w:r>
    </w:p>
    <w:p>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明标部分：</w:t>
      </w:r>
    </w:p>
    <w:p>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（1）报价                                10分</w:t>
      </w:r>
    </w:p>
    <w:p>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（2）人员配置                            3</w:t>
      </w:r>
      <w:r>
        <w:rPr>
          <w:rFonts w:hint="eastAsia" w:ascii="宋体" w:hAnsi="宋体"/>
          <w:b/>
          <w:color w:val="auto"/>
          <w:sz w:val="24"/>
          <w:highlight w:val="none"/>
          <w:lang w:val="en-US" w:eastAsia="zh-CN"/>
        </w:rPr>
        <w:t>4</w:t>
      </w:r>
      <w:r>
        <w:rPr>
          <w:rFonts w:hint="eastAsia" w:ascii="宋体" w:hAnsi="宋体"/>
          <w:b/>
          <w:color w:val="auto"/>
          <w:sz w:val="24"/>
          <w:highlight w:val="none"/>
        </w:rPr>
        <w:t>分</w:t>
      </w:r>
    </w:p>
    <w:p>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 xml:space="preserve">（3）综合实力 </w:t>
      </w:r>
      <w:r>
        <w:rPr>
          <w:rFonts w:ascii="宋体" w:hAnsi="宋体"/>
          <w:b/>
          <w:color w:val="auto"/>
          <w:sz w:val="24"/>
          <w:highlight w:val="none"/>
        </w:rPr>
        <w:t xml:space="preserve">                           </w:t>
      </w:r>
      <w:r>
        <w:rPr>
          <w:rFonts w:hint="eastAsia" w:ascii="宋体" w:hAnsi="宋体"/>
          <w:b/>
          <w:color w:val="auto"/>
          <w:sz w:val="24"/>
          <w:highlight w:val="none"/>
          <w:lang w:val="en-US" w:eastAsia="zh-CN"/>
        </w:rPr>
        <w:t xml:space="preserve"> 6</w:t>
      </w:r>
      <w:r>
        <w:rPr>
          <w:rFonts w:ascii="宋体" w:hAnsi="宋体"/>
          <w:b/>
          <w:color w:val="auto"/>
          <w:sz w:val="24"/>
          <w:highlight w:val="none"/>
        </w:rPr>
        <w:t>分</w:t>
      </w:r>
    </w:p>
    <w:p>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暗标部分：</w:t>
      </w:r>
    </w:p>
    <w:p>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 xml:space="preserve">（4）技术文件 </w:t>
      </w:r>
      <w:r>
        <w:rPr>
          <w:rFonts w:ascii="宋体" w:hAnsi="宋体"/>
          <w:b/>
          <w:color w:val="auto"/>
          <w:sz w:val="24"/>
          <w:highlight w:val="none"/>
        </w:rPr>
        <w:t xml:space="preserve">                          </w:t>
      </w:r>
      <w:r>
        <w:rPr>
          <w:rFonts w:hint="eastAsia" w:ascii="宋体" w:hAnsi="宋体"/>
          <w:b/>
          <w:color w:val="auto"/>
          <w:sz w:val="24"/>
          <w:highlight w:val="none"/>
        </w:rPr>
        <w:t xml:space="preserve"> 50</w:t>
      </w:r>
      <w:r>
        <w:rPr>
          <w:rFonts w:ascii="宋体" w:hAnsi="宋体"/>
          <w:b/>
          <w:color w:val="auto"/>
          <w:sz w:val="24"/>
          <w:highlight w:val="none"/>
        </w:rPr>
        <w:t>分</w:t>
      </w:r>
    </w:p>
    <w:p>
      <w:pPr>
        <w:snapToGrid w:val="0"/>
        <w:spacing w:line="360" w:lineRule="auto"/>
        <w:rPr>
          <w:rFonts w:ascii="宋体" w:hAnsi="宋体"/>
          <w:color w:val="auto"/>
          <w:sz w:val="24"/>
          <w:highlight w:val="none"/>
        </w:rPr>
      </w:pPr>
      <w:r>
        <w:rPr>
          <w:rFonts w:hint="eastAsia" w:ascii="宋体" w:hAnsi="宋体"/>
          <w:color w:val="auto"/>
          <w:sz w:val="24"/>
          <w:highlight w:val="none"/>
        </w:rPr>
        <w:t>（二)各项目评分标准</w:t>
      </w:r>
    </w:p>
    <w:p>
      <w:pPr>
        <w:snapToGrid w:val="0"/>
        <w:spacing w:line="360" w:lineRule="auto"/>
        <w:ind w:firstLine="482" w:firstLineChars="200"/>
        <w:rPr>
          <w:rFonts w:hint="eastAsia" w:ascii="宋体" w:hAnsi="宋体" w:eastAsia="宋体" w:cs="宋体"/>
          <w:b/>
          <w:color w:val="auto"/>
          <w:sz w:val="24"/>
          <w:highlight w:val="none"/>
        </w:rPr>
      </w:pPr>
      <w:bookmarkStart w:id="8" w:name="_Hlk7428049"/>
      <w:r>
        <w:rPr>
          <w:rFonts w:hint="eastAsia" w:ascii="宋体" w:hAnsi="宋体" w:eastAsia="宋体" w:cs="宋体"/>
          <w:b/>
          <w:color w:val="auto"/>
          <w:sz w:val="24"/>
          <w:highlight w:val="none"/>
        </w:rPr>
        <w:t>（1）报价：（</w:t>
      </w:r>
      <w:r>
        <w:rPr>
          <w:rFonts w:hint="eastAsia" w:ascii="宋体" w:hAnsi="宋体" w:eastAsia="宋体" w:cs="宋体"/>
          <w:b/>
          <w:bCs/>
          <w:color w:val="auto"/>
          <w:sz w:val="24"/>
          <w:highlight w:val="none"/>
        </w:rPr>
        <w:t>10分</w:t>
      </w:r>
      <w:r>
        <w:rPr>
          <w:rFonts w:hint="eastAsia" w:ascii="宋体" w:hAnsi="宋体" w:eastAsia="宋体" w:cs="宋体"/>
          <w:b/>
          <w:color w:val="auto"/>
          <w:sz w:val="24"/>
          <w:highlight w:val="none"/>
        </w:rPr>
        <w:t>)；</w:t>
      </w:r>
    </w:p>
    <w:p>
      <w:pPr>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采用低价优先法计算，即满足采购文件要求且投标价格最低的投标报价为评标基准价，其价格分为满分。其他投标供应商的价格分统一按照下列公式计算：</w:t>
      </w:r>
    </w:p>
    <w:p>
      <w:pPr>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投标报价得分=(评标基准价／投标报价)×10</w:t>
      </w:r>
    </w:p>
    <w:p>
      <w:pPr>
        <w:spacing w:line="360" w:lineRule="auto"/>
        <w:ind w:firstLine="460" w:firstLineChars="218"/>
        <w:rPr>
          <w:rFonts w:hint="eastAsia" w:ascii="宋体" w:hAnsi="宋体" w:eastAsia="宋体" w:cs="宋体"/>
          <w:b/>
          <w:bCs/>
          <w:kern w:val="2"/>
          <w:sz w:val="21"/>
          <w:szCs w:val="21"/>
        </w:rPr>
      </w:pPr>
      <w:r>
        <w:rPr>
          <w:rFonts w:hint="eastAsia" w:ascii="宋体" w:hAnsi="宋体" w:eastAsia="宋体" w:cs="宋体"/>
          <w:b/>
          <w:bCs/>
          <w:kern w:val="2"/>
          <w:sz w:val="21"/>
          <w:szCs w:val="21"/>
        </w:rPr>
        <w:t>价格扣除：</w:t>
      </w:r>
    </w:p>
    <w:p>
      <w:pPr>
        <w:spacing w:line="360" w:lineRule="auto"/>
        <w:ind w:firstLine="457" w:firstLineChars="218"/>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A、对小型和微型企业产品的价格给予10%的扣除，用扣除后的价格进行评审。参加投标（报价）的中小企业，应当按照《政府采购促进中小企业发展管理办法》（财库﹝2020﹞46号）的规定提供《中小企业声明函》（中小企业划型标准详见《关于印发中小企业划型标准规定的通知》工信部联企业〔2011〕300号）。</w:t>
      </w:r>
    </w:p>
    <w:p>
      <w:pPr>
        <w:spacing w:line="360" w:lineRule="auto"/>
        <w:ind w:firstLine="457" w:firstLineChars="218"/>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B、按照《财政部司法部关于政府采购支持监狱企业发展有关问题的通知》（财库[2014]68号）文件规定，在政府采购活动中，监狱企业视同小型、微型企业，享受评审中价格扣除的政府采购政策。</w:t>
      </w:r>
    </w:p>
    <w:p>
      <w:pPr>
        <w:spacing w:line="360" w:lineRule="auto"/>
        <w:ind w:firstLine="457" w:firstLineChars="218"/>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C、按照《财政部民政部中国残疾人联合会关于促进残疾人就业政府采购政策的通知》，残疾人福利性单位视同小型、微型企业，享受评审中价格扣除的政府采购政策，残疾人福利性单位属于小型、微型企业的。</w:t>
      </w:r>
    </w:p>
    <w:p>
      <w:pPr>
        <w:spacing w:line="360" w:lineRule="auto"/>
        <w:ind w:firstLine="457" w:firstLineChars="218"/>
        <w:rPr>
          <w:rFonts w:hint="eastAsia" w:ascii="宋体" w:hAnsi="宋体" w:eastAsia="宋体" w:cs="宋体"/>
          <w:b w:val="0"/>
          <w:bCs w:val="0"/>
          <w:kern w:val="2"/>
          <w:sz w:val="24"/>
          <w:szCs w:val="24"/>
        </w:rPr>
      </w:pPr>
      <w:r>
        <w:rPr>
          <w:rFonts w:hint="eastAsia" w:ascii="宋体" w:hAnsi="宋体" w:eastAsia="宋体" w:cs="宋体"/>
          <w:b w:val="0"/>
          <w:bCs w:val="0"/>
          <w:kern w:val="2"/>
          <w:sz w:val="21"/>
          <w:szCs w:val="21"/>
        </w:rPr>
        <w:t>供应商企业性质如按上述文件规定，同时属于可享受价格扣除的两类或两类以上企业，不享受重复价格扣除。</w:t>
      </w:r>
    </w:p>
    <w:p>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人员配置（3</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分）：</w:t>
      </w:r>
      <w:r>
        <w:rPr>
          <w:rFonts w:hint="eastAsia" w:ascii="宋体" w:hAnsi="宋体" w:eastAsia="宋体" w:cs="宋体"/>
          <w:bCs/>
          <w:color w:val="auto"/>
          <w:sz w:val="24"/>
          <w:highlight w:val="none"/>
        </w:rPr>
        <w:t>投标供应商为本项目配置的监理人员以填列的《项目人员配置清单》为准（格式见附件），并按要求提供人员证书及社保证明。</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1）总监理工程师（</w:t>
      </w:r>
      <w:r>
        <w:rPr>
          <w:rFonts w:hint="eastAsia" w:ascii="宋体" w:hAnsi="宋体" w:eastAsia="宋体" w:cs="宋体"/>
          <w:bCs/>
          <w:color w:val="auto"/>
          <w:sz w:val="24"/>
          <w:szCs w:val="22"/>
          <w:highlight w:val="none"/>
          <w:lang w:val="en-US" w:eastAsia="zh-CN"/>
        </w:rPr>
        <w:t>9</w:t>
      </w:r>
      <w:r>
        <w:rPr>
          <w:rFonts w:hint="eastAsia" w:ascii="宋体" w:hAnsi="宋体" w:eastAsia="宋体" w:cs="宋体"/>
          <w:bCs/>
          <w:color w:val="auto"/>
          <w:sz w:val="24"/>
          <w:szCs w:val="22"/>
          <w:highlight w:val="none"/>
        </w:rPr>
        <w:t>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①具有信息系统咨询和监理类的职称证书，高级职称得 2分，中级职称得1分；具有计算机技术专业职称证书，高级职称得2分，中级职称得1分；本项最高得4分；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②具备 CISP 证书的得1分，最高得 1.5分；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③具备</w:t>
      </w:r>
      <w:r>
        <w:rPr>
          <w:rFonts w:hint="eastAsia" w:ascii="宋体" w:hAnsi="宋体" w:eastAsia="宋体" w:cs="宋体"/>
          <w:bCs/>
          <w:color w:val="auto"/>
          <w:sz w:val="24"/>
          <w:highlight w:val="none"/>
        </w:rPr>
        <w:t>咨询工程师（投资）证书</w:t>
      </w:r>
      <w:r>
        <w:rPr>
          <w:rFonts w:hint="eastAsia" w:ascii="宋体" w:hAnsi="宋体" w:eastAsia="宋体" w:cs="宋体"/>
          <w:bCs/>
          <w:color w:val="auto"/>
          <w:sz w:val="24"/>
          <w:szCs w:val="22"/>
          <w:highlight w:val="none"/>
        </w:rPr>
        <w:t>得1.5分，最高得 1.5分；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④具备信息系统项目管理师</w:t>
      </w:r>
      <w:r>
        <w:rPr>
          <w:rFonts w:hint="eastAsia" w:ascii="宋体" w:hAnsi="宋体" w:eastAsia="宋体" w:cs="宋体"/>
          <w:bCs/>
          <w:color w:val="auto"/>
          <w:sz w:val="24"/>
          <w:szCs w:val="22"/>
          <w:highlight w:val="none"/>
          <w:lang w:val="en-US" w:eastAsia="zh-CN"/>
        </w:rPr>
        <w:t>得1分</w:t>
      </w:r>
      <w:r>
        <w:rPr>
          <w:rFonts w:hint="eastAsia" w:ascii="宋体" w:hAnsi="宋体" w:eastAsia="宋体" w:cs="宋体"/>
          <w:bCs/>
          <w:color w:val="auto"/>
          <w:sz w:val="24"/>
          <w:szCs w:val="22"/>
          <w:highlight w:val="none"/>
        </w:rPr>
        <w:t>，</w:t>
      </w:r>
      <w:r>
        <w:rPr>
          <w:rFonts w:hint="eastAsia" w:ascii="宋体" w:hAnsi="宋体" w:eastAsia="宋体" w:cs="宋体"/>
          <w:bCs/>
          <w:color w:val="auto"/>
          <w:sz w:val="24"/>
          <w:szCs w:val="22"/>
          <w:highlight w:val="none"/>
          <w:lang w:val="en-US" w:eastAsia="zh-CN"/>
        </w:rPr>
        <w:t>同时</w:t>
      </w:r>
      <w:r>
        <w:rPr>
          <w:rFonts w:hint="eastAsia" w:ascii="宋体" w:hAnsi="宋体" w:eastAsia="宋体" w:cs="宋体"/>
          <w:bCs/>
          <w:color w:val="auto"/>
          <w:sz w:val="24"/>
          <w:szCs w:val="22"/>
          <w:highlight w:val="none"/>
        </w:rPr>
        <w:t>持证时间 10 年以上(截止至开标当天)得1分，最高</w:t>
      </w:r>
      <w:r>
        <w:rPr>
          <w:rFonts w:hint="eastAsia" w:ascii="宋体" w:hAnsi="宋体" w:eastAsia="宋体" w:cs="宋体"/>
          <w:bCs/>
          <w:color w:val="auto"/>
          <w:sz w:val="24"/>
          <w:szCs w:val="22"/>
          <w:highlight w:val="none"/>
          <w:lang w:val="en-US" w:eastAsia="zh-CN"/>
        </w:rPr>
        <w:t>2</w:t>
      </w:r>
      <w:r>
        <w:rPr>
          <w:rFonts w:hint="eastAsia" w:ascii="宋体" w:hAnsi="宋体" w:eastAsia="宋体" w:cs="宋体"/>
          <w:bCs/>
          <w:color w:val="auto"/>
          <w:sz w:val="24"/>
          <w:szCs w:val="22"/>
          <w:highlight w:val="none"/>
        </w:rPr>
        <w:t>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2）总监理工程师代表（8分）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 xml:space="preserve">①具有信息系统咨询和监理类或电子信息工程的职称证书，高级职称得 2分，中级职称得1分；本项最高得2分； </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②具备 CISP 证书的得1.5分，最高得1.5分；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 xml:space="preserve">③具有系统集成项目管理工程师证书，得1.5分，最高得1.5分； </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④具备一级建造师（通信与广电工程）证书，得1.5分，最高得1.5分</w:t>
      </w:r>
    </w:p>
    <w:p>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bCs/>
          <w:color w:val="auto"/>
          <w:sz w:val="24"/>
          <w:szCs w:val="22"/>
          <w:highlight w:val="none"/>
        </w:rPr>
        <w:t>⑤具备信息系统项目管理师得1分，</w:t>
      </w:r>
      <w:r>
        <w:rPr>
          <w:rFonts w:hint="eastAsia" w:ascii="宋体" w:hAnsi="宋体" w:eastAsia="宋体" w:cs="宋体"/>
          <w:bCs/>
          <w:color w:val="auto"/>
          <w:sz w:val="24"/>
          <w:szCs w:val="22"/>
          <w:highlight w:val="none"/>
          <w:lang w:val="en-US" w:eastAsia="zh-CN"/>
        </w:rPr>
        <w:t>同时</w:t>
      </w:r>
      <w:r>
        <w:rPr>
          <w:rFonts w:hint="eastAsia" w:ascii="宋体" w:hAnsi="宋体" w:eastAsia="宋体" w:cs="宋体"/>
          <w:bCs/>
          <w:color w:val="auto"/>
          <w:sz w:val="24"/>
          <w:szCs w:val="22"/>
          <w:highlight w:val="none"/>
        </w:rPr>
        <w:t>持证时间10年以上（截止至开标当天）得</w:t>
      </w:r>
      <w:r>
        <w:rPr>
          <w:rFonts w:hint="eastAsia" w:ascii="宋体" w:hAnsi="宋体" w:eastAsia="宋体" w:cs="宋体"/>
          <w:bCs/>
          <w:color w:val="auto"/>
          <w:sz w:val="24"/>
          <w:szCs w:val="22"/>
          <w:highlight w:val="none"/>
          <w:lang w:val="en-US" w:eastAsia="zh-CN"/>
        </w:rPr>
        <w:t>0</w:t>
      </w:r>
      <w:r>
        <w:rPr>
          <w:rFonts w:hint="eastAsia" w:ascii="宋体" w:hAnsi="宋体" w:eastAsia="宋体" w:cs="宋体"/>
          <w:bCs/>
          <w:color w:val="auto"/>
          <w:sz w:val="24"/>
          <w:szCs w:val="22"/>
          <w:highlight w:val="none"/>
        </w:rPr>
        <w:t>.5分，最高1.5分。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3）技术负责人（5分）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①具备系统分析师证书的得2分，最高得2分；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②具备软件评测师证书的得1.5分，最高得1.5分；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③具备信息系统项目管理师得1分，</w:t>
      </w:r>
      <w:r>
        <w:rPr>
          <w:rFonts w:hint="eastAsia" w:ascii="宋体" w:hAnsi="宋体" w:eastAsia="宋体" w:cs="宋体"/>
          <w:bCs/>
          <w:color w:val="auto"/>
          <w:sz w:val="24"/>
          <w:szCs w:val="22"/>
          <w:highlight w:val="none"/>
          <w:lang w:val="en-US" w:eastAsia="zh-CN"/>
        </w:rPr>
        <w:t>同时</w:t>
      </w:r>
      <w:r>
        <w:rPr>
          <w:rFonts w:hint="eastAsia" w:ascii="宋体" w:hAnsi="宋体" w:eastAsia="宋体" w:cs="宋体"/>
          <w:bCs/>
          <w:color w:val="auto"/>
          <w:sz w:val="24"/>
          <w:szCs w:val="22"/>
          <w:highlight w:val="none"/>
        </w:rPr>
        <w:t>持证时间5年以上（截止至开标当天）得</w:t>
      </w:r>
      <w:r>
        <w:rPr>
          <w:rFonts w:hint="eastAsia" w:ascii="宋体" w:hAnsi="宋体" w:eastAsia="宋体" w:cs="宋体"/>
          <w:bCs/>
          <w:color w:val="auto"/>
          <w:sz w:val="24"/>
          <w:szCs w:val="22"/>
          <w:highlight w:val="none"/>
          <w:lang w:val="en-US" w:eastAsia="zh-CN"/>
        </w:rPr>
        <w:t>0</w:t>
      </w:r>
      <w:r>
        <w:rPr>
          <w:rFonts w:hint="eastAsia" w:ascii="宋体" w:hAnsi="宋体" w:eastAsia="宋体" w:cs="宋体"/>
          <w:bCs/>
          <w:color w:val="auto"/>
          <w:sz w:val="24"/>
          <w:szCs w:val="22"/>
          <w:highlight w:val="none"/>
        </w:rPr>
        <w:t>.5分，最高1.5分；</w:t>
      </w:r>
    </w:p>
    <w:p>
      <w:pPr>
        <w:spacing w:line="360" w:lineRule="auto"/>
        <w:ind w:firstLine="480" w:firstLineChars="20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4）专业监理工程师（12分）</w:t>
      </w:r>
    </w:p>
    <w:p>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监理团队其他成员（不包含总监理工程师、总监理工程师代表、技术负责人）均为本科及以上学历，均需具备信息系统监理师资格证书，投标时须提供上述人员的学历证明和相应资格证书，否则不得分；</w:t>
      </w:r>
    </w:p>
    <w:p>
      <w:pPr>
        <w:spacing w:line="348" w:lineRule="auto"/>
        <w:ind w:firstLine="480" w:firstLineChars="200"/>
        <w:outlineLvl w:val="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高级工程师、信息系统项目管理师、系统规划与管理师证、咨询工程师（投资）、系统集成项目管理工程师书、软件评测师、注册信息安全专业人员（CISP）、网络管理员，注册设备监理师证书、注册一级造价工程师、数据库系统工程师证书、软件设计师，每具备一个证书得1.5分，最高12分。同一类证书多人具有的，只计入其中一项打分，不重复计分；同一人获取多项资格证书的，只计入其中一项打分，不重复计分。</w:t>
      </w:r>
    </w:p>
    <w:p>
      <w:pPr>
        <w:tabs>
          <w:tab w:val="left" w:pos="510"/>
          <w:tab w:val="left" w:pos="945"/>
          <w:tab w:val="left" w:pos="1155"/>
          <w:tab w:val="left" w:pos="3823"/>
        </w:tabs>
        <w:spacing w:line="360" w:lineRule="auto"/>
        <w:ind w:firstLine="482" w:firstLineChars="200"/>
        <w:rPr>
          <w:rFonts w:hint="eastAsia" w:ascii="宋体" w:hAnsi="宋体" w:eastAsia="宋体" w:cs="宋体"/>
          <w:bCs/>
          <w:color w:val="auto"/>
          <w:sz w:val="24"/>
          <w:highlight w:val="none"/>
          <w:lang w:val="zh-CN"/>
        </w:rPr>
      </w:pPr>
      <w:r>
        <w:rPr>
          <w:rFonts w:hint="eastAsia" w:ascii="宋体" w:hAnsi="宋体" w:eastAsia="宋体" w:cs="宋体"/>
          <w:b/>
          <w:bCs/>
          <w:color w:val="auto"/>
          <w:sz w:val="24"/>
          <w:szCs w:val="22"/>
          <w:highlight w:val="none"/>
        </w:rPr>
        <w:t>注：提供上述人员由投标供应商为其缴纳的近三个月中任意一个月份(不含投标当月)经社保部门确认的社保缴纳证明复印件（标注各人员所处位置）及相关证书复印件加盖投标供应商公章附入投标文件，否则不得分。</w:t>
      </w:r>
    </w:p>
    <w:p>
      <w:pPr>
        <w:tabs>
          <w:tab w:val="left" w:pos="510"/>
          <w:tab w:val="left" w:pos="945"/>
          <w:tab w:val="left" w:pos="1155"/>
          <w:tab w:val="left" w:pos="3823"/>
        </w:tabs>
        <w:spacing w:line="360" w:lineRule="auto"/>
        <w:ind w:firstLine="482" w:firstLineChars="200"/>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（3）综合</w:t>
      </w:r>
      <w:r>
        <w:rPr>
          <w:rFonts w:hint="eastAsia" w:ascii="宋体" w:hAnsi="宋体" w:eastAsia="宋体" w:cs="宋体"/>
          <w:b/>
          <w:bCs/>
          <w:color w:val="auto"/>
          <w:sz w:val="24"/>
          <w:highlight w:val="none"/>
        </w:rPr>
        <w:t>实力</w:t>
      </w: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lang w:val="zh-CN"/>
        </w:rPr>
        <w:t>分）：</w:t>
      </w:r>
    </w:p>
    <w:p>
      <w:pPr>
        <w:tabs>
          <w:tab w:val="left" w:pos="510"/>
          <w:tab w:val="left" w:pos="945"/>
          <w:tab w:val="left" w:pos="1155"/>
          <w:tab w:val="left" w:pos="3823"/>
        </w:tabs>
        <w:spacing w:line="360" w:lineRule="auto"/>
        <w:ind w:firstLine="480" w:firstLineChars="200"/>
        <w:rPr>
          <w:rFonts w:hint="eastAsia" w:ascii="宋体" w:hAnsi="宋体" w:eastAsia="宋体" w:cs="宋体"/>
          <w:b w:val="0"/>
          <w:bCs w:val="0"/>
          <w:color w:val="auto"/>
          <w:sz w:val="24"/>
          <w:highlight w:val="none"/>
          <w:lang w:val="zh-CN"/>
        </w:rPr>
      </w:pPr>
      <w:r>
        <w:rPr>
          <w:rFonts w:hint="eastAsia" w:ascii="宋体" w:hAnsi="宋体" w:eastAsia="宋体" w:cs="宋体"/>
          <w:b w:val="0"/>
          <w:bCs w:val="0"/>
          <w:color w:val="auto"/>
          <w:sz w:val="24"/>
          <w:highlight w:val="none"/>
          <w:lang w:val="zh-CN"/>
        </w:rPr>
        <w:t>1）投标供应商具有有效期内的质量管理体系认证、IT服务管理体系认证、信息安全管理体系认证，单个证书完全满足要求的每提供1个得1分，最高得3分。（提供相关证书复印件加盖公章附入投标文件，否则不得分）</w:t>
      </w:r>
    </w:p>
    <w:p>
      <w:pPr>
        <w:tabs>
          <w:tab w:val="left" w:pos="510"/>
          <w:tab w:val="left" w:pos="945"/>
          <w:tab w:val="left" w:pos="1155"/>
          <w:tab w:val="left" w:pos="3823"/>
        </w:tabs>
        <w:spacing w:line="360" w:lineRule="auto"/>
        <w:ind w:firstLine="480" w:firstLineChars="200"/>
        <w:rPr>
          <w:rFonts w:hint="eastAsia" w:ascii="宋体" w:hAnsi="宋体" w:eastAsia="宋体" w:cs="宋体"/>
          <w:b w:val="0"/>
          <w:bCs w:val="0"/>
          <w:color w:val="auto"/>
          <w:sz w:val="24"/>
          <w:highlight w:val="none"/>
          <w:lang w:val="zh-CN"/>
        </w:rPr>
      </w:pPr>
      <w:r>
        <w:rPr>
          <w:rFonts w:hint="eastAsia" w:ascii="宋体" w:hAnsi="宋体" w:eastAsia="宋体" w:cs="宋体"/>
          <w:b w:val="0"/>
          <w:bCs w:val="0"/>
          <w:color w:val="auto"/>
          <w:sz w:val="24"/>
          <w:highlight w:val="none"/>
          <w:lang w:val="zh-CN"/>
        </w:rPr>
        <w:t>2）2021年1月1日至今投标供应商具有类似信息化项目监理业绩的，每提供1个业绩得1分，最高得</w:t>
      </w: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zh-CN"/>
        </w:rPr>
        <w:t>分。（提供合同复印件加盖公章附入投标文件，否则不得分）。</w:t>
      </w:r>
    </w:p>
    <w:p>
      <w:pPr>
        <w:tabs>
          <w:tab w:val="left" w:pos="525"/>
        </w:tabs>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（4）技术文件（50分）（暗标）：</w:t>
      </w:r>
    </w:p>
    <w:p>
      <w:pPr>
        <w:tabs>
          <w:tab w:val="left" w:pos="510"/>
          <w:tab w:val="left" w:pos="945"/>
          <w:tab w:val="left" w:pos="1155"/>
          <w:tab w:val="left" w:pos="3823"/>
        </w:tabs>
        <w:spacing w:line="360" w:lineRule="auto"/>
        <w:ind w:firstLine="480" w:firstLineChars="200"/>
        <w:rPr>
          <w:rFonts w:hint="eastAsia" w:ascii="宋体" w:hAnsi="宋体" w:eastAsia="宋体" w:cs="宋体"/>
          <w:bCs/>
          <w:color w:val="auto"/>
          <w:sz w:val="24"/>
          <w:highlight w:val="none"/>
        </w:rPr>
      </w:pPr>
      <w:bookmarkStart w:id="9" w:name="_Hlk44852667"/>
      <w:r>
        <w:rPr>
          <w:rFonts w:hint="eastAsia" w:ascii="宋体" w:hAnsi="宋体" w:eastAsia="宋体" w:cs="宋体"/>
          <w:bCs/>
          <w:color w:val="auto"/>
          <w:sz w:val="24"/>
          <w:highlight w:val="none"/>
        </w:rPr>
        <w:t>1）项目需求理解（6分）：根据项目背景及监理目标，对项目管理和监理方案的总体思路和方法体系进行的详细阐述。</w:t>
      </w:r>
    </w:p>
    <w:p>
      <w:pPr>
        <w:tabs>
          <w:tab w:val="left" w:pos="510"/>
          <w:tab w:val="left" w:pos="945"/>
          <w:tab w:val="left" w:pos="1155"/>
          <w:tab w:val="left" w:pos="3823"/>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总体思路清晰，方法体系阐述透彻，完全满足并优于采购需求得6分；总体思路较明确，方法体系阐述完整，能够满足采购需求的4分；总体思路笼统，方法体系阐述粗略的，能够基本满足采购需求的得 2分。不提供不得分。 </w:t>
      </w:r>
    </w:p>
    <w:p>
      <w:pPr>
        <w:tabs>
          <w:tab w:val="left" w:pos="510"/>
          <w:tab w:val="left" w:pos="945"/>
          <w:tab w:val="left" w:pos="1155"/>
          <w:tab w:val="left" w:pos="3823"/>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2）针对项目实施的重点难点分析和解决方案（7分）：根据项目背景及监理目标，针对项目实施的重点难点分析和解决方案进行的详细阐述。</w:t>
      </w:r>
    </w:p>
    <w:p>
      <w:pPr>
        <w:tabs>
          <w:tab w:val="left" w:pos="510"/>
          <w:tab w:val="left" w:pos="945"/>
          <w:tab w:val="left" w:pos="1155"/>
          <w:tab w:val="left" w:pos="3823"/>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方案内容详实、可行性强、针对性强、需求贴合度高且条理清晰的得7分；方案内容基本详实、有可行性、针对性、需求贴合度普通得5分；方案内容粗略、无可行性、针对性、需求贴合度较低得3分；不提供不得分。 </w:t>
      </w:r>
    </w:p>
    <w:p>
      <w:pPr>
        <w:tabs>
          <w:tab w:val="left" w:pos="510"/>
          <w:tab w:val="left" w:pos="945"/>
          <w:tab w:val="left" w:pos="1155"/>
          <w:tab w:val="left" w:pos="3823"/>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3）监理组织机构设置（4分）：组织机构设置方案至少包括职能责任分工、专业配置以及规范的内部管理制度。</w:t>
      </w:r>
    </w:p>
    <w:p>
      <w:pPr>
        <w:tabs>
          <w:tab w:val="left" w:pos="510"/>
          <w:tab w:val="left" w:pos="945"/>
          <w:tab w:val="left" w:pos="1155"/>
          <w:tab w:val="left" w:pos="3823"/>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职能责任分工明确、专业配置完整且有规范的内部管理制度得4分；职能责任分工较明确、专业配置较完整且有较规范的内部管理制度得3分；职能责任分工不明确、专业配置不完整且没</w:t>
      </w:r>
      <w:r>
        <w:rPr>
          <w:rFonts w:hint="eastAsia" w:ascii="宋体" w:hAnsi="宋体" w:eastAsia="宋体" w:cs="宋体"/>
          <w:bCs/>
          <w:color w:val="auto"/>
          <w:sz w:val="24"/>
          <w:highlight w:val="none"/>
          <w:lang w:eastAsia="zh-CN"/>
        </w:rPr>
        <w:t>有</w:t>
      </w:r>
      <w:r>
        <w:rPr>
          <w:rFonts w:hint="eastAsia" w:ascii="宋体" w:hAnsi="宋体" w:eastAsia="宋体" w:cs="宋体"/>
          <w:bCs/>
          <w:color w:val="auto"/>
          <w:sz w:val="24"/>
          <w:highlight w:val="none"/>
        </w:rPr>
        <w:t xml:space="preserve">规范的内部管理制度得2分。不提供不得分。 </w:t>
      </w:r>
    </w:p>
    <w:p>
      <w:pPr>
        <w:tabs>
          <w:tab w:val="left" w:pos="510"/>
          <w:tab w:val="left" w:pos="945"/>
          <w:tab w:val="left" w:pos="1155"/>
          <w:tab w:val="left" w:pos="3823"/>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4）监理大纲（25分）</w:t>
      </w:r>
    </w:p>
    <w:p>
      <w:pPr>
        <w:tabs>
          <w:tab w:val="left" w:pos="510"/>
          <w:tab w:val="left" w:pos="945"/>
          <w:tab w:val="left" w:pos="1155"/>
          <w:tab w:val="left" w:pos="3823"/>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①质量控制（5分）：根据本项目的特点和要求，制定质量控制方案，至少包括不同环节的质量控制目标及采购的质量控制、应用系统建设的质量控制、保修期与培训的质量控制、移交的质量控制等方案。</w:t>
      </w:r>
    </w:p>
    <w:p>
      <w:pPr>
        <w:tabs>
          <w:tab w:val="left" w:pos="510"/>
          <w:tab w:val="left" w:pos="945"/>
          <w:tab w:val="left" w:pos="1155"/>
          <w:tab w:val="left" w:pos="3823"/>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方案内容完整详细、严谨、目标清晰明确、措施切实可行得5分；方案内容较完整详细、严谨、目标较清晰明确、措施可行得3分；方案内容粗略模糊、不易实施得1分。</w:t>
      </w:r>
    </w:p>
    <w:p>
      <w:pPr>
        <w:tabs>
          <w:tab w:val="left" w:pos="510"/>
          <w:tab w:val="left" w:pos="945"/>
          <w:tab w:val="left" w:pos="1155"/>
          <w:tab w:val="left" w:pos="3823"/>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②过程（进度）控制方案（5分）：进度控制方案，至少包括进度控制目标、进度控制流程、进度控制方法、进度变更控制等方案。</w:t>
      </w:r>
    </w:p>
    <w:p>
      <w:pPr>
        <w:tabs>
          <w:tab w:val="left" w:pos="510"/>
          <w:tab w:val="left" w:pos="945"/>
          <w:tab w:val="left" w:pos="1155"/>
          <w:tab w:val="left" w:pos="3823"/>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方案内容完整详细、目标明确、合理可行得5分；方案内容基本完整详细、目标基本明确、基本可行得3分；方案内容粗略模糊、不易实施得1分。</w:t>
      </w:r>
    </w:p>
    <w:p>
      <w:pPr>
        <w:tabs>
          <w:tab w:val="left" w:pos="510"/>
          <w:tab w:val="left" w:pos="945"/>
          <w:tab w:val="left" w:pos="1155"/>
          <w:tab w:val="left" w:pos="3823"/>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③投资成本控制（5分）：根据本项目的特点和要求，制定投资成本控制方案，至少包括投资控制目标、投资风险控制、进度款支付控制、投资成本变更控制等方案。</w:t>
      </w:r>
    </w:p>
    <w:p>
      <w:pPr>
        <w:tabs>
          <w:tab w:val="left" w:pos="510"/>
          <w:tab w:val="left" w:pos="945"/>
          <w:tab w:val="left" w:pos="1155"/>
          <w:tab w:val="left" w:pos="3823"/>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方案内容完整详实、目标明确、合理可行得5分；方案内容基本完整详实、目标明确、基本可行得3分；方案内容粗略模糊、不易实施得1分。</w:t>
      </w:r>
    </w:p>
    <w:p>
      <w:pPr>
        <w:tabs>
          <w:tab w:val="left" w:pos="510"/>
          <w:tab w:val="left" w:pos="945"/>
          <w:tab w:val="left" w:pos="1155"/>
          <w:tab w:val="left" w:pos="3823"/>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④合同管理（5分）：根据本项目的特点和要求，制定合同管理方案，至少包括合同管理目标、管理流程、管理措施、合同变更管理等方案。</w:t>
      </w:r>
    </w:p>
    <w:p>
      <w:pPr>
        <w:tabs>
          <w:tab w:val="left" w:pos="510"/>
          <w:tab w:val="left" w:pos="945"/>
          <w:tab w:val="left" w:pos="1155"/>
          <w:tab w:val="left" w:pos="3823"/>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方案内容完整严谨、管理流程规范、完全响应需求得5分；方案内容基本完整严谨、管理基本流程规范、基本响应需求的得3分；方案内容粗略、不易实施得1分。</w:t>
      </w:r>
    </w:p>
    <w:p>
      <w:pPr>
        <w:tabs>
          <w:tab w:val="left" w:pos="510"/>
          <w:tab w:val="left" w:pos="945"/>
          <w:tab w:val="left" w:pos="1155"/>
          <w:tab w:val="left" w:pos="3823"/>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⑤信息管理及沟通协调（5分）：根据本项目的特点和要求，制定信息管理方案，至少包括信息管理内容及目标、管理流程、管理措施；制定项目的组织协调方案，至少包括组织协调内容、组织协调内容、沟通协调机制、组织协调主要措施方案。</w:t>
      </w:r>
    </w:p>
    <w:p>
      <w:pPr>
        <w:tabs>
          <w:tab w:val="left" w:pos="510"/>
          <w:tab w:val="left" w:pos="945"/>
          <w:tab w:val="left" w:pos="1155"/>
          <w:tab w:val="left" w:pos="3823"/>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方案内容详尽、针对性强、措施切实可行得5分；方案内容较详尽、针对性较强、措施基本可行得3分；方案内容粗略、不易实施得1分。</w:t>
      </w:r>
    </w:p>
    <w:p>
      <w:pPr>
        <w:tabs>
          <w:tab w:val="left" w:pos="510"/>
          <w:tab w:val="left" w:pos="945"/>
          <w:tab w:val="left" w:pos="1155"/>
          <w:tab w:val="left" w:pos="3823"/>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5）服务承诺（3分）</w:t>
      </w:r>
    </w:p>
    <w:p>
      <w:pPr>
        <w:tabs>
          <w:tab w:val="left" w:pos="510"/>
          <w:tab w:val="left" w:pos="945"/>
          <w:tab w:val="left" w:pos="1155"/>
          <w:tab w:val="left" w:pos="3823"/>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投标供应商提供的服务承诺具有针对性、可行性且符合项目需求的，有1条得1分，最高得3分；如服务承诺不具有针对性、可行性，不符合项目需求的则不得分。</w:t>
      </w:r>
    </w:p>
    <w:p>
      <w:pPr>
        <w:tabs>
          <w:tab w:val="left" w:pos="510"/>
          <w:tab w:val="left" w:pos="945"/>
          <w:tab w:val="left" w:pos="1155"/>
          <w:tab w:val="left" w:pos="3823"/>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6）保密方案（5分）：针对服务过程中合同管理、投资管理、进度管理、信息管理等方面，提供切实可行的保密方案。</w:t>
      </w:r>
    </w:p>
    <w:p>
      <w:pPr>
        <w:tabs>
          <w:tab w:val="left" w:pos="510"/>
          <w:tab w:val="left" w:pos="945"/>
          <w:tab w:val="left" w:pos="1155"/>
          <w:tab w:val="left" w:pos="3823"/>
        </w:tabs>
        <w:spacing w:line="360" w:lineRule="auto"/>
        <w:ind w:firstLine="480" w:firstLineChars="200"/>
        <w:rPr>
          <w:rFonts w:eastAsiaTheme="minorEastAsia"/>
          <w:color w:val="auto"/>
          <w:highlight w:val="none"/>
          <w:lang w:val="zh-CN"/>
        </w:rPr>
      </w:pPr>
      <w:r>
        <w:rPr>
          <w:rFonts w:hint="eastAsia" w:ascii="宋体" w:hAnsi="宋体"/>
          <w:bCs/>
          <w:color w:val="auto"/>
          <w:sz w:val="24"/>
          <w:highlight w:val="none"/>
        </w:rPr>
        <w:t>保密方案内容完整、严谨、规范、针对性强得5分；保密方案内容基本完整、齐全、规范、针对性较强得3分；保密方案内容粗略、不完整、针对性不强得1分。</w:t>
      </w:r>
    </w:p>
    <w:p>
      <w:pPr>
        <w:spacing w:line="360" w:lineRule="auto"/>
        <w:ind w:left="150" w:firstLine="480" w:firstLineChars="200"/>
        <w:rPr>
          <w:rFonts w:ascii="宋体" w:hAnsi="宋体"/>
          <w:color w:val="auto"/>
          <w:sz w:val="24"/>
          <w:highlight w:val="none"/>
        </w:rPr>
      </w:pPr>
      <w:r>
        <w:rPr>
          <w:rFonts w:hint="eastAsia" w:ascii="宋体" w:hAnsi="宋体"/>
          <w:color w:val="auto"/>
          <w:sz w:val="24"/>
          <w:highlight w:val="none"/>
        </w:rPr>
        <w:t>技术标评委在5人及5人以上的，取所有成员的平均值。</w:t>
      </w:r>
      <w:r>
        <w:rPr>
          <w:rFonts w:hint="eastAsia" w:ascii="宋体" w:hAnsi="宋体"/>
          <w:b/>
          <w:bCs/>
          <w:color w:val="auto"/>
          <w:sz w:val="24"/>
          <w:highlight w:val="none"/>
        </w:rPr>
        <w:t>无相应评分内容描述的，该项为零分。</w:t>
      </w:r>
    </w:p>
    <w:bookmarkEnd w:id="8"/>
    <w:bookmarkEnd w:id="9"/>
    <w:p>
      <w:pPr>
        <w:spacing w:line="360" w:lineRule="auto"/>
        <w:ind w:firstLine="422" w:firstLineChars="175"/>
        <w:outlineLvl w:val="0"/>
        <w:rPr>
          <w:rFonts w:ascii="宋体" w:hAnsi="宋体"/>
          <w:b/>
          <w:color w:val="auto"/>
          <w:sz w:val="24"/>
          <w:highlight w:val="none"/>
        </w:rPr>
      </w:pPr>
      <w:r>
        <w:rPr>
          <w:rFonts w:hint="eastAsia" w:ascii="宋体" w:hAnsi="宋体"/>
          <w:b/>
          <w:color w:val="auto"/>
          <w:sz w:val="24"/>
          <w:highlight w:val="none"/>
        </w:rPr>
        <w:t>（十）定标：</w:t>
      </w:r>
    </w:p>
    <w:p>
      <w:pPr>
        <w:spacing w:line="360" w:lineRule="auto"/>
        <w:ind w:firstLine="480" w:firstLineChars="200"/>
        <w:rPr>
          <w:rFonts w:ascii="宋体" w:hAnsi="宋体" w:cs="宋体"/>
          <w:b/>
          <w:bCs/>
          <w:color w:val="auto"/>
          <w:kern w:val="0"/>
          <w:sz w:val="24"/>
          <w:highlight w:val="none"/>
        </w:rPr>
      </w:pPr>
      <w:r>
        <w:rPr>
          <w:rFonts w:hint="eastAsia" w:ascii="宋体" w:hAnsi="宋体"/>
          <w:bCs/>
          <w:color w:val="auto"/>
          <w:sz w:val="24"/>
          <w:highlight w:val="none"/>
        </w:rPr>
        <w:t>1</w:t>
      </w:r>
      <w:r>
        <w:rPr>
          <w:rFonts w:ascii="宋体" w:hAnsi="宋体"/>
          <w:bCs/>
          <w:color w:val="auto"/>
          <w:sz w:val="24"/>
          <w:highlight w:val="none"/>
        </w:rPr>
        <w:t>.</w:t>
      </w:r>
      <w:r>
        <w:rPr>
          <w:rFonts w:hint="eastAsia" w:ascii="宋体" w:hAnsi="宋体" w:cs="宋体"/>
          <w:color w:val="auto"/>
          <w:kern w:val="0"/>
          <w:sz w:val="24"/>
          <w:highlight w:val="none"/>
        </w:rPr>
        <w:t xml:space="preserve"> 评标委员会根据采购文件规定的评标方法和评标标准进行评审，按采购文件的要求在3家中标候选单位中，依法确定中标供应商。</w:t>
      </w:r>
      <w:r>
        <w:rPr>
          <w:rFonts w:ascii="宋体" w:hAnsi="宋体" w:cs="宋体"/>
          <w:color w:val="auto"/>
          <w:kern w:val="0"/>
          <w:sz w:val="24"/>
          <w:highlight w:val="none"/>
        </w:rPr>
        <w:t>中标候选人并列的，由采购人委托评标委员会采取随机抽取的方式确定中标供应商</w:t>
      </w:r>
      <w:r>
        <w:rPr>
          <w:rFonts w:hint="eastAsia" w:ascii="宋体" w:hAnsi="宋体" w:cs="宋体"/>
          <w:color w:val="auto"/>
          <w:kern w:val="0"/>
          <w:sz w:val="24"/>
          <w:highlight w:val="none"/>
        </w:rPr>
        <w:t>。江苏建圆建方工程管理咨询有限公司将在无锡政府采购网、江苏政府采购网上发布中标公告。</w:t>
      </w:r>
      <w:bookmarkStart w:id="10" w:name="_Hlk44852863"/>
      <w:r>
        <w:rPr>
          <w:rFonts w:hint="eastAsia" w:ascii="宋体" w:hAnsi="宋体" w:cs="宋体"/>
          <w:color w:val="auto"/>
          <w:kern w:val="0"/>
          <w:sz w:val="24"/>
          <w:highlight w:val="none"/>
        </w:rPr>
        <w:t>评标委员会对未中标原因不做解释</w:t>
      </w:r>
      <w:bookmarkEnd w:id="10"/>
      <w:r>
        <w:rPr>
          <w:rFonts w:hint="eastAsia" w:ascii="宋体" w:hAnsi="宋体" w:cs="宋体"/>
          <w:color w:val="auto"/>
          <w:kern w:val="0"/>
          <w:sz w:val="24"/>
          <w:highlight w:val="none"/>
        </w:rPr>
        <w:t>。</w:t>
      </w:r>
      <w:r>
        <w:rPr>
          <w:rFonts w:hint="eastAsia" w:ascii="宋体" w:hAnsi="宋体" w:cs="宋体"/>
          <w:b/>
          <w:bCs/>
          <w:color w:val="auto"/>
          <w:kern w:val="0"/>
          <w:sz w:val="24"/>
          <w:highlight w:val="none"/>
        </w:rPr>
        <w:t>如有质疑，按《中华人民共和国政府采购法》、《政府采购货物和服务招标投标管理办法》、《政府采购质疑和投诉办法》、《关于印发&lt;政府采购质疑处理流程&gt;的通知》(苏财购〔2018〕86号)等有关法规处理。</w:t>
      </w:r>
      <w:r>
        <w:rPr>
          <w:rFonts w:ascii="宋体" w:hAnsi="宋体" w:cs="宋体"/>
          <w:b/>
          <w:bCs/>
          <w:color w:val="auto"/>
          <w:kern w:val="0"/>
          <w:sz w:val="24"/>
          <w:highlight w:val="none"/>
        </w:rPr>
        <w:t>供应商针对同一采购程序环节的质疑应当在法定质疑期内一次性提出。</w:t>
      </w:r>
    </w:p>
    <w:p>
      <w:pPr>
        <w:tabs>
          <w:tab w:val="left" w:pos="0"/>
          <w:tab w:val="left" w:pos="1155"/>
        </w:tabs>
        <w:spacing w:line="360" w:lineRule="auto"/>
        <w:ind w:firstLine="424" w:firstLineChars="177"/>
        <w:rPr>
          <w:rFonts w:ascii="宋体" w:hAnsi="宋体"/>
          <w:bCs/>
          <w:color w:val="auto"/>
          <w:sz w:val="24"/>
          <w:highlight w:val="none"/>
        </w:rPr>
      </w:pPr>
      <w:r>
        <w:rPr>
          <w:rFonts w:hint="eastAsia" w:ascii="宋体" w:hAnsi="宋体"/>
          <w:bCs/>
          <w:color w:val="auto"/>
          <w:sz w:val="24"/>
          <w:highlight w:val="none"/>
        </w:rPr>
        <w:t>2</w:t>
      </w:r>
      <w:r>
        <w:rPr>
          <w:rFonts w:ascii="宋体" w:hAnsi="宋体"/>
          <w:bCs/>
          <w:color w:val="auto"/>
          <w:sz w:val="24"/>
          <w:highlight w:val="none"/>
        </w:rPr>
        <w:t>.</w:t>
      </w:r>
      <w:r>
        <w:rPr>
          <w:rFonts w:hint="eastAsia" w:ascii="宋体" w:hAnsi="宋体"/>
          <w:bCs/>
          <w:color w:val="auto"/>
          <w:sz w:val="24"/>
          <w:highlight w:val="none"/>
        </w:rPr>
        <w:t>投标、开标及定标的整个过程均接受市政府采购监管部门的监督。</w:t>
      </w:r>
    </w:p>
    <w:p>
      <w:pPr>
        <w:tabs>
          <w:tab w:val="left" w:pos="0"/>
          <w:tab w:val="left" w:pos="1155"/>
        </w:tabs>
        <w:spacing w:line="360" w:lineRule="auto"/>
        <w:ind w:firstLine="424" w:firstLineChars="177"/>
        <w:rPr>
          <w:rFonts w:ascii="宋体" w:hAnsi="宋体"/>
          <w:bCs/>
          <w:color w:val="auto"/>
          <w:sz w:val="24"/>
          <w:highlight w:val="none"/>
        </w:rPr>
      </w:pPr>
      <w:r>
        <w:rPr>
          <w:rFonts w:hint="eastAsia" w:ascii="宋体" w:hAnsi="宋体"/>
          <w:bCs/>
          <w:color w:val="auto"/>
          <w:sz w:val="24"/>
          <w:highlight w:val="none"/>
        </w:rPr>
        <w:t>3</w:t>
      </w:r>
      <w:r>
        <w:rPr>
          <w:rFonts w:ascii="宋体" w:hAnsi="宋体"/>
          <w:bCs/>
          <w:color w:val="auto"/>
          <w:sz w:val="24"/>
          <w:highlight w:val="none"/>
        </w:rPr>
        <w:t>.</w:t>
      </w:r>
      <w:r>
        <w:rPr>
          <w:rFonts w:hint="eastAsia" w:ascii="宋体" w:hAnsi="宋体"/>
          <w:bCs/>
          <w:color w:val="auto"/>
          <w:sz w:val="24"/>
          <w:highlight w:val="none"/>
        </w:rPr>
        <w:t>在发布中标公告的同时，江苏建圆建方工程管理咨询有限公司将向中标供应商发出中标通知书。</w:t>
      </w:r>
    </w:p>
    <w:p>
      <w:pPr>
        <w:tabs>
          <w:tab w:val="left" w:pos="0"/>
          <w:tab w:val="left" w:pos="1155"/>
        </w:tabs>
        <w:spacing w:line="360" w:lineRule="auto"/>
        <w:ind w:firstLine="424" w:firstLineChars="177"/>
        <w:rPr>
          <w:rFonts w:ascii="宋体" w:hAnsi="宋体"/>
          <w:bCs/>
          <w:color w:val="auto"/>
          <w:sz w:val="24"/>
          <w:highlight w:val="none"/>
        </w:rPr>
      </w:pPr>
      <w:r>
        <w:rPr>
          <w:rFonts w:hint="eastAsia" w:ascii="宋体" w:hAnsi="宋体"/>
          <w:bCs/>
          <w:color w:val="auto"/>
          <w:sz w:val="24"/>
          <w:highlight w:val="none"/>
        </w:rPr>
        <w:t>4</w:t>
      </w:r>
      <w:r>
        <w:rPr>
          <w:rFonts w:ascii="宋体" w:hAnsi="宋体"/>
          <w:bCs/>
          <w:color w:val="auto"/>
          <w:sz w:val="24"/>
          <w:highlight w:val="none"/>
        </w:rPr>
        <w:t>.投标文件全部留存。</w:t>
      </w:r>
    </w:p>
    <w:p>
      <w:pPr>
        <w:spacing w:line="360" w:lineRule="auto"/>
        <w:ind w:firstLine="422" w:firstLineChars="175"/>
        <w:outlineLvl w:val="0"/>
        <w:rPr>
          <w:rFonts w:ascii="宋体" w:hAnsi="宋体"/>
          <w:b/>
          <w:color w:val="auto"/>
          <w:sz w:val="24"/>
          <w:highlight w:val="none"/>
        </w:rPr>
      </w:pPr>
      <w:r>
        <w:rPr>
          <w:rFonts w:hint="eastAsia" w:ascii="宋体" w:hAnsi="宋体"/>
          <w:b/>
          <w:color w:val="auto"/>
          <w:sz w:val="24"/>
          <w:highlight w:val="none"/>
        </w:rPr>
        <w:t>（十一） 废标的确认：</w:t>
      </w:r>
    </w:p>
    <w:p>
      <w:pPr>
        <w:tabs>
          <w:tab w:val="left" w:pos="988"/>
          <w:tab w:val="left" w:pos="1050"/>
        </w:tabs>
        <w:spacing w:line="360" w:lineRule="auto"/>
        <w:ind w:firstLine="240" w:firstLineChars="100"/>
        <w:rPr>
          <w:rFonts w:ascii="宋体" w:hAnsi="宋体"/>
          <w:bCs/>
          <w:color w:val="auto"/>
          <w:sz w:val="24"/>
          <w:highlight w:val="none"/>
        </w:rPr>
      </w:pPr>
      <w:r>
        <w:rPr>
          <w:rFonts w:hint="eastAsia" w:ascii="宋体" w:hAnsi="宋体"/>
          <w:bCs/>
          <w:color w:val="auto"/>
          <w:sz w:val="24"/>
          <w:highlight w:val="none"/>
        </w:rPr>
        <w:t>在招标采购中，出现下列情况之一的，应予废标：</w:t>
      </w:r>
    </w:p>
    <w:p>
      <w:pPr>
        <w:numPr>
          <w:ilvl w:val="0"/>
          <w:numId w:val="19"/>
        </w:numPr>
        <w:tabs>
          <w:tab w:val="left" w:pos="0"/>
          <w:tab w:val="left" w:pos="988"/>
          <w:tab w:val="left" w:pos="1050"/>
          <w:tab w:val="clear" w:pos="552"/>
        </w:tabs>
        <w:spacing w:line="360" w:lineRule="auto"/>
        <w:ind w:left="0" w:firstLine="426"/>
        <w:rPr>
          <w:rFonts w:ascii="宋体" w:hAnsi="宋体"/>
          <w:bCs/>
          <w:color w:val="auto"/>
          <w:sz w:val="24"/>
          <w:highlight w:val="none"/>
        </w:rPr>
      </w:pPr>
      <w:r>
        <w:rPr>
          <w:rFonts w:hint="eastAsia" w:ascii="宋体" w:hAnsi="宋体"/>
          <w:bCs/>
          <w:color w:val="auto"/>
          <w:sz w:val="24"/>
          <w:highlight w:val="none"/>
        </w:rPr>
        <w:t>符合专业条件的投标供应商或者对采购文件作出实质性响应的投标供应商不足三家；</w:t>
      </w:r>
    </w:p>
    <w:p>
      <w:pPr>
        <w:numPr>
          <w:ilvl w:val="0"/>
          <w:numId w:val="19"/>
        </w:numPr>
        <w:tabs>
          <w:tab w:val="left" w:pos="0"/>
          <w:tab w:val="left" w:pos="988"/>
          <w:tab w:val="left" w:pos="1050"/>
          <w:tab w:val="clear" w:pos="552"/>
        </w:tabs>
        <w:spacing w:line="360" w:lineRule="auto"/>
        <w:ind w:left="0" w:firstLine="426"/>
        <w:rPr>
          <w:rFonts w:ascii="宋体" w:hAnsi="宋体"/>
          <w:bCs/>
          <w:color w:val="auto"/>
          <w:sz w:val="24"/>
          <w:highlight w:val="none"/>
        </w:rPr>
      </w:pPr>
      <w:r>
        <w:rPr>
          <w:rFonts w:hint="eastAsia" w:ascii="宋体" w:hAnsi="宋体"/>
          <w:bCs/>
          <w:color w:val="auto"/>
          <w:sz w:val="24"/>
          <w:highlight w:val="none"/>
        </w:rPr>
        <w:t>出现影响采购公正的违法、违规行为；</w:t>
      </w:r>
    </w:p>
    <w:p>
      <w:pPr>
        <w:numPr>
          <w:ilvl w:val="0"/>
          <w:numId w:val="19"/>
        </w:numPr>
        <w:tabs>
          <w:tab w:val="left" w:pos="0"/>
          <w:tab w:val="left" w:pos="988"/>
          <w:tab w:val="left" w:pos="1050"/>
          <w:tab w:val="clear" w:pos="552"/>
        </w:tabs>
        <w:spacing w:line="360" w:lineRule="auto"/>
        <w:ind w:left="0" w:firstLine="426"/>
        <w:rPr>
          <w:rFonts w:ascii="宋体" w:hAnsi="宋体"/>
          <w:bCs/>
          <w:color w:val="auto"/>
          <w:sz w:val="24"/>
          <w:highlight w:val="none"/>
        </w:rPr>
      </w:pPr>
      <w:r>
        <w:rPr>
          <w:rFonts w:hint="eastAsia" w:ascii="宋体" w:hAnsi="宋体"/>
          <w:bCs/>
          <w:color w:val="auto"/>
          <w:sz w:val="24"/>
          <w:highlight w:val="none"/>
        </w:rPr>
        <w:t>投标供应商的报价均超过采购预算，采购人不能支付的；</w:t>
      </w:r>
    </w:p>
    <w:p>
      <w:pPr>
        <w:numPr>
          <w:ilvl w:val="0"/>
          <w:numId w:val="19"/>
        </w:numPr>
        <w:tabs>
          <w:tab w:val="left" w:pos="0"/>
          <w:tab w:val="left" w:pos="988"/>
          <w:tab w:val="left" w:pos="1050"/>
          <w:tab w:val="clear" w:pos="552"/>
        </w:tabs>
        <w:spacing w:line="360" w:lineRule="auto"/>
        <w:ind w:left="0" w:firstLine="426"/>
        <w:rPr>
          <w:rFonts w:ascii="宋体" w:hAnsi="宋体"/>
          <w:bCs/>
          <w:color w:val="auto"/>
          <w:sz w:val="24"/>
          <w:highlight w:val="none"/>
        </w:rPr>
      </w:pPr>
      <w:r>
        <w:rPr>
          <w:rFonts w:hint="eastAsia" w:ascii="宋体" w:hAnsi="宋体"/>
          <w:bCs/>
          <w:color w:val="auto"/>
          <w:sz w:val="24"/>
          <w:highlight w:val="none"/>
        </w:rPr>
        <w:t>因重大变故，采购任务取消。</w:t>
      </w:r>
    </w:p>
    <w:p>
      <w:pPr>
        <w:spacing w:line="360" w:lineRule="auto"/>
        <w:ind w:firstLine="422" w:firstLineChars="175"/>
        <w:outlineLvl w:val="0"/>
        <w:rPr>
          <w:rFonts w:ascii="宋体" w:hAnsi="宋体"/>
          <w:b/>
          <w:color w:val="auto"/>
          <w:sz w:val="24"/>
          <w:highlight w:val="none"/>
        </w:rPr>
      </w:pPr>
      <w:r>
        <w:rPr>
          <w:rFonts w:hint="eastAsia" w:ascii="宋体" w:hAnsi="宋体"/>
          <w:b/>
          <w:color w:val="auto"/>
          <w:sz w:val="24"/>
          <w:highlight w:val="none"/>
        </w:rPr>
        <w:t>（十二）投标保证金：</w:t>
      </w:r>
    </w:p>
    <w:p>
      <w:pPr>
        <w:spacing w:line="360" w:lineRule="auto"/>
        <w:ind w:firstLine="420" w:firstLineChars="175"/>
        <w:outlineLvl w:val="0"/>
        <w:rPr>
          <w:rFonts w:ascii="宋体" w:hAnsi="宋体"/>
          <w:bCs/>
          <w:color w:val="auto"/>
          <w:sz w:val="24"/>
          <w:highlight w:val="none"/>
        </w:rPr>
      </w:pPr>
      <w:r>
        <w:rPr>
          <w:rFonts w:hint="eastAsia" w:ascii="宋体" w:hAnsi="宋体"/>
          <w:bCs/>
          <w:color w:val="auto"/>
          <w:sz w:val="24"/>
          <w:highlight w:val="none"/>
        </w:rPr>
        <w:t>本项目不收取投标保证金。</w:t>
      </w:r>
    </w:p>
    <w:p>
      <w:pPr>
        <w:spacing w:line="360" w:lineRule="auto"/>
        <w:ind w:firstLine="422" w:firstLineChars="175"/>
        <w:outlineLvl w:val="0"/>
        <w:rPr>
          <w:rFonts w:ascii="宋体" w:hAnsi="宋体"/>
          <w:b/>
          <w:color w:val="auto"/>
          <w:sz w:val="24"/>
          <w:highlight w:val="none"/>
        </w:rPr>
      </w:pPr>
      <w:r>
        <w:rPr>
          <w:rFonts w:hint="eastAsia" w:ascii="宋体" w:hAnsi="宋体"/>
          <w:b/>
          <w:color w:val="auto"/>
          <w:sz w:val="24"/>
          <w:highlight w:val="none"/>
        </w:rPr>
        <w:t>（十三）中标无效的确认：</w:t>
      </w:r>
    </w:p>
    <w:p>
      <w:pPr>
        <w:numPr>
          <w:ilvl w:val="0"/>
          <w:numId w:val="20"/>
        </w:numPr>
        <w:tabs>
          <w:tab w:val="left" w:pos="420"/>
          <w:tab w:val="clear" w:pos="1710"/>
        </w:tabs>
        <w:spacing w:line="360" w:lineRule="auto"/>
        <w:ind w:left="0" w:firstLine="424" w:firstLineChars="177"/>
        <w:rPr>
          <w:rFonts w:ascii="宋体" w:hAnsi="宋体"/>
          <w:bCs/>
          <w:color w:val="auto"/>
          <w:sz w:val="24"/>
          <w:highlight w:val="none"/>
        </w:rPr>
      </w:pPr>
      <w:r>
        <w:rPr>
          <w:rFonts w:hint="eastAsia" w:ascii="宋体" w:hAnsi="宋体"/>
          <w:bCs/>
          <w:color w:val="auto"/>
          <w:sz w:val="24"/>
          <w:highlight w:val="none"/>
        </w:rPr>
        <w:t>提供虚假材料谋取中标的；</w:t>
      </w:r>
    </w:p>
    <w:p>
      <w:pPr>
        <w:numPr>
          <w:ilvl w:val="0"/>
          <w:numId w:val="20"/>
        </w:numPr>
        <w:tabs>
          <w:tab w:val="left" w:pos="420"/>
          <w:tab w:val="clear" w:pos="1710"/>
        </w:tabs>
        <w:spacing w:line="360" w:lineRule="auto"/>
        <w:ind w:left="0" w:firstLine="424" w:firstLineChars="177"/>
        <w:rPr>
          <w:rFonts w:ascii="宋体" w:hAnsi="宋体"/>
          <w:bCs/>
          <w:color w:val="auto"/>
          <w:sz w:val="24"/>
          <w:highlight w:val="none"/>
        </w:rPr>
      </w:pPr>
      <w:r>
        <w:rPr>
          <w:rFonts w:hint="eastAsia" w:ascii="宋体" w:hAnsi="宋体"/>
          <w:bCs/>
          <w:color w:val="auto"/>
          <w:sz w:val="24"/>
          <w:highlight w:val="none"/>
        </w:rPr>
        <w:t>采取不正当手段诋毁、排挤其他投标供应商的；</w:t>
      </w:r>
    </w:p>
    <w:p>
      <w:pPr>
        <w:numPr>
          <w:ilvl w:val="0"/>
          <w:numId w:val="20"/>
        </w:numPr>
        <w:tabs>
          <w:tab w:val="left" w:pos="420"/>
          <w:tab w:val="clear" w:pos="1710"/>
        </w:tabs>
        <w:spacing w:line="360" w:lineRule="auto"/>
        <w:ind w:left="0" w:firstLine="424" w:firstLineChars="177"/>
        <w:rPr>
          <w:rFonts w:ascii="宋体" w:hAnsi="宋体"/>
          <w:bCs/>
          <w:color w:val="auto"/>
          <w:sz w:val="24"/>
          <w:highlight w:val="none"/>
        </w:rPr>
      </w:pPr>
      <w:r>
        <w:rPr>
          <w:rFonts w:hint="eastAsia" w:ascii="宋体" w:hAnsi="宋体"/>
          <w:bCs/>
          <w:color w:val="auto"/>
          <w:sz w:val="24"/>
          <w:highlight w:val="none"/>
        </w:rPr>
        <w:t>与招标采购单位、其他投标供应商恶意串通的；</w:t>
      </w:r>
    </w:p>
    <w:p>
      <w:pPr>
        <w:numPr>
          <w:ilvl w:val="0"/>
          <w:numId w:val="20"/>
        </w:numPr>
        <w:tabs>
          <w:tab w:val="left" w:pos="420"/>
          <w:tab w:val="clear" w:pos="1710"/>
        </w:tabs>
        <w:spacing w:line="360" w:lineRule="auto"/>
        <w:ind w:left="0" w:firstLine="424" w:firstLineChars="177"/>
        <w:rPr>
          <w:rFonts w:ascii="宋体" w:hAnsi="宋体"/>
          <w:bCs/>
          <w:color w:val="auto"/>
          <w:sz w:val="24"/>
          <w:highlight w:val="none"/>
        </w:rPr>
      </w:pPr>
      <w:r>
        <w:rPr>
          <w:rFonts w:hint="eastAsia" w:ascii="宋体" w:hAnsi="宋体"/>
          <w:bCs/>
          <w:color w:val="auto"/>
          <w:sz w:val="24"/>
          <w:highlight w:val="none"/>
        </w:rPr>
        <w:t>向采购人行贿或者提供其他不正当利益的；</w:t>
      </w:r>
    </w:p>
    <w:p>
      <w:pPr>
        <w:numPr>
          <w:ilvl w:val="0"/>
          <w:numId w:val="20"/>
        </w:numPr>
        <w:tabs>
          <w:tab w:val="left" w:pos="420"/>
          <w:tab w:val="clear" w:pos="1710"/>
        </w:tabs>
        <w:spacing w:line="360" w:lineRule="auto"/>
        <w:ind w:left="0" w:firstLine="424" w:firstLineChars="177"/>
        <w:rPr>
          <w:rFonts w:ascii="宋体" w:hAnsi="宋体"/>
          <w:bCs/>
          <w:color w:val="auto"/>
          <w:sz w:val="24"/>
          <w:highlight w:val="none"/>
        </w:rPr>
      </w:pPr>
      <w:r>
        <w:rPr>
          <w:rFonts w:hint="eastAsia" w:ascii="宋体" w:hAnsi="宋体"/>
          <w:bCs/>
          <w:color w:val="auto"/>
          <w:sz w:val="24"/>
          <w:highlight w:val="none"/>
        </w:rPr>
        <w:t>在招标过程中与采购人进行协商谈判、不按照采购文件和中标供应商的投标文件订立合同，或者与采购人另行订立背离合同实质性内容的协议的；</w:t>
      </w:r>
    </w:p>
    <w:p>
      <w:pPr>
        <w:numPr>
          <w:ilvl w:val="0"/>
          <w:numId w:val="20"/>
        </w:numPr>
        <w:tabs>
          <w:tab w:val="left" w:pos="420"/>
          <w:tab w:val="clear" w:pos="1710"/>
        </w:tabs>
        <w:spacing w:line="360" w:lineRule="auto"/>
        <w:ind w:left="0" w:firstLine="424" w:firstLineChars="177"/>
        <w:rPr>
          <w:rFonts w:ascii="宋体" w:hAnsi="宋体"/>
          <w:bCs/>
          <w:color w:val="auto"/>
          <w:sz w:val="24"/>
          <w:highlight w:val="none"/>
        </w:rPr>
      </w:pPr>
      <w:r>
        <w:rPr>
          <w:rFonts w:hint="eastAsia" w:ascii="宋体" w:hAnsi="宋体"/>
          <w:bCs/>
          <w:color w:val="auto"/>
          <w:sz w:val="24"/>
          <w:highlight w:val="none"/>
        </w:rPr>
        <w:t>拒绝有关部门监督检查或者提供虚假情况的。</w:t>
      </w:r>
    </w:p>
    <w:p>
      <w:pPr>
        <w:tabs>
          <w:tab w:val="left" w:pos="420"/>
        </w:tabs>
        <w:spacing w:line="360" w:lineRule="auto"/>
        <w:ind w:firstLine="566" w:firstLineChars="236"/>
        <w:rPr>
          <w:rFonts w:ascii="宋体" w:hAnsi="宋体"/>
          <w:bCs/>
          <w:color w:val="auto"/>
          <w:sz w:val="24"/>
          <w:highlight w:val="none"/>
        </w:rPr>
      </w:pPr>
      <w:r>
        <w:rPr>
          <w:rFonts w:hint="eastAsia" w:ascii="宋体" w:hAnsi="宋体"/>
          <w:bCs/>
          <w:color w:val="auto"/>
          <w:sz w:val="24"/>
          <w:highlight w:val="none"/>
        </w:rPr>
        <w:t>投标供应商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ind w:firstLine="422" w:firstLineChars="175"/>
        <w:outlineLvl w:val="0"/>
        <w:rPr>
          <w:rFonts w:ascii="宋体" w:hAnsi="宋体"/>
          <w:b/>
          <w:color w:val="auto"/>
          <w:sz w:val="24"/>
          <w:highlight w:val="none"/>
        </w:rPr>
      </w:pPr>
      <w:r>
        <w:rPr>
          <w:rFonts w:hint="eastAsia" w:ascii="宋体" w:hAnsi="宋体"/>
          <w:b/>
          <w:color w:val="auto"/>
          <w:sz w:val="24"/>
          <w:highlight w:val="none"/>
        </w:rPr>
        <w:t>（十四）签订、履行合同：</w:t>
      </w:r>
    </w:p>
    <w:p>
      <w:pPr>
        <w:numPr>
          <w:ilvl w:val="0"/>
          <w:numId w:val="21"/>
        </w:numPr>
        <w:tabs>
          <w:tab w:val="left" w:pos="525"/>
          <w:tab w:val="left" w:pos="1050"/>
          <w:tab w:val="clear" w:pos="552"/>
        </w:tabs>
        <w:spacing w:line="360" w:lineRule="auto"/>
        <w:ind w:left="0" w:firstLine="630"/>
        <w:rPr>
          <w:rFonts w:ascii="宋体" w:hAnsi="宋体"/>
          <w:bCs/>
          <w:color w:val="auto"/>
          <w:sz w:val="24"/>
          <w:highlight w:val="none"/>
        </w:rPr>
      </w:pPr>
      <w:r>
        <w:rPr>
          <w:rFonts w:ascii="宋体" w:hAnsi="宋体"/>
          <w:bCs/>
          <w:color w:val="auto"/>
          <w:sz w:val="24"/>
          <w:highlight w:val="none"/>
        </w:rPr>
        <w:t>采购人应当自中标通知书发出之日起</w:t>
      </w:r>
      <w:r>
        <w:rPr>
          <w:rFonts w:hint="eastAsia" w:ascii="宋体" w:hAnsi="宋体"/>
          <w:b/>
          <w:color w:val="auto"/>
          <w:sz w:val="24"/>
          <w:highlight w:val="none"/>
        </w:rPr>
        <w:t>十五</w:t>
      </w:r>
      <w:r>
        <w:rPr>
          <w:rFonts w:ascii="宋体" w:hAnsi="宋体"/>
          <w:b/>
          <w:color w:val="auto"/>
          <w:sz w:val="24"/>
          <w:highlight w:val="none"/>
        </w:rPr>
        <w:t>日（最长不超过三十日）</w:t>
      </w:r>
      <w:r>
        <w:rPr>
          <w:rFonts w:ascii="宋体" w:hAnsi="宋体"/>
          <w:bCs/>
          <w:color w:val="auto"/>
          <w:sz w:val="24"/>
          <w:highlight w:val="none"/>
        </w:rPr>
        <w:t>内，按照采购文件和中标供应商投标文件的约定，与中标供应商签订书面合同。所签订的合同不得对采购文件</w:t>
      </w:r>
      <w:r>
        <w:rPr>
          <w:rFonts w:ascii="宋体" w:hAnsi="宋体"/>
          <w:b/>
          <w:bCs/>
          <w:color w:val="auto"/>
          <w:sz w:val="24"/>
          <w:highlight w:val="none"/>
        </w:rPr>
        <w:t>确定的事项</w:t>
      </w:r>
      <w:r>
        <w:rPr>
          <w:rFonts w:ascii="宋体" w:hAnsi="宋体"/>
          <w:bCs/>
          <w:color w:val="auto"/>
          <w:sz w:val="24"/>
          <w:highlight w:val="none"/>
        </w:rPr>
        <w:t>和中标供应商投标文件作实质性修改。</w:t>
      </w:r>
      <w:r>
        <w:rPr>
          <w:rFonts w:hint="eastAsia" w:ascii="宋体" w:hAnsi="宋体"/>
          <w:bCs/>
          <w:color w:val="auto"/>
          <w:sz w:val="24"/>
          <w:highlight w:val="none"/>
        </w:rPr>
        <w:t>采购人</w:t>
      </w:r>
      <w:r>
        <w:rPr>
          <w:rFonts w:ascii="宋体" w:hAnsi="宋体"/>
          <w:bCs/>
          <w:color w:val="auto"/>
          <w:sz w:val="24"/>
          <w:highlight w:val="none"/>
        </w:rPr>
        <w:t>不得向中标供应商提出任何不合理的要求，作为签订合同的条件，不得与中标供应商私下订立背离合同实质性内容的协议。</w:t>
      </w:r>
      <w:r>
        <w:rPr>
          <w:rFonts w:hint="eastAsia" w:ascii="宋体" w:hAnsi="宋体"/>
          <w:bCs/>
          <w:color w:val="auto"/>
          <w:sz w:val="24"/>
          <w:highlight w:val="none"/>
        </w:rPr>
        <w:t>合同经江苏建圆建方工程管理咨询有限公司见证后生效。</w:t>
      </w:r>
    </w:p>
    <w:p>
      <w:pPr>
        <w:numPr>
          <w:ilvl w:val="0"/>
          <w:numId w:val="21"/>
        </w:numPr>
        <w:tabs>
          <w:tab w:val="left" w:pos="525"/>
          <w:tab w:val="left" w:pos="1050"/>
          <w:tab w:val="clear" w:pos="552"/>
        </w:tabs>
        <w:spacing w:line="360" w:lineRule="auto"/>
        <w:ind w:left="0" w:firstLine="630"/>
        <w:rPr>
          <w:rFonts w:ascii="宋体" w:hAnsi="宋体"/>
          <w:bCs/>
          <w:color w:val="auto"/>
          <w:sz w:val="24"/>
          <w:highlight w:val="none"/>
        </w:rPr>
      </w:pPr>
      <w:r>
        <w:rPr>
          <w:rFonts w:ascii="宋体" w:hAnsi="宋体"/>
          <w:bCs/>
          <w:color w:val="auto"/>
          <w:sz w:val="24"/>
          <w:highlight w:val="none"/>
        </w:rPr>
        <w:t>本项目不缴纳履约保证金。</w:t>
      </w:r>
    </w:p>
    <w:p>
      <w:pPr>
        <w:numPr>
          <w:ilvl w:val="0"/>
          <w:numId w:val="21"/>
        </w:numPr>
        <w:tabs>
          <w:tab w:val="left" w:pos="525"/>
          <w:tab w:val="left" w:pos="1050"/>
          <w:tab w:val="clear" w:pos="552"/>
        </w:tabs>
        <w:spacing w:line="360" w:lineRule="auto"/>
        <w:ind w:left="0" w:firstLine="630"/>
        <w:rPr>
          <w:rFonts w:ascii="宋体" w:hAnsi="宋体"/>
          <w:bCs/>
          <w:color w:val="auto"/>
          <w:sz w:val="24"/>
          <w:highlight w:val="none"/>
        </w:rPr>
      </w:pPr>
      <w:r>
        <w:rPr>
          <w:rFonts w:hint="eastAsia" w:ascii="宋体" w:hAnsi="宋体"/>
          <w:bCs/>
          <w:color w:val="auto"/>
          <w:sz w:val="24"/>
          <w:highlight w:val="none"/>
        </w:rPr>
        <w:t>江苏建圆建方工程管理咨询有限公司监督合同的履行。中标方非因不可抗力未履行招、投标文件和合同规定的义务，一经查实，招标代理机构将根据具体情况提请政府采购管理部门作出相应处理。</w:t>
      </w:r>
    </w:p>
    <w:p>
      <w:pPr>
        <w:spacing w:line="360" w:lineRule="auto"/>
        <w:ind w:firstLine="240" w:firstLineChars="100"/>
        <w:outlineLvl w:val="0"/>
        <w:rPr>
          <w:rFonts w:ascii="宋体" w:hAnsi="宋体"/>
          <w:color w:val="auto"/>
          <w:sz w:val="24"/>
          <w:highlight w:val="none"/>
        </w:rPr>
      </w:pPr>
      <w:r>
        <w:rPr>
          <w:rFonts w:hint="eastAsia" w:ascii="宋体" w:hAnsi="宋体"/>
          <w:color w:val="auto"/>
          <w:sz w:val="24"/>
          <w:highlight w:val="none"/>
        </w:rPr>
        <w:t>（十五）代理服务费：</w:t>
      </w:r>
    </w:p>
    <w:p>
      <w:pPr>
        <w:numPr>
          <w:ilvl w:val="0"/>
          <w:numId w:val="22"/>
        </w:numPr>
        <w:spacing w:line="360" w:lineRule="auto"/>
        <w:ind w:left="0" w:firstLine="480"/>
        <w:rPr>
          <w:rFonts w:ascii="宋体" w:hAnsi="宋体"/>
          <w:color w:val="auto"/>
          <w:sz w:val="24"/>
          <w:highlight w:val="none"/>
          <w:shd w:val="clear" w:color="auto" w:fill="FFFFFF"/>
        </w:rPr>
      </w:pPr>
      <w:r>
        <w:rPr>
          <w:rFonts w:hint="eastAsia" w:ascii="宋体" w:hAnsi="宋体"/>
          <w:b/>
          <w:color w:val="auto"/>
          <w:sz w:val="24"/>
          <w:highlight w:val="none"/>
          <w:shd w:val="clear" w:color="auto" w:fill="FFFFFF"/>
        </w:rPr>
        <w:t>本项目服务费包括招标代理费。招标代理费按差额定率累进法计算，以中标金额为计算基础。招标代理费收费标准：</w:t>
      </w:r>
      <w:r>
        <w:rPr>
          <w:rFonts w:ascii="宋体" w:hAnsi="宋体"/>
          <w:b/>
          <w:color w:val="auto"/>
          <w:sz w:val="24"/>
          <w:highlight w:val="none"/>
          <w:shd w:val="clear" w:color="auto" w:fill="FFFFFF"/>
        </w:rPr>
        <w:t>100万以下费率为1.5%</w:t>
      </w:r>
      <w:r>
        <w:rPr>
          <w:rFonts w:hint="eastAsia" w:ascii="宋体" w:hAnsi="宋体"/>
          <w:b/>
          <w:color w:val="auto"/>
          <w:sz w:val="24"/>
          <w:highlight w:val="none"/>
          <w:shd w:val="clear" w:color="auto" w:fill="FFFFFF"/>
        </w:rPr>
        <w:t>，100万-500万部分费率为1.1%，并在此基础上按70%计取。由中标人在领取中标通知书时一次性支付。</w:t>
      </w:r>
    </w:p>
    <w:p>
      <w:pPr>
        <w:numPr>
          <w:ilvl w:val="0"/>
          <w:numId w:val="22"/>
        </w:numPr>
        <w:spacing w:line="360" w:lineRule="auto"/>
        <w:ind w:left="0" w:firstLine="48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如果未按规定缴纳采购代理服务费,采购代理机构将保留诉讼的权利。</w:t>
      </w:r>
    </w:p>
    <w:p>
      <w:pPr>
        <w:spacing w:line="360" w:lineRule="auto"/>
        <w:ind w:firstLine="241" w:firstLineChars="100"/>
        <w:outlineLvl w:val="0"/>
        <w:rPr>
          <w:rFonts w:ascii="宋体" w:hAnsi="宋体"/>
          <w:b/>
          <w:bCs/>
          <w:color w:val="auto"/>
          <w:sz w:val="24"/>
          <w:highlight w:val="none"/>
        </w:rPr>
      </w:pPr>
      <w:r>
        <w:rPr>
          <w:rFonts w:hint="eastAsia" w:ascii="宋体" w:hAnsi="宋体"/>
          <w:b/>
          <w:bCs/>
          <w:color w:val="auto"/>
          <w:sz w:val="24"/>
          <w:highlight w:val="none"/>
        </w:rPr>
        <w:t>（十六）政府采购履约担保</w:t>
      </w:r>
    </w:p>
    <w:p>
      <w:pPr>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履约担保，是指由专业担保机构为中标供应商支付履约保证金的义务向采购人提供的保函担保。专业担保机构根据中标供应商的中标通知书为凭据，进行资信审查后出具保函, 中标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（十七）政府采购合同融资</w:t>
      </w:r>
    </w:p>
    <w:p>
      <w:pPr>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根据无锡市《关于开展政府采购合同融资工作的通知》（锡财购〔2020〕17号）要求：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中标、成交供应商可根据自身情况，自行决定是否选择采用合同融资形式，在无锡政府采购网——政采贷专栏提供的银行名录内自主选择合作银行。</w:t>
      </w:r>
    </w:p>
    <w:p>
      <w:pPr>
        <w:spacing w:line="540" w:lineRule="exact"/>
        <w:ind w:left="480"/>
        <w:rPr>
          <w:rFonts w:ascii="宋体" w:hAnsi="宋体"/>
          <w:color w:val="auto"/>
          <w:sz w:val="24"/>
          <w:highlight w:val="none"/>
          <w:shd w:val="clear" w:color="auto" w:fill="FFFFFF"/>
        </w:rPr>
      </w:pPr>
    </w:p>
    <w:p>
      <w:pPr>
        <w:spacing w:line="540" w:lineRule="exact"/>
        <w:ind w:firstLine="1767" w:firstLineChars="400"/>
        <w:rPr>
          <w:rFonts w:ascii="宋体" w:hAnsi="宋体"/>
          <w:b/>
          <w:color w:val="auto"/>
          <w:sz w:val="44"/>
          <w:szCs w:val="44"/>
          <w:highlight w:val="none"/>
        </w:rPr>
        <w:sectPr>
          <w:headerReference r:id="rId3" w:type="default"/>
          <w:footerReference r:id="rId4" w:type="default"/>
          <w:footerReference r:id="rId5" w:type="even"/>
          <w:pgSz w:w="11906" w:h="16838"/>
          <w:pgMar w:top="1440" w:right="1287" w:bottom="1440" w:left="1440" w:header="851" w:footer="992" w:gutter="0"/>
          <w:cols w:space="720" w:num="1"/>
          <w:docGrid w:linePitch="312" w:charSpace="0"/>
        </w:sectPr>
      </w:pPr>
    </w:p>
    <w:p>
      <w:pPr>
        <w:spacing w:line="540" w:lineRule="exact"/>
        <w:ind w:firstLine="2399" w:firstLineChars="543"/>
        <w:outlineLvl w:val="0"/>
        <w:rPr>
          <w:rFonts w:eastAsia="黑体"/>
          <w:b/>
          <w:color w:val="auto"/>
          <w:sz w:val="44"/>
          <w:szCs w:val="44"/>
          <w:highlight w:val="none"/>
        </w:rPr>
      </w:pPr>
      <w:r>
        <w:rPr>
          <w:rFonts w:hint="eastAsia" w:ascii="宋体" w:hAnsi="宋体"/>
          <w:b/>
          <w:color w:val="auto"/>
          <w:sz w:val="44"/>
          <w:szCs w:val="44"/>
          <w:highlight w:val="none"/>
        </w:rPr>
        <w:t>第三部分．</w:t>
      </w:r>
      <w:bookmarkStart w:id="11" w:name="_Hlk68863535"/>
      <w:r>
        <w:rPr>
          <w:rFonts w:hint="eastAsia" w:ascii="宋体" w:hAnsi="宋体"/>
          <w:b/>
          <w:color w:val="auto"/>
          <w:sz w:val="44"/>
          <w:szCs w:val="44"/>
          <w:highlight w:val="none"/>
        </w:rPr>
        <w:t>采购需求</w:t>
      </w:r>
    </w:p>
    <w:p>
      <w:pPr>
        <w:widowControl/>
        <w:spacing w:line="460" w:lineRule="exact"/>
        <w:ind w:firstLine="470" w:firstLineChars="195"/>
        <w:jc w:val="left"/>
        <w:outlineLvl w:val="1"/>
        <w:rPr>
          <w:b/>
          <w:bCs/>
          <w:color w:val="auto"/>
          <w:kern w:val="0"/>
          <w:sz w:val="24"/>
          <w:highlight w:val="none"/>
        </w:rPr>
      </w:pPr>
      <w:r>
        <w:rPr>
          <w:b/>
          <w:bCs/>
          <w:color w:val="auto"/>
          <w:kern w:val="0"/>
          <w:sz w:val="24"/>
          <w:highlight w:val="none"/>
        </w:rPr>
        <w:t>（一）采购标的需实现的功能或者目标，以及为落实政府采购政策需满足的要求：</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 采购标的需实现的功能或者目标：</w:t>
      </w:r>
    </w:p>
    <w:p>
      <w:pPr>
        <w:widowControl/>
        <w:spacing w:line="460" w:lineRule="exact"/>
        <w:ind w:firstLine="468" w:firstLineChars="195"/>
        <w:jc w:val="left"/>
        <w:rPr>
          <w:rFonts w:ascii="宋体" w:hAnsi="宋体"/>
          <w:color w:val="auto"/>
          <w:kern w:val="0"/>
          <w:sz w:val="24"/>
          <w:highlight w:val="none"/>
        </w:rPr>
      </w:pPr>
      <w:r>
        <w:rPr>
          <w:rFonts w:ascii="宋体" w:hAnsi="宋体"/>
          <w:color w:val="auto"/>
          <w:sz w:val="24"/>
          <w:highlight w:val="none"/>
        </w:rPr>
        <w:t>1</w:t>
      </w:r>
      <w:r>
        <w:rPr>
          <w:rFonts w:hint="eastAsia" w:ascii="宋体" w:hAnsi="宋体"/>
          <w:color w:val="auto"/>
          <w:sz w:val="24"/>
          <w:highlight w:val="none"/>
        </w:rPr>
        <w:t>）项目概况：</w:t>
      </w:r>
      <w:r>
        <w:rPr>
          <w:rFonts w:hint="eastAsia" w:ascii="宋体" w:hAnsi="宋体"/>
          <w:b/>
          <w:color w:val="auto"/>
          <w:sz w:val="24"/>
          <w:highlight w:val="none"/>
        </w:rPr>
        <w:t>2023年度第四批无锡市市级政务信息化项目监理服务，包括2个标段。</w:t>
      </w:r>
      <w:r>
        <w:rPr>
          <w:rFonts w:hint="eastAsia" w:ascii="宋体" w:hAnsi="宋体"/>
          <w:color w:val="auto"/>
          <w:kern w:val="0"/>
          <w:sz w:val="24"/>
          <w:highlight w:val="none"/>
        </w:rPr>
        <w:t xml:space="preserve"> </w:t>
      </w:r>
    </w:p>
    <w:p>
      <w:pPr>
        <w:widowControl/>
        <w:spacing w:line="460" w:lineRule="exact"/>
        <w:ind w:firstLine="468" w:firstLineChars="195"/>
        <w:jc w:val="left"/>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）采购标的目标：</w:t>
      </w:r>
    </w:p>
    <w:p>
      <w:pPr>
        <w:widowControl/>
        <w:spacing w:line="460" w:lineRule="exact"/>
        <w:ind w:firstLine="468" w:firstLineChars="195"/>
        <w:jc w:val="left"/>
        <w:rPr>
          <w:rFonts w:ascii="宋体" w:hAnsi="宋体"/>
          <w:color w:val="auto"/>
          <w:sz w:val="24"/>
          <w:highlight w:val="none"/>
        </w:rPr>
      </w:pPr>
      <w:r>
        <w:rPr>
          <w:rFonts w:hint="eastAsia" w:ascii="宋体" w:hAnsi="宋体"/>
          <w:color w:val="auto"/>
          <w:sz w:val="24"/>
          <w:highlight w:val="none"/>
        </w:rPr>
        <w:t>监理范围：监理单位需对标段内所有项目提供全过程、全方位监理服务；监理工作内容主要包括技术总体方案把关、质量控制、进度控制、投资控制、变更控制、合同管理、信息及文档管理、安全管理、沟通管理、知识产权管理等。依据合同做好相关各类项目会议的组织、记录，项目文档起草、归档、移交等管理工作；针对项目建设情况，提出合理化的改进改良建议；全面负责项目各方的工作协调、督办等；协助采购人及建设单位完成上级各部门对本项目的检查、考核、验收等工作。</w:t>
      </w:r>
    </w:p>
    <w:p>
      <w:pPr>
        <w:widowControl/>
        <w:spacing w:line="460" w:lineRule="exact"/>
        <w:ind w:firstLine="468" w:firstLineChars="195"/>
        <w:jc w:val="left"/>
        <w:rPr>
          <w:color w:val="auto"/>
          <w:kern w:val="0"/>
          <w:sz w:val="24"/>
          <w:highlight w:val="none"/>
        </w:rPr>
      </w:pPr>
      <w:r>
        <w:rPr>
          <w:color w:val="auto"/>
          <w:kern w:val="0"/>
          <w:sz w:val="24"/>
          <w:highlight w:val="none"/>
        </w:rPr>
        <w:t>2. 为落实政府采购政策需满足的要求：</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1）按照《政府采购促进中小企业发展管理办法》（财库〔2</w:t>
      </w:r>
      <w:r>
        <w:rPr>
          <w:rFonts w:ascii="宋体" w:hAnsi="宋体"/>
          <w:color w:val="auto"/>
          <w:sz w:val="24"/>
          <w:highlight w:val="none"/>
        </w:rPr>
        <w:t>020</w:t>
      </w:r>
      <w:r>
        <w:rPr>
          <w:rFonts w:hint="eastAsia" w:ascii="宋体" w:hAnsi="宋体"/>
          <w:color w:val="auto"/>
          <w:sz w:val="24"/>
          <w:highlight w:val="none"/>
        </w:rPr>
        <w:t>〕</w:t>
      </w:r>
      <w:r>
        <w:rPr>
          <w:rFonts w:ascii="宋体" w:hAnsi="宋体"/>
          <w:color w:val="auto"/>
          <w:sz w:val="24"/>
          <w:highlight w:val="none"/>
        </w:rPr>
        <w:t>46</w:t>
      </w:r>
      <w:r>
        <w:rPr>
          <w:rFonts w:hint="eastAsia" w:ascii="宋体" w:hAnsi="宋体"/>
          <w:color w:val="auto"/>
          <w:sz w:val="24"/>
          <w:highlight w:val="none"/>
        </w:rPr>
        <w:t>号）的规定 。</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按照《财政部司法部关于政府采购支持监狱企业发展有关问题的通知》（财库[2014]68号）文件规定，在政府采购活动中，监狱企业视同小型、微型企业，享受扶持政策,监狱企业属于小微企业的，不重复享受政策支持。</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3）按照《财政部民政部中国残疾人联合会关于促进残疾人就业政府采购政策的通知》，残疾人福利性单位视同小型、微型企业，享受扶持政策，残疾人福利性单位属于小型、微型企业的，不重复享受政策。</w:t>
      </w:r>
    </w:p>
    <w:p>
      <w:pPr>
        <w:widowControl/>
        <w:spacing w:line="460" w:lineRule="exact"/>
        <w:ind w:firstLine="470" w:firstLineChars="195"/>
        <w:jc w:val="left"/>
        <w:outlineLvl w:val="1"/>
        <w:rPr>
          <w:b/>
          <w:bCs/>
          <w:color w:val="auto"/>
          <w:kern w:val="0"/>
          <w:sz w:val="24"/>
          <w:highlight w:val="none"/>
        </w:rPr>
      </w:pPr>
      <w:r>
        <w:rPr>
          <w:b/>
          <w:bCs/>
          <w:color w:val="auto"/>
          <w:kern w:val="0"/>
          <w:sz w:val="24"/>
          <w:highlight w:val="none"/>
        </w:rPr>
        <w:t>（二）采购标的需执行的国家相关标准、行业标准、地方标准或者其他标准、规范：</w:t>
      </w:r>
    </w:p>
    <w:p>
      <w:pPr>
        <w:widowControl/>
        <w:spacing w:line="460" w:lineRule="exact"/>
        <w:ind w:firstLine="468" w:firstLineChars="195"/>
        <w:jc w:val="left"/>
        <w:outlineLvl w:val="1"/>
        <w:rPr>
          <w:rFonts w:ascii="宋体" w:hAnsi="宋体"/>
          <w:color w:val="auto"/>
          <w:sz w:val="24"/>
          <w:highlight w:val="none"/>
        </w:rPr>
      </w:pPr>
      <w:r>
        <w:rPr>
          <w:rFonts w:ascii="宋体" w:hAnsi="宋体"/>
          <w:color w:val="auto"/>
          <w:sz w:val="24"/>
          <w:highlight w:val="none"/>
        </w:rPr>
        <w:t>《中华人民共和国政府采购法》、《中华人民共和国政府采购法实施条例》等。</w:t>
      </w:r>
    </w:p>
    <w:p>
      <w:pPr>
        <w:widowControl/>
        <w:spacing w:line="460" w:lineRule="exact"/>
        <w:ind w:firstLine="470" w:firstLineChars="195"/>
        <w:jc w:val="left"/>
        <w:outlineLvl w:val="1"/>
        <w:rPr>
          <w:b/>
          <w:bCs/>
          <w:color w:val="auto"/>
          <w:kern w:val="0"/>
          <w:sz w:val="24"/>
          <w:highlight w:val="none"/>
        </w:rPr>
      </w:pPr>
      <w:r>
        <w:rPr>
          <w:b/>
          <w:bCs/>
          <w:color w:val="auto"/>
          <w:kern w:val="0"/>
          <w:sz w:val="24"/>
          <w:highlight w:val="none"/>
        </w:rPr>
        <w:t>（三）采购标的需满足的质量、安全、技术规格、物理特性等要求：</w:t>
      </w:r>
    </w:p>
    <w:p>
      <w:pPr>
        <w:widowControl/>
        <w:spacing w:line="460" w:lineRule="exact"/>
        <w:ind w:firstLine="468" w:firstLineChars="195"/>
        <w:jc w:val="left"/>
        <w:rPr>
          <w:color w:val="auto"/>
          <w:kern w:val="0"/>
          <w:sz w:val="24"/>
          <w:highlight w:val="none"/>
        </w:rPr>
      </w:pPr>
      <w:r>
        <w:rPr>
          <w:color w:val="auto"/>
          <w:kern w:val="0"/>
          <w:sz w:val="24"/>
          <w:highlight w:val="none"/>
        </w:rPr>
        <w:t>1.</w:t>
      </w:r>
      <w:r>
        <w:rPr>
          <w:rFonts w:hint="eastAsia"/>
          <w:color w:val="auto"/>
          <w:kern w:val="0"/>
          <w:sz w:val="24"/>
          <w:highlight w:val="none"/>
        </w:rPr>
        <w:t>质量标准：一次性通过系统验收并达到“合格”标准</w:t>
      </w:r>
    </w:p>
    <w:p>
      <w:pPr>
        <w:widowControl/>
        <w:spacing w:line="460" w:lineRule="exact"/>
        <w:ind w:firstLine="468" w:firstLineChars="195"/>
        <w:jc w:val="left"/>
        <w:rPr>
          <w:color w:val="auto"/>
          <w:kern w:val="0"/>
          <w:sz w:val="24"/>
          <w:highlight w:val="none"/>
        </w:rPr>
      </w:pPr>
      <w:r>
        <w:rPr>
          <w:color w:val="auto"/>
          <w:kern w:val="0"/>
          <w:sz w:val="24"/>
          <w:highlight w:val="none"/>
        </w:rPr>
        <w:t>2.安全要求：</w:t>
      </w:r>
      <w:r>
        <w:rPr>
          <w:rFonts w:hint="eastAsia"/>
          <w:color w:val="auto"/>
          <w:sz w:val="24"/>
          <w:highlight w:val="none"/>
        </w:rPr>
        <w:t>安全生产零事故</w:t>
      </w:r>
    </w:p>
    <w:p>
      <w:pPr>
        <w:widowControl/>
        <w:spacing w:line="460" w:lineRule="exact"/>
        <w:ind w:firstLine="482" w:firstLineChars="200"/>
        <w:jc w:val="left"/>
        <w:outlineLvl w:val="1"/>
        <w:rPr>
          <w:b/>
          <w:bCs/>
          <w:color w:val="auto"/>
          <w:kern w:val="0"/>
          <w:sz w:val="24"/>
          <w:highlight w:val="none"/>
        </w:rPr>
      </w:pPr>
      <w:r>
        <w:rPr>
          <w:b/>
          <w:bCs/>
          <w:color w:val="auto"/>
          <w:kern w:val="0"/>
          <w:sz w:val="24"/>
          <w:highlight w:val="none"/>
        </w:rPr>
        <w:t>（四）采购标的数量、采购项目交付或者实施的时间和地点：</w:t>
      </w:r>
    </w:p>
    <w:p>
      <w:pPr>
        <w:widowControl/>
        <w:spacing w:line="460" w:lineRule="exact"/>
        <w:ind w:firstLine="468" w:firstLineChars="195"/>
        <w:jc w:val="left"/>
        <w:rPr>
          <w:rFonts w:ascii="宋体" w:hAnsi="宋体"/>
          <w:bCs/>
          <w:color w:val="auto"/>
          <w:sz w:val="24"/>
          <w:highlight w:val="none"/>
        </w:rPr>
      </w:pPr>
      <w:r>
        <w:rPr>
          <w:rFonts w:hint="eastAsia" w:ascii="宋体" w:hAnsi="宋体"/>
          <w:bCs/>
          <w:color w:val="auto"/>
          <w:sz w:val="24"/>
          <w:highlight w:val="none"/>
        </w:rPr>
        <w:t>1、标段1：要求监理单位对市公安局6个项目、市教育局6个项目、市卫健委2个项目、市委政法委1个项目、市委组织部1个项目、市自然资源和规划局1个项目、市应急局1个项目、市信访局1个项目、市机关事务管理局1个项目、市财政局1个项目、市城管局1个项目、市发改委1个项目等共计23个项目提供全过程、全方位监理服务。监理工作内容主要包括技术总体方案把关、质量控制、进度控制、投资控制、变更控制、合同管理、信息及文档管理、安全管理、沟通管理、知识产权管理等。依据合同做好相关各类项目会议的组织、记录，项目文档起草、归档、移交等管理工作；针对项目建设情况，提出合理化的改进改良建议；全面负责项目各方的工作协调、督办等；协助采购人及建设单位完成上级各部门对本项目的检查、考核、验收等工作。</w:t>
      </w:r>
    </w:p>
    <w:p>
      <w:pPr>
        <w:widowControl/>
        <w:spacing w:line="460" w:lineRule="exact"/>
        <w:ind w:firstLine="468" w:firstLineChars="195"/>
        <w:jc w:val="left"/>
        <w:rPr>
          <w:rFonts w:ascii="宋体" w:hAnsi="宋体"/>
          <w:b/>
          <w:color w:val="auto"/>
          <w:sz w:val="24"/>
          <w:highlight w:val="none"/>
        </w:rPr>
      </w:pPr>
      <w:r>
        <w:rPr>
          <w:rFonts w:hint="eastAsia" w:ascii="宋体" w:hAnsi="宋体"/>
          <w:bCs/>
          <w:color w:val="auto"/>
          <w:sz w:val="24"/>
          <w:highlight w:val="none"/>
        </w:rPr>
        <w:t>标段2：要求监理单位对市住建局3个项目、市市域社会治理现代化指挥中心2个项目、市大数据管理局2个项目、市妇联2个、市水利局2个项目、市生态环境局2个项目、市市场监督管理局1个项目、市人民检察院1个项目等共计15个项目提供全过程、全方位监理服务。监理工作内容主要包括技术总体方案把关、质量控制、进度控制、投资控制、变更控制、合同管理、信息及文档管理、安全管理、沟通管理、知识产权管理等。依据合同做好相关各类项目会议的组织、记录，项目文档起草、归档、移交等管理工作；针对项目建设情况，提出合理化的改进改良建议；全面负责项目各方的工作协调、督办等；协助采购人及建设单位完成上级各部门对本项目的检查、考核、验收等工作。</w:t>
      </w:r>
    </w:p>
    <w:p>
      <w:pPr>
        <w:spacing w:line="360" w:lineRule="auto"/>
        <w:ind w:firstLine="523" w:firstLineChars="218"/>
        <w:rPr>
          <w:rFonts w:ascii="宋体" w:hAnsi="宋体"/>
          <w:bCs/>
          <w:color w:val="auto"/>
          <w:sz w:val="24"/>
          <w:highlight w:val="none"/>
          <w:lang w:val="zh-CN"/>
        </w:rPr>
      </w:pPr>
      <w:r>
        <w:rPr>
          <w:rFonts w:hint="eastAsia" w:ascii="宋体" w:hAnsi="宋体"/>
          <w:bCs/>
          <w:color w:val="auto"/>
          <w:sz w:val="24"/>
          <w:highlight w:val="none"/>
        </w:rPr>
        <w:t>2、服务期限：合同签订后至标段内所有项目通过最终验收为止</w:t>
      </w:r>
      <w:r>
        <w:rPr>
          <w:rFonts w:hint="eastAsia" w:ascii="宋体" w:hAnsi="宋体"/>
          <w:bCs/>
          <w:color w:val="auto"/>
          <w:sz w:val="24"/>
          <w:highlight w:val="none"/>
          <w:lang w:val="zh-CN"/>
        </w:rPr>
        <w:t>。</w:t>
      </w:r>
    </w:p>
    <w:p>
      <w:pPr>
        <w:spacing w:line="360" w:lineRule="auto"/>
        <w:ind w:firstLine="525" w:firstLineChars="218"/>
        <w:rPr>
          <w:rFonts w:ascii="宋体" w:hAnsi="宋体"/>
          <w:b/>
          <w:bCs/>
          <w:color w:val="auto"/>
          <w:sz w:val="24"/>
          <w:highlight w:val="none"/>
        </w:rPr>
      </w:pPr>
      <w:r>
        <w:rPr>
          <w:rFonts w:hint="eastAsia" w:ascii="宋体" w:hAnsi="宋体"/>
          <w:b/>
          <w:bCs/>
          <w:color w:val="auto"/>
          <w:sz w:val="24"/>
          <w:highlight w:val="none"/>
        </w:rPr>
        <w:t>（五）</w:t>
      </w:r>
      <w:r>
        <w:rPr>
          <w:rFonts w:hint="eastAsia"/>
          <w:b/>
          <w:bCs/>
          <w:color w:val="auto"/>
          <w:kern w:val="0"/>
          <w:sz w:val="24"/>
          <w:highlight w:val="none"/>
        </w:rPr>
        <w:t>采购标的</w:t>
      </w:r>
      <w:r>
        <w:rPr>
          <w:rFonts w:hint="eastAsia" w:ascii="宋体" w:hAnsi="宋体"/>
          <w:b/>
          <w:bCs/>
          <w:color w:val="auto"/>
          <w:sz w:val="24"/>
          <w:highlight w:val="none"/>
        </w:rPr>
        <w:t>需满足的服务标准、期限、效率等要求：</w:t>
      </w:r>
    </w:p>
    <w:p>
      <w:pPr>
        <w:spacing w:line="360" w:lineRule="auto"/>
        <w:ind w:firstLine="480" w:firstLineChars="200"/>
        <w:rPr>
          <w:color w:val="auto"/>
          <w:kern w:val="0"/>
          <w:sz w:val="24"/>
          <w:highlight w:val="none"/>
        </w:rPr>
      </w:pPr>
      <w:r>
        <w:rPr>
          <w:rFonts w:hint="eastAsia"/>
          <w:color w:val="auto"/>
          <w:kern w:val="0"/>
          <w:sz w:val="24"/>
          <w:highlight w:val="none"/>
        </w:rPr>
        <w:t>服务标准：包括但不限于以《GB/T 19668-2017 信息技术服务 监理》为基本依据，遵守国家、省、市及行业监理的标准、规范和规程，并对在服务期内及在服务期内开始但结束时间超出服务期结束时间的项目，按采购人要求对委托的项目进行监理服务；</w:t>
      </w:r>
    </w:p>
    <w:p>
      <w:pPr>
        <w:spacing w:line="360" w:lineRule="auto"/>
        <w:ind w:firstLine="480" w:firstLineChars="200"/>
        <w:rPr>
          <w:color w:val="auto"/>
          <w:kern w:val="0"/>
          <w:sz w:val="24"/>
          <w:highlight w:val="none"/>
        </w:rPr>
      </w:pPr>
      <w:r>
        <w:rPr>
          <w:rFonts w:hint="eastAsia"/>
          <w:color w:val="auto"/>
          <w:kern w:val="0"/>
          <w:sz w:val="24"/>
          <w:highlight w:val="none"/>
        </w:rPr>
        <w:t>1.服务内容及要求：</w:t>
      </w:r>
    </w:p>
    <w:p>
      <w:pPr>
        <w:spacing w:line="360" w:lineRule="auto"/>
        <w:ind w:firstLine="480" w:firstLineChars="200"/>
        <w:rPr>
          <w:color w:val="auto"/>
          <w:kern w:val="0"/>
          <w:sz w:val="24"/>
          <w:highlight w:val="none"/>
        </w:rPr>
      </w:pPr>
      <w:r>
        <w:rPr>
          <w:rFonts w:hint="eastAsia"/>
          <w:color w:val="auto"/>
          <w:kern w:val="0"/>
          <w:sz w:val="24"/>
          <w:highlight w:val="none"/>
        </w:rPr>
        <w:t>监理工作内容主要包括技术总体方案把关、质量控制、进度控制、投资控制、变更控制、合同管理、信息及文档管理、安全管理、沟通管理、知识产权管理等。依据合同做好相关各类项目会议的组织、记录，项目文档起草、归档、移交等管理工作；针对项目建设情况，提出合理化的改进改良建议；全面负责项目各方的工作协调、督办等；协助采购人及建设单位完成上级各部门对本项目的检查、考核、验收等工作。</w:t>
      </w:r>
    </w:p>
    <w:p>
      <w:pPr>
        <w:spacing w:line="360" w:lineRule="auto"/>
        <w:ind w:firstLine="480" w:firstLineChars="200"/>
        <w:rPr>
          <w:color w:val="auto"/>
          <w:kern w:val="0"/>
          <w:sz w:val="24"/>
          <w:highlight w:val="none"/>
        </w:rPr>
      </w:pPr>
      <w:r>
        <w:rPr>
          <w:rFonts w:hint="eastAsia"/>
          <w:color w:val="auto"/>
          <w:kern w:val="0"/>
          <w:sz w:val="24"/>
          <w:highlight w:val="none"/>
        </w:rPr>
        <w:t>2.监理工作范围</w:t>
      </w:r>
    </w:p>
    <w:p>
      <w:pPr>
        <w:spacing w:line="360" w:lineRule="auto"/>
        <w:ind w:firstLine="480" w:firstLineChars="200"/>
        <w:rPr>
          <w:color w:val="auto"/>
          <w:kern w:val="0"/>
          <w:sz w:val="24"/>
          <w:highlight w:val="none"/>
        </w:rPr>
      </w:pPr>
      <w:r>
        <w:rPr>
          <w:rFonts w:hint="eastAsia"/>
          <w:color w:val="auto"/>
          <w:kern w:val="0"/>
          <w:sz w:val="24"/>
          <w:highlight w:val="none"/>
        </w:rPr>
        <w:t>监理单位需提供项目实施全过程、全方位监理服务，监理内容主要包括技术总体方案把关、质量控制、进度控制、投资控制、变更控制、合同管理、信息及文档管理、安全管理、沟通管理、知识产权管理等。依据合同做好相关各类项目会议的组织、记录，项目文档起草、归档、移交等管理工作；针对项目建设情况，提出合理化的改进改良建议；全面负责项目各方的工作协调、督办等；协助采购人及建设单位完成上级各部门对本项目的检查、考核、验收等工作。</w:t>
      </w:r>
    </w:p>
    <w:p>
      <w:pPr>
        <w:spacing w:line="360" w:lineRule="auto"/>
        <w:ind w:firstLine="480" w:firstLineChars="200"/>
        <w:rPr>
          <w:color w:val="auto"/>
          <w:kern w:val="0"/>
          <w:sz w:val="24"/>
          <w:highlight w:val="none"/>
        </w:rPr>
      </w:pPr>
      <w:r>
        <w:rPr>
          <w:rFonts w:hint="eastAsia"/>
          <w:color w:val="auto"/>
          <w:kern w:val="0"/>
          <w:sz w:val="24"/>
          <w:highlight w:val="none"/>
        </w:rPr>
        <w:t>3.监理工作内容与工作要求</w:t>
      </w:r>
    </w:p>
    <w:p>
      <w:pPr>
        <w:spacing w:line="360" w:lineRule="auto"/>
        <w:ind w:firstLine="480" w:firstLineChars="200"/>
        <w:rPr>
          <w:color w:val="auto"/>
          <w:kern w:val="0"/>
          <w:sz w:val="24"/>
          <w:highlight w:val="none"/>
        </w:rPr>
      </w:pPr>
      <w:r>
        <w:rPr>
          <w:rFonts w:hint="eastAsia"/>
          <w:color w:val="auto"/>
          <w:kern w:val="0"/>
          <w:sz w:val="24"/>
          <w:highlight w:val="none"/>
        </w:rPr>
        <w:t>按照“四项控制、三项管理和一项协调”的原则，保证项目在规定的时间内完成，并实现项目建设的目标。具体内容包括：</w:t>
      </w:r>
    </w:p>
    <w:p>
      <w:pPr>
        <w:spacing w:line="360" w:lineRule="auto"/>
        <w:ind w:firstLine="480" w:firstLineChars="200"/>
        <w:rPr>
          <w:color w:val="auto"/>
          <w:kern w:val="0"/>
          <w:sz w:val="24"/>
          <w:highlight w:val="none"/>
        </w:rPr>
      </w:pPr>
      <w:r>
        <w:rPr>
          <w:rFonts w:hint="eastAsia"/>
          <w:color w:val="auto"/>
          <w:kern w:val="0"/>
          <w:sz w:val="24"/>
          <w:highlight w:val="none"/>
        </w:rPr>
        <w:t>1）监理规划与实施方案</w:t>
      </w:r>
    </w:p>
    <w:p>
      <w:pPr>
        <w:spacing w:line="360" w:lineRule="auto"/>
        <w:ind w:firstLine="480" w:firstLineChars="200"/>
        <w:rPr>
          <w:color w:val="auto"/>
          <w:kern w:val="0"/>
          <w:sz w:val="24"/>
          <w:highlight w:val="none"/>
        </w:rPr>
      </w:pPr>
      <w:r>
        <w:rPr>
          <w:rFonts w:hint="eastAsia"/>
          <w:color w:val="auto"/>
          <w:kern w:val="0"/>
          <w:sz w:val="24"/>
          <w:highlight w:val="none"/>
        </w:rPr>
        <w:t>监理单位应根据项目的实际情况编制项目监理规划，确定项目监理机构的具体工作目标和任务，规定具体的监理工作制度、程序、方法和措施。</w:t>
      </w:r>
    </w:p>
    <w:p>
      <w:pPr>
        <w:spacing w:line="360" w:lineRule="auto"/>
        <w:ind w:firstLine="480" w:firstLineChars="200"/>
        <w:rPr>
          <w:color w:val="auto"/>
          <w:kern w:val="0"/>
          <w:sz w:val="24"/>
          <w:highlight w:val="none"/>
        </w:rPr>
      </w:pPr>
      <w:r>
        <w:rPr>
          <w:rFonts w:hint="eastAsia"/>
          <w:color w:val="auto"/>
          <w:kern w:val="0"/>
          <w:sz w:val="24"/>
          <w:highlight w:val="none"/>
        </w:rPr>
        <w:t>监理单位应编制项目监理实施方案，实施方案应符合项目监理规划的要求，并应结合工程项目的特点，做到详细具体，可操作。</w:t>
      </w:r>
    </w:p>
    <w:p>
      <w:pPr>
        <w:spacing w:line="360" w:lineRule="auto"/>
        <w:ind w:firstLine="480" w:firstLineChars="200"/>
        <w:rPr>
          <w:color w:val="auto"/>
          <w:kern w:val="0"/>
          <w:sz w:val="24"/>
          <w:highlight w:val="none"/>
        </w:rPr>
      </w:pPr>
      <w:r>
        <w:rPr>
          <w:rFonts w:hint="eastAsia"/>
          <w:color w:val="auto"/>
          <w:kern w:val="0"/>
          <w:sz w:val="24"/>
          <w:highlight w:val="none"/>
        </w:rPr>
        <w:t>2）项目技术总体方案的把关</w:t>
      </w:r>
    </w:p>
    <w:p>
      <w:pPr>
        <w:spacing w:line="360" w:lineRule="auto"/>
        <w:ind w:firstLine="480" w:firstLineChars="200"/>
        <w:rPr>
          <w:color w:val="auto"/>
          <w:kern w:val="0"/>
          <w:sz w:val="24"/>
          <w:highlight w:val="none"/>
        </w:rPr>
      </w:pPr>
      <w:r>
        <w:rPr>
          <w:rFonts w:hint="eastAsia"/>
          <w:color w:val="auto"/>
          <w:kern w:val="0"/>
          <w:sz w:val="24"/>
          <w:highlight w:val="none"/>
        </w:rPr>
        <w:t>2.1  审核和确认承建单位的总体设计方案</w:t>
      </w:r>
    </w:p>
    <w:p>
      <w:pPr>
        <w:spacing w:line="360" w:lineRule="auto"/>
        <w:ind w:firstLine="480" w:firstLineChars="200"/>
        <w:rPr>
          <w:color w:val="auto"/>
          <w:kern w:val="0"/>
          <w:sz w:val="24"/>
          <w:highlight w:val="none"/>
        </w:rPr>
      </w:pPr>
      <w:r>
        <w:rPr>
          <w:rFonts w:hint="eastAsia"/>
          <w:color w:val="auto"/>
          <w:kern w:val="0"/>
          <w:sz w:val="24"/>
          <w:highlight w:val="none"/>
        </w:rPr>
        <w:t>2.2  审核和确认项目建设过程中的各种关键技术方案</w:t>
      </w:r>
    </w:p>
    <w:p>
      <w:pPr>
        <w:spacing w:line="360" w:lineRule="auto"/>
        <w:ind w:firstLine="480" w:firstLineChars="200"/>
        <w:rPr>
          <w:color w:val="auto"/>
          <w:kern w:val="0"/>
          <w:sz w:val="24"/>
          <w:highlight w:val="none"/>
        </w:rPr>
      </w:pPr>
      <w:r>
        <w:rPr>
          <w:rFonts w:hint="eastAsia"/>
          <w:color w:val="auto"/>
          <w:kern w:val="0"/>
          <w:sz w:val="24"/>
          <w:highlight w:val="none"/>
        </w:rPr>
        <w:t>2.3  审核和确认承建单位的项目实施方案</w:t>
      </w:r>
    </w:p>
    <w:p>
      <w:pPr>
        <w:spacing w:line="360" w:lineRule="auto"/>
        <w:ind w:firstLine="480" w:firstLineChars="200"/>
        <w:rPr>
          <w:color w:val="auto"/>
          <w:kern w:val="0"/>
          <w:sz w:val="24"/>
          <w:highlight w:val="none"/>
        </w:rPr>
      </w:pPr>
      <w:r>
        <w:rPr>
          <w:rFonts w:hint="eastAsia"/>
          <w:color w:val="auto"/>
          <w:kern w:val="0"/>
          <w:sz w:val="24"/>
          <w:highlight w:val="none"/>
        </w:rPr>
        <w:t>2.4  审核和确认承建单位提交的项目计划</w:t>
      </w:r>
    </w:p>
    <w:p>
      <w:pPr>
        <w:spacing w:line="360" w:lineRule="auto"/>
        <w:ind w:firstLine="480" w:firstLineChars="200"/>
        <w:rPr>
          <w:color w:val="auto"/>
          <w:kern w:val="0"/>
          <w:sz w:val="24"/>
          <w:highlight w:val="none"/>
        </w:rPr>
      </w:pPr>
      <w:r>
        <w:rPr>
          <w:rFonts w:hint="eastAsia"/>
          <w:color w:val="auto"/>
          <w:kern w:val="0"/>
          <w:sz w:val="24"/>
          <w:highlight w:val="none"/>
        </w:rPr>
        <w:t>2.5  审核和确认承建单位的项目质量保证计划、质量控制体系（含质量控制的关键性节点）</w:t>
      </w:r>
    </w:p>
    <w:p>
      <w:pPr>
        <w:spacing w:line="360" w:lineRule="auto"/>
        <w:ind w:firstLine="480" w:firstLineChars="200"/>
        <w:rPr>
          <w:color w:val="auto"/>
          <w:kern w:val="0"/>
          <w:sz w:val="24"/>
          <w:highlight w:val="none"/>
        </w:rPr>
      </w:pPr>
      <w:r>
        <w:rPr>
          <w:rFonts w:hint="eastAsia"/>
          <w:color w:val="auto"/>
          <w:kern w:val="0"/>
          <w:sz w:val="24"/>
          <w:highlight w:val="none"/>
        </w:rPr>
        <w:t>2.6  审核和确认承建单位的源代码管理方案</w:t>
      </w:r>
    </w:p>
    <w:p>
      <w:pPr>
        <w:spacing w:line="360" w:lineRule="auto"/>
        <w:ind w:firstLine="480" w:firstLineChars="200"/>
        <w:rPr>
          <w:color w:val="auto"/>
          <w:kern w:val="0"/>
          <w:sz w:val="24"/>
          <w:highlight w:val="none"/>
        </w:rPr>
      </w:pPr>
      <w:r>
        <w:rPr>
          <w:rFonts w:hint="eastAsia"/>
          <w:color w:val="auto"/>
          <w:kern w:val="0"/>
          <w:sz w:val="24"/>
          <w:highlight w:val="none"/>
        </w:rPr>
        <w:t>2.7  审核和确认承建单位的测试计划</w:t>
      </w:r>
    </w:p>
    <w:p>
      <w:pPr>
        <w:spacing w:line="360" w:lineRule="auto"/>
        <w:ind w:firstLine="480" w:firstLineChars="200"/>
        <w:rPr>
          <w:color w:val="auto"/>
          <w:kern w:val="0"/>
          <w:sz w:val="24"/>
          <w:highlight w:val="none"/>
        </w:rPr>
      </w:pPr>
      <w:r>
        <w:rPr>
          <w:rFonts w:hint="eastAsia"/>
          <w:color w:val="auto"/>
          <w:kern w:val="0"/>
          <w:sz w:val="24"/>
          <w:highlight w:val="none"/>
        </w:rPr>
        <w:t>2.8  审核和确认承建单位的组织和实施方案，项目进度计划和进度控制节点</w:t>
      </w:r>
    </w:p>
    <w:p>
      <w:pPr>
        <w:spacing w:line="360" w:lineRule="auto"/>
        <w:ind w:firstLine="480" w:firstLineChars="200"/>
        <w:rPr>
          <w:color w:val="auto"/>
          <w:kern w:val="0"/>
          <w:sz w:val="24"/>
          <w:highlight w:val="none"/>
        </w:rPr>
      </w:pPr>
      <w:r>
        <w:rPr>
          <w:rFonts w:hint="eastAsia"/>
          <w:color w:val="auto"/>
          <w:kern w:val="0"/>
          <w:sz w:val="24"/>
          <w:highlight w:val="none"/>
        </w:rPr>
        <w:t>3）项目质量控制</w:t>
      </w:r>
    </w:p>
    <w:p>
      <w:pPr>
        <w:spacing w:line="360" w:lineRule="auto"/>
        <w:ind w:firstLine="480" w:firstLineChars="200"/>
        <w:rPr>
          <w:color w:val="auto"/>
          <w:kern w:val="0"/>
          <w:sz w:val="24"/>
          <w:highlight w:val="none"/>
        </w:rPr>
      </w:pPr>
      <w:r>
        <w:rPr>
          <w:rFonts w:hint="eastAsia"/>
          <w:color w:val="auto"/>
          <w:kern w:val="0"/>
          <w:sz w:val="24"/>
          <w:highlight w:val="none"/>
        </w:rPr>
        <w:t>协助建设单位制定项目质量目标，提出质量控制的措施。审核并协助建设单位确认承建单位的技术工作方案，并监督执行。包括但不限于：</w:t>
      </w:r>
    </w:p>
    <w:p>
      <w:pPr>
        <w:spacing w:line="360" w:lineRule="auto"/>
        <w:ind w:firstLine="480" w:firstLineChars="200"/>
        <w:rPr>
          <w:color w:val="auto"/>
          <w:kern w:val="0"/>
          <w:sz w:val="24"/>
          <w:highlight w:val="none"/>
        </w:rPr>
      </w:pPr>
      <w:r>
        <w:rPr>
          <w:rFonts w:hint="eastAsia"/>
          <w:color w:val="auto"/>
          <w:kern w:val="0"/>
          <w:sz w:val="24"/>
          <w:highlight w:val="none"/>
        </w:rPr>
        <w:t>3.1  系统集成方案的审核和确认</w:t>
      </w:r>
    </w:p>
    <w:p>
      <w:pPr>
        <w:spacing w:line="360" w:lineRule="auto"/>
        <w:ind w:firstLine="480" w:firstLineChars="200"/>
        <w:rPr>
          <w:color w:val="auto"/>
          <w:kern w:val="0"/>
          <w:sz w:val="24"/>
          <w:highlight w:val="none"/>
        </w:rPr>
      </w:pPr>
      <w:r>
        <w:rPr>
          <w:rFonts w:hint="eastAsia"/>
          <w:color w:val="auto"/>
          <w:kern w:val="0"/>
          <w:sz w:val="24"/>
          <w:highlight w:val="none"/>
        </w:rPr>
        <w:t>3.2  审核和确认硬件和套装软件配置方案，审核关键设备、系统软件选型方案，协助系统集成商和建设方进行选型</w:t>
      </w:r>
    </w:p>
    <w:p>
      <w:pPr>
        <w:spacing w:line="360" w:lineRule="auto"/>
        <w:ind w:firstLine="480" w:firstLineChars="200"/>
        <w:rPr>
          <w:color w:val="auto"/>
          <w:kern w:val="0"/>
          <w:sz w:val="24"/>
          <w:highlight w:val="none"/>
        </w:rPr>
      </w:pPr>
      <w:r>
        <w:rPr>
          <w:rFonts w:hint="eastAsia"/>
          <w:color w:val="auto"/>
          <w:kern w:val="0"/>
          <w:sz w:val="24"/>
          <w:highlight w:val="none"/>
        </w:rPr>
        <w:t>3.3  对采购的硬件设备和套装软件的质量及安装调试进行检验、测试和验收</w:t>
      </w:r>
    </w:p>
    <w:p>
      <w:pPr>
        <w:spacing w:line="360" w:lineRule="auto"/>
        <w:ind w:firstLine="480" w:firstLineChars="200"/>
        <w:rPr>
          <w:color w:val="auto"/>
          <w:kern w:val="0"/>
          <w:sz w:val="24"/>
          <w:highlight w:val="none"/>
        </w:rPr>
      </w:pPr>
      <w:r>
        <w:rPr>
          <w:rFonts w:hint="eastAsia"/>
          <w:color w:val="auto"/>
          <w:kern w:val="0"/>
          <w:sz w:val="24"/>
          <w:highlight w:val="none"/>
        </w:rPr>
        <w:t>3.4  定制开发软件的阶段性计划的审核和确认</w:t>
      </w:r>
    </w:p>
    <w:p>
      <w:pPr>
        <w:spacing w:line="360" w:lineRule="auto"/>
        <w:ind w:firstLine="480" w:firstLineChars="200"/>
        <w:rPr>
          <w:color w:val="auto"/>
          <w:kern w:val="0"/>
          <w:sz w:val="24"/>
          <w:highlight w:val="none"/>
        </w:rPr>
      </w:pPr>
      <w:r>
        <w:rPr>
          <w:rFonts w:hint="eastAsia"/>
          <w:color w:val="auto"/>
          <w:kern w:val="0"/>
          <w:sz w:val="24"/>
          <w:highlight w:val="none"/>
        </w:rPr>
        <w:t>3.5  在对项目建设详细了解的基础上，协助建设单位对项目中定制开发软件的详细需求分析、详细设计、编码测试、安装调试、系统联调测试、系统试运行进行把关，组织对系统集成、联调测试和系统验收等各关键阶段进行的质量监督和审核</w:t>
      </w:r>
    </w:p>
    <w:p>
      <w:pPr>
        <w:spacing w:line="360" w:lineRule="auto"/>
        <w:ind w:firstLine="480" w:firstLineChars="200"/>
        <w:rPr>
          <w:color w:val="auto"/>
          <w:kern w:val="0"/>
          <w:sz w:val="24"/>
          <w:highlight w:val="none"/>
        </w:rPr>
      </w:pPr>
      <w:r>
        <w:rPr>
          <w:rFonts w:hint="eastAsia"/>
          <w:color w:val="auto"/>
          <w:kern w:val="0"/>
          <w:sz w:val="24"/>
          <w:highlight w:val="none"/>
        </w:rPr>
        <w:t>3.6  对承建单位的开发质量进行审核</w:t>
      </w:r>
    </w:p>
    <w:p>
      <w:pPr>
        <w:spacing w:line="360" w:lineRule="auto"/>
        <w:ind w:firstLine="480" w:firstLineChars="200"/>
        <w:rPr>
          <w:color w:val="auto"/>
          <w:kern w:val="0"/>
          <w:sz w:val="24"/>
          <w:highlight w:val="none"/>
        </w:rPr>
      </w:pPr>
      <w:r>
        <w:rPr>
          <w:rFonts w:hint="eastAsia"/>
          <w:color w:val="auto"/>
          <w:kern w:val="0"/>
          <w:sz w:val="24"/>
          <w:highlight w:val="none"/>
        </w:rPr>
        <w:t>3.7  对源代码、开发文件、设备、系统及相关文档进行移交验收</w:t>
      </w:r>
    </w:p>
    <w:p>
      <w:pPr>
        <w:spacing w:line="360" w:lineRule="auto"/>
        <w:ind w:firstLine="480" w:firstLineChars="200"/>
        <w:rPr>
          <w:color w:val="auto"/>
          <w:kern w:val="0"/>
          <w:sz w:val="24"/>
          <w:highlight w:val="none"/>
        </w:rPr>
      </w:pPr>
      <w:r>
        <w:rPr>
          <w:rFonts w:hint="eastAsia"/>
          <w:color w:val="auto"/>
          <w:kern w:val="0"/>
          <w:sz w:val="24"/>
          <w:highlight w:val="none"/>
        </w:rPr>
        <w:t>3.8  审核和确认承建单位的培训计划</w:t>
      </w:r>
    </w:p>
    <w:p>
      <w:pPr>
        <w:spacing w:line="360" w:lineRule="auto"/>
        <w:ind w:firstLine="480" w:firstLineChars="200"/>
        <w:rPr>
          <w:color w:val="auto"/>
          <w:kern w:val="0"/>
          <w:sz w:val="24"/>
          <w:highlight w:val="none"/>
        </w:rPr>
      </w:pPr>
      <w:r>
        <w:rPr>
          <w:rFonts w:hint="eastAsia"/>
          <w:color w:val="auto"/>
          <w:kern w:val="0"/>
          <w:sz w:val="24"/>
          <w:highlight w:val="none"/>
        </w:rPr>
        <w:t>3.9  监督承建单位实施其培训计划，并征求用户的反馈意见</w:t>
      </w:r>
    </w:p>
    <w:p>
      <w:pPr>
        <w:spacing w:line="360" w:lineRule="auto"/>
        <w:ind w:firstLine="480" w:firstLineChars="200"/>
        <w:rPr>
          <w:color w:val="auto"/>
          <w:kern w:val="0"/>
          <w:sz w:val="24"/>
          <w:highlight w:val="none"/>
        </w:rPr>
      </w:pPr>
      <w:r>
        <w:rPr>
          <w:rFonts w:hint="eastAsia"/>
          <w:color w:val="auto"/>
          <w:kern w:val="0"/>
          <w:sz w:val="24"/>
          <w:highlight w:val="none"/>
        </w:rPr>
        <w:t>3.10 审核和确认承建单位的培训总结报告</w:t>
      </w:r>
    </w:p>
    <w:p>
      <w:pPr>
        <w:spacing w:line="360" w:lineRule="auto"/>
        <w:ind w:firstLine="480" w:firstLineChars="200"/>
        <w:rPr>
          <w:color w:val="auto"/>
          <w:kern w:val="0"/>
          <w:sz w:val="24"/>
          <w:highlight w:val="none"/>
        </w:rPr>
      </w:pPr>
      <w:r>
        <w:rPr>
          <w:rFonts w:hint="eastAsia"/>
          <w:color w:val="auto"/>
          <w:kern w:val="0"/>
          <w:sz w:val="24"/>
          <w:highlight w:val="none"/>
        </w:rPr>
        <w:t>3.11 对系统集成进行总体验收</w:t>
      </w:r>
    </w:p>
    <w:p>
      <w:pPr>
        <w:spacing w:line="360" w:lineRule="auto"/>
        <w:ind w:firstLine="480" w:firstLineChars="200"/>
        <w:rPr>
          <w:color w:val="auto"/>
          <w:kern w:val="0"/>
          <w:sz w:val="24"/>
          <w:highlight w:val="none"/>
        </w:rPr>
      </w:pPr>
      <w:r>
        <w:rPr>
          <w:rFonts w:hint="eastAsia"/>
          <w:color w:val="auto"/>
          <w:kern w:val="0"/>
          <w:sz w:val="24"/>
          <w:highlight w:val="none"/>
        </w:rPr>
        <w:t>4）项目进度控制</w:t>
      </w:r>
    </w:p>
    <w:p>
      <w:pPr>
        <w:spacing w:line="360" w:lineRule="auto"/>
        <w:ind w:firstLine="480" w:firstLineChars="200"/>
        <w:rPr>
          <w:color w:val="auto"/>
          <w:kern w:val="0"/>
          <w:sz w:val="24"/>
          <w:highlight w:val="none"/>
        </w:rPr>
      </w:pPr>
      <w:r>
        <w:rPr>
          <w:rFonts w:hint="eastAsia"/>
          <w:color w:val="auto"/>
          <w:kern w:val="0"/>
          <w:sz w:val="24"/>
          <w:highlight w:val="none"/>
        </w:rPr>
        <w:t>4.1 审核项目各标段承建单位的进度分解计划，确认分解计划可以保证总体计划目标；</w:t>
      </w:r>
    </w:p>
    <w:p>
      <w:pPr>
        <w:spacing w:line="360" w:lineRule="auto"/>
        <w:ind w:firstLine="480" w:firstLineChars="200"/>
        <w:rPr>
          <w:color w:val="auto"/>
          <w:kern w:val="0"/>
          <w:sz w:val="24"/>
          <w:highlight w:val="none"/>
        </w:rPr>
      </w:pPr>
      <w:r>
        <w:rPr>
          <w:rFonts w:hint="eastAsia"/>
          <w:color w:val="auto"/>
          <w:kern w:val="0"/>
          <w:sz w:val="24"/>
          <w:highlight w:val="none"/>
        </w:rPr>
        <w:t>4.2 对项目各标段实施进度进行实时跟踪，并要求承建单位对进度计划进行动态调整，以确保项目的阶段和总体进度目标的实现；</w:t>
      </w:r>
    </w:p>
    <w:p>
      <w:pPr>
        <w:spacing w:line="360" w:lineRule="auto"/>
        <w:ind w:firstLine="480" w:firstLineChars="200"/>
        <w:rPr>
          <w:color w:val="auto"/>
          <w:kern w:val="0"/>
          <w:sz w:val="24"/>
          <w:highlight w:val="none"/>
        </w:rPr>
      </w:pPr>
      <w:r>
        <w:rPr>
          <w:rFonts w:hint="eastAsia"/>
          <w:color w:val="auto"/>
          <w:kern w:val="0"/>
          <w:sz w:val="24"/>
          <w:highlight w:val="none"/>
        </w:rPr>
        <w:t>4.3 当工期目标严重偏离时，应及时指出，并提出对策建议，同时督促相关承建单位尽快采取措施。</w:t>
      </w:r>
    </w:p>
    <w:p>
      <w:pPr>
        <w:spacing w:line="360" w:lineRule="auto"/>
        <w:ind w:firstLine="480" w:firstLineChars="200"/>
        <w:rPr>
          <w:color w:val="auto"/>
          <w:kern w:val="0"/>
          <w:sz w:val="24"/>
          <w:highlight w:val="none"/>
        </w:rPr>
      </w:pPr>
      <w:r>
        <w:rPr>
          <w:rFonts w:hint="eastAsia"/>
          <w:color w:val="auto"/>
          <w:kern w:val="0"/>
          <w:sz w:val="24"/>
          <w:highlight w:val="none"/>
        </w:rPr>
        <w:t>5）项目变更控制</w:t>
      </w:r>
    </w:p>
    <w:p>
      <w:pPr>
        <w:spacing w:line="360" w:lineRule="auto"/>
        <w:ind w:firstLine="480" w:firstLineChars="200"/>
        <w:rPr>
          <w:color w:val="auto"/>
          <w:kern w:val="0"/>
          <w:sz w:val="24"/>
          <w:highlight w:val="none"/>
        </w:rPr>
      </w:pPr>
      <w:r>
        <w:rPr>
          <w:rFonts w:hint="eastAsia"/>
          <w:color w:val="auto"/>
          <w:kern w:val="0"/>
          <w:sz w:val="24"/>
          <w:highlight w:val="none"/>
        </w:rPr>
        <w:t>5.1  协助建设单位建立项目配置管理体系</w:t>
      </w:r>
    </w:p>
    <w:p>
      <w:pPr>
        <w:spacing w:line="360" w:lineRule="auto"/>
        <w:ind w:firstLine="480" w:firstLineChars="200"/>
        <w:rPr>
          <w:color w:val="auto"/>
          <w:kern w:val="0"/>
          <w:sz w:val="24"/>
          <w:highlight w:val="none"/>
        </w:rPr>
      </w:pPr>
      <w:r>
        <w:rPr>
          <w:rFonts w:hint="eastAsia"/>
          <w:color w:val="auto"/>
          <w:kern w:val="0"/>
          <w:sz w:val="24"/>
          <w:highlight w:val="none"/>
        </w:rPr>
        <w:t>5.2  与采购人确定项目变更流程，并通知承建单位和建设单位</w:t>
      </w:r>
    </w:p>
    <w:p>
      <w:pPr>
        <w:spacing w:line="360" w:lineRule="auto"/>
        <w:ind w:firstLine="480" w:firstLineChars="200"/>
        <w:rPr>
          <w:color w:val="auto"/>
          <w:kern w:val="0"/>
          <w:sz w:val="24"/>
          <w:highlight w:val="none"/>
        </w:rPr>
      </w:pPr>
      <w:r>
        <w:rPr>
          <w:rFonts w:hint="eastAsia"/>
          <w:color w:val="auto"/>
          <w:kern w:val="0"/>
          <w:sz w:val="24"/>
          <w:highlight w:val="none"/>
        </w:rPr>
        <w:t>5.3  对建设单位和承建单位的变更申请快速响应，了解情况，撰写相关备忘录</w:t>
      </w:r>
    </w:p>
    <w:p>
      <w:pPr>
        <w:spacing w:line="360" w:lineRule="auto"/>
        <w:ind w:firstLine="480" w:firstLineChars="200"/>
        <w:rPr>
          <w:color w:val="auto"/>
          <w:kern w:val="0"/>
          <w:sz w:val="24"/>
          <w:highlight w:val="none"/>
        </w:rPr>
      </w:pPr>
      <w:r>
        <w:rPr>
          <w:rFonts w:hint="eastAsia"/>
          <w:color w:val="auto"/>
          <w:kern w:val="0"/>
          <w:sz w:val="24"/>
          <w:highlight w:val="none"/>
        </w:rPr>
        <w:t>5.4  评估和处理变更，界定变更的目标，选择冲击最小的方案，防止变更扩大化，并征得建设单位批准</w:t>
      </w:r>
    </w:p>
    <w:p>
      <w:pPr>
        <w:spacing w:line="360" w:lineRule="auto"/>
        <w:ind w:firstLine="480" w:firstLineChars="200"/>
        <w:rPr>
          <w:color w:val="auto"/>
          <w:kern w:val="0"/>
          <w:sz w:val="24"/>
          <w:highlight w:val="none"/>
        </w:rPr>
      </w:pPr>
      <w:r>
        <w:rPr>
          <w:rFonts w:hint="eastAsia"/>
          <w:color w:val="auto"/>
          <w:kern w:val="0"/>
          <w:sz w:val="24"/>
          <w:highlight w:val="none"/>
        </w:rPr>
        <w:t>5.5  建设单位确认变更后，书面向干系人公布变更信息。督促承建单位按照项目配置管理规定，调整项目相关文档</w:t>
      </w:r>
    </w:p>
    <w:p>
      <w:pPr>
        <w:spacing w:line="360" w:lineRule="auto"/>
        <w:ind w:firstLine="480" w:firstLineChars="200"/>
        <w:rPr>
          <w:color w:val="auto"/>
          <w:kern w:val="0"/>
          <w:sz w:val="24"/>
          <w:highlight w:val="none"/>
        </w:rPr>
      </w:pPr>
      <w:r>
        <w:rPr>
          <w:rFonts w:hint="eastAsia"/>
          <w:color w:val="auto"/>
          <w:kern w:val="0"/>
          <w:sz w:val="24"/>
          <w:highlight w:val="none"/>
        </w:rPr>
        <w:t>5.6  根据采购人要求，定期或分阶段进行项目变更风险的评估</w:t>
      </w:r>
    </w:p>
    <w:p>
      <w:pPr>
        <w:spacing w:line="360" w:lineRule="auto"/>
        <w:ind w:firstLine="480" w:firstLineChars="200"/>
        <w:rPr>
          <w:color w:val="auto"/>
          <w:kern w:val="0"/>
          <w:sz w:val="24"/>
          <w:highlight w:val="none"/>
        </w:rPr>
      </w:pPr>
      <w:r>
        <w:rPr>
          <w:rFonts w:hint="eastAsia"/>
          <w:color w:val="auto"/>
          <w:kern w:val="0"/>
          <w:sz w:val="24"/>
          <w:highlight w:val="none"/>
        </w:rPr>
        <w:t>5.7  执行制定的变更程序，对变更进行严格的控制</w:t>
      </w:r>
    </w:p>
    <w:p>
      <w:pPr>
        <w:spacing w:line="360" w:lineRule="auto"/>
        <w:ind w:firstLine="480" w:firstLineChars="200"/>
        <w:rPr>
          <w:color w:val="auto"/>
          <w:kern w:val="0"/>
          <w:sz w:val="24"/>
          <w:highlight w:val="none"/>
        </w:rPr>
      </w:pPr>
      <w:r>
        <w:rPr>
          <w:rFonts w:hint="eastAsia"/>
          <w:color w:val="auto"/>
          <w:kern w:val="0"/>
          <w:sz w:val="24"/>
          <w:highlight w:val="none"/>
        </w:rPr>
        <w:t>5.8  对变更执行效果进行检查</w:t>
      </w:r>
    </w:p>
    <w:p>
      <w:pPr>
        <w:spacing w:line="360" w:lineRule="auto"/>
        <w:ind w:firstLine="480" w:firstLineChars="200"/>
        <w:rPr>
          <w:color w:val="auto"/>
          <w:kern w:val="0"/>
          <w:sz w:val="24"/>
          <w:highlight w:val="none"/>
        </w:rPr>
      </w:pPr>
      <w:r>
        <w:rPr>
          <w:rFonts w:hint="eastAsia"/>
          <w:color w:val="auto"/>
          <w:kern w:val="0"/>
          <w:sz w:val="24"/>
          <w:highlight w:val="none"/>
        </w:rPr>
        <w:t>5.9  主持建设单位与承建单位关于项目变更产生的有关争议而进行的谈判</w:t>
      </w:r>
    </w:p>
    <w:p>
      <w:pPr>
        <w:spacing w:line="360" w:lineRule="auto"/>
        <w:ind w:firstLine="480" w:firstLineChars="200"/>
        <w:rPr>
          <w:color w:val="auto"/>
          <w:kern w:val="0"/>
          <w:sz w:val="24"/>
          <w:highlight w:val="none"/>
        </w:rPr>
      </w:pPr>
      <w:r>
        <w:rPr>
          <w:rFonts w:hint="eastAsia"/>
          <w:color w:val="auto"/>
          <w:kern w:val="0"/>
          <w:sz w:val="24"/>
          <w:highlight w:val="none"/>
        </w:rPr>
        <w:t>6）项目投资控制</w:t>
      </w:r>
    </w:p>
    <w:p>
      <w:pPr>
        <w:spacing w:line="360" w:lineRule="auto"/>
        <w:ind w:firstLine="480" w:firstLineChars="200"/>
        <w:rPr>
          <w:color w:val="auto"/>
          <w:kern w:val="0"/>
          <w:sz w:val="24"/>
          <w:highlight w:val="none"/>
        </w:rPr>
      </w:pPr>
      <w:r>
        <w:rPr>
          <w:rFonts w:hint="eastAsia"/>
          <w:color w:val="auto"/>
          <w:kern w:val="0"/>
          <w:sz w:val="24"/>
          <w:highlight w:val="none"/>
        </w:rPr>
        <w:t>6.1协助采购人和建设单位制定项目投资控制目标，提出投资控制的措施。</w:t>
      </w:r>
    </w:p>
    <w:p>
      <w:pPr>
        <w:spacing w:line="360" w:lineRule="auto"/>
        <w:ind w:firstLine="480" w:firstLineChars="200"/>
        <w:rPr>
          <w:color w:val="auto"/>
          <w:kern w:val="0"/>
          <w:sz w:val="24"/>
          <w:highlight w:val="none"/>
        </w:rPr>
      </w:pPr>
      <w:r>
        <w:rPr>
          <w:rFonts w:hint="eastAsia"/>
          <w:color w:val="auto"/>
          <w:kern w:val="0"/>
          <w:sz w:val="24"/>
          <w:highlight w:val="none"/>
        </w:rPr>
        <w:t>6.2针对项目过程中的需求变更导致的开发费用，审核其合理性。</w:t>
      </w:r>
    </w:p>
    <w:p>
      <w:pPr>
        <w:spacing w:line="360" w:lineRule="auto"/>
        <w:ind w:firstLine="480" w:firstLineChars="200"/>
        <w:rPr>
          <w:color w:val="auto"/>
          <w:kern w:val="0"/>
          <w:sz w:val="24"/>
          <w:highlight w:val="none"/>
        </w:rPr>
      </w:pPr>
      <w:r>
        <w:rPr>
          <w:rFonts w:hint="eastAsia"/>
          <w:color w:val="auto"/>
          <w:kern w:val="0"/>
          <w:sz w:val="24"/>
          <w:highlight w:val="none"/>
        </w:rPr>
        <w:t>6.3通过对项目实施中的方案以及设计的评估和优化，确保投资控制在合理、性价比高的范围内。</w:t>
      </w:r>
    </w:p>
    <w:p>
      <w:pPr>
        <w:spacing w:line="360" w:lineRule="auto"/>
        <w:ind w:firstLine="480" w:firstLineChars="200"/>
        <w:rPr>
          <w:color w:val="auto"/>
          <w:kern w:val="0"/>
          <w:sz w:val="24"/>
          <w:highlight w:val="none"/>
        </w:rPr>
      </w:pPr>
      <w:r>
        <w:rPr>
          <w:rFonts w:hint="eastAsia"/>
          <w:color w:val="auto"/>
          <w:kern w:val="0"/>
          <w:sz w:val="24"/>
          <w:highlight w:val="none"/>
        </w:rPr>
        <w:t>6.4协助建设单位监督配套资金落实情况，确保财政资金使用安全。</w:t>
      </w:r>
    </w:p>
    <w:p>
      <w:pPr>
        <w:spacing w:line="360" w:lineRule="auto"/>
        <w:ind w:firstLine="480" w:firstLineChars="200"/>
        <w:rPr>
          <w:color w:val="auto"/>
          <w:kern w:val="0"/>
          <w:sz w:val="24"/>
          <w:highlight w:val="none"/>
        </w:rPr>
      </w:pPr>
      <w:r>
        <w:rPr>
          <w:rFonts w:hint="eastAsia"/>
          <w:color w:val="auto"/>
          <w:kern w:val="0"/>
          <w:sz w:val="24"/>
          <w:highlight w:val="none"/>
        </w:rPr>
        <w:t>6.5协助建设单位做好项目支付预算的现金流量表，及时向建设单位提供项目质量和项目进度审核结果，以使付款进度能够与项目质量和项目进度结合起来。</w:t>
      </w:r>
    </w:p>
    <w:p>
      <w:pPr>
        <w:spacing w:line="360" w:lineRule="auto"/>
        <w:ind w:firstLine="480" w:firstLineChars="200"/>
        <w:rPr>
          <w:color w:val="auto"/>
          <w:kern w:val="0"/>
          <w:sz w:val="24"/>
          <w:highlight w:val="none"/>
        </w:rPr>
      </w:pPr>
      <w:r>
        <w:rPr>
          <w:rFonts w:hint="eastAsia"/>
          <w:color w:val="auto"/>
          <w:kern w:val="0"/>
          <w:sz w:val="24"/>
          <w:highlight w:val="none"/>
        </w:rPr>
        <w:t>7）项目合同管理</w:t>
      </w:r>
    </w:p>
    <w:p>
      <w:pPr>
        <w:spacing w:line="360" w:lineRule="auto"/>
        <w:ind w:firstLine="480" w:firstLineChars="200"/>
        <w:rPr>
          <w:color w:val="auto"/>
          <w:kern w:val="0"/>
          <w:sz w:val="24"/>
          <w:highlight w:val="none"/>
        </w:rPr>
      </w:pPr>
      <w:r>
        <w:rPr>
          <w:rFonts w:hint="eastAsia"/>
          <w:color w:val="auto"/>
          <w:kern w:val="0"/>
          <w:sz w:val="24"/>
          <w:highlight w:val="none"/>
        </w:rPr>
        <w:t xml:space="preserve">7.1跟踪检查合同的执行情况，监督承建单位按时履约。 </w:t>
      </w:r>
    </w:p>
    <w:p>
      <w:pPr>
        <w:spacing w:line="360" w:lineRule="auto"/>
        <w:ind w:firstLine="480" w:firstLineChars="200"/>
        <w:rPr>
          <w:color w:val="auto"/>
          <w:kern w:val="0"/>
          <w:sz w:val="24"/>
          <w:highlight w:val="none"/>
        </w:rPr>
      </w:pPr>
      <w:r>
        <w:rPr>
          <w:rFonts w:hint="eastAsia"/>
          <w:color w:val="auto"/>
          <w:kern w:val="0"/>
          <w:sz w:val="24"/>
          <w:highlight w:val="none"/>
        </w:rPr>
        <w:t>7.2对合同工期的延误和延期进行审核确认。</w:t>
      </w:r>
    </w:p>
    <w:p>
      <w:pPr>
        <w:spacing w:line="360" w:lineRule="auto"/>
        <w:ind w:firstLine="480" w:firstLineChars="200"/>
        <w:rPr>
          <w:color w:val="auto"/>
          <w:kern w:val="0"/>
          <w:sz w:val="24"/>
          <w:highlight w:val="none"/>
        </w:rPr>
      </w:pPr>
      <w:r>
        <w:rPr>
          <w:rFonts w:hint="eastAsia"/>
          <w:color w:val="auto"/>
          <w:kern w:val="0"/>
          <w:sz w:val="24"/>
          <w:highlight w:val="none"/>
        </w:rPr>
        <w:t>7.3对合同变更、索赔等事宜进行审核确认。</w:t>
      </w:r>
    </w:p>
    <w:p>
      <w:pPr>
        <w:spacing w:line="360" w:lineRule="auto"/>
        <w:ind w:firstLine="480" w:firstLineChars="200"/>
        <w:rPr>
          <w:color w:val="auto"/>
          <w:kern w:val="0"/>
          <w:sz w:val="24"/>
          <w:highlight w:val="none"/>
        </w:rPr>
      </w:pPr>
      <w:r>
        <w:rPr>
          <w:rFonts w:hint="eastAsia"/>
          <w:color w:val="auto"/>
          <w:kern w:val="0"/>
          <w:sz w:val="24"/>
          <w:highlight w:val="none"/>
        </w:rPr>
        <w:t>7.4根据合同约定，审核承建单位提交的支付申请，签发付款凭证。</w:t>
      </w:r>
    </w:p>
    <w:p>
      <w:pPr>
        <w:spacing w:line="360" w:lineRule="auto"/>
        <w:ind w:firstLine="480" w:firstLineChars="200"/>
        <w:rPr>
          <w:color w:val="auto"/>
          <w:kern w:val="0"/>
          <w:sz w:val="24"/>
          <w:highlight w:val="none"/>
        </w:rPr>
      </w:pPr>
      <w:r>
        <w:rPr>
          <w:rFonts w:hint="eastAsia"/>
          <w:color w:val="auto"/>
          <w:kern w:val="0"/>
          <w:sz w:val="24"/>
          <w:highlight w:val="none"/>
        </w:rPr>
        <w:t>8）信息管理/项目文档管理</w:t>
      </w:r>
    </w:p>
    <w:p>
      <w:pPr>
        <w:spacing w:line="360" w:lineRule="auto"/>
        <w:ind w:firstLine="480" w:firstLineChars="200"/>
        <w:rPr>
          <w:color w:val="auto"/>
          <w:kern w:val="0"/>
          <w:sz w:val="24"/>
          <w:highlight w:val="none"/>
        </w:rPr>
      </w:pPr>
      <w:r>
        <w:rPr>
          <w:rFonts w:hint="eastAsia"/>
          <w:color w:val="auto"/>
          <w:kern w:val="0"/>
          <w:sz w:val="24"/>
          <w:highlight w:val="none"/>
        </w:rPr>
        <w:t>8.1  做好监理日记及项目大事记</w:t>
      </w:r>
    </w:p>
    <w:p>
      <w:pPr>
        <w:spacing w:line="360" w:lineRule="auto"/>
        <w:ind w:firstLine="480" w:firstLineChars="200"/>
        <w:rPr>
          <w:color w:val="auto"/>
          <w:kern w:val="0"/>
          <w:sz w:val="24"/>
          <w:highlight w:val="none"/>
        </w:rPr>
      </w:pPr>
      <w:r>
        <w:rPr>
          <w:rFonts w:hint="eastAsia"/>
          <w:color w:val="auto"/>
          <w:kern w:val="0"/>
          <w:sz w:val="24"/>
          <w:highlight w:val="none"/>
        </w:rPr>
        <w:t>8.2  做好合同批复等各类往来文件的批复和存档</w:t>
      </w:r>
    </w:p>
    <w:p>
      <w:pPr>
        <w:spacing w:line="360" w:lineRule="auto"/>
        <w:ind w:firstLine="480" w:firstLineChars="200"/>
        <w:rPr>
          <w:color w:val="auto"/>
          <w:kern w:val="0"/>
          <w:sz w:val="24"/>
          <w:highlight w:val="none"/>
        </w:rPr>
      </w:pPr>
      <w:r>
        <w:rPr>
          <w:rFonts w:hint="eastAsia"/>
          <w:color w:val="auto"/>
          <w:kern w:val="0"/>
          <w:sz w:val="24"/>
          <w:highlight w:val="none"/>
        </w:rPr>
        <w:t>8.3  做好项目协调会、技术专题会的会议纪要</w:t>
      </w:r>
    </w:p>
    <w:p>
      <w:pPr>
        <w:spacing w:line="360" w:lineRule="auto"/>
        <w:ind w:firstLine="480" w:firstLineChars="200"/>
        <w:rPr>
          <w:color w:val="auto"/>
          <w:kern w:val="0"/>
          <w:sz w:val="24"/>
          <w:highlight w:val="none"/>
        </w:rPr>
      </w:pPr>
      <w:r>
        <w:rPr>
          <w:rFonts w:hint="eastAsia"/>
          <w:color w:val="auto"/>
          <w:kern w:val="0"/>
          <w:sz w:val="24"/>
          <w:highlight w:val="none"/>
        </w:rPr>
        <w:t>8.4  管理好实施期间的各类技术文档</w:t>
      </w:r>
    </w:p>
    <w:p>
      <w:pPr>
        <w:spacing w:line="360" w:lineRule="auto"/>
        <w:ind w:firstLine="480" w:firstLineChars="200"/>
        <w:rPr>
          <w:color w:val="auto"/>
          <w:kern w:val="0"/>
          <w:sz w:val="24"/>
          <w:highlight w:val="none"/>
        </w:rPr>
      </w:pPr>
      <w:r>
        <w:rPr>
          <w:rFonts w:hint="eastAsia"/>
          <w:color w:val="auto"/>
          <w:kern w:val="0"/>
          <w:sz w:val="24"/>
          <w:highlight w:val="none"/>
        </w:rPr>
        <w:t>8.5  项目周报</w:t>
      </w:r>
    </w:p>
    <w:p>
      <w:pPr>
        <w:spacing w:line="360" w:lineRule="auto"/>
        <w:ind w:firstLine="480" w:firstLineChars="200"/>
        <w:rPr>
          <w:color w:val="auto"/>
          <w:kern w:val="0"/>
          <w:sz w:val="24"/>
          <w:highlight w:val="none"/>
        </w:rPr>
      </w:pPr>
      <w:r>
        <w:rPr>
          <w:rFonts w:hint="eastAsia"/>
          <w:color w:val="auto"/>
          <w:kern w:val="0"/>
          <w:sz w:val="24"/>
          <w:highlight w:val="none"/>
        </w:rPr>
        <w:t>8.6  监理建议书</w:t>
      </w:r>
    </w:p>
    <w:p>
      <w:pPr>
        <w:spacing w:line="360" w:lineRule="auto"/>
        <w:ind w:firstLine="480" w:firstLineChars="200"/>
        <w:rPr>
          <w:color w:val="auto"/>
          <w:kern w:val="0"/>
          <w:sz w:val="24"/>
          <w:highlight w:val="none"/>
        </w:rPr>
      </w:pPr>
      <w:r>
        <w:rPr>
          <w:rFonts w:hint="eastAsia"/>
          <w:color w:val="auto"/>
          <w:kern w:val="0"/>
          <w:sz w:val="24"/>
          <w:highlight w:val="none"/>
        </w:rPr>
        <w:t>8.7  监理通知</w:t>
      </w:r>
    </w:p>
    <w:p>
      <w:pPr>
        <w:spacing w:line="360" w:lineRule="auto"/>
        <w:ind w:firstLine="480" w:firstLineChars="200"/>
        <w:rPr>
          <w:color w:val="auto"/>
          <w:kern w:val="0"/>
          <w:sz w:val="24"/>
          <w:highlight w:val="none"/>
        </w:rPr>
      </w:pPr>
      <w:r>
        <w:rPr>
          <w:rFonts w:hint="eastAsia"/>
          <w:color w:val="auto"/>
          <w:kern w:val="0"/>
          <w:sz w:val="24"/>
          <w:highlight w:val="none"/>
        </w:rPr>
        <w:t>8.8  各种会议纪要</w:t>
      </w:r>
    </w:p>
    <w:p>
      <w:pPr>
        <w:spacing w:line="360" w:lineRule="auto"/>
        <w:ind w:firstLine="480" w:firstLineChars="200"/>
        <w:rPr>
          <w:color w:val="auto"/>
          <w:kern w:val="0"/>
          <w:sz w:val="24"/>
          <w:highlight w:val="none"/>
        </w:rPr>
      </w:pPr>
      <w:r>
        <w:rPr>
          <w:rFonts w:hint="eastAsia"/>
          <w:color w:val="auto"/>
          <w:kern w:val="0"/>
          <w:sz w:val="24"/>
          <w:highlight w:val="none"/>
        </w:rPr>
        <w:t>8.9  阶段性项目总结</w:t>
      </w:r>
    </w:p>
    <w:p>
      <w:pPr>
        <w:spacing w:line="360" w:lineRule="auto"/>
        <w:ind w:firstLine="480" w:firstLineChars="200"/>
        <w:rPr>
          <w:color w:val="auto"/>
          <w:kern w:val="0"/>
          <w:sz w:val="24"/>
          <w:highlight w:val="none"/>
        </w:rPr>
      </w:pPr>
      <w:r>
        <w:rPr>
          <w:rFonts w:hint="eastAsia"/>
          <w:color w:val="auto"/>
          <w:kern w:val="0"/>
          <w:sz w:val="24"/>
          <w:highlight w:val="none"/>
        </w:rPr>
        <w:t>8.10  各承建方提交的技术文档</w:t>
      </w:r>
    </w:p>
    <w:p>
      <w:pPr>
        <w:spacing w:line="360" w:lineRule="auto"/>
        <w:ind w:firstLine="480" w:firstLineChars="200"/>
        <w:rPr>
          <w:color w:val="auto"/>
          <w:kern w:val="0"/>
          <w:sz w:val="24"/>
          <w:highlight w:val="none"/>
        </w:rPr>
      </w:pPr>
      <w:r>
        <w:rPr>
          <w:rFonts w:hint="eastAsia"/>
          <w:color w:val="auto"/>
          <w:kern w:val="0"/>
          <w:sz w:val="24"/>
          <w:highlight w:val="none"/>
        </w:rPr>
        <w:t>9）项目安全管理</w:t>
      </w:r>
    </w:p>
    <w:p>
      <w:pPr>
        <w:spacing w:line="360" w:lineRule="auto"/>
        <w:ind w:firstLine="480" w:firstLineChars="200"/>
        <w:rPr>
          <w:color w:val="auto"/>
          <w:kern w:val="0"/>
          <w:sz w:val="24"/>
          <w:highlight w:val="none"/>
        </w:rPr>
      </w:pPr>
      <w:r>
        <w:rPr>
          <w:rFonts w:hint="eastAsia"/>
          <w:color w:val="auto"/>
          <w:kern w:val="0"/>
          <w:sz w:val="24"/>
          <w:highlight w:val="none"/>
        </w:rPr>
        <w:t>9.1  负责项目建设过程中所涉及的政府机密数据和资料的保护，保证不被非授权使用</w:t>
      </w:r>
    </w:p>
    <w:p>
      <w:pPr>
        <w:spacing w:line="360" w:lineRule="auto"/>
        <w:ind w:firstLine="480" w:firstLineChars="200"/>
        <w:rPr>
          <w:color w:val="auto"/>
          <w:kern w:val="0"/>
          <w:sz w:val="24"/>
          <w:highlight w:val="none"/>
        </w:rPr>
      </w:pPr>
      <w:r>
        <w:rPr>
          <w:rFonts w:hint="eastAsia"/>
          <w:color w:val="auto"/>
          <w:kern w:val="0"/>
          <w:sz w:val="24"/>
          <w:highlight w:val="none"/>
        </w:rPr>
        <w:t>9.2  负责项目建设施工过程中安全控制，确保不出现安全事故</w:t>
      </w:r>
    </w:p>
    <w:p>
      <w:pPr>
        <w:spacing w:line="360" w:lineRule="auto"/>
        <w:ind w:firstLine="480" w:firstLineChars="200"/>
        <w:rPr>
          <w:color w:val="auto"/>
          <w:kern w:val="0"/>
          <w:sz w:val="24"/>
          <w:highlight w:val="none"/>
        </w:rPr>
      </w:pPr>
      <w:r>
        <w:rPr>
          <w:rFonts w:hint="eastAsia"/>
          <w:color w:val="auto"/>
          <w:kern w:val="0"/>
          <w:sz w:val="24"/>
          <w:highlight w:val="none"/>
        </w:rPr>
        <w:t>10）项目沟通管理</w:t>
      </w:r>
    </w:p>
    <w:p>
      <w:pPr>
        <w:spacing w:line="360" w:lineRule="auto"/>
        <w:ind w:firstLine="480" w:firstLineChars="200"/>
        <w:rPr>
          <w:color w:val="auto"/>
          <w:kern w:val="0"/>
          <w:sz w:val="24"/>
          <w:highlight w:val="none"/>
        </w:rPr>
      </w:pPr>
      <w:r>
        <w:rPr>
          <w:rFonts w:hint="eastAsia"/>
          <w:color w:val="auto"/>
          <w:kern w:val="0"/>
          <w:sz w:val="24"/>
          <w:highlight w:val="none"/>
        </w:rPr>
        <w:t>经建设单位委托，负责协调本项目所涉及的相关承建单位之间的工作关系，对于项目实施过程中出现的可能影响项目建设目标的情况，及时予以通报并召开相关会议，协调解决项目建设过程中的各类纠纷。</w:t>
      </w:r>
    </w:p>
    <w:p>
      <w:pPr>
        <w:spacing w:line="360" w:lineRule="auto"/>
        <w:ind w:firstLine="480" w:firstLineChars="200"/>
        <w:rPr>
          <w:color w:val="auto"/>
          <w:kern w:val="0"/>
          <w:sz w:val="24"/>
          <w:highlight w:val="none"/>
        </w:rPr>
      </w:pPr>
      <w:r>
        <w:rPr>
          <w:rFonts w:hint="eastAsia"/>
          <w:color w:val="auto"/>
          <w:kern w:val="0"/>
          <w:sz w:val="24"/>
          <w:highlight w:val="none"/>
        </w:rPr>
        <w:t>监理方应该通过必要的会议制度来实施协调工作，主要包括：</w:t>
      </w:r>
    </w:p>
    <w:p>
      <w:pPr>
        <w:spacing w:line="360" w:lineRule="auto"/>
        <w:ind w:firstLine="480" w:firstLineChars="200"/>
        <w:rPr>
          <w:color w:val="auto"/>
          <w:kern w:val="0"/>
          <w:sz w:val="24"/>
          <w:highlight w:val="none"/>
        </w:rPr>
      </w:pPr>
      <w:r>
        <w:rPr>
          <w:rFonts w:hint="eastAsia"/>
          <w:color w:val="auto"/>
          <w:kern w:val="0"/>
          <w:sz w:val="24"/>
          <w:highlight w:val="none"/>
        </w:rPr>
        <w:t>10.1  现场会；</w:t>
      </w:r>
    </w:p>
    <w:p>
      <w:pPr>
        <w:spacing w:line="360" w:lineRule="auto"/>
        <w:ind w:firstLine="480" w:firstLineChars="200"/>
        <w:rPr>
          <w:color w:val="auto"/>
          <w:kern w:val="0"/>
          <w:sz w:val="24"/>
          <w:highlight w:val="none"/>
        </w:rPr>
      </w:pPr>
      <w:r>
        <w:rPr>
          <w:rFonts w:hint="eastAsia"/>
          <w:color w:val="auto"/>
          <w:kern w:val="0"/>
          <w:sz w:val="24"/>
          <w:highlight w:val="none"/>
        </w:rPr>
        <w:t>10.2  监理交底会</w:t>
      </w:r>
    </w:p>
    <w:p>
      <w:pPr>
        <w:spacing w:line="360" w:lineRule="auto"/>
        <w:ind w:firstLine="480" w:firstLineChars="200"/>
        <w:rPr>
          <w:color w:val="auto"/>
          <w:kern w:val="0"/>
          <w:sz w:val="24"/>
          <w:highlight w:val="none"/>
        </w:rPr>
      </w:pPr>
      <w:r>
        <w:rPr>
          <w:rFonts w:hint="eastAsia"/>
          <w:color w:val="auto"/>
          <w:kern w:val="0"/>
          <w:sz w:val="24"/>
          <w:highlight w:val="none"/>
        </w:rPr>
        <w:t>10.3  周例会</w:t>
      </w:r>
    </w:p>
    <w:p>
      <w:pPr>
        <w:spacing w:line="360" w:lineRule="auto"/>
        <w:ind w:firstLine="480" w:firstLineChars="200"/>
        <w:rPr>
          <w:color w:val="auto"/>
          <w:kern w:val="0"/>
          <w:sz w:val="24"/>
          <w:highlight w:val="none"/>
        </w:rPr>
      </w:pPr>
      <w:r>
        <w:rPr>
          <w:rFonts w:hint="eastAsia"/>
          <w:color w:val="auto"/>
          <w:kern w:val="0"/>
          <w:sz w:val="24"/>
          <w:highlight w:val="none"/>
        </w:rPr>
        <w:t>10.4  监理协调会</w:t>
      </w:r>
    </w:p>
    <w:p>
      <w:pPr>
        <w:spacing w:line="360" w:lineRule="auto"/>
        <w:ind w:firstLine="480" w:firstLineChars="200"/>
        <w:rPr>
          <w:color w:val="auto"/>
          <w:kern w:val="0"/>
          <w:sz w:val="24"/>
          <w:highlight w:val="none"/>
        </w:rPr>
      </w:pPr>
      <w:r>
        <w:rPr>
          <w:rFonts w:hint="eastAsia"/>
          <w:color w:val="auto"/>
          <w:kern w:val="0"/>
          <w:sz w:val="24"/>
          <w:highlight w:val="none"/>
        </w:rPr>
        <w:t>10.5  专题讨论会</w:t>
      </w:r>
    </w:p>
    <w:p>
      <w:pPr>
        <w:spacing w:line="360" w:lineRule="auto"/>
        <w:ind w:firstLine="480" w:firstLineChars="200"/>
        <w:rPr>
          <w:color w:val="auto"/>
          <w:kern w:val="0"/>
          <w:sz w:val="24"/>
          <w:highlight w:val="none"/>
        </w:rPr>
      </w:pPr>
      <w:r>
        <w:rPr>
          <w:rFonts w:hint="eastAsia"/>
          <w:color w:val="auto"/>
          <w:kern w:val="0"/>
          <w:sz w:val="24"/>
          <w:highlight w:val="none"/>
        </w:rPr>
        <w:t>10.6  专家论证会</w:t>
      </w:r>
    </w:p>
    <w:p>
      <w:pPr>
        <w:spacing w:line="360" w:lineRule="auto"/>
        <w:ind w:firstLine="480" w:firstLineChars="200"/>
        <w:rPr>
          <w:color w:val="auto"/>
          <w:kern w:val="0"/>
          <w:sz w:val="24"/>
          <w:highlight w:val="none"/>
        </w:rPr>
      </w:pPr>
      <w:r>
        <w:rPr>
          <w:rFonts w:hint="eastAsia"/>
          <w:color w:val="auto"/>
          <w:kern w:val="0"/>
          <w:sz w:val="24"/>
          <w:highlight w:val="none"/>
        </w:rPr>
        <w:t>10.7  阶段工作总结会</w:t>
      </w:r>
    </w:p>
    <w:p>
      <w:pPr>
        <w:spacing w:line="360" w:lineRule="auto"/>
        <w:ind w:firstLine="480" w:firstLineChars="200"/>
        <w:rPr>
          <w:color w:val="auto"/>
          <w:kern w:val="0"/>
          <w:sz w:val="24"/>
          <w:highlight w:val="none"/>
        </w:rPr>
      </w:pPr>
      <w:r>
        <w:rPr>
          <w:rFonts w:hint="eastAsia"/>
          <w:color w:val="auto"/>
          <w:kern w:val="0"/>
          <w:sz w:val="24"/>
          <w:highlight w:val="none"/>
        </w:rPr>
        <w:t>10.8  问题通报会</w:t>
      </w:r>
    </w:p>
    <w:p>
      <w:pPr>
        <w:spacing w:line="360" w:lineRule="auto"/>
        <w:ind w:firstLine="480" w:firstLineChars="200"/>
        <w:rPr>
          <w:color w:val="auto"/>
          <w:kern w:val="0"/>
          <w:sz w:val="24"/>
          <w:highlight w:val="none"/>
        </w:rPr>
      </w:pPr>
      <w:r>
        <w:rPr>
          <w:rFonts w:hint="eastAsia"/>
          <w:color w:val="auto"/>
          <w:kern w:val="0"/>
          <w:sz w:val="24"/>
          <w:highlight w:val="none"/>
        </w:rPr>
        <w:t>10.9  阶段及最终验收会</w:t>
      </w:r>
    </w:p>
    <w:p>
      <w:pPr>
        <w:spacing w:line="360" w:lineRule="auto"/>
        <w:ind w:firstLine="480" w:firstLineChars="200"/>
        <w:rPr>
          <w:color w:val="auto"/>
          <w:kern w:val="0"/>
          <w:sz w:val="24"/>
          <w:highlight w:val="none"/>
        </w:rPr>
      </w:pPr>
      <w:r>
        <w:rPr>
          <w:rFonts w:hint="eastAsia"/>
          <w:color w:val="auto"/>
          <w:kern w:val="0"/>
          <w:sz w:val="24"/>
          <w:highlight w:val="none"/>
        </w:rPr>
        <w:t>11）项目知识产权管理</w:t>
      </w:r>
    </w:p>
    <w:p>
      <w:pPr>
        <w:spacing w:line="360" w:lineRule="auto"/>
        <w:ind w:firstLine="480" w:firstLineChars="200"/>
        <w:rPr>
          <w:color w:val="auto"/>
          <w:kern w:val="0"/>
          <w:sz w:val="24"/>
          <w:highlight w:val="none"/>
        </w:rPr>
      </w:pPr>
      <w:r>
        <w:rPr>
          <w:rFonts w:hint="eastAsia"/>
          <w:color w:val="auto"/>
          <w:kern w:val="0"/>
          <w:sz w:val="24"/>
          <w:highlight w:val="none"/>
        </w:rPr>
        <w:t>11.1  负责项目建设过程中所产生成果的知识产权保护，保证不被非授权使用；</w:t>
      </w:r>
    </w:p>
    <w:p>
      <w:pPr>
        <w:spacing w:line="360" w:lineRule="auto"/>
        <w:ind w:firstLine="480" w:firstLineChars="200"/>
        <w:rPr>
          <w:color w:val="auto"/>
          <w:kern w:val="0"/>
          <w:sz w:val="24"/>
          <w:highlight w:val="none"/>
        </w:rPr>
      </w:pPr>
      <w:r>
        <w:rPr>
          <w:rFonts w:hint="eastAsia"/>
          <w:color w:val="auto"/>
          <w:kern w:val="0"/>
          <w:sz w:val="24"/>
          <w:highlight w:val="none"/>
        </w:rPr>
        <w:t>11.2  负责项目建设过程中涉及知识产权的产品和系统的使用审核，保证建设单位不在本项目建设中出现违反知识产权的行为。</w:t>
      </w:r>
    </w:p>
    <w:p>
      <w:pPr>
        <w:spacing w:line="360" w:lineRule="auto"/>
        <w:ind w:firstLine="480" w:firstLineChars="200"/>
        <w:rPr>
          <w:color w:val="auto"/>
          <w:kern w:val="0"/>
          <w:sz w:val="24"/>
          <w:highlight w:val="none"/>
        </w:rPr>
      </w:pPr>
      <w:r>
        <w:rPr>
          <w:rFonts w:hint="eastAsia"/>
          <w:color w:val="auto"/>
          <w:kern w:val="0"/>
          <w:sz w:val="24"/>
          <w:highlight w:val="none"/>
        </w:rPr>
        <w:t>4.监理团队要求</w:t>
      </w:r>
    </w:p>
    <w:p>
      <w:pPr>
        <w:spacing w:line="360" w:lineRule="auto"/>
        <w:ind w:firstLine="480" w:firstLineChars="200"/>
        <w:rPr>
          <w:color w:val="auto"/>
          <w:kern w:val="0"/>
          <w:sz w:val="24"/>
          <w:highlight w:val="none"/>
        </w:rPr>
      </w:pPr>
      <w:r>
        <w:rPr>
          <w:rFonts w:hint="eastAsia"/>
          <w:color w:val="auto"/>
          <w:kern w:val="0"/>
          <w:sz w:val="24"/>
          <w:highlight w:val="none"/>
        </w:rPr>
        <w:t>（1）监理机构</w:t>
      </w:r>
    </w:p>
    <w:p>
      <w:pPr>
        <w:spacing w:line="360" w:lineRule="auto"/>
        <w:ind w:firstLine="480" w:firstLineChars="200"/>
        <w:rPr>
          <w:color w:val="auto"/>
          <w:kern w:val="0"/>
          <w:sz w:val="24"/>
          <w:highlight w:val="none"/>
        </w:rPr>
      </w:pPr>
      <w:r>
        <w:rPr>
          <w:rFonts w:hint="eastAsia"/>
          <w:color w:val="auto"/>
          <w:kern w:val="0"/>
          <w:sz w:val="24"/>
          <w:highlight w:val="none"/>
        </w:rPr>
        <w:t>监理单位在执行监理合同时建立工程项目监理机构，在完成合同约定的监理任务后方可解散。监理机构应严格按照合同履行监理责任，配备满足监理工作需要的设备和工具，应妥善使用采购人所提供的设施。</w:t>
      </w:r>
    </w:p>
    <w:p>
      <w:pPr>
        <w:spacing w:line="360" w:lineRule="auto"/>
        <w:ind w:firstLine="480" w:firstLineChars="200"/>
        <w:rPr>
          <w:color w:val="auto"/>
          <w:kern w:val="0"/>
          <w:sz w:val="24"/>
          <w:highlight w:val="none"/>
        </w:rPr>
      </w:pPr>
      <w:r>
        <w:rPr>
          <w:rFonts w:hint="eastAsia"/>
          <w:color w:val="auto"/>
          <w:kern w:val="0"/>
          <w:sz w:val="24"/>
          <w:highlight w:val="none"/>
        </w:rPr>
        <w:t>监理机构应遵守相应的监理工作制度，包括会议制度、监理文件制度、监理记录制度、工作报告制度等，保证监理工作协调有序的进行。</w:t>
      </w:r>
    </w:p>
    <w:p>
      <w:pPr>
        <w:spacing w:line="360" w:lineRule="auto"/>
        <w:ind w:firstLine="480" w:firstLineChars="200"/>
        <w:rPr>
          <w:color w:val="auto"/>
          <w:kern w:val="0"/>
          <w:sz w:val="24"/>
          <w:highlight w:val="none"/>
        </w:rPr>
      </w:pPr>
      <w:r>
        <w:rPr>
          <w:rFonts w:hint="eastAsia"/>
          <w:color w:val="auto"/>
          <w:kern w:val="0"/>
          <w:sz w:val="24"/>
          <w:highlight w:val="none"/>
        </w:rPr>
        <w:t>（2）监理人员</w:t>
      </w:r>
    </w:p>
    <w:p>
      <w:pPr>
        <w:spacing w:line="360" w:lineRule="auto"/>
        <w:ind w:firstLine="480" w:firstLineChars="200"/>
        <w:rPr>
          <w:color w:val="auto"/>
          <w:kern w:val="0"/>
          <w:sz w:val="24"/>
          <w:highlight w:val="none"/>
        </w:rPr>
      </w:pPr>
      <w:r>
        <w:rPr>
          <w:rFonts w:hint="eastAsia"/>
          <w:color w:val="auto"/>
          <w:kern w:val="0"/>
          <w:sz w:val="24"/>
          <w:highlight w:val="none"/>
        </w:rPr>
        <w:t>2.1 本项目要求以现场监理为主要方式进行，须配备一名总监理工程师、一名总监理工程师代表、一名技术负责人，总监理工程师、总监理工程师代表、技术负责人不得为同一人。中标监理单位须组建项目监理团队，全程负责整个项目的监理工作。项目总监理工程师与总监理工程师代表不得为同一人，且项目总监理工程师在项目建设期间须常驻无锡（江阴、宜兴除外；每月不少于25天），全程参与项目监理工作，项目建设期间必须主持每周工作例会；主要监理人员必须具备所从事监理业务的专业技术和类似项目经验，并具有丰富的项目管理经验。上述人员应当具有1年以上从事信息化监理工作经历。</w:t>
      </w:r>
    </w:p>
    <w:p>
      <w:pPr>
        <w:spacing w:line="360" w:lineRule="auto"/>
        <w:ind w:firstLine="480" w:firstLineChars="200"/>
        <w:rPr>
          <w:color w:val="auto"/>
          <w:kern w:val="0"/>
          <w:sz w:val="24"/>
          <w:highlight w:val="none"/>
        </w:rPr>
      </w:pPr>
      <w:r>
        <w:rPr>
          <w:rFonts w:hint="eastAsia"/>
          <w:color w:val="auto"/>
          <w:kern w:val="0"/>
          <w:sz w:val="24"/>
          <w:highlight w:val="none"/>
        </w:rPr>
        <w:t>2.2 监理人员应各尽其责，监理单位应保证其机构人员在监理过程中的稳定。除总监理工程师、总监理工程师代表、技术负责人外，标段1监理团队人员不少于8人，驻场人员不少于3人；标段2监理团队人员不少于8人，驻场人员不少于5人；所有监理人员均须具备信息系统监理师证书。</w:t>
      </w:r>
    </w:p>
    <w:p>
      <w:pPr>
        <w:spacing w:line="360" w:lineRule="auto"/>
        <w:ind w:firstLine="480" w:firstLineChars="200"/>
        <w:rPr>
          <w:color w:val="auto"/>
          <w:kern w:val="0"/>
          <w:sz w:val="24"/>
          <w:highlight w:val="none"/>
        </w:rPr>
      </w:pPr>
      <w:r>
        <w:rPr>
          <w:rFonts w:hint="eastAsia"/>
          <w:color w:val="auto"/>
          <w:kern w:val="0"/>
          <w:sz w:val="24"/>
          <w:highlight w:val="none"/>
        </w:rPr>
        <w:t>注：投标供应商为本项目配置的上述监理人员须填列于《项目人员配置清单》（格式自拟）中，投标供应商所报人员须是身体健康的本单位在职人员。投标文件中须提供相应人员的学历证明、职称证书和近三个月中任意一个月份(不含投标当月)投标供应商为其缴纳社保的证明复印件等证明材料。如不满足上述人员要求的，将视为无效投标文件。</w:t>
      </w:r>
    </w:p>
    <w:p>
      <w:pPr>
        <w:spacing w:line="360" w:lineRule="auto"/>
        <w:ind w:firstLine="480" w:firstLineChars="200"/>
        <w:rPr>
          <w:color w:val="auto"/>
          <w:kern w:val="0"/>
          <w:sz w:val="24"/>
          <w:highlight w:val="none"/>
        </w:rPr>
      </w:pPr>
      <w:r>
        <w:rPr>
          <w:rFonts w:hint="eastAsia"/>
          <w:color w:val="auto"/>
          <w:kern w:val="0"/>
          <w:sz w:val="24"/>
          <w:highlight w:val="none"/>
        </w:rPr>
        <w:t>2.3中标单位在合同签订生效后须向采购人提供项目监理团队成员名单以及监理团队所有成员在监理服务期内押证（信息系统监理工程师证书）上岗的承诺函，成员中须标明项目总监理工程师、项目总监理工程师代表及监理团队其他成员，同时须单独注明驻场人员。</w:t>
      </w:r>
    </w:p>
    <w:p>
      <w:pPr>
        <w:spacing w:line="360" w:lineRule="auto"/>
        <w:ind w:firstLine="480" w:firstLineChars="200"/>
        <w:rPr>
          <w:color w:val="auto"/>
          <w:kern w:val="0"/>
          <w:sz w:val="24"/>
          <w:highlight w:val="none"/>
        </w:rPr>
      </w:pPr>
      <w:r>
        <w:rPr>
          <w:rFonts w:hint="eastAsia"/>
          <w:color w:val="auto"/>
          <w:kern w:val="0"/>
          <w:sz w:val="24"/>
          <w:highlight w:val="none"/>
        </w:rPr>
        <w:t>2.4合同签订生效之日起3个工作日内，项目监理团队驻场人员必须到岗到位。驻场人员须严格遵守采购人要求的考勤、考核等规范制度，采购人有权对驻场人员进行人员核查和考勤。</w:t>
      </w:r>
    </w:p>
    <w:p>
      <w:pPr>
        <w:spacing w:line="360" w:lineRule="auto"/>
        <w:ind w:firstLine="480" w:firstLineChars="200"/>
        <w:rPr>
          <w:color w:val="auto"/>
          <w:kern w:val="0"/>
          <w:sz w:val="24"/>
          <w:highlight w:val="none"/>
        </w:rPr>
      </w:pPr>
      <w:r>
        <w:rPr>
          <w:rFonts w:hint="eastAsia"/>
          <w:color w:val="auto"/>
          <w:kern w:val="0"/>
          <w:sz w:val="24"/>
          <w:highlight w:val="none"/>
        </w:rPr>
        <w:t>2.5监理人员食宿自理，监理人须自备办公设备及开展监理</w:t>
      </w:r>
      <w:r>
        <w:rPr>
          <w:rFonts w:hint="eastAsia"/>
          <w:color w:val="auto"/>
          <w:kern w:val="0"/>
          <w:sz w:val="24"/>
          <w:highlight w:val="none"/>
          <w:lang w:eastAsia="zh-CN"/>
        </w:rPr>
        <w:t>工作所必需的</w:t>
      </w:r>
      <w:r>
        <w:rPr>
          <w:rFonts w:hint="eastAsia"/>
          <w:color w:val="auto"/>
          <w:kern w:val="0"/>
          <w:sz w:val="24"/>
          <w:highlight w:val="none"/>
        </w:rPr>
        <w:t>检测工具。</w:t>
      </w:r>
    </w:p>
    <w:p>
      <w:pPr>
        <w:spacing w:line="360" w:lineRule="auto"/>
        <w:ind w:firstLine="480" w:firstLineChars="200"/>
        <w:rPr>
          <w:color w:val="auto"/>
          <w:kern w:val="0"/>
          <w:sz w:val="24"/>
          <w:highlight w:val="none"/>
        </w:rPr>
      </w:pPr>
      <w:r>
        <w:rPr>
          <w:rFonts w:hint="eastAsia"/>
          <w:color w:val="auto"/>
          <w:kern w:val="0"/>
          <w:sz w:val="24"/>
          <w:highlight w:val="none"/>
        </w:rPr>
        <w:t>2.6监理单位应无条件同意采购人和建设单位因工作需要提出的合理的加班时间安排。</w:t>
      </w:r>
    </w:p>
    <w:p>
      <w:pPr>
        <w:spacing w:line="360" w:lineRule="auto"/>
        <w:ind w:firstLine="480" w:firstLineChars="200"/>
        <w:rPr>
          <w:color w:val="auto"/>
          <w:kern w:val="0"/>
          <w:sz w:val="24"/>
          <w:highlight w:val="none"/>
        </w:rPr>
      </w:pPr>
      <w:r>
        <w:rPr>
          <w:rFonts w:hint="eastAsia"/>
          <w:color w:val="auto"/>
          <w:kern w:val="0"/>
          <w:sz w:val="24"/>
          <w:highlight w:val="none"/>
        </w:rPr>
        <w:t>（</w:t>
      </w:r>
      <w:r>
        <w:rPr>
          <w:rFonts w:hint="eastAsia"/>
          <w:color w:val="auto"/>
          <w:kern w:val="0"/>
          <w:sz w:val="24"/>
          <w:highlight w:val="none"/>
          <w:lang w:val="en-US" w:eastAsia="zh-CN"/>
        </w:rPr>
        <w:t>3</w:t>
      </w:r>
      <w:r>
        <w:rPr>
          <w:rFonts w:hint="eastAsia"/>
          <w:color w:val="auto"/>
          <w:kern w:val="0"/>
          <w:sz w:val="24"/>
          <w:highlight w:val="none"/>
        </w:rPr>
        <w:t>）监理服务准则</w:t>
      </w:r>
    </w:p>
    <w:p>
      <w:pPr>
        <w:spacing w:line="360" w:lineRule="auto"/>
        <w:ind w:firstLine="480" w:firstLineChars="200"/>
        <w:rPr>
          <w:color w:val="auto"/>
          <w:kern w:val="0"/>
          <w:sz w:val="24"/>
          <w:highlight w:val="none"/>
        </w:rPr>
      </w:pPr>
      <w:r>
        <w:rPr>
          <w:rFonts w:hint="eastAsia"/>
          <w:color w:val="auto"/>
          <w:kern w:val="0"/>
          <w:sz w:val="24"/>
          <w:highlight w:val="none"/>
        </w:rPr>
        <w:t>遵照国家工信部《信息系统项目监理暂行规定》，以“守法、诚信、公正、科学”的准则执业，维护建设方与承建方的合法权益。具体应做到：</w:t>
      </w:r>
    </w:p>
    <w:p>
      <w:pPr>
        <w:spacing w:line="360" w:lineRule="auto"/>
        <w:ind w:firstLine="480" w:firstLineChars="200"/>
        <w:rPr>
          <w:color w:val="auto"/>
          <w:kern w:val="0"/>
          <w:sz w:val="24"/>
          <w:highlight w:val="none"/>
        </w:rPr>
      </w:pPr>
      <w:r>
        <w:rPr>
          <w:rFonts w:hint="eastAsia"/>
          <w:color w:val="auto"/>
          <w:kern w:val="0"/>
          <w:sz w:val="24"/>
          <w:highlight w:val="none"/>
        </w:rPr>
        <w:t>1）认真履行项目建设监理合同所承诺的义务和承担约定的责任</w:t>
      </w:r>
    </w:p>
    <w:p>
      <w:pPr>
        <w:spacing w:line="360" w:lineRule="auto"/>
        <w:ind w:firstLine="480" w:firstLineChars="200"/>
        <w:rPr>
          <w:color w:val="auto"/>
          <w:kern w:val="0"/>
          <w:sz w:val="24"/>
          <w:highlight w:val="none"/>
        </w:rPr>
      </w:pPr>
      <w:r>
        <w:rPr>
          <w:rFonts w:hint="eastAsia"/>
          <w:color w:val="auto"/>
          <w:kern w:val="0"/>
          <w:sz w:val="24"/>
          <w:highlight w:val="none"/>
        </w:rPr>
        <w:t>2）执行有关项目建设的法律、法规、规范、标准和制度，履行监理合同规定的义务和职责。</w:t>
      </w:r>
    </w:p>
    <w:p>
      <w:pPr>
        <w:spacing w:line="360" w:lineRule="auto"/>
        <w:ind w:firstLine="480" w:firstLineChars="200"/>
        <w:rPr>
          <w:color w:val="auto"/>
          <w:kern w:val="0"/>
          <w:sz w:val="24"/>
          <w:highlight w:val="none"/>
        </w:rPr>
      </w:pPr>
      <w:r>
        <w:rPr>
          <w:rFonts w:hint="eastAsia"/>
          <w:color w:val="auto"/>
          <w:kern w:val="0"/>
          <w:sz w:val="24"/>
          <w:highlight w:val="none"/>
        </w:rPr>
        <w:t>3）不收受被监理单位的任何礼金。</w:t>
      </w:r>
    </w:p>
    <w:p>
      <w:pPr>
        <w:spacing w:line="360" w:lineRule="auto"/>
        <w:ind w:firstLine="480" w:firstLineChars="200"/>
        <w:rPr>
          <w:color w:val="auto"/>
          <w:kern w:val="0"/>
          <w:sz w:val="24"/>
          <w:highlight w:val="none"/>
        </w:rPr>
      </w:pPr>
      <w:r>
        <w:rPr>
          <w:rFonts w:hint="eastAsia"/>
          <w:color w:val="auto"/>
          <w:kern w:val="0"/>
          <w:sz w:val="24"/>
          <w:highlight w:val="none"/>
        </w:rPr>
        <w:t>4）不泄漏所监理项目各方认为需要保密的事项。</w:t>
      </w:r>
    </w:p>
    <w:p>
      <w:pPr>
        <w:spacing w:line="360" w:lineRule="auto"/>
        <w:ind w:firstLine="480" w:firstLineChars="200"/>
        <w:rPr>
          <w:color w:val="auto"/>
          <w:kern w:val="0"/>
          <w:sz w:val="24"/>
          <w:highlight w:val="none"/>
        </w:rPr>
      </w:pPr>
      <w:r>
        <w:rPr>
          <w:rFonts w:hint="eastAsia"/>
          <w:color w:val="auto"/>
          <w:kern w:val="0"/>
          <w:sz w:val="24"/>
          <w:highlight w:val="none"/>
        </w:rPr>
        <w:t>5）遵守国家的法律和政府的有关条例、规定和办法等。</w:t>
      </w:r>
    </w:p>
    <w:p>
      <w:pPr>
        <w:spacing w:line="360" w:lineRule="auto"/>
        <w:ind w:firstLine="480" w:firstLineChars="200"/>
        <w:rPr>
          <w:color w:val="auto"/>
          <w:kern w:val="0"/>
          <w:sz w:val="24"/>
          <w:highlight w:val="none"/>
        </w:rPr>
      </w:pPr>
      <w:r>
        <w:rPr>
          <w:rFonts w:hint="eastAsia"/>
          <w:color w:val="auto"/>
          <w:kern w:val="0"/>
          <w:sz w:val="24"/>
          <w:highlight w:val="none"/>
        </w:rPr>
        <w:t>6）坚持公正的立场，独立、公正地处理有关各方的争议。</w:t>
      </w:r>
    </w:p>
    <w:p>
      <w:pPr>
        <w:spacing w:line="360" w:lineRule="auto"/>
        <w:ind w:firstLine="480" w:firstLineChars="200"/>
        <w:rPr>
          <w:color w:val="auto"/>
          <w:kern w:val="0"/>
          <w:sz w:val="24"/>
          <w:highlight w:val="none"/>
        </w:rPr>
      </w:pPr>
      <w:r>
        <w:rPr>
          <w:rFonts w:hint="eastAsia"/>
          <w:color w:val="auto"/>
          <w:kern w:val="0"/>
          <w:sz w:val="24"/>
          <w:highlight w:val="none"/>
        </w:rPr>
        <w:t>7）坚持科学的态度和实事求是的原则。</w:t>
      </w:r>
    </w:p>
    <w:p>
      <w:pPr>
        <w:spacing w:line="360" w:lineRule="auto"/>
        <w:ind w:firstLine="480" w:firstLineChars="200"/>
        <w:rPr>
          <w:color w:val="auto"/>
          <w:kern w:val="0"/>
          <w:sz w:val="24"/>
          <w:highlight w:val="none"/>
        </w:rPr>
      </w:pPr>
      <w:r>
        <w:rPr>
          <w:rFonts w:hint="eastAsia"/>
          <w:color w:val="auto"/>
          <w:kern w:val="0"/>
          <w:sz w:val="24"/>
          <w:highlight w:val="none"/>
        </w:rPr>
        <w:t>8）在坚持按监理合同的规定向采购人和建设单位提供技术服务的同时，帮助被监理者完成</w:t>
      </w:r>
      <w:r>
        <w:rPr>
          <w:rFonts w:hint="eastAsia"/>
          <w:color w:val="auto"/>
          <w:kern w:val="0"/>
          <w:sz w:val="24"/>
          <w:highlight w:val="none"/>
          <w:lang w:eastAsia="zh-CN"/>
        </w:rPr>
        <w:t>其</w:t>
      </w:r>
      <w:r>
        <w:rPr>
          <w:rFonts w:hint="eastAsia"/>
          <w:color w:val="auto"/>
          <w:kern w:val="0"/>
          <w:sz w:val="24"/>
          <w:highlight w:val="none"/>
        </w:rPr>
        <w:t>担负的建设任务。</w:t>
      </w:r>
    </w:p>
    <w:p>
      <w:pPr>
        <w:spacing w:line="360" w:lineRule="auto"/>
        <w:ind w:firstLine="480" w:firstLineChars="200"/>
        <w:rPr>
          <w:rFonts w:ascii="宋体" w:hAnsi="宋体"/>
          <w:b/>
          <w:bCs/>
          <w:color w:val="auto"/>
          <w:sz w:val="24"/>
          <w:highlight w:val="none"/>
          <w:u w:val="single"/>
        </w:rPr>
      </w:pPr>
      <w:r>
        <w:rPr>
          <w:rFonts w:hint="eastAsia"/>
          <w:color w:val="auto"/>
          <w:kern w:val="0"/>
          <w:sz w:val="24"/>
          <w:highlight w:val="none"/>
        </w:rPr>
        <w:t>9）不泄漏所监理的项目需保密的事项。</w:t>
      </w:r>
    </w:p>
    <w:p>
      <w:pPr>
        <w:spacing w:line="360" w:lineRule="auto"/>
        <w:ind w:firstLine="482" w:firstLineChars="200"/>
        <w:rPr>
          <w:b/>
          <w:bCs/>
          <w:color w:val="auto"/>
          <w:sz w:val="24"/>
          <w:highlight w:val="none"/>
        </w:rPr>
      </w:pPr>
      <w:r>
        <w:rPr>
          <w:b/>
          <w:bCs/>
          <w:color w:val="auto"/>
          <w:sz w:val="24"/>
          <w:highlight w:val="none"/>
        </w:rPr>
        <w:t xml:space="preserve">（六）采购标的验收标准： </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采购人根据国家有关规定、招标文件、中标方的投标文件以及合同约定的内容和验收标准进行验收，以项目通过竣工验收为标准，验收期间发生的一切费用由中标人承担。</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投标供应商交付成果包括但不限于在项目开展过程中产生的监理规划、监理细则、会议纪要、开工令、支付证书、专题监理报告、工作周报、联络单、巡视记录等。</w:t>
      </w:r>
    </w:p>
    <w:p>
      <w:pPr>
        <w:widowControl/>
        <w:spacing w:line="460" w:lineRule="exact"/>
        <w:ind w:firstLine="470" w:firstLineChars="195"/>
        <w:jc w:val="left"/>
        <w:outlineLvl w:val="1"/>
        <w:rPr>
          <w:b/>
          <w:bCs/>
          <w:color w:val="auto"/>
          <w:sz w:val="24"/>
          <w:highlight w:val="none"/>
        </w:rPr>
      </w:pPr>
      <w:r>
        <w:rPr>
          <w:b/>
          <w:bCs/>
          <w:color w:val="auto"/>
          <w:sz w:val="24"/>
          <w:highlight w:val="none"/>
        </w:rPr>
        <w:t>（七）采购标的其他技术、服务等要求：</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投标总报价包括满足本项目要求的2023年度第四批无锡市市级政务信息化项目监理采购服务费,从项目中标起到项目正式交付以及监理周期内所发生的一切费用。本招标文件所要求的项目内容应视为完成监理工作所需要的基本要求，投标供应商必须全部实质性响应，如有遗漏，一旦中标将自行承担全部责任。</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2）通过中国海关报关验放进入中国境内且产自关境外的产品不在本项目的报价范围。</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3）本项目中有信息安全产品的，必须选择经国家认证的信息安全产品，并提供由中国信息安全认证中心（中国网络安全审查技术与认证中心）颁发的有效认证证书复印件。</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4）监理服务质量：一次性通过系统验收并达到“合格”标准。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5）投标供应商必须在满足招标文件要求的基础上进行报价，如有偏离请于偏离表中说明。</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6）本项目合同履行地点为无锡市，具体地点以合同书约定为准。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7）付款方式：</w:t>
      </w:r>
      <w:r>
        <w:rPr>
          <w:rFonts w:hint="eastAsia" w:ascii="宋体" w:hAnsi="宋体" w:cs="宋体"/>
          <w:bCs/>
          <w:color w:val="auto"/>
          <w:kern w:val="0"/>
          <w:sz w:val="24"/>
          <w:szCs w:val="20"/>
          <w:highlight w:val="none"/>
        </w:rPr>
        <w:t>合同签订生效后1个月内，支付合同总价的40%；建设期每季度按工程建设完成工作量同比例支付，最高付至本合同总价的85%；全部项目竣工验收完成后，结清余款。如所监理项目因客观原因停止建设，所产生的监理费用按比例扣除或以相等规模项目递补。具体支付时间以财政指标下达为准，确因财政拨款等原因造成款项不能及时到达的，可适当延期支付。</w:t>
      </w:r>
    </w:p>
    <w:bookmarkEnd w:id="11"/>
    <w:p>
      <w:pPr>
        <w:widowControl/>
        <w:jc w:val="left"/>
        <w:rPr>
          <w:rFonts w:ascii="Cambria Math" w:eastAsia="Cambria Math"/>
          <w:b/>
          <w:bCs/>
          <w:color w:val="auto"/>
          <w:kern w:val="0"/>
          <w:sz w:val="24"/>
          <w:szCs w:val="20"/>
          <w:highlight w:val="none"/>
        </w:rPr>
      </w:pPr>
      <w:r>
        <w:rPr>
          <w:rFonts w:ascii="Cambria Math" w:eastAsia="Cambria Math"/>
          <w:b/>
          <w:bCs/>
          <w:color w:val="auto"/>
          <w:kern w:val="0"/>
          <w:sz w:val="24"/>
          <w:szCs w:val="20"/>
          <w:highlight w:val="none"/>
        </w:rPr>
        <w:br w:type="page"/>
      </w:r>
    </w:p>
    <w:p>
      <w:pPr>
        <w:spacing w:line="540" w:lineRule="exact"/>
        <w:jc w:val="center"/>
        <w:outlineLvl w:val="0"/>
        <w:rPr>
          <w:rFonts w:ascii="宋体" w:hAnsi="宋体"/>
          <w:b/>
          <w:color w:val="auto"/>
          <w:sz w:val="44"/>
          <w:szCs w:val="44"/>
          <w:highlight w:val="none"/>
        </w:rPr>
      </w:pPr>
      <w:r>
        <w:rPr>
          <w:rFonts w:hint="eastAsia" w:ascii="宋体" w:hAnsi="宋体"/>
          <w:b/>
          <w:color w:val="auto"/>
          <w:sz w:val="44"/>
          <w:szCs w:val="44"/>
          <w:highlight w:val="none"/>
        </w:rPr>
        <w:t>第四部分．合同书</w:t>
      </w:r>
    </w:p>
    <w:p>
      <w:p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需方（采购人）：</w:t>
      </w:r>
      <w:r>
        <w:rPr>
          <w:rFonts w:hint="eastAsia" w:ascii="宋体" w:hAnsi="宋体"/>
          <w:bCs/>
          <w:color w:val="auto"/>
          <w:kern w:val="0"/>
          <w:sz w:val="24"/>
          <w:highlight w:val="none"/>
          <w:u w:val="single"/>
          <w:lang w:val="en-GB"/>
        </w:rPr>
        <w:t xml:space="preserve">无锡市数据局 </w:t>
      </w:r>
    </w:p>
    <w:p>
      <w:p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 xml:space="preserve">供方（中标方）： </w:t>
      </w:r>
      <w:r>
        <w:rPr>
          <w:rFonts w:hint="eastAsia" w:ascii="宋体" w:hAnsi="宋体"/>
          <w:bCs/>
          <w:color w:val="auto"/>
          <w:kern w:val="0"/>
          <w:sz w:val="24"/>
          <w:highlight w:val="none"/>
          <w:u w:val="single"/>
          <w:lang w:val="en-GB"/>
        </w:rPr>
        <w:t xml:space="preserve">                       </w:t>
      </w:r>
      <w:r>
        <w:rPr>
          <w:rFonts w:hint="eastAsia" w:ascii="宋体" w:hAnsi="宋体"/>
          <w:bCs/>
          <w:color w:val="auto"/>
          <w:kern w:val="0"/>
          <w:sz w:val="24"/>
          <w:highlight w:val="none"/>
          <w:lang w:val="en-GB"/>
        </w:rPr>
        <w:t xml:space="preserve"> </w:t>
      </w:r>
    </w:p>
    <w:p>
      <w:pPr>
        <w:spacing w:line="420" w:lineRule="exact"/>
        <w:ind w:firstLine="480" w:firstLineChars="200"/>
        <w:rPr>
          <w:rFonts w:ascii="宋体" w:hAnsi="宋体"/>
          <w:bCs/>
          <w:color w:val="auto"/>
          <w:kern w:val="0"/>
          <w:sz w:val="24"/>
          <w:highlight w:val="none"/>
          <w:lang w:val="en-GB"/>
        </w:rPr>
      </w:pPr>
      <w:r>
        <w:rPr>
          <w:rFonts w:hint="eastAsia" w:ascii="宋体" w:hAnsi="宋体"/>
          <w:bCs/>
          <w:color w:val="auto"/>
          <w:kern w:val="0"/>
          <w:sz w:val="24"/>
          <w:highlight w:val="none"/>
          <w:lang w:val="en-GB"/>
        </w:rPr>
        <w:t>根据项目编号</w:t>
      </w:r>
      <w:r>
        <w:rPr>
          <w:rFonts w:hint="eastAsia" w:ascii="宋体" w:hAnsi="宋体"/>
          <w:bCs/>
          <w:color w:val="auto"/>
          <w:kern w:val="0"/>
          <w:sz w:val="24"/>
          <w:highlight w:val="none"/>
          <w:u w:val="single"/>
          <w:lang w:val="en-GB"/>
        </w:rPr>
        <w:t xml:space="preserve">  JSZC-320200-JYJF-G2024-0031 </w:t>
      </w:r>
      <w:r>
        <w:rPr>
          <w:rFonts w:hint="eastAsia" w:ascii="宋体" w:hAnsi="宋体"/>
          <w:bCs/>
          <w:color w:val="auto"/>
          <w:kern w:val="0"/>
          <w:sz w:val="24"/>
          <w:highlight w:val="none"/>
          <w:lang w:val="en-GB"/>
        </w:rPr>
        <w:t>采购文件和该文件的中标通知书及供方投标文件，供需双方就此次</w:t>
      </w:r>
      <w:r>
        <w:rPr>
          <w:rFonts w:hint="eastAsia" w:ascii="宋体" w:hAnsi="宋体"/>
          <w:bCs/>
          <w:color w:val="auto"/>
          <w:kern w:val="0"/>
          <w:sz w:val="24"/>
          <w:highlight w:val="none"/>
          <w:u w:val="single"/>
          <w:lang w:val="en-GB"/>
        </w:rPr>
        <w:t xml:space="preserve">  2023年度第四批无锡市市级政务信息化项目监理服务（</w:t>
      </w:r>
      <w:r>
        <w:rPr>
          <w:rFonts w:hint="eastAsia" w:ascii="宋体" w:hAnsi="宋体"/>
          <w:bCs/>
          <w:color w:val="auto"/>
          <w:kern w:val="0"/>
          <w:sz w:val="24"/>
          <w:highlight w:val="none"/>
          <w:u w:val="single"/>
        </w:rPr>
        <w:t xml:space="preserve">标段    </w:t>
      </w:r>
      <w:r>
        <w:rPr>
          <w:rFonts w:hint="eastAsia" w:ascii="宋体" w:hAnsi="宋体"/>
          <w:bCs/>
          <w:color w:val="auto"/>
          <w:kern w:val="0"/>
          <w:sz w:val="24"/>
          <w:highlight w:val="none"/>
          <w:u w:val="single"/>
          <w:lang w:val="en-GB"/>
        </w:rPr>
        <w:t xml:space="preserve">） </w:t>
      </w:r>
      <w:r>
        <w:rPr>
          <w:rFonts w:hint="eastAsia" w:ascii="宋体" w:hAnsi="宋体"/>
          <w:bCs/>
          <w:color w:val="auto"/>
          <w:kern w:val="0"/>
          <w:sz w:val="24"/>
          <w:highlight w:val="none"/>
          <w:lang w:val="en-GB"/>
        </w:rPr>
        <w:t xml:space="preserve"> 及相关问题，同意按下列条款规定执行。</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采购项目编号：</w:t>
      </w:r>
      <w:r>
        <w:rPr>
          <w:rFonts w:hint="eastAsia" w:ascii="宋体" w:hAnsi="宋体"/>
          <w:bCs/>
          <w:color w:val="auto"/>
          <w:kern w:val="0"/>
          <w:sz w:val="24"/>
          <w:highlight w:val="none"/>
          <w:u w:val="single"/>
          <w:lang w:val="en-GB"/>
        </w:rPr>
        <w:t xml:space="preserve">                </w:t>
      </w:r>
      <w:r>
        <w:rPr>
          <w:rFonts w:hint="eastAsia" w:ascii="宋体" w:hAnsi="宋体"/>
          <w:bCs/>
          <w:color w:val="auto"/>
          <w:kern w:val="0"/>
          <w:sz w:val="24"/>
          <w:highlight w:val="none"/>
          <w:lang w:val="en-GB"/>
        </w:rPr>
        <w:t xml:space="preserve"> </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采购内容：</w:t>
      </w:r>
      <w:r>
        <w:rPr>
          <w:rFonts w:hint="eastAsia" w:ascii="宋体" w:hAnsi="宋体"/>
          <w:bCs/>
          <w:color w:val="auto"/>
          <w:kern w:val="0"/>
          <w:sz w:val="24"/>
          <w:highlight w:val="none"/>
          <w:u w:val="single"/>
          <w:lang w:val="en-GB"/>
        </w:rPr>
        <w:t xml:space="preserve">                                                           </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中标总金额：（大写）</w:t>
      </w:r>
      <w:r>
        <w:rPr>
          <w:rFonts w:hint="eastAsia" w:ascii="宋体" w:hAnsi="宋体"/>
          <w:bCs/>
          <w:color w:val="auto"/>
          <w:kern w:val="0"/>
          <w:sz w:val="24"/>
          <w:highlight w:val="none"/>
          <w:u w:val="single"/>
          <w:lang w:val="en-GB"/>
        </w:rPr>
        <w:t xml:space="preserve">                    </w:t>
      </w:r>
      <w:r>
        <w:rPr>
          <w:rFonts w:hint="eastAsia" w:ascii="宋体" w:hAnsi="宋体"/>
          <w:bCs/>
          <w:color w:val="auto"/>
          <w:kern w:val="0"/>
          <w:sz w:val="24"/>
          <w:highlight w:val="none"/>
          <w:lang w:val="en-GB"/>
        </w:rPr>
        <w:t xml:space="preserve">  ；（小写） </w:t>
      </w:r>
      <w:r>
        <w:rPr>
          <w:rFonts w:hint="eastAsia" w:ascii="宋体" w:hAnsi="宋体"/>
          <w:bCs/>
          <w:color w:val="auto"/>
          <w:kern w:val="0"/>
          <w:sz w:val="24"/>
          <w:highlight w:val="none"/>
          <w:u w:val="single"/>
          <w:lang w:val="en-GB"/>
        </w:rPr>
        <w:t xml:space="preserve">         </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u w:val="single"/>
          <w:lang w:val="en-GB"/>
        </w:rPr>
        <w:t xml:space="preserve">   </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服务质量：</w:t>
      </w:r>
      <w:r>
        <w:rPr>
          <w:rFonts w:hint="eastAsia" w:ascii="宋体" w:hAnsi="宋体"/>
          <w:bCs/>
          <w:color w:val="auto"/>
          <w:kern w:val="0"/>
          <w:sz w:val="24"/>
          <w:highlight w:val="none"/>
          <w:u w:val="single"/>
          <w:lang w:val="en-GB"/>
        </w:rPr>
        <w:t xml:space="preserve">                                                    </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u w:val="single"/>
          <w:lang w:val="en-GB"/>
        </w:rPr>
        <w:t xml:space="preserve">     </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履行期限及地点和方式：</w:t>
      </w:r>
      <w:r>
        <w:rPr>
          <w:rFonts w:hint="eastAsia" w:ascii="宋体" w:hAnsi="宋体"/>
          <w:bCs/>
          <w:color w:val="auto"/>
          <w:kern w:val="0"/>
          <w:sz w:val="24"/>
          <w:highlight w:val="none"/>
          <w:u w:val="single"/>
          <w:lang w:val="en-GB"/>
        </w:rPr>
        <w:t xml:space="preserve">                                          </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u w:val="single"/>
          <w:lang w:val="en-GB"/>
        </w:rPr>
        <w:t xml:space="preserve">    </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支付步骤和办法：</w:t>
      </w:r>
      <w:r>
        <w:rPr>
          <w:rFonts w:hint="eastAsia" w:ascii="宋体" w:hAnsi="宋体"/>
          <w:bCs/>
          <w:color w:val="auto"/>
          <w:kern w:val="0"/>
          <w:sz w:val="24"/>
          <w:highlight w:val="none"/>
          <w:u w:val="single"/>
          <w:lang w:val="en-GB"/>
        </w:rPr>
        <w:t xml:space="preserve">                                                 </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u w:val="single"/>
          <w:lang w:val="en-GB"/>
        </w:rPr>
        <w:t xml:space="preserve">  </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验收要求及违约责任：</w:t>
      </w:r>
      <w:r>
        <w:rPr>
          <w:rFonts w:hint="eastAsia" w:ascii="宋体" w:hAnsi="宋体"/>
          <w:bCs/>
          <w:color w:val="auto"/>
          <w:kern w:val="0"/>
          <w:sz w:val="24"/>
          <w:highlight w:val="none"/>
          <w:u w:val="single"/>
          <w:lang w:val="en-GB"/>
        </w:rPr>
        <w:t xml:space="preserve">                                                 </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解决争议的方式：</w:t>
      </w:r>
      <w:r>
        <w:rPr>
          <w:rFonts w:hint="eastAsia" w:ascii="宋体" w:hAnsi="宋体"/>
          <w:bCs/>
          <w:color w:val="auto"/>
          <w:kern w:val="0"/>
          <w:sz w:val="24"/>
          <w:highlight w:val="none"/>
          <w:u w:val="single"/>
          <w:lang w:val="en-GB"/>
        </w:rPr>
        <w:t xml:space="preserve">                                                  </w:t>
      </w:r>
      <w:r>
        <w:rPr>
          <w:rFonts w:hint="eastAsia" w:ascii="宋体" w:hAnsi="宋体"/>
          <w:bCs/>
          <w:color w:val="auto"/>
          <w:kern w:val="0"/>
          <w:sz w:val="24"/>
          <w:highlight w:val="none"/>
          <w:u w:val="single"/>
        </w:rPr>
        <w:t xml:space="preserve"> </w:t>
      </w:r>
      <w:r>
        <w:rPr>
          <w:rFonts w:hint="eastAsia" w:ascii="宋体" w:hAnsi="宋体"/>
          <w:bCs/>
          <w:color w:val="auto"/>
          <w:kern w:val="0"/>
          <w:sz w:val="24"/>
          <w:highlight w:val="none"/>
          <w:u w:val="single"/>
          <w:lang w:val="en-GB"/>
        </w:rPr>
        <w:t xml:space="preserve">  </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其它事项：</w:t>
      </w:r>
      <w:r>
        <w:rPr>
          <w:rFonts w:hint="eastAsia" w:ascii="宋体" w:hAnsi="宋体"/>
          <w:bCs/>
          <w:color w:val="auto"/>
          <w:kern w:val="0"/>
          <w:sz w:val="24"/>
          <w:highlight w:val="none"/>
          <w:u w:val="single"/>
          <w:lang w:val="en-GB"/>
        </w:rPr>
        <w:t xml:space="preserve">                                                            </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合同不可分割部分：</w:t>
      </w:r>
    </w:p>
    <w:p>
      <w:pPr>
        <w:spacing w:line="420" w:lineRule="exact"/>
        <w:ind w:firstLine="480" w:firstLineChars="200"/>
        <w:rPr>
          <w:rFonts w:ascii="宋体" w:hAnsi="宋体"/>
          <w:bCs/>
          <w:color w:val="auto"/>
          <w:kern w:val="0"/>
          <w:sz w:val="24"/>
          <w:highlight w:val="none"/>
          <w:lang w:val="en-GB"/>
        </w:rPr>
      </w:pPr>
      <w:r>
        <w:rPr>
          <w:rFonts w:hint="eastAsia" w:ascii="宋体" w:hAnsi="宋体"/>
          <w:bCs/>
          <w:color w:val="auto"/>
          <w:kern w:val="0"/>
          <w:sz w:val="24"/>
          <w:highlight w:val="none"/>
          <w:lang w:val="en-GB"/>
        </w:rPr>
        <w:t>招标文件、投标文件、合同条款及中标通知书，供方在投标、评标过程中所作其它有关承诺、声明、书面澄清等均为合同不可分割的部分，与主合同具有同等法律效力。</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rPr>
        <w:t>合同备案：</w:t>
      </w:r>
      <w:r>
        <w:rPr>
          <w:rFonts w:hint="eastAsia" w:ascii="宋体" w:hAnsi="宋体"/>
          <w:bCs/>
          <w:color w:val="auto"/>
          <w:kern w:val="0"/>
          <w:sz w:val="24"/>
          <w:highlight w:val="none"/>
          <w:lang w:val="en-GB"/>
        </w:rPr>
        <w:t>合同一式</w:t>
      </w:r>
      <w:r>
        <w:rPr>
          <w:rFonts w:hint="eastAsia" w:ascii="宋体" w:hAnsi="宋体"/>
          <w:bCs/>
          <w:color w:val="auto"/>
          <w:kern w:val="0"/>
          <w:sz w:val="24"/>
          <w:highlight w:val="none"/>
        </w:rPr>
        <w:t>六</w:t>
      </w:r>
      <w:r>
        <w:rPr>
          <w:rFonts w:hint="eastAsia" w:ascii="宋体" w:hAnsi="宋体"/>
          <w:bCs/>
          <w:color w:val="auto"/>
          <w:kern w:val="0"/>
          <w:sz w:val="24"/>
          <w:highlight w:val="none"/>
          <w:lang w:val="en-GB"/>
        </w:rPr>
        <w:t>份，需方三份，供方二份，见证方一份。</w:t>
      </w:r>
    </w:p>
    <w:p>
      <w:pPr>
        <w:numPr>
          <w:ilvl w:val="0"/>
          <w:numId w:val="23"/>
        </w:num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合同生效：本合同由供需双方签字、盖章后生效。</w:t>
      </w:r>
    </w:p>
    <w:p>
      <w:pPr>
        <w:spacing w:line="420" w:lineRule="exact"/>
        <w:rPr>
          <w:rFonts w:ascii="宋体" w:hAnsi="宋体"/>
          <w:bCs/>
          <w:color w:val="auto"/>
          <w:kern w:val="0"/>
          <w:sz w:val="24"/>
          <w:highlight w:val="none"/>
          <w:lang w:val="en-GB"/>
        </w:rPr>
      </w:pPr>
    </w:p>
    <w:p>
      <w:p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需方（采购人）：  （盖章）                 供方（中标方）： （盖章）</w:t>
      </w:r>
    </w:p>
    <w:p>
      <w:p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法定代表人：（签字或盖章）                 法定代表人：（签字或盖章）</w:t>
      </w:r>
    </w:p>
    <w:p>
      <w:p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授权代理人（出具授权委托书）：             授权代理人（出具授权委托书）：</w:t>
      </w:r>
    </w:p>
    <w:p>
      <w:p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电    话：                                电    话：</w:t>
      </w:r>
    </w:p>
    <w:p>
      <w:p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传    真：                                传    真：</w:t>
      </w:r>
    </w:p>
    <w:p>
      <w:p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电子邮箱：                                电子邮箱：</w:t>
      </w:r>
    </w:p>
    <w:p>
      <w:p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开户银行：                                开户银行：</w:t>
      </w:r>
    </w:p>
    <w:p>
      <w:pPr>
        <w:spacing w:line="420" w:lineRule="exact"/>
        <w:rPr>
          <w:rFonts w:ascii="宋体" w:hAnsi="宋体"/>
          <w:bCs/>
          <w:color w:val="auto"/>
          <w:kern w:val="0"/>
          <w:sz w:val="24"/>
          <w:highlight w:val="none"/>
          <w:lang w:val="en-GB"/>
        </w:rPr>
      </w:pPr>
      <w:r>
        <w:rPr>
          <w:rFonts w:hint="eastAsia" w:ascii="宋体" w:hAnsi="宋体"/>
          <w:bCs/>
          <w:color w:val="auto"/>
          <w:kern w:val="0"/>
          <w:sz w:val="24"/>
          <w:highlight w:val="none"/>
          <w:lang w:val="en-GB"/>
        </w:rPr>
        <w:t>账    号：                                账    号：</w:t>
      </w:r>
    </w:p>
    <w:p>
      <w:pPr>
        <w:spacing w:line="420" w:lineRule="exact"/>
        <w:rPr>
          <w:rFonts w:ascii="宋体" w:hAnsi="宋体"/>
          <w:bCs/>
          <w:color w:val="auto"/>
          <w:kern w:val="0"/>
          <w:sz w:val="24"/>
          <w:szCs w:val="20"/>
          <w:highlight w:val="none"/>
        </w:rPr>
      </w:pPr>
      <w:r>
        <w:rPr>
          <w:rFonts w:hint="eastAsia" w:ascii="宋体" w:hAnsi="宋体"/>
          <w:bCs/>
          <w:color w:val="auto"/>
          <w:kern w:val="0"/>
          <w:sz w:val="24"/>
          <w:highlight w:val="none"/>
          <w:lang w:val="en-GB"/>
        </w:rPr>
        <w:t xml:space="preserve">日    期：  年 月  日                     日    期：   年  月  日   </w:t>
      </w:r>
      <w:r>
        <w:rPr>
          <w:rFonts w:hint="eastAsia" w:ascii="宋体" w:hAnsi="宋体"/>
          <w:bCs/>
          <w:color w:val="auto"/>
          <w:kern w:val="0"/>
          <w:sz w:val="24"/>
          <w:szCs w:val="20"/>
          <w:highlight w:val="none"/>
        </w:rPr>
        <w:t xml:space="preserve">              </w:t>
      </w:r>
    </w:p>
    <w:p>
      <w:pPr>
        <w:spacing w:line="420" w:lineRule="exact"/>
        <w:rPr>
          <w:rFonts w:ascii="宋体" w:hAnsi="宋体"/>
          <w:bCs/>
          <w:color w:val="auto"/>
          <w:kern w:val="0"/>
          <w:sz w:val="24"/>
          <w:szCs w:val="20"/>
          <w:highlight w:val="none"/>
        </w:rPr>
      </w:pPr>
      <w:r>
        <w:rPr>
          <w:rFonts w:hint="eastAsia" w:ascii="宋体" w:hAnsi="宋体"/>
          <w:bCs/>
          <w:color w:val="auto"/>
          <w:kern w:val="0"/>
          <w:sz w:val="24"/>
          <w:szCs w:val="20"/>
          <w:highlight w:val="none"/>
        </w:rPr>
        <w:t xml:space="preserve">见证方：江苏建圆建方工程管理咨询有限公司 （盖章）                             </w:t>
      </w:r>
    </w:p>
    <w:p>
      <w:pPr>
        <w:spacing w:line="420" w:lineRule="exact"/>
        <w:rPr>
          <w:rFonts w:ascii="宋体" w:hAnsi="宋体"/>
          <w:bCs/>
          <w:color w:val="auto"/>
          <w:kern w:val="0"/>
          <w:sz w:val="24"/>
          <w:szCs w:val="20"/>
          <w:highlight w:val="none"/>
        </w:rPr>
      </w:pPr>
      <w:r>
        <w:rPr>
          <w:rFonts w:hint="eastAsia" w:ascii="宋体" w:hAnsi="宋体"/>
          <w:bCs/>
          <w:color w:val="auto"/>
          <w:kern w:val="0"/>
          <w:sz w:val="24"/>
          <w:szCs w:val="20"/>
          <w:highlight w:val="none"/>
        </w:rPr>
        <w:t xml:space="preserve">        年      月       日                       </w:t>
      </w:r>
    </w:p>
    <w:p>
      <w:pPr>
        <w:spacing w:line="420" w:lineRule="exact"/>
        <w:rPr>
          <w:rFonts w:ascii="宋体" w:hAnsi="宋体"/>
          <w:bCs/>
          <w:color w:val="auto"/>
          <w:kern w:val="0"/>
          <w:sz w:val="24"/>
          <w:szCs w:val="20"/>
          <w:highlight w:val="none"/>
        </w:rPr>
      </w:pPr>
      <w:r>
        <w:rPr>
          <w:rFonts w:hint="eastAsia" w:ascii="宋体" w:hAnsi="宋体"/>
          <w:bCs/>
          <w:color w:val="auto"/>
          <w:kern w:val="0"/>
          <w:sz w:val="24"/>
          <w:szCs w:val="20"/>
          <w:highlight w:val="none"/>
        </w:rPr>
        <w:t>★.</w:t>
      </w:r>
      <w:r>
        <w:rPr>
          <w:rFonts w:hint="eastAsia" w:ascii="宋体" w:hAnsi="宋体"/>
          <w:b/>
          <w:bCs/>
          <w:color w:val="auto"/>
          <w:kern w:val="0"/>
          <w:sz w:val="24"/>
          <w:szCs w:val="20"/>
          <w:highlight w:val="none"/>
        </w:rPr>
        <w:t>备注：</w:t>
      </w:r>
      <w:r>
        <w:rPr>
          <w:rFonts w:hint="eastAsia" w:ascii="宋体" w:hAnsi="宋体"/>
          <w:bCs/>
          <w:color w:val="auto"/>
          <w:kern w:val="0"/>
          <w:sz w:val="24"/>
          <w:szCs w:val="20"/>
          <w:highlight w:val="none"/>
        </w:rPr>
        <w:t>供需双方必须以本格式文本，按照合同条款拟订合同。</w:t>
      </w:r>
    </w:p>
    <w:p>
      <w:pPr>
        <w:jc w:val="center"/>
        <w:outlineLvl w:val="0"/>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r>
        <w:rPr>
          <w:rFonts w:hint="eastAsia" w:ascii="黑体" w:eastAsia="黑体"/>
          <w:bCs/>
          <w:color w:val="auto"/>
          <w:kern w:val="0"/>
          <w:sz w:val="28"/>
          <w:szCs w:val="28"/>
          <w:highlight w:val="none"/>
        </w:rPr>
        <w:t>合同条款（格式）</w:t>
      </w:r>
    </w:p>
    <w:p>
      <w:pPr>
        <w:spacing w:line="360" w:lineRule="auto"/>
        <w:ind w:firstLine="480" w:firstLineChars="200"/>
        <w:rPr>
          <w:rFonts w:ascii="宋体" w:hAnsi="宋体"/>
          <w:bCs/>
          <w:color w:val="auto"/>
          <w:kern w:val="0"/>
          <w:sz w:val="24"/>
          <w:szCs w:val="20"/>
          <w:highlight w:val="none"/>
        </w:rPr>
      </w:pP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（采购人）：</w:t>
      </w:r>
      <w:r>
        <w:rPr>
          <w:rFonts w:hint="eastAsia" w:ascii="宋体" w:hAnsi="宋体"/>
          <w:bCs/>
          <w:color w:val="auto"/>
          <w:kern w:val="0"/>
          <w:sz w:val="24"/>
          <w:highlight w:val="none"/>
          <w:u w:val="single"/>
          <w:lang w:val="en-GB"/>
        </w:rPr>
        <w:t xml:space="preserve">无锡市数据局 </w:t>
      </w:r>
    </w:p>
    <w:p>
      <w:pPr>
        <w:spacing w:line="360" w:lineRule="auto"/>
        <w:ind w:firstLine="480" w:firstLineChars="200"/>
        <w:rPr>
          <w:rFonts w:ascii="宋体" w:hAnsi="宋体"/>
          <w:bCs/>
          <w:color w:val="auto"/>
          <w:kern w:val="0"/>
          <w:sz w:val="24"/>
          <w:szCs w:val="20"/>
          <w:highlight w:val="none"/>
          <w:u w:val="single"/>
        </w:rPr>
      </w:pP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（中标人）：</w:t>
      </w:r>
      <w:r>
        <w:rPr>
          <w:rFonts w:hint="eastAsia" w:ascii="宋体" w:hAnsi="宋体"/>
          <w:bCs/>
          <w:color w:val="auto"/>
          <w:kern w:val="0"/>
          <w:sz w:val="24"/>
          <w:szCs w:val="20"/>
          <w:highlight w:val="none"/>
          <w:u w:val="single"/>
        </w:rPr>
        <w:t xml:space="preserve">            </w:t>
      </w:r>
    </w:p>
    <w:p>
      <w:pPr>
        <w:autoSpaceDE w:val="0"/>
        <w:autoSpaceDN w:val="0"/>
        <w:spacing w:line="360" w:lineRule="auto"/>
        <w:ind w:firstLine="480" w:firstLineChars="200"/>
        <w:textAlignment w:val="baseline"/>
        <w:rPr>
          <w:rFonts w:ascii="宋体" w:hAnsi="宋体"/>
          <w:bCs/>
          <w:color w:val="auto"/>
          <w:kern w:val="0"/>
          <w:sz w:val="24"/>
          <w:highlight w:val="none"/>
          <w:lang w:val="en-GB"/>
        </w:rPr>
      </w:pPr>
      <w:r>
        <w:rPr>
          <w:rFonts w:hint="eastAsia" w:ascii="宋体" w:hAnsi="宋体"/>
          <w:bCs/>
          <w:color w:val="auto"/>
          <w:kern w:val="0"/>
          <w:sz w:val="24"/>
          <w:highlight w:val="none"/>
          <w:lang w:val="en-GB"/>
        </w:rPr>
        <w:t>（一）项目内容</w:t>
      </w:r>
    </w:p>
    <w:p>
      <w:pPr>
        <w:autoSpaceDE w:val="0"/>
        <w:autoSpaceDN w:val="0"/>
        <w:spacing w:line="360" w:lineRule="auto"/>
        <w:ind w:firstLine="480" w:firstLineChars="200"/>
        <w:textAlignment w:val="baseline"/>
        <w:rPr>
          <w:rFonts w:ascii="宋体" w:hAnsi="宋体"/>
          <w:bCs/>
          <w:color w:val="auto"/>
          <w:kern w:val="0"/>
          <w:sz w:val="24"/>
          <w:highlight w:val="none"/>
          <w:lang w:val="en-GB"/>
        </w:rPr>
      </w:pPr>
      <w:r>
        <w:rPr>
          <w:rFonts w:hint="eastAsia" w:ascii="宋体" w:hAnsi="宋体"/>
          <w:bCs/>
          <w:color w:val="auto"/>
          <w:kern w:val="0"/>
          <w:sz w:val="24"/>
          <w:highlight w:val="none"/>
          <w:lang w:val="en-GB"/>
        </w:rPr>
        <w:t>1、服务内容：</w:t>
      </w:r>
    </w:p>
    <w:p>
      <w:pPr>
        <w:autoSpaceDE w:val="0"/>
        <w:autoSpaceDN w:val="0"/>
        <w:spacing w:line="360" w:lineRule="auto"/>
        <w:ind w:firstLine="480" w:firstLineChars="200"/>
        <w:textAlignment w:val="baseline"/>
        <w:rPr>
          <w:rFonts w:ascii="宋体" w:hAnsi="宋体"/>
          <w:bCs/>
          <w:color w:val="auto"/>
          <w:kern w:val="0"/>
          <w:sz w:val="24"/>
          <w:highlight w:val="none"/>
        </w:rPr>
      </w:pPr>
      <w:r>
        <w:rPr>
          <w:rFonts w:hint="eastAsia" w:ascii="宋体" w:hAnsi="宋体"/>
          <w:bCs/>
          <w:color w:val="auto"/>
          <w:kern w:val="0"/>
          <w:sz w:val="24"/>
          <w:highlight w:val="none"/>
        </w:rPr>
        <w:t>2、下列文件为本合同不可分割部分：</w:t>
      </w:r>
    </w:p>
    <w:p>
      <w:pPr>
        <w:autoSpaceDE w:val="0"/>
        <w:autoSpaceDN w:val="0"/>
        <w:spacing w:line="360" w:lineRule="auto"/>
        <w:ind w:firstLine="480" w:firstLineChars="200"/>
        <w:textAlignment w:val="baseline"/>
        <w:rPr>
          <w:rFonts w:ascii="宋体" w:hAnsi="宋体"/>
          <w:bCs/>
          <w:color w:val="auto"/>
          <w:kern w:val="0"/>
          <w:sz w:val="24"/>
          <w:highlight w:val="none"/>
        </w:rPr>
      </w:pPr>
      <w:r>
        <w:rPr>
          <w:rFonts w:hint="eastAsia" w:ascii="宋体" w:hAnsi="宋体"/>
          <w:bCs/>
          <w:color w:val="auto"/>
          <w:kern w:val="0"/>
          <w:sz w:val="24"/>
          <w:highlight w:val="none"/>
        </w:rPr>
        <w:t>（1）中标通知书；</w:t>
      </w:r>
    </w:p>
    <w:p>
      <w:pPr>
        <w:autoSpaceDE w:val="0"/>
        <w:autoSpaceDN w:val="0"/>
        <w:spacing w:line="360" w:lineRule="auto"/>
        <w:ind w:firstLine="480" w:firstLineChars="200"/>
        <w:textAlignment w:val="baseline"/>
        <w:rPr>
          <w:rFonts w:ascii="宋体" w:hAnsi="宋体"/>
          <w:bCs/>
          <w:color w:val="auto"/>
          <w:kern w:val="0"/>
          <w:sz w:val="24"/>
          <w:highlight w:val="none"/>
        </w:rPr>
      </w:pPr>
      <w:r>
        <w:rPr>
          <w:rFonts w:hint="eastAsia" w:ascii="宋体" w:hAnsi="宋体"/>
          <w:bCs/>
          <w:color w:val="auto"/>
          <w:kern w:val="0"/>
          <w:sz w:val="24"/>
          <w:highlight w:val="none"/>
        </w:rPr>
        <w:t>（2）招标文件；</w:t>
      </w:r>
    </w:p>
    <w:p>
      <w:pPr>
        <w:autoSpaceDE w:val="0"/>
        <w:autoSpaceDN w:val="0"/>
        <w:spacing w:line="360" w:lineRule="auto"/>
        <w:ind w:firstLine="480" w:firstLineChars="200"/>
        <w:textAlignment w:val="baseline"/>
        <w:rPr>
          <w:rFonts w:ascii="宋体" w:hAnsi="宋体"/>
          <w:bCs/>
          <w:color w:val="auto"/>
          <w:kern w:val="0"/>
          <w:sz w:val="24"/>
          <w:highlight w:val="none"/>
        </w:rPr>
      </w:pPr>
      <w:r>
        <w:rPr>
          <w:rFonts w:hint="eastAsia" w:ascii="宋体" w:hAnsi="宋体"/>
          <w:bCs/>
          <w:color w:val="auto"/>
          <w:kern w:val="0"/>
          <w:sz w:val="24"/>
          <w:highlight w:val="none"/>
        </w:rPr>
        <w:t>（3）</w:t>
      </w:r>
      <w:r>
        <w:rPr>
          <w:rFonts w:ascii="宋体" w:hAnsi="宋体"/>
          <w:bCs/>
          <w:color w:val="auto"/>
          <w:kern w:val="0"/>
          <w:sz w:val="24"/>
          <w:highlight w:val="none"/>
          <w:lang w:val="en-GB"/>
        </w:rPr>
        <w:t>供方</w:t>
      </w:r>
      <w:r>
        <w:rPr>
          <w:rFonts w:hint="eastAsia" w:ascii="宋体" w:hAnsi="宋体"/>
          <w:bCs/>
          <w:color w:val="auto"/>
          <w:kern w:val="0"/>
          <w:sz w:val="24"/>
          <w:highlight w:val="none"/>
        </w:rPr>
        <w:t>投标文件；</w:t>
      </w:r>
    </w:p>
    <w:p>
      <w:pPr>
        <w:autoSpaceDE w:val="0"/>
        <w:autoSpaceDN w:val="0"/>
        <w:spacing w:line="360" w:lineRule="auto"/>
        <w:ind w:firstLine="480" w:firstLineChars="200"/>
        <w:textAlignment w:val="baseline"/>
        <w:rPr>
          <w:rFonts w:ascii="宋体" w:hAnsi="宋体"/>
          <w:bCs/>
          <w:color w:val="auto"/>
          <w:kern w:val="0"/>
          <w:sz w:val="24"/>
          <w:highlight w:val="none"/>
        </w:rPr>
      </w:pPr>
      <w:r>
        <w:rPr>
          <w:rFonts w:hint="eastAsia" w:ascii="宋体" w:hAnsi="宋体"/>
          <w:bCs/>
          <w:color w:val="auto"/>
          <w:kern w:val="0"/>
          <w:sz w:val="24"/>
          <w:highlight w:val="none"/>
        </w:rPr>
        <w:t>（4）</w:t>
      </w:r>
      <w:r>
        <w:rPr>
          <w:rFonts w:ascii="宋体" w:hAnsi="宋体"/>
          <w:bCs/>
          <w:color w:val="auto"/>
          <w:kern w:val="0"/>
          <w:sz w:val="24"/>
          <w:highlight w:val="none"/>
          <w:lang w:val="en-GB"/>
        </w:rPr>
        <w:t>供方</w:t>
      </w:r>
      <w:r>
        <w:rPr>
          <w:rFonts w:hint="eastAsia" w:ascii="宋体" w:hAnsi="宋体"/>
          <w:bCs/>
          <w:color w:val="auto"/>
          <w:kern w:val="0"/>
          <w:sz w:val="24"/>
          <w:highlight w:val="none"/>
        </w:rPr>
        <w:t>在招投标过程中所作的其它承诺、声明、书面澄清等；</w:t>
      </w:r>
    </w:p>
    <w:p>
      <w:pPr>
        <w:autoSpaceDE w:val="0"/>
        <w:autoSpaceDN w:val="0"/>
        <w:spacing w:line="360" w:lineRule="auto"/>
        <w:ind w:firstLine="480" w:firstLineChars="200"/>
        <w:textAlignment w:val="baseline"/>
        <w:rPr>
          <w:rFonts w:ascii="宋体" w:hAnsi="宋体"/>
          <w:bCs/>
          <w:color w:val="auto"/>
          <w:kern w:val="0"/>
          <w:sz w:val="24"/>
          <w:highlight w:val="none"/>
        </w:rPr>
      </w:pPr>
      <w:r>
        <w:rPr>
          <w:rFonts w:hint="eastAsia" w:ascii="宋体" w:hAnsi="宋体"/>
          <w:bCs/>
          <w:color w:val="auto"/>
          <w:kern w:val="0"/>
          <w:sz w:val="24"/>
          <w:highlight w:val="none"/>
        </w:rPr>
        <w:t>（5）当招标文件和</w:t>
      </w:r>
      <w:r>
        <w:rPr>
          <w:rFonts w:ascii="宋体" w:hAnsi="宋体"/>
          <w:bCs/>
          <w:color w:val="auto"/>
          <w:kern w:val="0"/>
          <w:sz w:val="24"/>
          <w:highlight w:val="none"/>
          <w:lang w:val="en-GB"/>
        </w:rPr>
        <w:t>供方</w:t>
      </w:r>
      <w:r>
        <w:rPr>
          <w:rFonts w:hint="eastAsia" w:ascii="宋体" w:hAnsi="宋体"/>
          <w:bCs/>
          <w:color w:val="auto"/>
          <w:kern w:val="0"/>
          <w:sz w:val="24"/>
          <w:highlight w:val="none"/>
        </w:rPr>
        <w:t>的投标文件不一致时，应当以招标文件为准，但如果投标文件的承诺高于招标文件时，以投标文件为准。</w:t>
      </w:r>
    </w:p>
    <w:p>
      <w:pPr>
        <w:autoSpaceDE w:val="0"/>
        <w:autoSpaceDN w:val="0"/>
        <w:spacing w:line="360" w:lineRule="auto"/>
        <w:ind w:firstLine="480" w:firstLineChars="200"/>
        <w:textAlignment w:val="baseline"/>
        <w:rPr>
          <w:color w:val="auto"/>
          <w:kern w:val="0"/>
          <w:sz w:val="24"/>
          <w:highlight w:val="none"/>
        </w:rPr>
      </w:pPr>
      <w:r>
        <w:rPr>
          <w:rFonts w:hint="eastAsia" w:ascii="宋体" w:hAnsi="宋体"/>
          <w:bCs/>
          <w:color w:val="auto"/>
          <w:kern w:val="0"/>
          <w:sz w:val="24"/>
          <w:highlight w:val="none"/>
        </w:rPr>
        <w:t>（二） 价格及支付</w:t>
      </w:r>
      <w:r>
        <w:rPr>
          <w:color w:val="auto"/>
          <w:kern w:val="0"/>
          <w:sz w:val="24"/>
          <w:highlight w:val="none"/>
        </w:rPr>
        <w:t xml:space="preserve"> </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1、按此次中标价格执行，合同总价为</w:t>
      </w:r>
      <w:r>
        <w:rPr>
          <w:rFonts w:hint="eastAsia" w:ascii="宋体" w:hAnsi="宋体" w:cs="宋体"/>
          <w:bCs/>
          <w:color w:val="auto"/>
          <w:kern w:val="0"/>
          <w:sz w:val="24"/>
          <w:szCs w:val="20"/>
          <w:highlight w:val="none"/>
          <w:u w:val="single"/>
        </w:rPr>
        <w:t xml:space="preserve">             </w:t>
      </w:r>
      <w:r>
        <w:rPr>
          <w:rFonts w:hint="eastAsia" w:ascii="宋体" w:hAnsi="宋体" w:cs="宋体"/>
          <w:bCs/>
          <w:color w:val="auto"/>
          <w:kern w:val="0"/>
          <w:sz w:val="24"/>
          <w:szCs w:val="20"/>
          <w:highlight w:val="none"/>
        </w:rPr>
        <w:t>元(大写：人民币</w:t>
      </w:r>
      <w:r>
        <w:rPr>
          <w:rFonts w:hint="eastAsia" w:ascii="宋体" w:hAnsi="宋体" w:cs="宋体"/>
          <w:bCs/>
          <w:color w:val="auto"/>
          <w:kern w:val="0"/>
          <w:sz w:val="24"/>
          <w:szCs w:val="20"/>
          <w:highlight w:val="none"/>
          <w:u w:val="single"/>
        </w:rPr>
        <w:t xml:space="preserve">    </w:t>
      </w:r>
      <w:r>
        <w:rPr>
          <w:rFonts w:hint="eastAsia" w:ascii="宋体" w:hAnsi="宋体" w:cs="宋体"/>
          <w:bCs/>
          <w:color w:val="auto"/>
          <w:kern w:val="0"/>
          <w:sz w:val="24"/>
          <w:szCs w:val="20"/>
          <w:highlight w:val="none"/>
        </w:rPr>
        <w:t>元整)。</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本合同总价已包括</w:t>
      </w:r>
      <w:r>
        <w:rPr>
          <w:rFonts w:hint="eastAsia" w:ascii="宋体" w:hAnsi="宋体"/>
          <w:bCs/>
          <w:color w:val="auto"/>
          <w:kern w:val="0"/>
          <w:sz w:val="24"/>
          <w:szCs w:val="20"/>
          <w:highlight w:val="none"/>
        </w:rPr>
        <w:t>完成本项工作所需的人工、材料、机械、设备、交通、管理、维护、保险、利润、税金、办公设备、器材、政策性文件规定及合同包含的所有风险、责任等各项所有费用。</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2、付款方式：合同签订生效后1个月内，支付合同总价的40%；建设期每季度按工程建设完成工作量同比例支付，最高付至本合同总价的85%；全部项目竣工验收完成后，结清余款。如所监理项目因客观原因停止建设，所产生的监理费用按比例扣除或以相等规模项目递补。具体支付时间以财政指标下达为准，确因财政拨款等原因造成款项不能及时到达的，可适当延期支付。</w:t>
      </w:r>
    </w:p>
    <w:p>
      <w:pPr>
        <w:tabs>
          <w:tab w:val="left" w:pos="525"/>
          <w:tab w:val="left" w:pos="1050"/>
          <w:tab w:val="left" w:pos="1155"/>
        </w:tabs>
        <w:spacing w:line="360" w:lineRule="auto"/>
        <w:ind w:firstLine="480" w:firstLineChars="200"/>
        <w:rPr>
          <w:rFonts w:ascii="宋体" w:hAnsi="宋体" w:cs="宋体"/>
          <w:color w:val="auto"/>
          <w:kern w:val="0"/>
          <w:sz w:val="24"/>
          <w:szCs w:val="20"/>
          <w:highlight w:val="none"/>
        </w:rPr>
      </w:pPr>
      <w:r>
        <w:rPr>
          <w:rFonts w:hint="eastAsia" w:ascii="宋体" w:hAnsi="宋体" w:cs="宋体"/>
          <w:color w:val="auto"/>
          <w:kern w:val="0"/>
          <w:sz w:val="24"/>
          <w:szCs w:val="20"/>
          <w:highlight w:val="none"/>
        </w:rPr>
        <w:t>3</w:t>
      </w:r>
      <w:r>
        <w:rPr>
          <w:rFonts w:hint="eastAsia" w:ascii="宋体" w:hAnsi="宋体" w:cs="宋体"/>
          <w:bCs/>
          <w:color w:val="auto"/>
          <w:kern w:val="0"/>
          <w:sz w:val="24"/>
          <w:szCs w:val="20"/>
          <w:highlight w:val="none"/>
        </w:rPr>
        <w:t>、</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每次付款前</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须出具正式发票。若</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不出具正式发票的，</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有权拒绝付款，且不承担因此产生的</w:t>
      </w:r>
      <w:r>
        <w:rPr>
          <w:rFonts w:hint="eastAsia" w:ascii="宋体" w:hAnsi="宋体" w:cs="宋体"/>
          <w:bCs/>
          <w:color w:val="auto"/>
          <w:kern w:val="0"/>
          <w:sz w:val="24"/>
          <w:szCs w:val="20"/>
          <w:highlight w:val="none"/>
          <w:lang w:val="en-US" w:eastAsia="zh-CN"/>
        </w:rPr>
        <w:t>逾期</w:t>
      </w:r>
      <w:r>
        <w:rPr>
          <w:rFonts w:hint="eastAsia" w:ascii="宋体" w:hAnsi="宋体" w:cs="宋体"/>
          <w:bCs/>
          <w:color w:val="auto"/>
          <w:kern w:val="0"/>
          <w:sz w:val="24"/>
          <w:szCs w:val="20"/>
          <w:highlight w:val="none"/>
        </w:rPr>
        <w:t>付款等违约责任。</w:t>
      </w:r>
    </w:p>
    <w:p>
      <w:pPr>
        <w:numPr>
          <w:ilvl w:val="0"/>
          <w:numId w:val="24"/>
        </w:numPr>
        <w:tabs>
          <w:tab w:val="left" w:pos="0"/>
          <w:tab w:val="left" w:pos="1365"/>
          <w:tab w:val="clear" w:pos="855"/>
        </w:tabs>
        <w:spacing w:line="360" w:lineRule="auto"/>
        <w:ind w:left="0" w:firstLine="525"/>
        <w:rPr>
          <w:rFonts w:ascii="宋体" w:hAnsi="宋体"/>
          <w:bCs/>
          <w:color w:val="auto"/>
          <w:kern w:val="0"/>
          <w:sz w:val="24"/>
          <w:szCs w:val="20"/>
          <w:highlight w:val="none"/>
        </w:rPr>
      </w:pPr>
      <w:r>
        <w:rPr>
          <w:rFonts w:hint="eastAsia" w:ascii="宋体" w:hAnsi="宋体"/>
          <w:bCs/>
          <w:color w:val="auto"/>
          <w:kern w:val="0"/>
          <w:sz w:val="24"/>
          <w:szCs w:val="20"/>
          <w:highlight w:val="none"/>
        </w:rPr>
        <w:t>知识产权</w:t>
      </w:r>
    </w:p>
    <w:p>
      <w:pPr>
        <w:tabs>
          <w:tab w:val="left" w:pos="94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1、</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应保证</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在使用其交付物、服务及其任何部分时不受到第三方关于侵犯专利权、商标权或软件著作权等知识产权的指控。任何第三方如果提出侵权指控，</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应承担可能发生的一切法律责任和费用。</w:t>
      </w:r>
    </w:p>
    <w:p>
      <w:pPr>
        <w:tabs>
          <w:tab w:val="left" w:pos="94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2、</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在本合同履行过程中专门为</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或根据</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提供的有关信息、资料而产生的所有成果，其知识产权和其他权益全部归</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所有，且</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可以不受限制地进行使用。未经</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事先书面许可，</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不得为本合同之外的任何目的、以任何形式自行使用、擅自许可任何第三方使用或向任何第三方提出有关的意见和建议。</w:t>
      </w:r>
    </w:p>
    <w:p>
      <w:pPr>
        <w:numPr>
          <w:ilvl w:val="0"/>
          <w:numId w:val="24"/>
        </w:numPr>
        <w:tabs>
          <w:tab w:val="left" w:pos="735"/>
          <w:tab w:val="clear" w:pos="855"/>
        </w:tabs>
        <w:spacing w:line="360" w:lineRule="auto"/>
        <w:ind w:left="0" w:firstLine="520" w:firstLineChars="217"/>
        <w:rPr>
          <w:rFonts w:ascii="宋体" w:hAnsi="宋体"/>
          <w:bCs/>
          <w:color w:val="auto"/>
          <w:kern w:val="0"/>
          <w:sz w:val="24"/>
          <w:szCs w:val="20"/>
          <w:highlight w:val="none"/>
        </w:rPr>
      </w:pPr>
      <w:r>
        <w:rPr>
          <w:rFonts w:hint="eastAsia" w:ascii="宋体" w:hAnsi="宋体"/>
          <w:bCs/>
          <w:color w:val="auto"/>
          <w:kern w:val="0"/>
          <w:sz w:val="24"/>
          <w:szCs w:val="20"/>
          <w:highlight w:val="none"/>
        </w:rPr>
        <w:t>权利与义务</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一）</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权利与义务</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1、</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有权要求</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派出稳定的监理队伍，</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如需更换项目组人员，应向</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提出书面申请，经</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批准后方可进行更换，所更换人员资格能力不得低于其投标文件承诺。未获得</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同意的情况下，总监理工程师、监理工程师变更或未实际提供服务的，或其它不符合招投标文件要求的，</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有权单方面终止合同，并追究</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责任。</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2、</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有权要求监理机构适时提交监理工作报告及监理业务范围内的专项报告。当</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发现监理人员不按监理合同履行监理职责，或与其他单位串通给</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或造成损失的，</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有权要求</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更换监理人员，甚至终止合同并要求</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承担相应的赔偿责任或连带赔偿责任。</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3、</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主要负责部门或单位的工作协调，为监理工作创造良好的外部条件。</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4、</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应当按合同双方约定的内容和时间，向</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提供与项目有关的工程等资料。</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5、</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应当按合同双方约定的内容和时间就</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书面提交并要求做出决定的一切事宜做出书面决定，逾期应视为</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同意。</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6、</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应授权一名熟悉本项目情况的项目代表，负责与</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联系，更换代表，要提前书面通知</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7、</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将授予</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的监理权利，以及</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成员的职能分工、监理权限及时书面通知已选定的承建单位，并在与第三人签订的合同中予以明确。</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二）</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权利与义务</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1、对项目的有关事项（包括规模、技术方案、设计标准、实施计划和使用功能要求等）向</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的建议权。</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2、对项目设计中的技术问题，按照安全和优化的原则提出建议，并向</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提出书面报告。如果由于拟提出的建议会提高工程造价或延长工期，应当事先取得</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的同意。</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3、对项目的组织实施和技术方案，按照保质量、保工期和降低成本的原则，提出审查意见并及时通知承建单位，并向</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提出书面报告。如果由于拟提出的建议会提高工程造价， 或延长工期，应当事先取得</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的同意。当发现项目设计不符合国家颁布的质量标准和设计合同约定的质量标准时，应当书面报告</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并要求有关单位更正。</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4、主持项目建设有关单位的组织协调，重要协调事项应当事先向</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报告。</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5、在事先向</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报告并征得同意后，</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可以发布停工令和复工令。</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6、</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按合同约定派出监理机构及监理人员，报送委派的总监理工程师及其监理机构成员名单、监理规划（方案）及监理服务细则，完成监理合同专用条款中约定的监理项目范围内的监理业务。按合同约定定期向</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报告监理工作。</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7、项目上使用的设备、材料与软件的检验权和确认权，对于不符合设计要求及国家质量标准的设备材料与软件，有权通知停止使用或停工整改、返工。当取得监理机构复工令后才能复工。</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8、</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有被监理项目进度的检查、监督权，以及被监理项目实际竣工日期提前或超过合同规定的竣工期限的签认权。</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9、</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有在被监理项目合同约定的价格范围内，被监理项目款项支付的审核和签认权，以及结算被监理项目款的复核确认权。未</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签字确认，</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不支付相关款项。</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10、在监理过程中如发现被监理单位工作不力，</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有权提出调换有关人员建议。</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11、在监理项目范围内，</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或被监理单位对对方的任何意见和要求（包括索赔要求），均必须首先向</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提出，由</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研究处理意见，再同双方协商确定。当</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和被监理单位发生争议时，</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应根据自己的职能，以独立的身份判断，公正地进行调解。当双方的争议由政府有关部门或仲裁机关进行调解和仲裁时，应当提出</w:t>
      </w:r>
      <w:r>
        <w:rPr>
          <w:rFonts w:hint="eastAsia" w:ascii="宋体" w:hAnsi="宋体" w:cs="宋体"/>
          <w:bCs/>
          <w:color w:val="auto"/>
          <w:kern w:val="0"/>
          <w:sz w:val="24"/>
          <w:szCs w:val="20"/>
          <w:highlight w:val="none"/>
          <w:lang w:eastAsia="zh-Hans"/>
        </w:rPr>
        <w:t>佐证</w:t>
      </w:r>
      <w:r>
        <w:rPr>
          <w:rFonts w:hint="eastAsia" w:ascii="宋体" w:hAnsi="宋体" w:cs="宋体"/>
          <w:bCs/>
          <w:color w:val="auto"/>
          <w:kern w:val="0"/>
          <w:sz w:val="24"/>
          <w:szCs w:val="20"/>
          <w:highlight w:val="none"/>
        </w:rPr>
        <w:t>的事实材料。</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12、</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在履行合同义务的期间，应运用合理的技能，认真、勤奋地工作，认真执行合同约定的各项监理任务，公正地维护各方的合法权益。</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13、如果</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使用的设施和物品属于</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的财产，在监理工作完成或中止时， 应将其设施和物品清单提交给</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14、在本合同期内或合同终止后，未征得有关方同意，不得泄漏与本项目、本合同有关的技术、资料等，不得以任何形式侵害</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和被监理单位的知识产权。</w:t>
      </w:r>
    </w:p>
    <w:p>
      <w:pPr>
        <w:numPr>
          <w:ilvl w:val="0"/>
          <w:numId w:val="24"/>
        </w:numPr>
        <w:tabs>
          <w:tab w:val="left" w:pos="735"/>
          <w:tab w:val="clear" w:pos="855"/>
        </w:tabs>
        <w:spacing w:line="360" w:lineRule="auto"/>
        <w:ind w:left="0" w:firstLine="520" w:firstLineChars="217"/>
        <w:rPr>
          <w:rFonts w:ascii="宋体" w:hAnsi="宋体"/>
          <w:bCs/>
          <w:color w:val="auto"/>
          <w:kern w:val="0"/>
          <w:sz w:val="24"/>
          <w:szCs w:val="20"/>
          <w:highlight w:val="none"/>
        </w:rPr>
      </w:pPr>
      <w:r>
        <w:rPr>
          <w:rFonts w:hint="eastAsia" w:ascii="宋体" w:hAnsi="宋体"/>
          <w:bCs/>
          <w:color w:val="auto"/>
          <w:kern w:val="0"/>
          <w:sz w:val="24"/>
          <w:szCs w:val="20"/>
          <w:highlight w:val="none"/>
        </w:rPr>
        <w:t>质量要求与检验：</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1、</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应严格按照招标文件的有关规定和</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投标文件提供合格的服务成果。</w:t>
      </w:r>
    </w:p>
    <w:p>
      <w:pPr>
        <w:tabs>
          <w:tab w:val="left" w:pos="525"/>
          <w:tab w:val="left" w:pos="1050"/>
          <w:tab w:val="left" w:pos="1155"/>
        </w:tabs>
        <w:spacing w:line="360" w:lineRule="auto"/>
        <w:ind w:firstLine="480" w:firstLineChars="200"/>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2、</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有权对</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提交的每个阶段的服务成果进行监督和检验，并就</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的服务质量、服务方式、服务效果等提出意见和改进建议，</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应听取</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 xml:space="preserve">建议，及时改进和提高服务质量。 </w:t>
      </w:r>
    </w:p>
    <w:p>
      <w:pPr>
        <w:tabs>
          <w:tab w:val="left" w:pos="1050"/>
          <w:tab w:val="left" w:pos="1155"/>
        </w:tabs>
        <w:spacing w:line="360" w:lineRule="auto"/>
        <w:ind w:firstLine="520" w:firstLineChars="217"/>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3、如果任何被检验的服务不符合质量要求，</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均可以拒绝接受，</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应及时更换、重新提供服务，且不得影响</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正常工作，费用由</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承担，如因更换或重作导致</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逾期交付货物的，</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还应承担逾期交付的违约责任。本规定并不免除</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在本合同项下的货物质量保证义务或其他义务。</w:t>
      </w:r>
    </w:p>
    <w:p>
      <w:pPr>
        <w:tabs>
          <w:tab w:val="left" w:pos="1050"/>
          <w:tab w:val="left" w:pos="1155"/>
        </w:tabs>
        <w:spacing w:line="360" w:lineRule="auto"/>
        <w:ind w:firstLine="520" w:firstLineChars="217"/>
        <w:rPr>
          <w:rFonts w:ascii="宋体" w:hAnsi="宋体" w:cs="宋体"/>
          <w:color w:val="auto"/>
          <w:kern w:val="0"/>
          <w:sz w:val="24"/>
          <w:szCs w:val="20"/>
          <w:highlight w:val="none"/>
        </w:rPr>
      </w:pPr>
      <w:r>
        <w:rPr>
          <w:rFonts w:hint="eastAsia" w:ascii="宋体" w:hAnsi="宋体" w:cs="宋体"/>
          <w:color w:val="auto"/>
          <w:kern w:val="0"/>
          <w:sz w:val="24"/>
          <w:szCs w:val="20"/>
          <w:highlight w:val="none"/>
        </w:rPr>
        <w:t>4、</w:t>
      </w:r>
      <w:r>
        <w:rPr>
          <w:rFonts w:hint="eastAsia" w:ascii="宋体" w:hAnsi="宋体" w:cs="宋体"/>
          <w:bCs/>
          <w:color w:val="auto"/>
          <w:kern w:val="0"/>
          <w:sz w:val="24"/>
          <w:szCs w:val="20"/>
          <w:highlight w:val="none"/>
        </w:rPr>
        <w:t>服务验收包括：工作成果达到</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的要求。</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按照双方共同确认的工作计划，进行阶段性检查和工作成果验收，最终成果以</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最后确认的验收单为准。</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组织专家评议、内部评议、部门检测、鉴定会以及其他的方式，对服务质量进行评判（专家评审费用标准由</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制定）。验收合格后，</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提供验收合格单。</w:t>
      </w:r>
    </w:p>
    <w:p>
      <w:pPr>
        <w:tabs>
          <w:tab w:val="left" w:pos="1050"/>
          <w:tab w:val="left" w:pos="1155"/>
        </w:tabs>
        <w:spacing w:line="360" w:lineRule="auto"/>
        <w:ind w:firstLine="520" w:firstLineChars="217"/>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（六）保密条款：</w:t>
      </w:r>
    </w:p>
    <w:p>
      <w:pPr>
        <w:tabs>
          <w:tab w:val="left" w:pos="1050"/>
          <w:tab w:val="left" w:pos="1155"/>
        </w:tabs>
        <w:spacing w:line="360" w:lineRule="auto"/>
        <w:ind w:firstLine="520" w:firstLineChars="217"/>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（1）</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必须对合作过程中涉及的信息工作秘密、业务需求、协议、技术成果等内容和相关事务保密并与</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签订保密协议（详见本合同附件《保密协议》）；</w:t>
      </w:r>
    </w:p>
    <w:p>
      <w:pPr>
        <w:tabs>
          <w:tab w:val="left" w:pos="1050"/>
          <w:tab w:val="left" w:pos="1155"/>
        </w:tabs>
        <w:spacing w:line="360" w:lineRule="auto"/>
        <w:ind w:firstLine="520" w:firstLineChars="217"/>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（2）</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在工作期间必须遵守</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的各项安全管理和保密制度；</w:t>
      </w:r>
    </w:p>
    <w:p>
      <w:pPr>
        <w:tabs>
          <w:tab w:val="left" w:pos="1050"/>
          <w:tab w:val="left" w:pos="1155"/>
        </w:tabs>
        <w:spacing w:line="360" w:lineRule="auto"/>
        <w:ind w:firstLine="520" w:firstLineChars="217"/>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（3）</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在项目实施中要严格管理，明确责任，落实安全保密管理机制和质量管理机制，确保与本项目有关的所有资料、信息的安全保密，并建立完整、规范的工作记录；</w:t>
      </w:r>
    </w:p>
    <w:p>
      <w:pPr>
        <w:tabs>
          <w:tab w:val="left" w:pos="1050"/>
          <w:tab w:val="left" w:pos="1155"/>
        </w:tabs>
        <w:spacing w:line="360" w:lineRule="auto"/>
        <w:ind w:firstLine="520" w:firstLineChars="217"/>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（4）任何一方对其获知的本合同及附件中其他各方的商业秘密和国家秘密负有保密义务,造成任何泄密，由泄密方承担相应的法律责任；</w:t>
      </w:r>
    </w:p>
    <w:p>
      <w:pPr>
        <w:tabs>
          <w:tab w:val="left" w:pos="1050"/>
          <w:tab w:val="left" w:pos="1155"/>
        </w:tabs>
        <w:spacing w:line="360" w:lineRule="auto"/>
        <w:ind w:firstLine="520" w:firstLineChars="217"/>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（5）</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须对项目技术文件以及由</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提供的所有数据、内部资料、技术文档和信息予以保密；未经</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书面许可，</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不得将</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提供的项目数据、资料以及项目成果以任何形式向第三方透露或使用。本条款在项目完成或无论何种原因导致合同终止后依然有效；</w:t>
      </w:r>
    </w:p>
    <w:p>
      <w:pPr>
        <w:tabs>
          <w:tab w:val="left" w:pos="1050"/>
          <w:tab w:val="left" w:pos="1155"/>
        </w:tabs>
        <w:spacing w:line="360" w:lineRule="auto"/>
        <w:ind w:firstLine="520" w:firstLineChars="217"/>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（6）</w:t>
      </w:r>
      <w:r>
        <w:rPr>
          <w:rFonts w:ascii="宋体" w:hAnsi="宋体" w:cs="宋体"/>
          <w:bCs/>
          <w:color w:val="auto"/>
          <w:kern w:val="0"/>
          <w:sz w:val="24"/>
          <w:szCs w:val="20"/>
          <w:highlight w:val="none"/>
        </w:rPr>
        <w:t>供方</w:t>
      </w:r>
      <w:r>
        <w:rPr>
          <w:rFonts w:hint="eastAsia" w:ascii="宋体" w:hAnsi="宋体" w:cs="宋体"/>
          <w:bCs/>
          <w:color w:val="auto"/>
          <w:kern w:val="0"/>
          <w:sz w:val="24"/>
          <w:szCs w:val="20"/>
          <w:highlight w:val="none"/>
        </w:rPr>
        <w:t>违反上述保密约定，故意、过错或过失泄密的，除应立即采取措施停止泄密行为，减小泄密造成的损失外，还应向</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支付合同总价5%的违约金。同时，</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还有权根据泄密造成损失的大小，单方解除本合同。</w:t>
      </w:r>
    </w:p>
    <w:p>
      <w:pPr>
        <w:tabs>
          <w:tab w:val="left" w:pos="1050"/>
          <w:tab w:val="left" w:pos="1155"/>
        </w:tabs>
        <w:spacing w:line="360" w:lineRule="auto"/>
        <w:ind w:firstLine="520" w:firstLineChars="217"/>
        <w:rPr>
          <w:rFonts w:ascii="宋体" w:hAnsi="宋体" w:cs="宋体"/>
          <w:bCs/>
          <w:color w:val="auto"/>
          <w:kern w:val="0"/>
          <w:sz w:val="24"/>
          <w:szCs w:val="20"/>
          <w:highlight w:val="none"/>
        </w:rPr>
      </w:pPr>
      <w:r>
        <w:rPr>
          <w:rFonts w:hint="eastAsia" w:ascii="宋体" w:hAnsi="宋体" w:cs="宋体"/>
          <w:bCs/>
          <w:color w:val="auto"/>
          <w:kern w:val="0"/>
          <w:sz w:val="24"/>
          <w:szCs w:val="20"/>
          <w:highlight w:val="none"/>
        </w:rPr>
        <w:t>（7）</w:t>
      </w:r>
      <w:r>
        <w:rPr>
          <w:rFonts w:ascii="宋体" w:hAnsi="宋体" w:cs="宋体"/>
          <w:bCs/>
          <w:color w:val="auto"/>
          <w:kern w:val="0"/>
          <w:sz w:val="24"/>
          <w:szCs w:val="20"/>
          <w:highlight w:val="none"/>
        </w:rPr>
        <w:t>需方</w:t>
      </w:r>
      <w:r>
        <w:rPr>
          <w:rFonts w:hint="eastAsia" w:ascii="宋体" w:hAnsi="宋体" w:cs="宋体"/>
          <w:bCs/>
          <w:color w:val="auto"/>
          <w:kern w:val="0"/>
          <w:sz w:val="24"/>
          <w:szCs w:val="20"/>
          <w:highlight w:val="none"/>
        </w:rPr>
        <w:t>不得擅自变更招投标文件约定的性能、指标等相关内容，如有变更应按《中华人民共和国政府采购法》、财政部《政府采购货物和服务招标投标管理办法》的相关程序执行。</w:t>
      </w:r>
    </w:p>
    <w:p>
      <w:pPr>
        <w:spacing w:line="360" w:lineRule="auto"/>
        <w:ind w:firstLine="480" w:firstLineChars="200"/>
        <w:rPr>
          <w:rFonts w:ascii="宋体" w:hAnsi="宋体"/>
          <w:bCs/>
          <w:color w:val="auto"/>
          <w:kern w:val="0"/>
          <w:sz w:val="24"/>
          <w:szCs w:val="20"/>
          <w:highlight w:val="none"/>
        </w:rPr>
      </w:pPr>
      <w:r>
        <w:rPr>
          <w:rFonts w:hint="eastAsia" w:ascii="宋体" w:hAnsi="宋体"/>
          <w:bCs/>
          <w:color w:val="auto"/>
          <w:kern w:val="0"/>
          <w:sz w:val="24"/>
          <w:szCs w:val="20"/>
          <w:highlight w:val="none"/>
        </w:rPr>
        <w:t>（七） 违约责任：</w:t>
      </w:r>
    </w:p>
    <w:p>
      <w:pPr>
        <w:tabs>
          <w:tab w:val="left" w:pos="105"/>
          <w:tab w:val="left" w:pos="525"/>
          <w:tab w:val="left" w:pos="945"/>
        </w:tabs>
        <w:spacing w:line="360" w:lineRule="auto"/>
        <w:ind w:firstLine="480" w:firstLineChars="200"/>
        <w:rPr>
          <w:rFonts w:ascii="宋体" w:hAnsi="宋体"/>
          <w:bCs/>
          <w:color w:val="auto"/>
          <w:kern w:val="0"/>
          <w:sz w:val="24"/>
          <w:szCs w:val="20"/>
          <w:highlight w:val="none"/>
        </w:rPr>
      </w:pPr>
      <w:r>
        <w:rPr>
          <w:rFonts w:hint="eastAsia" w:ascii="宋体" w:hAnsi="宋体"/>
          <w:bCs/>
          <w:color w:val="auto"/>
          <w:kern w:val="0"/>
          <w:sz w:val="24"/>
          <w:szCs w:val="20"/>
          <w:highlight w:val="none"/>
        </w:rPr>
        <w:t>1、</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未能按照合同规定时间履约的，供方应按每天合同标的金额的万分之五标准向需方支付违约金。违约金的支付不能免除</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继续履行相关合同标的的义务。</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有义务根据合同的规定向</w:t>
      </w: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支付违约金和/或赔偿金时，</w:t>
      </w: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有权从任何一笔应付款予以扣除；</w:t>
      </w:r>
    </w:p>
    <w:p>
      <w:pPr>
        <w:tabs>
          <w:tab w:val="left" w:pos="105"/>
          <w:tab w:val="left" w:pos="525"/>
          <w:tab w:val="left" w:pos="945"/>
        </w:tabs>
        <w:spacing w:line="360" w:lineRule="auto"/>
        <w:ind w:firstLine="480" w:firstLineChars="200"/>
        <w:rPr>
          <w:rFonts w:ascii="宋体" w:hAnsi="宋体"/>
          <w:bCs/>
          <w:color w:val="auto"/>
          <w:kern w:val="0"/>
          <w:sz w:val="24"/>
          <w:szCs w:val="20"/>
          <w:highlight w:val="none"/>
        </w:rPr>
      </w:pPr>
      <w:r>
        <w:rPr>
          <w:rFonts w:hint="eastAsia" w:ascii="宋体" w:hAnsi="宋体"/>
          <w:bCs/>
          <w:color w:val="auto"/>
          <w:kern w:val="0"/>
          <w:sz w:val="24"/>
          <w:szCs w:val="20"/>
          <w:highlight w:val="none"/>
        </w:rPr>
        <w:t>2、</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提供服务不符合项目采购需求，</w:t>
      </w: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有权拒绝，</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愿意更换但逾期履约的，按</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逾期履约处理。</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拒绝更换或整改的，经财政部门批准，</w:t>
      </w: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可解除合同，并由</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赔偿由此造成的</w:t>
      </w: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全部损失。</w:t>
      </w:r>
    </w:p>
    <w:p>
      <w:pPr>
        <w:tabs>
          <w:tab w:val="left" w:pos="105"/>
          <w:tab w:val="left" w:pos="525"/>
          <w:tab w:val="left" w:pos="945"/>
        </w:tabs>
        <w:spacing w:line="360" w:lineRule="auto"/>
        <w:ind w:firstLine="480" w:firstLineChars="200"/>
        <w:rPr>
          <w:rFonts w:ascii="宋体" w:hAnsi="宋体"/>
          <w:bCs/>
          <w:color w:val="auto"/>
          <w:kern w:val="0"/>
          <w:sz w:val="24"/>
          <w:szCs w:val="20"/>
          <w:highlight w:val="none"/>
        </w:rPr>
      </w:pPr>
      <w:r>
        <w:rPr>
          <w:rFonts w:hint="eastAsia" w:ascii="宋体" w:hAnsi="宋体"/>
          <w:bCs/>
          <w:color w:val="auto"/>
          <w:kern w:val="0"/>
          <w:sz w:val="24"/>
          <w:szCs w:val="20"/>
          <w:highlight w:val="none"/>
        </w:rPr>
        <w:t>3、除不可抗力外，如果</w:t>
      </w: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没有按照本合同约定的付款方式付款，那么</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可要求</w:t>
      </w: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支付违约金，违约金按每迟延付款一日的应付而未付款的万分之五计算，最高限额为本合同总价的 1%；迟延付款的违约金计算数额达到前述最高限额之日起，</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有权在要求</w:t>
      </w: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支付违约金的同时，书面通知</w:t>
      </w: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解除本合同。</w:t>
      </w:r>
    </w:p>
    <w:p>
      <w:pPr>
        <w:tabs>
          <w:tab w:val="left" w:pos="105"/>
          <w:tab w:val="left" w:pos="525"/>
          <w:tab w:val="left" w:pos="945"/>
        </w:tabs>
        <w:spacing w:line="360" w:lineRule="auto"/>
        <w:ind w:firstLine="480" w:firstLineChars="200"/>
        <w:rPr>
          <w:rFonts w:ascii="宋体"/>
          <w:bCs/>
          <w:color w:val="auto"/>
          <w:kern w:val="0"/>
          <w:sz w:val="24"/>
          <w:szCs w:val="20"/>
          <w:highlight w:val="none"/>
        </w:rPr>
      </w:pPr>
      <w:r>
        <w:rPr>
          <w:rFonts w:hint="eastAsia" w:ascii="宋体" w:hAnsi="宋体"/>
          <w:bCs/>
          <w:color w:val="auto"/>
          <w:kern w:val="0"/>
          <w:sz w:val="24"/>
          <w:szCs w:val="20"/>
          <w:highlight w:val="none"/>
        </w:rPr>
        <w:t>4、</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如无不可抗力，又未履行招标文件、投标文件和合同条款的，一经查实，由</w:t>
      </w:r>
      <w:r>
        <w:rPr>
          <w:rFonts w:ascii="宋体" w:hAnsi="宋体"/>
          <w:bCs/>
          <w:color w:val="auto"/>
          <w:kern w:val="0"/>
          <w:sz w:val="24"/>
          <w:szCs w:val="20"/>
          <w:highlight w:val="none"/>
        </w:rPr>
        <w:t>供方</w:t>
      </w:r>
      <w:r>
        <w:rPr>
          <w:rFonts w:hint="eastAsia" w:ascii="宋体" w:hAnsi="宋体"/>
          <w:bCs/>
          <w:color w:val="auto"/>
          <w:kern w:val="0"/>
          <w:sz w:val="24"/>
          <w:szCs w:val="20"/>
          <w:highlight w:val="none"/>
        </w:rPr>
        <w:t>赔偿由此给</w:t>
      </w: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造成的损失，并按照合同总价的10%向</w:t>
      </w:r>
      <w:r>
        <w:rPr>
          <w:rFonts w:ascii="宋体" w:hAnsi="宋体"/>
          <w:bCs/>
          <w:color w:val="auto"/>
          <w:kern w:val="0"/>
          <w:sz w:val="24"/>
          <w:szCs w:val="20"/>
          <w:highlight w:val="none"/>
        </w:rPr>
        <w:t>需方</w:t>
      </w:r>
      <w:r>
        <w:rPr>
          <w:rFonts w:hint="eastAsia" w:ascii="宋体" w:hAnsi="宋体"/>
          <w:bCs/>
          <w:color w:val="auto"/>
          <w:kern w:val="0"/>
          <w:sz w:val="24"/>
          <w:szCs w:val="20"/>
          <w:highlight w:val="none"/>
        </w:rPr>
        <w:t>支付违约金，因招、投标产生的其他责任及后果按招标文件的相关要求及处理方式执行。</w:t>
      </w:r>
    </w:p>
    <w:p>
      <w:pPr>
        <w:tabs>
          <w:tab w:val="left" w:pos="105"/>
          <w:tab w:val="left" w:pos="525"/>
          <w:tab w:val="left" w:pos="945"/>
        </w:tabs>
        <w:spacing w:line="360" w:lineRule="auto"/>
        <w:ind w:firstLine="480" w:firstLineChars="200"/>
        <w:rPr>
          <w:rFonts w:ascii="宋体"/>
          <w:bCs/>
          <w:color w:val="auto"/>
          <w:kern w:val="0"/>
          <w:sz w:val="24"/>
          <w:szCs w:val="20"/>
          <w:highlight w:val="none"/>
        </w:rPr>
      </w:pPr>
      <w:r>
        <w:rPr>
          <w:rFonts w:hint="eastAsia" w:ascii="宋体" w:hAnsi="宋体"/>
          <w:bCs/>
          <w:color w:val="auto"/>
          <w:kern w:val="0"/>
          <w:sz w:val="24"/>
          <w:szCs w:val="20"/>
          <w:highlight w:val="none"/>
        </w:rPr>
        <w:t>5、如遭遇不可抗力事件，遭遇不可抗力的一方应尽快以书面形式将不可抗力的情况和原因通知另一方，并积极采取措施防止损失扩大。因不可抗力造成的损失，甲、乙双方按照法律规定处理。</w:t>
      </w:r>
    </w:p>
    <w:p>
      <w:pPr>
        <w:tabs>
          <w:tab w:val="left" w:pos="105"/>
          <w:tab w:val="left" w:pos="525"/>
          <w:tab w:val="left" w:pos="945"/>
        </w:tabs>
        <w:spacing w:line="360" w:lineRule="auto"/>
        <w:ind w:firstLine="480" w:firstLineChars="200"/>
        <w:rPr>
          <w:rFonts w:ascii="宋体" w:hAnsi="宋体"/>
          <w:bCs/>
          <w:color w:val="auto"/>
          <w:kern w:val="0"/>
          <w:sz w:val="24"/>
          <w:szCs w:val="20"/>
          <w:highlight w:val="none"/>
        </w:rPr>
      </w:pPr>
      <w:r>
        <w:rPr>
          <w:rFonts w:hint="eastAsia" w:ascii="宋体" w:hAnsi="宋体"/>
          <w:bCs/>
          <w:color w:val="auto"/>
          <w:kern w:val="0"/>
          <w:sz w:val="24"/>
          <w:szCs w:val="20"/>
          <w:highlight w:val="none"/>
        </w:rPr>
        <w:t>6、招标文件及合同中所述之“不可抗力”系指不可预见、不可避免、不可克服的事件，包括但不限于：战争、洪水、台风、地震及其他法律、法规规定的事件。</w:t>
      </w:r>
    </w:p>
    <w:p>
      <w:pPr>
        <w:spacing w:line="360" w:lineRule="auto"/>
        <w:ind w:left="-2" w:leftChars="-1" w:firstLine="520" w:firstLineChars="217"/>
        <w:rPr>
          <w:rFonts w:ascii="宋体" w:hAnsi="宋体"/>
          <w:bCs/>
          <w:color w:val="auto"/>
          <w:kern w:val="0"/>
          <w:sz w:val="24"/>
          <w:szCs w:val="20"/>
          <w:highlight w:val="none"/>
        </w:rPr>
      </w:pPr>
      <w:r>
        <w:rPr>
          <w:rFonts w:hint="eastAsia" w:ascii="宋体" w:hAnsi="宋体"/>
          <w:bCs/>
          <w:color w:val="auto"/>
          <w:kern w:val="0"/>
          <w:sz w:val="24"/>
          <w:szCs w:val="20"/>
          <w:highlight w:val="none"/>
        </w:rPr>
        <w:t>（八） 合同生效及其它：</w:t>
      </w:r>
    </w:p>
    <w:p>
      <w:pPr>
        <w:numPr>
          <w:ilvl w:val="0"/>
          <w:numId w:val="25"/>
        </w:numPr>
        <w:tabs>
          <w:tab w:val="left" w:pos="0"/>
          <w:tab w:val="left" w:pos="525"/>
          <w:tab w:val="left" w:pos="945"/>
          <w:tab w:val="clear" w:pos="315"/>
        </w:tabs>
        <w:spacing w:line="360" w:lineRule="auto"/>
        <w:ind w:left="0" w:firstLine="520" w:firstLineChars="217"/>
        <w:rPr>
          <w:rFonts w:ascii="宋体" w:hAnsi="宋体"/>
          <w:bCs/>
          <w:color w:val="auto"/>
          <w:kern w:val="0"/>
          <w:sz w:val="24"/>
          <w:szCs w:val="20"/>
          <w:highlight w:val="none"/>
        </w:rPr>
      </w:pPr>
      <w:r>
        <w:rPr>
          <w:rFonts w:hint="eastAsia" w:ascii="宋体" w:hAnsi="宋体"/>
          <w:bCs/>
          <w:color w:val="auto"/>
          <w:kern w:val="0"/>
          <w:sz w:val="24"/>
          <w:szCs w:val="20"/>
          <w:highlight w:val="none"/>
        </w:rPr>
        <w:t>合同经</w:t>
      </w:r>
      <w:r>
        <w:rPr>
          <w:rFonts w:ascii="宋体" w:hAnsi="宋体"/>
          <w:bCs/>
          <w:color w:val="auto"/>
          <w:kern w:val="0"/>
          <w:sz w:val="24"/>
          <w:szCs w:val="20"/>
          <w:highlight w:val="none"/>
        </w:rPr>
        <w:t>供需</w:t>
      </w:r>
      <w:r>
        <w:rPr>
          <w:rFonts w:hint="eastAsia" w:ascii="宋体" w:hAnsi="宋体"/>
          <w:bCs/>
          <w:color w:val="auto"/>
          <w:kern w:val="0"/>
          <w:sz w:val="24"/>
          <w:szCs w:val="20"/>
          <w:highlight w:val="none"/>
        </w:rPr>
        <w:t>双方代表签字并盖章，且在采购代理机构见证后即生效。</w:t>
      </w:r>
    </w:p>
    <w:p>
      <w:pPr>
        <w:numPr>
          <w:ilvl w:val="0"/>
          <w:numId w:val="25"/>
        </w:numPr>
        <w:tabs>
          <w:tab w:val="left" w:pos="0"/>
          <w:tab w:val="left" w:pos="525"/>
          <w:tab w:val="left" w:pos="945"/>
          <w:tab w:val="clear" w:pos="315"/>
        </w:tabs>
        <w:spacing w:line="360" w:lineRule="auto"/>
        <w:ind w:left="0" w:firstLine="520" w:firstLineChars="217"/>
        <w:rPr>
          <w:rFonts w:ascii="宋体" w:hAnsi="宋体"/>
          <w:bCs/>
          <w:color w:val="auto"/>
          <w:kern w:val="0"/>
          <w:sz w:val="24"/>
          <w:szCs w:val="20"/>
          <w:highlight w:val="none"/>
        </w:rPr>
      </w:pPr>
      <w:r>
        <w:rPr>
          <w:rFonts w:hint="eastAsia" w:ascii="宋体" w:hAnsi="宋体"/>
          <w:bCs/>
          <w:color w:val="auto"/>
          <w:kern w:val="0"/>
          <w:sz w:val="24"/>
          <w:szCs w:val="20"/>
          <w:highlight w:val="none"/>
        </w:rPr>
        <w:t>合同签订后</w:t>
      </w:r>
      <w:r>
        <w:rPr>
          <w:rFonts w:ascii="宋体" w:hAnsi="宋体"/>
          <w:bCs/>
          <w:color w:val="auto"/>
          <w:kern w:val="0"/>
          <w:sz w:val="24"/>
          <w:szCs w:val="20"/>
          <w:highlight w:val="none"/>
        </w:rPr>
        <w:t>供需</w:t>
      </w:r>
      <w:r>
        <w:rPr>
          <w:rFonts w:hint="eastAsia" w:ascii="宋体" w:hAnsi="宋体"/>
          <w:bCs/>
          <w:color w:val="auto"/>
          <w:kern w:val="0"/>
          <w:sz w:val="24"/>
          <w:szCs w:val="20"/>
          <w:highlight w:val="none"/>
        </w:rPr>
        <w:t>双方即直接产生权利与义务的关系，合同执行过程中出现的问题应按照合同约定、法律法规的规定办理。在合同履行过程中，双方如有争议，</w:t>
      </w:r>
      <w:r>
        <w:rPr>
          <w:rFonts w:hint="eastAsia" w:ascii="宋体" w:hAnsi="宋体"/>
          <w:color w:val="auto"/>
          <w:kern w:val="0"/>
          <w:sz w:val="24"/>
          <w:szCs w:val="20"/>
          <w:highlight w:val="none"/>
        </w:rPr>
        <w:t>由供需双方协商处理，若协商不成，</w:t>
      </w:r>
      <w:r>
        <w:rPr>
          <w:rFonts w:hint="eastAsia" w:ascii="宋体" w:hAnsi="宋体"/>
          <w:bCs/>
          <w:color w:val="auto"/>
          <w:kern w:val="0"/>
          <w:sz w:val="24"/>
          <w:szCs w:val="20"/>
          <w:highlight w:val="none"/>
        </w:rPr>
        <w:t>可选择以下</w:t>
      </w:r>
      <w:r>
        <w:rPr>
          <w:rFonts w:ascii="宋体" w:hAnsi="宋体"/>
          <w:bCs/>
          <w:color w:val="auto"/>
          <w:kern w:val="0"/>
          <w:sz w:val="24"/>
          <w:szCs w:val="20"/>
          <w:highlight w:val="none"/>
          <w:u w:val="single"/>
        </w:rPr>
        <w:t xml:space="preserve"> </w:t>
      </w:r>
      <w:r>
        <w:rPr>
          <w:rFonts w:hint="eastAsia" w:ascii="宋体" w:hAnsi="宋体"/>
          <w:bCs/>
          <w:color w:val="auto"/>
          <w:kern w:val="0"/>
          <w:sz w:val="24"/>
          <w:szCs w:val="20"/>
          <w:highlight w:val="none"/>
          <w:u w:val="single"/>
        </w:rPr>
        <w:t xml:space="preserve"> （2）</w:t>
      </w:r>
      <w:r>
        <w:rPr>
          <w:rFonts w:ascii="宋体" w:hAnsi="宋体"/>
          <w:bCs/>
          <w:color w:val="auto"/>
          <w:kern w:val="0"/>
          <w:sz w:val="24"/>
          <w:szCs w:val="20"/>
          <w:highlight w:val="none"/>
          <w:u w:val="single"/>
        </w:rPr>
        <w:t xml:space="preserve">  </w:t>
      </w:r>
      <w:r>
        <w:rPr>
          <w:rFonts w:hint="eastAsia" w:ascii="宋体" w:hAnsi="宋体"/>
          <w:bCs/>
          <w:color w:val="auto"/>
          <w:kern w:val="0"/>
          <w:sz w:val="24"/>
          <w:szCs w:val="20"/>
          <w:highlight w:val="none"/>
        </w:rPr>
        <w:t>方式处理：</w:t>
      </w:r>
    </w:p>
    <w:p>
      <w:pPr>
        <w:numPr>
          <w:ilvl w:val="0"/>
          <w:numId w:val="26"/>
        </w:numPr>
        <w:tabs>
          <w:tab w:val="left" w:pos="525"/>
          <w:tab w:val="left" w:pos="945"/>
        </w:tabs>
        <w:spacing w:line="360" w:lineRule="auto"/>
        <w:rPr>
          <w:rFonts w:ascii="宋体" w:hAnsi="宋体"/>
          <w:color w:val="auto"/>
          <w:kern w:val="0"/>
          <w:sz w:val="24"/>
          <w:szCs w:val="20"/>
          <w:highlight w:val="none"/>
        </w:rPr>
      </w:pPr>
      <w:r>
        <w:rPr>
          <w:rFonts w:hint="eastAsia" w:ascii="宋体" w:hAnsi="宋体"/>
          <w:color w:val="auto"/>
          <w:kern w:val="0"/>
          <w:sz w:val="24"/>
          <w:szCs w:val="20"/>
          <w:highlight w:val="none"/>
        </w:rPr>
        <w:t>向无锡仲裁委员会申请仲裁。</w:t>
      </w:r>
    </w:p>
    <w:p>
      <w:pPr>
        <w:numPr>
          <w:ilvl w:val="0"/>
          <w:numId w:val="26"/>
        </w:numPr>
        <w:tabs>
          <w:tab w:val="left" w:pos="525"/>
          <w:tab w:val="left" w:pos="945"/>
        </w:tabs>
        <w:spacing w:line="360" w:lineRule="auto"/>
        <w:rPr>
          <w:rFonts w:ascii="宋体" w:hAnsi="宋体"/>
          <w:bCs/>
          <w:color w:val="auto"/>
          <w:kern w:val="0"/>
          <w:sz w:val="24"/>
          <w:szCs w:val="20"/>
          <w:highlight w:val="none"/>
        </w:rPr>
      </w:pPr>
      <w:r>
        <w:rPr>
          <w:rFonts w:hint="eastAsia" w:ascii="宋体" w:hAnsi="宋体"/>
          <w:color w:val="auto"/>
          <w:kern w:val="0"/>
          <w:sz w:val="24"/>
          <w:szCs w:val="20"/>
          <w:highlight w:val="none"/>
        </w:rPr>
        <w:t>向</w:t>
      </w:r>
      <w:r>
        <w:rPr>
          <w:rFonts w:ascii="宋体" w:hAnsi="宋体"/>
          <w:color w:val="auto"/>
          <w:kern w:val="0"/>
          <w:sz w:val="24"/>
          <w:szCs w:val="20"/>
          <w:highlight w:val="none"/>
        </w:rPr>
        <w:t>需方</w:t>
      </w:r>
      <w:r>
        <w:rPr>
          <w:rFonts w:hint="eastAsia" w:ascii="宋体" w:hAnsi="宋体"/>
          <w:color w:val="auto"/>
          <w:kern w:val="0"/>
          <w:sz w:val="24"/>
          <w:szCs w:val="20"/>
          <w:highlight w:val="none"/>
        </w:rPr>
        <w:t>所在地法院提起诉讼。</w:t>
      </w:r>
    </w:p>
    <w:p>
      <w:pPr>
        <w:numPr>
          <w:ilvl w:val="0"/>
          <w:numId w:val="25"/>
        </w:numPr>
        <w:tabs>
          <w:tab w:val="left" w:pos="0"/>
          <w:tab w:val="left" w:pos="525"/>
          <w:tab w:val="left" w:pos="945"/>
          <w:tab w:val="clear" w:pos="315"/>
        </w:tabs>
        <w:spacing w:line="360" w:lineRule="auto"/>
        <w:ind w:left="0" w:firstLine="520" w:firstLineChars="217"/>
        <w:rPr>
          <w:rFonts w:ascii="宋体" w:hAnsi="宋体"/>
          <w:bCs/>
          <w:color w:val="auto"/>
          <w:kern w:val="0"/>
          <w:sz w:val="24"/>
          <w:szCs w:val="20"/>
          <w:highlight w:val="none"/>
        </w:rPr>
      </w:pPr>
      <w:r>
        <w:rPr>
          <w:rFonts w:hint="eastAsia" w:ascii="宋体" w:hAnsi="宋体"/>
          <w:bCs/>
          <w:color w:val="auto"/>
          <w:kern w:val="0"/>
          <w:sz w:val="24"/>
          <w:szCs w:val="20"/>
          <w:highlight w:val="none"/>
        </w:rPr>
        <w:t>合同在执行过程中出现的未尽事宜，双方在不违背本合同和招标文件的原则下协商解决，协商结果以书面形式签订补充协议，且补充协议与本合同具有同等效力。</w:t>
      </w:r>
    </w:p>
    <w:p>
      <w:pPr>
        <w:numPr>
          <w:ilvl w:val="0"/>
          <w:numId w:val="25"/>
        </w:numPr>
        <w:tabs>
          <w:tab w:val="left" w:pos="0"/>
          <w:tab w:val="left" w:pos="525"/>
          <w:tab w:val="left" w:pos="945"/>
          <w:tab w:val="clear" w:pos="315"/>
        </w:tabs>
        <w:spacing w:line="360" w:lineRule="auto"/>
        <w:ind w:left="0" w:firstLine="520" w:firstLineChars="217"/>
        <w:rPr>
          <w:rFonts w:ascii="宋体" w:hAnsi="宋体"/>
          <w:bCs/>
          <w:color w:val="auto"/>
          <w:sz w:val="24"/>
          <w:highlight w:val="none"/>
        </w:rPr>
      </w:pPr>
      <w:r>
        <w:rPr>
          <w:rFonts w:hint="eastAsia" w:ascii="宋体" w:hAnsi="宋体"/>
          <w:color w:val="auto"/>
          <w:kern w:val="0"/>
          <w:sz w:val="24"/>
          <w:szCs w:val="20"/>
          <w:highlight w:val="none"/>
        </w:rPr>
        <w:t>合同中未有约定的按照有关的法律法规以及国家行业标准或技术文件规定予以解决。</w:t>
      </w:r>
    </w:p>
    <w:p>
      <w:pPr>
        <w:numPr>
          <w:ilvl w:val="0"/>
          <w:numId w:val="25"/>
        </w:numPr>
        <w:tabs>
          <w:tab w:val="left" w:pos="0"/>
          <w:tab w:val="left" w:pos="525"/>
          <w:tab w:val="left" w:pos="945"/>
          <w:tab w:val="clear" w:pos="315"/>
        </w:tabs>
        <w:spacing w:line="360" w:lineRule="auto"/>
        <w:ind w:left="0" w:firstLine="520" w:firstLineChars="217"/>
        <w:rPr>
          <w:rFonts w:ascii="宋体" w:hAnsi="宋体"/>
          <w:bCs/>
          <w:color w:val="auto"/>
          <w:sz w:val="24"/>
          <w:highlight w:val="none"/>
        </w:rPr>
      </w:pPr>
      <w:r>
        <w:rPr>
          <w:rFonts w:ascii="宋体" w:hAnsi="宋体"/>
          <w:color w:val="auto"/>
          <w:kern w:val="0"/>
          <w:sz w:val="24"/>
          <w:szCs w:val="20"/>
          <w:highlight w:val="none"/>
        </w:rPr>
        <w:t>供需</w:t>
      </w:r>
      <w:r>
        <w:rPr>
          <w:rFonts w:hint="eastAsia" w:ascii="宋体" w:hAnsi="宋体"/>
          <w:color w:val="auto"/>
          <w:kern w:val="0"/>
          <w:sz w:val="24"/>
          <w:szCs w:val="20"/>
          <w:highlight w:val="none"/>
        </w:rPr>
        <w:t>双方确认：对本合同条款及后果均已知悉，一致确认不存在欺诈、胁迫、乘人之危、重大误解、显失公平等任何可能导致合同无效或被撤销的情形。</w:t>
      </w:r>
    </w:p>
    <w:p>
      <w:pPr>
        <w:pStyle w:val="2"/>
        <w:rPr>
          <w:color w:val="auto"/>
          <w:highlight w:val="none"/>
        </w:rPr>
      </w:pPr>
      <w:r>
        <w:rPr>
          <w:color w:val="auto"/>
          <w:highlight w:val="none"/>
        </w:rPr>
        <w:br w:type="page"/>
      </w:r>
    </w:p>
    <w:p>
      <w:pPr>
        <w:jc w:val="center"/>
        <w:rPr>
          <w:rFonts w:ascii="宋体" w:hAnsi="宋体"/>
          <w:color w:val="auto"/>
          <w:sz w:val="44"/>
          <w:szCs w:val="44"/>
          <w:highlight w:val="none"/>
        </w:rPr>
      </w:pPr>
      <w:r>
        <w:rPr>
          <w:rFonts w:hint="eastAsia" w:ascii="宋体" w:hAnsi="宋体"/>
          <w:color w:val="auto"/>
          <w:sz w:val="44"/>
          <w:szCs w:val="44"/>
          <w:highlight w:val="none"/>
        </w:rPr>
        <w:t>第五部分．附件（投标文件格式）</w:t>
      </w:r>
    </w:p>
    <w:p>
      <w:pPr>
        <w:spacing w:line="360" w:lineRule="auto"/>
        <w:jc w:val="center"/>
        <w:rPr>
          <w:rFonts w:ascii="宋体" w:hAnsi="宋体"/>
          <w:color w:val="auto"/>
          <w:sz w:val="48"/>
          <w:szCs w:val="20"/>
          <w:highlight w:val="none"/>
        </w:rPr>
      </w:pPr>
    </w:p>
    <w:p>
      <w:pPr>
        <w:spacing w:line="360" w:lineRule="auto"/>
        <w:jc w:val="center"/>
        <w:rPr>
          <w:rFonts w:ascii="宋体" w:hAnsi="宋体"/>
          <w:b/>
          <w:bCs/>
          <w:color w:val="auto"/>
          <w:sz w:val="48"/>
          <w:szCs w:val="15"/>
          <w:highlight w:val="none"/>
        </w:rPr>
      </w:pPr>
      <w:r>
        <w:rPr>
          <w:rFonts w:hint="eastAsia" w:ascii="宋体" w:hAnsi="宋体"/>
          <w:b/>
          <w:bCs/>
          <w:color w:val="auto"/>
          <w:sz w:val="48"/>
          <w:szCs w:val="15"/>
          <w:highlight w:val="none"/>
          <w:u w:val="single"/>
        </w:rPr>
        <w:t>2023年度第四批无锡市市级政务信息化项目监理服务</w:t>
      </w:r>
      <w:r>
        <w:rPr>
          <w:rFonts w:hint="eastAsia" w:ascii="宋体" w:hAnsi="宋体"/>
          <w:b/>
          <w:bCs/>
          <w:color w:val="auto"/>
          <w:sz w:val="48"/>
          <w:szCs w:val="15"/>
          <w:highlight w:val="none"/>
        </w:rPr>
        <w:t>公开招标</w:t>
      </w:r>
    </w:p>
    <w:p>
      <w:pPr>
        <w:spacing w:line="360" w:lineRule="auto"/>
        <w:jc w:val="center"/>
        <w:rPr>
          <w:rFonts w:ascii="宋体" w:hAnsi="宋体"/>
          <w:b/>
          <w:bCs/>
          <w:color w:val="auto"/>
          <w:sz w:val="48"/>
          <w:szCs w:val="15"/>
          <w:highlight w:val="none"/>
        </w:rPr>
      </w:pPr>
      <w:r>
        <w:rPr>
          <w:rFonts w:hint="eastAsia" w:ascii="宋体" w:hAnsi="宋体"/>
          <w:b/>
          <w:bCs/>
          <w:color w:val="auto"/>
          <w:sz w:val="48"/>
          <w:szCs w:val="15"/>
          <w:highlight w:val="none"/>
        </w:rPr>
        <w:t>投标文件</w:t>
      </w:r>
    </w:p>
    <w:p>
      <w:pPr>
        <w:spacing w:line="360" w:lineRule="auto"/>
        <w:jc w:val="center"/>
        <w:rPr>
          <w:rFonts w:ascii="宋体" w:hAnsi="宋体"/>
          <w:color w:val="auto"/>
          <w:sz w:val="48"/>
          <w:szCs w:val="20"/>
          <w:highlight w:val="none"/>
        </w:rPr>
      </w:pPr>
    </w:p>
    <w:p>
      <w:pPr>
        <w:spacing w:line="360" w:lineRule="auto"/>
        <w:jc w:val="center"/>
        <w:rPr>
          <w:rFonts w:ascii="宋体" w:hAnsi="宋体"/>
          <w:color w:val="auto"/>
          <w:sz w:val="48"/>
          <w:szCs w:val="20"/>
          <w:highlight w:val="none"/>
        </w:rPr>
      </w:pPr>
    </w:p>
    <w:p>
      <w:pPr>
        <w:spacing w:line="360" w:lineRule="auto"/>
        <w:jc w:val="center"/>
        <w:rPr>
          <w:rFonts w:ascii="宋体" w:hAnsi="宋体"/>
          <w:color w:val="auto"/>
          <w:sz w:val="48"/>
          <w:szCs w:val="20"/>
          <w:highlight w:val="none"/>
        </w:rPr>
      </w:pPr>
    </w:p>
    <w:p>
      <w:pPr>
        <w:spacing w:line="360" w:lineRule="auto"/>
        <w:jc w:val="center"/>
        <w:rPr>
          <w:rFonts w:ascii="宋体" w:hAnsi="宋体"/>
          <w:color w:val="auto"/>
          <w:sz w:val="48"/>
          <w:szCs w:val="20"/>
          <w:highlight w:val="none"/>
        </w:rPr>
      </w:pPr>
    </w:p>
    <w:p>
      <w:pPr>
        <w:spacing w:line="360" w:lineRule="auto"/>
        <w:jc w:val="center"/>
        <w:rPr>
          <w:rFonts w:ascii="宋体" w:hAnsi="宋体"/>
          <w:color w:val="auto"/>
          <w:sz w:val="48"/>
          <w:szCs w:val="20"/>
          <w:highlight w:val="none"/>
        </w:rPr>
      </w:pPr>
    </w:p>
    <w:p>
      <w:pPr>
        <w:snapToGrid w:val="0"/>
        <w:spacing w:line="360" w:lineRule="auto"/>
        <w:rPr>
          <w:rFonts w:ascii="宋体" w:hAnsi="宋体"/>
          <w:color w:val="auto"/>
          <w:sz w:val="30"/>
          <w:szCs w:val="20"/>
          <w:highlight w:val="none"/>
          <w:u w:val="single"/>
        </w:rPr>
      </w:pPr>
      <w:r>
        <w:rPr>
          <w:rFonts w:hint="eastAsia" w:ascii="宋体" w:hAnsi="宋体"/>
          <w:color w:val="auto"/>
          <w:sz w:val="30"/>
          <w:szCs w:val="20"/>
          <w:highlight w:val="none"/>
        </w:rPr>
        <w:t>采购项目编号：</w:t>
      </w:r>
      <w:r>
        <w:rPr>
          <w:rFonts w:ascii="宋体" w:hAnsi="宋体"/>
          <w:color w:val="auto"/>
          <w:sz w:val="30"/>
          <w:szCs w:val="20"/>
          <w:highlight w:val="none"/>
          <w:u w:val="single"/>
        </w:rPr>
        <w:tab/>
      </w:r>
      <w:r>
        <w:rPr>
          <w:rFonts w:hint="eastAsia" w:ascii="宋体" w:hAnsi="宋体"/>
          <w:color w:val="auto"/>
          <w:sz w:val="30"/>
          <w:szCs w:val="20"/>
          <w:highlight w:val="none"/>
          <w:u w:val="single"/>
        </w:rPr>
        <w:t xml:space="preserve">JSZC-320200-JYJF-G2024-0031                    </w:t>
      </w:r>
      <w:r>
        <w:rPr>
          <w:rFonts w:ascii="宋体" w:hAnsi="宋体"/>
          <w:color w:val="auto"/>
          <w:sz w:val="30"/>
          <w:szCs w:val="20"/>
          <w:highlight w:val="none"/>
          <w:u w:val="single"/>
        </w:rPr>
        <w:t xml:space="preserve">        </w:t>
      </w:r>
      <w:r>
        <w:rPr>
          <w:rFonts w:hint="eastAsia" w:ascii="宋体" w:hAnsi="宋体"/>
          <w:color w:val="auto"/>
          <w:sz w:val="30"/>
          <w:szCs w:val="20"/>
          <w:highlight w:val="none"/>
          <w:u w:val="single"/>
        </w:rPr>
        <w:t xml:space="preserve">    </w:t>
      </w:r>
    </w:p>
    <w:p>
      <w:pPr>
        <w:snapToGrid w:val="0"/>
        <w:spacing w:line="360" w:lineRule="auto"/>
        <w:rPr>
          <w:rFonts w:ascii="宋体" w:hAnsi="宋体"/>
          <w:color w:val="auto"/>
          <w:sz w:val="30"/>
          <w:szCs w:val="20"/>
          <w:highlight w:val="none"/>
          <w:u w:val="single"/>
        </w:rPr>
      </w:pPr>
      <w:r>
        <w:rPr>
          <w:rFonts w:hint="eastAsia" w:ascii="宋体" w:hAnsi="宋体"/>
          <w:color w:val="auto"/>
          <w:sz w:val="30"/>
          <w:szCs w:val="20"/>
          <w:highlight w:val="none"/>
        </w:rPr>
        <w:t>项目名称：</w:t>
      </w:r>
      <w:r>
        <w:rPr>
          <w:rFonts w:hint="eastAsia" w:ascii="宋体" w:hAnsi="宋体"/>
          <w:color w:val="auto"/>
          <w:sz w:val="30"/>
          <w:szCs w:val="20"/>
          <w:highlight w:val="none"/>
          <w:u w:val="single"/>
        </w:rPr>
        <w:t xml:space="preserve">2023年度第四批无锡市市级政务信息化项目监理服务                    </w:t>
      </w:r>
    </w:p>
    <w:p>
      <w:pPr>
        <w:snapToGrid w:val="0"/>
        <w:spacing w:line="360" w:lineRule="auto"/>
        <w:rPr>
          <w:rFonts w:ascii="宋体" w:hAnsi="宋体"/>
          <w:color w:val="auto"/>
          <w:sz w:val="30"/>
          <w:szCs w:val="30"/>
          <w:highlight w:val="none"/>
        </w:rPr>
      </w:pPr>
      <w:r>
        <w:rPr>
          <w:rFonts w:hint="eastAsia" w:ascii="宋体" w:hAnsi="宋体"/>
          <w:color w:val="auto"/>
          <w:sz w:val="30"/>
          <w:szCs w:val="20"/>
          <w:highlight w:val="none"/>
        </w:rPr>
        <w:t>投标文件内容：</w:t>
      </w:r>
      <w:r>
        <w:rPr>
          <w:rFonts w:ascii="宋体" w:hAnsi="宋体"/>
          <w:color w:val="auto"/>
          <w:sz w:val="30"/>
          <w:szCs w:val="20"/>
          <w:highlight w:val="none"/>
          <w:u w:val="single"/>
        </w:rPr>
        <w:tab/>
      </w:r>
      <w:r>
        <w:rPr>
          <w:rFonts w:ascii="宋体" w:hAnsi="宋体"/>
          <w:color w:val="auto"/>
          <w:sz w:val="30"/>
          <w:szCs w:val="20"/>
          <w:highlight w:val="none"/>
          <w:u w:val="single"/>
        </w:rPr>
        <w:tab/>
      </w:r>
      <w:r>
        <w:rPr>
          <w:rFonts w:hint="eastAsia" w:ascii="宋体" w:hAnsi="宋体"/>
          <w:color w:val="auto"/>
          <w:sz w:val="30"/>
          <w:szCs w:val="20"/>
          <w:highlight w:val="none"/>
          <w:u w:val="single"/>
        </w:rPr>
        <w:t xml:space="preserve">         </w:t>
      </w:r>
      <w:r>
        <w:rPr>
          <w:rFonts w:ascii="宋体" w:hAnsi="宋体"/>
          <w:color w:val="auto"/>
          <w:sz w:val="30"/>
          <w:szCs w:val="20"/>
          <w:highlight w:val="none"/>
          <w:u w:val="single"/>
        </w:rPr>
        <w:t xml:space="preserve">      </w:t>
      </w:r>
      <w:r>
        <w:rPr>
          <w:rFonts w:hint="eastAsia" w:ascii="宋体" w:hAnsi="宋体"/>
          <w:color w:val="auto"/>
          <w:sz w:val="30"/>
          <w:szCs w:val="20"/>
          <w:highlight w:val="none"/>
          <w:u w:val="single"/>
        </w:rPr>
        <w:t xml:space="preserve">                    </w:t>
      </w:r>
      <w:r>
        <w:rPr>
          <w:rFonts w:ascii="宋体" w:hAnsi="宋体"/>
          <w:color w:val="auto"/>
          <w:sz w:val="30"/>
          <w:szCs w:val="20"/>
          <w:highlight w:val="none"/>
          <w:u w:val="single"/>
        </w:rPr>
        <w:tab/>
      </w:r>
      <w:r>
        <w:rPr>
          <w:rFonts w:ascii="宋体" w:hAnsi="宋体"/>
          <w:color w:val="auto"/>
          <w:sz w:val="30"/>
          <w:szCs w:val="20"/>
          <w:highlight w:val="none"/>
          <w:u w:val="single"/>
        </w:rPr>
        <w:tab/>
      </w:r>
    </w:p>
    <w:p>
      <w:pPr>
        <w:snapToGrid w:val="0"/>
        <w:spacing w:line="360" w:lineRule="auto"/>
        <w:ind w:firstLine="147" w:firstLineChars="49"/>
        <w:rPr>
          <w:rFonts w:ascii="宋体" w:hAnsi="宋体"/>
          <w:color w:val="auto"/>
          <w:sz w:val="30"/>
          <w:szCs w:val="30"/>
          <w:highlight w:val="none"/>
        </w:rPr>
      </w:pPr>
      <w:r>
        <w:rPr>
          <w:rFonts w:hint="eastAsia" w:ascii="宋体" w:hAnsi="宋体"/>
          <w:bCs/>
          <w:color w:val="auto"/>
          <w:sz w:val="30"/>
          <w:szCs w:val="30"/>
          <w:highlight w:val="none"/>
          <w:u w:val="single"/>
        </w:rPr>
        <w:t xml:space="preserve"> </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rPr>
        <w:t>年</w:t>
      </w:r>
      <w:r>
        <w:rPr>
          <w:rFonts w:hint="eastAsia" w:ascii="宋体" w:hAnsi="宋体"/>
          <w:bCs/>
          <w:color w:val="auto"/>
          <w:sz w:val="30"/>
          <w:szCs w:val="30"/>
          <w:highlight w:val="none"/>
          <w:u w:val="single"/>
        </w:rPr>
        <w:t xml:space="preserve"> </w:t>
      </w:r>
      <w:r>
        <w:rPr>
          <w:rFonts w:ascii="宋体" w:hAnsi="宋体"/>
          <w:bCs/>
          <w:color w:val="auto"/>
          <w:sz w:val="30"/>
          <w:szCs w:val="30"/>
          <w:highlight w:val="none"/>
          <w:u w:val="single"/>
        </w:rPr>
        <w:t xml:space="preserve">  </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月</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日</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时</w:t>
      </w:r>
      <w:r>
        <w:rPr>
          <w:rFonts w:hint="eastAsia" w:ascii="宋体" w:hAnsi="宋体"/>
          <w:bCs/>
          <w:color w:val="auto"/>
          <w:sz w:val="30"/>
          <w:szCs w:val="30"/>
          <w:highlight w:val="none"/>
          <w:u w:val="single"/>
        </w:rPr>
        <w:t xml:space="preserve">    </w:t>
      </w:r>
      <w:r>
        <w:rPr>
          <w:rFonts w:hint="eastAsia" w:ascii="宋体" w:hAnsi="宋体"/>
          <w:bCs/>
          <w:color w:val="auto"/>
          <w:sz w:val="30"/>
          <w:szCs w:val="30"/>
          <w:highlight w:val="none"/>
        </w:rPr>
        <w:t>分</w:t>
      </w:r>
      <w:r>
        <w:rPr>
          <w:rFonts w:hint="eastAsia" w:ascii="宋体" w:hAnsi="宋体"/>
          <w:color w:val="auto"/>
          <w:sz w:val="30"/>
          <w:szCs w:val="30"/>
          <w:highlight w:val="none"/>
        </w:rPr>
        <w:t>开标，此时间以前不得开封；</w:t>
      </w:r>
    </w:p>
    <w:p>
      <w:pPr>
        <w:snapToGrid w:val="0"/>
        <w:spacing w:line="360" w:lineRule="auto"/>
        <w:rPr>
          <w:rFonts w:ascii="宋体" w:hAnsi="宋体"/>
          <w:color w:val="auto"/>
          <w:sz w:val="30"/>
          <w:szCs w:val="20"/>
          <w:highlight w:val="none"/>
        </w:rPr>
      </w:pPr>
    </w:p>
    <w:p>
      <w:pPr>
        <w:snapToGrid w:val="0"/>
        <w:spacing w:line="360" w:lineRule="auto"/>
        <w:rPr>
          <w:rFonts w:ascii="宋体" w:hAnsi="宋体"/>
          <w:color w:val="auto"/>
          <w:sz w:val="30"/>
          <w:szCs w:val="20"/>
          <w:highlight w:val="none"/>
          <w:u w:val="single"/>
        </w:rPr>
      </w:pPr>
      <w:r>
        <w:rPr>
          <w:rFonts w:hint="eastAsia" w:ascii="宋体" w:hAnsi="宋体"/>
          <w:color w:val="auto"/>
          <w:sz w:val="30"/>
          <w:szCs w:val="20"/>
          <w:highlight w:val="none"/>
        </w:rPr>
        <w:t>投标供应商：</w:t>
      </w:r>
      <w:r>
        <w:rPr>
          <w:rFonts w:ascii="宋体" w:hAnsi="宋体"/>
          <w:color w:val="auto"/>
          <w:sz w:val="30"/>
          <w:szCs w:val="20"/>
          <w:highlight w:val="none"/>
          <w:u w:val="single"/>
        </w:rPr>
        <w:tab/>
      </w:r>
      <w:r>
        <w:rPr>
          <w:rFonts w:hint="eastAsia" w:ascii="宋体" w:hAnsi="宋体"/>
          <w:color w:val="auto"/>
          <w:sz w:val="30"/>
          <w:szCs w:val="20"/>
          <w:highlight w:val="none"/>
          <w:u w:val="single"/>
        </w:rPr>
        <w:t xml:space="preserve">                    （盖公章）</w:t>
      </w:r>
    </w:p>
    <w:p>
      <w:pPr>
        <w:snapToGrid w:val="0"/>
        <w:spacing w:line="360" w:lineRule="auto"/>
        <w:rPr>
          <w:rFonts w:ascii="宋体" w:hAnsi="宋体"/>
          <w:color w:val="auto"/>
          <w:sz w:val="30"/>
          <w:szCs w:val="20"/>
          <w:highlight w:val="none"/>
        </w:rPr>
      </w:pPr>
      <w:r>
        <w:rPr>
          <w:rFonts w:hint="eastAsia" w:ascii="宋体" w:hAnsi="宋体"/>
          <w:color w:val="auto"/>
          <w:sz w:val="30"/>
          <w:szCs w:val="20"/>
          <w:highlight w:val="none"/>
        </w:rPr>
        <w:t>法定代表人或</w:t>
      </w:r>
    </w:p>
    <w:p>
      <w:pPr>
        <w:snapToGrid w:val="0"/>
        <w:spacing w:line="360" w:lineRule="auto"/>
        <w:rPr>
          <w:rFonts w:ascii="宋体" w:hAnsi="宋体"/>
          <w:color w:val="auto"/>
          <w:sz w:val="30"/>
          <w:szCs w:val="20"/>
          <w:highlight w:val="none"/>
          <w:u w:val="single"/>
        </w:rPr>
      </w:pPr>
      <w:r>
        <w:rPr>
          <w:rFonts w:hint="eastAsia" w:ascii="宋体" w:hAnsi="宋体"/>
          <w:color w:val="auto"/>
          <w:sz w:val="30"/>
          <w:szCs w:val="20"/>
          <w:highlight w:val="none"/>
        </w:rPr>
        <w:t>其委托代理人：</w:t>
      </w:r>
      <w:r>
        <w:rPr>
          <w:rFonts w:ascii="宋体" w:hAnsi="宋体"/>
          <w:color w:val="auto"/>
          <w:sz w:val="30"/>
          <w:szCs w:val="20"/>
          <w:highlight w:val="none"/>
          <w:u w:val="single"/>
        </w:rPr>
        <w:tab/>
      </w:r>
      <w:r>
        <w:rPr>
          <w:rFonts w:hint="eastAsia" w:ascii="宋体" w:hAnsi="宋体"/>
          <w:color w:val="auto"/>
          <w:sz w:val="30"/>
          <w:szCs w:val="20"/>
          <w:highlight w:val="none"/>
          <w:u w:val="single"/>
        </w:rPr>
        <w:t xml:space="preserve">                （签字或盖章）</w:t>
      </w:r>
    </w:p>
    <w:p>
      <w:pPr>
        <w:snapToGrid w:val="0"/>
        <w:spacing w:line="360" w:lineRule="auto"/>
        <w:rPr>
          <w:rFonts w:ascii="宋体" w:hAnsi="宋体"/>
          <w:color w:val="auto"/>
          <w:sz w:val="30"/>
          <w:szCs w:val="20"/>
          <w:highlight w:val="none"/>
        </w:rPr>
      </w:pPr>
    </w:p>
    <w:p>
      <w:pPr>
        <w:snapToGrid w:val="0"/>
        <w:spacing w:line="360" w:lineRule="auto"/>
        <w:rPr>
          <w:rFonts w:ascii="宋体" w:hAnsi="宋体"/>
          <w:color w:val="auto"/>
          <w:sz w:val="30"/>
          <w:szCs w:val="20"/>
          <w:highlight w:val="none"/>
        </w:rPr>
      </w:pPr>
    </w:p>
    <w:p>
      <w:pPr>
        <w:snapToGrid w:val="0"/>
        <w:spacing w:line="360" w:lineRule="auto"/>
        <w:rPr>
          <w:rFonts w:ascii="宋体" w:hAnsi="宋体"/>
          <w:color w:val="auto"/>
          <w:sz w:val="30"/>
          <w:szCs w:val="20"/>
          <w:highlight w:val="none"/>
        </w:rPr>
      </w:pPr>
      <w:r>
        <w:rPr>
          <w:rFonts w:hint="eastAsia" w:ascii="宋体" w:hAnsi="宋体"/>
          <w:color w:val="auto"/>
          <w:sz w:val="30"/>
          <w:szCs w:val="20"/>
          <w:highlight w:val="none"/>
        </w:rPr>
        <w:t>日期：       年    月    日</w:t>
      </w:r>
    </w:p>
    <w:p>
      <w:pPr>
        <w:snapToGrid w:val="0"/>
        <w:spacing w:line="360" w:lineRule="auto"/>
        <w:rPr>
          <w:rFonts w:ascii="宋体" w:hAnsi="宋体"/>
          <w:color w:val="auto"/>
          <w:sz w:val="30"/>
          <w:szCs w:val="20"/>
          <w:highlight w:val="none"/>
        </w:rPr>
      </w:pPr>
    </w:p>
    <w:p>
      <w:pPr>
        <w:snapToGrid w:val="0"/>
        <w:spacing w:line="360" w:lineRule="auto"/>
        <w:rPr>
          <w:rFonts w:ascii="宋体" w:hAnsi="宋体"/>
          <w:color w:val="auto"/>
          <w:sz w:val="30"/>
          <w:szCs w:val="20"/>
          <w:highlight w:val="none"/>
        </w:rPr>
      </w:pPr>
    </w:p>
    <w:p>
      <w:pPr>
        <w:rPr>
          <w:rFonts w:ascii="宋体" w:hAnsi="宋体"/>
          <w:bCs/>
          <w:color w:val="auto"/>
          <w:sz w:val="24"/>
          <w:highlight w:val="none"/>
        </w:rPr>
      </w:pPr>
      <w:r>
        <w:rPr>
          <w:rFonts w:hint="eastAsia" w:ascii="宋体" w:hAnsi="宋体"/>
          <w:bCs/>
          <w:color w:val="auto"/>
          <w:sz w:val="24"/>
          <w:highlight w:val="none"/>
        </w:rPr>
        <w:br w:type="page"/>
      </w:r>
    </w:p>
    <w:p>
      <w:pPr>
        <w:spacing w:line="360" w:lineRule="auto"/>
        <w:ind w:firstLine="492" w:firstLineChars="175"/>
        <w:jc w:val="center"/>
        <w:outlineLvl w:val="0"/>
        <w:rPr>
          <w:rFonts w:ascii="宋体" w:hAnsi="宋体"/>
          <w:b/>
          <w:color w:val="auto"/>
          <w:sz w:val="28"/>
          <w:szCs w:val="28"/>
          <w:highlight w:val="none"/>
        </w:rPr>
      </w:pPr>
      <w:r>
        <w:rPr>
          <w:rFonts w:hint="eastAsia" w:ascii="宋体" w:hAnsi="宋体"/>
          <w:b/>
          <w:color w:val="auto"/>
          <w:sz w:val="28"/>
          <w:szCs w:val="28"/>
          <w:highlight w:val="none"/>
        </w:rPr>
        <w:t>（一）投标函（格式）：</w:t>
      </w:r>
    </w:p>
    <w:p>
      <w:pPr>
        <w:spacing w:line="360" w:lineRule="auto"/>
        <w:rPr>
          <w:rFonts w:ascii="宋体" w:hAnsi="宋体"/>
          <w:bCs/>
          <w:color w:val="auto"/>
          <w:sz w:val="24"/>
          <w:highlight w:val="none"/>
        </w:rPr>
      </w:pPr>
      <w:r>
        <w:rPr>
          <w:rFonts w:hint="eastAsia" w:ascii="宋体" w:hAnsi="宋体"/>
          <w:bCs/>
          <w:color w:val="auto"/>
          <w:sz w:val="24"/>
          <w:highlight w:val="none"/>
        </w:rPr>
        <w:t>致江苏建圆建方工程管理咨询有限公司：</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我们收到你们</w:t>
      </w:r>
      <w:r>
        <w:rPr>
          <w:rFonts w:hint="eastAsia" w:ascii="宋体" w:hAnsi="宋体"/>
          <w:bCs/>
          <w:color w:val="auto"/>
          <w:sz w:val="24"/>
          <w:highlight w:val="none"/>
          <w:u w:val="single"/>
        </w:rPr>
        <w:t xml:space="preserve">   项目编号     </w:t>
      </w:r>
      <w:r>
        <w:rPr>
          <w:rFonts w:hint="eastAsia" w:ascii="宋体" w:hAnsi="宋体"/>
          <w:bCs/>
          <w:color w:val="auto"/>
          <w:sz w:val="24"/>
          <w:highlight w:val="none"/>
        </w:rPr>
        <w:t>采购文件，经仔细阅读和研究，我们决定参加此次</w:t>
      </w:r>
      <w:r>
        <w:rPr>
          <w:rFonts w:hint="eastAsia" w:ascii="宋体" w:hAnsi="宋体"/>
          <w:bCs/>
          <w:color w:val="auto"/>
          <w:sz w:val="24"/>
          <w:highlight w:val="none"/>
          <w:u w:val="single"/>
        </w:rPr>
        <w:t xml:space="preserve">   （采购项目名称）   </w:t>
      </w:r>
      <w:r>
        <w:rPr>
          <w:rFonts w:hint="eastAsia" w:ascii="宋体" w:hAnsi="宋体"/>
          <w:bCs/>
          <w:color w:val="auto"/>
          <w:sz w:val="24"/>
          <w:highlight w:val="none"/>
        </w:rPr>
        <w:t>项目的投标。</w:t>
      </w:r>
    </w:p>
    <w:p>
      <w:pPr>
        <w:tabs>
          <w:tab w:val="left" w:pos="420"/>
          <w:tab w:val="left" w:pos="525"/>
          <w:tab w:val="left" w:pos="94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一、我们愿意按照采购文件的一切要求（包括付款方式），提供本项目的报价，总报价见《开标一览表》。</w:t>
      </w:r>
    </w:p>
    <w:p>
      <w:pPr>
        <w:tabs>
          <w:tab w:val="left" w:pos="315"/>
          <w:tab w:val="left" w:pos="525"/>
          <w:tab w:val="left" w:pos="945"/>
        </w:tabs>
        <w:spacing w:line="360" w:lineRule="auto"/>
        <w:ind w:firstLine="480" w:firstLineChars="200"/>
        <w:rPr>
          <w:rStyle w:val="74"/>
          <w:rFonts w:ascii="宋体" w:hAnsi="宋体" w:eastAsia="宋体"/>
          <w:bCs/>
          <w:color w:val="auto"/>
          <w:highlight w:val="none"/>
        </w:rPr>
      </w:pPr>
      <w:r>
        <w:rPr>
          <w:rFonts w:hint="eastAsia" w:ascii="宋体" w:hAnsi="宋体"/>
          <w:bCs/>
          <w:color w:val="auto"/>
          <w:sz w:val="24"/>
          <w:highlight w:val="none"/>
        </w:rPr>
        <w:t>二、我们愿意提供江苏建圆建方工程管理咨询有限公司在采购文件中要求的文件、资料</w:t>
      </w:r>
      <w:r>
        <w:rPr>
          <w:rFonts w:hint="eastAsia" w:ascii="宋体" w:hAnsi="宋体"/>
          <w:bCs/>
          <w:color w:val="auto"/>
          <w:highlight w:val="none"/>
        </w:rPr>
        <w:t>。</w:t>
      </w:r>
    </w:p>
    <w:p>
      <w:pPr>
        <w:tabs>
          <w:tab w:val="left" w:pos="525"/>
          <w:tab w:val="left" w:pos="552"/>
          <w:tab w:val="left" w:pos="630"/>
          <w:tab w:val="left" w:pos="94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三、我们同意按采购文件中的规定，本投标文件的有效期限为投标截止之日起90天。</w:t>
      </w:r>
    </w:p>
    <w:p>
      <w:pPr>
        <w:tabs>
          <w:tab w:val="left" w:pos="525"/>
          <w:tab w:val="left" w:pos="552"/>
          <w:tab w:val="left" w:pos="630"/>
          <w:tab w:val="left" w:pos="945"/>
        </w:tabs>
        <w:spacing w:line="360" w:lineRule="auto"/>
        <w:ind w:firstLine="480" w:firstLineChars="200"/>
        <w:rPr>
          <w:rFonts w:ascii="宋体" w:hAnsi="宋体"/>
          <w:bCs/>
          <w:color w:val="auto"/>
          <w:sz w:val="24"/>
          <w:highlight w:val="none"/>
        </w:rPr>
      </w:pPr>
      <w:r>
        <w:rPr>
          <w:rFonts w:hint="eastAsia" w:ascii="宋体" w:hAnsi="宋体"/>
          <w:color w:val="auto"/>
          <w:kern w:val="0"/>
          <w:sz w:val="24"/>
          <w:highlight w:val="none"/>
        </w:rPr>
        <w:t>四、我方同意按采购文件中的规定期限内完成全部工作。</w:t>
      </w:r>
    </w:p>
    <w:p>
      <w:pPr>
        <w:tabs>
          <w:tab w:val="left" w:pos="525"/>
          <w:tab w:val="left" w:pos="552"/>
          <w:tab w:val="left" w:pos="94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五、如果我们的投标文件被接受，我们将履行采购文件中规定的每一项要求，按期、按质、按量，完成交货任务。</w:t>
      </w:r>
    </w:p>
    <w:p>
      <w:pPr>
        <w:tabs>
          <w:tab w:val="left" w:pos="525"/>
          <w:tab w:val="left" w:pos="552"/>
          <w:tab w:val="left" w:pos="94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六、我们认为你们有权决定中标者。</w:t>
      </w:r>
    </w:p>
    <w:p>
      <w:pPr>
        <w:tabs>
          <w:tab w:val="left" w:pos="525"/>
          <w:tab w:val="left" w:pos="552"/>
          <w:tab w:val="left" w:pos="94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七、我方愿意遵守《中华人民共和国政府采购法》，并按《中华人民共和国民法典》和合同条款履行自己的全部责任。在合同履行过程中，双方如有争议，同意双方协商解决，并按相关法规和有关文件规定处理。</w:t>
      </w:r>
    </w:p>
    <w:p>
      <w:pPr>
        <w:tabs>
          <w:tab w:val="left" w:pos="525"/>
          <w:tab w:val="left" w:pos="552"/>
          <w:tab w:val="left" w:pos="94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八、我们认可并保证遵守采购文件的所有规定，放弃对采购文件提出质疑的权利。</w:t>
      </w:r>
    </w:p>
    <w:p>
      <w:pPr>
        <w:tabs>
          <w:tab w:val="left" w:pos="525"/>
          <w:tab w:val="left" w:pos="552"/>
          <w:tab w:val="left" w:pos="94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九、如果我方被确定为中标供应商,我方如无不可抗力，又未履行采购文件、投标文件和合同条款的，一经查实，我方愿意赔偿由此而造成的一切损失，并同意接受按采购文件的相关要求对我方进行的处理。</w:t>
      </w:r>
    </w:p>
    <w:p>
      <w:pPr>
        <w:spacing w:line="360" w:lineRule="auto"/>
        <w:ind w:firstLine="480" w:firstLineChars="200"/>
        <w:rPr>
          <w:rFonts w:ascii="宋体" w:hAnsi="宋体"/>
          <w:bCs/>
          <w:color w:val="auto"/>
          <w:sz w:val="24"/>
          <w:highlight w:val="none"/>
        </w:rPr>
      </w:pP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投标供应商（盖章）：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法定代表人或法定代表人授权代表签字或盖章：</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电话：                              传真：</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地址：                              邮编：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开户名称：</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开户银行：                          开户账号：</w:t>
      </w:r>
      <w:bookmarkStart w:id="12" w:name="（报价人）法定代表人授权书（格式）"/>
      <w:bookmarkEnd w:id="12"/>
      <w:bookmarkStart w:id="13" w:name="校园网系统报价和服务承诺表（格式）"/>
      <w:bookmarkEnd w:id="13"/>
    </w:p>
    <w:p>
      <w:pPr>
        <w:pStyle w:val="2"/>
        <w:rPr>
          <w:rFonts w:ascii="宋体" w:hAnsi="宋体"/>
          <w:bCs/>
          <w:color w:val="auto"/>
          <w:sz w:val="24"/>
          <w:highlight w:val="none"/>
        </w:rPr>
      </w:pPr>
    </w:p>
    <w:p>
      <w:pPr>
        <w:rPr>
          <w:color w:val="auto"/>
          <w:highlight w:val="none"/>
        </w:rPr>
      </w:pPr>
      <w:r>
        <w:rPr>
          <w:color w:val="auto"/>
          <w:highlight w:val="none"/>
        </w:rPr>
        <w:br w:type="page"/>
      </w:r>
    </w:p>
    <w:p>
      <w:pPr>
        <w:spacing w:line="400" w:lineRule="exact"/>
        <w:jc w:val="center"/>
        <w:outlineLvl w:val="0"/>
        <w:rPr>
          <w:rFonts w:ascii="宋体" w:hAnsi="宋体"/>
          <w:b/>
          <w:color w:val="auto"/>
          <w:sz w:val="28"/>
          <w:szCs w:val="28"/>
          <w:highlight w:val="none"/>
        </w:rPr>
      </w:pPr>
      <w:r>
        <w:rPr>
          <w:rFonts w:hint="eastAsia" w:ascii="宋体" w:hAnsi="宋体"/>
          <w:b/>
          <w:color w:val="auto"/>
          <w:sz w:val="28"/>
          <w:szCs w:val="28"/>
          <w:highlight w:val="none"/>
        </w:rPr>
        <w:t>（二）关于资格的声明函（格式）</w:t>
      </w:r>
    </w:p>
    <w:p>
      <w:pPr>
        <w:topLinePunct/>
        <w:snapToGrid w:val="0"/>
        <w:spacing w:line="360" w:lineRule="auto"/>
        <w:jc w:val="center"/>
        <w:rPr>
          <w:rFonts w:ascii="宋体" w:hAnsi="宋体"/>
          <w:color w:val="auto"/>
          <w:sz w:val="24"/>
          <w:highlight w:val="none"/>
        </w:rPr>
      </w:pPr>
    </w:p>
    <w:p>
      <w:pPr>
        <w:topLinePunct/>
        <w:snapToGrid w:val="0"/>
        <w:spacing w:line="360" w:lineRule="auto"/>
        <w:jc w:val="center"/>
        <w:rPr>
          <w:rFonts w:ascii="宋体" w:hAnsi="宋体"/>
          <w:color w:val="auto"/>
          <w:sz w:val="24"/>
          <w:highlight w:val="none"/>
        </w:rPr>
      </w:pPr>
      <w:r>
        <w:rPr>
          <w:rFonts w:hint="eastAsia" w:ascii="宋体" w:hAnsi="宋体"/>
          <w:color w:val="auto"/>
          <w:sz w:val="24"/>
          <w:highlight w:val="none"/>
        </w:rPr>
        <w:t>采购项目编号：</w:t>
      </w:r>
    </w:p>
    <w:p>
      <w:pPr>
        <w:topLinePunct/>
        <w:snapToGrid w:val="0"/>
        <w:spacing w:line="360" w:lineRule="auto"/>
        <w:jc w:val="center"/>
        <w:rPr>
          <w:rFonts w:ascii="宋体" w:hAnsi="宋体"/>
          <w:color w:val="auto"/>
          <w:sz w:val="24"/>
          <w:highlight w:val="none"/>
        </w:rPr>
      </w:pPr>
      <w:r>
        <w:rPr>
          <w:rFonts w:hint="eastAsia" w:ascii="宋体" w:hAnsi="宋体"/>
          <w:color w:val="auto"/>
          <w:sz w:val="24"/>
          <w:highlight w:val="none"/>
        </w:rPr>
        <w:t>日期：</w:t>
      </w:r>
    </w:p>
    <w:p>
      <w:pPr>
        <w:jc w:val="center"/>
        <w:rPr>
          <w:rFonts w:ascii="宋体" w:hAnsi="宋体"/>
          <w:color w:val="auto"/>
          <w:highlight w:val="none"/>
        </w:rPr>
      </w:pPr>
    </w:p>
    <w:p>
      <w:pPr>
        <w:topLinePunct/>
        <w:snapToGrid w:val="0"/>
        <w:spacing w:line="360" w:lineRule="auto"/>
        <w:rPr>
          <w:rFonts w:ascii="宋体" w:hAnsi="宋体"/>
          <w:color w:val="auto"/>
          <w:sz w:val="24"/>
          <w:highlight w:val="none"/>
          <w:u w:val="single"/>
        </w:rPr>
      </w:pPr>
      <w:r>
        <w:rPr>
          <w:rFonts w:hint="eastAsia" w:ascii="宋体" w:hAnsi="宋体"/>
          <w:color w:val="auto"/>
          <w:sz w:val="24"/>
          <w:highlight w:val="none"/>
          <w:u w:val="single"/>
        </w:rPr>
        <w:t xml:space="preserve">   江苏建圆建方工程管理咨询有限公司： </w:t>
      </w:r>
    </w:p>
    <w:p>
      <w:pPr>
        <w:topLinePunct/>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我公司（单位）参加政府采购活动前三年内在经营活动中没有重大违法记录</w:t>
      </w:r>
      <w:r>
        <w:rPr>
          <w:rFonts w:hint="eastAsia" w:ascii="宋体" w:hAnsi="宋体"/>
          <w:color w:val="auto"/>
          <w:sz w:val="24"/>
          <w:highlight w:val="none"/>
          <w:lang w:eastAsia="zh-CN"/>
        </w:rPr>
        <w:t>，具备履行合同所必需的设备和专业技术能力</w:t>
      </w:r>
      <w:r>
        <w:rPr>
          <w:rFonts w:hint="eastAsia" w:ascii="宋体" w:hAnsi="宋体"/>
          <w:color w:val="auto"/>
          <w:sz w:val="24"/>
          <w:highlight w:val="none"/>
        </w:rPr>
        <w:t>。</w:t>
      </w:r>
    </w:p>
    <w:p>
      <w:pPr>
        <w:pStyle w:val="29"/>
        <w:spacing w:line="360" w:lineRule="auto"/>
        <w:ind w:left="0" w:right="34" w:firstLine="403"/>
        <w:rPr>
          <w:rFonts w:ascii="宋体" w:hAnsi="宋体"/>
          <w:color w:val="auto"/>
          <w:szCs w:val="24"/>
          <w:highlight w:val="none"/>
        </w:rPr>
      </w:pPr>
      <w:r>
        <w:rPr>
          <w:rFonts w:hint="eastAsia" w:ascii="宋体" w:hAnsi="宋体"/>
          <w:color w:val="auto"/>
          <w:szCs w:val="24"/>
          <w:highlight w:val="none"/>
        </w:rPr>
        <w:t>我公司（单位）愿针对本项目（采购项目名称：　　　　）进行报价，投标文件中所有关于报价资格的文件、证明、陈述均是真实的、准确的。若有违背，我公司（单位）        愿意承担由此而产生的一切后果。</w:t>
      </w:r>
    </w:p>
    <w:p>
      <w:pPr>
        <w:pStyle w:val="29"/>
        <w:spacing w:line="360" w:lineRule="auto"/>
        <w:ind w:left="0" w:right="34" w:firstLine="403"/>
        <w:rPr>
          <w:rFonts w:ascii="宋体" w:hAnsi="宋体"/>
          <w:color w:val="auto"/>
          <w:szCs w:val="24"/>
          <w:highlight w:val="none"/>
        </w:rPr>
      </w:pPr>
    </w:p>
    <w:p>
      <w:pPr>
        <w:pStyle w:val="29"/>
        <w:spacing w:line="360" w:lineRule="auto"/>
        <w:ind w:left="0" w:right="34" w:firstLine="403"/>
        <w:rPr>
          <w:rFonts w:ascii="宋体" w:hAnsi="宋体"/>
          <w:color w:val="auto"/>
          <w:sz w:val="21"/>
          <w:highlight w:val="none"/>
        </w:rPr>
      </w:pPr>
    </w:p>
    <w:p>
      <w:pPr>
        <w:pStyle w:val="29"/>
        <w:spacing w:line="360" w:lineRule="auto"/>
        <w:ind w:left="0" w:right="34" w:firstLine="403"/>
        <w:rPr>
          <w:rFonts w:ascii="宋体" w:hAnsi="宋体"/>
          <w:color w:val="auto"/>
          <w:sz w:val="21"/>
          <w:highlight w:val="none"/>
        </w:rPr>
      </w:pPr>
    </w:p>
    <w:p>
      <w:pPr>
        <w:spacing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投标供应商（盖章）：</w:t>
      </w:r>
    </w:p>
    <w:p>
      <w:pPr>
        <w:pStyle w:val="29"/>
        <w:spacing w:line="360" w:lineRule="auto"/>
        <w:ind w:left="0" w:right="34" w:firstLine="403"/>
        <w:rPr>
          <w:rFonts w:ascii="宋体" w:hAnsi="宋体"/>
          <w:color w:val="auto"/>
          <w:sz w:val="21"/>
          <w:highlight w:val="none"/>
        </w:rPr>
      </w:pPr>
      <w:r>
        <w:rPr>
          <w:rFonts w:hint="eastAsia" w:ascii="宋体" w:hAnsi="宋体"/>
          <w:color w:val="auto"/>
          <w:highlight w:val="none"/>
        </w:rPr>
        <w:t>　　　　　　　　　　　法定代表人或法定代表人授权代表签字或盖章：</w:t>
      </w:r>
    </w:p>
    <w:p>
      <w:pPr>
        <w:pStyle w:val="29"/>
        <w:spacing w:line="360" w:lineRule="auto"/>
        <w:ind w:left="0" w:right="34" w:firstLine="403"/>
        <w:rPr>
          <w:rFonts w:ascii="宋体" w:hAnsi="宋体"/>
          <w:color w:val="auto"/>
          <w:sz w:val="21"/>
          <w:highlight w:val="none"/>
        </w:rPr>
      </w:pPr>
    </w:p>
    <w:p>
      <w:pPr>
        <w:spacing w:line="500" w:lineRule="exact"/>
        <w:ind w:firstLine="420" w:firstLineChars="200"/>
        <w:rPr>
          <w:rFonts w:ascii="宋体" w:hAnsi="宋体"/>
          <w:b/>
          <w:color w:val="auto"/>
          <w:sz w:val="24"/>
          <w:highlight w:val="none"/>
        </w:rPr>
      </w:pPr>
      <w:r>
        <w:rPr>
          <w:rFonts w:hint="eastAsia" w:ascii="宋体" w:hAnsi="宋体"/>
          <w:color w:val="auto"/>
          <w:highlight w:val="none"/>
        </w:rPr>
        <w:t>注：上述所称“重大违法记录”是指供应商因违法经营受到刑事处罚或者责令停产停业、吊销许可证或者执照、较大数额罚款等行政处罚【“较大数额罚款”的金额标准是指：200万元以下罚款，法律、行政法规以及国务院有关部门明确规定相关领域“较大数额罚款”标准高于200万元的，从其规定】</w:t>
      </w:r>
    </w:p>
    <w:p>
      <w:pPr>
        <w:jc w:val="center"/>
        <w:outlineLvl w:val="0"/>
        <w:rPr>
          <w:rFonts w:ascii="宋体" w:hAnsi="宋体"/>
          <w:b/>
          <w:bCs/>
          <w:color w:val="auto"/>
          <w:sz w:val="32"/>
          <w:highlight w:val="none"/>
        </w:rPr>
      </w:pPr>
    </w:p>
    <w:p>
      <w:pPr>
        <w:pStyle w:val="3"/>
        <w:numPr>
          <w:ilvl w:val="0"/>
          <w:numId w:val="0"/>
        </w:numPr>
        <w:rPr>
          <w:color w:val="auto"/>
          <w:highlight w:val="none"/>
        </w:rPr>
      </w:pPr>
    </w:p>
    <w:p>
      <w:pPr>
        <w:rPr>
          <w:color w:val="auto"/>
          <w:highlight w:val="none"/>
        </w:rPr>
      </w:pPr>
      <w:r>
        <w:rPr>
          <w:color w:val="auto"/>
          <w:highlight w:val="none"/>
        </w:rPr>
        <w:br w:type="page"/>
      </w:r>
    </w:p>
    <w:p>
      <w:pPr>
        <w:pStyle w:val="7"/>
        <w:jc w:val="center"/>
        <w:rPr>
          <w:rFonts w:ascii="宋体" w:hAnsi="宋体" w:eastAsia="宋体"/>
          <w:bCs w:val="0"/>
          <w:color w:val="auto"/>
          <w:sz w:val="28"/>
          <w:szCs w:val="28"/>
          <w:highlight w:val="none"/>
        </w:rPr>
      </w:pPr>
      <w:r>
        <w:rPr>
          <w:rFonts w:hint="eastAsia" w:ascii="宋体" w:hAnsi="宋体" w:eastAsia="宋体"/>
          <w:bCs w:val="0"/>
          <w:color w:val="auto"/>
          <w:sz w:val="28"/>
          <w:szCs w:val="28"/>
          <w:highlight w:val="none"/>
        </w:rPr>
        <w:t>（三）法定代表人授权委托书（格式）：</w:t>
      </w:r>
    </w:p>
    <w:p>
      <w:pPr>
        <w:spacing w:line="480" w:lineRule="auto"/>
        <w:rPr>
          <w:rFonts w:ascii="宋体" w:hAnsi="宋体"/>
          <w:bCs/>
          <w:color w:val="auto"/>
          <w:sz w:val="24"/>
          <w:highlight w:val="none"/>
        </w:rPr>
      </w:pPr>
      <w:r>
        <w:rPr>
          <w:rFonts w:hint="eastAsia" w:ascii="宋体" w:hAnsi="宋体"/>
          <w:bCs/>
          <w:color w:val="auto"/>
          <w:sz w:val="30"/>
          <w:highlight w:val="none"/>
        </w:rPr>
        <w:t xml:space="preserve">                           </w:t>
      </w:r>
      <w:r>
        <w:rPr>
          <w:rFonts w:hint="eastAsia" w:ascii="宋体" w:hAnsi="宋体"/>
          <w:bCs/>
          <w:color w:val="auto"/>
          <w:sz w:val="24"/>
          <w:highlight w:val="none"/>
        </w:rPr>
        <w:t>采购项目编号：</w:t>
      </w:r>
    </w:p>
    <w:p>
      <w:pPr>
        <w:spacing w:line="480" w:lineRule="auto"/>
        <w:rPr>
          <w:rFonts w:ascii="宋体" w:hAnsi="宋体"/>
          <w:bCs/>
          <w:color w:val="auto"/>
          <w:sz w:val="24"/>
          <w:highlight w:val="none"/>
        </w:rPr>
      </w:pPr>
      <w:r>
        <w:rPr>
          <w:rFonts w:hint="eastAsia" w:ascii="宋体" w:hAnsi="宋体"/>
          <w:bCs/>
          <w:color w:val="auto"/>
          <w:sz w:val="24"/>
          <w:highlight w:val="none"/>
        </w:rPr>
        <w:t xml:space="preserve">                           </w:t>
      </w:r>
      <w:r>
        <w:rPr>
          <w:rFonts w:ascii="宋体" w:hAnsi="宋体"/>
          <w:bCs/>
          <w:color w:val="auto"/>
          <w:sz w:val="24"/>
          <w:highlight w:val="none"/>
        </w:rPr>
        <w:t xml:space="preserve">   </w:t>
      </w:r>
      <w:r>
        <w:rPr>
          <w:rFonts w:hint="eastAsia" w:ascii="宋体" w:hAnsi="宋体"/>
          <w:bCs/>
          <w:color w:val="auto"/>
          <w:sz w:val="24"/>
          <w:highlight w:val="none"/>
        </w:rPr>
        <w:t xml:space="preserve">     日期：</w:t>
      </w:r>
    </w:p>
    <w:p>
      <w:pPr>
        <w:spacing w:line="480" w:lineRule="auto"/>
        <w:rPr>
          <w:rFonts w:ascii="宋体" w:hAnsi="宋体"/>
          <w:bCs/>
          <w:color w:val="auto"/>
          <w:sz w:val="24"/>
          <w:highlight w:val="none"/>
        </w:rPr>
      </w:pPr>
      <w:r>
        <w:rPr>
          <w:rFonts w:hint="eastAsia" w:ascii="宋体" w:hAnsi="宋体"/>
          <w:bCs/>
          <w:color w:val="auto"/>
          <w:sz w:val="24"/>
          <w:highlight w:val="none"/>
        </w:rPr>
        <w:t>江苏建圆建方工程管理咨询有限公司：</w:t>
      </w:r>
    </w:p>
    <w:p>
      <w:pPr>
        <w:spacing w:line="480" w:lineRule="auto"/>
        <w:rPr>
          <w:rFonts w:ascii="宋体" w:hAnsi="宋体"/>
          <w:bCs/>
          <w:color w:val="auto"/>
          <w:sz w:val="24"/>
          <w:highlight w:val="none"/>
        </w:rPr>
      </w:pPr>
      <w:r>
        <w:rPr>
          <w:rFonts w:hint="eastAsia" w:ascii="宋体" w:hAnsi="宋体"/>
          <w:bCs/>
          <w:color w:val="auto"/>
          <w:sz w:val="24"/>
          <w:highlight w:val="none"/>
        </w:rPr>
        <w:t xml:space="preserve">     </w:t>
      </w:r>
      <w:r>
        <w:rPr>
          <w:rFonts w:hint="eastAsia" w:ascii="宋体" w:hAnsi="宋体"/>
          <w:bCs/>
          <w:color w:val="auto"/>
          <w:sz w:val="24"/>
          <w:highlight w:val="none"/>
          <w:u w:val="single"/>
        </w:rPr>
        <w:t xml:space="preserve">   （投标供应商单位名称）          </w:t>
      </w:r>
      <w:r>
        <w:rPr>
          <w:rFonts w:hint="eastAsia" w:ascii="宋体" w:hAnsi="宋体"/>
          <w:bCs/>
          <w:color w:val="auto"/>
          <w:sz w:val="24"/>
          <w:highlight w:val="none"/>
        </w:rPr>
        <w:t>系中华人民共和国合法企业，</w:t>
      </w:r>
    </w:p>
    <w:p>
      <w:pPr>
        <w:spacing w:line="480" w:lineRule="auto"/>
        <w:rPr>
          <w:rFonts w:ascii="宋体" w:hAnsi="宋体"/>
          <w:bCs/>
          <w:color w:val="auto"/>
          <w:sz w:val="24"/>
          <w:highlight w:val="none"/>
        </w:rPr>
      </w:pPr>
      <w:r>
        <w:rPr>
          <w:rFonts w:hint="eastAsia" w:ascii="宋体" w:hAnsi="宋体"/>
          <w:bCs/>
          <w:color w:val="auto"/>
          <w:sz w:val="24"/>
          <w:highlight w:val="none"/>
        </w:rPr>
        <w:t>法定地址：</w:t>
      </w:r>
      <w:r>
        <w:rPr>
          <w:rFonts w:hint="eastAsia" w:ascii="宋体" w:hAnsi="宋体"/>
          <w:bCs/>
          <w:color w:val="auto"/>
          <w:sz w:val="24"/>
          <w:highlight w:val="none"/>
          <w:u w:val="single"/>
        </w:rPr>
        <w:t xml:space="preserve">                </w:t>
      </w:r>
      <w:r>
        <w:rPr>
          <w:rFonts w:hint="eastAsia" w:ascii="宋体" w:hAnsi="宋体"/>
          <w:bCs/>
          <w:color w:val="auto"/>
          <w:sz w:val="24"/>
          <w:highlight w:val="none"/>
        </w:rPr>
        <w:t>，特授权</w:t>
      </w:r>
      <w:r>
        <w:rPr>
          <w:rFonts w:hint="eastAsia" w:ascii="宋体" w:hAnsi="宋体"/>
          <w:bCs/>
          <w:color w:val="auto"/>
          <w:sz w:val="24"/>
          <w:highlight w:val="none"/>
          <w:u w:val="single"/>
        </w:rPr>
        <w:t xml:space="preserve">    （姓名）   </w:t>
      </w:r>
      <w:r>
        <w:rPr>
          <w:rFonts w:hint="eastAsia" w:ascii="宋体" w:hAnsi="宋体"/>
          <w:bCs/>
          <w:color w:val="auto"/>
          <w:sz w:val="24"/>
          <w:highlight w:val="none"/>
        </w:rPr>
        <w:t>代表我公司（单位）全权办理针对本项目</w:t>
      </w:r>
      <w:r>
        <w:rPr>
          <w:rFonts w:hint="eastAsia" w:ascii="宋体" w:hAnsi="宋体"/>
          <w:bCs/>
          <w:color w:val="auto"/>
          <w:sz w:val="24"/>
          <w:highlight w:val="none"/>
          <w:u w:val="single"/>
        </w:rPr>
        <w:t xml:space="preserve">                  </w:t>
      </w:r>
      <w:r>
        <w:rPr>
          <w:rFonts w:hint="eastAsia" w:ascii="宋体" w:hAnsi="宋体"/>
          <w:bCs/>
          <w:color w:val="auto"/>
          <w:sz w:val="24"/>
          <w:highlight w:val="none"/>
        </w:rPr>
        <w:t>的投标，参与谈判、评审、签约等具体工作，并签署全部有关的文件、协议及合同。</w:t>
      </w:r>
    </w:p>
    <w:p>
      <w:pPr>
        <w:spacing w:line="480" w:lineRule="auto"/>
        <w:ind w:firstLine="525"/>
        <w:rPr>
          <w:rFonts w:ascii="宋体" w:hAnsi="宋体"/>
          <w:bCs/>
          <w:color w:val="auto"/>
          <w:sz w:val="24"/>
          <w:highlight w:val="none"/>
        </w:rPr>
      </w:pPr>
      <w:r>
        <w:rPr>
          <w:rFonts w:hint="eastAsia" w:ascii="宋体" w:hAnsi="宋体"/>
          <w:bCs/>
          <w:color w:val="auto"/>
          <w:sz w:val="24"/>
          <w:highlight w:val="none"/>
        </w:rPr>
        <w:t>我公司（单位）对被授权人的签名负全部责任。</w:t>
      </w:r>
    </w:p>
    <w:p>
      <w:pPr>
        <w:spacing w:line="480" w:lineRule="auto"/>
        <w:ind w:firstLine="523" w:firstLineChars="218"/>
        <w:rPr>
          <w:rFonts w:ascii="宋体" w:hAnsi="宋体"/>
          <w:bCs/>
          <w:color w:val="auto"/>
          <w:sz w:val="24"/>
          <w:highlight w:val="none"/>
        </w:rPr>
      </w:pPr>
      <w:r>
        <w:rPr>
          <w:rFonts w:hint="eastAsia" w:ascii="宋体" w:hAnsi="宋体"/>
          <w:bCs/>
          <w:color w:val="auto"/>
          <w:sz w:val="24"/>
          <w:highlight w:val="none"/>
        </w:rPr>
        <w:t>在撤销授权的书面通知送达你处以前，本授权书一直有效，被授权人签署的所有文件（在授权书有效期内签署的）不因授权的撤销而失效。被授权人有（无）转委托权。</w:t>
      </w:r>
    </w:p>
    <w:p>
      <w:pPr>
        <w:spacing w:line="480" w:lineRule="auto"/>
        <w:ind w:firstLine="525"/>
        <w:rPr>
          <w:rFonts w:ascii="宋体" w:hAnsi="宋体"/>
          <w:bCs/>
          <w:color w:val="auto"/>
          <w:sz w:val="24"/>
          <w:highlight w:val="none"/>
        </w:rPr>
      </w:pPr>
      <w:r>
        <w:rPr>
          <w:rFonts w:hint="eastAsia" w:ascii="宋体" w:hAnsi="宋体"/>
          <w:bCs/>
          <w:color w:val="auto"/>
          <w:sz w:val="24"/>
          <w:highlight w:val="none"/>
        </w:rPr>
        <w:t>被授权人情况：</w:t>
      </w:r>
    </w:p>
    <w:p>
      <w:pPr>
        <w:spacing w:line="480" w:lineRule="auto"/>
        <w:ind w:firstLine="525"/>
        <w:rPr>
          <w:rFonts w:ascii="宋体" w:hAnsi="宋体"/>
          <w:bCs/>
          <w:color w:val="auto"/>
          <w:sz w:val="24"/>
          <w:highlight w:val="none"/>
        </w:rPr>
      </w:pPr>
      <w:r>
        <w:rPr>
          <w:rFonts w:hint="eastAsia" w:ascii="宋体" w:hAnsi="宋体"/>
          <w:bCs/>
          <w:color w:val="auto"/>
          <w:sz w:val="24"/>
          <w:highlight w:val="none"/>
        </w:rPr>
        <w:t>姓名：         性别：       年龄：       职务：</w:t>
      </w:r>
    </w:p>
    <w:p>
      <w:pPr>
        <w:spacing w:line="480" w:lineRule="auto"/>
        <w:ind w:firstLine="525"/>
        <w:rPr>
          <w:rFonts w:ascii="宋体" w:hAnsi="宋体"/>
          <w:bCs/>
          <w:color w:val="auto"/>
          <w:sz w:val="24"/>
          <w:highlight w:val="none"/>
        </w:rPr>
      </w:pPr>
      <w:r>
        <w:rPr>
          <w:rFonts w:hint="eastAsia" w:ascii="宋体" w:hAnsi="宋体"/>
          <w:bCs/>
          <w:color w:val="auto"/>
          <w:sz w:val="24"/>
          <w:highlight w:val="none"/>
        </w:rPr>
        <w:t>身份证号码：                电话：</w:t>
      </w:r>
    </w:p>
    <w:p>
      <w:pPr>
        <w:spacing w:line="480" w:lineRule="auto"/>
        <w:ind w:firstLine="525"/>
        <w:rPr>
          <w:rFonts w:ascii="宋体" w:hAnsi="宋体"/>
          <w:bCs/>
          <w:color w:val="auto"/>
          <w:sz w:val="24"/>
          <w:highlight w:val="none"/>
        </w:rPr>
      </w:pPr>
      <w:r>
        <w:rPr>
          <w:rFonts w:hint="eastAsia" w:ascii="宋体" w:hAnsi="宋体"/>
          <w:bCs/>
          <w:color w:val="auto"/>
          <w:sz w:val="24"/>
          <w:highlight w:val="none"/>
        </w:rPr>
        <w:t>通讯地址：</w:t>
      </w:r>
    </w:p>
    <w:p>
      <w:pPr>
        <w:spacing w:line="480" w:lineRule="auto"/>
        <w:ind w:firstLine="525"/>
        <w:rPr>
          <w:rFonts w:ascii="宋体" w:hAnsi="宋体"/>
          <w:bCs/>
          <w:color w:val="auto"/>
          <w:sz w:val="24"/>
          <w:highlight w:val="none"/>
        </w:rPr>
      </w:pPr>
      <w:r>
        <w:rPr>
          <w:rFonts w:hint="eastAsia" w:ascii="宋体" w:hAnsi="宋体"/>
          <w:bCs/>
          <w:color w:val="auto"/>
          <w:sz w:val="24"/>
          <w:highlight w:val="none"/>
        </w:rPr>
        <w:t>被授权人签名：                单位名称（盖章）：</w:t>
      </w:r>
    </w:p>
    <w:p>
      <w:pPr>
        <w:spacing w:line="480" w:lineRule="auto"/>
        <w:ind w:firstLine="420"/>
        <w:rPr>
          <w:rFonts w:ascii="宋体" w:hAnsi="宋体"/>
          <w:bCs/>
          <w:color w:val="auto"/>
          <w:sz w:val="24"/>
          <w:highlight w:val="none"/>
        </w:rPr>
      </w:pPr>
      <w:r>
        <w:rPr>
          <w:rFonts w:hint="eastAsia" w:ascii="宋体" w:hAnsi="宋体"/>
          <w:bCs/>
          <w:color w:val="auto"/>
          <w:sz w:val="24"/>
          <w:highlight w:val="none"/>
        </w:rPr>
        <w:t xml:space="preserve">                       法定代表人（签字或盖章）：</w:t>
      </w:r>
    </w:p>
    <w:p>
      <w:pPr>
        <w:spacing w:line="480" w:lineRule="auto"/>
        <w:ind w:firstLine="420"/>
        <w:rPr>
          <w:rFonts w:ascii="宋体" w:hAnsi="宋体"/>
          <w:b/>
          <w:color w:val="auto"/>
          <w:sz w:val="24"/>
          <w:highlight w:val="none"/>
        </w:rPr>
      </w:pPr>
      <w:r>
        <w:rPr>
          <w:rFonts w:hint="eastAsia" w:ascii="宋体" w:hAnsi="宋体"/>
          <w:b/>
          <w:color w:val="auto"/>
          <w:sz w:val="24"/>
          <w:highlight w:val="none"/>
        </w:rPr>
        <w:t>附：法定代表人及授权委托人身份证正反面复印件</w:t>
      </w:r>
    </w:p>
    <w:p>
      <w:pPr>
        <w:spacing w:line="480" w:lineRule="auto"/>
        <w:ind w:firstLine="420"/>
        <w:rPr>
          <w:rFonts w:ascii="宋体" w:hAnsi="宋体"/>
          <w:bCs/>
          <w:color w:val="auto"/>
          <w:sz w:val="24"/>
          <w:highlight w:val="none"/>
        </w:rPr>
      </w:pPr>
    </w:p>
    <w:p>
      <w:pPr>
        <w:pStyle w:val="6"/>
        <w:rPr>
          <w:rFonts w:ascii="宋体" w:hAnsi="宋体"/>
          <w:color w:val="auto"/>
          <w:highlight w:val="none"/>
        </w:rPr>
      </w:pPr>
    </w:p>
    <w:p>
      <w:pPr>
        <w:pStyle w:val="6"/>
        <w:rPr>
          <w:rFonts w:ascii="宋体" w:hAnsi="宋体"/>
          <w:color w:val="auto"/>
          <w:highlight w:val="none"/>
        </w:rPr>
      </w:pPr>
    </w:p>
    <w:p>
      <w:pPr>
        <w:pStyle w:val="3"/>
        <w:numPr>
          <w:ilvl w:val="0"/>
          <w:numId w:val="0"/>
        </w:numPr>
        <w:rPr>
          <w:color w:val="auto"/>
          <w:highlight w:val="none"/>
        </w:rPr>
      </w:pPr>
    </w:p>
    <w:p>
      <w:pPr>
        <w:widowControl/>
        <w:spacing w:line="360" w:lineRule="auto"/>
        <w:jc w:val="left"/>
        <w:rPr>
          <w:rFonts w:ascii="宋体" w:hAnsi="宋体"/>
          <w:bCs/>
          <w:color w:val="auto"/>
          <w:sz w:val="24"/>
          <w:highlight w:val="none"/>
        </w:rPr>
      </w:pPr>
      <w:r>
        <w:rPr>
          <w:rFonts w:ascii="宋体" w:hAnsi="宋体"/>
          <w:b/>
          <w:color w:val="auto"/>
          <w:sz w:val="24"/>
          <w:highlight w:val="none"/>
        </w:rPr>
        <w:br w:type="page"/>
      </w:r>
    </w:p>
    <w:p>
      <w:pPr>
        <w:pStyle w:val="7"/>
        <w:jc w:val="center"/>
        <w:rPr>
          <w:rFonts w:ascii="宋体" w:hAnsi="宋体" w:eastAsia="宋体"/>
          <w:bCs w:val="0"/>
          <w:color w:val="auto"/>
          <w:sz w:val="28"/>
          <w:szCs w:val="28"/>
          <w:highlight w:val="none"/>
        </w:rPr>
      </w:pPr>
      <w:r>
        <w:rPr>
          <w:rFonts w:hint="eastAsia" w:ascii="宋体" w:hAnsi="宋体" w:eastAsia="宋体"/>
          <w:bCs w:val="0"/>
          <w:color w:val="auto"/>
          <w:sz w:val="28"/>
          <w:szCs w:val="28"/>
          <w:highlight w:val="none"/>
        </w:rPr>
        <w:t>（四）开标一览表（格式）</w:t>
      </w:r>
    </w:p>
    <w:p>
      <w:pPr>
        <w:adjustRightInd w:val="0"/>
        <w:snapToGrid w:val="0"/>
        <w:spacing w:line="300" w:lineRule="auto"/>
        <w:rPr>
          <w:rFonts w:ascii="宋体" w:hAnsi="宋体"/>
          <w:color w:val="auto"/>
          <w:sz w:val="24"/>
          <w:highlight w:val="none"/>
        </w:rPr>
      </w:pPr>
      <w:r>
        <w:rPr>
          <w:rFonts w:hint="eastAsia" w:ascii="宋体" w:hAnsi="宋体"/>
          <w:color w:val="auto"/>
          <w:sz w:val="24"/>
          <w:highlight w:val="none"/>
        </w:rPr>
        <w:t xml:space="preserve">投标供应商全称（加盖公章）：  </w:t>
      </w:r>
      <w:r>
        <w:rPr>
          <w:rFonts w:hint="eastAsia" w:ascii="宋体" w:hAnsi="宋体" w:cs="新宋体"/>
          <w:color w:val="auto"/>
          <w:sz w:val="24"/>
          <w:szCs w:val="28"/>
          <w:highlight w:val="none"/>
        </w:rPr>
        <w:t xml:space="preserve">                     采购项目编号</w:t>
      </w:r>
      <w:r>
        <w:rPr>
          <w:rFonts w:hint="eastAsia" w:ascii="宋体" w:hAnsi="宋体"/>
          <w:color w:val="auto"/>
          <w:sz w:val="24"/>
          <w:highlight w:val="none"/>
        </w:rPr>
        <w:t>：</w:t>
      </w:r>
      <w:r>
        <w:rPr>
          <w:rFonts w:hint="eastAsia" w:ascii="宋体" w:hAnsi="宋体"/>
          <w:color w:val="auto"/>
          <w:highlight w:val="none"/>
        </w:rPr>
        <w:t xml:space="preserve"> </w:t>
      </w:r>
    </w:p>
    <w:tbl>
      <w:tblPr>
        <w:tblStyle w:val="67"/>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8"/>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418"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7104" w:type="dxa"/>
            <w:vAlign w:val="center"/>
          </w:tcPr>
          <w:p>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2023年度第四批无锡市市级政务信息化项目监理服务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418"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标段</w:t>
            </w:r>
          </w:p>
        </w:tc>
        <w:tc>
          <w:tcPr>
            <w:tcW w:w="7104" w:type="dxa"/>
            <w:vAlign w:val="center"/>
          </w:tcPr>
          <w:p>
            <w:pPr>
              <w:spacing w:line="360" w:lineRule="auto"/>
              <w:jc w:val="left"/>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418"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投标总报价</w:t>
            </w:r>
          </w:p>
        </w:tc>
        <w:tc>
          <w:tcPr>
            <w:tcW w:w="7104" w:type="dxa"/>
            <w:vAlign w:val="center"/>
          </w:tcPr>
          <w:p>
            <w:pPr>
              <w:spacing w:line="360" w:lineRule="auto"/>
              <w:ind w:firstLine="240" w:firstLineChars="100"/>
              <w:rPr>
                <w:rFonts w:ascii="宋体" w:hAnsi="宋体" w:cs="宋体"/>
                <w:color w:val="auto"/>
                <w:kern w:val="0"/>
                <w:sz w:val="24"/>
                <w:highlight w:val="none"/>
                <w:u w:val="single"/>
              </w:rPr>
            </w:pPr>
            <w:r>
              <w:rPr>
                <w:rFonts w:hint="eastAsia" w:ascii="宋体" w:hAnsi="宋体" w:cs="宋体"/>
                <w:color w:val="auto"/>
                <w:kern w:val="0"/>
                <w:sz w:val="24"/>
                <w:highlight w:val="none"/>
              </w:rPr>
              <w:t>人民币(大写)：</w:t>
            </w:r>
            <w:r>
              <w:rPr>
                <w:rFonts w:hint="eastAsia" w:ascii="宋体" w:hAnsi="宋体" w:cs="宋体"/>
                <w:color w:val="auto"/>
                <w:kern w:val="0"/>
                <w:sz w:val="24"/>
                <w:highlight w:val="none"/>
                <w:u w:val="single"/>
              </w:rPr>
              <w:t xml:space="preserve">                       </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人民币(小写)：</w:t>
            </w:r>
            <w:r>
              <w:rPr>
                <w:rFonts w:hint="eastAsia" w:ascii="宋体" w:hAnsi="宋体" w:cs="宋体"/>
                <w:color w:val="auto"/>
                <w:kern w:val="0"/>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418"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项目总监</w:t>
            </w:r>
          </w:p>
        </w:tc>
        <w:tc>
          <w:tcPr>
            <w:tcW w:w="7104" w:type="dxa"/>
            <w:vAlign w:val="center"/>
          </w:tcPr>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姓名： </w:t>
            </w:r>
            <w:r>
              <w:rPr>
                <w:rFonts w:ascii="宋体" w:hAnsi="宋体" w:cs="宋体"/>
                <w:color w:val="auto"/>
                <w:kern w:val="0"/>
                <w:sz w:val="24"/>
                <w:highlight w:val="none"/>
              </w:rPr>
              <w:t xml:space="preserve">                  身份证号码</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418"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服务期限</w:t>
            </w:r>
          </w:p>
        </w:tc>
        <w:tc>
          <w:tcPr>
            <w:tcW w:w="7104" w:type="dxa"/>
            <w:vAlign w:val="center"/>
          </w:tcPr>
          <w:p>
            <w:pPr>
              <w:spacing w:line="360" w:lineRule="auto"/>
              <w:ind w:firstLine="240" w:firstLineChars="100"/>
              <w:rPr>
                <w:rFonts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418" w:type="dxa"/>
            <w:vAlign w:val="center"/>
          </w:tcPr>
          <w:p>
            <w:pPr>
              <w:spacing w:line="360" w:lineRule="auto"/>
              <w:jc w:val="center"/>
              <w:rPr>
                <w:rFonts w:ascii="宋体" w:hAnsi="宋体" w:cs="宋体"/>
                <w:color w:val="auto"/>
                <w:kern w:val="0"/>
                <w:sz w:val="24"/>
                <w:highlight w:val="none"/>
              </w:rPr>
            </w:pPr>
            <w:r>
              <w:rPr>
                <w:rFonts w:ascii="宋体" w:hAnsi="宋体" w:cs="宋体"/>
                <w:color w:val="auto"/>
                <w:kern w:val="0"/>
                <w:sz w:val="24"/>
                <w:highlight w:val="none"/>
              </w:rPr>
              <w:t>质量标准</w:t>
            </w:r>
          </w:p>
        </w:tc>
        <w:tc>
          <w:tcPr>
            <w:tcW w:w="7104" w:type="dxa"/>
            <w:vAlign w:val="center"/>
          </w:tcPr>
          <w:p>
            <w:pPr>
              <w:spacing w:line="360" w:lineRule="auto"/>
              <w:ind w:firstLine="240" w:firstLineChars="100"/>
              <w:rPr>
                <w:rFonts w:ascii="宋体" w:hAnsi="宋体" w:cs="宋体"/>
                <w:color w:val="auto"/>
                <w:kern w:val="0"/>
                <w:sz w:val="24"/>
                <w:highlight w:val="none"/>
              </w:rPr>
            </w:pPr>
          </w:p>
        </w:tc>
      </w:tr>
    </w:tbl>
    <w:p>
      <w:pPr>
        <w:overflowPunct w:val="0"/>
        <w:spacing w:line="360" w:lineRule="auto"/>
        <w:rPr>
          <w:rFonts w:ascii="宋体" w:hAnsi="宋体"/>
          <w:color w:val="auto"/>
          <w:sz w:val="24"/>
          <w:highlight w:val="none"/>
        </w:rPr>
      </w:pPr>
      <w:r>
        <w:rPr>
          <w:rFonts w:hint="eastAsia" w:ascii="宋体" w:hAnsi="宋体"/>
          <w:color w:val="auto"/>
          <w:sz w:val="24"/>
          <w:highlight w:val="none"/>
        </w:rPr>
        <w:t>法定代表人或授权代表签字或盖章：                     日期：   年   月   日</w:t>
      </w:r>
    </w:p>
    <w:p>
      <w:pPr>
        <w:overflowPunct w:val="0"/>
        <w:rPr>
          <w:rFonts w:ascii="宋体" w:hAnsi="宋体"/>
          <w:color w:val="auto"/>
          <w:sz w:val="24"/>
          <w:highlight w:val="none"/>
        </w:rPr>
      </w:pPr>
    </w:p>
    <w:p>
      <w:pPr>
        <w:overflowPunct w:val="0"/>
        <w:rPr>
          <w:rFonts w:ascii="宋体" w:hAnsi="宋体"/>
          <w:color w:val="auto"/>
          <w:sz w:val="24"/>
          <w:highlight w:val="none"/>
        </w:rPr>
      </w:pPr>
    </w:p>
    <w:p>
      <w:pPr>
        <w:overflowPunct w:val="0"/>
        <w:rPr>
          <w:rFonts w:ascii="宋体" w:hAnsi="宋体"/>
          <w:color w:val="auto"/>
          <w:sz w:val="24"/>
          <w:highlight w:val="none"/>
        </w:rPr>
      </w:pPr>
      <w:r>
        <w:rPr>
          <w:rFonts w:hint="eastAsia" w:ascii="宋体" w:hAnsi="宋体"/>
          <w:color w:val="auto"/>
          <w:sz w:val="24"/>
          <w:highlight w:val="none"/>
        </w:rPr>
        <w:t>填写说明：</w:t>
      </w:r>
    </w:p>
    <w:p>
      <w:pPr>
        <w:numPr>
          <w:ilvl w:val="0"/>
          <w:numId w:val="27"/>
        </w:numPr>
        <w:spacing w:line="500" w:lineRule="exact"/>
        <w:ind w:firstLine="482" w:firstLineChars="200"/>
        <w:rPr>
          <w:rFonts w:ascii="宋体" w:hAnsi="宋体"/>
          <w:b/>
          <w:color w:val="auto"/>
          <w:sz w:val="24"/>
          <w:highlight w:val="none"/>
        </w:rPr>
      </w:pPr>
      <w:r>
        <w:rPr>
          <w:rFonts w:hint="eastAsia" w:ascii="宋体" w:hAnsi="宋体"/>
          <w:b/>
          <w:color w:val="auto"/>
          <w:sz w:val="24"/>
          <w:highlight w:val="none"/>
        </w:rPr>
        <w:t>开标一览表的内容应与投标函内容一致，否则评标时一律按开标一览表中内容为准，开标一览表中必须盖章或签字。</w:t>
      </w:r>
    </w:p>
    <w:p>
      <w:pPr>
        <w:numPr>
          <w:ilvl w:val="0"/>
          <w:numId w:val="27"/>
        </w:numPr>
        <w:spacing w:line="500" w:lineRule="exact"/>
        <w:ind w:firstLine="482" w:firstLineChars="200"/>
        <w:rPr>
          <w:rFonts w:ascii="宋体" w:hAnsi="宋体"/>
          <w:b/>
          <w:color w:val="auto"/>
          <w:sz w:val="24"/>
          <w:highlight w:val="none"/>
        </w:rPr>
      </w:pPr>
      <w:r>
        <w:rPr>
          <w:rFonts w:hint="eastAsia" w:ascii="宋体" w:hAnsi="宋体"/>
          <w:b/>
          <w:color w:val="auto"/>
          <w:sz w:val="24"/>
          <w:highlight w:val="none"/>
        </w:rPr>
        <w:t>开标一览表须分标段制作并注明所投标段。</w:t>
      </w:r>
    </w:p>
    <w:p>
      <w:pPr>
        <w:spacing w:line="400" w:lineRule="exact"/>
        <w:jc w:val="center"/>
        <w:rPr>
          <w:rFonts w:ascii="宋体" w:hAnsi="宋体"/>
          <w:bCs/>
          <w:color w:val="auto"/>
          <w:sz w:val="28"/>
          <w:szCs w:val="28"/>
          <w:highlight w:val="none"/>
        </w:rPr>
      </w:pPr>
    </w:p>
    <w:p>
      <w:pPr>
        <w:spacing w:line="400" w:lineRule="exact"/>
        <w:jc w:val="center"/>
        <w:rPr>
          <w:rFonts w:ascii="宋体" w:hAnsi="宋体"/>
          <w:bCs/>
          <w:color w:val="auto"/>
          <w:sz w:val="28"/>
          <w:szCs w:val="28"/>
          <w:highlight w:val="none"/>
        </w:rPr>
      </w:pPr>
    </w:p>
    <w:p>
      <w:pPr>
        <w:spacing w:line="400" w:lineRule="exact"/>
        <w:jc w:val="center"/>
        <w:rPr>
          <w:rFonts w:ascii="宋体" w:hAnsi="宋体"/>
          <w:bCs/>
          <w:color w:val="auto"/>
          <w:sz w:val="28"/>
          <w:szCs w:val="28"/>
          <w:highlight w:val="none"/>
        </w:rPr>
      </w:pPr>
    </w:p>
    <w:p>
      <w:pPr>
        <w:spacing w:line="400" w:lineRule="exact"/>
        <w:jc w:val="center"/>
        <w:rPr>
          <w:rFonts w:ascii="宋体" w:hAnsi="宋体"/>
          <w:bCs/>
          <w:color w:val="auto"/>
          <w:sz w:val="28"/>
          <w:szCs w:val="28"/>
          <w:highlight w:val="none"/>
        </w:rPr>
      </w:pPr>
    </w:p>
    <w:p>
      <w:pPr>
        <w:spacing w:line="400" w:lineRule="exact"/>
        <w:jc w:val="center"/>
        <w:rPr>
          <w:rFonts w:ascii="宋体" w:hAnsi="宋体"/>
          <w:bCs/>
          <w:color w:val="auto"/>
          <w:sz w:val="28"/>
          <w:szCs w:val="28"/>
          <w:highlight w:val="none"/>
        </w:rPr>
      </w:pPr>
    </w:p>
    <w:p>
      <w:pPr>
        <w:spacing w:line="400" w:lineRule="exact"/>
        <w:jc w:val="center"/>
        <w:rPr>
          <w:rFonts w:ascii="宋体" w:hAnsi="宋体"/>
          <w:bCs/>
          <w:color w:val="auto"/>
          <w:sz w:val="28"/>
          <w:szCs w:val="28"/>
          <w:highlight w:val="none"/>
        </w:rPr>
      </w:pPr>
    </w:p>
    <w:p>
      <w:pPr>
        <w:spacing w:line="400" w:lineRule="exact"/>
        <w:jc w:val="center"/>
        <w:rPr>
          <w:rFonts w:ascii="宋体" w:hAnsi="宋体"/>
          <w:bCs/>
          <w:color w:val="auto"/>
          <w:sz w:val="28"/>
          <w:szCs w:val="28"/>
          <w:highlight w:val="none"/>
        </w:rPr>
      </w:pPr>
    </w:p>
    <w:p>
      <w:pPr>
        <w:pStyle w:val="2"/>
        <w:rPr>
          <w:color w:val="auto"/>
          <w:highlight w:val="none"/>
        </w:rPr>
      </w:pPr>
    </w:p>
    <w:p>
      <w:pPr>
        <w:rPr>
          <w:rFonts w:ascii="宋体" w:hAnsi="宋体"/>
          <w:b/>
          <w:color w:val="auto"/>
          <w:sz w:val="28"/>
          <w:szCs w:val="28"/>
          <w:highlight w:val="none"/>
        </w:rPr>
      </w:pPr>
      <w:r>
        <w:rPr>
          <w:rFonts w:hint="eastAsia" w:ascii="宋体" w:hAnsi="宋体"/>
          <w:b/>
          <w:color w:val="auto"/>
          <w:sz w:val="28"/>
          <w:szCs w:val="28"/>
          <w:highlight w:val="none"/>
        </w:rPr>
        <w:br w:type="page"/>
      </w:r>
    </w:p>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（五）明细报价表（格式）</w:t>
      </w:r>
    </w:p>
    <w:p>
      <w:pPr>
        <w:spacing w:line="400" w:lineRule="exact"/>
        <w:jc w:val="center"/>
        <w:outlineLvl w:val="0"/>
        <w:rPr>
          <w:rFonts w:ascii="宋体" w:hAnsi="宋体"/>
          <w:b/>
          <w:color w:val="auto"/>
          <w:kern w:val="0"/>
          <w:sz w:val="32"/>
          <w:szCs w:val="32"/>
          <w:highlight w:val="none"/>
        </w:rPr>
      </w:pPr>
      <w:bookmarkStart w:id="14" w:name="_Hlk52217825"/>
    </w:p>
    <w:p>
      <w:pPr>
        <w:spacing w:line="400" w:lineRule="exact"/>
        <w:jc w:val="center"/>
        <w:outlineLvl w:val="0"/>
        <w:rPr>
          <w:rFonts w:ascii="宋体" w:hAnsi="宋体"/>
          <w:b/>
          <w:color w:val="auto"/>
          <w:kern w:val="0"/>
          <w:sz w:val="32"/>
          <w:szCs w:val="32"/>
          <w:highlight w:val="none"/>
        </w:rPr>
      </w:pPr>
      <w:r>
        <w:rPr>
          <w:rFonts w:hint="eastAsia" w:ascii="宋体" w:hAnsi="宋体"/>
          <w:b/>
          <w:color w:val="auto"/>
          <w:kern w:val="0"/>
          <w:sz w:val="32"/>
          <w:szCs w:val="32"/>
          <w:highlight w:val="none"/>
        </w:rPr>
        <w:t>明细报价表（标段   ）</w:t>
      </w:r>
    </w:p>
    <w:p>
      <w:pPr>
        <w:spacing w:line="400" w:lineRule="exact"/>
        <w:rPr>
          <w:rFonts w:ascii="宋体" w:hAnsi="宋体"/>
          <w:bCs/>
          <w:color w:val="auto"/>
          <w:sz w:val="24"/>
          <w:highlight w:val="none"/>
        </w:rPr>
      </w:pPr>
      <w:r>
        <w:rPr>
          <w:rFonts w:hint="eastAsia" w:ascii="宋体" w:hAnsi="宋体"/>
          <w:bCs/>
          <w:color w:val="auto"/>
          <w:sz w:val="24"/>
          <w:highlight w:val="none"/>
        </w:rPr>
        <w:t>投标供应商名称（盖章）                      采购项目编号：</w:t>
      </w:r>
    </w:p>
    <w:tbl>
      <w:tblPr>
        <w:tblStyle w:val="67"/>
        <w:tblW w:w="10028" w:type="dxa"/>
        <w:tblInd w:w="-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21"/>
        <w:gridCol w:w="2289"/>
        <w:gridCol w:w="2520"/>
        <w:gridCol w:w="1155"/>
        <w:gridCol w:w="171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651" w:type="dxa"/>
            <w:gridSpan w:val="2"/>
            <w:noWrap/>
            <w:tcMar>
              <w:top w:w="15" w:type="dxa"/>
              <w:left w:w="15" w:type="dxa"/>
              <w:bottom w:w="0" w:type="dxa"/>
              <w:right w:w="15" w:type="dxa"/>
            </w:tcMar>
            <w:vAlign w:val="center"/>
          </w:tcPr>
          <w:p>
            <w:pPr>
              <w:spacing w:before="5"/>
              <w:jc w:val="center"/>
              <w:rPr>
                <w:rFonts w:ascii="宋体"/>
                <w:color w:val="auto"/>
                <w:kern w:val="0"/>
                <w:sz w:val="18"/>
                <w:szCs w:val="20"/>
                <w:highlight w:val="none"/>
              </w:rPr>
            </w:pPr>
            <w:r>
              <w:rPr>
                <w:rFonts w:hint="eastAsia" w:ascii="宋体"/>
                <w:color w:val="auto"/>
                <w:kern w:val="0"/>
                <w:sz w:val="18"/>
                <w:szCs w:val="20"/>
                <w:highlight w:val="none"/>
              </w:rPr>
              <w:t>序号</w:t>
            </w:r>
          </w:p>
        </w:tc>
        <w:tc>
          <w:tcPr>
            <w:tcW w:w="2289" w:type="dxa"/>
            <w:noWrap/>
            <w:tcMar>
              <w:top w:w="15" w:type="dxa"/>
              <w:left w:w="15" w:type="dxa"/>
              <w:bottom w:w="0" w:type="dxa"/>
              <w:right w:w="15" w:type="dxa"/>
            </w:tcMar>
            <w:vAlign w:val="center"/>
          </w:tcPr>
          <w:p>
            <w:pPr>
              <w:spacing w:before="5"/>
              <w:jc w:val="center"/>
              <w:rPr>
                <w:rFonts w:ascii="宋体"/>
                <w:color w:val="auto"/>
                <w:kern w:val="0"/>
                <w:sz w:val="18"/>
                <w:szCs w:val="20"/>
                <w:highlight w:val="none"/>
                <w:u w:color="FF0000"/>
              </w:rPr>
            </w:pPr>
            <w:r>
              <w:rPr>
                <w:rFonts w:hint="eastAsia" w:ascii="宋体"/>
                <w:color w:val="auto"/>
                <w:kern w:val="0"/>
                <w:sz w:val="18"/>
                <w:szCs w:val="20"/>
                <w:highlight w:val="none"/>
              </w:rPr>
              <w:t>项目内容</w:t>
            </w:r>
          </w:p>
        </w:tc>
        <w:tc>
          <w:tcPr>
            <w:tcW w:w="2520" w:type="dxa"/>
            <w:noWrap/>
            <w:tcMar>
              <w:top w:w="15" w:type="dxa"/>
              <w:left w:w="15" w:type="dxa"/>
              <w:bottom w:w="0" w:type="dxa"/>
              <w:right w:w="15" w:type="dxa"/>
            </w:tcMar>
            <w:vAlign w:val="center"/>
          </w:tcPr>
          <w:p>
            <w:pPr>
              <w:spacing w:before="5"/>
              <w:jc w:val="center"/>
              <w:rPr>
                <w:rFonts w:ascii="宋体"/>
                <w:color w:val="auto"/>
                <w:kern w:val="0"/>
                <w:sz w:val="18"/>
                <w:szCs w:val="20"/>
                <w:highlight w:val="none"/>
              </w:rPr>
            </w:pPr>
            <w:r>
              <w:rPr>
                <w:rFonts w:hint="eastAsia" w:ascii="宋体"/>
                <w:color w:val="auto"/>
                <w:kern w:val="0"/>
                <w:sz w:val="18"/>
                <w:szCs w:val="20"/>
                <w:highlight w:val="none"/>
              </w:rPr>
              <w:t>相关描述</w:t>
            </w:r>
          </w:p>
        </w:tc>
        <w:tc>
          <w:tcPr>
            <w:tcW w:w="1155" w:type="dxa"/>
            <w:tcMar>
              <w:top w:w="15" w:type="dxa"/>
              <w:left w:w="15" w:type="dxa"/>
              <w:bottom w:w="0" w:type="dxa"/>
              <w:right w:w="15" w:type="dxa"/>
            </w:tcMar>
            <w:vAlign w:val="center"/>
          </w:tcPr>
          <w:p>
            <w:pPr>
              <w:spacing w:before="5"/>
              <w:jc w:val="center"/>
              <w:rPr>
                <w:rFonts w:ascii="宋体"/>
                <w:color w:val="auto"/>
                <w:kern w:val="0"/>
                <w:sz w:val="18"/>
                <w:szCs w:val="20"/>
                <w:highlight w:val="none"/>
              </w:rPr>
            </w:pPr>
            <w:r>
              <w:rPr>
                <w:rFonts w:hint="eastAsia" w:ascii="宋体"/>
                <w:color w:val="auto"/>
                <w:kern w:val="0"/>
                <w:sz w:val="18"/>
                <w:szCs w:val="20"/>
                <w:highlight w:val="none"/>
              </w:rPr>
              <w:t>数量</w:t>
            </w:r>
          </w:p>
        </w:tc>
        <w:tc>
          <w:tcPr>
            <w:tcW w:w="1712" w:type="dxa"/>
            <w:vAlign w:val="center"/>
          </w:tcPr>
          <w:p>
            <w:pPr>
              <w:spacing w:before="5"/>
              <w:jc w:val="center"/>
              <w:rPr>
                <w:rFonts w:ascii="宋体"/>
                <w:color w:val="auto"/>
                <w:kern w:val="0"/>
                <w:sz w:val="18"/>
                <w:szCs w:val="20"/>
                <w:highlight w:val="none"/>
              </w:rPr>
            </w:pPr>
            <w:r>
              <w:rPr>
                <w:rFonts w:hint="eastAsia" w:ascii="宋体"/>
                <w:color w:val="auto"/>
                <w:kern w:val="0"/>
                <w:sz w:val="18"/>
                <w:szCs w:val="20"/>
                <w:highlight w:val="none"/>
              </w:rPr>
              <w:t>单报价</w:t>
            </w:r>
          </w:p>
        </w:tc>
        <w:tc>
          <w:tcPr>
            <w:tcW w:w="1701" w:type="dxa"/>
            <w:vAlign w:val="center"/>
          </w:tcPr>
          <w:p>
            <w:pPr>
              <w:spacing w:before="5"/>
              <w:jc w:val="center"/>
              <w:rPr>
                <w:rFonts w:ascii="宋体"/>
                <w:color w:val="auto"/>
                <w:kern w:val="0"/>
                <w:sz w:val="18"/>
                <w:szCs w:val="20"/>
                <w:highlight w:val="none"/>
              </w:rPr>
            </w:pPr>
            <w:r>
              <w:rPr>
                <w:rFonts w:hint="eastAsia" w:ascii="宋体"/>
                <w:color w:val="auto"/>
                <w:kern w:val="0"/>
                <w:sz w:val="18"/>
                <w:szCs w:val="20"/>
                <w:highlight w:val="none"/>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7" w:hRule="atLeast"/>
        </w:trPr>
        <w:tc>
          <w:tcPr>
            <w:tcW w:w="651" w:type="dxa"/>
            <w:gridSpan w:val="2"/>
            <w:noWrap/>
            <w:tcMar>
              <w:top w:w="15" w:type="dxa"/>
              <w:left w:w="15" w:type="dxa"/>
              <w:bottom w:w="0" w:type="dxa"/>
              <w:right w:w="15" w:type="dxa"/>
            </w:tcMar>
            <w:vAlign w:val="center"/>
          </w:tcPr>
          <w:p>
            <w:pPr>
              <w:spacing w:before="5"/>
              <w:jc w:val="center"/>
              <w:rPr>
                <w:rFonts w:ascii="宋体"/>
                <w:color w:val="auto"/>
                <w:sz w:val="18"/>
                <w:szCs w:val="18"/>
                <w:highlight w:val="none"/>
              </w:rPr>
            </w:pPr>
          </w:p>
        </w:tc>
        <w:tc>
          <w:tcPr>
            <w:tcW w:w="2289" w:type="dxa"/>
            <w:noWrap/>
            <w:tcMar>
              <w:top w:w="15" w:type="dxa"/>
              <w:left w:w="15" w:type="dxa"/>
              <w:bottom w:w="0" w:type="dxa"/>
              <w:right w:w="15" w:type="dxa"/>
            </w:tcMar>
            <w:vAlign w:val="center"/>
          </w:tcPr>
          <w:p>
            <w:pPr>
              <w:jc w:val="center"/>
              <w:rPr>
                <w:rFonts w:ascii="宋体"/>
                <w:bCs/>
                <w:color w:val="auto"/>
                <w:sz w:val="18"/>
                <w:szCs w:val="18"/>
                <w:highlight w:val="none"/>
              </w:rPr>
            </w:pPr>
          </w:p>
        </w:tc>
        <w:tc>
          <w:tcPr>
            <w:tcW w:w="2520" w:type="dxa"/>
            <w:tcMar>
              <w:top w:w="15" w:type="dxa"/>
              <w:left w:w="15" w:type="dxa"/>
              <w:bottom w:w="0" w:type="dxa"/>
              <w:right w:w="15" w:type="dxa"/>
            </w:tcMar>
            <w:vAlign w:val="center"/>
          </w:tcPr>
          <w:p>
            <w:pPr>
              <w:jc w:val="center"/>
              <w:rPr>
                <w:rFonts w:ascii="宋体"/>
                <w:bCs/>
                <w:color w:val="auto"/>
                <w:kern w:val="0"/>
                <w:sz w:val="18"/>
                <w:szCs w:val="20"/>
                <w:highlight w:val="none"/>
              </w:rPr>
            </w:pPr>
          </w:p>
        </w:tc>
        <w:tc>
          <w:tcPr>
            <w:tcW w:w="1155" w:type="dxa"/>
            <w:tcMar>
              <w:top w:w="15" w:type="dxa"/>
              <w:left w:w="15" w:type="dxa"/>
              <w:bottom w:w="0" w:type="dxa"/>
              <w:right w:w="15" w:type="dxa"/>
            </w:tcMar>
            <w:vAlign w:val="center"/>
          </w:tcPr>
          <w:p>
            <w:pPr>
              <w:jc w:val="center"/>
              <w:rPr>
                <w:rFonts w:ascii="黑体" w:hAnsi="宋体" w:eastAsia="黑体"/>
                <w:b/>
                <w:bCs/>
                <w:color w:val="auto"/>
                <w:kern w:val="0"/>
                <w:sz w:val="24"/>
                <w:highlight w:val="none"/>
              </w:rPr>
            </w:pPr>
          </w:p>
        </w:tc>
        <w:tc>
          <w:tcPr>
            <w:tcW w:w="1712" w:type="dxa"/>
            <w:vAlign w:val="center"/>
          </w:tcPr>
          <w:p>
            <w:pPr>
              <w:jc w:val="center"/>
              <w:rPr>
                <w:rFonts w:ascii="黑体" w:hAnsi="宋体" w:eastAsia="黑体"/>
                <w:b/>
                <w:bCs/>
                <w:color w:val="auto"/>
                <w:kern w:val="0"/>
                <w:sz w:val="24"/>
                <w:highlight w:val="none"/>
              </w:rPr>
            </w:pPr>
          </w:p>
        </w:tc>
        <w:tc>
          <w:tcPr>
            <w:tcW w:w="1701" w:type="dxa"/>
            <w:vAlign w:val="center"/>
          </w:tcPr>
          <w:p>
            <w:pPr>
              <w:jc w:val="center"/>
              <w:rPr>
                <w:rFonts w:ascii="黑体" w:hAnsi="宋体" w:eastAsia="黑体"/>
                <w:b/>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trPr>
        <w:tc>
          <w:tcPr>
            <w:tcW w:w="651" w:type="dxa"/>
            <w:gridSpan w:val="2"/>
            <w:noWrap/>
            <w:tcMar>
              <w:top w:w="15" w:type="dxa"/>
              <w:left w:w="15" w:type="dxa"/>
              <w:bottom w:w="0" w:type="dxa"/>
              <w:right w:w="15" w:type="dxa"/>
            </w:tcMar>
            <w:vAlign w:val="center"/>
          </w:tcPr>
          <w:p>
            <w:pPr>
              <w:jc w:val="center"/>
              <w:rPr>
                <w:rFonts w:ascii="宋体"/>
                <w:color w:val="auto"/>
                <w:kern w:val="0"/>
                <w:sz w:val="18"/>
                <w:szCs w:val="20"/>
                <w:highlight w:val="none"/>
              </w:rPr>
            </w:pPr>
          </w:p>
        </w:tc>
        <w:tc>
          <w:tcPr>
            <w:tcW w:w="2289" w:type="dxa"/>
            <w:noWrap/>
            <w:tcMar>
              <w:top w:w="15" w:type="dxa"/>
              <w:left w:w="15" w:type="dxa"/>
              <w:bottom w:w="0" w:type="dxa"/>
              <w:right w:w="15" w:type="dxa"/>
            </w:tcMar>
            <w:vAlign w:val="center"/>
          </w:tcPr>
          <w:p>
            <w:pPr>
              <w:jc w:val="center"/>
              <w:rPr>
                <w:rFonts w:ascii="宋体"/>
                <w:bCs/>
                <w:color w:val="auto"/>
                <w:sz w:val="18"/>
                <w:szCs w:val="18"/>
                <w:highlight w:val="none"/>
              </w:rPr>
            </w:pPr>
          </w:p>
        </w:tc>
        <w:tc>
          <w:tcPr>
            <w:tcW w:w="2520" w:type="dxa"/>
            <w:tcMar>
              <w:top w:w="15" w:type="dxa"/>
              <w:left w:w="15" w:type="dxa"/>
              <w:bottom w:w="0" w:type="dxa"/>
              <w:right w:w="15" w:type="dxa"/>
            </w:tcMar>
            <w:vAlign w:val="center"/>
          </w:tcPr>
          <w:p>
            <w:pPr>
              <w:jc w:val="center"/>
              <w:rPr>
                <w:rFonts w:ascii="宋体"/>
                <w:bCs/>
                <w:color w:val="auto"/>
                <w:kern w:val="0"/>
                <w:sz w:val="18"/>
                <w:szCs w:val="20"/>
                <w:highlight w:val="none"/>
              </w:rPr>
            </w:pPr>
          </w:p>
        </w:tc>
        <w:tc>
          <w:tcPr>
            <w:tcW w:w="1155" w:type="dxa"/>
            <w:tcMar>
              <w:top w:w="15" w:type="dxa"/>
              <w:left w:w="15" w:type="dxa"/>
              <w:bottom w:w="0" w:type="dxa"/>
              <w:right w:w="15" w:type="dxa"/>
            </w:tcMar>
            <w:vAlign w:val="center"/>
          </w:tcPr>
          <w:p>
            <w:pPr>
              <w:jc w:val="center"/>
              <w:rPr>
                <w:rFonts w:ascii="黑体" w:hAnsi="宋体" w:eastAsia="黑体"/>
                <w:b/>
                <w:bCs/>
                <w:color w:val="auto"/>
                <w:kern w:val="0"/>
                <w:sz w:val="24"/>
                <w:highlight w:val="none"/>
              </w:rPr>
            </w:pPr>
          </w:p>
        </w:tc>
        <w:tc>
          <w:tcPr>
            <w:tcW w:w="1712" w:type="dxa"/>
            <w:vAlign w:val="center"/>
          </w:tcPr>
          <w:p>
            <w:pPr>
              <w:jc w:val="center"/>
              <w:rPr>
                <w:rFonts w:ascii="黑体" w:hAnsi="宋体" w:eastAsia="黑体"/>
                <w:b/>
                <w:bCs/>
                <w:color w:val="auto"/>
                <w:kern w:val="0"/>
                <w:sz w:val="24"/>
                <w:highlight w:val="none"/>
              </w:rPr>
            </w:pPr>
          </w:p>
        </w:tc>
        <w:tc>
          <w:tcPr>
            <w:tcW w:w="1701" w:type="dxa"/>
            <w:vAlign w:val="center"/>
          </w:tcPr>
          <w:p>
            <w:pPr>
              <w:jc w:val="center"/>
              <w:rPr>
                <w:rFonts w:ascii="黑体" w:hAnsi="宋体" w:eastAsia="黑体"/>
                <w:b/>
                <w:bCs/>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940" w:type="dxa"/>
            <w:gridSpan w:val="3"/>
            <w:noWrap/>
            <w:tcMar>
              <w:top w:w="15" w:type="dxa"/>
              <w:left w:w="15" w:type="dxa"/>
              <w:bottom w:w="0" w:type="dxa"/>
              <w:right w:w="15" w:type="dxa"/>
            </w:tcMar>
            <w:vAlign w:val="center"/>
          </w:tcPr>
          <w:p>
            <w:pPr>
              <w:jc w:val="center"/>
              <w:rPr>
                <w:rFonts w:ascii="宋体"/>
                <w:b/>
                <w:bCs/>
                <w:color w:val="auto"/>
                <w:sz w:val="24"/>
                <w:szCs w:val="18"/>
                <w:highlight w:val="none"/>
              </w:rPr>
            </w:pPr>
            <w:r>
              <w:rPr>
                <w:rFonts w:hint="eastAsia" w:ascii="宋体"/>
                <w:b/>
                <w:bCs/>
                <w:color w:val="auto"/>
                <w:sz w:val="24"/>
                <w:szCs w:val="18"/>
                <w:highlight w:val="none"/>
              </w:rPr>
              <w:t>总报价</w:t>
            </w:r>
          </w:p>
        </w:tc>
        <w:tc>
          <w:tcPr>
            <w:tcW w:w="7088" w:type="dxa"/>
            <w:gridSpan w:val="4"/>
            <w:tcMar>
              <w:top w:w="15" w:type="dxa"/>
              <w:left w:w="15" w:type="dxa"/>
              <w:bottom w:w="0" w:type="dxa"/>
              <w:right w:w="15" w:type="dxa"/>
            </w:tcMar>
            <w:vAlign w:val="center"/>
          </w:tcPr>
          <w:p>
            <w:pPr>
              <w:ind w:firstLine="241" w:firstLineChars="100"/>
              <w:jc w:val="left"/>
              <w:rPr>
                <w:rFonts w:ascii="黑体" w:hAnsi="宋体" w:eastAsia="黑体"/>
                <w:b/>
                <w:bCs/>
                <w:color w:val="auto"/>
                <w:kern w:val="0"/>
                <w:sz w:val="24"/>
                <w:highlight w:val="none"/>
              </w:rPr>
            </w:pPr>
            <w:r>
              <w:rPr>
                <w:rFonts w:ascii="黑体" w:hAnsi="宋体" w:eastAsia="黑体"/>
                <w:b/>
                <w:bCs/>
                <w:color w:val="auto"/>
                <w:kern w:val="0"/>
                <w:sz w:val="24"/>
                <w:highlight w:val="none"/>
              </w:rPr>
              <w:t>大写</w:t>
            </w:r>
            <w:r>
              <w:rPr>
                <w:rFonts w:hint="eastAsia" w:ascii="黑体" w:hAnsi="宋体" w:eastAsia="黑体"/>
                <w:b/>
                <w:bCs/>
                <w:color w:val="auto"/>
                <w:kern w:val="0"/>
                <w:sz w:val="24"/>
                <w:highlight w:val="none"/>
              </w:rPr>
              <w:t xml:space="preserve"> </w:t>
            </w:r>
            <w:r>
              <w:rPr>
                <w:rFonts w:ascii="黑体" w:hAnsi="宋体" w:eastAsia="黑体"/>
                <w:b/>
                <w:bCs/>
                <w:color w:val="auto"/>
                <w:kern w:val="0"/>
                <w:sz w:val="24"/>
                <w:highlight w:val="none"/>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trPr>
        <w:tc>
          <w:tcPr>
            <w:tcW w:w="630" w:type="dxa"/>
            <w:vMerge w:val="restart"/>
            <w:vAlign w:val="center"/>
          </w:tcPr>
          <w:p>
            <w:pPr>
              <w:adjustRightInd w:val="0"/>
              <w:spacing w:after="20" w:line="400" w:lineRule="exact"/>
              <w:ind w:firstLine="120" w:firstLineChars="50"/>
              <w:jc w:val="center"/>
              <w:textAlignment w:val="baseline"/>
              <w:rPr>
                <w:rFonts w:ascii="宋体"/>
                <w:b/>
                <w:bCs/>
                <w:color w:val="auto"/>
                <w:sz w:val="24"/>
                <w:highlight w:val="none"/>
              </w:rPr>
            </w:pPr>
            <w:r>
              <w:rPr>
                <w:rFonts w:hint="eastAsia" w:ascii="宋体" w:hAnsi="宋体"/>
                <w:b/>
                <w:bCs/>
                <w:color w:val="auto"/>
                <w:sz w:val="24"/>
                <w:highlight w:val="none"/>
              </w:rPr>
              <w:t>服</w:t>
            </w:r>
          </w:p>
          <w:p>
            <w:pPr>
              <w:adjustRightInd w:val="0"/>
              <w:spacing w:after="20" w:line="400" w:lineRule="exact"/>
              <w:ind w:firstLine="120" w:firstLineChars="50"/>
              <w:jc w:val="center"/>
              <w:textAlignment w:val="baseline"/>
              <w:rPr>
                <w:rFonts w:ascii="宋体"/>
                <w:b/>
                <w:bCs/>
                <w:color w:val="auto"/>
                <w:sz w:val="24"/>
                <w:highlight w:val="none"/>
              </w:rPr>
            </w:pPr>
            <w:r>
              <w:rPr>
                <w:rFonts w:hint="eastAsia" w:ascii="宋体" w:hAnsi="宋体"/>
                <w:b/>
                <w:bCs/>
                <w:color w:val="auto"/>
                <w:sz w:val="24"/>
                <w:highlight w:val="none"/>
              </w:rPr>
              <w:t>务</w:t>
            </w:r>
          </w:p>
          <w:p>
            <w:pPr>
              <w:adjustRightInd w:val="0"/>
              <w:spacing w:after="20" w:line="400" w:lineRule="exact"/>
              <w:ind w:firstLine="120" w:firstLineChars="50"/>
              <w:jc w:val="center"/>
              <w:textAlignment w:val="baseline"/>
              <w:rPr>
                <w:rFonts w:ascii="宋体"/>
                <w:b/>
                <w:bCs/>
                <w:color w:val="auto"/>
                <w:sz w:val="24"/>
                <w:highlight w:val="none"/>
              </w:rPr>
            </w:pPr>
            <w:r>
              <w:rPr>
                <w:rFonts w:hint="eastAsia" w:ascii="宋体" w:hAnsi="宋体"/>
                <w:b/>
                <w:bCs/>
                <w:color w:val="auto"/>
                <w:sz w:val="24"/>
                <w:highlight w:val="none"/>
              </w:rPr>
              <w:t>承</w:t>
            </w:r>
          </w:p>
          <w:p>
            <w:pPr>
              <w:adjustRightInd w:val="0"/>
              <w:spacing w:after="20" w:line="400" w:lineRule="exact"/>
              <w:ind w:firstLine="120" w:firstLineChars="50"/>
              <w:jc w:val="center"/>
              <w:textAlignment w:val="baseline"/>
              <w:rPr>
                <w:rFonts w:ascii="宋体"/>
                <w:bCs/>
                <w:color w:val="auto"/>
                <w:sz w:val="24"/>
                <w:highlight w:val="none"/>
              </w:rPr>
            </w:pPr>
            <w:r>
              <w:rPr>
                <w:rFonts w:hint="eastAsia" w:ascii="宋体" w:hAnsi="宋体"/>
                <w:b/>
                <w:bCs/>
                <w:color w:val="auto"/>
                <w:sz w:val="24"/>
                <w:highlight w:val="none"/>
              </w:rPr>
              <w:t>诺</w:t>
            </w:r>
          </w:p>
        </w:tc>
        <w:tc>
          <w:tcPr>
            <w:tcW w:w="9398" w:type="dxa"/>
            <w:gridSpan w:val="6"/>
            <w:vAlign w:val="center"/>
          </w:tcPr>
          <w:p>
            <w:pPr>
              <w:numPr>
                <w:ilvl w:val="0"/>
                <w:numId w:val="28"/>
              </w:numPr>
              <w:jc w:val="left"/>
              <w:rPr>
                <w:rFonts w:ascii="宋体"/>
                <w:bCs/>
                <w:color w:val="auto"/>
                <w:kern w:val="0"/>
                <w:sz w:val="24"/>
                <w:highlight w:val="none"/>
              </w:rPr>
            </w:pPr>
            <w:r>
              <w:rPr>
                <w:rFonts w:hint="eastAsia" w:ascii="宋体" w:hAnsi="宋体"/>
                <w:bCs/>
                <w:color w:val="auto"/>
                <w:kern w:val="0"/>
                <w:sz w:val="24"/>
                <w:highlight w:val="none"/>
              </w:rPr>
              <w:t>质量</w:t>
            </w:r>
            <w:r>
              <w:rPr>
                <w:rFonts w:ascii="宋体" w:hAnsi="宋体"/>
                <w:bCs/>
                <w:color w:val="auto"/>
                <w:kern w:val="0"/>
                <w:sz w:val="24"/>
                <w:highlight w:val="none"/>
              </w:rPr>
              <w:t xml:space="preserve"> 2.</w:t>
            </w:r>
            <w:r>
              <w:rPr>
                <w:rFonts w:hint="eastAsia" w:ascii="宋体" w:hAnsi="宋体"/>
                <w:bCs/>
                <w:color w:val="auto"/>
                <w:kern w:val="0"/>
                <w:sz w:val="24"/>
                <w:highlight w:val="none"/>
              </w:rPr>
              <w:t>安装</w:t>
            </w:r>
            <w:r>
              <w:rPr>
                <w:rFonts w:ascii="宋体" w:hAnsi="宋体"/>
                <w:bCs/>
                <w:color w:val="auto"/>
                <w:kern w:val="0"/>
                <w:sz w:val="24"/>
                <w:highlight w:val="none"/>
              </w:rPr>
              <w:t xml:space="preserve"> 3."</w:t>
            </w:r>
            <w:r>
              <w:rPr>
                <w:rFonts w:hint="eastAsia" w:ascii="宋体" w:hAnsi="宋体"/>
                <w:bCs/>
                <w:color w:val="auto"/>
                <w:kern w:val="0"/>
                <w:sz w:val="24"/>
                <w:highlight w:val="none"/>
              </w:rPr>
              <w:t>三包</w:t>
            </w:r>
            <w:r>
              <w:rPr>
                <w:rFonts w:ascii="宋体" w:hAnsi="宋体"/>
                <w:bCs/>
                <w:color w:val="auto"/>
                <w:kern w:val="0"/>
                <w:sz w:val="24"/>
                <w:highlight w:val="none"/>
              </w:rPr>
              <w:t>"(</w:t>
            </w:r>
            <w:r>
              <w:rPr>
                <w:rFonts w:hint="eastAsia" w:ascii="宋体" w:hAnsi="宋体"/>
                <w:bCs/>
                <w:color w:val="auto"/>
                <w:kern w:val="0"/>
                <w:sz w:val="24"/>
                <w:highlight w:val="none"/>
              </w:rPr>
              <w:t>包修、包退、包换</w:t>
            </w:r>
            <w:r>
              <w:rPr>
                <w:rFonts w:ascii="宋体" w:hAnsi="宋体"/>
                <w:bCs/>
                <w:color w:val="auto"/>
                <w:kern w:val="0"/>
                <w:sz w:val="24"/>
                <w:highlight w:val="none"/>
              </w:rPr>
              <w:t>)4</w:t>
            </w:r>
            <w:r>
              <w:rPr>
                <w:rFonts w:ascii="宋体"/>
                <w:bCs/>
                <w:color w:val="auto"/>
                <w:kern w:val="0"/>
                <w:sz w:val="24"/>
                <w:highlight w:val="none"/>
              </w:rPr>
              <w:t>.</w:t>
            </w:r>
            <w:r>
              <w:rPr>
                <w:rFonts w:hint="eastAsia" w:ascii="宋体" w:hAnsi="宋体"/>
                <w:bCs/>
                <w:color w:val="auto"/>
                <w:kern w:val="0"/>
                <w:sz w:val="24"/>
                <w:highlight w:val="none"/>
              </w:rPr>
              <w:t>其他承诺</w:t>
            </w:r>
          </w:p>
          <w:p>
            <w:pPr>
              <w:rPr>
                <w:rFonts w:ascii="宋体"/>
                <w:bCs/>
                <w:color w:val="auto"/>
                <w:kern w:val="0"/>
                <w:sz w:val="24"/>
                <w:highlight w:val="none"/>
              </w:rPr>
            </w:pPr>
            <w:r>
              <w:rPr>
                <w:rFonts w:hint="eastAsia" w:ascii="宋体" w:hAnsi="宋体"/>
                <w:bCs/>
                <w:color w:val="auto"/>
                <w:kern w:val="0"/>
                <w:sz w:val="24"/>
                <w:highlight w:val="none"/>
              </w:rPr>
              <w:t>（以上是主要承诺，供投标供应商参考，投标供应商应在满足招标文件要求的基础上，根据自己单位的情况作出具体承诺）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trPr>
        <w:tc>
          <w:tcPr>
            <w:tcW w:w="630" w:type="dxa"/>
            <w:vMerge w:val="continue"/>
            <w:vAlign w:val="center"/>
          </w:tcPr>
          <w:p>
            <w:pPr>
              <w:adjustRightInd w:val="0"/>
              <w:spacing w:after="20" w:line="400" w:lineRule="exact"/>
              <w:ind w:firstLine="420"/>
              <w:jc w:val="center"/>
              <w:textAlignment w:val="baseline"/>
              <w:rPr>
                <w:rFonts w:ascii="宋体"/>
                <w:bCs/>
                <w:color w:val="auto"/>
                <w:sz w:val="24"/>
                <w:highlight w:val="none"/>
              </w:rPr>
            </w:pPr>
          </w:p>
        </w:tc>
        <w:tc>
          <w:tcPr>
            <w:tcW w:w="9398" w:type="dxa"/>
            <w:gridSpan w:val="6"/>
            <w:vAlign w:val="center"/>
          </w:tcPr>
          <w:p>
            <w:pPr>
              <w:jc w:val="center"/>
              <w:rPr>
                <w:rFonts w:ascii="宋体"/>
                <w:bCs/>
                <w:color w:val="auto"/>
                <w:kern w:val="0"/>
                <w:sz w:val="24"/>
                <w:highlight w:val="none"/>
              </w:rPr>
            </w:pPr>
          </w:p>
        </w:tc>
      </w:tr>
    </w:tbl>
    <w:p>
      <w:pPr>
        <w:spacing w:before="5" w:line="560" w:lineRule="atLeast"/>
        <w:rPr>
          <w:rFonts w:ascii="宋体" w:hAnsi="宋体"/>
          <w:color w:val="auto"/>
          <w:sz w:val="24"/>
          <w:highlight w:val="none"/>
        </w:rPr>
      </w:pPr>
      <w:r>
        <w:rPr>
          <w:rFonts w:hint="eastAsia" w:ascii="宋体" w:hAnsi="宋体"/>
          <w:color w:val="auto"/>
          <w:sz w:val="24"/>
          <w:highlight w:val="none"/>
        </w:rPr>
        <w:t>法定代表人或法定代表人授权代表签字或盖章：</w:t>
      </w:r>
    </w:p>
    <w:p>
      <w:pPr>
        <w:spacing w:line="400" w:lineRule="exact"/>
        <w:outlineLvl w:val="0"/>
        <w:rPr>
          <w:rFonts w:ascii="宋体" w:hAnsi="宋体"/>
          <w:color w:val="auto"/>
          <w:szCs w:val="21"/>
          <w:highlight w:val="none"/>
        </w:rPr>
      </w:pPr>
    </w:p>
    <w:p>
      <w:pPr>
        <w:spacing w:line="400" w:lineRule="exact"/>
        <w:outlineLvl w:val="0"/>
        <w:rPr>
          <w:rFonts w:ascii="宋体" w:hAnsi="宋体"/>
          <w:color w:val="auto"/>
          <w:szCs w:val="21"/>
          <w:highlight w:val="none"/>
        </w:rPr>
      </w:pPr>
    </w:p>
    <w:p>
      <w:pPr>
        <w:spacing w:line="400" w:lineRule="exact"/>
        <w:outlineLvl w:val="0"/>
        <w:rPr>
          <w:rFonts w:ascii="宋体" w:hAnsi="宋体"/>
          <w:color w:val="auto"/>
          <w:szCs w:val="21"/>
          <w:highlight w:val="none"/>
        </w:rPr>
      </w:pPr>
      <w:r>
        <w:rPr>
          <w:rFonts w:hint="eastAsia" w:ascii="宋体" w:hAnsi="宋体"/>
          <w:color w:val="auto"/>
          <w:szCs w:val="21"/>
          <w:highlight w:val="none"/>
        </w:rPr>
        <w:t>提醒：请各投标供应商尽可能携带明细报价表的电子文档。</w:t>
      </w:r>
    </w:p>
    <w:p>
      <w:pPr>
        <w:spacing w:line="400" w:lineRule="exact"/>
        <w:outlineLvl w:val="0"/>
        <w:rPr>
          <w:rFonts w:ascii="宋体" w:hAnsi="宋体"/>
          <w:color w:val="auto"/>
          <w:szCs w:val="21"/>
          <w:highlight w:val="none"/>
        </w:rPr>
      </w:pPr>
      <w:r>
        <w:rPr>
          <w:rFonts w:hint="eastAsia" w:ascii="宋体" w:hAnsi="宋体"/>
          <w:color w:val="auto"/>
          <w:szCs w:val="21"/>
          <w:highlight w:val="none"/>
        </w:rPr>
        <w:t>注：（1）投标供应商应当根据“采购需求”的内容在上表中详细填写，表格不够可自行延长。</w:t>
      </w:r>
    </w:p>
    <w:p>
      <w:pPr>
        <w:spacing w:line="40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（2）上述表格如有不尽之处，投标供应商必须自行添加相应内容并填写完善。</w:t>
      </w:r>
    </w:p>
    <w:p>
      <w:pPr>
        <w:spacing w:line="40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3）投标供应商必须提供《中小企业声明函》、《残疾人福利性单位声明函》或由省级以上监狱管理局、戒毒管理局(含新疆生产建设兵团)出具的属于监狱企业的证明文件复印件，如未按要求提供上述声明函或证明文件，不得享受价格扣除。投标供应商对所报相关数据的真实性负责。</w:t>
      </w:r>
    </w:p>
    <w:p>
      <w:pPr>
        <w:spacing w:line="400" w:lineRule="exact"/>
        <w:ind w:firstLine="420" w:firstLineChars="200"/>
        <w:outlineLvl w:val="0"/>
        <w:rPr>
          <w:rFonts w:ascii="宋体" w:hAnsi="宋体"/>
          <w:color w:val="auto"/>
          <w:szCs w:val="21"/>
          <w:highlight w:val="none"/>
        </w:rPr>
      </w:pPr>
      <w:r>
        <w:rPr>
          <w:rFonts w:hint="eastAsia" w:ascii="宋体" w:hAnsi="宋体"/>
          <w:color w:val="auto"/>
          <w:szCs w:val="21"/>
          <w:highlight w:val="none"/>
        </w:rPr>
        <w:t>（4）投标供应商在明细报价表分标段制作并注明所投标段。</w:t>
      </w:r>
    </w:p>
    <w:p>
      <w:pPr>
        <w:spacing w:line="400" w:lineRule="exact"/>
        <w:ind w:firstLine="420" w:firstLineChars="200"/>
        <w:outlineLvl w:val="0"/>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br w:type="page"/>
      </w:r>
    </w:p>
    <w:p>
      <w:pPr>
        <w:keepNext/>
        <w:keepLines/>
        <w:spacing w:before="260" w:after="260" w:line="413" w:lineRule="auto"/>
        <w:ind w:firstLine="281" w:firstLineChars="100"/>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（六）项目人员配置清单</w:t>
      </w:r>
    </w:p>
    <w:p>
      <w:pPr>
        <w:rPr>
          <w:rFonts w:ascii="宋体" w:hAnsi="宋体" w:cs="宋体"/>
          <w:bCs/>
          <w:color w:val="auto"/>
          <w:sz w:val="24"/>
          <w:highlight w:val="none"/>
        </w:rPr>
      </w:pPr>
    </w:p>
    <w:p>
      <w:pPr>
        <w:widowControl/>
        <w:topLinePunct/>
        <w:spacing w:before="4"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项目人员配置清单（格式）</w:t>
      </w:r>
    </w:p>
    <w:p>
      <w:pPr>
        <w:widowControl/>
        <w:topLinePunct/>
        <w:spacing w:before="4" w:line="360" w:lineRule="auto"/>
        <w:jc w:val="center"/>
        <w:rPr>
          <w:color w:val="auto"/>
          <w:highlight w:val="none"/>
        </w:rPr>
      </w:pPr>
      <w:r>
        <w:rPr>
          <w:rFonts w:hint="eastAsia" w:ascii="宋体" w:hAnsi="宋体" w:cs="宋体"/>
          <w:b/>
          <w:bCs/>
          <w:color w:val="auto"/>
          <w:sz w:val="32"/>
          <w:szCs w:val="32"/>
          <w:highlight w:val="none"/>
        </w:rPr>
        <w:t>标段：</w:t>
      </w:r>
      <w:r>
        <w:rPr>
          <w:rFonts w:hint="eastAsia" w:ascii="宋体" w:hAnsi="宋体" w:cs="宋体"/>
          <w:b/>
          <w:bCs/>
          <w:color w:val="auto"/>
          <w:sz w:val="32"/>
          <w:szCs w:val="32"/>
          <w:highlight w:val="none"/>
          <w:u w:val="single"/>
        </w:rPr>
        <w:t xml:space="preserve">      </w:t>
      </w:r>
    </w:p>
    <w:tbl>
      <w:tblPr>
        <w:tblStyle w:val="67"/>
        <w:tblpPr w:leftFromText="180" w:rightFromText="180" w:vertAnchor="text" w:horzAnchor="page" w:tblpX="1045" w:tblpY="572"/>
        <w:tblOverlap w:val="never"/>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964"/>
        <w:gridCol w:w="965"/>
        <w:gridCol w:w="1700"/>
        <w:gridCol w:w="1137"/>
        <w:gridCol w:w="1038"/>
        <w:gridCol w:w="1087"/>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71" w:type="dxa"/>
            <w:vMerge w:val="restart"/>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职务</w:t>
            </w:r>
          </w:p>
        </w:tc>
        <w:tc>
          <w:tcPr>
            <w:tcW w:w="964" w:type="dxa"/>
            <w:vMerge w:val="restart"/>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965" w:type="dxa"/>
            <w:vMerge w:val="restart"/>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职称</w:t>
            </w:r>
          </w:p>
        </w:tc>
        <w:tc>
          <w:tcPr>
            <w:tcW w:w="7159" w:type="dxa"/>
            <w:gridSpan w:val="5"/>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执业或职业资格证明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971" w:type="dxa"/>
            <w:vMerge w:val="continue"/>
          </w:tcPr>
          <w:p>
            <w:pPr>
              <w:spacing w:line="360" w:lineRule="auto"/>
              <w:rPr>
                <w:rFonts w:ascii="宋体" w:hAnsi="宋体" w:cs="宋体"/>
                <w:color w:val="auto"/>
                <w:kern w:val="0"/>
                <w:szCs w:val="21"/>
                <w:highlight w:val="none"/>
              </w:rPr>
            </w:pPr>
          </w:p>
        </w:tc>
        <w:tc>
          <w:tcPr>
            <w:tcW w:w="964" w:type="dxa"/>
            <w:vMerge w:val="continue"/>
          </w:tcPr>
          <w:p>
            <w:pPr>
              <w:spacing w:line="360" w:lineRule="auto"/>
              <w:rPr>
                <w:rFonts w:ascii="宋体" w:hAnsi="宋体" w:cs="宋体"/>
                <w:color w:val="auto"/>
                <w:kern w:val="0"/>
                <w:szCs w:val="21"/>
                <w:highlight w:val="none"/>
              </w:rPr>
            </w:pPr>
          </w:p>
        </w:tc>
        <w:tc>
          <w:tcPr>
            <w:tcW w:w="965" w:type="dxa"/>
            <w:vMerge w:val="continue"/>
          </w:tcPr>
          <w:p>
            <w:pPr>
              <w:spacing w:line="360" w:lineRule="auto"/>
              <w:rPr>
                <w:rFonts w:ascii="宋体" w:hAnsi="宋体" w:cs="宋体"/>
                <w:color w:val="auto"/>
                <w:kern w:val="0"/>
                <w:szCs w:val="21"/>
                <w:highlight w:val="none"/>
              </w:rPr>
            </w:pPr>
          </w:p>
        </w:tc>
        <w:tc>
          <w:tcPr>
            <w:tcW w:w="1700"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证书名称</w:t>
            </w:r>
          </w:p>
        </w:tc>
        <w:tc>
          <w:tcPr>
            <w:tcW w:w="1137"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级别</w:t>
            </w:r>
          </w:p>
        </w:tc>
        <w:tc>
          <w:tcPr>
            <w:tcW w:w="1038"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证号</w:t>
            </w:r>
          </w:p>
        </w:tc>
        <w:tc>
          <w:tcPr>
            <w:tcW w:w="1087"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专业</w:t>
            </w:r>
          </w:p>
        </w:tc>
        <w:tc>
          <w:tcPr>
            <w:tcW w:w="2197" w:type="dxa"/>
            <w:vAlign w:val="center"/>
          </w:tcPr>
          <w:p>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71" w:type="dxa"/>
          </w:tcPr>
          <w:p>
            <w:pPr>
              <w:spacing w:line="360" w:lineRule="auto"/>
              <w:rPr>
                <w:rFonts w:ascii="宋体" w:hAnsi="宋体" w:cs="宋体"/>
                <w:color w:val="auto"/>
                <w:kern w:val="0"/>
                <w:szCs w:val="21"/>
                <w:highlight w:val="none"/>
              </w:rPr>
            </w:pPr>
          </w:p>
        </w:tc>
        <w:tc>
          <w:tcPr>
            <w:tcW w:w="964" w:type="dxa"/>
          </w:tcPr>
          <w:p>
            <w:pPr>
              <w:spacing w:line="360" w:lineRule="auto"/>
              <w:rPr>
                <w:rFonts w:ascii="宋体" w:hAnsi="宋体" w:cs="宋体"/>
                <w:color w:val="auto"/>
                <w:kern w:val="0"/>
                <w:szCs w:val="21"/>
                <w:highlight w:val="none"/>
              </w:rPr>
            </w:pPr>
          </w:p>
        </w:tc>
        <w:tc>
          <w:tcPr>
            <w:tcW w:w="965" w:type="dxa"/>
          </w:tcPr>
          <w:p>
            <w:pPr>
              <w:spacing w:line="360" w:lineRule="auto"/>
              <w:rPr>
                <w:rFonts w:ascii="宋体" w:hAnsi="宋体" w:cs="宋体"/>
                <w:color w:val="auto"/>
                <w:kern w:val="0"/>
                <w:szCs w:val="21"/>
                <w:highlight w:val="none"/>
              </w:rPr>
            </w:pPr>
          </w:p>
        </w:tc>
        <w:tc>
          <w:tcPr>
            <w:tcW w:w="1700" w:type="dxa"/>
          </w:tcPr>
          <w:p>
            <w:pPr>
              <w:spacing w:line="360" w:lineRule="auto"/>
              <w:rPr>
                <w:rFonts w:ascii="宋体" w:hAnsi="宋体" w:cs="宋体"/>
                <w:color w:val="auto"/>
                <w:kern w:val="0"/>
                <w:szCs w:val="21"/>
                <w:highlight w:val="none"/>
              </w:rPr>
            </w:pPr>
          </w:p>
        </w:tc>
        <w:tc>
          <w:tcPr>
            <w:tcW w:w="1137" w:type="dxa"/>
          </w:tcPr>
          <w:p>
            <w:pPr>
              <w:spacing w:line="360" w:lineRule="auto"/>
              <w:rPr>
                <w:rFonts w:ascii="宋体" w:hAnsi="宋体" w:cs="宋体"/>
                <w:color w:val="auto"/>
                <w:kern w:val="0"/>
                <w:szCs w:val="21"/>
                <w:highlight w:val="none"/>
              </w:rPr>
            </w:pPr>
          </w:p>
        </w:tc>
        <w:tc>
          <w:tcPr>
            <w:tcW w:w="1038" w:type="dxa"/>
          </w:tcPr>
          <w:p>
            <w:pPr>
              <w:spacing w:line="360" w:lineRule="auto"/>
              <w:rPr>
                <w:rFonts w:ascii="宋体" w:hAnsi="宋体" w:cs="宋体"/>
                <w:color w:val="auto"/>
                <w:kern w:val="0"/>
                <w:szCs w:val="21"/>
                <w:highlight w:val="none"/>
              </w:rPr>
            </w:pPr>
          </w:p>
        </w:tc>
        <w:tc>
          <w:tcPr>
            <w:tcW w:w="1087" w:type="dxa"/>
          </w:tcPr>
          <w:p>
            <w:pPr>
              <w:spacing w:line="360" w:lineRule="auto"/>
              <w:rPr>
                <w:rFonts w:ascii="宋体" w:hAnsi="宋体" w:cs="宋体"/>
                <w:color w:val="auto"/>
                <w:kern w:val="0"/>
                <w:szCs w:val="21"/>
                <w:highlight w:val="none"/>
              </w:rPr>
            </w:pPr>
          </w:p>
        </w:tc>
        <w:tc>
          <w:tcPr>
            <w:tcW w:w="2197"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971" w:type="dxa"/>
          </w:tcPr>
          <w:p>
            <w:pPr>
              <w:spacing w:line="360" w:lineRule="auto"/>
              <w:rPr>
                <w:rFonts w:ascii="宋体" w:hAnsi="宋体" w:cs="宋体"/>
                <w:color w:val="auto"/>
                <w:kern w:val="0"/>
                <w:szCs w:val="21"/>
                <w:highlight w:val="none"/>
              </w:rPr>
            </w:pPr>
          </w:p>
        </w:tc>
        <w:tc>
          <w:tcPr>
            <w:tcW w:w="964" w:type="dxa"/>
          </w:tcPr>
          <w:p>
            <w:pPr>
              <w:spacing w:line="360" w:lineRule="auto"/>
              <w:rPr>
                <w:rFonts w:ascii="宋体" w:hAnsi="宋体" w:cs="宋体"/>
                <w:color w:val="auto"/>
                <w:kern w:val="0"/>
                <w:szCs w:val="21"/>
                <w:highlight w:val="none"/>
              </w:rPr>
            </w:pPr>
          </w:p>
        </w:tc>
        <w:tc>
          <w:tcPr>
            <w:tcW w:w="965" w:type="dxa"/>
          </w:tcPr>
          <w:p>
            <w:pPr>
              <w:spacing w:line="360" w:lineRule="auto"/>
              <w:rPr>
                <w:rFonts w:ascii="宋体" w:hAnsi="宋体" w:cs="宋体"/>
                <w:color w:val="auto"/>
                <w:kern w:val="0"/>
                <w:szCs w:val="21"/>
                <w:highlight w:val="none"/>
              </w:rPr>
            </w:pPr>
          </w:p>
        </w:tc>
        <w:tc>
          <w:tcPr>
            <w:tcW w:w="1700" w:type="dxa"/>
          </w:tcPr>
          <w:p>
            <w:pPr>
              <w:spacing w:line="360" w:lineRule="auto"/>
              <w:rPr>
                <w:rFonts w:ascii="宋体" w:hAnsi="宋体" w:cs="宋体"/>
                <w:color w:val="auto"/>
                <w:kern w:val="0"/>
                <w:szCs w:val="21"/>
                <w:highlight w:val="none"/>
              </w:rPr>
            </w:pPr>
          </w:p>
        </w:tc>
        <w:tc>
          <w:tcPr>
            <w:tcW w:w="1137" w:type="dxa"/>
          </w:tcPr>
          <w:p>
            <w:pPr>
              <w:spacing w:line="360" w:lineRule="auto"/>
              <w:rPr>
                <w:rFonts w:ascii="宋体" w:hAnsi="宋体" w:cs="宋体"/>
                <w:color w:val="auto"/>
                <w:kern w:val="0"/>
                <w:szCs w:val="21"/>
                <w:highlight w:val="none"/>
              </w:rPr>
            </w:pPr>
          </w:p>
        </w:tc>
        <w:tc>
          <w:tcPr>
            <w:tcW w:w="1038" w:type="dxa"/>
          </w:tcPr>
          <w:p>
            <w:pPr>
              <w:spacing w:line="360" w:lineRule="auto"/>
              <w:rPr>
                <w:rFonts w:ascii="宋体" w:hAnsi="宋体" w:cs="宋体"/>
                <w:color w:val="auto"/>
                <w:kern w:val="0"/>
                <w:szCs w:val="21"/>
                <w:highlight w:val="none"/>
              </w:rPr>
            </w:pPr>
          </w:p>
        </w:tc>
        <w:tc>
          <w:tcPr>
            <w:tcW w:w="1087" w:type="dxa"/>
          </w:tcPr>
          <w:p>
            <w:pPr>
              <w:spacing w:line="360" w:lineRule="auto"/>
              <w:rPr>
                <w:rFonts w:ascii="宋体" w:hAnsi="宋体" w:cs="宋体"/>
                <w:color w:val="auto"/>
                <w:kern w:val="0"/>
                <w:szCs w:val="21"/>
                <w:highlight w:val="none"/>
              </w:rPr>
            </w:pPr>
          </w:p>
        </w:tc>
        <w:tc>
          <w:tcPr>
            <w:tcW w:w="2197"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71" w:type="dxa"/>
          </w:tcPr>
          <w:p>
            <w:pPr>
              <w:spacing w:line="360" w:lineRule="auto"/>
              <w:rPr>
                <w:rFonts w:ascii="宋体" w:hAnsi="宋体" w:cs="宋体"/>
                <w:color w:val="auto"/>
                <w:kern w:val="0"/>
                <w:szCs w:val="21"/>
                <w:highlight w:val="none"/>
              </w:rPr>
            </w:pPr>
          </w:p>
        </w:tc>
        <w:tc>
          <w:tcPr>
            <w:tcW w:w="964" w:type="dxa"/>
          </w:tcPr>
          <w:p>
            <w:pPr>
              <w:spacing w:line="360" w:lineRule="auto"/>
              <w:rPr>
                <w:rFonts w:ascii="宋体" w:hAnsi="宋体" w:cs="宋体"/>
                <w:color w:val="auto"/>
                <w:kern w:val="0"/>
                <w:szCs w:val="21"/>
                <w:highlight w:val="none"/>
              </w:rPr>
            </w:pPr>
          </w:p>
        </w:tc>
        <w:tc>
          <w:tcPr>
            <w:tcW w:w="965" w:type="dxa"/>
          </w:tcPr>
          <w:p>
            <w:pPr>
              <w:spacing w:line="360" w:lineRule="auto"/>
              <w:rPr>
                <w:rFonts w:ascii="宋体" w:hAnsi="宋体" w:cs="宋体"/>
                <w:color w:val="auto"/>
                <w:kern w:val="0"/>
                <w:szCs w:val="21"/>
                <w:highlight w:val="none"/>
              </w:rPr>
            </w:pPr>
          </w:p>
        </w:tc>
        <w:tc>
          <w:tcPr>
            <w:tcW w:w="1700" w:type="dxa"/>
          </w:tcPr>
          <w:p>
            <w:pPr>
              <w:spacing w:line="360" w:lineRule="auto"/>
              <w:rPr>
                <w:rFonts w:ascii="宋体" w:hAnsi="宋体" w:cs="宋体"/>
                <w:color w:val="auto"/>
                <w:kern w:val="0"/>
                <w:szCs w:val="21"/>
                <w:highlight w:val="none"/>
              </w:rPr>
            </w:pPr>
          </w:p>
        </w:tc>
        <w:tc>
          <w:tcPr>
            <w:tcW w:w="1137" w:type="dxa"/>
          </w:tcPr>
          <w:p>
            <w:pPr>
              <w:spacing w:line="360" w:lineRule="auto"/>
              <w:rPr>
                <w:rFonts w:ascii="宋体" w:hAnsi="宋体" w:cs="宋体"/>
                <w:color w:val="auto"/>
                <w:kern w:val="0"/>
                <w:szCs w:val="21"/>
                <w:highlight w:val="none"/>
              </w:rPr>
            </w:pPr>
          </w:p>
        </w:tc>
        <w:tc>
          <w:tcPr>
            <w:tcW w:w="1038" w:type="dxa"/>
          </w:tcPr>
          <w:p>
            <w:pPr>
              <w:spacing w:line="360" w:lineRule="auto"/>
              <w:rPr>
                <w:rFonts w:ascii="宋体" w:hAnsi="宋体" w:cs="宋体"/>
                <w:color w:val="auto"/>
                <w:kern w:val="0"/>
                <w:szCs w:val="21"/>
                <w:highlight w:val="none"/>
              </w:rPr>
            </w:pPr>
          </w:p>
        </w:tc>
        <w:tc>
          <w:tcPr>
            <w:tcW w:w="1087" w:type="dxa"/>
          </w:tcPr>
          <w:p>
            <w:pPr>
              <w:spacing w:line="360" w:lineRule="auto"/>
              <w:rPr>
                <w:rFonts w:ascii="宋体" w:hAnsi="宋体" w:cs="宋体"/>
                <w:color w:val="auto"/>
                <w:kern w:val="0"/>
                <w:szCs w:val="21"/>
                <w:highlight w:val="none"/>
              </w:rPr>
            </w:pPr>
          </w:p>
        </w:tc>
        <w:tc>
          <w:tcPr>
            <w:tcW w:w="2197"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71" w:type="dxa"/>
          </w:tcPr>
          <w:p>
            <w:pPr>
              <w:spacing w:line="360" w:lineRule="auto"/>
              <w:rPr>
                <w:rFonts w:ascii="宋体" w:hAnsi="宋体" w:cs="宋体"/>
                <w:color w:val="auto"/>
                <w:kern w:val="0"/>
                <w:szCs w:val="21"/>
                <w:highlight w:val="none"/>
              </w:rPr>
            </w:pPr>
          </w:p>
        </w:tc>
        <w:tc>
          <w:tcPr>
            <w:tcW w:w="964" w:type="dxa"/>
          </w:tcPr>
          <w:p>
            <w:pPr>
              <w:spacing w:line="360" w:lineRule="auto"/>
              <w:rPr>
                <w:rFonts w:ascii="宋体" w:hAnsi="宋体" w:cs="宋体"/>
                <w:color w:val="auto"/>
                <w:kern w:val="0"/>
                <w:szCs w:val="21"/>
                <w:highlight w:val="none"/>
              </w:rPr>
            </w:pPr>
          </w:p>
        </w:tc>
        <w:tc>
          <w:tcPr>
            <w:tcW w:w="965" w:type="dxa"/>
          </w:tcPr>
          <w:p>
            <w:pPr>
              <w:spacing w:line="360" w:lineRule="auto"/>
              <w:rPr>
                <w:rFonts w:ascii="宋体" w:hAnsi="宋体" w:cs="宋体"/>
                <w:color w:val="auto"/>
                <w:kern w:val="0"/>
                <w:szCs w:val="21"/>
                <w:highlight w:val="none"/>
              </w:rPr>
            </w:pPr>
          </w:p>
        </w:tc>
        <w:tc>
          <w:tcPr>
            <w:tcW w:w="1700" w:type="dxa"/>
          </w:tcPr>
          <w:p>
            <w:pPr>
              <w:spacing w:line="360" w:lineRule="auto"/>
              <w:rPr>
                <w:rFonts w:ascii="宋体" w:hAnsi="宋体" w:cs="宋体"/>
                <w:color w:val="auto"/>
                <w:kern w:val="0"/>
                <w:szCs w:val="21"/>
                <w:highlight w:val="none"/>
              </w:rPr>
            </w:pPr>
          </w:p>
        </w:tc>
        <w:tc>
          <w:tcPr>
            <w:tcW w:w="1137" w:type="dxa"/>
          </w:tcPr>
          <w:p>
            <w:pPr>
              <w:spacing w:line="360" w:lineRule="auto"/>
              <w:rPr>
                <w:rFonts w:ascii="宋体" w:hAnsi="宋体" w:cs="宋体"/>
                <w:color w:val="auto"/>
                <w:kern w:val="0"/>
                <w:szCs w:val="21"/>
                <w:highlight w:val="none"/>
              </w:rPr>
            </w:pPr>
          </w:p>
        </w:tc>
        <w:tc>
          <w:tcPr>
            <w:tcW w:w="1038" w:type="dxa"/>
          </w:tcPr>
          <w:p>
            <w:pPr>
              <w:spacing w:line="360" w:lineRule="auto"/>
              <w:rPr>
                <w:rFonts w:ascii="宋体" w:hAnsi="宋体" w:cs="宋体"/>
                <w:color w:val="auto"/>
                <w:kern w:val="0"/>
                <w:szCs w:val="21"/>
                <w:highlight w:val="none"/>
              </w:rPr>
            </w:pPr>
          </w:p>
        </w:tc>
        <w:tc>
          <w:tcPr>
            <w:tcW w:w="1087" w:type="dxa"/>
          </w:tcPr>
          <w:p>
            <w:pPr>
              <w:spacing w:line="360" w:lineRule="auto"/>
              <w:rPr>
                <w:rFonts w:ascii="宋体" w:hAnsi="宋体" w:cs="宋体"/>
                <w:color w:val="auto"/>
                <w:kern w:val="0"/>
                <w:szCs w:val="21"/>
                <w:highlight w:val="none"/>
              </w:rPr>
            </w:pPr>
          </w:p>
        </w:tc>
        <w:tc>
          <w:tcPr>
            <w:tcW w:w="2197" w:type="dxa"/>
          </w:tcPr>
          <w:p>
            <w:pPr>
              <w:spacing w:line="360" w:lineRule="auto"/>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71" w:type="dxa"/>
          </w:tcPr>
          <w:p>
            <w:pPr>
              <w:spacing w:line="360" w:lineRule="auto"/>
              <w:rPr>
                <w:rFonts w:ascii="宋体" w:hAnsi="宋体" w:cs="宋体"/>
                <w:color w:val="auto"/>
                <w:kern w:val="0"/>
                <w:szCs w:val="21"/>
                <w:highlight w:val="none"/>
              </w:rPr>
            </w:pPr>
          </w:p>
        </w:tc>
        <w:tc>
          <w:tcPr>
            <w:tcW w:w="964" w:type="dxa"/>
          </w:tcPr>
          <w:p>
            <w:pPr>
              <w:spacing w:line="360" w:lineRule="auto"/>
              <w:rPr>
                <w:rFonts w:ascii="宋体" w:hAnsi="宋体" w:cs="宋体"/>
                <w:color w:val="auto"/>
                <w:kern w:val="0"/>
                <w:szCs w:val="21"/>
                <w:highlight w:val="none"/>
              </w:rPr>
            </w:pPr>
          </w:p>
        </w:tc>
        <w:tc>
          <w:tcPr>
            <w:tcW w:w="965" w:type="dxa"/>
          </w:tcPr>
          <w:p>
            <w:pPr>
              <w:spacing w:line="360" w:lineRule="auto"/>
              <w:rPr>
                <w:rFonts w:ascii="宋体" w:hAnsi="宋体" w:cs="宋体"/>
                <w:color w:val="auto"/>
                <w:kern w:val="0"/>
                <w:szCs w:val="21"/>
                <w:highlight w:val="none"/>
              </w:rPr>
            </w:pPr>
          </w:p>
        </w:tc>
        <w:tc>
          <w:tcPr>
            <w:tcW w:w="1700" w:type="dxa"/>
          </w:tcPr>
          <w:p>
            <w:pPr>
              <w:spacing w:line="360" w:lineRule="auto"/>
              <w:rPr>
                <w:rFonts w:ascii="宋体" w:hAnsi="宋体" w:cs="宋体"/>
                <w:color w:val="auto"/>
                <w:kern w:val="0"/>
                <w:szCs w:val="21"/>
                <w:highlight w:val="none"/>
              </w:rPr>
            </w:pPr>
          </w:p>
        </w:tc>
        <w:tc>
          <w:tcPr>
            <w:tcW w:w="1137" w:type="dxa"/>
          </w:tcPr>
          <w:p>
            <w:pPr>
              <w:spacing w:line="360" w:lineRule="auto"/>
              <w:rPr>
                <w:rFonts w:ascii="宋体" w:hAnsi="宋体" w:cs="宋体"/>
                <w:color w:val="auto"/>
                <w:kern w:val="0"/>
                <w:szCs w:val="21"/>
                <w:highlight w:val="none"/>
              </w:rPr>
            </w:pPr>
          </w:p>
        </w:tc>
        <w:tc>
          <w:tcPr>
            <w:tcW w:w="1038" w:type="dxa"/>
          </w:tcPr>
          <w:p>
            <w:pPr>
              <w:spacing w:line="360" w:lineRule="auto"/>
              <w:rPr>
                <w:rFonts w:ascii="宋体" w:hAnsi="宋体" w:cs="宋体"/>
                <w:color w:val="auto"/>
                <w:kern w:val="0"/>
                <w:szCs w:val="21"/>
                <w:highlight w:val="none"/>
              </w:rPr>
            </w:pPr>
          </w:p>
        </w:tc>
        <w:tc>
          <w:tcPr>
            <w:tcW w:w="1087" w:type="dxa"/>
          </w:tcPr>
          <w:p>
            <w:pPr>
              <w:spacing w:line="360" w:lineRule="auto"/>
              <w:rPr>
                <w:rFonts w:ascii="宋体" w:hAnsi="宋体" w:cs="宋体"/>
                <w:color w:val="auto"/>
                <w:kern w:val="0"/>
                <w:szCs w:val="21"/>
                <w:highlight w:val="none"/>
              </w:rPr>
            </w:pPr>
          </w:p>
        </w:tc>
        <w:tc>
          <w:tcPr>
            <w:tcW w:w="2197" w:type="dxa"/>
          </w:tcPr>
          <w:p>
            <w:pPr>
              <w:spacing w:line="360" w:lineRule="auto"/>
              <w:rPr>
                <w:rFonts w:ascii="宋体" w:hAnsi="宋体" w:cs="宋体"/>
                <w:color w:val="auto"/>
                <w:kern w:val="0"/>
                <w:szCs w:val="21"/>
                <w:highlight w:val="none"/>
              </w:rPr>
            </w:pPr>
          </w:p>
        </w:tc>
      </w:tr>
    </w:tbl>
    <w:p>
      <w:pPr>
        <w:spacing w:line="360" w:lineRule="auto"/>
        <w:rPr>
          <w:rFonts w:ascii="宋体" w:hAnsi="宋体" w:cs="宋体"/>
          <w:color w:val="auto"/>
          <w:sz w:val="24"/>
          <w:highlight w:val="none"/>
        </w:rPr>
      </w:pPr>
      <w:r>
        <w:rPr>
          <w:rFonts w:hint="eastAsia" w:ascii="宋体" w:hAnsi="宋体" w:cs="宋体"/>
          <w:bCs/>
          <w:color w:val="auto"/>
          <w:sz w:val="24"/>
          <w:highlight w:val="none"/>
        </w:rPr>
        <w:t>投标供应商名称</w:t>
      </w:r>
      <w:r>
        <w:rPr>
          <w:rFonts w:hint="eastAsia" w:ascii="宋体" w:hAnsi="宋体" w:cs="宋体"/>
          <w:color w:val="auto"/>
          <w:sz w:val="24"/>
          <w:highlight w:val="none"/>
        </w:rPr>
        <w:t>（盖章）                             　      采购项目编号：</w:t>
      </w:r>
    </w:p>
    <w:p>
      <w:pPr>
        <w:autoSpaceDE w:val="0"/>
        <w:autoSpaceDN w:val="0"/>
        <w:adjustRightInd w:val="0"/>
        <w:rPr>
          <w:rFonts w:ascii="宋体" w:hAnsi="宋体" w:cs="宋体"/>
          <w:b/>
          <w:color w:val="auto"/>
          <w:kern w:val="0"/>
          <w:sz w:val="28"/>
          <w:szCs w:val="32"/>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24"/>
          <w:highlight w:val="none"/>
        </w:rPr>
      </w:pPr>
      <w:r>
        <w:rPr>
          <w:rFonts w:ascii="宋体" w:hAnsi="宋体" w:cs="宋体"/>
          <w:color w:val="auto"/>
          <w:sz w:val="24"/>
          <w:highlight w:val="none"/>
        </w:rPr>
        <w:t>注：1.上表不够可自行延长。</w:t>
      </w:r>
    </w:p>
    <w:p>
      <w:pPr>
        <w:spacing w:line="360" w:lineRule="auto"/>
        <w:rPr>
          <w:rFonts w:ascii="宋体" w:hAnsi="宋体" w:cs="宋体"/>
          <w:color w:val="auto"/>
          <w:sz w:val="24"/>
          <w:highlight w:val="none"/>
        </w:rPr>
      </w:pPr>
      <w:r>
        <w:rPr>
          <w:rFonts w:hint="eastAsia" w:ascii="宋体" w:hAnsi="宋体" w:cs="宋体"/>
          <w:b/>
          <w:color w:val="auto"/>
          <w:sz w:val="24"/>
          <w:highlight w:val="none"/>
        </w:rPr>
        <w:t>2.本表须分标段制作。</w:t>
      </w:r>
    </w:p>
    <w:p>
      <w:pPr>
        <w:spacing w:line="400" w:lineRule="exact"/>
        <w:ind w:firstLine="420" w:firstLineChars="200"/>
        <w:outlineLvl w:val="0"/>
        <w:rPr>
          <w:rFonts w:ascii="宋体" w:hAnsi="宋体"/>
          <w:color w:val="auto"/>
          <w:szCs w:val="21"/>
          <w:highlight w:val="none"/>
        </w:rPr>
      </w:pPr>
    </w:p>
    <w:bookmarkEnd w:id="14"/>
    <w:p>
      <w:pPr>
        <w:widowControl/>
        <w:jc w:val="left"/>
        <w:rPr>
          <w:rFonts w:ascii="宋体" w:hAnsi="宋体"/>
          <w:color w:val="auto"/>
          <w:kern w:val="0"/>
          <w:szCs w:val="21"/>
          <w:highlight w:val="none"/>
          <w:lang w:val="zh-CN"/>
        </w:rPr>
      </w:pPr>
      <w:r>
        <w:rPr>
          <w:rFonts w:ascii="宋体" w:hAnsi="宋体"/>
          <w:color w:val="auto"/>
          <w:kern w:val="0"/>
          <w:szCs w:val="21"/>
          <w:highlight w:val="none"/>
          <w:lang w:val="zh-CN"/>
        </w:rPr>
        <w:br w:type="page"/>
      </w:r>
    </w:p>
    <w:p>
      <w:pPr>
        <w:pStyle w:val="7"/>
        <w:rPr>
          <w:rFonts w:ascii="宋体" w:hAnsi="宋体" w:eastAsia="宋体"/>
          <w:bCs w:val="0"/>
          <w:color w:val="auto"/>
          <w:sz w:val="28"/>
          <w:szCs w:val="28"/>
          <w:highlight w:val="none"/>
        </w:rPr>
      </w:pPr>
      <w:r>
        <w:rPr>
          <w:rFonts w:hint="eastAsia" w:ascii="宋体" w:hAnsi="宋体" w:eastAsia="宋体"/>
          <w:bCs w:val="0"/>
          <w:color w:val="auto"/>
          <w:highlight w:val="none"/>
        </w:rPr>
        <w:t xml:space="preserve">                     </w:t>
      </w:r>
      <w:r>
        <w:rPr>
          <w:rFonts w:hint="eastAsia" w:ascii="宋体" w:hAnsi="宋体" w:eastAsia="宋体"/>
          <w:bCs w:val="0"/>
          <w:color w:val="auto"/>
          <w:sz w:val="28"/>
          <w:szCs w:val="28"/>
          <w:highlight w:val="none"/>
        </w:rPr>
        <w:t>（七）承诺书（格式）：</w:t>
      </w:r>
    </w:p>
    <w:p>
      <w:pPr>
        <w:outlineLvl w:val="0"/>
        <w:rPr>
          <w:rFonts w:ascii="宋体" w:hAnsi="宋体"/>
          <w:bCs/>
          <w:color w:val="auto"/>
          <w:sz w:val="28"/>
          <w:szCs w:val="28"/>
          <w:highlight w:val="none"/>
        </w:rPr>
      </w:pPr>
    </w:p>
    <w:p>
      <w:pPr>
        <w:jc w:val="center"/>
        <w:rPr>
          <w:rFonts w:ascii="宋体" w:hAnsi="宋体"/>
          <w:b/>
          <w:bCs/>
          <w:color w:val="auto"/>
          <w:sz w:val="28"/>
          <w:szCs w:val="28"/>
          <w:highlight w:val="none"/>
        </w:rPr>
      </w:pPr>
      <w:r>
        <w:rPr>
          <w:rFonts w:hint="eastAsia" w:ascii="宋体" w:hAnsi="宋体"/>
          <w:b/>
          <w:bCs/>
          <w:color w:val="auto"/>
          <w:sz w:val="28"/>
          <w:szCs w:val="28"/>
          <w:highlight w:val="none"/>
        </w:rPr>
        <w:t>承诺书一</w:t>
      </w:r>
    </w:p>
    <w:p>
      <w:pPr>
        <w:spacing w:line="480" w:lineRule="auto"/>
        <w:rPr>
          <w:rFonts w:ascii="宋体" w:hAnsi="宋体"/>
          <w:color w:val="auto"/>
          <w:sz w:val="24"/>
          <w:highlight w:val="none"/>
        </w:rPr>
      </w:pPr>
      <w:r>
        <w:rPr>
          <w:rFonts w:hint="eastAsia" w:ascii="宋体" w:hAnsi="宋体"/>
          <w:color w:val="auto"/>
          <w:sz w:val="24"/>
          <w:highlight w:val="none"/>
          <w:u w:val="single"/>
        </w:rPr>
        <w:t xml:space="preserve">      （投标供应商名称）           </w:t>
      </w:r>
      <w:r>
        <w:rPr>
          <w:rFonts w:hint="eastAsia" w:ascii="宋体" w:hAnsi="宋体"/>
          <w:color w:val="auto"/>
          <w:sz w:val="24"/>
          <w:highlight w:val="none"/>
        </w:rPr>
        <w:t>在此承诺：</w:t>
      </w:r>
    </w:p>
    <w:p>
      <w:pPr>
        <w:spacing w:line="480" w:lineRule="auto"/>
        <w:ind w:firstLine="480" w:firstLineChars="200"/>
        <w:rPr>
          <w:rFonts w:ascii="宋体" w:hAnsi="宋体"/>
          <w:color w:val="auto"/>
          <w:sz w:val="24"/>
          <w:highlight w:val="none"/>
        </w:rPr>
      </w:pPr>
    </w:p>
    <w:p>
      <w:pPr>
        <w:spacing w:before="240" w:line="360" w:lineRule="auto"/>
        <w:ind w:firstLine="480"/>
        <w:rPr>
          <w:rFonts w:ascii="宋体" w:hAnsi="宋体"/>
          <w:color w:val="auto"/>
          <w:sz w:val="24"/>
          <w:highlight w:val="none"/>
        </w:rPr>
      </w:pPr>
      <w:r>
        <w:rPr>
          <w:rFonts w:hint="eastAsia" w:ascii="宋体" w:hAnsi="宋体"/>
          <w:color w:val="auto"/>
          <w:sz w:val="24"/>
          <w:highlight w:val="none"/>
        </w:rPr>
        <w:t>我公司自愿参加贵单位（公司）</w:t>
      </w:r>
      <w:r>
        <w:rPr>
          <w:rFonts w:hint="eastAsia" w:ascii="宋体" w:hAnsi="宋体"/>
          <w:color w:val="auto"/>
          <w:sz w:val="24"/>
          <w:highlight w:val="none"/>
          <w:u w:val="single"/>
        </w:rPr>
        <w:t xml:space="preserve">                    </w:t>
      </w:r>
      <w:r>
        <w:rPr>
          <w:rFonts w:hint="eastAsia" w:ascii="宋体" w:hAnsi="宋体"/>
          <w:color w:val="auto"/>
          <w:sz w:val="24"/>
          <w:highlight w:val="none"/>
        </w:rPr>
        <w:t>项目的投标，并接受对我公司的资格审查，我公司承诺：我公司未处于被责令停业、投标资格被取消或者财产被接管、冻结和破产状态，企业没有因骗取中标或者严重违约以及发生重大工程质量事故等问题，被有关部门暂停投标资格并在暂停期内的。未被“信用中国”网站（www.creditchina.gov.cn）列入失信被执行人、重大税收违法案件当事人名单、政府采购严重失信行为记录名单</w:t>
      </w:r>
      <w:r>
        <w:rPr>
          <w:rFonts w:hint="eastAsia" w:ascii="宋体" w:hAnsi="宋体"/>
          <w:color w:val="auto"/>
          <w:sz w:val="24"/>
          <w:highlight w:val="none"/>
          <w:lang w:eastAsia="zh-CN"/>
        </w:rPr>
        <w:t>。</w:t>
      </w:r>
      <w:r>
        <w:rPr>
          <w:rFonts w:hint="eastAsia" w:ascii="宋体" w:hAnsi="宋体"/>
          <w:color w:val="auto"/>
          <w:sz w:val="24"/>
          <w:highlight w:val="none"/>
        </w:rPr>
        <w:t>根据贵单位（公司）提出的采购文件要求，本公司递交的投标文件中的内容没有隐瞒、虚假、伪造等弄虚作假行为。若发现该行为，我公司自愿放弃本项目投标资格，如中标，我方自愿放弃本项目中标资格。</w:t>
      </w:r>
    </w:p>
    <w:p>
      <w:pPr>
        <w:spacing w:before="240" w:line="360" w:lineRule="auto"/>
        <w:ind w:firstLine="480"/>
        <w:rPr>
          <w:rFonts w:ascii="宋体" w:hAnsi="宋体"/>
          <w:color w:val="auto"/>
          <w:sz w:val="24"/>
          <w:highlight w:val="none"/>
        </w:rPr>
      </w:pPr>
    </w:p>
    <w:p>
      <w:pPr>
        <w:spacing w:before="240" w:line="360" w:lineRule="auto"/>
        <w:ind w:firstLine="480"/>
        <w:rPr>
          <w:rFonts w:ascii="宋体" w:hAnsi="宋体"/>
          <w:color w:val="auto"/>
          <w:sz w:val="24"/>
          <w:highlight w:val="none"/>
        </w:rPr>
      </w:pPr>
    </w:p>
    <w:p>
      <w:pPr>
        <w:spacing w:before="240" w:line="360" w:lineRule="auto"/>
        <w:ind w:firstLine="480"/>
        <w:rPr>
          <w:rFonts w:ascii="宋体" w:hAnsi="宋体"/>
          <w:color w:val="auto"/>
          <w:sz w:val="24"/>
          <w:highlight w:val="none"/>
        </w:rPr>
      </w:pPr>
    </w:p>
    <w:p>
      <w:pPr>
        <w:spacing w:line="480" w:lineRule="auto"/>
        <w:ind w:firstLine="480" w:firstLineChars="200"/>
        <w:rPr>
          <w:rFonts w:ascii="宋体" w:hAnsi="宋体"/>
          <w:bCs/>
          <w:color w:val="auto"/>
          <w:sz w:val="24"/>
          <w:highlight w:val="none"/>
        </w:rPr>
      </w:pPr>
    </w:p>
    <w:p>
      <w:pPr>
        <w:spacing w:line="480" w:lineRule="auto"/>
        <w:rPr>
          <w:rFonts w:ascii="宋体" w:hAnsi="宋体"/>
          <w:color w:val="auto"/>
          <w:sz w:val="24"/>
          <w:highlight w:val="none"/>
        </w:rPr>
      </w:pPr>
    </w:p>
    <w:p>
      <w:pPr>
        <w:spacing w:line="480" w:lineRule="auto"/>
        <w:ind w:firstLine="5400" w:firstLineChars="2250"/>
        <w:rPr>
          <w:rFonts w:ascii="宋体" w:hAnsi="宋体"/>
          <w:bCs/>
          <w:color w:val="auto"/>
          <w:sz w:val="24"/>
          <w:highlight w:val="none"/>
        </w:rPr>
      </w:pPr>
    </w:p>
    <w:p>
      <w:pPr>
        <w:spacing w:line="480" w:lineRule="auto"/>
        <w:ind w:firstLine="2880" w:firstLineChars="1200"/>
        <w:rPr>
          <w:rFonts w:ascii="宋体" w:hAnsi="宋体"/>
          <w:bCs/>
          <w:color w:val="auto"/>
          <w:sz w:val="24"/>
          <w:highlight w:val="none"/>
        </w:rPr>
      </w:pPr>
      <w:r>
        <w:rPr>
          <w:rFonts w:hint="eastAsia" w:ascii="宋体" w:hAnsi="宋体"/>
          <w:bCs/>
          <w:color w:val="auto"/>
          <w:sz w:val="24"/>
          <w:highlight w:val="none"/>
        </w:rPr>
        <w:t>投标供应商（盖章）：</w:t>
      </w:r>
    </w:p>
    <w:p>
      <w:pPr>
        <w:ind w:right="960"/>
        <w:jc w:val="center"/>
        <w:outlineLvl w:val="0"/>
        <w:rPr>
          <w:rFonts w:ascii="宋体" w:hAnsi="宋体"/>
          <w:bCs/>
          <w:color w:val="auto"/>
          <w:sz w:val="24"/>
          <w:highlight w:val="none"/>
        </w:rPr>
      </w:pPr>
      <w:r>
        <w:rPr>
          <w:rFonts w:hint="eastAsia" w:ascii="宋体" w:hAnsi="宋体"/>
          <w:color w:val="auto"/>
          <w:sz w:val="24"/>
          <w:highlight w:val="none"/>
        </w:rPr>
        <w:t>法定代表人或授权代表</w:t>
      </w:r>
      <w:r>
        <w:rPr>
          <w:rFonts w:hint="eastAsia" w:ascii="宋体" w:hAnsi="宋体"/>
          <w:bCs/>
          <w:color w:val="auto"/>
          <w:sz w:val="24"/>
          <w:highlight w:val="none"/>
        </w:rPr>
        <w:t>签字或盖章：</w:t>
      </w:r>
    </w:p>
    <w:p>
      <w:pPr>
        <w:outlineLvl w:val="0"/>
        <w:rPr>
          <w:rFonts w:ascii="宋体" w:hAnsi="宋体"/>
          <w:bCs/>
          <w:color w:val="auto"/>
          <w:sz w:val="24"/>
          <w:highlight w:val="none"/>
        </w:rPr>
      </w:pPr>
    </w:p>
    <w:p>
      <w:pPr>
        <w:outlineLvl w:val="0"/>
        <w:rPr>
          <w:rFonts w:ascii="宋体" w:hAnsi="宋体"/>
          <w:bCs/>
          <w:color w:val="auto"/>
          <w:sz w:val="24"/>
          <w:highlight w:val="none"/>
        </w:rPr>
      </w:pPr>
    </w:p>
    <w:p>
      <w:pPr>
        <w:outlineLvl w:val="0"/>
        <w:rPr>
          <w:rFonts w:ascii="宋体" w:hAnsi="宋体"/>
          <w:bCs/>
          <w:color w:val="auto"/>
          <w:sz w:val="24"/>
          <w:highlight w:val="none"/>
        </w:rPr>
      </w:pPr>
    </w:p>
    <w:p>
      <w:pPr>
        <w:rPr>
          <w:rFonts w:ascii="宋体" w:hAnsi="宋体"/>
          <w:bCs/>
          <w:color w:val="auto"/>
          <w:sz w:val="28"/>
          <w:szCs w:val="28"/>
          <w:highlight w:val="none"/>
        </w:rPr>
      </w:pPr>
      <w:r>
        <w:rPr>
          <w:rFonts w:ascii="宋体" w:hAnsi="宋体"/>
          <w:bCs/>
          <w:color w:val="auto"/>
          <w:sz w:val="28"/>
          <w:szCs w:val="28"/>
          <w:highlight w:val="none"/>
        </w:rPr>
        <w:br w:type="page"/>
      </w:r>
    </w:p>
    <w:p>
      <w:pPr>
        <w:ind w:firstLine="482" w:firstLineChars="200"/>
        <w:outlineLvl w:val="2"/>
        <w:rPr>
          <w:rFonts w:ascii="宋体" w:hAnsi="宋体" w:cs="宋体"/>
          <w:b/>
          <w:bCs/>
          <w:color w:val="auto"/>
          <w:sz w:val="24"/>
          <w:highlight w:val="none"/>
        </w:rPr>
      </w:pPr>
      <w:bookmarkStart w:id="15" w:name="_Toc2176"/>
      <w:r>
        <w:rPr>
          <w:rFonts w:hint="eastAsia" w:ascii="宋体" w:hAnsi="宋体" w:cs="宋体"/>
          <w:b/>
          <w:bCs/>
          <w:color w:val="auto"/>
          <w:sz w:val="24"/>
          <w:highlight w:val="none"/>
        </w:rPr>
        <w:t>承诺书三(格式)：</w:t>
      </w:r>
      <w:bookmarkEnd w:id="15"/>
    </w:p>
    <w:p>
      <w:pPr>
        <w:jc w:val="center"/>
        <w:rPr>
          <w:rFonts w:ascii="宋体" w:hAnsi="宋体"/>
          <w:bCs/>
          <w:color w:val="auto"/>
          <w:sz w:val="28"/>
          <w:szCs w:val="28"/>
          <w:highlight w:val="none"/>
        </w:rPr>
      </w:pPr>
    </w:p>
    <w:p>
      <w:pPr>
        <w:jc w:val="center"/>
        <w:rPr>
          <w:rFonts w:ascii="宋体" w:hAnsi="宋体"/>
          <w:bCs/>
          <w:color w:val="auto"/>
          <w:sz w:val="28"/>
          <w:szCs w:val="28"/>
          <w:highlight w:val="none"/>
        </w:rPr>
      </w:pPr>
      <w:r>
        <w:rPr>
          <w:rFonts w:hint="eastAsia" w:ascii="宋体" w:hAnsi="宋体"/>
          <w:bCs/>
          <w:color w:val="auto"/>
          <w:sz w:val="28"/>
          <w:szCs w:val="28"/>
          <w:highlight w:val="none"/>
        </w:rPr>
        <w:t>中标标段优先顺序承诺函（格式）：</w:t>
      </w:r>
    </w:p>
    <w:p>
      <w:pPr>
        <w:jc w:val="center"/>
        <w:rPr>
          <w:rFonts w:ascii="宋体" w:hAnsi="宋体"/>
          <w:b/>
          <w:color w:val="auto"/>
          <w:sz w:val="24"/>
          <w:highlight w:val="none"/>
        </w:rPr>
      </w:pPr>
      <w:r>
        <w:rPr>
          <w:rFonts w:hint="eastAsia" w:ascii="宋体" w:hAnsi="宋体"/>
          <w:bCs/>
          <w:color w:val="auto"/>
          <w:sz w:val="24"/>
          <w:highlight w:val="none"/>
        </w:rPr>
        <w:t>中标标段优先顺序承诺函</w:t>
      </w:r>
    </w:p>
    <w:p>
      <w:pPr>
        <w:rPr>
          <w:rFonts w:ascii="宋体" w:hAnsi="宋体"/>
          <w:color w:val="auto"/>
          <w:sz w:val="24"/>
          <w:highlight w:val="none"/>
        </w:rPr>
      </w:pPr>
    </w:p>
    <w:p>
      <w:pPr>
        <w:rPr>
          <w:rFonts w:ascii="宋体" w:hAnsi="宋体"/>
          <w:b/>
          <w:bCs/>
          <w:color w:val="auto"/>
          <w:sz w:val="24"/>
          <w:highlight w:val="none"/>
          <w:u w:val="single"/>
        </w:rPr>
      </w:pPr>
      <w:r>
        <w:rPr>
          <w:rFonts w:hint="eastAsia" w:ascii="宋体" w:hAnsi="宋体"/>
          <w:bCs/>
          <w:color w:val="auto"/>
          <w:sz w:val="24"/>
          <w:highlight w:val="none"/>
        </w:rPr>
        <w:t>致江苏建圆建方工程管理咨询有限公司：</w:t>
      </w:r>
    </w:p>
    <w:p>
      <w:pPr>
        <w:spacing w:line="360" w:lineRule="auto"/>
        <w:rPr>
          <w:rFonts w:ascii="宋体" w:hAnsi="宋体"/>
          <w:bCs/>
          <w:color w:val="auto"/>
          <w:sz w:val="24"/>
          <w:highlight w:val="none"/>
        </w:rPr>
      </w:pPr>
      <w:r>
        <w:rPr>
          <w:rFonts w:hint="eastAsia" w:ascii="宋体" w:hAnsi="宋体"/>
          <w:bCs/>
          <w:color w:val="auto"/>
          <w:sz w:val="24"/>
          <w:highlight w:val="none"/>
        </w:rPr>
        <w:t xml:space="preserve">    1、我单位完全理解</w:t>
      </w:r>
      <w:r>
        <w:rPr>
          <w:rFonts w:hint="eastAsia" w:ascii="宋体" w:hAnsi="宋体"/>
          <w:color w:val="auto"/>
          <w:sz w:val="24"/>
          <w:highlight w:val="none"/>
        </w:rPr>
        <w:t>本次招标最多可中一个标段的要求。</w:t>
      </w:r>
      <w:r>
        <w:rPr>
          <w:rFonts w:hint="eastAsia" w:ascii="宋体" w:hAnsi="宋体"/>
          <w:bCs/>
          <w:color w:val="auto"/>
          <w:sz w:val="24"/>
          <w:highlight w:val="none"/>
        </w:rPr>
        <w:t>将按照投标供应商承诺的中标标段优先顺序确定中标标段，并放弃对这方面有不明或误解的权利。</w:t>
      </w:r>
    </w:p>
    <w:p>
      <w:pPr>
        <w:spacing w:line="360" w:lineRule="auto"/>
        <w:rPr>
          <w:rFonts w:ascii="宋体" w:hAnsi="宋体"/>
          <w:bCs/>
          <w:color w:val="auto"/>
          <w:sz w:val="24"/>
          <w:highlight w:val="none"/>
        </w:rPr>
      </w:pPr>
      <w:r>
        <w:rPr>
          <w:rFonts w:hint="eastAsia" w:ascii="宋体" w:hAnsi="宋体"/>
          <w:bCs/>
          <w:color w:val="auto"/>
          <w:sz w:val="24"/>
          <w:highlight w:val="none"/>
        </w:rPr>
        <w:t xml:space="preserve">    2、如果我单位经评委评审后在多个标项均为第一名时，我公司愿意按照下表的优先顺序选择排列于前的标段中标，放弃其余标段的中标权。</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0"/>
        <w:gridCol w:w="3133"/>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r>
              <w:rPr>
                <w:rFonts w:hint="eastAsia" w:ascii="宋体" w:hAnsi="宋体"/>
                <w:bCs/>
                <w:color w:val="auto"/>
                <w:sz w:val="24"/>
                <w:highlight w:val="none"/>
              </w:rPr>
              <w:t>中标优先顺序</w:t>
            </w:r>
          </w:p>
        </w:tc>
        <w:tc>
          <w:tcPr>
            <w:tcW w:w="31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r>
              <w:rPr>
                <w:rFonts w:hint="eastAsia" w:ascii="宋体" w:hAnsi="宋体"/>
                <w:bCs/>
                <w:color w:val="auto"/>
                <w:sz w:val="24"/>
                <w:highlight w:val="none"/>
              </w:rPr>
              <w:t>标段编号</w:t>
            </w:r>
          </w:p>
        </w:tc>
        <w:tc>
          <w:tcPr>
            <w:tcW w:w="31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r>
              <w:rPr>
                <w:rFonts w:hint="eastAsia" w:ascii="宋体" w:hAnsi="宋体"/>
                <w:bCs/>
                <w:color w:val="auto"/>
                <w:sz w:val="24"/>
                <w:highlight w:val="none"/>
              </w:rPr>
              <w:t>标段名称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r>
              <w:rPr>
                <w:rFonts w:hint="eastAsia" w:ascii="宋体" w:hAnsi="宋体"/>
                <w:bCs/>
                <w:color w:val="auto"/>
                <w:sz w:val="24"/>
                <w:highlight w:val="none"/>
              </w:rPr>
              <w:t>1</w:t>
            </w:r>
          </w:p>
        </w:tc>
        <w:tc>
          <w:tcPr>
            <w:tcW w:w="31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r>
              <w:rPr>
                <w:rFonts w:hint="eastAsia" w:ascii="宋体" w:hAnsi="宋体"/>
                <w:bCs/>
                <w:color w:val="auto"/>
                <w:sz w:val="24"/>
                <w:highlight w:val="none"/>
              </w:rPr>
              <w:t>2</w:t>
            </w:r>
          </w:p>
        </w:tc>
        <w:tc>
          <w:tcPr>
            <w:tcW w:w="31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Cs/>
                <w:color w:val="auto"/>
                <w:sz w:val="24"/>
                <w:highlight w:val="none"/>
              </w:rPr>
            </w:pPr>
          </w:p>
        </w:tc>
        <w:tc>
          <w:tcPr>
            <w:tcW w:w="3133"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Cs/>
                <w:color w:val="auto"/>
                <w:sz w:val="24"/>
                <w:highlight w:val="none"/>
              </w:rPr>
            </w:pPr>
          </w:p>
        </w:tc>
      </w:tr>
    </w:tbl>
    <w:p>
      <w:pPr>
        <w:rPr>
          <w:rFonts w:ascii="宋体" w:hAnsi="宋体"/>
          <w:bCs/>
          <w:color w:val="auto"/>
          <w:sz w:val="24"/>
          <w:highlight w:val="none"/>
        </w:rPr>
      </w:pPr>
    </w:p>
    <w:p>
      <w:pPr>
        <w:rPr>
          <w:rFonts w:ascii="宋体" w:hAnsi="宋体"/>
          <w:bCs/>
          <w:color w:val="auto"/>
          <w:sz w:val="24"/>
          <w:highlight w:val="none"/>
        </w:rPr>
      </w:pPr>
    </w:p>
    <w:p>
      <w:pPr>
        <w:rPr>
          <w:rFonts w:ascii="宋体" w:hAnsi="宋体"/>
          <w:bCs/>
          <w:color w:val="auto"/>
          <w:sz w:val="24"/>
          <w:highlight w:val="none"/>
        </w:rPr>
      </w:pPr>
    </w:p>
    <w:p>
      <w:pPr>
        <w:spacing w:line="480" w:lineRule="auto"/>
        <w:ind w:firstLine="2640" w:firstLineChars="1100"/>
        <w:rPr>
          <w:rFonts w:ascii="宋体" w:hAnsi="宋体" w:cs="宋体"/>
          <w:bCs/>
          <w:color w:val="auto"/>
          <w:sz w:val="24"/>
          <w:highlight w:val="none"/>
        </w:rPr>
      </w:pPr>
      <w:r>
        <w:rPr>
          <w:rFonts w:hint="eastAsia" w:ascii="宋体" w:hAnsi="宋体" w:cs="宋体"/>
          <w:bCs/>
          <w:color w:val="auto"/>
          <w:sz w:val="24"/>
          <w:highlight w:val="none"/>
        </w:rPr>
        <w:t>投标供应商（盖章）：</w:t>
      </w:r>
    </w:p>
    <w:p>
      <w:pPr>
        <w:spacing w:line="480" w:lineRule="auto"/>
        <w:ind w:firstLine="2640" w:firstLineChars="1100"/>
        <w:rPr>
          <w:rFonts w:ascii="宋体" w:hAnsi="宋体" w:cs="宋体"/>
          <w:bCs/>
          <w:color w:val="auto"/>
          <w:sz w:val="24"/>
          <w:highlight w:val="none"/>
        </w:rPr>
      </w:pPr>
      <w:r>
        <w:rPr>
          <w:rFonts w:hint="eastAsia" w:ascii="宋体" w:hAnsi="宋体" w:cs="宋体"/>
          <w:bCs/>
          <w:color w:val="auto"/>
          <w:sz w:val="24"/>
          <w:highlight w:val="none"/>
        </w:rPr>
        <w:t>法定代表人或法定代表人授权代表签字或盖章：</w:t>
      </w:r>
    </w:p>
    <w:p>
      <w:pPr>
        <w:spacing w:line="480" w:lineRule="auto"/>
        <w:ind w:firstLine="2640" w:firstLineChars="1100"/>
        <w:rPr>
          <w:color w:val="auto"/>
          <w:highlight w:val="none"/>
        </w:rPr>
      </w:pPr>
      <w:r>
        <w:rPr>
          <w:rFonts w:hint="eastAsia" w:ascii="宋体" w:hAnsi="宋体" w:cs="宋体"/>
          <w:bCs/>
          <w:color w:val="auto"/>
          <w:sz w:val="24"/>
          <w:highlight w:val="none"/>
        </w:rPr>
        <w:t>日期：</w:t>
      </w:r>
    </w:p>
    <w:p>
      <w:pPr>
        <w:ind w:firstLine="480" w:firstLineChars="200"/>
        <w:rPr>
          <w:rFonts w:ascii="宋体" w:hAnsi="宋体"/>
          <w:bCs/>
          <w:color w:val="auto"/>
          <w:sz w:val="24"/>
          <w:highlight w:val="none"/>
        </w:rPr>
      </w:pPr>
    </w:p>
    <w:p>
      <w:pPr>
        <w:ind w:firstLine="480" w:firstLineChars="200"/>
        <w:rPr>
          <w:rFonts w:ascii="宋体" w:hAnsi="宋体"/>
          <w:bCs/>
          <w:color w:val="auto"/>
          <w:sz w:val="24"/>
          <w:highlight w:val="none"/>
        </w:rPr>
      </w:pPr>
    </w:p>
    <w:p>
      <w:pPr>
        <w:pStyle w:val="2"/>
        <w:rPr>
          <w:color w:val="auto"/>
          <w:highlight w:val="none"/>
        </w:rPr>
      </w:pPr>
    </w:p>
    <w:p>
      <w:pPr>
        <w:outlineLvl w:val="0"/>
        <w:rPr>
          <w:rFonts w:ascii="宋体" w:hAnsi="宋体"/>
          <w:bCs/>
          <w:color w:val="auto"/>
          <w:sz w:val="28"/>
          <w:szCs w:val="28"/>
          <w:highlight w:val="none"/>
        </w:rPr>
      </w:pPr>
    </w:p>
    <w:p>
      <w:pPr>
        <w:pStyle w:val="7"/>
        <w:jc w:val="center"/>
        <w:rPr>
          <w:rFonts w:ascii="宋体" w:hAnsi="宋体" w:eastAsia="宋体"/>
          <w:bCs w:val="0"/>
          <w:color w:val="auto"/>
          <w:sz w:val="28"/>
          <w:szCs w:val="28"/>
          <w:highlight w:val="none"/>
        </w:rPr>
      </w:pPr>
      <w:r>
        <w:rPr>
          <w:rFonts w:hint="eastAsia" w:ascii="宋体" w:hAnsi="宋体" w:eastAsia="宋体"/>
          <w:bCs w:val="0"/>
          <w:color w:val="auto"/>
          <w:sz w:val="28"/>
          <w:szCs w:val="28"/>
          <w:highlight w:val="none"/>
        </w:rPr>
        <w:t>（八）投标供应商经营情况说明（格式）</w:t>
      </w:r>
    </w:p>
    <w:p>
      <w:pPr>
        <w:spacing w:line="460" w:lineRule="exact"/>
        <w:jc w:val="center"/>
        <w:rPr>
          <w:rFonts w:ascii="宋体" w:hAnsi="宋体"/>
          <w:color w:val="auto"/>
          <w:sz w:val="24"/>
          <w:highlight w:val="none"/>
        </w:rPr>
      </w:pPr>
      <w:r>
        <w:rPr>
          <w:rFonts w:hint="eastAsia" w:ascii="宋体" w:hAnsi="宋体"/>
          <w:color w:val="auto"/>
          <w:sz w:val="24"/>
          <w:highlight w:val="none"/>
        </w:rPr>
        <w:t>（内容写不完的栏目可相应扩展）</w:t>
      </w:r>
    </w:p>
    <w:tbl>
      <w:tblPr>
        <w:tblStyle w:val="67"/>
        <w:tblW w:w="9127"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510"/>
        <w:gridCol w:w="2110"/>
        <w:gridCol w:w="149"/>
        <w:gridCol w:w="1757"/>
        <w:gridCol w:w="2601"/>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法定代表人</w:t>
            </w:r>
          </w:p>
        </w:tc>
        <w:tc>
          <w:tcPr>
            <w:tcW w:w="2259"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c>
          <w:tcPr>
            <w:tcW w:w="1757"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成立日期</w:t>
            </w:r>
          </w:p>
        </w:tc>
        <w:tc>
          <w:tcPr>
            <w:tcW w:w="2601"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企业地址</w:t>
            </w:r>
          </w:p>
        </w:tc>
        <w:tc>
          <w:tcPr>
            <w:tcW w:w="2259"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c>
          <w:tcPr>
            <w:tcW w:w="1757"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注册资本</w:t>
            </w:r>
          </w:p>
        </w:tc>
        <w:tc>
          <w:tcPr>
            <w:tcW w:w="2601"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840" w:firstLineChars="350"/>
              <w:rPr>
                <w:rFonts w:ascii="宋体" w:hAnsi="宋体"/>
                <w:color w:val="auto"/>
                <w:sz w:val="24"/>
                <w:highlight w:val="none"/>
              </w:rPr>
            </w:pPr>
            <w:r>
              <w:rPr>
                <w:rFonts w:hint="eastAsia" w:ascii="宋体" w:hAnsi="宋体"/>
                <w:color w:val="auto"/>
                <w:sz w:val="24"/>
                <w:highlight w:val="none"/>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经营范围</w:t>
            </w:r>
          </w:p>
        </w:tc>
        <w:tc>
          <w:tcPr>
            <w:tcW w:w="6617" w:type="dxa"/>
            <w:gridSpan w:val="4"/>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职工人数</w:t>
            </w:r>
          </w:p>
        </w:tc>
        <w:tc>
          <w:tcPr>
            <w:tcW w:w="21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c>
          <w:tcPr>
            <w:tcW w:w="4507" w:type="dxa"/>
            <w:gridSpan w:val="3"/>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其中：</w:t>
            </w:r>
          </w:p>
          <w:p>
            <w:pPr>
              <w:pStyle w:val="6"/>
              <w:overflowPunct w:val="0"/>
              <w:spacing w:line="400" w:lineRule="exact"/>
              <w:ind w:left="480" w:hanging="480" w:hangingChars="200"/>
              <w:rPr>
                <w:rFonts w:ascii="宋体" w:hAnsi="宋体"/>
                <w:color w:val="auto"/>
                <w:sz w:val="24"/>
                <w:highlight w:val="none"/>
              </w:rPr>
            </w:pPr>
            <w:r>
              <w:rPr>
                <w:rFonts w:hint="eastAsia" w:ascii="宋体" w:hAnsi="宋体"/>
                <w:color w:val="auto"/>
                <w:sz w:val="24"/>
                <w:highlight w:val="none"/>
              </w:rPr>
              <w:t>中级职称</w:t>
            </w:r>
            <w:r>
              <w:rPr>
                <w:rFonts w:hint="eastAsia" w:ascii="宋体" w:hAnsi="宋体"/>
                <w:color w:val="auto"/>
                <w:sz w:val="24"/>
                <w:highlight w:val="none"/>
                <w:u w:val="single"/>
              </w:rPr>
              <w:t xml:space="preserve">    </w:t>
            </w:r>
            <w:r>
              <w:rPr>
                <w:rFonts w:hint="eastAsia" w:ascii="宋体" w:hAnsi="宋体"/>
                <w:color w:val="auto"/>
                <w:sz w:val="24"/>
                <w:highlight w:val="none"/>
              </w:rPr>
              <w:t>人数、</w:t>
            </w:r>
          </w:p>
          <w:p>
            <w:pPr>
              <w:pStyle w:val="6"/>
              <w:overflowPunct w:val="0"/>
              <w:spacing w:line="400" w:lineRule="exact"/>
              <w:ind w:left="480" w:hanging="480" w:hangingChars="200"/>
              <w:rPr>
                <w:rFonts w:ascii="宋体" w:hAnsi="宋体"/>
                <w:color w:val="auto"/>
                <w:sz w:val="24"/>
                <w:highlight w:val="none"/>
              </w:rPr>
            </w:pPr>
            <w:r>
              <w:rPr>
                <w:rFonts w:hint="eastAsia" w:ascii="宋体" w:hAnsi="宋体"/>
                <w:color w:val="auto"/>
                <w:sz w:val="24"/>
                <w:highlight w:val="none"/>
              </w:rPr>
              <w:t>高级职称</w:t>
            </w:r>
            <w:r>
              <w:rPr>
                <w:rFonts w:hint="eastAsia" w:ascii="宋体" w:hAnsi="宋体"/>
                <w:color w:val="auto"/>
                <w:sz w:val="24"/>
                <w:highlight w:val="none"/>
                <w:u w:val="single"/>
              </w:rPr>
              <w:t xml:space="preserve">     </w:t>
            </w:r>
            <w:r>
              <w:rPr>
                <w:rFonts w:hint="eastAsia" w:ascii="宋体" w:hAnsi="宋体"/>
                <w:color w:val="auto"/>
                <w:sz w:val="24"/>
                <w:highlight w:val="none"/>
              </w:rPr>
              <w:t>人数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5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0"/>
              <w:rPr>
                <w:rFonts w:ascii="宋体" w:hAnsi="宋体"/>
                <w:color w:val="auto"/>
                <w:sz w:val="24"/>
                <w:highlight w:val="none"/>
              </w:rPr>
            </w:pPr>
            <w:r>
              <w:rPr>
                <w:rFonts w:hint="eastAsia" w:ascii="宋体" w:hAnsi="宋体"/>
                <w:color w:val="auto"/>
                <w:sz w:val="24"/>
                <w:highlight w:val="none"/>
              </w:rPr>
              <w:t>2023年12月资产总额</w:t>
            </w:r>
          </w:p>
        </w:tc>
        <w:tc>
          <w:tcPr>
            <w:tcW w:w="21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万元</w:t>
            </w:r>
          </w:p>
        </w:tc>
        <w:tc>
          <w:tcPr>
            <w:tcW w:w="1906"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0"/>
              <w:rPr>
                <w:rFonts w:ascii="宋体" w:hAnsi="宋体"/>
                <w:color w:val="auto"/>
                <w:sz w:val="24"/>
                <w:highlight w:val="none"/>
              </w:rPr>
            </w:pPr>
            <w:r>
              <w:rPr>
                <w:rFonts w:hint="eastAsia" w:ascii="宋体" w:hAnsi="宋体"/>
                <w:color w:val="auto"/>
                <w:sz w:val="24"/>
                <w:highlight w:val="none"/>
              </w:rPr>
              <w:t>净资产</w:t>
            </w:r>
          </w:p>
        </w:tc>
        <w:tc>
          <w:tcPr>
            <w:tcW w:w="2601"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0"/>
              <w:rPr>
                <w:rFonts w:ascii="宋体" w:hAnsi="宋体"/>
                <w:color w:val="auto"/>
                <w:sz w:val="24"/>
                <w:highlight w:val="none"/>
              </w:rPr>
            </w:pPr>
            <w:r>
              <w:rPr>
                <w:rFonts w:hint="eastAsia" w:ascii="宋体" w:hAnsi="宋体"/>
                <w:color w:val="auto"/>
                <w:sz w:val="24"/>
                <w:highlight w:val="none"/>
              </w:rPr>
              <w:t>2023年12月股东权益</w:t>
            </w:r>
          </w:p>
        </w:tc>
        <w:tc>
          <w:tcPr>
            <w:tcW w:w="21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万元</w:t>
            </w:r>
          </w:p>
        </w:tc>
        <w:tc>
          <w:tcPr>
            <w:tcW w:w="1906"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0"/>
              <w:rPr>
                <w:rFonts w:ascii="宋体" w:hAnsi="宋体"/>
                <w:color w:val="auto"/>
                <w:sz w:val="24"/>
                <w:highlight w:val="none"/>
              </w:rPr>
            </w:pPr>
            <w:r>
              <w:rPr>
                <w:rFonts w:hint="eastAsia" w:ascii="宋体" w:hAnsi="宋体"/>
                <w:color w:val="auto"/>
                <w:sz w:val="24"/>
                <w:highlight w:val="none"/>
              </w:rPr>
              <w:t>2023</w:t>
            </w:r>
            <w:r>
              <w:rPr>
                <w:rFonts w:ascii="宋体" w:hAnsi="宋体"/>
                <w:color w:val="auto"/>
                <w:sz w:val="24"/>
                <w:highlight w:val="none"/>
              </w:rPr>
              <w:t>年</w:t>
            </w:r>
            <w:r>
              <w:rPr>
                <w:rFonts w:hint="eastAsia" w:ascii="宋体" w:hAnsi="宋体"/>
                <w:color w:val="auto"/>
                <w:sz w:val="24"/>
                <w:highlight w:val="none"/>
              </w:rPr>
              <w:t>业务收入</w:t>
            </w:r>
          </w:p>
        </w:tc>
        <w:tc>
          <w:tcPr>
            <w:tcW w:w="2601"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0"/>
              <w:rPr>
                <w:rFonts w:ascii="宋体" w:hAnsi="宋体"/>
                <w:color w:val="auto"/>
                <w:sz w:val="24"/>
                <w:highlight w:val="none"/>
              </w:rPr>
            </w:pPr>
            <w:r>
              <w:rPr>
                <w:rFonts w:hint="eastAsia" w:ascii="宋体" w:hAnsi="宋体"/>
                <w:color w:val="auto"/>
                <w:sz w:val="24"/>
                <w:highlight w:val="none"/>
              </w:rPr>
              <w:t>2023年实现利润</w:t>
            </w:r>
          </w:p>
        </w:tc>
        <w:tc>
          <w:tcPr>
            <w:tcW w:w="21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1320" w:firstLineChars="550"/>
              <w:rPr>
                <w:rFonts w:ascii="宋体" w:hAnsi="宋体"/>
                <w:color w:val="auto"/>
                <w:sz w:val="24"/>
                <w:highlight w:val="none"/>
              </w:rPr>
            </w:pPr>
            <w:r>
              <w:rPr>
                <w:rFonts w:hint="eastAsia" w:ascii="宋体" w:hAnsi="宋体"/>
                <w:color w:val="auto"/>
                <w:sz w:val="24"/>
                <w:highlight w:val="none"/>
              </w:rPr>
              <w:t>万元</w:t>
            </w:r>
          </w:p>
        </w:tc>
        <w:tc>
          <w:tcPr>
            <w:tcW w:w="1906"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c>
          <w:tcPr>
            <w:tcW w:w="2601"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5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办公面积</w:t>
            </w:r>
          </w:p>
          <w:p>
            <w:pPr>
              <w:pStyle w:val="6"/>
              <w:overflowPunct w:val="0"/>
              <w:spacing w:line="400" w:lineRule="exact"/>
              <w:ind w:firstLine="480"/>
              <w:rPr>
                <w:rFonts w:ascii="宋体" w:hAnsi="宋体"/>
                <w:color w:val="auto"/>
                <w:sz w:val="24"/>
                <w:highlight w:val="none"/>
              </w:rPr>
            </w:pPr>
          </w:p>
        </w:tc>
        <w:tc>
          <w:tcPr>
            <w:tcW w:w="2110"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平方米</w:t>
            </w:r>
          </w:p>
        </w:tc>
        <w:tc>
          <w:tcPr>
            <w:tcW w:w="1906"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其中：</w:t>
            </w:r>
          </w:p>
        </w:tc>
        <w:tc>
          <w:tcPr>
            <w:tcW w:w="2601" w:type="dxa"/>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0"/>
              <w:rPr>
                <w:rFonts w:ascii="宋体" w:hAnsi="宋体"/>
                <w:color w:val="auto"/>
                <w:sz w:val="24"/>
                <w:highlight w:val="none"/>
              </w:rPr>
            </w:pPr>
            <w:r>
              <w:rPr>
                <w:rFonts w:hint="eastAsia" w:ascii="宋体" w:hAnsi="宋体"/>
                <w:color w:val="auto"/>
                <w:sz w:val="24"/>
                <w:highlight w:val="none"/>
              </w:rPr>
              <w:t>自有面积</w:t>
            </w:r>
            <w:r>
              <w:rPr>
                <w:rFonts w:ascii="宋体" w:hAnsi="宋体"/>
                <w:color w:val="auto"/>
                <w:sz w:val="24"/>
                <w:highlight w:val="none"/>
              </w:rPr>
              <w:t xml:space="preserve">    平方米</w:t>
            </w:r>
          </w:p>
          <w:p>
            <w:pPr>
              <w:pStyle w:val="6"/>
              <w:overflowPunct w:val="0"/>
              <w:spacing w:line="400" w:lineRule="exact"/>
              <w:ind w:firstLine="0"/>
              <w:rPr>
                <w:rFonts w:ascii="宋体" w:hAnsi="宋体"/>
                <w:color w:val="auto"/>
                <w:sz w:val="24"/>
                <w:highlight w:val="none"/>
              </w:rPr>
            </w:pPr>
            <w:r>
              <w:rPr>
                <w:rFonts w:hint="eastAsia" w:ascii="宋体" w:hAnsi="宋体"/>
                <w:color w:val="auto"/>
                <w:sz w:val="24"/>
                <w:highlight w:val="none"/>
              </w:rPr>
              <w:t>承租面积</w:t>
            </w:r>
            <w:r>
              <w:rPr>
                <w:rFonts w:ascii="宋体" w:hAnsi="宋体"/>
                <w:color w:val="auto"/>
                <w:sz w:val="24"/>
                <w:highlight w:val="none"/>
              </w:rPr>
              <w:t xml:space="preserve">    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单位简历及内设机构情况</w:t>
            </w:r>
          </w:p>
        </w:tc>
        <w:tc>
          <w:tcPr>
            <w:tcW w:w="4507" w:type="dxa"/>
            <w:gridSpan w:val="3"/>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单位优势及特长</w:t>
            </w:r>
          </w:p>
        </w:tc>
        <w:tc>
          <w:tcPr>
            <w:tcW w:w="4507" w:type="dxa"/>
            <w:gridSpan w:val="3"/>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近三年来完成或正在履行的重大合同情况</w:t>
            </w:r>
          </w:p>
        </w:tc>
        <w:tc>
          <w:tcPr>
            <w:tcW w:w="4507" w:type="dxa"/>
            <w:gridSpan w:val="3"/>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bCs/>
                <w:color w:val="auto"/>
                <w:sz w:val="24"/>
                <w:highlight w:val="none"/>
              </w:rPr>
              <w:t>近三年来受行业主管部门考核评价及业主评价意见</w:t>
            </w:r>
          </w:p>
        </w:tc>
        <w:tc>
          <w:tcPr>
            <w:tcW w:w="4507" w:type="dxa"/>
            <w:gridSpan w:val="3"/>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最近</w:t>
            </w:r>
            <w:r>
              <w:rPr>
                <w:rFonts w:ascii="宋体" w:hAnsi="宋体"/>
                <w:color w:val="auto"/>
                <w:sz w:val="24"/>
                <w:highlight w:val="none"/>
              </w:rPr>
              <w:t>3年内有无因</w:t>
            </w:r>
            <w:r>
              <w:rPr>
                <w:rFonts w:hint="eastAsia" w:ascii="宋体" w:hAnsi="宋体"/>
                <w:color w:val="auto"/>
                <w:sz w:val="24"/>
                <w:highlight w:val="none"/>
              </w:rPr>
              <w:t>违纪</w:t>
            </w:r>
            <w:r>
              <w:rPr>
                <w:rFonts w:ascii="宋体" w:hAnsi="宋体"/>
                <w:color w:val="auto"/>
                <w:sz w:val="24"/>
                <w:highlight w:val="none"/>
              </w:rPr>
              <w:t>或是其他原因被投诉或起诉的情况及说明</w:t>
            </w:r>
          </w:p>
        </w:tc>
        <w:tc>
          <w:tcPr>
            <w:tcW w:w="4507" w:type="dxa"/>
            <w:gridSpan w:val="3"/>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（包括解决方式和结果）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620" w:type="dxa"/>
            <w:gridSpan w:val="2"/>
            <w:tcBorders>
              <w:top w:val="single" w:color="auto" w:sz="6" w:space="0"/>
              <w:left w:val="single" w:color="auto" w:sz="6" w:space="0"/>
              <w:bottom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最近</w:t>
            </w:r>
            <w:r>
              <w:rPr>
                <w:rFonts w:ascii="宋体" w:hAnsi="宋体"/>
                <w:color w:val="auto"/>
                <w:sz w:val="24"/>
                <w:highlight w:val="none"/>
              </w:rPr>
              <w:t>3年内主要负责人有无因经济犯罪被司法机关追究的情况及说明</w:t>
            </w:r>
          </w:p>
        </w:tc>
        <w:tc>
          <w:tcPr>
            <w:tcW w:w="4507" w:type="dxa"/>
            <w:gridSpan w:val="3"/>
            <w:tcBorders>
              <w:top w:val="single" w:color="auto" w:sz="6" w:space="0"/>
              <w:left w:val="single" w:color="auto" w:sz="6" w:space="0"/>
              <w:bottom w:val="single" w:color="auto" w:sz="6" w:space="0"/>
              <w:right w:val="single" w:color="auto" w:sz="6" w:space="0"/>
            </w:tcBorders>
          </w:tcPr>
          <w:p>
            <w:pPr>
              <w:spacing w:line="360" w:lineRule="auto"/>
              <w:ind w:firstLine="480" w:firstLineChars="200"/>
              <w:rPr>
                <w:rFonts w:ascii="宋体" w:hAnsi="宋体"/>
                <w:color w:val="auto"/>
                <w:sz w:val="24"/>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620" w:type="dxa"/>
            <w:gridSpan w:val="2"/>
            <w:tcBorders>
              <w:top w:val="single" w:color="auto" w:sz="6" w:space="0"/>
              <w:left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r>
              <w:rPr>
                <w:rFonts w:hint="eastAsia" w:ascii="宋体" w:hAnsi="宋体"/>
                <w:color w:val="auto"/>
                <w:sz w:val="24"/>
                <w:highlight w:val="none"/>
              </w:rPr>
              <w:t>其他需要说明的情况</w:t>
            </w:r>
          </w:p>
        </w:tc>
        <w:tc>
          <w:tcPr>
            <w:tcW w:w="4507" w:type="dxa"/>
            <w:gridSpan w:val="3"/>
            <w:tcBorders>
              <w:top w:val="single" w:color="auto" w:sz="6" w:space="0"/>
              <w:left w:val="single" w:color="auto" w:sz="6" w:space="0"/>
              <w:right w:val="single" w:color="auto" w:sz="6" w:space="0"/>
            </w:tcBorders>
          </w:tcPr>
          <w:p>
            <w:pPr>
              <w:pStyle w:val="6"/>
              <w:overflowPunct w:val="0"/>
              <w:spacing w:line="400" w:lineRule="exact"/>
              <w:ind w:firstLine="480"/>
              <w:rPr>
                <w:rFonts w:ascii="宋体" w:hAnsi="宋体"/>
                <w:color w:val="auto"/>
                <w:sz w:val="24"/>
                <w:highlight w:val="none"/>
              </w:rPr>
            </w:pPr>
          </w:p>
        </w:tc>
      </w:tr>
    </w:tbl>
    <w:p>
      <w:pPr>
        <w:spacing w:line="480" w:lineRule="auto"/>
        <w:rPr>
          <w:rFonts w:ascii="宋体" w:hAnsi="宋体"/>
          <w:bCs/>
          <w:color w:val="auto"/>
          <w:sz w:val="24"/>
          <w:highlight w:val="none"/>
        </w:rPr>
      </w:pPr>
      <w:r>
        <w:rPr>
          <w:rFonts w:hint="eastAsia" w:ascii="宋体" w:hAnsi="宋体"/>
          <w:bCs/>
          <w:color w:val="auto"/>
          <w:sz w:val="24"/>
          <w:highlight w:val="none"/>
        </w:rPr>
        <w:t>投标供应商（盖章）：</w:t>
      </w:r>
    </w:p>
    <w:p>
      <w:pPr>
        <w:ind w:right="960"/>
        <w:outlineLvl w:val="0"/>
        <w:rPr>
          <w:rFonts w:ascii="宋体" w:hAnsi="宋体"/>
          <w:bCs/>
          <w:color w:val="auto"/>
          <w:sz w:val="24"/>
          <w:highlight w:val="none"/>
        </w:rPr>
      </w:pPr>
      <w:r>
        <w:rPr>
          <w:rFonts w:hint="eastAsia" w:ascii="宋体" w:hAnsi="宋体"/>
          <w:color w:val="auto"/>
          <w:sz w:val="24"/>
          <w:highlight w:val="none"/>
        </w:rPr>
        <w:t>法定代表人或授权代表</w:t>
      </w:r>
      <w:r>
        <w:rPr>
          <w:rFonts w:hint="eastAsia" w:ascii="宋体" w:hAnsi="宋体"/>
          <w:bCs/>
          <w:color w:val="auto"/>
          <w:sz w:val="24"/>
          <w:highlight w:val="none"/>
        </w:rPr>
        <w:t>签字或盖章：</w:t>
      </w:r>
    </w:p>
    <w:p>
      <w:pPr>
        <w:rPr>
          <w:rFonts w:ascii="宋体" w:hAnsi="宋体"/>
          <w:color w:val="auto"/>
          <w:sz w:val="24"/>
          <w:highlight w:val="none"/>
        </w:rPr>
      </w:pPr>
    </w:p>
    <w:p>
      <w:pPr>
        <w:jc w:val="center"/>
        <w:rPr>
          <w:rFonts w:ascii="宋体" w:hAnsi="宋体"/>
          <w:color w:val="auto"/>
          <w:sz w:val="24"/>
          <w:highlight w:val="none"/>
        </w:rPr>
      </w:pPr>
    </w:p>
    <w:p>
      <w:pPr>
        <w:rPr>
          <w:rFonts w:ascii="宋体" w:hAnsi="宋体"/>
          <w:color w:val="auto"/>
          <w:sz w:val="24"/>
          <w:highlight w:val="none"/>
        </w:rPr>
      </w:pPr>
    </w:p>
    <w:p>
      <w:pPr>
        <w:rPr>
          <w:rFonts w:ascii="宋体" w:hAnsi="宋体" w:cs="宋体"/>
          <w:color w:val="auto"/>
          <w:sz w:val="28"/>
          <w:szCs w:val="28"/>
          <w:highlight w:val="none"/>
        </w:rPr>
      </w:pPr>
      <w:bookmarkStart w:id="16" w:name="_Toc245033583"/>
      <w:r>
        <w:rPr>
          <w:rFonts w:hint="eastAsia" w:ascii="宋体" w:hAnsi="宋体" w:cs="宋体"/>
          <w:color w:val="auto"/>
          <w:sz w:val="28"/>
          <w:szCs w:val="28"/>
          <w:highlight w:val="none"/>
        </w:rPr>
        <w:br w:type="page"/>
      </w:r>
    </w:p>
    <w:p>
      <w:pPr>
        <w:pStyle w:val="5"/>
        <w:numPr>
          <w:ilvl w:val="0"/>
          <w:numId w:val="0"/>
        </w:numPr>
        <w:spacing w:before="0" w:after="0" w:line="360" w:lineRule="auto"/>
        <w:ind w:firstLine="281" w:firstLineChars="100"/>
        <w:jc w:val="center"/>
        <w:rPr>
          <w:rFonts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rPr>
        <w:t>（八）投标偏离表（格式）</w:t>
      </w:r>
    </w:p>
    <w:p>
      <w:pPr>
        <w:tabs>
          <w:tab w:val="left" w:pos="567"/>
        </w:tabs>
        <w:spacing w:line="360" w:lineRule="auto"/>
        <w:ind w:firstLine="281" w:firstLineChars="1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标段：</w:t>
      </w:r>
    </w:p>
    <w:p>
      <w:pPr>
        <w:spacing w:line="400" w:lineRule="exact"/>
        <w:ind w:firstLine="241" w:firstLineChars="100"/>
        <w:rPr>
          <w:rFonts w:ascii="宋体" w:hAnsi="宋体" w:cs="宋体"/>
          <w:b/>
          <w:bCs/>
          <w:color w:val="auto"/>
          <w:sz w:val="24"/>
          <w:highlight w:val="none"/>
        </w:rPr>
      </w:pPr>
    </w:p>
    <w:p>
      <w:pPr>
        <w:spacing w:line="400" w:lineRule="exact"/>
        <w:ind w:firstLine="241" w:firstLineChars="100"/>
        <w:rPr>
          <w:rFonts w:ascii="宋体" w:hAnsi="宋体" w:cs="宋体"/>
          <w:bCs/>
          <w:color w:val="auto"/>
          <w:sz w:val="24"/>
          <w:highlight w:val="none"/>
        </w:rPr>
      </w:pPr>
      <w:r>
        <w:rPr>
          <w:rFonts w:hint="eastAsia" w:ascii="宋体" w:hAnsi="宋体" w:cs="宋体"/>
          <w:b/>
          <w:bCs/>
          <w:color w:val="auto"/>
          <w:sz w:val="24"/>
          <w:highlight w:val="none"/>
        </w:rPr>
        <w:t>投标供应商：                                   采购项目编号：</w:t>
      </w:r>
    </w:p>
    <w:tbl>
      <w:tblPr>
        <w:tblStyle w:val="67"/>
        <w:tblW w:w="0" w:type="auto"/>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bCs/>
                <w:color w:val="auto"/>
                <w:kern w:val="0"/>
                <w:sz w:val="24"/>
                <w:highlight w:val="none"/>
              </w:rPr>
            </w:pPr>
            <w:r>
              <w:rPr>
                <w:rFonts w:hint="eastAsia" w:ascii="宋体" w:hAnsi="宋体" w:cs="宋体"/>
                <w:bCs/>
                <w:color w:val="auto"/>
                <w:kern w:val="0"/>
                <w:sz w:val="24"/>
                <w:highlight w:val="none"/>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highlight w:val="none"/>
              </w:rPr>
            </w:pPr>
            <w:r>
              <w:rPr>
                <w:rFonts w:hint="eastAsia" w:ascii="宋体" w:hAnsi="宋体" w:cs="宋体"/>
                <w:bCs/>
                <w:color w:val="auto"/>
                <w:kern w:val="0"/>
                <w:sz w:val="24"/>
                <w:highlight w:val="none"/>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highlight w:val="none"/>
              </w:rPr>
            </w:pPr>
            <w:r>
              <w:rPr>
                <w:rFonts w:hint="eastAsia" w:ascii="宋体" w:hAnsi="宋体" w:cs="宋体"/>
                <w:bCs/>
                <w:color w:val="auto"/>
                <w:kern w:val="0"/>
                <w:sz w:val="24"/>
                <w:highlight w:val="none"/>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highlight w:val="none"/>
              </w:rPr>
            </w:pPr>
            <w:r>
              <w:rPr>
                <w:rFonts w:hint="eastAsia" w:ascii="宋体" w:hAnsi="宋体" w:cs="宋体"/>
                <w:bCs/>
                <w:color w:val="auto"/>
                <w:kern w:val="0"/>
                <w:sz w:val="24"/>
                <w:highlight w:val="none"/>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bCs/>
                <w:color w:val="auto"/>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highlight w:val="none"/>
              </w:rPr>
            </w:pP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bCs/>
                <w:color w:val="auto"/>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auto"/>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auto"/>
                <w:kern w:val="0"/>
                <w:sz w:val="24"/>
                <w:highlight w:val="none"/>
              </w:rPr>
            </w:pPr>
          </w:p>
        </w:tc>
      </w:tr>
    </w:tbl>
    <w:p>
      <w:pPr>
        <w:rPr>
          <w:rFonts w:ascii="宋体" w:hAnsi="宋体" w:cs="宋体"/>
          <w:bCs/>
          <w:color w:val="auto"/>
          <w:sz w:val="24"/>
          <w:highlight w:val="none"/>
        </w:rPr>
      </w:pPr>
    </w:p>
    <w:p>
      <w:pPr>
        <w:rPr>
          <w:rFonts w:ascii="宋体" w:hAnsi="宋体" w:cs="宋体"/>
          <w:bCs/>
          <w:color w:val="auto"/>
          <w:sz w:val="24"/>
          <w:highlight w:val="none"/>
        </w:rPr>
      </w:pPr>
      <w:r>
        <w:rPr>
          <w:rFonts w:hint="eastAsia" w:ascii="宋体" w:hAnsi="宋体" w:cs="宋体"/>
          <w:bCs/>
          <w:color w:val="auto"/>
          <w:sz w:val="24"/>
          <w:highlight w:val="none"/>
        </w:rPr>
        <w:t>注：（1）本表不得删除；</w:t>
      </w:r>
    </w:p>
    <w:p>
      <w:pPr>
        <w:rPr>
          <w:rFonts w:ascii="宋体" w:hAnsi="宋体" w:cs="宋体"/>
          <w:bCs/>
          <w:color w:val="auto"/>
          <w:sz w:val="24"/>
          <w:highlight w:val="none"/>
        </w:rPr>
      </w:pPr>
      <w:r>
        <w:rPr>
          <w:rFonts w:hint="eastAsia" w:ascii="宋体" w:hAnsi="宋体" w:cs="宋体"/>
          <w:bCs/>
          <w:color w:val="auto"/>
          <w:sz w:val="24"/>
          <w:highlight w:val="none"/>
        </w:rPr>
        <w:t>（2）如无任何技术偏离，请于本表“偏离说明”中注明“无偏离”；</w:t>
      </w:r>
    </w:p>
    <w:p>
      <w:pPr>
        <w:rPr>
          <w:rFonts w:ascii="宋体" w:hAnsi="宋体" w:cs="宋体"/>
          <w:bCs/>
          <w:color w:val="auto"/>
          <w:sz w:val="24"/>
          <w:highlight w:val="none"/>
        </w:rPr>
      </w:pPr>
      <w:r>
        <w:rPr>
          <w:rFonts w:hint="eastAsia" w:ascii="宋体" w:hAnsi="宋体" w:cs="宋体"/>
          <w:bCs/>
          <w:color w:val="auto"/>
          <w:sz w:val="24"/>
          <w:highlight w:val="none"/>
        </w:rPr>
        <w:t>（3）如有偏离项，请于本表中列明偏离内容，如需要可自行延长，其余无偏离内容不须赘述。</w:t>
      </w:r>
    </w:p>
    <w:p>
      <w:pPr>
        <w:rPr>
          <w:rFonts w:ascii="宋体" w:hAnsi="宋体" w:cs="宋体"/>
          <w:b/>
          <w:color w:val="auto"/>
          <w:szCs w:val="21"/>
          <w:highlight w:val="none"/>
        </w:rPr>
      </w:pPr>
      <w:r>
        <w:rPr>
          <w:rFonts w:hint="eastAsia" w:ascii="宋体" w:hAnsi="宋体" w:cs="宋体"/>
          <w:b/>
          <w:color w:val="auto"/>
          <w:sz w:val="24"/>
          <w:highlight w:val="none"/>
        </w:rPr>
        <w:t>（4）本表须分标段制作。</w:t>
      </w:r>
    </w:p>
    <w:p>
      <w:pPr>
        <w:spacing w:line="400" w:lineRule="exact"/>
        <w:ind w:firstLine="241" w:firstLineChars="100"/>
        <w:rPr>
          <w:rFonts w:ascii="宋体" w:hAnsi="宋体" w:cs="宋体"/>
          <w:b/>
          <w:bCs/>
          <w:color w:val="auto"/>
          <w:sz w:val="24"/>
          <w:highlight w:val="none"/>
        </w:rPr>
      </w:pPr>
    </w:p>
    <w:p>
      <w:pPr>
        <w:spacing w:line="400" w:lineRule="exact"/>
        <w:ind w:firstLine="241" w:firstLineChars="100"/>
        <w:rPr>
          <w:rFonts w:ascii="宋体" w:hAnsi="宋体" w:cs="宋体"/>
          <w:b/>
          <w:bCs/>
          <w:color w:val="auto"/>
          <w:sz w:val="24"/>
          <w:highlight w:val="none"/>
        </w:rPr>
      </w:pPr>
    </w:p>
    <w:p>
      <w:pPr>
        <w:spacing w:line="40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投标供应商名称：（盖章）</w:t>
      </w:r>
    </w:p>
    <w:p>
      <w:pPr>
        <w:spacing w:line="40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法定代表人或法定代表人授权代表签字或盖章：</w:t>
      </w:r>
    </w:p>
    <w:p>
      <w:pPr>
        <w:spacing w:line="40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日期：   年   月   日</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widowControl/>
        <w:jc w:val="left"/>
        <w:rPr>
          <w:rFonts w:ascii="宋体" w:hAnsi="宋体"/>
          <w:bCs/>
          <w:color w:val="auto"/>
          <w:sz w:val="28"/>
          <w:szCs w:val="28"/>
          <w:highlight w:val="none"/>
        </w:rPr>
      </w:pPr>
    </w:p>
    <w:p>
      <w:pPr>
        <w:rPr>
          <w:rFonts w:ascii="宋体" w:hAnsi="宋体"/>
          <w:b/>
          <w:color w:val="auto"/>
          <w:sz w:val="28"/>
          <w:szCs w:val="28"/>
          <w:highlight w:val="none"/>
        </w:rPr>
      </w:pPr>
      <w:r>
        <w:rPr>
          <w:rFonts w:hint="eastAsia" w:ascii="宋体" w:hAnsi="宋体"/>
          <w:b/>
          <w:color w:val="auto"/>
          <w:sz w:val="28"/>
          <w:szCs w:val="28"/>
          <w:highlight w:val="none"/>
        </w:rPr>
        <w:br w:type="page"/>
      </w:r>
    </w:p>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（九）技术文件（格式）</w:t>
      </w:r>
    </w:p>
    <w:p>
      <w:pPr>
        <w:jc w:val="center"/>
        <w:rPr>
          <w:rFonts w:ascii="宋体" w:hAnsi="宋体"/>
          <w:bCs/>
          <w:color w:val="auto"/>
          <w:sz w:val="24"/>
          <w:highlight w:val="none"/>
        </w:rPr>
      </w:pPr>
    </w:p>
    <w:p>
      <w:pPr>
        <w:jc w:val="center"/>
        <w:rPr>
          <w:rFonts w:ascii="宋体" w:hAnsi="宋体"/>
          <w:bCs/>
          <w:color w:val="auto"/>
          <w:sz w:val="24"/>
          <w:highlight w:val="none"/>
        </w:rPr>
      </w:pPr>
    </w:p>
    <w:p>
      <w:pPr>
        <w:widowControl/>
        <w:numPr>
          <w:ilvl w:val="0"/>
          <w:numId w:val="29"/>
        </w:numPr>
        <w:tabs>
          <w:tab w:val="left" w:pos="0"/>
        </w:tabs>
        <w:spacing w:line="360" w:lineRule="auto"/>
        <w:ind w:left="1060" w:hanging="640"/>
        <w:jc w:val="left"/>
        <w:rPr>
          <w:rFonts w:ascii="宋体" w:hAnsi="宋体" w:cs="ˎ̥"/>
          <w:color w:val="auto"/>
          <w:kern w:val="0"/>
          <w:sz w:val="24"/>
          <w:highlight w:val="none"/>
        </w:rPr>
      </w:pPr>
      <w:r>
        <w:rPr>
          <w:rFonts w:hint="eastAsia" w:ascii="宋体" w:hAnsi="宋体" w:cs="ˎ̥"/>
          <w:color w:val="auto"/>
          <w:kern w:val="0"/>
          <w:sz w:val="24"/>
          <w:highlight w:val="none"/>
        </w:rPr>
        <w:t>服务方案；</w:t>
      </w:r>
    </w:p>
    <w:p>
      <w:pPr>
        <w:numPr>
          <w:ilvl w:val="0"/>
          <w:numId w:val="29"/>
        </w:numPr>
        <w:tabs>
          <w:tab w:val="left" w:pos="510"/>
          <w:tab w:val="left" w:pos="945"/>
          <w:tab w:val="left" w:pos="1155"/>
          <w:tab w:val="left" w:pos="3823"/>
        </w:tabs>
        <w:spacing w:line="360" w:lineRule="auto"/>
        <w:ind w:left="1060" w:hanging="640"/>
        <w:rPr>
          <w:rFonts w:ascii="宋体" w:hAnsi="宋体"/>
          <w:bCs/>
          <w:color w:val="auto"/>
          <w:sz w:val="24"/>
          <w:highlight w:val="none"/>
          <w:lang w:val="zh-CN"/>
        </w:rPr>
      </w:pPr>
      <w:r>
        <w:rPr>
          <w:rFonts w:hint="eastAsia" w:ascii="宋体" w:hAnsi="宋体"/>
          <w:bCs/>
          <w:color w:val="auto"/>
          <w:sz w:val="24"/>
          <w:highlight w:val="none"/>
        </w:rPr>
        <w:t>其他投标供应商认为有必要的技术文件内容</w:t>
      </w:r>
      <w:r>
        <w:rPr>
          <w:rFonts w:hint="eastAsia" w:ascii="宋体" w:hAnsi="宋体"/>
          <w:bCs/>
          <w:color w:val="auto"/>
          <w:sz w:val="24"/>
          <w:highlight w:val="none"/>
          <w:lang w:val="zh-CN"/>
        </w:rPr>
        <w:t>：</w:t>
      </w:r>
    </w:p>
    <w:p>
      <w:pPr>
        <w:widowControl/>
        <w:jc w:val="left"/>
        <w:rPr>
          <w:rFonts w:ascii="宋体" w:hAnsi="宋体"/>
          <w:bCs/>
          <w:color w:val="auto"/>
          <w:sz w:val="28"/>
          <w:szCs w:val="28"/>
          <w:highlight w:val="none"/>
        </w:rPr>
      </w:pPr>
      <w:r>
        <w:rPr>
          <w:rFonts w:ascii="宋体" w:hAnsi="宋体"/>
          <w:bCs/>
          <w:color w:val="auto"/>
          <w:sz w:val="28"/>
          <w:szCs w:val="28"/>
          <w:highlight w:val="none"/>
        </w:rPr>
        <w:br w:type="page"/>
      </w:r>
    </w:p>
    <w:bookmarkEnd w:id="16"/>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（十）中小企业声明函（格式）：</w:t>
      </w:r>
    </w:p>
    <w:p>
      <w:pPr>
        <w:rPr>
          <w:rFonts w:ascii="宋体" w:hAnsi="宋体"/>
          <w:color w:val="auto"/>
          <w:highlight w:val="none"/>
        </w:rPr>
      </w:pPr>
    </w:p>
    <w:p>
      <w:pPr>
        <w:ind w:firstLine="244" w:firstLineChars="81"/>
        <w:jc w:val="center"/>
        <w:rPr>
          <w:rFonts w:ascii="宋体" w:hAnsi="宋体"/>
          <w:color w:val="auto"/>
          <w:highlight w:val="none"/>
        </w:rPr>
      </w:pPr>
      <w:r>
        <w:rPr>
          <w:rFonts w:hint="eastAsia" w:ascii="宋体" w:hAnsi="宋体"/>
          <w:b/>
          <w:color w:val="auto"/>
          <w:sz w:val="30"/>
          <w:szCs w:val="30"/>
          <w:highlight w:val="none"/>
        </w:rPr>
        <w:t>中小企业声明函（服务）</w:t>
      </w:r>
    </w:p>
    <w:p>
      <w:pPr>
        <w:pStyle w:val="350"/>
        <w:spacing w:line="526" w:lineRule="exact"/>
        <w:ind w:firstLine="660"/>
        <w:rPr>
          <w:color w:val="auto"/>
          <w:sz w:val="24"/>
          <w:szCs w:val="24"/>
          <w:highlight w:val="none"/>
        </w:rPr>
      </w:pPr>
      <w:r>
        <w:rPr>
          <w:rFonts w:hint="eastAsia"/>
          <w:color w:val="auto"/>
          <w:sz w:val="24"/>
          <w:szCs w:val="24"/>
          <w:highlight w:val="none"/>
        </w:rPr>
        <w:t>本公司（联合体）郑重声明，根据《政府采购促进中小企业发展管理办法》（财库（2020）46号）的规定，本公司 （联合体）参加</w:t>
      </w:r>
      <w:r>
        <w:rPr>
          <w:rFonts w:hint="eastAsia"/>
          <w:iCs/>
          <w:color w:val="auto"/>
          <w:sz w:val="24"/>
          <w:szCs w:val="24"/>
          <w:highlight w:val="none"/>
          <w:u w:val="single"/>
        </w:rPr>
        <w:t>（单位名称）</w:t>
      </w:r>
      <w:r>
        <w:rPr>
          <w:rFonts w:hint="eastAsia"/>
          <w:color w:val="auto"/>
          <w:sz w:val="24"/>
          <w:szCs w:val="24"/>
          <w:highlight w:val="none"/>
        </w:rPr>
        <w:t>的</w:t>
      </w:r>
      <w:r>
        <w:rPr>
          <w:rFonts w:hint="eastAsia"/>
          <w:iCs/>
          <w:color w:val="auto"/>
          <w:sz w:val="24"/>
          <w:szCs w:val="24"/>
          <w:highlight w:val="none"/>
          <w:u w:val="single"/>
        </w:rPr>
        <w:t>（项目名称）</w:t>
      </w:r>
      <w:r>
        <w:rPr>
          <w:rFonts w:hint="eastAsia"/>
          <w:color w:val="auto"/>
          <w:sz w:val="24"/>
          <w:szCs w:val="24"/>
          <w:highlight w:val="none"/>
        </w:rPr>
        <w:t>采购活动,服务 全部由符合政策要求的中小企业承接。相关企业（含联合体中的中小企业、签订分包意向协议的中小企业）的具体情况如下：</w:t>
      </w:r>
    </w:p>
    <w:p>
      <w:pPr>
        <w:pStyle w:val="350"/>
        <w:numPr>
          <w:ilvl w:val="0"/>
          <w:numId w:val="8"/>
        </w:numPr>
        <w:tabs>
          <w:tab w:val="left" w:pos="1210"/>
          <w:tab w:val="left" w:pos="4805"/>
          <w:tab w:val="left" w:pos="7032"/>
        </w:tabs>
        <w:spacing w:line="526" w:lineRule="exact"/>
        <w:ind w:firstLine="660"/>
        <w:rPr>
          <w:color w:val="auto"/>
          <w:sz w:val="24"/>
          <w:szCs w:val="24"/>
          <w:highlight w:val="none"/>
        </w:rPr>
      </w:pPr>
      <w:bookmarkStart w:id="17" w:name="bookmark5"/>
      <w:bookmarkEnd w:id="17"/>
      <w:r>
        <w:rPr>
          <w:rFonts w:hint="eastAsia"/>
          <w:iCs/>
          <w:color w:val="auto"/>
          <w:sz w:val="24"/>
          <w:szCs w:val="24"/>
          <w:highlight w:val="none"/>
          <w:lang w:val="en-US" w:eastAsia="zh-CN"/>
        </w:rPr>
        <w:t>1、</w:t>
      </w:r>
      <w:r>
        <w:rPr>
          <w:rFonts w:hint="eastAsia"/>
          <w:iCs/>
          <w:color w:val="auto"/>
          <w:sz w:val="24"/>
          <w:szCs w:val="24"/>
          <w:highlight w:val="none"/>
          <w:u w:val="single"/>
        </w:rPr>
        <w:t>（标的名称）</w:t>
      </w:r>
      <w:r>
        <w:rPr>
          <w:rFonts w:hint="eastAsia"/>
          <w:color w:val="auto"/>
          <w:sz w:val="24"/>
          <w:szCs w:val="24"/>
          <w:highlight w:val="none"/>
        </w:rPr>
        <w:t>,属于</w:t>
      </w:r>
      <w:r>
        <w:rPr>
          <w:rFonts w:hint="eastAsia"/>
          <w:iCs/>
          <w:color w:val="auto"/>
          <w:sz w:val="24"/>
          <w:szCs w:val="24"/>
          <w:highlight w:val="none"/>
          <w:u w:val="single"/>
        </w:rPr>
        <w:t xml:space="preserve">（采购文件中明确的所属行业） </w:t>
      </w:r>
      <w:r>
        <w:rPr>
          <w:rFonts w:hint="eastAsia"/>
          <w:iCs/>
          <w:color w:val="auto"/>
          <w:sz w:val="24"/>
          <w:szCs w:val="24"/>
          <w:highlight w:val="none"/>
          <w:lang w:eastAsia="zh-CN"/>
        </w:rPr>
        <w:t>；</w:t>
      </w:r>
      <w:r>
        <w:rPr>
          <w:rFonts w:hint="eastAsia"/>
          <w:color w:val="auto"/>
          <w:sz w:val="24"/>
          <w:szCs w:val="24"/>
          <w:highlight w:val="none"/>
        </w:rPr>
        <w:t>承接企业为</w:t>
      </w:r>
      <w:r>
        <w:rPr>
          <w:rFonts w:hint="eastAsia"/>
          <w:iCs/>
          <w:color w:val="auto"/>
          <w:sz w:val="24"/>
          <w:szCs w:val="24"/>
          <w:highlight w:val="none"/>
          <w:u w:val="single"/>
        </w:rPr>
        <w:t>（企业名称）</w:t>
      </w:r>
      <w:r>
        <w:rPr>
          <w:rFonts w:hint="eastAsia"/>
          <w:iCs/>
          <w:color w:val="auto"/>
          <w:sz w:val="24"/>
          <w:szCs w:val="24"/>
          <w:highlight w:val="none"/>
        </w:rPr>
        <w:t>,</w:t>
      </w:r>
      <w:r>
        <w:rPr>
          <w:rFonts w:hint="eastAsia"/>
          <w:color w:val="auto"/>
          <w:sz w:val="24"/>
          <w:szCs w:val="24"/>
          <w:highlight w:val="none"/>
        </w:rPr>
        <w:t>从业人员</w:t>
      </w:r>
      <w:r>
        <w:rPr>
          <w:rFonts w:eastAsia="PMingLiU"/>
          <w:color w:val="auto"/>
          <w:sz w:val="24"/>
          <w:szCs w:val="24"/>
          <w:highlight w:val="none"/>
          <w:u w:val="single"/>
        </w:rPr>
        <w:t xml:space="preserve">        </w:t>
      </w:r>
      <w:r>
        <w:rPr>
          <w:rFonts w:hint="eastAsia"/>
          <w:color w:val="auto"/>
          <w:sz w:val="24"/>
          <w:szCs w:val="24"/>
          <w:highlight w:val="none"/>
        </w:rPr>
        <w:t>人，营业收入为</w:t>
      </w:r>
      <w:r>
        <w:rPr>
          <w:rFonts w:hint="eastAsia"/>
          <w:color w:val="auto"/>
          <w:sz w:val="24"/>
          <w:szCs w:val="24"/>
          <w:highlight w:val="none"/>
          <w:u w:val="single"/>
          <w:lang w:val="zh-CN" w:eastAsia="zh-CN" w:bidi="zh-CN"/>
        </w:rPr>
        <w:t xml:space="preserve"> </w:t>
      </w:r>
      <w:r>
        <w:rPr>
          <w:color w:val="auto"/>
          <w:sz w:val="24"/>
          <w:szCs w:val="24"/>
          <w:highlight w:val="none"/>
          <w:u w:val="single"/>
          <w:lang w:val="zh-CN" w:eastAsia="zh-CN" w:bidi="zh-CN"/>
        </w:rPr>
        <w:t xml:space="preserve">    </w:t>
      </w:r>
      <w:r>
        <w:rPr>
          <w:rFonts w:hint="eastAsia"/>
          <w:color w:val="auto"/>
          <w:sz w:val="24"/>
          <w:szCs w:val="24"/>
          <w:highlight w:val="none"/>
        </w:rPr>
        <w:t>万元，资产总额为</w:t>
      </w:r>
      <w:r>
        <w:rPr>
          <w:rFonts w:hint="eastAsia"/>
          <w:color w:val="auto"/>
          <w:sz w:val="24"/>
          <w:szCs w:val="24"/>
          <w:highlight w:val="none"/>
          <w:u w:val="single"/>
        </w:rPr>
        <w:t xml:space="preserve"> </w:t>
      </w:r>
      <w:r>
        <w:rPr>
          <w:rFonts w:eastAsia="PMingLiU"/>
          <w:color w:val="auto"/>
          <w:sz w:val="24"/>
          <w:szCs w:val="24"/>
          <w:highlight w:val="none"/>
          <w:u w:val="single"/>
        </w:rPr>
        <w:t xml:space="preserve"> </w:t>
      </w:r>
      <w:r>
        <w:rPr>
          <w:rFonts w:hint="eastAsia"/>
          <w:color w:val="auto"/>
          <w:sz w:val="24"/>
          <w:szCs w:val="24"/>
          <w:highlight w:val="none"/>
          <w:u w:val="single"/>
        </w:rPr>
        <w:tab/>
      </w:r>
      <w:r>
        <w:rPr>
          <w:rFonts w:hint="eastAsia"/>
          <w:color w:val="auto"/>
          <w:sz w:val="24"/>
          <w:szCs w:val="24"/>
          <w:highlight w:val="none"/>
        </w:rPr>
        <w:t>万元</w:t>
      </w:r>
      <w:r>
        <w:rPr>
          <w:rFonts w:hint="eastAsia"/>
          <w:color w:val="auto"/>
          <w:sz w:val="24"/>
          <w:szCs w:val="24"/>
          <w:highlight w:val="none"/>
          <w:lang w:val="en-US" w:eastAsia="zh-CN" w:bidi="en-US"/>
        </w:rPr>
        <w:t>，</w:t>
      </w:r>
      <w:r>
        <w:rPr>
          <w:rFonts w:hint="eastAsia"/>
          <w:color w:val="auto"/>
          <w:sz w:val="24"/>
          <w:szCs w:val="24"/>
          <w:highlight w:val="none"/>
        </w:rPr>
        <w:t>属于</w:t>
      </w:r>
      <w:r>
        <w:rPr>
          <w:rFonts w:hint="eastAsia"/>
          <w:iCs/>
          <w:color w:val="auto"/>
          <w:sz w:val="24"/>
          <w:szCs w:val="24"/>
          <w:highlight w:val="none"/>
          <w:u w:val="single"/>
        </w:rPr>
        <w:t>（中型企业、小型企业、微型企业）</w:t>
      </w:r>
      <w:r>
        <w:rPr>
          <w:rFonts w:hint="eastAsia"/>
          <w:iCs/>
          <w:color w:val="auto"/>
          <w:sz w:val="24"/>
          <w:szCs w:val="24"/>
          <w:highlight w:val="none"/>
          <w:lang w:eastAsia="zh-CN"/>
        </w:rPr>
        <w:t>；</w:t>
      </w:r>
    </w:p>
    <w:p>
      <w:pPr>
        <w:pStyle w:val="350"/>
        <w:numPr>
          <w:ilvl w:val="0"/>
          <w:numId w:val="8"/>
        </w:numPr>
        <w:tabs>
          <w:tab w:val="left" w:pos="1210"/>
          <w:tab w:val="left" w:pos="7051"/>
        </w:tabs>
        <w:spacing w:line="526" w:lineRule="exact"/>
        <w:ind w:firstLine="660"/>
        <w:rPr>
          <w:color w:val="auto"/>
          <w:sz w:val="24"/>
          <w:szCs w:val="24"/>
          <w:highlight w:val="none"/>
        </w:rPr>
      </w:pPr>
      <w:bookmarkStart w:id="18" w:name="bookmark6"/>
      <w:bookmarkEnd w:id="18"/>
      <w:r>
        <w:rPr>
          <w:rFonts w:hint="eastAsia"/>
          <w:iCs/>
          <w:color w:val="auto"/>
          <w:sz w:val="24"/>
          <w:szCs w:val="24"/>
          <w:highlight w:val="none"/>
          <w:lang w:val="en-US" w:eastAsia="zh-CN"/>
        </w:rPr>
        <w:t>2、</w:t>
      </w:r>
      <w:r>
        <w:rPr>
          <w:rFonts w:hint="eastAsia"/>
          <w:iCs/>
          <w:color w:val="auto"/>
          <w:sz w:val="24"/>
          <w:szCs w:val="24"/>
          <w:highlight w:val="none"/>
          <w:u w:val="single"/>
        </w:rPr>
        <w:t>（标的名称）</w:t>
      </w:r>
      <w:r>
        <w:rPr>
          <w:rFonts w:hint="eastAsia"/>
          <w:color w:val="auto"/>
          <w:sz w:val="24"/>
          <w:szCs w:val="24"/>
          <w:highlight w:val="none"/>
        </w:rPr>
        <w:t>,属于</w:t>
      </w:r>
      <w:r>
        <w:rPr>
          <w:rFonts w:hint="eastAsia"/>
          <w:iCs/>
          <w:color w:val="auto"/>
          <w:sz w:val="24"/>
          <w:szCs w:val="24"/>
          <w:highlight w:val="none"/>
          <w:u w:val="single"/>
        </w:rPr>
        <w:t>（采购文件中明确的所属行业）</w:t>
      </w:r>
      <w:r>
        <w:rPr>
          <w:rFonts w:eastAsia="PMingLiU"/>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承接企业为</w:t>
      </w:r>
      <w:r>
        <w:rPr>
          <w:rFonts w:hint="eastAsia"/>
          <w:iCs/>
          <w:color w:val="auto"/>
          <w:sz w:val="24"/>
          <w:szCs w:val="24"/>
          <w:highlight w:val="none"/>
          <w:u w:val="single"/>
        </w:rPr>
        <w:t>（企业名称）</w:t>
      </w:r>
      <w:r>
        <w:rPr>
          <w:rFonts w:hint="eastAsia"/>
          <w:iCs/>
          <w:color w:val="auto"/>
          <w:sz w:val="24"/>
          <w:szCs w:val="24"/>
          <w:highlight w:val="none"/>
        </w:rPr>
        <w:t>,</w:t>
      </w:r>
      <w:r>
        <w:rPr>
          <w:rFonts w:hint="eastAsia"/>
          <w:color w:val="auto"/>
          <w:sz w:val="24"/>
          <w:szCs w:val="24"/>
          <w:highlight w:val="none"/>
        </w:rPr>
        <w:t>从业人员</w:t>
      </w:r>
      <w:r>
        <w:rPr>
          <w:rFonts w:eastAsia="PMingLiU"/>
          <w:color w:val="auto"/>
          <w:sz w:val="24"/>
          <w:szCs w:val="24"/>
          <w:highlight w:val="none"/>
          <w:u w:val="single"/>
        </w:rPr>
        <w:t xml:space="preserve">    人</w:t>
      </w:r>
      <w:r>
        <w:rPr>
          <w:rFonts w:hint="eastAsia"/>
          <w:color w:val="auto"/>
          <w:sz w:val="24"/>
          <w:szCs w:val="24"/>
          <w:highlight w:val="none"/>
        </w:rPr>
        <w:t>,营业收入为</w:t>
      </w:r>
      <w:r>
        <w:rPr>
          <w:rFonts w:hint="eastAsia"/>
          <w:color w:val="auto"/>
          <w:sz w:val="24"/>
          <w:szCs w:val="24"/>
          <w:highlight w:val="none"/>
          <w:u w:val="single"/>
          <w:lang w:val="zh-CN" w:eastAsia="zh-CN" w:bidi="zh-CN"/>
        </w:rPr>
        <w:t xml:space="preserve"> </w:t>
      </w:r>
      <w:r>
        <w:rPr>
          <w:color w:val="auto"/>
          <w:sz w:val="24"/>
          <w:szCs w:val="24"/>
          <w:highlight w:val="none"/>
          <w:u w:val="single"/>
          <w:lang w:val="zh-CN" w:eastAsia="zh-CN" w:bidi="zh-CN"/>
        </w:rPr>
        <w:t xml:space="preserve">   </w:t>
      </w:r>
      <w:r>
        <w:rPr>
          <w:rFonts w:hint="eastAsia"/>
          <w:color w:val="auto"/>
          <w:sz w:val="24"/>
          <w:szCs w:val="24"/>
          <w:highlight w:val="none"/>
        </w:rPr>
        <w:t>万元，资产总额为</w:t>
      </w:r>
      <w:r>
        <w:rPr>
          <w:rFonts w:hint="eastAsia"/>
          <w:color w:val="auto"/>
          <w:sz w:val="24"/>
          <w:szCs w:val="24"/>
          <w:highlight w:val="none"/>
          <w:u w:val="single"/>
          <w:lang w:val="zh-CN" w:eastAsia="zh-CN" w:bidi="zh-CN"/>
        </w:rPr>
        <w:t xml:space="preserve"> </w:t>
      </w:r>
      <w:r>
        <w:rPr>
          <w:color w:val="auto"/>
          <w:sz w:val="24"/>
          <w:szCs w:val="24"/>
          <w:highlight w:val="none"/>
          <w:u w:val="single"/>
          <w:lang w:val="zh-CN" w:eastAsia="zh-CN" w:bidi="zh-CN"/>
        </w:rPr>
        <w:t xml:space="preserve">    </w:t>
      </w:r>
      <w:r>
        <w:rPr>
          <w:rFonts w:hint="eastAsia"/>
          <w:color w:val="auto"/>
          <w:sz w:val="24"/>
          <w:szCs w:val="24"/>
          <w:highlight w:val="none"/>
        </w:rPr>
        <w:t>万元，属于</w:t>
      </w:r>
      <w:r>
        <w:rPr>
          <w:rFonts w:hint="eastAsia"/>
          <w:iCs/>
          <w:color w:val="auto"/>
          <w:sz w:val="24"/>
          <w:szCs w:val="24"/>
          <w:highlight w:val="none"/>
          <w:u w:val="single"/>
        </w:rPr>
        <w:t>（中型企业、 小型企业、微型企业）</w:t>
      </w:r>
      <w:r>
        <w:rPr>
          <w:rFonts w:hint="eastAsia"/>
          <w:iCs/>
          <w:color w:val="auto"/>
          <w:sz w:val="24"/>
          <w:szCs w:val="24"/>
          <w:highlight w:val="none"/>
          <w:lang w:eastAsia="zh-CN"/>
        </w:rPr>
        <w:t>；</w:t>
      </w:r>
    </w:p>
    <w:p>
      <w:pPr>
        <w:pStyle w:val="350"/>
        <w:numPr>
          <w:ilvl w:val="0"/>
          <w:numId w:val="8"/>
        </w:numPr>
        <w:tabs>
          <w:tab w:val="left" w:pos="1210"/>
          <w:tab w:val="left" w:pos="7051"/>
        </w:tabs>
        <w:spacing w:line="526" w:lineRule="exact"/>
        <w:ind w:firstLine="660"/>
        <w:rPr>
          <w:color w:val="auto"/>
          <w:sz w:val="24"/>
          <w:szCs w:val="24"/>
          <w:highlight w:val="none"/>
        </w:rPr>
      </w:pPr>
      <w:r>
        <w:rPr>
          <w:rFonts w:hint="eastAsia"/>
          <w:iCs/>
          <w:color w:val="auto"/>
          <w:sz w:val="24"/>
          <w:szCs w:val="24"/>
          <w:highlight w:val="none"/>
          <w:lang w:val="en-US" w:eastAsia="zh-CN"/>
        </w:rPr>
        <w:t>.......</w:t>
      </w:r>
    </w:p>
    <w:p>
      <w:pPr>
        <w:pStyle w:val="350"/>
        <w:numPr>
          <w:ilvl w:val="0"/>
          <w:numId w:val="8"/>
        </w:numPr>
        <w:tabs>
          <w:tab w:val="left" w:pos="1210"/>
          <w:tab w:val="left" w:pos="7051"/>
        </w:tabs>
        <w:spacing w:line="526" w:lineRule="exact"/>
        <w:ind w:firstLine="660"/>
        <w:rPr>
          <w:bCs/>
          <w:color w:val="auto"/>
          <w:sz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pPr>
        <w:pStyle w:val="350"/>
        <w:numPr>
          <w:ilvl w:val="0"/>
          <w:numId w:val="8"/>
        </w:numPr>
        <w:tabs>
          <w:tab w:val="left" w:pos="1210"/>
          <w:tab w:val="left" w:pos="7051"/>
        </w:tabs>
        <w:spacing w:line="526" w:lineRule="exact"/>
        <w:ind w:firstLine="660"/>
        <w:rPr>
          <w:bCs/>
          <w:color w:val="auto"/>
          <w:sz w:val="24"/>
          <w:highlight w:val="none"/>
        </w:rPr>
      </w:pPr>
      <w:r>
        <w:rPr>
          <w:rFonts w:hint="eastAsia"/>
          <w:color w:val="auto"/>
          <w:sz w:val="24"/>
          <w:szCs w:val="24"/>
          <w:highlight w:val="none"/>
        </w:rPr>
        <w:t>本企业对上述声明内容的真实性负责。如有虚假，将依法承担相应责任。</w:t>
      </w:r>
    </w:p>
    <w:p>
      <w:pPr>
        <w:spacing w:line="360" w:lineRule="auto"/>
        <w:ind w:firstLine="194" w:firstLineChars="81"/>
        <w:rPr>
          <w:rFonts w:ascii="宋体" w:hAnsi="宋体"/>
          <w:bCs/>
          <w:color w:val="auto"/>
          <w:sz w:val="24"/>
          <w:highlight w:val="none"/>
        </w:rPr>
      </w:pPr>
    </w:p>
    <w:p>
      <w:pPr>
        <w:spacing w:line="360" w:lineRule="auto"/>
        <w:ind w:right="960" w:firstLine="194" w:firstLineChars="81"/>
        <w:jc w:val="center"/>
        <w:rPr>
          <w:rFonts w:ascii="宋体" w:hAnsi="宋体"/>
          <w:bCs/>
          <w:color w:val="auto"/>
          <w:sz w:val="24"/>
          <w:highlight w:val="none"/>
        </w:rPr>
      </w:pPr>
      <w:r>
        <w:rPr>
          <w:rFonts w:hint="eastAsia" w:ascii="宋体" w:hAnsi="宋体"/>
          <w:bCs/>
          <w:color w:val="auto"/>
          <w:sz w:val="24"/>
          <w:highlight w:val="none"/>
        </w:rPr>
        <w:t xml:space="preserve"> </w:t>
      </w:r>
      <w:r>
        <w:rPr>
          <w:rFonts w:ascii="宋体" w:hAnsi="宋体"/>
          <w:bCs/>
          <w:color w:val="auto"/>
          <w:sz w:val="24"/>
          <w:highlight w:val="none"/>
        </w:rPr>
        <w:t xml:space="preserve">           </w:t>
      </w:r>
      <w:r>
        <w:rPr>
          <w:rFonts w:hint="eastAsia" w:ascii="宋体" w:hAnsi="宋体"/>
          <w:bCs/>
          <w:color w:val="auto"/>
          <w:sz w:val="24"/>
          <w:highlight w:val="none"/>
        </w:rPr>
        <w:t>企业名称（盖章）：</w:t>
      </w:r>
    </w:p>
    <w:p>
      <w:pPr>
        <w:spacing w:line="360" w:lineRule="auto"/>
        <w:ind w:firstLine="194" w:firstLineChars="81"/>
        <w:jc w:val="right"/>
        <w:rPr>
          <w:rFonts w:ascii="宋体" w:hAnsi="宋体"/>
          <w:bCs/>
          <w:color w:val="auto"/>
          <w:sz w:val="24"/>
          <w:highlight w:val="none"/>
        </w:rPr>
      </w:pPr>
    </w:p>
    <w:p>
      <w:pPr>
        <w:spacing w:line="360" w:lineRule="auto"/>
        <w:ind w:right="960" w:firstLine="5280" w:firstLineChars="2200"/>
        <w:rPr>
          <w:rFonts w:ascii="宋体" w:hAnsi="宋体"/>
          <w:bCs/>
          <w:color w:val="auto"/>
          <w:sz w:val="24"/>
          <w:highlight w:val="none"/>
        </w:rPr>
      </w:pPr>
      <w:r>
        <w:rPr>
          <w:rFonts w:hint="eastAsia" w:ascii="宋体" w:hAnsi="宋体"/>
          <w:bCs/>
          <w:color w:val="auto"/>
          <w:sz w:val="24"/>
          <w:highlight w:val="none"/>
        </w:rPr>
        <w:t>日期：</w:t>
      </w:r>
    </w:p>
    <w:p>
      <w:pPr>
        <w:rPr>
          <w:color w:val="auto"/>
          <w:highlight w:val="none"/>
        </w:rPr>
      </w:pPr>
    </w:p>
    <w:p>
      <w:pPr>
        <w:pStyle w:val="275"/>
        <w:numPr>
          <w:ilvl w:val="6"/>
          <w:numId w:val="30"/>
        </w:numPr>
        <w:adjustRightInd w:val="0"/>
        <w:snapToGrid w:val="0"/>
        <w:ind w:left="0" w:firstLine="0" w:firstLineChars="0"/>
        <w:rPr>
          <w:rFonts w:ascii="宋体" w:hAnsi="宋体" w:cs="@楷体_GB2312"/>
          <w:b/>
          <w:color w:val="auto"/>
          <w:szCs w:val="21"/>
          <w:highlight w:val="none"/>
        </w:rPr>
      </w:pPr>
      <w:r>
        <w:rPr>
          <w:rFonts w:ascii="宋体" w:hAnsi="宋体" w:cs="@楷体_GB2312"/>
          <w:b/>
          <w:color w:val="auto"/>
          <w:szCs w:val="21"/>
          <w:highlight w:val="none"/>
        </w:rPr>
        <w:t>从业人员、营业收入、资产总额填报上一年度数据，无上一年度数据的新成立企业</w:t>
      </w:r>
      <w:r>
        <w:rPr>
          <w:rFonts w:hint="eastAsia" w:ascii="宋体" w:hAnsi="宋体" w:cs="@楷体_GB2312"/>
          <w:b/>
          <w:color w:val="auto"/>
          <w:szCs w:val="21"/>
          <w:highlight w:val="none"/>
        </w:rPr>
        <w:t>可不填报。</w:t>
      </w:r>
    </w:p>
    <w:p>
      <w:pPr>
        <w:pStyle w:val="275"/>
        <w:numPr>
          <w:ilvl w:val="6"/>
          <w:numId w:val="30"/>
        </w:numPr>
        <w:adjustRightInd w:val="0"/>
        <w:snapToGrid w:val="0"/>
        <w:ind w:left="0" w:firstLine="0" w:firstLineChars="0"/>
        <w:rPr>
          <w:rFonts w:ascii="宋体" w:hAnsi="宋体" w:cs="@楷体_GB2312"/>
          <w:b/>
          <w:color w:val="auto"/>
          <w:szCs w:val="21"/>
          <w:highlight w:val="none"/>
        </w:rPr>
      </w:pPr>
      <w:bookmarkStart w:id="19" w:name="_Hlk62725749"/>
      <w:bookmarkStart w:id="20" w:name="_Hlk62575945"/>
      <w:r>
        <w:rPr>
          <w:rFonts w:hint="eastAsia" w:ascii="宋体" w:hAnsi="宋体" w:cs="@楷体_GB2312"/>
          <w:b/>
          <w:color w:val="auto"/>
          <w:szCs w:val="21"/>
          <w:highlight w:val="none"/>
        </w:rPr>
        <w:t>中标、成交供应商的《中小企业声明函》将随中标、成交公告进行公示。供应商按照本办法规定提供声明函内容不实的，属于提供虚假材料谋取中标、成交，依照《中华人民共和国政府采购法》等国家有关规定追究相应责任。</w:t>
      </w:r>
    </w:p>
    <w:bookmarkEnd w:id="19"/>
    <w:bookmarkEnd w:id="20"/>
    <w:p>
      <w:pPr>
        <w:rPr>
          <w:color w:val="auto"/>
          <w:szCs w:val="21"/>
          <w:highlight w:val="none"/>
        </w:rPr>
      </w:pPr>
    </w:p>
    <w:p>
      <w:pPr>
        <w:rPr>
          <w:color w:val="auto"/>
          <w:highlight w:val="none"/>
        </w:rPr>
      </w:pPr>
    </w:p>
    <w:p>
      <w:pPr>
        <w:rPr>
          <w:rFonts w:ascii="宋体" w:hAnsi="宋体"/>
          <w:b/>
          <w:color w:val="auto"/>
          <w:sz w:val="28"/>
          <w:szCs w:val="28"/>
          <w:highlight w:val="none"/>
        </w:rPr>
      </w:pPr>
      <w:r>
        <w:rPr>
          <w:rFonts w:hint="eastAsia" w:ascii="宋体" w:hAnsi="宋体"/>
          <w:b/>
          <w:color w:val="auto"/>
          <w:sz w:val="28"/>
          <w:szCs w:val="28"/>
          <w:highlight w:val="none"/>
        </w:rPr>
        <w:br w:type="page"/>
      </w:r>
    </w:p>
    <w:p>
      <w:pPr>
        <w:spacing w:line="400" w:lineRule="exact"/>
        <w:ind w:firstLine="228" w:firstLineChars="81"/>
        <w:jc w:val="center"/>
        <w:rPr>
          <w:rFonts w:ascii="宋体" w:hAnsi="宋体"/>
          <w:b/>
          <w:color w:val="auto"/>
          <w:sz w:val="28"/>
          <w:szCs w:val="28"/>
          <w:highlight w:val="none"/>
        </w:rPr>
      </w:pPr>
      <w:r>
        <w:rPr>
          <w:rFonts w:hint="eastAsia" w:ascii="宋体" w:hAnsi="宋体"/>
          <w:b/>
          <w:color w:val="auto"/>
          <w:sz w:val="28"/>
          <w:szCs w:val="28"/>
          <w:highlight w:val="none"/>
        </w:rPr>
        <w:t>（十一）</w:t>
      </w:r>
      <w:bookmarkStart w:id="21" w:name="_Hlk2681693"/>
      <w:r>
        <w:rPr>
          <w:rFonts w:hint="eastAsia" w:ascii="宋体" w:hAnsi="宋体"/>
          <w:b/>
          <w:color w:val="auto"/>
          <w:sz w:val="28"/>
          <w:szCs w:val="28"/>
          <w:highlight w:val="none"/>
        </w:rPr>
        <w:t>残疾人福利性单位声明函</w:t>
      </w:r>
      <w:bookmarkEnd w:id="21"/>
      <w:r>
        <w:rPr>
          <w:rFonts w:hint="eastAsia" w:ascii="宋体" w:hAnsi="宋体"/>
          <w:b/>
          <w:color w:val="auto"/>
          <w:sz w:val="28"/>
          <w:szCs w:val="28"/>
          <w:highlight w:val="none"/>
        </w:rPr>
        <w:t>（格式）</w:t>
      </w:r>
    </w:p>
    <w:p>
      <w:pPr>
        <w:pStyle w:val="60"/>
        <w:shd w:val="clear" w:color="auto" w:fill="FFFFFF"/>
        <w:spacing w:before="0" w:beforeAutospacing="0" w:after="0" w:afterAutospacing="0" w:line="480" w:lineRule="atLeast"/>
        <w:jc w:val="center"/>
        <w:rPr>
          <w:rFonts w:ascii="宋体" w:hAnsi="宋体"/>
          <w:b/>
          <w:color w:val="auto"/>
          <w:sz w:val="28"/>
          <w:szCs w:val="28"/>
          <w:highlight w:val="none"/>
        </w:rPr>
      </w:pPr>
      <w:r>
        <w:rPr>
          <w:rFonts w:hint="eastAsia" w:ascii="宋体" w:hAnsi="宋体"/>
          <w:b/>
          <w:color w:val="auto"/>
          <w:sz w:val="28"/>
          <w:szCs w:val="28"/>
          <w:highlight w:val="none"/>
        </w:rPr>
        <w:t>残疾人福利性单位声明函</w:t>
      </w:r>
    </w:p>
    <w:p>
      <w:pPr>
        <w:pStyle w:val="60"/>
        <w:shd w:val="clear" w:color="auto" w:fill="FFFFFF"/>
        <w:spacing w:before="0" w:beforeAutospacing="0" w:after="0" w:afterAutospacing="0" w:line="480" w:lineRule="atLeast"/>
        <w:rPr>
          <w:rFonts w:ascii="宋体" w:hAnsi="宋体"/>
          <w:color w:val="auto"/>
          <w:highlight w:val="none"/>
        </w:rPr>
      </w:pPr>
      <w:r>
        <w:rPr>
          <w:rFonts w:hint="eastAsia" w:ascii="宋体" w:hAnsi="宋体"/>
          <w:color w:val="auto"/>
          <w:highlight w:val="none"/>
        </w:rPr>
        <w:t>    本单位郑重声明，根据《财政部 民政部 中国残疾人联合会关于促进残疾人就业政府采购政策的通知》（财库〔2017〕 141号）的规定，本单位为符合条件的残疾人福利性单位，且本单位参加</w:t>
      </w:r>
      <w:r>
        <w:rPr>
          <w:rFonts w:ascii="宋体" w:hAnsi="宋体"/>
          <w:color w:val="auto"/>
          <w:highlight w:val="none"/>
          <w:u w:val="single"/>
        </w:rPr>
        <w:t xml:space="preserve">             </w:t>
      </w:r>
      <w:r>
        <w:rPr>
          <w:rFonts w:hint="eastAsia" w:ascii="宋体" w:hAnsi="宋体"/>
          <w:color w:val="auto"/>
          <w:highlight w:val="none"/>
        </w:rPr>
        <w:t>单位的</w:t>
      </w:r>
      <w:r>
        <w:rPr>
          <w:rFonts w:ascii="宋体" w:hAnsi="宋体"/>
          <w:color w:val="auto"/>
          <w:highlight w:val="none"/>
          <w:u w:val="single"/>
        </w:rPr>
        <w:t xml:space="preserve">                 </w:t>
      </w:r>
      <w:r>
        <w:rPr>
          <w:rFonts w:hint="eastAsia" w:ascii="宋体" w:hAnsi="宋体"/>
          <w:color w:val="auto"/>
          <w:highlight w:val="none"/>
        </w:rPr>
        <w:t>项目采购活动提供本单位制造的货物（由本单位承担工程/提供服务），或者提供其他残疾人福利性单位制造的货物（不包括使用非残疾人福利性单位注册商标的货物）。</w:t>
      </w:r>
    </w:p>
    <w:p>
      <w:pPr>
        <w:pStyle w:val="60"/>
        <w:shd w:val="clear" w:color="auto" w:fill="FFFFFF"/>
        <w:spacing w:before="0" w:beforeAutospacing="0" w:after="0" w:afterAutospacing="0" w:line="480" w:lineRule="atLeast"/>
        <w:rPr>
          <w:rFonts w:ascii="宋体" w:hAnsi="宋体"/>
          <w:color w:val="auto"/>
          <w:highlight w:val="none"/>
        </w:rPr>
      </w:pPr>
      <w:r>
        <w:rPr>
          <w:rFonts w:hint="eastAsia" w:ascii="宋体" w:hAnsi="宋体"/>
          <w:color w:val="auto"/>
          <w:highlight w:val="none"/>
        </w:rPr>
        <w:t>本单位对上述声明的真实性负责。如有虚假，将依法承担相应责任。</w:t>
      </w:r>
    </w:p>
    <w:p>
      <w:pPr>
        <w:pStyle w:val="60"/>
        <w:shd w:val="clear" w:color="auto" w:fill="FFFFFF"/>
        <w:spacing w:before="0" w:beforeAutospacing="0" w:after="0" w:afterAutospacing="0" w:line="480" w:lineRule="atLeast"/>
        <w:rPr>
          <w:rFonts w:ascii="宋体" w:hAnsi="宋体"/>
          <w:color w:val="auto"/>
          <w:highlight w:val="none"/>
        </w:rPr>
      </w:pPr>
      <w:r>
        <w:rPr>
          <w:rFonts w:hint="eastAsia" w:ascii="宋体" w:hAnsi="宋体"/>
          <w:color w:val="auto"/>
          <w:highlight w:val="none"/>
        </w:rPr>
        <w:t> </w:t>
      </w:r>
    </w:p>
    <w:p>
      <w:pPr>
        <w:pStyle w:val="60"/>
        <w:shd w:val="clear" w:color="auto" w:fill="FFFFFF"/>
        <w:spacing w:before="0" w:beforeAutospacing="0" w:after="0" w:afterAutospacing="0" w:line="480" w:lineRule="atLeast"/>
        <w:rPr>
          <w:rFonts w:ascii="宋体" w:hAnsi="宋体"/>
          <w:color w:val="auto"/>
          <w:highlight w:val="none"/>
        </w:rPr>
      </w:pPr>
      <w:r>
        <w:rPr>
          <w:rFonts w:hint="eastAsia" w:ascii="宋体" w:hAnsi="宋体"/>
          <w:color w:val="auto"/>
          <w:highlight w:val="none"/>
        </w:rPr>
        <w:t> </w:t>
      </w:r>
    </w:p>
    <w:p>
      <w:pPr>
        <w:pStyle w:val="60"/>
        <w:shd w:val="clear" w:color="auto" w:fill="FFFFFF"/>
        <w:spacing w:before="0" w:beforeAutospacing="0" w:after="0" w:afterAutospacing="0" w:line="480" w:lineRule="atLeast"/>
        <w:rPr>
          <w:rFonts w:ascii="宋体" w:hAnsi="宋体"/>
          <w:color w:val="auto"/>
          <w:highlight w:val="none"/>
        </w:rPr>
      </w:pPr>
      <w:r>
        <w:rPr>
          <w:rFonts w:hint="eastAsia" w:ascii="宋体" w:hAnsi="宋体"/>
          <w:color w:val="auto"/>
          <w:highlight w:val="none"/>
        </w:rPr>
        <w:t>                                                        单位名称（盖章）：</w:t>
      </w:r>
    </w:p>
    <w:p>
      <w:pPr>
        <w:ind w:firstLine="367" w:firstLineChars="175"/>
        <w:outlineLvl w:val="0"/>
        <w:rPr>
          <w:rFonts w:ascii="宋体" w:hAnsi="宋体"/>
          <w:bCs/>
          <w:color w:val="auto"/>
          <w:sz w:val="28"/>
          <w:szCs w:val="28"/>
          <w:highlight w:val="none"/>
        </w:rPr>
      </w:pPr>
      <w:r>
        <w:rPr>
          <w:rFonts w:hint="eastAsia" w:ascii="宋体" w:hAnsi="宋体"/>
          <w:color w:val="auto"/>
          <w:highlight w:val="none"/>
        </w:rPr>
        <w:t>                                         </w:t>
      </w:r>
    </w:p>
    <w:sectPr>
      <w:footerReference r:id="rId6" w:type="default"/>
      <w:pgSz w:w="11906" w:h="16838"/>
      <w:pgMar w:top="1440" w:right="1286" w:bottom="111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Garamond">
    <w:panose1 w:val="02020404030301010803"/>
    <w:charset w:val="00"/>
    <w:family w:val="roman"/>
    <w:pitch w:val="default"/>
    <w:sig w:usb0="00000287" w:usb1="00000000" w:usb2="00000000" w:usb3="00000000" w:csb0="0000009F" w:csb1="DFD70000"/>
  </w:font>
  <w:font w:name="ˎ̥">
    <w:altName w:val="Times New Roman"/>
    <w:panose1 w:val="00000000000000000000"/>
    <w:charset w:val="00"/>
    <w:family w:val="roman"/>
    <w:pitch w:val="default"/>
    <w:sig w:usb0="00000000" w:usb1="00000000" w:usb2="00000000" w:usb3="00000000" w:csb0="00040001" w:csb1="00000000"/>
  </w:font>
  <w:font w:name="文鼎CS中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CIDFont+F1">
    <w:altName w:val="Cambria"/>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楷体_GB2312">
    <w:altName w:val="宋体"/>
    <w:panose1 w:val="02010609030101010101"/>
    <w:charset w:val="86"/>
    <w:family w:val="modern"/>
    <w:pitch w:val="default"/>
    <w:sig w:usb0="00000000" w:usb1="0000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w:rPr>
        <w:rStyle w:val="71"/>
        <w:kern w:val="0"/>
        <w:szCs w:val="21"/>
      </w:rPr>
      <w:t xml:space="preserve">- </w:t>
    </w:r>
    <w:r>
      <w:rPr>
        <w:kern w:val="0"/>
        <w:szCs w:val="21"/>
      </w:rPr>
      <w:fldChar w:fldCharType="begin"/>
    </w:r>
    <w:r>
      <w:rPr>
        <w:rStyle w:val="71"/>
        <w:kern w:val="0"/>
        <w:szCs w:val="21"/>
      </w:rPr>
      <w:instrText xml:space="preserve"> PAGE </w:instrText>
    </w:r>
    <w:r>
      <w:rPr>
        <w:kern w:val="0"/>
        <w:szCs w:val="21"/>
      </w:rPr>
      <w:fldChar w:fldCharType="separate"/>
    </w:r>
    <w:r>
      <w:rPr>
        <w:rStyle w:val="71"/>
        <w:kern w:val="0"/>
        <w:szCs w:val="21"/>
      </w:rPr>
      <w:t>20</w:t>
    </w:r>
    <w:r>
      <w:rPr>
        <w:kern w:val="0"/>
        <w:szCs w:val="21"/>
      </w:rPr>
      <w:fldChar w:fldCharType="end"/>
    </w:r>
    <w:r>
      <w:rPr>
        <w:rStyle w:val="71"/>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center" w:y="1"/>
      <w:rPr>
        <w:rStyle w:val="71"/>
      </w:rPr>
    </w:pPr>
    <w:r>
      <w:fldChar w:fldCharType="begin"/>
    </w:r>
    <w:r>
      <w:rPr>
        <w:rStyle w:val="71"/>
      </w:rPr>
      <w:instrText xml:space="preserve">PAGE  </w:instrText>
    </w:r>
    <w:r>
      <w:fldChar w:fldCharType="end"/>
    </w:r>
  </w:p>
  <w:p>
    <w:pPr>
      <w:pStyle w:val="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r>
      <w:rPr>
        <w:rStyle w:val="71"/>
        <w:kern w:val="0"/>
        <w:szCs w:val="21"/>
      </w:rPr>
      <w:t xml:space="preserve">- </w:t>
    </w:r>
    <w:r>
      <w:rPr>
        <w:kern w:val="0"/>
        <w:szCs w:val="21"/>
      </w:rPr>
      <w:fldChar w:fldCharType="begin"/>
    </w:r>
    <w:r>
      <w:rPr>
        <w:rStyle w:val="71"/>
        <w:kern w:val="0"/>
        <w:szCs w:val="21"/>
      </w:rPr>
      <w:instrText xml:space="preserve"> PAGE </w:instrText>
    </w:r>
    <w:r>
      <w:rPr>
        <w:kern w:val="0"/>
        <w:szCs w:val="21"/>
      </w:rPr>
      <w:fldChar w:fldCharType="separate"/>
    </w:r>
    <w:r>
      <w:rPr>
        <w:rStyle w:val="71"/>
        <w:kern w:val="0"/>
        <w:szCs w:val="21"/>
      </w:rPr>
      <w:t>26</w:t>
    </w:r>
    <w:r>
      <w:rPr>
        <w:kern w:val="0"/>
        <w:szCs w:val="21"/>
      </w:rPr>
      <w:fldChar w:fldCharType="end"/>
    </w:r>
    <w:r>
      <w:rPr>
        <w:rStyle w:val="71"/>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single" w:color="auto" w:sz="6" w:space="0"/>
      </w:pBdr>
      <w:jc w:val="left"/>
    </w:pPr>
    <w:r>
      <w:rPr>
        <w:rFonts w:hint="eastAsia" w:ascii="宋体" w:hAnsi="宋体"/>
        <w:sz w:val="16"/>
        <w:szCs w:val="16"/>
      </w:rPr>
      <w:t xml:space="preserve">采购项目编号：JSZC-320200-JYJF-G2024-0031 </w:t>
    </w:r>
    <w:r>
      <w:rPr>
        <w:rFonts w:ascii="宋体" w:hAnsi="宋体"/>
        <w:sz w:val="16"/>
        <w:szCs w:val="16"/>
      </w:rPr>
      <w:t xml:space="preserve">   </w:t>
    </w:r>
    <w:r>
      <w:rPr>
        <w:rFonts w:hint="eastAsia" w:ascii="宋体" w:hAnsi="宋体"/>
        <w:sz w:val="16"/>
        <w:szCs w:val="16"/>
      </w:rPr>
      <w:t xml:space="preserve">   </w:t>
    </w:r>
    <w:r>
      <w:rPr>
        <w:rFonts w:ascii="宋体" w:hAnsi="宋体"/>
        <w:sz w:val="16"/>
        <w:szCs w:val="16"/>
      </w:rPr>
      <w:t xml:space="preserve">       </w:t>
    </w:r>
    <w:r>
      <w:rPr>
        <w:rFonts w:hint="eastAsia" w:ascii="宋体" w:hAnsi="宋体"/>
        <w:sz w:val="16"/>
        <w:szCs w:val="16"/>
      </w:rPr>
      <w:t>2023年度第四批无锡市市级政务信息化项目监理服务公开招标文件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3FB8F"/>
    <w:multiLevelType w:val="singleLevel"/>
    <w:tmpl w:val="D9C3FB8F"/>
    <w:lvl w:ilvl="0" w:tentative="0">
      <w:start w:val="1"/>
      <w:numFmt w:val="chineseCounting"/>
      <w:suff w:val="nothing"/>
      <w:lvlText w:val="%1、"/>
      <w:lvlJc w:val="left"/>
      <w:pPr>
        <w:ind w:left="0" w:firstLine="420"/>
      </w:pPr>
      <w:rPr>
        <w:rFonts w:hint="eastAsia"/>
      </w:rPr>
    </w:lvl>
  </w:abstractNum>
  <w:abstractNum w:abstractNumId="1">
    <w:nsid w:val="00000001"/>
    <w:multiLevelType w:val="multilevel"/>
    <w:tmpl w:val="00000001"/>
    <w:lvl w:ilvl="0" w:tentative="0">
      <w:start w:val="1"/>
      <w:numFmt w:val="none"/>
      <w:suff w:val="nothing"/>
      <w:lvlText w:val="%1"/>
      <w:lvlJc w:val="left"/>
      <w:pPr>
        <w:ind w:left="0" w:firstLine="0"/>
      </w:pPr>
      <w:rPr>
        <w:rFonts w:hint="default" w:ascii="Tahoma" w:hAnsi="Tahoma"/>
        <w:b/>
        <w:i w:val="0"/>
        <w:sz w:val="21"/>
      </w:rPr>
    </w:lvl>
    <w:lvl w:ilvl="1" w:tentative="0">
      <w:start w:val="1"/>
      <w:numFmt w:val="decimal"/>
      <w:pStyle w:val="280"/>
      <w:suff w:val="nothing"/>
      <w:lvlText w:val="%1%2　"/>
      <w:lvlJc w:val="left"/>
      <w:pPr>
        <w:ind w:left="0" w:firstLine="0"/>
      </w:pPr>
      <w:rPr>
        <w:rFonts w:hint="eastAsia" w:ascii="仿宋" w:hAnsi="Tahoma" w:eastAsia="仿宋"/>
        <w:b w:val="0"/>
        <w:i w:val="0"/>
        <w:sz w:val="21"/>
      </w:rPr>
    </w:lvl>
    <w:lvl w:ilvl="2" w:tentative="0">
      <w:start w:val="1"/>
      <w:numFmt w:val="decimal"/>
      <w:suff w:val="nothing"/>
      <w:lvlText w:val="%1%2.%3　"/>
      <w:lvlJc w:val="left"/>
      <w:pPr>
        <w:ind w:left="0" w:firstLine="0"/>
      </w:pPr>
      <w:rPr>
        <w:rFonts w:hint="eastAsia" w:ascii="仿宋" w:hAnsi="Tahoma" w:eastAsia="仿宋"/>
        <w:b w:val="0"/>
        <w:i w:val="0"/>
        <w:sz w:val="21"/>
      </w:rPr>
    </w:lvl>
    <w:lvl w:ilvl="3" w:tentative="0">
      <w:start w:val="1"/>
      <w:numFmt w:val="decimal"/>
      <w:suff w:val="nothing"/>
      <w:lvlText w:val="%1%2.%3.%4　"/>
      <w:lvlJc w:val="left"/>
      <w:pPr>
        <w:ind w:left="0" w:firstLine="0"/>
      </w:pPr>
      <w:rPr>
        <w:rFonts w:hint="eastAsia" w:ascii="仿宋" w:hAnsi="Tahoma" w:eastAsia="仿宋"/>
        <w:b w:val="0"/>
        <w:i w:val="0"/>
        <w:sz w:val="21"/>
      </w:rPr>
    </w:lvl>
    <w:lvl w:ilvl="4" w:tentative="0">
      <w:start w:val="1"/>
      <w:numFmt w:val="decimal"/>
      <w:suff w:val="nothing"/>
      <w:lvlText w:val="%1%2.%3.%4.%5　"/>
      <w:lvlJc w:val="left"/>
      <w:pPr>
        <w:ind w:left="105" w:firstLine="0"/>
      </w:pPr>
      <w:rPr>
        <w:rFonts w:hint="eastAsia" w:ascii="仿宋" w:hAnsi="Tahoma" w:eastAsia="仿宋"/>
        <w:b w:val="0"/>
        <w:i w:val="0"/>
        <w:sz w:val="21"/>
      </w:rPr>
    </w:lvl>
    <w:lvl w:ilvl="5" w:tentative="0">
      <w:start w:val="1"/>
      <w:numFmt w:val="decimal"/>
      <w:suff w:val="nothing"/>
      <w:lvlText w:val="%1%2.%3.%4.%5.%6　"/>
      <w:lvlJc w:val="left"/>
      <w:pPr>
        <w:ind w:left="0" w:firstLine="0"/>
      </w:pPr>
      <w:rPr>
        <w:rFonts w:hint="eastAsia" w:ascii="仿宋" w:hAnsi="Tahoma" w:eastAsia="仿宋"/>
        <w:b w:val="0"/>
        <w:i w:val="0"/>
        <w:sz w:val="21"/>
      </w:rPr>
    </w:lvl>
    <w:lvl w:ilvl="6" w:tentative="0">
      <w:start w:val="1"/>
      <w:numFmt w:val="decimal"/>
      <w:suff w:val="nothing"/>
      <w:lvlText w:val="%1%2.%3.%4.%5.%6.%7　"/>
      <w:lvlJc w:val="left"/>
      <w:pPr>
        <w:ind w:left="0" w:firstLine="0"/>
      </w:pPr>
      <w:rPr>
        <w:rFonts w:hint="eastAsia" w:ascii="仿宋" w:hAnsi="Tahoma" w:eastAsia="仿宋"/>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03"/>
    <w:multiLevelType w:val="multilevel"/>
    <w:tmpl w:val="00000003"/>
    <w:lvl w:ilvl="0" w:tentative="0">
      <w:start w:val="1"/>
      <w:numFmt w:val="bullet"/>
      <w:pStyle w:val="3"/>
      <w:lvlText w:val=""/>
      <w:lvlJc w:val="left"/>
      <w:pPr>
        <w:tabs>
          <w:tab w:val="left" w:pos="420"/>
        </w:tabs>
        <w:ind w:left="420" w:hanging="420"/>
      </w:pPr>
      <w:rPr>
        <w:rFonts w:hint="default" w:ascii="Verdana" w:hAnsi="Verdana"/>
      </w:rPr>
    </w:lvl>
    <w:lvl w:ilvl="1" w:tentative="0">
      <w:start w:val="1"/>
      <w:numFmt w:val="decimal"/>
      <w:lvlText w:val="%2．"/>
      <w:lvlJc w:val="left"/>
      <w:pPr>
        <w:tabs>
          <w:tab w:val="left" w:pos="3165"/>
        </w:tabs>
        <w:ind w:left="3165" w:hanging="420"/>
      </w:pPr>
      <w:rPr>
        <w:rFonts w:hint="eastAsia"/>
      </w:rPr>
    </w:lvl>
    <w:lvl w:ilvl="2" w:tentative="0">
      <w:start w:val="1"/>
      <w:numFmt w:val="bullet"/>
      <w:lvlText w:val=""/>
      <w:lvlJc w:val="left"/>
      <w:pPr>
        <w:tabs>
          <w:tab w:val="left" w:pos="3585"/>
        </w:tabs>
        <w:ind w:left="3585" w:hanging="420"/>
      </w:pPr>
      <w:rPr>
        <w:rFonts w:hint="default" w:ascii="Verdana" w:hAnsi="Verdana"/>
      </w:rPr>
    </w:lvl>
    <w:lvl w:ilvl="3" w:tentative="0">
      <w:start w:val="1"/>
      <w:numFmt w:val="bullet"/>
      <w:lvlText w:val=""/>
      <w:lvlJc w:val="left"/>
      <w:pPr>
        <w:tabs>
          <w:tab w:val="left" w:pos="4005"/>
        </w:tabs>
        <w:ind w:left="4005" w:hanging="420"/>
      </w:pPr>
      <w:rPr>
        <w:rFonts w:hint="default" w:ascii="Verdana" w:hAnsi="Verdana"/>
      </w:rPr>
    </w:lvl>
    <w:lvl w:ilvl="4" w:tentative="0">
      <w:start w:val="1"/>
      <w:numFmt w:val="bullet"/>
      <w:lvlText w:val=""/>
      <w:lvlJc w:val="left"/>
      <w:pPr>
        <w:tabs>
          <w:tab w:val="left" w:pos="4425"/>
        </w:tabs>
        <w:ind w:left="4425" w:hanging="420"/>
      </w:pPr>
      <w:rPr>
        <w:rFonts w:hint="default" w:ascii="Verdana" w:hAnsi="Verdana"/>
      </w:rPr>
    </w:lvl>
    <w:lvl w:ilvl="5" w:tentative="0">
      <w:start w:val="1"/>
      <w:numFmt w:val="bullet"/>
      <w:lvlText w:val=""/>
      <w:lvlJc w:val="left"/>
      <w:pPr>
        <w:tabs>
          <w:tab w:val="left" w:pos="4845"/>
        </w:tabs>
        <w:ind w:left="4845" w:hanging="420"/>
      </w:pPr>
      <w:rPr>
        <w:rFonts w:hint="default" w:ascii="Verdana" w:hAnsi="Verdana"/>
      </w:rPr>
    </w:lvl>
    <w:lvl w:ilvl="6" w:tentative="0">
      <w:start w:val="1"/>
      <w:numFmt w:val="bullet"/>
      <w:lvlText w:val=""/>
      <w:lvlJc w:val="left"/>
      <w:pPr>
        <w:tabs>
          <w:tab w:val="left" w:pos="5265"/>
        </w:tabs>
        <w:ind w:left="5265" w:hanging="420"/>
      </w:pPr>
      <w:rPr>
        <w:rFonts w:hint="default" w:ascii="Verdana" w:hAnsi="Verdana"/>
      </w:rPr>
    </w:lvl>
    <w:lvl w:ilvl="7" w:tentative="0">
      <w:start w:val="1"/>
      <w:numFmt w:val="bullet"/>
      <w:lvlText w:val=""/>
      <w:lvlJc w:val="left"/>
      <w:pPr>
        <w:tabs>
          <w:tab w:val="left" w:pos="5685"/>
        </w:tabs>
        <w:ind w:left="5685" w:hanging="420"/>
      </w:pPr>
      <w:rPr>
        <w:rFonts w:hint="default" w:ascii="Verdana" w:hAnsi="Verdana"/>
      </w:rPr>
    </w:lvl>
    <w:lvl w:ilvl="8" w:tentative="0">
      <w:start w:val="1"/>
      <w:numFmt w:val="bullet"/>
      <w:lvlText w:val=""/>
      <w:lvlJc w:val="left"/>
      <w:pPr>
        <w:tabs>
          <w:tab w:val="left" w:pos="6105"/>
        </w:tabs>
        <w:ind w:left="6105" w:hanging="420"/>
      </w:pPr>
      <w:rPr>
        <w:rFonts w:hint="default" w:ascii="Verdana" w:hAnsi="Verdana"/>
      </w:rPr>
    </w:lvl>
  </w:abstractNum>
  <w:abstractNum w:abstractNumId="3">
    <w:nsid w:val="00000004"/>
    <w:multiLevelType w:val="multilevel"/>
    <w:tmpl w:val="00000004"/>
    <w:lvl w:ilvl="0" w:tentative="0">
      <w:start w:val="1"/>
      <w:numFmt w:val="decimal"/>
      <w:pStyle w:val="259"/>
      <w:lvlText w:val="%1)"/>
      <w:lvlJc w:val="left"/>
      <w:pPr>
        <w:tabs>
          <w:tab w:val="left" w:pos="425"/>
        </w:tabs>
        <w:ind w:left="425" w:hanging="425"/>
      </w:pPr>
    </w:lvl>
    <w:lvl w:ilvl="1" w:tentative="0">
      <w:start w:val="1"/>
      <w:numFmt w:val="decimal"/>
      <w:isLgl/>
      <w:lvlText w:val="%1.%2"/>
      <w:lvlJc w:val="left"/>
      <w:pPr>
        <w:tabs>
          <w:tab w:val="left" w:pos="2977"/>
        </w:tabs>
        <w:ind w:left="2977" w:hanging="567"/>
      </w:pPr>
      <w:rPr>
        <w:rFonts w:hint="eastAsia"/>
      </w:rPr>
    </w:lvl>
    <w:lvl w:ilvl="2" w:tentative="0">
      <w:start w:val="1"/>
      <w:numFmt w:val="decimal"/>
      <w:isLgl/>
      <w:lvlText w:val="%1.%2.%3"/>
      <w:lvlJc w:val="left"/>
      <w:pPr>
        <w:tabs>
          <w:tab w:val="left" w:pos="3490"/>
        </w:tabs>
        <w:ind w:left="2750" w:hanging="340"/>
      </w:pPr>
      <w:rPr>
        <w:rFonts w:hint="eastAsia"/>
      </w:rPr>
    </w:lvl>
    <w:lvl w:ilvl="3" w:tentative="0">
      <w:start w:val="1"/>
      <w:numFmt w:val="decimal"/>
      <w:isLgl/>
      <w:lvlText w:val="%1.%2.%3.%4"/>
      <w:lvlJc w:val="left"/>
      <w:pPr>
        <w:tabs>
          <w:tab w:val="left" w:pos="3261"/>
        </w:tabs>
        <w:ind w:left="3261" w:hanging="851"/>
      </w:pPr>
      <w:rPr>
        <w:rFonts w:hint="eastAsia"/>
      </w:rPr>
    </w:lvl>
    <w:lvl w:ilvl="4" w:tentative="0">
      <w:start w:val="1"/>
      <w:numFmt w:val="decimal"/>
      <w:isLgl/>
      <w:lvlText w:val="%1.%2.%3.%4.%5"/>
      <w:lvlJc w:val="left"/>
      <w:pPr>
        <w:tabs>
          <w:tab w:val="left" w:pos="3490"/>
        </w:tabs>
        <w:ind w:left="3402" w:hanging="992"/>
      </w:pPr>
      <w:rPr>
        <w:rFonts w:hint="eastAsia"/>
      </w:rPr>
    </w:lvl>
    <w:lvl w:ilvl="5" w:tentative="0">
      <w:start w:val="1"/>
      <w:numFmt w:val="decimal"/>
      <w:isLgl/>
      <w:lvlText w:val="%1.%2.%3.%4.%5.%6"/>
      <w:lvlJc w:val="left"/>
      <w:pPr>
        <w:tabs>
          <w:tab w:val="left" w:pos="6370"/>
        </w:tabs>
        <w:ind w:left="6064" w:hanging="1134"/>
      </w:pPr>
      <w:rPr>
        <w:rFonts w:hint="eastAsia"/>
      </w:rPr>
    </w:lvl>
    <w:lvl w:ilvl="6" w:tentative="0">
      <w:start w:val="1"/>
      <w:numFmt w:val="decimal"/>
      <w:lvlText w:val="%1.%2.%3.%4.%5.%6.%7."/>
      <w:lvlJc w:val="left"/>
      <w:pPr>
        <w:tabs>
          <w:tab w:val="left" w:pos="3686"/>
        </w:tabs>
        <w:ind w:left="3686" w:hanging="1276"/>
      </w:pPr>
      <w:rPr>
        <w:rFonts w:hint="eastAsia"/>
      </w:rPr>
    </w:lvl>
    <w:lvl w:ilvl="7" w:tentative="0">
      <w:start w:val="1"/>
      <w:numFmt w:val="decimal"/>
      <w:lvlText w:val="%1.%2.%3.%4.%5.%6.%7.%8."/>
      <w:lvlJc w:val="left"/>
      <w:pPr>
        <w:tabs>
          <w:tab w:val="left" w:pos="3828"/>
        </w:tabs>
        <w:ind w:left="3828" w:hanging="1418"/>
      </w:pPr>
      <w:rPr>
        <w:rFonts w:hint="eastAsia"/>
      </w:rPr>
    </w:lvl>
    <w:lvl w:ilvl="8" w:tentative="0">
      <w:start w:val="1"/>
      <w:numFmt w:val="decimal"/>
      <w:lvlText w:val="%1.%2.%3.%4.%5.%6.%7.%8.%9."/>
      <w:lvlJc w:val="left"/>
      <w:pPr>
        <w:tabs>
          <w:tab w:val="left" w:pos="3969"/>
        </w:tabs>
        <w:ind w:left="3969" w:hanging="1559"/>
      </w:pPr>
      <w:rPr>
        <w:rFonts w:hint="eastAsia"/>
      </w:rPr>
    </w:lvl>
  </w:abstractNum>
  <w:abstractNum w:abstractNumId="4">
    <w:nsid w:val="00000007"/>
    <w:multiLevelType w:val="multilevel"/>
    <w:tmpl w:val="00000007"/>
    <w:lvl w:ilvl="0" w:tentative="0">
      <w:start w:val="1"/>
      <w:numFmt w:val="chineseCountingThousand"/>
      <w:pStyle w:val="4"/>
      <w:lvlText w:val="第%1部分"/>
      <w:lvlJc w:val="left"/>
      <w:pPr>
        <w:tabs>
          <w:tab w:val="left" w:pos="1800"/>
        </w:tabs>
        <w:ind w:left="425" w:hanging="425"/>
      </w:pPr>
      <w:rPr>
        <w:rFonts w:hint="eastAsia"/>
      </w:rPr>
    </w:lvl>
    <w:lvl w:ilvl="1" w:tentative="0">
      <w:start w:val="1"/>
      <w:numFmt w:val="decimal"/>
      <w:pStyle w:val="5"/>
      <w:isLgl/>
      <w:lvlText w:val="%1.%2"/>
      <w:lvlJc w:val="left"/>
      <w:pPr>
        <w:tabs>
          <w:tab w:val="left" w:pos="567"/>
        </w:tabs>
        <w:ind w:left="567" w:hanging="567"/>
      </w:pPr>
      <w:rPr>
        <w:rFonts w:hint="eastAsia"/>
      </w:rPr>
    </w:lvl>
    <w:lvl w:ilvl="2" w:tentative="0">
      <w:start w:val="1"/>
      <w:numFmt w:val="decimal"/>
      <w:pStyle w:val="306"/>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pStyle w:val="8"/>
      <w:isLgl/>
      <w:lvlText w:val="%1.%2.%3.%4.%5"/>
      <w:lvlJc w:val="left"/>
      <w:pPr>
        <w:tabs>
          <w:tab w:val="left" w:pos="1080"/>
        </w:tabs>
        <w:ind w:left="992" w:hanging="992"/>
      </w:pPr>
      <w:rPr>
        <w:rFonts w:hint="eastAsia"/>
      </w:rPr>
    </w:lvl>
    <w:lvl w:ilvl="5" w:tentative="0">
      <w:start w:val="1"/>
      <w:numFmt w:val="decimal"/>
      <w:pStyle w:val="9"/>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08"/>
    <w:multiLevelType w:val="multilevel"/>
    <w:tmpl w:val="00000008"/>
    <w:lvl w:ilvl="0" w:tentative="0">
      <w:start w:val="1"/>
      <w:numFmt w:val="decimal"/>
      <w:lvlText w:val="%1."/>
      <w:lvlJc w:val="left"/>
      <w:pPr>
        <w:ind w:left="1146"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000000A"/>
    <w:multiLevelType w:val="multilevel"/>
    <w:tmpl w:val="0000000A"/>
    <w:lvl w:ilvl="0" w:tentative="0">
      <w:start w:val="1"/>
      <w:numFmt w:val="lowerLetter"/>
      <w:lvlText w:val="%1)"/>
      <w:lvlJc w:val="left"/>
      <w:pPr>
        <w:tabs>
          <w:tab w:val="left" w:pos="1620"/>
        </w:tabs>
        <w:ind w:left="1620" w:hanging="420"/>
      </w:pPr>
    </w:lvl>
    <w:lvl w:ilvl="1" w:tentative="0">
      <w:start w:val="1"/>
      <w:numFmt w:val="decimal"/>
      <w:lvlText w:val="%2."/>
      <w:lvlJc w:val="left"/>
      <w:pPr>
        <w:tabs>
          <w:tab w:val="left" w:pos="2040"/>
        </w:tabs>
        <w:ind w:left="2040" w:hanging="420"/>
      </w:pPr>
    </w:lvl>
    <w:lvl w:ilvl="2" w:tentative="0">
      <w:start w:val="1"/>
      <w:numFmt w:val="lowerRoman"/>
      <w:lvlText w:val="%3."/>
      <w:lvlJc w:val="right"/>
      <w:pPr>
        <w:tabs>
          <w:tab w:val="left" w:pos="2460"/>
        </w:tabs>
        <w:ind w:left="2460" w:hanging="420"/>
      </w:pPr>
    </w:lvl>
    <w:lvl w:ilvl="3" w:tentative="0">
      <w:start w:val="1"/>
      <w:numFmt w:val="decimal"/>
      <w:lvlText w:val="%4."/>
      <w:lvlJc w:val="left"/>
      <w:pPr>
        <w:tabs>
          <w:tab w:val="left" w:pos="2880"/>
        </w:tabs>
        <w:ind w:left="2880" w:hanging="420"/>
      </w:pPr>
    </w:lvl>
    <w:lvl w:ilvl="4" w:tentative="0">
      <w:start w:val="1"/>
      <w:numFmt w:val="lowerLetter"/>
      <w:lvlText w:val="%5)"/>
      <w:lvlJc w:val="left"/>
      <w:pPr>
        <w:tabs>
          <w:tab w:val="left" w:pos="3300"/>
        </w:tabs>
        <w:ind w:left="3300" w:hanging="420"/>
      </w:pPr>
    </w:lvl>
    <w:lvl w:ilvl="5" w:tentative="0">
      <w:start w:val="1"/>
      <w:numFmt w:val="lowerRoman"/>
      <w:lvlText w:val="%6."/>
      <w:lvlJc w:val="right"/>
      <w:pPr>
        <w:tabs>
          <w:tab w:val="left" w:pos="3720"/>
        </w:tabs>
        <w:ind w:left="3720" w:hanging="420"/>
      </w:pPr>
    </w:lvl>
    <w:lvl w:ilvl="6" w:tentative="0">
      <w:start w:val="1"/>
      <w:numFmt w:val="decimal"/>
      <w:lvlText w:val="%7."/>
      <w:lvlJc w:val="left"/>
      <w:pPr>
        <w:tabs>
          <w:tab w:val="left" w:pos="4140"/>
        </w:tabs>
        <w:ind w:left="4140" w:hanging="420"/>
      </w:pPr>
    </w:lvl>
    <w:lvl w:ilvl="7" w:tentative="0">
      <w:start w:val="1"/>
      <w:numFmt w:val="lowerLetter"/>
      <w:lvlText w:val="%8)"/>
      <w:lvlJc w:val="left"/>
      <w:pPr>
        <w:tabs>
          <w:tab w:val="left" w:pos="4560"/>
        </w:tabs>
        <w:ind w:left="4560" w:hanging="420"/>
      </w:pPr>
    </w:lvl>
    <w:lvl w:ilvl="8" w:tentative="0">
      <w:start w:val="1"/>
      <w:numFmt w:val="lowerRoman"/>
      <w:lvlText w:val="%9."/>
      <w:lvlJc w:val="right"/>
      <w:pPr>
        <w:tabs>
          <w:tab w:val="left" w:pos="4980"/>
        </w:tabs>
        <w:ind w:left="4980" w:hanging="420"/>
      </w:pPr>
    </w:lvl>
  </w:abstractNum>
  <w:abstractNum w:abstractNumId="7">
    <w:nsid w:val="0000000D"/>
    <w:multiLevelType w:val="singleLevel"/>
    <w:tmpl w:val="0000000D"/>
    <w:lvl w:ilvl="0" w:tentative="0">
      <w:start w:val="1"/>
      <w:numFmt w:val="bullet"/>
      <w:pStyle w:val="19"/>
      <w:lvlText w:val=""/>
      <w:lvlJc w:val="left"/>
      <w:pPr>
        <w:tabs>
          <w:tab w:val="left" w:pos="360"/>
        </w:tabs>
        <w:ind w:left="360" w:hanging="360"/>
      </w:pPr>
      <w:rPr>
        <w:rFonts w:hint="default" w:ascii="Verdana" w:hAnsi="Verdana"/>
      </w:rPr>
    </w:lvl>
  </w:abstractNum>
  <w:abstractNum w:abstractNumId="8">
    <w:nsid w:val="0000000E"/>
    <w:multiLevelType w:val="singleLevel"/>
    <w:tmpl w:val="0000000E"/>
    <w:lvl w:ilvl="0" w:tentative="0">
      <w:start w:val="1"/>
      <w:numFmt w:val="bullet"/>
      <w:pStyle w:val="30"/>
      <w:lvlText w:val=""/>
      <w:lvlJc w:val="left"/>
      <w:pPr>
        <w:tabs>
          <w:tab w:val="left" w:pos="780"/>
        </w:tabs>
        <w:ind w:left="780" w:hanging="360"/>
      </w:pPr>
      <w:rPr>
        <w:rFonts w:hint="default" w:ascii="Verdana" w:hAnsi="Verdana"/>
      </w:rPr>
    </w:lvl>
  </w:abstractNum>
  <w:abstractNum w:abstractNumId="9">
    <w:nsid w:val="00000012"/>
    <w:multiLevelType w:val="singleLevel"/>
    <w:tmpl w:val="00000012"/>
    <w:lvl w:ilvl="0" w:tentative="0">
      <w:start w:val="1"/>
      <w:numFmt w:val="bullet"/>
      <w:pStyle w:val="35"/>
      <w:lvlText w:val=""/>
      <w:lvlJc w:val="left"/>
      <w:pPr>
        <w:tabs>
          <w:tab w:val="left" w:pos="2040"/>
        </w:tabs>
        <w:ind w:left="2040" w:hanging="360"/>
      </w:pPr>
      <w:rPr>
        <w:rFonts w:hint="default" w:ascii="Verdana" w:hAnsi="Verdana"/>
      </w:rPr>
    </w:lvl>
  </w:abstractNum>
  <w:abstractNum w:abstractNumId="10">
    <w:nsid w:val="0000001F"/>
    <w:multiLevelType w:val="multilevel"/>
    <w:tmpl w:val="0000001F"/>
    <w:lvl w:ilvl="0" w:tentative="0">
      <w:start w:val="1"/>
      <w:numFmt w:val="decimal"/>
      <w:pStyle w:val="241"/>
      <w:lvlText w:val="（%1）"/>
      <w:lvlJc w:val="left"/>
      <w:pPr>
        <w:tabs>
          <w:tab w:val="left" w:pos="840"/>
        </w:tabs>
        <w:ind w:left="84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2495785"/>
    <w:multiLevelType w:val="multilevel"/>
    <w:tmpl w:val="02495785"/>
    <w:lvl w:ilvl="0" w:tentative="0">
      <w:start w:val="1"/>
      <w:numFmt w:val="lowerLetter"/>
      <w:lvlText w:val="%1)"/>
      <w:lvlJc w:val="left"/>
      <w:pPr>
        <w:tabs>
          <w:tab w:val="left" w:pos="1620"/>
        </w:tabs>
        <w:ind w:left="1620" w:hanging="420"/>
      </w:pPr>
    </w:lvl>
    <w:lvl w:ilvl="1" w:tentative="0">
      <w:start w:val="1"/>
      <w:numFmt w:val="decimal"/>
      <w:lvlText w:val="%2."/>
      <w:lvlJc w:val="left"/>
      <w:pPr>
        <w:tabs>
          <w:tab w:val="left" w:pos="2040"/>
        </w:tabs>
        <w:ind w:left="2040" w:hanging="420"/>
      </w:pPr>
    </w:lvl>
    <w:lvl w:ilvl="2" w:tentative="0">
      <w:start w:val="1"/>
      <w:numFmt w:val="lowerRoman"/>
      <w:lvlText w:val="%3."/>
      <w:lvlJc w:val="right"/>
      <w:pPr>
        <w:tabs>
          <w:tab w:val="left" w:pos="2460"/>
        </w:tabs>
        <w:ind w:left="2460" w:hanging="420"/>
      </w:pPr>
    </w:lvl>
    <w:lvl w:ilvl="3" w:tentative="0">
      <w:start w:val="1"/>
      <w:numFmt w:val="decimal"/>
      <w:lvlText w:val="%4."/>
      <w:lvlJc w:val="left"/>
      <w:pPr>
        <w:tabs>
          <w:tab w:val="left" w:pos="2880"/>
        </w:tabs>
        <w:ind w:left="2880" w:hanging="420"/>
      </w:pPr>
    </w:lvl>
    <w:lvl w:ilvl="4" w:tentative="0">
      <w:start w:val="1"/>
      <w:numFmt w:val="lowerLetter"/>
      <w:lvlText w:val="%5)"/>
      <w:lvlJc w:val="left"/>
      <w:pPr>
        <w:tabs>
          <w:tab w:val="left" w:pos="3300"/>
        </w:tabs>
        <w:ind w:left="3300" w:hanging="420"/>
      </w:pPr>
    </w:lvl>
    <w:lvl w:ilvl="5" w:tentative="0">
      <w:start w:val="1"/>
      <w:numFmt w:val="lowerRoman"/>
      <w:lvlText w:val="%6."/>
      <w:lvlJc w:val="right"/>
      <w:pPr>
        <w:tabs>
          <w:tab w:val="left" w:pos="3720"/>
        </w:tabs>
        <w:ind w:left="3720" w:hanging="420"/>
      </w:pPr>
    </w:lvl>
    <w:lvl w:ilvl="6" w:tentative="0">
      <w:start w:val="1"/>
      <w:numFmt w:val="decimal"/>
      <w:lvlText w:val="%7."/>
      <w:lvlJc w:val="left"/>
      <w:pPr>
        <w:tabs>
          <w:tab w:val="left" w:pos="4140"/>
        </w:tabs>
        <w:ind w:left="4140" w:hanging="420"/>
      </w:pPr>
    </w:lvl>
    <w:lvl w:ilvl="7" w:tentative="0">
      <w:start w:val="1"/>
      <w:numFmt w:val="lowerLetter"/>
      <w:lvlText w:val="%8)"/>
      <w:lvlJc w:val="left"/>
      <w:pPr>
        <w:tabs>
          <w:tab w:val="left" w:pos="4560"/>
        </w:tabs>
        <w:ind w:left="4560" w:hanging="420"/>
      </w:pPr>
    </w:lvl>
    <w:lvl w:ilvl="8" w:tentative="0">
      <w:start w:val="1"/>
      <w:numFmt w:val="lowerRoman"/>
      <w:lvlText w:val="%9."/>
      <w:lvlJc w:val="right"/>
      <w:pPr>
        <w:tabs>
          <w:tab w:val="left" w:pos="4980"/>
        </w:tabs>
        <w:ind w:left="4980" w:hanging="420"/>
      </w:pPr>
    </w:lvl>
  </w:abstractNum>
  <w:abstractNum w:abstractNumId="12">
    <w:nsid w:val="045A7AB5"/>
    <w:multiLevelType w:val="singleLevel"/>
    <w:tmpl w:val="045A7AB5"/>
    <w:lvl w:ilvl="0" w:tentative="0">
      <w:start w:val="1"/>
      <w:numFmt w:val="decimal"/>
      <w:suff w:val="nothing"/>
      <w:lvlText w:val="%1、"/>
      <w:lvlJc w:val="left"/>
    </w:lvl>
  </w:abstractNum>
  <w:abstractNum w:abstractNumId="13">
    <w:nsid w:val="234D6DEF"/>
    <w:multiLevelType w:val="multilevel"/>
    <w:tmpl w:val="234D6DEF"/>
    <w:lvl w:ilvl="0" w:tentative="0">
      <w:start w:val="1"/>
      <w:numFmt w:val="decimal"/>
      <w:lvlText w:val="（%1）"/>
      <w:lvlJc w:val="left"/>
      <w:pPr>
        <w:ind w:left="1241" w:hanging="720"/>
      </w:pPr>
      <w:rPr>
        <w:rFonts w:hint="default"/>
        <w:color w:val="000000"/>
      </w:rPr>
    </w:lvl>
    <w:lvl w:ilvl="1" w:tentative="0">
      <w:start w:val="1"/>
      <w:numFmt w:val="lowerLetter"/>
      <w:lvlText w:val="%2)"/>
      <w:lvlJc w:val="left"/>
      <w:pPr>
        <w:ind w:left="1361" w:hanging="420"/>
      </w:pPr>
    </w:lvl>
    <w:lvl w:ilvl="2" w:tentative="0">
      <w:start w:val="1"/>
      <w:numFmt w:val="lowerRoman"/>
      <w:lvlText w:val="%3."/>
      <w:lvlJc w:val="right"/>
      <w:pPr>
        <w:ind w:left="1781" w:hanging="420"/>
      </w:pPr>
    </w:lvl>
    <w:lvl w:ilvl="3" w:tentative="0">
      <w:start w:val="1"/>
      <w:numFmt w:val="decimal"/>
      <w:lvlText w:val="%4."/>
      <w:lvlJc w:val="left"/>
      <w:pPr>
        <w:ind w:left="2201" w:hanging="420"/>
      </w:pPr>
    </w:lvl>
    <w:lvl w:ilvl="4" w:tentative="0">
      <w:start w:val="1"/>
      <w:numFmt w:val="lowerLetter"/>
      <w:lvlText w:val="%5)"/>
      <w:lvlJc w:val="left"/>
      <w:pPr>
        <w:ind w:left="2621" w:hanging="420"/>
      </w:pPr>
    </w:lvl>
    <w:lvl w:ilvl="5" w:tentative="0">
      <w:start w:val="1"/>
      <w:numFmt w:val="lowerRoman"/>
      <w:lvlText w:val="%6."/>
      <w:lvlJc w:val="right"/>
      <w:pPr>
        <w:ind w:left="3041" w:hanging="420"/>
      </w:pPr>
    </w:lvl>
    <w:lvl w:ilvl="6" w:tentative="0">
      <w:start w:val="1"/>
      <w:numFmt w:val="decimal"/>
      <w:lvlText w:val="%7."/>
      <w:lvlJc w:val="left"/>
      <w:pPr>
        <w:ind w:left="3461" w:hanging="420"/>
      </w:pPr>
    </w:lvl>
    <w:lvl w:ilvl="7" w:tentative="0">
      <w:start w:val="1"/>
      <w:numFmt w:val="lowerLetter"/>
      <w:lvlText w:val="%8)"/>
      <w:lvlJc w:val="left"/>
      <w:pPr>
        <w:ind w:left="3881" w:hanging="420"/>
      </w:pPr>
    </w:lvl>
    <w:lvl w:ilvl="8" w:tentative="0">
      <w:start w:val="1"/>
      <w:numFmt w:val="lowerRoman"/>
      <w:lvlText w:val="%9."/>
      <w:lvlJc w:val="right"/>
      <w:pPr>
        <w:ind w:left="4301" w:hanging="420"/>
      </w:pPr>
    </w:lvl>
  </w:abstractNum>
  <w:abstractNum w:abstractNumId="14">
    <w:nsid w:val="32B04823"/>
    <w:multiLevelType w:val="multilevel"/>
    <w:tmpl w:val="32B04823"/>
    <w:lvl w:ilvl="0" w:tentative="0">
      <w:start w:val="1"/>
      <w:numFmt w:val="decimal"/>
      <w:lvlText w:val="（%1）"/>
      <w:lvlJc w:val="left"/>
      <w:pPr>
        <w:tabs>
          <w:tab w:val="left" w:pos="840"/>
        </w:tabs>
        <w:ind w:left="84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2DF53A4"/>
    <w:multiLevelType w:val="singleLevel"/>
    <w:tmpl w:val="32DF53A4"/>
    <w:lvl w:ilvl="0" w:tentative="0">
      <w:start w:val="1"/>
      <w:numFmt w:val="decimal"/>
      <w:lvlText w:val="%1．"/>
      <w:lvlJc w:val="left"/>
      <w:pPr>
        <w:tabs>
          <w:tab w:val="left" w:pos="552"/>
        </w:tabs>
        <w:ind w:left="552" w:hanging="420"/>
      </w:pPr>
      <w:rPr>
        <w:rFonts w:hint="eastAsia"/>
      </w:rPr>
    </w:lvl>
  </w:abstractNum>
  <w:abstractNum w:abstractNumId="16">
    <w:nsid w:val="33713120"/>
    <w:multiLevelType w:val="singleLevel"/>
    <w:tmpl w:val="33713120"/>
    <w:lvl w:ilvl="0" w:tentative="0">
      <w:start w:val="1"/>
      <w:numFmt w:val="decimal"/>
      <w:lvlText w:val="%1."/>
      <w:lvlJc w:val="left"/>
      <w:pPr>
        <w:tabs>
          <w:tab w:val="left" w:pos="210"/>
        </w:tabs>
        <w:ind w:left="210" w:hanging="210"/>
      </w:pPr>
      <w:rPr>
        <w:rFonts w:hint="default" w:ascii="Times New Roman"/>
      </w:rPr>
    </w:lvl>
  </w:abstractNum>
  <w:abstractNum w:abstractNumId="17">
    <w:nsid w:val="38705783"/>
    <w:multiLevelType w:val="multilevel"/>
    <w:tmpl w:val="38705783"/>
    <w:lvl w:ilvl="0" w:tentative="0">
      <w:start w:val="1"/>
      <w:numFmt w:val="decimal"/>
      <w:lvlText w:val="%1．"/>
      <w:lvlJc w:val="left"/>
      <w:pPr>
        <w:tabs>
          <w:tab w:val="left" w:pos="552"/>
        </w:tabs>
        <w:ind w:left="552" w:hanging="420"/>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8">
    <w:nsid w:val="391E7D04"/>
    <w:multiLevelType w:val="singleLevel"/>
    <w:tmpl w:val="391E7D04"/>
    <w:lvl w:ilvl="0" w:tentative="0">
      <w:start w:val="1"/>
      <w:numFmt w:val="decimal"/>
      <w:lvlText w:val="%1．"/>
      <w:lvlJc w:val="left"/>
      <w:pPr>
        <w:tabs>
          <w:tab w:val="left" w:pos="315"/>
        </w:tabs>
        <w:ind w:left="315" w:hanging="315"/>
      </w:pPr>
      <w:rPr>
        <w:rFonts w:hint="eastAsia"/>
      </w:rPr>
    </w:lvl>
  </w:abstractNum>
  <w:abstractNum w:abstractNumId="19">
    <w:nsid w:val="3C5E1C14"/>
    <w:multiLevelType w:val="multilevel"/>
    <w:tmpl w:val="3C5E1C14"/>
    <w:lvl w:ilvl="0" w:tentative="0">
      <w:start w:val="1"/>
      <w:numFmt w:val="decimal"/>
      <w:lvlText w:val="（%1）"/>
      <w:lvlJc w:val="left"/>
      <w:pPr>
        <w:ind w:left="840" w:hanging="420"/>
      </w:pPr>
      <w:rPr>
        <w:rFonts w:hint="eastAsia"/>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3CA55874"/>
    <w:multiLevelType w:val="multilevel"/>
    <w:tmpl w:val="3CA55874"/>
    <w:lvl w:ilvl="0" w:tentative="0">
      <w:start w:val="1"/>
      <w:numFmt w:val="decimal"/>
      <w:lvlText w:val="（%1）"/>
      <w:lvlJc w:val="left"/>
      <w:pPr>
        <w:ind w:left="840" w:hanging="420"/>
      </w:pPr>
      <w:rPr>
        <w:rFonts w:hint="eastAsia"/>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4E14298D"/>
    <w:multiLevelType w:val="multilevel"/>
    <w:tmpl w:val="4E14298D"/>
    <w:lvl w:ilvl="0" w:tentative="0">
      <w:start w:val="1"/>
      <w:numFmt w:val="decimal"/>
      <w:lvlText w:val="（%1）"/>
      <w:lvlJc w:val="left"/>
      <w:pPr>
        <w:ind w:left="988"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4E39226E"/>
    <w:multiLevelType w:val="multilevel"/>
    <w:tmpl w:val="4E39226E"/>
    <w:lvl w:ilvl="0" w:tentative="0">
      <w:start w:val="1"/>
      <w:numFmt w:val="decimal"/>
      <w:lvlText w:val="（%1）"/>
      <w:lvlJc w:val="left"/>
      <w:pPr>
        <w:ind w:left="840" w:hanging="420"/>
      </w:pPr>
      <w:rPr>
        <w:rFonts w:hint="eastAsia"/>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510B6456"/>
    <w:multiLevelType w:val="singleLevel"/>
    <w:tmpl w:val="510B6456"/>
    <w:lvl w:ilvl="0" w:tentative="0">
      <w:start w:val="1"/>
      <w:numFmt w:val="decimal"/>
      <w:pStyle w:val="337"/>
      <w:lvlText w:val="%1．"/>
      <w:lvlJc w:val="left"/>
      <w:pPr>
        <w:tabs>
          <w:tab w:val="left" w:pos="552"/>
        </w:tabs>
        <w:ind w:left="552" w:hanging="420"/>
      </w:pPr>
      <w:rPr>
        <w:rFonts w:hint="eastAsia"/>
      </w:rPr>
    </w:lvl>
  </w:abstractNum>
  <w:abstractNum w:abstractNumId="24">
    <w:nsid w:val="52665E35"/>
    <w:multiLevelType w:val="multilevel"/>
    <w:tmpl w:val="52665E35"/>
    <w:lvl w:ilvl="0" w:tentative="0">
      <w:start w:val="6"/>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4104323"/>
    <w:multiLevelType w:val="multilevel"/>
    <w:tmpl w:val="54104323"/>
    <w:lvl w:ilvl="0" w:tentative="0">
      <w:start w:val="1"/>
      <w:numFmt w:val="bullet"/>
      <w:pStyle w:val="317"/>
      <w:lvlText w:val=""/>
      <w:lvlJc w:val="left"/>
      <w:pPr>
        <w:tabs>
          <w:tab w:val="left" w:pos="697"/>
        </w:tabs>
        <w:ind w:left="697" w:hanging="228"/>
      </w:pPr>
      <w:rPr>
        <w:rFonts w:hint="default" w:ascii="Symbol" w:hAnsi="Symbol"/>
        <w:color w:val="auto"/>
      </w:rPr>
    </w:lvl>
    <w:lvl w:ilvl="1" w:tentative="0">
      <w:start w:val="1"/>
      <w:numFmt w:val="bullet"/>
      <w:lvlText w:val=""/>
      <w:lvlJc w:val="left"/>
      <w:pPr>
        <w:tabs>
          <w:tab w:val="left" w:pos="1309"/>
        </w:tabs>
        <w:ind w:left="1309" w:hanging="420"/>
      </w:pPr>
      <w:rPr>
        <w:rFonts w:hint="default" w:ascii="Wingdings" w:hAnsi="Wingdings"/>
      </w:rPr>
    </w:lvl>
    <w:lvl w:ilvl="2" w:tentative="0">
      <w:start w:val="1"/>
      <w:numFmt w:val="bullet"/>
      <w:lvlText w:val=""/>
      <w:lvlJc w:val="left"/>
      <w:pPr>
        <w:tabs>
          <w:tab w:val="left" w:pos="1729"/>
        </w:tabs>
        <w:ind w:left="1729" w:hanging="420"/>
      </w:pPr>
      <w:rPr>
        <w:rFonts w:hint="default" w:ascii="Wingdings" w:hAnsi="Wingdings"/>
      </w:rPr>
    </w:lvl>
    <w:lvl w:ilvl="3" w:tentative="0">
      <w:start w:val="1"/>
      <w:numFmt w:val="bullet"/>
      <w:lvlText w:val=""/>
      <w:lvlJc w:val="left"/>
      <w:pPr>
        <w:tabs>
          <w:tab w:val="left" w:pos="2149"/>
        </w:tabs>
        <w:ind w:left="2149" w:hanging="420"/>
      </w:pPr>
      <w:rPr>
        <w:rFonts w:hint="default" w:ascii="Wingdings" w:hAnsi="Wingdings"/>
      </w:rPr>
    </w:lvl>
    <w:lvl w:ilvl="4" w:tentative="0">
      <w:start w:val="1"/>
      <w:numFmt w:val="bullet"/>
      <w:lvlText w:val=""/>
      <w:lvlJc w:val="left"/>
      <w:pPr>
        <w:tabs>
          <w:tab w:val="left" w:pos="2569"/>
        </w:tabs>
        <w:ind w:left="2569" w:hanging="420"/>
      </w:pPr>
      <w:rPr>
        <w:rFonts w:hint="default" w:ascii="Wingdings" w:hAnsi="Wingdings"/>
      </w:rPr>
    </w:lvl>
    <w:lvl w:ilvl="5" w:tentative="0">
      <w:start w:val="1"/>
      <w:numFmt w:val="bullet"/>
      <w:lvlText w:val=""/>
      <w:lvlJc w:val="left"/>
      <w:pPr>
        <w:tabs>
          <w:tab w:val="left" w:pos="2989"/>
        </w:tabs>
        <w:ind w:left="2989" w:hanging="420"/>
      </w:pPr>
      <w:rPr>
        <w:rFonts w:hint="default" w:ascii="Wingdings" w:hAnsi="Wingdings"/>
      </w:rPr>
    </w:lvl>
    <w:lvl w:ilvl="6" w:tentative="0">
      <w:start w:val="1"/>
      <w:numFmt w:val="bullet"/>
      <w:lvlText w:val=""/>
      <w:lvlJc w:val="left"/>
      <w:pPr>
        <w:tabs>
          <w:tab w:val="left" w:pos="3409"/>
        </w:tabs>
        <w:ind w:left="3409" w:hanging="420"/>
      </w:pPr>
      <w:rPr>
        <w:rFonts w:hint="default" w:ascii="Wingdings" w:hAnsi="Wingdings"/>
      </w:rPr>
    </w:lvl>
    <w:lvl w:ilvl="7" w:tentative="0">
      <w:start w:val="1"/>
      <w:numFmt w:val="bullet"/>
      <w:lvlText w:val=""/>
      <w:lvlJc w:val="left"/>
      <w:pPr>
        <w:tabs>
          <w:tab w:val="left" w:pos="3829"/>
        </w:tabs>
        <w:ind w:left="3829" w:hanging="420"/>
      </w:pPr>
      <w:rPr>
        <w:rFonts w:hint="default" w:ascii="Wingdings" w:hAnsi="Wingdings"/>
      </w:rPr>
    </w:lvl>
    <w:lvl w:ilvl="8" w:tentative="0">
      <w:start w:val="1"/>
      <w:numFmt w:val="bullet"/>
      <w:lvlText w:val=""/>
      <w:lvlJc w:val="left"/>
      <w:pPr>
        <w:tabs>
          <w:tab w:val="left" w:pos="4249"/>
        </w:tabs>
        <w:ind w:left="4249" w:hanging="420"/>
      </w:pPr>
      <w:rPr>
        <w:rFonts w:hint="default" w:ascii="Wingdings" w:hAnsi="Wingdings"/>
      </w:rPr>
    </w:lvl>
  </w:abstractNum>
  <w:abstractNum w:abstractNumId="26">
    <w:nsid w:val="666030AB"/>
    <w:multiLevelType w:val="multilevel"/>
    <w:tmpl w:val="666030AB"/>
    <w:lvl w:ilvl="0" w:tentative="0">
      <w:start w:val="1"/>
      <w:numFmt w:val="decimal"/>
      <w:lvlText w:val="（%1）"/>
      <w:lvlJc w:val="left"/>
      <w:pPr>
        <w:tabs>
          <w:tab w:val="left" w:pos="1710"/>
        </w:tabs>
        <w:ind w:left="1710" w:hanging="720"/>
      </w:pPr>
      <w:rPr>
        <w:rFonts w:hint="eastAsia"/>
        <w:lang w:val="en-US"/>
      </w:rPr>
    </w:lvl>
    <w:lvl w:ilvl="1" w:tentative="0">
      <w:start w:val="7"/>
      <w:numFmt w:val="japaneseCounting"/>
      <w:lvlText w:val="%2、"/>
      <w:lvlJc w:val="left"/>
      <w:pPr>
        <w:tabs>
          <w:tab w:val="left" w:pos="1890"/>
        </w:tabs>
        <w:ind w:left="1890" w:hanging="480"/>
      </w:pPr>
      <w:rPr>
        <w:rFonts w:hint="default"/>
      </w:rPr>
    </w:lvl>
    <w:lvl w:ilvl="2" w:tentative="0">
      <w:start w:val="1"/>
      <w:numFmt w:val="decimal"/>
      <w:lvlText w:val="%3、"/>
      <w:lvlJc w:val="left"/>
      <w:pPr>
        <w:ind w:left="2550" w:hanging="720"/>
      </w:pPr>
      <w:rPr>
        <w:rFonts w:hint="default"/>
      </w:rPr>
    </w:lvl>
    <w:lvl w:ilvl="3" w:tentative="0">
      <w:start w:val="1"/>
      <w:numFmt w:val="decimal"/>
      <w:lvlText w:val="%4."/>
      <w:lvlJc w:val="left"/>
      <w:pPr>
        <w:tabs>
          <w:tab w:val="left" w:pos="2670"/>
        </w:tabs>
        <w:ind w:left="2670" w:hanging="420"/>
      </w:pPr>
    </w:lvl>
    <w:lvl w:ilvl="4" w:tentative="0">
      <w:start w:val="1"/>
      <w:numFmt w:val="lowerLetter"/>
      <w:lvlText w:val="%5)"/>
      <w:lvlJc w:val="left"/>
      <w:pPr>
        <w:tabs>
          <w:tab w:val="left" w:pos="3090"/>
        </w:tabs>
        <w:ind w:left="3090" w:hanging="420"/>
      </w:pPr>
    </w:lvl>
    <w:lvl w:ilvl="5" w:tentative="0">
      <w:start w:val="1"/>
      <w:numFmt w:val="lowerRoman"/>
      <w:lvlText w:val="%6."/>
      <w:lvlJc w:val="right"/>
      <w:pPr>
        <w:tabs>
          <w:tab w:val="left" w:pos="3510"/>
        </w:tabs>
        <w:ind w:left="3510" w:hanging="420"/>
      </w:pPr>
    </w:lvl>
    <w:lvl w:ilvl="6" w:tentative="0">
      <w:start w:val="1"/>
      <w:numFmt w:val="decimal"/>
      <w:lvlText w:val="%7."/>
      <w:lvlJc w:val="left"/>
      <w:pPr>
        <w:tabs>
          <w:tab w:val="left" w:pos="3930"/>
        </w:tabs>
        <w:ind w:left="3930" w:hanging="420"/>
      </w:pPr>
    </w:lvl>
    <w:lvl w:ilvl="7" w:tentative="0">
      <w:start w:val="1"/>
      <w:numFmt w:val="lowerLetter"/>
      <w:lvlText w:val="%8)"/>
      <w:lvlJc w:val="left"/>
      <w:pPr>
        <w:tabs>
          <w:tab w:val="left" w:pos="4350"/>
        </w:tabs>
        <w:ind w:left="4350" w:hanging="420"/>
      </w:pPr>
    </w:lvl>
    <w:lvl w:ilvl="8" w:tentative="0">
      <w:start w:val="1"/>
      <w:numFmt w:val="lowerRoman"/>
      <w:lvlText w:val="%9."/>
      <w:lvlJc w:val="right"/>
      <w:pPr>
        <w:tabs>
          <w:tab w:val="left" w:pos="4770"/>
        </w:tabs>
        <w:ind w:left="4770" w:hanging="420"/>
      </w:pPr>
    </w:lvl>
  </w:abstractNum>
  <w:abstractNum w:abstractNumId="27">
    <w:nsid w:val="6B22420F"/>
    <w:multiLevelType w:val="multilevel"/>
    <w:tmpl w:val="6B22420F"/>
    <w:lvl w:ilvl="0" w:tentative="0">
      <w:start w:val="1"/>
      <w:numFmt w:val="decimal"/>
      <w:pStyle w:val="34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52B41A1"/>
    <w:multiLevelType w:val="singleLevel"/>
    <w:tmpl w:val="752B41A1"/>
    <w:lvl w:ilvl="0" w:tentative="0">
      <w:start w:val="3"/>
      <w:numFmt w:val="japaneseCounting"/>
      <w:lvlText w:val="（%1）"/>
      <w:lvlJc w:val="left"/>
      <w:pPr>
        <w:tabs>
          <w:tab w:val="left" w:pos="855"/>
        </w:tabs>
        <w:ind w:left="855" w:hanging="855"/>
      </w:pPr>
      <w:rPr>
        <w:rFonts w:hint="eastAsia"/>
      </w:rPr>
    </w:lvl>
  </w:abstractNum>
  <w:abstractNum w:abstractNumId="29">
    <w:nsid w:val="7969060E"/>
    <w:multiLevelType w:val="multilevel"/>
    <w:tmpl w:val="7969060E"/>
    <w:lvl w:ilvl="0" w:tentative="0">
      <w:start w:val="1"/>
      <w:numFmt w:val="decimal"/>
      <w:pStyle w:val="32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2"/>
  </w:num>
  <w:num w:numId="3">
    <w:abstractNumId w:val="7"/>
  </w:num>
  <w:num w:numId="4">
    <w:abstractNumId w:val="8"/>
  </w:num>
  <w:num w:numId="5">
    <w:abstractNumId w:val="9"/>
  </w:num>
  <w:num w:numId="6">
    <w:abstractNumId w:val="10"/>
  </w:num>
  <w:num w:numId="7">
    <w:abstractNumId w:val="3"/>
  </w:num>
  <w:num w:numId="8">
    <w:abstractNumId w:val="1"/>
  </w:num>
  <w:num w:numId="9">
    <w:abstractNumId w:val="25"/>
  </w:num>
  <w:num w:numId="10">
    <w:abstractNumId w:val="29"/>
  </w:num>
  <w:num w:numId="11">
    <w:abstractNumId w:val="23"/>
  </w:num>
  <w:num w:numId="12">
    <w:abstractNumId w:val="27"/>
  </w:num>
  <w:num w:numId="13">
    <w:abstractNumId w:val="19"/>
  </w:num>
  <w:num w:numId="14">
    <w:abstractNumId w:val="20"/>
  </w:num>
  <w:num w:numId="15">
    <w:abstractNumId w:val="21"/>
  </w:num>
  <w:num w:numId="16">
    <w:abstractNumId w:val="24"/>
  </w:num>
  <w:num w:numId="17">
    <w:abstractNumId w:val="6"/>
  </w:num>
  <w:num w:numId="18">
    <w:abstractNumId w:val="11"/>
  </w:num>
  <w:num w:numId="19">
    <w:abstractNumId w:val="15"/>
  </w:num>
  <w:num w:numId="20">
    <w:abstractNumId w:val="26"/>
  </w:num>
  <w:num w:numId="21">
    <w:abstractNumId w:val="17"/>
  </w:num>
  <w:num w:numId="22">
    <w:abstractNumId w:val="5"/>
  </w:num>
  <w:num w:numId="23">
    <w:abstractNumId w:val="0"/>
  </w:num>
  <w:num w:numId="24">
    <w:abstractNumId w:val="28"/>
  </w:num>
  <w:num w:numId="25">
    <w:abstractNumId w:val="18"/>
  </w:num>
  <w:num w:numId="26">
    <w:abstractNumId w:val="13"/>
  </w:num>
  <w:num w:numId="27">
    <w:abstractNumId w:val="12"/>
  </w:num>
  <w:num w:numId="28">
    <w:abstractNumId w:val="16"/>
  </w:num>
  <w:num w:numId="29">
    <w:abstractNumId w:val="2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ZDMzODk5ODUxNzhkNTQ1MjUxMGNmZWIwZDNhMGYifQ=="/>
  </w:docVars>
  <w:rsids>
    <w:rsidRoot w:val="00172A27"/>
    <w:rsid w:val="000000CD"/>
    <w:rsid w:val="000025EE"/>
    <w:rsid w:val="00005BD9"/>
    <w:rsid w:val="00013660"/>
    <w:rsid w:val="000154CA"/>
    <w:rsid w:val="00015F32"/>
    <w:rsid w:val="00015F93"/>
    <w:rsid w:val="00015FCE"/>
    <w:rsid w:val="000205F3"/>
    <w:rsid w:val="00021661"/>
    <w:rsid w:val="000232F3"/>
    <w:rsid w:val="000250A2"/>
    <w:rsid w:val="0002560A"/>
    <w:rsid w:val="00026654"/>
    <w:rsid w:val="000266A3"/>
    <w:rsid w:val="00026843"/>
    <w:rsid w:val="0002782B"/>
    <w:rsid w:val="0003165B"/>
    <w:rsid w:val="0003168D"/>
    <w:rsid w:val="00032125"/>
    <w:rsid w:val="0003427D"/>
    <w:rsid w:val="000356B9"/>
    <w:rsid w:val="00035A1B"/>
    <w:rsid w:val="000407D5"/>
    <w:rsid w:val="00040F9B"/>
    <w:rsid w:val="0004444E"/>
    <w:rsid w:val="00052714"/>
    <w:rsid w:val="00054D29"/>
    <w:rsid w:val="00057F85"/>
    <w:rsid w:val="00057FC0"/>
    <w:rsid w:val="000615C0"/>
    <w:rsid w:val="00061A7F"/>
    <w:rsid w:val="0006208A"/>
    <w:rsid w:val="00062D07"/>
    <w:rsid w:val="000634DE"/>
    <w:rsid w:val="00064177"/>
    <w:rsid w:val="00064474"/>
    <w:rsid w:val="00065815"/>
    <w:rsid w:val="00067221"/>
    <w:rsid w:val="00067AA4"/>
    <w:rsid w:val="00072B2B"/>
    <w:rsid w:val="00073582"/>
    <w:rsid w:val="0007647D"/>
    <w:rsid w:val="00076A18"/>
    <w:rsid w:val="00080AC8"/>
    <w:rsid w:val="00081B52"/>
    <w:rsid w:val="00081EF5"/>
    <w:rsid w:val="0008317D"/>
    <w:rsid w:val="000831E0"/>
    <w:rsid w:val="000836FE"/>
    <w:rsid w:val="0008505A"/>
    <w:rsid w:val="000851F2"/>
    <w:rsid w:val="00085FD7"/>
    <w:rsid w:val="00086174"/>
    <w:rsid w:val="000865E7"/>
    <w:rsid w:val="00087225"/>
    <w:rsid w:val="00087C1C"/>
    <w:rsid w:val="00087D12"/>
    <w:rsid w:val="000911A1"/>
    <w:rsid w:val="000947A2"/>
    <w:rsid w:val="000A104F"/>
    <w:rsid w:val="000A6C74"/>
    <w:rsid w:val="000A762B"/>
    <w:rsid w:val="000A765E"/>
    <w:rsid w:val="000B0D9D"/>
    <w:rsid w:val="000B14AC"/>
    <w:rsid w:val="000B324F"/>
    <w:rsid w:val="000B3DEC"/>
    <w:rsid w:val="000B51E3"/>
    <w:rsid w:val="000B59C1"/>
    <w:rsid w:val="000B5C7D"/>
    <w:rsid w:val="000B7D9C"/>
    <w:rsid w:val="000C02F9"/>
    <w:rsid w:val="000C04E9"/>
    <w:rsid w:val="000C239A"/>
    <w:rsid w:val="000C2541"/>
    <w:rsid w:val="000C37C1"/>
    <w:rsid w:val="000C7078"/>
    <w:rsid w:val="000C744D"/>
    <w:rsid w:val="000C7D45"/>
    <w:rsid w:val="000D072E"/>
    <w:rsid w:val="000D103B"/>
    <w:rsid w:val="000D264C"/>
    <w:rsid w:val="000D37F5"/>
    <w:rsid w:val="000D3AF9"/>
    <w:rsid w:val="000D3DD4"/>
    <w:rsid w:val="000D581F"/>
    <w:rsid w:val="000D5C58"/>
    <w:rsid w:val="000E00F2"/>
    <w:rsid w:val="000E20FD"/>
    <w:rsid w:val="000E2248"/>
    <w:rsid w:val="000E25A4"/>
    <w:rsid w:val="000E5CCA"/>
    <w:rsid w:val="000E697F"/>
    <w:rsid w:val="000E731F"/>
    <w:rsid w:val="000E7BB7"/>
    <w:rsid w:val="000F0A2B"/>
    <w:rsid w:val="000F17FD"/>
    <w:rsid w:val="000F2562"/>
    <w:rsid w:val="000F315D"/>
    <w:rsid w:val="00102352"/>
    <w:rsid w:val="001024CB"/>
    <w:rsid w:val="00104C36"/>
    <w:rsid w:val="00106B5B"/>
    <w:rsid w:val="00107B12"/>
    <w:rsid w:val="001122F0"/>
    <w:rsid w:val="001151E8"/>
    <w:rsid w:val="00116404"/>
    <w:rsid w:val="001220D0"/>
    <w:rsid w:val="00123526"/>
    <w:rsid w:val="00127CEA"/>
    <w:rsid w:val="001318C9"/>
    <w:rsid w:val="00133DFC"/>
    <w:rsid w:val="00135447"/>
    <w:rsid w:val="001355AF"/>
    <w:rsid w:val="00136378"/>
    <w:rsid w:val="00136EE0"/>
    <w:rsid w:val="0014021B"/>
    <w:rsid w:val="00141C68"/>
    <w:rsid w:val="00142962"/>
    <w:rsid w:val="001444BF"/>
    <w:rsid w:val="001473A2"/>
    <w:rsid w:val="0015005C"/>
    <w:rsid w:val="0015109A"/>
    <w:rsid w:val="00151A68"/>
    <w:rsid w:val="00151E93"/>
    <w:rsid w:val="001524C3"/>
    <w:rsid w:val="00155650"/>
    <w:rsid w:val="001577C0"/>
    <w:rsid w:val="001605E6"/>
    <w:rsid w:val="00161279"/>
    <w:rsid w:val="00161894"/>
    <w:rsid w:val="00161BF7"/>
    <w:rsid w:val="00161DE0"/>
    <w:rsid w:val="001637AF"/>
    <w:rsid w:val="0016419B"/>
    <w:rsid w:val="00167601"/>
    <w:rsid w:val="00171976"/>
    <w:rsid w:val="00171BEC"/>
    <w:rsid w:val="00171C24"/>
    <w:rsid w:val="00172A27"/>
    <w:rsid w:val="00172C9D"/>
    <w:rsid w:val="00173EF8"/>
    <w:rsid w:val="00177284"/>
    <w:rsid w:val="00180BAE"/>
    <w:rsid w:val="00180EAA"/>
    <w:rsid w:val="001830B5"/>
    <w:rsid w:val="00185FBF"/>
    <w:rsid w:val="001903C4"/>
    <w:rsid w:val="00192737"/>
    <w:rsid w:val="001952D1"/>
    <w:rsid w:val="00197FBE"/>
    <w:rsid w:val="001A2BA9"/>
    <w:rsid w:val="001A327B"/>
    <w:rsid w:val="001A5668"/>
    <w:rsid w:val="001A59A2"/>
    <w:rsid w:val="001A7D38"/>
    <w:rsid w:val="001B160B"/>
    <w:rsid w:val="001B1AEA"/>
    <w:rsid w:val="001B4D83"/>
    <w:rsid w:val="001B6A97"/>
    <w:rsid w:val="001C0DFE"/>
    <w:rsid w:val="001C5B97"/>
    <w:rsid w:val="001C6C81"/>
    <w:rsid w:val="001C6ED5"/>
    <w:rsid w:val="001C776C"/>
    <w:rsid w:val="001D0F55"/>
    <w:rsid w:val="001D106C"/>
    <w:rsid w:val="001D2BC9"/>
    <w:rsid w:val="001D39FC"/>
    <w:rsid w:val="001D4044"/>
    <w:rsid w:val="001D51DB"/>
    <w:rsid w:val="001D6C6E"/>
    <w:rsid w:val="001E50E9"/>
    <w:rsid w:val="001F15C3"/>
    <w:rsid w:val="001F2742"/>
    <w:rsid w:val="001F2CFB"/>
    <w:rsid w:val="001F36C6"/>
    <w:rsid w:val="001F37C8"/>
    <w:rsid w:val="001F40CA"/>
    <w:rsid w:val="001F6234"/>
    <w:rsid w:val="00204564"/>
    <w:rsid w:val="00207C02"/>
    <w:rsid w:val="0021011C"/>
    <w:rsid w:val="002128D2"/>
    <w:rsid w:val="002143A4"/>
    <w:rsid w:val="00214A49"/>
    <w:rsid w:val="002151CB"/>
    <w:rsid w:val="00215A4D"/>
    <w:rsid w:val="0021767D"/>
    <w:rsid w:val="00220D5E"/>
    <w:rsid w:val="002223A3"/>
    <w:rsid w:val="00222B70"/>
    <w:rsid w:val="0022375A"/>
    <w:rsid w:val="00223DB1"/>
    <w:rsid w:val="00226BFF"/>
    <w:rsid w:val="00230324"/>
    <w:rsid w:val="002310E9"/>
    <w:rsid w:val="00231BEF"/>
    <w:rsid w:val="00232D49"/>
    <w:rsid w:val="00233BB5"/>
    <w:rsid w:val="00234CCE"/>
    <w:rsid w:val="00235DC2"/>
    <w:rsid w:val="0024086A"/>
    <w:rsid w:val="00240927"/>
    <w:rsid w:val="00241EED"/>
    <w:rsid w:val="00242697"/>
    <w:rsid w:val="00243B90"/>
    <w:rsid w:val="00246A12"/>
    <w:rsid w:val="00246F82"/>
    <w:rsid w:val="00247881"/>
    <w:rsid w:val="0025066B"/>
    <w:rsid w:val="00250EF0"/>
    <w:rsid w:val="00252EB8"/>
    <w:rsid w:val="0025446F"/>
    <w:rsid w:val="00254C22"/>
    <w:rsid w:val="0025505B"/>
    <w:rsid w:val="002664CB"/>
    <w:rsid w:val="00266D23"/>
    <w:rsid w:val="00267A70"/>
    <w:rsid w:val="002723CD"/>
    <w:rsid w:val="002726AC"/>
    <w:rsid w:val="002746C8"/>
    <w:rsid w:val="0027533D"/>
    <w:rsid w:val="00275918"/>
    <w:rsid w:val="00276379"/>
    <w:rsid w:val="00277D08"/>
    <w:rsid w:val="00280600"/>
    <w:rsid w:val="002832F8"/>
    <w:rsid w:val="00283D46"/>
    <w:rsid w:val="0028701E"/>
    <w:rsid w:val="00287404"/>
    <w:rsid w:val="002904D7"/>
    <w:rsid w:val="00290913"/>
    <w:rsid w:val="00291E20"/>
    <w:rsid w:val="0029594D"/>
    <w:rsid w:val="00296A30"/>
    <w:rsid w:val="0029729D"/>
    <w:rsid w:val="00297DAA"/>
    <w:rsid w:val="002A003C"/>
    <w:rsid w:val="002A0971"/>
    <w:rsid w:val="002A0FCC"/>
    <w:rsid w:val="002A2EAD"/>
    <w:rsid w:val="002A33B5"/>
    <w:rsid w:val="002A7FD0"/>
    <w:rsid w:val="002B0007"/>
    <w:rsid w:val="002B0091"/>
    <w:rsid w:val="002B2037"/>
    <w:rsid w:val="002B23A1"/>
    <w:rsid w:val="002B2D64"/>
    <w:rsid w:val="002B5C05"/>
    <w:rsid w:val="002B7FEE"/>
    <w:rsid w:val="002C1034"/>
    <w:rsid w:val="002C1FA5"/>
    <w:rsid w:val="002C225A"/>
    <w:rsid w:val="002C2A30"/>
    <w:rsid w:val="002C34F9"/>
    <w:rsid w:val="002C38B8"/>
    <w:rsid w:val="002C3B64"/>
    <w:rsid w:val="002C5201"/>
    <w:rsid w:val="002C596A"/>
    <w:rsid w:val="002C6BA7"/>
    <w:rsid w:val="002C7439"/>
    <w:rsid w:val="002D3B3E"/>
    <w:rsid w:val="002D445B"/>
    <w:rsid w:val="002D45F4"/>
    <w:rsid w:val="002D71A4"/>
    <w:rsid w:val="002D7335"/>
    <w:rsid w:val="002E0F0D"/>
    <w:rsid w:val="002E2191"/>
    <w:rsid w:val="002E4628"/>
    <w:rsid w:val="002E50DF"/>
    <w:rsid w:val="002F2D8E"/>
    <w:rsid w:val="002F3C3F"/>
    <w:rsid w:val="002F5E09"/>
    <w:rsid w:val="002F6466"/>
    <w:rsid w:val="00300547"/>
    <w:rsid w:val="00301ECF"/>
    <w:rsid w:val="00303FC3"/>
    <w:rsid w:val="00306948"/>
    <w:rsid w:val="0031147C"/>
    <w:rsid w:val="00313047"/>
    <w:rsid w:val="00315820"/>
    <w:rsid w:val="003203EF"/>
    <w:rsid w:val="003206F8"/>
    <w:rsid w:val="00321527"/>
    <w:rsid w:val="00322EE0"/>
    <w:rsid w:val="00325416"/>
    <w:rsid w:val="00325D60"/>
    <w:rsid w:val="00326BE0"/>
    <w:rsid w:val="00333336"/>
    <w:rsid w:val="00333C00"/>
    <w:rsid w:val="00334D16"/>
    <w:rsid w:val="003362AB"/>
    <w:rsid w:val="00341470"/>
    <w:rsid w:val="003419BF"/>
    <w:rsid w:val="00342EBE"/>
    <w:rsid w:val="00345C3D"/>
    <w:rsid w:val="00346688"/>
    <w:rsid w:val="00346D35"/>
    <w:rsid w:val="003475F6"/>
    <w:rsid w:val="00351953"/>
    <w:rsid w:val="00351A21"/>
    <w:rsid w:val="0035201C"/>
    <w:rsid w:val="003556B5"/>
    <w:rsid w:val="00362612"/>
    <w:rsid w:val="003628E5"/>
    <w:rsid w:val="00362E94"/>
    <w:rsid w:val="00363890"/>
    <w:rsid w:val="00364064"/>
    <w:rsid w:val="00364312"/>
    <w:rsid w:val="0036570A"/>
    <w:rsid w:val="003708BA"/>
    <w:rsid w:val="00372BC0"/>
    <w:rsid w:val="00372C80"/>
    <w:rsid w:val="00375B7E"/>
    <w:rsid w:val="00375F20"/>
    <w:rsid w:val="00376D10"/>
    <w:rsid w:val="00377B34"/>
    <w:rsid w:val="00377CD4"/>
    <w:rsid w:val="0038061B"/>
    <w:rsid w:val="0038258F"/>
    <w:rsid w:val="00383BB7"/>
    <w:rsid w:val="003847ED"/>
    <w:rsid w:val="003854B8"/>
    <w:rsid w:val="003856E3"/>
    <w:rsid w:val="0038690E"/>
    <w:rsid w:val="0039000F"/>
    <w:rsid w:val="00390277"/>
    <w:rsid w:val="0039069A"/>
    <w:rsid w:val="00390D6B"/>
    <w:rsid w:val="003923EB"/>
    <w:rsid w:val="0039799C"/>
    <w:rsid w:val="003A1547"/>
    <w:rsid w:val="003A165E"/>
    <w:rsid w:val="003A2801"/>
    <w:rsid w:val="003A533D"/>
    <w:rsid w:val="003A555D"/>
    <w:rsid w:val="003A68F7"/>
    <w:rsid w:val="003A76A0"/>
    <w:rsid w:val="003B04BF"/>
    <w:rsid w:val="003B0B4E"/>
    <w:rsid w:val="003B0F03"/>
    <w:rsid w:val="003B194D"/>
    <w:rsid w:val="003B1DDD"/>
    <w:rsid w:val="003B29A1"/>
    <w:rsid w:val="003B4F6E"/>
    <w:rsid w:val="003B5ED5"/>
    <w:rsid w:val="003B7961"/>
    <w:rsid w:val="003B7ECE"/>
    <w:rsid w:val="003C08EE"/>
    <w:rsid w:val="003C099A"/>
    <w:rsid w:val="003C0E70"/>
    <w:rsid w:val="003C1D61"/>
    <w:rsid w:val="003C43DD"/>
    <w:rsid w:val="003C4E02"/>
    <w:rsid w:val="003C51A2"/>
    <w:rsid w:val="003C7C36"/>
    <w:rsid w:val="003C7DF3"/>
    <w:rsid w:val="003D1143"/>
    <w:rsid w:val="003D25BC"/>
    <w:rsid w:val="003D2BF1"/>
    <w:rsid w:val="003D4080"/>
    <w:rsid w:val="003D4A90"/>
    <w:rsid w:val="003D540A"/>
    <w:rsid w:val="003D6D8D"/>
    <w:rsid w:val="003E2D10"/>
    <w:rsid w:val="003E41C6"/>
    <w:rsid w:val="003E4AFC"/>
    <w:rsid w:val="003E4C59"/>
    <w:rsid w:val="003E4CB1"/>
    <w:rsid w:val="003E57C9"/>
    <w:rsid w:val="003E78AE"/>
    <w:rsid w:val="003F4EC5"/>
    <w:rsid w:val="003F6AFE"/>
    <w:rsid w:val="003F77F3"/>
    <w:rsid w:val="00400808"/>
    <w:rsid w:val="00405301"/>
    <w:rsid w:val="00405BF5"/>
    <w:rsid w:val="004116BF"/>
    <w:rsid w:val="0041361C"/>
    <w:rsid w:val="00415172"/>
    <w:rsid w:val="00421961"/>
    <w:rsid w:val="004232E3"/>
    <w:rsid w:val="00423942"/>
    <w:rsid w:val="00430313"/>
    <w:rsid w:val="00432724"/>
    <w:rsid w:val="0043321D"/>
    <w:rsid w:val="00434F40"/>
    <w:rsid w:val="004355C3"/>
    <w:rsid w:val="0043593A"/>
    <w:rsid w:val="0043709A"/>
    <w:rsid w:val="00440F58"/>
    <w:rsid w:val="004414C9"/>
    <w:rsid w:val="004430BD"/>
    <w:rsid w:val="00446F56"/>
    <w:rsid w:val="00447B74"/>
    <w:rsid w:val="00456552"/>
    <w:rsid w:val="00461FAB"/>
    <w:rsid w:val="00462606"/>
    <w:rsid w:val="0046312C"/>
    <w:rsid w:val="004646C5"/>
    <w:rsid w:val="0046721A"/>
    <w:rsid w:val="0046747B"/>
    <w:rsid w:val="00467D2C"/>
    <w:rsid w:val="004703D6"/>
    <w:rsid w:val="0047109F"/>
    <w:rsid w:val="00472E50"/>
    <w:rsid w:val="004730D5"/>
    <w:rsid w:val="004731F3"/>
    <w:rsid w:val="00474EB0"/>
    <w:rsid w:val="004773DE"/>
    <w:rsid w:val="004801FF"/>
    <w:rsid w:val="00482738"/>
    <w:rsid w:val="004833E1"/>
    <w:rsid w:val="00485789"/>
    <w:rsid w:val="004940B6"/>
    <w:rsid w:val="0049427C"/>
    <w:rsid w:val="00494E32"/>
    <w:rsid w:val="00496D26"/>
    <w:rsid w:val="004A02A5"/>
    <w:rsid w:val="004A0AA8"/>
    <w:rsid w:val="004A0C8E"/>
    <w:rsid w:val="004A1BF9"/>
    <w:rsid w:val="004A440C"/>
    <w:rsid w:val="004B0C25"/>
    <w:rsid w:val="004B2E3F"/>
    <w:rsid w:val="004B50A5"/>
    <w:rsid w:val="004B59F9"/>
    <w:rsid w:val="004B704D"/>
    <w:rsid w:val="004C1DD0"/>
    <w:rsid w:val="004C2951"/>
    <w:rsid w:val="004C396C"/>
    <w:rsid w:val="004C6AF8"/>
    <w:rsid w:val="004C6D70"/>
    <w:rsid w:val="004C74C8"/>
    <w:rsid w:val="004D0B19"/>
    <w:rsid w:val="004D257D"/>
    <w:rsid w:val="004D30A3"/>
    <w:rsid w:val="004D379D"/>
    <w:rsid w:val="004D5EDE"/>
    <w:rsid w:val="004E18BC"/>
    <w:rsid w:val="004E5A19"/>
    <w:rsid w:val="004F0FB6"/>
    <w:rsid w:val="004F1E37"/>
    <w:rsid w:val="004F2615"/>
    <w:rsid w:val="004F6379"/>
    <w:rsid w:val="00500E90"/>
    <w:rsid w:val="005014C2"/>
    <w:rsid w:val="00504770"/>
    <w:rsid w:val="0050498B"/>
    <w:rsid w:val="00506517"/>
    <w:rsid w:val="00506C5B"/>
    <w:rsid w:val="00510F8E"/>
    <w:rsid w:val="00514977"/>
    <w:rsid w:val="0051560B"/>
    <w:rsid w:val="00515706"/>
    <w:rsid w:val="0052005E"/>
    <w:rsid w:val="005217C2"/>
    <w:rsid w:val="0052200E"/>
    <w:rsid w:val="00523195"/>
    <w:rsid w:val="005243FF"/>
    <w:rsid w:val="0052469E"/>
    <w:rsid w:val="00526B50"/>
    <w:rsid w:val="00530013"/>
    <w:rsid w:val="0053134C"/>
    <w:rsid w:val="00532201"/>
    <w:rsid w:val="00533F24"/>
    <w:rsid w:val="005340D4"/>
    <w:rsid w:val="00534C3B"/>
    <w:rsid w:val="00535FE2"/>
    <w:rsid w:val="00536258"/>
    <w:rsid w:val="00550515"/>
    <w:rsid w:val="005509DD"/>
    <w:rsid w:val="00552BD7"/>
    <w:rsid w:val="00552C6F"/>
    <w:rsid w:val="005549B4"/>
    <w:rsid w:val="00554CB8"/>
    <w:rsid w:val="00554E06"/>
    <w:rsid w:val="0055612B"/>
    <w:rsid w:val="005569E5"/>
    <w:rsid w:val="00564822"/>
    <w:rsid w:val="005656E7"/>
    <w:rsid w:val="00565C94"/>
    <w:rsid w:val="005661D7"/>
    <w:rsid w:val="00566B77"/>
    <w:rsid w:val="0056732D"/>
    <w:rsid w:val="00567991"/>
    <w:rsid w:val="0057069F"/>
    <w:rsid w:val="00570997"/>
    <w:rsid w:val="00571927"/>
    <w:rsid w:val="00574199"/>
    <w:rsid w:val="005779EE"/>
    <w:rsid w:val="0058041C"/>
    <w:rsid w:val="005807C0"/>
    <w:rsid w:val="005828F8"/>
    <w:rsid w:val="00582CA1"/>
    <w:rsid w:val="005835AF"/>
    <w:rsid w:val="00585F40"/>
    <w:rsid w:val="0058662F"/>
    <w:rsid w:val="00586705"/>
    <w:rsid w:val="00587116"/>
    <w:rsid w:val="00587260"/>
    <w:rsid w:val="00590452"/>
    <w:rsid w:val="00590A8B"/>
    <w:rsid w:val="00593CFD"/>
    <w:rsid w:val="00595256"/>
    <w:rsid w:val="00596527"/>
    <w:rsid w:val="00597916"/>
    <w:rsid w:val="005A1970"/>
    <w:rsid w:val="005A36AD"/>
    <w:rsid w:val="005A3F65"/>
    <w:rsid w:val="005B3041"/>
    <w:rsid w:val="005B3693"/>
    <w:rsid w:val="005B533C"/>
    <w:rsid w:val="005B759D"/>
    <w:rsid w:val="005C0419"/>
    <w:rsid w:val="005C2A62"/>
    <w:rsid w:val="005C47E7"/>
    <w:rsid w:val="005C56F9"/>
    <w:rsid w:val="005C5D46"/>
    <w:rsid w:val="005C6192"/>
    <w:rsid w:val="005D2CA1"/>
    <w:rsid w:val="005D3510"/>
    <w:rsid w:val="005D3ADF"/>
    <w:rsid w:val="005D50A4"/>
    <w:rsid w:val="005D6069"/>
    <w:rsid w:val="005D6127"/>
    <w:rsid w:val="005D7B1F"/>
    <w:rsid w:val="005D7EC4"/>
    <w:rsid w:val="005E1E56"/>
    <w:rsid w:val="005E3582"/>
    <w:rsid w:val="005E4FD9"/>
    <w:rsid w:val="005E5B90"/>
    <w:rsid w:val="005E5BAE"/>
    <w:rsid w:val="005E7843"/>
    <w:rsid w:val="005F2DDF"/>
    <w:rsid w:val="005F4F36"/>
    <w:rsid w:val="005F515F"/>
    <w:rsid w:val="005F5D98"/>
    <w:rsid w:val="005F6547"/>
    <w:rsid w:val="005F6F63"/>
    <w:rsid w:val="0060439B"/>
    <w:rsid w:val="006046D8"/>
    <w:rsid w:val="00610774"/>
    <w:rsid w:val="00611F58"/>
    <w:rsid w:val="00612DC0"/>
    <w:rsid w:val="00613A24"/>
    <w:rsid w:val="00613E42"/>
    <w:rsid w:val="00614313"/>
    <w:rsid w:val="00614E1B"/>
    <w:rsid w:val="00616229"/>
    <w:rsid w:val="00622B6A"/>
    <w:rsid w:val="00623507"/>
    <w:rsid w:val="00626A04"/>
    <w:rsid w:val="00626A12"/>
    <w:rsid w:val="00630603"/>
    <w:rsid w:val="00631AF6"/>
    <w:rsid w:val="00632DE5"/>
    <w:rsid w:val="00634A7E"/>
    <w:rsid w:val="00634BA0"/>
    <w:rsid w:val="00641CAC"/>
    <w:rsid w:val="00642B91"/>
    <w:rsid w:val="00643063"/>
    <w:rsid w:val="00645253"/>
    <w:rsid w:val="0064544E"/>
    <w:rsid w:val="00650994"/>
    <w:rsid w:val="00652068"/>
    <w:rsid w:val="0065292C"/>
    <w:rsid w:val="00655926"/>
    <w:rsid w:val="0065743C"/>
    <w:rsid w:val="0066392C"/>
    <w:rsid w:val="00670955"/>
    <w:rsid w:val="00672F64"/>
    <w:rsid w:val="00675FD2"/>
    <w:rsid w:val="0067764C"/>
    <w:rsid w:val="0068109E"/>
    <w:rsid w:val="0068191E"/>
    <w:rsid w:val="00681F7A"/>
    <w:rsid w:val="0068224D"/>
    <w:rsid w:val="0068680E"/>
    <w:rsid w:val="006877AE"/>
    <w:rsid w:val="00691FD4"/>
    <w:rsid w:val="0069399A"/>
    <w:rsid w:val="00693C14"/>
    <w:rsid w:val="00693C56"/>
    <w:rsid w:val="006953DB"/>
    <w:rsid w:val="0069565E"/>
    <w:rsid w:val="00697692"/>
    <w:rsid w:val="006A4474"/>
    <w:rsid w:val="006A6BA9"/>
    <w:rsid w:val="006A6F67"/>
    <w:rsid w:val="006A7701"/>
    <w:rsid w:val="006B4001"/>
    <w:rsid w:val="006B460E"/>
    <w:rsid w:val="006B6A09"/>
    <w:rsid w:val="006B72A3"/>
    <w:rsid w:val="006C1471"/>
    <w:rsid w:val="006C174D"/>
    <w:rsid w:val="006C2192"/>
    <w:rsid w:val="006C28CD"/>
    <w:rsid w:val="006C2CEB"/>
    <w:rsid w:val="006C483E"/>
    <w:rsid w:val="006C7906"/>
    <w:rsid w:val="006D4923"/>
    <w:rsid w:val="006D4980"/>
    <w:rsid w:val="006D5043"/>
    <w:rsid w:val="006D7E45"/>
    <w:rsid w:val="006E178F"/>
    <w:rsid w:val="006E1DE1"/>
    <w:rsid w:val="006E241C"/>
    <w:rsid w:val="006E2428"/>
    <w:rsid w:val="006E2C0D"/>
    <w:rsid w:val="006E3872"/>
    <w:rsid w:val="006E49D3"/>
    <w:rsid w:val="006E68EC"/>
    <w:rsid w:val="006E6B86"/>
    <w:rsid w:val="006E6D9E"/>
    <w:rsid w:val="006F0D4B"/>
    <w:rsid w:val="006F24D3"/>
    <w:rsid w:val="00700345"/>
    <w:rsid w:val="00702B3F"/>
    <w:rsid w:val="00707272"/>
    <w:rsid w:val="0071189B"/>
    <w:rsid w:val="00713878"/>
    <w:rsid w:val="00714715"/>
    <w:rsid w:val="007173B0"/>
    <w:rsid w:val="0072036D"/>
    <w:rsid w:val="00721F13"/>
    <w:rsid w:val="007232BC"/>
    <w:rsid w:val="00726B87"/>
    <w:rsid w:val="007273E7"/>
    <w:rsid w:val="007306B2"/>
    <w:rsid w:val="00733764"/>
    <w:rsid w:val="00733EC0"/>
    <w:rsid w:val="007358D0"/>
    <w:rsid w:val="00740BF2"/>
    <w:rsid w:val="00741E76"/>
    <w:rsid w:val="007426D4"/>
    <w:rsid w:val="00743740"/>
    <w:rsid w:val="007442BC"/>
    <w:rsid w:val="007444FA"/>
    <w:rsid w:val="00744F2D"/>
    <w:rsid w:val="00745668"/>
    <w:rsid w:val="007477C8"/>
    <w:rsid w:val="00752289"/>
    <w:rsid w:val="00752D2E"/>
    <w:rsid w:val="0075332F"/>
    <w:rsid w:val="007544B2"/>
    <w:rsid w:val="00754D55"/>
    <w:rsid w:val="00755282"/>
    <w:rsid w:val="00757FAA"/>
    <w:rsid w:val="00760C2A"/>
    <w:rsid w:val="00760CF2"/>
    <w:rsid w:val="00761535"/>
    <w:rsid w:val="00762A7E"/>
    <w:rsid w:val="00763A80"/>
    <w:rsid w:val="007643B4"/>
    <w:rsid w:val="00765AB7"/>
    <w:rsid w:val="0076669B"/>
    <w:rsid w:val="0076755E"/>
    <w:rsid w:val="00773E80"/>
    <w:rsid w:val="00773F87"/>
    <w:rsid w:val="0077583B"/>
    <w:rsid w:val="00777830"/>
    <w:rsid w:val="00777CF0"/>
    <w:rsid w:val="00782450"/>
    <w:rsid w:val="00782D66"/>
    <w:rsid w:val="007831F2"/>
    <w:rsid w:val="00783C42"/>
    <w:rsid w:val="00787A67"/>
    <w:rsid w:val="007918FD"/>
    <w:rsid w:val="007930D0"/>
    <w:rsid w:val="00793E51"/>
    <w:rsid w:val="00794B00"/>
    <w:rsid w:val="007963D6"/>
    <w:rsid w:val="00796DC8"/>
    <w:rsid w:val="00797C1D"/>
    <w:rsid w:val="007A212F"/>
    <w:rsid w:val="007A3CBD"/>
    <w:rsid w:val="007A41B3"/>
    <w:rsid w:val="007A4E8D"/>
    <w:rsid w:val="007A51D6"/>
    <w:rsid w:val="007A5E9E"/>
    <w:rsid w:val="007A70C4"/>
    <w:rsid w:val="007B15CA"/>
    <w:rsid w:val="007B17A4"/>
    <w:rsid w:val="007B1EE2"/>
    <w:rsid w:val="007B2B89"/>
    <w:rsid w:val="007B3E16"/>
    <w:rsid w:val="007B520D"/>
    <w:rsid w:val="007B5309"/>
    <w:rsid w:val="007B6027"/>
    <w:rsid w:val="007B6556"/>
    <w:rsid w:val="007C0C94"/>
    <w:rsid w:val="007C562A"/>
    <w:rsid w:val="007C7DF2"/>
    <w:rsid w:val="007D09DB"/>
    <w:rsid w:val="007D0ADB"/>
    <w:rsid w:val="007D0DC3"/>
    <w:rsid w:val="007D286E"/>
    <w:rsid w:val="007D28B7"/>
    <w:rsid w:val="007D2BB6"/>
    <w:rsid w:val="007D2FBC"/>
    <w:rsid w:val="007D32BC"/>
    <w:rsid w:val="007D354D"/>
    <w:rsid w:val="007D462A"/>
    <w:rsid w:val="007D4655"/>
    <w:rsid w:val="007D4D71"/>
    <w:rsid w:val="007D5093"/>
    <w:rsid w:val="007E02A8"/>
    <w:rsid w:val="007E0D60"/>
    <w:rsid w:val="007E2330"/>
    <w:rsid w:val="007E5F0D"/>
    <w:rsid w:val="007E60F9"/>
    <w:rsid w:val="007F0238"/>
    <w:rsid w:val="007F1520"/>
    <w:rsid w:val="007F310F"/>
    <w:rsid w:val="007F6C97"/>
    <w:rsid w:val="007F70E2"/>
    <w:rsid w:val="007F75E0"/>
    <w:rsid w:val="00800756"/>
    <w:rsid w:val="00801205"/>
    <w:rsid w:val="00802AFB"/>
    <w:rsid w:val="00804630"/>
    <w:rsid w:val="00804BAC"/>
    <w:rsid w:val="0080653B"/>
    <w:rsid w:val="0080696F"/>
    <w:rsid w:val="0080710E"/>
    <w:rsid w:val="00807F34"/>
    <w:rsid w:val="0081363E"/>
    <w:rsid w:val="00813778"/>
    <w:rsid w:val="008163E9"/>
    <w:rsid w:val="00816E67"/>
    <w:rsid w:val="00820C4B"/>
    <w:rsid w:val="008214D7"/>
    <w:rsid w:val="00822267"/>
    <w:rsid w:val="008261F9"/>
    <w:rsid w:val="0082788A"/>
    <w:rsid w:val="008304AF"/>
    <w:rsid w:val="00830AA8"/>
    <w:rsid w:val="00833D98"/>
    <w:rsid w:val="0083463B"/>
    <w:rsid w:val="00840C48"/>
    <w:rsid w:val="00841172"/>
    <w:rsid w:val="00841B67"/>
    <w:rsid w:val="0084270B"/>
    <w:rsid w:val="00843A15"/>
    <w:rsid w:val="008444FC"/>
    <w:rsid w:val="00845FE8"/>
    <w:rsid w:val="00847588"/>
    <w:rsid w:val="00851FE2"/>
    <w:rsid w:val="00854AAC"/>
    <w:rsid w:val="008620C5"/>
    <w:rsid w:val="0086471E"/>
    <w:rsid w:val="00866170"/>
    <w:rsid w:val="008662B9"/>
    <w:rsid w:val="0086704F"/>
    <w:rsid w:val="00867435"/>
    <w:rsid w:val="00872CD0"/>
    <w:rsid w:val="00877CE4"/>
    <w:rsid w:val="00881F48"/>
    <w:rsid w:val="0088284A"/>
    <w:rsid w:val="0088520A"/>
    <w:rsid w:val="00886A7F"/>
    <w:rsid w:val="00886BC3"/>
    <w:rsid w:val="00887F55"/>
    <w:rsid w:val="00891390"/>
    <w:rsid w:val="00892D00"/>
    <w:rsid w:val="00893CBA"/>
    <w:rsid w:val="00893EAB"/>
    <w:rsid w:val="00895AD7"/>
    <w:rsid w:val="0089736A"/>
    <w:rsid w:val="008A1A9B"/>
    <w:rsid w:val="008A1E6D"/>
    <w:rsid w:val="008A20A0"/>
    <w:rsid w:val="008A3086"/>
    <w:rsid w:val="008A39FB"/>
    <w:rsid w:val="008A49C7"/>
    <w:rsid w:val="008A6BD2"/>
    <w:rsid w:val="008A76BA"/>
    <w:rsid w:val="008A7D84"/>
    <w:rsid w:val="008B09F1"/>
    <w:rsid w:val="008B0E30"/>
    <w:rsid w:val="008B2727"/>
    <w:rsid w:val="008B53A3"/>
    <w:rsid w:val="008B5CE3"/>
    <w:rsid w:val="008C0CE1"/>
    <w:rsid w:val="008C0E65"/>
    <w:rsid w:val="008C316F"/>
    <w:rsid w:val="008C4051"/>
    <w:rsid w:val="008C4B6D"/>
    <w:rsid w:val="008C5D06"/>
    <w:rsid w:val="008C6DE2"/>
    <w:rsid w:val="008C7A45"/>
    <w:rsid w:val="008D2BFB"/>
    <w:rsid w:val="008D4645"/>
    <w:rsid w:val="008D7500"/>
    <w:rsid w:val="008D7A6B"/>
    <w:rsid w:val="008E212B"/>
    <w:rsid w:val="008E2DDB"/>
    <w:rsid w:val="008E4D34"/>
    <w:rsid w:val="008E6E96"/>
    <w:rsid w:val="008F2A13"/>
    <w:rsid w:val="008F3D55"/>
    <w:rsid w:val="008F4210"/>
    <w:rsid w:val="008F45DD"/>
    <w:rsid w:val="008F513B"/>
    <w:rsid w:val="008F7E70"/>
    <w:rsid w:val="00900C9A"/>
    <w:rsid w:val="0090204E"/>
    <w:rsid w:val="00902BCC"/>
    <w:rsid w:val="0090347C"/>
    <w:rsid w:val="009077EB"/>
    <w:rsid w:val="00907E12"/>
    <w:rsid w:val="00913414"/>
    <w:rsid w:val="00916320"/>
    <w:rsid w:val="00916640"/>
    <w:rsid w:val="00917271"/>
    <w:rsid w:val="0092016F"/>
    <w:rsid w:val="009235F5"/>
    <w:rsid w:val="00924553"/>
    <w:rsid w:val="00925BB3"/>
    <w:rsid w:val="009260F1"/>
    <w:rsid w:val="00931F4B"/>
    <w:rsid w:val="0093299B"/>
    <w:rsid w:val="00940EEB"/>
    <w:rsid w:val="0094205E"/>
    <w:rsid w:val="00942926"/>
    <w:rsid w:val="00943187"/>
    <w:rsid w:val="00945075"/>
    <w:rsid w:val="0094576B"/>
    <w:rsid w:val="009457B2"/>
    <w:rsid w:val="00945A08"/>
    <w:rsid w:val="00947759"/>
    <w:rsid w:val="00950B46"/>
    <w:rsid w:val="009526CF"/>
    <w:rsid w:val="00952C22"/>
    <w:rsid w:val="0095456B"/>
    <w:rsid w:val="00956364"/>
    <w:rsid w:val="00956E1A"/>
    <w:rsid w:val="0096084D"/>
    <w:rsid w:val="009627CF"/>
    <w:rsid w:val="009645C8"/>
    <w:rsid w:val="00964DEB"/>
    <w:rsid w:val="009675B4"/>
    <w:rsid w:val="00974F94"/>
    <w:rsid w:val="009756AD"/>
    <w:rsid w:val="00980BE7"/>
    <w:rsid w:val="0098568F"/>
    <w:rsid w:val="00987033"/>
    <w:rsid w:val="00990DC9"/>
    <w:rsid w:val="009920CE"/>
    <w:rsid w:val="00992E9D"/>
    <w:rsid w:val="00995441"/>
    <w:rsid w:val="009954D9"/>
    <w:rsid w:val="009A3FB9"/>
    <w:rsid w:val="009A53DF"/>
    <w:rsid w:val="009A59B6"/>
    <w:rsid w:val="009A6A16"/>
    <w:rsid w:val="009A70D8"/>
    <w:rsid w:val="009B1498"/>
    <w:rsid w:val="009B519D"/>
    <w:rsid w:val="009B5E84"/>
    <w:rsid w:val="009B752E"/>
    <w:rsid w:val="009B7D60"/>
    <w:rsid w:val="009C1427"/>
    <w:rsid w:val="009C28F3"/>
    <w:rsid w:val="009C29A1"/>
    <w:rsid w:val="009C39A9"/>
    <w:rsid w:val="009C7A3F"/>
    <w:rsid w:val="009D0425"/>
    <w:rsid w:val="009D26BA"/>
    <w:rsid w:val="009D48F6"/>
    <w:rsid w:val="009D4911"/>
    <w:rsid w:val="009D60FC"/>
    <w:rsid w:val="009D6589"/>
    <w:rsid w:val="009D6755"/>
    <w:rsid w:val="009D78A1"/>
    <w:rsid w:val="009E024A"/>
    <w:rsid w:val="009E0D0D"/>
    <w:rsid w:val="009E12AA"/>
    <w:rsid w:val="009E1698"/>
    <w:rsid w:val="009E1CAB"/>
    <w:rsid w:val="009E212A"/>
    <w:rsid w:val="009E3431"/>
    <w:rsid w:val="009E3EC2"/>
    <w:rsid w:val="009E4662"/>
    <w:rsid w:val="009E49BB"/>
    <w:rsid w:val="009E5626"/>
    <w:rsid w:val="009E5C19"/>
    <w:rsid w:val="009E5E06"/>
    <w:rsid w:val="009E6229"/>
    <w:rsid w:val="009F05D5"/>
    <w:rsid w:val="009F099D"/>
    <w:rsid w:val="009F0CEB"/>
    <w:rsid w:val="009F262D"/>
    <w:rsid w:val="009F5AB9"/>
    <w:rsid w:val="009F7A9C"/>
    <w:rsid w:val="009F7D6C"/>
    <w:rsid w:val="00A00AC7"/>
    <w:rsid w:val="00A01EC8"/>
    <w:rsid w:val="00A0422B"/>
    <w:rsid w:val="00A058BA"/>
    <w:rsid w:val="00A11E1A"/>
    <w:rsid w:val="00A12909"/>
    <w:rsid w:val="00A1641E"/>
    <w:rsid w:val="00A20217"/>
    <w:rsid w:val="00A211C5"/>
    <w:rsid w:val="00A23524"/>
    <w:rsid w:val="00A23CC5"/>
    <w:rsid w:val="00A27B45"/>
    <w:rsid w:val="00A27E99"/>
    <w:rsid w:val="00A3580C"/>
    <w:rsid w:val="00A37BCA"/>
    <w:rsid w:val="00A41460"/>
    <w:rsid w:val="00A4219F"/>
    <w:rsid w:val="00A435AE"/>
    <w:rsid w:val="00A44F67"/>
    <w:rsid w:val="00A451AA"/>
    <w:rsid w:val="00A47437"/>
    <w:rsid w:val="00A47736"/>
    <w:rsid w:val="00A5001B"/>
    <w:rsid w:val="00A503EB"/>
    <w:rsid w:val="00A53FCD"/>
    <w:rsid w:val="00A540DA"/>
    <w:rsid w:val="00A54958"/>
    <w:rsid w:val="00A55602"/>
    <w:rsid w:val="00A556DF"/>
    <w:rsid w:val="00A57BDB"/>
    <w:rsid w:val="00A57C49"/>
    <w:rsid w:val="00A6294C"/>
    <w:rsid w:val="00A701F6"/>
    <w:rsid w:val="00A70824"/>
    <w:rsid w:val="00A76EEA"/>
    <w:rsid w:val="00A777B9"/>
    <w:rsid w:val="00A82CC6"/>
    <w:rsid w:val="00A83A27"/>
    <w:rsid w:val="00A84AD3"/>
    <w:rsid w:val="00A85848"/>
    <w:rsid w:val="00A869AE"/>
    <w:rsid w:val="00A87605"/>
    <w:rsid w:val="00A9035B"/>
    <w:rsid w:val="00A93B30"/>
    <w:rsid w:val="00A94D0F"/>
    <w:rsid w:val="00A965B3"/>
    <w:rsid w:val="00A96F95"/>
    <w:rsid w:val="00AA15B1"/>
    <w:rsid w:val="00AA2CD8"/>
    <w:rsid w:val="00AA50B8"/>
    <w:rsid w:val="00AA68BB"/>
    <w:rsid w:val="00AA7507"/>
    <w:rsid w:val="00AB1A9F"/>
    <w:rsid w:val="00AB5B14"/>
    <w:rsid w:val="00AC0F3F"/>
    <w:rsid w:val="00AC2F5A"/>
    <w:rsid w:val="00AC4847"/>
    <w:rsid w:val="00AD04F0"/>
    <w:rsid w:val="00AD17DA"/>
    <w:rsid w:val="00AD27BA"/>
    <w:rsid w:val="00AD3011"/>
    <w:rsid w:val="00AD3A3F"/>
    <w:rsid w:val="00AD3EB3"/>
    <w:rsid w:val="00AD49EB"/>
    <w:rsid w:val="00AD6A7A"/>
    <w:rsid w:val="00AD74BC"/>
    <w:rsid w:val="00AE04DA"/>
    <w:rsid w:val="00AE3733"/>
    <w:rsid w:val="00AE3EC3"/>
    <w:rsid w:val="00AE4C26"/>
    <w:rsid w:val="00AE5DEC"/>
    <w:rsid w:val="00AF0424"/>
    <w:rsid w:val="00AF3B59"/>
    <w:rsid w:val="00B0198C"/>
    <w:rsid w:val="00B01EF3"/>
    <w:rsid w:val="00B0371C"/>
    <w:rsid w:val="00B03AE5"/>
    <w:rsid w:val="00B059BC"/>
    <w:rsid w:val="00B10190"/>
    <w:rsid w:val="00B12205"/>
    <w:rsid w:val="00B1359A"/>
    <w:rsid w:val="00B14EED"/>
    <w:rsid w:val="00B170D8"/>
    <w:rsid w:val="00B177A8"/>
    <w:rsid w:val="00B177FC"/>
    <w:rsid w:val="00B211DD"/>
    <w:rsid w:val="00B2264B"/>
    <w:rsid w:val="00B278B4"/>
    <w:rsid w:val="00B321A1"/>
    <w:rsid w:val="00B340BE"/>
    <w:rsid w:val="00B34E71"/>
    <w:rsid w:val="00B356B8"/>
    <w:rsid w:val="00B42FC1"/>
    <w:rsid w:val="00B43682"/>
    <w:rsid w:val="00B446EA"/>
    <w:rsid w:val="00B5145E"/>
    <w:rsid w:val="00B52208"/>
    <w:rsid w:val="00B56AC7"/>
    <w:rsid w:val="00B5780C"/>
    <w:rsid w:val="00B60691"/>
    <w:rsid w:val="00B6308F"/>
    <w:rsid w:val="00B7078F"/>
    <w:rsid w:val="00B73CBB"/>
    <w:rsid w:val="00B7405E"/>
    <w:rsid w:val="00B76C3F"/>
    <w:rsid w:val="00B8307A"/>
    <w:rsid w:val="00B85067"/>
    <w:rsid w:val="00B9070A"/>
    <w:rsid w:val="00B907ED"/>
    <w:rsid w:val="00B90C27"/>
    <w:rsid w:val="00B915FF"/>
    <w:rsid w:val="00B92F80"/>
    <w:rsid w:val="00B939DF"/>
    <w:rsid w:val="00B953D8"/>
    <w:rsid w:val="00BA1C9F"/>
    <w:rsid w:val="00BA3429"/>
    <w:rsid w:val="00BA38BF"/>
    <w:rsid w:val="00BA5BDB"/>
    <w:rsid w:val="00BA65C7"/>
    <w:rsid w:val="00BB5D16"/>
    <w:rsid w:val="00BC0FC5"/>
    <w:rsid w:val="00BC143B"/>
    <w:rsid w:val="00BC1D63"/>
    <w:rsid w:val="00BC1F95"/>
    <w:rsid w:val="00BC22DA"/>
    <w:rsid w:val="00BC2410"/>
    <w:rsid w:val="00BC5743"/>
    <w:rsid w:val="00BC5B48"/>
    <w:rsid w:val="00BC773D"/>
    <w:rsid w:val="00BD0597"/>
    <w:rsid w:val="00BD344A"/>
    <w:rsid w:val="00BD5A22"/>
    <w:rsid w:val="00BE000D"/>
    <w:rsid w:val="00BF086E"/>
    <w:rsid w:val="00BF3907"/>
    <w:rsid w:val="00BF4E35"/>
    <w:rsid w:val="00BF7A4F"/>
    <w:rsid w:val="00C006E9"/>
    <w:rsid w:val="00C04AF7"/>
    <w:rsid w:val="00C05BBB"/>
    <w:rsid w:val="00C06207"/>
    <w:rsid w:val="00C06F82"/>
    <w:rsid w:val="00C11CB3"/>
    <w:rsid w:val="00C12A8D"/>
    <w:rsid w:val="00C164E3"/>
    <w:rsid w:val="00C16810"/>
    <w:rsid w:val="00C17F14"/>
    <w:rsid w:val="00C224F9"/>
    <w:rsid w:val="00C22A76"/>
    <w:rsid w:val="00C2327B"/>
    <w:rsid w:val="00C23E4D"/>
    <w:rsid w:val="00C24C46"/>
    <w:rsid w:val="00C26733"/>
    <w:rsid w:val="00C31815"/>
    <w:rsid w:val="00C320D7"/>
    <w:rsid w:val="00C34E3D"/>
    <w:rsid w:val="00C36C0F"/>
    <w:rsid w:val="00C36DCA"/>
    <w:rsid w:val="00C37AAA"/>
    <w:rsid w:val="00C37BCC"/>
    <w:rsid w:val="00C41519"/>
    <w:rsid w:val="00C41E36"/>
    <w:rsid w:val="00C422C7"/>
    <w:rsid w:val="00C42D94"/>
    <w:rsid w:val="00C441AD"/>
    <w:rsid w:val="00C460F6"/>
    <w:rsid w:val="00C50724"/>
    <w:rsid w:val="00C50B73"/>
    <w:rsid w:val="00C50D2E"/>
    <w:rsid w:val="00C526B6"/>
    <w:rsid w:val="00C554FD"/>
    <w:rsid w:val="00C57FFB"/>
    <w:rsid w:val="00C60FCE"/>
    <w:rsid w:val="00C611C2"/>
    <w:rsid w:val="00C6247B"/>
    <w:rsid w:val="00C627F1"/>
    <w:rsid w:val="00C65B1E"/>
    <w:rsid w:val="00C7155A"/>
    <w:rsid w:val="00C72B2E"/>
    <w:rsid w:val="00C74EBD"/>
    <w:rsid w:val="00C767D2"/>
    <w:rsid w:val="00C774B1"/>
    <w:rsid w:val="00C77847"/>
    <w:rsid w:val="00C81274"/>
    <w:rsid w:val="00C84CCE"/>
    <w:rsid w:val="00C8606F"/>
    <w:rsid w:val="00C86134"/>
    <w:rsid w:val="00C86E3A"/>
    <w:rsid w:val="00C92F6F"/>
    <w:rsid w:val="00CA1612"/>
    <w:rsid w:val="00CA1634"/>
    <w:rsid w:val="00CA3496"/>
    <w:rsid w:val="00CA4A4D"/>
    <w:rsid w:val="00CA6112"/>
    <w:rsid w:val="00CA6BC3"/>
    <w:rsid w:val="00CA6FCD"/>
    <w:rsid w:val="00CA728B"/>
    <w:rsid w:val="00CA794F"/>
    <w:rsid w:val="00CB1824"/>
    <w:rsid w:val="00CB2059"/>
    <w:rsid w:val="00CB5D68"/>
    <w:rsid w:val="00CB6043"/>
    <w:rsid w:val="00CB6395"/>
    <w:rsid w:val="00CB639F"/>
    <w:rsid w:val="00CB6E42"/>
    <w:rsid w:val="00CC0A74"/>
    <w:rsid w:val="00CC3237"/>
    <w:rsid w:val="00CC3B43"/>
    <w:rsid w:val="00CC5200"/>
    <w:rsid w:val="00CD1A6A"/>
    <w:rsid w:val="00CD1B32"/>
    <w:rsid w:val="00CD613E"/>
    <w:rsid w:val="00CD688E"/>
    <w:rsid w:val="00CD7DA7"/>
    <w:rsid w:val="00CE0EDA"/>
    <w:rsid w:val="00CE2F7F"/>
    <w:rsid w:val="00CE3DC2"/>
    <w:rsid w:val="00CE40EA"/>
    <w:rsid w:val="00CE48BB"/>
    <w:rsid w:val="00CE5AD8"/>
    <w:rsid w:val="00CF12A6"/>
    <w:rsid w:val="00CF1D58"/>
    <w:rsid w:val="00CF476F"/>
    <w:rsid w:val="00CF5865"/>
    <w:rsid w:val="00D00EF8"/>
    <w:rsid w:val="00D02BE6"/>
    <w:rsid w:val="00D03B4D"/>
    <w:rsid w:val="00D056C8"/>
    <w:rsid w:val="00D0632A"/>
    <w:rsid w:val="00D06C8D"/>
    <w:rsid w:val="00D06F76"/>
    <w:rsid w:val="00D06FB7"/>
    <w:rsid w:val="00D101CF"/>
    <w:rsid w:val="00D12035"/>
    <w:rsid w:val="00D13DFC"/>
    <w:rsid w:val="00D204E3"/>
    <w:rsid w:val="00D20A1F"/>
    <w:rsid w:val="00D22B71"/>
    <w:rsid w:val="00D25770"/>
    <w:rsid w:val="00D25858"/>
    <w:rsid w:val="00D2619A"/>
    <w:rsid w:val="00D26DA6"/>
    <w:rsid w:val="00D274C7"/>
    <w:rsid w:val="00D27696"/>
    <w:rsid w:val="00D30E0C"/>
    <w:rsid w:val="00D31BDD"/>
    <w:rsid w:val="00D32090"/>
    <w:rsid w:val="00D33129"/>
    <w:rsid w:val="00D3467A"/>
    <w:rsid w:val="00D3723F"/>
    <w:rsid w:val="00D4043F"/>
    <w:rsid w:val="00D4260E"/>
    <w:rsid w:val="00D431C4"/>
    <w:rsid w:val="00D45CD8"/>
    <w:rsid w:val="00D535BD"/>
    <w:rsid w:val="00D53627"/>
    <w:rsid w:val="00D547C4"/>
    <w:rsid w:val="00D554EE"/>
    <w:rsid w:val="00D56BC0"/>
    <w:rsid w:val="00D577BC"/>
    <w:rsid w:val="00D609FA"/>
    <w:rsid w:val="00D616AE"/>
    <w:rsid w:val="00D61FCF"/>
    <w:rsid w:val="00D63A6C"/>
    <w:rsid w:val="00D64019"/>
    <w:rsid w:val="00D64D47"/>
    <w:rsid w:val="00D66679"/>
    <w:rsid w:val="00D6677C"/>
    <w:rsid w:val="00D6690A"/>
    <w:rsid w:val="00D66AFF"/>
    <w:rsid w:val="00D7094D"/>
    <w:rsid w:val="00D70994"/>
    <w:rsid w:val="00D70F30"/>
    <w:rsid w:val="00D71503"/>
    <w:rsid w:val="00D757B6"/>
    <w:rsid w:val="00D80511"/>
    <w:rsid w:val="00D80591"/>
    <w:rsid w:val="00D80690"/>
    <w:rsid w:val="00D83152"/>
    <w:rsid w:val="00D91780"/>
    <w:rsid w:val="00D91ABA"/>
    <w:rsid w:val="00D91CFE"/>
    <w:rsid w:val="00D92941"/>
    <w:rsid w:val="00D95D75"/>
    <w:rsid w:val="00D960B8"/>
    <w:rsid w:val="00DA2AA9"/>
    <w:rsid w:val="00DA7FA9"/>
    <w:rsid w:val="00DB025D"/>
    <w:rsid w:val="00DB09E3"/>
    <w:rsid w:val="00DB31B8"/>
    <w:rsid w:val="00DB51BE"/>
    <w:rsid w:val="00DC1F49"/>
    <w:rsid w:val="00DC5636"/>
    <w:rsid w:val="00DC6B2E"/>
    <w:rsid w:val="00DC77EA"/>
    <w:rsid w:val="00DC796A"/>
    <w:rsid w:val="00DD5277"/>
    <w:rsid w:val="00DD6561"/>
    <w:rsid w:val="00DD6C31"/>
    <w:rsid w:val="00DD718E"/>
    <w:rsid w:val="00DD78F3"/>
    <w:rsid w:val="00DE0BD3"/>
    <w:rsid w:val="00DE2C43"/>
    <w:rsid w:val="00DE50F8"/>
    <w:rsid w:val="00DE5846"/>
    <w:rsid w:val="00DE6FDC"/>
    <w:rsid w:val="00DE72C6"/>
    <w:rsid w:val="00DF1AC0"/>
    <w:rsid w:val="00DF2175"/>
    <w:rsid w:val="00DF35B8"/>
    <w:rsid w:val="00DF3717"/>
    <w:rsid w:val="00DF3E5F"/>
    <w:rsid w:val="00DF4860"/>
    <w:rsid w:val="00DF596D"/>
    <w:rsid w:val="00DF67A4"/>
    <w:rsid w:val="00DF7C19"/>
    <w:rsid w:val="00E00544"/>
    <w:rsid w:val="00E008F1"/>
    <w:rsid w:val="00E03A4F"/>
    <w:rsid w:val="00E04611"/>
    <w:rsid w:val="00E07B70"/>
    <w:rsid w:val="00E07FC4"/>
    <w:rsid w:val="00E141E4"/>
    <w:rsid w:val="00E1640A"/>
    <w:rsid w:val="00E16526"/>
    <w:rsid w:val="00E21587"/>
    <w:rsid w:val="00E21941"/>
    <w:rsid w:val="00E224F3"/>
    <w:rsid w:val="00E27B4B"/>
    <w:rsid w:val="00E3049C"/>
    <w:rsid w:val="00E316CF"/>
    <w:rsid w:val="00E31919"/>
    <w:rsid w:val="00E329A9"/>
    <w:rsid w:val="00E33C71"/>
    <w:rsid w:val="00E3485A"/>
    <w:rsid w:val="00E3520A"/>
    <w:rsid w:val="00E3547F"/>
    <w:rsid w:val="00E354F4"/>
    <w:rsid w:val="00E36989"/>
    <w:rsid w:val="00E4151C"/>
    <w:rsid w:val="00E419D6"/>
    <w:rsid w:val="00E43374"/>
    <w:rsid w:val="00E4385B"/>
    <w:rsid w:val="00E451AC"/>
    <w:rsid w:val="00E4629D"/>
    <w:rsid w:val="00E46336"/>
    <w:rsid w:val="00E530D9"/>
    <w:rsid w:val="00E53591"/>
    <w:rsid w:val="00E54081"/>
    <w:rsid w:val="00E61A92"/>
    <w:rsid w:val="00E631CA"/>
    <w:rsid w:val="00E64AE8"/>
    <w:rsid w:val="00E64D8E"/>
    <w:rsid w:val="00E6510B"/>
    <w:rsid w:val="00E663C5"/>
    <w:rsid w:val="00E708F8"/>
    <w:rsid w:val="00E71656"/>
    <w:rsid w:val="00E72EB1"/>
    <w:rsid w:val="00E73B4D"/>
    <w:rsid w:val="00E74384"/>
    <w:rsid w:val="00E75731"/>
    <w:rsid w:val="00E76691"/>
    <w:rsid w:val="00E76AD4"/>
    <w:rsid w:val="00E824C7"/>
    <w:rsid w:val="00E83DC0"/>
    <w:rsid w:val="00E84A05"/>
    <w:rsid w:val="00E85E93"/>
    <w:rsid w:val="00E90309"/>
    <w:rsid w:val="00E909C2"/>
    <w:rsid w:val="00E90ADA"/>
    <w:rsid w:val="00E912A1"/>
    <w:rsid w:val="00E923AB"/>
    <w:rsid w:val="00E936DF"/>
    <w:rsid w:val="00E9396C"/>
    <w:rsid w:val="00E93AB3"/>
    <w:rsid w:val="00E95B37"/>
    <w:rsid w:val="00E9668D"/>
    <w:rsid w:val="00E97BDA"/>
    <w:rsid w:val="00EA041F"/>
    <w:rsid w:val="00EA0B7F"/>
    <w:rsid w:val="00EA1AC1"/>
    <w:rsid w:val="00EA233E"/>
    <w:rsid w:val="00EA3F47"/>
    <w:rsid w:val="00EA5274"/>
    <w:rsid w:val="00EA67DC"/>
    <w:rsid w:val="00EB3135"/>
    <w:rsid w:val="00EB5DF4"/>
    <w:rsid w:val="00EB5F5F"/>
    <w:rsid w:val="00EB765B"/>
    <w:rsid w:val="00EC12EA"/>
    <w:rsid w:val="00EC4F54"/>
    <w:rsid w:val="00EC55CA"/>
    <w:rsid w:val="00EC5822"/>
    <w:rsid w:val="00ED09A7"/>
    <w:rsid w:val="00ED25F5"/>
    <w:rsid w:val="00ED3627"/>
    <w:rsid w:val="00ED4A4C"/>
    <w:rsid w:val="00ED5B16"/>
    <w:rsid w:val="00ED7BDB"/>
    <w:rsid w:val="00EE1EA1"/>
    <w:rsid w:val="00EE6595"/>
    <w:rsid w:val="00EE6854"/>
    <w:rsid w:val="00EE68AB"/>
    <w:rsid w:val="00EE7C99"/>
    <w:rsid w:val="00EF1D7F"/>
    <w:rsid w:val="00EF3874"/>
    <w:rsid w:val="00EF48B2"/>
    <w:rsid w:val="00EF5F43"/>
    <w:rsid w:val="00EF6D2E"/>
    <w:rsid w:val="00EF7A33"/>
    <w:rsid w:val="00F0330A"/>
    <w:rsid w:val="00F04D97"/>
    <w:rsid w:val="00F05492"/>
    <w:rsid w:val="00F05A0A"/>
    <w:rsid w:val="00F064D8"/>
    <w:rsid w:val="00F0656A"/>
    <w:rsid w:val="00F074EA"/>
    <w:rsid w:val="00F11A93"/>
    <w:rsid w:val="00F1714C"/>
    <w:rsid w:val="00F20FE8"/>
    <w:rsid w:val="00F21348"/>
    <w:rsid w:val="00F23BA0"/>
    <w:rsid w:val="00F24B6D"/>
    <w:rsid w:val="00F25E0B"/>
    <w:rsid w:val="00F25EE6"/>
    <w:rsid w:val="00F30C19"/>
    <w:rsid w:val="00F31302"/>
    <w:rsid w:val="00F317F6"/>
    <w:rsid w:val="00F319E4"/>
    <w:rsid w:val="00F32CCC"/>
    <w:rsid w:val="00F332A7"/>
    <w:rsid w:val="00F3334A"/>
    <w:rsid w:val="00F34D5F"/>
    <w:rsid w:val="00F35005"/>
    <w:rsid w:val="00F42A95"/>
    <w:rsid w:val="00F42D00"/>
    <w:rsid w:val="00F4369B"/>
    <w:rsid w:val="00F44F67"/>
    <w:rsid w:val="00F45262"/>
    <w:rsid w:val="00F45974"/>
    <w:rsid w:val="00F46E1F"/>
    <w:rsid w:val="00F51981"/>
    <w:rsid w:val="00F51F81"/>
    <w:rsid w:val="00F532E5"/>
    <w:rsid w:val="00F539CD"/>
    <w:rsid w:val="00F54278"/>
    <w:rsid w:val="00F54394"/>
    <w:rsid w:val="00F56FCD"/>
    <w:rsid w:val="00F5780C"/>
    <w:rsid w:val="00F60AC4"/>
    <w:rsid w:val="00F612BB"/>
    <w:rsid w:val="00F61344"/>
    <w:rsid w:val="00F6159C"/>
    <w:rsid w:val="00F646E6"/>
    <w:rsid w:val="00F66677"/>
    <w:rsid w:val="00F671E9"/>
    <w:rsid w:val="00F74B37"/>
    <w:rsid w:val="00F74E35"/>
    <w:rsid w:val="00F75616"/>
    <w:rsid w:val="00F75E92"/>
    <w:rsid w:val="00F764E7"/>
    <w:rsid w:val="00F8173C"/>
    <w:rsid w:val="00F81C20"/>
    <w:rsid w:val="00F8208A"/>
    <w:rsid w:val="00F83D46"/>
    <w:rsid w:val="00F85051"/>
    <w:rsid w:val="00F879D2"/>
    <w:rsid w:val="00F904AA"/>
    <w:rsid w:val="00F912A5"/>
    <w:rsid w:val="00F97CC2"/>
    <w:rsid w:val="00FA682A"/>
    <w:rsid w:val="00FA6F32"/>
    <w:rsid w:val="00FB0A22"/>
    <w:rsid w:val="00FB0CBC"/>
    <w:rsid w:val="00FB0EF9"/>
    <w:rsid w:val="00FB20C8"/>
    <w:rsid w:val="00FB27B0"/>
    <w:rsid w:val="00FB4982"/>
    <w:rsid w:val="00FB5A60"/>
    <w:rsid w:val="00FB6E9F"/>
    <w:rsid w:val="00FC398A"/>
    <w:rsid w:val="00FC4818"/>
    <w:rsid w:val="00FC59D1"/>
    <w:rsid w:val="00FD08FB"/>
    <w:rsid w:val="00FD158B"/>
    <w:rsid w:val="00FD1A5E"/>
    <w:rsid w:val="00FD2CE7"/>
    <w:rsid w:val="00FD40A4"/>
    <w:rsid w:val="00FD429B"/>
    <w:rsid w:val="00FD6919"/>
    <w:rsid w:val="00FE3C4F"/>
    <w:rsid w:val="00FE3D53"/>
    <w:rsid w:val="00FF3D2D"/>
    <w:rsid w:val="00FF4E1F"/>
    <w:rsid w:val="00FF6347"/>
    <w:rsid w:val="00FF72D6"/>
    <w:rsid w:val="00FF7AC1"/>
    <w:rsid w:val="01DC1594"/>
    <w:rsid w:val="02043542"/>
    <w:rsid w:val="0319234B"/>
    <w:rsid w:val="03494833"/>
    <w:rsid w:val="041D4001"/>
    <w:rsid w:val="042058D7"/>
    <w:rsid w:val="04CF2193"/>
    <w:rsid w:val="04F01467"/>
    <w:rsid w:val="05A32964"/>
    <w:rsid w:val="05EC5EA9"/>
    <w:rsid w:val="069A0F2C"/>
    <w:rsid w:val="070449A6"/>
    <w:rsid w:val="08A17AB3"/>
    <w:rsid w:val="0A736BE4"/>
    <w:rsid w:val="0B530925"/>
    <w:rsid w:val="0B695DC6"/>
    <w:rsid w:val="0BCF168D"/>
    <w:rsid w:val="0BCF7354"/>
    <w:rsid w:val="0C182770"/>
    <w:rsid w:val="0C911766"/>
    <w:rsid w:val="0D126FAA"/>
    <w:rsid w:val="0DF11A31"/>
    <w:rsid w:val="0EB52278"/>
    <w:rsid w:val="0EDD3706"/>
    <w:rsid w:val="0F4A3596"/>
    <w:rsid w:val="0FFF5398"/>
    <w:rsid w:val="101744CC"/>
    <w:rsid w:val="10895EF6"/>
    <w:rsid w:val="110819AE"/>
    <w:rsid w:val="11367550"/>
    <w:rsid w:val="113F1A91"/>
    <w:rsid w:val="12A673D4"/>
    <w:rsid w:val="15133574"/>
    <w:rsid w:val="160E4C61"/>
    <w:rsid w:val="17CA65CA"/>
    <w:rsid w:val="18100F89"/>
    <w:rsid w:val="181066D2"/>
    <w:rsid w:val="19B650F6"/>
    <w:rsid w:val="1A0F758C"/>
    <w:rsid w:val="1A546735"/>
    <w:rsid w:val="1ABD0513"/>
    <w:rsid w:val="1AF838FD"/>
    <w:rsid w:val="1B5E3FC5"/>
    <w:rsid w:val="1C746DE7"/>
    <w:rsid w:val="1C7D498D"/>
    <w:rsid w:val="1CEB0260"/>
    <w:rsid w:val="1DB106B3"/>
    <w:rsid w:val="1DB82CE4"/>
    <w:rsid w:val="1DE30FDB"/>
    <w:rsid w:val="1DFE4BBE"/>
    <w:rsid w:val="1F21729F"/>
    <w:rsid w:val="1F535644"/>
    <w:rsid w:val="1F693B0C"/>
    <w:rsid w:val="1F9C2DD7"/>
    <w:rsid w:val="1FA12F8C"/>
    <w:rsid w:val="20684F69"/>
    <w:rsid w:val="20AE42EB"/>
    <w:rsid w:val="20BE0DF5"/>
    <w:rsid w:val="210B07A3"/>
    <w:rsid w:val="2143094B"/>
    <w:rsid w:val="21A61FC4"/>
    <w:rsid w:val="21FD50D7"/>
    <w:rsid w:val="223829EE"/>
    <w:rsid w:val="23270342"/>
    <w:rsid w:val="23BC1528"/>
    <w:rsid w:val="23CC34AF"/>
    <w:rsid w:val="2491048D"/>
    <w:rsid w:val="25260DE0"/>
    <w:rsid w:val="25306866"/>
    <w:rsid w:val="25EC3EB6"/>
    <w:rsid w:val="27140C61"/>
    <w:rsid w:val="27797659"/>
    <w:rsid w:val="27E24A71"/>
    <w:rsid w:val="27EF28A1"/>
    <w:rsid w:val="2815494F"/>
    <w:rsid w:val="284F4D29"/>
    <w:rsid w:val="28AA20CB"/>
    <w:rsid w:val="297B7B13"/>
    <w:rsid w:val="2A007AB5"/>
    <w:rsid w:val="2A892316"/>
    <w:rsid w:val="2A8F09AD"/>
    <w:rsid w:val="2A9553FD"/>
    <w:rsid w:val="2B957B6E"/>
    <w:rsid w:val="2BB63249"/>
    <w:rsid w:val="2BF64921"/>
    <w:rsid w:val="2C626928"/>
    <w:rsid w:val="2C94317D"/>
    <w:rsid w:val="2CF9552F"/>
    <w:rsid w:val="2D104627"/>
    <w:rsid w:val="2D1F3232"/>
    <w:rsid w:val="2E2C6FD7"/>
    <w:rsid w:val="2F5B0373"/>
    <w:rsid w:val="2FB11C2F"/>
    <w:rsid w:val="300C23AE"/>
    <w:rsid w:val="303B728F"/>
    <w:rsid w:val="31CA043A"/>
    <w:rsid w:val="326F7C59"/>
    <w:rsid w:val="330F4332"/>
    <w:rsid w:val="33182B38"/>
    <w:rsid w:val="331E2032"/>
    <w:rsid w:val="3340213A"/>
    <w:rsid w:val="33A229A6"/>
    <w:rsid w:val="33ED7470"/>
    <w:rsid w:val="344F632C"/>
    <w:rsid w:val="34584FD2"/>
    <w:rsid w:val="3526786C"/>
    <w:rsid w:val="354E44E8"/>
    <w:rsid w:val="357902D6"/>
    <w:rsid w:val="36687510"/>
    <w:rsid w:val="3678086E"/>
    <w:rsid w:val="37B30996"/>
    <w:rsid w:val="38151BB8"/>
    <w:rsid w:val="387D5F26"/>
    <w:rsid w:val="39BF3572"/>
    <w:rsid w:val="3A2C43BA"/>
    <w:rsid w:val="3AE0327C"/>
    <w:rsid w:val="3BAE0AC9"/>
    <w:rsid w:val="3CA14F9E"/>
    <w:rsid w:val="3CA8662A"/>
    <w:rsid w:val="3CD318D9"/>
    <w:rsid w:val="3D1F2FE2"/>
    <w:rsid w:val="3D986F1A"/>
    <w:rsid w:val="3F040357"/>
    <w:rsid w:val="3F3121AE"/>
    <w:rsid w:val="3F501E49"/>
    <w:rsid w:val="3F70273B"/>
    <w:rsid w:val="3FA23011"/>
    <w:rsid w:val="40FC1D24"/>
    <w:rsid w:val="4121519B"/>
    <w:rsid w:val="429B58B2"/>
    <w:rsid w:val="431F54FF"/>
    <w:rsid w:val="432D06BE"/>
    <w:rsid w:val="451926F8"/>
    <w:rsid w:val="462453D0"/>
    <w:rsid w:val="46930ACF"/>
    <w:rsid w:val="46EA527E"/>
    <w:rsid w:val="47137BF9"/>
    <w:rsid w:val="47BB707C"/>
    <w:rsid w:val="493C4382"/>
    <w:rsid w:val="499F2D73"/>
    <w:rsid w:val="4A054DD0"/>
    <w:rsid w:val="4A8F0E29"/>
    <w:rsid w:val="4B5A556B"/>
    <w:rsid w:val="4BD452D0"/>
    <w:rsid w:val="4BDE6600"/>
    <w:rsid w:val="4C194DC8"/>
    <w:rsid w:val="4C3814A8"/>
    <w:rsid w:val="4C932BE2"/>
    <w:rsid w:val="4CAD4F20"/>
    <w:rsid w:val="4D6C33CB"/>
    <w:rsid w:val="4E0B69D2"/>
    <w:rsid w:val="4F92380C"/>
    <w:rsid w:val="504C3C7A"/>
    <w:rsid w:val="506630CA"/>
    <w:rsid w:val="50807AD7"/>
    <w:rsid w:val="50DF5C1A"/>
    <w:rsid w:val="5108143A"/>
    <w:rsid w:val="51470923"/>
    <w:rsid w:val="521212D9"/>
    <w:rsid w:val="52796EC6"/>
    <w:rsid w:val="53267599"/>
    <w:rsid w:val="53D31E05"/>
    <w:rsid w:val="543903A5"/>
    <w:rsid w:val="55767489"/>
    <w:rsid w:val="55AD17AA"/>
    <w:rsid w:val="56851E8F"/>
    <w:rsid w:val="5722388E"/>
    <w:rsid w:val="57EB796D"/>
    <w:rsid w:val="59311087"/>
    <w:rsid w:val="5A3957E8"/>
    <w:rsid w:val="5A645C6C"/>
    <w:rsid w:val="5B1119CE"/>
    <w:rsid w:val="5BC8558E"/>
    <w:rsid w:val="5C454B6A"/>
    <w:rsid w:val="5C623B94"/>
    <w:rsid w:val="5D7C3835"/>
    <w:rsid w:val="5DAF0DEF"/>
    <w:rsid w:val="5DB85C0C"/>
    <w:rsid w:val="5E827E6B"/>
    <w:rsid w:val="5F0B39F2"/>
    <w:rsid w:val="5F6C3B6A"/>
    <w:rsid w:val="5FA73EC4"/>
    <w:rsid w:val="607A6927"/>
    <w:rsid w:val="60890346"/>
    <w:rsid w:val="60AC58C2"/>
    <w:rsid w:val="611B151C"/>
    <w:rsid w:val="61E104A3"/>
    <w:rsid w:val="61E5430A"/>
    <w:rsid w:val="61F1336C"/>
    <w:rsid w:val="62632EA9"/>
    <w:rsid w:val="64752771"/>
    <w:rsid w:val="64D912CA"/>
    <w:rsid w:val="66383431"/>
    <w:rsid w:val="66E82263"/>
    <w:rsid w:val="670278EA"/>
    <w:rsid w:val="67343DF1"/>
    <w:rsid w:val="67892A30"/>
    <w:rsid w:val="68562FBD"/>
    <w:rsid w:val="68AB15E7"/>
    <w:rsid w:val="69C1759A"/>
    <w:rsid w:val="6A09562E"/>
    <w:rsid w:val="6A4A50D7"/>
    <w:rsid w:val="6AFF650F"/>
    <w:rsid w:val="6B0F0135"/>
    <w:rsid w:val="6B214B0E"/>
    <w:rsid w:val="6B2F4CE1"/>
    <w:rsid w:val="6BD561E3"/>
    <w:rsid w:val="6C1C174A"/>
    <w:rsid w:val="6D3B2FB2"/>
    <w:rsid w:val="6D810DEA"/>
    <w:rsid w:val="6E092099"/>
    <w:rsid w:val="6E7B1BA0"/>
    <w:rsid w:val="6E9B2D6D"/>
    <w:rsid w:val="7023708B"/>
    <w:rsid w:val="70943534"/>
    <w:rsid w:val="70C37636"/>
    <w:rsid w:val="70D17D24"/>
    <w:rsid w:val="70E25043"/>
    <w:rsid w:val="70EF7082"/>
    <w:rsid w:val="715968BD"/>
    <w:rsid w:val="715F11A4"/>
    <w:rsid w:val="7260526A"/>
    <w:rsid w:val="72B90378"/>
    <w:rsid w:val="72D76819"/>
    <w:rsid w:val="73091FDC"/>
    <w:rsid w:val="737C2B7B"/>
    <w:rsid w:val="74585B6F"/>
    <w:rsid w:val="74E54950"/>
    <w:rsid w:val="77270192"/>
    <w:rsid w:val="777F4BFF"/>
    <w:rsid w:val="778047F1"/>
    <w:rsid w:val="77A1048D"/>
    <w:rsid w:val="78766A6E"/>
    <w:rsid w:val="78C930C8"/>
    <w:rsid w:val="794233A9"/>
    <w:rsid w:val="7A3F5056"/>
    <w:rsid w:val="7A6D3C39"/>
    <w:rsid w:val="7AF94E82"/>
    <w:rsid w:val="7B1C3CCC"/>
    <w:rsid w:val="7B5B43C0"/>
    <w:rsid w:val="7C0320C3"/>
    <w:rsid w:val="7CD87558"/>
    <w:rsid w:val="7D277E87"/>
    <w:rsid w:val="7DA8471D"/>
    <w:rsid w:val="7DAA02BA"/>
    <w:rsid w:val="7DBA4808"/>
    <w:rsid w:val="7E866713"/>
    <w:rsid w:val="7EDA630F"/>
    <w:rsid w:val="7F2D5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8"/>
    <w:qFormat/>
    <w:uiPriority w:val="0"/>
    <w:pPr>
      <w:keepNext/>
      <w:keepLines/>
      <w:numPr>
        <w:ilvl w:val="0"/>
        <w:numId w:val="1"/>
      </w:numPr>
      <w:spacing w:before="340" w:after="330" w:line="578" w:lineRule="auto"/>
      <w:jc w:val="center"/>
      <w:outlineLvl w:val="0"/>
    </w:pPr>
    <w:rPr>
      <w:rFonts w:ascii="仿宋" w:eastAsia="仿宋"/>
      <w:b/>
      <w:bCs/>
      <w:kern w:val="44"/>
      <w:sz w:val="44"/>
      <w:szCs w:val="44"/>
    </w:rPr>
  </w:style>
  <w:style w:type="paragraph" w:styleId="5">
    <w:name w:val="heading 2"/>
    <w:basedOn w:val="1"/>
    <w:next w:val="6"/>
    <w:link w:val="79"/>
    <w:qFormat/>
    <w:uiPriority w:val="0"/>
    <w:pPr>
      <w:keepNext/>
      <w:keepLines/>
      <w:numPr>
        <w:ilvl w:val="1"/>
        <w:numId w:val="1"/>
      </w:numPr>
      <w:spacing w:before="260" w:after="260" w:line="416" w:lineRule="auto"/>
      <w:outlineLvl w:val="1"/>
    </w:pPr>
    <w:rPr>
      <w:rFonts w:ascii="等线 Light" w:hAnsi="等线 Light" w:eastAsia="仿宋"/>
      <w:b/>
      <w:bCs/>
      <w:sz w:val="32"/>
      <w:szCs w:val="32"/>
    </w:rPr>
  </w:style>
  <w:style w:type="paragraph" w:styleId="7">
    <w:name w:val="heading 3"/>
    <w:basedOn w:val="1"/>
    <w:next w:val="1"/>
    <w:link w:val="80"/>
    <w:qFormat/>
    <w:uiPriority w:val="0"/>
    <w:pPr>
      <w:keepNext/>
      <w:keepLines/>
      <w:spacing w:before="260" w:after="260" w:line="416" w:lineRule="auto"/>
      <w:outlineLvl w:val="2"/>
    </w:pPr>
    <w:rPr>
      <w:rFonts w:ascii="仿宋" w:eastAsia="仿宋"/>
      <w:b/>
      <w:bCs/>
      <w:sz w:val="32"/>
      <w:szCs w:val="32"/>
    </w:rPr>
  </w:style>
  <w:style w:type="paragraph" w:styleId="8">
    <w:name w:val="heading 4"/>
    <w:basedOn w:val="1"/>
    <w:next w:val="1"/>
    <w:link w:val="81"/>
    <w:qFormat/>
    <w:uiPriority w:val="0"/>
    <w:pPr>
      <w:keepNext/>
      <w:keepLines/>
      <w:numPr>
        <w:ilvl w:val="4"/>
        <w:numId w:val="1"/>
      </w:numPr>
      <w:spacing w:before="280" w:after="290" w:line="376" w:lineRule="auto"/>
      <w:outlineLvl w:val="3"/>
    </w:pPr>
    <w:rPr>
      <w:rFonts w:ascii="等线 Light" w:hAnsi="等线 Light" w:eastAsia="仿宋"/>
      <w:b/>
      <w:bCs/>
      <w:sz w:val="28"/>
      <w:szCs w:val="28"/>
    </w:rPr>
  </w:style>
  <w:style w:type="paragraph" w:styleId="9">
    <w:name w:val="heading 5"/>
    <w:basedOn w:val="1"/>
    <w:next w:val="1"/>
    <w:link w:val="82"/>
    <w:qFormat/>
    <w:uiPriority w:val="0"/>
    <w:pPr>
      <w:keepNext/>
      <w:keepLines/>
      <w:numPr>
        <w:ilvl w:val="5"/>
        <w:numId w:val="1"/>
      </w:numPr>
      <w:spacing w:before="280" w:after="290" w:line="376" w:lineRule="auto"/>
      <w:outlineLvl w:val="4"/>
    </w:pPr>
    <w:rPr>
      <w:rFonts w:ascii="仿宋" w:eastAsia="仿宋"/>
      <w:b/>
      <w:bCs/>
      <w:sz w:val="28"/>
      <w:szCs w:val="28"/>
    </w:rPr>
  </w:style>
  <w:style w:type="paragraph" w:styleId="10">
    <w:name w:val="heading 6"/>
    <w:basedOn w:val="1"/>
    <w:next w:val="1"/>
    <w:link w:val="83"/>
    <w:qFormat/>
    <w:uiPriority w:val="0"/>
    <w:pPr>
      <w:keepNext/>
      <w:keepLines/>
      <w:tabs>
        <w:tab w:val="left" w:pos="1152"/>
      </w:tabs>
      <w:adjustRightInd w:val="0"/>
      <w:spacing w:before="240" w:after="64" w:line="320" w:lineRule="atLeast"/>
      <w:ind w:left="1152" w:hanging="1152"/>
      <w:textAlignment w:val="baseline"/>
      <w:outlineLvl w:val="5"/>
    </w:pPr>
    <w:rPr>
      <w:rFonts w:ascii="等线 Light" w:hAnsi="等线 Light" w:eastAsia="仿宋"/>
      <w:b/>
      <w:sz w:val="24"/>
    </w:rPr>
  </w:style>
  <w:style w:type="paragraph" w:styleId="11">
    <w:name w:val="heading 7"/>
    <w:basedOn w:val="1"/>
    <w:next w:val="1"/>
    <w:link w:val="84"/>
    <w:qFormat/>
    <w:uiPriority w:val="0"/>
    <w:pPr>
      <w:keepNext/>
      <w:keepLines/>
      <w:tabs>
        <w:tab w:val="left" w:pos="1296"/>
      </w:tabs>
      <w:adjustRightInd w:val="0"/>
      <w:spacing w:before="240" w:after="64" w:line="320" w:lineRule="atLeast"/>
      <w:ind w:left="1296" w:hanging="1296"/>
      <w:textAlignment w:val="baseline"/>
      <w:outlineLvl w:val="6"/>
    </w:pPr>
    <w:rPr>
      <w:b/>
      <w:sz w:val="24"/>
    </w:rPr>
  </w:style>
  <w:style w:type="paragraph" w:styleId="12">
    <w:name w:val="heading 8"/>
    <w:basedOn w:val="1"/>
    <w:next w:val="1"/>
    <w:link w:val="85"/>
    <w:qFormat/>
    <w:uiPriority w:val="0"/>
    <w:pPr>
      <w:keepNext/>
      <w:keepLines/>
      <w:tabs>
        <w:tab w:val="left" w:pos="1440"/>
      </w:tabs>
      <w:adjustRightInd w:val="0"/>
      <w:spacing w:before="240" w:after="64" w:line="320" w:lineRule="atLeast"/>
      <w:ind w:left="1440" w:hanging="1440"/>
      <w:textAlignment w:val="baseline"/>
      <w:outlineLvl w:val="7"/>
    </w:pPr>
    <w:rPr>
      <w:rFonts w:ascii="等线 Light" w:hAnsi="等线 Light" w:eastAsia="仿宋"/>
      <w:sz w:val="24"/>
    </w:rPr>
  </w:style>
  <w:style w:type="paragraph" w:styleId="13">
    <w:name w:val="heading 9"/>
    <w:basedOn w:val="1"/>
    <w:next w:val="1"/>
    <w:link w:val="86"/>
    <w:qFormat/>
    <w:uiPriority w:val="0"/>
    <w:pPr>
      <w:keepNext/>
      <w:keepLines/>
      <w:tabs>
        <w:tab w:val="left" w:pos="1584"/>
      </w:tabs>
      <w:adjustRightInd w:val="0"/>
      <w:spacing w:before="240" w:after="64" w:line="320" w:lineRule="atLeast"/>
      <w:ind w:left="1584" w:hanging="1584"/>
      <w:textAlignment w:val="baseline"/>
      <w:outlineLvl w:val="8"/>
    </w:pPr>
    <w:rPr>
      <w:rFonts w:ascii="等线 Light" w:hAnsi="等线 Light" w:eastAsia="仿宋"/>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autoSpaceDE w:val="0"/>
      <w:autoSpaceDN w:val="0"/>
      <w:adjustRightInd w:val="0"/>
    </w:pPr>
    <w:rPr>
      <w:rFonts w:ascii="Cambria Math" w:eastAsia="Cambria Math"/>
      <w:kern w:val="0"/>
      <w:sz w:val="28"/>
      <w:szCs w:val="20"/>
    </w:rPr>
  </w:style>
  <w:style w:type="paragraph" w:styleId="3">
    <w:name w:val="List"/>
    <w:basedOn w:val="1"/>
    <w:qFormat/>
    <w:uiPriority w:val="0"/>
    <w:pPr>
      <w:numPr>
        <w:ilvl w:val="0"/>
        <w:numId w:val="2"/>
      </w:numPr>
      <w:autoSpaceDE w:val="0"/>
      <w:autoSpaceDN w:val="0"/>
      <w:adjustRightInd w:val="0"/>
      <w:spacing w:after="20" w:line="288" w:lineRule="auto"/>
      <w:textAlignment w:val="baseline"/>
    </w:pPr>
    <w:rPr>
      <w:kern w:val="0"/>
      <w:szCs w:val="20"/>
      <w:lang w:val="en-GB"/>
    </w:rPr>
  </w:style>
  <w:style w:type="paragraph" w:styleId="6">
    <w:name w:val="Normal Indent"/>
    <w:basedOn w:val="1"/>
    <w:link w:val="87"/>
    <w:qFormat/>
    <w:uiPriority w:val="99"/>
    <w:pPr>
      <w:widowControl/>
      <w:ind w:firstLine="420"/>
      <w:jc w:val="left"/>
    </w:pPr>
  </w:style>
  <w:style w:type="paragraph" w:styleId="14">
    <w:name w:val="List 3"/>
    <w:basedOn w:val="1"/>
    <w:qFormat/>
    <w:uiPriority w:val="0"/>
    <w:pPr>
      <w:ind w:left="1260" w:hanging="420" w:firstLineChars="200"/>
    </w:pPr>
    <w:rPr>
      <w:rFonts w:hAnsi="新宋体"/>
      <w:color w:val="000000"/>
      <w:spacing w:val="-8"/>
      <w:szCs w:val="20"/>
    </w:rPr>
  </w:style>
  <w:style w:type="paragraph" w:styleId="15">
    <w:name w:val="toc 7"/>
    <w:basedOn w:val="1"/>
    <w:next w:val="1"/>
    <w:qFormat/>
    <w:uiPriority w:val="0"/>
    <w:pPr>
      <w:adjustRightInd w:val="0"/>
      <w:spacing w:line="288" w:lineRule="auto"/>
      <w:ind w:left="1260" w:firstLine="420"/>
      <w:jc w:val="left"/>
      <w:textAlignment w:val="baseline"/>
    </w:pPr>
    <w:rPr>
      <w:sz w:val="18"/>
      <w:szCs w:val="18"/>
    </w:rPr>
  </w:style>
  <w:style w:type="paragraph" w:styleId="16">
    <w:name w:val="index 8"/>
    <w:basedOn w:val="1"/>
    <w:next w:val="1"/>
    <w:qFormat/>
    <w:uiPriority w:val="0"/>
    <w:pPr>
      <w:ind w:left="1400" w:leftChars="1400"/>
    </w:pPr>
    <w:rPr>
      <w:szCs w:val="20"/>
    </w:rPr>
  </w:style>
  <w:style w:type="paragraph" w:styleId="17">
    <w:name w:val="caption"/>
    <w:basedOn w:val="1"/>
    <w:next w:val="1"/>
    <w:qFormat/>
    <w:uiPriority w:val="0"/>
    <w:rPr>
      <w:rFonts w:ascii="等线 Light" w:hAnsi="等线 Light" w:eastAsia="仿宋" w:cs="等线 Light"/>
      <w:sz w:val="20"/>
      <w:szCs w:val="20"/>
    </w:rPr>
  </w:style>
  <w:style w:type="paragraph" w:styleId="18">
    <w:name w:val="index 5"/>
    <w:basedOn w:val="1"/>
    <w:next w:val="1"/>
    <w:qFormat/>
    <w:uiPriority w:val="0"/>
    <w:pPr>
      <w:ind w:left="800" w:leftChars="800"/>
    </w:pPr>
    <w:rPr>
      <w:szCs w:val="20"/>
    </w:rPr>
  </w:style>
  <w:style w:type="paragraph" w:styleId="19">
    <w:name w:val="List Bullet"/>
    <w:basedOn w:val="1"/>
    <w:qFormat/>
    <w:uiPriority w:val="0"/>
    <w:pPr>
      <w:numPr>
        <w:ilvl w:val="0"/>
        <w:numId w:val="3"/>
      </w:numPr>
      <w:ind w:firstLine="200" w:firstLineChars="200"/>
    </w:pPr>
    <w:rPr>
      <w:rFonts w:hAnsi="新宋体"/>
      <w:color w:val="000000"/>
      <w:spacing w:val="-8"/>
      <w:szCs w:val="20"/>
    </w:rPr>
  </w:style>
  <w:style w:type="paragraph" w:styleId="20">
    <w:name w:val="Document Map"/>
    <w:basedOn w:val="1"/>
    <w:link w:val="88"/>
    <w:qFormat/>
    <w:uiPriority w:val="0"/>
    <w:pPr>
      <w:shd w:val="clear" w:color="auto" w:fill="000080"/>
    </w:pPr>
    <w:rPr>
      <w:shd w:val="clear" w:color="auto" w:fill="000080"/>
    </w:rPr>
  </w:style>
  <w:style w:type="paragraph" w:styleId="21">
    <w:name w:val="annotation text"/>
    <w:basedOn w:val="1"/>
    <w:link w:val="89"/>
    <w:qFormat/>
    <w:uiPriority w:val="0"/>
    <w:pPr>
      <w:jc w:val="left"/>
    </w:pPr>
  </w:style>
  <w:style w:type="paragraph" w:styleId="22">
    <w:name w:val="index 6"/>
    <w:basedOn w:val="1"/>
    <w:next w:val="1"/>
    <w:qFormat/>
    <w:uiPriority w:val="0"/>
    <w:pPr>
      <w:ind w:left="1000" w:leftChars="1000"/>
    </w:pPr>
    <w:rPr>
      <w:szCs w:val="20"/>
    </w:rPr>
  </w:style>
  <w:style w:type="paragraph" w:styleId="23">
    <w:name w:val="Salutation"/>
    <w:basedOn w:val="1"/>
    <w:next w:val="1"/>
    <w:link w:val="90"/>
    <w:qFormat/>
    <w:uiPriority w:val="0"/>
    <w:pPr>
      <w:adjustRightInd w:val="0"/>
      <w:spacing w:after="20" w:line="288" w:lineRule="auto"/>
      <w:ind w:firstLine="420"/>
      <w:textAlignment w:val="baseline"/>
    </w:pPr>
    <w:rPr>
      <w:sz w:val="28"/>
    </w:rPr>
  </w:style>
  <w:style w:type="paragraph" w:styleId="24">
    <w:name w:val="Body Text 3"/>
    <w:basedOn w:val="1"/>
    <w:link w:val="91"/>
    <w:qFormat/>
    <w:uiPriority w:val="0"/>
    <w:pPr>
      <w:adjustRightInd w:val="0"/>
      <w:spacing w:after="20" w:line="288" w:lineRule="auto"/>
      <w:jc w:val="center"/>
      <w:textAlignment w:val="baseline"/>
    </w:pPr>
    <w:rPr>
      <w:b/>
      <w:bCs/>
      <w:sz w:val="24"/>
    </w:rPr>
  </w:style>
  <w:style w:type="paragraph" w:styleId="25">
    <w:name w:val="Closing"/>
    <w:basedOn w:val="1"/>
    <w:link w:val="92"/>
    <w:qFormat/>
    <w:uiPriority w:val="0"/>
    <w:pPr>
      <w:adjustRightInd w:val="0"/>
      <w:spacing w:after="20" w:line="288" w:lineRule="auto"/>
      <w:ind w:left="100" w:leftChars="2100" w:firstLine="420"/>
      <w:textAlignment w:val="baseline"/>
    </w:pPr>
    <w:rPr>
      <w:sz w:val="28"/>
    </w:rPr>
  </w:style>
  <w:style w:type="paragraph" w:styleId="26">
    <w:name w:val="Body Text Indent"/>
    <w:basedOn w:val="1"/>
    <w:link w:val="94"/>
    <w:qFormat/>
    <w:uiPriority w:val="0"/>
    <w:pPr>
      <w:widowControl/>
      <w:autoSpaceDE w:val="0"/>
      <w:autoSpaceDN w:val="0"/>
      <w:adjustRightInd w:val="0"/>
      <w:spacing w:line="300" w:lineRule="auto"/>
      <w:ind w:left="156"/>
    </w:pPr>
    <w:rPr>
      <w:rFonts w:ascii="Cambria Math" w:eastAsia="Cambria Math"/>
      <w:kern w:val="0"/>
      <w:sz w:val="28"/>
      <w:szCs w:val="20"/>
    </w:rPr>
  </w:style>
  <w:style w:type="paragraph" w:styleId="27">
    <w:name w:val="List 2"/>
    <w:basedOn w:val="1"/>
    <w:qFormat/>
    <w:uiPriority w:val="0"/>
    <w:pPr>
      <w:ind w:left="840" w:hanging="420" w:firstLineChars="200"/>
    </w:pPr>
    <w:rPr>
      <w:rFonts w:hAnsi="新宋体"/>
      <w:color w:val="000000"/>
      <w:spacing w:val="-8"/>
      <w:szCs w:val="20"/>
    </w:rPr>
  </w:style>
  <w:style w:type="paragraph" w:styleId="28">
    <w:name w:val="List Continue"/>
    <w:basedOn w:val="1"/>
    <w:qFormat/>
    <w:uiPriority w:val="0"/>
    <w:pPr>
      <w:spacing w:after="120"/>
      <w:ind w:left="420" w:firstLine="448" w:firstLineChars="200"/>
    </w:pPr>
    <w:rPr>
      <w:rFonts w:hAnsi="新宋体"/>
      <w:color w:val="000000"/>
      <w:spacing w:val="-8"/>
      <w:szCs w:val="20"/>
    </w:rPr>
  </w:style>
  <w:style w:type="paragraph" w:styleId="29">
    <w:name w:val="Block Text"/>
    <w:basedOn w:val="1"/>
    <w:qFormat/>
    <w:uiPriority w:val="0"/>
    <w:pPr>
      <w:adjustRightInd w:val="0"/>
      <w:ind w:left="420" w:right="33"/>
      <w:jc w:val="left"/>
      <w:textAlignment w:val="baseline"/>
    </w:pPr>
    <w:rPr>
      <w:kern w:val="0"/>
      <w:sz w:val="24"/>
      <w:szCs w:val="20"/>
    </w:rPr>
  </w:style>
  <w:style w:type="paragraph" w:styleId="30">
    <w:name w:val="List Bullet 2"/>
    <w:basedOn w:val="1"/>
    <w:qFormat/>
    <w:uiPriority w:val="0"/>
    <w:pPr>
      <w:numPr>
        <w:ilvl w:val="0"/>
        <w:numId w:val="4"/>
      </w:numPr>
      <w:ind w:firstLine="200" w:firstLineChars="200"/>
    </w:pPr>
    <w:rPr>
      <w:rFonts w:hAnsi="新宋体"/>
      <w:color w:val="000000"/>
      <w:spacing w:val="-8"/>
      <w:szCs w:val="20"/>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0"/>
    <w:pPr>
      <w:adjustRightInd w:val="0"/>
      <w:spacing w:line="288" w:lineRule="auto"/>
      <w:ind w:left="840" w:firstLine="420"/>
      <w:jc w:val="left"/>
      <w:textAlignment w:val="baseline"/>
    </w:pPr>
    <w:rPr>
      <w:sz w:val="18"/>
      <w:szCs w:val="18"/>
    </w:rPr>
  </w:style>
  <w:style w:type="paragraph" w:styleId="33">
    <w:name w:val="toc 3"/>
    <w:basedOn w:val="1"/>
    <w:next w:val="1"/>
    <w:qFormat/>
    <w:uiPriority w:val="0"/>
    <w:pPr>
      <w:adjustRightInd w:val="0"/>
      <w:spacing w:line="288" w:lineRule="auto"/>
      <w:ind w:left="420" w:firstLine="420"/>
      <w:jc w:val="left"/>
      <w:textAlignment w:val="baseline"/>
    </w:pPr>
    <w:rPr>
      <w:iCs/>
      <w:sz w:val="20"/>
      <w:szCs w:val="20"/>
    </w:rPr>
  </w:style>
  <w:style w:type="paragraph" w:styleId="34">
    <w:name w:val="Plain Text"/>
    <w:basedOn w:val="1"/>
    <w:link w:val="95"/>
    <w:qFormat/>
    <w:uiPriority w:val="0"/>
    <w:rPr>
      <w:rFonts w:ascii="新宋体" w:hAnsi="等线"/>
      <w:szCs w:val="21"/>
    </w:rPr>
  </w:style>
  <w:style w:type="paragraph" w:styleId="35">
    <w:name w:val="List Bullet 5"/>
    <w:basedOn w:val="1"/>
    <w:qFormat/>
    <w:uiPriority w:val="0"/>
    <w:pPr>
      <w:widowControl/>
      <w:numPr>
        <w:ilvl w:val="0"/>
        <w:numId w:val="5"/>
      </w:numPr>
      <w:spacing w:line="360" w:lineRule="exact"/>
    </w:pPr>
    <w:rPr>
      <w:rFonts w:eastAsia="隶书"/>
      <w:sz w:val="24"/>
      <w:szCs w:val="20"/>
    </w:rPr>
  </w:style>
  <w:style w:type="paragraph" w:styleId="36">
    <w:name w:val="toc 8"/>
    <w:basedOn w:val="1"/>
    <w:next w:val="1"/>
    <w:qFormat/>
    <w:uiPriority w:val="0"/>
    <w:pPr>
      <w:adjustRightInd w:val="0"/>
      <w:spacing w:line="288" w:lineRule="auto"/>
      <w:ind w:left="1470" w:firstLine="420"/>
      <w:jc w:val="left"/>
      <w:textAlignment w:val="baseline"/>
    </w:pPr>
    <w:rPr>
      <w:sz w:val="18"/>
      <w:szCs w:val="18"/>
    </w:rPr>
  </w:style>
  <w:style w:type="paragraph" w:styleId="37">
    <w:name w:val="index 3"/>
    <w:basedOn w:val="1"/>
    <w:next w:val="1"/>
    <w:qFormat/>
    <w:uiPriority w:val="0"/>
    <w:pPr>
      <w:ind w:left="400" w:leftChars="400"/>
    </w:pPr>
    <w:rPr>
      <w:szCs w:val="20"/>
    </w:rPr>
  </w:style>
  <w:style w:type="paragraph" w:styleId="38">
    <w:name w:val="Date"/>
    <w:basedOn w:val="1"/>
    <w:next w:val="1"/>
    <w:link w:val="96"/>
    <w:qFormat/>
    <w:uiPriority w:val="0"/>
    <w:pPr>
      <w:ind w:left="100" w:leftChars="2500"/>
    </w:pPr>
    <w:rPr>
      <w:rFonts w:ascii="隶书" w:eastAsia="隶书"/>
      <w:b/>
      <w:sz w:val="28"/>
    </w:rPr>
  </w:style>
  <w:style w:type="paragraph" w:styleId="39">
    <w:name w:val="Body Text Indent 2"/>
    <w:basedOn w:val="1"/>
    <w:link w:val="97"/>
    <w:qFormat/>
    <w:uiPriority w:val="0"/>
    <w:pPr>
      <w:tabs>
        <w:tab w:val="left" w:pos="0"/>
        <w:tab w:val="left" w:pos="1134"/>
      </w:tabs>
      <w:snapToGrid w:val="0"/>
      <w:spacing w:line="400" w:lineRule="exact"/>
      <w:ind w:firstLine="559" w:firstLineChars="233"/>
    </w:pPr>
    <w:rPr>
      <w:rFonts w:ascii="隶书" w:eastAsia="隶书"/>
      <w:sz w:val="24"/>
    </w:rPr>
  </w:style>
  <w:style w:type="paragraph" w:styleId="40">
    <w:name w:val="Balloon Text"/>
    <w:basedOn w:val="1"/>
    <w:link w:val="98"/>
    <w:qFormat/>
    <w:uiPriority w:val="0"/>
    <w:rPr>
      <w:sz w:val="18"/>
      <w:szCs w:val="18"/>
    </w:rPr>
  </w:style>
  <w:style w:type="paragraph" w:styleId="41">
    <w:name w:val="footer"/>
    <w:basedOn w:val="1"/>
    <w:link w:val="99"/>
    <w:qFormat/>
    <w:uiPriority w:val="99"/>
    <w:pPr>
      <w:tabs>
        <w:tab w:val="center" w:pos="4153"/>
        <w:tab w:val="right" w:pos="8306"/>
      </w:tabs>
      <w:snapToGrid w:val="0"/>
      <w:jc w:val="left"/>
    </w:pPr>
    <w:rPr>
      <w:sz w:val="18"/>
      <w:szCs w:val="18"/>
    </w:rPr>
  </w:style>
  <w:style w:type="paragraph" w:styleId="42">
    <w:name w:val="header"/>
    <w:basedOn w:val="1"/>
    <w:link w:val="100"/>
    <w:qFormat/>
    <w:uiPriority w:val="99"/>
    <w:pPr>
      <w:pBdr>
        <w:bottom w:val="single" w:color="auto" w:sz="6" w:space="1"/>
      </w:pBdr>
      <w:tabs>
        <w:tab w:val="center" w:pos="4153"/>
        <w:tab w:val="right" w:pos="8306"/>
      </w:tabs>
      <w:snapToGrid w:val="0"/>
      <w:jc w:val="center"/>
    </w:pPr>
    <w:rPr>
      <w:rFonts w:eastAsia="新宋体"/>
      <w:sz w:val="18"/>
      <w:szCs w:val="18"/>
    </w:rPr>
  </w:style>
  <w:style w:type="paragraph" w:styleId="43">
    <w:name w:val="toc 1"/>
    <w:basedOn w:val="1"/>
    <w:next w:val="1"/>
    <w:qFormat/>
    <w:uiPriority w:val="39"/>
    <w:pPr>
      <w:tabs>
        <w:tab w:val="right" w:leader="dot" w:pos="8296"/>
      </w:tabs>
      <w:adjustRightInd w:val="0"/>
      <w:spacing w:before="120" w:after="120" w:line="288" w:lineRule="auto"/>
      <w:textAlignment w:val="baseline"/>
    </w:pPr>
    <w:rPr>
      <w:rFonts w:ascii="仿宋" w:hAnsi="新宋体" w:eastAsia="仿宋"/>
      <w:caps/>
      <w:sz w:val="30"/>
      <w:szCs w:val="30"/>
    </w:rPr>
  </w:style>
  <w:style w:type="paragraph" w:styleId="44">
    <w:name w:val="toc 4"/>
    <w:basedOn w:val="1"/>
    <w:next w:val="1"/>
    <w:qFormat/>
    <w:uiPriority w:val="0"/>
    <w:pPr>
      <w:adjustRightInd w:val="0"/>
      <w:spacing w:line="288" w:lineRule="auto"/>
      <w:ind w:left="630" w:firstLine="420"/>
      <w:jc w:val="left"/>
      <w:textAlignment w:val="baseline"/>
    </w:pPr>
    <w:rPr>
      <w:sz w:val="18"/>
      <w:szCs w:val="18"/>
    </w:rPr>
  </w:style>
  <w:style w:type="paragraph" w:styleId="45">
    <w:name w:val="index heading"/>
    <w:basedOn w:val="1"/>
    <w:next w:val="46"/>
    <w:semiHidden/>
    <w:qFormat/>
    <w:uiPriority w:val="0"/>
    <w:rPr>
      <w:szCs w:val="20"/>
    </w:rPr>
  </w:style>
  <w:style w:type="paragraph" w:styleId="46">
    <w:name w:val="index 1"/>
    <w:basedOn w:val="1"/>
    <w:next w:val="1"/>
    <w:qFormat/>
    <w:uiPriority w:val="0"/>
    <w:rPr>
      <w:szCs w:val="20"/>
    </w:rPr>
  </w:style>
  <w:style w:type="paragraph" w:styleId="47">
    <w:name w:val="footnote text"/>
    <w:basedOn w:val="1"/>
    <w:link w:val="101"/>
    <w:qFormat/>
    <w:uiPriority w:val="0"/>
    <w:pPr>
      <w:adjustRightInd w:val="0"/>
      <w:spacing w:after="60" w:line="360" w:lineRule="exact"/>
      <w:ind w:firstLine="425"/>
      <w:jc w:val="left"/>
      <w:textAlignment w:val="baseline"/>
    </w:pPr>
    <w:rPr>
      <w:kern w:val="0"/>
      <w:sz w:val="18"/>
      <w:szCs w:val="18"/>
    </w:rPr>
  </w:style>
  <w:style w:type="paragraph" w:styleId="48">
    <w:name w:val="toc 6"/>
    <w:basedOn w:val="1"/>
    <w:next w:val="1"/>
    <w:qFormat/>
    <w:uiPriority w:val="0"/>
    <w:pPr>
      <w:adjustRightInd w:val="0"/>
      <w:spacing w:line="288" w:lineRule="auto"/>
      <w:ind w:left="1050" w:firstLine="420"/>
      <w:jc w:val="left"/>
      <w:textAlignment w:val="baseline"/>
    </w:pPr>
    <w:rPr>
      <w:sz w:val="18"/>
      <w:szCs w:val="18"/>
    </w:rPr>
  </w:style>
  <w:style w:type="paragraph" w:styleId="49">
    <w:name w:val="List 5"/>
    <w:basedOn w:val="1"/>
    <w:qFormat/>
    <w:uiPriority w:val="0"/>
    <w:pPr>
      <w:ind w:left="2100" w:hanging="420" w:firstLineChars="200"/>
    </w:pPr>
    <w:rPr>
      <w:rFonts w:hAnsi="新宋体"/>
      <w:color w:val="000000"/>
      <w:spacing w:val="-8"/>
      <w:szCs w:val="20"/>
    </w:rPr>
  </w:style>
  <w:style w:type="paragraph" w:styleId="50">
    <w:name w:val="Body Text Indent 3"/>
    <w:basedOn w:val="1"/>
    <w:link w:val="102"/>
    <w:qFormat/>
    <w:uiPriority w:val="0"/>
    <w:pPr>
      <w:autoSpaceDE w:val="0"/>
      <w:autoSpaceDN w:val="0"/>
      <w:adjustRightInd w:val="0"/>
      <w:spacing w:line="360" w:lineRule="auto"/>
      <w:ind w:firstLine="698" w:firstLineChars="218"/>
      <w:jc w:val="left"/>
    </w:pPr>
    <w:rPr>
      <w:rFonts w:ascii="Cambria Math" w:eastAsia="Cambria Math"/>
      <w:kern w:val="0"/>
      <w:sz w:val="32"/>
      <w:szCs w:val="20"/>
    </w:rPr>
  </w:style>
  <w:style w:type="paragraph" w:styleId="51">
    <w:name w:val="index 7"/>
    <w:basedOn w:val="1"/>
    <w:next w:val="1"/>
    <w:qFormat/>
    <w:uiPriority w:val="0"/>
    <w:pPr>
      <w:ind w:left="1200" w:leftChars="1200"/>
    </w:pPr>
    <w:rPr>
      <w:szCs w:val="20"/>
    </w:rPr>
  </w:style>
  <w:style w:type="paragraph" w:styleId="52">
    <w:name w:val="index 9"/>
    <w:basedOn w:val="1"/>
    <w:next w:val="1"/>
    <w:qFormat/>
    <w:uiPriority w:val="0"/>
    <w:pPr>
      <w:ind w:left="1600" w:leftChars="1600"/>
    </w:pPr>
    <w:rPr>
      <w:szCs w:val="20"/>
    </w:rPr>
  </w:style>
  <w:style w:type="paragraph" w:styleId="53">
    <w:name w:val="toc 2"/>
    <w:basedOn w:val="1"/>
    <w:next w:val="1"/>
    <w:qFormat/>
    <w:uiPriority w:val="39"/>
    <w:pPr>
      <w:adjustRightInd w:val="0"/>
      <w:spacing w:line="288" w:lineRule="auto"/>
      <w:ind w:left="210" w:firstLine="420"/>
      <w:jc w:val="left"/>
      <w:textAlignment w:val="baseline"/>
    </w:pPr>
    <w:rPr>
      <w:smallCaps/>
      <w:sz w:val="20"/>
      <w:szCs w:val="20"/>
    </w:rPr>
  </w:style>
  <w:style w:type="paragraph" w:styleId="54">
    <w:name w:val="toc 9"/>
    <w:basedOn w:val="1"/>
    <w:next w:val="1"/>
    <w:qFormat/>
    <w:uiPriority w:val="0"/>
    <w:pPr>
      <w:adjustRightInd w:val="0"/>
      <w:spacing w:line="288" w:lineRule="auto"/>
      <w:ind w:left="1680" w:firstLine="420"/>
      <w:jc w:val="left"/>
      <w:textAlignment w:val="baseline"/>
    </w:pPr>
    <w:rPr>
      <w:sz w:val="18"/>
      <w:szCs w:val="18"/>
    </w:rPr>
  </w:style>
  <w:style w:type="paragraph" w:styleId="55">
    <w:name w:val="Body Text 2"/>
    <w:basedOn w:val="1"/>
    <w:link w:val="103"/>
    <w:qFormat/>
    <w:uiPriority w:val="0"/>
    <w:pPr>
      <w:adjustRightInd w:val="0"/>
      <w:spacing w:after="20" w:line="720" w:lineRule="auto"/>
      <w:ind w:firstLine="420"/>
      <w:textAlignment w:val="baseline"/>
    </w:pPr>
    <w:rPr>
      <w:sz w:val="30"/>
    </w:rPr>
  </w:style>
  <w:style w:type="paragraph" w:styleId="56">
    <w:name w:val="List 4"/>
    <w:basedOn w:val="1"/>
    <w:qFormat/>
    <w:uiPriority w:val="0"/>
    <w:pPr>
      <w:ind w:left="1680" w:hanging="420" w:firstLineChars="200"/>
    </w:pPr>
    <w:rPr>
      <w:rFonts w:hAnsi="新宋体"/>
      <w:color w:val="000000"/>
      <w:spacing w:val="-8"/>
      <w:szCs w:val="20"/>
    </w:rPr>
  </w:style>
  <w:style w:type="paragraph" w:styleId="57">
    <w:name w:val="List Continue 2"/>
    <w:basedOn w:val="1"/>
    <w:qFormat/>
    <w:uiPriority w:val="0"/>
    <w:pPr>
      <w:spacing w:after="120"/>
      <w:ind w:left="840" w:firstLine="448" w:firstLineChars="200"/>
    </w:pPr>
    <w:rPr>
      <w:rFonts w:hAnsi="新宋体"/>
      <w:color w:val="000000"/>
      <w:spacing w:val="-8"/>
      <w:szCs w:val="20"/>
    </w:rPr>
  </w:style>
  <w:style w:type="paragraph" w:styleId="58">
    <w:name w:val="Message Header"/>
    <w:basedOn w:val="2"/>
    <w:link w:val="104"/>
    <w:qFormat/>
    <w:uiPriority w:val="0"/>
    <w:pPr>
      <w:keepLines/>
      <w:widowControl/>
      <w:autoSpaceDE/>
      <w:autoSpaceDN/>
      <w:adjustRightInd/>
      <w:spacing w:after="40" w:line="140" w:lineRule="atLeast"/>
      <w:ind w:left="360" w:firstLine="448" w:firstLineChars="200"/>
      <w:jc w:val="left"/>
    </w:pPr>
    <w:rPr>
      <w:rFonts w:ascii="Wingdings" w:hAnsi="Wingdings" w:eastAsia="宋体"/>
      <w:color w:val="000000"/>
      <w:spacing w:val="-8"/>
      <w:sz w:val="18"/>
      <w:lang w:bidi="he-IL"/>
    </w:rPr>
  </w:style>
  <w:style w:type="paragraph" w:styleId="59">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20" w:line="288" w:lineRule="auto"/>
      <w:ind w:firstLine="420"/>
      <w:jc w:val="left"/>
      <w:textAlignment w:val="baseline"/>
    </w:pPr>
    <w:rPr>
      <w:rFonts w:ascii="仿宋" w:hAnsi="等线" w:eastAsia="仿宋"/>
      <w:kern w:val="0"/>
      <w:sz w:val="20"/>
      <w:szCs w:val="20"/>
    </w:rPr>
  </w:style>
  <w:style w:type="paragraph" w:styleId="60">
    <w:name w:val="Normal (Web)"/>
    <w:basedOn w:val="1"/>
    <w:link w:val="106"/>
    <w:qFormat/>
    <w:uiPriority w:val="99"/>
    <w:pPr>
      <w:widowControl/>
      <w:adjustRightInd w:val="0"/>
      <w:spacing w:before="100" w:beforeAutospacing="1" w:after="100" w:afterAutospacing="1" w:line="288" w:lineRule="auto"/>
      <w:ind w:firstLine="420"/>
      <w:jc w:val="left"/>
      <w:textAlignment w:val="baseline"/>
    </w:pPr>
    <w:rPr>
      <w:rFonts w:ascii="新宋体" w:hAnsi="新宋体"/>
      <w:kern w:val="0"/>
      <w:sz w:val="24"/>
    </w:rPr>
  </w:style>
  <w:style w:type="paragraph" w:styleId="61">
    <w:name w:val="List Continue 3"/>
    <w:basedOn w:val="1"/>
    <w:qFormat/>
    <w:uiPriority w:val="0"/>
    <w:pPr>
      <w:spacing w:after="120"/>
      <w:ind w:left="1260" w:firstLine="448" w:firstLineChars="200"/>
    </w:pPr>
    <w:rPr>
      <w:rFonts w:hAnsi="新宋体"/>
      <w:color w:val="000000"/>
      <w:spacing w:val="-8"/>
      <w:szCs w:val="20"/>
    </w:rPr>
  </w:style>
  <w:style w:type="paragraph" w:styleId="62">
    <w:name w:val="index 2"/>
    <w:basedOn w:val="1"/>
    <w:next w:val="1"/>
    <w:qFormat/>
    <w:uiPriority w:val="0"/>
    <w:pPr>
      <w:ind w:left="200" w:leftChars="200"/>
    </w:pPr>
    <w:rPr>
      <w:szCs w:val="20"/>
    </w:rPr>
  </w:style>
  <w:style w:type="paragraph" w:styleId="63">
    <w:name w:val="Title"/>
    <w:basedOn w:val="1"/>
    <w:link w:val="107"/>
    <w:qFormat/>
    <w:uiPriority w:val="10"/>
    <w:pPr>
      <w:adjustRightInd w:val="0"/>
      <w:spacing w:before="240" w:after="60" w:line="288" w:lineRule="auto"/>
      <w:ind w:firstLine="420"/>
      <w:jc w:val="center"/>
      <w:textAlignment w:val="baseline"/>
      <w:outlineLvl w:val="0"/>
    </w:pPr>
    <w:rPr>
      <w:rFonts w:ascii="等线 Light" w:hAnsi="等线 Light"/>
      <w:b/>
      <w:bCs/>
      <w:sz w:val="32"/>
      <w:szCs w:val="32"/>
    </w:rPr>
  </w:style>
  <w:style w:type="paragraph" w:styleId="64">
    <w:name w:val="annotation subject"/>
    <w:basedOn w:val="21"/>
    <w:next w:val="21"/>
    <w:link w:val="108"/>
    <w:qFormat/>
    <w:uiPriority w:val="0"/>
    <w:rPr>
      <w:b/>
      <w:bCs/>
    </w:rPr>
  </w:style>
  <w:style w:type="paragraph" w:styleId="65">
    <w:name w:val="Body Text First Indent"/>
    <w:basedOn w:val="2"/>
    <w:link w:val="109"/>
    <w:qFormat/>
    <w:uiPriority w:val="0"/>
    <w:pPr>
      <w:autoSpaceDE/>
      <w:autoSpaceDN/>
      <w:adjustRightInd/>
      <w:spacing w:after="120"/>
      <w:ind w:firstLine="420" w:firstLineChars="200"/>
    </w:pPr>
    <w:rPr>
      <w:color w:val="000000"/>
      <w:spacing w:val="-8"/>
      <w:kern w:val="2"/>
      <w:sz w:val="21"/>
    </w:rPr>
  </w:style>
  <w:style w:type="paragraph" w:styleId="66">
    <w:name w:val="Body Text First Indent 2"/>
    <w:basedOn w:val="26"/>
    <w:link w:val="110"/>
    <w:qFormat/>
    <w:uiPriority w:val="0"/>
    <w:pPr>
      <w:widowControl w:val="0"/>
      <w:autoSpaceDE/>
      <w:autoSpaceDN/>
      <w:adjustRightInd/>
      <w:spacing w:after="120" w:line="240" w:lineRule="auto"/>
      <w:ind w:left="0" w:firstLine="210" w:firstLineChars="200"/>
    </w:pPr>
    <w:rPr>
      <w:rFonts w:hAnsi="新宋体"/>
      <w:color w:val="000000"/>
      <w:spacing w:val="-8"/>
      <w:kern w:val="2"/>
      <w:sz w:val="21"/>
    </w:rPr>
  </w:style>
  <w:style w:type="table" w:styleId="68">
    <w:name w:val="Table Grid"/>
    <w:basedOn w:val="6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0">
    <w:name w:val="Strong"/>
    <w:qFormat/>
    <w:uiPriority w:val="0"/>
    <w:rPr>
      <w:b/>
      <w:bCs/>
    </w:rPr>
  </w:style>
  <w:style w:type="character" w:styleId="71">
    <w:name w:val="page number"/>
    <w:qFormat/>
    <w:uiPriority w:val="0"/>
  </w:style>
  <w:style w:type="character" w:styleId="72">
    <w:name w:val="FollowedHyperlink"/>
    <w:qFormat/>
    <w:uiPriority w:val="0"/>
    <w:rPr>
      <w:color w:val="800080"/>
      <w:u w:val="single"/>
    </w:rPr>
  </w:style>
  <w:style w:type="character" w:styleId="73">
    <w:name w:val="Emphasis"/>
    <w:qFormat/>
    <w:uiPriority w:val="0"/>
    <w:rPr>
      <w:i/>
    </w:rPr>
  </w:style>
  <w:style w:type="character" w:styleId="74">
    <w:name w:val="HTML Typewriter"/>
    <w:qFormat/>
    <w:uiPriority w:val="0"/>
    <w:rPr>
      <w:rFonts w:ascii="新宋体" w:hAnsi="新宋体" w:eastAsia="新宋体" w:cs="新宋体"/>
      <w:sz w:val="24"/>
      <w:szCs w:val="24"/>
    </w:rPr>
  </w:style>
  <w:style w:type="character" w:styleId="75">
    <w:name w:val="Hyperlink"/>
    <w:qFormat/>
    <w:uiPriority w:val="99"/>
    <w:rPr>
      <w:color w:val="0000FF"/>
      <w:u w:val="single"/>
    </w:rPr>
  </w:style>
  <w:style w:type="character" w:styleId="76">
    <w:name w:val="annotation reference"/>
    <w:qFormat/>
    <w:uiPriority w:val="0"/>
    <w:rPr>
      <w:sz w:val="21"/>
      <w:szCs w:val="21"/>
    </w:rPr>
  </w:style>
  <w:style w:type="character" w:styleId="77">
    <w:name w:val="footnote reference"/>
    <w:qFormat/>
    <w:uiPriority w:val="0"/>
    <w:rPr>
      <w:rFonts w:ascii="新宋体" w:hAnsi="新宋体" w:eastAsia="新宋体"/>
      <w:vertAlign w:val="superscript"/>
    </w:rPr>
  </w:style>
  <w:style w:type="character" w:customStyle="1" w:styleId="78">
    <w:name w:val="标题 1 Char"/>
    <w:link w:val="4"/>
    <w:qFormat/>
    <w:uiPriority w:val="0"/>
    <w:rPr>
      <w:rFonts w:ascii="仿宋" w:eastAsia="仿宋"/>
      <w:b/>
      <w:bCs/>
      <w:kern w:val="44"/>
      <w:sz w:val="44"/>
      <w:szCs w:val="44"/>
    </w:rPr>
  </w:style>
  <w:style w:type="character" w:customStyle="1" w:styleId="79">
    <w:name w:val="标题 2 Char"/>
    <w:link w:val="5"/>
    <w:qFormat/>
    <w:uiPriority w:val="0"/>
    <w:rPr>
      <w:rFonts w:ascii="等线 Light" w:hAnsi="等线 Light" w:eastAsia="仿宋"/>
      <w:b/>
      <w:bCs/>
      <w:kern w:val="2"/>
      <w:sz w:val="32"/>
      <w:szCs w:val="32"/>
    </w:rPr>
  </w:style>
  <w:style w:type="character" w:customStyle="1" w:styleId="80">
    <w:name w:val="标题 3 Char"/>
    <w:link w:val="7"/>
    <w:qFormat/>
    <w:uiPriority w:val="0"/>
    <w:rPr>
      <w:rFonts w:ascii="仿宋" w:eastAsia="仿宋"/>
      <w:b/>
      <w:bCs/>
      <w:kern w:val="2"/>
      <w:sz w:val="32"/>
      <w:szCs w:val="32"/>
    </w:rPr>
  </w:style>
  <w:style w:type="character" w:customStyle="1" w:styleId="81">
    <w:name w:val="标题 4 Char"/>
    <w:link w:val="8"/>
    <w:qFormat/>
    <w:uiPriority w:val="0"/>
    <w:rPr>
      <w:rFonts w:ascii="等线 Light" w:hAnsi="等线 Light" w:eastAsia="仿宋"/>
      <w:b/>
      <w:bCs/>
      <w:kern w:val="2"/>
      <w:sz w:val="28"/>
      <w:szCs w:val="28"/>
    </w:rPr>
  </w:style>
  <w:style w:type="character" w:customStyle="1" w:styleId="82">
    <w:name w:val="标题 5 Char"/>
    <w:link w:val="9"/>
    <w:qFormat/>
    <w:uiPriority w:val="0"/>
    <w:rPr>
      <w:rFonts w:ascii="仿宋" w:eastAsia="仿宋"/>
      <w:b/>
      <w:bCs/>
      <w:kern w:val="2"/>
      <w:sz w:val="28"/>
      <w:szCs w:val="28"/>
    </w:rPr>
  </w:style>
  <w:style w:type="character" w:customStyle="1" w:styleId="83">
    <w:name w:val="标题 6 Char"/>
    <w:link w:val="10"/>
    <w:qFormat/>
    <w:uiPriority w:val="0"/>
    <w:rPr>
      <w:rFonts w:ascii="等线 Light" w:hAnsi="等线 Light" w:eastAsia="仿宋"/>
      <w:b/>
      <w:kern w:val="2"/>
      <w:sz w:val="24"/>
      <w:szCs w:val="24"/>
    </w:rPr>
  </w:style>
  <w:style w:type="character" w:customStyle="1" w:styleId="84">
    <w:name w:val="标题 7 Char"/>
    <w:link w:val="11"/>
    <w:qFormat/>
    <w:uiPriority w:val="0"/>
    <w:rPr>
      <w:b/>
      <w:kern w:val="2"/>
      <w:sz w:val="24"/>
      <w:szCs w:val="24"/>
    </w:rPr>
  </w:style>
  <w:style w:type="character" w:customStyle="1" w:styleId="85">
    <w:name w:val="标题 8 Char"/>
    <w:link w:val="12"/>
    <w:qFormat/>
    <w:uiPriority w:val="0"/>
    <w:rPr>
      <w:rFonts w:ascii="等线 Light" w:hAnsi="等线 Light" w:eastAsia="仿宋"/>
      <w:kern w:val="2"/>
      <w:sz w:val="24"/>
      <w:szCs w:val="24"/>
    </w:rPr>
  </w:style>
  <w:style w:type="character" w:customStyle="1" w:styleId="86">
    <w:name w:val="标题 9 Char"/>
    <w:link w:val="13"/>
    <w:qFormat/>
    <w:uiPriority w:val="0"/>
    <w:rPr>
      <w:rFonts w:ascii="等线 Light" w:hAnsi="等线 Light" w:eastAsia="仿宋"/>
      <w:kern w:val="2"/>
      <w:sz w:val="21"/>
      <w:szCs w:val="24"/>
    </w:rPr>
  </w:style>
  <w:style w:type="character" w:customStyle="1" w:styleId="87">
    <w:name w:val="正文缩进 Char"/>
    <w:link w:val="6"/>
    <w:qFormat/>
    <w:uiPriority w:val="0"/>
  </w:style>
  <w:style w:type="character" w:customStyle="1" w:styleId="88">
    <w:name w:val="文档结构图 Char"/>
    <w:link w:val="20"/>
    <w:qFormat/>
    <w:uiPriority w:val="0"/>
    <w:rPr>
      <w:kern w:val="2"/>
      <w:sz w:val="21"/>
      <w:szCs w:val="24"/>
      <w:shd w:val="clear" w:color="auto" w:fill="000080"/>
    </w:rPr>
  </w:style>
  <w:style w:type="character" w:customStyle="1" w:styleId="89">
    <w:name w:val="批注文字 Char1"/>
    <w:link w:val="21"/>
    <w:qFormat/>
    <w:uiPriority w:val="0"/>
    <w:rPr>
      <w:kern w:val="2"/>
      <w:sz w:val="21"/>
      <w:szCs w:val="24"/>
    </w:rPr>
  </w:style>
  <w:style w:type="character" w:customStyle="1" w:styleId="90">
    <w:name w:val="称呼 Char"/>
    <w:link w:val="23"/>
    <w:qFormat/>
    <w:uiPriority w:val="0"/>
    <w:rPr>
      <w:kern w:val="2"/>
      <w:sz w:val="28"/>
      <w:szCs w:val="24"/>
    </w:rPr>
  </w:style>
  <w:style w:type="character" w:customStyle="1" w:styleId="91">
    <w:name w:val="正文文本 3 Char"/>
    <w:link w:val="24"/>
    <w:qFormat/>
    <w:uiPriority w:val="0"/>
    <w:rPr>
      <w:b/>
      <w:bCs/>
      <w:kern w:val="2"/>
      <w:sz w:val="24"/>
      <w:szCs w:val="24"/>
    </w:rPr>
  </w:style>
  <w:style w:type="character" w:customStyle="1" w:styleId="92">
    <w:name w:val="结束语 Char"/>
    <w:link w:val="25"/>
    <w:qFormat/>
    <w:uiPriority w:val="0"/>
    <w:rPr>
      <w:kern w:val="2"/>
      <w:sz w:val="28"/>
      <w:szCs w:val="24"/>
    </w:rPr>
  </w:style>
  <w:style w:type="character" w:customStyle="1" w:styleId="93">
    <w:name w:val="正文文本 Char"/>
    <w:link w:val="2"/>
    <w:qFormat/>
    <w:uiPriority w:val="0"/>
    <w:rPr>
      <w:rFonts w:ascii="Cambria Math" w:eastAsia="Cambria Math"/>
      <w:sz w:val="28"/>
    </w:rPr>
  </w:style>
  <w:style w:type="character" w:customStyle="1" w:styleId="94">
    <w:name w:val="正文文本缩进 Char"/>
    <w:link w:val="26"/>
    <w:qFormat/>
    <w:uiPriority w:val="0"/>
    <w:rPr>
      <w:rFonts w:ascii="Cambria Math" w:eastAsia="Cambria Math"/>
      <w:sz w:val="28"/>
    </w:rPr>
  </w:style>
  <w:style w:type="character" w:customStyle="1" w:styleId="95">
    <w:name w:val="纯文本 Char"/>
    <w:link w:val="34"/>
    <w:qFormat/>
    <w:uiPriority w:val="0"/>
    <w:rPr>
      <w:rFonts w:ascii="新宋体" w:hAnsi="等线"/>
      <w:kern w:val="2"/>
      <w:sz w:val="21"/>
      <w:szCs w:val="21"/>
    </w:rPr>
  </w:style>
  <w:style w:type="character" w:customStyle="1" w:styleId="96">
    <w:name w:val="日期 Char"/>
    <w:link w:val="38"/>
    <w:qFormat/>
    <w:uiPriority w:val="0"/>
    <w:rPr>
      <w:rFonts w:ascii="隶书" w:eastAsia="隶书"/>
      <w:b/>
      <w:kern w:val="2"/>
      <w:sz w:val="28"/>
      <w:szCs w:val="24"/>
    </w:rPr>
  </w:style>
  <w:style w:type="character" w:customStyle="1" w:styleId="97">
    <w:name w:val="正文文本缩进 2 Char"/>
    <w:link w:val="39"/>
    <w:qFormat/>
    <w:uiPriority w:val="0"/>
    <w:rPr>
      <w:rFonts w:ascii="隶书" w:eastAsia="隶书"/>
      <w:kern w:val="2"/>
      <w:sz w:val="24"/>
      <w:szCs w:val="24"/>
    </w:rPr>
  </w:style>
  <w:style w:type="character" w:customStyle="1" w:styleId="98">
    <w:name w:val="批注框文本 Char"/>
    <w:link w:val="40"/>
    <w:qFormat/>
    <w:uiPriority w:val="0"/>
    <w:rPr>
      <w:kern w:val="2"/>
      <w:sz w:val="18"/>
      <w:szCs w:val="18"/>
    </w:rPr>
  </w:style>
  <w:style w:type="character" w:customStyle="1" w:styleId="99">
    <w:name w:val="页脚 Char"/>
    <w:link w:val="41"/>
    <w:qFormat/>
    <w:uiPriority w:val="99"/>
    <w:rPr>
      <w:kern w:val="2"/>
      <w:sz w:val="18"/>
      <w:szCs w:val="18"/>
    </w:rPr>
  </w:style>
  <w:style w:type="character" w:customStyle="1" w:styleId="100">
    <w:name w:val="页眉 Char2"/>
    <w:link w:val="42"/>
    <w:qFormat/>
    <w:uiPriority w:val="99"/>
    <w:rPr>
      <w:rFonts w:eastAsia="新宋体"/>
      <w:kern w:val="2"/>
      <w:sz w:val="18"/>
      <w:szCs w:val="18"/>
      <w:lang w:val="en-US" w:eastAsia="zh-CN" w:bidi="ar-SA"/>
    </w:rPr>
  </w:style>
  <w:style w:type="character" w:customStyle="1" w:styleId="101">
    <w:name w:val="脚注文本 Char"/>
    <w:link w:val="47"/>
    <w:qFormat/>
    <w:uiPriority w:val="0"/>
    <w:rPr>
      <w:sz w:val="18"/>
      <w:szCs w:val="18"/>
    </w:rPr>
  </w:style>
  <w:style w:type="character" w:customStyle="1" w:styleId="102">
    <w:name w:val="正文文本缩进 3 Char"/>
    <w:link w:val="50"/>
    <w:qFormat/>
    <w:uiPriority w:val="0"/>
    <w:rPr>
      <w:rFonts w:ascii="Cambria Math" w:eastAsia="Cambria Math"/>
      <w:sz w:val="32"/>
    </w:rPr>
  </w:style>
  <w:style w:type="character" w:customStyle="1" w:styleId="103">
    <w:name w:val="正文文本 2 Char"/>
    <w:link w:val="55"/>
    <w:qFormat/>
    <w:uiPriority w:val="0"/>
    <w:rPr>
      <w:kern w:val="2"/>
      <w:sz w:val="30"/>
      <w:szCs w:val="24"/>
    </w:rPr>
  </w:style>
  <w:style w:type="character" w:customStyle="1" w:styleId="104">
    <w:name w:val="信息标题 Char"/>
    <w:link w:val="58"/>
    <w:qFormat/>
    <w:uiPriority w:val="0"/>
    <w:rPr>
      <w:rFonts w:ascii="Wingdings" w:hAnsi="Wingdings"/>
      <w:color w:val="000000"/>
      <w:spacing w:val="-8"/>
      <w:sz w:val="18"/>
      <w:lang w:bidi="he-IL"/>
    </w:rPr>
  </w:style>
  <w:style w:type="character" w:customStyle="1" w:styleId="105">
    <w:name w:val="HTML 预设格式 Char"/>
    <w:link w:val="59"/>
    <w:qFormat/>
    <w:uiPriority w:val="0"/>
    <w:rPr>
      <w:rFonts w:ascii="仿宋" w:hAnsi="等线" w:eastAsia="仿宋"/>
    </w:rPr>
  </w:style>
  <w:style w:type="character" w:customStyle="1" w:styleId="106">
    <w:name w:val="普通(网站) Char1"/>
    <w:link w:val="60"/>
    <w:qFormat/>
    <w:uiPriority w:val="0"/>
    <w:rPr>
      <w:rFonts w:ascii="新宋体" w:hAnsi="新宋体"/>
      <w:sz w:val="24"/>
      <w:szCs w:val="24"/>
    </w:rPr>
  </w:style>
  <w:style w:type="character" w:customStyle="1" w:styleId="107">
    <w:name w:val="标题 Char"/>
    <w:link w:val="63"/>
    <w:qFormat/>
    <w:uiPriority w:val="10"/>
    <w:rPr>
      <w:rFonts w:ascii="等线 Light" w:hAnsi="等线 Light" w:cs="等线 Light"/>
      <w:b/>
      <w:bCs/>
      <w:kern w:val="2"/>
      <w:sz w:val="32"/>
      <w:szCs w:val="32"/>
    </w:rPr>
  </w:style>
  <w:style w:type="character" w:customStyle="1" w:styleId="108">
    <w:name w:val="批注主题 Char"/>
    <w:link w:val="64"/>
    <w:qFormat/>
    <w:uiPriority w:val="0"/>
    <w:rPr>
      <w:b/>
      <w:bCs/>
      <w:kern w:val="2"/>
      <w:sz w:val="21"/>
      <w:szCs w:val="24"/>
    </w:rPr>
  </w:style>
  <w:style w:type="character" w:customStyle="1" w:styleId="109">
    <w:name w:val="正文首行缩进 Char"/>
    <w:link w:val="65"/>
    <w:qFormat/>
    <w:uiPriority w:val="0"/>
    <w:rPr>
      <w:rFonts w:ascii="Cambria Math" w:eastAsia="Cambria Math"/>
      <w:color w:val="000000"/>
      <w:spacing w:val="-8"/>
      <w:kern w:val="2"/>
      <w:sz w:val="21"/>
    </w:rPr>
  </w:style>
  <w:style w:type="character" w:customStyle="1" w:styleId="110">
    <w:name w:val="正文首行缩进 2 Char"/>
    <w:link w:val="66"/>
    <w:qFormat/>
    <w:uiPriority w:val="0"/>
    <w:rPr>
      <w:rFonts w:ascii="Cambria Math" w:hAnsi="新宋体" w:eastAsia="Cambria Math"/>
      <w:color w:val="000000"/>
      <w:spacing w:val="-8"/>
      <w:kern w:val="2"/>
      <w:sz w:val="21"/>
    </w:rPr>
  </w:style>
  <w:style w:type="character" w:customStyle="1" w:styleId="111">
    <w:name w:val="Char Char13"/>
    <w:qFormat/>
    <w:uiPriority w:val="0"/>
    <w:rPr>
      <w:rFonts w:ascii="Cambria Math" w:hAnsi="Tahoma" w:eastAsia="新宋体" w:cs="Tahoma"/>
      <w:sz w:val="18"/>
      <w:szCs w:val="18"/>
    </w:rPr>
  </w:style>
  <w:style w:type="character" w:customStyle="1" w:styleId="112">
    <w:name w:val="信息标题 字符2"/>
    <w:semiHidden/>
    <w:qFormat/>
    <w:uiPriority w:val="99"/>
    <w:rPr>
      <w:rFonts w:ascii="等线 Light" w:hAnsi="等线 Light" w:eastAsia="等线 Light" w:cs="Times New Roman"/>
      <w:kern w:val="2"/>
      <w:sz w:val="24"/>
      <w:szCs w:val="24"/>
      <w:shd w:val="pct20" w:color="auto" w:fill="auto"/>
    </w:rPr>
  </w:style>
  <w:style w:type="character" w:customStyle="1" w:styleId="113">
    <w:name w:val="itm1"/>
    <w:qFormat/>
    <w:uiPriority w:val="0"/>
    <w:rPr>
      <w:rFonts w:hint="eastAsia" w:ascii="新宋体" w:hAnsi="新宋体" w:eastAsia="新宋体"/>
      <w:sz w:val="21"/>
      <w:szCs w:val="21"/>
    </w:rPr>
  </w:style>
  <w:style w:type="character" w:customStyle="1" w:styleId="114">
    <w:name w:val="正文文本缩进 3 字符1"/>
    <w:semiHidden/>
    <w:qFormat/>
    <w:uiPriority w:val="99"/>
    <w:rPr>
      <w:kern w:val="2"/>
      <w:sz w:val="16"/>
      <w:szCs w:val="16"/>
    </w:rPr>
  </w:style>
  <w:style w:type="character" w:customStyle="1" w:styleId="115">
    <w:name w:val="正文文本 3 字符2"/>
    <w:semiHidden/>
    <w:qFormat/>
    <w:uiPriority w:val="99"/>
    <w:rPr>
      <w:kern w:val="2"/>
      <w:sz w:val="16"/>
      <w:szCs w:val="16"/>
    </w:rPr>
  </w:style>
  <w:style w:type="character" w:customStyle="1" w:styleId="116">
    <w:name w:val="页眉 字符1"/>
    <w:semiHidden/>
    <w:qFormat/>
    <w:uiPriority w:val="99"/>
    <w:rPr>
      <w:kern w:val="2"/>
      <w:sz w:val="18"/>
      <w:szCs w:val="18"/>
    </w:rPr>
  </w:style>
  <w:style w:type="character" w:customStyle="1" w:styleId="117">
    <w:name w:val="正文文本缩进 3 字符2"/>
    <w:semiHidden/>
    <w:qFormat/>
    <w:uiPriority w:val="99"/>
    <w:rPr>
      <w:kern w:val="2"/>
      <w:sz w:val="16"/>
      <w:szCs w:val="16"/>
    </w:rPr>
  </w:style>
  <w:style w:type="character" w:customStyle="1" w:styleId="118">
    <w:name w:val="批注主题 字符1"/>
    <w:semiHidden/>
    <w:qFormat/>
    <w:uiPriority w:val="99"/>
    <w:rPr>
      <w:b/>
      <w:bCs/>
      <w:kern w:val="2"/>
      <w:sz w:val="21"/>
      <w:szCs w:val="24"/>
    </w:rPr>
  </w:style>
  <w:style w:type="character" w:customStyle="1" w:styleId="119">
    <w:name w:val="font41"/>
    <w:qFormat/>
    <w:uiPriority w:val="0"/>
    <w:rPr>
      <w:rFonts w:hint="default" w:ascii="Times New Roman" w:hAnsi="Times New Roman" w:cs="Times New Roman"/>
      <w:color w:val="000000"/>
      <w:sz w:val="24"/>
      <w:szCs w:val="24"/>
      <w:u w:val="none"/>
    </w:rPr>
  </w:style>
  <w:style w:type="character" w:customStyle="1" w:styleId="120">
    <w:name w:val="正文文本缩进 字符1"/>
    <w:semiHidden/>
    <w:qFormat/>
    <w:uiPriority w:val="99"/>
    <w:rPr>
      <w:kern w:val="2"/>
      <w:sz w:val="21"/>
      <w:szCs w:val="24"/>
    </w:rPr>
  </w:style>
  <w:style w:type="character" w:customStyle="1" w:styleId="121">
    <w:name w:val="标题 字符1"/>
    <w:qFormat/>
    <w:uiPriority w:val="10"/>
    <w:rPr>
      <w:rFonts w:ascii="等线 Light" w:hAnsi="等线 Light" w:eastAsia="等线 Light" w:cs="Times New Roman"/>
      <w:b/>
      <w:bCs/>
      <w:kern w:val="2"/>
      <w:sz w:val="32"/>
      <w:szCs w:val="32"/>
    </w:rPr>
  </w:style>
  <w:style w:type="character" w:customStyle="1" w:styleId="122">
    <w:name w:val="表格正文 Char Char"/>
    <w:link w:val="123"/>
    <w:qFormat/>
    <w:uiPriority w:val="0"/>
    <w:rPr>
      <w:kern w:val="2"/>
      <w:sz w:val="21"/>
      <w:szCs w:val="24"/>
    </w:rPr>
  </w:style>
  <w:style w:type="paragraph" w:customStyle="1" w:styleId="123">
    <w:name w:val="表格正文"/>
    <w:basedOn w:val="1"/>
    <w:link w:val="122"/>
    <w:qFormat/>
    <w:uiPriority w:val="0"/>
  </w:style>
  <w:style w:type="character" w:customStyle="1" w:styleId="124">
    <w:name w:val="信息标题 字符1"/>
    <w:semiHidden/>
    <w:qFormat/>
    <w:uiPriority w:val="99"/>
    <w:rPr>
      <w:rFonts w:ascii="等线 Light" w:hAnsi="等线 Light" w:eastAsia="等线 Light" w:cs="Times New Roman"/>
      <w:kern w:val="2"/>
      <w:sz w:val="24"/>
      <w:szCs w:val="24"/>
      <w:shd w:val="pct20" w:color="auto" w:fill="auto"/>
    </w:rPr>
  </w:style>
  <w:style w:type="character" w:customStyle="1" w:styleId="125">
    <w:name w:val="批注文字 Char"/>
    <w:semiHidden/>
    <w:qFormat/>
    <w:uiPriority w:val="99"/>
  </w:style>
  <w:style w:type="character" w:customStyle="1" w:styleId="126">
    <w:name w:val="bookmark-item"/>
    <w:qFormat/>
    <w:uiPriority w:val="0"/>
  </w:style>
  <w:style w:type="character" w:customStyle="1" w:styleId="127">
    <w:name w:val="b"/>
    <w:qFormat/>
    <w:uiPriority w:val="0"/>
  </w:style>
  <w:style w:type="character" w:customStyle="1" w:styleId="128">
    <w:name w:val="页脚 字符1"/>
    <w:semiHidden/>
    <w:qFormat/>
    <w:uiPriority w:val="99"/>
    <w:rPr>
      <w:kern w:val="2"/>
      <w:sz w:val="18"/>
      <w:szCs w:val="18"/>
    </w:rPr>
  </w:style>
  <w:style w:type="character" w:customStyle="1" w:styleId="129">
    <w:name w:val="段 Char"/>
    <w:link w:val="130"/>
    <w:qFormat/>
    <w:uiPriority w:val="0"/>
    <w:rPr>
      <w:rFonts w:ascii="新宋体"/>
      <w:sz w:val="21"/>
      <w:lang w:val="en-US" w:eastAsia="zh-CN" w:bidi="ar-SA"/>
    </w:rPr>
  </w:style>
  <w:style w:type="paragraph" w:customStyle="1" w:styleId="130">
    <w:name w:val="段"/>
    <w:next w:val="1"/>
    <w:link w:val="129"/>
    <w:qFormat/>
    <w:uiPriority w:val="0"/>
    <w:pPr>
      <w:tabs>
        <w:tab w:val="center" w:pos="4201"/>
        <w:tab w:val="right" w:leader="dot" w:pos="9298"/>
      </w:tabs>
      <w:autoSpaceDE w:val="0"/>
      <w:autoSpaceDN w:val="0"/>
      <w:ind w:firstLine="420" w:firstLineChars="200"/>
      <w:jc w:val="both"/>
    </w:pPr>
    <w:rPr>
      <w:rFonts w:ascii="新宋体" w:hAnsi="Times New Roman" w:eastAsia="宋体" w:cs="Times New Roman"/>
      <w:sz w:val="21"/>
      <w:lang w:val="en-US" w:eastAsia="zh-CN" w:bidi="ar-SA"/>
    </w:rPr>
  </w:style>
  <w:style w:type="character" w:customStyle="1" w:styleId="131">
    <w:name w:val="批注框文本 字符2"/>
    <w:semiHidden/>
    <w:qFormat/>
    <w:uiPriority w:val="99"/>
    <w:rPr>
      <w:kern w:val="2"/>
      <w:sz w:val="18"/>
      <w:szCs w:val="18"/>
    </w:rPr>
  </w:style>
  <w:style w:type="character" w:customStyle="1" w:styleId="132">
    <w:name w:val="font51"/>
    <w:qFormat/>
    <w:uiPriority w:val="0"/>
    <w:rPr>
      <w:rFonts w:hint="eastAsia" w:ascii="宋体" w:hAnsi="宋体" w:eastAsia="宋体" w:cs="宋体"/>
      <w:color w:val="FF0000"/>
      <w:sz w:val="24"/>
      <w:szCs w:val="24"/>
      <w:u w:val="none"/>
    </w:rPr>
  </w:style>
  <w:style w:type="character" w:customStyle="1" w:styleId="133">
    <w:name w:val="style331"/>
    <w:qFormat/>
    <w:uiPriority w:val="0"/>
    <w:rPr>
      <w:color w:val="9900FF"/>
      <w:sz w:val="18"/>
      <w:szCs w:val="18"/>
    </w:rPr>
  </w:style>
  <w:style w:type="character" w:customStyle="1" w:styleId="134">
    <w:name w:val="页脚 字符2"/>
    <w:semiHidden/>
    <w:qFormat/>
    <w:uiPriority w:val="99"/>
    <w:rPr>
      <w:kern w:val="2"/>
      <w:sz w:val="18"/>
      <w:szCs w:val="18"/>
    </w:rPr>
  </w:style>
  <w:style w:type="character" w:customStyle="1" w:styleId="135">
    <w:name w:val="Char Char4"/>
    <w:qFormat/>
    <w:uiPriority w:val="0"/>
    <w:rPr>
      <w:kern w:val="2"/>
      <w:sz w:val="18"/>
      <w:szCs w:val="18"/>
    </w:rPr>
  </w:style>
  <w:style w:type="character" w:customStyle="1" w:styleId="136">
    <w:name w:val="apple-style-span"/>
    <w:qFormat/>
    <w:uiPriority w:val="0"/>
  </w:style>
  <w:style w:type="character" w:customStyle="1" w:styleId="137">
    <w:name w:val="HTML 预设格式 字符1"/>
    <w:semiHidden/>
    <w:qFormat/>
    <w:uiPriority w:val="99"/>
    <w:rPr>
      <w:rFonts w:ascii="Courier New" w:hAnsi="Courier New" w:cs="Courier New"/>
      <w:kern w:val="2"/>
    </w:rPr>
  </w:style>
  <w:style w:type="character" w:customStyle="1" w:styleId="138">
    <w:name w:val="页眉 Char"/>
    <w:qFormat/>
    <w:uiPriority w:val="99"/>
    <w:rPr>
      <w:rFonts w:ascii="Times New Roman" w:hAnsi="Times New Roman" w:eastAsia="宋体" w:cs="Times New Roman"/>
      <w:kern w:val="0"/>
      <w:sz w:val="18"/>
      <w:szCs w:val="20"/>
    </w:rPr>
  </w:style>
  <w:style w:type="character" w:customStyle="1" w:styleId="139">
    <w:name w:val="Char Char7"/>
    <w:qFormat/>
    <w:uiPriority w:val="0"/>
    <w:rPr>
      <w:rFonts w:ascii="Tahoma" w:hAnsi="Tahoma" w:eastAsia="新宋体" w:cs="Tahoma"/>
      <w:b/>
      <w:bCs/>
      <w:szCs w:val="21"/>
    </w:rPr>
  </w:style>
  <w:style w:type="character" w:customStyle="1" w:styleId="140">
    <w:name w:val="批注文字 字符2"/>
    <w:semiHidden/>
    <w:qFormat/>
    <w:uiPriority w:val="99"/>
    <w:rPr>
      <w:kern w:val="2"/>
      <w:sz w:val="21"/>
      <w:szCs w:val="24"/>
    </w:rPr>
  </w:style>
  <w:style w:type="character" w:customStyle="1" w:styleId="141">
    <w:name w:val="纯文本 字符1"/>
    <w:semiHidden/>
    <w:qFormat/>
    <w:uiPriority w:val="99"/>
    <w:rPr>
      <w:rFonts w:ascii="等线" w:hAnsi="Courier New" w:eastAsia="等线" w:cs="Courier New"/>
      <w:kern w:val="2"/>
      <w:sz w:val="21"/>
      <w:szCs w:val="24"/>
    </w:rPr>
  </w:style>
  <w:style w:type="character" w:customStyle="1" w:styleId="142">
    <w:name w:val="正文文本缩进 字符2"/>
    <w:semiHidden/>
    <w:qFormat/>
    <w:uiPriority w:val="99"/>
    <w:rPr>
      <w:kern w:val="2"/>
      <w:sz w:val="21"/>
      <w:szCs w:val="24"/>
    </w:rPr>
  </w:style>
  <w:style w:type="character" w:customStyle="1" w:styleId="143">
    <w:name w:val="称呼 字符1"/>
    <w:semiHidden/>
    <w:qFormat/>
    <w:uiPriority w:val="99"/>
    <w:rPr>
      <w:kern w:val="2"/>
      <w:sz w:val="21"/>
      <w:szCs w:val="24"/>
    </w:rPr>
  </w:style>
  <w:style w:type="character" w:customStyle="1" w:styleId="144">
    <w:name w:val="页眉 字符2"/>
    <w:semiHidden/>
    <w:qFormat/>
    <w:uiPriority w:val="99"/>
    <w:rPr>
      <w:kern w:val="2"/>
      <w:sz w:val="18"/>
      <w:szCs w:val="18"/>
    </w:rPr>
  </w:style>
  <w:style w:type="character" w:customStyle="1" w:styleId="145">
    <w:name w:val="Char Char Char Char Char Char Char Char Char Char Char Char Char"/>
    <w:qFormat/>
    <w:uiPriority w:val="0"/>
    <w:rPr>
      <w:rFonts w:eastAsia="新宋体"/>
      <w:b/>
      <w:bCs/>
      <w:sz w:val="32"/>
      <w:szCs w:val="44"/>
      <w:lang w:val="en-US" w:eastAsia="zh-CN" w:bidi="ar-SA"/>
    </w:rPr>
  </w:style>
  <w:style w:type="character" w:customStyle="1" w:styleId="146">
    <w:name w:val="font"/>
    <w:qFormat/>
    <w:uiPriority w:val="0"/>
  </w:style>
  <w:style w:type="character" w:customStyle="1" w:styleId="147">
    <w:name w:val="日期 字符1"/>
    <w:semiHidden/>
    <w:qFormat/>
    <w:uiPriority w:val="99"/>
    <w:rPr>
      <w:kern w:val="2"/>
      <w:sz w:val="21"/>
      <w:szCs w:val="24"/>
    </w:rPr>
  </w:style>
  <w:style w:type="character" w:customStyle="1" w:styleId="148">
    <w:name w:val="普通正文 Char Char"/>
    <w:link w:val="149"/>
    <w:qFormat/>
    <w:uiPriority w:val="0"/>
    <w:rPr>
      <w:rFonts w:ascii="等线 Light" w:hAnsi="等线 Light"/>
      <w:sz w:val="24"/>
      <w:szCs w:val="24"/>
    </w:rPr>
  </w:style>
  <w:style w:type="paragraph" w:customStyle="1" w:styleId="149">
    <w:name w:val="普通正文"/>
    <w:basedOn w:val="1"/>
    <w:link w:val="148"/>
    <w:qFormat/>
    <w:uiPriority w:val="0"/>
    <w:pPr>
      <w:adjustRightInd w:val="0"/>
      <w:spacing w:before="120" w:after="120" w:line="500" w:lineRule="exact"/>
      <w:ind w:firstLine="480" w:firstLineChars="200"/>
      <w:textAlignment w:val="baseline"/>
    </w:pPr>
    <w:rPr>
      <w:rFonts w:ascii="等线 Light" w:hAnsi="等线 Light"/>
      <w:kern w:val="0"/>
      <w:sz w:val="24"/>
    </w:rPr>
  </w:style>
  <w:style w:type="character" w:customStyle="1" w:styleId="150">
    <w:name w:val="unnamed21"/>
    <w:qFormat/>
    <w:uiPriority w:val="0"/>
    <w:rPr>
      <w:b/>
      <w:bCs/>
      <w:color w:val="FF6600"/>
      <w:sz w:val="21"/>
      <w:szCs w:val="21"/>
      <w:u w:val="none"/>
    </w:rPr>
  </w:style>
  <w:style w:type="character" w:customStyle="1" w:styleId="151">
    <w:name w:val="文档结构图 字符1"/>
    <w:semiHidden/>
    <w:qFormat/>
    <w:uiPriority w:val="99"/>
    <w:rPr>
      <w:rFonts w:ascii="Microsoft YaHei UI" w:eastAsia="Microsoft YaHei UI"/>
      <w:kern w:val="2"/>
      <w:sz w:val="18"/>
      <w:szCs w:val="18"/>
    </w:rPr>
  </w:style>
  <w:style w:type="character" w:customStyle="1" w:styleId="152">
    <w:name w:val="Char Char8"/>
    <w:qFormat/>
    <w:uiPriority w:val="0"/>
    <w:rPr>
      <w:rFonts w:ascii="Tahoma" w:hAnsi="Tahoma"/>
      <w:b/>
      <w:bCs/>
      <w:kern w:val="44"/>
      <w:sz w:val="44"/>
      <w:szCs w:val="44"/>
    </w:rPr>
  </w:style>
  <w:style w:type="character" w:customStyle="1" w:styleId="153">
    <w:name w:val="Char Char9"/>
    <w:qFormat/>
    <w:uiPriority w:val="0"/>
    <w:rPr>
      <w:rFonts w:ascii="Arial" w:hAnsi="Arial" w:eastAsia="新宋体" w:cs="Tahoma"/>
      <w:b/>
      <w:bCs/>
      <w:sz w:val="32"/>
      <w:szCs w:val="32"/>
    </w:rPr>
  </w:style>
  <w:style w:type="character" w:customStyle="1" w:styleId="154">
    <w:name w:val="正文文本首行缩进 2 字符1"/>
    <w:semiHidden/>
    <w:qFormat/>
    <w:uiPriority w:val="99"/>
  </w:style>
  <w:style w:type="character" w:customStyle="1" w:styleId="155">
    <w:name w:val="标题 字符2"/>
    <w:qFormat/>
    <w:uiPriority w:val="10"/>
    <w:rPr>
      <w:rFonts w:ascii="等线 Light" w:hAnsi="等线 Light" w:eastAsia="等线 Light" w:cs="Times New Roman"/>
      <w:b/>
      <w:bCs/>
      <w:kern w:val="2"/>
      <w:sz w:val="32"/>
      <w:szCs w:val="32"/>
    </w:rPr>
  </w:style>
  <w:style w:type="character" w:customStyle="1" w:styleId="156">
    <w:name w:val="正文文本 2 字符1"/>
    <w:semiHidden/>
    <w:qFormat/>
    <w:uiPriority w:val="99"/>
    <w:rPr>
      <w:kern w:val="2"/>
      <w:sz w:val="21"/>
      <w:szCs w:val="24"/>
    </w:rPr>
  </w:style>
  <w:style w:type="character" w:customStyle="1" w:styleId="157">
    <w:name w:val="正文缩进 Char1"/>
    <w:qFormat/>
    <w:uiPriority w:val="0"/>
    <w:rPr>
      <w:rFonts w:eastAsia="新宋体"/>
      <w:lang w:val="en-US" w:eastAsia="zh-CN" w:bidi="ar-SA"/>
    </w:rPr>
  </w:style>
  <w:style w:type="character" w:customStyle="1" w:styleId="158">
    <w:name w:val="apple-converted-space"/>
    <w:qFormat/>
    <w:uiPriority w:val="0"/>
  </w:style>
  <w:style w:type="character" w:customStyle="1" w:styleId="159">
    <w:name w:val="结束语 字符2"/>
    <w:semiHidden/>
    <w:qFormat/>
    <w:uiPriority w:val="99"/>
    <w:rPr>
      <w:kern w:val="2"/>
      <w:sz w:val="21"/>
      <w:szCs w:val="24"/>
    </w:rPr>
  </w:style>
  <w:style w:type="character" w:customStyle="1" w:styleId="160">
    <w:name w:val="正文文本 Char Char"/>
    <w:qFormat/>
    <w:uiPriority w:val="0"/>
    <w:rPr>
      <w:rFonts w:ascii="隶书" w:hAnsi="等线 Light" w:eastAsia="隶书" w:cs="Tahoma"/>
      <w:sz w:val="28"/>
      <w:szCs w:val="28"/>
    </w:rPr>
  </w:style>
  <w:style w:type="character" w:customStyle="1" w:styleId="161">
    <w:name w:val="普通(网站) Char"/>
    <w:qFormat/>
    <w:uiPriority w:val="0"/>
    <w:rPr>
      <w:rFonts w:ascii="新宋体" w:hAnsi="新宋体" w:cs="新宋体"/>
      <w:sz w:val="24"/>
      <w:szCs w:val="24"/>
    </w:rPr>
  </w:style>
  <w:style w:type="character" w:customStyle="1" w:styleId="162">
    <w:name w:val="HTML 预设格式 字符2"/>
    <w:semiHidden/>
    <w:qFormat/>
    <w:uiPriority w:val="99"/>
    <w:rPr>
      <w:rFonts w:ascii="Courier New" w:hAnsi="Courier New" w:cs="Courier New"/>
      <w:kern w:val="2"/>
    </w:rPr>
  </w:style>
  <w:style w:type="character" w:customStyle="1" w:styleId="163">
    <w:name w:val="批注主题 字符2"/>
    <w:semiHidden/>
    <w:qFormat/>
    <w:uiPriority w:val="99"/>
    <w:rPr>
      <w:b/>
      <w:bCs/>
      <w:kern w:val="2"/>
      <w:sz w:val="21"/>
      <w:szCs w:val="24"/>
    </w:rPr>
  </w:style>
  <w:style w:type="character" w:customStyle="1" w:styleId="164">
    <w:name w:val="正文文本 字符1"/>
    <w:semiHidden/>
    <w:qFormat/>
    <w:uiPriority w:val="99"/>
    <w:rPr>
      <w:kern w:val="2"/>
      <w:sz w:val="21"/>
      <w:szCs w:val="24"/>
    </w:rPr>
  </w:style>
  <w:style w:type="character" w:customStyle="1" w:styleId="165">
    <w:name w:val="标题 31"/>
    <w:qFormat/>
    <w:uiPriority w:val="0"/>
    <w:rPr>
      <w:rFonts w:hint="eastAsia" w:ascii="仿宋" w:hAnsi="@Yu Mincho Light" w:eastAsia="仿宋"/>
      <w:sz w:val="28"/>
    </w:rPr>
  </w:style>
  <w:style w:type="character" w:customStyle="1" w:styleId="166">
    <w:name w:val="页眉 Char1"/>
    <w:qFormat/>
    <w:uiPriority w:val="99"/>
    <w:rPr>
      <w:rFonts w:eastAsia="新宋体"/>
      <w:kern w:val="2"/>
      <w:sz w:val="18"/>
      <w:szCs w:val="18"/>
      <w:lang w:val="en-US" w:eastAsia="zh-CN" w:bidi="ar-SA"/>
    </w:rPr>
  </w:style>
  <w:style w:type="character" w:customStyle="1" w:styleId="167">
    <w:name w:val="结束语 字符1"/>
    <w:semiHidden/>
    <w:qFormat/>
    <w:uiPriority w:val="99"/>
    <w:rPr>
      <w:kern w:val="2"/>
      <w:sz w:val="21"/>
      <w:szCs w:val="24"/>
    </w:rPr>
  </w:style>
  <w:style w:type="character" w:customStyle="1" w:styleId="168">
    <w:name w:val="样式 三号 下划线"/>
    <w:qFormat/>
    <w:uiPriority w:val="0"/>
    <w:rPr>
      <w:sz w:val="28"/>
      <w:u w:val="single"/>
    </w:rPr>
  </w:style>
  <w:style w:type="character" w:customStyle="1" w:styleId="169">
    <w:name w:val="Char Char15"/>
    <w:qFormat/>
    <w:uiPriority w:val="0"/>
    <w:rPr>
      <w:rFonts w:ascii="Cambria Math" w:hAnsi="Tahoma" w:eastAsia="新宋体" w:cs="Tahoma"/>
      <w:sz w:val="24"/>
      <w:szCs w:val="24"/>
      <w:shd w:val="clear" w:color="auto" w:fill="000080"/>
    </w:rPr>
  </w:style>
  <w:style w:type="character" w:customStyle="1" w:styleId="170">
    <w:name w:val="表格内文字 Char"/>
    <w:link w:val="171"/>
    <w:qFormat/>
    <w:uiPriority w:val="0"/>
    <w:rPr>
      <w:kern w:val="2"/>
      <w:sz w:val="24"/>
    </w:rPr>
  </w:style>
  <w:style w:type="paragraph" w:customStyle="1" w:styleId="171">
    <w:name w:val="表格内文字"/>
    <w:basedOn w:val="1"/>
    <w:link w:val="170"/>
    <w:qFormat/>
    <w:uiPriority w:val="0"/>
    <w:rPr>
      <w:sz w:val="24"/>
      <w:szCs w:val="20"/>
    </w:rPr>
  </w:style>
  <w:style w:type="character" w:customStyle="1" w:styleId="172">
    <w:name w:val="font61"/>
    <w:qFormat/>
    <w:uiPriority w:val="0"/>
    <w:rPr>
      <w:rFonts w:hint="eastAsia" w:ascii="宋体" w:hAnsi="宋体" w:eastAsia="宋体" w:cs="宋体"/>
      <w:color w:val="000000"/>
      <w:sz w:val="24"/>
      <w:szCs w:val="24"/>
      <w:u w:val="none"/>
    </w:rPr>
  </w:style>
  <w:style w:type="character" w:customStyle="1" w:styleId="173">
    <w:name w:val="文档结构图 字符2"/>
    <w:semiHidden/>
    <w:qFormat/>
    <w:uiPriority w:val="99"/>
    <w:rPr>
      <w:rFonts w:ascii="Microsoft YaHei UI" w:eastAsia="Microsoft YaHei UI"/>
      <w:kern w:val="2"/>
      <w:sz w:val="18"/>
      <w:szCs w:val="18"/>
    </w:rPr>
  </w:style>
  <w:style w:type="character" w:customStyle="1" w:styleId="174">
    <w:name w:val="font11"/>
    <w:qFormat/>
    <w:uiPriority w:val="0"/>
    <w:rPr>
      <w:rFonts w:hint="default" w:ascii="Times New Roman" w:hAnsi="Times New Roman" w:cs="Times New Roman"/>
      <w:color w:val="000000"/>
      <w:sz w:val="21"/>
      <w:szCs w:val="21"/>
      <w:u w:val="none"/>
    </w:rPr>
  </w:style>
  <w:style w:type="character" w:customStyle="1" w:styleId="175">
    <w:name w:val="font71"/>
    <w:qFormat/>
    <w:uiPriority w:val="0"/>
    <w:rPr>
      <w:rFonts w:hint="default" w:ascii="Times New Roman" w:hAnsi="Times New Roman" w:cs="Times New Roman"/>
      <w:color w:val="0000FF"/>
      <w:sz w:val="24"/>
      <w:szCs w:val="24"/>
      <w:u w:val="none"/>
    </w:rPr>
  </w:style>
  <w:style w:type="character" w:customStyle="1" w:styleId="176">
    <w:name w:val="正文文本 2 字符2"/>
    <w:semiHidden/>
    <w:qFormat/>
    <w:uiPriority w:val="99"/>
    <w:rPr>
      <w:kern w:val="2"/>
      <w:sz w:val="21"/>
      <w:szCs w:val="24"/>
    </w:rPr>
  </w:style>
  <w:style w:type="character" w:customStyle="1" w:styleId="177">
    <w:name w:val="font21"/>
    <w:qFormat/>
    <w:uiPriority w:val="0"/>
    <w:rPr>
      <w:rFonts w:hint="eastAsia" w:ascii="宋体" w:hAnsi="宋体" w:eastAsia="宋体" w:cs="宋体"/>
      <w:color w:val="000000"/>
      <w:sz w:val="20"/>
      <w:szCs w:val="20"/>
      <w:u w:val="none"/>
    </w:rPr>
  </w:style>
  <w:style w:type="character" w:customStyle="1" w:styleId="178">
    <w:name w:val="_Style 177"/>
    <w:unhideWhenUsed/>
    <w:qFormat/>
    <w:uiPriority w:val="99"/>
    <w:rPr>
      <w:color w:val="605E5C"/>
      <w:shd w:val="clear" w:color="auto" w:fill="E1DFDD"/>
    </w:rPr>
  </w:style>
  <w:style w:type="character" w:customStyle="1" w:styleId="179">
    <w:name w:val="脚注文本 字符1"/>
    <w:semiHidden/>
    <w:qFormat/>
    <w:uiPriority w:val="99"/>
    <w:rPr>
      <w:kern w:val="2"/>
      <w:sz w:val="18"/>
      <w:szCs w:val="18"/>
    </w:rPr>
  </w:style>
  <w:style w:type="character" w:customStyle="1" w:styleId="180">
    <w:name w:val="正文文本 字符2"/>
    <w:semiHidden/>
    <w:qFormat/>
    <w:uiPriority w:val="99"/>
    <w:rPr>
      <w:kern w:val="2"/>
      <w:sz w:val="21"/>
      <w:szCs w:val="24"/>
    </w:rPr>
  </w:style>
  <w:style w:type="character" w:customStyle="1" w:styleId="181">
    <w:name w:val="tw4winTerm"/>
    <w:qFormat/>
    <w:uiPriority w:val="0"/>
    <w:rPr>
      <w:color w:val="0000FF"/>
    </w:rPr>
  </w:style>
  <w:style w:type="character" w:customStyle="1" w:styleId="182">
    <w:name w:val="脚注文本 字符2"/>
    <w:semiHidden/>
    <w:qFormat/>
    <w:uiPriority w:val="99"/>
    <w:rPr>
      <w:kern w:val="2"/>
      <w:sz w:val="18"/>
      <w:szCs w:val="18"/>
    </w:rPr>
  </w:style>
  <w:style w:type="character" w:customStyle="1" w:styleId="183">
    <w:name w:val="Char Char14"/>
    <w:qFormat/>
    <w:uiPriority w:val="0"/>
    <w:rPr>
      <w:rFonts w:ascii="隶书" w:hAnsi="等线 Light" w:eastAsia="隶书" w:cs="Tahoma"/>
      <w:sz w:val="28"/>
      <w:szCs w:val="24"/>
    </w:rPr>
  </w:style>
  <w:style w:type="character" w:customStyle="1" w:styleId="184">
    <w:name w:val="正文文本首行缩进 字符1"/>
    <w:semiHidden/>
    <w:qFormat/>
    <w:uiPriority w:val="99"/>
  </w:style>
  <w:style w:type="character" w:customStyle="1" w:styleId="185">
    <w:name w:val="批注框文本 字符1"/>
    <w:semiHidden/>
    <w:qFormat/>
    <w:uiPriority w:val="99"/>
    <w:rPr>
      <w:kern w:val="2"/>
      <w:sz w:val="18"/>
      <w:szCs w:val="18"/>
    </w:rPr>
  </w:style>
  <w:style w:type="character" w:customStyle="1" w:styleId="186">
    <w:name w:val="正文 + 宋体 Char"/>
    <w:link w:val="187"/>
    <w:qFormat/>
    <w:uiPriority w:val="0"/>
    <w:rPr>
      <w:rFonts w:ascii="Courier New" w:hAnsi="新宋体" w:eastAsia="仿宋"/>
      <w:b/>
      <w:bCs/>
      <w:kern w:val="44"/>
      <w:sz w:val="28"/>
      <w:szCs w:val="28"/>
    </w:rPr>
  </w:style>
  <w:style w:type="paragraph" w:customStyle="1" w:styleId="187">
    <w:name w:val="正文 + 宋体"/>
    <w:basedOn w:val="4"/>
    <w:link w:val="186"/>
    <w:qFormat/>
    <w:uiPriority w:val="0"/>
    <w:pPr>
      <w:widowControl/>
      <w:numPr>
        <w:numId w:val="0"/>
      </w:numPr>
      <w:spacing w:before="120" w:after="120" w:line="240" w:lineRule="auto"/>
      <w:ind w:left="-51"/>
    </w:pPr>
    <w:rPr>
      <w:rFonts w:ascii="Courier New" w:hAnsi="新宋体"/>
      <w:sz w:val="28"/>
      <w:szCs w:val="28"/>
    </w:rPr>
  </w:style>
  <w:style w:type="character" w:customStyle="1" w:styleId="188">
    <w:name w:val="正文文本首行缩进 2 字符2"/>
    <w:semiHidden/>
    <w:qFormat/>
    <w:uiPriority w:val="99"/>
  </w:style>
  <w:style w:type="character" w:customStyle="1" w:styleId="189">
    <w:name w:val="font31"/>
    <w:qFormat/>
    <w:uiPriority w:val="0"/>
    <w:rPr>
      <w:rFonts w:hint="eastAsia" w:ascii="宋体" w:hAnsi="宋体" w:eastAsia="宋体" w:cs="宋体"/>
      <w:color w:val="000000"/>
      <w:sz w:val="24"/>
      <w:szCs w:val="24"/>
      <w:u w:val="none"/>
    </w:rPr>
  </w:style>
  <w:style w:type="character" w:customStyle="1" w:styleId="190">
    <w:name w:val="ZZ Char"/>
    <w:link w:val="191"/>
    <w:qFormat/>
    <w:locked/>
    <w:uiPriority w:val="0"/>
    <w:rPr>
      <w:rFonts w:ascii="Cambria Math" w:hAnsi="Garamond" w:eastAsia="Cambria Math"/>
      <w:spacing w:val="-4"/>
      <w:kern w:val="2"/>
      <w:sz w:val="28"/>
      <w:szCs w:val="28"/>
    </w:rPr>
  </w:style>
  <w:style w:type="paragraph" w:customStyle="1" w:styleId="191">
    <w:name w:val="ZZ"/>
    <w:basedOn w:val="1"/>
    <w:link w:val="190"/>
    <w:qFormat/>
    <w:uiPriority w:val="0"/>
    <w:pPr>
      <w:ind w:firstLine="544" w:firstLineChars="200"/>
    </w:pPr>
    <w:rPr>
      <w:rFonts w:ascii="Cambria Math" w:hAnsi="Garamond" w:eastAsia="Cambria Math"/>
      <w:spacing w:val="-4"/>
      <w:sz w:val="28"/>
      <w:szCs w:val="28"/>
    </w:rPr>
  </w:style>
  <w:style w:type="character" w:customStyle="1" w:styleId="192">
    <w:name w:val="纯文本 字符2"/>
    <w:semiHidden/>
    <w:qFormat/>
    <w:uiPriority w:val="99"/>
    <w:rPr>
      <w:rFonts w:ascii="等线" w:hAnsi="Courier New" w:eastAsia="等线" w:cs="Courier New"/>
      <w:kern w:val="2"/>
      <w:sz w:val="21"/>
      <w:szCs w:val="24"/>
    </w:rPr>
  </w:style>
  <w:style w:type="character" w:customStyle="1" w:styleId="193">
    <w:name w:val="称呼 字符2"/>
    <w:semiHidden/>
    <w:qFormat/>
    <w:uiPriority w:val="99"/>
    <w:rPr>
      <w:kern w:val="2"/>
      <w:sz w:val="21"/>
      <w:szCs w:val="24"/>
    </w:rPr>
  </w:style>
  <w:style w:type="character" w:customStyle="1" w:styleId="194">
    <w:name w:val="正文文本 3 字符1"/>
    <w:semiHidden/>
    <w:qFormat/>
    <w:uiPriority w:val="99"/>
    <w:rPr>
      <w:kern w:val="2"/>
      <w:sz w:val="16"/>
      <w:szCs w:val="16"/>
    </w:rPr>
  </w:style>
  <w:style w:type="character" w:customStyle="1" w:styleId="195">
    <w:name w:val="一般文字 字元 Char"/>
    <w:qFormat/>
    <w:uiPriority w:val="0"/>
    <w:rPr>
      <w:rFonts w:ascii="新宋体" w:hAnsi="等线" w:eastAsia="新宋体"/>
      <w:kern w:val="2"/>
      <w:sz w:val="21"/>
      <w:lang w:val="en-US" w:eastAsia="zh-CN" w:bidi="ar-SA"/>
    </w:rPr>
  </w:style>
  <w:style w:type="character" w:customStyle="1" w:styleId="196">
    <w:name w:val="text_list1"/>
    <w:qFormat/>
    <w:uiPriority w:val="0"/>
    <w:rPr>
      <w:rFonts w:hint="default" w:ascii="等线 Light" w:hAnsi="等线 Light" w:cs="等线 Light"/>
      <w:color w:val="000000"/>
      <w:spacing w:val="272"/>
      <w:sz w:val="16"/>
      <w:szCs w:val="16"/>
    </w:rPr>
  </w:style>
  <w:style w:type="character" w:customStyle="1" w:styleId="197">
    <w:name w:val="正文文本首行缩进 字符2"/>
    <w:semiHidden/>
    <w:qFormat/>
    <w:uiPriority w:val="99"/>
  </w:style>
  <w:style w:type="character" w:customStyle="1" w:styleId="198">
    <w:name w:val="正文文本缩进 2 字符1"/>
    <w:semiHidden/>
    <w:qFormat/>
    <w:uiPriority w:val="99"/>
    <w:rPr>
      <w:kern w:val="2"/>
      <w:sz w:val="21"/>
      <w:szCs w:val="24"/>
    </w:rPr>
  </w:style>
  <w:style w:type="character" w:customStyle="1" w:styleId="199">
    <w:name w:val="批注文字 字符1"/>
    <w:semiHidden/>
    <w:qFormat/>
    <w:uiPriority w:val="99"/>
    <w:rPr>
      <w:kern w:val="2"/>
      <w:sz w:val="21"/>
      <w:szCs w:val="24"/>
    </w:rPr>
  </w:style>
  <w:style w:type="character" w:customStyle="1" w:styleId="200">
    <w:name w:val="font01"/>
    <w:qFormat/>
    <w:uiPriority w:val="0"/>
    <w:rPr>
      <w:rFonts w:hint="eastAsia" w:ascii="宋体" w:hAnsi="宋体" w:eastAsia="宋体" w:cs="宋体"/>
      <w:color w:val="FF0000"/>
      <w:sz w:val="24"/>
      <w:szCs w:val="24"/>
      <w:u w:val="none"/>
    </w:rPr>
  </w:style>
  <w:style w:type="character" w:customStyle="1" w:styleId="201">
    <w:name w:val="+正文 Char3"/>
    <w:link w:val="202"/>
    <w:qFormat/>
    <w:uiPriority w:val="0"/>
    <w:rPr>
      <w:sz w:val="24"/>
      <w:szCs w:val="28"/>
    </w:rPr>
  </w:style>
  <w:style w:type="paragraph" w:customStyle="1" w:styleId="202">
    <w:name w:val="+正文"/>
    <w:basedOn w:val="1"/>
    <w:link w:val="201"/>
    <w:qFormat/>
    <w:uiPriority w:val="0"/>
    <w:pPr>
      <w:spacing w:line="360" w:lineRule="auto"/>
      <w:ind w:firstLine="200" w:firstLineChars="200"/>
    </w:pPr>
    <w:rPr>
      <w:kern w:val="0"/>
      <w:sz w:val="24"/>
      <w:szCs w:val="28"/>
    </w:rPr>
  </w:style>
  <w:style w:type="character" w:customStyle="1" w:styleId="203">
    <w:name w:val="日期 字符2"/>
    <w:semiHidden/>
    <w:qFormat/>
    <w:uiPriority w:val="99"/>
    <w:rPr>
      <w:kern w:val="2"/>
      <w:sz w:val="21"/>
      <w:szCs w:val="24"/>
    </w:rPr>
  </w:style>
  <w:style w:type="character" w:customStyle="1" w:styleId="204">
    <w:name w:val="正文文本缩进 2 字符2"/>
    <w:semiHidden/>
    <w:qFormat/>
    <w:uiPriority w:val="99"/>
    <w:rPr>
      <w:kern w:val="2"/>
      <w:sz w:val="21"/>
      <w:szCs w:val="24"/>
    </w:rPr>
  </w:style>
  <w:style w:type="paragraph" w:customStyle="1" w:styleId="205">
    <w:name w:val="函数注释2"/>
    <w:basedOn w:val="1"/>
    <w:qFormat/>
    <w:uiPriority w:val="0"/>
    <w:pPr>
      <w:adjustRightInd w:val="0"/>
      <w:spacing w:after="20" w:line="288" w:lineRule="auto"/>
      <w:ind w:left="1680" w:firstLine="420"/>
      <w:textAlignment w:val="baseline"/>
    </w:pPr>
  </w:style>
  <w:style w:type="paragraph" w:customStyle="1" w:styleId="206">
    <w:name w:val="函数注释1"/>
    <w:basedOn w:val="1"/>
    <w:qFormat/>
    <w:uiPriority w:val="0"/>
    <w:pPr>
      <w:adjustRightInd w:val="0"/>
      <w:spacing w:after="20" w:line="320" w:lineRule="exact"/>
      <w:ind w:left="1678" w:right="210" w:hanging="1049"/>
      <w:jc w:val="left"/>
      <w:textAlignment w:val="baseline"/>
    </w:pPr>
    <w:rPr>
      <w:kern w:val="0"/>
      <w:szCs w:val="20"/>
    </w:rPr>
  </w:style>
  <w:style w:type="paragraph" w:customStyle="1" w:styleId="207">
    <w:name w:val="目录"/>
    <w:basedOn w:val="1"/>
    <w:next w:val="1"/>
    <w:qFormat/>
    <w:uiPriority w:val="0"/>
    <w:pPr>
      <w:adjustRightInd w:val="0"/>
      <w:spacing w:before="360" w:after="360" w:line="360" w:lineRule="auto"/>
      <w:ind w:firstLine="420"/>
      <w:jc w:val="center"/>
      <w:textAlignment w:val="baseline"/>
    </w:pPr>
    <w:rPr>
      <w:b/>
      <w:spacing w:val="200"/>
      <w:sz w:val="36"/>
      <w:szCs w:val="20"/>
    </w:rPr>
  </w:style>
  <w:style w:type="paragraph" w:customStyle="1" w:styleId="208">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新宋体" w:hAnsi="新宋体"/>
      <w:color w:val="000000"/>
      <w:kern w:val="0"/>
      <w:sz w:val="24"/>
    </w:rPr>
  </w:style>
  <w:style w:type="paragraph" w:customStyle="1" w:styleId="209">
    <w:name w:val="Char Char Char Char Char Char Char Char Char Char Char"/>
    <w:basedOn w:val="20"/>
    <w:qFormat/>
    <w:uiPriority w:val="0"/>
    <w:pPr>
      <w:ind w:firstLine="420" w:firstLineChars="200"/>
    </w:pPr>
    <w:rPr>
      <w:rFonts w:hAnsi="新宋体"/>
      <w:color w:val="000000"/>
      <w:spacing w:val="-8"/>
      <w:szCs w:val="20"/>
    </w:rPr>
  </w:style>
  <w:style w:type="paragraph" w:customStyle="1" w:styleId="210">
    <w:name w:val="Char"/>
    <w:basedOn w:val="1"/>
    <w:qFormat/>
    <w:uiPriority w:val="0"/>
    <w:rPr>
      <w:rFonts w:ascii="Cambria Math" w:eastAsia="Cambria Math"/>
      <w:b/>
      <w:sz w:val="32"/>
      <w:szCs w:val="32"/>
    </w:rPr>
  </w:style>
  <w:style w:type="paragraph" w:customStyle="1" w:styleId="211">
    <w:name w:val="样式 标题 1 + 加粗"/>
    <w:basedOn w:val="4"/>
    <w:qFormat/>
    <w:uiPriority w:val="0"/>
    <w:pPr>
      <w:widowControl/>
      <w:numPr>
        <w:numId w:val="0"/>
      </w:numPr>
      <w:spacing w:before="120" w:after="120" w:line="240" w:lineRule="auto"/>
    </w:pPr>
    <w:rPr>
      <w:rFonts w:ascii="Courier New" w:hAnsi="新宋体"/>
      <w:sz w:val="28"/>
      <w:szCs w:val="28"/>
    </w:rPr>
  </w:style>
  <w:style w:type="paragraph" w:customStyle="1" w:styleId="212">
    <w:name w:val="复选框1"/>
    <w:basedOn w:val="1"/>
    <w:qFormat/>
    <w:uiPriority w:val="0"/>
    <w:pPr>
      <w:widowControl/>
      <w:spacing w:before="360" w:after="360"/>
      <w:ind w:firstLine="448" w:firstLineChars="200"/>
    </w:pPr>
    <w:rPr>
      <w:rFonts w:hAnsi="新宋体"/>
      <w:color w:val="000000"/>
      <w:spacing w:val="-8"/>
      <w:kern w:val="0"/>
      <w:sz w:val="20"/>
      <w:szCs w:val="20"/>
    </w:rPr>
  </w:style>
  <w:style w:type="paragraph" w:customStyle="1" w:styleId="21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kern w:val="0"/>
      <w:sz w:val="20"/>
      <w:szCs w:val="20"/>
    </w:rPr>
  </w:style>
  <w:style w:type="paragraph" w:customStyle="1" w:styleId="214">
    <w:name w:val="文档标签"/>
    <w:next w:val="1"/>
    <w:qFormat/>
    <w:uiPriority w:val="0"/>
    <w:pPr>
      <w:spacing w:before="100" w:after="720" w:line="600" w:lineRule="exact"/>
      <w:ind w:left="840"/>
    </w:pPr>
    <w:rPr>
      <w:rFonts w:ascii="Times New Roman" w:hAnsi="Times New Roman" w:eastAsia="宋体" w:cs="Times New Roman"/>
      <w:spacing w:val="-34"/>
      <w:sz w:val="60"/>
      <w:lang w:val="en-US" w:eastAsia="zh-CN" w:bidi="ar-SA"/>
    </w:rPr>
  </w:style>
  <w:style w:type="paragraph" w:customStyle="1" w:styleId="215">
    <w:name w:val="xl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新宋体" w:hAnsi="新宋体"/>
      <w:color w:val="000000"/>
      <w:kern w:val="0"/>
      <w:sz w:val="24"/>
    </w:rPr>
  </w:style>
  <w:style w:type="paragraph" w:customStyle="1" w:styleId="216">
    <w:name w:val="Char Char Char Char Char Char Char Char Char Char Char Char Char Char Char Char"/>
    <w:basedOn w:val="1"/>
    <w:qFormat/>
    <w:uiPriority w:val="0"/>
    <w:pPr>
      <w:tabs>
        <w:tab w:val="left" w:pos="360"/>
      </w:tabs>
    </w:pPr>
    <w:rPr>
      <w:sz w:val="24"/>
    </w:rPr>
  </w:style>
  <w:style w:type="paragraph" w:customStyle="1" w:styleId="21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kern w:val="0"/>
      <w:sz w:val="20"/>
      <w:szCs w:val="20"/>
    </w:rPr>
  </w:style>
  <w:style w:type="paragraph" w:customStyle="1" w:styleId="218">
    <w:name w:val="正文(缩进)"/>
    <w:basedOn w:val="1"/>
    <w:qFormat/>
    <w:uiPriority w:val="0"/>
    <w:pPr>
      <w:widowControl/>
      <w:spacing w:line="360" w:lineRule="auto"/>
      <w:ind w:firstLine="200" w:firstLineChars="200"/>
    </w:pPr>
    <w:rPr>
      <w:rFonts w:eastAsia="Cambria Math"/>
      <w:sz w:val="24"/>
      <w:szCs w:val="20"/>
    </w:rPr>
  </w:style>
  <w:style w:type="paragraph" w:customStyle="1" w:styleId="219">
    <w:name w:val="附录1层"/>
    <w:basedOn w:val="1"/>
    <w:next w:val="1"/>
    <w:qFormat/>
    <w:uiPriority w:val="0"/>
    <w:pPr>
      <w:spacing w:line="440" w:lineRule="exact"/>
      <w:ind w:firstLine="448" w:firstLineChars="200"/>
      <w:jc w:val="center"/>
    </w:pPr>
    <w:rPr>
      <w:rFonts w:ascii="仿宋" w:hAnsi="新宋体" w:eastAsia="仿宋"/>
      <w:color w:val="000000"/>
      <w:spacing w:val="-8"/>
      <w:sz w:val="24"/>
      <w:szCs w:val="20"/>
    </w:rPr>
  </w:style>
  <w:style w:type="paragraph" w:customStyle="1" w:styleId="220">
    <w:name w:val="表中"/>
    <w:basedOn w:val="1"/>
    <w:qFormat/>
    <w:uiPriority w:val="0"/>
    <w:pPr>
      <w:adjustRightInd w:val="0"/>
      <w:spacing w:line="360" w:lineRule="atLeast"/>
      <w:jc w:val="center"/>
      <w:textAlignment w:val="baseline"/>
    </w:pPr>
    <w:rPr>
      <w:kern w:val="0"/>
      <w:szCs w:val="20"/>
    </w:rPr>
  </w:style>
  <w:style w:type="paragraph" w:customStyle="1" w:styleId="221">
    <w:name w:val="font7"/>
    <w:basedOn w:val="1"/>
    <w:qFormat/>
    <w:uiPriority w:val="0"/>
    <w:pPr>
      <w:widowControl/>
      <w:adjustRightInd w:val="0"/>
      <w:spacing w:before="100" w:beforeAutospacing="1" w:after="100" w:afterAutospacing="1" w:line="288" w:lineRule="auto"/>
      <w:ind w:firstLine="420"/>
      <w:jc w:val="left"/>
      <w:textAlignment w:val="baseline"/>
    </w:pPr>
    <w:rPr>
      <w:b/>
      <w:bCs/>
      <w:kern w:val="0"/>
      <w:sz w:val="24"/>
    </w:rPr>
  </w:style>
  <w:style w:type="paragraph" w:customStyle="1" w:styleId="222">
    <w:name w:val="xl2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b/>
      <w:bCs/>
      <w:kern w:val="0"/>
      <w:sz w:val="20"/>
      <w:szCs w:val="20"/>
    </w:rPr>
  </w:style>
  <w:style w:type="paragraph" w:customStyle="1" w:styleId="223">
    <w:name w:val="xl50"/>
    <w:basedOn w:val="1"/>
    <w:qFormat/>
    <w:uiPriority w:val="0"/>
    <w:pPr>
      <w:widowControl/>
      <w:spacing w:before="100" w:beforeAutospacing="1" w:after="100" w:afterAutospacing="1"/>
      <w:jc w:val="center"/>
      <w:textAlignment w:val="center"/>
    </w:pPr>
    <w:rPr>
      <w:rFonts w:ascii="新宋体" w:hAnsi="新宋体"/>
      <w:b/>
      <w:bCs/>
      <w:kern w:val="0"/>
      <w:sz w:val="40"/>
      <w:szCs w:val="40"/>
    </w:rPr>
  </w:style>
  <w:style w:type="paragraph" w:customStyle="1" w:styleId="224">
    <w:name w:val="xl4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新宋体" w:hAnsi="新宋体"/>
      <w:b/>
      <w:bCs/>
      <w:kern w:val="0"/>
      <w:sz w:val="20"/>
      <w:szCs w:val="20"/>
    </w:rPr>
  </w:style>
  <w:style w:type="paragraph" w:customStyle="1" w:styleId="225">
    <w:name w:val="表格文字"/>
    <w:basedOn w:val="1"/>
    <w:qFormat/>
    <w:uiPriority w:val="0"/>
    <w:pPr>
      <w:adjustRightInd w:val="0"/>
      <w:spacing w:line="288" w:lineRule="auto"/>
      <w:jc w:val="left"/>
      <w:textAlignment w:val="baseline"/>
    </w:pPr>
    <w:rPr>
      <w:kern w:val="0"/>
      <w:szCs w:val="20"/>
    </w:rPr>
  </w:style>
  <w:style w:type="paragraph" w:customStyle="1" w:styleId="226">
    <w:name w:val="xl23"/>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新宋体" w:hAnsi="新宋体"/>
      <w:color w:val="000000"/>
      <w:kern w:val="0"/>
      <w:sz w:val="24"/>
    </w:rPr>
  </w:style>
  <w:style w:type="paragraph" w:customStyle="1" w:styleId="227">
    <w:name w:val="Char Char Char1 Char Char Char"/>
    <w:basedOn w:val="1"/>
    <w:qFormat/>
    <w:uiPriority w:val="0"/>
    <w:pPr>
      <w:ind w:firstLine="200" w:firstLineChars="200"/>
    </w:pPr>
    <w:rPr>
      <w:rFonts w:ascii="新宋体" w:hAnsi="新宋体"/>
      <w:sz w:val="24"/>
      <w:szCs w:val="20"/>
    </w:rPr>
  </w:style>
  <w:style w:type="paragraph" w:customStyle="1" w:styleId="228">
    <w:name w:val="标准文字"/>
    <w:basedOn w:val="1"/>
    <w:qFormat/>
    <w:uiPriority w:val="0"/>
    <w:pPr>
      <w:adjustRightInd w:val="0"/>
      <w:spacing w:after="20" w:line="360" w:lineRule="auto"/>
      <w:ind w:firstLine="420"/>
      <w:textAlignment w:val="baseline"/>
    </w:pPr>
  </w:style>
  <w:style w:type="paragraph" w:customStyle="1" w:styleId="229">
    <w:name w:val="xl51"/>
    <w:basedOn w:val="1"/>
    <w:qFormat/>
    <w:uiPriority w:val="0"/>
    <w:pPr>
      <w:widowControl/>
      <w:pBdr>
        <w:bottom w:val="single" w:color="000000" w:sz="4" w:space="0"/>
      </w:pBdr>
      <w:spacing w:before="100" w:beforeAutospacing="1" w:after="100" w:afterAutospacing="1"/>
      <w:jc w:val="left"/>
    </w:pPr>
    <w:rPr>
      <w:rFonts w:hint="eastAsia" w:ascii="隶书" w:hAnsi="新宋体" w:eastAsia="隶书"/>
      <w:b/>
      <w:bCs/>
      <w:color w:val="000000"/>
      <w:kern w:val="0"/>
      <w:sz w:val="24"/>
    </w:rPr>
  </w:style>
  <w:style w:type="paragraph" w:customStyle="1" w:styleId="2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1">
    <w:name w:val="正文1)"/>
    <w:basedOn w:val="1"/>
    <w:qFormat/>
    <w:uiPriority w:val="0"/>
    <w:pPr>
      <w:tabs>
        <w:tab w:val="left" w:pos="-120"/>
        <w:tab w:val="left" w:pos="0"/>
        <w:tab w:val="left" w:pos="120"/>
        <w:tab w:val="left" w:pos="425"/>
      </w:tabs>
      <w:adjustRightInd w:val="0"/>
      <w:spacing w:after="20" w:line="360" w:lineRule="auto"/>
      <w:ind w:left="425" w:hanging="425"/>
      <w:jc w:val="left"/>
      <w:textAlignment w:val="baseline"/>
    </w:pPr>
    <w:rPr>
      <w:rFonts w:ascii="新宋体" w:hAnsi="等线 Light"/>
      <w:smallCaps/>
      <w:spacing w:val="-20"/>
      <w:sz w:val="24"/>
      <w:szCs w:val="20"/>
    </w:rPr>
  </w:style>
  <w:style w:type="paragraph" w:customStyle="1" w:styleId="232">
    <w:name w:val="whs5"/>
    <w:basedOn w:val="1"/>
    <w:qFormat/>
    <w:uiPriority w:val="0"/>
    <w:pPr>
      <w:widowControl/>
      <w:ind w:left="115" w:right="130" w:firstLine="448" w:firstLineChars="200"/>
    </w:pPr>
    <w:rPr>
      <w:rFonts w:hAnsi="新宋体"/>
      <w:color w:val="000000"/>
      <w:spacing w:val="-8"/>
      <w:kern w:val="0"/>
      <w:sz w:val="18"/>
      <w:szCs w:val="18"/>
      <w:lang w:eastAsia="en-US"/>
    </w:rPr>
  </w:style>
  <w:style w:type="paragraph" w:customStyle="1" w:styleId="233">
    <w:name w:val="Char Char Char Char"/>
    <w:basedOn w:val="1"/>
    <w:qFormat/>
    <w:uiPriority w:val="0"/>
    <w:pPr>
      <w:widowControl/>
      <w:spacing w:after="160" w:line="240" w:lineRule="exact"/>
      <w:jc w:val="left"/>
    </w:pPr>
    <w:rPr>
      <w:rFonts w:ascii="ˎ̥" w:hAnsi="ˎ̥" w:eastAsia="Cambria Math"/>
      <w:kern w:val="0"/>
      <w:sz w:val="24"/>
      <w:szCs w:val="20"/>
      <w:lang w:eastAsia="en-US"/>
    </w:rPr>
  </w:style>
  <w:style w:type="paragraph" w:customStyle="1" w:styleId="23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kern w:val="0"/>
      <w:sz w:val="20"/>
      <w:szCs w:val="20"/>
    </w:rPr>
  </w:style>
  <w:style w:type="paragraph" w:customStyle="1" w:styleId="235">
    <w:name w:val="样式 标题 3 + (西文) 宋体 黑色"/>
    <w:basedOn w:val="7"/>
    <w:qFormat/>
    <w:uiPriority w:val="0"/>
    <w:pPr>
      <w:spacing w:beforeLines="50" w:afterLines="50" w:line="415" w:lineRule="auto"/>
      <w:ind w:right="-94" w:rightChars="-94" w:firstLine="448" w:firstLineChars="200"/>
    </w:pPr>
    <w:rPr>
      <w:rFonts w:ascii="新宋体" w:hAnsi="新宋体"/>
      <w:b w:val="0"/>
      <w:bCs w:val="0"/>
      <w:color w:val="000000"/>
      <w:spacing w:val="-8"/>
      <w:kern w:val="0"/>
      <w:sz w:val="28"/>
      <w:szCs w:val="21"/>
    </w:rPr>
  </w:style>
  <w:style w:type="paragraph" w:customStyle="1" w:styleId="236">
    <w:name w:val="xl49"/>
    <w:basedOn w:val="1"/>
    <w:qFormat/>
    <w:uiPriority w:val="0"/>
    <w:pPr>
      <w:widowControl/>
      <w:spacing w:before="100" w:beforeAutospacing="1" w:after="100" w:afterAutospacing="1"/>
      <w:jc w:val="center"/>
      <w:textAlignment w:val="center"/>
    </w:pPr>
    <w:rPr>
      <w:rFonts w:ascii="新宋体" w:hAnsi="新宋体"/>
      <w:b/>
      <w:bCs/>
      <w:color w:val="000000"/>
      <w:kern w:val="0"/>
      <w:sz w:val="40"/>
      <w:szCs w:val="40"/>
    </w:rPr>
  </w:style>
  <w:style w:type="paragraph" w:customStyle="1" w:styleId="237">
    <w:name w:val="xl22"/>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新宋体" w:hAnsi="新宋体"/>
      <w:color w:val="000000"/>
      <w:kern w:val="0"/>
      <w:sz w:val="24"/>
    </w:rPr>
  </w:style>
  <w:style w:type="paragraph" w:customStyle="1" w:styleId="238">
    <w:name w:val="名词解释11"/>
    <w:basedOn w:val="239"/>
    <w:qFormat/>
    <w:uiPriority w:val="0"/>
    <w:pPr>
      <w:spacing w:after="0"/>
      <w:ind w:firstLine="0"/>
    </w:pPr>
  </w:style>
  <w:style w:type="paragraph" w:customStyle="1" w:styleId="239">
    <w:name w:val="名词解释"/>
    <w:basedOn w:val="1"/>
    <w:qFormat/>
    <w:uiPriority w:val="0"/>
    <w:pPr>
      <w:adjustRightInd w:val="0"/>
      <w:spacing w:after="20" w:line="288" w:lineRule="auto"/>
      <w:ind w:left="2325" w:hanging="2325"/>
      <w:textAlignment w:val="baseline"/>
    </w:pPr>
    <w:rPr>
      <w:kern w:val="0"/>
      <w:szCs w:val="20"/>
    </w:rPr>
  </w:style>
  <w:style w:type="paragraph" w:customStyle="1" w:styleId="240">
    <w:name w:val="font5"/>
    <w:basedOn w:val="1"/>
    <w:qFormat/>
    <w:uiPriority w:val="0"/>
    <w:pPr>
      <w:widowControl/>
      <w:spacing w:before="100" w:beforeAutospacing="1" w:after="100" w:afterAutospacing="1"/>
      <w:jc w:val="left"/>
    </w:pPr>
    <w:rPr>
      <w:rFonts w:hint="eastAsia" w:ascii="新宋体" w:hAnsi="新宋体"/>
      <w:kern w:val="0"/>
      <w:sz w:val="18"/>
      <w:szCs w:val="18"/>
    </w:rPr>
  </w:style>
  <w:style w:type="paragraph" w:customStyle="1" w:styleId="241">
    <w:name w:val="正文图标题"/>
    <w:next w:val="1"/>
    <w:qFormat/>
    <w:uiPriority w:val="0"/>
    <w:pPr>
      <w:numPr>
        <w:ilvl w:val="0"/>
        <w:numId w:val="6"/>
      </w:numPr>
      <w:spacing w:beforeLines="50" w:afterLines="50"/>
      <w:jc w:val="center"/>
    </w:pPr>
    <w:rPr>
      <w:rFonts w:ascii="黑体" w:hAnsi="Times New Roman" w:eastAsia="黑体" w:cs="Times New Roman"/>
      <w:sz w:val="21"/>
      <w:lang w:val="en-US" w:eastAsia="zh-CN" w:bidi="ar-SA"/>
    </w:rPr>
  </w:style>
  <w:style w:type="paragraph" w:customStyle="1" w:styleId="242">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b/>
      <w:bCs/>
      <w:kern w:val="0"/>
      <w:sz w:val="20"/>
      <w:szCs w:val="20"/>
    </w:rPr>
  </w:style>
  <w:style w:type="paragraph" w:customStyle="1" w:styleId="243">
    <w:name w:val="xl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新宋体" w:hAnsi="新宋体"/>
      <w:color w:val="0000FF"/>
      <w:kern w:val="0"/>
      <w:sz w:val="24"/>
    </w:rPr>
  </w:style>
  <w:style w:type="paragraph" w:customStyle="1" w:styleId="244">
    <w:name w:val="p20"/>
    <w:basedOn w:val="1"/>
    <w:qFormat/>
    <w:uiPriority w:val="0"/>
    <w:pPr>
      <w:widowControl/>
      <w:spacing w:line="360" w:lineRule="auto"/>
      <w:ind w:firstLine="420"/>
    </w:pPr>
    <w:rPr>
      <w:kern w:val="0"/>
      <w:sz w:val="24"/>
    </w:rPr>
  </w:style>
  <w:style w:type="paragraph" w:customStyle="1" w:styleId="245">
    <w:name w:val="xl2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b/>
      <w:bCs/>
      <w:kern w:val="0"/>
      <w:sz w:val="20"/>
      <w:szCs w:val="20"/>
    </w:rPr>
  </w:style>
  <w:style w:type="paragraph" w:styleId="24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7">
    <w:name w:val="yyn"/>
    <w:basedOn w:val="1"/>
    <w:qFormat/>
    <w:uiPriority w:val="0"/>
    <w:pPr>
      <w:keepNext/>
      <w:widowControl/>
      <w:overflowPunct w:val="0"/>
      <w:autoSpaceDE w:val="0"/>
      <w:autoSpaceDN w:val="0"/>
      <w:adjustRightInd w:val="0"/>
      <w:spacing w:line="360" w:lineRule="auto"/>
      <w:ind w:right="562" w:firstLine="576"/>
      <w:textAlignment w:val="baseline"/>
    </w:pPr>
    <w:rPr>
      <w:rFonts w:ascii="新宋体"/>
      <w:kern w:val="16"/>
      <w:sz w:val="28"/>
      <w:szCs w:val="20"/>
    </w:rPr>
  </w:style>
  <w:style w:type="paragraph" w:customStyle="1" w:styleId="248">
    <w:name w:val="table_lines"/>
    <w:basedOn w:val="1"/>
    <w:qFormat/>
    <w:uiPriority w:val="0"/>
    <w:pPr>
      <w:widowControl/>
      <w:jc w:val="left"/>
    </w:pPr>
    <w:rPr>
      <w:kern w:val="0"/>
      <w:sz w:val="20"/>
      <w:szCs w:val="20"/>
      <w:lang w:val="de-DE" w:eastAsia="de-DE"/>
    </w:rPr>
  </w:style>
  <w:style w:type="paragraph" w:customStyle="1" w:styleId="249">
    <w:name w:val="List Paragraph[858D7CFB-ED40-4347-BF05-701D383B685F][858D7CFB-ED40-4347-BF05-701D383B685F]"/>
    <w:basedOn w:val="1"/>
    <w:qFormat/>
    <w:uiPriority w:val="0"/>
    <w:pPr>
      <w:ind w:firstLine="420" w:firstLineChars="200"/>
    </w:pPr>
    <w:rPr>
      <w:rFonts w:ascii="文鼎CS中宋" w:hAnsi="文鼎CS中宋"/>
      <w:color w:val="000000"/>
      <w:spacing w:val="-8"/>
      <w:szCs w:val="22"/>
    </w:rPr>
  </w:style>
  <w:style w:type="paragraph" w:customStyle="1" w:styleId="250">
    <w:name w:val="表头"/>
    <w:basedOn w:val="1"/>
    <w:qFormat/>
    <w:uiPriority w:val="0"/>
    <w:pPr>
      <w:adjustRightInd w:val="0"/>
      <w:snapToGrid w:val="0"/>
      <w:spacing w:line="320" w:lineRule="atLeast"/>
      <w:jc w:val="center"/>
      <w:textAlignment w:val="baseline"/>
    </w:pPr>
    <w:rPr>
      <w:rFonts w:eastAsia="仿宋"/>
      <w:spacing w:val="-10"/>
      <w:kern w:val="0"/>
      <w:szCs w:val="20"/>
    </w:rPr>
  </w:style>
  <w:style w:type="paragraph" w:customStyle="1" w:styleId="251">
    <w:name w:val="font6"/>
    <w:basedOn w:val="1"/>
    <w:qFormat/>
    <w:uiPriority w:val="0"/>
    <w:pPr>
      <w:widowControl/>
      <w:adjustRightInd w:val="0"/>
      <w:spacing w:before="100" w:beforeAutospacing="1" w:after="100" w:afterAutospacing="1" w:line="288" w:lineRule="auto"/>
      <w:ind w:firstLine="420"/>
      <w:jc w:val="left"/>
      <w:textAlignment w:val="baseline"/>
    </w:pPr>
    <w:rPr>
      <w:kern w:val="0"/>
      <w:sz w:val="24"/>
    </w:rPr>
  </w:style>
  <w:style w:type="paragraph" w:customStyle="1" w:styleId="252">
    <w:name w:val="办公自动化专用正文"/>
    <w:basedOn w:val="1"/>
    <w:qFormat/>
    <w:uiPriority w:val="0"/>
    <w:pPr>
      <w:spacing w:line="500" w:lineRule="atLeast"/>
      <w:ind w:firstLine="624" w:firstLineChars="200"/>
    </w:pPr>
    <w:rPr>
      <w:rFonts w:hAnsi="新宋体" w:eastAsia="隶书"/>
      <w:color w:val="000000"/>
      <w:spacing w:val="-8"/>
      <w:sz w:val="32"/>
      <w:szCs w:val="20"/>
    </w:rPr>
  </w:style>
  <w:style w:type="paragraph" w:customStyle="1" w:styleId="253">
    <w:name w:val="表蕊"/>
    <w:basedOn w:val="1"/>
    <w:qFormat/>
    <w:uiPriority w:val="0"/>
    <w:pPr>
      <w:adjustRightInd w:val="0"/>
      <w:spacing w:line="320" w:lineRule="atLeast"/>
      <w:jc w:val="left"/>
      <w:textAlignment w:val="baseline"/>
    </w:pPr>
    <w:rPr>
      <w:rFonts w:eastAsia="隶书"/>
      <w:spacing w:val="-10"/>
      <w:kern w:val="0"/>
      <w:szCs w:val="20"/>
    </w:rPr>
  </w:style>
  <w:style w:type="paragraph" w:customStyle="1" w:styleId="254">
    <w:name w:val="样式 纯文本 + 楷体_GB2312 小四 行距: 固定值 20 磅1"/>
    <w:basedOn w:val="34"/>
    <w:qFormat/>
    <w:uiPriority w:val="0"/>
    <w:pPr>
      <w:spacing w:line="400" w:lineRule="exact"/>
      <w:ind w:firstLine="200" w:firstLineChars="200"/>
    </w:pPr>
    <w:rPr>
      <w:rFonts w:ascii="隶书" w:eastAsia="隶书"/>
      <w:sz w:val="24"/>
      <w:szCs w:val="20"/>
    </w:rPr>
  </w:style>
  <w:style w:type="paragraph" w:customStyle="1" w:styleId="255">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b/>
      <w:bCs/>
      <w:kern w:val="0"/>
      <w:sz w:val="20"/>
      <w:szCs w:val="20"/>
    </w:rPr>
  </w:style>
  <w:style w:type="paragraph" w:customStyle="1" w:styleId="25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新宋体" w:hAnsi="新宋体"/>
      <w:kern w:val="0"/>
      <w:sz w:val="20"/>
      <w:szCs w:val="20"/>
    </w:rPr>
  </w:style>
  <w:style w:type="paragraph" w:customStyle="1" w:styleId="257">
    <w:name w:val="Char1"/>
    <w:basedOn w:val="1"/>
    <w:qFormat/>
    <w:uiPriority w:val="0"/>
    <w:pPr>
      <w:ind w:firstLine="448" w:firstLineChars="200"/>
    </w:pPr>
    <w:rPr>
      <w:rFonts w:ascii="新宋体" w:hAnsi="新宋体" w:eastAsia="Cambria Math"/>
      <w:b/>
      <w:color w:val="000000"/>
      <w:spacing w:val="-8"/>
      <w:sz w:val="32"/>
      <w:szCs w:val="32"/>
    </w:rPr>
  </w:style>
  <w:style w:type="paragraph" w:customStyle="1" w:styleId="258">
    <w:name w:val="页眉1"/>
    <w:basedOn w:val="1"/>
    <w:qFormat/>
    <w:uiPriority w:val="0"/>
    <w:pPr>
      <w:pBdr>
        <w:bottom w:val="double" w:color="auto" w:sz="6" w:space="1"/>
      </w:pBdr>
      <w:tabs>
        <w:tab w:val="center" w:pos="4153"/>
        <w:tab w:val="right" w:pos="8306"/>
      </w:tabs>
      <w:adjustRightInd w:val="0"/>
      <w:spacing w:after="20" w:line="240" w:lineRule="atLeast"/>
      <w:ind w:right="57" w:firstLine="420"/>
      <w:jc w:val="right"/>
      <w:textAlignment w:val="baseline"/>
    </w:pPr>
    <w:rPr>
      <w:rFonts w:eastAsia="Cambria Math"/>
      <w:kern w:val="0"/>
      <w:sz w:val="18"/>
      <w:szCs w:val="20"/>
    </w:rPr>
  </w:style>
  <w:style w:type="paragraph" w:customStyle="1" w:styleId="259">
    <w:name w:val="简介正文"/>
    <w:basedOn w:val="1"/>
    <w:qFormat/>
    <w:uiPriority w:val="0"/>
    <w:pPr>
      <w:numPr>
        <w:ilvl w:val="0"/>
        <w:numId w:val="7"/>
      </w:numPr>
      <w:adjustRightInd w:val="0"/>
      <w:spacing w:after="20" w:line="520" w:lineRule="exact"/>
      <w:ind w:left="1701" w:hanging="1701"/>
      <w:textAlignment w:val="baseline"/>
    </w:pPr>
    <w:rPr>
      <w:sz w:val="24"/>
      <w:szCs w:val="20"/>
    </w:rPr>
  </w:style>
  <w:style w:type="paragraph" w:customStyle="1" w:styleId="260">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kern w:val="0"/>
      <w:sz w:val="24"/>
    </w:rPr>
  </w:style>
  <w:style w:type="paragraph" w:customStyle="1" w:styleId="261">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b/>
      <w:bCs/>
      <w:kern w:val="0"/>
      <w:sz w:val="20"/>
      <w:szCs w:val="20"/>
    </w:rPr>
  </w:style>
  <w:style w:type="paragraph" w:customStyle="1" w:styleId="262">
    <w:name w:val="xl29"/>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新宋体" w:hAnsi="新宋体"/>
      <w:b/>
      <w:bCs/>
      <w:kern w:val="0"/>
      <w:sz w:val="20"/>
      <w:szCs w:val="20"/>
    </w:rPr>
  </w:style>
  <w:style w:type="paragraph" w:customStyle="1" w:styleId="263">
    <w:name w:val="表格"/>
    <w:basedOn w:val="1"/>
    <w:qFormat/>
    <w:uiPriority w:val="0"/>
    <w:pPr>
      <w:jc w:val="center"/>
    </w:pPr>
    <w:rPr>
      <w:szCs w:val="21"/>
    </w:rPr>
  </w:style>
  <w:style w:type="paragraph" w:customStyle="1" w:styleId="264">
    <w:name w:val="Char Char Char Char Char Char"/>
    <w:basedOn w:val="1"/>
    <w:qFormat/>
    <w:uiPriority w:val="0"/>
    <w:pPr>
      <w:widowControl/>
      <w:spacing w:after="160" w:line="240" w:lineRule="exact"/>
      <w:jc w:val="left"/>
    </w:pPr>
    <w:rPr>
      <w:rFonts w:ascii="仿宋" w:hAnsi="ˎ̥" w:eastAsia="仿宋"/>
      <w:kern w:val="0"/>
      <w:sz w:val="32"/>
      <w:szCs w:val="32"/>
    </w:rPr>
  </w:style>
  <w:style w:type="paragraph" w:customStyle="1" w:styleId="265">
    <w:name w:val="xl4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新宋体" w:hAnsi="新宋体"/>
      <w:kern w:val="0"/>
      <w:sz w:val="24"/>
    </w:rPr>
  </w:style>
  <w:style w:type="paragraph" w:customStyle="1" w:styleId="266">
    <w:name w:val="font0"/>
    <w:basedOn w:val="1"/>
    <w:qFormat/>
    <w:uiPriority w:val="0"/>
    <w:pPr>
      <w:widowControl/>
      <w:spacing w:before="100" w:beforeAutospacing="1" w:after="100" w:afterAutospacing="1"/>
      <w:jc w:val="left"/>
    </w:pPr>
    <w:rPr>
      <w:rFonts w:hint="eastAsia" w:ascii="新宋体" w:hAnsi="新宋体"/>
      <w:kern w:val="0"/>
      <w:sz w:val="18"/>
      <w:szCs w:val="18"/>
    </w:rPr>
  </w:style>
  <w:style w:type="paragraph" w:customStyle="1" w:styleId="267">
    <w:name w:val="样式2"/>
    <w:basedOn w:val="7"/>
    <w:qFormat/>
    <w:uiPriority w:val="0"/>
    <w:pPr>
      <w:spacing w:before="0" w:after="0"/>
      <w:ind w:firstLine="448" w:firstLineChars="200"/>
    </w:pPr>
    <w:rPr>
      <w:rFonts w:ascii="Tahoma" w:hAnsi="新宋体" w:eastAsia="新宋体"/>
      <w:color w:val="000000"/>
      <w:spacing w:val="-8"/>
      <w:sz w:val="24"/>
    </w:rPr>
  </w:style>
  <w:style w:type="paragraph" w:customStyle="1" w:styleId="268">
    <w:name w:val="列表_名词"/>
    <w:basedOn w:val="238"/>
    <w:qFormat/>
    <w:uiPriority w:val="0"/>
    <w:pPr>
      <w:tabs>
        <w:tab w:val="left" w:pos="2745"/>
      </w:tabs>
      <w:ind w:left="2745" w:hanging="420"/>
    </w:pPr>
  </w:style>
  <w:style w:type="paragraph" w:customStyle="1" w:styleId="269">
    <w:name w:val="text"/>
    <w:basedOn w:val="1"/>
    <w:qFormat/>
    <w:uiPriority w:val="0"/>
    <w:pPr>
      <w:widowControl/>
      <w:tabs>
        <w:tab w:val="left" w:pos="1020"/>
        <w:tab w:val="left" w:pos="1090"/>
      </w:tabs>
      <w:overflowPunct w:val="0"/>
      <w:autoSpaceDE w:val="0"/>
      <w:autoSpaceDN w:val="0"/>
      <w:adjustRightInd w:val="0"/>
      <w:spacing w:beforeLines="100" w:after="60" w:line="264" w:lineRule="auto"/>
      <w:ind w:left="1098" w:leftChars="522" w:hanging="2"/>
      <w:textAlignment w:val="baseline"/>
    </w:pPr>
    <w:rPr>
      <w:kern w:val="0"/>
      <w:sz w:val="24"/>
    </w:rPr>
  </w:style>
  <w:style w:type="paragraph" w:customStyle="1" w:styleId="270">
    <w:name w:val="列出段落1"/>
    <w:basedOn w:val="1"/>
    <w:qFormat/>
    <w:uiPriority w:val="34"/>
    <w:pPr>
      <w:ind w:firstLine="420" w:firstLineChars="200"/>
    </w:pPr>
    <w:rPr>
      <w:rFonts w:ascii="文鼎CS中宋" w:hAnsi="文鼎CS中宋"/>
      <w:color w:val="000000"/>
      <w:spacing w:val="-8"/>
      <w:szCs w:val="22"/>
    </w:rPr>
  </w:style>
  <w:style w:type="paragraph" w:customStyle="1" w:styleId="271">
    <w:name w:val="正文表标题"/>
    <w:next w:val="1"/>
    <w:qFormat/>
    <w:uiPriority w:val="0"/>
    <w:pPr>
      <w:tabs>
        <w:tab w:val="left" w:pos="42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272">
    <w:name w:val="回信地址"/>
    <w:basedOn w:val="1"/>
    <w:qFormat/>
    <w:uiPriority w:val="0"/>
    <w:pPr>
      <w:keepLines/>
      <w:widowControl/>
      <w:adjustRightInd w:val="0"/>
      <w:spacing w:after="20" w:line="200" w:lineRule="atLeast"/>
      <w:ind w:right="-120" w:firstLine="420"/>
      <w:jc w:val="left"/>
      <w:textAlignment w:val="baseline"/>
    </w:pPr>
    <w:rPr>
      <w:kern w:val="0"/>
      <w:sz w:val="16"/>
      <w:szCs w:val="20"/>
    </w:rPr>
  </w:style>
  <w:style w:type="paragraph" w:customStyle="1" w:styleId="273">
    <w:name w:val="xl38"/>
    <w:basedOn w:val="1"/>
    <w:qFormat/>
    <w:uiPriority w:val="0"/>
    <w:pPr>
      <w:widowControl/>
      <w:spacing w:before="100" w:beforeAutospacing="1" w:after="100" w:afterAutospacing="1"/>
      <w:jc w:val="center"/>
    </w:pPr>
    <w:rPr>
      <w:rFonts w:hint="eastAsia" w:ascii="仿宋_GB2312" w:hAnsi="新宋体" w:eastAsia="仿宋_GB2312"/>
      <w:b/>
      <w:bCs/>
      <w:kern w:val="0"/>
      <w:sz w:val="48"/>
      <w:szCs w:val="48"/>
    </w:rPr>
  </w:style>
  <w:style w:type="paragraph" w:customStyle="1" w:styleId="274">
    <w:name w:val="产品型号"/>
    <w:basedOn w:val="1"/>
    <w:qFormat/>
    <w:uiPriority w:val="0"/>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wordWrap w:val="0"/>
      <w:adjustRightInd w:val="0"/>
      <w:spacing w:beforeLines="50" w:after="20" w:line="0" w:lineRule="atLeast"/>
      <w:ind w:firstLine="420"/>
      <w:jc w:val="center"/>
      <w:textAlignment w:val="baseline"/>
    </w:pPr>
    <w:rPr>
      <w:rFonts w:ascii="新宋体" w:hAnsi="新宋体"/>
      <w:b/>
      <w:sz w:val="30"/>
      <w:szCs w:val="20"/>
    </w:rPr>
  </w:style>
  <w:style w:type="paragraph" w:styleId="275">
    <w:name w:val="List Paragraph"/>
    <w:basedOn w:val="1"/>
    <w:link w:val="276"/>
    <w:qFormat/>
    <w:uiPriority w:val="34"/>
    <w:pPr>
      <w:ind w:firstLine="420" w:firstLineChars="200"/>
    </w:pPr>
    <w:rPr>
      <w:rFonts w:ascii="文鼎CS中宋" w:hAnsi="文鼎CS中宋"/>
      <w:szCs w:val="22"/>
    </w:rPr>
  </w:style>
  <w:style w:type="character" w:customStyle="1" w:styleId="276">
    <w:name w:val="列出段落 Char"/>
    <w:link w:val="275"/>
    <w:qFormat/>
    <w:uiPriority w:val="99"/>
    <w:rPr>
      <w:rFonts w:ascii="文鼎CS中宋" w:hAnsi="文鼎CS中宋"/>
      <w:kern w:val="2"/>
      <w:sz w:val="21"/>
      <w:szCs w:val="22"/>
    </w:rPr>
  </w:style>
  <w:style w:type="paragraph" w:customStyle="1" w:styleId="277">
    <w:name w:val="xl41"/>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新宋体" w:hAnsi="新宋体"/>
      <w:b/>
      <w:bCs/>
      <w:kern w:val="0"/>
      <w:sz w:val="20"/>
      <w:szCs w:val="20"/>
    </w:rPr>
  </w:style>
  <w:style w:type="paragraph" w:customStyle="1" w:styleId="278">
    <w:name w:val="重点"/>
    <w:basedOn w:val="1"/>
    <w:qFormat/>
    <w:uiPriority w:val="0"/>
    <w:pPr>
      <w:shd w:val="pct10" w:color="auto" w:fill="auto"/>
      <w:adjustRightInd w:val="0"/>
      <w:spacing w:after="20" w:line="288" w:lineRule="auto"/>
      <w:ind w:firstLine="420"/>
      <w:textAlignment w:val="baseline"/>
    </w:pPr>
    <w:rPr>
      <w:rFonts w:eastAsia="仿宋"/>
      <w:b/>
    </w:rPr>
  </w:style>
  <w:style w:type="paragraph" w:customStyle="1" w:styleId="279">
    <w:name w:val="Table Text"/>
    <w:basedOn w:val="1"/>
    <w:qFormat/>
    <w:uiPriority w:val="0"/>
    <w:pPr>
      <w:spacing w:before="80" w:after="80"/>
    </w:pPr>
    <w:rPr>
      <w:snapToGrid w:val="0"/>
      <w:kern w:val="0"/>
    </w:rPr>
  </w:style>
  <w:style w:type="paragraph" w:customStyle="1" w:styleId="280">
    <w:name w:val="章标题"/>
    <w:next w:val="1"/>
    <w:qFormat/>
    <w:uiPriority w:val="0"/>
    <w:pPr>
      <w:numPr>
        <w:ilvl w:val="1"/>
        <w:numId w:val="8"/>
      </w:numPr>
      <w:spacing w:beforeLines="50" w:afterLines="50"/>
      <w:jc w:val="both"/>
      <w:outlineLvl w:val="1"/>
    </w:pPr>
    <w:rPr>
      <w:rFonts w:ascii="仿宋" w:hAnsi="Times New Roman" w:eastAsia="仿宋" w:cs="Times New Roman"/>
      <w:sz w:val="21"/>
      <w:lang w:val="en-US" w:eastAsia="zh-CN" w:bidi="ar-SA"/>
    </w:rPr>
  </w:style>
  <w:style w:type="paragraph" w:customStyle="1" w:styleId="281">
    <w:name w:val="Javis"/>
    <w:basedOn w:val="1"/>
    <w:qFormat/>
    <w:uiPriority w:val="0"/>
    <w:pPr>
      <w:ind w:right="210" w:rightChars="100"/>
    </w:pPr>
    <w:rPr>
      <w:rFonts w:cs="新宋体"/>
      <w:sz w:val="24"/>
      <w:szCs w:val="20"/>
    </w:rPr>
  </w:style>
  <w:style w:type="paragraph" w:customStyle="1" w:styleId="282">
    <w:name w:val="xl52"/>
    <w:basedOn w:val="1"/>
    <w:qFormat/>
    <w:uiPriority w:val="0"/>
    <w:pPr>
      <w:widowControl/>
      <w:pBdr>
        <w:bottom w:val="single" w:color="000000" w:sz="4" w:space="0"/>
      </w:pBdr>
      <w:spacing w:before="100" w:beforeAutospacing="1" w:after="100" w:afterAutospacing="1"/>
      <w:jc w:val="left"/>
      <w:textAlignment w:val="center"/>
    </w:pPr>
    <w:rPr>
      <w:rFonts w:hint="eastAsia" w:ascii="隶书" w:hAnsi="新宋体" w:eastAsia="隶书"/>
      <w:b/>
      <w:bCs/>
      <w:kern w:val="0"/>
      <w:sz w:val="24"/>
    </w:rPr>
  </w:style>
  <w:style w:type="paragraph" w:customStyle="1" w:styleId="283">
    <w:name w:val="图形"/>
    <w:basedOn w:val="1"/>
    <w:qFormat/>
    <w:uiPriority w:val="0"/>
    <w:pPr>
      <w:adjustRightInd w:val="0"/>
      <w:spacing w:after="20" w:line="288" w:lineRule="auto"/>
      <w:ind w:firstLine="420"/>
      <w:jc w:val="center"/>
      <w:textAlignment w:val="baseline"/>
    </w:pPr>
  </w:style>
  <w:style w:type="paragraph" w:customStyle="1" w:styleId="284">
    <w:name w:val="标准式样"/>
    <w:basedOn w:val="53"/>
    <w:qFormat/>
    <w:uiPriority w:val="0"/>
  </w:style>
  <w:style w:type="paragraph" w:customStyle="1" w:styleId="285">
    <w:name w:val="xl2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b/>
      <w:bCs/>
      <w:kern w:val="0"/>
      <w:sz w:val="20"/>
      <w:szCs w:val="20"/>
    </w:rPr>
  </w:style>
  <w:style w:type="paragraph" w:customStyle="1" w:styleId="286">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b/>
      <w:bCs/>
      <w:kern w:val="0"/>
      <w:sz w:val="20"/>
      <w:szCs w:val="20"/>
    </w:rPr>
  </w:style>
  <w:style w:type="paragraph" w:customStyle="1" w:styleId="287">
    <w:name w:val="p0"/>
    <w:basedOn w:val="1"/>
    <w:qFormat/>
    <w:uiPriority w:val="0"/>
    <w:pPr>
      <w:widowControl/>
    </w:pPr>
    <w:rPr>
      <w:kern w:val="0"/>
      <w:szCs w:val="20"/>
    </w:rPr>
  </w:style>
  <w:style w:type="paragraph" w:customStyle="1" w:styleId="288">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b/>
      <w:bCs/>
      <w:kern w:val="0"/>
      <w:sz w:val="20"/>
      <w:szCs w:val="20"/>
    </w:rPr>
  </w:style>
  <w:style w:type="paragraph" w:customStyle="1" w:styleId="289">
    <w:name w:val="并列项-点"/>
    <w:basedOn w:val="1"/>
    <w:qFormat/>
    <w:uiPriority w:val="0"/>
    <w:pPr>
      <w:widowControl/>
      <w:tabs>
        <w:tab w:val="left" w:pos="851"/>
        <w:tab w:val="left" w:pos="927"/>
      </w:tabs>
      <w:adjustRightInd w:val="0"/>
      <w:snapToGrid w:val="0"/>
      <w:spacing w:before="120" w:line="360" w:lineRule="auto"/>
      <w:ind w:left="851" w:hanging="284"/>
      <w:textAlignment w:val="baseline"/>
    </w:pPr>
    <w:rPr>
      <w:kern w:val="0"/>
      <w:sz w:val="24"/>
      <w:szCs w:val="20"/>
    </w:rPr>
  </w:style>
  <w:style w:type="paragraph" w:customStyle="1" w:styleId="290">
    <w:name w:val="样式 标题 2标题 2 Char Char + (西文) 仿宋_GB2312"/>
    <w:basedOn w:val="5"/>
    <w:qFormat/>
    <w:uiPriority w:val="0"/>
    <w:pPr>
      <w:numPr>
        <w:numId w:val="0"/>
      </w:numPr>
      <w:spacing w:before="120" w:after="120" w:line="500" w:lineRule="exact"/>
      <w:ind w:right="-226" w:rightChars="-94" w:firstLine="448" w:firstLineChars="200"/>
    </w:pPr>
    <w:rPr>
      <w:rFonts w:ascii="Cambria Math" w:hAnsi="Cambria Math"/>
      <w:color w:val="000000"/>
      <w:spacing w:val="-8"/>
      <w:sz w:val="28"/>
      <w:szCs w:val="28"/>
    </w:rPr>
  </w:style>
  <w:style w:type="paragraph" w:customStyle="1" w:styleId="291">
    <w:name w:val="列表2"/>
    <w:basedOn w:val="1"/>
    <w:qFormat/>
    <w:uiPriority w:val="0"/>
    <w:pPr>
      <w:tabs>
        <w:tab w:val="left" w:pos="1470"/>
      </w:tabs>
      <w:adjustRightInd w:val="0"/>
      <w:spacing w:after="20" w:line="288" w:lineRule="auto"/>
      <w:ind w:left="1469" w:hanging="420"/>
      <w:textAlignment w:val="baseline"/>
    </w:pPr>
  </w:style>
  <w:style w:type="paragraph" w:customStyle="1" w:styleId="29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93">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新宋体" w:hAnsi="新宋体"/>
      <w:b/>
      <w:bCs/>
      <w:kern w:val="0"/>
      <w:sz w:val="20"/>
      <w:szCs w:val="20"/>
    </w:rPr>
  </w:style>
  <w:style w:type="paragraph" w:customStyle="1" w:styleId="294">
    <w:name w:val="xl4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新宋体" w:hAnsi="新宋体"/>
      <w:kern w:val="0"/>
      <w:sz w:val="24"/>
    </w:rPr>
  </w:style>
  <w:style w:type="paragraph" w:customStyle="1" w:styleId="295">
    <w:name w:val="样式3"/>
    <w:basedOn w:val="34"/>
    <w:qFormat/>
    <w:uiPriority w:val="0"/>
    <w:pPr>
      <w:ind w:firstLine="448" w:firstLineChars="200"/>
    </w:pPr>
    <w:rPr>
      <w:rFonts w:cs="等线"/>
      <w:color w:val="000000"/>
      <w:spacing w:val="-8"/>
    </w:rPr>
  </w:style>
  <w:style w:type="paragraph" w:customStyle="1" w:styleId="296">
    <w:name w:val="标题2"/>
    <w:basedOn w:val="5"/>
    <w:next w:val="1"/>
    <w:qFormat/>
    <w:uiPriority w:val="0"/>
    <w:pPr>
      <w:numPr>
        <w:numId w:val="0"/>
      </w:numPr>
      <w:spacing w:before="120" w:after="120" w:line="360" w:lineRule="auto"/>
      <w:ind w:firstLine="448" w:firstLineChars="200"/>
      <w:jc w:val="left"/>
    </w:pPr>
    <w:rPr>
      <w:b w:val="0"/>
      <w:bCs w:val="0"/>
      <w:color w:val="000000"/>
      <w:spacing w:val="-8"/>
      <w:sz w:val="24"/>
      <w:szCs w:val="20"/>
    </w:rPr>
  </w:style>
  <w:style w:type="paragraph" w:customStyle="1" w:styleId="297">
    <w:name w:val="样式1"/>
    <w:basedOn w:val="8"/>
    <w:qFormat/>
    <w:uiPriority w:val="0"/>
    <w:pPr>
      <w:numPr>
        <w:numId w:val="0"/>
      </w:numPr>
      <w:ind w:firstLine="448" w:firstLineChars="200"/>
    </w:pPr>
    <w:rPr>
      <w:color w:val="000000"/>
      <w:spacing w:val="-8"/>
    </w:rPr>
  </w:style>
  <w:style w:type="paragraph" w:customStyle="1" w:styleId="298">
    <w:name w:val="Char Char Char Char Char Char Char"/>
    <w:basedOn w:val="1"/>
    <w:qFormat/>
    <w:uiPriority w:val="0"/>
    <w:pPr>
      <w:widowControl/>
      <w:spacing w:after="160" w:line="240" w:lineRule="exact"/>
      <w:jc w:val="left"/>
    </w:pPr>
    <w:rPr>
      <w:rFonts w:ascii="等线 Light" w:hAnsi="等线 Light" w:eastAsia="Tahoma" w:cs="ˎ̥"/>
      <w:b/>
      <w:kern w:val="0"/>
      <w:sz w:val="24"/>
      <w:lang w:eastAsia="en-US"/>
    </w:rPr>
  </w:style>
  <w:style w:type="paragraph" w:customStyle="1" w:styleId="29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kern w:val="0"/>
      <w:sz w:val="20"/>
      <w:szCs w:val="20"/>
    </w:rPr>
  </w:style>
  <w:style w:type="paragraph" w:customStyle="1" w:styleId="300">
    <w:name w:val="标题0"/>
    <w:basedOn w:val="63"/>
    <w:next w:val="63"/>
    <w:qFormat/>
    <w:uiPriority w:val="0"/>
    <w:rPr>
      <w:sz w:val="52"/>
    </w:rPr>
  </w:style>
  <w:style w:type="paragraph" w:customStyle="1" w:styleId="301">
    <w:name w:val="表格标题"/>
    <w:basedOn w:val="1"/>
    <w:qFormat/>
    <w:uiPriority w:val="0"/>
    <w:pPr>
      <w:adjustRightInd w:val="0"/>
      <w:spacing w:before="120" w:line="400" w:lineRule="exact"/>
      <w:jc w:val="center"/>
      <w:textAlignment w:val="baseline"/>
    </w:pPr>
    <w:rPr>
      <w:rFonts w:eastAsia="Cambria"/>
      <w:spacing w:val="8"/>
      <w:kern w:val="0"/>
      <w:sz w:val="24"/>
      <w:szCs w:val="20"/>
    </w:rPr>
  </w:style>
  <w:style w:type="paragraph" w:customStyle="1" w:styleId="302">
    <w:name w:val="二级条标题"/>
    <w:basedOn w:val="303"/>
    <w:next w:val="1"/>
    <w:qFormat/>
    <w:uiPriority w:val="0"/>
    <w:pPr>
      <w:spacing w:before="50" w:after="50"/>
      <w:outlineLvl w:val="3"/>
    </w:pPr>
  </w:style>
  <w:style w:type="paragraph" w:customStyle="1" w:styleId="303">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304">
    <w:name w:val="程序代码"/>
    <w:basedOn w:val="1"/>
    <w:qFormat/>
    <w:uiPriority w:val="0"/>
    <w:pPr>
      <w:adjustRightInd w:val="0"/>
      <w:spacing w:after="20" w:line="288" w:lineRule="auto"/>
      <w:ind w:left="839" w:firstLine="420"/>
      <w:textAlignment w:val="baseline"/>
    </w:pPr>
    <w:rPr>
      <w:rFonts w:eastAsia="Cambria Math"/>
    </w:rPr>
  </w:style>
  <w:style w:type="paragraph" w:customStyle="1" w:styleId="305">
    <w:name w:val="xl2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b/>
      <w:bCs/>
      <w:kern w:val="0"/>
      <w:sz w:val="20"/>
      <w:szCs w:val="20"/>
    </w:rPr>
  </w:style>
  <w:style w:type="paragraph" w:customStyle="1" w:styleId="306">
    <w:name w:val="样式一"/>
    <w:basedOn w:val="1"/>
    <w:qFormat/>
    <w:uiPriority w:val="0"/>
    <w:pPr>
      <w:numPr>
        <w:ilvl w:val="2"/>
        <w:numId w:val="1"/>
      </w:numPr>
      <w:autoSpaceDE w:val="0"/>
      <w:autoSpaceDN w:val="0"/>
      <w:adjustRightInd w:val="0"/>
      <w:spacing w:before="100" w:after="100" w:line="360" w:lineRule="exact"/>
      <w:textAlignment w:val="baseline"/>
    </w:pPr>
    <w:rPr>
      <w:rFonts w:ascii="新宋体" w:hAnsi="新宋体" w:eastAsia="仿宋"/>
      <w:kern w:val="0"/>
      <w:sz w:val="24"/>
      <w:szCs w:val="20"/>
      <w:lang w:val="en-GB"/>
    </w:rPr>
  </w:style>
  <w:style w:type="paragraph" w:customStyle="1" w:styleId="30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308">
    <w:name w:val="font10"/>
    <w:basedOn w:val="1"/>
    <w:qFormat/>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30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310">
    <w:name w:val="font13"/>
    <w:basedOn w:val="1"/>
    <w:qFormat/>
    <w:uiPriority w:val="0"/>
    <w:pPr>
      <w:widowControl/>
      <w:spacing w:before="100" w:beforeAutospacing="1" w:after="100" w:afterAutospacing="1"/>
      <w:jc w:val="left"/>
    </w:pPr>
    <w:rPr>
      <w:i/>
      <w:iCs/>
      <w:kern w:val="0"/>
      <w:sz w:val="36"/>
      <w:szCs w:val="36"/>
    </w:rPr>
  </w:style>
  <w:style w:type="paragraph" w:customStyle="1" w:styleId="311">
    <w:name w:val="font8"/>
    <w:basedOn w:val="1"/>
    <w:qFormat/>
    <w:uiPriority w:val="0"/>
    <w:pPr>
      <w:widowControl/>
      <w:spacing w:before="100" w:beforeAutospacing="1" w:after="100" w:afterAutospacing="1"/>
      <w:jc w:val="left"/>
    </w:pPr>
    <w:rPr>
      <w:rFonts w:hint="eastAsia" w:ascii="宋体" w:hAnsi="宋体"/>
      <w:b/>
      <w:bCs/>
      <w:i/>
      <w:iCs/>
      <w:kern w:val="0"/>
      <w:sz w:val="20"/>
      <w:szCs w:val="20"/>
    </w:rPr>
  </w:style>
  <w:style w:type="paragraph" w:customStyle="1" w:styleId="3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3">
    <w:name w:val="font9"/>
    <w:basedOn w:val="1"/>
    <w:qFormat/>
    <w:uiPriority w:val="0"/>
    <w:pPr>
      <w:widowControl/>
      <w:spacing w:before="100" w:beforeAutospacing="1" w:after="100" w:afterAutospacing="1"/>
      <w:jc w:val="left"/>
    </w:pPr>
    <w:rPr>
      <w:b/>
      <w:bCs/>
      <w:kern w:val="0"/>
      <w:sz w:val="20"/>
      <w:szCs w:val="20"/>
    </w:rPr>
  </w:style>
  <w:style w:type="paragraph" w:customStyle="1" w:styleId="314">
    <w:name w:val="_Style 1"/>
    <w:basedOn w:val="1"/>
    <w:qFormat/>
    <w:uiPriority w:val="34"/>
    <w:pPr>
      <w:ind w:firstLine="420" w:firstLineChars="200"/>
    </w:pPr>
    <w:rPr>
      <w:rFonts w:ascii="Calibri" w:hAnsi="Calibri"/>
      <w:szCs w:val="22"/>
    </w:rPr>
  </w:style>
  <w:style w:type="paragraph" w:customStyle="1" w:styleId="315">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316">
    <w:name w:val="题注4"/>
    <w:basedOn w:val="1"/>
    <w:next w:val="17"/>
    <w:qFormat/>
    <w:uiPriority w:val="0"/>
    <w:pPr>
      <w:jc w:val="center"/>
    </w:pPr>
    <w:rPr>
      <w:b/>
      <w:szCs w:val="21"/>
    </w:rPr>
  </w:style>
  <w:style w:type="paragraph" w:customStyle="1" w:styleId="317">
    <w:name w:val="Cap 层级 1"/>
    <w:qFormat/>
    <w:uiPriority w:val="0"/>
    <w:pPr>
      <w:numPr>
        <w:ilvl w:val="0"/>
        <w:numId w:val="9"/>
      </w:numPr>
      <w:tabs>
        <w:tab w:val="left" w:pos="780"/>
        <w:tab w:val="clear" w:pos="697"/>
      </w:tabs>
      <w:ind w:left="780" w:hanging="360"/>
    </w:pPr>
    <w:rPr>
      <w:rFonts w:ascii="Times New Roman" w:hAnsi="Times New Roman" w:eastAsia="宋体" w:cs="Times New Roman"/>
      <w:sz w:val="22"/>
      <w:szCs w:val="24"/>
      <w:lang w:val="en-US" w:eastAsia="en-CA" w:bidi="ar-SA"/>
    </w:rPr>
  </w:style>
  <w:style w:type="paragraph" w:customStyle="1" w:styleId="318">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319">
    <w:name w:val="font14"/>
    <w:basedOn w:val="1"/>
    <w:qFormat/>
    <w:uiPriority w:val="0"/>
    <w:pPr>
      <w:widowControl/>
      <w:spacing w:before="100" w:beforeAutospacing="1" w:after="100" w:afterAutospacing="1"/>
      <w:jc w:val="left"/>
    </w:pPr>
    <w:rPr>
      <w:kern w:val="0"/>
      <w:sz w:val="36"/>
      <w:szCs w:val="36"/>
    </w:rPr>
  </w:style>
  <w:style w:type="paragraph" w:customStyle="1" w:styleId="320">
    <w:name w:val="普通文字"/>
    <w:basedOn w:val="1"/>
    <w:next w:val="1"/>
    <w:qFormat/>
    <w:uiPriority w:val="0"/>
    <w:rPr>
      <w:rFonts w:ascii="宋体"/>
      <w:kern w:val="0"/>
      <w:sz w:val="24"/>
      <w:szCs w:val="20"/>
      <w:u w:color="000000"/>
    </w:rPr>
  </w:style>
  <w:style w:type="paragraph" w:customStyle="1" w:styleId="321">
    <w:name w:val="书籍标题4"/>
    <w:basedOn w:val="1"/>
    <w:next w:val="1"/>
    <w:qFormat/>
    <w:uiPriority w:val="0"/>
    <w:pPr>
      <w:tabs>
        <w:tab w:val="left" w:pos="1680"/>
      </w:tabs>
      <w:ind w:left="567"/>
      <w:jc w:val="left"/>
      <w:outlineLvl w:val="3"/>
    </w:pPr>
    <w:rPr>
      <w:b/>
      <w:bCs/>
      <w:spacing w:val="20"/>
      <w:sz w:val="24"/>
      <w:lang w:val="zh-CN"/>
    </w:rPr>
  </w:style>
  <w:style w:type="paragraph" w:customStyle="1" w:styleId="322">
    <w:name w:val="书籍标题1"/>
    <w:basedOn w:val="1"/>
    <w:next w:val="1"/>
    <w:qFormat/>
    <w:uiPriority w:val="0"/>
    <w:pPr>
      <w:pageBreakBefore/>
      <w:widowControl/>
      <w:numPr>
        <w:ilvl w:val="0"/>
        <w:numId w:val="10"/>
      </w:numPr>
      <w:tabs>
        <w:tab w:val="left" w:pos="2040"/>
        <w:tab w:val="clear" w:pos="425"/>
      </w:tabs>
      <w:spacing w:beforeLines="200" w:afterLines="200"/>
      <w:ind w:left="0" w:hanging="360"/>
      <w:jc w:val="center"/>
      <w:outlineLvl w:val="0"/>
    </w:pPr>
    <w:rPr>
      <w:rFonts w:eastAsia="黑体"/>
      <w:b/>
      <w:bCs/>
      <w:spacing w:val="20"/>
      <w:kern w:val="44"/>
      <w:sz w:val="44"/>
      <w:szCs w:val="20"/>
    </w:rPr>
  </w:style>
  <w:style w:type="paragraph" w:customStyle="1" w:styleId="323">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32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325">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26">
    <w:name w:val="正文1"/>
    <w:qFormat/>
    <w:uiPriority w:val="0"/>
    <w:rPr>
      <w:rFonts w:ascii="Helvetica" w:hAnsi="Helvetica" w:eastAsia="ヒラギノ角ゴ Pro W3" w:cs="Times New Roman"/>
      <w:color w:val="000000"/>
      <w:sz w:val="24"/>
      <w:lang w:val="en-US" w:eastAsia="zh-CN" w:bidi="ar-SA"/>
    </w:rPr>
  </w:style>
  <w:style w:type="paragraph" w:customStyle="1" w:styleId="32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328">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29">
    <w:name w:val="font12"/>
    <w:basedOn w:val="1"/>
    <w:qFormat/>
    <w:uiPriority w:val="0"/>
    <w:pPr>
      <w:widowControl/>
      <w:spacing w:before="100" w:beforeAutospacing="1" w:after="100" w:afterAutospacing="1"/>
      <w:jc w:val="left"/>
    </w:pPr>
    <w:rPr>
      <w:rFonts w:hint="eastAsia" w:ascii="宋体" w:hAnsi="宋体"/>
      <w:kern w:val="0"/>
      <w:sz w:val="36"/>
      <w:szCs w:val="36"/>
    </w:rPr>
  </w:style>
  <w:style w:type="paragraph" w:customStyle="1" w:styleId="330">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331">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32">
    <w:name w:val="题注3"/>
    <w:basedOn w:val="1"/>
    <w:next w:val="17"/>
    <w:qFormat/>
    <w:uiPriority w:val="0"/>
    <w:pPr>
      <w:ind w:left="-107" w:leftChars="-51" w:firstLine="1"/>
      <w:jc w:val="center"/>
    </w:pPr>
    <w:rPr>
      <w:rFonts w:eastAsia="华文中宋"/>
      <w:b/>
      <w:sz w:val="32"/>
    </w:rPr>
  </w:style>
  <w:style w:type="paragraph" w:customStyle="1" w:styleId="333">
    <w:name w:val="Char11"/>
    <w:basedOn w:val="1"/>
    <w:qFormat/>
    <w:uiPriority w:val="0"/>
    <w:rPr>
      <w:rFonts w:ascii="Tahoma" w:hAnsi="Tahoma"/>
      <w:sz w:val="24"/>
      <w:szCs w:val="20"/>
    </w:rPr>
  </w:style>
  <w:style w:type="paragraph" w:customStyle="1" w:styleId="334">
    <w:name w:val="题注5"/>
    <w:basedOn w:val="1"/>
    <w:next w:val="17"/>
    <w:qFormat/>
    <w:uiPriority w:val="0"/>
    <w:pPr>
      <w:spacing w:line="360" w:lineRule="auto"/>
      <w:ind w:left="180" w:hanging="180"/>
    </w:pPr>
    <w:rPr>
      <w:color w:val="FF0000"/>
    </w:rPr>
  </w:style>
  <w:style w:type="paragraph" w:customStyle="1" w:styleId="335">
    <w:name w:val="纯文本1"/>
    <w:basedOn w:val="1"/>
    <w:next w:val="1"/>
    <w:qFormat/>
    <w:uiPriority w:val="0"/>
    <w:pPr>
      <w:widowControl/>
      <w:jc w:val="left"/>
      <w:textAlignment w:val="baseline"/>
    </w:pPr>
    <w:rPr>
      <w:rFonts w:ascii="宋体"/>
      <w:color w:val="000000"/>
      <w:sz w:val="24"/>
      <w:szCs w:val="20"/>
    </w:rPr>
  </w:style>
  <w:style w:type="paragraph" w:customStyle="1" w:styleId="336">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37">
    <w:name w:val="默认段落字体 Para Char"/>
    <w:basedOn w:val="1"/>
    <w:qFormat/>
    <w:uiPriority w:val="0"/>
    <w:pPr>
      <w:numPr>
        <w:ilvl w:val="0"/>
        <w:numId w:val="11"/>
      </w:numPr>
      <w:tabs>
        <w:tab w:val="left" w:pos="420"/>
        <w:tab w:val="clear" w:pos="552"/>
      </w:tabs>
      <w:ind w:left="420"/>
    </w:pPr>
    <w:rPr>
      <w:sz w:val="24"/>
    </w:rPr>
  </w:style>
  <w:style w:type="paragraph" w:customStyle="1" w:styleId="338">
    <w:name w:val="题注6"/>
    <w:basedOn w:val="1"/>
    <w:next w:val="17"/>
    <w:qFormat/>
    <w:uiPriority w:val="0"/>
    <w:pPr>
      <w:ind w:left="632"/>
    </w:pPr>
    <w:rPr>
      <w:bCs/>
      <w:color w:val="FF0000"/>
      <w:lang w:val="en-GB"/>
    </w:rPr>
  </w:style>
  <w:style w:type="character" w:customStyle="1" w:styleId="339">
    <w:name w:val="fontstyle01"/>
    <w:qFormat/>
    <w:uiPriority w:val="0"/>
    <w:rPr>
      <w:rFonts w:hint="default" w:ascii="CIDFont+F1" w:hAnsi="CIDFont+F1"/>
      <w:color w:val="000000"/>
      <w:sz w:val="22"/>
      <w:szCs w:val="22"/>
    </w:rPr>
  </w:style>
  <w:style w:type="character" w:customStyle="1" w:styleId="340">
    <w:name w:val="脚注文本 Char1"/>
    <w:semiHidden/>
    <w:qFormat/>
    <w:uiPriority w:val="99"/>
    <w:rPr>
      <w:rFonts w:ascii="Times New Roman" w:hAnsi="Times New Roman" w:eastAsia="宋体" w:cs="Times New Roman"/>
      <w:sz w:val="18"/>
      <w:szCs w:val="18"/>
    </w:rPr>
  </w:style>
  <w:style w:type="character" w:customStyle="1" w:styleId="341">
    <w:name w:val="case31"/>
    <w:qFormat/>
    <w:uiPriority w:val="0"/>
    <w:rPr>
      <w:rFonts w:hint="default" w:ascii="_x000B__x000C_" w:hAnsi="_x000B__x000C_"/>
      <w:sz w:val="21"/>
      <w:szCs w:val="21"/>
    </w:rPr>
  </w:style>
  <w:style w:type="character" w:customStyle="1" w:styleId="342">
    <w:name w:val="页脚 Char1"/>
    <w:semiHidden/>
    <w:qFormat/>
    <w:uiPriority w:val="99"/>
    <w:rPr>
      <w:rFonts w:ascii="Times New Roman" w:hAnsi="Times New Roman" w:eastAsia="宋体" w:cs="Times New Roman"/>
      <w:sz w:val="18"/>
      <w:szCs w:val="18"/>
    </w:rPr>
  </w:style>
  <w:style w:type="paragraph" w:customStyle="1" w:styleId="343">
    <w:name w:val="WPSOffice手动目录 1"/>
    <w:qFormat/>
    <w:uiPriority w:val="0"/>
    <w:rPr>
      <w:rFonts w:ascii="Times New Roman" w:hAnsi="Times New Roman" w:eastAsia="宋体" w:cs="Times New Roman"/>
      <w:lang w:val="en-US" w:eastAsia="zh-CN" w:bidi="ar-SA"/>
    </w:rPr>
  </w:style>
  <w:style w:type="paragraph" w:customStyle="1" w:styleId="3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45">
    <w:name w:val="标题5"/>
    <w:qFormat/>
    <w:uiPriority w:val="0"/>
    <w:pPr>
      <w:widowControl w:val="0"/>
      <w:numPr>
        <w:ilvl w:val="0"/>
        <w:numId w:val="12"/>
      </w:numPr>
      <w:spacing w:before="100" w:beforeAutospacing="1" w:after="100" w:afterAutospacing="1"/>
      <w:jc w:val="both"/>
      <w:outlineLvl w:val="4"/>
    </w:pPr>
    <w:rPr>
      <w:rFonts w:ascii="Times New Roman" w:hAnsi="Times New Roman" w:eastAsia="宋体" w:cs="Times New Roman"/>
      <w:kern w:val="2"/>
      <w:sz w:val="21"/>
      <w:szCs w:val="24"/>
      <w:lang w:val="en-US" w:eastAsia="zh-CN" w:bidi="ar-SA"/>
    </w:rPr>
  </w:style>
  <w:style w:type="paragraph" w:customStyle="1" w:styleId="346">
    <w:name w:val="正文（首行缩进2字符）"/>
    <w:basedOn w:val="1"/>
    <w:qFormat/>
    <w:uiPriority w:val="0"/>
    <w:pPr>
      <w:spacing w:line="360" w:lineRule="auto"/>
      <w:ind w:firstLine="480" w:firstLineChars="200"/>
    </w:pPr>
    <w:rPr>
      <w:sz w:val="24"/>
      <w:szCs w:val="20"/>
    </w:rPr>
  </w:style>
  <w:style w:type="paragraph" w:customStyle="1" w:styleId="34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4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4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50">
    <w:name w:val="Body text|1"/>
    <w:qFormat/>
    <w:uiPriority w:val="0"/>
    <w:pPr>
      <w:widowControl w:val="0"/>
      <w:spacing w:line="360" w:lineRule="auto"/>
      <w:ind w:firstLine="400"/>
      <w:jc w:val="both"/>
    </w:pPr>
    <w:rPr>
      <w:rFonts w:ascii="宋体" w:hAnsi="宋体" w:eastAsia="宋体" w:cs="宋体"/>
      <w:kern w:val="2"/>
      <w:sz w:val="30"/>
      <w:szCs w:val="30"/>
      <w:lang w:val="zh-TW" w:eastAsia="zh-TW" w:bidi="zh-TW"/>
    </w:rPr>
  </w:style>
  <w:style w:type="paragraph" w:customStyle="1" w:styleId="351">
    <w:name w:val="Body text|2"/>
    <w:qFormat/>
    <w:uiPriority w:val="0"/>
    <w:pPr>
      <w:widowControl w:val="0"/>
      <w:ind w:hanging="1580"/>
      <w:jc w:val="both"/>
    </w:pPr>
    <w:rPr>
      <w:rFonts w:ascii="宋体" w:hAnsi="宋体" w:eastAsia="宋体" w:cs="宋体"/>
      <w:kern w:val="2"/>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94865-3784-4000-9D6D-C8942F5C5962}">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28925</Words>
  <Characters>30009</Characters>
  <Lines>239</Lines>
  <Paragraphs>67</Paragraphs>
  <TotalTime>1</TotalTime>
  <ScaleCrop>false</ScaleCrop>
  <LinksUpToDate>false</LinksUpToDate>
  <CharactersWithSpaces>32266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2024-06-13T03:30:00Z</dcterms:created>
  <dc:creator>大空翼</dc:creator>
  <cp:lastModifiedBy>T</cp:lastModifiedBy>
  <cp:lastPrinted>2020-07-24T05:33:00Z</cp:lastPrinted>
  <dcterms:modified xsi:type="dcterms:W3CDTF">2024-06-20T02:10:37Z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99E03EFBF98D41F59A883801796693D2_13</vt:lpwstr>
  </property>
  <property fmtid="{D5CDD505-2E9C-101B-9397-08002B2CF9AE}" pid="4" name="commondata">
    <vt:lpwstr>eyJoZGlkIjoiMzA2MDMyOWE5OTNlYTEzYTRjNzZiMzk4N2IzM2ZkZmYifQ==</vt:lpwstr>
  </property>
</Properties>
</file>