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0"/>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tbl>
      <w:tblPr>
        <w:tblStyle w:val="863"/>
        <w:tblW w:w="0" w:type="auto"/>
        <w:tblInd w:w="110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1842"/>
        <w:gridCol w:w="6096"/>
      </w:tblGrid>
      <w:tr>
        <w:trPr/>
        <w:tc>
          <w:tcPr>
            <w:tcW w:w="1842" w:type="dxa"/>
            <w:textDirection w:val="lrTb"/>
            <w:noWrap w:val="false"/>
          </w:tcPr>
          <w:p>
            <w:pPr>
              <w:jc w:val="left"/>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w:t>
            </w:r>
            <w:r/>
          </w:p>
        </w:tc>
        <w:tc>
          <w:tcPr>
            <w:tcW w:w="6096" w:type="dxa"/>
            <w:textDirection w:val="lrTb"/>
            <w:noWrap w:val="false"/>
          </w:tcPr>
          <w:p>
            <w:pPr>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连云港市城市生命线安全建设一期工程（城市基础设施安全运行智慧监管系统）</w:t>
            </w:r>
            <w:r/>
          </w:p>
        </w:tc>
      </w:tr>
      <w:tr>
        <w:trPr/>
        <w:tc>
          <w:tcPr>
            <w:tcW w:w="1842" w:type="dxa"/>
            <w:textDirection w:val="lrTb"/>
            <w:noWrap w:val="false"/>
          </w:tcPr>
          <w:p>
            <w:pPr>
              <w:jc w:val="left"/>
              <w:spacing w:line="480" w:lineRule="auto"/>
              <w:rPr>
                <w:rFonts w:ascii="Arial" w:hAnsi="Arial" w:eastAsia="宋体" w:cs="Times New Roman"/>
                <w:b/>
                <w:bCs/>
                <w:color w:val="000000"/>
                <w:sz w:val="32"/>
                <w:szCs w:val="24"/>
              </w:rPr>
            </w:pPr>
            <w:r>
              <w:rPr>
                <w:rFonts w:hint="eastAsia" w:ascii="Arial" w:hAnsi="Arial" w:eastAsia="宋体" w:cs="Times New Roman"/>
                <w:b/>
                <w:bCs/>
                <w:sz w:val="32"/>
                <w:szCs w:val="24"/>
              </w:rPr>
              <w:t xml:space="preserve">项目编号：</w:t>
            </w:r>
            <w:r/>
          </w:p>
        </w:tc>
        <w:tc>
          <w:tcPr>
            <w:tcW w:w="6096" w:type="dxa"/>
            <w:textDirection w:val="lrTb"/>
            <w:noWrap w:val="false"/>
          </w:tcPr>
          <w:p>
            <w:pPr>
              <w:jc w:val="left"/>
              <w:spacing w:line="480" w:lineRule="auto"/>
              <w:rPr>
                <w:rFonts w:ascii="Arial" w:hAnsi="Arial" w:eastAsia="宋体" w:cs="Times New Roman"/>
                <w:b/>
                <w:bCs/>
                <w:color w:val="000000"/>
                <w:sz w:val="32"/>
                <w:szCs w:val="24"/>
              </w:rPr>
            </w:pPr>
            <w:r>
              <w:rPr>
                <w:rFonts w:ascii="Arial" w:hAnsi="Arial" w:eastAsia="宋体" w:cs="Times New Roman"/>
                <w:b/>
                <w:bCs/>
                <w:sz w:val="32"/>
                <w:szCs w:val="24"/>
              </w:rPr>
              <w:t xml:space="preserve">JSZC-320700-JZCG-G2024-0175</w:t>
            </w:r>
            <w:r/>
          </w:p>
        </w:tc>
      </w:tr>
    </w:tbl>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rPr>
          <w:rFonts w:asciiTheme="minorEastAsia" w:hAnsiTheme="minorEastAsia"/>
          <w:sz w:val="24"/>
        </w:rPr>
      </w:pPr>
      <w:r>
        <w:rPr>
          <w:rFonts w:hint="eastAsia" w:ascii="Arial" w:hAnsi="Arial" w:eastAsia="宋体" w:cs="Times New Roman"/>
          <w:b/>
          <w:bCs/>
          <w:color w:val="000000"/>
          <w:sz w:val="32"/>
          <w:szCs w:val="24"/>
        </w:rPr>
        <w:t xml:space="preserve">2024</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rPr>
        <w:t xml:space="preserve">10</w:t>
      </w:r>
      <w:r>
        <w:rPr>
          <w:rFonts w:hint="eastAsia" w:ascii="Arial" w:hAnsi="Arial" w:eastAsia="宋体" w:cs="Times New Roman"/>
          <w:b/>
          <w:bCs/>
          <w:color w:val="000000"/>
          <w:sz w:val="32"/>
          <w:szCs w:val="24"/>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jc w:val="center"/>
        <w:keepLines/>
        <w:keepNext/>
        <w:spacing w:line="360" w:lineRule="auto"/>
        <w:rPr>
          <w:rFonts w:asciiTheme="minorEastAsia" w:hAnsiTheme="minorEastAsia"/>
          <w:bCs/>
          <w:sz w:val="44"/>
          <w:szCs w:val="44"/>
        </w:rPr>
        <w:outlineLvl w:val="0"/>
      </w:pPr>
      <w:r>
        <w:rPr>
          <w:rFonts w:hint="eastAsia" w:asciiTheme="minorEastAsia" w:hAnsiTheme="minorEastAsia"/>
          <w:bCs/>
          <w:sz w:val="44"/>
          <w:szCs w:val="44"/>
        </w:rPr>
        <w:t xml:space="preserve">目  录</w:t>
      </w:r>
      <w:r/>
    </w:p>
    <w:p>
      <w:pPr>
        <w:pStyle w:val="860"/>
        <w:rPr>
          <w:sz w:val="28"/>
        </w:rPr>
      </w:pPr>
      <w:r>
        <w:rPr>
          <w:sz w:val="28"/>
        </w:rPr>
      </w:r>
      <w:r/>
    </w:p>
    <w:p>
      <w:pPr>
        <w:pStyle w:val="860"/>
        <w:rPr>
          <w:sz w:val="28"/>
        </w:rPr>
      </w:pPr>
      <w:r>
        <w:rPr>
          <w:rFonts w:hint="eastAsia"/>
          <w:sz w:val="28"/>
        </w:rPr>
        <w:t xml:space="preserve">第一章</w:t>
      </w:r>
      <w:r>
        <w:rPr>
          <w:rFonts w:hint="eastAsia"/>
          <w:sz w:val="28"/>
        </w:rPr>
        <w:t xml:space="preserve">  </w:t>
      </w:r>
      <w:r>
        <w:rPr>
          <w:rFonts w:hint="eastAsia"/>
          <w:sz w:val="28"/>
        </w:rPr>
        <w:t xml:space="preserve">投标邀请</w:t>
      </w:r>
      <w:r>
        <w:rPr>
          <w:sz w:val="28"/>
        </w:rPr>
        <w:tab/>
      </w:r>
      <w:r>
        <w:rPr>
          <w:sz w:val="28"/>
        </w:rPr>
        <w:fldChar w:fldCharType="begin"/>
      </w:r>
      <w:r>
        <w:rPr>
          <w:sz w:val="28"/>
        </w:rPr>
        <w:instrText xml:space="preserve"> PAGEREF _Toc162361610 \h </w:instrText>
      </w:r>
      <w:r>
        <w:rPr>
          <w:sz w:val="28"/>
        </w:rPr>
        <w:fldChar w:fldCharType="separate"/>
      </w:r>
      <w:r>
        <w:rPr>
          <w:sz w:val="28"/>
        </w:rPr>
        <w:t xml:space="preserve">1</w:t>
      </w:r>
      <w:r>
        <w:rPr>
          <w:sz w:val="28"/>
        </w:rPr>
        <w:fldChar w:fldCharType="end"/>
      </w:r>
      <w:r/>
    </w:p>
    <w:p>
      <w:pPr>
        <w:pStyle w:val="860"/>
        <w:rPr>
          <w:sz w:val="28"/>
        </w:rPr>
      </w:pPr>
      <w:r>
        <w:rPr>
          <w:rFonts w:hint="eastAsia"/>
          <w:sz w:val="28"/>
        </w:rPr>
        <w:t xml:space="preserve">第二章</w:t>
      </w:r>
      <w:r>
        <w:rPr>
          <w:rFonts w:hint="eastAsia"/>
          <w:sz w:val="28"/>
        </w:rPr>
        <w:t xml:space="preserve">  </w:t>
      </w:r>
      <w:r>
        <w:rPr>
          <w:rFonts w:hint="eastAsia"/>
          <w:sz w:val="28"/>
        </w:rPr>
        <w:t xml:space="preserve">投标人须知</w:t>
      </w:r>
      <w:r>
        <w:rPr>
          <w:sz w:val="28"/>
        </w:rPr>
        <w:tab/>
      </w:r>
      <w:r>
        <w:rPr>
          <w:sz w:val="28"/>
        </w:rPr>
        <w:fldChar w:fldCharType="begin"/>
      </w:r>
      <w:r>
        <w:rPr>
          <w:sz w:val="28"/>
        </w:rPr>
        <w:instrText xml:space="preserve"> PAGEREF _Toc162361611 \h </w:instrText>
      </w:r>
      <w:r>
        <w:rPr>
          <w:sz w:val="28"/>
        </w:rPr>
        <w:fldChar w:fldCharType="separate"/>
      </w:r>
      <w:r>
        <w:rPr>
          <w:sz w:val="28"/>
        </w:rPr>
        <w:t xml:space="preserve">6</w:t>
      </w:r>
      <w:r>
        <w:rPr>
          <w:sz w:val="28"/>
        </w:rPr>
        <w:fldChar w:fldCharType="end"/>
      </w:r>
      <w:r/>
    </w:p>
    <w:p>
      <w:pPr>
        <w:pStyle w:val="860"/>
        <w:rPr>
          <w:sz w:val="28"/>
        </w:rPr>
      </w:pPr>
      <w:r>
        <w:rPr>
          <w:rFonts w:hint="eastAsia"/>
          <w:sz w:val="28"/>
        </w:rPr>
        <w:t xml:space="preserve">第三章</w:t>
      </w:r>
      <w:r>
        <w:rPr>
          <w:rFonts w:hint="eastAsia"/>
          <w:sz w:val="28"/>
        </w:rPr>
        <w:t xml:space="preserve">  </w:t>
      </w:r>
      <w:r>
        <w:rPr>
          <w:rFonts w:hint="eastAsia"/>
          <w:sz w:val="28"/>
        </w:rPr>
        <w:t xml:space="preserve">合同文本</w:t>
      </w:r>
      <w:r>
        <w:rPr>
          <w:sz w:val="28"/>
        </w:rPr>
        <w:tab/>
      </w:r>
      <w:r>
        <w:rPr>
          <w:sz w:val="28"/>
        </w:rPr>
        <w:fldChar w:fldCharType="begin"/>
      </w:r>
      <w:r>
        <w:rPr>
          <w:sz w:val="28"/>
        </w:rPr>
        <w:instrText xml:space="preserve"> PAGEREF _Toc162361612 \h </w:instrText>
      </w:r>
      <w:r>
        <w:rPr>
          <w:sz w:val="28"/>
        </w:rPr>
        <w:fldChar w:fldCharType="separate"/>
      </w:r>
      <w:r>
        <w:rPr>
          <w:sz w:val="28"/>
        </w:rPr>
        <w:t xml:space="preserve">21</w:t>
      </w:r>
      <w:r>
        <w:rPr>
          <w:sz w:val="28"/>
        </w:rPr>
        <w:fldChar w:fldCharType="end"/>
      </w:r>
      <w:r/>
    </w:p>
    <w:p>
      <w:pPr>
        <w:pStyle w:val="860"/>
        <w:rPr>
          <w:sz w:val="28"/>
        </w:rPr>
      </w:pPr>
      <w:r>
        <w:rPr>
          <w:rFonts w:hint="eastAsia"/>
          <w:sz w:val="28"/>
        </w:rPr>
        <w:t xml:space="preserve">第四章</w:t>
      </w:r>
      <w:r>
        <w:rPr>
          <w:rFonts w:hint="eastAsia"/>
          <w:sz w:val="28"/>
        </w:rPr>
        <w:t xml:space="preserve">  </w:t>
      </w:r>
      <w:r>
        <w:rPr>
          <w:rFonts w:hint="eastAsia"/>
          <w:sz w:val="28"/>
        </w:rPr>
        <w:t xml:space="preserve">采购需求</w:t>
      </w:r>
      <w:r>
        <w:rPr>
          <w:sz w:val="28"/>
        </w:rPr>
        <w:tab/>
      </w:r>
      <w:r>
        <w:rPr>
          <w:sz w:val="28"/>
        </w:rPr>
        <w:fldChar w:fldCharType="begin"/>
      </w:r>
      <w:r>
        <w:rPr>
          <w:sz w:val="28"/>
        </w:rPr>
        <w:instrText xml:space="preserve"> PAGEREF _Toc162361613 \h </w:instrText>
      </w:r>
      <w:r>
        <w:rPr>
          <w:sz w:val="28"/>
        </w:rPr>
        <w:fldChar w:fldCharType="separate"/>
      </w:r>
      <w:r>
        <w:rPr>
          <w:sz w:val="28"/>
        </w:rPr>
        <w:t xml:space="preserve">26</w:t>
      </w:r>
      <w:r>
        <w:rPr>
          <w:sz w:val="28"/>
        </w:rPr>
        <w:fldChar w:fldCharType="end"/>
      </w:r>
      <w:r/>
    </w:p>
    <w:p>
      <w:pPr>
        <w:pStyle w:val="860"/>
        <w:rPr>
          <w:sz w:val="28"/>
        </w:rPr>
      </w:pPr>
      <w:r>
        <w:rPr>
          <w:rFonts w:hint="eastAsia"/>
          <w:sz w:val="28"/>
        </w:rPr>
        <w:t xml:space="preserve">第五章</w:t>
      </w:r>
      <w:r>
        <w:rPr>
          <w:rFonts w:hint="eastAsia"/>
          <w:sz w:val="28"/>
        </w:rPr>
        <w:t xml:space="preserve">  </w:t>
      </w:r>
      <w:r>
        <w:rPr>
          <w:rFonts w:hint="eastAsia"/>
          <w:sz w:val="28"/>
        </w:rPr>
        <w:t xml:space="preserve">评标方法与评标标准</w:t>
      </w:r>
      <w:r>
        <w:rPr>
          <w:sz w:val="28"/>
        </w:rPr>
        <w:tab/>
      </w:r>
      <w:r>
        <w:rPr>
          <w:sz w:val="28"/>
        </w:rPr>
        <w:fldChar w:fldCharType="begin"/>
      </w:r>
      <w:r>
        <w:rPr>
          <w:sz w:val="28"/>
        </w:rPr>
        <w:instrText xml:space="preserve"> PAGEREF _Toc162361614 \h </w:instrText>
      </w:r>
      <w:r>
        <w:rPr>
          <w:sz w:val="28"/>
        </w:rPr>
        <w:fldChar w:fldCharType="separate"/>
      </w:r>
      <w:r>
        <w:rPr>
          <w:sz w:val="28"/>
        </w:rPr>
        <w:t xml:space="preserve">70</w:t>
      </w:r>
      <w:r>
        <w:rPr>
          <w:sz w:val="28"/>
        </w:rPr>
        <w:fldChar w:fldCharType="end"/>
      </w:r>
      <w:r/>
    </w:p>
    <w:p>
      <w:pPr>
        <w:pStyle w:val="860"/>
        <w:rPr>
          <w:sz w:val="28"/>
        </w:rPr>
      </w:pPr>
      <w:r>
        <w:rPr>
          <w:rFonts w:hint="eastAsia"/>
          <w:sz w:val="28"/>
        </w:rPr>
        <w:t xml:space="preserve">第六章</w:t>
      </w:r>
      <w:r>
        <w:rPr>
          <w:rFonts w:hint="eastAsia"/>
          <w:sz w:val="28"/>
        </w:rPr>
        <w:t xml:space="preserve">  </w:t>
      </w:r>
      <w:r>
        <w:rPr>
          <w:rFonts w:hint="eastAsia"/>
          <w:sz w:val="28"/>
        </w:rPr>
        <w:t xml:space="preserve">投标文件格式</w:t>
      </w:r>
      <w:r>
        <w:rPr>
          <w:sz w:val="28"/>
        </w:rPr>
        <w:tab/>
      </w:r>
      <w:r>
        <w:rPr>
          <w:sz w:val="28"/>
        </w:rPr>
        <w:fldChar w:fldCharType="begin"/>
      </w:r>
      <w:r>
        <w:rPr>
          <w:sz w:val="28"/>
        </w:rPr>
        <w:instrText xml:space="preserve"> PAGEREF _Toc162361615 \h </w:instrText>
      </w:r>
      <w:r>
        <w:rPr>
          <w:sz w:val="28"/>
        </w:rPr>
        <w:fldChar w:fldCharType="separate"/>
      </w:r>
      <w:r>
        <w:rPr>
          <w:sz w:val="28"/>
        </w:rPr>
        <w:t xml:space="preserve">76</w:t>
      </w:r>
      <w:r>
        <w:rPr>
          <w:sz w:val="28"/>
        </w:rPr>
        <w:fldChar w:fldCharType="end"/>
      </w:r>
      <w:r/>
    </w:p>
    <w:p>
      <w:pPr>
        <w:jc w:val="left"/>
        <w:spacing w:line="360" w:lineRule="auto"/>
        <w:widowControl/>
        <w:rPr>
          <w:rFonts w:asciiTheme="minorEastAsia" w:hAnsiTheme="minorEastAsia"/>
          <w:sz w:val="28"/>
        </w:rPr>
      </w:pPr>
      <w:r>
        <w:rPr>
          <w:rFonts w:asciiTheme="minorEastAsia" w:hAnsiTheme="minorEastAsia"/>
          <w:sz w:val="24"/>
        </w:rPr>
        <w:fldChar w:fldCharType="end"/>
      </w:r>
      <w:r>
        <w:rPr>
          <w:rFonts w:asciiTheme="minorEastAsia" w:hAnsiTheme="minorEastAsia"/>
          <w:sz w:val="28"/>
        </w:rPr>
        <w:br w:type="page" w:clear="all"/>
      </w:r>
      <w:r/>
    </w:p>
    <w:p>
      <w:pPr>
        <w:pStyle w:val="842"/>
        <w:jc w:val="center"/>
        <w:spacing w:line="360" w:lineRule="auto"/>
        <w:rPr>
          <w:rFonts w:ascii="黑体" w:hAnsi="黑体" w:eastAsia="黑体"/>
          <w:b w:val="0"/>
        </w:rPr>
        <w:sectPr>
          <w:footerReference w:type="default" r:id="rId9"/>
          <w:footnotePr/>
          <w:endnotePr/>
          <w:type w:val="nextPage"/>
          <w:pgSz w:w="11906" w:h="16838" w:orient="portrait"/>
          <w:pgMar w:top="1134" w:right="1134" w:bottom="1134" w:left="1134" w:header="851" w:footer="992" w:gutter="0"/>
          <w:cols w:num="1" w:sep="0" w:space="425" w:equalWidth="1"/>
          <w:docGrid w:linePitch="360"/>
        </w:sectPr>
      </w:pPr>
      <w:r>
        <w:rPr>
          <w:rFonts w:ascii="黑体" w:hAnsi="黑体" w:eastAsia="黑体"/>
          <w:b w:val="0"/>
        </w:rPr>
      </w:r>
      <w:r/>
    </w:p>
    <w:p>
      <w:pPr>
        <w:pStyle w:val="842"/>
        <w:jc w:val="center"/>
        <w:spacing w:line="360" w:lineRule="auto"/>
        <w:rPr>
          <w:rFonts w:ascii="黑体" w:hAnsi="黑体" w:eastAsia="黑体"/>
          <w:b w:val="0"/>
        </w:rPr>
      </w:pPr>
      <w:r/>
      <w:bookmarkStart w:id="0" w:name="_Toc162361610"/>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受连云港市住房和城乡建设局的委托，连云港市公共资源交易中心就连云港市城市生命线安全建设一期工程(城市基础设施安全运行智慧监管系统)（</w:t>
      </w:r>
      <w:r>
        <w:rPr>
          <w:rFonts w:hint="eastAsia" w:asciiTheme="minorEastAsia" w:hAnsiTheme="minorEastAsia"/>
          <w:sz w:val="24"/>
          <w:szCs w:val="24"/>
        </w:rPr>
        <w:t xml:space="preserve">项目编号：</w:t>
      </w:r>
      <w:r>
        <w:rPr>
          <w:rFonts w:asciiTheme="minorEastAsia" w:hAnsiTheme="minorEastAsia"/>
          <w:sz w:val="24"/>
          <w:szCs w:val="24"/>
        </w:rPr>
        <w:t xml:space="preserve">JSZC-320700-JZCG-G2024-0175</w:t>
      </w:r>
      <w:r>
        <w:rPr>
          <w:rFonts w:hint="eastAsia" w:asciiTheme="minorEastAsia" w:hAnsiTheme="minorEastAsia"/>
          <w:sz w:val="24"/>
          <w:szCs w:val="24"/>
        </w:rPr>
        <w:t xml:space="preserve">）项目进行公开招标采购，欢迎符合条件的供应商投标。</w:t>
      </w:r>
      <w:r/>
    </w:p>
    <w:tbl>
      <w:tblPr>
        <w:tblStyle w:val="863"/>
        <w:tblW w:w="0" w:type="auto"/>
        <w:tblLook w:val="04A0" w:firstRow="1" w:lastRow="0" w:firstColumn="1" w:lastColumn="0" w:noHBand="0" w:noVBand="1"/>
      </w:tblPr>
      <w:tblGrid>
        <w:gridCol w:w="9747"/>
      </w:tblGrid>
      <w:tr>
        <w:trPr/>
        <w:tc>
          <w:tcPr>
            <w:tcW w:w="9747"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hint="eastAsia" w:asciiTheme="minorEastAsia" w:hAnsiTheme="minorEastAsia"/>
                <w:b/>
                <w:sz w:val="24"/>
                <w:szCs w:val="24"/>
                <w:u w:val="single"/>
              </w:rPr>
              <w:t xml:space="preserve">连云港市城市生命线安全建设一期工程(城市基础设施安全运行智慧监管系统)</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u w:val="single"/>
              </w:rPr>
              <w:t xml:space="preserve">2024年11月13日10:30:00</w:t>
            </w:r>
            <w:r>
              <w:rPr>
                <w:rFonts w:hint="eastAsia" w:asciiTheme="minorEastAsia" w:hAnsiTheme="minorEastAsia"/>
                <w:sz w:val="24"/>
                <w:szCs w:val="24"/>
              </w:rPr>
              <w:t xml:space="preserve">（北京时间）前递交（上传）投标文件。</w:t>
            </w:r>
            <w:r/>
          </w:p>
        </w:tc>
      </w:tr>
    </w:tbl>
    <w:p>
      <w:pPr>
        <w:pStyle w:val="843"/>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一、项目基本情况</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项目编号：</w:t>
      </w:r>
      <w:r>
        <w:rPr>
          <w:rFonts w:asciiTheme="minorEastAsia" w:hAnsiTheme="minorEastAsia"/>
          <w:sz w:val="24"/>
          <w:szCs w:val="24"/>
        </w:rPr>
        <w:t xml:space="preserve">JSZC-320700-JZCG-G2024-0175</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项目名称：连云港市城市生命线安全建设一期工程(城市基础设施安全运行智慧监管系统)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spacing w:line="500" w:lineRule="exact"/>
        <w:rPr>
          <w:rFonts w:cs="Times New Roman" w:asciiTheme="minorEastAsia" w:hAnsiTheme="minorEastAsia"/>
          <w:color w:val="000000"/>
          <w:sz w:val="24"/>
          <w:szCs w:val="24"/>
        </w:rPr>
      </w:pPr>
      <w:r>
        <w:rPr>
          <w:rFonts w:hint="eastAsia" w:asciiTheme="minorEastAsia" w:hAnsiTheme="minorEastAsia"/>
          <w:sz w:val="24"/>
          <w:szCs w:val="24"/>
        </w:rPr>
        <w:t xml:space="preserve">预算金额：人民币3128万元，</w:t>
      </w:r>
      <w:r>
        <w:rPr>
          <w:rFonts w:hint="eastAsia" w:cs="Times New Roman" w:asciiTheme="minorEastAsia" w:hAnsiTheme="minorEastAsia"/>
          <w:color w:val="000000"/>
          <w:sz w:val="24"/>
          <w:szCs w:val="24"/>
        </w:rPr>
        <w:t xml:space="preserve">投标报价超过</w:t>
      </w:r>
      <w:r>
        <w:rPr>
          <w:rFonts w:hint="eastAsia" w:cs="Times New Roman" w:asciiTheme="minorEastAsia" w:hAnsiTheme="minorEastAsia"/>
          <w:bCs/>
          <w:color w:val="000000"/>
          <w:sz w:val="24"/>
          <w:szCs w:val="24"/>
        </w:rPr>
        <w:t xml:space="preserve">预算金额</w:t>
      </w:r>
      <w:r>
        <w:rPr>
          <w:rFonts w:hint="eastAsia" w:cs="Times New Roman" w:asciiTheme="minorEastAsia" w:hAnsiTheme="minorEastAsia"/>
          <w:color w:val="000000"/>
          <w:sz w:val="24"/>
          <w:szCs w:val="24"/>
        </w:rPr>
        <w:t xml:space="preserve">的投标无效。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采购需求：连云港市城市生命线安全建设一期工程(城市基础设施安全运行智慧监管系统 )，主要建设内容包括按照“综合监管+智慧监测”思路，整合、完善政府部门和企业监管系统，将管理制度、管理流程和管理要求以信息化的方式实现，将信息化建设与规范化管理进行一体化融合，在提升行业本质安全的基础上，结合重点区域设置监测感知设备进行动态监测，运用物联网、云计算，大数据等信息技术，建设城市生命线安全工程等，详细内容详见第四章采购需求。</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spacing w:line="500" w:lineRule="exact"/>
        <w:rPr>
          <w:rFonts w:ascii="宋体" w:hAnsi="宋体" w:eastAsia="宋体" w:cs="宋体"/>
          <w:sz w:val="24"/>
        </w:rPr>
      </w:pPr>
      <w:r>
        <w:rPr>
          <w:rFonts w:hint="eastAsia" w:asciiTheme="minorEastAsia" w:hAnsiTheme="minorEastAsia"/>
          <w:sz w:val="24"/>
          <w:szCs w:val="24"/>
        </w:rPr>
        <w:t xml:space="preserve">合同履行期限：</w:t>
      </w:r>
      <w:r>
        <w:rPr>
          <w:rFonts w:hint="eastAsia" w:ascii="宋体" w:hAnsi="宋体" w:eastAsia="宋体" w:cs="宋体"/>
          <w:sz w:val="24"/>
        </w:rPr>
        <w:t xml:space="preserve">自合同约定之日起12个月内完成一期建设。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本项目不接受联合体投标。</w:t>
      </w:r>
      <w:r/>
    </w:p>
    <w:p>
      <w:pPr>
        <w:pStyle w:val="843"/>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二、申请人的资格要求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根据连财购〔2023〕4号文件精神，2、3项可以提供《财务状况报告及税收、社会保障资金缴纳情况承诺函》，详见投标文件格式。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7.资格审查现场查询信用中国、中国政府采购网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（二）落实政府采购政策需满足的资格要求：</w:t>
      </w:r>
      <w:r/>
    </w:p>
    <w:p>
      <w:pPr>
        <w:ind w:firstLine="482"/>
        <w:spacing w:line="500" w:lineRule="exact"/>
        <w:rPr>
          <w:rFonts w:asciiTheme="minorEastAsia" w:hAnsiTheme="minorEastAsia"/>
          <w:b/>
          <w:color w:val="000000"/>
          <w:sz w:val="24"/>
          <w:szCs w:val="24"/>
          <w:shd w:val="clear" w:color="auto" w:fill="ffffff"/>
        </w:rPr>
      </w:pPr>
      <w:r>
        <w:rPr>
          <w:rFonts w:hint="eastAsia" w:asciiTheme="minorEastAsia" w:hAnsiTheme="minorEastAsia"/>
          <w:b/>
          <w:color w:val="000000"/>
          <w:sz w:val="24"/>
          <w:szCs w:val="24"/>
          <w:shd w:val="clear" w:color="auto" w:fill="ffffff"/>
        </w:rPr>
        <w:t xml:space="preserve">本项目属于预留部分份额专门面向中小微企业采购。对于预留份额，提供的货物或服务由符合政策要求的中小微企业制造或承接，具体符合条件的情形详见</w:t>
      </w:r>
      <w:r>
        <w:rPr>
          <w:rFonts w:hint="eastAsia" w:asciiTheme="minorEastAsia" w:hAnsiTheme="minorEastAsia"/>
          <w:b/>
          <w:sz w:val="24"/>
          <w:szCs w:val="24"/>
        </w:rPr>
        <w:t xml:space="preserve">《政府采购促进中小企业发展管理办法》</w:t>
      </w:r>
      <w:r>
        <w:rPr>
          <w:rFonts w:hint="eastAsia" w:asciiTheme="minorEastAsia" w:hAnsiTheme="minorEastAsia"/>
          <w:b/>
          <w:sz w:val="24"/>
          <w:szCs w:val="24"/>
        </w:rPr>
        <w:t xml:space="preserve">。</w:t>
      </w:r>
      <w:r>
        <w:rPr>
          <w:rFonts w:hint="eastAsia" w:asciiTheme="minorEastAsia" w:hAnsiTheme="minorEastAsia"/>
          <w:b/>
          <w:color w:val="000000"/>
          <w:sz w:val="24"/>
          <w:szCs w:val="24"/>
          <w:shd w:val="clear" w:color="auto" w:fill="ffffff"/>
        </w:rPr>
        <w:t xml:space="preserve">预留份额通过以下措施进行,投标人可选择以下其中任意一种方式参与： </w:t>
      </w:r>
      <w:r/>
    </w:p>
    <w:p>
      <w:pPr>
        <w:ind w:firstLine="482"/>
        <w:spacing w:line="500" w:lineRule="exact"/>
        <w:rPr>
          <w:rFonts w:asciiTheme="minorEastAsia" w:hAnsiTheme="minorEastAsia"/>
          <w:b/>
          <w:color w:val="000000"/>
          <w:sz w:val="24"/>
          <w:szCs w:val="24"/>
          <w:shd w:val="clear" w:color="auto" w:fill="ffffff"/>
        </w:rPr>
      </w:pPr>
      <w:r>
        <w:rPr>
          <w:rFonts w:hint="eastAsia" w:asciiTheme="minorEastAsia" w:hAnsiTheme="minorEastAsia"/>
          <w:b/>
          <w:color w:val="000000"/>
          <w:sz w:val="24"/>
          <w:szCs w:val="24"/>
          <w:shd w:val="clear" w:color="auto" w:fill="ffffff"/>
        </w:rPr>
        <w:t xml:space="preserve">1.投标人不属于中小微企业的，必须将本项目合同分包给一家或者多家中小微企业，中小微企业承担的合同份额占合同金额的比例不低于40%（其中预留给小微企业的部分不低于60%），接受分包合同的中小微企业与分包企业之间不得存在直接控股、管理关系。（投标文件中同时提供：1.符合上述比例的《分包意向协议书》；2.接受分包的中小微企业</w:t>
      </w:r>
      <w:r>
        <w:rPr>
          <w:rFonts w:hint="eastAsia" w:asciiTheme="minorEastAsia" w:hAnsiTheme="minorEastAsia"/>
          <w:b/>
          <w:color w:val="000000"/>
          <w:sz w:val="24"/>
          <w:szCs w:val="24"/>
          <w:shd w:val="clear" w:color="auto" w:fill="ffffff"/>
        </w:rPr>
        <w:t xml:space="preserve">须同时</w:t>
      </w:r>
      <w:r>
        <w:rPr>
          <w:rFonts w:hint="eastAsia" w:asciiTheme="minorEastAsia" w:hAnsiTheme="minorEastAsia"/>
          <w:b/>
          <w:color w:val="000000"/>
          <w:sz w:val="24"/>
          <w:szCs w:val="24"/>
          <w:shd w:val="clear" w:color="auto" w:fill="ffffff"/>
        </w:rPr>
        <w:t xml:space="preserve">提供《中小企业声明函》</w:t>
      </w:r>
      <w:r>
        <w:rPr>
          <w:rFonts w:hint="eastAsia"/>
          <w:b/>
          <w:sz w:val="24"/>
          <w:szCs w:val="24"/>
        </w:rPr>
        <w:t xml:space="preserve">或《残疾人福利性单位声明函》或属于监狱企业的证明文件，否则投标无效）</w:t>
      </w:r>
      <w:r/>
    </w:p>
    <w:p>
      <w:pPr>
        <w:ind w:firstLine="482"/>
        <w:spacing w:line="500" w:lineRule="exact"/>
        <w:rPr>
          <w:rFonts w:asciiTheme="minorEastAsia" w:hAnsiTheme="minorEastAsia"/>
          <w:b/>
          <w:color w:val="000000"/>
          <w:sz w:val="24"/>
          <w:szCs w:val="24"/>
          <w:shd w:val="clear" w:color="auto" w:fill="ffffff"/>
        </w:rPr>
      </w:pPr>
      <w:r>
        <w:rPr>
          <w:rFonts w:hint="eastAsia" w:asciiTheme="minorEastAsia" w:hAnsiTheme="minorEastAsia"/>
          <w:b/>
          <w:color w:val="000000"/>
          <w:sz w:val="24"/>
          <w:szCs w:val="24"/>
          <w:shd w:val="clear" w:color="auto" w:fill="ffffff"/>
        </w:rPr>
        <w:t xml:space="preserve">2.投标人属于中型企业的，必须将本项目合同分包给一家或者多家小微企业，小微企业承担的份额不低于合同金额的60%，接受分包合同的小微企业与分包企业之间不得存在直接控股、管理关系。（投标文件中同时提供：1.符合上述比例的《分包意向协议书》；2.分包企业与接受分包的小微企业须同时提供《中小企业声明函》</w:t>
      </w:r>
      <w:r>
        <w:rPr>
          <w:rFonts w:hint="eastAsia"/>
          <w:b/>
          <w:sz w:val="24"/>
          <w:szCs w:val="24"/>
        </w:rPr>
        <w:t xml:space="preserve">或《残疾人福利性单位声明函》或属于监狱企业的证明文件，否则投标无效</w:t>
      </w:r>
      <w:r>
        <w:rPr>
          <w:rFonts w:hint="eastAsia" w:asciiTheme="minorEastAsia" w:hAnsiTheme="minorEastAsia"/>
          <w:b/>
          <w:color w:val="000000"/>
          <w:sz w:val="24"/>
          <w:szCs w:val="24"/>
          <w:shd w:val="clear" w:color="auto" w:fill="ffffff"/>
        </w:rPr>
        <w:t xml:space="preserve">）</w:t>
      </w:r>
      <w:r/>
    </w:p>
    <w:p>
      <w:pPr>
        <w:ind w:firstLine="482"/>
        <w:spacing w:line="500" w:lineRule="exact"/>
        <w:rPr>
          <w:rFonts w:asciiTheme="minorEastAsia" w:hAnsiTheme="minorEastAsia"/>
          <w:b/>
          <w:color w:val="000000"/>
          <w:sz w:val="24"/>
          <w:szCs w:val="24"/>
          <w:shd w:val="clear" w:color="auto" w:fill="ffffff"/>
        </w:rPr>
      </w:pPr>
      <w:r>
        <w:rPr>
          <w:rFonts w:hint="eastAsia" w:asciiTheme="minorEastAsia" w:hAnsiTheme="minorEastAsia"/>
          <w:b/>
          <w:color w:val="000000"/>
          <w:sz w:val="24"/>
          <w:szCs w:val="24"/>
          <w:shd w:val="clear" w:color="auto" w:fill="ffffff"/>
        </w:rPr>
        <w:t xml:space="preserve">3.投标人属于小微企业的，是否采取分包不作强制要求。</w:t>
      </w:r>
      <w:r/>
    </w:p>
    <w:p>
      <w:pPr>
        <w:ind w:firstLine="482"/>
        <w:spacing w:line="500" w:lineRule="exact"/>
        <w:rPr>
          <w:rFonts w:asciiTheme="minorEastAsia" w:hAnsiTheme="minorEastAsia"/>
          <w:b/>
          <w:color w:val="000000"/>
          <w:sz w:val="24"/>
          <w:szCs w:val="24"/>
          <w:shd w:val="clear" w:color="auto" w:fill="ffffff"/>
        </w:rPr>
      </w:pPr>
      <w:r>
        <w:rPr>
          <w:rFonts w:hint="eastAsia" w:asciiTheme="minorEastAsia" w:hAnsiTheme="minorEastAsia"/>
          <w:b/>
          <w:color w:val="000000"/>
          <w:sz w:val="24"/>
          <w:szCs w:val="24"/>
          <w:shd w:val="clear" w:color="auto" w:fill="ffffff"/>
        </w:rPr>
        <w:t xml:space="preserve">3.1如不分包，投标文件中</w:t>
      </w:r>
      <w:r>
        <w:rPr>
          <w:rFonts w:hint="eastAsia" w:asciiTheme="minorEastAsia" w:hAnsiTheme="minorEastAsia"/>
          <w:b/>
          <w:color w:val="000000"/>
          <w:sz w:val="24"/>
          <w:szCs w:val="24"/>
          <w:shd w:val="clear" w:color="auto" w:fill="ffffff"/>
        </w:rPr>
        <w:t xml:space="preserve">须</w:t>
      </w:r>
      <w:r>
        <w:rPr>
          <w:rFonts w:hint="eastAsia" w:asciiTheme="minorEastAsia" w:hAnsiTheme="minorEastAsia"/>
          <w:b/>
          <w:color w:val="000000"/>
          <w:sz w:val="24"/>
          <w:szCs w:val="24"/>
          <w:shd w:val="clear" w:color="auto" w:fill="ffffff"/>
        </w:rPr>
        <w:t xml:space="preserve">提供《中小企业声明函》</w:t>
      </w:r>
      <w:r>
        <w:rPr>
          <w:rFonts w:hint="eastAsia"/>
          <w:b/>
          <w:sz w:val="24"/>
          <w:szCs w:val="24"/>
        </w:rPr>
        <w:t xml:space="preserve">或《残疾人福利性单位声明函》或属于监狱企业的证明文件，否则投标无效</w:t>
      </w:r>
      <w:r>
        <w:rPr>
          <w:rFonts w:hint="eastAsia" w:asciiTheme="minorEastAsia" w:hAnsiTheme="minorEastAsia"/>
          <w:b/>
          <w:color w:val="000000"/>
          <w:sz w:val="24"/>
          <w:szCs w:val="24"/>
          <w:shd w:val="clear" w:color="auto" w:fill="ffffff"/>
        </w:rPr>
        <w:t xml:space="preserve">。</w:t>
      </w:r>
      <w:r/>
    </w:p>
    <w:p>
      <w:pPr>
        <w:ind w:firstLine="482"/>
        <w:spacing w:line="500" w:lineRule="exact"/>
        <w:rPr>
          <w:rFonts w:asciiTheme="minorEastAsia" w:hAnsiTheme="minorEastAsia"/>
          <w:b/>
          <w:color w:val="000000"/>
          <w:sz w:val="24"/>
          <w:szCs w:val="24"/>
          <w:shd w:val="clear" w:color="auto" w:fill="ffffff"/>
        </w:rPr>
      </w:pPr>
      <w:r>
        <w:rPr>
          <w:rFonts w:hint="eastAsia" w:asciiTheme="minorEastAsia" w:hAnsiTheme="minorEastAsia"/>
          <w:b/>
          <w:color w:val="000000"/>
          <w:sz w:val="24"/>
          <w:szCs w:val="24"/>
          <w:shd w:val="clear" w:color="auto" w:fill="ffffff"/>
        </w:rPr>
        <w:t xml:space="preserve">3.2如采取合同分包，则只能分包给小微企业。接受分包合同的小微企业与分包企业之间不得存在直接控股、管理关系。（投标文件中同时提供：1.《分包意向协议书》；2.分包企业与接受分包的小微企业须同时提供《中小企业声明函》</w:t>
      </w:r>
      <w:r>
        <w:rPr>
          <w:rFonts w:hint="eastAsia"/>
          <w:b/>
          <w:sz w:val="24"/>
          <w:szCs w:val="24"/>
        </w:rPr>
        <w:t xml:space="preserve">或《残疾人福利性单位声明函》或</w:t>
      </w:r>
      <w:r>
        <w:rPr>
          <w:rFonts w:hint="eastAsia" w:asciiTheme="minorEastAsia" w:hAnsiTheme="minorEastAsia"/>
          <w:b/>
          <w:color w:val="000000"/>
          <w:sz w:val="24"/>
          <w:szCs w:val="24"/>
          <w:shd w:val="clear" w:color="auto" w:fill="ffffff"/>
        </w:rPr>
        <w:t xml:space="preserve">属于监狱企业的证明文件，否则投标无效）</w:t>
      </w:r>
      <w:r/>
    </w:p>
    <w:p>
      <w:pPr>
        <w:ind w:firstLine="482"/>
        <w:spacing w:line="360" w:lineRule="auto"/>
        <w:rPr>
          <w:rFonts w:asciiTheme="minorEastAsia" w:hAnsiTheme="minorEastAsia"/>
          <w:b/>
          <w:color w:val="000000"/>
          <w:sz w:val="24"/>
          <w:szCs w:val="24"/>
          <w:shd w:val="clear" w:color="auto" w:fill="ffffff"/>
        </w:rPr>
      </w:pPr>
      <w:r>
        <w:rPr>
          <w:rFonts w:hint="eastAsia" w:asciiTheme="minorEastAsia" w:hAnsiTheme="minorEastAsia"/>
          <w:b/>
          <w:color w:val="000000"/>
          <w:sz w:val="24"/>
          <w:szCs w:val="24"/>
          <w:shd w:val="clear" w:color="auto" w:fill="ffffff"/>
        </w:rPr>
        <w:t xml:space="preserve">注：</w:t>
      </w:r>
      <w:r/>
    </w:p>
    <w:p>
      <w:pPr>
        <w:pStyle w:val="855"/>
        <w:ind w:firstLine="472"/>
        <w:spacing w:line="360" w:lineRule="auto"/>
        <w:rPr>
          <w:rFonts w:asciiTheme="minorEastAsia" w:hAnsiTheme="minorEastAsia" w:eastAsiaTheme="minorEastAsia" w:cstheme="minorBidi"/>
          <w:b/>
          <w:color w:val="000000"/>
          <w:sz w:val="24"/>
          <w:szCs w:val="24"/>
          <w:shd w:val="clear" w:color="auto" w:fill="ffffff"/>
        </w:rPr>
      </w:pPr>
      <w:r>
        <w:rPr>
          <w:rFonts w:hint="eastAsia" w:asciiTheme="minorEastAsia" w:hAnsiTheme="minorEastAsia" w:eastAsiaTheme="minorEastAsia" w:cstheme="minorBidi"/>
          <w:b/>
          <w:color w:val="000000"/>
          <w:sz w:val="24"/>
          <w:szCs w:val="24"/>
          <w:shd w:val="clear" w:color="auto" w:fill="ffffff"/>
        </w:rPr>
        <w:t xml:space="preserve">1.本项目</w:t>
      </w:r>
      <w:r>
        <w:rPr>
          <w:rFonts w:hint="eastAsia" w:asciiTheme="minorEastAsia" w:hAnsiTheme="minorEastAsia" w:eastAsiaTheme="minorEastAsia" w:cstheme="minorBidi"/>
          <w:b/>
          <w:color w:val="000000"/>
          <w:sz w:val="24"/>
          <w:szCs w:val="24"/>
          <w:shd w:val="clear" w:color="auto" w:fill="ffffff"/>
        </w:rPr>
        <w:t xml:space="preserve">分包企业</w:t>
      </w:r>
      <w:r>
        <w:rPr>
          <w:rFonts w:hint="eastAsia" w:asciiTheme="minorEastAsia" w:hAnsiTheme="minorEastAsia" w:eastAsiaTheme="minorEastAsia" w:cstheme="minorBidi"/>
          <w:b/>
          <w:color w:val="000000"/>
          <w:sz w:val="24"/>
          <w:szCs w:val="24"/>
          <w:shd w:val="clear" w:color="auto" w:fill="ffffff"/>
        </w:rPr>
        <w:t xml:space="preserve">指</w:t>
      </w:r>
      <w:r>
        <w:rPr>
          <w:rFonts w:hint="eastAsia" w:asciiTheme="minorEastAsia" w:hAnsiTheme="minorEastAsia" w:eastAsiaTheme="minorEastAsia" w:cstheme="minorBidi"/>
          <w:b/>
          <w:color w:val="000000"/>
          <w:sz w:val="24"/>
          <w:szCs w:val="24"/>
          <w:shd w:val="clear" w:color="auto" w:fill="ffffff"/>
        </w:rPr>
        <w:t xml:space="preserve">投标人。证明材料</w:t>
      </w:r>
      <w:r>
        <w:rPr>
          <w:rFonts w:hint="eastAsia" w:asciiTheme="minorEastAsia" w:hAnsiTheme="minorEastAsia" w:eastAsiaTheme="minorEastAsia" w:cstheme="minorBidi"/>
          <w:b/>
          <w:color w:val="000000"/>
          <w:sz w:val="24"/>
          <w:szCs w:val="24"/>
          <w:shd w:val="clear" w:color="auto" w:fill="ffffff"/>
        </w:rPr>
        <w:t xml:space="preserve">《分包意向协议书》详见第六章 投标文件格式 十三；《中小企业声明函》或《残疾人福利性单位声明函》详见第六章 投标文件格式 十一、格式十二。</w:t>
      </w:r>
      <w:r/>
    </w:p>
    <w:p>
      <w:pPr>
        <w:ind w:firstLine="482"/>
        <w:spacing w:line="360" w:lineRule="auto"/>
        <w:rPr>
          <w:rFonts w:asciiTheme="minorEastAsia" w:hAnsiTheme="minorEastAsia"/>
          <w:b/>
          <w:sz w:val="24"/>
          <w:szCs w:val="24"/>
        </w:rPr>
      </w:pPr>
      <w:r>
        <w:rPr>
          <w:rFonts w:hint="eastAsia" w:asciiTheme="minorEastAsia" w:hAnsiTheme="minorEastAsia"/>
          <w:b/>
          <w:color w:val="000000"/>
          <w:sz w:val="24"/>
          <w:szCs w:val="24"/>
          <w:shd w:val="clear" w:color="auto" w:fill="ffffff"/>
        </w:rPr>
        <w:t xml:space="preserve">2.</w:t>
      </w:r>
      <w:r>
        <w:rPr>
          <w:rFonts w:hint="eastAsia" w:asciiTheme="minorEastAsia" w:hAnsiTheme="minorEastAsia"/>
          <w:b/>
          <w:color w:val="000000"/>
          <w:sz w:val="24"/>
          <w:szCs w:val="24"/>
          <w:shd w:val="clear" w:color="auto" w:fill="ffffff"/>
        </w:rPr>
        <w:t xml:space="preserve">本项目</w:t>
      </w:r>
      <w:r>
        <w:rPr>
          <w:rFonts w:hint="eastAsia" w:asciiTheme="minorEastAsia" w:hAnsiTheme="minorEastAsia"/>
          <w:b/>
          <w:color w:val="000000"/>
          <w:sz w:val="24"/>
          <w:szCs w:val="24"/>
          <w:shd w:val="clear" w:color="auto" w:fill="ffffff"/>
        </w:rPr>
        <w:t xml:space="preserve">接受分包的具体服务内容详见第六章 投标文件格式 </w:t>
      </w:r>
      <w:r>
        <w:rPr>
          <w:rFonts w:hint="eastAsia" w:asciiTheme="minorEastAsia" w:hAnsiTheme="minorEastAsia"/>
          <w:b/>
          <w:sz w:val="24"/>
          <w:szCs w:val="24"/>
        </w:rPr>
        <w:t xml:space="preserve">十四、投标分项报价表。</w:t>
      </w:r>
      <w:r/>
    </w:p>
    <w:p>
      <w:pPr>
        <w:pStyle w:val="855"/>
        <w:ind w:firstLine="472"/>
        <w:spacing w:line="360" w:lineRule="auto"/>
        <w:rPr>
          <w:rFonts w:asciiTheme="majorEastAsia" w:hAnsiTheme="majorEastAsia" w:eastAsiaTheme="majorEastAsia"/>
          <w:b/>
          <w:sz w:val="24"/>
          <w:szCs w:val="24"/>
        </w:rPr>
      </w:pPr>
      <w:r>
        <w:rPr>
          <w:rFonts w:hint="eastAsia" w:asciiTheme="minorEastAsia" w:hAnsiTheme="minorEastAsia"/>
          <w:b/>
          <w:color w:val="000000"/>
          <w:sz w:val="24"/>
          <w:szCs w:val="24"/>
          <w:shd w:val="clear" w:color="auto" w:fill="ffffff"/>
        </w:rPr>
        <w:t xml:space="preserve">3.上述中小</w:t>
      </w:r>
      <w:r>
        <w:rPr>
          <w:rFonts w:hint="eastAsia" w:asciiTheme="minorEastAsia" w:hAnsiTheme="minorEastAsia"/>
          <w:b/>
          <w:color w:val="000000"/>
          <w:sz w:val="24"/>
          <w:szCs w:val="24"/>
          <w:shd w:val="clear" w:color="auto" w:fill="ffffff"/>
        </w:rPr>
        <w:t xml:space="preserve">微</w:t>
      </w:r>
      <w:r>
        <w:rPr>
          <w:rFonts w:hint="eastAsia" w:asciiTheme="minorEastAsia" w:hAnsiTheme="minorEastAsia"/>
          <w:b/>
          <w:color w:val="000000"/>
          <w:sz w:val="24"/>
          <w:szCs w:val="24"/>
          <w:shd w:val="clear" w:color="auto" w:fill="ffffff"/>
        </w:rPr>
        <w:t xml:space="preserve">企业应符合本项目采购标的对应的行业（软件和信息技术服务业）的政策划分标准，以提供的《中小企业声明函》为判定标准，残疾人福利性单</w:t>
      </w:r>
      <w:r>
        <w:rPr>
          <w:rFonts w:hint="eastAsia"/>
          <w:b/>
          <w:sz w:val="24"/>
          <w:szCs w:val="24"/>
        </w:rPr>
        <w:t xml:space="preserve">位以提供的《残疾人福利性单位声明函》</w:t>
      </w:r>
      <w:r>
        <w:rPr>
          <w:rFonts w:hint="eastAsia" w:asciiTheme="majorEastAsia" w:hAnsiTheme="majorEastAsia" w:eastAsiaTheme="majorEastAsia"/>
          <w:b/>
          <w:sz w:val="24"/>
          <w:szCs w:val="24"/>
        </w:rPr>
        <w:t xml:space="preserve">为判定标准，监狱企业须提供由省级以上监狱管理局、戒毒管理局（含新疆生产建设兵团）出具的属于监狱企业证明文件，否则投标无效。</w:t>
      </w:r>
      <w:r/>
    </w:p>
    <w:p>
      <w:pPr>
        <w:ind w:firstLine="482"/>
        <w:spacing w:line="360" w:lineRule="auto"/>
        <w:rPr>
          <w:rFonts w:asciiTheme="majorEastAsia" w:hAnsiTheme="majorEastAsia" w:eastAsiaTheme="majorEastAsia"/>
          <w:b/>
          <w:sz w:val="24"/>
          <w:szCs w:val="24"/>
        </w:rPr>
      </w:pPr>
      <w:r>
        <w:rPr>
          <w:rFonts w:hint="eastAsia" w:asciiTheme="majorEastAsia" w:hAnsiTheme="majorEastAsia" w:eastAsiaTheme="majorEastAsia"/>
          <w:b/>
          <w:sz w:val="24"/>
          <w:szCs w:val="24"/>
        </w:rPr>
        <w:t xml:space="preserve">4.依据《关于印发中小企业划型标准规定的通知》（工信部联企业〔2011〕300号）行业划型标准如下：（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asciiTheme="majorEastAsia" w:hAnsiTheme="majorEastAsia" w:eastAsiaTheme="majorEastAsia"/>
          <w:b/>
          <w:sz w:val="24"/>
          <w:szCs w:val="24"/>
        </w:rPr>
      </w:pPr>
      <w:r>
        <w:rPr>
          <w:rFonts w:hint="eastAsia" w:asciiTheme="majorEastAsia" w:hAnsiTheme="majorEastAsia" w:eastAsiaTheme="majorEastAsia"/>
          <w:b/>
          <w:sz w:val="24"/>
          <w:szCs w:val="24"/>
        </w:rPr>
        <w:t xml:space="preserve">5.享受扶持政策获得政府采购合同的，小微企业不得将合同分包给大中型企业，中型企业不得将合同分包给大型企业。</w:t>
      </w:r>
      <w:r/>
    </w:p>
    <w:p>
      <w:pPr>
        <w:ind w:firstLine="470"/>
        <w:spacing w:line="500" w:lineRule="exact"/>
        <w:rPr>
          <w:rFonts w:asciiTheme="minorEastAsia" w:hAnsiTheme="minorEastAsia"/>
          <w:sz w:val="24"/>
          <w:szCs w:val="24"/>
        </w:rPr>
      </w:pPr>
      <w:r>
        <w:rPr>
          <w:rFonts w:hint="eastAsia" w:asciiTheme="minorEastAsia" w:hAnsiTheme="minorEastAsia"/>
          <w:sz w:val="24"/>
          <w:szCs w:val="24"/>
        </w:rPr>
        <w:t xml:space="preserve">（三）本项目的特定资格要求：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1.单位负责人为同一人或者存在直接控股、管理关系的不同供应商，不得参加同一合同项下的政府采购活动。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2.除单一来源采购项目外，为采购项目提供整体设计、规范编制或者项目管理、监理、检测等服务的供应商，不得再参加该采购项目的其他采购活动。</w:t>
      </w:r>
      <w:r/>
    </w:p>
    <w:p>
      <w:pPr>
        <w:pStyle w:val="843"/>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时间：自招标公告发布之日起至 2024年</w:t>
      </w:r>
      <w:r>
        <w:rPr>
          <w:rFonts w:hint="eastAsia" w:asciiTheme="minorEastAsia" w:hAnsiTheme="minorEastAsia"/>
          <w:sz w:val="24"/>
          <w:szCs w:val="24"/>
        </w:rPr>
        <w:t xml:space="preserve">10</w:t>
      </w:r>
      <w:r>
        <w:rPr>
          <w:rFonts w:hint="eastAsia" w:asciiTheme="minorEastAsia" w:hAnsiTheme="minorEastAsia"/>
          <w:sz w:val="24"/>
          <w:szCs w:val="24"/>
        </w:rPr>
        <w:t xml:space="preserve">月</w:t>
      </w:r>
      <w:r>
        <w:rPr>
          <w:rFonts w:hint="eastAsia" w:asciiTheme="minorEastAsia" w:hAnsiTheme="minorEastAsia"/>
          <w:sz w:val="24"/>
          <w:szCs w:val="24"/>
        </w:rPr>
        <w:t xml:space="preserve">29</w:t>
      </w:r>
      <w:r>
        <w:rPr>
          <w:rFonts w:hint="eastAsia" w:asciiTheme="minorEastAsia" w:hAnsiTheme="minorEastAsia"/>
          <w:sz w:val="24"/>
          <w:szCs w:val="24"/>
        </w:rPr>
        <w:t xml:space="preserve">日（北京时间）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843"/>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提交投标文件截止时间：2024年</w:t>
      </w:r>
      <w:r>
        <w:rPr>
          <w:rFonts w:hint="eastAsia" w:asciiTheme="minorEastAsia" w:hAnsiTheme="minorEastAsia"/>
          <w:sz w:val="24"/>
          <w:szCs w:val="24"/>
        </w:rPr>
        <w:t xml:space="preserve">11</w:t>
      </w:r>
      <w:r>
        <w:rPr>
          <w:rFonts w:hint="eastAsia" w:asciiTheme="minorEastAsia" w:hAnsiTheme="minorEastAsia"/>
          <w:sz w:val="24"/>
          <w:szCs w:val="24"/>
        </w:rPr>
        <w:t xml:space="preserve">月</w:t>
      </w:r>
      <w:r>
        <w:rPr>
          <w:rFonts w:hint="eastAsia" w:asciiTheme="minorEastAsia" w:hAnsiTheme="minorEastAsia"/>
          <w:sz w:val="24"/>
          <w:szCs w:val="24"/>
        </w:rPr>
        <w:t xml:space="preserve">13</w:t>
      </w:r>
      <w:r>
        <w:rPr>
          <w:rFonts w:hint="eastAsia" w:asciiTheme="minorEastAsia" w:hAnsiTheme="minorEastAsia"/>
          <w:sz w:val="24"/>
          <w:szCs w:val="24"/>
        </w:rPr>
        <w:t xml:space="preserve">日</w:t>
      </w:r>
      <w:r>
        <w:rPr>
          <w:rFonts w:hint="eastAsia" w:asciiTheme="minorEastAsia" w:hAnsiTheme="minorEastAsia"/>
          <w:sz w:val="24"/>
          <w:szCs w:val="24"/>
        </w:rPr>
        <w:t xml:space="preserve">10</w:t>
      </w:r>
      <w:r>
        <w:rPr>
          <w:rFonts w:hint="eastAsia" w:asciiTheme="minorEastAsia" w:hAnsiTheme="minorEastAsia"/>
          <w:sz w:val="24"/>
          <w:szCs w:val="24"/>
        </w:rPr>
        <w:t xml:space="preserve">:</w:t>
      </w:r>
      <w:r>
        <w:rPr>
          <w:rFonts w:hint="eastAsia" w:asciiTheme="minorEastAsia" w:hAnsiTheme="minorEastAsia"/>
          <w:sz w:val="24"/>
          <w:szCs w:val="24"/>
        </w:rPr>
        <w:t xml:space="preserve">30</w:t>
      </w:r>
      <w:r>
        <w:rPr>
          <w:rFonts w:hint="eastAsia" w:asciiTheme="minorEastAsia" w:hAnsiTheme="minorEastAsia"/>
          <w:sz w:val="24"/>
          <w:szCs w:val="24"/>
        </w:rPr>
        <w:t xml:space="preserve">:00（北京时间）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开标时间：2024年</w:t>
      </w:r>
      <w:r>
        <w:rPr>
          <w:rFonts w:hint="eastAsia" w:asciiTheme="minorEastAsia" w:hAnsiTheme="minorEastAsia"/>
          <w:sz w:val="24"/>
          <w:szCs w:val="24"/>
        </w:rPr>
        <w:t xml:space="preserve">11</w:t>
      </w:r>
      <w:r>
        <w:rPr>
          <w:rFonts w:hint="eastAsia" w:asciiTheme="minorEastAsia" w:hAnsiTheme="minorEastAsia"/>
          <w:sz w:val="24"/>
          <w:szCs w:val="24"/>
        </w:rPr>
        <w:t xml:space="preserve">月</w:t>
      </w:r>
      <w:r>
        <w:rPr>
          <w:rFonts w:hint="eastAsia" w:asciiTheme="minorEastAsia" w:hAnsiTheme="minorEastAsia"/>
          <w:sz w:val="24"/>
          <w:szCs w:val="24"/>
        </w:rPr>
        <w:t xml:space="preserve">13</w:t>
      </w:r>
      <w:r>
        <w:rPr>
          <w:rFonts w:hint="eastAsia" w:asciiTheme="minorEastAsia" w:hAnsiTheme="minorEastAsia"/>
          <w:sz w:val="24"/>
          <w:szCs w:val="24"/>
        </w:rPr>
        <w:t xml:space="preserve">日</w:t>
      </w:r>
      <w:r>
        <w:rPr>
          <w:rFonts w:hint="eastAsia" w:asciiTheme="minorEastAsia" w:hAnsiTheme="minorEastAsia"/>
          <w:sz w:val="24"/>
          <w:szCs w:val="24"/>
        </w:rPr>
        <w:t xml:space="preserve">10</w:t>
      </w:r>
      <w:r>
        <w:rPr>
          <w:rFonts w:hint="eastAsia" w:asciiTheme="minorEastAsia" w:hAnsiTheme="minorEastAsia"/>
          <w:sz w:val="24"/>
          <w:szCs w:val="24"/>
        </w:rPr>
        <w:t xml:space="preserve">:</w:t>
      </w:r>
      <w:r>
        <w:rPr>
          <w:rFonts w:hint="eastAsia" w:asciiTheme="minorEastAsia" w:hAnsiTheme="minorEastAsia"/>
          <w:sz w:val="24"/>
          <w:szCs w:val="24"/>
        </w:rPr>
        <w:t xml:space="preserve">30</w:t>
      </w:r>
      <w:r>
        <w:rPr>
          <w:rFonts w:hint="eastAsia" w:asciiTheme="minorEastAsia" w:hAnsiTheme="minorEastAsia"/>
          <w:sz w:val="24"/>
          <w:szCs w:val="24"/>
        </w:rPr>
        <w:t xml:space="preserve">:00（北京时间）</w:t>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843"/>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843"/>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843"/>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1.采购人信息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称：连云港市住房和城乡建设局</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址：连云港市海州区凤凰大道1号港城新世界3号楼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联系方式：0518-85804570</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spacing w:line="500" w:lineRule="exact"/>
        <w:rPr>
          <w:rFonts w:cs="Times New Roman" w:asciiTheme="minorEastAsia" w:hAnsiTheme="minorEastAsia"/>
          <w:sz w:val="24"/>
          <w:szCs w:val="24"/>
        </w:rPr>
      </w:pPr>
      <w:r>
        <w:rPr>
          <w:rFonts w:hint="eastAsia" w:asciiTheme="minorEastAsia" w:hAnsiTheme="minorEastAsia"/>
          <w:sz w:val="24"/>
          <w:szCs w:val="24"/>
        </w:rPr>
        <w:t xml:space="preserve">联系方式：李俊怡 </w:t>
      </w:r>
      <w:r>
        <w:rPr>
          <w:rFonts w:cs="Times New Roman" w:asciiTheme="minorEastAsia" w:hAnsiTheme="minorEastAsia"/>
          <w:sz w:val="24"/>
          <w:szCs w:val="24"/>
        </w:rPr>
        <w:t xml:space="preserve">  0518-85868290</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项目联系人：马先生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电      话：18761339188</w:t>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0"/>
        <w:spacing w:line="500" w:lineRule="exact"/>
        <w:rPr>
          <w:sz w:val="24"/>
          <w:szCs w:val="24"/>
        </w:rPr>
      </w:pPr>
      <w:r>
        <w:rPr>
          <w:sz w:val="24"/>
          <w:szCs w:val="24"/>
        </w:rPr>
      </w:r>
      <w:r/>
    </w:p>
    <w:p>
      <w:pPr>
        <w:pStyle w:val="842"/>
        <w:jc w:val="center"/>
        <w:spacing w:line="360" w:lineRule="auto"/>
        <w:rPr>
          <w:rFonts w:ascii="黑体" w:hAnsi="黑体" w:eastAsia="黑体"/>
          <w:b w:val="0"/>
        </w:rPr>
      </w:pPr>
      <w:r/>
      <w:bookmarkStart w:id="1" w:name="_Toc162361611"/>
      <w:r>
        <w:rPr>
          <w:rFonts w:hint="eastAsia" w:ascii="黑体" w:hAnsi="黑体" w:eastAsia="黑体"/>
          <w:b w:val="0"/>
        </w:rPr>
        <w:t xml:space="preserve">第二章 投标人须知</w:t>
      </w:r>
      <w:bookmarkEnd w:id="1"/>
      <w:r/>
      <w:r/>
    </w:p>
    <w:p>
      <w:pPr>
        <w:pStyle w:val="843"/>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一、总则</w:t>
      </w:r>
      <w:r/>
    </w:p>
    <w:p>
      <w:pPr>
        <w:ind w:firstLine="482"/>
        <w:spacing w:line="500" w:lineRule="exact"/>
        <w:rPr>
          <w:rFonts w:asciiTheme="minorEastAsia" w:hAnsiTheme="minorEastAsia"/>
          <w:b/>
          <w:sz w:val="24"/>
        </w:rPr>
      </w:pPr>
      <w:r>
        <w:rPr>
          <w:rFonts w:hint="eastAsia" w:asciiTheme="minorEastAsia" w:hAnsiTheme="minorEastAsia"/>
          <w:b/>
          <w:sz w:val="24"/>
        </w:rPr>
        <w:t xml:space="preserve">1.招标方式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 本次招标采取公开招标方式，本招标文件仅适用于招标公告中所述项目。</w:t>
      </w:r>
      <w:r/>
    </w:p>
    <w:p>
      <w:pPr>
        <w:ind w:firstLine="482"/>
        <w:spacing w:line="500" w:lineRule="exact"/>
        <w:rPr>
          <w:rFonts w:asciiTheme="minorEastAsia" w:hAnsiTheme="minorEastAsia"/>
          <w:b/>
          <w:sz w:val="24"/>
        </w:rPr>
      </w:pPr>
      <w:r>
        <w:rPr>
          <w:rFonts w:hint="eastAsia" w:asciiTheme="minorEastAsia" w:hAnsiTheme="minorEastAsia"/>
          <w:b/>
          <w:sz w:val="24"/>
        </w:rPr>
        <w:t xml:space="preserve">2.合格的投标人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 满足招标公告中供应商的资格要求的规定。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 满足本招标文件全部实质性要求和条件的规定。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 符合上述条件的投标人应承担投标及履约过程应承担的全部责任与义务。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sz w:val="24"/>
        </w:rPr>
      </w:pPr>
      <w:r>
        <w:rPr>
          <w:rFonts w:hint="eastAsia" w:asciiTheme="minorEastAsia" w:hAnsiTheme="minorEastAsia"/>
          <w:b/>
          <w:sz w:val="24"/>
        </w:rPr>
        <w:t xml:space="preserve">3.适用法律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 本次招标及由此产生的合同受中华人民共和国有关的法律法规制约和保护。</w:t>
      </w:r>
      <w:r/>
    </w:p>
    <w:p>
      <w:pPr>
        <w:ind w:firstLine="482"/>
        <w:spacing w:line="500" w:lineRule="exact"/>
        <w:rPr>
          <w:rFonts w:asciiTheme="minorEastAsia" w:hAnsiTheme="minorEastAsia"/>
          <w:b/>
          <w:sz w:val="24"/>
        </w:rPr>
      </w:pPr>
      <w:r>
        <w:rPr>
          <w:rFonts w:hint="eastAsia" w:asciiTheme="minorEastAsia" w:hAnsiTheme="minorEastAsia"/>
          <w:b/>
          <w:sz w:val="24"/>
        </w:rPr>
        <w:t xml:space="preserve">4.投标费用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4.1投标人应自行承担所有与参加投标有关的费用，无论投标过程中的做法和结果如何，连云港市公共资源交易中心（以下简称交易中心）在任何情况下均无义务和责任承担这些费用。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4.2 本次招标采购人和交易中心不收取标书工本费与中标服务费。</w:t>
      </w:r>
      <w:r/>
    </w:p>
    <w:p>
      <w:pPr>
        <w:ind w:firstLine="482"/>
        <w:spacing w:line="500" w:lineRule="exact"/>
        <w:rPr>
          <w:rFonts w:asciiTheme="minorEastAsia" w:hAnsiTheme="minorEastAsia"/>
          <w:b/>
          <w:sz w:val="24"/>
        </w:rPr>
      </w:pPr>
      <w:r>
        <w:rPr>
          <w:rFonts w:hint="eastAsia" w:asciiTheme="minorEastAsia" w:hAnsiTheme="minorEastAsia"/>
          <w:b/>
          <w:sz w:val="24"/>
        </w:rPr>
        <w:t xml:space="preserve">5.招标文件的约束力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5.1 投标人一旦参加本项目采购活动，即被认为接受了本招标文件的规定和约束。</w:t>
      </w:r>
      <w:r/>
    </w:p>
    <w:p>
      <w:pPr>
        <w:pStyle w:val="843"/>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二、招标文件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6.招标文件构成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6.1 招标文件由以下部分组成：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（1）投标邀请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（2）投标人须知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（3）合同文本</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（4）采购需求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（5）评标方法与评标标准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请仔细检查招标文件是否齐全，如有缺漏请立即与交易中心联系解决。</w:t>
      </w:r>
      <w:r/>
    </w:p>
    <w:p>
      <w:pPr>
        <w:ind w:firstLine="482"/>
        <w:spacing w:line="500" w:lineRule="exact"/>
        <w:rPr>
          <w:rFonts w:asciiTheme="minorEastAsia" w:hAnsiTheme="minorEastAsia"/>
          <w:b/>
          <w:sz w:val="24"/>
        </w:rPr>
      </w:pPr>
      <w:r>
        <w:rPr>
          <w:rFonts w:hint="eastAsia" w:asciiTheme="minorEastAsia" w:hAnsiTheme="minorEastAsia"/>
          <w:b/>
          <w:sz w:val="24"/>
        </w:rPr>
        <w:t xml:space="preserve">7.招标文件的澄清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sz w:val="24"/>
        </w:rPr>
      </w:pPr>
      <w:r>
        <w:rPr>
          <w:rFonts w:hint="eastAsia" w:asciiTheme="minorEastAsia" w:hAnsiTheme="minorEastAsia"/>
          <w:b/>
          <w:sz w:val="24"/>
        </w:rPr>
        <w:t xml:space="preserve">8.招标文件的修改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8.1 在投标截止时间前，交易中心可以对招标文件进行修改。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8.2 交易中心有权按照法定的要求推迟投标截止日期和开标日期。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8.3 招标文件的修改将在江苏政府采购网公布，补充文件将作为招标文件的组成部分，并对投标人具有约束力。</w:t>
      </w:r>
      <w:r/>
    </w:p>
    <w:p>
      <w:pPr>
        <w:pStyle w:val="843"/>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三、投标文件的编制</w:t>
      </w:r>
      <w:r/>
    </w:p>
    <w:p>
      <w:pPr>
        <w:ind w:firstLine="482"/>
        <w:spacing w:line="500" w:lineRule="exact"/>
        <w:rPr>
          <w:rFonts w:asciiTheme="minorEastAsia" w:hAnsiTheme="minorEastAsia"/>
          <w:b/>
          <w:sz w:val="24"/>
        </w:rPr>
      </w:pPr>
      <w:r>
        <w:rPr>
          <w:rFonts w:hint="eastAsia" w:asciiTheme="minorEastAsia" w:hAnsiTheme="minorEastAsia"/>
          <w:b/>
          <w:sz w:val="24"/>
        </w:rPr>
        <w:t xml:space="preserve">9.投标文件编写注意事项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asciiTheme="minorEastAsia" w:hAnsiTheme="minorEastAsia"/>
          <w:b/>
          <w:sz w:val="24"/>
        </w:rPr>
      </w:pPr>
      <w:r>
        <w:rPr>
          <w:rFonts w:hint="eastAsia" w:asciiTheme="minorEastAsia" w:hAnsiTheme="minorEastAsia"/>
          <w:b/>
          <w:sz w:val="24"/>
        </w:rPr>
        <w:t xml:space="preserve">10.投标文件的语言及度量衡单位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w:t>
      </w:r>
      <w:r>
        <w:rPr>
          <w:rFonts w:hint="eastAsia" w:asciiTheme="minorEastAsia" w:hAnsiTheme="minorEastAsia"/>
          <w:sz w:val="24"/>
          <w:szCs w:val="24"/>
        </w:rPr>
        <w:t xml:space="preserve">件时以中文翻译本为准。未附中文翻译本或翻译本中文内容明显与外文内容不一致的，其不利后果由投标人自行承担。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10.2除技术性能另有规定外，投标文件所使用的度量衡单位，均须采用国家法定计量单位。</w:t>
      </w:r>
      <w:r/>
    </w:p>
    <w:p>
      <w:pPr>
        <w:ind w:firstLine="482"/>
        <w:spacing w:line="500" w:lineRule="exact"/>
        <w:rPr>
          <w:rFonts w:asciiTheme="minorEastAsia" w:hAnsiTheme="minorEastAsia"/>
          <w:b/>
          <w:sz w:val="24"/>
        </w:rPr>
      </w:pPr>
      <w:r>
        <w:rPr>
          <w:rFonts w:hint="eastAsia" w:asciiTheme="minorEastAsia" w:hAnsiTheme="minorEastAsia"/>
          <w:b/>
          <w:sz w:val="24"/>
        </w:rPr>
        <w:t xml:space="preserve">11.投标文件构成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11.1投标人编写的投标文件应包括资格证明文件、符合性证明文件、投标分项报价表、技术要求响应及偏离表（如有请提供）、商务要求响应及偏离表、其他证明文件、投标函、开标一览表等部分。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11.2如投标文件制作工具中格式和内容与江苏政府采购网发布的招标文件不一致，请以江苏政府采购网发布的招标文件为准。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11.3特别提醒投标人，混乱的编排导致投标文件被误读或评标委员会（以下简称评委会）查找不到有效文件是投标人的风险。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rPr>
      </w:pPr>
      <w:r>
        <w:rPr>
          <w:rFonts w:hint="eastAsia" w:asciiTheme="minorEastAsia" w:hAnsiTheme="minorEastAsia"/>
          <w:b/>
          <w:sz w:val="24"/>
        </w:rPr>
        <w:t xml:space="preserve">12.证明投标人及投标标的符合招标文件规定的文件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12.1投标人应按照招标文件要求提交证明文件，证明其及投标标的符合招标文件规定。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12.2招标文件对证明文件无明确形式要求的，证明文件可以以文字资料、图纸和数据等形式提交。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12.3投标人委托代理时应当提交授权委托书，请按招标文件第六章给定格式及要求填写并附法定代表人（单位负责人）与委托代理人身份证明。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13.投标分项报价表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13.1 投标人应根据投标报价要求在投标分项报价表中列明各项投标单价、总价等，未全部列示的作无效响应处理。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13.2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rPr>
      </w:pPr>
      <w:r>
        <w:rPr>
          <w:rFonts w:hint="eastAsia" w:asciiTheme="minorEastAsia" w:hAnsiTheme="minorEastAsia"/>
          <w:b/>
          <w:sz w:val="24"/>
        </w:rPr>
        <w:t xml:space="preserve">14.技术要求响应及偏离表、商务要求响应及偏离表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14.2 投标人可在投标文件中提供认为需要的其他技术文件或说明。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15.服务承诺、培训计划、人员安排及其他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15.1投标人需根据招标文件要求提供有关售后服务的管理制度，售后服务机构的分布情况，售后服务人员的数量、素质、技术水平及售后服务的反应能力等。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15.2 投标人需根据招标文件要求提供培训计划、人员安排等。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15.3投标人需根据招标文件要求提供所投标的的主要组成部分、功能设计、实现思路及关键技术等。</w:t>
      </w:r>
      <w:r/>
    </w:p>
    <w:p>
      <w:pPr>
        <w:ind w:firstLine="482"/>
        <w:spacing w:line="500" w:lineRule="exact"/>
        <w:rPr>
          <w:rFonts w:asciiTheme="minorEastAsia" w:hAnsiTheme="minorEastAsia"/>
          <w:b/>
          <w:sz w:val="24"/>
        </w:rPr>
      </w:pPr>
      <w:r>
        <w:rPr>
          <w:rFonts w:hint="eastAsia" w:asciiTheme="minorEastAsia" w:hAnsiTheme="minorEastAsia"/>
          <w:b/>
          <w:sz w:val="24"/>
        </w:rPr>
        <w:t xml:space="preserve">16.投标函和开标一览表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16.1 投标人应按照招标文件中提供的格式完整、正确填写投标函、开标一览表。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17.投标有效期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sz w:val="24"/>
          <w:szCs w:val="24"/>
        </w:rPr>
      </w:pPr>
      <w:r>
        <w:rPr>
          <w:rFonts w:hint="eastAsia" w:asciiTheme="minorEastAsia" w:hAnsiTheme="minorEastAsia"/>
          <w:sz w:val="24"/>
          <w:szCs w:val="24"/>
        </w:rPr>
        <w:t xml:space="preserve">17.2</w:t>
      </w:r>
      <w:r>
        <w:rPr>
          <w:rFonts w:hint="eastAsia"/>
          <w:sz w:val="24"/>
          <w:szCs w:val="24"/>
        </w:rPr>
        <w:t xml:space="preserve">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843"/>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四、投标文件的递交</w:t>
      </w:r>
      <w:r/>
    </w:p>
    <w:p>
      <w:pPr>
        <w:ind w:firstLine="482"/>
        <w:spacing w:line="500" w:lineRule="exact"/>
        <w:rPr>
          <w:rFonts w:asciiTheme="minorEastAsia" w:hAnsiTheme="minorEastAsia"/>
          <w:b/>
          <w:sz w:val="24"/>
        </w:rPr>
      </w:pPr>
      <w:r>
        <w:rPr>
          <w:rFonts w:hint="eastAsia" w:asciiTheme="minorEastAsia" w:hAnsiTheme="minorEastAsia"/>
          <w:b/>
          <w:sz w:val="24"/>
        </w:rPr>
        <w:t xml:space="preserve">18.电子投标文件的递交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18.1 投标人应当按照《操作手册》规定，在投标截止时间前制作并递交（上传）电子投标文件。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19.投标截止时间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19.1 投标人递交（上传）电子投标文件的时间不得迟于招标公告中规定的投标截止时间。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20.投标文件的拒收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20.1 交易中心拒绝接收在其规定的投标截止时间后递交（上传）的任何投标文件。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21.投标文件的撤回和修改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 投标文件的撤回</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21.1.1 投标人可在投标截止时间前，撤回其电子投标文件，具体操作方法见《操作手册》。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21.1.2 投标人撤回电子投标文件的，则认为其不再参与本项目投标活动。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 投标文件的修改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21.2.1投标人可在投标截止时间前，对其电子投标文件进行修改，具体操作方法见《操作手册》。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21.2.2 在投标截止时间之后，投标人不得对其电子投标文件做任何修改。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21.3 在投标截止时间至招标文件中规定的投标有效期满之间的这段时间内，投标人不得撤回其投标。</w:t>
      </w:r>
      <w:r/>
    </w:p>
    <w:p>
      <w:pPr>
        <w:pStyle w:val="843"/>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五、开标与评标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22.开标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22.2 开标仪式由交易中心组织。“苏采云”系统将自动对项目进行开标，并宣布各投标人名称和投标价格。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22.3 投标人在开标过程中涉及到的投标文件解密、开标结果确认等工作，应当按照《操作手册》规定执行。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22.5 投标人未参加开标的，视同认可开标结果。</w:t>
      </w:r>
      <w:r/>
    </w:p>
    <w:p>
      <w:pPr>
        <w:ind w:firstLine="482"/>
        <w:spacing w:line="500" w:lineRule="exact"/>
        <w:rPr>
          <w:rFonts w:asciiTheme="minorEastAsia" w:hAnsiTheme="minorEastAsia"/>
          <w:b/>
          <w:sz w:val="24"/>
        </w:rPr>
      </w:pPr>
      <w:r>
        <w:rPr>
          <w:rFonts w:hint="eastAsia" w:asciiTheme="minorEastAsia" w:hAnsiTheme="minorEastAsia"/>
          <w:b/>
          <w:sz w:val="24"/>
        </w:rPr>
        <w:t xml:space="preserve">23.评标委员会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23.1 开标后，交易中心将立即组织评委会进行评标。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23.2 评委会由采购人代表和有关技术、经济等方面的评审专家组成，且人员构成符合政府采购有关规定。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23.3 评委会按照采购文件规定的评审程序、评审方法和评审标准进行独立评审并确定中</w:t>
      </w:r>
      <w:r>
        <w:rPr>
          <w:rFonts w:hint="eastAsia" w:asciiTheme="minorEastAsia" w:hAnsiTheme="minorEastAsia"/>
          <w:sz w:val="24"/>
          <w:szCs w:val="24"/>
        </w:rPr>
        <w:t xml:space="preserve">标候选人。</w:t>
      </w:r>
      <w:r/>
    </w:p>
    <w:p>
      <w:pPr>
        <w:ind w:firstLine="482"/>
        <w:spacing w:line="500" w:lineRule="exact"/>
        <w:rPr>
          <w:rFonts w:asciiTheme="minorEastAsia" w:hAnsiTheme="minorEastAsia"/>
          <w:b/>
          <w:sz w:val="24"/>
        </w:rPr>
      </w:pPr>
      <w:r>
        <w:rPr>
          <w:rFonts w:hint="eastAsia" w:asciiTheme="minorEastAsia" w:hAnsiTheme="minorEastAsia"/>
          <w:b/>
          <w:sz w:val="24"/>
        </w:rPr>
        <w:t xml:space="preserve">24.评标过程的保密与公正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24.2 在评标过程中，投标人不得以任何行为影响评标过程，否则其投标文件将被作为无效投标文件。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24.3 交易中心和评委会不向未中标的投标人解释未中标原因，也不公布评标过程中的相关细节。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4"/>
        </w:rPr>
      </w:pPr>
      <w:r>
        <w:rPr>
          <w:rFonts w:hint="eastAsia" w:asciiTheme="minorEastAsia" w:hAnsiTheme="minorEastAsia"/>
          <w:b/>
          <w:sz w:val="24"/>
        </w:rPr>
        <w:t xml:space="preserve">25.投标文件的澄清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评委会并非对每个投标人都做澄清、说明或者补正要求。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25.3 接到评委会澄清、说明或者补正要求的投标人如未按规定响应，其风险由投标人自行承担。</w:t>
      </w:r>
      <w:r/>
    </w:p>
    <w:p>
      <w:pPr>
        <w:ind w:firstLine="482"/>
        <w:spacing w:line="500" w:lineRule="exact"/>
        <w:rPr>
          <w:rFonts w:asciiTheme="minorEastAsia" w:hAnsiTheme="minorEastAsia"/>
          <w:b/>
          <w:sz w:val="24"/>
        </w:rPr>
      </w:pPr>
      <w:r>
        <w:rPr>
          <w:rFonts w:hint="eastAsia" w:asciiTheme="minorEastAsia" w:hAnsiTheme="minorEastAsia"/>
          <w:b/>
          <w:sz w:val="24"/>
        </w:rPr>
        <w:t xml:space="preserve">26.对投标文件的初审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 投标文件初审分为资格性审查和符合性审查。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26.1.1 资格性审查：依据法律法规和招标文件的规定，由采购人对投标文件中的资格证明文件进行审查。资格审查的结论，采购人以书面形式向评委会进行反馈。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采购人在进行资格性审查的同时，将在信用中国网站（www.creditchina.gov.cn）、中</w:t>
      </w:r>
      <w:r>
        <w:rPr>
          <w:rFonts w:hint="eastAsia" w:asciiTheme="minorEastAsia" w:hAnsiTheme="minorEastAsia"/>
          <w:sz w:val="24"/>
          <w:szCs w:val="24"/>
        </w:rPr>
        <w:t xml:space="preserve">国政府采购网（www.ccgp.gov.cn）查询投标人的信用记录，以确定投标人是否具备投标资格，查询结果留存并归档。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 符合性审查：依据招标文件的规定，由评委会从投标文件的有效性、完整性和对招标文件的响应程度进行审查，包含但不限于实质性条款（文件中斜体且有下划线部分）、设备质量、技术规格、售后服务和履约能力等，以确定其是否对招标文件作出实质性响应。</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交易中心的权利或投标人的义务，纠正这些偏离或保留将会对其他实质性响应要求的投标人的竞争地位产生不公正的影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26.3 未通过资格审查或符合性审查的投标人，将在“苏采云”系统中告知未通过资格审查或符合性审查的原因，评审结束后，将不再告知未通过资格审查或符合性审查的原因。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26.4 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26.5 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（1）投标文件中开标一览表内容与投标文件中相应内容不一致的，以开标一览表为准。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（2）大写金额和小写金额不一致的，以大写金额为准。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（3）单价金额小数点或者百分比有明显错位的，以开标一览表的总价为准，并修改单价。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（4）总价金额与按单价汇总金额不一致的，以单价金额计算结果为准。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26.6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26.7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非单一产品采购项目，招标文件中将载明核心产品。多家投标人提供的核心产品品牌相同的，按前两款规定处理。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26.8 投标人在开、评标全过程中应保持通讯畅通，及时登录“苏采云”系统查阅、答复相关信息，并安排专人与交易中心及评委会联系。</w:t>
      </w:r>
      <w:r/>
    </w:p>
    <w:p>
      <w:pPr>
        <w:ind w:firstLine="482"/>
        <w:spacing w:line="500" w:lineRule="exact"/>
        <w:rPr>
          <w:rFonts w:asciiTheme="minorEastAsia" w:hAnsiTheme="minorEastAsia"/>
          <w:b/>
          <w:sz w:val="24"/>
        </w:rPr>
      </w:pPr>
      <w:r>
        <w:rPr>
          <w:rFonts w:hint="eastAsia" w:asciiTheme="minorEastAsia" w:hAnsiTheme="minorEastAsia"/>
          <w:b/>
          <w:sz w:val="24"/>
        </w:rPr>
        <w:t xml:space="preserve">27.无效投标条款和废标条款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27.1 无效投标条款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（1）投标人未按照招标文件要求递交（上传）电子投标文件的。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（2）投标人在“苏采云”系统规定的时间内未成功解密电子投标文件的。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（3）投标人不具备招标文件中规定的资格要求的。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（5）投标人提交两个（含两个）以上不同的投标报价的。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（6）投标人的报价超过了采购预算或者最高限价的。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（7）评委会认为投标人的报价明显低于其他通过符合性审查投标人的报价，有可能影响</w:t>
      </w:r>
      <w:r>
        <w:rPr>
          <w:rFonts w:hint="eastAsia" w:asciiTheme="minorEastAsia" w:hAnsiTheme="minorEastAsia"/>
          <w:sz w:val="24"/>
          <w:szCs w:val="24"/>
        </w:rPr>
        <w:t xml:space="preserve">产品质量或者不能诚信履约的，将通过“苏采云”系统要求其在合理的时间内提供说明，必要时提交相关证明材料，投标人不能证明其报价合理性的。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（8）不符合招标文件中规定的实质性要求和条件的（本招标文件中斜体且有下划线部分为实质性要求和条件）。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（10）投标人未通过符合性审查的。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（11）投标文件含有采购人不能接受的附加条件的。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（12）投标文件未按照招标文件要求加盖公章（CA电子公章）的。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（13）其他法律、法规及本招标文件规定的属于无效投标的情形。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27.2 有下列情形之一的，视为投标人串通投标，投标无效：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（1）不同投标人的投标文件由同一单位或者个人编制。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（2）不同投标人委托同一单位或者个人办理投标事宜。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（3）不同投标人的投标文件载明的项目管理成员或者联系人员为同一人。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（4）不同投标人的投标文件异常一致或者投标报价呈规律性差异。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27.3 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（1）因“苏采云”系统系统故障原因造成开标不成功的。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（2）评委会认定招标文件存在歧义、重大缺陷导致评审工作无法进行的。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（3）符合专业条件的供应商或者对招标文件作实质响应的供应商不足三家的。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（4）出现影响采购公正的违法、违规行为的。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（5）因重大变故，采购任务取消的。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27.4 出现投标截止时间结束后参加投标的供应商或者在评标期间对招标文件做出实质响应的供应商不足三家情况的，按照政府采购相关规定执行。</w:t>
      </w:r>
      <w:r/>
    </w:p>
    <w:p>
      <w:pPr>
        <w:pStyle w:val="843"/>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六、定标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28.确定中标单位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28.2 采购人应根据评委会推荐的中标候选人确定中标人。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28.3 交</w:t>
      </w:r>
      <w:r>
        <w:rPr>
          <w:rFonts w:hint="eastAsia" w:asciiTheme="minorEastAsia" w:hAnsiTheme="minorEastAsia"/>
          <w:sz w:val="24"/>
          <w:szCs w:val="24"/>
        </w:rPr>
        <w:t xml:space="preserve">易</w:t>
      </w:r>
      <w:r>
        <w:rPr>
          <w:rFonts w:hint="eastAsia" w:asciiTheme="minorEastAsia" w:hAnsiTheme="minorEastAsia"/>
          <w:sz w:val="24"/>
          <w:szCs w:val="24"/>
        </w:rPr>
        <w:t xml:space="preserve">中心将在江苏政府采购网发布中标公告，公告期限为1个工作日。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28.4若有充分证据证明，中标人存在下列情况之一的，一经查实，将被取消中标资格：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（3）与采购人、其他供应商或者采购代理机构恶意串通的。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（4）向采购人、交易中心行贿或者提供其他不正当利益的。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（5）在招标采购过程中与采购人进行协商谈判的。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（6）属于本文件规定的无效条件，但在评标过程中又未被评委会发现的。</w:t>
      </w:r>
      <w:r/>
    </w:p>
    <w:p>
      <w:pPr>
        <w:ind w:firstLine="482"/>
        <w:spacing w:line="500" w:lineRule="exact"/>
        <w:rPr>
          <w:rFonts w:asciiTheme="minorEastAsia" w:hAnsiTheme="minorEastAsia"/>
          <w:b/>
          <w:sz w:val="24"/>
        </w:rPr>
      </w:pPr>
      <w:r>
        <w:rPr>
          <w:rFonts w:hint="eastAsia" w:asciiTheme="minorEastAsia" w:hAnsiTheme="minorEastAsia"/>
          <w:b/>
          <w:sz w:val="24"/>
        </w:rPr>
        <w:t xml:space="preserve">29.中标通知书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29.3中标人在中标后七个工作日内，需向采购人和交易中心各提供一份与电子投标文件一致的纸质打印胶装投标文件，封面、骑缝需加盖公章。</w:t>
      </w:r>
      <w:r/>
    </w:p>
    <w:p>
      <w:pPr>
        <w:pStyle w:val="843"/>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七、履约保证金及授予合同</w:t>
      </w:r>
      <w:r/>
    </w:p>
    <w:p>
      <w:pPr>
        <w:ind w:firstLine="482"/>
        <w:spacing w:line="500" w:lineRule="exact"/>
        <w:rPr>
          <w:rFonts w:asciiTheme="minorEastAsia" w:hAnsiTheme="minorEastAsia"/>
          <w:b/>
          <w:sz w:val="24"/>
        </w:rPr>
      </w:pPr>
      <w:r>
        <w:rPr>
          <w:rFonts w:hint="eastAsia" w:asciiTheme="minorEastAsia" w:hAnsiTheme="minorEastAsia"/>
          <w:b/>
          <w:sz w:val="24"/>
        </w:rPr>
        <w:t xml:space="preserve">30.履约保证金</w:t>
      </w:r>
      <w:r/>
    </w:p>
    <w:p>
      <w:pPr>
        <w:ind w:firstLine="480"/>
        <w:spacing w:line="500" w:lineRule="exact"/>
        <w:rPr>
          <w:rFonts w:asciiTheme="minorEastAsia" w:hAnsiTheme="minorEastAsia"/>
          <w:bCs/>
          <w:sz w:val="24"/>
          <w:szCs w:val="24"/>
        </w:rPr>
      </w:pPr>
      <w:r>
        <w:rPr>
          <w:rFonts w:hint="eastAsia" w:asciiTheme="minorEastAsia" w:hAnsiTheme="minorEastAsia"/>
          <w:sz w:val="24"/>
          <w:szCs w:val="24"/>
        </w:rPr>
        <w:t xml:space="preserve">30.1履约保证金的数额不得超过政府采购合同金额的10%。中标人应当以支票、汇票、本票或者金融机构、担保机构出具的保函等非现金形式提交。</w:t>
      </w:r>
      <w:r>
        <w:rPr>
          <w:rFonts w:hint="eastAsia" w:asciiTheme="minorEastAsia" w:hAnsiTheme="minorEastAsia"/>
          <w:bCs/>
          <w:sz w:val="24"/>
          <w:szCs w:val="24"/>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30.4 逾期退还履约保证金的采购人承担违约责任，按照中国人民银行同期贷款基准利率</w:t>
      </w:r>
      <w:r>
        <w:rPr>
          <w:rFonts w:hint="eastAsia" w:asciiTheme="minorEastAsia" w:hAnsiTheme="minorEastAsia"/>
          <w:sz w:val="24"/>
          <w:szCs w:val="24"/>
        </w:rPr>
        <w:t xml:space="preserve">向中标人支付超期资金占用费。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30.5 本项目履约保证金要求详见招标文件第四章 采购需求。</w:t>
      </w:r>
      <w:r/>
    </w:p>
    <w:p>
      <w:pPr>
        <w:ind w:firstLine="482"/>
        <w:spacing w:line="500" w:lineRule="exact"/>
        <w:rPr>
          <w:rFonts w:asciiTheme="minorEastAsia" w:hAnsiTheme="minorEastAsia"/>
          <w:b/>
          <w:sz w:val="24"/>
        </w:rPr>
      </w:pPr>
      <w:r>
        <w:rPr>
          <w:rFonts w:hint="eastAsia" w:asciiTheme="minorEastAsia" w:hAnsiTheme="minorEastAsia"/>
          <w:b/>
          <w:sz w:val="24"/>
        </w:rPr>
        <w:t xml:space="preserve">31.签订合同</w:t>
      </w:r>
      <w:r/>
    </w:p>
    <w:p>
      <w:pPr>
        <w:ind w:firstLine="480"/>
        <w:spacing w:line="500" w:lineRule="exact"/>
        <w:rPr>
          <w:rFonts w:asciiTheme="minorEastAsia" w:hAnsiTheme="minorEastAsia"/>
          <w:sz w:val="24"/>
        </w:rPr>
      </w:pPr>
      <w:r>
        <w:rPr>
          <w:rFonts w:hint="eastAsia" w:asciiTheme="minorEastAsia" w:hAnsiTheme="minorEastAsia"/>
          <w:sz w:val="24"/>
        </w:rPr>
        <w:t xml:space="preserve">31.1中标人应当在中标通知书发出之日起三十日内，按照招标文件和中标人投标文件的规定，与采购人签订政府采购合同。</w:t>
      </w:r>
      <w:r/>
    </w:p>
    <w:p>
      <w:pPr>
        <w:ind w:firstLine="480"/>
        <w:spacing w:line="500" w:lineRule="exact"/>
        <w:rPr>
          <w:rFonts w:asciiTheme="minorEastAsia" w:hAnsiTheme="minorEastAsia"/>
          <w:sz w:val="24"/>
        </w:rPr>
      </w:pPr>
      <w:r>
        <w:rPr>
          <w:rFonts w:hint="eastAsia" w:asciiTheme="minorEastAsia" w:hAnsiTheme="minorEastAsia"/>
          <w:sz w:val="24"/>
        </w:rPr>
        <w:t xml:space="preserve">31.2招标文件、中标人的投标文件及招标过程中有关澄清、承诺等文件均应作为合同附件。</w:t>
      </w:r>
      <w:r/>
    </w:p>
    <w:p>
      <w:pPr>
        <w:ind w:firstLine="480"/>
        <w:spacing w:line="500" w:lineRule="exact"/>
        <w:rPr>
          <w:rFonts w:asciiTheme="minorEastAsia" w:hAnsiTheme="minorEastAsia"/>
          <w:sz w:val="24"/>
        </w:rPr>
      </w:pPr>
      <w:r>
        <w:rPr>
          <w:rFonts w:hint="eastAsia" w:asciiTheme="minorEastAsia" w:hAnsiTheme="minorEastAsia"/>
          <w:sz w:val="24"/>
        </w:rPr>
        <w:t xml:space="preserve">31.3签订合同后，中标人不得将合同标的转包。未经采购人同意，中标人也不得采用分包的形式履行合同，否则采购人有权终止合同。转包或分包造成采购人损失的，中标人应承担相应赔偿责任。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sz w:val="24"/>
        </w:rPr>
      </w:pPr>
      <w:r>
        <w:rPr>
          <w:rFonts w:hint="eastAsia" w:asciiTheme="minorEastAsia" w:hAnsiTheme="minorEastAsia"/>
          <w:b/>
          <w:sz w:val="24"/>
        </w:rPr>
        <w:t xml:space="preserve">32.合同标的的追加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31.1 政府采购合同履行中，采购人需追加与合同标的相同的服务（包含与服务相关的货物）的，在不改变合同其他条款的前提下，可以与中标人协商签订补充合同，但所有补充合同的采购金额不超过原合同金额10%。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4"/>
        </w:rPr>
      </w:pPr>
      <w:r>
        <w:rPr>
          <w:rFonts w:hint="eastAsia" w:asciiTheme="minorEastAsia" w:hAnsiTheme="minorEastAsia"/>
          <w:b/>
          <w:sz w:val="24"/>
        </w:rPr>
        <w:t xml:space="preserve">33.政府采购履约资金扶持政策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32.1 中标人可凭政府采购合同办理融资贷款，详情请见江苏政府采购网“政采贷”专栏。</w:t>
      </w:r>
      <w:r/>
    </w:p>
    <w:p>
      <w:pPr>
        <w:pStyle w:val="843"/>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八、询</w:t>
      </w:r>
      <w:r>
        <w:rPr>
          <w:rFonts w:hint="eastAsia" w:asciiTheme="minorEastAsia" w:hAnsiTheme="minorEastAsia" w:eastAsiaTheme="minorEastAsia"/>
        </w:rPr>
        <w:t xml:space="preserve">问</w:t>
      </w:r>
      <w:r>
        <w:rPr>
          <w:rFonts w:hint="eastAsia" w:asciiTheme="minorEastAsia" w:hAnsiTheme="minorEastAsia" w:eastAsiaTheme="minorEastAsia"/>
        </w:rPr>
        <w:t xml:space="preserve">与质疑</w:t>
      </w:r>
      <w:r/>
    </w:p>
    <w:p>
      <w:pPr>
        <w:ind w:firstLine="482"/>
        <w:spacing w:line="500" w:lineRule="exact"/>
        <w:rPr>
          <w:rFonts w:asciiTheme="minorEastAsia" w:hAnsiTheme="minorEastAsia"/>
          <w:b/>
          <w:sz w:val="24"/>
        </w:rPr>
      </w:pPr>
      <w:r>
        <w:rPr>
          <w:rFonts w:hint="eastAsia" w:asciiTheme="minorEastAsia" w:hAnsiTheme="minorEastAsia"/>
          <w:b/>
          <w:sz w:val="24"/>
        </w:rPr>
        <w:t xml:space="preserve">34.询问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33.1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heme="minorEastAsia" w:hAnsiTheme="minorEastAsia"/>
          <w:b/>
          <w:sz w:val="24"/>
        </w:rPr>
      </w:pPr>
      <w:r>
        <w:rPr>
          <w:rFonts w:hint="eastAsia" w:asciiTheme="minorEastAsia" w:hAnsiTheme="minorEastAsia"/>
          <w:b/>
          <w:sz w:val="24"/>
        </w:rPr>
        <w:t xml:space="preserve">35.质疑提出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35.1 提出质疑的供应商应当是参与所质疑项目采购活动的供应商。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w:t>
      </w:r>
      <w:r>
        <w:rPr>
          <w:rFonts w:hint="eastAsia" w:asciiTheme="minorEastAsia" w:hAnsiTheme="minorEastAsia"/>
          <w:sz w:val="24"/>
          <w:szCs w:val="24"/>
        </w:rPr>
        <w:t xml:space="preserve">出答复。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（4）事实依据；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Theme="minorEastAsia" w:hAnsiTheme="minorEastAsia"/>
          <w:b/>
          <w:sz w:val="24"/>
        </w:rPr>
      </w:pPr>
      <w:r>
        <w:rPr>
          <w:rFonts w:hint="eastAsia" w:asciiTheme="minorEastAsia" w:hAnsiTheme="minorEastAsia"/>
          <w:b/>
          <w:sz w:val="24"/>
        </w:rPr>
        <w:t xml:space="preserve">36.质疑函的受理和答复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36.4 以下情形的质疑不予受理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（3）以传真、电子邮件等方式递交的非原件形式的质疑。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（4）未参加采购活动的供应商或在采购活动中自身权益未受到损害的供应商所提出的质疑。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36.5采购人、交易中心依法受理的质疑，将按照政府采购有关规定，在法定期限内答复。</w:t>
      </w:r>
      <w:r/>
    </w:p>
    <w:p>
      <w:pPr>
        <w:ind w:firstLine="482"/>
        <w:spacing w:line="500" w:lineRule="exact"/>
        <w:rPr>
          <w:rFonts w:asciiTheme="minorEastAsia" w:hAnsiTheme="minorEastAsia"/>
          <w:b/>
          <w:sz w:val="24"/>
        </w:rPr>
      </w:pPr>
      <w:r>
        <w:rPr>
          <w:rFonts w:hint="eastAsia" w:asciiTheme="minorEastAsia" w:hAnsiTheme="minorEastAsia"/>
          <w:b/>
          <w:sz w:val="24"/>
        </w:rPr>
        <w:t xml:space="preserve">37.质疑处理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37.1 质疑供应商未按照法定程序进行质疑投诉的，视为一般失信行为。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37.2 质疑供应商不配合或者采用不正当手段干扰政府采购质疑、投诉处理工作的，视为一般失信行为。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37.3 质疑供应商投诉受理期间，就同一事项多头举报，干扰财政部门投诉处理的，视为一般失信行为。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37.4 质疑供应商在全国范围12个月内三次以上质疑查无实据的，视为一般失信行为。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37.5 质疑供应商采用捏造事实、提供虚假材料或者以非法手段取得证明材料等方式进行虚假、恶意投诉的，视为严重失信行为。（证据来源的合法性存在明显疑问，投诉人无法证</w:t>
      </w:r>
      <w:r>
        <w:rPr>
          <w:rFonts w:hint="eastAsia" w:asciiTheme="minorEastAsia" w:hAnsiTheme="minorEastAsia"/>
          <w:sz w:val="24"/>
          <w:szCs w:val="24"/>
        </w:rPr>
        <w:t xml:space="preserve">明其取得方式合法的，视为以非法手段取得证明材料）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37.6 质疑供应商在全国范围12个月内三次以上投诉查无实据的，视为严重失信行为。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37.7 未尽事宜，依照有关法律、法规执行。</w:t>
      </w:r>
      <w:r/>
    </w:p>
    <w:p>
      <w:pPr>
        <w:pStyle w:val="843"/>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九、政府采购政策功能</w:t>
      </w:r>
      <w:r/>
    </w:p>
    <w:p>
      <w:pPr>
        <w:ind w:firstLine="482"/>
        <w:spacing w:line="500" w:lineRule="exact"/>
        <w:rPr>
          <w:rFonts w:asciiTheme="minorEastAsia" w:hAnsiTheme="minorEastAsia"/>
          <w:b/>
          <w:sz w:val="24"/>
        </w:rPr>
      </w:pPr>
      <w:r>
        <w:rPr>
          <w:rFonts w:hint="eastAsia" w:asciiTheme="minorEastAsia" w:hAnsiTheme="minorEastAsia"/>
          <w:b/>
          <w:sz w:val="24"/>
        </w:rPr>
        <w:t xml:space="preserve">38.促进中小企业发展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p>
    <w:p>
      <w:pPr>
        <w:ind w:firstLine="482"/>
        <w:spacing w:line="500" w:lineRule="exact"/>
        <w:rPr>
          <w:rFonts w:asciiTheme="minorEastAsia" w:hAnsiTheme="minorEastAsia"/>
          <w:sz w:val="24"/>
          <w:szCs w:val="24"/>
        </w:rPr>
      </w:pPr>
      <w:r>
        <w:rPr>
          <w:rFonts w:hint="eastAsia" w:asciiTheme="minorEastAsia" w:hAnsiTheme="minorEastAsia"/>
          <w:b/>
          <w:sz w:val="24"/>
          <w:szCs w:val="24"/>
        </w:rPr>
        <w:t xml:space="preserve">38.2</w:t>
      </w:r>
      <w:r>
        <w:rPr>
          <w:rFonts w:hint="eastAsia" w:asciiTheme="minorEastAsia" w:hAnsiTheme="minorEastAsia"/>
          <w:b/>
          <w:color w:val="000000"/>
          <w:sz w:val="24"/>
          <w:szCs w:val="24"/>
          <w:shd w:val="clear" w:color="auto" w:fill="ffffff"/>
        </w:rPr>
        <w:t xml:space="preserve">本项目</w:t>
      </w:r>
      <w:r>
        <w:rPr>
          <w:rFonts w:hint="eastAsia"/>
          <w:b/>
          <w:sz w:val="24"/>
        </w:rPr>
        <w:t xml:space="preserve">不执行价格评审优惠措施。</w:t>
      </w:r>
      <w:r/>
    </w:p>
    <w:p>
      <w:pPr>
        <w:ind w:firstLine="480"/>
        <w:spacing w:line="500" w:lineRule="exact"/>
        <w:rPr>
          <w:rFonts w:asciiTheme="minorEastAsia" w:hAnsiTheme="minorEastAsia"/>
          <w:bCs/>
          <w:sz w:val="24"/>
          <w:szCs w:val="24"/>
        </w:rPr>
      </w:pPr>
      <w:r>
        <w:rPr>
          <w:rFonts w:hint="eastAsia" w:asciiTheme="minorEastAsia" w:hAnsiTheme="minorEastAsia"/>
          <w:bCs/>
          <w:sz w:val="24"/>
          <w:szCs w:val="24"/>
        </w:rPr>
        <w:t xml:space="preserve">38.3本项目预留部分采购项目预算专门面向中小微企业采购，且要求获得采购合同的供应商将采购项目中的一定比例分包给一家或者多家中小微企业的，投标文件中须提供《中小企业声明函》或《残疾人福利性单位声明函》或由省级以上监狱管理局、戒毒管理局（含新疆生产建设兵团）出具的属于监狱企业的证明文件，同时还须提供《分包意向协议》。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小型企业、微型企业的，提供《中小企业声明函》（第六章 投标文件格式）；符合《关于促进残疾人就业政府采购政策的通知》（财库〔2017〕141号）规定的条件并提供《残疾人福利性单位声明函》（第六章 投标文件格式）的残疾人福利性单位视同小型、微型企业；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38.4 享受扶持政策获得政府采购合同的，小微企业不得将合同分包给大中型企业，中型企业不得将合同分包给大型企业。</w:t>
      </w:r>
      <w:r/>
    </w:p>
    <w:p>
      <w:pPr>
        <w:ind w:firstLine="482"/>
        <w:spacing w:line="500" w:lineRule="exact"/>
        <w:rPr>
          <w:rFonts w:asciiTheme="minorEastAsia" w:hAnsiTheme="minorEastAsia"/>
          <w:b/>
          <w:sz w:val="24"/>
        </w:rPr>
      </w:pPr>
      <w:r>
        <w:rPr>
          <w:rFonts w:hint="eastAsia" w:asciiTheme="minorEastAsia" w:hAnsiTheme="minorEastAsia"/>
          <w:b/>
          <w:sz w:val="24"/>
        </w:rPr>
        <w:t xml:space="preserve">39.支持绿色发展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w:t>
      </w:r>
      <w:r>
        <w:rPr>
          <w:rFonts w:hint="eastAsia" w:asciiTheme="minorEastAsia" w:hAnsiTheme="minorEastAsia"/>
          <w:sz w:val="24"/>
          <w:szCs w:val="24"/>
        </w:rPr>
        <w:t xml:space="preserve">优先采购或强制采购。投标人须按招标文件要求提供相关产品认证证书。</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38.3本项目执行《财政部 生态环境部 工业和信息化部关于印发&lt;绿色数据中心政府采购需求标准（试行）&gt;的通知》（财库〔2023〕7号）的相关要求。涉及本次采购标的的设备在履约验收中将对中标人提供的产品或服务进行抽查检测，必要时可委托取得相关资质的第三方机构对其进行检测、认证。</w:t>
      </w:r>
      <w:r/>
    </w:p>
    <w:p>
      <w:pPr>
        <w:ind w:firstLine="480"/>
        <w:jc w:val="left"/>
        <w:spacing w:line="500" w:lineRule="exact"/>
        <w:rPr>
          <w:rFonts w:ascii="Calibri" w:hAnsi="Calibri" w:eastAsia="宋体" w:cs="Times New Roman"/>
          <w:sz w:val="24"/>
          <w:szCs w:val="24"/>
        </w:rPr>
      </w:pPr>
      <w:r>
        <w:rPr>
          <w:rFonts w:hint="eastAsia" w:asciiTheme="minorEastAsia" w:hAnsiTheme="minorEastAsia"/>
          <w:sz w:val="24"/>
          <w:szCs w:val="24"/>
        </w:rPr>
        <w:t xml:space="preserve">38.4为落实挥发性有机化合物（VOCs）治理要求，本项目采购标的如涉及涂料、胶黏剂、</w:t>
      </w:r>
      <w:r>
        <w:rPr>
          <w:rFonts w:hint="eastAsia" w:ascii="Calibri" w:hAnsi="Calibri" w:eastAsia="宋体" w:cs="Times New Roman"/>
          <w:sz w:val="24"/>
          <w:szCs w:val="24"/>
        </w:rPr>
        <w:t xml:space="preserve">油墨、清洗剂等挥发性有机物产品的，投标人应当执行国家和我省</w:t>
      </w:r>
      <w:r>
        <w:rPr>
          <w:rFonts w:hint="eastAsia" w:ascii="Calibri" w:hAnsi="Calibri" w:eastAsia="宋体" w:cs="Times New Roman"/>
          <w:sz w:val="24"/>
          <w:szCs w:val="24"/>
        </w:rPr>
        <w:t xml:space="preserve">VOCs</w:t>
      </w:r>
      <w:r>
        <w:rPr>
          <w:rFonts w:hint="eastAsia" w:ascii="Calibri" w:hAnsi="Calibri" w:eastAsia="宋体" w:cs="Times New Roman"/>
          <w:sz w:val="24"/>
          <w:szCs w:val="24"/>
        </w:rPr>
        <w:t xml:space="preserve">含量限制标准，并优先使用低挥发性原辅材料。投标人使用低</w:t>
      </w:r>
      <w:r>
        <w:rPr>
          <w:rFonts w:hint="eastAsia" w:ascii="Calibri" w:hAnsi="Calibri" w:eastAsia="宋体" w:cs="Times New Roman"/>
          <w:sz w:val="24"/>
          <w:szCs w:val="24"/>
        </w:rPr>
        <w:t xml:space="preserve">VOCs</w:t>
      </w:r>
      <w:r>
        <w:rPr>
          <w:rFonts w:hint="eastAsia" w:ascii="Calibri" w:hAnsi="Calibri" w:eastAsia="宋体" w:cs="Times New Roman"/>
          <w:sz w:val="24"/>
          <w:szCs w:val="24"/>
        </w:rPr>
        <w:t xml:space="preserve">含量的涂料、胶黏剂等将纳入政府采购合同条款。</w:t>
      </w:r>
      <w:r/>
    </w:p>
    <w:p>
      <w:pPr>
        <w:ind w:firstLine="482"/>
        <w:spacing w:line="500" w:lineRule="exact"/>
        <w:rPr>
          <w:rFonts w:asciiTheme="minorEastAsia" w:hAnsiTheme="minorEastAsia"/>
          <w:b/>
          <w:sz w:val="24"/>
        </w:rPr>
      </w:pPr>
      <w:r>
        <w:rPr>
          <w:rFonts w:hint="eastAsia" w:asciiTheme="minorEastAsia" w:hAnsiTheme="minorEastAsia"/>
          <w:b/>
          <w:sz w:val="24"/>
        </w:rPr>
        <w:t xml:space="preserve">40.政府采购需求标准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40.1 本项目执行《绿色数据中心政府采购需求</w:t>
      </w:r>
      <w:r>
        <w:rPr>
          <w:rFonts w:hint="eastAsia" w:asciiTheme="minorEastAsia" w:hAnsiTheme="minor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42"/>
        <w:jc w:val="center"/>
        <w:spacing w:line="360" w:lineRule="auto"/>
        <w:rPr>
          <w:rFonts w:ascii="黑体" w:hAnsi="黑体" w:eastAsia="黑体"/>
          <w:b w:val="0"/>
        </w:rPr>
      </w:pPr>
      <w:r/>
      <w:bookmarkStart w:id="2" w:name="_Toc162361612"/>
      <w:r>
        <w:rPr>
          <w:rFonts w:hint="eastAsia" w:ascii="黑体" w:hAnsi="黑体" w:eastAsia="黑体"/>
          <w:b w:val="0"/>
        </w:rPr>
        <w:t xml:space="preserve">第三章  合同文本</w:t>
      </w:r>
      <w:bookmarkEnd w:id="2"/>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w:t>
      </w:r>
      <w:r>
        <w:rPr>
          <w:rFonts w:hint="eastAsia"/>
          <w:sz w:val="24"/>
          <w:szCs w:val="24"/>
        </w:rPr>
        <w:t xml:space="preserve">_________</w:t>
      </w:r>
      <w:r/>
    </w:p>
    <w:p>
      <w:pPr>
        <w:jc w:val="left"/>
        <w:spacing w:line="500" w:lineRule="exact"/>
        <w:rPr>
          <w:sz w:val="24"/>
          <w:szCs w:val="24"/>
        </w:rPr>
      </w:pPr>
      <w:r>
        <w:rPr>
          <w:rFonts w:hint="eastAsia"/>
          <w:sz w:val="24"/>
          <w:szCs w:val="24"/>
        </w:rPr>
        <w:t xml:space="preserve">乙方：（卖方）</w:t>
      </w:r>
      <w:r>
        <w:rPr>
          <w:rFonts w:hint="eastAsia"/>
          <w:sz w:val="24"/>
          <w:szCs w:val="24"/>
        </w:rPr>
        <w:t xml:space="preserve">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rPr>
        <w:t xml:space="preserve">年月日</w:t>
      </w:r>
      <w:r>
        <w:rPr>
          <w:rFonts w:hint="eastAsia"/>
          <w:sz w:val="24"/>
          <w:szCs w:val="24"/>
        </w:rPr>
        <w:t xml:space="preserve">项目（项目编号：）公开招标的结果，签订本合同。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一、合同内容</w:t>
      </w:r>
      <w:r/>
    </w:p>
    <w:p>
      <w:pPr>
        <w:jc w:val="left"/>
        <w:spacing w:line="500" w:lineRule="exact"/>
        <w:rPr>
          <w:sz w:val="24"/>
          <w:szCs w:val="24"/>
        </w:rPr>
      </w:pPr>
      <w:r>
        <w:rPr>
          <w:rFonts w:hint="eastAsia"/>
          <w:sz w:val="24"/>
          <w:szCs w:val="24"/>
        </w:rPr>
        <w:t xml:space="preserve">    </w:t>
      </w:r>
      <w:r>
        <w:rPr>
          <w:sz w:val="24"/>
          <w:szCs w:val="24"/>
        </w:rPr>
        <w:t xml:space="preserve">1.1 </w:t>
      </w:r>
      <w:r>
        <w:rPr>
          <w:sz w:val="24"/>
          <w:szCs w:val="24"/>
        </w:rPr>
        <w:t xml:space="preserve">服务内容：</w:t>
      </w:r>
      <w:r>
        <w:rPr>
          <w:rFonts w:hint="eastAsia"/>
          <w:sz w:val="24"/>
          <w:szCs w:val="24"/>
        </w:rPr>
        <w:t xml:space="preserve">_________</w:t>
      </w:r>
      <w:r>
        <w:rPr>
          <w:sz w:val="24"/>
          <w:szCs w:val="24"/>
        </w:rPr>
        <w:t xml:space="preserve">。</w:t>
      </w:r>
      <w:r/>
    </w:p>
    <w:p>
      <w:pPr>
        <w:jc w:val="left"/>
        <w:spacing w:line="500" w:lineRule="exact"/>
        <w:rPr>
          <w:sz w:val="24"/>
          <w:szCs w:val="24"/>
        </w:rPr>
      </w:pPr>
      <w:r>
        <w:rPr>
          <w:rFonts w:hint="eastAsia"/>
          <w:sz w:val="24"/>
          <w:szCs w:val="24"/>
        </w:rPr>
        <w:t xml:space="preserve">    </w:t>
      </w:r>
      <w:r>
        <w:rPr>
          <w:sz w:val="24"/>
          <w:szCs w:val="24"/>
        </w:rPr>
        <w:t xml:space="preserve">1.2 </w:t>
      </w:r>
      <w:r>
        <w:rPr>
          <w:sz w:val="24"/>
          <w:szCs w:val="24"/>
        </w:rPr>
        <w:t xml:space="preserve">服务要求：</w:t>
      </w:r>
      <w:r>
        <w:rPr>
          <w:rFonts w:hint="eastAsia"/>
          <w:sz w:val="24"/>
          <w:szCs w:val="24"/>
        </w:rPr>
        <w:t xml:space="preserve">_________</w:t>
      </w:r>
      <w:r>
        <w:rPr>
          <w:sz w:val="24"/>
          <w:szCs w:val="24"/>
        </w:rPr>
        <w:t xml:space="preserve">。</w:t>
      </w:r>
      <w:r/>
    </w:p>
    <w:p>
      <w:pPr>
        <w:ind w:firstLine="480"/>
        <w:jc w:val="left"/>
        <w:spacing w:line="500" w:lineRule="exact"/>
        <w:rPr>
          <w:sz w:val="24"/>
          <w:szCs w:val="24"/>
        </w:rPr>
      </w:pPr>
      <w:r>
        <w:rPr>
          <w:rFonts w:hint="eastAsia"/>
          <w:sz w:val="24"/>
          <w:szCs w:val="24"/>
        </w:rPr>
        <w:t xml:space="preserve">1.3 </w:t>
      </w:r>
      <w:r>
        <w:rPr>
          <w:rFonts w:hint="eastAsia"/>
          <w:sz w:val="24"/>
          <w:szCs w:val="24"/>
        </w:rPr>
        <w:t xml:space="preserve">服务标准：</w:t>
      </w:r>
      <w:r>
        <w:rPr>
          <w:rFonts w:hint="eastAsia"/>
          <w:sz w:val="24"/>
          <w:szCs w:val="24"/>
        </w:rPr>
        <w:t xml:space="preserve">_________</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补充条款：</w:t>
      </w:r>
      <w:r>
        <w:rPr>
          <w:rFonts w:hint="eastAsia"/>
          <w:sz w:val="24"/>
          <w:szCs w:val="24"/>
        </w:rPr>
        <w:t xml:space="preserve">_________</w:t>
      </w:r>
      <w:r>
        <w:rPr>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二、合同金额</w:t>
      </w:r>
      <w:r/>
    </w:p>
    <w:p>
      <w:pPr>
        <w:ind w:firstLine="480"/>
        <w:jc w:val="left"/>
        <w:spacing w:line="500" w:lineRule="exact"/>
        <w:rPr>
          <w:sz w:val="24"/>
          <w:szCs w:val="24"/>
        </w:rPr>
      </w:pPr>
      <w:r>
        <w:rPr>
          <w:rFonts w:hint="eastAsia"/>
          <w:sz w:val="24"/>
          <w:szCs w:val="24"/>
        </w:rPr>
        <w:t xml:space="preserve">2.1 </w:t>
      </w:r>
      <w:r>
        <w:rPr>
          <w:rFonts w:hint="eastAsia"/>
          <w:sz w:val="24"/>
          <w:szCs w:val="24"/>
        </w:rPr>
        <w:t xml:space="preserve">本合同金额为人民币（大写）：</w:t>
      </w:r>
      <w:r>
        <w:rPr>
          <w:rFonts w:hint="eastAsia"/>
          <w:sz w:val="24"/>
          <w:szCs w:val="24"/>
        </w:rPr>
        <w:t xml:space="preserve">_________</w:t>
      </w:r>
      <w:r>
        <w:rPr>
          <w:rFonts w:hint="eastAsia"/>
          <w:sz w:val="24"/>
          <w:szCs w:val="24"/>
        </w:rPr>
        <w:t xml:space="preserve">元（</w:t>
      </w:r>
      <w:r>
        <w:rPr>
          <w:rFonts w:hint="eastAsia"/>
          <w:sz w:val="24"/>
          <w:szCs w:val="24"/>
        </w:rPr>
        <w:t xml:space="preserve">¥</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w:t>
      </w:r>
      <w:r>
        <w:rPr>
          <w:rFonts w:hint="eastAsia"/>
          <w:sz w:val="24"/>
          <w:szCs w:val="24"/>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三、技术资料</w:t>
      </w:r>
      <w:r/>
    </w:p>
    <w:p>
      <w:pPr>
        <w:ind w:firstLine="480"/>
        <w:jc w:val="left"/>
        <w:spacing w:line="500" w:lineRule="exact"/>
        <w:rPr>
          <w:sz w:val="24"/>
          <w:szCs w:val="24"/>
        </w:rPr>
      </w:pPr>
      <w:r>
        <w:rPr>
          <w:rFonts w:hint="eastAsia"/>
          <w:sz w:val="24"/>
          <w:szCs w:val="24"/>
        </w:rPr>
        <w:t xml:space="preserve">3.1 </w:t>
      </w:r>
      <w:r>
        <w:rPr>
          <w:rFonts w:hint="eastAsia"/>
          <w:sz w:val="24"/>
          <w:szCs w:val="24"/>
        </w:rPr>
        <w:t xml:space="preserve">乙方应按招标文件规定的时间向甲方提供有关技术资料。</w:t>
      </w:r>
      <w:r/>
    </w:p>
    <w:p>
      <w:pPr>
        <w:ind w:firstLine="480"/>
        <w:jc w:val="left"/>
        <w:spacing w:line="500" w:lineRule="exact"/>
        <w:rPr>
          <w:sz w:val="24"/>
          <w:szCs w:val="24"/>
        </w:rPr>
      </w:pPr>
      <w:r>
        <w:rPr>
          <w:rFonts w:hint="eastAsia"/>
          <w:sz w:val="24"/>
          <w:szCs w:val="24"/>
        </w:rPr>
        <w:t xml:space="preserve">3.2 </w:t>
      </w:r>
      <w:r>
        <w:rPr>
          <w:rFonts w:hint="eastAsia"/>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四、知识产权</w:t>
      </w:r>
      <w:r/>
    </w:p>
    <w:p>
      <w:pPr>
        <w:ind w:firstLine="480"/>
        <w:jc w:val="left"/>
        <w:spacing w:line="500" w:lineRule="exact"/>
        <w:rPr>
          <w:sz w:val="24"/>
          <w:szCs w:val="24"/>
        </w:rPr>
      </w:pPr>
      <w:r>
        <w:rPr>
          <w:rFonts w:hint="eastAsia"/>
          <w:sz w:val="24"/>
          <w:szCs w:val="24"/>
        </w:rPr>
        <w:t xml:space="preserve">4.1 </w:t>
      </w:r>
      <w:r>
        <w:rPr>
          <w:rFonts w:hint="eastAsia"/>
          <w:sz w:val="24"/>
          <w:szCs w:val="24"/>
        </w:rPr>
        <w:t xml:space="preserve">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五、产权担保</w:t>
      </w:r>
      <w:r/>
    </w:p>
    <w:p>
      <w:pPr>
        <w:ind w:firstLine="480"/>
        <w:jc w:val="left"/>
        <w:spacing w:line="500" w:lineRule="exact"/>
        <w:rPr>
          <w:sz w:val="24"/>
          <w:szCs w:val="24"/>
        </w:rPr>
      </w:pPr>
      <w:r>
        <w:rPr>
          <w:rFonts w:hint="eastAsia"/>
          <w:sz w:val="24"/>
          <w:szCs w:val="24"/>
        </w:rPr>
        <w:t xml:space="preserve">5.1 </w:t>
      </w:r>
      <w:r>
        <w:rPr>
          <w:rFonts w:hint="eastAsia"/>
          <w:sz w:val="24"/>
          <w:szCs w:val="24"/>
        </w:rPr>
        <w:t xml:space="preserve">乙方保证所交付标的的所有权完全属于乙方且无任何抵押、查封等产权瑕疵。</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六、履约保证金</w:t>
      </w:r>
      <w:r/>
    </w:p>
    <w:p>
      <w:pPr>
        <w:ind w:firstLine="480"/>
        <w:jc w:val="left"/>
        <w:spacing w:line="500" w:lineRule="exact"/>
        <w:rPr>
          <w:sz w:val="24"/>
          <w:szCs w:val="24"/>
        </w:rPr>
      </w:pPr>
      <w:r>
        <w:rPr>
          <w:rFonts w:hint="eastAsia"/>
          <w:sz w:val="24"/>
          <w:szCs w:val="24"/>
        </w:rPr>
        <w:t xml:space="preserve">6.1 </w:t>
      </w:r>
      <w:r>
        <w:rPr>
          <w:rFonts w:hint="eastAsia"/>
          <w:sz w:val="24"/>
          <w:szCs w:val="24"/>
        </w:rPr>
        <w:t xml:space="preserve">本合同不收取履约保证金。</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七、合同转包或分包</w:t>
      </w:r>
      <w:r/>
    </w:p>
    <w:p>
      <w:pPr>
        <w:ind w:firstLine="480"/>
        <w:jc w:val="left"/>
        <w:spacing w:line="500" w:lineRule="exact"/>
        <w:rPr>
          <w:sz w:val="24"/>
          <w:szCs w:val="24"/>
        </w:rPr>
      </w:pPr>
      <w:r>
        <w:rPr>
          <w:rFonts w:hint="eastAsia"/>
          <w:sz w:val="24"/>
          <w:szCs w:val="24"/>
        </w:rPr>
        <w:t xml:space="preserve">7.1 </w:t>
      </w:r>
      <w:r>
        <w:rPr>
          <w:rFonts w:hint="eastAsia"/>
          <w:sz w:val="24"/>
          <w:szCs w:val="24"/>
        </w:rPr>
        <w:t xml:space="preserve">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w:t>
      </w:r>
      <w:r>
        <w:rPr>
          <w:rFonts w:hint="eastAsia"/>
          <w:sz w:val="24"/>
          <w:szCs w:val="24"/>
        </w:rPr>
        <w:t xml:space="preserve">如有转让和未经甲方同意的分包行为，甲方有权终止合同。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w:t>
      </w:r>
      <w:r>
        <w:rPr>
          <w:rFonts w:hint="eastAsia"/>
          <w:sz w:val="24"/>
          <w:szCs w:val="24"/>
        </w:rPr>
        <w:t xml:space="preserve">服务时间：</w:t>
      </w:r>
      <w:r>
        <w:rPr>
          <w:rFonts w:hint="eastAsia"/>
          <w:sz w:val="24"/>
          <w:szCs w:val="24"/>
        </w:rPr>
        <w:t xml:space="preserve">_________</w:t>
      </w:r>
      <w:r>
        <w:rPr>
          <w:rFonts w:hint="eastAsia" w:ascii="黑体" w:hAnsi="黑体" w:eastAsia="黑体"/>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w:t>
      </w:r>
      <w:r>
        <w:rPr>
          <w:rFonts w:hint="eastAsia"/>
          <w:sz w:val="24"/>
          <w:szCs w:val="24"/>
        </w:rPr>
        <w:t xml:space="preserve">交付期：</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9.2 </w:t>
      </w:r>
      <w:r>
        <w:rPr>
          <w:rFonts w:hint="eastAsia"/>
          <w:sz w:val="24"/>
          <w:szCs w:val="24"/>
        </w:rPr>
        <w:t xml:space="preserve">交付方式：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9.3 </w:t>
      </w:r>
      <w:r>
        <w:rPr>
          <w:rFonts w:hint="eastAsia"/>
          <w:sz w:val="24"/>
          <w:szCs w:val="24"/>
        </w:rPr>
        <w:t xml:space="preserve">交付地点：</w:t>
      </w:r>
      <w:r>
        <w:rPr>
          <w:rFonts w:hint="eastAsia"/>
          <w:sz w:val="24"/>
          <w:szCs w:val="24"/>
        </w:rPr>
        <w:t xml:space="preserve">_________</w:t>
      </w:r>
      <w:r>
        <w:rPr>
          <w:rFonts w:hint="eastAsia"/>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十、合同款支付</w:t>
      </w:r>
      <w:r/>
    </w:p>
    <w:p>
      <w:pPr>
        <w:ind w:firstLine="480"/>
        <w:jc w:val="left"/>
        <w:spacing w:line="500" w:lineRule="exact"/>
        <w:rPr>
          <w:sz w:val="24"/>
          <w:szCs w:val="24"/>
        </w:rPr>
      </w:pPr>
      <w:r>
        <w:rPr>
          <w:rFonts w:hint="eastAsia"/>
          <w:sz w:val="24"/>
          <w:szCs w:val="24"/>
        </w:rPr>
        <w:t xml:space="preserve">10.1 </w:t>
      </w:r>
      <w:r>
        <w:rPr>
          <w:rFonts w:hint="eastAsia"/>
          <w:sz w:val="24"/>
          <w:szCs w:val="24"/>
        </w:rPr>
        <w:t xml:space="preserve">付款方式：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10.2 </w:t>
      </w:r>
      <w:r>
        <w:rPr>
          <w:rFonts w:hint="eastAsia"/>
          <w:sz w:val="24"/>
          <w:szCs w:val="24"/>
        </w:rPr>
        <w:t xml:space="preserve">当采购数量与实际使用数量不一致时，乙方应根据实际使用量提供产品和服务，合同的最终结算金额按实际使用量乘以中标单价进行计算。</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十一、税费</w:t>
      </w:r>
      <w:r/>
    </w:p>
    <w:p>
      <w:pPr>
        <w:ind w:firstLine="480"/>
        <w:jc w:val="left"/>
        <w:spacing w:line="500" w:lineRule="exact"/>
        <w:rPr>
          <w:sz w:val="24"/>
          <w:szCs w:val="24"/>
        </w:rPr>
      </w:pPr>
      <w:r>
        <w:rPr>
          <w:rFonts w:hint="eastAsia"/>
          <w:sz w:val="24"/>
          <w:szCs w:val="24"/>
        </w:rPr>
        <w:t xml:space="preserve">11.1 </w:t>
      </w:r>
      <w:r>
        <w:rPr>
          <w:rFonts w:hint="eastAsia"/>
          <w:sz w:val="24"/>
          <w:szCs w:val="24"/>
        </w:rPr>
        <w:t xml:space="preserve">本合同执行中相关的一切税费均由乙方负担。</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w:t>
      </w:r>
      <w:r>
        <w:rPr>
          <w:rFonts w:hint="eastAsia"/>
          <w:sz w:val="24"/>
          <w:szCs w:val="24"/>
        </w:rPr>
        <w:t xml:space="preserve">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w:t>
      </w:r>
      <w:r>
        <w:rPr>
          <w:rFonts w:hint="eastAsia"/>
          <w:sz w:val="24"/>
          <w:szCs w:val="24"/>
        </w:rPr>
        <w:t xml:space="preserve">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）更换：由乙方承担所产生的全部费用。</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w:t>
      </w:r>
      <w:r>
        <w:rPr>
          <w:rFonts w:hint="eastAsia"/>
          <w:sz w:val="24"/>
          <w:szCs w:val="24"/>
        </w:rPr>
        <w:t xml:space="preserve">如在使用过程中发生质量问题，乙方在接到甲方通知后在小时内到达甲方现场。</w:t>
      </w:r>
      <w:r/>
    </w:p>
    <w:p>
      <w:pPr>
        <w:ind w:firstLine="480"/>
        <w:jc w:val="left"/>
        <w:spacing w:line="500" w:lineRule="exact"/>
        <w:rPr>
          <w:sz w:val="24"/>
          <w:szCs w:val="24"/>
        </w:rPr>
      </w:pPr>
      <w:r>
        <w:rPr>
          <w:rFonts w:hint="eastAsia"/>
          <w:sz w:val="24"/>
          <w:szCs w:val="24"/>
        </w:rPr>
        <w:t xml:space="preserve">12.4 </w:t>
      </w:r>
      <w:r>
        <w:rPr>
          <w:rFonts w:hint="eastAsia"/>
          <w:sz w:val="24"/>
          <w:szCs w:val="24"/>
        </w:rPr>
        <w:t xml:space="preserve">在服务期内，乙方应对产品或服务出现的质量及安全问题负责处理解决并承担一切</w:t>
      </w:r>
      <w:r>
        <w:rPr>
          <w:rFonts w:hint="eastAsia"/>
          <w:sz w:val="24"/>
          <w:szCs w:val="24"/>
        </w:rPr>
        <w:t xml:space="preserve">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十三、项目验收</w:t>
      </w:r>
      <w:r/>
    </w:p>
    <w:p>
      <w:pPr>
        <w:ind w:firstLine="480"/>
        <w:jc w:val="left"/>
        <w:spacing w:line="500" w:lineRule="exact"/>
        <w:rPr>
          <w:sz w:val="24"/>
          <w:szCs w:val="24"/>
        </w:rPr>
      </w:pPr>
      <w:r>
        <w:rPr>
          <w:rFonts w:hint="eastAsia"/>
          <w:sz w:val="24"/>
          <w:szCs w:val="24"/>
        </w:rPr>
        <w:t xml:space="preserve">13.1 </w:t>
      </w:r>
      <w:r>
        <w:rPr>
          <w:rFonts w:hint="eastAsia"/>
          <w:sz w:val="24"/>
          <w:szCs w:val="24"/>
        </w:rPr>
        <w:t xml:space="preserve">甲方依法组织履约验收工作。</w:t>
      </w:r>
      <w:r/>
    </w:p>
    <w:p>
      <w:pPr>
        <w:ind w:firstLine="480"/>
        <w:jc w:val="left"/>
        <w:spacing w:line="500" w:lineRule="exact"/>
        <w:rPr>
          <w:sz w:val="24"/>
          <w:szCs w:val="24"/>
        </w:rPr>
      </w:pPr>
      <w:r>
        <w:rPr>
          <w:rFonts w:hint="eastAsia"/>
          <w:sz w:val="24"/>
          <w:szCs w:val="24"/>
        </w:rPr>
        <w:t xml:space="preserve">13.2 </w:t>
      </w:r>
      <w:r>
        <w:rPr>
          <w:rFonts w:hint="eastAsia"/>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w:t>
      </w:r>
      <w:r>
        <w:rPr>
          <w:rFonts w:hint="eastAsia"/>
          <w:sz w:val="24"/>
          <w:szCs w:val="24"/>
        </w:rPr>
        <w:t xml:space="preserve">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w:t>
      </w:r>
      <w:r>
        <w:rPr>
          <w:rFonts w:hint="eastAsia"/>
          <w:sz w:val="24"/>
          <w:szCs w:val="24"/>
        </w:rPr>
        <w:t xml:space="preserve">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w:t>
      </w:r>
      <w:r>
        <w:rPr>
          <w:rFonts w:hint="eastAsia"/>
          <w:sz w:val="24"/>
          <w:szCs w:val="24"/>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w:t>
      </w:r>
      <w:r>
        <w:rPr>
          <w:rFonts w:hint="eastAsia"/>
          <w:sz w:val="24"/>
          <w:szCs w:val="24"/>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w:t>
      </w:r>
      <w:r>
        <w:rPr>
          <w:rFonts w:hint="eastAsia"/>
          <w:sz w:val="24"/>
          <w:szCs w:val="24"/>
        </w:rPr>
        <w:t xml:space="preserve">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14.2 </w:t>
      </w:r>
      <w:r>
        <w:rPr>
          <w:rFonts w:hint="eastAsia"/>
          <w:sz w:val="24"/>
          <w:szCs w:val="24"/>
        </w:rPr>
        <w:t xml:space="preserve">使用说明书、质量检验证明书等一并提交甲方。</w:t>
      </w:r>
      <w:r/>
    </w:p>
    <w:p>
      <w:pPr>
        <w:ind w:firstLine="480"/>
        <w:jc w:val="left"/>
        <w:spacing w:line="500" w:lineRule="exact"/>
        <w:rPr>
          <w:sz w:val="24"/>
          <w:szCs w:val="24"/>
        </w:rPr>
      </w:pPr>
      <w:r>
        <w:rPr>
          <w:rFonts w:hint="eastAsia"/>
          <w:sz w:val="24"/>
          <w:szCs w:val="24"/>
        </w:rPr>
        <w:t xml:space="preserve">14.3 </w:t>
      </w:r>
      <w:r>
        <w:rPr>
          <w:rFonts w:hint="eastAsia"/>
          <w:sz w:val="24"/>
          <w:szCs w:val="24"/>
        </w:rPr>
        <w:t xml:space="preserve">乙方在合同标的交付甲方</w:t>
      </w:r>
      <w:r>
        <w:rPr>
          <w:rFonts w:hint="eastAsia"/>
          <w:sz w:val="24"/>
          <w:szCs w:val="24"/>
        </w:rPr>
        <w:t xml:space="preserve">48</w:t>
      </w:r>
      <w:r>
        <w:rPr>
          <w:rFonts w:hint="eastAsia"/>
          <w:sz w:val="24"/>
          <w:szCs w:val="24"/>
        </w:rPr>
        <w:t xml:space="preserve">小时前通知甲方准备接收。</w:t>
      </w:r>
      <w:r/>
    </w:p>
    <w:p>
      <w:pPr>
        <w:ind w:firstLine="480"/>
        <w:jc w:val="left"/>
        <w:spacing w:line="500" w:lineRule="exact"/>
        <w:rPr>
          <w:sz w:val="24"/>
          <w:szCs w:val="24"/>
        </w:rPr>
      </w:pPr>
      <w:r>
        <w:rPr>
          <w:rFonts w:hint="eastAsia"/>
          <w:sz w:val="24"/>
          <w:szCs w:val="24"/>
        </w:rPr>
        <w:t xml:space="preserve">14.4 </w:t>
      </w:r>
      <w:r>
        <w:rPr>
          <w:rFonts w:hint="eastAsia"/>
          <w:sz w:val="24"/>
          <w:szCs w:val="24"/>
        </w:rPr>
        <w:t xml:space="preserve">合同标的在交付甲方前发生的风险均由乙方负责。</w:t>
      </w:r>
      <w:r/>
    </w:p>
    <w:p>
      <w:pPr>
        <w:ind w:firstLine="480"/>
        <w:jc w:val="left"/>
        <w:spacing w:line="500" w:lineRule="exact"/>
        <w:rPr>
          <w:sz w:val="24"/>
          <w:szCs w:val="24"/>
        </w:rPr>
      </w:pPr>
      <w:r>
        <w:rPr>
          <w:rFonts w:hint="eastAsia"/>
          <w:sz w:val="24"/>
          <w:szCs w:val="24"/>
        </w:rPr>
        <w:t xml:space="preserve">14.5 </w:t>
      </w:r>
      <w:r>
        <w:rPr>
          <w:rFonts w:hint="eastAsia"/>
          <w:sz w:val="24"/>
          <w:szCs w:val="24"/>
        </w:rPr>
        <w:t xml:space="preserve">合同标的在规定的交付期限内由乙方送达甲方指定的地点视为交付，乙方同时需通知甲方已送达。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十五、违约责任</w:t>
      </w:r>
      <w:r/>
    </w:p>
    <w:p>
      <w:pPr>
        <w:ind w:firstLine="480"/>
        <w:jc w:val="left"/>
        <w:spacing w:line="500" w:lineRule="exact"/>
        <w:rPr>
          <w:sz w:val="24"/>
          <w:szCs w:val="24"/>
        </w:rPr>
      </w:pPr>
      <w:r>
        <w:rPr>
          <w:rFonts w:hint="eastAsia"/>
          <w:sz w:val="24"/>
          <w:szCs w:val="24"/>
        </w:rPr>
        <w:t xml:space="preserve">15.1 </w:t>
      </w:r>
      <w:r>
        <w:rPr>
          <w:rFonts w:hint="eastAsia"/>
          <w:sz w:val="24"/>
          <w:szCs w:val="24"/>
        </w:rPr>
        <w:t xml:space="preserve">甲方无正当理由拒收的，甲方向乙方偿付拒收标的总值的违约金。</w:t>
      </w:r>
      <w:r/>
    </w:p>
    <w:p>
      <w:pPr>
        <w:ind w:firstLine="480"/>
        <w:jc w:val="left"/>
        <w:spacing w:line="500" w:lineRule="exact"/>
        <w:rPr>
          <w:sz w:val="24"/>
          <w:szCs w:val="24"/>
        </w:rPr>
      </w:pPr>
      <w:r>
        <w:rPr>
          <w:rFonts w:hint="eastAsia"/>
          <w:sz w:val="24"/>
          <w:szCs w:val="24"/>
        </w:rPr>
        <w:t xml:space="preserve">15.2 </w:t>
      </w:r>
      <w:r>
        <w:rPr>
          <w:rFonts w:hint="eastAsia"/>
          <w:sz w:val="24"/>
          <w:szCs w:val="24"/>
        </w:rPr>
        <w:t xml:space="preserve">甲方无故逾期验收和办理合同款支付手续的，甲方应按逾期付款总额每日向乙方支付违约金，</w:t>
      </w:r>
      <w:r>
        <w:rPr>
          <w:rFonts w:hint="eastAsia" w:ascii="Times New Roman" w:hAnsi="Times New Roman"/>
          <w:color w:val="000000"/>
          <w:sz w:val="24"/>
          <w:szCs w:val="24"/>
        </w:rPr>
        <w:t xml:space="preserve">最高限额为本合同总额的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w:t>
      </w:r>
      <w:r>
        <w:rPr>
          <w:rFonts w:hint="eastAsia"/>
          <w:sz w:val="24"/>
          <w:szCs w:val="24"/>
        </w:rPr>
        <w:t xml:space="preserve">乙方逾期交付合同标的的，乙方应按逾期交付总额每日千分之六向甲方支付违约金，由甲方从待付合同款中扣除。逾期超过约定日期</w:t>
      </w:r>
      <w:r>
        <w:rPr>
          <w:rFonts w:hint="eastAsia"/>
          <w:sz w:val="24"/>
          <w:szCs w:val="24"/>
        </w:rPr>
        <w:t xml:space="preserve">10</w:t>
      </w:r>
      <w:r>
        <w:rPr>
          <w:rFonts w:hint="eastAsia"/>
          <w:sz w:val="24"/>
          <w:szCs w:val="24"/>
        </w:rPr>
        <w:t xml:space="preserve">个工作日不能交付的，甲方可解除本合同。乙方因逾期交付或因其他违约行为导致甲方解除合同的，乙方应向甲方支付合同总值的违约金，如造成甲方损失超过违约金的，超出部分由乙方继续承担赔偿责任。</w:t>
      </w:r>
      <w:r/>
    </w:p>
    <w:p>
      <w:pPr>
        <w:ind w:firstLine="480"/>
        <w:jc w:val="left"/>
        <w:spacing w:line="500" w:lineRule="exact"/>
        <w:rPr>
          <w:sz w:val="24"/>
          <w:szCs w:val="24"/>
        </w:rPr>
      </w:pPr>
      <w:r>
        <w:rPr>
          <w:rFonts w:hint="eastAsia"/>
          <w:sz w:val="24"/>
          <w:szCs w:val="24"/>
        </w:rPr>
        <w:t xml:space="preserve">15.4 </w:t>
      </w:r>
      <w:r>
        <w:rPr>
          <w:rFonts w:hint="eastAsia"/>
          <w:sz w:val="24"/>
          <w:szCs w:val="24"/>
        </w:rPr>
        <w:t xml:space="preserve">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w:t>
      </w:r>
      <w:r>
        <w:rPr>
          <w:rFonts w:hint="eastAsia"/>
          <w:sz w:val="24"/>
          <w:szCs w:val="24"/>
        </w:rPr>
        <w:t xml:space="preserve">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w:t>
      </w:r>
      <w:r>
        <w:rPr>
          <w:rFonts w:hint="eastAsia"/>
          <w:sz w:val="24"/>
          <w:szCs w:val="24"/>
        </w:rPr>
        <w:t xml:space="preserve">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w:t>
      </w:r>
      <w:r>
        <w:rPr>
          <w:rFonts w:hint="eastAsia"/>
          <w:sz w:val="24"/>
          <w:szCs w:val="24"/>
        </w:rPr>
        <w:t xml:space="preserve">不可抗力事件延续</w:t>
      </w:r>
      <w:r>
        <w:rPr>
          <w:rFonts w:hint="eastAsia"/>
          <w:sz w:val="24"/>
          <w:szCs w:val="24"/>
        </w:rPr>
        <w:t xml:space="preserve">120</w:t>
      </w:r>
      <w:r>
        <w:rPr>
          <w:rFonts w:hint="eastAsia"/>
          <w:sz w:val="24"/>
          <w:szCs w:val="24"/>
        </w:rPr>
        <w:t xml:space="preserve">天以上，双方应通过友好协商，确定是否继续履行合同。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w:t>
      </w:r>
      <w:r>
        <w:rPr>
          <w:rFonts w:hint="eastAsia"/>
          <w:sz w:val="24"/>
          <w:szCs w:val="24"/>
        </w:rPr>
        <w:t xml:space="preserve">甲乙双方因合同签订、履行而发生的一切争议，应通过友好协商解决。如协商不成，按下列第</w:t>
      </w:r>
      <w:r>
        <w:rPr>
          <w:rFonts w:hint="eastAsia"/>
          <w:sz w:val="24"/>
          <w:szCs w:val="24"/>
          <w:u w:val="single"/>
        </w:rPr>
        <w:t xml:space="preserve">（</w:t>
      </w:r>
      <w:r>
        <w:rPr>
          <w:rFonts w:hint="eastAsia"/>
          <w:sz w:val="24"/>
          <w:szCs w:val="24"/>
          <w:u w:val="single"/>
        </w:rPr>
        <w:t xml:space="preserve">1</w:t>
      </w:r>
      <w:r>
        <w:rPr>
          <w:rFonts w:hint="eastAsia"/>
          <w:sz w:val="24"/>
          <w:szCs w:val="24"/>
          <w:u w:val="single"/>
        </w:rPr>
        <w:t xml:space="preserve">）</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）向连云港仲裁委员会申请仲裁。</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）向合同签订地法院起诉，合同签订地在此约定为连云港市。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w:t>
      </w:r>
      <w:r>
        <w:rPr>
          <w:rFonts w:hint="eastAsia"/>
          <w:sz w:val="24"/>
          <w:szCs w:val="24"/>
        </w:rPr>
        <w:t xml:space="preserve">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w:t>
      </w:r>
      <w:r>
        <w:rPr>
          <w:rFonts w:hint="eastAsia"/>
          <w:sz w:val="24"/>
          <w:szCs w:val="24"/>
        </w:rPr>
        <w:t xml:space="preserve">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w:t>
      </w:r>
      <w:r>
        <w:rPr>
          <w:rFonts w:hint="eastAsia"/>
          <w:sz w:val="24"/>
          <w:szCs w:val="24"/>
        </w:rPr>
        <w:t xml:space="preserve">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w:t>
      </w:r>
      <w:r>
        <w:rPr>
          <w:rFonts w:hint="eastAsia"/>
          <w:sz w:val="24"/>
          <w:szCs w:val="24"/>
        </w:rPr>
        <w:t xml:space="preserve">                                     </w:t>
      </w:r>
      <w:r>
        <w:rPr>
          <w:rFonts w:hint="eastAsia"/>
          <w:sz w:val="24"/>
          <w:szCs w:val="24"/>
        </w:rPr>
        <w:t xml:space="preserve">乙方：</w:t>
      </w:r>
      <w:r/>
    </w:p>
    <w:p>
      <w:pPr>
        <w:ind w:firstLine="480"/>
        <w:jc w:val="left"/>
        <w:spacing w:line="500" w:lineRule="exact"/>
        <w:rPr>
          <w:sz w:val="24"/>
          <w:szCs w:val="24"/>
        </w:rPr>
      </w:pPr>
      <w:r>
        <w:rPr>
          <w:rFonts w:hint="eastAsia"/>
          <w:sz w:val="24"/>
          <w:szCs w:val="24"/>
        </w:rPr>
        <w:t xml:space="preserve">地址：</w:t>
      </w:r>
      <w:r>
        <w:rPr>
          <w:rFonts w:hint="eastAsia"/>
          <w:sz w:val="24"/>
          <w:szCs w:val="24"/>
        </w:rPr>
        <w:t xml:space="preserve">                                     </w:t>
      </w:r>
      <w:r>
        <w:rPr>
          <w:rFonts w:hint="eastAsia"/>
          <w:sz w:val="24"/>
          <w:szCs w:val="24"/>
        </w:rPr>
        <w:t xml:space="preserve">地址：</w:t>
      </w:r>
      <w:r/>
    </w:p>
    <w:p>
      <w:pPr>
        <w:ind w:firstLine="480"/>
        <w:jc w:val="left"/>
        <w:spacing w:line="500" w:lineRule="exact"/>
        <w:rPr>
          <w:sz w:val="24"/>
          <w:szCs w:val="24"/>
        </w:rPr>
      </w:pPr>
      <w:r>
        <w:rPr>
          <w:rFonts w:hint="eastAsia"/>
          <w:sz w:val="24"/>
          <w:szCs w:val="24"/>
        </w:rPr>
        <w:t xml:space="preserve">法定代表人或授权代表：</w:t>
      </w:r>
      <w:r>
        <w:rPr>
          <w:rFonts w:hint="eastAsia"/>
          <w:sz w:val="24"/>
          <w:szCs w:val="24"/>
        </w:rPr>
        <w:t xml:space="preserve">                </w:t>
      </w:r>
      <w:r>
        <w:rPr>
          <w:rFonts w:hint="eastAsia"/>
          <w:sz w:val="24"/>
          <w:szCs w:val="24"/>
        </w:rPr>
        <w:t xml:space="preserve">法定代表人或授权代表：</w:t>
      </w:r>
      <w:r/>
    </w:p>
    <w:p>
      <w:pPr>
        <w:ind w:firstLine="480"/>
        <w:jc w:val="left"/>
        <w:spacing w:line="500" w:lineRule="exact"/>
        <w:rPr>
          <w:sz w:val="24"/>
          <w:szCs w:val="24"/>
        </w:rPr>
      </w:pPr>
      <w:r>
        <w:rPr>
          <w:rFonts w:hint="eastAsia"/>
          <w:sz w:val="24"/>
          <w:szCs w:val="24"/>
        </w:rPr>
        <w:t xml:space="preserve">联系电话：</w:t>
      </w:r>
      <w:r>
        <w:rPr>
          <w:rFonts w:hint="eastAsia"/>
          <w:sz w:val="24"/>
          <w:szCs w:val="24"/>
        </w:rPr>
        <w:t xml:space="preserve">                            </w:t>
      </w:r>
      <w:r>
        <w:rPr>
          <w:rFonts w:hint="eastAsia"/>
          <w:sz w:val="24"/>
          <w:szCs w:val="24"/>
        </w:rPr>
        <w:t xml:space="preserve">联系电话：</w:t>
      </w:r>
      <w:r/>
    </w:p>
    <w:p>
      <w:pPr>
        <w:ind w:firstLine="480"/>
        <w:jc w:val="left"/>
        <w:spacing w:line="500" w:lineRule="exact"/>
        <w:rPr>
          <w:sz w:val="24"/>
          <w:szCs w:val="24"/>
        </w:rPr>
      </w:pPr>
      <w:r>
        <w:rPr>
          <w:sz w:val="24"/>
          <w:szCs w:val="24"/>
        </w:rPr>
      </w:r>
      <w:r/>
    </w:p>
    <w:p>
      <w:pPr>
        <w:ind w:firstLine="480"/>
        <w:jc w:val="right"/>
        <w:spacing w:line="500" w:lineRule="exact"/>
        <w:rPr>
          <w:sz w:val="24"/>
          <w:szCs w:val="24"/>
        </w:rPr>
      </w:pPr>
      <w:r>
        <w:rPr>
          <w:rFonts w:hint="eastAsia"/>
          <w:sz w:val="24"/>
          <w:szCs w:val="24"/>
        </w:rPr>
        <w:t xml:space="preserve">签订日期：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jc w:val="left"/>
        <w:widowControl/>
        <w:rPr>
          <w:sz w:val="24"/>
          <w:szCs w:val="24"/>
        </w:rPr>
      </w:pPr>
      <w:r>
        <w:rPr>
          <w:sz w:val="24"/>
          <w:szCs w:val="24"/>
        </w:rPr>
        <w:br w:type="page" w:clear="all"/>
      </w:r>
      <w:r/>
    </w:p>
    <w:p>
      <w:pPr>
        <w:pStyle w:val="842"/>
        <w:numPr>
          <w:ilvl w:val="0"/>
          <w:numId w:val="1"/>
        </w:numPr>
        <w:jc w:val="center"/>
        <w:spacing w:line="360" w:lineRule="auto"/>
        <w:rPr>
          <w:rFonts w:ascii="黑体" w:hAnsi="黑体" w:eastAsia="黑体"/>
          <w:b w:val="0"/>
        </w:rPr>
      </w:pPr>
      <w:r/>
      <w:bookmarkStart w:id="3" w:name="_Toc162361613"/>
      <w:r>
        <w:rPr>
          <w:rFonts w:hint="eastAsia" w:ascii="黑体" w:hAnsi="黑体" w:eastAsia="黑体"/>
          <w:b w:val="0"/>
        </w:rPr>
        <w:t xml:space="preserve"> 采购需求</w:t>
      </w:r>
      <w:r/>
    </w:p>
    <w:p>
      <w:pPr>
        <w:ind w:firstLine="482"/>
        <w:jc w:val="left"/>
        <w:spacing w:line="500" w:lineRule="exact"/>
        <w:rPr>
          <w:b/>
          <w:sz w:val="24"/>
          <w:szCs w:val="24"/>
        </w:rPr>
      </w:pPr>
      <w:r>
        <w:rPr>
          <w:rFonts w:hint="eastAsia"/>
          <w:b/>
          <w:sz w:val="24"/>
          <w:szCs w:val="24"/>
        </w:rPr>
        <w:t xml:space="preserve">说明：本项目属性为服务，采购标的对应的中小企业划分标准所属行业为：</w:t>
      </w:r>
      <w:r>
        <w:rPr>
          <w:rFonts w:hint="eastAsia"/>
          <w:b/>
          <w:sz w:val="24"/>
          <w:szCs w:val="24"/>
          <w:u w:val="single"/>
        </w:rPr>
        <w:t xml:space="preserve">软件和信息技术服务业</w:t>
      </w:r>
      <w:r>
        <w:rPr>
          <w:rFonts w:hint="eastAsia"/>
          <w:b/>
          <w:sz w:val="24"/>
          <w:szCs w:val="24"/>
        </w:rPr>
        <w:t xml:space="preserve">。</w:t>
      </w:r>
      <w:r/>
    </w:p>
    <w:p>
      <w:pPr>
        <w:ind w:firstLine="482"/>
        <w:jc w:val="left"/>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本项目</w:t>
      </w:r>
      <w:r>
        <w:rPr>
          <w:rFonts w:hint="eastAsia"/>
          <w:b/>
          <w:sz w:val="24"/>
          <w:szCs w:val="24"/>
        </w:rPr>
        <w:t xml:space="preserve">采购标的对应的中小企业划分标准所属行业为</w:t>
      </w:r>
      <w:r>
        <w:rPr>
          <w:rFonts w:hint="eastAsia"/>
          <w:b/>
          <w:sz w:val="24"/>
          <w:szCs w:val="24"/>
          <w:u w:val="single"/>
        </w:rPr>
        <w:t xml:space="preserve">软件和信息技术服务业</w:t>
      </w:r>
      <w:r>
        <w:rPr>
          <w:rFonts w:hint="eastAsia" w:ascii="宋体" w:hAnsi="宋体" w:eastAsia="宋体" w:cs="Times New Roman"/>
          <w:b/>
          <w:color w:val="000000"/>
          <w:sz w:val="24"/>
          <w:szCs w:val="24"/>
        </w:rPr>
        <w:t xml:space="preserve">，依据《关于印发中小企业划型标准规定的通知》（工信部联企业〔2011〕300号）行业划型标准如下：</w:t>
      </w:r>
      <w:r/>
    </w:p>
    <w:p>
      <w:pPr>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rPr>
          <w:sz w:val="24"/>
          <w:szCs w:val="24"/>
        </w:rPr>
      </w:pPr>
      <w:r>
        <w:rPr>
          <w:sz w:val="24"/>
          <w:szCs w:val="24"/>
        </w:rPr>
      </w:r>
      <w:r/>
    </w:p>
    <w:p>
      <w:pPr>
        <w:ind w:firstLine="482"/>
        <w:spacing w:line="360" w:lineRule="auto"/>
        <w:rPr>
          <w:rFonts w:asciiTheme="minorEastAsia" w:hAnsiTheme="minorEastAsia"/>
          <w:b/>
          <w:bCs/>
          <w:sz w:val="24"/>
          <w:szCs w:val="24"/>
        </w:rPr>
      </w:pPr>
      <w:r>
        <w:rPr>
          <w:rFonts w:hint="eastAsia" w:asciiTheme="minorEastAsia" w:hAnsiTheme="minorEastAsia"/>
          <w:b/>
          <w:bCs/>
          <w:sz w:val="24"/>
          <w:szCs w:val="24"/>
        </w:rPr>
        <w:t xml:space="preserve">一、项目背景及概况</w:t>
      </w:r>
      <w:r/>
    </w:p>
    <w:p>
      <w:pPr>
        <w:ind w:firstLine="480"/>
        <w:spacing w:line="360" w:lineRule="auto"/>
        <w:rPr>
          <w:sz w:val="24"/>
        </w:rPr>
      </w:pPr>
      <w:r>
        <w:rPr>
          <w:rFonts w:hint="eastAsia" w:ascii="宋体" w:hAnsi="宋体" w:eastAsia="宋体" w:cs="Times New Roman"/>
          <w:color w:val="000000"/>
          <w:sz w:val="24"/>
          <w:szCs w:val="24"/>
        </w:rPr>
        <w:t xml:space="preserve">为贯彻落实国家和江苏省推进城市生命线安全工程和有关要求，立足连云港实际，坚持集约化、科学化、实用化原则，打造省、市、县三级监管系统，推进市县一体化建设，主要覆盖1个综合应用场景+7个专项（燃气、供水、排水、道路、桥梁、第三方施工和地下管线交互）应用场景+1个特色（防震）应用场景，实现对城市基础设施运行状况进行实时监测、动态预警、精准溯源、协同处置，及早发现和管控风险隐患，有效防范事故发生。同时实现向上与省级监管系统互联互通和业务协同，向下与县（市、区）级监管系统实现业务监管、数据互通、业务协同。</w:t>
      </w:r>
      <w:r/>
    </w:p>
    <w:p>
      <w:pPr>
        <w:ind w:firstLine="482"/>
        <w:spacing w:line="360" w:lineRule="auto"/>
        <w:rPr>
          <w:rFonts w:asciiTheme="minorEastAsia" w:hAnsiTheme="minorEastAsia"/>
          <w:b/>
          <w:bCs/>
          <w:sz w:val="24"/>
          <w:szCs w:val="24"/>
        </w:rPr>
      </w:pPr>
      <w:r>
        <w:rPr>
          <w:rFonts w:hint="eastAsia" w:asciiTheme="minorEastAsia" w:hAnsiTheme="minorEastAsia"/>
          <w:b/>
          <w:bCs/>
          <w:sz w:val="24"/>
          <w:szCs w:val="24"/>
        </w:rPr>
        <w:t xml:space="preserve">二、建设目标</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按照“综合监管+智慧监测”思路，整合、完善政府部门和企业监管系统，将管理制度、管理流程和管理要求以信息化的方式实现，将信息化建设与规范化管理进行一体化融合，在提升行业本质安全的基础上，结合重点区域设置监测感知设备进行动态监测，运用物联网、云计算、大数据等信息技术，建设覆盖连云港市主城区的城市生命线安全工程。主要包含以下内容：</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1.搭建1个支撑体系</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以智慧监测为运行基础、综合监管为业务核心，构建市监管平台技术支撑体系，实现门</w:t>
      </w:r>
      <w:r>
        <w:rPr>
          <w:rFonts w:hint="eastAsia" w:asciiTheme="minorEastAsia" w:hAnsiTheme="minorEastAsia"/>
          <w:sz w:val="24"/>
          <w:szCs w:val="24"/>
        </w:rPr>
        <w:t xml:space="preserve">户管理、综合应用、基础应用等功能。构建内容具体涵盖大数据平台、数据中台、视频融合平台、地理信息系统（GIS）、物联网平台、融合通信平台、统一认证平台、统一工作流平台</w:t>
      </w:r>
      <w:r>
        <w:rPr>
          <w:rFonts w:hint="eastAsia" w:cs="宋体" w:asciiTheme="minorEastAsia" w:hAnsiTheme="minorEastAsia"/>
          <w:color w:val="000000"/>
          <w:sz w:val="24"/>
          <w:szCs w:val="24"/>
        </w:rPr>
        <w:t xml:space="preserve">业务支撑中心、AI监测算法</w:t>
      </w:r>
      <w:r>
        <w:rPr>
          <w:rFonts w:hint="eastAsia" w:asciiTheme="minorEastAsia" w:hAnsiTheme="minorEastAsia"/>
          <w:sz w:val="24"/>
          <w:szCs w:val="24"/>
        </w:rPr>
        <w:t xml:space="preserve">以及数据库和云服务器资源。</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2.建设“1+7+1”的应用系统</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涵盖综合应用、7个省选场景、1个地方特色场景，7个省选场景包括燃气、供水、排水、地下管线、道路、桥梁、第三方施工破坏专项场景，连云港市特色场景为防震专项场景。</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3.建立1套数据库并实施数据汇聚、数据治理、数据更新、脱敏脱密等工作</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依据“一库多平台”理念，建立城市生命线数据库，形成面向燃气、供排水等8个专项场景的归集库、主题库、专题库，实现行业数据省市联调、全市共享。以应用为主导，建立可充分反映城市管理业务基本特性的、统一的、及时更新的、可共享的业务信息库。提供完善的版本管理机制，解决行政管理的权威性和业务流程、方式的可调性之间的矛盾，确保业务数据的相对稳定性。</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4.部署1个中心</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利用住建局现有场地部署监管监测运营维护中心，实现一屏观风险，一网统联动。建立健全生命线监管监测管理运行机制，编制出台相关标准体系，并统管后期项目运行维护。</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5.建设智慧感知监测网</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整合现有资源，建设城市生命线安全工程物联感知网络，汇聚覆盖燃气、供水、排水、地下管线、道路、桥梁、第三方施工、地震等重点领域的传感器监测数据，并接入其他相关部门数据，打造城市生命线安全工程八大专题应用场景监测体系，市域与县（区）域、政府管理及企业行为形成物联网络贯通，同时实现与省级监管系统数据共享，形成连云港市城市生命线安全工程监测一张网。</w:t>
      </w:r>
      <w:r/>
    </w:p>
    <w:p>
      <w:pPr>
        <w:ind w:firstLine="482"/>
        <w:spacing w:line="360" w:lineRule="auto"/>
        <w:rPr>
          <w:rFonts w:asciiTheme="minorEastAsia" w:hAnsiTheme="minorEastAsia"/>
          <w:b/>
          <w:bCs/>
          <w:sz w:val="24"/>
          <w:szCs w:val="24"/>
        </w:rPr>
      </w:pPr>
      <w:r>
        <w:rPr>
          <w:rFonts w:hint="eastAsia" w:asciiTheme="minorEastAsia" w:hAnsiTheme="minorEastAsia"/>
          <w:b/>
          <w:bCs/>
          <w:sz w:val="24"/>
          <w:szCs w:val="24"/>
        </w:rPr>
        <w:t xml:space="preserve">三、服务技术要求</w:t>
      </w:r>
      <w:r/>
    </w:p>
    <w:p>
      <w:pPr>
        <w:ind w:firstLine="482"/>
        <w:spacing w:line="360" w:lineRule="auto"/>
        <w:rPr>
          <w:rFonts w:asciiTheme="minorEastAsia" w:hAnsiTheme="minorEastAsia"/>
          <w:b/>
          <w:bCs/>
          <w:sz w:val="24"/>
          <w:szCs w:val="24"/>
        </w:rPr>
      </w:pPr>
      <w:r>
        <w:rPr>
          <w:rFonts w:hint="eastAsia" w:asciiTheme="minorEastAsia" w:hAnsiTheme="minorEastAsia"/>
          <w:b/>
          <w:bCs/>
          <w:sz w:val="24"/>
          <w:szCs w:val="24"/>
        </w:rPr>
        <w:t xml:space="preserve">3.1项目建设整体要求</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结合连云港市实际情况，通过梳理城市生命线本信息系统现状，对现状问题进行全面分析梳理，从业务需求、功能需求、信息量等内容予以分析并给出解决策略，进而明确城市生命线系统的建设目标、建设思路和建设内容。</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基于对现状的分析和需求理解，从总体架构、网络架构、数据架构、平台架构、系统部署对接等方面，对本次建设的城市生命线系统的总体思路进行全面、系统的分析。</w:t>
      </w:r>
      <w:r/>
    </w:p>
    <w:p>
      <w:pPr>
        <w:ind w:firstLine="482"/>
        <w:spacing w:line="360" w:lineRule="auto"/>
        <w:rPr>
          <w:rFonts w:asciiTheme="minorEastAsia" w:hAnsiTheme="minorEastAsia"/>
          <w:b/>
          <w:bCs/>
          <w:sz w:val="24"/>
          <w:szCs w:val="24"/>
        </w:rPr>
      </w:pPr>
      <w:r>
        <w:rPr>
          <w:rFonts w:hint="eastAsia" w:asciiTheme="minorEastAsia" w:hAnsiTheme="minorEastAsia"/>
          <w:b/>
          <w:bCs/>
          <w:sz w:val="24"/>
          <w:szCs w:val="24"/>
        </w:rPr>
        <w:t xml:space="preserve">3.2项目建设具体服务技术要求</w:t>
      </w:r>
      <w:r/>
    </w:p>
    <w:p>
      <w:pPr>
        <w:ind w:firstLine="482"/>
        <w:spacing w:line="360" w:lineRule="auto"/>
        <w:rPr>
          <w:rFonts w:asciiTheme="minorEastAsia" w:hAnsiTheme="minorEastAsia"/>
          <w:b/>
          <w:bCs/>
          <w:sz w:val="24"/>
          <w:szCs w:val="24"/>
        </w:rPr>
      </w:pPr>
      <w:r>
        <w:rPr>
          <w:rFonts w:hint="eastAsia" w:asciiTheme="minorEastAsia" w:hAnsiTheme="minorEastAsia"/>
          <w:b/>
          <w:bCs/>
          <w:sz w:val="24"/>
          <w:szCs w:val="24"/>
        </w:rPr>
        <w:t xml:space="preserve">（一）应用支撑平台建设需求</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应用支撑平台建设包括大数据平台、数据中台、视频融合平台、地理信息系统、物联网平台、融合通信平台、统一认证平台、统一工作流平台、业务支撑中心、第三方施工算法。为系统提供数据分析计算、存储、查询、访问、设备对接等基础技术支撑能力，支撑系统的稳定运行。需在充分理解项目建设需求的基础上，根据项目实际需要，提出各平台的具体能力，并完成满足生命线系统要求的能力，支撑城市生命线系统的正常运行。</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建设清单如下：</w:t>
      </w:r>
      <w:r/>
    </w:p>
    <w:tbl>
      <w:tblPr>
        <w:tblW w:w="96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34"/>
        <w:gridCol w:w="4988"/>
        <w:gridCol w:w="1816"/>
        <w:gridCol w:w="1750"/>
      </w:tblGrid>
      <w:tr>
        <w:trPr>
          <w:jc w:val="center"/>
          <w:trHeight w:val="340"/>
          <w:tblHeader/>
        </w:trPr>
        <w:tc>
          <w:tcPr>
            <w:gridSpan w:val="4"/>
            <w:shd w:val="clear" w:color="auto" w:fill="auto"/>
            <w:tcW w:w="9688" w:type="dxa"/>
            <w:vAlign w:val="center"/>
            <w:textDirection w:val="lrTb"/>
            <w:noWrap w:val="false"/>
          </w:tcPr>
          <w:p>
            <w:pPr>
              <w:jc w:val="center"/>
              <w:spacing w:line="400" w:lineRule="exact"/>
              <w:rPr>
                <w:rFonts w:asciiTheme="minorEastAsia" w:hAnsiTheme="minorEastAsia"/>
                <w:b/>
                <w:bCs/>
                <w:color w:val="000000"/>
                <w:sz w:val="24"/>
                <w:szCs w:val="24"/>
              </w:rPr>
            </w:pPr>
            <w:r>
              <w:rPr>
                <w:rFonts w:hint="eastAsia" w:asciiTheme="minorEastAsia" w:hAnsiTheme="minorEastAsia"/>
                <w:b/>
                <w:bCs/>
                <w:color w:val="000000"/>
                <w:sz w:val="24"/>
                <w:szCs w:val="24"/>
              </w:rPr>
              <w:t xml:space="preserve">应用支撑平台</w:t>
            </w:r>
            <w:r/>
          </w:p>
        </w:tc>
      </w:tr>
      <w:tr>
        <w:trPr>
          <w:jc w:val="center"/>
          <w:trHeight w:val="340"/>
          <w:tblHeader/>
        </w:trPr>
        <w:tc>
          <w:tcPr>
            <w:shd w:val="clear" w:color="auto" w:fill="auto"/>
            <w:tcW w:w="1134" w:type="dxa"/>
            <w:vAlign w:val="center"/>
            <w:textDirection w:val="lrTb"/>
            <w:noWrap w:val="false"/>
          </w:tcPr>
          <w:p>
            <w:pPr>
              <w:jc w:val="center"/>
              <w:spacing w:line="400" w:lineRule="exact"/>
              <w:rPr>
                <w:rFonts w:asciiTheme="minorEastAsia" w:hAnsiTheme="minorEastAsia"/>
                <w:b/>
                <w:bCs/>
                <w:color w:val="000000"/>
                <w:sz w:val="24"/>
                <w:szCs w:val="24"/>
              </w:rPr>
            </w:pPr>
            <w:r>
              <w:rPr>
                <w:rFonts w:asciiTheme="minorEastAsia" w:hAnsiTheme="minorEastAsia"/>
                <w:b/>
                <w:bCs/>
                <w:color w:val="000000"/>
                <w:sz w:val="24"/>
                <w:szCs w:val="24"/>
              </w:rPr>
              <w:t xml:space="preserve">序号</w:t>
            </w:r>
            <w:r/>
          </w:p>
        </w:tc>
        <w:tc>
          <w:tcPr>
            <w:shd w:val="clear" w:color="auto" w:fill="auto"/>
            <w:tcW w:w="4988" w:type="dxa"/>
            <w:vAlign w:val="center"/>
            <w:textDirection w:val="lrTb"/>
            <w:noWrap w:val="false"/>
          </w:tcPr>
          <w:p>
            <w:pPr>
              <w:jc w:val="center"/>
              <w:spacing w:line="400" w:lineRule="exact"/>
              <w:rPr>
                <w:rFonts w:asciiTheme="minorEastAsia" w:hAnsiTheme="minorEastAsia"/>
                <w:b/>
                <w:bCs/>
                <w:color w:val="000000"/>
                <w:sz w:val="24"/>
                <w:szCs w:val="24"/>
              </w:rPr>
            </w:pPr>
            <w:r>
              <w:rPr>
                <w:rFonts w:asciiTheme="minorEastAsia" w:hAnsiTheme="minorEastAsia"/>
                <w:b/>
                <w:bCs/>
                <w:color w:val="000000"/>
                <w:sz w:val="24"/>
                <w:szCs w:val="24"/>
              </w:rPr>
              <w:t xml:space="preserve">分项名称</w:t>
            </w:r>
            <w:r/>
          </w:p>
        </w:tc>
        <w:tc>
          <w:tcPr>
            <w:shd w:val="clear" w:color="auto" w:fill="auto"/>
            <w:tcW w:w="1816" w:type="dxa"/>
            <w:vAlign w:val="center"/>
            <w:textDirection w:val="lrTb"/>
            <w:noWrap w:val="false"/>
          </w:tcPr>
          <w:p>
            <w:pPr>
              <w:jc w:val="center"/>
              <w:spacing w:line="400" w:lineRule="exact"/>
              <w:rPr>
                <w:rFonts w:asciiTheme="minorEastAsia" w:hAnsiTheme="minorEastAsia"/>
                <w:b/>
                <w:bCs/>
                <w:color w:val="000000"/>
                <w:sz w:val="24"/>
                <w:szCs w:val="24"/>
              </w:rPr>
            </w:pPr>
            <w:r>
              <w:rPr>
                <w:rFonts w:asciiTheme="minorEastAsia" w:hAnsiTheme="minorEastAsia"/>
                <w:b/>
                <w:bCs/>
                <w:color w:val="000000"/>
                <w:sz w:val="24"/>
                <w:szCs w:val="24"/>
              </w:rPr>
              <w:t xml:space="preserve">数量</w:t>
            </w:r>
            <w:r/>
          </w:p>
        </w:tc>
        <w:tc>
          <w:tcPr>
            <w:shd w:val="clear" w:color="auto" w:fill="auto"/>
            <w:tcW w:w="1750" w:type="dxa"/>
            <w:vAlign w:val="center"/>
            <w:textDirection w:val="lrTb"/>
            <w:noWrap w:val="false"/>
          </w:tcPr>
          <w:p>
            <w:pPr>
              <w:jc w:val="center"/>
              <w:spacing w:line="400" w:lineRule="exact"/>
              <w:rPr>
                <w:rFonts w:asciiTheme="minorEastAsia" w:hAnsiTheme="minorEastAsia"/>
                <w:b/>
                <w:bCs/>
                <w:color w:val="000000"/>
                <w:sz w:val="24"/>
                <w:szCs w:val="24"/>
              </w:rPr>
            </w:pPr>
            <w:r>
              <w:rPr>
                <w:rFonts w:asciiTheme="minorEastAsia" w:hAnsiTheme="minorEastAsia"/>
                <w:b/>
                <w:bCs/>
                <w:color w:val="000000"/>
                <w:sz w:val="24"/>
                <w:szCs w:val="24"/>
              </w:rPr>
              <w:t xml:space="preserve">单位</w:t>
            </w:r>
            <w:r/>
          </w:p>
        </w:tc>
      </w:tr>
      <w:tr>
        <w:trPr>
          <w:jc w:val="center"/>
          <w:trHeight w:val="340"/>
        </w:trPr>
        <w:tc>
          <w:tcPr>
            <w:tcW w:w="1134"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1</w:t>
            </w:r>
            <w:r/>
          </w:p>
        </w:tc>
        <w:tc>
          <w:tcPr>
            <w:tcW w:w="4988" w:type="dxa"/>
            <w:vAlign w:val="center"/>
            <w:textDirection w:val="lrTb"/>
            <w:noWrap w:val="false"/>
          </w:tcPr>
          <w:p>
            <w:pPr>
              <w:jc w:val="left"/>
              <w:spacing w:line="400" w:lineRule="exact"/>
              <w:widowControl/>
              <w:rPr>
                <w:rFonts w:asciiTheme="minorEastAsia" w:hAnsiTheme="minorEastAsia"/>
                <w:sz w:val="24"/>
                <w:szCs w:val="24"/>
              </w:rPr>
            </w:pPr>
            <w:r>
              <w:rPr>
                <w:rFonts w:hint="eastAsia" w:cs="宋体" w:asciiTheme="minorEastAsia" w:hAnsiTheme="minorEastAsia"/>
                <w:color w:val="000000"/>
                <w:sz w:val="24"/>
                <w:szCs w:val="24"/>
              </w:rPr>
              <w:t xml:space="preserve">大数据平台</w:t>
            </w:r>
            <w:r/>
          </w:p>
        </w:tc>
        <w:tc>
          <w:tcPr>
            <w:tcW w:w="1816"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1</w:t>
            </w:r>
            <w:r/>
          </w:p>
        </w:tc>
        <w:tc>
          <w:tcPr>
            <w:tcW w:w="1750"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套</w:t>
            </w:r>
            <w:r/>
          </w:p>
        </w:tc>
      </w:tr>
      <w:tr>
        <w:trPr>
          <w:jc w:val="center"/>
          <w:trHeight w:val="340"/>
        </w:trPr>
        <w:tc>
          <w:tcPr>
            <w:tcW w:w="1134"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2</w:t>
            </w:r>
            <w:r/>
          </w:p>
        </w:tc>
        <w:tc>
          <w:tcPr>
            <w:tcW w:w="4988" w:type="dxa"/>
            <w:vAlign w:val="center"/>
            <w:textDirection w:val="lrTb"/>
            <w:noWrap w:val="false"/>
          </w:tcPr>
          <w:p>
            <w:pPr>
              <w:jc w:val="left"/>
              <w:spacing w:line="400" w:lineRule="exact"/>
              <w:widowControl/>
              <w:rPr>
                <w:rFonts w:asciiTheme="minorEastAsia" w:hAnsiTheme="minorEastAsia"/>
                <w:sz w:val="24"/>
                <w:szCs w:val="24"/>
              </w:rPr>
            </w:pPr>
            <w:r>
              <w:rPr>
                <w:rFonts w:hint="eastAsia" w:cs="宋体" w:asciiTheme="minorEastAsia" w:hAnsiTheme="minorEastAsia"/>
                <w:color w:val="000000"/>
                <w:sz w:val="24"/>
                <w:szCs w:val="24"/>
              </w:rPr>
              <w:t xml:space="preserve">数据中台</w:t>
            </w:r>
            <w:r/>
          </w:p>
        </w:tc>
        <w:tc>
          <w:tcPr>
            <w:tcW w:w="1816"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1</w:t>
            </w:r>
            <w:r/>
          </w:p>
        </w:tc>
        <w:tc>
          <w:tcPr>
            <w:tcW w:w="1750"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套</w:t>
            </w:r>
            <w:r/>
          </w:p>
        </w:tc>
      </w:tr>
      <w:tr>
        <w:trPr>
          <w:jc w:val="center"/>
          <w:trHeight w:val="340"/>
        </w:trPr>
        <w:tc>
          <w:tcPr>
            <w:tcW w:w="1134"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3</w:t>
            </w:r>
            <w:r/>
          </w:p>
        </w:tc>
        <w:tc>
          <w:tcPr>
            <w:tcW w:w="4988" w:type="dxa"/>
            <w:vAlign w:val="center"/>
            <w:textDirection w:val="lrTb"/>
            <w:noWrap w:val="false"/>
          </w:tcPr>
          <w:p>
            <w:pPr>
              <w:jc w:val="left"/>
              <w:spacing w:line="400" w:lineRule="exact"/>
              <w:widowControl/>
              <w:rPr>
                <w:rFonts w:asciiTheme="minorEastAsia" w:hAnsiTheme="minorEastAsia"/>
                <w:sz w:val="24"/>
                <w:szCs w:val="24"/>
              </w:rPr>
            </w:pPr>
            <w:r>
              <w:rPr>
                <w:rFonts w:hint="eastAsia" w:cs="宋体" w:asciiTheme="minorEastAsia" w:hAnsiTheme="minorEastAsia"/>
                <w:color w:val="000000"/>
                <w:sz w:val="24"/>
                <w:szCs w:val="24"/>
              </w:rPr>
              <w:t xml:space="preserve">视频融合平台</w:t>
            </w:r>
            <w:r/>
          </w:p>
        </w:tc>
        <w:tc>
          <w:tcPr>
            <w:tcW w:w="1816"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1</w:t>
            </w:r>
            <w:r/>
          </w:p>
        </w:tc>
        <w:tc>
          <w:tcPr>
            <w:tcW w:w="1750"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套</w:t>
            </w:r>
            <w:r/>
          </w:p>
        </w:tc>
      </w:tr>
      <w:tr>
        <w:trPr>
          <w:jc w:val="center"/>
          <w:trHeight w:val="340"/>
        </w:trPr>
        <w:tc>
          <w:tcPr>
            <w:tcW w:w="1134"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4</w:t>
            </w:r>
            <w:r/>
          </w:p>
        </w:tc>
        <w:tc>
          <w:tcPr>
            <w:tcW w:w="4988" w:type="dxa"/>
            <w:vAlign w:val="center"/>
            <w:textDirection w:val="lrTb"/>
            <w:noWrap w:val="false"/>
          </w:tcPr>
          <w:p>
            <w:pPr>
              <w:jc w:val="left"/>
              <w:spacing w:line="400" w:lineRule="exact"/>
              <w:widowControl/>
              <w:rPr>
                <w:rFonts w:asciiTheme="minorEastAsia" w:hAnsiTheme="minorEastAsia"/>
                <w:sz w:val="24"/>
                <w:szCs w:val="24"/>
              </w:rPr>
            </w:pPr>
            <w:r>
              <w:rPr>
                <w:rFonts w:hint="eastAsia" w:cs="宋体" w:asciiTheme="minorEastAsia" w:hAnsiTheme="minorEastAsia"/>
                <w:color w:val="000000"/>
                <w:sz w:val="24"/>
                <w:szCs w:val="24"/>
              </w:rPr>
              <w:t xml:space="preserve">地理信息系统（GIS）</w:t>
            </w:r>
            <w:r/>
          </w:p>
        </w:tc>
        <w:tc>
          <w:tcPr>
            <w:tcW w:w="1816"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1</w:t>
            </w:r>
            <w:r/>
          </w:p>
        </w:tc>
        <w:tc>
          <w:tcPr>
            <w:tcW w:w="1750"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套</w:t>
            </w:r>
            <w:r/>
          </w:p>
        </w:tc>
      </w:tr>
      <w:tr>
        <w:trPr>
          <w:jc w:val="center"/>
          <w:trHeight w:val="340"/>
        </w:trPr>
        <w:tc>
          <w:tcPr>
            <w:tcW w:w="1134"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5</w:t>
            </w:r>
            <w:r/>
          </w:p>
        </w:tc>
        <w:tc>
          <w:tcPr>
            <w:tcW w:w="4988" w:type="dxa"/>
            <w:vAlign w:val="center"/>
            <w:textDirection w:val="lrTb"/>
            <w:noWrap w:val="false"/>
          </w:tcPr>
          <w:p>
            <w:pPr>
              <w:jc w:val="left"/>
              <w:spacing w:line="400" w:lineRule="exact"/>
              <w:widowControl/>
              <w:rPr>
                <w:rFonts w:asciiTheme="minorEastAsia" w:hAnsiTheme="minorEastAsia"/>
                <w:sz w:val="24"/>
                <w:szCs w:val="24"/>
              </w:rPr>
            </w:pPr>
            <w:r>
              <w:rPr>
                <w:rFonts w:hint="eastAsia" w:cs="宋体" w:asciiTheme="minorEastAsia" w:hAnsiTheme="minorEastAsia"/>
                <w:color w:val="000000"/>
                <w:sz w:val="24"/>
                <w:szCs w:val="24"/>
              </w:rPr>
              <w:t xml:space="preserve">物联网平台</w:t>
            </w:r>
            <w:r/>
          </w:p>
        </w:tc>
        <w:tc>
          <w:tcPr>
            <w:tcW w:w="1816"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1</w:t>
            </w:r>
            <w:r/>
          </w:p>
        </w:tc>
        <w:tc>
          <w:tcPr>
            <w:tcW w:w="1750"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套</w:t>
            </w:r>
            <w:r/>
          </w:p>
        </w:tc>
      </w:tr>
      <w:tr>
        <w:trPr>
          <w:jc w:val="center"/>
          <w:trHeight w:val="340"/>
        </w:trPr>
        <w:tc>
          <w:tcPr>
            <w:tcW w:w="1134"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6</w:t>
            </w:r>
            <w:r/>
          </w:p>
        </w:tc>
        <w:tc>
          <w:tcPr>
            <w:tcW w:w="4988" w:type="dxa"/>
            <w:vAlign w:val="center"/>
            <w:textDirection w:val="lrTb"/>
            <w:noWrap w:val="false"/>
          </w:tcPr>
          <w:p>
            <w:pPr>
              <w:jc w:val="left"/>
              <w:spacing w:line="400" w:lineRule="exact"/>
              <w:widowControl/>
              <w:rPr>
                <w:rFonts w:asciiTheme="minorEastAsia" w:hAnsiTheme="minorEastAsia"/>
                <w:sz w:val="24"/>
                <w:szCs w:val="24"/>
              </w:rPr>
            </w:pPr>
            <w:r>
              <w:rPr>
                <w:rFonts w:hint="eastAsia" w:cs="宋体" w:asciiTheme="minorEastAsia" w:hAnsiTheme="minorEastAsia"/>
                <w:color w:val="000000"/>
                <w:sz w:val="24"/>
                <w:szCs w:val="24"/>
              </w:rPr>
              <w:t xml:space="preserve">融合通信平台</w:t>
            </w:r>
            <w:r/>
          </w:p>
        </w:tc>
        <w:tc>
          <w:tcPr>
            <w:tcW w:w="1816"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1</w:t>
            </w:r>
            <w:r/>
          </w:p>
        </w:tc>
        <w:tc>
          <w:tcPr>
            <w:tcW w:w="1750"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套</w:t>
            </w:r>
            <w:r/>
          </w:p>
        </w:tc>
      </w:tr>
      <w:tr>
        <w:trPr>
          <w:jc w:val="center"/>
          <w:trHeight w:val="340"/>
        </w:trPr>
        <w:tc>
          <w:tcPr>
            <w:tcW w:w="1134"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7</w:t>
            </w:r>
            <w:r/>
          </w:p>
        </w:tc>
        <w:tc>
          <w:tcPr>
            <w:tcW w:w="4988" w:type="dxa"/>
            <w:vAlign w:val="center"/>
            <w:textDirection w:val="lrTb"/>
            <w:noWrap w:val="false"/>
          </w:tcPr>
          <w:p>
            <w:pPr>
              <w:jc w:val="left"/>
              <w:spacing w:line="400" w:lineRule="exact"/>
              <w:widowControl/>
              <w:rPr>
                <w:rFonts w:asciiTheme="minorEastAsia" w:hAnsiTheme="minorEastAsia"/>
                <w:sz w:val="24"/>
                <w:szCs w:val="24"/>
              </w:rPr>
            </w:pPr>
            <w:r>
              <w:rPr>
                <w:rFonts w:hint="eastAsia" w:cs="宋体" w:asciiTheme="minorEastAsia" w:hAnsiTheme="minorEastAsia"/>
                <w:color w:val="000000"/>
                <w:sz w:val="24"/>
                <w:szCs w:val="24"/>
              </w:rPr>
              <w:t xml:space="preserve">统一认证平台</w:t>
            </w:r>
            <w:r/>
          </w:p>
        </w:tc>
        <w:tc>
          <w:tcPr>
            <w:tcW w:w="1816"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1</w:t>
            </w:r>
            <w:r/>
          </w:p>
        </w:tc>
        <w:tc>
          <w:tcPr>
            <w:tcW w:w="1750"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套</w:t>
            </w:r>
            <w:r/>
          </w:p>
        </w:tc>
      </w:tr>
      <w:tr>
        <w:trPr>
          <w:jc w:val="center"/>
          <w:trHeight w:val="340"/>
        </w:trPr>
        <w:tc>
          <w:tcPr>
            <w:tcW w:w="1134"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8</w:t>
            </w:r>
            <w:r/>
          </w:p>
        </w:tc>
        <w:tc>
          <w:tcPr>
            <w:tcW w:w="4988" w:type="dxa"/>
            <w:vAlign w:val="center"/>
            <w:textDirection w:val="lrTb"/>
            <w:noWrap w:val="false"/>
          </w:tcPr>
          <w:p>
            <w:pPr>
              <w:jc w:val="left"/>
              <w:spacing w:line="400" w:lineRule="exact"/>
              <w:widowControl/>
              <w:rPr>
                <w:rFonts w:asciiTheme="minorEastAsia" w:hAnsiTheme="minorEastAsia"/>
                <w:sz w:val="24"/>
                <w:szCs w:val="24"/>
              </w:rPr>
            </w:pPr>
            <w:r>
              <w:rPr>
                <w:rFonts w:hint="eastAsia" w:cs="宋体" w:asciiTheme="minorEastAsia" w:hAnsiTheme="minorEastAsia"/>
                <w:color w:val="000000"/>
                <w:sz w:val="24"/>
                <w:szCs w:val="24"/>
              </w:rPr>
              <w:t xml:space="preserve">统一工作流平台</w:t>
            </w:r>
            <w:r/>
          </w:p>
        </w:tc>
        <w:tc>
          <w:tcPr>
            <w:tcW w:w="1816"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1</w:t>
            </w:r>
            <w:r/>
          </w:p>
        </w:tc>
        <w:tc>
          <w:tcPr>
            <w:tcW w:w="1750"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套</w:t>
            </w:r>
            <w:r/>
          </w:p>
        </w:tc>
      </w:tr>
      <w:tr>
        <w:trPr>
          <w:jc w:val="center"/>
          <w:trHeight w:val="340"/>
        </w:trPr>
        <w:tc>
          <w:tcPr>
            <w:tcW w:w="1134"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9</w:t>
            </w:r>
            <w:r/>
          </w:p>
        </w:tc>
        <w:tc>
          <w:tcPr>
            <w:tcW w:w="4988" w:type="dxa"/>
            <w:vAlign w:val="center"/>
            <w:textDirection w:val="lrTb"/>
            <w:noWrap w:val="false"/>
          </w:tcPr>
          <w:p>
            <w:pPr>
              <w:jc w:val="left"/>
              <w:spacing w:line="400" w:lineRule="exact"/>
              <w:widowControl/>
              <w:rPr>
                <w:rFonts w:asciiTheme="minorEastAsia" w:hAnsiTheme="minorEastAsia"/>
                <w:sz w:val="24"/>
                <w:szCs w:val="24"/>
              </w:rPr>
            </w:pPr>
            <w:r>
              <w:rPr>
                <w:rFonts w:hint="eastAsia" w:cs="宋体" w:asciiTheme="minorEastAsia" w:hAnsiTheme="minorEastAsia"/>
                <w:color w:val="000000"/>
                <w:sz w:val="24"/>
                <w:szCs w:val="24"/>
              </w:rPr>
              <w:t xml:space="preserve">业务支撑中心</w:t>
            </w:r>
            <w:r/>
          </w:p>
        </w:tc>
        <w:tc>
          <w:tcPr>
            <w:tcW w:w="1816"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1</w:t>
            </w:r>
            <w:r/>
          </w:p>
        </w:tc>
        <w:tc>
          <w:tcPr>
            <w:tcW w:w="1750"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套</w:t>
            </w:r>
            <w:r/>
          </w:p>
        </w:tc>
      </w:tr>
      <w:tr>
        <w:trPr>
          <w:jc w:val="center"/>
          <w:trHeight w:val="340"/>
        </w:trPr>
        <w:tc>
          <w:tcPr>
            <w:tcW w:w="1134" w:type="dxa"/>
            <w:vAlign w:val="center"/>
            <w:textDirection w:val="lrTb"/>
            <w:noWrap w:val="false"/>
          </w:tcPr>
          <w:p>
            <w:pPr>
              <w:jc w:val="center"/>
              <w:spacing w:line="400" w:lineRule="exact"/>
              <w:rPr>
                <w:rFonts w:cs="宋体" w:asciiTheme="minorEastAsia" w:hAnsiTheme="minorEastAsia"/>
                <w:color w:val="000000"/>
                <w:sz w:val="24"/>
                <w:szCs w:val="24"/>
              </w:rPr>
            </w:pPr>
            <w:r>
              <w:rPr>
                <w:rFonts w:hint="eastAsia" w:asciiTheme="minorEastAsia" w:hAnsiTheme="minorEastAsia"/>
                <w:color w:val="000000"/>
                <w:sz w:val="24"/>
                <w:szCs w:val="24"/>
              </w:rPr>
              <w:t xml:space="preserve">10</w:t>
            </w:r>
            <w:r/>
          </w:p>
        </w:tc>
        <w:tc>
          <w:tcPr>
            <w:tcW w:w="4988" w:type="dxa"/>
            <w:vAlign w:val="center"/>
            <w:textDirection w:val="lrTb"/>
            <w:noWrap w:val="false"/>
          </w:tcPr>
          <w:p>
            <w:pPr>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AI监测算法</w:t>
            </w:r>
            <w:r/>
          </w:p>
        </w:tc>
        <w:tc>
          <w:tcPr>
            <w:tcW w:w="1816"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1</w:t>
            </w:r>
            <w:r/>
          </w:p>
        </w:tc>
        <w:tc>
          <w:tcPr>
            <w:tcW w:w="1750"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套</w:t>
            </w:r>
            <w:r/>
          </w:p>
        </w:tc>
      </w:tr>
    </w:tbl>
    <w:p>
      <w:pPr>
        <w:ind w:firstLine="482"/>
        <w:spacing w:line="360" w:lineRule="auto"/>
        <w:rPr>
          <w:rFonts w:asciiTheme="minorEastAsia" w:hAnsiTheme="minorEastAsia"/>
          <w:b/>
          <w:bCs/>
          <w:sz w:val="24"/>
          <w:szCs w:val="24"/>
        </w:rPr>
      </w:pPr>
      <w:r>
        <w:rPr>
          <w:rFonts w:hint="eastAsia" w:asciiTheme="minorEastAsia" w:hAnsiTheme="minorEastAsia"/>
          <w:b/>
          <w:bCs/>
          <w:sz w:val="24"/>
          <w:szCs w:val="24"/>
        </w:rPr>
        <w:t xml:space="preserve">具体要求如下：</w:t>
      </w:r>
      <w:r/>
    </w:p>
    <w:p>
      <w:pPr>
        <w:ind w:firstLine="482"/>
        <w:spacing w:line="360" w:lineRule="auto"/>
        <w:rPr>
          <w:rFonts w:asciiTheme="minorEastAsia" w:hAnsiTheme="minorEastAsia"/>
          <w:b/>
          <w:bCs/>
          <w:sz w:val="24"/>
          <w:szCs w:val="24"/>
        </w:rPr>
      </w:pPr>
      <w:r>
        <w:rPr>
          <w:rFonts w:hint="eastAsia" w:asciiTheme="minorEastAsia" w:hAnsiTheme="minorEastAsia"/>
          <w:b/>
          <w:bCs/>
          <w:sz w:val="24"/>
          <w:szCs w:val="24"/>
        </w:rPr>
        <w:t xml:space="preserve">1.大数据平台</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大数据平台以数据能力中心为基础，将数据平台的能力对内、对外开放和赋能，通过数据资源中心盘点数据资产目录，数据开发中心使能用户自发、自主、自助进行数据价值挖掘，数据服务中心打造数据共享、开放、检索、查询等服务能力。主要功能包括集群管理、系统管理、运行监控、集群操作服务、HA支持，配置管理、多租户资源管理、系统拓展性、系统升级、告警管理、大数据平台技术组件。</w:t>
      </w:r>
      <w:r/>
    </w:p>
    <w:p>
      <w:pPr>
        <w:ind w:firstLine="482"/>
        <w:spacing w:line="360" w:lineRule="auto"/>
        <w:rPr>
          <w:rFonts w:asciiTheme="minorEastAsia" w:hAnsiTheme="minorEastAsia"/>
          <w:b/>
          <w:bCs/>
          <w:sz w:val="24"/>
          <w:szCs w:val="24"/>
        </w:rPr>
      </w:pPr>
      <w:r>
        <w:rPr>
          <w:rFonts w:hint="eastAsia" w:asciiTheme="minorEastAsia" w:hAnsiTheme="minorEastAsia"/>
          <w:b/>
          <w:bCs/>
          <w:sz w:val="24"/>
          <w:szCs w:val="24"/>
        </w:rPr>
        <w:t xml:space="preserve">2.数据中台</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打造以用户为中心的一站式工作台，提供覆盖数据的规划设计、采集汇聚、开发治理、资产管理、服务共享、监控运维和分析应用全流程的一站式数据生产与管理能力，以及多行业大数据建设经验沉淀的标准化行业数据体系模板，提供敏捷构建完整的数据治理体系能力，实现全域数据的归集治理、数据质量改善提升、数据资产持续沉淀、数据资源共享流通，数据价值不断释放，为数字化转型注智赋能。主要功能包括数据规范、数据集成、数据开发、数据资产、数据开放、数据运维、数据质量。</w:t>
      </w:r>
      <w:r/>
    </w:p>
    <w:p>
      <w:pPr>
        <w:ind w:firstLine="482"/>
        <w:spacing w:line="360" w:lineRule="auto"/>
        <w:rPr>
          <w:rFonts w:asciiTheme="minorEastAsia" w:hAnsiTheme="minorEastAsia"/>
          <w:b/>
          <w:bCs/>
          <w:sz w:val="24"/>
          <w:szCs w:val="24"/>
        </w:rPr>
      </w:pPr>
      <w:r>
        <w:rPr>
          <w:rFonts w:hint="eastAsia" w:asciiTheme="minorEastAsia" w:hAnsiTheme="minorEastAsia"/>
          <w:b/>
          <w:bCs/>
          <w:sz w:val="24"/>
          <w:szCs w:val="24"/>
        </w:rPr>
        <w:t xml:space="preserve">3.视频融合平台</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建设视频融合平台，并对接公共视频资源，实现视频图像数据及结构化数据的接入和汇聚。视频融合平台将汇聚后的视频图像信息进行分析，产生的分析结果数据和视频数据共享给相关业务场景。主要功能包括终端入网、参数设置、告警管理、实时视频、历史视频、轮训管理、设备管理、日志管理。</w:t>
      </w:r>
      <w:r/>
    </w:p>
    <w:p>
      <w:pPr>
        <w:ind w:firstLine="482"/>
        <w:spacing w:line="360" w:lineRule="auto"/>
        <w:rPr>
          <w:rFonts w:asciiTheme="minorEastAsia" w:hAnsiTheme="minorEastAsia"/>
          <w:b/>
          <w:bCs/>
          <w:sz w:val="24"/>
          <w:szCs w:val="24"/>
        </w:rPr>
      </w:pPr>
      <w:r>
        <w:rPr>
          <w:rFonts w:hint="eastAsia" w:asciiTheme="minorEastAsia" w:hAnsiTheme="minorEastAsia"/>
          <w:b/>
          <w:bCs/>
          <w:sz w:val="24"/>
          <w:szCs w:val="24"/>
        </w:rPr>
        <w:t xml:space="preserve">4.地理信息系统</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城市生命线平台进行地图2D/3D展示、2D/3D一体化、三维模型可视化、地图基础操作等的基础支撑平台，平台数据包含综合管线数据、地图数据、三维模型数据等，主要基于管网数据、三维模型数据、地图数据、DEM\DOM等地理信息数据，负责为专项监管系统提供一张图服务，提供城市基础设施展示，监测设施和数据展示、三维模型可视化、二三位一体化等地理信息服务主要功能包括目录管理、元数据管理、地图操作和控制、空间数据查询统计、资源浏览界面、默认地图切换、专题分类查询、行政区划定位、地名模糊查询，时空化展示。</w:t>
      </w:r>
      <w:r/>
    </w:p>
    <w:p>
      <w:pPr>
        <w:ind w:firstLine="482"/>
        <w:spacing w:line="360" w:lineRule="auto"/>
        <w:rPr>
          <w:rFonts w:asciiTheme="minorEastAsia" w:hAnsiTheme="minorEastAsia"/>
          <w:b/>
          <w:bCs/>
          <w:sz w:val="24"/>
          <w:szCs w:val="24"/>
        </w:rPr>
      </w:pPr>
      <w:r>
        <w:rPr>
          <w:rFonts w:hint="eastAsia" w:asciiTheme="minorEastAsia" w:hAnsiTheme="minorEastAsia"/>
          <w:b/>
          <w:bCs/>
          <w:sz w:val="24"/>
          <w:szCs w:val="24"/>
        </w:rPr>
        <w:t xml:space="preserve">5.物联网平台</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物联网汇聚平台提供平台或者系统对接、设备连接、批量设备管理、远程控制和监控等能力，并可将设备数据灵活流转到其他服务或消息中间件，帮助行业用户快速完成设备联网及行业应用集成。主要功能包括全局设备总览、应用管理、设备接入、设备管理、物模型、规则引擎、数据共享、设备运维、运维监控。</w:t>
      </w:r>
      <w:r/>
    </w:p>
    <w:p>
      <w:pPr>
        <w:ind w:firstLine="482"/>
        <w:spacing w:line="360" w:lineRule="auto"/>
        <w:rPr>
          <w:rFonts w:asciiTheme="minorEastAsia" w:hAnsiTheme="minorEastAsia"/>
          <w:b/>
          <w:bCs/>
          <w:sz w:val="24"/>
          <w:szCs w:val="24"/>
        </w:rPr>
      </w:pPr>
      <w:r>
        <w:rPr>
          <w:rFonts w:hint="eastAsia" w:asciiTheme="minorEastAsia" w:hAnsiTheme="minorEastAsia"/>
          <w:b/>
          <w:bCs/>
          <w:sz w:val="24"/>
          <w:szCs w:val="24"/>
        </w:rPr>
        <w:t xml:space="preserve">6.融合通信平台</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强指挥调度能力，通过融合通信系统实现不同制式通信系统间的音视频互通和统一调度，解决指挥调度场景下异构通信系统间无法实现音视频互通、音视频调度等问题。主要功能包括业务网关、业务引擎、融合通信等。</w:t>
      </w:r>
      <w:r/>
    </w:p>
    <w:p>
      <w:pPr>
        <w:ind w:firstLine="482"/>
        <w:spacing w:line="360" w:lineRule="auto"/>
        <w:rPr>
          <w:rFonts w:asciiTheme="minorEastAsia" w:hAnsiTheme="minorEastAsia"/>
          <w:b/>
          <w:bCs/>
          <w:sz w:val="24"/>
          <w:szCs w:val="24"/>
        </w:rPr>
      </w:pPr>
      <w:r>
        <w:rPr>
          <w:rFonts w:hint="eastAsia" w:asciiTheme="minorEastAsia" w:hAnsiTheme="minorEastAsia"/>
          <w:b/>
          <w:bCs/>
          <w:sz w:val="24"/>
          <w:szCs w:val="24"/>
        </w:rPr>
        <w:t xml:space="preserve">7.统一认证平台</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为了支撑城市生命线安全工程相关业务开展，需要对多个系统进行身份认证管理，通过引入统一认证平台，便于统一管理平台用户的信息及权限，同时可以管理不同对接的业务系统间的数据同步以及共享用户资源。主要功能包括应用管理、组织管理、用户管理、基础数据、审计日志、系统支撑服务。</w:t>
      </w:r>
      <w:r/>
    </w:p>
    <w:p>
      <w:pPr>
        <w:ind w:firstLine="482"/>
        <w:spacing w:line="360" w:lineRule="auto"/>
        <w:rPr>
          <w:rFonts w:asciiTheme="minorEastAsia" w:hAnsiTheme="minorEastAsia"/>
          <w:b/>
          <w:bCs/>
          <w:sz w:val="24"/>
          <w:szCs w:val="24"/>
        </w:rPr>
      </w:pPr>
      <w:r>
        <w:rPr>
          <w:rFonts w:hint="eastAsia" w:asciiTheme="minorEastAsia" w:hAnsiTheme="minorEastAsia"/>
          <w:b/>
          <w:bCs/>
          <w:sz w:val="24"/>
          <w:szCs w:val="24"/>
        </w:rPr>
        <w:t xml:space="preserve">8.统一工作流平台</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提供工作流程设计、执行、监控、优化等全流程管理的能力。它通过将业务流程自动化、标准化、可视化等方式，实现了对业务流程的集中管理，从而提高运营效率和业务响应速度。主要功能包括工作流引擎、表单报表引擎、用户与鉴权、流程库与设计器、流程控制台、流</w:t>
      </w:r>
      <w:r>
        <w:rPr>
          <w:rFonts w:hint="eastAsia" w:asciiTheme="minorEastAsia" w:hAnsiTheme="minorEastAsia"/>
          <w:sz w:val="24"/>
          <w:szCs w:val="24"/>
        </w:rPr>
        <w:t xml:space="preserve">程定义、运行服务、客户端定义。</w:t>
      </w:r>
      <w:r/>
    </w:p>
    <w:p>
      <w:pPr>
        <w:ind w:firstLine="482"/>
        <w:spacing w:line="360" w:lineRule="auto"/>
        <w:rPr>
          <w:rFonts w:asciiTheme="minorEastAsia" w:hAnsiTheme="minorEastAsia"/>
          <w:b/>
          <w:bCs/>
          <w:sz w:val="24"/>
          <w:szCs w:val="24"/>
        </w:rPr>
      </w:pPr>
      <w:r>
        <w:rPr>
          <w:rFonts w:hint="eastAsia" w:asciiTheme="minorEastAsia" w:hAnsiTheme="minorEastAsia"/>
          <w:b/>
          <w:bCs/>
          <w:sz w:val="24"/>
          <w:szCs w:val="24"/>
        </w:rPr>
        <w:t xml:space="preserve">9.业务支撑中心</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为生命线系统提供统一的事件管理和处理机制，实现多个模块之间的解耦，支持事件配置、事件消息订阅、事件消息上报、事件消息详情查询等功能；消息中心模块，为生命线系统提供所有消息类型的汇集点，并发送给接收方，支持消息模板定义、消息下发、消息查看等功能；日志中心，为生命线系统提供全面的日志管理，避免日志分散在各个服务器中，在数据中台精确地记录用户的各类日志，包括系统日志、服务日志、操作日志、安全日志等。</w:t>
      </w:r>
      <w:r/>
    </w:p>
    <w:p>
      <w:pPr>
        <w:ind w:firstLine="482"/>
        <w:spacing w:line="360" w:lineRule="auto"/>
        <w:rPr>
          <w:rFonts w:asciiTheme="minorEastAsia" w:hAnsiTheme="minorEastAsia"/>
          <w:b/>
          <w:bCs/>
          <w:sz w:val="24"/>
          <w:szCs w:val="24"/>
        </w:rPr>
      </w:pPr>
      <w:r>
        <w:rPr>
          <w:rFonts w:hint="eastAsia" w:asciiTheme="minorEastAsia" w:hAnsiTheme="minorEastAsia"/>
          <w:b/>
          <w:bCs/>
          <w:sz w:val="24"/>
          <w:szCs w:val="24"/>
        </w:rPr>
        <w:t xml:space="preserve">10.AI监测算法</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利用视频监控+AI算法等智慧监测手段，实时高效监测第三方施工过程中的人员、设备、环境等，当地块内施工出现异常监测情况时，及时将预警消息推送给管线权属单位进行应急处置。结合连云港市实际需求，主要建设人员入侵识别算法、机械设备类型识别算法、机械设备入侵识别算法、机械设备作业区域人员安全防护算法、烟雾识别算法、明火识别算法。</w:t>
      </w:r>
      <w:r/>
    </w:p>
    <w:p>
      <w:pPr>
        <w:ind w:firstLine="482"/>
        <w:spacing w:line="360" w:lineRule="auto"/>
        <w:rPr>
          <w:rFonts w:asciiTheme="minorEastAsia" w:hAnsiTheme="minorEastAsia"/>
          <w:b/>
          <w:bCs/>
          <w:sz w:val="24"/>
          <w:szCs w:val="24"/>
        </w:rPr>
      </w:pPr>
      <w:r>
        <w:rPr>
          <w:rFonts w:hint="eastAsia" w:asciiTheme="minorEastAsia" w:hAnsiTheme="minorEastAsia"/>
          <w:b/>
          <w:bCs/>
          <w:sz w:val="24"/>
          <w:szCs w:val="24"/>
        </w:rPr>
        <w:t xml:space="preserve">（二）应用系统软件建设需求</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建设清单如下：</w:t>
      </w:r>
      <w:r/>
    </w:p>
    <w:tbl>
      <w:tblPr>
        <w:tblW w:w="9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18"/>
        <w:gridCol w:w="4988"/>
        <w:gridCol w:w="1816"/>
        <w:gridCol w:w="1750"/>
      </w:tblGrid>
      <w:tr>
        <w:trPr>
          <w:jc w:val="center"/>
          <w:trHeight w:val="340"/>
          <w:tblHeader/>
        </w:trPr>
        <w:tc>
          <w:tcPr>
            <w:gridSpan w:val="4"/>
            <w:shd w:val="clear" w:color="auto" w:fill="auto"/>
            <w:tcW w:w="9672" w:type="dxa"/>
            <w:vAlign w:val="center"/>
            <w:textDirection w:val="lrTb"/>
            <w:noWrap w:val="false"/>
          </w:tcPr>
          <w:p>
            <w:pPr>
              <w:jc w:val="center"/>
              <w:spacing w:line="400" w:lineRule="exact"/>
              <w:rPr>
                <w:rFonts w:asciiTheme="minorEastAsia" w:hAnsiTheme="minorEastAsia"/>
                <w:b/>
                <w:bCs/>
                <w:color w:val="000000"/>
                <w:sz w:val="24"/>
                <w:szCs w:val="24"/>
              </w:rPr>
            </w:pPr>
            <w:r>
              <w:rPr>
                <w:rFonts w:hint="eastAsia" w:asciiTheme="minorEastAsia" w:hAnsiTheme="minorEastAsia"/>
                <w:b/>
                <w:bCs/>
                <w:color w:val="000000"/>
                <w:sz w:val="24"/>
                <w:szCs w:val="24"/>
              </w:rPr>
              <w:t xml:space="preserve">应用系统软件</w:t>
            </w:r>
            <w:r/>
          </w:p>
        </w:tc>
      </w:tr>
      <w:tr>
        <w:trPr>
          <w:jc w:val="center"/>
          <w:trHeight w:val="340"/>
          <w:tblHeader/>
        </w:trPr>
        <w:tc>
          <w:tcPr>
            <w:shd w:val="clear" w:color="auto" w:fill="auto"/>
            <w:tcW w:w="1118" w:type="dxa"/>
            <w:vAlign w:val="center"/>
            <w:textDirection w:val="lrTb"/>
            <w:noWrap w:val="false"/>
          </w:tcPr>
          <w:p>
            <w:pPr>
              <w:jc w:val="center"/>
              <w:spacing w:line="400" w:lineRule="exact"/>
              <w:rPr>
                <w:rFonts w:asciiTheme="minorEastAsia" w:hAnsiTheme="minorEastAsia"/>
                <w:b/>
                <w:bCs/>
                <w:color w:val="000000"/>
                <w:sz w:val="24"/>
                <w:szCs w:val="24"/>
              </w:rPr>
            </w:pPr>
            <w:r>
              <w:rPr>
                <w:rFonts w:asciiTheme="minorEastAsia" w:hAnsiTheme="minorEastAsia"/>
                <w:b/>
                <w:bCs/>
                <w:color w:val="000000"/>
                <w:sz w:val="24"/>
                <w:szCs w:val="24"/>
              </w:rPr>
              <w:t xml:space="preserve">序号</w:t>
            </w:r>
            <w:r/>
          </w:p>
        </w:tc>
        <w:tc>
          <w:tcPr>
            <w:shd w:val="clear" w:color="auto" w:fill="auto"/>
            <w:tcW w:w="4988" w:type="dxa"/>
            <w:vAlign w:val="center"/>
            <w:textDirection w:val="lrTb"/>
            <w:noWrap w:val="false"/>
          </w:tcPr>
          <w:p>
            <w:pPr>
              <w:jc w:val="center"/>
              <w:spacing w:line="400" w:lineRule="exact"/>
              <w:rPr>
                <w:rFonts w:asciiTheme="minorEastAsia" w:hAnsiTheme="minorEastAsia"/>
                <w:b/>
                <w:bCs/>
                <w:color w:val="000000"/>
                <w:sz w:val="24"/>
                <w:szCs w:val="24"/>
              </w:rPr>
            </w:pPr>
            <w:r>
              <w:rPr>
                <w:rFonts w:asciiTheme="minorEastAsia" w:hAnsiTheme="minorEastAsia"/>
                <w:b/>
                <w:bCs/>
                <w:color w:val="000000"/>
                <w:sz w:val="24"/>
                <w:szCs w:val="24"/>
              </w:rPr>
              <w:t xml:space="preserve">分项名称</w:t>
            </w:r>
            <w:r/>
          </w:p>
        </w:tc>
        <w:tc>
          <w:tcPr>
            <w:shd w:val="clear" w:color="auto" w:fill="auto"/>
            <w:tcW w:w="1816" w:type="dxa"/>
            <w:vAlign w:val="center"/>
            <w:textDirection w:val="lrTb"/>
            <w:noWrap w:val="false"/>
          </w:tcPr>
          <w:p>
            <w:pPr>
              <w:jc w:val="center"/>
              <w:spacing w:line="400" w:lineRule="exact"/>
              <w:rPr>
                <w:rFonts w:asciiTheme="minorEastAsia" w:hAnsiTheme="minorEastAsia"/>
                <w:b/>
                <w:bCs/>
                <w:color w:val="000000"/>
                <w:sz w:val="24"/>
                <w:szCs w:val="24"/>
              </w:rPr>
            </w:pPr>
            <w:r>
              <w:rPr>
                <w:rFonts w:asciiTheme="minorEastAsia" w:hAnsiTheme="minorEastAsia"/>
                <w:b/>
                <w:bCs/>
                <w:color w:val="000000"/>
                <w:sz w:val="24"/>
                <w:szCs w:val="24"/>
              </w:rPr>
              <w:t xml:space="preserve">数量</w:t>
            </w:r>
            <w:r/>
          </w:p>
        </w:tc>
        <w:tc>
          <w:tcPr>
            <w:shd w:val="clear" w:color="auto" w:fill="auto"/>
            <w:tcW w:w="1750" w:type="dxa"/>
            <w:vAlign w:val="center"/>
            <w:textDirection w:val="lrTb"/>
            <w:noWrap w:val="false"/>
          </w:tcPr>
          <w:p>
            <w:pPr>
              <w:jc w:val="center"/>
              <w:spacing w:line="400" w:lineRule="exact"/>
              <w:rPr>
                <w:rFonts w:asciiTheme="minorEastAsia" w:hAnsiTheme="minorEastAsia"/>
                <w:b/>
                <w:bCs/>
                <w:color w:val="000000"/>
                <w:sz w:val="24"/>
                <w:szCs w:val="24"/>
              </w:rPr>
            </w:pPr>
            <w:r>
              <w:rPr>
                <w:rFonts w:asciiTheme="minorEastAsia" w:hAnsiTheme="minorEastAsia"/>
                <w:b/>
                <w:bCs/>
                <w:color w:val="000000"/>
                <w:sz w:val="24"/>
                <w:szCs w:val="24"/>
              </w:rPr>
              <w:t xml:space="preserve">单位</w:t>
            </w:r>
            <w:r/>
          </w:p>
        </w:tc>
      </w:tr>
      <w:tr>
        <w:trPr>
          <w:jc w:val="center"/>
          <w:trHeight w:val="340"/>
        </w:trPr>
        <w:tc>
          <w:tcPr>
            <w:tcW w:w="1118"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1</w:t>
            </w:r>
            <w:r/>
          </w:p>
        </w:tc>
        <w:tc>
          <w:tcPr>
            <w:tcW w:w="4988" w:type="dxa"/>
            <w:textDirection w:val="lrTb"/>
            <w:noWrap w:val="false"/>
          </w:tcPr>
          <w:p>
            <w:pPr>
              <w:jc w:val="left"/>
              <w:spacing w:line="400" w:lineRule="exact"/>
              <w:widowControl/>
              <w:rPr>
                <w:rFonts w:asciiTheme="minorEastAsia" w:hAnsiTheme="minorEastAsia"/>
                <w:sz w:val="24"/>
                <w:szCs w:val="24"/>
              </w:rPr>
            </w:pPr>
            <w:r>
              <w:rPr>
                <w:rFonts w:hint="eastAsia"/>
                <w:sz w:val="24"/>
                <w:szCs w:val="24"/>
              </w:rPr>
              <w:t xml:space="preserve">门户及移动端应用</w:t>
            </w:r>
            <w:r/>
          </w:p>
        </w:tc>
        <w:tc>
          <w:tcPr>
            <w:tcW w:w="1816"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1</w:t>
            </w:r>
            <w:r/>
          </w:p>
        </w:tc>
        <w:tc>
          <w:tcPr>
            <w:tcW w:w="1750"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套</w:t>
            </w:r>
            <w:r/>
          </w:p>
        </w:tc>
      </w:tr>
      <w:tr>
        <w:trPr>
          <w:jc w:val="center"/>
          <w:trHeight w:val="340"/>
        </w:trPr>
        <w:tc>
          <w:tcPr>
            <w:tcW w:w="1118"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2</w:t>
            </w:r>
            <w:r/>
          </w:p>
        </w:tc>
        <w:tc>
          <w:tcPr>
            <w:tcW w:w="4988" w:type="dxa"/>
            <w:textDirection w:val="lrTb"/>
            <w:noWrap w:val="false"/>
          </w:tcPr>
          <w:p>
            <w:pPr>
              <w:jc w:val="left"/>
              <w:spacing w:line="400" w:lineRule="exact"/>
              <w:widowControl/>
              <w:rPr>
                <w:rFonts w:asciiTheme="minorEastAsia" w:hAnsiTheme="minorEastAsia"/>
                <w:sz w:val="24"/>
                <w:szCs w:val="24"/>
              </w:rPr>
            </w:pPr>
            <w:r>
              <w:rPr>
                <w:rFonts w:hint="eastAsia"/>
                <w:sz w:val="24"/>
                <w:szCs w:val="24"/>
              </w:rPr>
              <w:t xml:space="preserve">综合应用专项</w:t>
            </w:r>
            <w:r/>
          </w:p>
        </w:tc>
        <w:tc>
          <w:tcPr>
            <w:tcW w:w="1816"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1</w:t>
            </w:r>
            <w:r/>
          </w:p>
        </w:tc>
        <w:tc>
          <w:tcPr>
            <w:tcW w:w="1750"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套</w:t>
            </w:r>
            <w:r/>
          </w:p>
        </w:tc>
      </w:tr>
      <w:tr>
        <w:trPr>
          <w:jc w:val="center"/>
          <w:trHeight w:val="340"/>
        </w:trPr>
        <w:tc>
          <w:tcPr>
            <w:tcW w:w="1118"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3</w:t>
            </w:r>
            <w:r/>
          </w:p>
        </w:tc>
        <w:tc>
          <w:tcPr>
            <w:tcW w:w="4988" w:type="dxa"/>
            <w:textDirection w:val="lrTb"/>
            <w:noWrap w:val="false"/>
          </w:tcPr>
          <w:p>
            <w:pPr>
              <w:jc w:val="left"/>
              <w:spacing w:line="400" w:lineRule="exact"/>
              <w:widowControl/>
              <w:rPr>
                <w:rFonts w:asciiTheme="minorEastAsia" w:hAnsiTheme="minorEastAsia"/>
                <w:sz w:val="24"/>
                <w:szCs w:val="24"/>
              </w:rPr>
            </w:pPr>
            <w:r>
              <w:rPr>
                <w:rFonts w:hint="eastAsia"/>
                <w:sz w:val="24"/>
                <w:szCs w:val="24"/>
              </w:rPr>
              <w:t xml:space="preserve">燃气专项</w:t>
            </w:r>
            <w:r/>
          </w:p>
        </w:tc>
        <w:tc>
          <w:tcPr>
            <w:tcW w:w="1816"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1</w:t>
            </w:r>
            <w:r/>
          </w:p>
        </w:tc>
        <w:tc>
          <w:tcPr>
            <w:tcW w:w="1750"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套</w:t>
            </w:r>
            <w:r/>
          </w:p>
        </w:tc>
      </w:tr>
      <w:tr>
        <w:trPr>
          <w:jc w:val="center"/>
          <w:trHeight w:val="340"/>
        </w:trPr>
        <w:tc>
          <w:tcPr>
            <w:tcW w:w="1118"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4</w:t>
            </w:r>
            <w:r/>
          </w:p>
        </w:tc>
        <w:tc>
          <w:tcPr>
            <w:tcW w:w="4988" w:type="dxa"/>
            <w:textDirection w:val="lrTb"/>
            <w:noWrap w:val="false"/>
          </w:tcPr>
          <w:p>
            <w:pPr>
              <w:jc w:val="left"/>
              <w:spacing w:line="400" w:lineRule="exact"/>
              <w:widowControl/>
              <w:rPr>
                <w:rFonts w:asciiTheme="minorEastAsia" w:hAnsiTheme="minorEastAsia"/>
                <w:sz w:val="24"/>
                <w:szCs w:val="24"/>
              </w:rPr>
            </w:pPr>
            <w:r>
              <w:rPr>
                <w:rFonts w:hint="eastAsia"/>
                <w:sz w:val="24"/>
                <w:szCs w:val="24"/>
              </w:rPr>
              <w:t xml:space="preserve">供水专项</w:t>
            </w:r>
            <w:r/>
          </w:p>
        </w:tc>
        <w:tc>
          <w:tcPr>
            <w:tcW w:w="1816"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1</w:t>
            </w:r>
            <w:r/>
          </w:p>
        </w:tc>
        <w:tc>
          <w:tcPr>
            <w:tcW w:w="1750"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套</w:t>
            </w:r>
            <w:r/>
          </w:p>
        </w:tc>
      </w:tr>
      <w:tr>
        <w:trPr>
          <w:jc w:val="center"/>
          <w:trHeight w:val="340"/>
        </w:trPr>
        <w:tc>
          <w:tcPr>
            <w:tcW w:w="1118"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5</w:t>
            </w:r>
            <w:r/>
          </w:p>
        </w:tc>
        <w:tc>
          <w:tcPr>
            <w:tcW w:w="4988" w:type="dxa"/>
            <w:textDirection w:val="lrTb"/>
            <w:noWrap w:val="false"/>
          </w:tcPr>
          <w:p>
            <w:pPr>
              <w:jc w:val="left"/>
              <w:spacing w:line="400" w:lineRule="exact"/>
              <w:widowControl/>
              <w:rPr>
                <w:rFonts w:asciiTheme="minorEastAsia" w:hAnsiTheme="minorEastAsia"/>
                <w:sz w:val="24"/>
                <w:szCs w:val="24"/>
              </w:rPr>
            </w:pPr>
            <w:r>
              <w:rPr>
                <w:rFonts w:hint="eastAsia"/>
                <w:sz w:val="24"/>
                <w:szCs w:val="24"/>
              </w:rPr>
              <w:t xml:space="preserve">排水专项</w:t>
            </w:r>
            <w:r/>
          </w:p>
        </w:tc>
        <w:tc>
          <w:tcPr>
            <w:tcW w:w="1816"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1</w:t>
            </w:r>
            <w:r/>
          </w:p>
        </w:tc>
        <w:tc>
          <w:tcPr>
            <w:tcW w:w="1750"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套</w:t>
            </w:r>
            <w:r/>
          </w:p>
        </w:tc>
      </w:tr>
      <w:tr>
        <w:trPr>
          <w:jc w:val="center"/>
          <w:trHeight w:val="340"/>
        </w:trPr>
        <w:tc>
          <w:tcPr>
            <w:tcW w:w="1118"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6</w:t>
            </w:r>
            <w:r/>
          </w:p>
        </w:tc>
        <w:tc>
          <w:tcPr>
            <w:tcW w:w="4988" w:type="dxa"/>
            <w:textDirection w:val="lrTb"/>
            <w:noWrap w:val="false"/>
          </w:tcPr>
          <w:p>
            <w:pPr>
              <w:jc w:val="left"/>
              <w:spacing w:line="400" w:lineRule="exact"/>
              <w:widowControl/>
              <w:rPr>
                <w:rFonts w:asciiTheme="minorEastAsia" w:hAnsiTheme="minorEastAsia"/>
                <w:sz w:val="24"/>
                <w:szCs w:val="24"/>
              </w:rPr>
            </w:pPr>
            <w:r>
              <w:rPr>
                <w:rFonts w:hint="eastAsia"/>
                <w:sz w:val="24"/>
                <w:szCs w:val="24"/>
              </w:rPr>
              <w:t xml:space="preserve">地下管线专项</w:t>
            </w:r>
            <w:r/>
          </w:p>
        </w:tc>
        <w:tc>
          <w:tcPr>
            <w:tcW w:w="1816"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1</w:t>
            </w:r>
            <w:r/>
          </w:p>
        </w:tc>
        <w:tc>
          <w:tcPr>
            <w:tcW w:w="1750"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套</w:t>
            </w:r>
            <w:r/>
          </w:p>
        </w:tc>
      </w:tr>
      <w:tr>
        <w:trPr>
          <w:jc w:val="center"/>
          <w:trHeight w:val="340"/>
        </w:trPr>
        <w:tc>
          <w:tcPr>
            <w:tcW w:w="1118"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7</w:t>
            </w:r>
            <w:r/>
          </w:p>
        </w:tc>
        <w:tc>
          <w:tcPr>
            <w:tcW w:w="4988" w:type="dxa"/>
            <w:textDirection w:val="lrTb"/>
            <w:noWrap w:val="false"/>
          </w:tcPr>
          <w:p>
            <w:pPr>
              <w:jc w:val="left"/>
              <w:spacing w:line="400" w:lineRule="exact"/>
              <w:widowControl/>
              <w:rPr>
                <w:rFonts w:asciiTheme="minorEastAsia" w:hAnsiTheme="minorEastAsia"/>
                <w:sz w:val="24"/>
                <w:szCs w:val="24"/>
              </w:rPr>
            </w:pPr>
            <w:r>
              <w:rPr>
                <w:rFonts w:hint="eastAsia"/>
                <w:sz w:val="24"/>
                <w:szCs w:val="24"/>
              </w:rPr>
              <w:t xml:space="preserve">道路专项</w:t>
            </w:r>
            <w:r/>
          </w:p>
        </w:tc>
        <w:tc>
          <w:tcPr>
            <w:tcW w:w="1816"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1</w:t>
            </w:r>
            <w:r/>
          </w:p>
        </w:tc>
        <w:tc>
          <w:tcPr>
            <w:tcW w:w="1750"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套</w:t>
            </w:r>
            <w:r/>
          </w:p>
        </w:tc>
      </w:tr>
      <w:tr>
        <w:trPr>
          <w:jc w:val="center"/>
          <w:trHeight w:val="90"/>
        </w:trPr>
        <w:tc>
          <w:tcPr>
            <w:tcW w:w="1118"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8</w:t>
            </w:r>
            <w:r/>
          </w:p>
        </w:tc>
        <w:tc>
          <w:tcPr>
            <w:tcW w:w="4988" w:type="dxa"/>
            <w:textDirection w:val="lrTb"/>
            <w:noWrap w:val="false"/>
          </w:tcPr>
          <w:p>
            <w:pPr>
              <w:jc w:val="left"/>
              <w:spacing w:line="400" w:lineRule="exact"/>
              <w:widowControl/>
              <w:rPr>
                <w:rFonts w:asciiTheme="minorEastAsia" w:hAnsiTheme="minorEastAsia"/>
                <w:sz w:val="24"/>
                <w:szCs w:val="24"/>
              </w:rPr>
            </w:pPr>
            <w:r>
              <w:rPr>
                <w:rFonts w:hint="eastAsia"/>
                <w:sz w:val="24"/>
                <w:szCs w:val="24"/>
              </w:rPr>
              <w:t xml:space="preserve">桥梁专项</w:t>
            </w:r>
            <w:r/>
          </w:p>
        </w:tc>
        <w:tc>
          <w:tcPr>
            <w:tcW w:w="1816"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1</w:t>
            </w:r>
            <w:r/>
          </w:p>
        </w:tc>
        <w:tc>
          <w:tcPr>
            <w:tcW w:w="1750"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套</w:t>
            </w:r>
            <w:r/>
          </w:p>
        </w:tc>
      </w:tr>
      <w:tr>
        <w:trPr>
          <w:jc w:val="center"/>
          <w:trHeight w:val="340"/>
        </w:trPr>
        <w:tc>
          <w:tcPr>
            <w:tcW w:w="1118"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9</w:t>
            </w:r>
            <w:r/>
          </w:p>
        </w:tc>
        <w:tc>
          <w:tcPr>
            <w:tcW w:w="4988" w:type="dxa"/>
            <w:textDirection w:val="lrTb"/>
            <w:noWrap w:val="false"/>
          </w:tcPr>
          <w:p>
            <w:pPr>
              <w:jc w:val="left"/>
              <w:spacing w:line="400" w:lineRule="exact"/>
              <w:widowControl/>
              <w:rPr>
                <w:rFonts w:asciiTheme="minorEastAsia" w:hAnsiTheme="minorEastAsia"/>
                <w:sz w:val="24"/>
                <w:szCs w:val="24"/>
              </w:rPr>
            </w:pPr>
            <w:r>
              <w:rPr>
                <w:rFonts w:hint="eastAsia"/>
                <w:sz w:val="24"/>
                <w:szCs w:val="24"/>
              </w:rPr>
              <w:t xml:space="preserve">第三方施工专项</w:t>
            </w:r>
            <w:r/>
          </w:p>
        </w:tc>
        <w:tc>
          <w:tcPr>
            <w:tcW w:w="1816"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1</w:t>
            </w:r>
            <w:r/>
          </w:p>
        </w:tc>
        <w:tc>
          <w:tcPr>
            <w:tcW w:w="1750"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套</w:t>
            </w:r>
            <w:r/>
          </w:p>
        </w:tc>
      </w:tr>
      <w:tr>
        <w:trPr>
          <w:jc w:val="center"/>
          <w:trHeight w:val="340"/>
        </w:trPr>
        <w:tc>
          <w:tcPr>
            <w:tcW w:w="1118" w:type="dxa"/>
            <w:vAlign w:val="center"/>
            <w:textDirection w:val="lrTb"/>
            <w:noWrap w:val="false"/>
          </w:tcPr>
          <w:p>
            <w:pPr>
              <w:jc w:val="center"/>
              <w:spacing w:line="400" w:lineRule="exact"/>
              <w:rPr>
                <w:rFonts w:cs="宋体" w:asciiTheme="minorEastAsia" w:hAnsiTheme="minorEastAsia"/>
                <w:color w:val="000000"/>
                <w:sz w:val="24"/>
                <w:szCs w:val="24"/>
              </w:rPr>
            </w:pPr>
            <w:r>
              <w:rPr>
                <w:rFonts w:hint="eastAsia" w:asciiTheme="minorEastAsia" w:hAnsiTheme="minorEastAsia"/>
                <w:color w:val="000000"/>
                <w:sz w:val="24"/>
                <w:szCs w:val="24"/>
              </w:rPr>
              <w:t xml:space="preserve">10</w:t>
            </w:r>
            <w:r/>
          </w:p>
        </w:tc>
        <w:tc>
          <w:tcPr>
            <w:tcW w:w="4988" w:type="dxa"/>
            <w:textDirection w:val="lrTb"/>
            <w:noWrap w:val="false"/>
          </w:tcPr>
          <w:p>
            <w:pPr>
              <w:jc w:val="left"/>
              <w:spacing w:line="400" w:lineRule="exact"/>
              <w:rPr>
                <w:rFonts w:cs="宋体" w:asciiTheme="minorEastAsia" w:hAnsiTheme="minorEastAsia"/>
                <w:color w:val="000000"/>
                <w:sz w:val="24"/>
                <w:szCs w:val="24"/>
              </w:rPr>
            </w:pPr>
            <w:r>
              <w:rPr>
                <w:rFonts w:hint="eastAsia"/>
                <w:sz w:val="24"/>
                <w:szCs w:val="24"/>
              </w:rPr>
              <w:t xml:space="preserve">防震专项</w:t>
            </w:r>
            <w:r/>
          </w:p>
        </w:tc>
        <w:tc>
          <w:tcPr>
            <w:tcW w:w="1816"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1</w:t>
            </w:r>
            <w:r/>
          </w:p>
        </w:tc>
        <w:tc>
          <w:tcPr>
            <w:tcW w:w="1750"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套</w:t>
            </w:r>
            <w:r/>
          </w:p>
        </w:tc>
      </w:tr>
    </w:tbl>
    <w:p>
      <w:pPr>
        <w:ind w:firstLine="482"/>
        <w:spacing w:line="360" w:lineRule="auto"/>
        <w:rPr>
          <w:rFonts w:asciiTheme="minorEastAsia" w:hAnsiTheme="minorEastAsia"/>
          <w:b/>
          <w:bCs/>
          <w:sz w:val="24"/>
          <w:szCs w:val="24"/>
        </w:rPr>
      </w:pPr>
      <w:r>
        <w:rPr>
          <w:rFonts w:hint="eastAsia" w:asciiTheme="minorEastAsia" w:hAnsiTheme="minorEastAsia"/>
          <w:b/>
          <w:bCs/>
          <w:sz w:val="24"/>
          <w:szCs w:val="24"/>
        </w:rPr>
        <w:t xml:space="preserve">具体要求如下：</w:t>
      </w:r>
      <w:r/>
    </w:p>
    <w:p>
      <w:pPr>
        <w:pStyle w:val="855"/>
        <w:ind w:firstLine="482"/>
        <w:spacing w:line="360" w:lineRule="auto"/>
        <w:rPr>
          <w:rFonts w:asciiTheme="minorEastAsia" w:hAnsiTheme="minorEastAsia" w:eastAsiaTheme="minorEastAsia" w:cstheme="minorBidi"/>
          <w:b/>
          <w:bCs/>
          <w:sz w:val="24"/>
          <w:szCs w:val="24"/>
        </w:rPr>
      </w:pPr>
      <w:r>
        <w:rPr>
          <w:rFonts w:hint="eastAsia" w:asciiTheme="minorEastAsia" w:hAnsiTheme="minorEastAsia" w:eastAsiaTheme="minorEastAsia" w:cstheme="minorBidi"/>
          <w:b/>
          <w:bCs/>
          <w:sz w:val="24"/>
          <w:szCs w:val="24"/>
        </w:rPr>
        <w:t xml:space="preserve">1.门户及移动端应用</w:t>
      </w:r>
      <w:r/>
    </w:p>
    <w:p>
      <w:pPr>
        <w:pStyle w:val="855"/>
        <w:ind w:firstLine="480"/>
        <w:spacing w:line="360" w:lineRule="auto"/>
        <w:rPr>
          <w:rFonts w:asciiTheme="minorEastAsia" w:hAnsiTheme="minorEastAsia" w:eastAsiaTheme="minorEastAsia" w:cstheme="minorBidi"/>
          <w:sz w:val="24"/>
          <w:szCs w:val="24"/>
        </w:rPr>
      </w:pPr>
      <w:r>
        <w:rPr>
          <w:rFonts w:asciiTheme="minorEastAsia" w:hAnsiTheme="minorEastAsia" w:eastAsiaTheme="minorEastAsia"/>
          <w:sz w:val="24"/>
          <w:szCs w:val="24"/>
          <w:lang w:val="zh-CN"/>
        </w:rPr>
        <w:t xml:space="preserve">新建</w:t>
      </w:r>
      <w:r>
        <w:rPr>
          <w:rFonts w:hint="eastAsia" w:asciiTheme="minorEastAsia" w:hAnsiTheme="minorEastAsia" w:eastAsiaTheme="minorEastAsia"/>
          <w:sz w:val="24"/>
          <w:szCs w:val="24"/>
        </w:rPr>
        <w:t xml:space="preserve">连云港</w:t>
      </w:r>
      <w:r>
        <w:rPr>
          <w:rFonts w:asciiTheme="minorEastAsia" w:hAnsiTheme="minorEastAsia" w:eastAsiaTheme="minorEastAsia"/>
          <w:sz w:val="24"/>
          <w:szCs w:val="24"/>
          <w:lang w:val="zh-CN"/>
        </w:rPr>
        <w:t xml:space="preserve">市住建局的统一门户，建设相关的各类系统和应用（综合应用系统和各专项应用系统）汇聚起来，形成统一的工作界面，统一的业务视图，提供统一的访问地址。基于技术中台的统一鉴权平台，实现安全可靠的统一用户管理、统一权限管理，</w:t>
      </w:r>
      <w:r>
        <w:rPr>
          <w:rFonts w:asciiTheme="minorEastAsia" w:hAnsiTheme="minorEastAsia" w:eastAsiaTheme="minorEastAsia"/>
          <w:sz w:val="24"/>
          <w:szCs w:val="24"/>
        </w:rPr>
        <w:t xml:space="preserve">提供单点登录功能。需包括：</w:t>
      </w:r>
      <w:r>
        <w:rPr>
          <w:rFonts w:hint="eastAsia" w:asciiTheme="minorEastAsia" w:hAnsiTheme="minorEastAsia" w:eastAsiaTheme="minorEastAsia"/>
          <w:sz w:val="24"/>
          <w:szCs w:val="24"/>
        </w:rPr>
        <w:t xml:space="preserve">门户导航、消息中心、用户管理、角色管理、组织机构管理、通知公告、统一</w:t>
      </w:r>
      <w:r>
        <w:rPr>
          <w:rFonts w:hint="eastAsia" w:asciiTheme="minorEastAsia" w:hAnsiTheme="minorEastAsia" w:eastAsiaTheme="minorEastAsia" w:cstheme="minorBidi"/>
          <w:sz w:val="24"/>
          <w:szCs w:val="24"/>
        </w:rPr>
        <w:t xml:space="preserve">登录、日志管理机移动端。</w:t>
      </w:r>
      <w:r/>
    </w:p>
    <w:p>
      <w:pPr>
        <w:pStyle w:val="855"/>
        <w:ind w:firstLine="482"/>
        <w:spacing w:line="360" w:lineRule="auto"/>
        <w:rPr>
          <w:rFonts w:asciiTheme="minorEastAsia" w:hAnsiTheme="minorEastAsia" w:eastAsiaTheme="minorEastAsia" w:cstheme="minorBidi"/>
          <w:b/>
          <w:bCs/>
          <w:sz w:val="24"/>
          <w:szCs w:val="24"/>
        </w:rPr>
      </w:pPr>
      <w:r>
        <w:rPr>
          <w:rFonts w:hint="eastAsia" w:asciiTheme="minorEastAsia" w:hAnsiTheme="minorEastAsia" w:eastAsiaTheme="minorEastAsia" w:cstheme="minorBidi"/>
          <w:b/>
          <w:bCs/>
          <w:sz w:val="24"/>
          <w:szCs w:val="24"/>
        </w:rPr>
        <w:t xml:space="preserve">2.</w:t>
      </w:r>
      <w:r>
        <w:rPr>
          <w:rFonts w:asciiTheme="minorEastAsia" w:hAnsiTheme="minorEastAsia" w:eastAsiaTheme="minorEastAsia" w:cstheme="minorBidi"/>
          <w:b/>
          <w:bCs/>
          <w:sz w:val="24"/>
          <w:szCs w:val="24"/>
        </w:rPr>
        <w:t xml:space="preserve">综合应用专项</w:t>
      </w:r>
      <w:r/>
    </w:p>
    <w:p>
      <w:pPr>
        <w:pStyle w:val="855"/>
        <w:ind w:firstLine="480"/>
        <w:spacing w:line="360" w:lineRule="auto"/>
        <w:rPr>
          <w:rFonts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面向城市生命线安全运行总体态势把握，实现满足城市生命线底数一图概览、“综合监管+智慧监测”以及风险隐患监测报警、预警等业务场景需求。整合燃气、供水、排水、地下管线、第三方施工、桥梁、道路、防震等各行业基础设施、风险隐患处置、巡检养护等数据，对城市生命线日常工作进行监督落实，协助各级部门落实安全生产主体责任，加强风险管控及隐患治理，打通突发事件处置和应急处置的信息通道，提升城市生命线综合监管水平。</w:t>
      </w:r>
      <w:r>
        <w:rPr>
          <w:rFonts w:asciiTheme="minorEastAsia" w:hAnsiTheme="minorEastAsia" w:eastAsiaTheme="minorEastAsia" w:cstheme="minorBidi"/>
          <w:sz w:val="24"/>
          <w:szCs w:val="24"/>
        </w:rPr>
        <w:t xml:space="preserve">需</w:t>
      </w:r>
      <w:r>
        <w:rPr>
          <w:rFonts w:hint="eastAsia" w:asciiTheme="minorEastAsia" w:hAnsiTheme="minorEastAsia" w:eastAsiaTheme="minorEastAsia" w:cstheme="minorBidi"/>
          <w:sz w:val="24"/>
          <w:szCs w:val="24"/>
        </w:rPr>
        <w:t xml:space="preserve">至少</w:t>
      </w:r>
      <w:r>
        <w:rPr>
          <w:rFonts w:asciiTheme="minorEastAsia" w:hAnsiTheme="minorEastAsia" w:eastAsiaTheme="minorEastAsia" w:cstheme="minorBidi"/>
          <w:sz w:val="24"/>
          <w:szCs w:val="24"/>
        </w:rPr>
        <w:t xml:space="preserve">包括：全市监管一张图、综合统计分析、行业综合监管、应急监管、通知公告、联络中心、设备运维。</w:t>
      </w:r>
      <w:r/>
    </w:p>
    <w:p>
      <w:pPr>
        <w:pStyle w:val="855"/>
        <w:ind w:firstLine="480"/>
        <w:spacing w:line="360" w:lineRule="auto"/>
        <w:rPr>
          <w:rFonts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（1）全市监管一张图</w:t>
      </w:r>
      <w:r/>
    </w:p>
    <w:p>
      <w:pPr>
        <w:pStyle w:val="855"/>
        <w:ind w:firstLine="480"/>
        <w:spacing w:line="360" w:lineRule="auto"/>
        <w:rPr>
          <w:rFonts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通过叠加城市基础设施数据、监测数据、危险源、防护目标、应急资源等数据，与行业监管信息、监测报警结果等信息融合到一张图上进行展示和管理，宏观上展示连云港市城市生命线安全工程区域覆盖及发展态势，微观上展示各类资源信息的空间分布与详细信息。主要包括总览子图、风险隐患子图、运行监测子图、巡检巡查子图、协同处置子图、基础设施子图等模块。</w:t>
      </w:r>
      <w:r/>
    </w:p>
    <w:p>
      <w:pPr>
        <w:pStyle w:val="855"/>
        <w:ind w:firstLine="480"/>
        <w:spacing w:line="360" w:lineRule="auto"/>
        <w:rPr>
          <w:rFonts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（2）综合统计分析</w:t>
      </w:r>
      <w:r/>
    </w:p>
    <w:p>
      <w:pPr>
        <w:pStyle w:val="855"/>
        <w:ind w:firstLine="480"/>
        <w:spacing w:line="360" w:lineRule="auto"/>
        <w:rPr>
          <w:rFonts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将各专项城市基础设施智慧监测与综合监管数据汇聚共享形成城市基础设施综合统计数据，对各区县上报的城市基础设施监测报警情况、运行维护情况、风险隐患情况、突发事件等信息进行归纳记录与统计分析，包括事件类型、上报内容、上报人信息、处置情况等。并从不同维度对城市生命线各项信息进行统合统计分析，形成城市生命线安全监管工作所需的基础数据综合统计分析概览和相关报表输出。主要包括基础设施统计、监测设备统计、隐患及报警信息统计、突发事件统计、统计报告管理等功能模块。</w:t>
      </w:r>
      <w:r/>
    </w:p>
    <w:p>
      <w:pPr>
        <w:pStyle w:val="855"/>
        <w:ind w:firstLine="480"/>
        <w:spacing w:line="360" w:lineRule="auto"/>
        <w:rPr>
          <w:rFonts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（3）行业综合监管</w:t>
      </w:r>
      <w:r/>
    </w:p>
    <w:p>
      <w:pPr>
        <w:pStyle w:val="855"/>
        <w:ind w:firstLine="480"/>
        <w:spacing w:line="360" w:lineRule="auto"/>
        <w:rPr>
          <w:rFonts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结合连云港市行业综合监管要求，整合城市燃气、供水、排水、地下管线综合管理、第三方施工、桥梁、道路等城市生命线相关专项业务已建的智慧燃气监管平台、智慧水利系统平台、桥梁健康监测系统等市级信息化管理平台，汇总城市基础设施建设和运营维护工作的监督指导和综合评价结果数据，生成报表并对部分工作进行督办催办，提升管理服务效能，促进各行业健康有序发展。主要包括项目信息管理、督查督办、资料中心等功能模块。</w:t>
      </w:r>
      <w:r/>
    </w:p>
    <w:p>
      <w:pPr>
        <w:pStyle w:val="855"/>
        <w:ind w:firstLine="480"/>
        <w:spacing w:line="360" w:lineRule="auto"/>
        <w:rPr>
          <w:rFonts w:asciiTheme="minorEastAsia" w:hAnsiTheme="minorEastAsia" w:eastAsiaTheme="minorEastAsia" w:cstheme="minorBidi"/>
          <w:sz w:val="24"/>
          <w:szCs w:val="24"/>
        </w:rPr>
      </w:pPr>
      <w:r>
        <w:rPr>
          <w:rFonts w:asciiTheme="minorEastAsia" w:hAnsiTheme="minorEastAsia" w:eastAsiaTheme="minorEastAsia" w:cstheme="minorBidi"/>
          <w:sz w:val="24"/>
          <w:szCs w:val="24"/>
        </w:rPr>
        <w:t xml:space="preserve">（4）应急监管</w:t>
      </w:r>
      <w:r/>
    </w:p>
    <w:p>
      <w:pPr>
        <w:pStyle w:val="855"/>
        <w:ind w:firstLine="480"/>
        <w:spacing w:line="360" w:lineRule="auto"/>
        <w:rPr>
          <w:rFonts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整合连云港市城市生命线相关的燃气、供水、排水、地下综合管线、第三方施工、桥梁、</w:t>
      </w:r>
      <w:r>
        <w:rPr>
          <w:rFonts w:hint="eastAsia" w:asciiTheme="minorEastAsia" w:hAnsiTheme="minorEastAsia" w:eastAsiaTheme="minorEastAsia" w:cstheme="minorBidi"/>
          <w:sz w:val="24"/>
          <w:szCs w:val="24"/>
        </w:rPr>
        <w:t xml:space="preserve">道路等业务所涉及的应急信息，构建城市生命线行业领域突发事件应急联动处置体系。围绕突发事件应急处置流程，系统提供预警报警管理、事件管理、分析研判、分级响应、联动处置、辅助决策和结果反馈等功能，构建跨部门联动机制，提高各部门对城市生命线安全风险的协同应对能力，从而掌握全市城市生命线基础设施的应急处置情况，实现突发事件应急处置的全流程监管。主要包括应急事件信息管理、应急通信管理、应急资源管理、应急预案管理、应急知识库管理等功能模块。</w:t>
      </w:r>
      <w:r/>
    </w:p>
    <w:p>
      <w:pPr>
        <w:pStyle w:val="855"/>
        <w:ind w:firstLine="480"/>
        <w:spacing w:line="360" w:lineRule="auto"/>
        <w:rPr>
          <w:rFonts w:asciiTheme="minorEastAsia" w:hAnsiTheme="minorEastAsia" w:eastAsiaTheme="minorEastAsia" w:cstheme="minorBidi"/>
          <w:sz w:val="24"/>
          <w:szCs w:val="24"/>
        </w:rPr>
      </w:pPr>
      <w:r>
        <w:rPr>
          <w:rFonts w:asciiTheme="minorEastAsia" w:hAnsiTheme="minorEastAsia" w:eastAsiaTheme="minorEastAsia" w:cstheme="minorBidi"/>
          <w:sz w:val="24"/>
          <w:szCs w:val="24"/>
        </w:rPr>
        <w:t xml:space="preserve">（5）通知公告</w:t>
      </w:r>
      <w:r/>
    </w:p>
    <w:p>
      <w:pPr>
        <w:pStyle w:val="855"/>
        <w:ind w:firstLine="480"/>
        <w:spacing w:line="360" w:lineRule="auto"/>
        <w:rPr>
          <w:rFonts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通知公告按照</w:t>
      </w:r>
      <w:r>
        <w:rPr>
          <w:rFonts w:asciiTheme="minorEastAsia" w:hAnsiTheme="minorEastAsia" w:eastAsiaTheme="minorEastAsia" w:cstheme="minorBidi"/>
          <w:sz w:val="24"/>
          <w:szCs w:val="24"/>
        </w:rPr>
        <w:t xml:space="preserve">集中管理</w:t>
      </w:r>
      <w:r>
        <w:rPr>
          <w:rFonts w:hint="eastAsia" w:asciiTheme="minorEastAsia" w:hAnsiTheme="minorEastAsia" w:eastAsiaTheme="minorEastAsia" w:cstheme="minorBidi"/>
          <w:sz w:val="24"/>
          <w:szCs w:val="24"/>
        </w:rPr>
        <w:t xml:space="preserve">系统中需要人工发布的消息、通知公告进行</w:t>
      </w:r>
      <w:r>
        <w:rPr>
          <w:rFonts w:asciiTheme="minorEastAsia" w:hAnsiTheme="minorEastAsia" w:eastAsiaTheme="minorEastAsia" w:cstheme="minorBidi"/>
          <w:sz w:val="24"/>
          <w:szCs w:val="24"/>
        </w:rPr>
        <w:t xml:space="preserve">设计</w:t>
      </w:r>
      <w:r>
        <w:rPr>
          <w:rFonts w:hint="eastAsia" w:asciiTheme="minorEastAsia" w:hAnsiTheme="minorEastAsia" w:eastAsiaTheme="minorEastAsia" w:cstheme="minorBidi"/>
          <w:sz w:val="24"/>
          <w:szCs w:val="24"/>
        </w:rPr>
        <w:t xml:space="preserve">，提供</w:t>
      </w:r>
      <w:r>
        <w:rPr>
          <w:rFonts w:asciiTheme="minorEastAsia" w:hAnsiTheme="minorEastAsia" w:eastAsiaTheme="minorEastAsia" w:cstheme="minorBidi"/>
          <w:sz w:val="24"/>
          <w:szCs w:val="24"/>
        </w:rPr>
        <w:t xml:space="preserve">用户</w:t>
      </w:r>
      <w:r>
        <w:rPr>
          <w:rFonts w:hint="eastAsia" w:asciiTheme="minorEastAsia" w:hAnsiTheme="minorEastAsia" w:eastAsiaTheme="minorEastAsia" w:cstheme="minorBidi"/>
          <w:sz w:val="24"/>
          <w:szCs w:val="24"/>
        </w:rPr>
        <w:t xml:space="preserve">对国家及省市有关行业建设、运行、管理的重要通知公告的在线实时发布，支持在线查阅和下载等功能。主要</w:t>
      </w:r>
      <w:r>
        <w:rPr>
          <w:rFonts w:asciiTheme="minorEastAsia" w:hAnsiTheme="minorEastAsia" w:eastAsiaTheme="minorEastAsia" w:cstheme="minorBidi"/>
          <w:sz w:val="24"/>
          <w:szCs w:val="24"/>
        </w:rPr>
        <w:t xml:space="preserve">包括：通知公告查看、通知内容管理、通知公告审核</w:t>
      </w:r>
      <w:r>
        <w:rPr>
          <w:rFonts w:hint="eastAsia" w:asciiTheme="minorEastAsia" w:hAnsiTheme="minorEastAsia" w:eastAsiaTheme="minorEastAsia" w:cstheme="minorBidi"/>
          <w:sz w:val="24"/>
          <w:szCs w:val="24"/>
        </w:rPr>
        <w:t xml:space="preserve">、</w:t>
      </w:r>
      <w:r>
        <w:rPr>
          <w:rFonts w:asciiTheme="minorEastAsia" w:hAnsiTheme="minorEastAsia" w:eastAsiaTheme="minorEastAsia" w:cstheme="minorBidi"/>
          <w:sz w:val="24"/>
          <w:szCs w:val="24"/>
        </w:rPr>
        <w:t xml:space="preserve">通知发布管理等功能。</w:t>
      </w:r>
      <w:r/>
    </w:p>
    <w:p>
      <w:pPr>
        <w:pStyle w:val="855"/>
        <w:ind w:firstLine="480"/>
        <w:spacing w:line="360" w:lineRule="auto"/>
        <w:rPr>
          <w:rFonts w:asciiTheme="minorEastAsia" w:hAnsiTheme="minorEastAsia" w:eastAsiaTheme="minorEastAsia" w:cstheme="minorBidi"/>
          <w:sz w:val="24"/>
          <w:szCs w:val="24"/>
        </w:rPr>
      </w:pPr>
      <w:r>
        <w:rPr>
          <w:rFonts w:asciiTheme="minorEastAsia" w:hAnsiTheme="minorEastAsia" w:eastAsiaTheme="minorEastAsia" w:cstheme="minorBidi"/>
          <w:sz w:val="24"/>
          <w:szCs w:val="24"/>
        </w:rPr>
        <w:t xml:space="preserve">（6）联络中心</w:t>
      </w:r>
      <w:r/>
    </w:p>
    <w:p>
      <w:pPr>
        <w:pStyle w:val="855"/>
        <w:ind w:firstLine="480"/>
        <w:spacing w:line="360" w:lineRule="auto"/>
        <w:rPr>
          <w:rFonts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基于已建的消息中心能力，建设统一的联络中心，确保紧急事项的快速上传下达。支持用户在系统中进行短信通知等功能。主要</w:t>
      </w:r>
      <w:r>
        <w:rPr>
          <w:rFonts w:asciiTheme="minorEastAsia" w:hAnsiTheme="minorEastAsia" w:eastAsiaTheme="minorEastAsia" w:cstheme="minorBidi"/>
          <w:sz w:val="24"/>
          <w:szCs w:val="24"/>
        </w:rPr>
        <w:t xml:space="preserve">包括：通讯录管理、短信内容管理、短信历史记录管理、智能报警短信等功能。</w:t>
      </w:r>
      <w:r/>
    </w:p>
    <w:p>
      <w:pPr>
        <w:pStyle w:val="855"/>
        <w:ind w:firstLine="480"/>
        <w:spacing w:line="360" w:lineRule="auto"/>
        <w:rPr>
          <w:rFonts w:asciiTheme="minorEastAsia" w:hAnsiTheme="minorEastAsia" w:eastAsiaTheme="minorEastAsia" w:cstheme="minorBidi"/>
          <w:sz w:val="24"/>
          <w:szCs w:val="24"/>
        </w:rPr>
      </w:pPr>
      <w:r>
        <w:rPr>
          <w:rFonts w:asciiTheme="minorEastAsia" w:hAnsiTheme="minorEastAsia" w:eastAsiaTheme="minorEastAsia" w:cstheme="minorBidi"/>
          <w:sz w:val="24"/>
          <w:szCs w:val="24"/>
        </w:rPr>
        <w:t xml:space="preserve">（7）设备运维</w:t>
      </w:r>
      <w:r/>
    </w:p>
    <w:p>
      <w:pPr>
        <w:pStyle w:val="855"/>
        <w:ind w:firstLine="480"/>
        <w:spacing w:line="360" w:lineRule="auto"/>
        <w:rPr>
          <w:rFonts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结合连云港市城市生命线相关设备设施种类繁多、覆盖范围广、情况复杂等特点，为有效管理及维护政府投资建设的相关设备设施，通过建设运维管理模块实现对这些监测设备、设施及资源的智能化管理与维护。包括设备管理、巡检巡查计划、巡检巡查任务工单</w:t>
      </w:r>
      <w:r>
        <w:rPr>
          <w:rFonts w:asciiTheme="minorEastAsia" w:hAnsiTheme="minorEastAsia" w:eastAsiaTheme="minorEastAsia" w:cstheme="minorBidi"/>
          <w:sz w:val="24"/>
          <w:szCs w:val="24"/>
        </w:rPr>
        <w:t xml:space="preserve">等功能</w:t>
      </w:r>
      <w:r>
        <w:rPr>
          <w:rFonts w:hint="eastAsia" w:asciiTheme="minorEastAsia" w:hAnsiTheme="minorEastAsia" w:eastAsiaTheme="minorEastAsia" w:cstheme="minorBidi"/>
          <w:sz w:val="24"/>
          <w:szCs w:val="24"/>
        </w:rPr>
        <w:t xml:space="preserve">。</w:t>
      </w:r>
      <w:r/>
    </w:p>
    <w:p>
      <w:pPr>
        <w:pStyle w:val="855"/>
        <w:ind w:firstLine="482"/>
        <w:spacing w:line="360" w:lineRule="auto"/>
        <w:rPr>
          <w:rFonts w:asciiTheme="minorEastAsia" w:hAnsiTheme="minorEastAsia" w:eastAsiaTheme="minorEastAsia" w:cstheme="minorBidi"/>
          <w:b/>
          <w:bCs/>
          <w:sz w:val="24"/>
          <w:szCs w:val="24"/>
        </w:rPr>
      </w:pPr>
      <w:r>
        <w:rPr>
          <w:rFonts w:hint="eastAsia" w:asciiTheme="minorEastAsia" w:hAnsiTheme="minorEastAsia" w:eastAsiaTheme="minorEastAsia" w:cstheme="minorBidi"/>
          <w:b/>
          <w:bCs/>
          <w:sz w:val="24"/>
          <w:szCs w:val="24"/>
        </w:rPr>
        <w:t xml:space="preserve">3.</w:t>
      </w:r>
      <w:r>
        <w:rPr>
          <w:rFonts w:asciiTheme="minorEastAsia" w:hAnsiTheme="minorEastAsia" w:eastAsiaTheme="minorEastAsia" w:cstheme="minorBidi"/>
          <w:b/>
          <w:bCs/>
          <w:sz w:val="24"/>
          <w:szCs w:val="24"/>
        </w:rPr>
        <w:t xml:space="preserve">燃气专项</w:t>
      </w:r>
      <w:r/>
    </w:p>
    <w:p>
      <w:pPr>
        <w:pStyle w:val="855"/>
        <w:ind w:firstLine="480"/>
        <w:spacing w:line="360" w:lineRule="auto"/>
        <w:rPr>
          <w:sz w:val="24"/>
          <w:szCs w:val="24"/>
        </w:rPr>
      </w:pPr>
      <w:r>
        <w:rPr>
          <w:rFonts w:hint="eastAsia" w:asciiTheme="minorEastAsia" w:hAnsiTheme="minorEastAsia" w:eastAsiaTheme="minorEastAsia" w:cstheme="minorBidi"/>
          <w:sz w:val="24"/>
          <w:szCs w:val="24"/>
        </w:rPr>
        <w:t xml:space="preserve">为解决燃气爆炸场景问题，重点聚</w:t>
      </w:r>
      <w:r>
        <w:rPr>
          <w:rFonts w:hint="eastAsia"/>
          <w:sz w:val="24"/>
          <w:szCs w:val="24"/>
        </w:rPr>
        <w:t xml:space="preserve">焦连云港市燃气厂站、燃气管网、相邻空间、地下空间、人员密集区、终端用户等，开展“综合监管+智慧监测”，打造连云港市基础设施安全运行智慧监管系统，完善行业监管与协同联动机制，实现市区两级互联互通、数据共享、业务协同，系统提升连云港市基础设施规范化、智慧化管理水平。系统功能涵盖了燃气监管一张图、燃气运行监测管理、燃气运行处置管理、巡检巡查信息管理、安全专项检查信息管理、用户服务质量监督管理、城市生命线工作评价、燃气设施项目信息管理、燃气行业基础信息管理、监管对象场景化建设、辅助分析研判、</w:t>
      </w:r>
      <w:r>
        <w:rPr>
          <w:sz w:val="24"/>
          <w:szCs w:val="24"/>
        </w:rPr>
        <w:t xml:space="preserve">系统接入等模块，以及移动端应用。</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（1）燃气一张图</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以基础底图和燃气基础设施、综合监管和智慧监测各项指标数据为基础，从首页概览、燃气风险隐患、燃气运行监测、老旧管道监测、项目信息等方面，实现以一张图的形式系统展示燃气运行概况。实现数据信息精准、全面、清晰，燃气管理人员可通过系统首页功能模</w:t>
      </w:r>
      <w:r>
        <w:rPr>
          <w:rFonts w:hint="eastAsia" w:asciiTheme="minorEastAsia" w:hAnsiTheme="minorEastAsia"/>
          <w:sz w:val="24"/>
          <w:szCs w:val="24"/>
        </w:rPr>
        <w:t xml:space="preserve">块的展示，快速了解城市燃气各要素的基本数据信息，更加科学、有效、精准地参与管理工作，全面掌握燃气行业现状规模。燃气一张图主要包括：总览子图、风险隐患子图、运行监测子图、老旧管道子图、项目信息子图</w:t>
      </w:r>
      <w:r>
        <w:rPr>
          <w:rFonts w:asciiTheme="minorEastAsia" w:hAnsiTheme="minorEastAsia"/>
          <w:sz w:val="24"/>
          <w:szCs w:val="24"/>
        </w:rPr>
        <w:t xml:space="preserve">等功能。</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（2）运行监测管理</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通过接入燃气企业信息化系统监测和市智慧燃气监管平台数据，汇聚燃气厂站、管道等设施的运行监测信息，实现对燃气厂站、管道泄漏、压力、流量等运行状态的动态监控。能够在系统中查询可燃气体实时浓度及历史浓度曲线掌握安全趋势，查询被监测对象的详细信息，在地图上定位监测点位位置，直观、全面地了解燃气管网的运行状况，为预防与控制燃气突发事故的发生提供重要的信息和技术支持。具体包含：统计分析、预警报警管理、预警报警处置管理、视频监控信息、阈值管理、监测设备管理</w:t>
      </w:r>
      <w:r>
        <w:rPr>
          <w:rFonts w:asciiTheme="minorEastAsia" w:hAnsiTheme="minorEastAsia"/>
          <w:sz w:val="24"/>
          <w:szCs w:val="24"/>
        </w:rPr>
        <w:t xml:space="preserve">等功能。</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（3）运行处置管理</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提供对燃气管网风险隐患信息、突发事件信息、燃气设施老化评估信息等进行统一管理，主要包括：统计分析、风险评估管控、隐患整改、重大安全隐患管理、涉燃气重要紧急情况管理等功能。</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（4）巡检巡查信息管理</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按照江苏省城镇燃气安全检查标准规定的频次和内容，对燃气厂站、燃气管线等设施的日常巡查巡检的计划和执行情况进行管理，主要包括：统计分析、日常监管</w:t>
      </w:r>
      <w:r>
        <w:rPr>
          <w:rFonts w:asciiTheme="minorEastAsia" w:hAnsiTheme="minorEastAsia"/>
          <w:sz w:val="24"/>
          <w:szCs w:val="24"/>
        </w:rPr>
        <w:t xml:space="preserve">巡检巡查问题等功能。</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（5）安全专项检查信息管理</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依据江苏省城镇燃气安全检查标准，对燃气企业进行现场检查的标准管理、计划管理等进行统一管理。</w:t>
      </w:r>
      <w:r>
        <w:rPr>
          <w:rFonts w:hint="eastAsia" w:asciiTheme="minorEastAsia" w:hAnsiTheme="minorEastAsia"/>
          <w:sz w:val="24"/>
          <w:szCs w:val="24"/>
        </w:rPr>
        <w:t xml:space="preserve">主要包含：</w:t>
      </w:r>
      <w:r>
        <w:rPr>
          <w:rFonts w:asciiTheme="minorEastAsia" w:hAnsiTheme="minorEastAsia"/>
          <w:sz w:val="24"/>
          <w:szCs w:val="24"/>
        </w:rPr>
        <w:t xml:space="preserve">检查标准管理</w:t>
      </w:r>
      <w:r>
        <w:rPr>
          <w:rFonts w:hint="eastAsia" w:asciiTheme="minorEastAsia" w:hAnsiTheme="minorEastAsia"/>
          <w:sz w:val="24"/>
          <w:szCs w:val="24"/>
        </w:rPr>
        <w:t xml:space="preserve">、</w:t>
      </w:r>
      <w:r>
        <w:rPr>
          <w:rFonts w:asciiTheme="minorEastAsia" w:hAnsiTheme="minorEastAsia"/>
          <w:sz w:val="24"/>
          <w:szCs w:val="24"/>
        </w:rPr>
        <w:t xml:space="preserve">检查计划管理、监督检查等功能。</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（6）用户服务质量监督</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监督燃气企业按规定频次对燃气居民用户、非居民用户进行入户安检，提高燃气企业的服务质量。需包括：统计分析、入户安检信息管理等功能。</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（7）城市生命线工作评价</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对管道燃气企业、瓶装液化气经营企业定期进行监督评价，主要包括统计分析、第三方安全评估、工作评价</w:t>
      </w:r>
      <w:r>
        <w:rPr>
          <w:rFonts w:asciiTheme="minorEastAsia" w:hAnsiTheme="minorEastAsia"/>
          <w:sz w:val="24"/>
          <w:szCs w:val="24"/>
        </w:rPr>
        <w:t xml:space="preserve">等模块。</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（8）燃气设施项目信息管理</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对全市燃气厂站、管道等规划项目、计划项目、在建项目信息进行多维度统计分析管理，并支持用各种图表如柱状图、表格、报表等形式进行展示，主要包含：统计分析、</w:t>
      </w:r>
      <w:r>
        <w:rPr>
          <w:rFonts w:asciiTheme="minorEastAsia" w:hAnsiTheme="minorEastAsia"/>
          <w:sz w:val="24"/>
          <w:szCs w:val="24"/>
        </w:rPr>
        <w:t xml:space="preserve">规划项目</w:t>
      </w:r>
      <w:r>
        <w:rPr>
          <w:rFonts w:asciiTheme="minorEastAsia" w:hAnsiTheme="minorEastAsia"/>
          <w:sz w:val="24"/>
          <w:szCs w:val="24"/>
        </w:rPr>
        <w:t xml:space="preserve">信息管理</w:t>
      </w:r>
      <w:r>
        <w:rPr>
          <w:rFonts w:hint="eastAsia" w:asciiTheme="minorEastAsia" w:hAnsiTheme="minorEastAsia"/>
          <w:sz w:val="24"/>
          <w:szCs w:val="24"/>
        </w:rPr>
        <w:t xml:space="preserve">、</w:t>
      </w:r>
      <w:r>
        <w:rPr>
          <w:rFonts w:asciiTheme="minorEastAsia" w:hAnsiTheme="minorEastAsia"/>
          <w:sz w:val="24"/>
          <w:szCs w:val="24"/>
        </w:rPr>
        <w:t xml:space="preserve">计划项目信息管理</w:t>
      </w:r>
      <w:r>
        <w:rPr>
          <w:rFonts w:hint="eastAsia" w:asciiTheme="minorEastAsia" w:hAnsiTheme="minorEastAsia"/>
          <w:sz w:val="24"/>
          <w:szCs w:val="24"/>
        </w:rPr>
        <w:t xml:space="preserve">、</w:t>
      </w:r>
      <w:r>
        <w:rPr>
          <w:rFonts w:asciiTheme="minorEastAsia" w:hAnsiTheme="minorEastAsia"/>
          <w:sz w:val="24"/>
          <w:szCs w:val="24"/>
        </w:rPr>
        <w:t xml:space="preserve">在建项目信息管理</w:t>
      </w:r>
      <w:r>
        <w:rPr>
          <w:rFonts w:hint="eastAsia" w:asciiTheme="minorEastAsia" w:hAnsiTheme="minorEastAsia"/>
          <w:sz w:val="24"/>
          <w:szCs w:val="24"/>
        </w:rPr>
        <w:t xml:space="preserve">等功能。</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（9）燃气行业基础信息管理</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对燃气基础设施、企业、行业管理人员、从业人员、用户等基本信息管理。</w:t>
      </w:r>
      <w:r>
        <w:rPr>
          <w:rFonts w:hint="eastAsia" w:asciiTheme="minorEastAsia" w:hAnsiTheme="minorEastAsia"/>
          <w:sz w:val="24"/>
          <w:szCs w:val="24"/>
        </w:rPr>
        <w:t xml:space="preserve">主要包含：</w:t>
      </w:r>
      <w:r>
        <w:rPr>
          <w:rFonts w:asciiTheme="minorEastAsia" w:hAnsiTheme="minorEastAsia"/>
          <w:sz w:val="24"/>
          <w:szCs w:val="24"/>
        </w:rPr>
        <w:t xml:space="preserve">统计分析、燃气企业基础信息管理、燃气设施基础信息管理、燃气车辆基础信息管理、燃气行业管理人员基础信息管理、燃气用户基础信息管理、燃气从业人员基础信息管理、送气工基础信息管理、城镇燃气供应管理、储气设备储气情况管理、储气能力建设情况管理等功能。</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（10）监管对象厂景化</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对燃气监管对象的证照、安检、从业人员证书、从业人员教育等基本信息进行管理。</w:t>
      </w:r>
      <w:r>
        <w:rPr>
          <w:rFonts w:hint="eastAsia" w:asciiTheme="minorEastAsia" w:hAnsiTheme="minorEastAsia"/>
          <w:sz w:val="24"/>
          <w:szCs w:val="24"/>
        </w:rPr>
        <w:t xml:space="preserve">主要包含</w:t>
      </w:r>
      <w:r>
        <w:rPr>
          <w:rFonts w:asciiTheme="minorEastAsia" w:hAnsiTheme="minorEastAsia"/>
          <w:sz w:val="24"/>
          <w:szCs w:val="24"/>
        </w:rPr>
        <w:t xml:space="preserve">：企业安全综合评价、企业证照管理、气瓶全链条管理、气瓶异常监管、随瓶安检、从业人员证书管理、从业人员继续教育管理、送气工异常管理、车辆异常管理等功能。</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（11）辅助分析研判</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建立信息协同共享机制，加强对第三方施工前期，辖区内燃气地下管道信息共享和统筹监控管理，同时建立城市燃气安全预案库、知识库、案例库、外协单位等，健全辅助决策机制。主要包括：预案推送、相似案例推送、应急知识库推送、应急专家、外协单位推送。</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（1</w:t>
      </w:r>
      <w:r>
        <w:rPr>
          <w:rFonts w:hint="eastAsia" w:asciiTheme="minorEastAsia" w:hAnsiTheme="minorEastAsia"/>
          <w:sz w:val="24"/>
          <w:szCs w:val="24"/>
        </w:rPr>
        <w:t xml:space="preserve">2</w:t>
      </w:r>
      <w:r>
        <w:rPr>
          <w:rFonts w:asciiTheme="minorEastAsia" w:hAnsiTheme="minorEastAsia"/>
          <w:sz w:val="24"/>
          <w:szCs w:val="24"/>
        </w:rPr>
        <w:t xml:space="preserve">）系统接入</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完成</w:t>
      </w:r>
      <w:r>
        <w:rPr>
          <w:rFonts w:hint="eastAsia" w:asciiTheme="minorEastAsia" w:hAnsiTheme="minorEastAsia"/>
          <w:sz w:val="24"/>
          <w:szCs w:val="24"/>
        </w:rPr>
        <w:t xml:space="preserve">连云港市</w:t>
      </w:r>
      <w:r>
        <w:rPr>
          <w:rFonts w:asciiTheme="minorEastAsia" w:hAnsiTheme="minorEastAsia"/>
          <w:sz w:val="24"/>
          <w:szCs w:val="24"/>
        </w:rPr>
        <w:t xml:space="preserve">智慧燃气监管平台、燃气经营企业从业人员电子证书管理系统的数接入。</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（1</w:t>
      </w:r>
      <w:r>
        <w:rPr>
          <w:rFonts w:hint="eastAsia" w:asciiTheme="minorEastAsia" w:hAnsiTheme="minorEastAsia"/>
          <w:sz w:val="24"/>
          <w:szCs w:val="24"/>
        </w:rPr>
        <w:t xml:space="preserve">3</w:t>
      </w:r>
      <w:r>
        <w:rPr>
          <w:rFonts w:asciiTheme="minorEastAsia" w:hAnsiTheme="minorEastAsia"/>
          <w:sz w:val="24"/>
          <w:szCs w:val="24"/>
        </w:rPr>
        <w:t xml:space="preserve">）移动端</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依据《江苏省城镇燃气安全检查标准》，对燃气企业进行现场检查，移动端填报，以及提供用户第三方安全评估上报、评价结果查询。需报：安全专项检查信息管理、第三方安全评估、涉燃气重要紧急情况等功能。</w:t>
      </w:r>
      <w:r/>
    </w:p>
    <w:p>
      <w:pPr>
        <w:ind w:firstLine="482"/>
        <w:spacing w:line="360" w:lineRule="auto"/>
        <w:rPr>
          <w:rFonts w:asciiTheme="minorEastAsia" w:hAnsiTheme="minorEastAsia"/>
          <w:b/>
          <w:bCs/>
          <w:sz w:val="24"/>
          <w:szCs w:val="24"/>
        </w:rPr>
      </w:pPr>
      <w:r>
        <w:rPr>
          <w:rFonts w:hint="eastAsia" w:asciiTheme="minorEastAsia" w:hAnsiTheme="minorEastAsia"/>
          <w:b/>
          <w:bCs/>
          <w:sz w:val="24"/>
          <w:szCs w:val="24"/>
        </w:rPr>
        <w:t xml:space="preserve">4.</w:t>
      </w:r>
      <w:r>
        <w:rPr>
          <w:rFonts w:asciiTheme="minorEastAsia" w:hAnsiTheme="minorEastAsia"/>
          <w:b/>
          <w:bCs/>
          <w:sz w:val="24"/>
          <w:szCs w:val="24"/>
        </w:rPr>
        <w:t xml:space="preserve">供水专项</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建设供水专项应用，结合供水行业全生命周期和应用场景，系统提升全市供水监管系统规范化、智慧化管理水平。</w:t>
      </w:r>
      <w:r>
        <w:rPr>
          <w:rFonts w:hint="eastAsia" w:asciiTheme="minorEastAsia" w:hAnsiTheme="minorEastAsia"/>
          <w:sz w:val="24"/>
          <w:szCs w:val="24"/>
        </w:rPr>
        <w:t xml:space="preserve">主要</w:t>
      </w:r>
      <w:r>
        <w:rPr>
          <w:rFonts w:asciiTheme="minorEastAsia" w:hAnsiTheme="minorEastAsia"/>
          <w:sz w:val="24"/>
          <w:szCs w:val="24"/>
        </w:rPr>
        <w:t xml:space="preserve">包括：供水一张图、供水运行监测管理、供水运行处置管理、</w:t>
      </w:r>
      <w:r>
        <w:rPr>
          <w:rFonts w:hint="eastAsia" w:asciiTheme="minorEastAsia" w:hAnsiTheme="minorEastAsia"/>
          <w:sz w:val="24"/>
          <w:szCs w:val="24"/>
        </w:rPr>
        <w:t xml:space="preserve">供水爆管分析研判、</w:t>
      </w:r>
      <w:r>
        <w:rPr>
          <w:rFonts w:asciiTheme="minorEastAsia" w:hAnsiTheme="minorEastAsia"/>
          <w:sz w:val="24"/>
          <w:szCs w:val="24"/>
        </w:rPr>
        <w:t xml:space="preserve">供水安全保障工作监督评价、供水设施项目信息管理、供水行业基础信息管理等模块。</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（1）供水一张图</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通过一张图的方式，直观展示供水基础设施的基础信息及智慧监测、综合监管情况。主要包括：供水总览子图、风险隐患子图、运行监测子图、老旧管网子图、基础设施子图等功能。</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（2）供水运行监测管理</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对供水水源地、水厂、管网、中途增压泵站、二次供水的运行监测信息及处置信息进行管理。主要包括：统计分析、预警报警管理、预警报警处置管理、阈值管理、监测设备管理等功能。</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（3）供水运行处置管理</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对供水设施监测报警预警、巡检问题、风险隐患及突发事件等的风险信息、处置信息等进行统一管理。主要包括：统计分析、管网风险评估管理、事件管理、巡检养护管理、隐患处置管理等功能。</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（4）供水爆管分析研判</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根据供水流量、水压、漏水噪声等监测数据，利用城市供水管网爆管定位模型等，实现爆管快速定位、用户影响范围等方面的分析研判应用，提供模型应用、模型管理、模型结果查询等功能。</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（5）供水安全保障工作监督评价</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由住建部门对供水行业评价及城市生命线供水专项进行工作评价。主要包括：统计分析、部规范化考核、市供水安全保障工作评价、应急水源评估、城市生命线供水专项工作评价等功能。</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（6）供水设施项目信息管理</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对供水设施五年规划项目和年度重点项目信息进行管理，包括项目名称、建设内容、计划、计划投资额、预计完成时间等。主要包括：统计分析、五年规划项目管理、年度重点项目管理等功能。</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w:t>
      </w:r>
      <w:r>
        <w:rPr>
          <w:rFonts w:hint="eastAsia" w:asciiTheme="minorEastAsia" w:hAnsiTheme="minorEastAsia"/>
          <w:sz w:val="24"/>
          <w:szCs w:val="24"/>
        </w:rPr>
        <w:t xml:space="preserve">7</w:t>
      </w:r>
      <w:r>
        <w:rPr>
          <w:rFonts w:asciiTheme="minorEastAsia" w:hAnsiTheme="minorEastAsia"/>
          <w:sz w:val="24"/>
          <w:szCs w:val="24"/>
        </w:rPr>
        <w:t xml:space="preserve">）供水行业基础信息管理</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对供水水源地、供水厂、供水管线、中途增压泵站、二次供水设施、供水企业、供水管理人员等基本信息进行管理。主要包括：统计分析、水源地基础信息管理、应急水源地基础信息管理、水厂基础设施信息管理、供水管网基础信息管理、中途增压泵站基础信息管理、二次供水设施基础信息、供水企业基础信息管理、行业管理人员信息管理、供水用户基础信息、大用户用水监管等功能。</w:t>
      </w:r>
      <w:r/>
    </w:p>
    <w:p>
      <w:pPr>
        <w:ind w:firstLine="482"/>
        <w:spacing w:line="360" w:lineRule="auto"/>
        <w:rPr>
          <w:rFonts w:asciiTheme="minorEastAsia" w:hAnsiTheme="minorEastAsia"/>
          <w:b/>
          <w:bCs/>
          <w:sz w:val="24"/>
          <w:szCs w:val="24"/>
        </w:rPr>
      </w:pPr>
      <w:r>
        <w:rPr>
          <w:rFonts w:hint="eastAsia" w:asciiTheme="minorEastAsia" w:hAnsiTheme="minorEastAsia"/>
          <w:b/>
          <w:bCs/>
          <w:sz w:val="24"/>
          <w:szCs w:val="24"/>
        </w:rPr>
        <w:t xml:space="preserve">5.排水</w:t>
      </w:r>
      <w:r>
        <w:rPr>
          <w:rFonts w:asciiTheme="minorEastAsia" w:hAnsiTheme="minorEastAsia"/>
          <w:b/>
          <w:bCs/>
          <w:sz w:val="24"/>
          <w:szCs w:val="24"/>
        </w:rPr>
        <w:t xml:space="preserve">专项</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围绕排水防涝和污水监管进行展开，分别对城市雨水管网、雨水泵站、排口水、易淹易涝点等排水防涝相关以及排水户、污水管网、污水泵站、污水厂等污水设施进行精细化管理，对基础信息管理、在线监测、运维养护、应急处置度等方面深入开展信息化应用，按照“综合监管+智慧监测”思路，建设排水防涝监管子系统与污水监管子系统。</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5.1排水防涝监管子系统</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建设排水防涝专项应用，通过地理信息底图上叠加排水防涝设施基础数据，掌握总体态势和重点排水设施安全运行监测数据状态，实现排水防涝设施全生命周期监管，完善排水防涝监管评价体系，降低城市内涝发生频率。主要包括：排水防涝设施一张图、基础设施数据管理、排水防涝智慧监测管理、巡检养护监管、风险隐患管理、突发事件管理、模型结果信息、项目信息管理、监督评价管理、数据归集管理。</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（1）排水防涝设施一张图</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综合展示排水防涝风险隐患、运行监测、巡检养护、巡查养护等基础信息，全面掌握排水基础设施的动态，为城市排水防涝提供决策依据，保障城市生命安全。主要包括总览子图、风险隐患子图、运行监测子图、巡检养护子图、基础设施子图、应急管理。</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（2）基础设施数据管理</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对排水防涝设施规划、年度计划信息进行管理，通过原有系统接入或在线填报方式进行信息更新管理，主要对排水防涝项目的名称、内容、规模、总投资、建设进度等项目信息进行管理。对雨水管网（含老旧管网）、排涝泵站、排水口、调蓄池、行泄通道等排水防涝设施的基本信息进行管理，通过原有系统接入或在线填报方式进行信息更新管理，实现信息查询、信息管理、地图定位、报表生成等功能。</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（3）排水防涝智慧监测管理</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与其他部门数据进行联动，统一管理排水防涝基础设施的流量、液位、视频监测等在线运行监测信息，主要包括监测设备基本信息、监测数据、报警预警信息等，提供信息查询、报警显示、告警备注、处置督办、地图定位、报表生成等功能。支持原有系统接入或在线填报方式进行管理。</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通过设置实时监控设备、水位尺、液位计、流量计、雨量计等，建立排水管网及附属设施的物联网监测体系，对排水管网、泵站、内涝点、河涌等状态进行有效监控，对监测结果进行跟踪分析、多维度展示，对报警处置情况进行监督管理，为行业监管提供支撑，提高城市排水系统整。</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（4）巡检养护监管</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对排水防涝设施巡检养护信息进行统一管理，涵盖巡检养护计划管理、巡检养护执行管理等功能。通过接入原有系统或填报的方式进行信息收集，提供填报管理等功能并支持门户首页快速登录填报。</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（5）风险隐患管理</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对排水防涝风险隐患进行管理，主要包括统计分析、风险管控、隐患排查、重大隐患管理等模块。</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（6）突发事件管理</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主要包括：突发事件统计分析、突发事件监督管理功能。</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（7）模型结果信息</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通过分析历史内涝情况和实时数据，评估不同区域的内涝风险，提供应急预案辅助决策的功能。</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（8）项目信息管理</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包括对项目计划信息、建设信息、易淹易涝点整治、河道整治等项目进行统计分析。</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（9）监督评价管理</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对全市排水防涝安全保障工作进行监督评价，主要功能包括排水防涝行业评价、城市生命线排水防涝专项工作评价。</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（10）数据归集管理。</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支持基础设施信息、项目信息、运行监测、巡检养护、隐患管理、监督评价管理等数据的分权分域管理。</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5.2污水监管子系统</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建设污水专项应用，在地理信息底图上叠加污水设施数据，掌握污水行业总体情况，实现污水设施全生命周期监管，掌握重点污水设施的安全运行监测数据和雨污水错接、混接情况，监督污水处理厂进出水水质超标等事件的处理结果，降低水污染事件的发生频率，提高污水设施安全运行水平。需包括：污水一张图、污水基础信息管理、污水智慧监测管理、污水设施巡检养护管理、污水设施项目信息管理、污水设施保障工作监督评价、污水设施数据归集、系统接入等模块。</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（1）污水一张图</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对污水设施运行监测子图、老旧管网子图、基础设施子图进行一张图展示，主要包括总览子图、运行监测子图、提升改造子图、基础信息子图等。</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（2）污水基础信息管理</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对污水管网、泵站、污水井、重点排水户等污水设施的基本信息进行管理，通过原有系统接入或在线填报方式进行信息更新管理，实现信息查询、信息管理、信息填报、地图定位、报表生成等功能。</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（3）污水智慧监测管理</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对污水设施监测报警预警、巡检问题、风险隐患及突发事件等的风险信息、处置信息等进行统一管理，主要功能包括统计分析、监测设备信息管理、报警预警、物联网平台的接入等。</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（4）污水设施巡检养护管理</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包括巡检养护计划管理、巡检养护执行管理，可以实现对对污水设施巡检养护信息进行统一管理。主要功能包括巡检养护统计分析、巡检管理、养护管理、巡检记录信息管理、养护记录信息管理、问题记录信息管理等模块。</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（5）污水设施项目信息管理</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对污水设施规划、年度计划信息进行管理，通过原有系统接入或在线填报方式进行信息更新管理，主要对污水项目的名称、内容、规模、总投资、建设进度等信息进行管理。</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（6）污水设施保障工作监督评价</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对全市污水安全保障工作进行监督评价，主要功能包括污水行业评价、城市生命线污水专项工作评价，提供信息查询、超期督办、报表生成等服务。</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（7）污水设施数据归集</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全市污水设施的数据进行归集，包括计划信息、建设信息、巡检月度计划、养护月度计划、城镇污水处理工作规范化评价、城镇污水处理运行考核等基础数据。</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（8）系统接入</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连云港智慧污水管理平台等接入：获取平台相关数据接入，便于后续融合分析。</w:t>
      </w:r>
      <w:r/>
    </w:p>
    <w:p>
      <w:pPr>
        <w:ind w:firstLine="482"/>
        <w:spacing w:line="360" w:lineRule="auto"/>
        <w:rPr>
          <w:rFonts w:asciiTheme="minorEastAsia" w:hAnsiTheme="minorEastAsia"/>
          <w:b/>
          <w:bCs/>
          <w:sz w:val="24"/>
          <w:szCs w:val="24"/>
        </w:rPr>
      </w:pPr>
      <w:r>
        <w:rPr>
          <w:rFonts w:hint="eastAsia" w:asciiTheme="minorEastAsia" w:hAnsiTheme="minorEastAsia"/>
          <w:b/>
          <w:bCs/>
          <w:sz w:val="24"/>
          <w:szCs w:val="24"/>
        </w:rPr>
        <w:t xml:space="preserve">6.</w:t>
      </w:r>
      <w:r>
        <w:rPr>
          <w:rFonts w:asciiTheme="minorEastAsia" w:hAnsiTheme="minorEastAsia"/>
          <w:b/>
          <w:bCs/>
          <w:sz w:val="24"/>
          <w:szCs w:val="24"/>
        </w:rPr>
        <w:t xml:space="preserve">地下管线专项</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汇聚整合生命线安全工程示范区域内的燃气、雨水、污水、供水等地下管线数据，以及风险隐患数据、管线检测数据等地下管线相关数据，利用三维可视化技术，打造地下管线一张图，实现交互风险分析、隐患集中管理，方便相关部门对高风险管段进行处置，提供地下管线一张图、地下管线常用功能、地下管线更新监管、地下管线交互影响分析、交互风险隐患处置监督管理、地下管线辅助决策等功能模块。</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（1）地下管线一张图</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汇聚城镇燃气、雨水、污水、供水等各类地下管线的基础数据，采用多源信息一张图的展示方式，形成地下管线一张图，快速掌握各类地下管线的分布情况，为城市生命线基础设施综合监管和安全运行提供底图服务和数据服务。主要功能包括基础信息子图、交互风险子图、隐患信息子图。</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（2）地下管线常用功能</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提供地下管线常用功能，主要包括：基本操作、定位查询、管线统计、辅助测量标注等模块</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（3）地下管线更新监管</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结合管线规划批后管理、修补测、联动巡查和竣工测绘成果汇交，以及管线权属单位的施工、改造、更新等信息，对地下管线更新全过程进行跟踪监管，主要包括管线供图信息监管、放线信息监管、验线信息监管、竣工成果汇交信息监管、地下管线建设计划监管、地下管线建设实施监管、地下管线长度信息监管以及地下管线动态更新监管等功能。</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（4）地下管线交互影响分析</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对照《城市生命线安全工程——城市基础设施安全运行智慧监管系统数据标准（试行）》要求，综合利用连云港市城市地下市政基础设施普查成果数据，在涉密环境下对管线原始数据进行交互风险分析，将分析结果列表在政务外网环境下进行展示与应用。</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主要包括第三方施工影响分析、爆管关阀分析、道路塌陷分析、路面沉降分析、管线安全间距分析、管线埋深分析、管线交叉穿越分析、建（构）筑物占压分析等功能。</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（5）交互风险隐患处置监督管理</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针对分析出的风险隐患，支持将分析结果推送到相关各方，并对交互风险隐患整改处置情况进行监督管理。包括汇总统计、隐患处置填报、隐患查询、处置跟踪、报表生成、耦合分析信息等功能</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（6）地下管线辅助决策</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提供包括管线连通性分析、管线纵断面分析、管线横断面分析、超期预警分析、工程模拟开挖分析、管线错接分析、管线混接分析等分析功能，为应急指挥提供辅助决策。相关权属单位、管理部门可通过调用该模块提供的分析服务对管网运行情况进行分析，分析结果可为城市规划、施工、设计提供辅助决策。</w:t>
      </w:r>
      <w:r/>
    </w:p>
    <w:p>
      <w:pPr>
        <w:ind w:firstLine="482"/>
        <w:spacing w:line="360" w:lineRule="auto"/>
        <w:rPr>
          <w:rFonts w:asciiTheme="minorEastAsia" w:hAnsiTheme="minorEastAsia"/>
          <w:b/>
          <w:bCs/>
          <w:sz w:val="24"/>
          <w:szCs w:val="24"/>
        </w:rPr>
      </w:pPr>
      <w:r>
        <w:rPr>
          <w:rFonts w:hint="eastAsia" w:asciiTheme="minorEastAsia" w:hAnsiTheme="minorEastAsia"/>
          <w:b/>
          <w:bCs/>
          <w:sz w:val="24"/>
          <w:szCs w:val="24"/>
        </w:rPr>
        <w:t xml:space="preserve">7.</w:t>
      </w:r>
      <w:r>
        <w:rPr>
          <w:rFonts w:asciiTheme="minorEastAsia" w:hAnsiTheme="minorEastAsia"/>
          <w:b/>
          <w:bCs/>
          <w:sz w:val="24"/>
          <w:szCs w:val="24"/>
        </w:rPr>
        <w:t xml:space="preserve">道路专项</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结合重点城市道路基础信息以及检查养护情况，提供精细化、实景化数据展现、查询和分析等功能。分为市政道路及附属设施管理子系统和道路塌陷管理子系统两大子系统。</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7.1</w:t>
      </w:r>
      <w:r>
        <w:rPr>
          <w:rFonts w:asciiTheme="minorEastAsia" w:hAnsiTheme="minorEastAsia"/>
          <w:sz w:val="24"/>
          <w:szCs w:val="24"/>
        </w:rPr>
        <w:t xml:space="preserve">市政道路及附属设施管理子系统包括：道路及附属设施管理一张图、道路基础信息管理、道路检查管理、道路检测评定管理、道路养护维修管理、道路项目信息管理、道路占用挖掘审批管理</w:t>
      </w:r>
      <w:r>
        <w:rPr>
          <w:rFonts w:hint="eastAsia" w:asciiTheme="minorEastAsia" w:hAnsiTheme="minorEastAsia"/>
          <w:sz w:val="24"/>
          <w:szCs w:val="24"/>
        </w:rPr>
        <w:t xml:space="preserve">、我的任务</w:t>
      </w:r>
      <w:r>
        <w:rPr>
          <w:rFonts w:asciiTheme="minorEastAsia" w:hAnsiTheme="minorEastAsia"/>
          <w:sz w:val="24"/>
          <w:szCs w:val="24"/>
        </w:rPr>
        <w:t xml:space="preserve">等模块。</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（1）道路及附属设施管理一张图</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展示重点城市道路、道路附属设施（如路灯等）的基本信息以及道路检查养护情况，掌</w:t>
      </w:r>
      <w:r>
        <w:rPr>
          <w:rFonts w:asciiTheme="minorEastAsia" w:hAnsiTheme="minorEastAsia"/>
          <w:sz w:val="24"/>
          <w:szCs w:val="24"/>
        </w:rPr>
        <w:t xml:space="preserve">握城市道路的基本情况。</w:t>
      </w:r>
      <w:r>
        <w:rPr>
          <w:rFonts w:hint="eastAsia" w:asciiTheme="minorEastAsia" w:hAnsiTheme="minorEastAsia"/>
          <w:sz w:val="24"/>
          <w:szCs w:val="24"/>
        </w:rPr>
        <w:t xml:space="preserve">主要</w:t>
      </w:r>
      <w:r>
        <w:rPr>
          <w:rFonts w:asciiTheme="minorEastAsia" w:hAnsiTheme="minorEastAsia"/>
          <w:sz w:val="24"/>
          <w:szCs w:val="24"/>
        </w:rPr>
        <w:t xml:space="preserve">包括：市政道路基础信息子图、市政道路检查养护子图等功能。</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（2）道路基础信息管理</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通过系统接入或在线填报方式对市政道路及附属设施信息进行统一管理。</w:t>
      </w:r>
      <w:r>
        <w:rPr>
          <w:rFonts w:hint="eastAsia" w:asciiTheme="minorEastAsia" w:hAnsiTheme="minorEastAsia"/>
          <w:sz w:val="24"/>
          <w:szCs w:val="24"/>
        </w:rPr>
        <w:t xml:space="preserve">主要</w:t>
      </w:r>
      <w:r>
        <w:rPr>
          <w:rFonts w:asciiTheme="minorEastAsia" w:hAnsiTheme="minorEastAsia"/>
          <w:sz w:val="24"/>
          <w:szCs w:val="24"/>
        </w:rPr>
        <w:t xml:space="preserve">包括：统计分析、道路基础信息管理、道路附属设施基础信息管理等功能。</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（3）道路检查管理</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对城市道路检查的关键数据通过原有系统接入或在线填报方式进行管理。</w:t>
      </w:r>
      <w:r>
        <w:rPr>
          <w:rFonts w:hint="eastAsia" w:asciiTheme="minorEastAsia" w:hAnsiTheme="minorEastAsia"/>
          <w:sz w:val="24"/>
          <w:szCs w:val="24"/>
        </w:rPr>
        <w:t xml:space="preserve">主要</w:t>
      </w:r>
      <w:r>
        <w:rPr>
          <w:rFonts w:asciiTheme="minorEastAsia" w:hAnsiTheme="minorEastAsia"/>
          <w:sz w:val="24"/>
          <w:szCs w:val="24"/>
        </w:rPr>
        <w:t xml:space="preserve">包括：统计分析、检查计划管理、检查记录管理、检查问题管理等功能。</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（4）道路检测评定管理</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对城市道路检测数据通过原有系统接入或在线填报方式进行统一的管理。</w:t>
      </w:r>
      <w:r>
        <w:rPr>
          <w:rFonts w:hint="eastAsia" w:asciiTheme="minorEastAsia" w:hAnsiTheme="minorEastAsia"/>
          <w:sz w:val="24"/>
          <w:szCs w:val="24"/>
        </w:rPr>
        <w:t xml:space="preserve">主要</w:t>
      </w:r>
      <w:r>
        <w:rPr>
          <w:rFonts w:asciiTheme="minorEastAsia" w:hAnsiTheme="minorEastAsia"/>
          <w:sz w:val="24"/>
          <w:szCs w:val="24"/>
        </w:rPr>
        <w:t xml:space="preserve">包括：统计分析、道路检测报告管理、路况数据管理等功能。</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（5）道路养护维修管理</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对城市道路养护维修的关键数据通过原有系统接入或在线填报方式进行管理。</w:t>
      </w:r>
      <w:r>
        <w:rPr>
          <w:rFonts w:hint="eastAsia" w:asciiTheme="minorEastAsia" w:hAnsiTheme="minorEastAsia"/>
          <w:sz w:val="24"/>
          <w:szCs w:val="24"/>
        </w:rPr>
        <w:t xml:space="preserve">主要</w:t>
      </w:r>
      <w:r>
        <w:rPr>
          <w:rFonts w:asciiTheme="minorEastAsia" w:hAnsiTheme="minorEastAsia"/>
          <w:sz w:val="24"/>
          <w:szCs w:val="24"/>
        </w:rPr>
        <w:t xml:space="preserve">包括：统计分析、养护计划管理、养护维修管理等功能。</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（6）道路项目信息管理</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对于城市道路项目信息管理数据通过原有系统接入或在线填报方式进行管理。</w:t>
      </w:r>
      <w:r>
        <w:rPr>
          <w:rFonts w:hint="eastAsia" w:asciiTheme="minorEastAsia" w:hAnsiTheme="minorEastAsia"/>
          <w:sz w:val="24"/>
          <w:szCs w:val="24"/>
        </w:rPr>
        <w:t xml:space="preserve">主要</w:t>
      </w:r>
      <w:r>
        <w:rPr>
          <w:rFonts w:asciiTheme="minorEastAsia" w:hAnsiTheme="minorEastAsia"/>
          <w:sz w:val="24"/>
          <w:szCs w:val="24"/>
        </w:rPr>
        <w:t xml:space="preserve">包括：统计分析、年度计划信息、在建道路管理等功能。</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（7）道路占用挖掘审批信息管理</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对于城市道路设施建设、管线建设等道路挖掘以及临时占道信息进行管理。</w:t>
      </w:r>
      <w:r>
        <w:rPr>
          <w:rFonts w:hint="eastAsia" w:asciiTheme="minorEastAsia" w:hAnsiTheme="minorEastAsia"/>
          <w:sz w:val="24"/>
          <w:szCs w:val="24"/>
        </w:rPr>
        <w:t xml:space="preserve">主要</w:t>
      </w:r>
      <w:r>
        <w:rPr>
          <w:rFonts w:asciiTheme="minorEastAsia" w:hAnsiTheme="minorEastAsia"/>
          <w:sz w:val="24"/>
          <w:szCs w:val="24"/>
        </w:rPr>
        <w:t xml:space="preserve">包括：统计分析、道路占用挖掘审批信息管理等功能。</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（8）我的任务</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对道路数据的新增、编辑、删除操作进行审批管理管理；对道路巡查养护工单进行审批管理管理。主要包括</w:t>
      </w:r>
      <w:r>
        <w:rPr>
          <w:rFonts w:asciiTheme="minorEastAsia" w:hAnsiTheme="minorEastAsia"/>
          <w:sz w:val="24"/>
          <w:szCs w:val="24"/>
        </w:rPr>
        <w:t xml:space="preserve">审核审批、我发起的、我办理的等功能。</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7.2</w:t>
      </w:r>
      <w:r>
        <w:rPr>
          <w:rFonts w:asciiTheme="minorEastAsia" w:hAnsiTheme="minorEastAsia"/>
          <w:sz w:val="24"/>
          <w:szCs w:val="24"/>
        </w:rPr>
        <w:t xml:space="preserve">道路塌陷管理子系统包括：道路塌陷管理一张图、塌陷风险源管理、总体风险评估、塌陷隐患探测管理、专项风险评估、塌陷隐患处置管理、塌陷事故管理等模块。</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（1）道路塌陷管理一张图</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综合展示全市道路塌陷总体风险等级分布、塌陷隐患专项风险等级分布以及处置情况。</w:t>
      </w:r>
      <w:r>
        <w:rPr>
          <w:rFonts w:hint="eastAsia" w:asciiTheme="minorEastAsia" w:hAnsiTheme="minorEastAsia"/>
          <w:sz w:val="24"/>
          <w:szCs w:val="24"/>
        </w:rPr>
        <w:t xml:space="preserve">主要</w:t>
      </w:r>
      <w:r>
        <w:rPr>
          <w:rFonts w:asciiTheme="minorEastAsia" w:hAnsiTheme="minorEastAsia"/>
          <w:sz w:val="24"/>
          <w:szCs w:val="24"/>
        </w:rPr>
        <w:t xml:space="preserve">包括：总览子图、风险评估子图、道路塌陷隐患子图等功能。</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（2）塌陷风险源管理</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对城市道路塌陷风险源信息进行统一管理，</w:t>
      </w:r>
      <w:r>
        <w:rPr>
          <w:rFonts w:hint="eastAsia" w:asciiTheme="minorEastAsia" w:hAnsiTheme="minorEastAsia"/>
          <w:sz w:val="24"/>
          <w:szCs w:val="24"/>
        </w:rPr>
        <w:t xml:space="preserve">主要</w:t>
      </w:r>
      <w:r>
        <w:rPr>
          <w:rFonts w:asciiTheme="minorEastAsia" w:hAnsiTheme="minorEastAsia"/>
          <w:sz w:val="24"/>
          <w:szCs w:val="24"/>
        </w:rPr>
        <w:t xml:space="preserve">包括：信息查询、信息管理等功能。</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（3）总体风险评估</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对城市道路进行总体风险评估的结果录入，对总体风险分级（等级Ⅰ、等级Ⅱ、等级Ⅲ、等级Ⅳ）进行管理。</w:t>
      </w:r>
      <w:r>
        <w:rPr>
          <w:rFonts w:hint="eastAsia" w:asciiTheme="minorEastAsia" w:hAnsiTheme="minorEastAsia"/>
          <w:sz w:val="24"/>
          <w:szCs w:val="24"/>
        </w:rPr>
        <w:t xml:space="preserve">主要</w:t>
      </w:r>
      <w:r>
        <w:rPr>
          <w:rFonts w:asciiTheme="minorEastAsia" w:hAnsiTheme="minorEastAsia"/>
          <w:sz w:val="24"/>
          <w:szCs w:val="24"/>
        </w:rPr>
        <w:t xml:space="preserve">包括：统计分析、总体风险评估报告、总体风险评估数据管理等功能。</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（4）塌陷隐患探测管理</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使用探地雷达等工具对城市道路进行探测，以列表形式呈现塌陷隐患探测详细信息，将探测记录信息进行统一管理，提供信息查询、信息管理等功能。</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（5）专项风险评估</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可依托业务中台建设的“城市道路塌陷风险等级评价模型”，对探测的每个隐患对应的专项风险评估结果进行录入，将塌陷隐患风险等级（Ⅰ（低）、Ⅱ（一般）、Ⅲ（较高）、Ⅳ（极高））进行管理，主要包括统计分析、专项风险评估报告、专项风险评估数据管理。</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（6）塌陷隐患处置管理</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对于区县道路塌陷隐患处置的关键数据通过原有系统接入或在线填报方式进行管理。</w:t>
      </w:r>
      <w:r>
        <w:rPr>
          <w:rFonts w:hint="eastAsia" w:asciiTheme="minorEastAsia" w:hAnsiTheme="minorEastAsia"/>
          <w:sz w:val="24"/>
          <w:szCs w:val="24"/>
        </w:rPr>
        <w:t xml:space="preserve">主要</w:t>
      </w:r>
      <w:r>
        <w:rPr>
          <w:rFonts w:asciiTheme="minorEastAsia" w:hAnsiTheme="minorEastAsia"/>
          <w:sz w:val="24"/>
          <w:szCs w:val="24"/>
        </w:rPr>
        <w:t xml:space="preserve">包括：统计分析、处置计划管理、处置信息管理等功能。</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（7）塌陷事故管理</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对城市道路塌陷事故信息进行统一管理，主要包括事故时间、事故名称、事故地点、事故等级，提供统计分析、事故信息管理等功能。</w:t>
      </w:r>
      <w:r/>
    </w:p>
    <w:p>
      <w:pPr>
        <w:ind w:firstLine="482"/>
        <w:spacing w:line="360" w:lineRule="auto"/>
        <w:rPr>
          <w:rFonts w:asciiTheme="minorEastAsia" w:hAnsiTheme="minorEastAsia"/>
          <w:b/>
          <w:bCs/>
          <w:sz w:val="24"/>
          <w:szCs w:val="24"/>
        </w:rPr>
      </w:pPr>
      <w:r>
        <w:rPr>
          <w:rFonts w:hint="eastAsia" w:asciiTheme="minorEastAsia" w:hAnsiTheme="minorEastAsia"/>
          <w:b/>
          <w:bCs/>
          <w:sz w:val="24"/>
          <w:szCs w:val="24"/>
        </w:rPr>
        <w:t xml:space="preserve">8.</w:t>
      </w:r>
      <w:r>
        <w:rPr>
          <w:rFonts w:asciiTheme="minorEastAsia" w:hAnsiTheme="minorEastAsia"/>
          <w:b/>
          <w:bCs/>
          <w:sz w:val="24"/>
          <w:szCs w:val="24"/>
        </w:rPr>
        <w:t xml:space="preserve">桥梁专项</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桥梁专项应用汇聚全市在重点关注的城市桥梁上布设的结构健康监测数据，对桥梁安全运行状况进行远程监测，掌握全市桥梁基本信息、日常运行管理信息，提高桥梁基础设施安全运行水平。具体功能需包括：</w:t>
      </w:r>
      <w:r>
        <w:rPr>
          <w:rFonts w:hint="eastAsia" w:asciiTheme="minorEastAsia" w:hAnsiTheme="minorEastAsia"/>
          <w:sz w:val="24"/>
          <w:szCs w:val="24"/>
        </w:rPr>
        <w:t xml:space="preserve">桥梁一张图、基础信息、智慧监测、综合监管、统计分析、工作台、移动端等功能模块</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（1）桥梁一张图</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桥梁一张图以“一桥一档”电子化户籍式管理方式，涵盖桥梁基础信息、桥梁的运行监测信息，为桥梁检查检测和安全运营提供技术保障，提高桥梁养护单位的管理水平和管理效率。桥梁一张图主要包括：总览子图、风险隐患子图、运行监测子图、基础信息子图。</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（2）基础信息</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对于城市桥梁基础信息数据通过系统接入或在线填报方式进行管理。基础信息功能主要功能包括基础信息、桥梁档案、管养变更、项目管理等内容。</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（3）智慧监测</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对于城市桥梁智慧监测数据通过系统接入或在线填报方式进行管理。智慧监测功能主要</w:t>
      </w:r>
      <w:r>
        <w:rPr>
          <w:rFonts w:hint="eastAsia" w:asciiTheme="minorEastAsia" w:hAnsiTheme="minorEastAsia"/>
          <w:sz w:val="24"/>
          <w:szCs w:val="24"/>
        </w:rPr>
        <w:t xml:space="preserve">功能包括桥梁监测、桥梁监测报警预警、监测报警管理、桥梁模型等内容。</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（4）综合监管</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对于城市桥梁综合监管数据通过系统接入或在线填报方式进行管理。综合监管功能主要包括系统填报情况、检查监测、养护工程、专项整治、事故处置、风险评估、监督评价、涉桥审批信息管理等内容。</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（5）</w:t>
      </w:r>
      <w:r>
        <w:rPr>
          <w:rFonts w:hint="eastAsia" w:asciiTheme="minorEastAsia" w:hAnsiTheme="minorEastAsia"/>
          <w:sz w:val="24"/>
          <w:szCs w:val="24"/>
        </w:rPr>
        <w:t xml:space="preserve">统计分析</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对桥梁各类信息进行汇总统计。</w:t>
      </w:r>
      <w:r>
        <w:rPr>
          <w:rFonts w:hint="eastAsia" w:asciiTheme="minorEastAsia" w:hAnsiTheme="minorEastAsia"/>
          <w:sz w:val="24"/>
          <w:szCs w:val="24"/>
        </w:rPr>
        <w:t xml:space="preserve">主要</w:t>
      </w:r>
      <w:r>
        <w:rPr>
          <w:rFonts w:asciiTheme="minorEastAsia" w:hAnsiTheme="minorEastAsia"/>
          <w:sz w:val="24"/>
          <w:szCs w:val="24"/>
        </w:rPr>
        <w:t xml:space="preserve">包括：基础数据统计、项目信息统计、运行监测统计、检查检测统计、养护工程统计、专项整治统计、</w:t>
      </w:r>
      <w:r>
        <w:rPr>
          <w:rFonts w:hint="eastAsia" w:asciiTheme="minorEastAsia" w:hAnsiTheme="minorEastAsia"/>
          <w:sz w:val="24"/>
          <w:szCs w:val="24"/>
        </w:rPr>
        <w:t xml:space="preserve">技术状况变化趋势统计、事故处置统计、风险评估统计、涉桥审批信息统计等内容。</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（6）</w:t>
      </w:r>
      <w:r>
        <w:rPr>
          <w:rFonts w:hint="eastAsia" w:asciiTheme="minorEastAsia" w:hAnsiTheme="minorEastAsia"/>
          <w:sz w:val="24"/>
          <w:szCs w:val="24"/>
        </w:rPr>
        <w:t xml:space="preserve">工作台</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工作台模块部署于互联网端，共监管部门进行业务审批和养护单位进行数据填报。提供我的任务、管养变更、巡检定检、养护工程、专项整治等功能。</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（7）</w:t>
      </w:r>
      <w:r>
        <w:rPr>
          <w:rFonts w:hint="eastAsia" w:asciiTheme="minorEastAsia" w:hAnsiTheme="minorEastAsia"/>
          <w:sz w:val="24"/>
          <w:szCs w:val="24"/>
        </w:rPr>
        <w:t xml:space="preserve">移动端</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面向一线作业人员，养护作业人员安装移动端，实现作业从作业上报—接收—处置—审核—完工整个闭环流程。</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9.</w:t>
      </w:r>
      <w:r>
        <w:rPr>
          <w:rFonts w:asciiTheme="minorEastAsia" w:hAnsiTheme="minorEastAsia"/>
          <w:sz w:val="24"/>
          <w:szCs w:val="24"/>
        </w:rPr>
        <w:t xml:space="preserve">第三方施工专项</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结合连云港智慧工地监管平台、工改系统、智慧城管系统、连云港市地下管线数据信息系统等，在连云港城市生命线的统一架构下，汇聚现有业务系统数据和新建的物联感知数据、开发专项应用、升级优化已有系统、上报专项标准数据，实现第三方施工安全的综合监管和智慧监测。专项系统应用主要由第三方施工一张图、综合监管、智慧监测、算法四大模块组成。</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（1）第三方施工一张图</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汇聚全市第三方施工项目，总览全市第三方施工项目信息、施工四方交底信息、施工巡检巡查信息、因第三方施工造成的管线破坏事件信息、施工现场监测报警信息、联合惩戒信息等，建立“第三方施工一张图”。</w:t>
      </w:r>
      <w:r>
        <w:rPr>
          <w:rFonts w:hint="eastAsia" w:asciiTheme="minorEastAsia" w:hAnsiTheme="minorEastAsia"/>
          <w:sz w:val="24"/>
          <w:szCs w:val="24"/>
        </w:rPr>
        <w:t xml:space="preserve">主要</w:t>
      </w:r>
      <w:r>
        <w:rPr>
          <w:rFonts w:asciiTheme="minorEastAsia" w:hAnsiTheme="minorEastAsia"/>
          <w:sz w:val="24"/>
          <w:szCs w:val="24"/>
        </w:rPr>
        <w:t xml:space="preserve">包括：总览一张图、第三方施工项目子图、第三方施工管线破坏子图、第三方施工巡检巡查子图等功能。</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（2）综合监管</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连综合监管模块主要包含施工项目管理、道路挖掘审批、四方交底管理、巡检巡查管理、管线破坏事件管理、联合惩戒管理、典型档案案例库管理等功能，建立起对第三方施工全流程的监管体系。</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（3）智慧监测</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利用光纤感知技术、视频监控+AI算法等智慧监测手段，实时高效监测第三方施工过程中的人员、设备、环境、管线等，当地块内施工出现可能会影响管线安全的异常监测情况或路域施工监测到管线异常振动时，及时将预警消息推送给管线权属单位进行应急处置。主要包括施工监测设备管理、施工现场监测管理等子功能。</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（4）算法建设</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为保障施工现场安全需要，结合</w:t>
      </w:r>
      <w:r>
        <w:rPr>
          <w:rFonts w:hint="eastAsia" w:asciiTheme="minorEastAsia" w:hAnsiTheme="minorEastAsia"/>
          <w:sz w:val="24"/>
          <w:szCs w:val="24"/>
        </w:rPr>
        <w:t xml:space="preserve">连云港市实际需求，主要做人员入侵识别算法、机械设备类型识别算法、机械设备入侵识别算法等。</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10.防震专项</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目前连云港市的地震台视频监控系统和地震应急灾情速报系统建设完善，以新建+利旧的方式，建设地震一张图、防震基础信息管理、运行维护管理、震情会商管理、应急演练管理、知识科普、地震报警等功能。</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（1）地震一张图</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以图表的形式直观展示防震减灾相关信息，提高相关管理单位的管理水平和管理效率。地震一张图主要包括：地震台和观测点子图、历史地震事件子图、测震观测子图、地震动参数子图、断层分布子图。</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（2）防震基础信息管理</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对监测设施设备、地震事件、观测资料等基础信息进行管理，包括地震台基础信息管理、宏观观测点信息管理、历史地震事件信息管理、地震观测资料管理等功能。</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（3）运行维护管理</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对地震台、宏观观测点的巡检维护的计划、问题等信息进行管理，包括统计分析、宏观异常落实、地震台监控管理等功能。</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（4）震情会商管理</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新建震情会商管理功能。提供震情会商报告的在线记录功能。</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（5）应急演练管理</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新建应急演练管理功能。对地震应急演练的计划、资料等信息进行管理。</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（6）知识科普</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对地震宣传教育科普的资料进行管理。提供资料查询、资料管理功能。预留“我的连云港”接口，将数据同步至“我的连云港”知识科普专栏。</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（7）地震报警</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接入地震预警系统，提供地震波信息推送功能以及提供避难场所信息推送功能。</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接入地震应急灾情速报系统，提供灾情邀请短信发送、回复信息处理、信息数量统计、短信地震应急灾情简报生成和地图展示等功能。</w:t>
      </w:r>
      <w:r/>
    </w:p>
    <w:p>
      <w:pPr>
        <w:ind w:firstLine="482"/>
        <w:spacing w:line="360" w:lineRule="auto"/>
        <w:rPr>
          <w:rFonts w:asciiTheme="minorEastAsia" w:hAnsiTheme="minorEastAsia"/>
          <w:b/>
          <w:bCs/>
          <w:sz w:val="24"/>
          <w:szCs w:val="24"/>
        </w:rPr>
      </w:pPr>
      <w:r>
        <w:rPr>
          <w:rFonts w:hint="eastAsia" w:asciiTheme="minorEastAsia" w:hAnsiTheme="minorEastAsia"/>
          <w:b/>
          <w:bCs/>
          <w:sz w:val="24"/>
          <w:szCs w:val="24"/>
        </w:rPr>
        <w:t xml:space="preserve">（三）数据服务建设需求</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建设清单如下：</w:t>
      </w:r>
      <w:r/>
    </w:p>
    <w:tbl>
      <w:tblPr>
        <w:tblW w:w="9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18"/>
        <w:gridCol w:w="4988"/>
        <w:gridCol w:w="1816"/>
        <w:gridCol w:w="1750"/>
      </w:tblGrid>
      <w:tr>
        <w:trPr>
          <w:jc w:val="center"/>
          <w:trHeight w:val="340"/>
          <w:tblHeader/>
        </w:trPr>
        <w:tc>
          <w:tcPr>
            <w:gridSpan w:val="4"/>
            <w:shd w:val="clear" w:color="auto" w:fill="auto"/>
            <w:tcW w:w="9672" w:type="dxa"/>
            <w:vAlign w:val="center"/>
            <w:textDirection w:val="lrTb"/>
            <w:noWrap w:val="false"/>
          </w:tcPr>
          <w:p>
            <w:pPr>
              <w:jc w:val="center"/>
              <w:spacing w:line="400" w:lineRule="exact"/>
              <w:rPr>
                <w:rFonts w:asciiTheme="minorEastAsia" w:hAnsiTheme="minorEastAsia"/>
                <w:b/>
                <w:bCs/>
                <w:color w:val="000000"/>
                <w:sz w:val="24"/>
                <w:szCs w:val="24"/>
              </w:rPr>
            </w:pPr>
            <w:r>
              <w:rPr>
                <w:rFonts w:hint="eastAsia" w:asciiTheme="minorEastAsia" w:hAnsiTheme="minorEastAsia"/>
                <w:b/>
                <w:bCs/>
                <w:color w:val="000000"/>
                <w:sz w:val="24"/>
                <w:szCs w:val="24"/>
              </w:rPr>
              <w:t xml:space="preserve">数据服务建设</w:t>
            </w:r>
            <w:r/>
          </w:p>
        </w:tc>
      </w:tr>
      <w:tr>
        <w:trPr>
          <w:jc w:val="center"/>
          <w:trHeight w:val="340"/>
          <w:tblHeader/>
        </w:trPr>
        <w:tc>
          <w:tcPr>
            <w:shd w:val="clear" w:color="auto" w:fill="auto"/>
            <w:tcW w:w="1118" w:type="dxa"/>
            <w:vAlign w:val="center"/>
            <w:textDirection w:val="lrTb"/>
            <w:noWrap w:val="false"/>
          </w:tcPr>
          <w:p>
            <w:pPr>
              <w:jc w:val="center"/>
              <w:spacing w:line="400" w:lineRule="exact"/>
              <w:rPr>
                <w:rFonts w:asciiTheme="minorEastAsia" w:hAnsiTheme="minorEastAsia"/>
                <w:b/>
                <w:bCs/>
                <w:color w:val="000000"/>
                <w:sz w:val="24"/>
                <w:szCs w:val="24"/>
              </w:rPr>
            </w:pPr>
            <w:r>
              <w:rPr>
                <w:rFonts w:asciiTheme="minorEastAsia" w:hAnsiTheme="minorEastAsia"/>
                <w:b/>
                <w:bCs/>
                <w:color w:val="000000"/>
                <w:sz w:val="24"/>
                <w:szCs w:val="24"/>
              </w:rPr>
              <w:t xml:space="preserve">序号</w:t>
            </w:r>
            <w:r/>
          </w:p>
        </w:tc>
        <w:tc>
          <w:tcPr>
            <w:shd w:val="clear" w:color="auto" w:fill="auto"/>
            <w:tcW w:w="4988" w:type="dxa"/>
            <w:vAlign w:val="center"/>
            <w:textDirection w:val="lrTb"/>
            <w:noWrap w:val="false"/>
          </w:tcPr>
          <w:p>
            <w:pPr>
              <w:jc w:val="center"/>
              <w:spacing w:line="400" w:lineRule="exact"/>
              <w:rPr>
                <w:rFonts w:asciiTheme="minorEastAsia" w:hAnsiTheme="minorEastAsia"/>
                <w:b/>
                <w:bCs/>
                <w:color w:val="000000"/>
                <w:sz w:val="24"/>
                <w:szCs w:val="24"/>
              </w:rPr>
            </w:pPr>
            <w:r>
              <w:rPr>
                <w:rFonts w:asciiTheme="minorEastAsia" w:hAnsiTheme="minorEastAsia"/>
                <w:b/>
                <w:bCs/>
                <w:color w:val="000000"/>
                <w:sz w:val="24"/>
                <w:szCs w:val="24"/>
              </w:rPr>
              <w:t xml:space="preserve">分项名称</w:t>
            </w:r>
            <w:r/>
          </w:p>
        </w:tc>
        <w:tc>
          <w:tcPr>
            <w:shd w:val="clear" w:color="auto" w:fill="auto"/>
            <w:tcW w:w="1816" w:type="dxa"/>
            <w:vAlign w:val="center"/>
            <w:textDirection w:val="lrTb"/>
            <w:noWrap w:val="false"/>
          </w:tcPr>
          <w:p>
            <w:pPr>
              <w:jc w:val="center"/>
              <w:spacing w:line="400" w:lineRule="exact"/>
              <w:rPr>
                <w:rFonts w:asciiTheme="minorEastAsia" w:hAnsiTheme="minorEastAsia"/>
                <w:b/>
                <w:bCs/>
                <w:color w:val="000000"/>
                <w:sz w:val="24"/>
                <w:szCs w:val="24"/>
              </w:rPr>
            </w:pPr>
            <w:r>
              <w:rPr>
                <w:rFonts w:asciiTheme="minorEastAsia" w:hAnsiTheme="minorEastAsia"/>
                <w:b/>
                <w:bCs/>
                <w:color w:val="000000"/>
                <w:sz w:val="24"/>
                <w:szCs w:val="24"/>
              </w:rPr>
              <w:t xml:space="preserve">数量</w:t>
            </w:r>
            <w:r/>
          </w:p>
        </w:tc>
        <w:tc>
          <w:tcPr>
            <w:shd w:val="clear" w:color="auto" w:fill="auto"/>
            <w:tcW w:w="1750" w:type="dxa"/>
            <w:vAlign w:val="center"/>
            <w:textDirection w:val="lrTb"/>
            <w:noWrap w:val="false"/>
          </w:tcPr>
          <w:p>
            <w:pPr>
              <w:jc w:val="center"/>
              <w:spacing w:line="400" w:lineRule="exact"/>
              <w:rPr>
                <w:rFonts w:asciiTheme="minorEastAsia" w:hAnsiTheme="minorEastAsia"/>
                <w:b/>
                <w:bCs/>
                <w:color w:val="000000"/>
                <w:sz w:val="24"/>
                <w:szCs w:val="24"/>
              </w:rPr>
            </w:pPr>
            <w:r>
              <w:rPr>
                <w:rFonts w:asciiTheme="minorEastAsia" w:hAnsiTheme="minorEastAsia"/>
                <w:b/>
                <w:bCs/>
                <w:color w:val="000000"/>
                <w:sz w:val="24"/>
                <w:szCs w:val="24"/>
              </w:rPr>
              <w:t xml:space="preserve">单位</w:t>
            </w:r>
            <w:r/>
          </w:p>
        </w:tc>
      </w:tr>
      <w:tr>
        <w:trPr>
          <w:jc w:val="center"/>
          <w:trHeight w:val="340"/>
        </w:trPr>
        <w:tc>
          <w:tcPr>
            <w:tcW w:w="1118" w:type="dxa"/>
            <w:vAlign w:val="center"/>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1</w:t>
            </w:r>
            <w:r/>
          </w:p>
        </w:tc>
        <w:tc>
          <w:tcPr>
            <w:gridSpan w:val="3"/>
            <w:tcW w:w="8554" w:type="dxa"/>
            <w:textDirection w:val="lrTb"/>
            <w:noWrap w:val="false"/>
          </w:tcPr>
          <w:p>
            <w:pPr>
              <w:jc w:val="left"/>
              <w:spacing w:line="400" w:lineRule="exact"/>
              <w:rPr>
                <w:rFonts w:asciiTheme="minorEastAsia" w:hAnsiTheme="minorEastAsia"/>
                <w:color w:val="000000"/>
                <w:sz w:val="24"/>
                <w:szCs w:val="24"/>
              </w:rPr>
            </w:pPr>
            <w:r>
              <w:rPr>
                <w:rFonts w:hint="eastAsia" w:asciiTheme="minorEastAsia" w:hAnsiTheme="minorEastAsia"/>
                <w:sz w:val="24"/>
                <w:szCs w:val="24"/>
              </w:rPr>
              <w:t xml:space="preserve">数据治理实施</w:t>
            </w:r>
            <w:r/>
          </w:p>
        </w:tc>
      </w:tr>
      <w:tr>
        <w:trPr>
          <w:jc w:val="center"/>
          <w:trHeight w:val="340"/>
        </w:trPr>
        <w:tc>
          <w:tcPr>
            <w:tcW w:w="1118" w:type="dxa"/>
            <w:vAlign w:val="center"/>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1.1</w:t>
            </w:r>
            <w:r/>
          </w:p>
        </w:tc>
        <w:tc>
          <w:tcPr>
            <w:tcW w:w="4988" w:type="dxa"/>
            <w:textDirection w:val="lrTb"/>
            <w:noWrap w:val="false"/>
          </w:tcPr>
          <w:p>
            <w:pPr>
              <w:jc w:val="left"/>
              <w:spacing w:line="400" w:lineRule="exact"/>
              <w:rPr>
                <w:rFonts w:asciiTheme="minorEastAsia" w:hAnsiTheme="minorEastAsia"/>
                <w:sz w:val="24"/>
                <w:szCs w:val="24"/>
              </w:rPr>
            </w:pPr>
            <w:r>
              <w:rPr>
                <w:rFonts w:hint="eastAsia" w:asciiTheme="minorEastAsia" w:hAnsiTheme="minorEastAsia"/>
                <w:sz w:val="24"/>
                <w:szCs w:val="24"/>
              </w:rPr>
              <w:t xml:space="preserve">数据资源现状梳理</w:t>
            </w:r>
            <w:r/>
          </w:p>
        </w:tc>
        <w:tc>
          <w:tcPr>
            <w:shd w:val="clear" w:color="auto" w:fill="auto"/>
            <w:tcW w:w="1816" w:type="dxa"/>
            <w:vAlign w:val="center"/>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1</w:t>
            </w:r>
            <w:r/>
          </w:p>
        </w:tc>
        <w:tc>
          <w:tcPr>
            <w:shd w:val="clear" w:color="auto" w:fill="auto"/>
            <w:tcW w:w="1750" w:type="dxa"/>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项</w:t>
            </w:r>
            <w:r/>
          </w:p>
        </w:tc>
      </w:tr>
      <w:tr>
        <w:trPr>
          <w:jc w:val="center"/>
          <w:trHeight w:val="340"/>
        </w:trPr>
        <w:tc>
          <w:tcPr>
            <w:tcW w:w="1118" w:type="dxa"/>
            <w:vAlign w:val="center"/>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1.2</w:t>
            </w:r>
            <w:r/>
          </w:p>
        </w:tc>
        <w:tc>
          <w:tcPr>
            <w:tcW w:w="4988" w:type="dxa"/>
            <w:textDirection w:val="lrTb"/>
            <w:noWrap w:val="false"/>
          </w:tcPr>
          <w:p>
            <w:pPr>
              <w:jc w:val="left"/>
              <w:spacing w:line="400" w:lineRule="exact"/>
              <w:rPr>
                <w:rFonts w:asciiTheme="minorEastAsia" w:hAnsiTheme="minorEastAsia"/>
                <w:sz w:val="24"/>
                <w:szCs w:val="24"/>
              </w:rPr>
            </w:pPr>
            <w:r>
              <w:rPr>
                <w:rFonts w:hint="eastAsia" w:asciiTheme="minorEastAsia" w:hAnsiTheme="minorEastAsia"/>
                <w:sz w:val="24"/>
                <w:szCs w:val="24"/>
              </w:rPr>
              <w:t xml:space="preserve">数据汇聚</w:t>
            </w:r>
            <w:r/>
          </w:p>
        </w:tc>
        <w:tc>
          <w:tcPr>
            <w:tcW w:w="1816" w:type="dxa"/>
            <w:vAlign w:val="center"/>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1</w:t>
            </w:r>
            <w:r/>
          </w:p>
        </w:tc>
        <w:tc>
          <w:tcPr>
            <w:tcW w:w="1750" w:type="dxa"/>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项</w:t>
            </w:r>
            <w:r/>
          </w:p>
        </w:tc>
      </w:tr>
      <w:tr>
        <w:trPr>
          <w:jc w:val="center"/>
          <w:trHeight w:val="340"/>
        </w:trPr>
        <w:tc>
          <w:tcPr>
            <w:tcW w:w="1118" w:type="dxa"/>
            <w:vAlign w:val="center"/>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1.3</w:t>
            </w:r>
            <w:r/>
          </w:p>
        </w:tc>
        <w:tc>
          <w:tcPr>
            <w:tcW w:w="4988" w:type="dxa"/>
            <w:textDirection w:val="lrTb"/>
            <w:noWrap w:val="false"/>
          </w:tcPr>
          <w:p>
            <w:pPr>
              <w:jc w:val="left"/>
              <w:spacing w:line="400" w:lineRule="exact"/>
              <w:rPr>
                <w:rFonts w:asciiTheme="minorEastAsia" w:hAnsiTheme="minorEastAsia"/>
                <w:sz w:val="24"/>
                <w:szCs w:val="24"/>
              </w:rPr>
            </w:pPr>
            <w:r>
              <w:rPr>
                <w:rFonts w:hint="eastAsia" w:asciiTheme="minorEastAsia" w:hAnsiTheme="minorEastAsia"/>
                <w:sz w:val="24"/>
                <w:szCs w:val="24"/>
              </w:rPr>
              <w:t xml:space="preserve">数据开发实施</w:t>
            </w:r>
            <w:r/>
          </w:p>
        </w:tc>
        <w:tc>
          <w:tcPr>
            <w:tcW w:w="1816" w:type="dxa"/>
            <w:vAlign w:val="center"/>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1</w:t>
            </w:r>
            <w:r/>
          </w:p>
        </w:tc>
        <w:tc>
          <w:tcPr>
            <w:tcW w:w="1750" w:type="dxa"/>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项</w:t>
            </w:r>
            <w:r/>
          </w:p>
        </w:tc>
      </w:tr>
      <w:tr>
        <w:trPr>
          <w:jc w:val="center"/>
          <w:trHeight w:val="340"/>
        </w:trPr>
        <w:tc>
          <w:tcPr>
            <w:tcW w:w="1118" w:type="dxa"/>
            <w:vAlign w:val="center"/>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1.4</w:t>
            </w:r>
            <w:r/>
          </w:p>
        </w:tc>
        <w:tc>
          <w:tcPr>
            <w:tcW w:w="4988" w:type="dxa"/>
            <w:textDirection w:val="lrTb"/>
            <w:noWrap w:val="false"/>
          </w:tcPr>
          <w:p>
            <w:pPr>
              <w:jc w:val="left"/>
              <w:spacing w:line="400" w:lineRule="exact"/>
              <w:rPr>
                <w:rFonts w:asciiTheme="minorEastAsia" w:hAnsiTheme="minorEastAsia"/>
                <w:sz w:val="24"/>
                <w:szCs w:val="24"/>
              </w:rPr>
            </w:pPr>
            <w:r>
              <w:rPr>
                <w:rFonts w:hint="eastAsia" w:asciiTheme="minorEastAsia" w:hAnsiTheme="minorEastAsia"/>
                <w:sz w:val="24"/>
                <w:szCs w:val="24"/>
              </w:rPr>
              <w:t xml:space="preserve">数据资源池建设</w:t>
            </w:r>
            <w:r/>
          </w:p>
        </w:tc>
        <w:tc>
          <w:tcPr>
            <w:tcW w:w="1816" w:type="dxa"/>
            <w:vAlign w:val="center"/>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1</w:t>
            </w:r>
            <w:r/>
          </w:p>
        </w:tc>
        <w:tc>
          <w:tcPr>
            <w:tcW w:w="1750" w:type="dxa"/>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项</w:t>
            </w:r>
            <w:r/>
          </w:p>
        </w:tc>
      </w:tr>
      <w:tr>
        <w:trPr>
          <w:jc w:val="center"/>
          <w:trHeight w:val="340"/>
        </w:trPr>
        <w:tc>
          <w:tcPr>
            <w:tcW w:w="1118" w:type="dxa"/>
            <w:vAlign w:val="center"/>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1.5</w:t>
            </w:r>
            <w:r/>
          </w:p>
        </w:tc>
        <w:tc>
          <w:tcPr>
            <w:tcW w:w="4988" w:type="dxa"/>
            <w:textDirection w:val="lrTb"/>
            <w:noWrap w:val="false"/>
          </w:tcPr>
          <w:p>
            <w:pPr>
              <w:jc w:val="left"/>
              <w:spacing w:line="400" w:lineRule="exact"/>
              <w:rPr>
                <w:rFonts w:asciiTheme="minorEastAsia" w:hAnsiTheme="minorEastAsia"/>
                <w:sz w:val="24"/>
                <w:szCs w:val="24"/>
              </w:rPr>
            </w:pPr>
            <w:r>
              <w:rPr>
                <w:rFonts w:hint="eastAsia" w:asciiTheme="minorEastAsia" w:hAnsiTheme="minorEastAsia"/>
                <w:sz w:val="24"/>
                <w:szCs w:val="24"/>
              </w:rPr>
              <w:t xml:space="preserve">数据服务封装实施</w:t>
            </w:r>
            <w:r/>
          </w:p>
        </w:tc>
        <w:tc>
          <w:tcPr>
            <w:tcW w:w="1816" w:type="dxa"/>
            <w:vAlign w:val="center"/>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1</w:t>
            </w:r>
            <w:r/>
          </w:p>
        </w:tc>
        <w:tc>
          <w:tcPr>
            <w:tcW w:w="1750" w:type="dxa"/>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项</w:t>
            </w:r>
            <w:r/>
          </w:p>
        </w:tc>
      </w:tr>
      <w:tr>
        <w:trPr>
          <w:jc w:val="center"/>
          <w:trHeight w:val="340"/>
        </w:trPr>
        <w:tc>
          <w:tcPr>
            <w:tcW w:w="1118" w:type="dxa"/>
            <w:vAlign w:val="center"/>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1.6</w:t>
            </w:r>
            <w:r/>
          </w:p>
        </w:tc>
        <w:tc>
          <w:tcPr>
            <w:tcW w:w="4988" w:type="dxa"/>
            <w:textDirection w:val="lrTb"/>
            <w:noWrap w:val="false"/>
          </w:tcPr>
          <w:p>
            <w:pPr>
              <w:jc w:val="left"/>
              <w:spacing w:line="400" w:lineRule="exact"/>
              <w:rPr>
                <w:rFonts w:asciiTheme="minorEastAsia" w:hAnsiTheme="minorEastAsia"/>
                <w:sz w:val="24"/>
                <w:szCs w:val="24"/>
              </w:rPr>
            </w:pPr>
            <w:r>
              <w:rPr>
                <w:rFonts w:hint="eastAsia" w:asciiTheme="minorEastAsia" w:hAnsiTheme="minorEastAsia"/>
                <w:sz w:val="24"/>
                <w:szCs w:val="24"/>
              </w:rPr>
              <w:t xml:space="preserve">数据运维</w:t>
            </w:r>
            <w:r/>
          </w:p>
        </w:tc>
        <w:tc>
          <w:tcPr>
            <w:tcW w:w="1816" w:type="dxa"/>
            <w:vAlign w:val="center"/>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1</w:t>
            </w:r>
            <w:r/>
          </w:p>
        </w:tc>
        <w:tc>
          <w:tcPr>
            <w:tcW w:w="1750" w:type="dxa"/>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项</w:t>
            </w:r>
            <w:r/>
          </w:p>
        </w:tc>
      </w:tr>
      <w:tr>
        <w:trPr>
          <w:jc w:val="center"/>
          <w:trHeight w:val="340"/>
        </w:trPr>
        <w:tc>
          <w:tcPr>
            <w:tcW w:w="1118" w:type="dxa"/>
            <w:vAlign w:val="center"/>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2</w:t>
            </w:r>
            <w:r/>
          </w:p>
        </w:tc>
        <w:tc>
          <w:tcPr>
            <w:gridSpan w:val="3"/>
            <w:tcW w:w="8554" w:type="dxa"/>
            <w:textDirection w:val="lrTb"/>
            <w:noWrap w:val="false"/>
          </w:tcPr>
          <w:p>
            <w:pPr>
              <w:jc w:val="left"/>
              <w:spacing w:line="400" w:lineRule="exact"/>
              <w:rPr>
                <w:rFonts w:asciiTheme="minorEastAsia" w:hAnsiTheme="minorEastAsia"/>
                <w:color w:val="000000"/>
                <w:sz w:val="24"/>
                <w:szCs w:val="24"/>
              </w:rPr>
            </w:pPr>
            <w:r>
              <w:rPr>
                <w:rFonts w:hint="eastAsia" w:asciiTheme="minorEastAsia" w:hAnsiTheme="minorEastAsia"/>
                <w:sz w:val="24"/>
                <w:szCs w:val="24"/>
              </w:rPr>
              <w:t xml:space="preserve">数据脱敏脱密</w:t>
            </w:r>
            <w:r/>
          </w:p>
        </w:tc>
      </w:tr>
      <w:tr>
        <w:trPr>
          <w:jc w:val="center"/>
          <w:trHeight w:val="340"/>
        </w:trPr>
        <w:tc>
          <w:tcPr>
            <w:tcW w:w="1118" w:type="dxa"/>
            <w:vAlign w:val="center"/>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2.1</w:t>
            </w:r>
            <w:r/>
          </w:p>
        </w:tc>
        <w:tc>
          <w:tcPr>
            <w:tcW w:w="4988" w:type="dxa"/>
            <w:textDirection w:val="lrTb"/>
            <w:noWrap w:val="false"/>
          </w:tcPr>
          <w:p>
            <w:pPr>
              <w:jc w:val="left"/>
              <w:spacing w:line="400" w:lineRule="exact"/>
              <w:rPr>
                <w:rFonts w:asciiTheme="minorEastAsia" w:hAnsiTheme="minorEastAsia"/>
                <w:sz w:val="24"/>
                <w:szCs w:val="24"/>
              </w:rPr>
            </w:pPr>
            <w:r>
              <w:rPr>
                <w:rFonts w:hint="eastAsia" w:asciiTheme="minorEastAsia" w:hAnsiTheme="minorEastAsia"/>
                <w:sz w:val="24"/>
                <w:szCs w:val="24"/>
              </w:rPr>
              <w:t xml:space="preserve">数据脱密</w:t>
            </w:r>
            <w:r/>
          </w:p>
        </w:tc>
        <w:tc>
          <w:tcPr>
            <w:shd w:val="clear" w:color="auto" w:fill="auto"/>
            <w:tcW w:w="1816" w:type="dxa"/>
            <w:vAlign w:val="center"/>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1</w:t>
            </w:r>
            <w:r/>
          </w:p>
        </w:tc>
        <w:tc>
          <w:tcPr>
            <w:shd w:val="clear" w:color="auto" w:fill="auto"/>
            <w:tcW w:w="1750" w:type="dxa"/>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项</w:t>
            </w:r>
            <w:r/>
          </w:p>
        </w:tc>
      </w:tr>
      <w:tr>
        <w:trPr>
          <w:jc w:val="center"/>
          <w:trHeight w:val="340"/>
        </w:trPr>
        <w:tc>
          <w:tcPr>
            <w:tcW w:w="1118" w:type="dxa"/>
            <w:vAlign w:val="center"/>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2.2</w:t>
            </w:r>
            <w:r/>
          </w:p>
        </w:tc>
        <w:tc>
          <w:tcPr>
            <w:tcW w:w="4988" w:type="dxa"/>
            <w:textDirection w:val="lrTb"/>
            <w:noWrap w:val="false"/>
          </w:tcPr>
          <w:p>
            <w:pPr>
              <w:jc w:val="left"/>
              <w:spacing w:line="400" w:lineRule="exact"/>
              <w:rPr>
                <w:rFonts w:asciiTheme="minorEastAsia" w:hAnsiTheme="minorEastAsia"/>
                <w:sz w:val="24"/>
                <w:szCs w:val="24"/>
              </w:rPr>
            </w:pPr>
            <w:r>
              <w:rPr>
                <w:rFonts w:hint="eastAsia" w:asciiTheme="minorEastAsia" w:hAnsiTheme="minorEastAsia"/>
                <w:sz w:val="24"/>
                <w:szCs w:val="24"/>
              </w:rPr>
              <w:t xml:space="preserve">数据脱敏</w:t>
            </w:r>
            <w:r/>
          </w:p>
        </w:tc>
        <w:tc>
          <w:tcPr>
            <w:shd w:val="clear" w:color="auto" w:fill="auto"/>
            <w:tcW w:w="1816" w:type="dxa"/>
            <w:vAlign w:val="center"/>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1</w:t>
            </w:r>
            <w:r/>
          </w:p>
        </w:tc>
        <w:tc>
          <w:tcPr>
            <w:shd w:val="clear" w:color="auto" w:fill="auto"/>
            <w:tcW w:w="1750" w:type="dxa"/>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项</w:t>
            </w:r>
            <w:r/>
          </w:p>
        </w:tc>
      </w:tr>
      <w:tr>
        <w:trPr>
          <w:jc w:val="center"/>
          <w:trHeight w:val="340"/>
        </w:trPr>
        <w:tc>
          <w:tcPr>
            <w:tcW w:w="1118" w:type="dxa"/>
            <w:vAlign w:val="center"/>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3</w:t>
            </w:r>
            <w:r/>
          </w:p>
        </w:tc>
        <w:tc>
          <w:tcPr>
            <w:tcW w:w="4988" w:type="dxa"/>
            <w:textDirection w:val="lrTb"/>
            <w:noWrap w:val="false"/>
          </w:tcPr>
          <w:p>
            <w:pPr>
              <w:jc w:val="left"/>
              <w:spacing w:line="400" w:lineRule="exact"/>
              <w:rPr>
                <w:rFonts w:asciiTheme="minorEastAsia" w:hAnsiTheme="minorEastAsia"/>
                <w:sz w:val="24"/>
                <w:szCs w:val="24"/>
              </w:rPr>
            </w:pPr>
            <w:r>
              <w:rPr>
                <w:rFonts w:hint="eastAsia" w:asciiTheme="minorEastAsia" w:hAnsiTheme="minorEastAsia"/>
                <w:sz w:val="24"/>
                <w:szCs w:val="24"/>
              </w:rPr>
              <w:t xml:space="preserve">信息资源共享</w:t>
            </w:r>
            <w:r/>
          </w:p>
        </w:tc>
        <w:tc>
          <w:tcPr>
            <w:shd w:val="clear" w:color="auto" w:fill="auto"/>
            <w:tcW w:w="1816" w:type="dxa"/>
            <w:vAlign w:val="center"/>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1</w:t>
            </w:r>
            <w:r/>
          </w:p>
        </w:tc>
        <w:tc>
          <w:tcPr>
            <w:shd w:val="clear" w:color="auto" w:fill="auto"/>
            <w:tcW w:w="1750" w:type="dxa"/>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项</w:t>
            </w:r>
            <w:r/>
          </w:p>
        </w:tc>
      </w:tr>
      <w:tr>
        <w:trPr>
          <w:jc w:val="center"/>
          <w:trHeight w:val="340"/>
        </w:trPr>
        <w:tc>
          <w:tcPr>
            <w:tcW w:w="1118" w:type="dxa"/>
            <w:vAlign w:val="center"/>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4</w:t>
            </w:r>
            <w:r/>
          </w:p>
        </w:tc>
        <w:tc>
          <w:tcPr>
            <w:tcW w:w="4988" w:type="dxa"/>
            <w:textDirection w:val="lrTb"/>
            <w:noWrap w:val="false"/>
          </w:tcPr>
          <w:p>
            <w:pPr>
              <w:jc w:val="left"/>
              <w:spacing w:line="400" w:lineRule="exact"/>
              <w:widowControl/>
              <w:rPr>
                <w:rFonts w:asciiTheme="minorEastAsia" w:hAnsiTheme="minorEastAsia"/>
                <w:sz w:val="24"/>
                <w:szCs w:val="24"/>
              </w:rPr>
            </w:pPr>
            <w:r>
              <w:rPr>
                <w:rFonts w:hint="eastAsia" w:asciiTheme="minorEastAsia" w:hAnsiTheme="minorEastAsia"/>
                <w:sz w:val="24"/>
                <w:szCs w:val="24"/>
              </w:rPr>
              <w:t xml:space="preserve">省市数据对接</w:t>
            </w:r>
            <w:r/>
          </w:p>
        </w:tc>
        <w:tc>
          <w:tcPr>
            <w:tcW w:w="1816" w:type="dxa"/>
            <w:vAlign w:val="center"/>
            <w:textDirection w:val="lrTb"/>
            <w:noWrap w:val="false"/>
          </w:tcPr>
          <w:p>
            <w:pPr>
              <w:jc w:val="center"/>
              <w:spacing w:line="400" w:lineRule="exact"/>
              <w:rPr>
                <w:rFonts w:asciiTheme="minorEastAsia" w:hAnsiTheme="minorEastAsia"/>
                <w:sz w:val="24"/>
                <w:szCs w:val="24"/>
              </w:rPr>
            </w:pPr>
            <w:r>
              <w:rPr>
                <w:rFonts w:asciiTheme="minorEastAsia" w:hAnsiTheme="minorEastAsia"/>
                <w:sz w:val="24"/>
                <w:szCs w:val="24"/>
              </w:rPr>
              <w:t xml:space="preserve">1</w:t>
            </w:r>
            <w:r/>
          </w:p>
        </w:tc>
        <w:tc>
          <w:tcPr>
            <w:tcW w:w="1750" w:type="dxa"/>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项</w:t>
            </w:r>
            <w:r/>
          </w:p>
        </w:tc>
      </w:tr>
    </w:tbl>
    <w:p>
      <w:pPr>
        <w:ind w:firstLine="482"/>
        <w:spacing w:line="360" w:lineRule="auto"/>
        <w:rPr>
          <w:rFonts w:asciiTheme="minorEastAsia" w:hAnsiTheme="minorEastAsia"/>
          <w:b/>
          <w:bCs/>
          <w:sz w:val="24"/>
          <w:szCs w:val="24"/>
        </w:rPr>
      </w:pPr>
      <w:r>
        <w:rPr>
          <w:rFonts w:hint="eastAsia" w:asciiTheme="minorEastAsia" w:hAnsiTheme="minorEastAsia"/>
          <w:b/>
          <w:bCs/>
          <w:sz w:val="24"/>
          <w:szCs w:val="24"/>
        </w:rPr>
        <w:t xml:space="preserve">具体要求如下：</w:t>
      </w:r>
      <w:r/>
    </w:p>
    <w:p>
      <w:pPr>
        <w:ind w:firstLine="482"/>
        <w:spacing w:line="360" w:lineRule="auto"/>
        <w:rPr>
          <w:rFonts w:asciiTheme="minorEastAsia" w:hAnsiTheme="minorEastAsia"/>
          <w:b/>
          <w:bCs/>
          <w:sz w:val="24"/>
          <w:szCs w:val="24"/>
        </w:rPr>
      </w:pPr>
      <w:r>
        <w:rPr>
          <w:rFonts w:hint="eastAsia" w:asciiTheme="minorEastAsia" w:hAnsiTheme="minorEastAsia"/>
          <w:b/>
          <w:bCs/>
          <w:sz w:val="24"/>
          <w:szCs w:val="24"/>
        </w:rPr>
        <w:t xml:space="preserve">1.数据治理实施要求</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本项目需制定详细的数据资源梳理、数据汇聚、数据开发实施、数据资源池建设、数据服务封装实施、数据运维等数据治理服务方案，为上层业务应用提供数据支持和服务支撑。</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1.1</w:t>
      </w:r>
      <w:r>
        <w:rPr>
          <w:rFonts w:asciiTheme="minorEastAsia" w:hAnsiTheme="minorEastAsia"/>
          <w:sz w:val="24"/>
          <w:szCs w:val="24"/>
        </w:rPr>
        <w:t xml:space="preserve">数据资源</w:t>
      </w:r>
      <w:r>
        <w:rPr>
          <w:rFonts w:hint="eastAsia" w:asciiTheme="minorEastAsia" w:hAnsiTheme="minorEastAsia"/>
          <w:sz w:val="24"/>
          <w:szCs w:val="24"/>
        </w:rPr>
        <w:t xml:space="preserve">现状</w:t>
      </w:r>
      <w:r>
        <w:rPr>
          <w:rFonts w:asciiTheme="minorEastAsia" w:hAnsiTheme="minorEastAsia"/>
          <w:sz w:val="24"/>
          <w:szCs w:val="24"/>
        </w:rPr>
        <w:t xml:space="preserve">梳理</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制定业务数据需求模版，通过梳理、调研对接、会议评审等方式完成业务数据需求清单，需包括梳理后的业务数据需求、数据来源，梳理后的数据资源核对、梳理后的数据资源任务、数据资源梳理成果输出等工作。</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1.2</w:t>
      </w:r>
      <w:r>
        <w:rPr>
          <w:rFonts w:asciiTheme="minorEastAsia" w:hAnsiTheme="minorEastAsia"/>
          <w:sz w:val="24"/>
          <w:szCs w:val="24"/>
        </w:rPr>
        <w:t xml:space="preserve">数据汇聚</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通过定义数据汇聚环节的流程、方法和流转机制，确定</w:t>
      </w:r>
      <w:r>
        <w:rPr>
          <w:rFonts w:hint="eastAsia" w:asciiTheme="minorEastAsia" w:hAnsiTheme="minorEastAsia"/>
          <w:sz w:val="24"/>
          <w:szCs w:val="24"/>
        </w:rPr>
        <w:t xml:space="preserve">连云港市</w:t>
      </w:r>
      <w:r>
        <w:rPr>
          <w:rFonts w:asciiTheme="minorEastAsia" w:hAnsiTheme="minorEastAsia"/>
          <w:sz w:val="24"/>
          <w:szCs w:val="24"/>
        </w:rPr>
        <w:t xml:space="preserve">城市生命线汇聚数据的范围、信息分类、信息项、信息源头等数据描述，汇聚住建局、水务局等各部门行业监管系统，燃气</w:t>
      </w:r>
      <w:r>
        <w:rPr>
          <w:rFonts w:hint="eastAsia" w:asciiTheme="minorEastAsia" w:hAnsiTheme="minorEastAsia"/>
          <w:sz w:val="24"/>
          <w:szCs w:val="24"/>
        </w:rPr>
        <w:t xml:space="preserve">企业</w:t>
      </w:r>
      <w:r>
        <w:rPr>
          <w:rFonts w:asciiTheme="minorEastAsia" w:hAnsiTheme="minorEastAsia"/>
          <w:sz w:val="24"/>
          <w:szCs w:val="24"/>
        </w:rPr>
        <w:t xml:space="preserve">、水务公司等权属单位信息系统数据，提供数据汇聚对接方案，需包括数据汇聚对接方式、前置库实施、数据汇聚实施流程、专项数据汇聚对接等。</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1.3</w:t>
      </w:r>
      <w:r>
        <w:rPr>
          <w:rFonts w:asciiTheme="minorEastAsia" w:hAnsiTheme="minorEastAsia"/>
          <w:sz w:val="24"/>
          <w:szCs w:val="24"/>
        </w:rPr>
        <w:t xml:space="preserve">数据开发实施</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通过对数据进行加工处理，解决源头数据“多、少、乱、错、旧”等数据问题，完成对目标数据的高标准、高质量、高可用的转变，需包括数据治理流程、数据治理对象、数据探查实施、数据标准检测、数据质量稽查、数据模型开发、数据资产管理等工作。</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1.4</w:t>
      </w:r>
      <w:r>
        <w:rPr>
          <w:rFonts w:asciiTheme="minorEastAsia" w:hAnsiTheme="minorEastAsia"/>
          <w:sz w:val="24"/>
          <w:szCs w:val="24"/>
        </w:rPr>
        <w:t xml:space="preserve">数据资源池建设</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按照数据标准要求，统一规划资源，通过对数据资源进行标准统一、流程规范的组织与挖掘，整合城市生命线基础设施数据、监测数据、监管数据，依托</w:t>
      </w:r>
      <w:r>
        <w:rPr>
          <w:rFonts w:hint="eastAsia" w:asciiTheme="minorEastAsia" w:hAnsiTheme="minorEastAsia"/>
          <w:sz w:val="24"/>
          <w:szCs w:val="24"/>
        </w:rPr>
        <w:t xml:space="preserve">运行监测中心</w:t>
      </w:r>
      <w:r>
        <w:rPr>
          <w:rFonts w:asciiTheme="minorEastAsia" w:hAnsiTheme="minorEastAsia"/>
          <w:sz w:val="24"/>
          <w:szCs w:val="24"/>
        </w:rPr>
        <w:t xml:space="preserve">数据治理中心工具，建设数据库，为综合展示、数据服务、领导决策等提供数据支撑，需包括归集库、主题库、专题库等建设。</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1.5</w:t>
      </w:r>
      <w:r>
        <w:rPr>
          <w:rFonts w:asciiTheme="minorEastAsia" w:hAnsiTheme="minorEastAsia"/>
          <w:sz w:val="24"/>
          <w:szCs w:val="24"/>
        </w:rPr>
        <w:t xml:space="preserve">数据服务封装实施</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依托</w:t>
      </w:r>
      <w:r>
        <w:rPr>
          <w:rFonts w:hint="eastAsia" w:asciiTheme="minorEastAsia" w:hAnsiTheme="minorEastAsia"/>
          <w:sz w:val="24"/>
          <w:szCs w:val="24"/>
        </w:rPr>
        <w:t xml:space="preserve">运行监测中心</w:t>
      </w:r>
      <w:r>
        <w:rPr>
          <w:rFonts w:asciiTheme="minorEastAsia" w:hAnsiTheme="minorEastAsia"/>
          <w:sz w:val="24"/>
          <w:szCs w:val="24"/>
        </w:rPr>
        <w:t xml:space="preserve">提供的数据服务工具，开发各类数据接口并组织整合，针对外部系统和跨行业应用，提供数据资源池中的数据资源查询和下载服务。</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1.6</w:t>
      </w:r>
      <w:r>
        <w:rPr>
          <w:rFonts w:asciiTheme="minorEastAsia" w:hAnsiTheme="minorEastAsia"/>
          <w:sz w:val="24"/>
          <w:szCs w:val="24"/>
        </w:rPr>
        <w:t xml:space="preserve">数据运维</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包括数据资产管理实施、数据汇聚实施、数据开发实施、数据服务封装实施等过程监控，对异常状态进行告警和处置，实现对数据治理各个环节的实时监控和管理。</w:t>
      </w:r>
      <w:r/>
    </w:p>
    <w:p>
      <w:pPr>
        <w:pStyle w:val="855"/>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2.数据脱敏脱密</w:t>
      </w:r>
      <w:r/>
    </w:p>
    <w:p>
      <w:pPr>
        <w:pStyle w:val="855"/>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2.1</w:t>
      </w:r>
      <w:r>
        <w:rPr>
          <w:rFonts w:asciiTheme="minorEastAsia" w:hAnsiTheme="minorEastAsia" w:eastAsiaTheme="minorEastAsia"/>
          <w:sz w:val="24"/>
          <w:szCs w:val="24"/>
        </w:rPr>
        <w:t xml:space="preserve">数据脱密</w:t>
      </w:r>
      <w:r/>
    </w:p>
    <w:p>
      <w:pPr>
        <w:pStyle w:val="855"/>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按照国家保密部门、自然资源部门及住房城乡建设部门关于秘密数据管理和使用要求，依据《江苏省城市生命线安全建设一期工程管线数据处理方案》和《城市基础设施安全运行智慧监管系统-数据标准》，委托江苏省测绘档案馆（全省唯一涉密数据脱密单位）将我市2022年普查完成的主城区范围内公共空间地下管线数据进行管线位置精度的解密，以确保在政务网中的安全共享与使用，数据脱密后应确保能与江苏省天地图叠加。</w:t>
      </w:r>
      <w:r/>
    </w:p>
    <w:p>
      <w:pPr>
        <w:pStyle w:val="855"/>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2.2</w:t>
      </w:r>
      <w:r>
        <w:rPr>
          <w:rFonts w:asciiTheme="minorEastAsia" w:hAnsiTheme="minorEastAsia" w:eastAsiaTheme="minorEastAsia"/>
          <w:sz w:val="24"/>
          <w:szCs w:val="24"/>
        </w:rPr>
        <w:t xml:space="preserve">数据脱敏</w:t>
      </w:r>
      <w:r/>
    </w:p>
    <w:p>
      <w:pPr>
        <w:pStyle w:val="855"/>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按照《江苏省城市生命线安全建设一期工程管线数据处理方案》v2.0、《江苏省城市地下管线数据标准》要求，采用“先规范化、标准化治理、再依规则脱敏”的方式对我市2022年普查完成的主城区范围内公共空间地下管线数据属性表进行脱敏，建立地下管线数据库，并提供</w:t>
      </w:r>
      <w:r>
        <w:rPr>
          <w:rFonts w:hint="eastAsia" w:asciiTheme="minorEastAsia" w:hAnsiTheme="minorEastAsia" w:eastAsiaTheme="minorEastAsia"/>
          <w:sz w:val="24"/>
          <w:szCs w:val="24"/>
        </w:rPr>
        <w:t xml:space="preserve">维护期</w:t>
      </w:r>
      <w:r>
        <w:rPr>
          <w:rFonts w:asciiTheme="minorEastAsia" w:hAnsiTheme="minorEastAsia" w:eastAsiaTheme="minorEastAsia"/>
          <w:sz w:val="24"/>
          <w:szCs w:val="24"/>
        </w:rPr>
        <w:t xml:space="preserve">三年内地下管线更新服务。</w:t>
      </w:r>
      <w:r/>
    </w:p>
    <w:p>
      <w:pPr>
        <w:pStyle w:val="855"/>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完成</w:t>
      </w:r>
      <w:r>
        <w:rPr>
          <w:rFonts w:hint="eastAsia" w:asciiTheme="minorEastAsia" w:hAnsiTheme="minorEastAsia" w:eastAsiaTheme="minorEastAsia"/>
          <w:sz w:val="24"/>
          <w:szCs w:val="24"/>
        </w:rPr>
        <w:t xml:space="preserve">连云港市</w:t>
      </w:r>
      <w:r>
        <w:rPr>
          <w:rFonts w:asciiTheme="minorEastAsia" w:hAnsiTheme="minorEastAsia" w:eastAsiaTheme="minorEastAsia"/>
          <w:sz w:val="24"/>
          <w:szCs w:val="24"/>
        </w:rPr>
        <w:t xml:space="preserve">管线地标、生命线数据标准之间的差异梳理；编制管点管线映射编码对照表及字段配置；对原始管线数据中的各类信息进行规范化处理及标准化治理。对治理后的管线、管点属性数据及管径压力等属性字段按照以下脱敏规则进行处理，与脱密后空间数据进</w:t>
      </w:r>
      <w:r>
        <w:rPr>
          <w:rFonts w:asciiTheme="minorEastAsia" w:hAnsiTheme="minorEastAsia" w:eastAsiaTheme="minorEastAsia"/>
          <w:sz w:val="24"/>
          <w:szCs w:val="24"/>
        </w:rPr>
        <w:t xml:space="preserve">行挂接，并按照数据标准及脱敏脱密方案要求分类输出标准的脱敏脱密成果。</w:t>
      </w:r>
      <w:r/>
    </w:p>
    <w:p>
      <w:pPr>
        <w:pStyle w:val="855"/>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3.信息资源共享</w:t>
      </w:r>
      <w:r/>
    </w:p>
    <w:p>
      <w:pPr>
        <w:pStyle w:val="855"/>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根据相关建设要求，本项目需将主题库、专题库中的数据进行整理，通过市域社会治理现代化指挥平台的数据一体化平台进行数据共享，供相关部门使用，需结合本项目实际情况，</w:t>
      </w:r>
      <w:r>
        <w:rPr>
          <w:rFonts w:hint="eastAsia" w:asciiTheme="minorEastAsia" w:hAnsiTheme="minorEastAsia" w:eastAsiaTheme="minorEastAsia"/>
          <w:sz w:val="24"/>
          <w:szCs w:val="24"/>
        </w:rPr>
        <w:t xml:space="preserve">制定</w:t>
      </w:r>
      <w:r>
        <w:rPr>
          <w:rFonts w:asciiTheme="minorEastAsia" w:hAnsiTheme="minorEastAsia" w:eastAsiaTheme="minorEastAsia"/>
          <w:sz w:val="24"/>
          <w:szCs w:val="24"/>
        </w:rPr>
        <w:t xml:space="preserve">本项目的信息资源共享方案。</w:t>
      </w:r>
      <w:r/>
    </w:p>
    <w:p>
      <w:pPr>
        <w:pStyle w:val="855"/>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4.省市数据对接</w:t>
      </w:r>
      <w:r/>
    </w:p>
    <w:p>
      <w:pPr>
        <w:pStyle w:val="855"/>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从省市数据对接方面提出我市城市生命线库表、消息、文件、视频等类型数据的接入、治理、同步上传的省市数据对接实施方案。</w:t>
      </w:r>
      <w:r/>
    </w:p>
    <w:p>
      <w:pPr>
        <w:pStyle w:val="855"/>
        <w:ind w:firstLine="482"/>
        <w:spacing w:line="360" w:lineRule="auto"/>
        <w:rPr>
          <w:rFonts w:asciiTheme="minorEastAsia" w:hAnsiTheme="minorEastAsia" w:eastAsiaTheme="minorEastAsia" w:cstheme="minorBidi"/>
          <w:b/>
          <w:bCs/>
          <w:sz w:val="24"/>
          <w:szCs w:val="24"/>
        </w:rPr>
      </w:pPr>
      <w:r>
        <w:rPr>
          <w:rFonts w:hint="eastAsia" w:asciiTheme="minorEastAsia" w:hAnsiTheme="minorEastAsia" w:eastAsiaTheme="minorEastAsia" w:cstheme="minorBidi"/>
          <w:b/>
          <w:bCs/>
          <w:sz w:val="24"/>
          <w:szCs w:val="24"/>
        </w:rPr>
        <w:t xml:space="preserve">（四）项目实施各专项硬件配置要求</w:t>
      </w:r>
      <w:r/>
    </w:p>
    <w:p>
      <w:pPr>
        <w:pStyle w:val="855"/>
        <w:ind w:firstLine="482"/>
        <w:spacing w:line="360" w:lineRule="auto"/>
        <w:rPr>
          <w:rFonts w:asciiTheme="minorEastAsia" w:hAnsiTheme="minorEastAsia" w:eastAsiaTheme="minorEastAsia" w:cstheme="minorBidi"/>
          <w:b/>
          <w:bCs/>
          <w:sz w:val="24"/>
          <w:szCs w:val="24"/>
        </w:rPr>
      </w:pPr>
      <w:r>
        <w:rPr>
          <w:rFonts w:hint="eastAsia" w:asciiTheme="minorEastAsia" w:hAnsiTheme="minorEastAsia" w:eastAsiaTheme="minorEastAsia" w:cstheme="minorBidi"/>
          <w:b/>
          <w:bCs/>
          <w:sz w:val="24"/>
          <w:szCs w:val="24"/>
        </w:rPr>
        <w:t xml:space="preserve">1.配置清单</w:t>
      </w:r>
      <w:r/>
    </w:p>
    <w:tbl>
      <w:tblPr>
        <w:tblW w:w="94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26"/>
        <w:gridCol w:w="4962"/>
        <w:gridCol w:w="1701"/>
        <w:gridCol w:w="1732"/>
      </w:tblGrid>
      <w:tr>
        <w:trPr>
          <w:jc w:val="center"/>
          <w:trHeight w:val="340"/>
        </w:trPr>
        <w:tc>
          <w:tcPr>
            <w:tcW w:w="1026" w:type="dxa"/>
            <w:vAlign w:val="center"/>
            <w:textDirection w:val="lrTb"/>
            <w:noWrap w:val="false"/>
          </w:tcPr>
          <w:p>
            <w:pPr>
              <w:jc w:val="center"/>
              <w:spacing w:line="400" w:lineRule="exact"/>
              <w:rPr>
                <w:rFonts w:asciiTheme="minorEastAsia" w:hAnsiTheme="minorEastAsia"/>
                <w:b/>
                <w:bCs/>
                <w:color w:val="000000"/>
                <w:sz w:val="24"/>
                <w:szCs w:val="24"/>
              </w:rPr>
            </w:pPr>
            <w:r>
              <w:rPr>
                <w:rFonts w:hint="eastAsia" w:asciiTheme="minorEastAsia" w:hAnsiTheme="minorEastAsia"/>
                <w:b/>
                <w:bCs/>
                <w:color w:val="000000"/>
                <w:sz w:val="24"/>
                <w:szCs w:val="24"/>
              </w:rPr>
              <w:t xml:space="preserve">序号</w:t>
            </w:r>
            <w:r/>
          </w:p>
        </w:tc>
        <w:tc>
          <w:tcPr>
            <w:tcW w:w="4962" w:type="dxa"/>
            <w:vAlign w:val="center"/>
            <w:textDirection w:val="lrTb"/>
            <w:noWrap w:val="false"/>
          </w:tcPr>
          <w:p>
            <w:pPr>
              <w:jc w:val="center"/>
              <w:spacing w:line="400" w:lineRule="exact"/>
              <w:rPr>
                <w:rFonts w:asciiTheme="minorEastAsia" w:hAnsiTheme="minorEastAsia"/>
                <w:b/>
                <w:bCs/>
                <w:color w:val="000000"/>
                <w:sz w:val="24"/>
                <w:szCs w:val="24"/>
              </w:rPr>
            </w:pPr>
            <w:r>
              <w:rPr>
                <w:rFonts w:hint="eastAsia" w:asciiTheme="minorEastAsia" w:hAnsiTheme="minorEastAsia"/>
                <w:b/>
                <w:bCs/>
                <w:color w:val="000000"/>
                <w:sz w:val="24"/>
                <w:szCs w:val="24"/>
              </w:rPr>
              <w:t xml:space="preserve">名称</w:t>
            </w:r>
            <w:r/>
          </w:p>
        </w:tc>
        <w:tc>
          <w:tcPr>
            <w:tcW w:w="1701" w:type="dxa"/>
            <w:vAlign w:val="center"/>
            <w:textDirection w:val="lrTb"/>
            <w:noWrap w:val="false"/>
          </w:tcPr>
          <w:p>
            <w:pPr>
              <w:jc w:val="center"/>
              <w:spacing w:line="400" w:lineRule="exact"/>
              <w:rPr>
                <w:rFonts w:asciiTheme="minorEastAsia" w:hAnsiTheme="minorEastAsia"/>
                <w:b/>
                <w:bCs/>
                <w:color w:val="000000"/>
                <w:sz w:val="24"/>
                <w:szCs w:val="24"/>
              </w:rPr>
            </w:pPr>
            <w:r>
              <w:rPr>
                <w:rFonts w:hint="eastAsia" w:asciiTheme="minorEastAsia" w:hAnsiTheme="minorEastAsia"/>
                <w:b/>
                <w:bCs/>
                <w:color w:val="000000"/>
                <w:sz w:val="24"/>
                <w:szCs w:val="24"/>
              </w:rPr>
              <w:t xml:space="preserve">数量</w:t>
            </w:r>
            <w:r/>
          </w:p>
        </w:tc>
        <w:tc>
          <w:tcPr>
            <w:tcW w:w="1732" w:type="dxa"/>
            <w:vAlign w:val="center"/>
            <w:textDirection w:val="lrTb"/>
            <w:noWrap w:val="false"/>
          </w:tcPr>
          <w:p>
            <w:pPr>
              <w:jc w:val="center"/>
              <w:spacing w:line="400" w:lineRule="exact"/>
              <w:rPr>
                <w:rFonts w:asciiTheme="minorEastAsia" w:hAnsiTheme="minorEastAsia"/>
                <w:b/>
                <w:bCs/>
                <w:color w:val="000000"/>
                <w:sz w:val="24"/>
                <w:szCs w:val="24"/>
              </w:rPr>
            </w:pPr>
            <w:r>
              <w:rPr>
                <w:rFonts w:hint="eastAsia" w:asciiTheme="minorEastAsia" w:hAnsiTheme="minorEastAsia"/>
                <w:b/>
                <w:bCs/>
                <w:color w:val="000000"/>
                <w:sz w:val="24"/>
                <w:szCs w:val="24"/>
              </w:rPr>
              <w:t xml:space="preserve">单位</w:t>
            </w:r>
            <w:r/>
          </w:p>
        </w:tc>
      </w:tr>
      <w:tr>
        <w:trPr>
          <w:jc w:val="center"/>
          <w:trHeight w:val="340"/>
        </w:trPr>
        <w:tc>
          <w:tcPr>
            <w:tcW w:w="1026"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1</w:t>
            </w:r>
            <w:r/>
          </w:p>
        </w:tc>
        <w:tc>
          <w:tcPr>
            <w:gridSpan w:val="3"/>
            <w:tcW w:w="8395" w:type="dxa"/>
            <w:vAlign w:val="center"/>
            <w:textDirection w:val="lrTb"/>
            <w:noWrap w:val="false"/>
          </w:tcPr>
          <w:p>
            <w:pPr>
              <w:jc w:val="left"/>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排水</w:t>
            </w:r>
            <w:r>
              <w:rPr>
                <w:rFonts w:asciiTheme="minorEastAsia" w:hAnsiTheme="minorEastAsia"/>
                <w:color w:val="000000"/>
                <w:sz w:val="24"/>
                <w:szCs w:val="24"/>
              </w:rPr>
              <w:t xml:space="preserve">专项</w:t>
            </w:r>
            <w:r/>
          </w:p>
        </w:tc>
      </w:tr>
      <w:tr>
        <w:trPr>
          <w:jc w:val="center"/>
          <w:trHeight w:val="340"/>
        </w:trPr>
        <w:tc>
          <w:tcPr>
            <w:tcW w:w="1026"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1.1</w:t>
            </w:r>
            <w:r/>
          </w:p>
        </w:tc>
        <w:tc>
          <w:tcPr>
            <w:tcW w:w="4962" w:type="dxa"/>
            <w:vAlign w:val="center"/>
            <w:textDirection w:val="lrTb"/>
            <w:noWrap w:val="false"/>
          </w:tcPr>
          <w:p>
            <w:pPr>
              <w:jc w:val="left"/>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电子水尺</w:t>
            </w:r>
            <w:r/>
          </w:p>
        </w:tc>
        <w:tc>
          <w:tcPr>
            <w:tcW w:w="1701"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19</w:t>
            </w:r>
            <w:r/>
          </w:p>
        </w:tc>
        <w:tc>
          <w:tcPr>
            <w:tcW w:w="1732"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套</w:t>
            </w:r>
            <w:r/>
          </w:p>
        </w:tc>
      </w:tr>
      <w:tr>
        <w:trPr>
          <w:jc w:val="center"/>
          <w:trHeight w:val="340"/>
        </w:trPr>
        <w:tc>
          <w:tcPr>
            <w:tcW w:w="1026"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2</w:t>
            </w:r>
            <w:r/>
          </w:p>
        </w:tc>
        <w:tc>
          <w:tcPr>
            <w:gridSpan w:val="3"/>
            <w:tcW w:w="8395" w:type="dxa"/>
            <w:vAlign w:val="center"/>
            <w:textDirection w:val="lrTb"/>
            <w:noWrap w:val="false"/>
          </w:tcPr>
          <w:p>
            <w:pPr>
              <w:jc w:val="left"/>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道路专项</w:t>
            </w:r>
            <w:r/>
          </w:p>
        </w:tc>
      </w:tr>
      <w:tr>
        <w:trPr>
          <w:jc w:val="center"/>
          <w:trHeight w:val="340"/>
        </w:trPr>
        <w:tc>
          <w:tcPr>
            <w:tcW w:w="1026"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2.1</w:t>
            </w:r>
            <w:r/>
          </w:p>
        </w:tc>
        <w:tc>
          <w:tcPr>
            <w:tcW w:w="4962" w:type="dxa"/>
            <w:vAlign w:val="center"/>
            <w:textDirection w:val="lrTb"/>
            <w:noWrap w:val="false"/>
          </w:tcPr>
          <w:p>
            <w:pPr>
              <w:jc w:val="left"/>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三维地质探地雷达（车载）</w:t>
            </w:r>
            <w:r/>
          </w:p>
        </w:tc>
        <w:tc>
          <w:tcPr>
            <w:tcW w:w="1701"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40</w:t>
            </w:r>
            <w:r/>
          </w:p>
        </w:tc>
        <w:tc>
          <w:tcPr>
            <w:tcW w:w="1732" w:type="dxa"/>
            <w:vAlign w:val="center"/>
            <w:textDirection w:val="lrTb"/>
            <w:noWrap w:val="false"/>
          </w:tcPr>
          <w:p>
            <w:pPr>
              <w:jc w:val="cente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K</w:t>
            </w:r>
            <w:r>
              <w:rPr>
                <w:rFonts w:hint="eastAsia" w:asciiTheme="minorEastAsia" w:hAnsiTheme="minorEastAsia"/>
                <w:color w:val="000000"/>
                <w:sz w:val="24"/>
                <w:szCs w:val="24"/>
              </w:rPr>
              <w:t xml:space="preserve">m</w:t>
            </w:r>
            <w:r/>
          </w:p>
        </w:tc>
      </w:tr>
      <w:tr>
        <w:trPr>
          <w:jc w:val="center"/>
          <w:trHeight w:val="340"/>
        </w:trPr>
        <w:tc>
          <w:tcPr>
            <w:tcW w:w="1026"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3</w:t>
            </w:r>
            <w:r/>
          </w:p>
        </w:tc>
        <w:tc>
          <w:tcPr>
            <w:gridSpan w:val="3"/>
            <w:tcW w:w="8395" w:type="dxa"/>
            <w:vAlign w:val="center"/>
            <w:textDirection w:val="lrTb"/>
            <w:noWrap w:val="false"/>
          </w:tcPr>
          <w:p>
            <w:pP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桥梁专项</w:t>
            </w:r>
            <w:r/>
          </w:p>
        </w:tc>
      </w:tr>
      <w:tr>
        <w:trPr>
          <w:jc w:val="center"/>
          <w:trHeight w:val="340"/>
        </w:trPr>
        <w:tc>
          <w:tcPr>
            <w:tcW w:w="1026"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3.1</w:t>
            </w:r>
            <w:r/>
          </w:p>
        </w:tc>
        <w:tc>
          <w:tcPr>
            <w:tcW w:w="4962" w:type="dxa"/>
            <w:vAlign w:val="center"/>
            <w:textDirection w:val="lrTb"/>
            <w:noWrap w:val="false"/>
          </w:tcPr>
          <w:p>
            <w:pPr>
              <w:jc w:val="left"/>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振弦式应变传感器（带温度）</w:t>
            </w:r>
            <w:r/>
          </w:p>
        </w:tc>
        <w:tc>
          <w:tcPr>
            <w:tcW w:w="1701" w:type="dxa"/>
            <w:vAlign w:val="center"/>
            <w:textDirection w:val="lrTb"/>
            <w:noWrap w:val="false"/>
          </w:tcPr>
          <w:p>
            <w:pPr>
              <w:jc w:val="center"/>
              <w:spacing w:line="400" w:lineRule="exact"/>
              <w:widowControl/>
              <w:rPr>
                <w:rFonts w:asciiTheme="minorEastAsia" w:hAnsiTheme="minorEastAsia"/>
                <w:color w:val="000000"/>
                <w:sz w:val="24"/>
                <w:szCs w:val="24"/>
              </w:rPr>
            </w:pPr>
            <w:r>
              <w:rPr>
                <w:rFonts w:hint="eastAsia" w:cs="宋体" w:asciiTheme="minorEastAsia" w:hAnsiTheme="minorEastAsia"/>
                <w:color w:val="000000"/>
                <w:sz w:val="24"/>
                <w:szCs w:val="24"/>
              </w:rPr>
              <w:t xml:space="preserve">57</w:t>
            </w:r>
            <w:r/>
          </w:p>
        </w:tc>
        <w:tc>
          <w:tcPr>
            <w:tcW w:w="1732"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套</w:t>
            </w:r>
            <w:r/>
          </w:p>
        </w:tc>
      </w:tr>
      <w:tr>
        <w:trPr>
          <w:jc w:val="center"/>
          <w:trHeight w:val="340"/>
        </w:trPr>
        <w:tc>
          <w:tcPr>
            <w:tcW w:w="1026"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3.2</w:t>
            </w:r>
            <w:r/>
          </w:p>
        </w:tc>
        <w:tc>
          <w:tcPr>
            <w:tcW w:w="4962" w:type="dxa"/>
            <w:vAlign w:val="center"/>
            <w:textDirection w:val="lrTb"/>
            <w:noWrap w:val="false"/>
          </w:tcPr>
          <w:p>
            <w:pPr>
              <w:jc w:val="left"/>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光电挠度仪</w:t>
            </w:r>
            <w:r/>
          </w:p>
        </w:tc>
        <w:tc>
          <w:tcPr>
            <w:tcW w:w="1701" w:type="dxa"/>
            <w:vAlign w:val="center"/>
            <w:textDirection w:val="lrTb"/>
            <w:noWrap w:val="false"/>
          </w:tcPr>
          <w:p>
            <w:pPr>
              <w:jc w:val="center"/>
              <w:spacing w:line="400" w:lineRule="exact"/>
              <w:widowControl/>
              <w:rPr>
                <w:rFonts w:asciiTheme="minorEastAsia" w:hAnsiTheme="minorEastAsia"/>
                <w:color w:val="000000"/>
                <w:sz w:val="24"/>
                <w:szCs w:val="24"/>
              </w:rPr>
            </w:pPr>
            <w:r>
              <w:rPr>
                <w:rFonts w:hint="eastAsia" w:cs="宋体" w:asciiTheme="minorEastAsia" w:hAnsiTheme="minorEastAsia"/>
                <w:color w:val="000000"/>
                <w:sz w:val="24"/>
                <w:szCs w:val="24"/>
              </w:rPr>
              <w:t xml:space="preserve">11</w:t>
            </w:r>
            <w:r/>
          </w:p>
        </w:tc>
        <w:tc>
          <w:tcPr>
            <w:tcW w:w="1732"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套</w:t>
            </w:r>
            <w:r/>
          </w:p>
        </w:tc>
      </w:tr>
      <w:tr>
        <w:trPr>
          <w:jc w:val="center"/>
          <w:trHeight w:val="340"/>
        </w:trPr>
        <w:tc>
          <w:tcPr>
            <w:tcW w:w="1026"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3.3</w:t>
            </w:r>
            <w:r/>
          </w:p>
        </w:tc>
        <w:tc>
          <w:tcPr>
            <w:tcW w:w="4962" w:type="dxa"/>
            <w:vAlign w:val="center"/>
            <w:textDirection w:val="lrTb"/>
            <w:noWrap w:val="false"/>
          </w:tcPr>
          <w:p>
            <w:pPr>
              <w:jc w:val="left"/>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裂缝计</w:t>
            </w:r>
            <w:r/>
          </w:p>
        </w:tc>
        <w:tc>
          <w:tcPr>
            <w:tcW w:w="1701" w:type="dxa"/>
            <w:vAlign w:val="center"/>
            <w:textDirection w:val="lrTb"/>
            <w:noWrap w:val="false"/>
          </w:tcPr>
          <w:p>
            <w:pPr>
              <w:jc w:val="center"/>
              <w:spacing w:line="400" w:lineRule="exact"/>
              <w:widowControl/>
              <w:rPr>
                <w:rFonts w:asciiTheme="minorEastAsia" w:hAnsiTheme="minorEastAsia"/>
                <w:color w:val="000000"/>
                <w:sz w:val="24"/>
                <w:szCs w:val="24"/>
              </w:rPr>
            </w:pPr>
            <w:r>
              <w:rPr>
                <w:rFonts w:hint="eastAsia" w:cs="宋体" w:asciiTheme="minorEastAsia" w:hAnsiTheme="minorEastAsia"/>
                <w:color w:val="000000"/>
                <w:sz w:val="24"/>
                <w:szCs w:val="24"/>
              </w:rPr>
              <w:t xml:space="preserve">20</w:t>
            </w:r>
            <w:r/>
          </w:p>
        </w:tc>
        <w:tc>
          <w:tcPr>
            <w:tcW w:w="1732"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套</w:t>
            </w:r>
            <w:r/>
          </w:p>
        </w:tc>
      </w:tr>
      <w:tr>
        <w:trPr>
          <w:jc w:val="center"/>
          <w:trHeight w:val="340"/>
        </w:trPr>
        <w:tc>
          <w:tcPr>
            <w:tcW w:w="1026"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3.4</w:t>
            </w:r>
            <w:r/>
          </w:p>
        </w:tc>
        <w:tc>
          <w:tcPr>
            <w:tcW w:w="4962" w:type="dxa"/>
            <w:vAlign w:val="center"/>
            <w:textDirection w:val="lrTb"/>
            <w:noWrap w:val="false"/>
          </w:tcPr>
          <w:p>
            <w:pPr>
              <w:jc w:val="left"/>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高清球机</w:t>
            </w:r>
            <w:r/>
          </w:p>
        </w:tc>
        <w:tc>
          <w:tcPr>
            <w:tcW w:w="1701" w:type="dxa"/>
            <w:vAlign w:val="center"/>
            <w:textDirection w:val="lrTb"/>
            <w:noWrap w:val="false"/>
          </w:tcPr>
          <w:p>
            <w:pPr>
              <w:jc w:val="center"/>
              <w:spacing w:line="400" w:lineRule="exact"/>
              <w:widowControl/>
              <w:rPr>
                <w:rFonts w:asciiTheme="minorEastAsia" w:hAnsiTheme="minorEastAsia"/>
                <w:color w:val="000000"/>
                <w:sz w:val="24"/>
                <w:szCs w:val="24"/>
              </w:rPr>
            </w:pPr>
            <w:r>
              <w:rPr>
                <w:rFonts w:hint="eastAsia" w:cs="宋体" w:asciiTheme="minorEastAsia" w:hAnsiTheme="minorEastAsia"/>
                <w:color w:val="000000"/>
                <w:sz w:val="24"/>
                <w:szCs w:val="24"/>
              </w:rPr>
              <w:t xml:space="preserve">5</w:t>
            </w:r>
            <w:r/>
          </w:p>
        </w:tc>
        <w:tc>
          <w:tcPr>
            <w:tcW w:w="1732"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套</w:t>
            </w:r>
            <w:r/>
          </w:p>
        </w:tc>
      </w:tr>
      <w:tr>
        <w:trPr>
          <w:jc w:val="center"/>
          <w:trHeight w:val="340"/>
        </w:trPr>
        <w:tc>
          <w:tcPr>
            <w:tcW w:w="1026"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3.5</w:t>
            </w:r>
            <w:r/>
          </w:p>
        </w:tc>
        <w:tc>
          <w:tcPr>
            <w:tcW w:w="4962" w:type="dxa"/>
            <w:vAlign w:val="center"/>
            <w:textDirection w:val="lrTb"/>
            <w:noWrap w:val="false"/>
          </w:tcPr>
          <w:p>
            <w:pPr>
              <w:jc w:val="left"/>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机柜</w:t>
            </w:r>
            <w:r/>
          </w:p>
        </w:tc>
        <w:tc>
          <w:tcPr>
            <w:tcW w:w="1701" w:type="dxa"/>
            <w:vAlign w:val="center"/>
            <w:textDirection w:val="lrTb"/>
            <w:noWrap w:val="false"/>
          </w:tcPr>
          <w:p>
            <w:pPr>
              <w:jc w:val="center"/>
              <w:spacing w:line="400" w:lineRule="exact"/>
              <w:widowControl/>
              <w:rPr>
                <w:rFonts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tcW w:w="1732"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套</w:t>
            </w:r>
            <w:r/>
          </w:p>
        </w:tc>
      </w:tr>
      <w:tr>
        <w:trPr>
          <w:jc w:val="center"/>
          <w:trHeight w:val="340"/>
        </w:trPr>
        <w:tc>
          <w:tcPr>
            <w:tcW w:w="1026"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3.6</w:t>
            </w:r>
            <w:r/>
          </w:p>
        </w:tc>
        <w:tc>
          <w:tcPr>
            <w:tcW w:w="4962" w:type="dxa"/>
            <w:vAlign w:val="center"/>
            <w:textDirection w:val="lrTb"/>
            <w:noWrap w:val="false"/>
          </w:tcPr>
          <w:p>
            <w:pPr>
              <w:jc w:val="left"/>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综合采集仪（无线）</w:t>
            </w:r>
            <w:r/>
          </w:p>
        </w:tc>
        <w:tc>
          <w:tcPr>
            <w:tcW w:w="1701" w:type="dxa"/>
            <w:vAlign w:val="center"/>
            <w:textDirection w:val="lrTb"/>
            <w:noWrap w:val="false"/>
          </w:tcPr>
          <w:p>
            <w:pPr>
              <w:jc w:val="center"/>
              <w:spacing w:line="400" w:lineRule="exact"/>
              <w:widowControl/>
              <w:rPr>
                <w:rFonts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tcW w:w="1732"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套</w:t>
            </w:r>
            <w:r/>
          </w:p>
        </w:tc>
      </w:tr>
      <w:tr>
        <w:trPr>
          <w:jc w:val="center"/>
          <w:trHeight w:val="340"/>
        </w:trPr>
        <w:tc>
          <w:tcPr>
            <w:tcW w:w="1026"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3.7</w:t>
            </w:r>
            <w:r/>
          </w:p>
        </w:tc>
        <w:tc>
          <w:tcPr>
            <w:tcW w:w="4962" w:type="dxa"/>
            <w:vAlign w:val="center"/>
            <w:textDirection w:val="lrTb"/>
            <w:noWrap w:val="false"/>
          </w:tcPr>
          <w:p>
            <w:pPr>
              <w:jc w:val="left"/>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视频网络专线</w:t>
            </w:r>
            <w:r/>
          </w:p>
        </w:tc>
        <w:tc>
          <w:tcPr>
            <w:tcW w:w="1701" w:type="dxa"/>
            <w:vAlign w:val="center"/>
            <w:textDirection w:val="lrTb"/>
            <w:noWrap w:val="false"/>
          </w:tcPr>
          <w:p>
            <w:pPr>
              <w:jc w:val="center"/>
              <w:spacing w:line="400" w:lineRule="exact"/>
              <w:widowControl/>
              <w:rPr>
                <w:rFonts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tcW w:w="1732"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条</w:t>
            </w:r>
            <w:r/>
          </w:p>
        </w:tc>
      </w:tr>
      <w:tr>
        <w:trPr>
          <w:jc w:val="center"/>
          <w:trHeight w:val="340"/>
        </w:trPr>
        <w:tc>
          <w:tcPr>
            <w:tcW w:w="1026"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4</w:t>
            </w:r>
            <w:r/>
          </w:p>
        </w:tc>
        <w:tc>
          <w:tcPr>
            <w:gridSpan w:val="3"/>
            <w:tcW w:w="8395" w:type="dxa"/>
            <w:vAlign w:val="center"/>
            <w:textDirection w:val="lrTb"/>
            <w:noWrap w:val="false"/>
          </w:tcPr>
          <w:p>
            <w:pPr>
              <w:spacing w:line="400" w:lineRule="exact"/>
              <w:rPr>
                <w:rFonts w:asciiTheme="minorEastAsia" w:hAnsiTheme="minorEastAsia"/>
                <w:color w:val="000000"/>
                <w:sz w:val="24"/>
                <w:szCs w:val="24"/>
              </w:rPr>
            </w:pPr>
            <w:r>
              <w:rPr>
                <w:rFonts w:asciiTheme="minorEastAsia" w:hAnsiTheme="minorEastAsia"/>
                <w:color w:val="000000"/>
                <w:sz w:val="24"/>
                <w:szCs w:val="24"/>
              </w:rPr>
              <w:t xml:space="preserve">第三方施工破环专项</w:t>
            </w:r>
            <w:r/>
          </w:p>
        </w:tc>
      </w:tr>
      <w:tr>
        <w:trPr>
          <w:jc w:val="center"/>
          <w:trHeight w:val="340"/>
        </w:trPr>
        <w:tc>
          <w:tcPr>
            <w:tcW w:w="1026"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4.1</w:t>
            </w:r>
            <w:r/>
          </w:p>
        </w:tc>
        <w:tc>
          <w:tcPr>
            <w:tcW w:w="4962" w:type="dxa"/>
            <w:vAlign w:val="center"/>
            <w:textDirection w:val="lrTb"/>
            <w:noWrap w:val="false"/>
          </w:tcPr>
          <w:p>
            <w:pPr>
              <w:jc w:val="left"/>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摄像头</w:t>
            </w:r>
            <w:r/>
          </w:p>
        </w:tc>
        <w:tc>
          <w:tcPr>
            <w:tcW w:w="1701"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5</w:t>
            </w:r>
            <w:r/>
          </w:p>
        </w:tc>
        <w:tc>
          <w:tcPr>
            <w:tcW w:w="1732"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个</w:t>
            </w:r>
            <w:r/>
          </w:p>
        </w:tc>
      </w:tr>
      <w:tr>
        <w:trPr>
          <w:jc w:val="center"/>
          <w:trHeight w:val="340"/>
        </w:trPr>
        <w:tc>
          <w:tcPr>
            <w:tcW w:w="1026"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4.2</w:t>
            </w:r>
            <w:r/>
          </w:p>
        </w:tc>
        <w:tc>
          <w:tcPr>
            <w:tcW w:w="4962" w:type="dxa"/>
            <w:vAlign w:val="center"/>
            <w:textDirection w:val="lrTb"/>
            <w:noWrap w:val="false"/>
          </w:tcPr>
          <w:p>
            <w:pPr>
              <w:jc w:val="left"/>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智能边缘</w:t>
            </w:r>
            <w:r>
              <w:rPr>
                <w:rFonts w:hint="eastAsia" w:asciiTheme="minorEastAsia" w:hAnsiTheme="minorEastAsia"/>
                <w:sz w:val="24"/>
                <w:szCs w:val="24"/>
              </w:rPr>
              <w:t xml:space="preserve">终端</w:t>
            </w:r>
            <w:r/>
          </w:p>
        </w:tc>
        <w:tc>
          <w:tcPr>
            <w:tcW w:w="1701"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2</w:t>
            </w:r>
            <w:r/>
          </w:p>
        </w:tc>
        <w:tc>
          <w:tcPr>
            <w:tcW w:w="1732"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台</w:t>
            </w:r>
            <w:r/>
          </w:p>
        </w:tc>
      </w:tr>
      <w:tr>
        <w:trPr>
          <w:jc w:val="center"/>
          <w:trHeight w:val="340"/>
        </w:trPr>
        <w:tc>
          <w:tcPr>
            <w:tcW w:w="1026"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4.</w:t>
            </w:r>
            <w:r>
              <w:rPr>
                <w:rFonts w:hint="eastAsia" w:asciiTheme="minorEastAsia" w:hAnsiTheme="minorEastAsia"/>
                <w:color w:val="000000"/>
                <w:sz w:val="24"/>
                <w:szCs w:val="24"/>
              </w:rPr>
              <w:t xml:space="preserve">3</w:t>
            </w:r>
            <w:r/>
          </w:p>
        </w:tc>
        <w:tc>
          <w:tcPr>
            <w:tcW w:w="4962" w:type="dxa"/>
            <w:vAlign w:val="center"/>
            <w:textDirection w:val="lrTb"/>
            <w:noWrap w:val="false"/>
          </w:tcPr>
          <w:p>
            <w:pPr>
              <w:jc w:val="left"/>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分布式光纤声传感设备</w:t>
            </w:r>
            <w:r/>
          </w:p>
        </w:tc>
        <w:tc>
          <w:tcPr>
            <w:tcW w:w="1701"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1</w:t>
            </w:r>
            <w:r/>
          </w:p>
        </w:tc>
        <w:tc>
          <w:tcPr>
            <w:tcW w:w="1732"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套</w:t>
            </w:r>
            <w:r/>
          </w:p>
        </w:tc>
      </w:tr>
      <w:tr>
        <w:trPr>
          <w:jc w:val="center"/>
          <w:trHeight w:val="340"/>
        </w:trPr>
        <w:tc>
          <w:tcPr>
            <w:tcW w:w="1026"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4.</w:t>
            </w:r>
            <w:r>
              <w:rPr>
                <w:rFonts w:hint="eastAsia" w:asciiTheme="minorEastAsia" w:hAnsiTheme="minorEastAsia"/>
                <w:color w:val="000000"/>
                <w:sz w:val="24"/>
                <w:szCs w:val="24"/>
              </w:rPr>
              <w:t xml:space="preserve">4</w:t>
            </w:r>
            <w:r/>
          </w:p>
        </w:tc>
        <w:tc>
          <w:tcPr>
            <w:tcW w:w="4962" w:type="dxa"/>
            <w:vAlign w:val="center"/>
            <w:textDirection w:val="lrTb"/>
            <w:noWrap w:val="false"/>
          </w:tcPr>
          <w:p>
            <w:pPr>
              <w:jc w:val="left"/>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光纤感知神经分析系统</w:t>
            </w:r>
            <w:r/>
          </w:p>
        </w:tc>
        <w:tc>
          <w:tcPr>
            <w:tcW w:w="1701"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1</w:t>
            </w:r>
            <w:r/>
          </w:p>
        </w:tc>
        <w:tc>
          <w:tcPr>
            <w:tcW w:w="1732"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套</w:t>
            </w:r>
            <w:r/>
          </w:p>
        </w:tc>
      </w:tr>
      <w:tr>
        <w:trPr>
          <w:jc w:val="center"/>
          <w:trHeight w:val="340"/>
        </w:trPr>
        <w:tc>
          <w:tcPr>
            <w:tcW w:w="1026"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4.</w:t>
            </w:r>
            <w:r>
              <w:rPr>
                <w:rFonts w:hint="eastAsia" w:asciiTheme="minorEastAsia" w:hAnsiTheme="minorEastAsia"/>
                <w:color w:val="000000"/>
                <w:sz w:val="24"/>
                <w:szCs w:val="24"/>
              </w:rPr>
              <w:t xml:space="preserve">5</w:t>
            </w:r>
            <w:r/>
          </w:p>
        </w:tc>
        <w:tc>
          <w:tcPr>
            <w:tcW w:w="4962" w:type="dxa"/>
            <w:vAlign w:val="center"/>
            <w:textDirection w:val="lrTb"/>
            <w:noWrap w:val="false"/>
          </w:tcPr>
          <w:p>
            <w:pPr>
              <w:jc w:val="left"/>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光纤租赁</w:t>
            </w:r>
            <w:r/>
          </w:p>
        </w:tc>
        <w:tc>
          <w:tcPr>
            <w:tcW w:w="1701"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1</w:t>
            </w:r>
            <w:r/>
          </w:p>
        </w:tc>
        <w:tc>
          <w:tcPr>
            <w:tcW w:w="1732"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套</w:t>
            </w:r>
            <w:r/>
          </w:p>
        </w:tc>
      </w:tr>
    </w:tbl>
    <w:p>
      <w:pPr>
        <w:pStyle w:val="855"/>
        <w:ind w:firstLine="482"/>
        <w:spacing w:line="360" w:lineRule="auto"/>
        <w:rPr>
          <w:rFonts w:asciiTheme="minorEastAsia" w:hAnsiTheme="minorEastAsia" w:eastAsiaTheme="minorEastAsia" w:cstheme="minorBidi"/>
          <w:b/>
          <w:bCs/>
          <w:sz w:val="24"/>
          <w:szCs w:val="24"/>
        </w:rPr>
      </w:pPr>
      <w:r>
        <w:rPr>
          <w:rFonts w:hint="eastAsia" w:asciiTheme="minorEastAsia" w:hAnsiTheme="minorEastAsia" w:eastAsiaTheme="minorEastAsia" w:cstheme="minorBidi"/>
          <w:b/>
          <w:bCs/>
          <w:sz w:val="24"/>
          <w:szCs w:val="24"/>
        </w:rPr>
        <w:t xml:space="preserve">2.技术参数及布点清单</w:t>
      </w:r>
      <w:r/>
    </w:p>
    <w:p>
      <w:pPr>
        <w:pStyle w:val="855"/>
        <w:ind w:firstLine="482"/>
        <w:spacing w:line="360" w:lineRule="auto"/>
        <w:rPr>
          <w:rFonts w:asciiTheme="minorEastAsia" w:hAnsiTheme="minorEastAsia" w:eastAsiaTheme="minorEastAsia" w:cstheme="minorBidi"/>
          <w:b/>
          <w:bCs/>
          <w:sz w:val="24"/>
          <w:szCs w:val="24"/>
        </w:rPr>
      </w:pPr>
      <w:r>
        <w:rPr>
          <w:rFonts w:hint="eastAsia" w:asciiTheme="minorEastAsia" w:hAnsiTheme="minorEastAsia" w:eastAsiaTheme="minorEastAsia" w:cstheme="minorBidi"/>
          <w:b/>
          <w:bCs/>
          <w:sz w:val="24"/>
          <w:szCs w:val="24"/>
        </w:rPr>
        <w:t xml:space="preserve">（1）排水专项</w:t>
      </w:r>
      <w:r/>
    </w:p>
    <w:p>
      <w:pPr>
        <w:pStyle w:val="855"/>
        <w:ind w:firstLine="480"/>
        <w:spacing w:line="360" w:lineRule="auto"/>
        <w:rPr>
          <w:rFonts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技术参数：</w:t>
      </w:r>
      <w:r/>
    </w:p>
    <w:tbl>
      <w:tblPr>
        <w:tblW w:w="46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24"/>
        <w:gridCol w:w="1695"/>
        <w:gridCol w:w="6394"/>
      </w:tblGrid>
      <w:tr>
        <w:trPr>
          <w:jc w:val="center"/>
          <w:trHeight w:val="358"/>
        </w:trPr>
        <w:tc>
          <w:tcPr>
            <w:shd w:val="clear" w:color="auto" w:fill="auto"/>
            <w:tcW w:w="562" w:type="pct"/>
            <w:vAlign w:val="center"/>
            <w:textDirection w:val="lrTb"/>
            <w:noWrap w:val="false"/>
          </w:tcPr>
          <w:p>
            <w:pPr>
              <w:jc w:val="center"/>
              <w:spacing w:line="360" w:lineRule="auto"/>
              <w:rPr>
                <w:rFonts w:asciiTheme="minorEastAsia" w:hAnsiTheme="minorEastAsia"/>
                <w:b/>
                <w:bCs/>
                <w:sz w:val="24"/>
                <w:szCs w:val="24"/>
              </w:rPr>
            </w:pPr>
            <w:r>
              <w:rPr>
                <w:rFonts w:hint="eastAsia" w:asciiTheme="minorEastAsia" w:hAnsiTheme="minorEastAsia"/>
                <w:b/>
                <w:bCs/>
                <w:sz w:val="24"/>
                <w:szCs w:val="24"/>
              </w:rPr>
              <w:t xml:space="preserve">序号</w:t>
            </w:r>
            <w:r/>
          </w:p>
        </w:tc>
        <w:tc>
          <w:tcPr>
            <w:shd w:val="clear" w:color="auto" w:fill="auto"/>
            <w:tcW w:w="930" w:type="pct"/>
            <w:vAlign w:val="center"/>
            <w:textDirection w:val="lrTb"/>
            <w:noWrap w:val="false"/>
          </w:tcPr>
          <w:p>
            <w:pPr>
              <w:jc w:val="center"/>
              <w:spacing w:line="360" w:lineRule="auto"/>
              <w:rPr>
                <w:rFonts w:asciiTheme="minorEastAsia" w:hAnsiTheme="minorEastAsia"/>
                <w:b/>
                <w:bCs/>
                <w:sz w:val="24"/>
                <w:szCs w:val="24"/>
              </w:rPr>
            </w:pPr>
            <w:r>
              <w:rPr>
                <w:rFonts w:hint="eastAsia" w:asciiTheme="minorEastAsia" w:hAnsiTheme="minorEastAsia"/>
                <w:b/>
                <w:bCs/>
                <w:sz w:val="24"/>
                <w:szCs w:val="24"/>
              </w:rPr>
              <w:t xml:space="preserve">设备名称</w:t>
            </w:r>
            <w:r/>
          </w:p>
        </w:tc>
        <w:tc>
          <w:tcPr>
            <w:shd w:val="clear" w:color="auto" w:fill="auto"/>
            <w:tcW w:w="3507" w:type="pct"/>
            <w:vAlign w:val="center"/>
            <w:textDirection w:val="lrTb"/>
            <w:noWrap w:val="false"/>
          </w:tcPr>
          <w:p>
            <w:pPr>
              <w:jc w:val="center"/>
              <w:spacing w:line="360" w:lineRule="auto"/>
              <w:rPr>
                <w:rFonts w:asciiTheme="minorEastAsia" w:hAnsiTheme="minorEastAsia"/>
                <w:b/>
                <w:bCs/>
                <w:sz w:val="24"/>
                <w:szCs w:val="24"/>
              </w:rPr>
            </w:pPr>
            <w:r>
              <w:rPr>
                <w:rFonts w:hint="eastAsia" w:asciiTheme="minorEastAsia" w:hAnsiTheme="minorEastAsia"/>
                <w:b/>
                <w:bCs/>
                <w:sz w:val="24"/>
                <w:szCs w:val="24"/>
              </w:rPr>
              <w:t xml:space="preserve">详细参数要求</w:t>
            </w:r>
            <w:r/>
          </w:p>
        </w:tc>
      </w:tr>
      <w:tr>
        <w:trPr>
          <w:jc w:val="center"/>
          <w:trHeight w:val="340"/>
        </w:trPr>
        <w:tc>
          <w:tcPr>
            <w:tcW w:w="562"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1</w:t>
            </w:r>
            <w:r/>
          </w:p>
        </w:tc>
        <w:tc>
          <w:tcPr>
            <w:tcW w:w="930"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电子水尺</w:t>
            </w:r>
            <w:r/>
          </w:p>
        </w:tc>
        <w:tc>
          <w:tcPr>
            <w:tcW w:w="3507" w:type="pct"/>
            <w:vAlign w:val="center"/>
            <w:textDirection w:val="lrTb"/>
            <w:noWrap w:val="false"/>
          </w:tcPr>
          <w:p>
            <w:pP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水尺传感器：</w:t>
            </w:r>
            <w:r/>
          </w:p>
          <w:p>
            <w:pP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1.测量方式：微弱导电性测量；</w:t>
            </w:r>
            <w:r/>
          </w:p>
          <w:p>
            <w:pP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2.量程：≥200cm；</w:t>
            </w:r>
            <w:r/>
          </w:p>
          <w:p>
            <w:pP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3.分辨力：不低于0.5cm；</w:t>
            </w:r>
            <w:r/>
          </w:p>
          <w:p>
            <w:pP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4.采集响应时间：≤5s；</w:t>
            </w:r>
            <w:r/>
          </w:p>
          <w:p>
            <w:pP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5.静态值守电流：≤0.2mA；</w:t>
            </w:r>
            <w:r/>
          </w:p>
          <w:p>
            <w:pP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6.平均工作电流（不含通信）：≤8mA；</w:t>
            </w:r>
            <w:r/>
          </w:p>
          <w:p>
            <w:pP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7.工作温度：-20℃～70℃，湿度：95%RH（40℃）。</w:t>
            </w:r>
            <w:r/>
          </w:p>
          <w:p>
            <w:pP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水文遥测端：</w:t>
            </w:r>
            <w:r/>
          </w:p>
          <w:p>
            <w:pP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1.采用 4G 或 NB-IOT 无线通讯，具有自组网通讯功能，确保各种场合的正常通讯，能与各大网络运营商匹配,支持全网通，数据支持IP地址或域名地址双路上发；</w:t>
            </w:r>
            <w:r/>
          </w:p>
          <w:p>
            <w:pP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2.发射功率：≤23dBm；</w:t>
            </w:r>
            <w:r/>
          </w:p>
          <w:p>
            <w:pP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3.接收灵敏度：≤-93.3dBm；</w:t>
            </w:r>
            <w:r/>
          </w:p>
          <w:p>
            <w:pP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4.供电方式：电池供电，至少满足三年续航要求；</w:t>
            </w:r>
            <w:r/>
          </w:p>
          <w:p>
            <w:pP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5.支持外部供电，供电范围：DC 5-24V；</w:t>
            </w:r>
            <w:r/>
          </w:p>
          <w:p>
            <w:pP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6.采集频率：触发式上传，可远程进行采样周期设置，检测到积水波动时≤5分钟/次（可调）；</w:t>
            </w:r>
            <w:r/>
          </w:p>
          <w:p>
            <w:pP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7.上传频率：≤4小时/次，可远程进行上传周期设置，检测到积水波动时≤5分钟/次（可调）；</w:t>
            </w:r>
            <w:r/>
          </w:p>
          <w:p>
            <w:pP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8.电子水尺整体防护等级达IP68（可持续整体浸水72小时以上）；</w:t>
            </w:r>
            <w:r/>
          </w:p>
          <w:p>
            <w:pP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9.通讯资费至少三年以上；</w:t>
            </w:r>
            <w:r/>
          </w:p>
          <w:p>
            <w:pP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10.安装方式：一体式立杆安装（根据实际工况可调）。</w:t>
            </w:r>
            <w:r/>
          </w:p>
        </w:tc>
      </w:tr>
    </w:tbl>
    <w:p>
      <w:pPr>
        <w:pStyle w:val="855"/>
        <w:ind w:firstLine="480"/>
        <w:spacing w:line="360" w:lineRule="auto"/>
        <w:rPr>
          <w:rFonts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布点清单：</w:t>
      </w:r>
      <w:r/>
    </w:p>
    <w:tbl>
      <w:tblPr>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44"/>
        <w:gridCol w:w="2421"/>
        <w:gridCol w:w="5144"/>
      </w:tblGrid>
      <w:tr>
        <w:trPr>
          <w:jc w:val="center"/>
          <w:trHeight w:val="454"/>
          <w:tblHeader/>
        </w:trPr>
        <w:tc>
          <w:tcPr>
            <w:shd w:val="clear" w:color="auto" w:fill="auto"/>
            <w:tcW w:w="1644" w:type="dxa"/>
            <w:vAlign w:val="center"/>
            <w:textDirection w:val="lrTb"/>
            <w:noWrap/>
          </w:tcPr>
          <w:p>
            <w:pPr>
              <w:jc w:val="center"/>
              <w:spacing w:line="380" w:lineRule="exact"/>
              <w:rPr>
                <w:rFonts w:asciiTheme="minorEastAsia" w:hAnsiTheme="minorEastAsia"/>
                <w:b/>
                <w:bCs/>
                <w:sz w:val="24"/>
                <w:szCs w:val="24"/>
              </w:rPr>
            </w:pPr>
            <w:r>
              <w:rPr>
                <w:rFonts w:hint="eastAsia" w:asciiTheme="minorEastAsia" w:hAnsiTheme="minorEastAsia"/>
                <w:b/>
                <w:bCs/>
                <w:sz w:val="24"/>
                <w:szCs w:val="24"/>
              </w:rPr>
              <w:t xml:space="preserve">序号</w:t>
            </w:r>
            <w:r/>
          </w:p>
        </w:tc>
        <w:tc>
          <w:tcPr>
            <w:shd w:val="clear" w:color="auto" w:fill="auto"/>
            <w:tcW w:w="2421" w:type="dxa"/>
            <w:vAlign w:val="center"/>
            <w:textDirection w:val="lrTb"/>
            <w:noWrap/>
          </w:tcPr>
          <w:p>
            <w:pPr>
              <w:jc w:val="center"/>
              <w:spacing w:line="380" w:lineRule="exact"/>
              <w:rPr>
                <w:rFonts w:asciiTheme="minorEastAsia" w:hAnsiTheme="minorEastAsia"/>
                <w:b/>
                <w:bCs/>
                <w:sz w:val="24"/>
                <w:szCs w:val="24"/>
              </w:rPr>
            </w:pPr>
            <w:r>
              <w:rPr>
                <w:rFonts w:hint="eastAsia" w:asciiTheme="minorEastAsia" w:hAnsiTheme="minorEastAsia"/>
                <w:b/>
                <w:bCs/>
                <w:sz w:val="24"/>
                <w:szCs w:val="24"/>
              </w:rPr>
              <w:t xml:space="preserve">名称</w:t>
            </w:r>
            <w:r/>
          </w:p>
        </w:tc>
        <w:tc>
          <w:tcPr>
            <w:shd w:val="clear" w:color="auto" w:fill="auto"/>
            <w:tcW w:w="5144" w:type="dxa"/>
            <w:vAlign w:val="center"/>
            <w:textDirection w:val="lrTb"/>
            <w:noWrap/>
          </w:tcPr>
          <w:p>
            <w:pPr>
              <w:jc w:val="center"/>
              <w:spacing w:line="380" w:lineRule="exact"/>
              <w:rPr>
                <w:rFonts w:asciiTheme="minorEastAsia" w:hAnsiTheme="minorEastAsia"/>
                <w:b/>
                <w:bCs/>
                <w:sz w:val="24"/>
                <w:szCs w:val="24"/>
              </w:rPr>
            </w:pPr>
            <w:r>
              <w:rPr>
                <w:rFonts w:hint="eastAsia" w:asciiTheme="minorEastAsia" w:hAnsiTheme="minorEastAsia"/>
                <w:b/>
                <w:bCs/>
                <w:sz w:val="24"/>
                <w:szCs w:val="24"/>
              </w:rPr>
              <w:t xml:space="preserve">具体位置</w:t>
            </w:r>
            <w:r/>
          </w:p>
        </w:tc>
      </w:tr>
      <w:tr>
        <w:trPr>
          <w:jc w:val="center"/>
          <w:trHeight w:val="454"/>
        </w:trPr>
        <w:tc>
          <w:tcPr>
            <w:shd w:val="clear" w:color="auto" w:fill="auto"/>
            <w:tcW w:w="1644" w:type="dxa"/>
            <w:vAlign w:val="center"/>
            <w:textDirection w:val="lrTb"/>
            <w:noWrap/>
          </w:tcPr>
          <w:p>
            <w:pPr>
              <w:jc w:val="center"/>
              <w:spacing w:line="380" w:lineRule="exact"/>
              <w:rPr>
                <w:rFonts w:asciiTheme="minorEastAsia" w:hAnsiTheme="minorEastAsia"/>
                <w:sz w:val="24"/>
                <w:szCs w:val="24"/>
              </w:rPr>
            </w:pPr>
            <w:r>
              <w:rPr>
                <w:rFonts w:asciiTheme="minorEastAsia" w:hAnsiTheme="minorEastAsia"/>
                <w:sz w:val="24"/>
                <w:szCs w:val="24"/>
              </w:rPr>
              <w:t xml:space="preserve">1</w:t>
            </w:r>
            <w:r/>
          </w:p>
        </w:tc>
        <w:tc>
          <w:tcPr>
            <w:shd w:val="clear" w:color="auto" w:fill="auto"/>
            <w:tcW w:w="2421" w:type="dxa"/>
            <w:vAlign w:val="center"/>
            <w:textDirection w:val="lrTb"/>
            <w:noWrap/>
          </w:tcPr>
          <w:p>
            <w:pPr>
              <w:jc w:val="center"/>
              <w:spacing w:line="380" w:lineRule="exact"/>
              <w:rPr>
                <w:rFonts w:asciiTheme="minorEastAsia" w:hAnsiTheme="minorEastAsia"/>
                <w:sz w:val="24"/>
                <w:szCs w:val="24"/>
              </w:rPr>
            </w:pPr>
            <w:r>
              <w:rPr>
                <w:rFonts w:asciiTheme="minorEastAsia" w:hAnsiTheme="minorEastAsia"/>
                <w:sz w:val="24"/>
                <w:szCs w:val="24"/>
              </w:rPr>
              <w:t xml:space="preserve">解放东路涵洞</w:t>
            </w:r>
            <w:r/>
          </w:p>
        </w:tc>
        <w:tc>
          <w:tcPr>
            <w:shd w:val="clear" w:color="auto" w:fill="auto"/>
            <w:tcW w:w="5144" w:type="dxa"/>
            <w:vAlign w:val="center"/>
            <w:textDirection w:val="lrTb"/>
            <w:noWrap/>
          </w:tcPr>
          <w:p>
            <w:pPr>
              <w:jc w:val="center"/>
              <w:spacing w:line="380" w:lineRule="exact"/>
              <w:rPr>
                <w:rFonts w:asciiTheme="minorEastAsia" w:hAnsiTheme="minorEastAsia"/>
                <w:sz w:val="24"/>
                <w:szCs w:val="24"/>
              </w:rPr>
            </w:pPr>
            <w:r>
              <w:rPr>
                <w:rFonts w:asciiTheme="minorEastAsia" w:hAnsiTheme="minorEastAsia"/>
                <w:sz w:val="24"/>
                <w:szCs w:val="24"/>
              </w:rPr>
              <w:t xml:space="preserve">解放东路下穿陇海铁路</w:t>
            </w:r>
            <w:r/>
          </w:p>
        </w:tc>
      </w:tr>
      <w:tr>
        <w:trPr>
          <w:jc w:val="center"/>
          <w:trHeight w:val="454"/>
        </w:trPr>
        <w:tc>
          <w:tcPr>
            <w:shd w:val="clear" w:color="auto" w:fill="auto"/>
            <w:tcW w:w="1644" w:type="dxa"/>
            <w:vAlign w:val="center"/>
            <w:textDirection w:val="lrTb"/>
            <w:noWrap/>
          </w:tcPr>
          <w:p>
            <w:pPr>
              <w:jc w:val="center"/>
              <w:spacing w:line="380" w:lineRule="exact"/>
              <w:rPr>
                <w:rFonts w:asciiTheme="minorEastAsia" w:hAnsiTheme="minorEastAsia"/>
                <w:sz w:val="24"/>
                <w:szCs w:val="24"/>
              </w:rPr>
            </w:pPr>
            <w:r>
              <w:rPr>
                <w:rFonts w:asciiTheme="minorEastAsia" w:hAnsiTheme="minorEastAsia"/>
                <w:sz w:val="24"/>
                <w:szCs w:val="24"/>
              </w:rPr>
              <w:t xml:space="preserve">2</w:t>
            </w:r>
            <w:r/>
          </w:p>
        </w:tc>
        <w:tc>
          <w:tcPr>
            <w:shd w:val="clear" w:color="auto" w:fill="auto"/>
            <w:tcW w:w="2421" w:type="dxa"/>
            <w:vAlign w:val="center"/>
            <w:textDirection w:val="lrTb"/>
            <w:noWrap/>
          </w:tcPr>
          <w:p>
            <w:pPr>
              <w:jc w:val="center"/>
              <w:spacing w:line="380" w:lineRule="exact"/>
              <w:rPr>
                <w:rFonts w:asciiTheme="minorEastAsia" w:hAnsiTheme="minorEastAsia"/>
                <w:sz w:val="24"/>
                <w:szCs w:val="24"/>
              </w:rPr>
            </w:pPr>
            <w:r>
              <w:rPr>
                <w:rFonts w:asciiTheme="minorEastAsia" w:hAnsiTheme="minorEastAsia"/>
                <w:sz w:val="24"/>
                <w:szCs w:val="24"/>
              </w:rPr>
              <w:t xml:space="preserve">新浦大道涵洞</w:t>
            </w:r>
            <w:r/>
          </w:p>
        </w:tc>
        <w:tc>
          <w:tcPr>
            <w:shd w:val="clear" w:color="auto" w:fill="auto"/>
            <w:tcW w:w="5144" w:type="dxa"/>
            <w:vAlign w:val="center"/>
            <w:textDirection w:val="lrTb"/>
            <w:noWrap/>
          </w:tcPr>
          <w:p>
            <w:pPr>
              <w:jc w:val="center"/>
              <w:spacing w:line="380" w:lineRule="exact"/>
              <w:rPr>
                <w:rFonts w:asciiTheme="minorEastAsia" w:hAnsiTheme="minorEastAsia"/>
                <w:sz w:val="24"/>
                <w:szCs w:val="24"/>
              </w:rPr>
            </w:pPr>
            <w:r>
              <w:rPr>
                <w:rFonts w:asciiTheme="minorEastAsia" w:hAnsiTheme="minorEastAsia"/>
                <w:sz w:val="24"/>
                <w:szCs w:val="24"/>
              </w:rPr>
              <w:t xml:space="preserve">新浦大道下穿陇海铁路</w:t>
            </w:r>
            <w:r/>
          </w:p>
        </w:tc>
      </w:tr>
      <w:tr>
        <w:trPr>
          <w:jc w:val="center"/>
          <w:trHeight w:val="454"/>
        </w:trPr>
        <w:tc>
          <w:tcPr>
            <w:shd w:val="clear" w:color="auto" w:fill="auto"/>
            <w:tcW w:w="1644" w:type="dxa"/>
            <w:vAlign w:val="center"/>
            <w:textDirection w:val="lrTb"/>
            <w:noWrap/>
          </w:tcPr>
          <w:p>
            <w:pPr>
              <w:jc w:val="center"/>
              <w:spacing w:line="380" w:lineRule="exact"/>
              <w:rPr>
                <w:rFonts w:asciiTheme="minorEastAsia" w:hAnsiTheme="minorEastAsia"/>
                <w:sz w:val="24"/>
                <w:szCs w:val="24"/>
              </w:rPr>
            </w:pPr>
            <w:r>
              <w:rPr>
                <w:rFonts w:asciiTheme="minorEastAsia" w:hAnsiTheme="minorEastAsia"/>
                <w:sz w:val="24"/>
                <w:szCs w:val="24"/>
              </w:rPr>
              <w:t xml:space="preserve">3</w:t>
            </w:r>
            <w:r/>
          </w:p>
        </w:tc>
        <w:tc>
          <w:tcPr>
            <w:shd w:val="clear" w:color="auto" w:fill="auto"/>
            <w:tcW w:w="2421" w:type="dxa"/>
            <w:vAlign w:val="center"/>
            <w:textDirection w:val="lrTb"/>
            <w:noWrap/>
          </w:tcPr>
          <w:p>
            <w:pPr>
              <w:jc w:val="center"/>
              <w:spacing w:line="380" w:lineRule="exact"/>
              <w:rPr>
                <w:rFonts w:asciiTheme="minorEastAsia" w:hAnsiTheme="minorEastAsia"/>
                <w:sz w:val="24"/>
                <w:szCs w:val="24"/>
              </w:rPr>
            </w:pPr>
            <w:r>
              <w:rPr>
                <w:rFonts w:asciiTheme="minorEastAsia" w:hAnsiTheme="minorEastAsia"/>
                <w:sz w:val="24"/>
                <w:szCs w:val="24"/>
              </w:rPr>
              <w:t xml:space="preserve">临洪西路涵洞</w:t>
            </w:r>
            <w:r/>
          </w:p>
        </w:tc>
        <w:tc>
          <w:tcPr>
            <w:shd w:val="clear" w:color="auto" w:fill="auto"/>
            <w:tcW w:w="5144" w:type="dxa"/>
            <w:vAlign w:val="center"/>
            <w:textDirection w:val="lrTb"/>
            <w:noWrap/>
          </w:tcPr>
          <w:p>
            <w:pPr>
              <w:jc w:val="center"/>
              <w:spacing w:line="380" w:lineRule="exact"/>
              <w:rPr>
                <w:rFonts w:asciiTheme="minorEastAsia" w:hAnsiTheme="minorEastAsia"/>
                <w:sz w:val="24"/>
                <w:szCs w:val="24"/>
              </w:rPr>
            </w:pPr>
            <w:r>
              <w:rPr>
                <w:rFonts w:asciiTheme="minorEastAsia" w:hAnsiTheme="minorEastAsia"/>
                <w:sz w:val="24"/>
                <w:szCs w:val="24"/>
              </w:rPr>
              <w:t xml:space="preserve">临洪西路下穿陇海铁路</w:t>
            </w:r>
            <w:r/>
          </w:p>
        </w:tc>
      </w:tr>
      <w:tr>
        <w:trPr>
          <w:jc w:val="center"/>
          <w:trHeight w:val="454"/>
        </w:trPr>
        <w:tc>
          <w:tcPr>
            <w:shd w:val="clear" w:color="auto" w:fill="auto"/>
            <w:tcW w:w="1644" w:type="dxa"/>
            <w:vAlign w:val="center"/>
            <w:textDirection w:val="lrTb"/>
            <w:noWrap/>
          </w:tcPr>
          <w:p>
            <w:pPr>
              <w:jc w:val="center"/>
              <w:spacing w:line="380" w:lineRule="exact"/>
              <w:rPr>
                <w:rFonts w:asciiTheme="minorEastAsia" w:hAnsiTheme="minorEastAsia"/>
                <w:sz w:val="24"/>
                <w:szCs w:val="24"/>
              </w:rPr>
            </w:pPr>
            <w:r>
              <w:rPr>
                <w:rFonts w:asciiTheme="minorEastAsia" w:hAnsiTheme="minorEastAsia"/>
                <w:sz w:val="24"/>
                <w:szCs w:val="24"/>
              </w:rPr>
              <w:t xml:space="preserve">4</w:t>
            </w:r>
            <w:r/>
          </w:p>
        </w:tc>
        <w:tc>
          <w:tcPr>
            <w:shd w:val="clear" w:color="auto" w:fill="auto"/>
            <w:tcW w:w="2421" w:type="dxa"/>
            <w:vAlign w:val="center"/>
            <w:textDirection w:val="lrTb"/>
            <w:noWrap/>
          </w:tcPr>
          <w:p>
            <w:pPr>
              <w:jc w:val="center"/>
              <w:spacing w:line="380" w:lineRule="exact"/>
              <w:rPr>
                <w:rFonts w:asciiTheme="minorEastAsia" w:hAnsiTheme="minorEastAsia"/>
                <w:sz w:val="24"/>
                <w:szCs w:val="24"/>
              </w:rPr>
            </w:pPr>
            <w:r>
              <w:rPr>
                <w:rFonts w:asciiTheme="minorEastAsia" w:hAnsiTheme="minorEastAsia"/>
                <w:sz w:val="24"/>
                <w:szCs w:val="24"/>
              </w:rPr>
              <w:t xml:space="preserve">沈圩路涵洞</w:t>
            </w:r>
            <w:r/>
          </w:p>
        </w:tc>
        <w:tc>
          <w:tcPr>
            <w:shd w:val="clear" w:color="auto" w:fill="auto"/>
            <w:tcW w:w="5144" w:type="dxa"/>
            <w:vAlign w:val="center"/>
            <w:textDirection w:val="lrTb"/>
            <w:noWrap/>
          </w:tcPr>
          <w:p>
            <w:pPr>
              <w:jc w:val="center"/>
              <w:spacing w:line="380" w:lineRule="exact"/>
              <w:rPr>
                <w:rFonts w:asciiTheme="minorEastAsia" w:hAnsiTheme="minorEastAsia"/>
                <w:sz w:val="24"/>
                <w:szCs w:val="24"/>
              </w:rPr>
            </w:pPr>
            <w:r>
              <w:rPr>
                <w:rFonts w:asciiTheme="minorEastAsia" w:hAnsiTheme="minorEastAsia"/>
                <w:sz w:val="24"/>
                <w:szCs w:val="24"/>
              </w:rPr>
              <w:t xml:space="preserve">沈圩路下穿陇海铁路</w:t>
            </w:r>
            <w:r/>
          </w:p>
        </w:tc>
      </w:tr>
      <w:tr>
        <w:trPr>
          <w:jc w:val="center"/>
          <w:trHeight w:val="454"/>
        </w:trPr>
        <w:tc>
          <w:tcPr>
            <w:shd w:val="clear" w:color="auto" w:fill="auto"/>
            <w:tcW w:w="1644" w:type="dxa"/>
            <w:vAlign w:val="center"/>
            <w:textDirection w:val="lrTb"/>
            <w:noWrap/>
          </w:tcPr>
          <w:p>
            <w:pPr>
              <w:jc w:val="center"/>
              <w:spacing w:line="380" w:lineRule="exact"/>
              <w:rPr>
                <w:rFonts w:asciiTheme="minorEastAsia" w:hAnsiTheme="minorEastAsia"/>
                <w:sz w:val="24"/>
                <w:szCs w:val="24"/>
              </w:rPr>
            </w:pPr>
            <w:r>
              <w:rPr>
                <w:rFonts w:asciiTheme="minorEastAsia" w:hAnsiTheme="minorEastAsia"/>
                <w:sz w:val="24"/>
                <w:szCs w:val="24"/>
              </w:rPr>
              <w:t xml:space="preserve">5</w:t>
            </w:r>
            <w:r/>
          </w:p>
        </w:tc>
        <w:tc>
          <w:tcPr>
            <w:shd w:val="clear" w:color="auto" w:fill="auto"/>
            <w:tcW w:w="2421" w:type="dxa"/>
            <w:vAlign w:val="center"/>
            <w:textDirection w:val="lrTb"/>
            <w:noWrap/>
          </w:tcPr>
          <w:p>
            <w:pPr>
              <w:jc w:val="center"/>
              <w:spacing w:line="380" w:lineRule="exact"/>
              <w:rPr>
                <w:rFonts w:asciiTheme="minorEastAsia" w:hAnsiTheme="minorEastAsia"/>
                <w:sz w:val="24"/>
                <w:szCs w:val="24"/>
              </w:rPr>
            </w:pPr>
            <w:r>
              <w:rPr>
                <w:rFonts w:asciiTheme="minorEastAsia" w:hAnsiTheme="minorEastAsia"/>
                <w:sz w:val="24"/>
                <w:szCs w:val="24"/>
              </w:rPr>
              <w:t xml:space="preserve">八中队涵洞</w:t>
            </w:r>
            <w:r/>
          </w:p>
        </w:tc>
        <w:tc>
          <w:tcPr>
            <w:shd w:val="clear" w:color="auto" w:fill="auto"/>
            <w:tcW w:w="5144" w:type="dxa"/>
            <w:vAlign w:val="center"/>
            <w:textDirection w:val="lrTb"/>
            <w:noWrap/>
          </w:tcPr>
          <w:p>
            <w:pPr>
              <w:jc w:val="center"/>
              <w:spacing w:line="380" w:lineRule="exact"/>
              <w:rPr>
                <w:rFonts w:asciiTheme="minorEastAsia" w:hAnsiTheme="minorEastAsia"/>
                <w:sz w:val="24"/>
                <w:szCs w:val="24"/>
              </w:rPr>
            </w:pPr>
            <w:r>
              <w:rPr>
                <w:rFonts w:asciiTheme="minorEastAsia" w:hAnsiTheme="minorEastAsia"/>
                <w:sz w:val="24"/>
                <w:szCs w:val="24"/>
              </w:rPr>
              <w:t xml:space="preserve">洪门路下穿陇海铁路</w:t>
            </w:r>
            <w:r/>
          </w:p>
        </w:tc>
      </w:tr>
      <w:tr>
        <w:trPr>
          <w:jc w:val="center"/>
          <w:trHeight w:val="454"/>
        </w:trPr>
        <w:tc>
          <w:tcPr>
            <w:shd w:val="clear" w:color="auto" w:fill="auto"/>
            <w:tcW w:w="1644" w:type="dxa"/>
            <w:vAlign w:val="center"/>
            <w:textDirection w:val="lrTb"/>
            <w:noWrap/>
          </w:tcPr>
          <w:p>
            <w:pPr>
              <w:jc w:val="center"/>
              <w:spacing w:line="380" w:lineRule="exact"/>
              <w:rPr>
                <w:rFonts w:asciiTheme="minorEastAsia" w:hAnsiTheme="minorEastAsia"/>
                <w:sz w:val="24"/>
                <w:szCs w:val="24"/>
              </w:rPr>
            </w:pPr>
            <w:r>
              <w:rPr>
                <w:rFonts w:asciiTheme="minorEastAsia" w:hAnsiTheme="minorEastAsia"/>
                <w:sz w:val="24"/>
                <w:szCs w:val="24"/>
              </w:rPr>
              <w:t xml:space="preserve">6</w:t>
            </w:r>
            <w:r/>
          </w:p>
        </w:tc>
        <w:tc>
          <w:tcPr>
            <w:shd w:val="clear" w:color="auto" w:fill="auto"/>
            <w:tcW w:w="2421" w:type="dxa"/>
            <w:vAlign w:val="center"/>
            <w:textDirection w:val="lrTb"/>
            <w:noWrap/>
          </w:tcPr>
          <w:p>
            <w:pPr>
              <w:jc w:val="center"/>
              <w:spacing w:line="380" w:lineRule="exact"/>
              <w:rPr>
                <w:rFonts w:asciiTheme="minorEastAsia" w:hAnsiTheme="minorEastAsia"/>
                <w:sz w:val="24"/>
                <w:szCs w:val="24"/>
              </w:rPr>
            </w:pPr>
            <w:r>
              <w:rPr>
                <w:rFonts w:asciiTheme="minorEastAsia" w:hAnsiTheme="minorEastAsia"/>
                <w:sz w:val="24"/>
                <w:szCs w:val="24"/>
              </w:rPr>
              <w:t xml:space="preserve">江化路涵洞</w:t>
            </w:r>
            <w:r/>
          </w:p>
        </w:tc>
        <w:tc>
          <w:tcPr>
            <w:shd w:val="clear" w:color="auto" w:fill="auto"/>
            <w:tcW w:w="5144" w:type="dxa"/>
            <w:vAlign w:val="center"/>
            <w:textDirection w:val="lrTb"/>
            <w:noWrap/>
          </w:tcPr>
          <w:p>
            <w:pPr>
              <w:jc w:val="center"/>
              <w:spacing w:line="380" w:lineRule="exact"/>
              <w:rPr>
                <w:rFonts w:asciiTheme="minorEastAsia" w:hAnsiTheme="minorEastAsia"/>
                <w:sz w:val="24"/>
                <w:szCs w:val="24"/>
              </w:rPr>
            </w:pPr>
            <w:r>
              <w:rPr>
                <w:rFonts w:asciiTheme="minorEastAsia" w:hAnsiTheme="minorEastAsia"/>
                <w:sz w:val="24"/>
                <w:szCs w:val="24"/>
              </w:rPr>
              <w:t xml:space="preserve">江化路下穿陇海铁路</w:t>
            </w:r>
            <w:r/>
          </w:p>
        </w:tc>
      </w:tr>
      <w:tr>
        <w:trPr>
          <w:jc w:val="center"/>
          <w:trHeight w:val="454"/>
        </w:trPr>
        <w:tc>
          <w:tcPr>
            <w:shd w:val="clear" w:color="auto" w:fill="auto"/>
            <w:tcW w:w="1644" w:type="dxa"/>
            <w:vAlign w:val="center"/>
            <w:textDirection w:val="lrTb"/>
            <w:noWrap/>
          </w:tcPr>
          <w:p>
            <w:pPr>
              <w:jc w:val="center"/>
              <w:spacing w:line="380" w:lineRule="exact"/>
              <w:rPr>
                <w:rFonts w:asciiTheme="minorEastAsia" w:hAnsiTheme="minorEastAsia"/>
                <w:sz w:val="24"/>
                <w:szCs w:val="24"/>
              </w:rPr>
            </w:pPr>
            <w:r>
              <w:rPr>
                <w:rFonts w:asciiTheme="minorEastAsia" w:hAnsiTheme="minorEastAsia"/>
                <w:sz w:val="24"/>
                <w:szCs w:val="24"/>
              </w:rPr>
              <w:t xml:space="preserve">7</w:t>
            </w:r>
            <w:r/>
          </w:p>
        </w:tc>
        <w:tc>
          <w:tcPr>
            <w:shd w:val="clear" w:color="auto" w:fill="auto"/>
            <w:tcW w:w="2421" w:type="dxa"/>
            <w:vAlign w:val="center"/>
            <w:textDirection w:val="lrTb"/>
            <w:noWrap/>
          </w:tcPr>
          <w:p>
            <w:pPr>
              <w:jc w:val="center"/>
              <w:spacing w:line="380" w:lineRule="exact"/>
              <w:rPr>
                <w:rFonts w:asciiTheme="minorEastAsia" w:hAnsiTheme="minorEastAsia"/>
                <w:sz w:val="24"/>
                <w:szCs w:val="24"/>
              </w:rPr>
            </w:pPr>
            <w:r>
              <w:rPr>
                <w:rFonts w:asciiTheme="minorEastAsia" w:hAnsiTheme="minorEastAsia"/>
                <w:sz w:val="24"/>
                <w:szCs w:val="24"/>
              </w:rPr>
              <w:t xml:space="preserve">福利巷涵洞</w:t>
            </w:r>
            <w:r/>
          </w:p>
        </w:tc>
        <w:tc>
          <w:tcPr>
            <w:shd w:val="clear" w:color="auto" w:fill="auto"/>
            <w:tcW w:w="5144" w:type="dxa"/>
            <w:vAlign w:val="center"/>
            <w:textDirection w:val="lrTb"/>
            <w:noWrap/>
          </w:tcPr>
          <w:p>
            <w:pPr>
              <w:jc w:val="center"/>
              <w:spacing w:line="380" w:lineRule="exact"/>
              <w:rPr>
                <w:rFonts w:asciiTheme="minorEastAsia" w:hAnsiTheme="minorEastAsia"/>
                <w:sz w:val="24"/>
                <w:szCs w:val="24"/>
              </w:rPr>
            </w:pPr>
            <w:r>
              <w:rPr>
                <w:rFonts w:asciiTheme="minorEastAsia" w:hAnsiTheme="minorEastAsia"/>
                <w:sz w:val="24"/>
                <w:szCs w:val="24"/>
              </w:rPr>
              <w:t xml:space="preserve">福利巷下穿陇海铁路</w:t>
            </w:r>
            <w:r/>
          </w:p>
        </w:tc>
      </w:tr>
      <w:tr>
        <w:trPr>
          <w:jc w:val="center"/>
          <w:trHeight w:val="454"/>
        </w:trPr>
        <w:tc>
          <w:tcPr>
            <w:shd w:val="clear" w:color="auto" w:fill="auto"/>
            <w:tcW w:w="1644" w:type="dxa"/>
            <w:vAlign w:val="center"/>
            <w:textDirection w:val="lrTb"/>
            <w:noWrap/>
          </w:tcPr>
          <w:p>
            <w:pPr>
              <w:jc w:val="center"/>
              <w:spacing w:line="380" w:lineRule="exact"/>
              <w:rPr>
                <w:rFonts w:asciiTheme="minorEastAsia" w:hAnsiTheme="minorEastAsia"/>
                <w:sz w:val="24"/>
                <w:szCs w:val="24"/>
              </w:rPr>
            </w:pPr>
            <w:r>
              <w:rPr>
                <w:rFonts w:asciiTheme="minorEastAsia" w:hAnsiTheme="minorEastAsia"/>
                <w:sz w:val="24"/>
                <w:szCs w:val="24"/>
              </w:rPr>
              <w:t xml:space="preserve">8</w:t>
            </w:r>
            <w:r/>
          </w:p>
        </w:tc>
        <w:tc>
          <w:tcPr>
            <w:shd w:val="clear" w:color="auto" w:fill="auto"/>
            <w:tcW w:w="2421" w:type="dxa"/>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振华路涵洞</w:t>
            </w:r>
            <w:r/>
          </w:p>
        </w:tc>
        <w:tc>
          <w:tcPr>
            <w:shd w:val="clear" w:color="auto" w:fill="auto"/>
            <w:tcW w:w="5144" w:type="dxa"/>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振华路下穿宁连高速</w:t>
            </w:r>
            <w:r/>
          </w:p>
        </w:tc>
      </w:tr>
      <w:tr>
        <w:trPr>
          <w:jc w:val="center"/>
          <w:trHeight w:val="454"/>
        </w:trPr>
        <w:tc>
          <w:tcPr>
            <w:shd w:val="clear" w:color="auto" w:fill="auto"/>
            <w:tcW w:w="1644" w:type="dxa"/>
            <w:vAlign w:val="center"/>
            <w:textDirection w:val="lrTb"/>
            <w:noWrap/>
          </w:tcPr>
          <w:p>
            <w:pPr>
              <w:jc w:val="center"/>
              <w:spacing w:line="380" w:lineRule="exact"/>
              <w:rPr>
                <w:rFonts w:asciiTheme="minorEastAsia" w:hAnsiTheme="minorEastAsia"/>
                <w:sz w:val="24"/>
                <w:szCs w:val="24"/>
              </w:rPr>
            </w:pPr>
            <w:r>
              <w:rPr>
                <w:rFonts w:asciiTheme="minorEastAsia" w:hAnsiTheme="minorEastAsia"/>
                <w:sz w:val="24"/>
                <w:szCs w:val="24"/>
              </w:rPr>
              <w:t xml:space="preserve">9</w:t>
            </w:r>
            <w:r/>
          </w:p>
        </w:tc>
        <w:tc>
          <w:tcPr>
            <w:shd w:val="clear" w:color="auto" w:fill="auto"/>
            <w:tcW w:w="2421" w:type="dxa"/>
            <w:vAlign w:val="center"/>
            <w:textDirection w:val="lrTb"/>
            <w:noWrap/>
          </w:tcPr>
          <w:p>
            <w:pPr>
              <w:jc w:val="center"/>
              <w:spacing w:line="380" w:lineRule="exact"/>
              <w:rPr>
                <w:rFonts w:asciiTheme="minorEastAsia" w:hAnsiTheme="minorEastAsia"/>
                <w:sz w:val="24"/>
                <w:szCs w:val="24"/>
              </w:rPr>
            </w:pPr>
            <w:r>
              <w:rPr>
                <w:rFonts w:asciiTheme="minorEastAsia" w:hAnsiTheme="minorEastAsia"/>
                <w:sz w:val="24"/>
                <w:szCs w:val="24"/>
              </w:rPr>
              <w:t xml:space="preserve">花果山大道南延下穿</w:t>
            </w:r>
            <w:r/>
          </w:p>
        </w:tc>
        <w:tc>
          <w:tcPr>
            <w:shd w:val="clear" w:color="auto" w:fill="auto"/>
            <w:tcW w:w="5144" w:type="dxa"/>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花果山大道下穿宁连高速</w:t>
            </w:r>
            <w:r/>
          </w:p>
        </w:tc>
      </w:tr>
      <w:tr>
        <w:trPr>
          <w:jc w:val="center"/>
          <w:trHeight w:val="454"/>
        </w:trPr>
        <w:tc>
          <w:tcPr>
            <w:shd w:val="clear" w:color="auto" w:fill="auto"/>
            <w:tcW w:w="1644" w:type="dxa"/>
            <w:vAlign w:val="center"/>
            <w:textDirection w:val="lrTb"/>
            <w:noWrap/>
          </w:tcPr>
          <w:p>
            <w:pPr>
              <w:jc w:val="center"/>
              <w:spacing w:line="380" w:lineRule="exact"/>
              <w:rPr>
                <w:rFonts w:asciiTheme="minorEastAsia" w:hAnsiTheme="minorEastAsia"/>
                <w:sz w:val="24"/>
                <w:szCs w:val="24"/>
              </w:rPr>
            </w:pPr>
            <w:r>
              <w:rPr>
                <w:rFonts w:asciiTheme="minorEastAsia" w:hAnsiTheme="minorEastAsia"/>
                <w:sz w:val="24"/>
                <w:szCs w:val="24"/>
              </w:rPr>
              <w:t xml:space="preserve">10</w:t>
            </w:r>
            <w:r/>
          </w:p>
        </w:tc>
        <w:tc>
          <w:tcPr>
            <w:shd w:val="clear" w:color="auto" w:fill="auto"/>
            <w:tcW w:w="2421" w:type="dxa"/>
            <w:vAlign w:val="center"/>
            <w:textDirection w:val="lrTb"/>
            <w:noWrap/>
          </w:tcPr>
          <w:p>
            <w:pPr>
              <w:jc w:val="center"/>
              <w:spacing w:line="380" w:lineRule="exact"/>
              <w:rPr>
                <w:rFonts w:asciiTheme="minorEastAsia" w:hAnsiTheme="minorEastAsia"/>
                <w:sz w:val="24"/>
                <w:szCs w:val="24"/>
              </w:rPr>
            </w:pPr>
            <w:r>
              <w:rPr>
                <w:rFonts w:asciiTheme="minorEastAsia" w:hAnsiTheme="minorEastAsia"/>
                <w:sz w:val="24"/>
                <w:szCs w:val="24"/>
              </w:rPr>
              <w:t xml:space="preserve">学院路</w:t>
            </w:r>
            <w:r/>
          </w:p>
        </w:tc>
        <w:tc>
          <w:tcPr>
            <w:shd w:val="clear" w:color="auto" w:fill="auto"/>
            <w:tcW w:w="5144" w:type="dxa"/>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江苏海洋大学东门，非机动车道</w:t>
            </w:r>
            <w:r/>
          </w:p>
        </w:tc>
      </w:tr>
      <w:tr>
        <w:trPr>
          <w:jc w:val="center"/>
          <w:trHeight w:val="454"/>
        </w:trPr>
        <w:tc>
          <w:tcPr>
            <w:shd w:val="clear" w:color="auto" w:fill="auto"/>
            <w:tcW w:w="1644" w:type="dxa"/>
            <w:vAlign w:val="center"/>
            <w:textDirection w:val="lrTb"/>
            <w:noWrap/>
          </w:tcPr>
          <w:p>
            <w:pPr>
              <w:jc w:val="center"/>
              <w:spacing w:line="380" w:lineRule="exact"/>
              <w:rPr>
                <w:rFonts w:asciiTheme="minorEastAsia" w:hAnsiTheme="minorEastAsia"/>
                <w:sz w:val="24"/>
                <w:szCs w:val="24"/>
              </w:rPr>
            </w:pPr>
            <w:r>
              <w:rPr>
                <w:rFonts w:asciiTheme="minorEastAsia" w:hAnsiTheme="minorEastAsia"/>
                <w:sz w:val="24"/>
                <w:szCs w:val="24"/>
              </w:rPr>
              <w:t xml:space="preserve">11</w:t>
            </w:r>
            <w:r/>
          </w:p>
        </w:tc>
        <w:tc>
          <w:tcPr>
            <w:shd w:val="clear" w:color="auto" w:fill="auto"/>
            <w:tcW w:w="2421" w:type="dxa"/>
            <w:vAlign w:val="center"/>
            <w:textDirection w:val="lrTb"/>
            <w:noWrap/>
          </w:tcPr>
          <w:p>
            <w:pPr>
              <w:jc w:val="center"/>
              <w:spacing w:line="380" w:lineRule="exact"/>
              <w:rPr>
                <w:rFonts w:asciiTheme="minorEastAsia" w:hAnsiTheme="minorEastAsia"/>
                <w:sz w:val="24"/>
                <w:szCs w:val="24"/>
              </w:rPr>
            </w:pPr>
            <w:r>
              <w:rPr>
                <w:rFonts w:asciiTheme="minorEastAsia" w:hAnsiTheme="minorEastAsia"/>
                <w:sz w:val="24"/>
                <w:szCs w:val="24"/>
              </w:rPr>
              <w:t xml:space="preserve">临洪大道下穿隧道</w:t>
            </w:r>
            <w:r/>
          </w:p>
        </w:tc>
        <w:tc>
          <w:tcPr>
            <w:shd w:val="clear" w:color="auto" w:fill="auto"/>
            <w:tcW w:w="5144" w:type="dxa"/>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临洪特大桥与临洪大道交界处，下穿242省道</w:t>
            </w:r>
            <w:r/>
          </w:p>
        </w:tc>
      </w:tr>
      <w:tr>
        <w:trPr>
          <w:jc w:val="center"/>
          <w:trHeight w:val="454"/>
        </w:trPr>
        <w:tc>
          <w:tcPr>
            <w:shd w:val="clear" w:color="auto" w:fill="auto"/>
            <w:tcW w:w="1644" w:type="dxa"/>
            <w:vAlign w:val="center"/>
            <w:textDirection w:val="lrTb"/>
            <w:noWrap/>
          </w:tcPr>
          <w:p>
            <w:pPr>
              <w:jc w:val="center"/>
              <w:spacing w:line="380" w:lineRule="exact"/>
              <w:rPr>
                <w:rFonts w:asciiTheme="minorEastAsia" w:hAnsiTheme="minorEastAsia"/>
                <w:sz w:val="24"/>
                <w:szCs w:val="24"/>
              </w:rPr>
            </w:pPr>
            <w:r>
              <w:rPr>
                <w:rFonts w:asciiTheme="minorEastAsia" w:hAnsiTheme="minorEastAsia"/>
                <w:sz w:val="24"/>
                <w:szCs w:val="24"/>
              </w:rPr>
              <w:t xml:space="preserve">12</w:t>
            </w:r>
            <w:r/>
          </w:p>
        </w:tc>
        <w:tc>
          <w:tcPr>
            <w:shd w:val="clear" w:color="auto" w:fill="auto"/>
            <w:tcW w:w="2421" w:type="dxa"/>
            <w:vAlign w:val="center"/>
            <w:textDirection w:val="lrTb"/>
            <w:noWrap/>
          </w:tcPr>
          <w:p>
            <w:pPr>
              <w:jc w:val="center"/>
              <w:spacing w:line="380" w:lineRule="exact"/>
              <w:rPr>
                <w:rFonts w:asciiTheme="minorEastAsia" w:hAnsiTheme="minorEastAsia"/>
                <w:sz w:val="24"/>
                <w:szCs w:val="24"/>
              </w:rPr>
            </w:pPr>
            <w:r>
              <w:rPr>
                <w:rFonts w:asciiTheme="minorEastAsia" w:hAnsiTheme="minorEastAsia"/>
                <w:sz w:val="24"/>
                <w:szCs w:val="24"/>
              </w:rPr>
              <w:t xml:space="preserve">海滨大道涵洞</w:t>
            </w:r>
            <w:r/>
          </w:p>
        </w:tc>
        <w:tc>
          <w:tcPr>
            <w:shd w:val="clear" w:color="auto" w:fill="auto"/>
            <w:tcW w:w="5144" w:type="dxa"/>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海滨大道下穿西安路</w:t>
            </w:r>
            <w:r/>
          </w:p>
        </w:tc>
      </w:tr>
      <w:tr>
        <w:trPr>
          <w:jc w:val="center"/>
          <w:trHeight w:val="454"/>
        </w:trPr>
        <w:tc>
          <w:tcPr>
            <w:shd w:val="clear" w:color="auto" w:fill="auto"/>
            <w:tcW w:w="1644" w:type="dxa"/>
            <w:vAlign w:val="center"/>
            <w:textDirection w:val="lrTb"/>
            <w:noWrap/>
          </w:tcPr>
          <w:p>
            <w:pPr>
              <w:jc w:val="center"/>
              <w:spacing w:line="380" w:lineRule="exact"/>
              <w:rPr>
                <w:rFonts w:asciiTheme="minorEastAsia" w:hAnsiTheme="minorEastAsia"/>
                <w:sz w:val="24"/>
                <w:szCs w:val="24"/>
              </w:rPr>
            </w:pPr>
            <w:r>
              <w:rPr>
                <w:rFonts w:asciiTheme="minorEastAsia" w:hAnsiTheme="minorEastAsia"/>
                <w:sz w:val="24"/>
                <w:szCs w:val="24"/>
              </w:rPr>
              <w:t xml:space="preserve">13</w:t>
            </w:r>
            <w:r/>
          </w:p>
        </w:tc>
        <w:tc>
          <w:tcPr>
            <w:shd w:val="clear" w:color="auto" w:fill="auto"/>
            <w:tcW w:w="2421" w:type="dxa"/>
            <w:vAlign w:val="center"/>
            <w:textDirection w:val="lrTb"/>
            <w:noWrap w:val="false"/>
          </w:tcPr>
          <w:p>
            <w:pPr>
              <w:jc w:val="center"/>
              <w:spacing w:line="380" w:lineRule="exact"/>
              <w:rPr>
                <w:rFonts w:asciiTheme="minorEastAsia" w:hAnsiTheme="minorEastAsia"/>
                <w:sz w:val="24"/>
                <w:szCs w:val="24"/>
              </w:rPr>
            </w:pPr>
            <w:r>
              <w:rPr>
                <w:rFonts w:asciiTheme="minorEastAsia" w:hAnsiTheme="minorEastAsia"/>
                <w:sz w:val="24"/>
                <w:szCs w:val="24"/>
              </w:rPr>
              <w:t xml:space="preserve">平山路涵洞</w:t>
            </w:r>
            <w:r/>
          </w:p>
        </w:tc>
        <w:tc>
          <w:tcPr>
            <w:shd w:val="clear" w:color="auto" w:fill="auto"/>
            <w:tcW w:w="5144" w:type="dxa"/>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平山路下穿陇海铁路</w:t>
            </w:r>
            <w:r/>
          </w:p>
        </w:tc>
      </w:tr>
      <w:tr>
        <w:trPr>
          <w:jc w:val="center"/>
          <w:trHeight w:val="454"/>
        </w:trPr>
        <w:tc>
          <w:tcPr>
            <w:shd w:val="clear" w:color="auto" w:fill="auto"/>
            <w:tcW w:w="1644" w:type="dxa"/>
            <w:vAlign w:val="center"/>
            <w:textDirection w:val="lrTb"/>
            <w:noWrap/>
          </w:tcPr>
          <w:p>
            <w:pPr>
              <w:jc w:val="center"/>
              <w:spacing w:line="380" w:lineRule="exact"/>
              <w:rPr>
                <w:rFonts w:asciiTheme="minorEastAsia" w:hAnsiTheme="minorEastAsia"/>
                <w:sz w:val="24"/>
                <w:szCs w:val="24"/>
              </w:rPr>
            </w:pPr>
            <w:r>
              <w:rPr>
                <w:rFonts w:asciiTheme="minorEastAsia" w:hAnsiTheme="minorEastAsia"/>
                <w:sz w:val="24"/>
                <w:szCs w:val="24"/>
              </w:rPr>
              <w:t xml:space="preserve">14</w:t>
            </w:r>
            <w:r/>
          </w:p>
        </w:tc>
        <w:tc>
          <w:tcPr>
            <w:shd w:val="clear" w:color="auto" w:fill="auto"/>
            <w:tcW w:w="2421" w:type="dxa"/>
            <w:vAlign w:val="center"/>
            <w:textDirection w:val="lrTb"/>
            <w:noWrap w:val="false"/>
          </w:tcPr>
          <w:p>
            <w:pPr>
              <w:jc w:val="center"/>
              <w:spacing w:line="380" w:lineRule="exact"/>
              <w:rPr>
                <w:rFonts w:asciiTheme="minorEastAsia" w:hAnsiTheme="minorEastAsia"/>
                <w:sz w:val="24"/>
                <w:szCs w:val="24"/>
              </w:rPr>
            </w:pPr>
            <w:r>
              <w:rPr>
                <w:rFonts w:asciiTheme="minorEastAsia" w:hAnsiTheme="minorEastAsia"/>
                <w:sz w:val="24"/>
                <w:szCs w:val="24"/>
              </w:rPr>
              <w:t xml:space="preserve">中华路涵洞</w:t>
            </w:r>
            <w:r/>
          </w:p>
        </w:tc>
        <w:tc>
          <w:tcPr>
            <w:shd w:val="clear" w:color="auto" w:fill="auto"/>
            <w:tcW w:w="5144" w:type="dxa"/>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中华路下穿陇海铁路</w:t>
            </w:r>
            <w:r/>
          </w:p>
        </w:tc>
      </w:tr>
      <w:tr>
        <w:trPr>
          <w:jc w:val="center"/>
          <w:trHeight w:val="454"/>
        </w:trPr>
        <w:tc>
          <w:tcPr>
            <w:shd w:val="clear" w:color="auto" w:fill="auto"/>
            <w:tcW w:w="1644" w:type="dxa"/>
            <w:vAlign w:val="center"/>
            <w:textDirection w:val="lrTb"/>
            <w:noWrap/>
          </w:tcPr>
          <w:p>
            <w:pPr>
              <w:jc w:val="center"/>
              <w:spacing w:line="380" w:lineRule="exact"/>
              <w:rPr>
                <w:rFonts w:asciiTheme="minorEastAsia" w:hAnsiTheme="minorEastAsia"/>
                <w:sz w:val="24"/>
                <w:szCs w:val="24"/>
              </w:rPr>
            </w:pPr>
            <w:r>
              <w:rPr>
                <w:rFonts w:asciiTheme="minorEastAsia" w:hAnsiTheme="minorEastAsia"/>
                <w:sz w:val="24"/>
                <w:szCs w:val="24"/>
              </w:rPr>
              <w:t xml:space="preserve">15</w:t>
            </w:r>
            <w:r/>
          </w:p>
        </w:tc>
        <w:tc>
          <w:tcPr>
            <w:shd w:val="clear" w:color="auto" w:fill="auto"/>
            <w:tcW w:w="2421" w:type="dxa"/>
            <w:vAlign w:val="center"/>
            <w:textDirection w:val="lrTb"/>
            <w:noWrap/>
          </w:tcPr>
          <w:p>
            <w:pPr>
              <w:jc w:val="center"/>
              <w:spacing w:line="380" w:lineRule="exact"/>
              <w:rPr>
                <w:rFonts w:asciiTheme="minorEastAsia" w:hAnsiTheme="minorEastAsia"/>
                <w:sz w:val="24"/>
                <w:szCs w:val="24"/>
              </w:rPr>
            </w:pPr>
            <w:r>
              <w:rPr>
                <w:rFonts w:asciiTheme="minorEastAsia" w:hAnsiTheme="minorEastAsia"/>
                <w:sz w:val="24"/>
                <w:szCs w:val="24"/>
              </w:rPr>
              <w:t xml:space="preserve">院前路人行通道</w:t>
            </w:r>
            <w:r/>
          </w:p>
        </w:tc>
        <w:tc>
          <w:tcPr>
            <w:shd w:val="clear" w:color="auto" w:fill="auto"/>
            <w:tcW w:w="5144" w:type="dxa"/>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院前路人行通道下穿陇海铁路</w:t>
            </w:r>
            <w:r/>
          </w:p>
        </w:tc>
      </w:tr>
      <w:tr>
        <w:trPr>
          <w:jc w:val="center"/>
          <w:trHeight w:val="454"/>
        </w:trPr>
        <w:tc>
          <w:tcPr>
            <w:shd w:val="clear" w:color="auto" w:fill="auto"/>
            <w:tcW w:w="1644" w:type="dxa"/>
            <w:vAlign w:val="center"/>
            <w:textDirection w:val="lrTb"/>
            <w:noWrap/>
          </w:tcPr>
          <w:p>
            <w:pPr>
              <w:jc w:val="center"/>
              <w:spacing w:line="380" w:lineRule="exact"/>
              <w:rPr>
                <w:rFonts w:asciiTheme="minorEastAsia" w:hAnsiTheme="minorEastAsia"/>
                <w:sz w:val="24"/>
                <w:szCs w:val="24"/>
              </w:rPr>
            </w:pPr>
            <w:r>
              <w:rPr>
                <w:rFonts w:asciiTheme="minorEastAsia" w:hAnsiTheme="minorEastAsia"/>
                <w:sz w:val="24"/>
                <w:szCs w:val="24"/>
              </w:rPr>
              <w:t xml:space="preserve">16</w:t>
            </w:r>
            <w:r/>
          </w:p>
        </w:tc>
        <w:tc>
          <w:tcPr>
            <w:shd w:val="clear" w:color="auto" w:fill="auto"/>
            <w:tcW w:w="2421" w:type="dxa"/>
            <w:vAlign w:val="center"/>
            <w:textDirection w:val="lrTb"/>
            <w:noWrap w:val="false"/>
          </w:tcPr>
          <w:p>
            <w:pPr>
              <w:jc w:val="center"/>
              <w:spacing w:line="380" w:lineRule="exact"/>
              <w:rPr>
                <w:rFonts w:asciiTheme="minorEastAsia" w:hAnsiTheme="minorEastAsia"/>
                <w:sz w:val="24"/>
                <w:szCs w:val="24"/>
              </w:rPr>
            </w:pPr>
            <w:r>
              <w:rPr>
                <w:rFonts w:asciiTheme="minorEastAsia" w:hAnsiTheme="minorEastAsia"/>
                <w:sz w:val="24"/>
                <w:szCs w:val="24"/>
              </w:rPr>
              <w:t xml:space="preserve">海棠路涵洞</w:t>
            </w:r>
            <w:r/>
          </w:p>
        </w:tc>
        <w:tc>
          <w:tcPr>
            <w:shd w:val="clear" w:color="auto" w:fill="auto"/>
            <w:tcW w:w="5144" w:type="dxa"/>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海棠路下穿陇海铁路</w:t>
            </w:r>
            <w:r/>
          </w:p>
        </w:tc>
      </w:tr>
      <w:tr>
        <w:trPr>
          <w:jc w:val="center"/>
          <w:trHeight w:val="454"/>
        </w:trPr>
        <w:tc>
          <w:tcPr>
            <w:shd w:val="clear" w:color="auto" w:fill="auto"/>
            <w:tcW w:w="1644" w:type="dxa"/>
            <w:vAlign w:val="center"/>
            <w:textDirection w:val="lrTb"/>
            <w:noWrap/>
          </w:tcPr>
          <w:p>
            <w:pPr>
              <w:jc w:val="center"/>
              <w:spacing w:line="380" w:lineRule="exact"/>
              <w:rPr>
                <w:rFonts w:asciiTheme="minorEastAsia" w:hAnsiTheme="minorEastAsia"/>
                <w:sz w:val="24"/>
                <w:szCs w:val="24"/>
              </w:rPr>
            </w:pPr>
            <w:r>
              <w:rPr>
                <w:rFonts w:asciiTheme="minorEastAsia" w:hAnsiTheme="minorEastAsia"/>
                <w:sz w:val="24"/>
                <w:szCs w:val="24"/>
              </w:rPr>
              <w:t xml:space="preserve">17</w:t>
            </w:r>
            <w:r/>
          </w:p>
        </w:tc>
        <w:tc>
          <w:tcPr>
            <w:shd w:val="clear" w:color="auto" w:fill="auto"/>
            <w:tcW w:w="2421" w:type="dxa"/>
            <w:vAlign w:val="center"/>
            <w:textDirection w:val="lrTb"/>
            <w:noWrap w:val="false"/>
          </w:tcPr>
          <w:p>
            <w:pPr>
              <w:jc w:val="center"/>
              <w:spacing w:line="380" w:lineRule="exact"/>
              <w:rPr>
                <w:rFonts w:asciiTheme="minorEastAsia" w:hAnsiTheme="minorEastAsia"/>
                <w:sz w:val="24"/>
                <w:szCs w:val="24"/>
              </w:rPr>
            </w:pPr>
            <w:r>
              <w:rPr>
                <w:rFonts w:asciiTheme="minorEastAsia" w:hAnsiTheme="minorEastAsia"/>
                <w:sz w:val="24"/>
                <w:szCs w:val="24"/>
              </w:rPr>
              <w:t xml:space="preserve">花果山大道涵洞</w:t>
            </w:r>
            <w:r/>
          </w:p>
        </w:tc>
        <w:tc>
          <w:tcPr>
            <w:shd w:val="clear" w:color="auto" w:fill="auto"/>
            <w:tcW w:w="5144" w:type="dxa"/>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花果山大道下穿陇海铁路</w:t>
            </w:r>
            <w:r/>
          </w:p>
        </w:tc>
      </w:tr>
      <w:tr>
        <w:trPr>
          <w:jc w:val="center"/>
          <w:trHeight w:val="454"/>
        </w:trPr>
        <w:tc>
          <w:tcPr>
            <w:shd w:val="clear" w:color="auto" w:fill="auto"/>
            <w:tcW w:w="1644" w:type="dxa"/>
            <w:vAlign w:val="center"/>
            <w:textDirection w:val="lrTb"/>
            <w:noWrap/>
          </w:tcPr>
          <w:p>
            <w:pPr>
              <w:jc w:val="center"/>
              <w:spacing w:line="380" w:lineRule="exact"/>
              <w:rPr>
                <w:rFonts w:asciiTheme="minorEastAsia" w:hAnsiTheme="minorEastAsia"/>
                <w:sz w:val="24"/>
                <w:szCs w:val="24"/>
              </w:rPr>
            </w:pPr>
            <w:r>
              <w:rPr>
                <w:rFonts w:asciiTheme="minorEastAsia" w:hAnsiTheme="minorEastAsia"/>
                <w:sz w:val="24"/>
                <w:szCs w:val="24"/>
              </w:rPr>
              <w:t xml:space="preserve">18</w:t>
            </w:r>
            <w:r/>
          </w:p>
        </w:tc>
        <w:tc>
          <w:tcPr>
            <w:shd w:val="clear" w:color="auto" w:fill="auto"/>
            <w:tcW w:w="2421" w:type="dxa"/>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新光路涵洞</w:t>
            </w:r>
            <w:r/>
          </w:p>
        </w:tc>
        <w:tc>
          <w:tcPr>
            <w:shd w:val="clear" w:color="auto" w:fill="auto"/>
            <w:tcW w:w="5144" w:type="dxa"/>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新光路下穿陇海铁路</w:t>
            </w:r>
            <w:r/>
          </w:p>
        </w:tc>
      </w:tr>
      <w:tr>
        <w:trPr>
          <w:jc w:val="center"/>
          <w:trHeight w:val="454"/>
        </w:trPr>
        <w:tc>
          <w:tcPr>
            <w:shd w:val="clear" w:color="auto" w:fill="auto"/>
            <w:tcW w:w="1644" w:type="dxa"/>
            <w:vAlign w:val="center"/>
            <w:textDirection w:val="lrTb"/>
            <w:noWrap/>
          </w:tcPr>
          <w:p>
            <w:pPr>
              <w:jc w:val="center"/>
              <w:spacing w:line="380" w:lineRule="exact"/>
              <w:rPr>
                <w:rFonts w:asciiTheme="minorEastAsia" w:hAnsiTheme="minorEastAsia"/>
                <w:sz w:val="24"/>
                <w:szCs w:val="24"/>
              </w:rPr>
            </w:pPr>
            <w:r>
              <w:rPr>
                <w:rFonts w:asciiTheme="minorEastAsia" w:hAnsiTheme="minorEastAsia"/>
                <w:sz w:val="24"/>
                <w:szCs w:val="24"/>
              </w:rPr>
              <w:t xml:space="preserve">19</w:t>
            </w:r>
            <w:r/>
          </w:p>
        </w:tc>
        <w:tc>
          <w:tcPr>
            <w:shd w:val="clear" w:color="auto" w:fill="auto"/>
            <w:tcW w:w="2421" w:type="dxa"/>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徐新路涵洞</w:t>
            </w:r>
            <w:r/>
          </w:p>
        </w:tc>
        <w:tc>
          <w:tcPr>
            <w:shd w:val="clear" w:color="auto" w:fill="auto"/>
            <w:tcW w:w="5144" w:type="dxa"/>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徐新路下穿徐圩铁路支线</w:t>
            </w:r>
            <w:r/>
          </w:p>
        </w:tc>
      </w:tr>
    </w:tbl>
    <w:p>
      <w:pPr>
        <w:ind w:firstLine="480"/>
        <w:rPr>
          <w:rFonts w:asciiTheme="minorEastAsia" w:hAnsiTheme="minorEastAsia"/>
          <w:sz w:val="24"/>
          <w:szCs w:val="24"/>
        </w:rPr>
      </w:pPr>
      <w:r>
        <w:rPr>
          <w:rFonts w:hint="eastAsia" w:ascii="宋体" w:hAnsi="宋体" w:eastAsia="宋体" w:cs="宋体"/>
          <w:sz w:val="24"/>
          <w:szCs w:val="24"/>
        </w:rPr>
        <w:t xml:space="preserve">备注：实际安装位置最终依据采购人需求为主。</w:t>
      </w:r>
      <w:r/>
    </w:p>
    <w:p>
      <w:pPr>
        <w:pStyle w:val="855"/>
        <w:ind w:firstLine="482"/>
        <w:spacing w:line="360" w:lineRule="auto"/>
        <w:rPr>
          <w:rFonts w:asciiTheme="minorEastAsia" w:hAnsiTheme="minorEastAsia" w:eastAsiaTheme="minorEastAsia" w:cstheme="minorBidi"/>
          <w:b/>
          <w:bCs/>
          <w:sz w:val="24"/>
          <w:szCs w:val="24"/>
        </w:rPr>
      </w:pPr>
      <w:r>
        <w:rPr>
          <w:rFonts w:hint="eastAsia" w:asciiTheme="minorEastAsia" w:hAnsiTheme="minorEastAsia" w:eastAsiaTheme="minorEastAsia" w:cstheme="minorBidi"/>
          <w:b/>
          <w:bCs/>
          <w:sz w:val="24"/>
          <w:szCs w:val="24"/>
        </w:rPr>
        <w:t xml:space="preserve">（2）道路专项</w:t>
      </w:r>
      <w:r/>
    </w:p>
    <w:p>
      <w:pPr>
        <w:pStyle w:val="855"/>
        <w:ind w:firstLine="480"/>
        <w:spacing w:line="360" w:lineRule="auto"/>
        <w:rPr>
          <w:rFonts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技术参数：</w:t>
      </w:r>
      <w:r/>
    </w:p>
    <w:tbl>
      <w:tblPr>
        <w:tblW w:w="47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21"/>
        <w:gridCol w:w="1841"/>
        <w:gridCol w:w="6596"/>
      </w:tblGrid>
      <w:tr>
        <w:trPr>
          <w:jc w:val="center"/>
          <w:trHeight w:val="340"/>
          <w:tblHeader/>
        </w:trPr>
        <w:tc>
          <w:tcPr>
            <w:shd w:val="clear" w:color="auto" w:fill="auto"/>
            <w:tcW w:w="540" w:type="pct"/>
            <w:vAlign w:val="center"/>
            <w:textDirection w:val="lrTb"/>
            <w:noWrap w:val="false"/>
          </w:tcPr>
          <w:p>
            <w:pPr>
              <w:jc w:val="center"/>
              <w:spacing w:line="360" w:lineRule="auto"/>
              <w:rPr>
                <w:rFonts w:asciiTheme="minorEastAsia" w:hAnsiTheme="minorEastAsia"/>
                <w:b/>
                <w:bCs/>
                <w:sz w:val="24"/>
                <w:szCs w:val="24"/>
              </w:rPr>
            </w:pPr>
            <w:r>
              <w:rPr>
                <w:rFonts w:hint="eastAsia" w:asciiTheme="minorEastAsia" w:hAnsiTheme="minorEastAsia"/>
                <w:b/>
                <w:bCs/>
                <w:sz w:val="24"/>
                <w:szCs w:val="24"/>
              </w:rPr>
              <w:t xml:space="preserve">序号</w:t>
            </w:r>
            <w:r/>
          </w:p>
        </w:tc>
        <w:tc>
          <w:tcPr>
            <w:shd w:val="clear" w:color="auto" w:fill="auto"/>
            <w:tcW w:w="973" w:type="pct"/>
            <w:vAlign w:val="center"/>
            <w:textDirection w:val="lrTb"/>
            <w:noWrap w:val="false"/>
          </w:tcPr>
          <w:p>
            <w:pPr>
              <w:jc w:val="center"/>
              <w:spacing w:line="360" w:lineRule="auto"/>
              <w:rPr>
                <w:rFonts w:asciiTheme="minorEastAsia" w:hAnsiTheme="minorEastAsia"/>
                <w:b/>
                <w:bCs/>
                <w:sz w:val="24"/>
                <w:szCs w:val="24"/>
              </w:rPr>
            </w:pPr>
            <w:r>
              <w:rPr>
                <w:rFonts w:hint="eastAsia" w:asciiTheme="minorEastAsia" w:hAnsiTheme="minorEastAsia"/>
                <w:b/>
                <w:bCs/>
                <w:sz w:val="24"/>
                <w:szCs w:val="24"/>
              </w:rPr>
              <w:t xml:space="preserve">设备名称</w:t>
            </w:r>
            <w:r/>
          </w:p>
        </w:tc>
        <w:tc>
          <w:tcPr>
            <w:shd w:val="clear" w:color="auto" w:fill="auto"/>
            <w:tcW w:w="3486" w:type="pct"/>
            <w:vAlign w:val="center"/>
            <w:textDirection w:val="lrTb"/>
            <w:noWrap w:val="false"/>
          </w:tcPr>
          <w:p>
            <w:pPr>
              <w:jc w:val="center"/>
              <w:spacing w:line="360" w:lineRule="auto"/>
              <w:rPr>
                <w:rFonts w:asciiTheme="minorEastAsia" w:hAnsiTheme="minorEastAsia"/>
                <w:b/>
                <w:bCs/>
                <w:sz w:val="24"/>
                <w:szCs w:val="24"/>
              </w:rPr>
            </w:pPr>
            <w:r>
              <w:rPr>
                <w:rFonts w:hint="eastAsia" w:asciiTheme="minorEastAsia" w:hAnsiTheme="minorEastAsia"/>
                <w:b/>
                <w:bCs/>
                <w:sz w:val="24"/>
                <w:szCs w:val="24"/>
              </w:rPr>
              <w:t xml:space="preserve">详细参数要求</w:t>
            </w:r>
            <w:r/>
          </w:p>
        </w:tc>
      </w:tr>
      <w:tr>
        <w:trPr>
          <w:jc w:val="center"/>
          <w:trHeight w:val="340"/>
        </w:trPr>
        <w:tc>
          <w:tcPr>
            <w:tcW w:w="540"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color w:val="000000"/>
                <w:sz w:val="24"/>
                <w:szCs w:val="24"/>
              </w:rPr>
              <w:t xml:space="preserve">1</w:t>
            </w:r>
            <w:r/>
          </w:p>
        </w:tc>
        <w:tc>
          <w:tcPr>
            <w:tcW w:w="973"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color w:val="000000"/>
                <w:sz w:val="24"/>
                <w:szCs w:val="24"/>
              </w:rPr>
              <w:t xml:space="preserve">三维地质探地雷达（车载）</w:t>
            </w:r>
            <w:r/>
          </w:p>
        </w:tc>
        <w:tc>
          <w:tcPr>
            <w:tcW w:w="3486" w:type="pct"/>
            <w:vAlign w:val="center"/>
            <w:textDirection w:val="lrTb"/>
            <w:noWrap w:val="false"/>
          </w:tcPr>
          <w:p>
            <w:pP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雷达主机：探测深度：0~5m</w:t>
            </w:r>
            <w:r/>
          </w:p>
          <w:p>
            <w:pPr>
              <w:spacing w:line="380" w:lineRule="exact"/>
              <w:rPr>
                <w:rFonts w:asciiTheme="minorEastAsia" w:hAnsiTheme="minorEastAsia"/>
                <w:color w:val="000000"/>
                <w:sz w:val="24"/>
                <w:szCs w:val="24"/>
              </w:rPr>
            </w:pPr>
            <w:r>
              <w:rPr>
                <w:rFonts w:asciiTheme="minorEastAsia" w:hAnsiTheme="minorEastAsia"/>
                <w:color w:val="000000"/>
                <w:sz w:val="24"/>
                <w:szCs w:val="24"/>
              </w:rPr>
              <w:t xml:space="preserve">1</w:t>
            </w:r>
            <w:r>
              <w:rPr>
                <w:rFonts w:hint="eastAsia" w:asciiTheme="minorEastAsia" w:hAnsiTheme="minorEastAsia"/>
                <w:color w:val="000000"/>
                <w:sz w:val="24"/>
                <w:szCs w:val="24"/>
              </w:rPr>
              <w:t xml:space="preserve">.采样技术：实时采样技术；</w:t>
            </w:r>
            <w:r/>
          </w:p>
          <w:p>
            <w:pPr>
              <w:spacing w:line="380" w:lineRule="exact"/>
              <w:rPr>
                <w:rFonts w:asciiTheme="minorEastAsia" w:hAnsiTheme="minorEastAsia"/>
                <w:color w:val="000000"/>
                <w:sz w:val="24"/>
                <w:szCs w:val="24"/>
              </w:rPr>
            </w:pPr>
            <w:r>
              <w:rPr>
                <w:rFonts w:asciiTheme="minorEastAsia" w:hAnsiTheme="minorEastAsia"/>
                <w:color w:val="000000"/>
                <w:sz w:val="24"/>
                <w:szCs w:val="24"/>
              </w:rPr>
              <w:t xml:space="preserve">2</w:t>
            </w:r>
            <w:r>
              <w:rPr>
                <w:rFonts w:hint="eastAsia" w:asciiTheme="minorEastAsia" w:hAnsiTheme="minorEastAsia"/>
                <w:color w:val="000000"/>
                <w:sz w:val="24"/>
                <w:szCs w:val="24"/>
              </w:rPr>
              <w:t xml:space="preserve">.采集速度：速度可达130km/h,在采样间隔为0.05m，叠加次数不低于512次时；</w:t>
            </w:r>
            <w:r/>
          </w:p>
          <w:p>
            <w:pPr>
              <w:spacing w:line="380" w:lineRule="exact"/>
              <w:rPr>
                <w:rFonts w:asciiTheme="minorEastAsia" w:hAnsiTheme="minorEastAsia"/>
                <w:color w:val="000000"/>
                <w:sz w:val="24"/>
                <w:szCs w:val="24"/>
              </w:rPr>
            </w:pPr>
            <w:r>
              <w:rPr>
                <w:rFonts w:asciiTheme="minorEastAsia" w:hAnsiTheme="minorEastAsia"/>
                <w:color w:val="000000"/>
                <w:sz w:val="24"/>
                <w:szCs w:val="24"/>
              </w:rPr>
              <w:t xml:space="preserve">3</w:t>
            </w:r>
            <w:r>
              <w:rPr>
                <w:rFonts w:hint="eastAsia" w:asciiTheme="minorEastAsia" w:hAnsiTheme="minorEastAsia"/>
                <w:color w:val="000000"/>
                <w:sz w:val="24"/>
                <w:szCs w:val="24"/>
              </w:rPr>
              <w:t xml:space="preserve">.脉冲重复频率：不低于160MHz；</w:t>
            </w:r>
            <w:r/>
          </w:p>
          <w:p>
            <w:pPr>
              <w:spacing w:line="380" w:lineRule="exact"/>
              <w:rPr>
                <w:rFonts w:asciiTheme="minorEastAsia" w:hAnsiTheme="minorEastAsia"/>
                <w:color w:val="000000"/>
                <w:sz w:val="24"/>
                <w:szCs w:val="24"/>
              </w:rPr>
            </w:pPr>
            <w:r>
              <w:rPr>
                <w:rFonts w:asciiTheme="minorEastAsia" w:hAnsiTheme="minorEastAsia"/>
                <w:color w:val="000000"/>
                <w:sz w:val="24"/>
                <w:szCs w:val="24"/>
              </w:rPr>
              <w:t xml:space="preserve">4</w:t>
            </w:r>
            <w:r>
              <w:rPr>
                <w:rFonts w:hint="eastAsia" w:asciiTheme="minorEastAsia" w:hAnsiTheme="minorEastAsia"/>
                <w:color w:val="000000"/>
                <w:sz w:val="24"/>
                <w:szCs w:val="24"/>
              </w:rPr>
              <w:t xml:space="preserve">.数据位数：32bit；</w:t>
            </w:r>
            <w:r/>
          </w:p>
          <w:p>
            <w:pPr>
              <w:spacing w:line="380" w:lineRule="exact"/>
              <w:rPr>
                <w:rFonts w:asciiTheme="minorEastAsia" w:hAnsiTheme="minorEastAsia"/>
                <w:color w:val="000000"/>
                <w:sz w:val="24"/>
                <w:szCs w:val="24"/>
              </w:rPr>
            </w:pPr>
            <w:r>
              <w:rPr>
                <w:rFonts w:asciiTheme="minorEastAsia" w:hAnsiTheme="minorEastAsia"/>
                <w:color w:val="000000"/>
                <w:sz w:val="24"/>
                <w:szCs w:val="24"/>
              </w:rPr>
              <w:t xml:space="preserve">5</w:t>
            </w:r>
            <w:r>
              <w:rPr>
                <w:rFonts w:hint="eastAsia" w:asciiTheme="minorEastAsia" w:hAnsiTheme="minorEastAsia"/>
                <w:color w:val="000000"/>
                <w:sz w:val="24"/>
                <w:szCs w:val="24"/>
              </w:rPr>
              <w:t xml:space="preserve">.数据时滞：外接高精度，可连接北斗系统定位；</w:t>
            </w:r>
            <w:r/>
          </w:p>
          <w:p>
            <w:pPr>
              <w:spacing w:line="380" w:lineRule="exact"/>
              <w:rPr>
                <w:rFonts w:asciiTheme="minorEastAsia" w:hAnsiTheme="minorEastAsia"/>
                <w:color w:val="000000"/>
                <w:sz w:val="24"/>
                <w:szCs w:val="24"/>
              </w:rPr>
            </w:pPr>
            <w:r>
              <w:rPr>
                <w:rFonts w:asciiTheme="minorEastAsia" w:hAnsiTheme="minorEastAsia"/>
                <w:color w:val="000000"/>
                <w:sz w:val="24"/>
                <w:szCs w:val="24"/>
              </w:rPr>
              <w:t xml:space="preserve">6</w:t>
            </w:r>
            <w:r>
              <w:rPr>
                <w:rFonts w:hint="eastAsia" w:asciiTheme="minorEastAsia" w:hAnsiTheme="minorEastAsia"/>
                <w:color w:val="000000"/>
                <w:sz w:val="24"/>
                <w:szCs w:val="24"/>
              </w:rPr>
              <w:t xml:space="preserve">.通道：不少于10；</w:t>
            </w:r>
            <w:r/>
          </w:p>
          <w:p>
            <w:pPr>
              <w:spacing w:line="380" w:lineRule="exact"/>
              <w:rPr>
                <w:rFonts w:asciiTheme="minorEastAsia" w:hAnsiTheme="minorEastAsia"/>
                <w:color w:val="000000"/>
                <w:sz w:val="24"/>
                <w:szCs w:val="24"/>
              </w:rPr>
            </w:pPr>
            <w:r>
              <w:rPr>
                <w:rFonts w:asciiTheme="minorEastAsia" w:hAnsiTheme="minorEastAsia"/>
                <w:color w:val="000000"/>
                <w:sz w:val="24"/>
                <w:szCs w:val="24"/>
              </w:rPr>
              <w:t xml:space="preserve">7</w:t>
            </w:r>
            <w:r>
              <w:rPr>
                <w:rFonts w:hint="eastAsia" w:asciiTheme="minorEastAsia" w:hAnsiTheme="minorEastAsia"/>
                <w:color w:val="000000"/>
                <w:sz w:val="24"/>
                <w:szCs w:val="24"/>
              </w:rPr>
              <w:t xml:space="preserve">.通道间距可在6.5-12cm之间调整；</w:t>
            </w:r>
            <w:r/>
          </w:p>
          <w:p>
            <w:pPr>
              <w:spacing w:line="380" w:lineRule="exact"/>
              <w:rPr>
                <w:rFonts w:asciiTheme="minorEastAsia" w:hAnsiTheme="minorEastAsia"/>
                <w:color w:val="000000"/>
                <w:sz w:val="24"/>
                <w:szCs w:val="24"/>
              </w:rPr>
            </w:pPr>
            <w:r>
              <w:rPr>
                <w:rFonts w:asciiTheme="minorEastAsia" w:hAnsiTheme="minorEastAsia"/>
                <w:color w:val="000000"/>
                <w:sz w:val="24"/>
                <w:szCs w:val="24"/>
              </w:rPr>
              <w:t xml:space="preserve">8</w:t>
            </w:r>
            <w:r>
              <w:rPr>
                <w:rFonts w:hint="eastAsia" w:asciiTheme="minorEastAsia" w:hAnsiTheme="minorEastAsia"/>
                <w:color w:val="000000"/>
                <w:sz w:val="24"/>
                <w:szCs w:val="24"/>
              </w:rPr>
              <w:t xml:space="preserve">.中心频率：450MHz，采用RTS（实时采样）和HDR高动态范围技术；</w:t>
            </w:r>
            <w:r/>
          </w:p>
          <w:p>
            <w:pPr>
              <w:spacing w:line="380" w:lineRule="exact"/>
              <w:rPr>
                <w:rFonts w:asciiTheme="minorEastAsia" w:hAnsiTheme="minorEastAsia"/>
                <w:color w:val="000000"/>
                <w:sz w:val="24"/>
                <w:szCs w:val="24"/>
              </w:rPr>
            </w:pPr>
            <w:r>
              <w:rPr>
                <w:rFonts w:asciiTheme="minorEastAsia" w:hAnsiTheme="minorEastAsia"/>
                <w:color w:val="000000"/>
                <w:sz w:val="24"/>
                <w:szCs w:val="24"/>
              </w:rPr>
              <w:t xml:space="preserve">9</w:t>
            </w:r>
            <w:r>
              <w:rPr>
                <w:rFonts w:hint="eastAsia" w:asciiTheme="minorEastAsia" w:hAnsiTheme="minorEastAsia"/>
                <w:color w:val="000000"/>
                <w:sz w:val="24"/>
                <w:szCs w:val="24"/>
              </w:rPr>
              <w:t xml:space="preserve">.可快速从车载模式，变成手推模式；</w:t>
            </w:r>
            <w:r/>
          </w:p>
          <w:p>
            <w:pPr>
              <w:spacing w:line="380" w:lineRule="exact"/>
              <w:rPr>
                <w:rFonts w:asciiTheme="minorEastAsia" w:hAnsiTheme="minorEastAsia"/>
                <w:color w:val="000000"/>
                <w:sz w:val="24"/>
                <w:szCs w:val="24"/>
              </w:rPr>
            </w:pPr>
            <w:r>
              <w:rPr>
                <w:rFonts w:asciiTheme="minorEastAsia" w:hAnsiTheme="minorEastAsia"/>
                <w:color w:val="000000"/>
                <w:sz w:val="24"/>
                <w:szCs w:val="24"/>
              </w:rPr>
              <w:t xml:space="preserve">10</w:t>
            </w:r>
            <w:r>
              <w:rPr>
                <w:rFonts w:hint="eastAsia" w:asciiTheme="minorEastAsia" w:hAnsiTheme="minorEastAsia"/>
                <w:color w:val="000000"/>
                <w:sz w:val="24"/>
                <w:szCs w:val="24"/>
              </w:rPr>
              <w:t xml:space="preserve">.软件支持数据处理的过程化管理，可调用、保留或删除数据处理的中间结果，支持数据的预处理、后处理和再处理，支持数据批处理功能；</w:t>
            </w:r>
            <w:r/>
          </w:p>
          <w:p>
            <w:pPr>
              <w:spacing w:line="380" w:lineRule="exact"/>
              <w:rPr>
                <w:rFonts w:asciiTheme="minorEastAsia" w:hAnsiTheme="minorEastAsia"/>
                <w:sz w:val="24"/>
                <w:szCs w:val="24"/>
              </w:rPr>
            </w:pPr>
            <w:r>
              <w:rPr>
                <w:rFonts w:asciiTheme="minorEastAsia" w:hAnsiTheme="minorEastAsia"/>
                <w:sz w:val="24"/>
                <w:szCs w:val="24"/>
              </w:rPr>
              <w:t xml:space="preserve">11</w:t>
            </w:r>
            <w:r>
              <w:rPr>
                <w:rFonts w:hint="eastAsia" w:asciiTheme="minorEastAsia" w:hAnsiTheme="minorEastAsia"/>
                <w:sz w:val="24"/>
                <w:szCs w:val="24"/>
              </w:rPr>
              <w:t xml:space="preserve">.</w:t>
            </w:r>
            <w:r>
              <w:rPr>
                <w:rFonts w:hint="eastAsia" w:asciiTheme="minorEastAsia" w:hAnsiTheme="minorEastAsia"/>
                <w:color w:val="000000"/>
                <w:sz w:val="24"/>
                <w:szCs w:val="24"/>
              </w:rPr>
              <w:t xml:space="preserve">支持数据的黑白或彩色显示，支持显示任意方向的水平、垂向和纵向切片。</w:t>
            </w:r>
            <w:r/>
          </w:p>
        </w:tc>
      </w:tr>
    </w:tbl>
    <w:p>
      <w:pPr>
        <w:pStyle w:val="855"/>
        <w:ind w:firstLine="480"/>
        <w:spacing w:line="360" w:lineRule="auto"/>
        <w:rPr>
          <w:rFonts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布点清单：</w:t>
      </w:r>
      <w:r/>
    </w:p>
    <w:tbl>
      <w:tblPr>
        <w:tblW w:w="473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72"/>
        <w:gridCol w:w="1885"/>
        <w:gridCol w:w="2230"/>
        <w:gridCol w:w="1914"/>
        <w:gridCol w:w="2137"/>
      </w:tblGrid>
      <w:tr>
        <w:trPr>
          <w:jc w:val="center"/>
          <w:trHeight w:val="454"/>
          <w:tblHeader/>
        </w:trPr>
        <w:tc>
          <w:tcPr>
            <w:shd w:val="clear" w:color="auto" w:fill="auto"/>
            <w:tcW w:w="628" w:type="pct"/>
            <w:vAlign w:val="center"/>
            <w:textDirection w:val="lrTb"/>
            <w:noWrap w:val="false"/>
          </w:tcPr>
          <w:p>
            <w:pPr>
              <w:jc w:val="center"/>
              <w:spacing w:line="380" w:lineRule="exact"/>
              <w:rPr>
                <w:rFonts w:asciiTheme="minorEastAsia" w:hAnsiTheme="minorEastAsia"/>
                <w:b/>
                <w:bCs/>
                <w:color w:val="000000"/>
                <w:sz w:val="24"/>
                <w:szCs w:val="24"/>
              </w:rPr>
            </w:pPr>
            <w:r>
              <w:rPr>
                <w:rFonts w:hint="eastAsia" w:asciiTheme="minorEastAsia" w:hAnsiTheme="minorEastAsia"/>
                <w:b/>
                <w:bCs/>
                <w:color w:val="000000"/>
                <w:sz w:val="24"/>
                <w:szCs w:val="24"/>
              </w:rPr>
              <w:t xml:space="preserve">序号</w:t>
            </w:r>
            <w:r/>
          </w:p>
        </w:tc>
        <w:tc>
          <w:tcPr>
            <w:shd w:val="clear" w:color="auto" w:fill="auto"/>
            <w:tcW w:w="1009" w:type="pct"/>
            <w:vAlign w:val="center"/>
            <w:textDirection w:val="lrTb"/>
            <w:noWrap w:val="false"/>
          </w:tcPr>
          <w:p>
            <w:pPr>
              <w:jc w:val="center"/>
              <w:spacing w:line="380" w:lineRule="exact"/>
              <w:rPr>
                <w:rFonts w:asciiTheme="minorEastAsia" w:hAnsiTheme="minorEastAsia"/>
                <w:b/>
                <w:bCs/>
                <w:color w:val="000000"/>
                <w:sz w:val="24"/>
                <w:szCs w:val="24"/>
              </w:rPr>
            </w:pPr>
            <w:r>
              <w:rPr>
                <w:rFonts w:hint="eastAsia" w:asciiTheme="minorEastAsia" w:hAnsiTheme="minorEastAsia"/>
                <w:b/>
                <w:bCs/>
                <w:color w:val="000000"/>
                <w:sz w:val="24"/>
                <w:szCs w:val="24"/>
              </w:rPr>
              <w:t xml:space="preserve">道路名称</w:t>
            </w:r>
            <w:r/>
          </w:p>
        </w:tc>
        <w:tc>
          <w:tcPr>
            <w:shd w:val="clear" w:color="auto" w:fill="auto"/>
            <w:tcW w:w="1193" w:type="pct"/>
            <w:vAlign w:val="center"/>
            <w:textDirection w:val="lrTb"/>
            <w:noWrap w:val="false"/>
          </w:tcPr>
          <w:p>
            <w:pPr>
              <w:jc w:val="center"/>
              <w:spacing w:line="380" w:lineRule="exact"/>
              <w:rPr>
                <w:rFonts w:asciiTheme="minorEastAsia" w:hAnsiTheme="minorEastAsia"/>
                <w:b/>
                <w:bCs/>
                <w:color w:val="000000"/>
                <w:sz w:val="24"/>
                <w:szCs w:val="24"/>
              </w:rPr>
            </w:pPr>
            <w:r>
              <w:rPr>
                <w:rFonts w:hint="eastAsia" w:asciiTheme="minorEastAsia" w:hAnsiTheme="minorEastAsia"/>
                <w:b/>
                <w:bCs/>
                <w:color w:val="000000"/>
                <w:sz w:val="24"/>
                <w:szCs w:val="24"/>
              </w:rPr>
              <w:t xml:space="preserve">起点</w:t>
            </w:r>
            <w:r/>
          </w:p>
        </w:tc>
        <w:tc>
          <w:tcPr>
            <w:shd w:val="clear" w:color="auto" w:fill="auto"/>
            <w:tcW w:w="1024" w:type="pct"/>
            <w:vAlign w:val="center"/>
            <w:textDirection w:val="lrTb"/>
            <w:noWrap w:val="false"/>
          </w:tcPr>
          <w:p>
            <w:pPr>
              <w:jc w:val="center"/>
              <w:spacing w:line="380" w:lineRule="exact"/>
              <w:rPr>
                <w:rFonts w:asciiTheme="minorEastAsia" w:hAnsiTheme="minorEastAsia"/>
                <w:b/>
                <w:bCs/>
                <w:color w:val="000000"/>
                <w:sz w:val="24"/>
                <w:szCs w:val="24"/>
              </w:rPr>
            </w:pPr>
            <w:r>
              <w:rPr>
                <w:rFonts w:hint="eastAsia" w:asciiTheme="minorEastAsia" w:hAnsiTheme="minorEastAsia"/>
                <w:b/>
                <w:bCs/>
                <w:color w:val="000000"/>
                <w:sz w:val="24"/>
                <w:szCs w:val="24"/>
              </w:rPr>
              <w:t xml:space="preserve">终点</w:t>
            </w:r>
            <w:r/>
          </w:p>
        </w:tc>
        <w:tc>
          <w:tcPr>
            <w:shd w:val="clear" w:color="auto" w:fill="auto"/>
            <w:tcW w:w="1143" w:type="pct"/>
            <w:vAlign w:val="center"/>
            <w:textDirection w:val="lrTb"/>
            <w:noWrap w:val="false"/>
          </w:tcPr>
          <w:p>
            <w:pPr>
              <w:jc w:val="center"/>
              <w:spacing w:line="380" w:lineRule="exact"/>
              <w:rPr>
                <w:rFonts w:asciiTheme="minorEastAsia" w:hAnsiTheme="minorEastAsia"/>
                <w:b/>
                <w:bCs/>
                <w:color w:val="000000"/>
                <w:sz w:val="24"/>
                <w:szCs w:val="24"/>
              </w:rPr>
            </w:pPr>
            <w:r>
              <w:rPr>
                <w:rFonts w:hint="eastAsia" w:asciiTheme="minorEastAsia" w:hAnsiTheme="minorEastAsia"/>
                <w:b/>
                <w:bCs/>
                <w:color w:val="000000"/>
                <w:sz w:val="24"/>
                <w:szCs w:val="24"/>
              </w:rPr>
              <w:t xml:space="preserve">单元长度（米）</w:t>
            </w:r>
            <w:r/>
          </w:p>
        </w:tc>
      </w:tr>
      <w:tr>
        <w:trPr>
          <w:jc w:val="center"/>
          <w:trHeight w:val="454"/>
        </w:trPr>
        <w:tc>
          <w:tcPr>
            <w:shd w:val="clear" w:color="auto" w:fill="auto"/>
            <w:tcW w:w="628" w:type="pct"/>
            <w:vAlign w:val="center"/>
            <w:textDirection w:val="lrTb"/>
            <w:noWrap w:val="false"/>
          </w:tcPr>
          <w:p>
            <w:pPr>
              <w:jc w:val="cente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1</w:t>
            </w:r>
            <w:r/>
          </w:p>
        </w:tc>
        <w:tc>
          <w:tcPr>
            <w:shd w:val="clear" w:color="auto" w:fill="auto"/>
            <w:tcW w:w="1009" w:type="pct"/>
            <w:vAlign w:val="center"/>
            <w:textDirection w:val="lrTb"/>
            <w:noWrap w:val="false"/>
          </w:tcPr>
          <w:p>
            <w:pPr>
              <w:jc w:val="cente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解放路</w:t>
            </w:r>
            <w:r/>
          </w:p>
        </w:tc>
        <w:tc>
          <w:tcPr>
            <w:shd w:val="clear" w:color="auto" w:fill="auto"/>
            <w:tcW w:w="1193" w:type="pct"/>
            <w:vAlign w:val="center"/>
            <w:textDirection w:val="lrTb"/>
            <w:noWrap w:val="false"/>
          </w:tcPr>
          <w:p>
            <w:pPr>
              <w:jc w:val="cente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海连西路</w:t>
            </w:r>
            <w:r/>
          </w:p>
        </w:tc>
        <w:tc>
          <w:tcPr>
            <w:shd w:val="clear" w:color="auto" w:fill="auto"/>
            <w:tcW w:w="1024" w:type="pct"/>
            <w:vAlign w:val="center"/>
            <w:textDirection w:val="lrTb"/>
            <w:noWrap w:val="false"/>
          </w:tcPr>
          <w:p>
            <w:pPr>
              <w:jc w:val="cente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盐河北路</w:t>
            </w:r>
            <w:r/>
          </w:p>
        </w:tc>
        <w:tc>
          <w:tcPr>
            <w:shd w:val="clear" w:color="auto" w:fill="auto"/>
            <w:tcW w:w="1143" w:type="pct"/>
            <w:vAlign w:val="center"/>
            <w:textDirection w:val="lrTb"/>
            <w:noWrap w:val="false"/>
          </w:tcPr>
          <w:p>
            <w:pPr>
              <w:jc w:val="cente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2800</w:t>
            </w:r>
            <w:r/>
          </w:p>
        </w:tc>
      </w:tr>
      <w:tr>
        <w:trPr>
          <w:jc w:val="center"/>
          <w:trHeight w:val="454"/>
        </w:trPr>
        <w:tc>
          <w:tcPr>
            <w:shd w:val="clear" w:color="auto" w:fill="auto"/>
            <w:tcW w:w="628" w:type="pct"/>
            <w:vAlign w:val="center"/>
            <w:textDirection w:val="lrTb"/>
            <w:noWrap w:val="false"/>
          </w:tcPr>
          <w:p>
            <w:pPr>
              <w:jc w:val="cente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2</w:t>
            </w:r>
            <w:r/>
          </w:p>
        </w:tc>
        <w:tc>
          <w:tcPr>
            <w:shd w:val="clear" w:color="auto" w:fill="auto"/>
            <w:tcW w:w="1009" w:type="pct"/>
            <w:vAlign w:val="center"/>
            <w:textDirection w:val="lrTb"/>
            <w:noWrap w:val="false"/>
          </w:tcPr>
          <w:p>
            <w:pPr>
              <w:jc w:val="cente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解放路</w:t>
            </w:r>
            <w:r/>
          </w:p>
        </w:tc>
        <w:tc>
          <w:tcPr>
            <w:shd w:val="clear" w:color="auto" w:fill="auto"/>
            <w:tcW w:w="1193" w:type="pct"/>
            <w:vAlign w:val="center"/>
            <w:textDirection w:val="lrTb"/>
            <w:noWrap w:val="false"/>
          </w:tcPr>
          <w:p>
            <w:pPr>
              <w:jc w:val="cente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盐河北路</w:t>
            </w:r>
            <w:r/>
          </w:p>
        </w:tc>
        <w:tc>
          <w:tcPr>
            <w:shd w:val="clear" w:color="auto" w:fill="auto"/>
            <w:tcW w:w="1024" w:type="pct"/>
            <w:vAlign w:val="center"/>
            <w:textDirection w:val="lrTb"/>
            <w:noWrap w:val="false"/>
          </w:tcPr>
          <w:p>
            <w:pPr>
              <w:jc w:val="cente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丁字路</w:t>
            </w:r>
            <w:r/>
          </w:p>
        </w:tc>
        <w:tc>
          <w:tcPr>
            <w:shd w:val="clear" w:color="auto" w:fill="auto"/>
            <w:tcW w:w="1143" w:type="pct"/>
            <w:vAlign w:val="center"/>
            <w:textDirection w:val="lrTb"/>
            <w:noWrap w:val="false"/>
          </w:tcPr>
          <w:p>
            <w:pPr>
              <w:jc w:val="cente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5000</w:t>
            </w:r>
            <w:r/>
          </w:p>
        </w:tc>
      </w:tr>
      <w:tr>
        <w:trPr>
          <w:jc w:val="center"/>
          <w:trHeight w:val="454"/>
        </w:trPr>
        <w:tc>
          <w:tcPr>
            <w:shd w:val="clear" w:color="auto" w:fill="auto"/>
            <w:tcW w:w="628" w:type="pct"/>
            <w:vAlign w:val="center"/>
            <w:textDirection w:val="lrTb"/>
            <w:noWrap w:val="false"/>
          </w:tcPr>
          <w:p>
            <w:pPr>
              <w:jc w:val="cente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3</w:t>
            </w:r>
            <w:r/>
          </w:p>
        </w:tc>
        <w:tc>
          <w:tcPr>
            <w:shd w:val="clear" w:color="auto" w:fill="auto"/>
            <w:tcW w:w="1009" w:type="pct"/>
            <w:vAlign w:val="center"/>
            <w:textDirection w:val="lrTb"/>
            <w:noWrap w:val="false"/>
          </w:tcPr>
          <w:p>
            <w:pPr>
              <w:jc w:val="cente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通灌路</w:t>
            </w:r>
            <w:r/>
          </w:p>
        </w:tc>
        <w:tc>
          <w:tcPr>
            <w:shd w:val="clear" w:color="auto" w:fill="auto"/>
            <w:tcW w:w="1193" w:type="pct"/>
            <w:vAlign w:val="center"/>
            <w:textDirection w:val="lrTb"/>
            <w:noWrap w:val="false"/>
          </w:tcPr>
          <w:p>
            <w:pPr>
              <w:jc w:val="cente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人民路</w:t>
            </w:r>
            <w:r/>
          </w:p>
        </w:tc>
        <w:tc>
          <w:tcPr>
            <w:shd w:val="clear" w:color="auto" w:fill="auto"/>
            <w:tcW w:w="1024" w:type="pct"/>
            <w:vAlign w:val="center"/>
            <w:textDirection w:val="lrTb"/>
            <w:noWrap w:val="false"/>
          </w:tcPr>
          <w:p>
            <w:pPr>
              <w:jc w:val="cente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海连中路</w:t>
            </w:r>
            <w:r/>
          </w:p>
        </w:tc>
        <w:tc>
          <w:tcPr>
            <w:shd w:val="clear" w:color="auto" w:fill="auto"/>
            <w:tcW w:w="1143" w:type="pct"/>
            <w:vAlign w:val="center"/>
            <w:textDirection w:val="lrTb"/>
            <w:noWrap w:val="false"/>
          </w:tcPr>
          <w:p>
            <w:pPr>
              <w:jc w:val="cente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2200</w:t>
            </w:r>
            <w:r/>
          </w:p>
        </w:tc>
      </w:tr>
      <w:tr>
        <w:trPr>
          <w:jc w:val="center"/>
          <w:trHeight w:val="454"/>
        </w:trPr>
        <w:tc>
          <w:tcPr>
            <w:shd w:val="clear" w:color="auto" w:fill="auto"/>
            <w:tcW w:w="628" w:type="pct"/>
            <w:vAlign w:val="center"/>
            <w:textDirection w:val="lrTb"/>
            <w:noWrap w:val="false"/>
          </w:tcPr>
          <w:p>
            <w:pPr>
              <w:jc w:val="cente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4</w:t>
            </w:r>
            <w:r/>
          </w:p>
        </w:tc>
        <w:tc>
          <w:tcPr>
            <w:shd w:val="clear" w:color="auto" w:fill="auto"/>
            <w:tcW w:w="1009" w:type="pct"/>
            <w:vAlign w:val="center"/>
            <w:textDirection w:val="lrTb"/>
            <w:noWrap w:val="false"/>
          </w:tcPr>
          <w:p>
            <w:pPr>
              <w:jc w:val="cente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通灌路</w:t>
            </w:r>
            <w:r/>
          </w:p>
        </w:tc>
        <w:tc>
          <w:tcPr>
            <w:shd w:val="clear" w:color="auto" w:fill="auto"/>
            <w:tcW w:w="1193" w:type="pct"/>
            <w:vAlign w:val="center"/>
            <w:textDirection w:val="lrTb"/>
            <w:noWrap w:val="false"/>
          </w:tcPr>
          <w:p>
            <w:pPr>
              <w:jc w:val="cente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海连中路</w:t>
            </w:r>
            <w:r/>
          </w:p>
        </w:tc>
        <w:tc>
          <w:tcPr>
            <w:shd w:val="clear" w:color="auto" w:fill="auto"/>
            <w:tcW w:w="1024" w:type="pct"/>
            <w:vAlign w:val="center"/>
            <w:textDirection w:val="lrTb"/>
            <w:noWrap w:val="false"/>
          </w:tcPr>
          <w:p>
            <w:pPr>
              <w:jc w:val="cente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秦东门大街</w:t>
            </w:r>
            <w:r/>
          </w:p>
        </w:tc>
        <w:tc>
          <w:tcPr>
            <w:shd w:val="clear" w:color="auto" w:fill="auto"/>
            <w:tcW w:w="1143" w:type="pct"/>
            <w:vAlign w:val="center"/>
            <w:textDirection w:val="lrTb"/>
            <w:noWrap w:val="false"/>
          </w:tcPr>
          <w:p>
            <w:pPr>
              <w:jc w:val="cente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2940</w:t>
            </w:r>
            <w:r/>
          </w:p>
        </w:tc>
      </w:tr>
      <w:tr>
        <w:trPr>
          <w:jc w:val="center"/>
          <w:trHeight w:val="454"/>
        </w:trPr>
        <w:tc>
          <w:tcPr>
            <w:shd w:val="clear" w:color="auto" w:fill="auto"/>
            <w:tcW w:w="628" w:type="pct"/>
            <w:vAlign w:val="center"/>
            <w:textDirection w:val="lrTb"/>
            <w:noWrap w:val="false"/>
          </w:tcPr>
          <w:p>
            <w:pPr>
              <w:jc w:val="cente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5</w:t>
            </w:r>
            <w:r/>
          </w:p>
        </w:tc>
        <w:tc>
          <w:tcPr>
            <w:shd w:val="clear" w:color="auto" w:fill="auto"/>
            <w:tcW w:w="1009" w:type="pct"/>
            <w:vAlign w:val="center"/>
            <w:textDirection w:val="lrTb"/>
            <w:noWrap w:val="false"/>
          </w:tcPr>
          <w:p>
            <w:pPr>
              <w:jc w:val="cente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海昌路</w:t>
            </w:r>
            <w:r/>
          </w:p>
        </w:tc>
        <w:tc>
          <w:tcPr>
            <w:shd w:val="clear" w:color="auto" w:fill="auto"/>
            <w:tcW w:w="1193" w:type="pct"/>
            <w:vAlign w:val="center"/>
            <w:textDirection w:val="lrTb"/>
            <w:noWrap w:val="false"/>
          </w:tcPr>
          <w:p>
            <w:pPr>
              <w:jc w:val="cente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解放路</w:t>
            </w:r>
            <w:r/>
          </w:p>
        </w:tc>
        <w:tc>
          <w:tcPr>
            <w:shd w:val="clear" w:color="auto" w:fill="auto"/>
            <w:tcW w:w="1024" w:type="pct"/>
            <w:vAlign w:val="center"/>
            <w:textDirection w:val="lrTb"/>
            <w:noWrap w:val="false"/>
          </w:tcPr>
          <w:p>
            <w:pPr>
              <w:jc w:val="cente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玉带河路</w:t>
            </w:r>
            <w:r/>
          </w:p>
        </w:tc>
        <w:tc>
          <w:tcPr>
            <w:shd w:val="clear" w:color="auto" w:fill="auto"/>
            <w:tcW w:w="1143" w:type="pct"/>
            <w:vAlign w:val="center"/>
            <w:textDirection w:val="lrTb"/>
            <w:noWrap w:val="false"/>
          </w:tcPr>
          <w:p>
            <w:pPr>
              <w:jc w:val="cente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3052</w:t>
            </w:r>
            <w:r/>
          </w:p>
        </w:tc>
      </w:tr>
      <w:tr>
        <w:trPr>
          <w:jc w:val="center"/>
          <w:trHeight w:val="454"/>
        </w:trPr>
        <w:tc>
          <w:tcPr>
            <w:shd w:val="clear" w:color="auto" w:fill="auto"/>
            <w:tcW w:w="628" w:type="pct"/>
            <w:vAlign w:val="center"/>
            <w:textDirection w:val="lrTb"/>
            <w:noWrap w:val="false"/>
          </w:tcPr>
          <w:p>
            <w:pPr>
              <w:jc w:val="cente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6</w:t>
            </w:r>
            <w:r/>
          </w:p>
        </w:tc>
        <w:tc>
          <w:tcPr>
            <w:shd w:val="clear" w:color="auto" w:fill="auto"/>
            <w:tcW w:w="1009" w:type="pct"/>
            <w:vAlign w:val="center"/>
            <w:textDirection w:val="lrTb"/>
            <w:noWrap w:val="false"/>
          </w:tcPr>
          <w:p>
            <w:pPr>
              <w:jc w:val="cente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南极路</w:t>
            </w:r>
            <w:r/>
          </w:p>
        </w:tc>
        <w:tc>
          <w:tcPr>
            <w:shd w:val="clear" w:color="auto" w:fill="auto"/>
            <w:tcW w:w="1193" w:type="pct"/>
            <w:vAlign w:val="center"/>
            <w:textDirection w:val="lrTb"/>
            <w:noWrap w:val="false"/>
          </w:tcPr>
          <w:p>
            <w:pPr>
              <w:jc w:val="cente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人民路</w:t>
            </w:r>
            <w:r/>
          </w:p>
        </w:tc>
        <w:tc>
          <w:tcPr>
            <w:shd w:val="clear" w:color="auto" w:fill="auto"/>
            <w:tcW w:w="1024" w:type="pct"/>
            <w:vAlign w:val="center"/>
            <w:textDirection w:val="lrTb"/>
            <w:noWrap w:val="false"/>
          </w:tcPr>
          <w:p>
            <w:pPr>
              <w:jc w:val="cente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秦东门大街</w:t>
            </w:r>
            <w:r/>
          </w:p>
        </w:tc>
        <w:tc>
          <w:tcPr>
            <w:shd w:val="clear" w:color="auto" w:fill="auto"/>
            <w:tcW w:w="1143" w:type="pct"/>
            <w:vAlign w:val="center"/>
            <w:textDirection w:val="lrTb"/>
            <w:noWrap w:val="false"/>
          </w:tcPr>
          <w:p>
            <w:pPr>
              <w:jc w:val="cente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4030</w:t>
            </w:r>
            <w:r/>
          </w:p>
        </w:tc>
      </w:tr>
    </w:tbl>
    <w:p>
      <w:pPr>
        <w:ind w:firstLine="480"/>
      </w:pPr>
      <w:r>
        <w:rPr>
          <w:rFonts w:hint="eastAsia" w:ascii="宋体" w:hAnsi="宋体" w:eastAsia="宋体" w:cs="宋体"/>
          <w:sz w:val="24"/>
          <w:szCs w:val="24"/>
        </w:rPr>
        <w:t xml:space="preserve">实际探测的道路名称，最终依据采购人需求为主。</w:t>
      </w:r>
      <w:r/>
    </w:p>
    <w:p>
      <w:pPr>
        <w:pStyle w:val="855"/>
        <w:ind w:firstLine="482"/>
        <w:spacing w:line="360" w:lineRule="auto"/>
        <w:rPr>
          <w:rFonts w:asciiTheme="minorEastAsia" w:hAnsiTheme="minorEastAsia" w:eastAsiaTheme="minorEastAsia" w:cstheme="minorBidi"/>
          <w:b/>
          <w:bCs/>
          <w:sz w:val="24"/>
          <w:szCs w:val="24"/>
        </w:rPr>
      </w:pPr>
      <w:r>
        <w:rPr>
          <w:rFonts w:hint="eastAsia" w:asciiTheme="minorEastAsia" w:hAnsiTheme="minorEastAsia" w:eastAsiaTheme="minorEastAsia" w:cstheme="minorBidi"/>
          <w:b/>
          <w:bCs/>
          <w:sz w:val="24"/>
          <w:szCs w:val="24"/>
        </w:rPr>
        <w:t xml:space="preserve">（3）桥梁专项</w:t>
      </w:r>
      <w:r/>
    </w:p>
    <w:p>
      <w:pPr>
        <w:pStyle w:val="855"/>
        <w:ind w:firstLine="480"/>
        <w:spacing w:line="360" w:lineRule="auto"/>
        <w:rPr>
          <w:rFonts w:asciiTheme="minorEastAsia" w:hAnsiTheme="minorEastAsia" w:eastAsiaTheme="minorEastAsia" w:cstheme="minorBidi"/>
          <w:b/>
          <w:bCs/>
          <w:sz w:val="24"/>
          <w:szCs w:val="24"/>
        </w:rPr>
      </w:pPr>
      <w:r>
        <w:rPr>
          <w:rFonts w:hint="eastAsia" w:asciiTheme="minorEastAsia" w:hAnsiTheme="minorEastAsia" w:eastAsiaTheme="minorEastAsia" w:cstheme="minorBidi"/>
          <w:sz w:val="24"/>
          <w:szCs w:val="24"/>
        </w:rPr>
        <w:t xml:space="preserve">技术参数：</w:t>
      </w:r>
      <w:r/>
    </w:p>
    <w:tbl>
      <w:tblPr>
        <w:tblW w:w="47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19"/>
        <w:gridCol w:w="1841"/>
        <w:gridCol w:w="6598"/>
      </w:tblGrid>
      <w:tr>
        <w:trPr>
          <w:jc w:val="center"/>
          <w:trHeight w:val="454"/>
          <w:tblHeader/>
        </w:trPr>
        <w:tc>
          <w:tcPr>
            <w:shd w:val="clear" w:color="auto" w:fill="auto"/>
            <w:tcW w:w="539" w:type="pct"/>
            <w:vAlign w:val="center"/>
            <w:textDirection w:val="lrTb"/>
            <w:noWrap w:val="false"/>
          </w:tcPr>
          <w:p>
            <w:pPr>
              <w:jc w:val="center"/>
              <w:spacing w:line="360" w:lineRule="auto"/>
              <w:rPr>
                <w:rFonts w:asciiTheme="minorEastAsia" w:hAnsiTheme="minorEastAsia"/>
                <w:b/>
                <w:bCs/>
                <w:sz w:val="24"/>
                <w:szCs w:val="24"/>
              </w:rPr>
            </w:pPr>
            <w:r>
              <w:rPr>
                <w:rFonts w:hint="eastAsia" w:asciiTheme="minorEastAsia" w:hAnsiTheme="minorEastAsia"/>
                <w:b/>
                <w:bCs/>
                <w:sz w:val="24"/>
                <w:szCs w:val="24"/>
              </w:rPr>
              <w:t xml:space="preserve">序号</w:t>
            </w:r>
            <w:r/>
          </w:p>
        </w:tc>
        <w:tc>
          <w:tcPr>
            <w:shd w:val="clear" w:color="auto" w:fill="auto"/>
            <w:tcW w:w="973" w:type="pct"/>
            <w:vAlign w:val="center"/>
            <w:textDirection w:val="lrTb"/>
            <w:noWrap w:val="false"/>
          </w:tcPr>
          <w:p>
            <w:pPr>
              <w:jc w:val="center"/>
              <w:spacing w:line="360" w:lineRule="auto"/>
              <w:rPr>
                <w:rFonts w:asciiTheme="minorEastAsia" w:hAnsiTheme="minorEastAsia"/>
                <w:b/>
                <w:bCs/>
                <w:sz w:val="24"/>
                <w:szCs w:val="24"/>
              </w:rPr>
            </w:pPr>
            <w:r>
              <w:rPr>
                <w:rFonts w:hint="eastAsia" w:asciiTheme="minorEastAsia" w:hAnsiTheme="minorEastAsia"/>
                <w:b/>
                <w:bCs/>
                <w:sz w:val="24"/>
                <w:szCs w:val="24"/>
              </w:rPr>
              <w:t xml:space="preserve">设备名称</w:t>
            </w:r>
            <w:r/>
          </w:p>
        </w:tc>
        <w:tc>
          <w:tcPr>
            <w:shd w:val="clear" w:color="auto" w:fill="auto"/>
            <w:tcW w:w="3487" w:type="pct"/>
            <w:vAlign w:val="center"/>
            <w:textDirection w:val="lrTb"/>
            <w:noWrap w:val="false"/>
          </w:tcPr>
          <w:p>
            <w:pPr>
              <w:jc w:val="center"/>
              <w:spacing w:line="360" w:lineRule="auto"/>
              <w:rPr>
                <w:rFonts w:asciiTheme="minorEastAsia" w:hAnsiTheme="minorEastAsia"/>
                <w:b/>
                <w:bCs/>
                <w:sz w:val="24"/>
                <w:szCs w:val="24"/>
              </w:rPr>
            </w:pPr>
            <w:r>
              <w:rPr>
                <w:rFonts w:hint="eastAsia" w:asciiTheme="minorEastAsia" w:hAnsiTheme="minorEastAsia"/>
                <w:b/>
                <w:bCs/>
                <w:sz w:val="24"/>
                <w:szCs w:val="24"/>
              </w:rPr>
              <w:t xml:space="preserve">详细参数要求</w:t>
            </w:r>
            <w:r/>
          </w:p>
        </w:tc>
      </w:tr>
      <w:tr>
        <w:trPr>
          <w:jc w:val="center"/>
          <w:trHeight w:val="454"/>
        </w:trPr>
        <w:tc>
          <w:tcPr>
            <w:tcW w:w="539" w:type="pct"/>
            <w:vAlign w:val="center"/>
            <w:textDirection w:val="lrTb"/>
            <w:noWrap w:val="false"/>
          </w:tcPr>
          <w:p>
            <w:pPr>
              <w:jc w:val="cente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1</w:t>
            </w:r>
            <w:r/>
          </w:p>
        </w:tc>
        <w:tc>
          <w:tcPr>
            <w:tcW w:w="973" w:type="pct"/>
            <w:vAlign w:val="center"/>
            <w:textDirection w:val="lrTb"/>
            <w:noWrap w:val="false"/>
          </w:tcPr>
          <w:p>
            <w:pPr>
              <w:jc w:val="center"/>
              <w:spacing w:line="380" w:lineRule="exact"/>
              <w:rPr>
                <w:rFonts w:asciiTheme="minorEastAsia" w:hAnsiTheme="minorEastAsia"/>
                <w:color w:val="000000"/>
                <w:sz w:val="24"/>
                <w:szCs w:val="24"/>
              </w:rPr>
            </w:pPr>
            <w:r>
              <w:rPr>
                <w:rFonts w:hint="eastAsia" w:asciiTheme="minorEastAsia" w:hAnsiTheme="minorEastAsia"/>
                <w:sz w:val="24"/>
                <w:szCs w:val="24"/>
              </w:rPr>
              <w:t xml:space="preserve">振弦式应变传感器（带温度）</w:t>
            </w:r>
            <w:r/>
          </w:p>
        </w:tc>
        <w:tc>
          <w:tcPr>
            <w:tcW w:w="3487" w:type="pct"/>
            <w:vAlign w:val="center"/>
            <w:textDirection w:val="lrTb"/>
            <w:noWrap w:val="false"/>
          </w:tcPr>
          <w:p>
            <w:pP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1.</w:t>
            </w:r>
            <w:r>
              <w:rPr>
                <w:rFonts w:asciiTheme="minorEastAsia" w:hAnsiTheme="minorEastAsia"/>
                <w:color w:val="000000"/>
                <w:sz w:val="24"/>
                <w:szCs w:val="24"/>
              </w:rPr>
              <w:t xml:space="preserve">标距：150mm</w:t>
            </w:r>
            <w:r>
              <w:rPr>
                <w:rFonts w:hint="eastAsia" w:asciiTheme="minorEastAsia" w:hAnsiTheme="minorEastAsia"/>
                <w:color w:val="000000"/>
                <w:sz w:val="24"/>
                <w:szCs w:val="24"/>
              </w:rPr>
              <w:t xml:space="preserve">；</w:t>
            </w:r>
            <w:r/>
          </w:p>
          <w:p>
            <w:pP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2.</w:t>
            </w:r>
            <w:r>
              <w:rPr>
                <w:rFonts w:asciiTheme="minorEastAsia" w:hAnsiTheme="minorEastAsia"/>
                <w:color w:val="000000"/>
                <w:sz w:val="24"/>
                <w:szCs w:val="24"/>
              </w:rPr>
              <w:t xml:space="preserve">量程：±1500με</w:t>
            </w:r>
            <w:r>
              <w:rPr>
                <w:rFonts w:hint="eastAsia" w:asciiTheme="minorEastAsia" w:hAnsiTheme="minorEastAsia"/>
                <w:color w:val="000000"/>
                <w:sz w:val="24"/>
                <w:szCs w:val="24"/>
              </w:rPr>
              <w:t xml:space="preserve">；</w:t>
            </w:r>
            <w:r/>
          </w:p>
          <w:p>
            <w:pP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3.</w:t>
            </w:r>
            <w:r>
              <w:rPr>
                <w:rFonts w:asciiTheme="minorEastAsia" w:hAnsiTheme="minorEastAsia"/>
                <w:color w:val="000000"/>
                <w:sz w:val="24"/>
                <w:szCs w:val="24"/>
              </w:rPr>
              <w:t xml:space="preserve">分辨率：≤0.125%FS</w:t>
            </w:r>
            <w:r>
              <w:rPr>
                <w:rFonts w:hint="eastAsia" w:asciiTheme="minorEastAsia" w:hAnsiTheme="minorEastAsia"/>
                <w:color w:val="000000"/>
                <w:sz w:val="24"/>
                <w:szCs w:val="24"/>
              </w:rPr>
              <w:t xml:space="preserve">；</w:t>
            </w:r>
            <w:r/>
          </w:p>
          <w:p>
            <w:pP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4.</w:t>
            </w:r>
            <w:r>
              <w:rPr>
                <w:rFonts w:asciiTheme="minorEastAsia" w:hAnsiTheme="minorEastAsia"/>
                <w:color w:val="000000"/>
                <w:sz w:val="24"/>
                <w:szCs w:val="24"/>
              </w:rPr>
              <w:t xml:space="preserve">温度范围：-20℃～+80℃</w:t>
            </w:r>
            <w:r>
              <w:rPr>
                <w:rFonts w:hint="eastAsia" w:asciiTheme="minorEastAsia" w:hAnsiTheme="minorEastAsia"/>
                <w:color w:val="000000"/>
                <w:sz w:val="24"/>
                <w:szCs w:val="24"/>
              </w:rPr>
              <w:t xml:space="preserve">。</w:t>
            </w:r>
            <w:r/>
          </w:p>
        </w:tc>
      </w:tr>
      <w:tr>
        <w:trPr>
          <w:jc w:val="center"/>
          <w:trHeight w:val="454"/>
        </w:trPr>
        <w:tc>
          <w:tcPr>
            <w:tcW w:w="539" w:type="pct"/>
            <w:vAlign w:val="center"/>
            <w:textDirection w:val="lrTb"/>
            <w:noWrap w:val="false"/>
          </w:tcPr>
          <w:p>
            <w:pPr>
              <w:jc w:val="cente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2</w:t>
            </w:r>
            <w:r/>
          </w:p>
        </w:tc>
        <w:tc>
          <w:tcPr>
            <w:tcW w:w="973"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光电挠度仪</w:t>
            </w:r>
            <w:r/>
          </w:p>
        </w:tc>
        <w:tc>
          <w:tcPr>
            <w:tcW w:w="3487" w:type="pct"/>
            <w:vAlign w:val="center"/>
            <w:textDirection w:val="lrTb"/>
            <w:noWrap w:val="false"/>
          </w:tcPr>
          <w:p>
            <w:pPr>
              <w:spacing w:line="380" w:lineRule="exact"/>
              <w:rPr>
                <w:rFonts w:asciiTheme="minorEastAsia" w:hAnsiTheme="minorEastAsia"/>
                <w:sz w:val="24"/>
                <w:szCs w:val="24"/>
              </w:rPr>
            </w:pPr>
            <w:r>
              <w:rPr>
                <w:rFonts w:hint="eastAsia" w:asciiTheme="minorEastAsia" w:hAnsiTheme="minorEastAsia"/>
                <w:color w:val="000000"/>
                <w:sz w:val="24"/>
                <w:szCs w:val="24"/>
              </w:rPr>
              <w:t xml:space="preserve">1.</w:t>
            </w:r>
            <w:r>
              <w:rPr>
                <w:rFonts w:hint="eastAsia" w:asciiTheme="minorEastAsia" w:hAnsiTheme="minorEastAsia"/>
                <w:sz w:val="24"/>
                <w:szCs w:val="24"/>
              </w:rPr>
              <w:t xml:space="preserve">测量距离：0~400m可选；</w:t>
            </w:r>
            <w:r/>
          </w:p>
          <w:p>
            <w:pPr>
              <w:spacing w:line="380" w:lineRule="exact"/>
              <w:rPr>
                <w:rFonts w:asciiTheme="minorEastAsia" w:hAnsiTheme="minorEastAsia"/>
                <w:sz w:val="24"/>
                <w:szCs w:val="24"/>
              </w:rPr>
            </w:pPr>
            <w:r>
              <w:rPr>
                <w:rFonts w:hint="eastAsia" w:asciiTheme="minorEastAsia" w:hAnsiTheme="minorEastAsia"/>
                <w:color w:val="000000"/>
                <w:sz w:val="24"/>
                <w:szCs w:val="24"/>
              </w:rPr>
              <w:t xml:space="preserve">2.</w:t>
            </w:r>
            <w:r>
              <w:rPr>
                <w:rFonts w:hint="eastAsia" w:asciiTheme="minorEastAsia" w:hAnsiTheme="minorEastAsia"/>
                <w:sz w:val="24"/>
                <w:szCs w:val="24"/>
              </w:rPr>
              <w:t xml:space="preserve">测量精度：0.1mm（50米测距）；</w:t>
            </w:r>
            <w:r/>
          </w:p>
          <w:p>
            <w:pPr>
              <w:spacing w:line="380" w:lineRule="exact"/>
              <w:rPr>
                <w:rFonts w:asciiTheme="minorEastAsia" w:hAnsiTheme="minorEastAsia"/>
                <w:sz w:val="24"/>
                <w:szCs w:val="24"/>
              </w:rPr>
            </w:pPr>
            <w:r>
              <w:rPr>
                <w:rFonts w:hint="eastAsia" w:asciiTheme="minorEastAsia" w:hAnsiTheme="minorEastAsia"/>
                <w:color w:val="000000"/>
                <w:sz w:val="24"/>
                <w:szCs w:val="24"/>
              </w:rPr>
              <w:t xml:space="preserve">3.</w:t>
            </w:r>
            <w:r>
              <w:rPr>
                <w:rFonts w:hint="eastAsia" w:asciiTheme="minorEastAsia" w:hAnsiTheme="minorEastAsia"/>
                <w:sz w:val="24"/>
                <w:szCs w:val="24"/>
              </w:rPr>
              <w:t xml:space="preserve">测量维度：二维；</w:t>
            </w:r>
            <w:r/>
          </w:p>
          <w:p>
            <w:pPr>
              <w:spacing w:line="380" w:lineRule="exact"/>
              <w:rPr>
                <w:rFonts w:asciiTheme="minorEastAsia" w:hAnsiTheme="minorEastAsia"/>
                <w:sz w:val="24"/>
                <w:szCs w:val="24"/>
              </w:rPr>
            </w:pPr>
            <w:r>
              <w:rPr>
                <w:rFonts w:hint="eastAsia" w:asciiTheme="minorEastAsia" w:hAnsiTheme="minorEastAsia"/>
                <w:color w:val="000000"/>
                <w:sz w:val="24"/>
                <w:szCs w:val="24"/>
              </w:rPr>
              <w:t xml:space="preserve">4.</w:t>
            </w:r>
            <w:r>
              <w:rPr>
                <w:rFonts w:hint="eastAsia" w:asciiTheme="minorEastAsia" w:hAnsiTheme="minorEastAsia"/>
                <w:sz w:val="24"/>
                <w:szCs w:val="24"/>
              </w:rPr>
              <w:t xml:space="preserve">供电方案：市电/太阳能可选；</w:t>
            </w:r>
            <w:r/>
          </w:p>
          <w:p>
            <w:pPr>
              <w:spacing w:line="380" w:lineRule="exact"/>
              <w:rPr>
                <w:rFonts w:asciiTheme="minorEastAsia" w:hAnsiTheme="minorEastAsia"/>
                <w:sz w:val="24"/>
                <w:szCs w:val="24"/>
              </w:rPr>
            </w:pPr>
            <w:r>
              <w:rPr>
                <w:rFonts w:hint="eastAsia" w:asciiTheme="minorEastAsia" w:hAnsiTheme="minorEastAsia"/>
                <w:color w:val="000000"/>
                <w:sz w:val="24"/>
                <w:szCs w:val="24"/>
              </w:rPr>
              <w:t xml:space="preserve">5.</w:t>
            </w:r>
            <w:r>
              <w:rPr>
                <w:rFonts w:hint="eastAsia" w:asciiTheme="minorEastAsia" w:hAnsiTheme="minorEastAsia"/>
                <w:sz w:val="24"/>
                <w:szCs w:val="24"/>
              </w:rPr>
              <w:t xml:space="preserve">靶标参数：无源/有源（红外背光、市电/太阳能供电）；</w:t>
            </w:r>
            <w:r/>
          </w:p>
          <w:p>
            <w:pP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6.</w:t>
            </w:r>
            <w:r>
              <w:rPr>
                <w:rFonts w:hint="eastAsia" w:asciiTheme="minorEastAsia" w:hAnsiTheme="minorEastAsia"/>
                <w:sz w:val="24"/>
                <w:szCs w:val="24"/>
              </w:rPr>
              <w:t xml:space="preserve">防护等级：IP65。</w:t>
            </w:r>
            <w:r/>
          </w:p>
        </w:tc>
      </w:tr>
      <w:tr>
        <w:trPr>
          <w:jc w:val="center"/>
          <w:trHeight w:val="454"/>
        </w:trPr>
        <w:tc>
          <w:tcPr>
            <w:tcW w:w="539" w:type="pct"/>
            <w:vAlign w:val="center"/>
            <w:textDirection w:val="lrTb"/>
            <w:noWrap w:val="false"/>
          </w:tcPr>
          <w:p>
            <w:pPr>
              <w:jc w:val="cente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3</w:t>
            </w:r>
            <w:r/>
          </w:p>
        </w:tc>
        <w:tc>
          <w:tcPr>
            <w:tcW w:w="973"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裂缝计</w:t>
            </w:r>
            <w:r/>
          </w:p>
        </w:tc>
        <w:tc>
          <w:tcPr>
            <w:tcW w:w="3487" w:type="pct"/>
            <w:textDirection w:val="lrTb"/>
            <w:noWrap w:val="false"/>
          </w:tcPr>
          <w:p>
            <w:pPr>
              <w:spacing w:line="380" w:lineRule="exact"/>
              <w:rPr>
                <w:rFonts w:asciiTheme="minorEastAsia" w:hAnsiTheme="minorEastAsia"/>
                <w:sz w:val="24"/>
                <w:szCs w:val="24"/>
              </w:rPr>
            </w:pPr>
            <w:r>
              <w:rPr>
                <w:rFonts w:hint="eastAsia" w:asciiTheme="minorEastAsia" w:hAnsiTheme="minorEastAsia"/>
                <w:sz w:val="24"/>
                <w:szCs w:val="24"/>
              </w:rPr>
              <w:t xml:space="preserve">1.量程：5~100mm（标准量程可选）；</w:t>
            </w:r>
            <w:r/>
          </w:p>
          <w:p>
            <w:pPr>
              <w:spacing w:line="380" w:lineRule="exact"/>
              <w:rPr>
                <w:rFonts w:asciiTheme="minorEastAsia" w:hAnsiTheme="minorEastAsia"/>
                <w:sz w:val="24"/>
                <w:szCs w:val="24"/>
              </w:rPr>
            </w:pPr>
            <w:r>
              <w:rPr>
                <w:rFonts w:hint="eastAsia" w:asciiTheme="minorEastAsia" w:hAnsiTheme="minorEastAsia"/>
                <w:sz w:val="24"/>
                <w:szCs w:val="24"/>
              </w:rPr>
              <w:t xml:space="preserve">2.分辨率： ≤0.1um ；</w:t>
            </w:r>
            <w:r/>
          </w:p>
          <w:p>
            <w:pPr>
              <w:spacing w:line="380" w:lineRule="exact"/>
              <w:rPr>
                <w:rFonts w:asciiTheme="minorEastAsia" w:hAnsiTheme="minorEastAsia"/>
                <w:sz w:val="24"/>
                <w:szCs w:val="24"/>
              </w:rPr>
            </w:pPr>
            <w:r>
              <w:rPr>
                <w:rFonts w:hint="eastAsia" w:asciiTheme="minorEastAsia" w:hAnsiTheme="minorEastAsia"/>
                <w:sz w:val="24"/>
                <w:szCs w:val="24"/>
              </w:rPr>
              <w:t xml:space="preserve">3.线性误差： ≤±0.25%FS ；</w:t>
            </w:r>
            <w:r/>
          </w:p>
          <w:p>
            <w:pPr>
              <w:spacing w:line="380" w:lineRule="exact"/>
              <w:rPr>
                <w:rFonts w:asciiTheme="minorEastAsia" w:hAnsiTheme="minorEastAsia"/>
                <w:sz w:val="24"/>
                <w:szCs w:val="24"/>
              </w:rPr>
            </w:pPr>
            <w:r>
              <w:rPr>
                <w:rFonts w:hint="eastAsia" w:asciiTheme="minorEastAsia" w:hAnsiTheme="minorEastAsia"/>
                <w:sz w:val="24"/>
                <w:szCs w:val="24"/>
              </w:rPr>
              <w:t xml:space="preserve">4.重复误差： 1um；</w:t>
            </w:r>
            <w:r/>
          </w:p>
          <w:p>
            <w:pPr>
              <w:spacing w:line="380" w:lineRule="exact"/>
              <w:rPr>
                <w:rFonts w:asciiTheme="minorEastAsia" w:hAnsiTheme="minorEastAsia"/>
                <w:sz w:val="24"/>
                <w:szCs w:val="24"/>
              </w:rPr>
            </w:pPr>
            <w:r>
              <w:rPr>
                <w:rFonts w:hint="eastAsia" w:asciiTheme="minorEastAsia" w:hAnsiTheme="minorEastAsia"/>
                <w:sz w:val="24"/>
                <w:szCs w:val="24"/>
              </w:rPr>
              <w:t xml:space="preserve">5.灵敏度： ≤0.025%/℃；</w:t>
            </w:r>
            <w:r/>
          </w:p>
          <w:p>
            <w:pPr>
              <w:spacing w:line="380" w:lineRule="exact"/>
              <w:rPr>
                <w:rFonts w:asciiTheme="minorEastAsia" w:hAnsiTheme="minorEastAsia"/>
                <w:color w:val="000000"/>
                <w:sz w:val="24"/>
                <w:szCs w:val="24"/>
              </w:rPr>
            </w:pPr>
            <w:r>
              <w:rPr>
                <w:rFonts w:hint="eastAsia" w:asciiTheme="minorEastAsia" w:hAnsiTheme="minorEastAsia"/>
                <w:sz w:val="24"/>
                <w:szCs w:val="24"/>
              </w:rPr>
              <w:t xml:space="preserve">6.动态特性： 3Hz。</w:t>
            </w:r>
            <w:r/>
          </w:p>
        </w:tc>
      </w:tr>
      <w:tr>
        <w:trPr>
          <w:jc w:val="center"/>
          <w:trHeight w:val="454"/>
        </w:trPr>
        <w:tc>
          <w:tcPr>
            <w:tcW w:w="539" w:type="pct"/>
            <w:vAlign w:val="center"/>
            <w:textDirection w:val="lrTb"/>
            <w:noWrap w:val="false"/>
          </w:tcPr>
          <w:p>
            <w:pPr>
              <w:jc w:val="cente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4</w:t>
            </w:r>
            <w:r/>
          </w:p>
        </w:tc>
        <w:tc>
          <w:tcPr>
            <w:tcW w:w="973"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高清球机</w:t>
            </w:r>
            <w:r/>
          </w:p>
        </w:tc>
        <w:tc>
          <w:tcPr>
            <w:tcW w:w="3487" w:type="pct"/>
            <w:vAlign w:val="center"/>
            <w:textDirection w:val="lrTb"/>
            <w:noWrap w:val="false"/>
          </w:tcPr>
          <w:p>
            <w:pPr>
              <w:spacing w:line="380" w:lineRule="exact"/>
              <w:rPr>
                <w:rFonts w:asciiTheme="minorEastAsia" w:hAnsiTheme="minorEastAsia"/>
                <w:sz w:val="24"/>
                <w:szCs w:val="24"/>
              </w:rPr>
            </w:pPr>
            <w:r>
              <w:rPr>
                <w:rFonts w:hint="eastAsia" w:asciiTheme="minorEastAsia" w:hAnsiTheme="minorEastAsia"/>
                <w:sz w:val="24"/>
                <w:szCs w:val="24"/>
              </w:rPr>
              <w:t xml:space="preserve">1.像素：≥400万；</w:t>
            </w:r>
            <w:r/>
          </w:p>
          <w:p>
            <w:pPr>
              <w:spacing w:line="380" w:lineRule="exact"/>
              <w:rPr>
                <w:rFonts w:asciiTheme="minorEastAsia" w:hAnsiTheme="minorEastAsia"/>
                <w:sz w:val="24"/>
                <w:szCs w:val="24"/>
              </w:rPr>
            </w:pPr>
            <w:r>
              <w:rPr>
                <w:rFonts w:hint="eastAsia" w:asciiTheme="minorEastAsia" w:hAnsiTheme="minorEastAsia"/>
                <w:sz w:val="24"/>
                <w:szCs w:val="24"/>
              </w:rPr>
              <w:t xml:space="preserve">2.帧率：≥25FPS；</w:t>
            </w:r>
            <w:r/>
          </w:p>
          <w:p>
            <w:pPr>
              <w:spacing w:line="380" w:lineRule="exact"/>
              <w:rPr>
                <w:rFonts w:asciiTheme="minorEastAsia" w:hAnsiTheme="minorEastAsia"/>
                <w:sz w:val="24"/>
                <w:szCs w:val="24"/>
              </w:rPr>
            </w:pPr>
            <w:r>
              <w:rPr>
                <w:rFonts w:hint="eastAsia" w:asciiTheme="minorEastAsia" w:hAnsiTheme="minorEastAsia"/>
                <w:sz w:val="24"/>
                <w:szCs w:val="24"/>
              </w:rPr>
              <w:t xml:space="preserve">3.动态范围：≥55dB；</w:t>
            </w:r>
            <w:r/>
          </w:p>
          <w:p>
            <w:pPr>
              <w:spacing w:line="380" w:lineRule="exact"/>
              <w:rPr>
                <w:rFonts w:asciiTheme="minorEastAsia" w:hAnsiTheme="minorEastAsia"/>
                <w:sz w:val="24"/>
                <w:szCs w:val="24"/>
              </w:rPr>
            </w:pPr>
            <w:r>
              <w:rPr>
                <w:rFonts w:hint="eastAsia" w:asciiTheme="minorEastAsia" w:hAnsiTheme="minorEastAsia"/>
                <w:sz w:val="24"/>
                <w:szCs w:val="24"/>
              </w:rPr>
              <w:t xml:space="preserve">4.供电方案：市电/太阳能可选；</w:t>
            </w:r>
            <w:r/>
          </w:p>
          <w:p>
            <w:pPr>
              <w:spacing w:line="380" w:lineRule="exact"/>
              <w:rPr>
                <w:rFonts w:asciiTheme="minorEastAsia" w:hAnsiTheme="minorEastAsia"/>
                <w:color w:val="000000"/>
                <w:sz w:val="24"/>
                <w:szCs w:val="24"/>
              </w:rPr>
            </w:pPr>
            <w:r>
              <w:rPr>
                <w:rFonts w:hint="eastAsia" w:asciiTheme="minorEastAsia" w:hAnsiTheme="minorEastAsia"/>
                <w:sz w:val="24"/>
                <w:szCs w:val="24"/>
              </w:rPr>
              <w:t xml:space="preserve">5.应具备自动光圈、变焦镜头、昼/夜自动转换功能、防护罩。</w:t>
            </w:r>
            <w:r/>
          </w:p>
        </w:tc>
      </w:tr>
      <w:tr>
        <w:trPr>
          <w:jc w:val="center"/>
          <w:trHeight w:val="454"/>
        </w:trPr>
        <w:tc>
          <w:tcPr>
            <w:tcW w:w="539" w:type="pct"/>
            <w:vAlign w:val="center"/>
            <w:textDirection w:val="lrTb"/>
            <w:noWrap w:val="false"/>
          </w:tcPr>
          <w:p>
            <w:pPr>
              <w:jc w:val="cente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5</w:t>
            </w:r>
            <w:r/>
          </w:p>
        </w:tc>
        <w:tc>
          <w:tcPr>
            <w:tcW w:w="973"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机柜</w:t>
            </w:r>
            <w:r/>
          </w:p>
        </w:tc>
        <w:tc>
          <w:tcPr>
            <w:tcW w:w="3487" w:type="pct"/>
            <w:vAlign w:val="center"/>
            <w:textDirection w:val="lrTb"/>
            <w:noWrap w:val="false"/>
          </w:tcPr>
          <w:p>
            <w:pPr>
              <w:spacing w:line="380" w:lineRule="exact"/>
              <w:rPr>
                <w:rFonts w:asciiTheme="minorEastAsia" w:hAnsiTheme="minorEastAsia"/>
                <w:color w:val="000000"/>
                <w:sz w:val="24"/>
                <w:szCs w:val="24"/>
              </w:rPr>
            </w:pPr>
            <w:r>
              <w:rPr>
                <w:rFonts w:hint="eastAsia" w:asciiTheme="minorEastAsia" w:hAnsiTheme="minorEastAsia"/>
                <w:sz w:val="24"/>
                <w:szCs w:val="24"/>
              </w:rPr>
              <w:t xml:space="preserve">根据现场实际情况进行定制。</w:t>
            </w:r>
            <w:r/>
          </w:p>
        </w:tc>
      </w:tr>
      <w:tr>
        <w:trPr>
          <w:jc w:val="center"/>
          <w:trHeight w:val="454"/>
        </w:trPr>
        <w:tc>
          <w:tcPr>
            <w:tcW w:w="539" w:type="pct"/>
            <w:vAlign w:val="center"/>
            <w:textDirection w:val="lrTb"/>
            <w:noWrap w:val="false"/>
          </w:tcPr>
          <w:p>
            <w:pPr>
              <w:jc w:val="cente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6</w:t>
            </w:r>
            <w:r/>
          </w:p>
        </w:tc>
        <w:tc>
          <w:tcPr>
            <w:tcW w:w="973"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综合采集仪（无线）</w:t>
            </w:r>
            <w:r/>
          </w:p>
        </w:tc>
        <w:tc>
          <w:tcPr>
            <w:tcW w:w="3487" w:type="pct"/>
            <w:vAlign w:val="center"/>
            <w:textDirection w:val="lrTb"/>
            <w:noWrap w:val="false"/>
          </w:tcPr>
          <w:p>
            <w:pPr>
              <w:spacing w:line="380" w:lineRule="exact"/>
              <w:rPr>
                <w:rFonts w:asciiTheme="minorEastAsia" w:hAnsiTheme="minorEastAsia"/>
                <w:sz w:val="24"/>
                <w:szCs w:val="24"/>
              </w:rPr>
            </w:pPr>
            <w:r>
              <w:rPr>
                <w:rFonts w:hint="eastAsia" w:asciiTheme="minorEastAsia" w:hAnsiTheme="minorEastAsia"/>
                <w:sz w:val="24"/>
                <w:szCs w:val="24"/>
              </w:rPr>
              <w:t xml:space="preserve">1.测点数量：8~40可选；</w:t>
            </w:r>
            <w:r/>
          </w:p>
          <w:p>
            <w:pPr>
              <w:spacing w:line="380" w:lineRule="exact"/>
              <w:rPr>
                <w:rFonts w:asciiTheme="minorEastAsia" w:hAnsiTheme="minorEastAsia"/>
                <w:sz w:val="24"/>
                <w:szCs w:val="24"/>
              </w:rPr>
            </w:pPr>
            <w:r>
              <w:rPr>
                <w:rFonts w:hint="eastAsia" w:asciiTheme="minorEastAsia" w:hAnsiTheme="minorEastAsia"/>
                <w:sz w:val="24"/>
                <w:szCs w:val="24"/>
              </w:rPr>
              <w:t xml:space="preserve">2.测量精度：±0.2%；</w:t>
            </w:r>
            <w:r/>
          </w:p>
          <w:p>
            <w:pPr>
              <w:spacing w:line="380" w:lineRule="exact"/>
              <w:rPr>
                <w:rFonts w:asciiTheme="minorEastAsia" w:hAnsiTheme="minorEastAsia"/>
                <w:sz w:val="24"/>
                <w:szCs w:val="24"/>
              </w:rPr>
            </w:pPr>
            <w:r>
              <w:rPr>
                <w:rFonts w:hint="eastAsia" w:asciiTheme="minorEastAsia" w:hAnsiTheme="minorEastAsia"/>
                <w:sz w:val="24"/>
                <w:szCs w:val="24"/>
              </w:rPr>
              <w:t xml:space="preserve">3.采集类型：每通道可任意接入应力、应变、电压、电流、电阻、IEPE加速度传感器、磁电式速度传感器、位移传感器等，无需其他辅助设备,做到多测量类型信号输入；</w:t>
            </w:r>
            <w:r/>
          </w:p>
          <w:p>
            <w:pPr>
              <w:spacing w:line="380" w:lineRule="exact"/>
              <w:rPr>
                <w:rFonts w:asciiTheme="minorEastAsia" w:hAnsiTheme="minorEastAsia"/>
                <w:sz w:val="24"/>
                <w:szCs w:val="24"/>
              </w:rPr>
            </w:pPr>
            <w:r>
              <w:rPr>
                <w:rFonts w:hint="eastAsia" w:asciiTheme="minorEastAsia" w:hAnsiTheme="minorEastAsia"/>
                <w:sz w:val="24"/>
                <w:szCs w:val="24"/>
              </w:rPr>
              <w:t xml:space="preserve">4.采样频率：0.01~200Hz；</w:t>
            </w:r>
            <w:r/>
          </w:p>
          <w:p>
            <w:pPr>
              <w:spacing w:line="380" w:lineRule="exact"/>
              <w:rPr>
                <w:rFonts w:asciiTheme="minorEastAsia" w:hAnsiTheme="minorEastAsia"/>
                <w:sz w:val="24"/>
                <w:szCs w:val="24"/>
              </w:rPr>
            </w:pPr>
            <w:r>
              <w:rPr>
                <w:rFonts w:hint="eastAsia" w:asciiTheme="minorEastAsia" w:hAnsiTheme="minorEastAsia"/>
                <w:sz w:val="24"/>
                <w:szCs w:val="24"/>
              </w:rPr>
              <w:t xml:space="preserve">5.采集方式：动静态可选，同步采集，连续采集、触发采集、连续+触发采集、定时采集，支持远程修改；</w:t>
            </w:r>
            <w:r/>
          </w:p>
          <w:p>
            <w:pPr>
              <w:spacing w:line="380" w:lineRule="exact"/>
              <w:rPr>
                <w:rFonts w:asciiTheme="minorEastAsia" w:hAnsiTheme="minorEastAsia"/>
                <w:sz w:val="24"/>
                <w:szCs w:val="24"/>
              </w:rPr>
            </w:pPr>
            <w:r>
              <w:rPr>
                <w:rFonts w:hint="eastAsia" w:asciiTheme="minorEastAsia" w:hAnsiTheme="minorEastAsia"/>
                <w:sz w:val="24"/>
                <w:szCs w:val="24"/>
              </w:rPr>
              <w:t xml:space="preserve">6.自诊断功能：独立硬件长延时看门狗电路，防止意外情况下的设备死机问题，软件逻辑层面多种系统故障的自动恢复机制；</w:t>
            </w:r>
            <w:r/>
          </w:p>
          <w:p>
            <w:pPr>
              <w:spacing w:line="380" w:lineRule="exact"/>
              <w:rPr>
                <w:rFonts w:asciiTheme="minorEastAsia" w:hAnsiTheme="minorEastAsia"/>
                <w:sz w:val="24"/>
                <w:szCs w:val="24"/>
              </w:rPr>
            </w:pPr>
            <w:r>
              <w:rPr>
                <w:rFonts w:hint="eastAsia" w:asciiTheme="minorEastAsia" w:hAnsiTheme="minorEastAsia"/>
                <w:sz w:val="24"/>
                <w:szCs w:val="24"/>
              </w:rPr>
              <w:t xml:space="preserve">7.供电方式：市电/太阳能；</w:t>
            </w:r>
            <w:r/>
          </w:p>
          <w:p>
            <w:pPr>
              <w:spacing w:line="380" w:lineRule="exact"/>
              <w:rPr>
                <w:rFonts w:asciiTheme="minorEastAsia" w:hAnsiTheme="minorEastAsia"/>
                <w:sz w:val="24"/>
                <w:szCs w:val="24"/>
              </w:rPr>
            </w:pPr>
            <w:r>
              <w:rPr>
                <w:rFonts w:hint="eastAsia" w:asciiTheme="minorEastAsia" w:hAnsiTheme="minorEastAsia"/>
                <w:sz w:val="24"/>
                <w:szCs w:val="24"/>
              </w:rPr>
              <w:t xml:space="preserve">8.存储方式：本地或云端；</w:t>
            </w:r>
            <w:r/>
          </w:p>
          <w:p>
            <w:pPr>
              <w:spacing w:line="380" w:lineRule="exact"/>
              <w:rPr>
                <w:rFonts w:asciiTheme="minorEastAsia" w:hAnsiTheme="minorEastAsia"/>
                <w:sz w:val="24"/>
                <w:szCs w:val="24"/>
              </w:rPr>
            </w:pPr>
            <w:r>
              <w:rPr>
                <w:rFonts w:hint="eastAsia" w:asciiTheme="minorEastAsia" w:hAnsiTheme="minorEastAsia"/>
                <w:sz w:val="24"/>
                <w:szCs w:val="24"/>
              </w:rPr>
              <w:t xml:space="preserve">9.通讯方式：4G/RJ45、RS485等；</w:t>
            </w:r>
            <w:r/>
          </w:p>
          <w:p>
            <w:pPr>
              <w:spacing w:line="380" w:lineRule="exact"/>
              <w:rPr>
                <w:rFonts w:asciiTheme="minorEastAsia" w:hAnsiTheme="minorEastAsia"/>
                <w:sz w:val="24"/>
                <w:szCs w:val="24"/>
              </w:rPr>
            </w:pPr>
            <w:r>
              <w:rPr>
                <w:rFonts w:hint="eastAsia" w:asciiTheme="minorEastAsia" w:hAnsiTheme="minorEastAsia"/>
                <w:sz w:val="24"/>
                <w:szCs w:val="24"/>
              </w:rPr>
              <w:t xml:space="preserve">10.定位功能：内置GPS模块，自动定位采集终端位置，方便定位和寻找设备位置；</w:t>
            </w:r>
            <w:r/>
          </w:p>
          <w:p>
            <w:pPr>
              <w:spacing w:line="380" w:lineRule="exact"/>
              <w:rPr>
                <w:rFonts w:asciiTheme="minorEastAsia" w:hAnsiTheme="minorEastAsia"/>
                <w:color w:val="000000"/>
                <w:sz w:val="24"/>
                <w:szCs w:val="24"/>
              </w:rPr>
            </w:pPr>
            <w:r>
              <w:rPr>
                <w:rFonts w:hint="eastAsia" w:asciiTheme="minorEastAsia" w:hAnsiTheme="minorEastAsia"/>
                <w:sz w:val="24"/>
                <w:szCs w:val="24"/>
              </w:rPr>
              <w:t xml:space="preserve">11.防护等级：IP65。</w:t>
            </w:r>
            <w:r/>
          </w:p>
        </w:tc>
      </w:tr>
      <w:tr>
        <w:trPr>
          <w:jc w:val="center"/>
          <w:trHeight w:val="454"/>
        </w:trPr>
        <w:tc>
          <w:tcPr>
            <w:tcW w:w="539" w:type="pct"/>
            <w:vAlign w:val="center"/>
            <w:textDirection w:val="lrTb"/>
            <w:noWrap w:val="false"/>
          </w:tcPr>
          <w:p>
            <w:pPr>
              <w:jc w:val="cente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7</w:t>
            </w:r>
            <w:r/>
          </w:p>
        </w:tc>
        <w:tc>
          <w:tcPr>
            <w:tcW w:w="973"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网络专线</w:t>
            </w:r>
            <w:r/>
          </w:p>
        </w:tc>
        <w:tc>
          <w:tcPr>
            <w:tcW w:w="3487" w:type="pct"/>
            <w:vAlign w:val="center"/>
            <w:textDirection w:val="lrTb"/>
            <w:noWrap w:val="false"/>
          </w:tcPr>
          <w:p>
            <w:pPr>
              <w:spacing w:line="380" w:lineRule="exact"/>
              <w:rPr>
                <w:rFonts w:asciiTheme="minorEastAsia" w:hAnsiTheme="minorEastAsia"/>
                <w:color w:val="000000"/>
                <w:sz w:val="24"/>
                <w:szCs w:val="24"/>
              </w:rPr>
            </w:pPr>
            <w:r>
              <w:rPr>
                <w:rFonts w:hint="eastAsia" w:asciiTheme="minorEastAsia" w:hAnsiTheme="minorEastAsia"/>
                <w:sz w:val="24"/>
                <w:szCs w:val="24"/>
              </w:rPr>
              <w:t xml:space="preserve">无线路由+</w:t>
            </w:r>
            <w:r>
              <w:rPr>
                <w:rFonts w:asciiTheme="minorEastAsia" w:hAnsiTheme="minorEastAsia"/>
                <w:sz w:val="24"/>
                <w:szCs w:val="24"/>
              </w:rPr>
              <w:t xml:space="preserve">3</w:t>
            </w:r>
            <w:r>
              <w:rPr>
                <w:rFonts w:hint="eastAsia" w:asciiTheme="minorEastAsia" w:hAnsiTheme="minorEastAsia"/>
                <w:sz w:val="24"/>
                <w:szCs w:val="24"/>
              </w:rPr>
              <w:t xml:space="preserve">年流量卡。</w:t>
            </w:r>
            <w:r/>
          </w:p>
        </w:tc>
      </w:tr>
    </w:tbl>
    <w:p>
      <w:pPr>
        <w:pStyle w:val="855"/>
        <w:ind w:firstLine="480"/>
        <w:spacing w:line="360" w:lineRule="auto"/>
        <w:rPr>
          <w:rFonts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布点清单：</w:t>
      </w:r>
      <w:r/>
    </w:p>
    <w:tbl>
      <w:tblPr>
        <w:tblW w:w="4895"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753"/>
        <w:gridCol w:w="1118"/>
        <w:gridCol w:w="1658"/>
        <w:gridCol w:w="1159"/>
        <w:gridCol w:w="1895"/>
        <w:gridCol w:w="1178"/>
        <w:gridCol w:w="1694"/>
      </w:tblGrid>
      <w:tr>
        <w:trPr>
          <w:jc w:val="center"/>
          <w:trHeight w:val="479"/>
          <w:tblHeader/>
        </w:trPr>
        <w:tc>
          <w:tcPr>
            <w:shd w:val="clear" w:color="auto" w:fill="auto"/>
            <w:tcW w:w="398" w:type="pct"/>
            <w:vAlign w:val="center"/>
            <w:textDirection w:val="lrTb"/>
            <w:noWrap/>
          </w:tcPr>
          <w:p>
            <w:pPr>
              <w:jc w:val="center"/>
              <w:widowControl/>
              <w:rPr>
                <w:rFonts w:asciiTheme="minorEastAsia" w:hAnsiTheme="minorEastAsia"/>
                <w:b/>
                <w:bCs/>
                <w:sz w:val="24"/>
                <w:szCs w:val="24"/>
              </w:rPr>
            </w:pPr>
            <w:r>
              <w:rPr>
                <w:rFonts w:hint="eastAsia" w:asciiTheme="minorEastAsia" w:hAnsiTheme="minorEastAsia"/>
                <w:b/>
                <w:bCs/>
                <w:sz w:val="24"/>
                <w:szCs w:val="24"/>
              </w:rPr>
              <w:t xml:space="preserve">序号</w:t>
            </w:r>
            <w:r/>
          </w:p>
        </w:tc>
        <w:tc>
          <w:tcPr>
            <w:shd w:val="clear" w:color="auto" w:fill="auto"/>
            <w:tcW w:w="591" w:type="pct"/>
            <w:vAlign w:val="center"/>
            <w:textDirection w:val="lrTb"/>
            <w:noWrap w:val="false"/>
          </w:tcPr>
          <w:p>
            <w:pPr>
              <w:jc w:val="center"/>
              <w:widowControl/>
              <w:rPr>
                <w:rFonts w:asciiTheme="minorEastAsia" w:hAnsiTheme="minorEastAsia"/>
                <w:b/>
                <w:bCs/>
                <w:sz w:val="24"/>
                <w:szCs w:val="24"/>
              </w:rPr>
            </w:pPr>
            <w:r>
              <w:rPr>
                <w:rFonts w:hint="eastAsia" w:asciiTheme="minorEastAsia" w:hAnsiTheme="minorEastAsia"/>
                <w:b/>
                <w:bCs/>
                <w:sz w:val="24"/>
                <w:szCs w:val="24"/>
              </w:rPr>
              <w:t xml:space="preserve">监测类型</w:t>
            </w:r>
            <w:r/>
          </w:p>
        </w:tc>
        <w:tc>
          <w:tcPr>
            <w:shd w:val="clear" w:color="auto" w:fill="auto"/>
            <w:tcW w:w="876" w:type="pct"/>
            <w:vAlign w:val="center"/>
            <w:textDirection w:val="lrTb"/>
            <w:noWrap/>
          </w:tcPr>
          <w:p>
            <w:pPr>
              <w:jc w:val="center"/>
              <w:widowControl/>
              <w:rPr>
                <w:rFonts w:asciiTheme="minorEastAsia" w:hAnsiTheme="minorEastAsia"/>
                <w:b/>
                <w:bCs/>
                <w:sz w:val="24"/>
                <w:szCs w:val="24"/>
              </w:rPr>
            </w:pPr>
            <w:r>
              <w:rPr>
                <w:rFonts w:hint="eastAsia" w:asciiTheme="minorEastAsia" w:hAnsiTheme="minorEastAsia"/>
                <w:b/>
                <w:bCs/>
                <w:sz w:val="24"/>
                <w:szCs w:val="24"/>
              </w:rPr>
              <w:t xml:space="preserve">桥梁名称</w:t>
            </w:r>
            <w:r/>
          </w:p>
        </w:tc>
        <w:tc>
          <w:tcPr>
            <w:shd w:val="clear" w:color="auto" w:fill="auto"/>
            <w:tcW w:w="613" w:type="pct"/>
            <w:vAlign w:val="center"/>
            <w:textDirection w:val="lrTb"/>
            <w:noWrap/>
          </w:tcPr>
          <w:p>
            <w:pPr>
              <w:jc w:val="center"/>
              <w:widowControl/>
              <w:rPr>
                <w:rFonts w:asciiTheme="minorEastAsia" w:hAnsiTheme="minorEastAsia"/>
                <w:b/>
                <w:bCs/>
                <w:sz w:val="24"/>
                <w:szCs w:val="24"/>
              </w:rPr>
            </w:pPr>
            <w:r>
              <w:rPr>
                <w:rFonts w:hint="eastAsia" w:asciiTheme="minorEastAsia" w:hAnsiTheme="minorEastAsia"/>
                <w:b/>
                <w:bCs/>
                <w:sz w:val="24"/>
                <w:szCs w:val="24"/>
              </w:rPr>
              <w:t xml:space="preserve">结构类型</w:t>
            </w:r>
            <w:r/>
          </w:p>
        </w:tc>
        <w:tc>
          <w:tcPr>
            <w:shd w:val="clear" w:color="auto" w:fill="auto"/>
            <w:tcW w:w="1001" w:type="pct"/>
            <w:vAlign w:val="center"/>
            <w:textDirection w:val="lrTb"/>
            <w:noWrap/>
          </w:tcPr>
          <w:p>
            <w:pPr>
              <w:jc w:val="center"/>
              <w:widowControl/>
              <w:rPr>
                <w:rFonts w:asciiTheme="minorEastAsia" w:hAnsiTheme="minorEastAsia"/>
                <w:b/>
                <w:bCs/>
                <w:sz w:val="24"/>
                <w:szCs w:val="24"/>
              </w:rPr>
            </w:pPr>
            <w:r>
              <w:rPr>
                <w:rFonts w:hint="eastAsia" w:asciiTheme="minorEastAsia" w:hAnsiTheme="minorEastAsia"/>
                <w:b/>
                <w:bCs/>
                <w:sz w:val="24"/>
                <w:szCs w:val="24"/>
              </w:rPr>
              <w:t xml:space="preserve">跨径组合</w:t>
            </w:r>
            <w:r/>
          </w:p>
        </w:tc>
        <w:tc>
          <w:tcPr>
            <w:shd w:val="clear" w:color="auto" w:fill="auto"/>
            <w:tcW w:w="623" w:type="pct"/>
            <w:vAlign w:val="center"/>
            <w:textDirection w:val="lrTb"/>
            <w:noWrap/>
          </w:tcPr>
          <w:p>
            <w:pPr>
              <w:jc w:val="center"/>
              <w:widowControl/>
              <w:rPr>
                <w:rFonts w:asciiTheme="minorEastAsia" w:hAnsiTheme="minorEastAsia"/>
                <w:b/>
                <w:bCs/>
                <w:sz w:val="24"/>
                <w:szCs w:val="24"/>
              </w:rPr>
            </w:pPr>
            <w:r>
              <w:rPr>
                <w:rFonts w:hint="eastAsia" w:asciiTheme="minorEastAsia" w:hAnsiTheme="minorEastAsia"/>
                <w:b/>
                <w:bCs/>
                <w:sz w:val="24"/>
                <w:szCs w:val="24"/>
              </w:rPr>
              <w:t xml:space="preserve">养护类别</w:t>
            </w:r>
            <w:r/>
          </w:p>
        </w:tc>
        <w:tc>
          <w:tcPr>
            <w:shd w:val="clear" w:color="auto" w:fill="auto"/>
            <w:tcW w:w="895" w:type="pct"/>
            <w:vAlign w:val="center"/>
            <w:textDirection w:val="lrTb"/>
            <w:noWrap w:val="false"/>
          </w:tcPr>
          <w:p>
            <w:pPr>
              <w:jc w:val="center"/>
              <w:widowControl/>
              <w:rPr>
                <w:rFonts w:asciiTheme="minorEastAsia" w:hAnsiTheme="minorEastAsia"/>
                <w:b/>
                <w:bCs/>
                <w:sz w:val="24"/>
                <w:szCs w:val="24"/>
              </w:rPr>
            </w:pPr>
            <w:r>
              <w:rPr>
                <w:rFonts w:hint="eastAsia" w:asciiTheme="minorEastAsia" w:hAnsiTheme="minorEastAsia"/>
                <w:b/>
                <w:bCs/>
                <w:sz w:val="24"/>
                <w:szCs w:val="24"/>
              </w:rPr>
              <w:t xml:space="preserve">养护等级</w:t>
            </w:r>
            <w:r/>
          </w:p>
        </w:tc>
      </w:tr>
      <w:tr>
        <w:trPr>
          <w:jc w:val="center"/>
          <w:trHeight w:val="985"/>
        </w:trPr>
        <w:tc>
          <w:tcPr>
            <w:shd w:val="clear" w:color="auto" w:fill="auto"/>
            <w:tcW w:w="398" w:type="pct"/>
            <w:vAlign w:val="center"/>
            <w:textDirection w:val="lrTb"/>
            <w:noWrap/>
          </w:tcPr>
          <w:p>
            <w:pPr>
              <w:jc w:val="center"/>
              <w:widowControl/>
              <w:rPr>
                <w:rFonts w:asciiTheme="minorEastAsia" w:hAnsiTheme="minorEastAsia"/>
                <w:sz w:val="24"/>
                <w:szCs w:val="24"/>
              </w:rPr>
            </w:pPr>
            <w:r>
              <w:rPr>
                <w:rFonts w:hint="eastAsia" w:asciiTheme="minorEastAsia" w:hAnsiTheme="minorEastAsia"/>
                <w:sz w:val="24"/>
                <w:szCs w:val="24"/>
              </w:rPr>
              <w:t xml:space="preserve">1</w:t>
            </w:r>
            <w:r/>
          </w:p>
        </w:tc>
        <w:tc>
          <w:tcPr>
            <w:shd w:val="clear" w:color="auto" w:fill="auto"/>
            <w:tcW w:w="591" w:type="pct"/>
            <w:vAlign w:val="center"/>
            <w:vMerge w:val="restart"/>
            <w:textDirection w:val="lrTb"/>
            <w:noWrap w:val="false"/>
          </w:tcPr>
          <w:p>
            <w:pPr>
              <w:jc w:val="center"/>
              <w:widowControl/>
              <w:rPr>
                <w:rFonts w:asciiTheme="minorEastAsia" w:hAnsiTheme="minorEastAsia"/>
                <w:sz w:val="24"/>
                <w:szCs w:val="24"/>
              </w:rPr>
            </w:pPr>
            <w:r>
              <w:rPr>
                <w:rFonts w:hint="eastAsia" w:asciiTheme="minorEastAsia" w:hAnsiTheme="minorEastAsia"/>
                <w:sz w:val="24"/>
                <w:szCs w:val="24"/>
              </w:rPr>
              <w:t xml:space="preserve">轻量化监测</w:t>
            </w:r>
            <w:r/>
          </w:p>
        </w:tc>
        <w:tc>
          <w:tcPr>
            <w:shd w:val="clear" w:color="auto" w:fill="auto"/>
            <w:tcW w:w="876" w:type="pct"/>
            <w:vAlign w:val="center"/>
            <w:textDirection w:val="lrTb"/>
            <w:noWrap/>
          </w:tcPr>
          <w:p>
            <w:pPr>
              <w:jc w:val="center"/>
              <w:widowControl/>
              <w:rPr>
                <w:rFonts w:asciiTheme="minorEastAsia" w:hAnsiTheme="minorEastAsia"/>
                <w:sz w:val="24"/>
                <w:szCs w:val="24"/>
              </w:rPr>
            </w:pPr>
            <w:r>
              <w:rPr>
                <w:rFonts w:hint="eastAsia" w:asciiTheme="minorEastAsia" w:hAnsiTheme="minorEastAsia"/>
                <w:sz w:val="24"/>
                <w:szCs w:val="24"/>
              </w:rPr>
              <w:t xml:space="preserve">四号高架桥</w:t>
            </w:r>
            <w:r/>
          </w:p>
        </w:tc>
        <w:tc>
          <w:tcPr>
            <w:shd w:val="clear" w:color="auto" w:fill="auto"/>
            <w:tcW w:w="613" w:type="pct"/>
            <w:vAlign w:val="center"/>
            <w:textDirection w:val="lrTb"/>
            <w:noWrap/>
          </w:tcPr>
          <w:p>
            <w:pPr>
              <w:jc w:val="center"/>
              <w:widowControl/>
              <w:rPr>
                <w:rFonts w:asciiTheme="minorEastAsia" w:hAnsiTheme="minorEastAsia"/>
                <w:sz w:val="24"/>
                <w:szCs w:val="24"/>
              </w:rPr>
            </w:pPr>
            <w:r>
              <w:rPr>
                <w:rFonts w:hint="eastAsia" w:asciiTheme="minorEastAsia" w:hAnsiTheme="minorEastAsia"/>
                <w:sz w:val="24"/>
                <w:szCs w:val="24"/>
              </w:rPr>
              <w:t xml:space="preserve">箱形梁</w:t>
            </w:r>
            <w:r/>
          </w:p>
        </w:tc>
        <w:tc>
          <w:tcPr>
            <w:shd w:val="clear" w:color="auto" w:fill="auto"/>
            <w:tcW w:w="1001" w:type="pct"/>
            <w:vAlign w:val="center"/>
            <w:textDirection w:val="lrTb"/>
            <w:noWrap/>
          </w:tcPr>
          <w:p>
            <w:pPr>
              <w:jc w:val="center"/>
              <w:widowControl/>
              <w:rPr>
                <w:rFonts w:asciiTheme="minorEastAsia" w:hAnsiTheme="minorEastAsia"/>
                <w:sz w:val="24"/>
                <w:szCs w:val="24"/>
              </w:rPr>
            </w:pPr>
            <w:r>
              <w:rPr>
                <w:rFonts w:asciiTheme="minorEastAsia" w:hAnsiTheme="minorEastAsia"/>
                <w:sz w:val="24"/>
                <w:szCs w:val="24"/>
              </w:rPr>
              <w:t xml:space="preserve">2×30m+</w:t>
            </w:r>
            <w:r/>
          </w:p>
          <w:p>
            <w:pPr>
              <w:jc w:val="center"/>
              <w:widowControl/>
              <w:rPr>
                <w:rFonts w:asciiTheme="minorEastAsia" w:hAnsiTheme="minorEastAsia"/>
                <w:sz w:val="24"/>
                <w:szCs w:val="24"/>
              </w:rPr>
            </w:pPr>
            <w:r>
              <w:rPr>
                <w:rFonts w:asciiTheme="minorEastAsia" w:hAnsiTheme="minorEastAsia"/>
                <w:sz w:val="24"/>
                <w:szCs w:val="24"/>
              </w:rPr>
              <w:t xml:space="preserve">3×27m+</w:t>
            </w:r>
            <w:r/>
          </w:p>
          <w:p>
            <w:pPr>
              <w:jc w:val="center"/>
              <w:widowControl/>
              <w:rPr>
                <w:rFonts w:asciiTheme="minorEastAsia" w:hAnsiTheme="minorEastAsia"/>
                <w:sz w:val="24"/>
                <w:szCs w:val="24"/>
              </w:rPr>
            </w:pPr>
            <w:r>
              <w:rPr>
                <w:rFonts w:asciiTheme="minorEastAsia" w:hAnsiTheme="minorEastAsia"/>
                <w:sz w:val="24"/>
                <w:szCs w:val="24"/>
              </w:rPr>
              <w:t xml:space="preserve">4×30m</w:t>
            </w:r>
            <w:r/>
          </w:p>
        </w:tc>
        <w:tc>
          <w:tcPr>
            <w:shd w:val="clear" w:color="auto" w:fill="auto"/>
            <w:tcW w:w="623" w:type="pct"/>
            <w:vAlign w:val="center"/>
            <w:textDirection w:val="lrTb"/>
            <w:noWrap/>
          </w:tcPr>
          <w:p>
            <w:pPr>
              <w:jc w:val="center"/>
              <w:widowControl/>
              <w:rPr>
                <w:rFonts w:asciiTheme="minorEastAsia" w:hAnsiTheme="minorEastAsia"/>
                <w:sz w:val="24"/>
                <w:szCs w:val="24"/>
              </w:rPr>
            </w:pPr>
            <w:r>
              <w:rPr>
                <w:rFonts w:hint="eastAsia" w:asciiTheme="minorEastAsia" w:hAnsiTheme="minorEastAsia"/>
                <w:sz w:val="24"/>
                <w:szCs w:val="24"/>
              </w:rPr>
              <w:t xml:space="preserve">Ⅰ</w:t>
            </w:r>
            <w:r/>
          </w:p>
        </w:tc>
        <w:tc>
          <w:tcPr>
            <w:shd w:val="clear" w:color="auto" w:fill="auto"/>
            <w:tcW w:w="895" w:type="pct"/>
            <w:vAlign w:val="center"/>
            <w:textDirection w:val="lrTb"/>
            <w:noWrap w:val="false"/>
          </w:tcPr>
          <w:p>
            <w:pPr>
              <w:jc w:val="center"/>
              <w:widowControl/>
              <w:rPr>
                <w:rFonts w:asciiTheme="minorEastAsia" w:hAnsiTheme="minorEastAsia"/>
                <w:sz w:val="24"/>
                <w:szCs w:val="24"/>
              </w:rPr>
            </w:pPr>
            <w:r>
              <w:rPr>
                <w:rFonts w:hint="eastAsia" w:asciiTheme="minorEastAsia" w:hAnsiTheme="minorEastAsia"/>
                <w:sz w:val="24"/>
                <w:szCs w:val="24"/>
              </w:rPr>
              <w:t xml:space="preserve">Ⅰ</w:t>
            </w:r>
            <w:r/>
          </w:p>
        </w:tc>
      </w:tr>
      <w:tr>
        <w:trPr>
          <w:jc w:val="center"/>
          <w:trHeight w:val="1006"/>
        </w:trPr>
        <w:tc>
          <w:tcPr>
            <w:shd w:val="clear" w:color="auto" w:fill="auto"/>
            <w:tcW w:w="398" w:type="pct"/>
            <w:vAlign w:val="center"/>
            <w:textDirection w:val="lrTb"/>
            <w:noWrap/>
          </w:tcPr>
          <w:p>
            <w:pPr>
              <w:jc w:val="center"/>
              <w:widowControl/>
              <w:rPr>
                <w:rFonts w:asciiTheme="minorEastAsia" w:hAnsiTheme="minorEastAsia"/>
                <w:sz w:val="24"/>
                <w:szCs w:val="24"/>
              </w:rPr>
            </w:pPr>
            <w:r>
              <w:rPr>
                <w:rFonts w:hint="eastAsia" w:asciiTheme="minorEastAsia" w:hAnsiTheme="minorEastAsia"/>
                <w:sz w:val="24"/>
                <w:szCs w:val="24"/>
              </w:rPr>
              <w:t xml:space="preserve">2</w:t>
            </w:r>
            <w:r/>
          </w:p>
        </w:tc>
        <w:tc>
          <w:tcPr>
            <w:shd w:val="clear" w:color="auto" w:fill="auto"/>
            <w:tcW w:w="591" w:type="pct"/>
            <w:vAlign w:val="center"/>
            <w:vMerge w:val="continue"/>
            <w:textDirection w:val="lrTb"/>
            <w:noWrap w:val="false"/>
          </w:tcPr>
          <w:p>
            <w:pPr>
              <w:jc w:val="center"/>
              <w:widowControl/>
              <w:rPr>
                <w:rFonts w:asciiTheme="minorEastAsia" w:hAnsiTheme="minorEastAsia"/>
                <w:sz w:val="24"/>
                <w:szCs w:val="24"/>
              </w:rPr>
            </w:pPr>
            <w:r>
              <w:rPr>
                <w:rFonts w:asciiTheme="minorEastAsia" w:hAnsiTheme="minorEastAsia"/>
                <w:sz w:val="24"/>
                <w:szCs w:val="24"/>
              </w:rPr>
            </w:r>
            <w:r/>
          </w:p>
        </w:tc>
        <w:tc>
          <w:tcPr>
            <w:shd w:val="clear" w:color="auto" w:fill="auto"/>
            <w:tcW w:w="876" w:type="pct"/>
            <w:vAlign w:val="center"/>
            <w:textDirection w:val="lrTb"/>
            <w:noWrap/>
          </w:tcPr>
          <w:p>
            <w:pPr>
              <w:jc w:val="center"/>
              <w:widowControl/>
              <w:rPr>
                <w:rFonts w:asciiTheme="minorEastAsia" w:hAnsiTheme="minorEastAsia"/>
                <w:sz w:val="24"/>
                <w:szCs w:val="24"/>
              </w:rPr>
            </w:pPr>
            <w:r>
              <w:rPr>
                <w:rFonts w:hint="eastAsia" w:asciiTheme="minorEastAsia" w:hAnsiTheme="minorEastAsia"/>
                <w:sz w:val="24"/>
                <w:szCs w:val="24"/>
              </w:rPr>
              <w:t xml:space="preserve">蔷薇河大桥</w:t>
            </w:r>
            <w:r/>
          </w:p>
        </w:tc>
        <w:tc>
          <w:tcPr>
            <w:shd w:val="clear" w:color="auto" w:fill="auto"/>
            <w:tcW w:w="613" w:type="pct"/>
            <w:vAlign w:val="center"/>
            <w:textDirection w:val="lrTb"/>
            <w:noWrap/>
          </w:tcPr>
          <w:p>
            <w:pPr>
              <w:jc w:val="center"/>
              <w:widowControl/>
              <w:rPr>
                <w:rFonts w:asciiTheme="minorEastAsia" w:hAnsiTheme="minorEastAsia"/>
                <w:sz w:val="24"/>
                <w:szCs w:val="24"/>
              </w:rPr>
            </w:pPr>
            <w:r>
              <w:rPr>
                <w:rFonts w:hint="eastAsia" w:asciiTheme="minorEastAsia" w:hAnsiTheme="minorEastAsia"/>
                <w:sz w:val="24"/>
                <w:szCs w:val="24"/>
              </w:rPr>
              <w:t xml:space="preserve">T形梁</w:t>
            </w:r>
            <w:r/>
          </w:p>
        </w:tc>
        <w:tc>
          <w:tcPr>
            <w:shd w:val="clear" w:color="auto" w:fill="auto"/>
            <w:tcW w:w="1001" w:type="pct"/>
            <w:vAlign w:val="center"/>
            <w:textDirection w:val="lrTb"/>
            <w:noWrap/>
          </w:tcPr>
          <w:p>
            <w:pPr>
              <w:jc w:val="center"/>
              <w:widowControl/>
              <w:rPr>
                <w:rFonts w:asciiTheme="minorEastAsia" w:hAnsiTheme="minorEastAsia"/>
                <w:sz w:val="24"/>
                <w:szCs w:val="24"/>
              </w:rPr>
            </w:pPr>
            <w:r>
              <w:rPr>
                <w:rFonts w:asciiTheme="minorEastAsia" w:hAnsiTheme="minorEastAsia"/>
                <w:sz w:val="24"/>
                <w:szCs w:val="24"/>
              </w:rPr>
              <w:t xml:space="preserve">5×16</w:t>
            </w:r>
            <w:r>
              <w:rPr>
                <w:rFonts w:hint="eastAsia" w:asciiTheme="minorEastAsia" w:hAnsiTheme="minorEastAsia"/>
                <w:sz w:val="24"/>
                <w:szCs w:val="24"/>
              </w:rPr>
              <w:t xml:space="preserve">m</w:t>
            </w:r>
            <w:r>
              <w:rPr>
                <w:rFonts w:asciiTheme="minorEastAsia" w:hAnsiTheme="minorEastAsia"/>
                <w:sz w:val="24"/>
                <w:szCs w:val="24"/>
              </w:rPr>
              <w:t xml:space="preserve">+</w:t>
            </w:r>
            <w:r/>
          </w:p>
          <w:p>
            <w:pPr>
              <w:jc w:val="center"/>
              <w:widowControl/>
              <w:rPr>
                <w:rFonts w:asciiTheme="minorEastAsia" w:hAnsiTheme="minorEastAsia"/>
                <w:sz w:val="24"/>
                <w:szCs w:val="24"/>
              </w:rPr>
            </w:pPr>
            <w:r>
              <w:rPr>
                <w:rFonts w:asciiTheme="minorEastAsia" w:hAnsiTheme="minorEastAsia"/>
                <w:sz w:val="24"/>
                <w:szCs w:val="24"/>
              </w:rPr>
              <w:t xml:space="preserve">30</w:t>
            </w:r>
            <w:r>
              <w:rPr>
                <w:rFonts w:hint="eastAsia" w:asciiTheme="minorEastAsia" w:hAnsiTheme="minorEastAsia"/>
                <w:sz w:val="24"/>
                <w:szCs w:val="24"/>
              </w:rPr>
              <w:t xml:space="preserve">m</w:t>
            </w:r>
            <w:r>
              <w:rPr>
                <w:rFonts w:asciiTheme="minorEastAsia" w:hAnsiTheme="minorEastAsia"/>
                <w:sz w:val="24"/>
                <w:szCs w:val="24"/>
              </w:rPr>
              <w:t xml:space="preserve">+</w:t>
            </w:r>
            <w:r/>
          </w:p>
          <w:p>
            <w:pPr>
              <w:jc w:val="center"/>
              <w:widowControl/>
              <w:rPr>
                <w:rFonts w:asciiTheme="minorEastAsia" w:hAnsiTheme="minorEastAsia"/>
                <w:sz w:val="24"/>
                <w:szCs w:val="24"/>
              </w:rPr>
            </w:pPr>
            <w:r>
              <w:rPr>
                <w:rFonts w:asciiTheme="minorEastAsia" w:hAnsiTheme="minorEastAsia"/>
                <w:sz w:val="24"/>
                <w:szCs w:val="24"/>
              </w:rPr>
              <w:t xml:space="preserve">5×16m</w:t>
            </w:r>
            <w:r/>
          </w:p>
        </w:tc>
        <w:tc>
          <w:tcPr>
            <w:shd w:val="clear" w:color="auto" w:fill="auto"/>
            <w:tcW w:w="623" w:type="pct"/>
            <w:vAlign w:val="center"/>
            <w:textDirection w:val="lrTb"/>
            <w:noWrap/>
          </w:tcPr>
          <w:p>
            <w:pPr>
              <w:jc w:val="center"/>
              <w:widowControl/>
              <w:rPr>
                <w:rFonts w:asciiTheme="minorEastAsia" w:hAnsiTheme="minorEastAsia"/>
                <w:sz w:val="24"/>
                <w:szCs w:val="24"/>
              </w:rPr>
            </w:pPr>
            <w:r>
              <w:rPr>
                <w:rFonts w:hint="eastAsia" w:asciiTheme="minorEastAsia" w:hAnsiTheme="minorEastAsia"/>
                <w:sz w:val="24"/>
                <w:szCs w:val="24"/>
              </w:rPr>
              <w:t xml:space="preserve">Ⅲ</w:t>
            </w:r>
            <w:r/>
          </w:p>
        </w:tc>
        <w:tc>
          <w:tcPr>
            <w:shd w:val="clear" w:color="auto" w:fill="auto"/>
            <w:tcW w:w="895" w:type="pct"/>
            <w:vAlign w:val="center"/>
            <w:textDirection w:val="lrTb"/>
            <w:noWrap w:val="false"/>
          </w:tcPr>
          <w:p>
            <w:pPr>
              <w:jc w:val="center"/>
              <w:widowControl/>
              <w:rPr>
                <w:rFonts w:asciiTheme="minorEastAsia" w:hAnsiTheme="minorEastAsia"/>
                <w:sz w:val="24"/>
                <w:szCs w:val="24"/>
              </w:rPr>
            </w:pPr>
            <w:r>
              <w:rPr>
                <w:rFonts w:hint="eastAsia" w:asciiTheme="minorEastAsia" w:hAnsiTheme="minorEastAsia"/>
                <w:sz w:val="24"/>
                <w:szCs w:val="24"/>
              </w:rPr>
              <w:t xml:space="preserve">Ⅰ</w:t>
            </w:r>
            <w:r/>
          </w:p>
        </w:tc>
      </w:tr>
    </w:tbl>
    <w:p>
      <w:pPr>
        <w:ind w:firstLine="480"/>
        <w:rPr>
          <w:rFonts w:asciiTheme="minorEastAsia" w:hAnsiTheme="minorEastAsia"/>
          <w:sz w:val="24"/>
          <w:szCs w:val="24"/>
        </w:rPr>
      </w:pPr>
      <w:r>
        <w:rPr>
          <w:rFonts w:hint="eastAsia" w:ascii="宋体" w:hAnsi="宋体" w:eastAsia="宋体" w:cs="宋体"/>
          <w:sz w:val="24"/>
          <w:szCs w:val="24"/>
        </w:rPr>
        <w:t xml:space="preserve">备注：实际安装位置最终依据采购人需求为主。</w:t>
      </w:r>
      <w:r/>
    </w:p>
    <w:p>
      <w:pPr>
        <w:pStyle w:val="855"/>
        <w:ind w:firstLine="482"/>
        <w:spacing w:line="360" w:lineRule="auto"/>
        <w:rPr>
          <w:rFonts w:asciiTheme="minorEastAsia" w:hAnsiTheme="minorEastAsia" w:eastAsiaTheme="minorEastAsia" w:cstheme="minorBidi"/>
          <w:b/>
          <w:bCs/>
          <w:sz w:val="24"/>
          <w:szCs w:val="24"/>
        </w:rPr>
      </w:pPr>
      <w:r>
        <w:rPr>
          <w:rFonts w:hint="eastAsia" w:asciiTheme="minorEastAsia" w:hAnsiTheme="minorEastAsia" w:eastAsiaTheme="minorEastAsia" w:cstheme="minorBidi"/>
          <w:b/>
          <w:bCs/>
          <w:sz w:val="24"/>
          <w:szCs w:val="24"/>
        </w:rPr>
        <w:t xml:space="preserve">（4）第三方施工专项</w:t>
      </w:r>
      <w:r/>
    </w:p>
    <w:p>
      <w:pPr>
        <w:pStyle w:val="855"/>
        <w:ind w:firstLine="480"/>
        <w:spacing w:line="360" w:lineRule="auto"/>
        <w:rPr>
          <w:rFonts w:asciiTheme="minorEastAsia" w:hAnsiTheme="minorEastAsia" w:eastAsiaTheme="minorEastAsia" w:cstheme="minorBidi"/>
          <w:b/>
          <w:bCs/>
          <w:sz w:val="24"/>
          <w:szCs w:val="24"/>
        </w:rPr>
      </w:pPr>
      <w:r>
        <w:rPr>
          <w:rFonts w:hint="eastAsia" w:asciiTheme="minorEastAsia" w:hAnsiTheme="minorEastAsia" w:eastAsiaTheme="minorEastAsia" w:cstheme="minorBidi"/>
          <w:sz w:val="24"/>
          <w:szCs w:val="24"/>
        </w:rPr>
        <w:t xml:space="preserve">技术参数：</w:t>
      </w:r>
      <w:r/>
    </w:p>
    <w:tbl>
      <w:tblPr>
        <w:tblW w:w="47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19"/>
        <w:gridCol w:w="1841"/>
        <w:gridCol w:w="6598"/>
      </w:tblGrid>
      <w:tr>
        <w:trPr>
          <w:jc w:val="center"/>
          <w:trHeight w:val="340"/>
          <w:tblHeader/>
        </w:trPr>
        <w:tc>
          <w:tcPr>
            <w:shd w:val="clear" w:color="auto" w:fill="auto"/>
            <w:tcW w:w="539" w:type="pct"/>
            <w:vAlign w:val="center"/>
            <w:textDirection w:val="lrTb"/>
            <w:noWrap w:val="false"/>
          </w:tcPr>
          <w:p>
            <w:pPr>
              <w:jc w:val="center"/>
              <w:spacing w:line="360" w:lineRule="auto"/>
              <w:rPr>
                <w:rFonts w:asciiTheme="minorEastAsia" w:hAnsiTheme="minorEastAsia"/>
                <w:b/>
                <w:bCs/>
                <w:sz w:val="24"/>
                <w:szCs w:val="24"/>
              </w:rPr>
            </w:pPr>
            <w:r>
              <w:rPr>
                <w:rFonts w:hint="eastAsia" w:asciiTheme="minorEastAsia" w:hAnsiTheme="minorEastAsia"/>
                <w:b/>
                <w:bCs/>
                <w:sz w:val="24"/>
                <w:szCs w:val="24"/>
              </w:rPr>
              <w:t xml:space="preserve">序号</w:t>
            </w:r>
            <w:r/>
          </w:p>
        </w:tc>
        <w:tc>
          <w:tcPr>
            <w:shd w:val="clear" w:color="auto" w:fill="auto"/>
            <w:tcW w:w="973" w:type="pct"/>
            <w:vAlign w:val="center"/>
            <w:textDirection w:val="lrTb"/>
            <w:noWrap w:val="false"/>
          </w:tcPr>
          <w:p>
            <w:pPr>
              <w:jc w:val="center"/>
              <w:spacing w:line="360" w:lineRule="auto"/>
              <w:rPr>
                <w:rFonts w:asciiTheme="minorEastAsia" w:hAnsiTheme="minorEastAsia"/>
                <w:b/>
                <w:bCs/>
                <w:sz w:val="24"/>
                <w:szCs w:val="24"/>
              </w:rPr>
            </w:pPr>
            <w:r>
              <w:rPr>
                <w:rFonts w:hint="eastAsia" w:asciiTheme="minorEastAsia" w:hAnsiTheme="minorEastAsia"/>
                <w:b/>
                <w:bCs/>
                <w:sz w:val="24"/>
                <w:szCs w:val="24"/>
              </w:rPr>
              <w:t xml:space="preserve">设备名称</w:t>
            </w:r>
            <w:r/>
          </w:p>
        </w:tc>
        <w:tc>
          <w:tcPr>
            <w:shd w:val="clear" w:color="auto" w:fill="auto"/>
            <w:tcW w:w="3487" w:type="pct"/>
            <w:vAlign w:val="center"/>
            <w:textDirection w:val="lrTb"/>
            <w:noWrap w:val="false"/>
          </w:tcPr>
          <w:p>
            <w:pPr>
              <w:jc w:val="center"/>
              <w:spacing w:line="360" w:lineRule="auto"/>
              <w:rPr>
                <w:rFonts w:asciiTheme="minorEastAsia" w:hAnsiTheme="minorEastAsia"/>
                <w:b/>
                <w:bCs/>
                <w:sz w:val="24"/>
                <w:szCs w:val="24"/>
              </w:rPr>
            </w:pPr>
            <w:r>
              <w:rPr>
                <w:rFonts w:hint="eastAsia" w:asciiTheme="minorEastAsia" w:hAnsiTheme="minorEastAsia"/>
                <w:b/>
                <w:bCs/>
                <w:sz w:val="24"/>
                <w:szCs w:val="24"/>
              </w:rPr>
              <w:t xml:space="preserve">详细参数要求</w:t>
            </w:r>
            <w:r/>
          </w:p>
        </w:tc>
      </w:tr>
      <w:tr>
        <w:trPr>
          <w:jc w:val="center"/>
          <w:trHeight w:val="340"/>
        </w:trPr>
        <w:tc>
          <w:tcPr>
            <w:tcW w:w="539" w:type="pct"/>
            <w:vAlign w:val="center"/>
            <w:textDirection w:val="lrTb"/>
            <w:noWrap w:val="false"/>
          </w:tcPr>
          <w:p>
            <w:pPr>
              <w:jc w:val="center"/>
              <w:spacing w:line="380" w:lineRule="exact"/>
              <w:rPr>
                <w:rFonts w:asciiTheme="minorEastAsia" w:hAnsiTheme="minorEastAsia"/>
                <w:color w:val="000000"/>
                <w:sz w:val="24"/>
                <w:szCs w:val="24"/>
              </w:rPr>
            </w:pPr>
            <w:r>
              <w:rPr>
                <w:rFonts w:hint="eastAsia" w:asciiTheme="minorEastAsia" w:hAnsiTheme="minorEastAsia"/>
                <w:color w:val="000000"/>
                <w:sz w:val="24"/>
                <w:szCs w:val="24"/>
              </w:rPr>
              <w:t xml:space="preserve">1</w:t>
            </w:r>
            <w:r/>
          </w:p>
        </w:tc>
        <w:tc>
          <w:tcPr>
            <w:tcW w:w="973"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摄像头</w:t>
            </w:r>
            <w:r/>
          </w:p>
        </w:tc>
        <w:tc>
          <w:tcPr>
            <w:tcW w:w="3487" w:type="pct"/>
            <w:vAlign w:val="center"/>
            <w:textDirection w:val="lrTb"/>
            <w:noWrap w:val="false"/>
          </w:tcPr>
          <w:p>
            <w:pPr>
              <w:spacing w:line="380" w:lineRule="exact"/>
              <w:rPr>
                <w:rFonts w:asciiTheme="minorEastAsia" w:hAnsiTheme="minorEastAsia"/>
                <w:sz w:val="24"/>
                <w:szCs w:val="24"/>
              </w:rPr>
            </w:pPr>
            <w:r>
              <w:rPr>
                <w:rFonts w:asciiTheme="minorEastAsia" w:hAnsiTheme="minorEastAsia"/>
                <w:sz w:val="24"/>
                <w:szCs w:val="24"/>
              </w:rPr>
              <w:t xml:space="preserve">1</w:t>
            </w:r>
            <w:r>
              <w:rPr>
                <w:rFonts w:hint="eastAsia" w:asciiTheme="minorEastAsia" w:hAnsiTheme="minorEastAsia"/>
                <w:sz w:val="24"/>
                <w:szCs w:val="24"/>
              </w:rPr>
              <w:t xml:space="preserve">.</w:t>
            </w:r>
            <w:r>
              <w:rPr>
                <w:rFonts w:asciiTheme="minorEastAsia" w:hAnsiTheme="minorEastAsia"/>
                <w:sz w:val="24"/>
                <w:szCs w:val="24"/>
              </w:rPr>
              <w:t xml:space="preserve">像素：</w:t>
            </w:r>
            <w:r>
              <w:rPr>
                <w:rFonts w:hint="eastAsia" w:asciiTheme="minorEastAsia" w:hAnsiTheme="minorEastAsia"/>
                <w:sz w:val="24"/>
                <w:szCs w:val="24"/>
              </w:rPr>
              <w:t xml:space="preserve">不低于</w:t>
            </w:r>
            <w:r>
              <w:rPr>
                <w:rFonts w:asciiTheme="minorEastAsia" w:hAnsiTheme="minorEastAsia"/>
                <w:sz w:val="24"/>
                <w:szCs w:val="24"/>
              </w:rPr>
              <w:t xml:space="preserve">200万</w:t>
            </w:r>
            <w:r>
              <w:rPr>
                <w:rFonts w:hint="eastAsia" w:asciiTheme="minorEastAsia" w:hAnsiTheme="minorEastAsia"/>
                <w:sz w:val="24"/>
                <w:szCs w:val="24"/>
              </w:rPr>
              <w:t xml:space="preserve">；</w:t>
            </w:r>
            <w:r/>
          </w:p>
          <w:p>
            <w:pPr>
              <w:spacing w:line="380" w:lineRule="exact"/>
              <w:rPr>
                <w:rFonts w:asciiTheme="minorEastAsia" w:hAnsiTheme="minorEastAsia"/>
                <w:sz w:val="24"/>
                <w:szCs w:val="24"/>
              </w:rPr>
            </w:pPr>
            <w:r>
              <w:rPr>
                <w:rFonts w:asciiTheme="minorEastAsia" w:hAnsiTheme="minorEastAsia"/>
                <w:sz w:val="24"/>
                <w:szCs w:val="24"/>
              </w:rPr>
              <w:t xml:space="preserve">2</w:t>
            </w:r>
            <w:r>
              <w:rPr>
                <w:rFonts w:hint="eastAsia" w:asciiTheme="minorEastAsia" w:hAnsiTheme="minorEastAsia"/>
                <w:sz w:val="24"/>
                <w:szCs w:val="24"/>
              </w:rPr>
              <w:t xml:space="preserve">.</w:t>
            </w:r>
            <w:r>
              <w:rPr>
                <w:rFonts w:asciiTheme="minorEastAsia" w:hAnsiTheme="minorEastAsia"/>
                <w:sz w:val="24"/>
                <w:szCs w:val="24"/>
              </w:rPr>
              <w:t xml:space="preserve">焦距：4.8 mm~110 mm，23倍光学变倍</w:t>
            </w:r>
            <w:r>
              <w:rPr>
                <w:rFonts w:hint="eastAsia" w:asciiTheme="minorEastAsia" w:hAnsiTheme="minorEastAsia"/>
                <w:sz w:val="24"/>
                <w:szCs w:val="24"/>
              </w:rPr>
              <w:t xml:space="preserve">；</w:t>
            </w:r>
            <w:r/>
          </w:p>
          <w:p>
            <w:pPr>
              <w:spacing w:line="380" w:lineRule="exact"/>
              <w:rPr>
                <w:rFonts w:asciiTheme="minorEastAsia" w:hAnsiTheme="minorEastAsia"/>
                <w:sz w:val="24"/>
                <w:szCs w:val="24"/>
              </w:rPr>
            </w:pPr>
            <w:r>
              <w:rPr>
                <w:rFonts w:asciiTheme="minorEastAsia" w:hAnsiTheme="minorEastAsia"/>
                <w:sz w:val="24"/>
                <w:szCs w:val="24"/>
              </w:rPr>
              <w:t xml:space="preserve">3</w:t>
            </w:r>
            <w:r>
              <w:rPr>
                <w:rFonts w:hint="eastAsia" w:asciiTheme="minorEastAsia" w:hAnsiTheme="minorEastAsia"/>
                <w:sz w:val="24"/>
                <w:szCs w:val="24"/>
              </w:rPr>
              <w:t xml:space="preserve">.</w:t>
            </w:r>
            <w:r>
              <w:rPr>
                <w:rFonts w:asciiTheme="minorEastAsia" w:hAnsiTheme="minorEastAsia"/>
                <w:sz w:val="24"/>
                <w:szCs w:val="24"/>
              </w:rPr>
              <w:t xml:space="preserve">视场角：55°~2.7°（广角~望远）</w:t>
            </w:r>
            <w:r>
              <w:rPr>
                <w:rFonts w:hint="eastAsia" w:asciiTheme="minorEastAsia" w:hAnsiTheme="minorEastAsia"/>
                <w:sz w:val="24"/>
                <w:szCs w:val="24"/>
              </w:rPr>
              <w:t xml:space="preserve">；</w:t>
            </w:r>
            <w:r/>
          </w:p>
          <w:p>
            <w:pPr>
              <w:spacing w:line="380" w:lineRule="exact"/>
              <w:rPr>
                <w:rFonts w:asciiTheme="minorEastAsia" w:hAnsiTheme="minorEastAsia"/>
                <w:sz w:val="24"/>
                <w:szCs w:val="24"/>
              </w:rPr>
            </w:pPr>
            <w:r>
              <w:rPr>
                <w:rFonts w:asciiTheme="minorEastAsia" w:hAnsiTheme="minorEastAsia"/>
                <w:sz w:val="24"/>
                <w:szCs w:val="24"/>
              </w:rPr>
              <w:t xml:space="preserve">4</w:t>
            </w:r>
            <w:r>
              <w:rPr>
                <w:rFonts w:hint="eastAsia" w:asciiTheme="minorEastAsia" w:hAnsiTheme="minorEastAsia"/>
                <w:sz w:val="24"/>
                <w:szCs w:val="24"/>
              </w:rPr>
              <w:t xml:space="preserve">.</w:t>
            </w:r>
            <w:r>
              <w:rPr>
                <w:rFonts w:asciiTheme="minorEastAsia" w:hAnsiTheme="minorEastAsia"/>
                <w:sz w:val="24"/>
                <w:szCs w:val="24"/>
              </w:rPr>
              <w:t xml:space="preserve">最大光圈数：F1.6</w:t>
            </w:r>
            <w:r>
              <w:rPr>
                <w:rFonts w:hint="eastAsia" w:asciiTheme="minorEastAsia" w:hAnsiTheme="minorEastAsia"/>
                <w:sz w:val="24"/>
                <w:szCs w:val="24"/>
              </w:rPr>
              <w:t xml:space="preserve">；</w:t>
            </w:r>
            <w:r/>
          </w:p>
          <w:p>
            <w:pPr>
              <w:spacing w:line="380" w:lineRule="exact"/>
              <w:rPr>
                <w:rFonts w:asciiTheme="minorEastAsia" w:hAnsiTheme="minorEastAsia"/>
                <w:sz w:val="24"/>
                <w:szCs w:val="24"/>
              </w:rPr>
            </w:pPr>
            <w:r>
              <w:rPr>
                <w:rFonts w:asciiTheme="minorEastAsia" w:hAnsiTheme="minorEastAsia"/>
                <w:sz w:val="24"/>
                <w:szCs w:val="24"/>
              </w:rPr>
              <w:t xml:space="preserve">5</w:t>
            </w:r>
            <w:r>
              <w:rPr>
                <w:rFonts w:hint="eastAsia" w:asciiTheme="minorEastAsia" w:hAnsiTheme="minorEastAsia"/>
                <w:sz w:val="24"/>
                <w:szCs w:val="24"/>
              </w:rPr>
              <w:t xml:space="preserve">.</w:t>
            </w:r>
            <w:r>
              <w:rPr>
                <w:rFonts w:asciiTheme="minorEastAsia" w:hAnsiTheme="minorEastAsia"/>
                <w:sz w:val="24"/>
                <w:szCs w:val="24"/>
              </w:rPr>
              <w:t xml:space="preserve">电子快门：1-1/30000秒</w:t>
            </w:r>
            <w:r>
              <w:rPr>
                <w:rFonts w:hint="eastAsia" w:asciiTheme="minorEastAsia" w:hAnsiTheme="minorEastAsia"/>
                <w:sz w:val="24"/>
                <w:szCs w:val="24"/>
              </w:rPr>
              <w:t xml:space="preserve">；</w:t>
            </w:r>
            <w:r/>
          </w:p>
          <w:p>
            <w:pPr>
              <w:spacing w:line="380" w:lineRule="exact"/>
              <w:rPr>
                <w:rFonts w:asciiTheme="minorEastAsia" w:hAnsiTheme="minorEastAsia"/>
                <w:sz w:val="24"/>
                <w:szCs w:val="24"/>
              </w:rPr>
            </w:pPr>
            <w:r>
              <w:rPr>
                <w:rFonts w:asciiTheme="minorEastAsia" w:hAnsiTheme="minorEastAsia"/>
                <w:sz w:val="24"/>
                <w:szCs w:val="24"/>
              </w:rPr>
              <w:t xml:space="preserve">6</w:t>
            </w:r>
            <w:r>
              <w:rPr>
                <w:rFonts w:hint="eastAsia" w:asciiTheme="minorEastAsia" w:hAnsiTheme="minorEastAsia"/>
                <w:sz w:val="24"/>
                <w:szCs w:val="24"/>
              </w:rPr>
              <w:t xml:space="preserve">.</w:t>
            </w:r>
            <w:r>
              <w:rPr>
                <w:rFonts w:asciiTheme="minorEastAsia" w:hAnsiTheme="minorEastAsia"/>
                <w:sz w:val="24"/>
                <w:szCs w:val="24"/>
              </w:rPr>
              <w:t xml:space="preserve">信噪比：</w:t>
            </w:r>
            <w:r>
              <w:rPr>
                <w:rFonts w:hint="eastAsia" w:asciiTheme="minorEastAsia" w:hAnsiTheme="minorEastAsia"/>
                <w:sz w:val="24"/>
                <w:szCs w:val="24"/>
              </w:rPr>
              <w:t xml:space="preserve">≥</w:t>
            </w:r>
            <w:r>
              <w:rPr>
                <w:rFonts w:asciiTheme="minorEastAsia" w:hAnsiTheme="minorEastAsia"/>
                <w:sz w:val="24"/>
                <w:szCs w:val="24"/>
              </w:rPr>
              <w:t xml:space="preserve">52dB</w:t>
            </w:r>
            <w:r>
              <w:rPr>
                <w:rFonts w:hint="eastAsia" w:asciiTheme="minorEastAsia" w:hAnsiTheme="minorEastAsia"/>
                <w:sz w:val="24"/>
                <w:szCs w:val="24"/>
              </w:rPr>
              <w:t xml:space="preserve">；</w:t>
            </w:r>
            <w:r/>
          </w:p>
          <w:p>
            <w:pPr>
              <w:spacing w:line="380" w:lineRule="exact"/>
              <w:rPr>
                <w:rFonts w:asciiTheme="minorEastAsia" w:hAnsiTheme="minorEastAsia"/>
                <w:sz w:val="24"/>
                <w:szCs w:val="24"/>
              </w:rPr>
            </w:pPr>
            <w:r>
              <w:rPr>
                <w:rFonts w:asciiTheme="minorEastAsia" w:hAnsiTheme="minorEastAsia"/>
                <w:sz w:val="24"/>
                <w:szCs w:val="24"/>
              </w:rPr>
              <w:t xml:space="preserve">7</w:t>
            </w:r>
            <w:r>
              <w:rPr>
                <w:rFonts w:hint="eastAsia" w:asciiTheme="minorEastAsia" w:hAnsiTheme="minorEastAsia"/>
                <w:sz w:val="24"/>
                <w:szCs w:val="24"/>
              </w:rPr>
              <w:t xml:space="preserve">.</w:t>
            </w:r>
            <w:r>
              <w:rPr>
                <w:rFonts w:asciiTheme="minorEastAsia" w:hAnsiTheme="minorEastAsia"/>
                <w:sz w:val="24"/>
                <w:szCs w:val="24"/>
              </w:rPr>
              <w:t xml:space="preserve">分辨率：</w:t>
            </w:r>
            <w:r>
              <w:rPr>
                <w:rFonts w:hint="eastAsia" w:asciiTheme="minorEastAsia" w:hAnsiTheme="minorEastAsia"/>
                <w:sz w:val="24"/>
                <w:szCs w:val="24"/>
              </w:rPr>
              <w:t xml:space="preserve">≥</w:t>
            </w:r>
            <w:r>
              <w:rPr>
                <w:rFonts w:asciiTheme="minorEastAsia" w:hAnsiTheme="minorEastAsia"/>
                <w:sz w:val="24"/>
                <w:szCs w:val="24"/>
              </w:rPr>
              <w:t xml:space="preserve">2560×1440</w:t>
            </w:r>
            <w:r>
              <w:rPr>
                <w:rFonts w:hint="eastAsia" w:asciiTheme="minorEastAsia" w:hAnsiTheme="minorEastAsia"/>
                <w:sz w:val="24"/>
                <w:szCs w:val="24"/>
              </w:rPr>
              <w:t xml:space="preserve">；</w:t>
            </w:r>
            <w:r/>
          </w:p>
          <w:p>
            <w:pPr>
              <w:spacing w:line="380" w:lineRule="exact"/>
              <w:rPr>
                <w:rFonts w:asciiTheme="minorEastAsia" w:hAnsiTheme="minorEastAsia"/>
                <w:sz w:val="24"/>
                <w:szCs w:val="24"/>
              </w:rPr>
            </w:pPr>
            <w:r>
              <w:rPr>
                <w:rFonts w:asciiTheme="minorEastAsia" w:hAnsiTheme="minorEastAsia"/>
                <w:sz w:val="24"/>
                <w:szCs w:val="24"/>
              </w:rPr>
              <w:t xml:space="preserve">8</w:t>
            </w:r>
            <w:r>
              <w:rPr>
                <w:rFonts w:hint="eastAsia" w:asciiTheme="minorEastAsia" w:hAnsiTheme="minorEastAsia"/>
                <w:sz w:val="24"/>
                <w:szCs w:val="24"/>
              </w:rPr>
              <w:t xml:space="preserve">.</w:t>
            </w:r>
            <w:r>
              <w:rPr>
                <w:rFonts w:asciiTheme="minorEastAsia" w:hAnsiTheme="minorEastAsia"/>
                <w:sz w:val="24"/>
                <w:szCs w:val="24"/>
              </w:rPr>
              <w:t xml:space="preserve">压缩格式：视频压缩：H.265/H.264，MJPEG</w:t>
            </w:r>
            <w:r>
              <w:rPr>
                <w:rFonts w:hint="eastAsia" w:asciiTheme="minorEastAsia" w:hAnsiTheme="minorEastAsia"/>
                <w:sz w:val="24"/>
                <w:szCs w:val="24"/>
              </w:rPr>
              <w:t xml:space="preserve">；</w:t>
            </w:r>
            <w:r/>
          </w:p>
          <w:p>
            <w:pPr>
              <w:spacing w:line="380" w:lineRule="exact"/>
              <w:rPr>
                <w:rFonts w:asciiTheme="minorEastAsia" w:hAnsiTheme="minorEastAsia"/>
                <w:sz w:val="24"/>
                <w:szCs w:val="24"/>
              </w:rPr>
            </w:pPr>
            <w:r>
              <w:rPr>
                <w:rFonts w:asciiTheme="minorEastAsia" w:hAnsiTheme="minorEastAsia"/>
                <w:sz w:val="24"/>
                <w:szCs w:val="24"/>
              </w:rPr>
              <w:t xml:space="preserve">9</w:t>
            </w:r>
            <w:r>
              <w:rPr>
                <w:rFonts w:hint="eastAsia" w:asciiTheme="minorEastAsia" w:hAnsiTheme="minorEastAsia"/>
                <w:sz w:val="24"/>
                <w:szCs w:val="24"/>
              </w:rPr>
              <w:t xml:space="preserve">.</w:t>
            </w:r>
            <w:r>
              <w:rPr>
                <w:rFonts w:asciiTheme="minorEastAsia" w:hAnsiTheme="minorEastAsia"/>
                <w:sz w:val="24"/>
                <w:szCs w:val="24"/>
              </w:rPr>
              <w:t xml:space="preserve">视频帧率：25/30fps</w:t>
            </w:r>
            <w:r>
              <w:rPr>
                <w:rFonts w:hint="eastAsia" w:asciiTheme="minorEastAsia" w:hAnsiTheme="minorEastAsia"/>
                <w:sz w:val="24"/>
                <w:szCs w:val="24"/>
              </w:rPr>
              <w:t xml:space="preserve">；</w:t>
            </w:r>
            <w:r/>
          </w:p>
          <w:p>
            <w:pPr>
              <w:spacing w:line="380" w:lineRule="exact"/>
              <w:rPr>
                <w:rFonts w:asciiTheme="minorEastAsia" w:hAnsiTheme="minorEastAsia"/>
                <w:sz w:val="24"/>
                <w:szCs w:val="24"/>
              </w:rPr>
            </w:pPr>
            <w:r>
              <w:rPr>
                <w:rFonts w:asciiTheme="minorEastAsia" w:hAnsiTheme="minorEastAsia"/>
                <w:sz w:val="24"/>
                <w:szCs w:val="24"/>
              </w:rPr>
              <w:t xml:space="preserve">10</w:t>
            </w:r>
            <w:r>
              <w:rPr>
                <w:rFonts w:hint="eastAsia" w:asciiTheme="minorEastAsia" w:hAnsiTheme="minorEastAsia"/>
                <w:sz w:val="24"/>
                <w:szCs w:val="24"/>
              </w:rPr>
              <w:t xml:space="preserve">.</w:t>
            </w:r>
            <w:r>
              <w:rPr>
                <w:rFonts w:asciiTheme="minorEastAsia" w:hAnsiTheme="minorEastAsia"/>
                <w:sz w:val="24"/>
                <w:szCs w:val="24"/>
              </w:rPr>
              <w:t xml:space="preserve">支持云存储及本地存储</w:t>
            </w:r>
            <w:r>
              <w:rPr>
                <w:rFonts w:hint="eastAsia" w:asciiTheme="minorEastAsia" w:hAnsiTheme="minorEastAsia"/>
                <w:sz w:val="24"/>
                <w:szCs w:val="24"/>
              </w:rPr>
              <w:t xml:space="preserve">；</w:t>
            </w:r>
            <w:r/>
          </w:p>
          <w:p>
            <w:pPr>
              <w:spacing w:line="380" w:lineRule="exact"/>
              <w:rPr>
                <w:rFonts w:asciiTheme="minorEastAsia" w:hAnsiTheme="minorEastAsia"/>
                <w:sz w:val="24"/>
                <w:szCs w:val="24"/>
              </w:rPr>
            </w:pPr>
            <w:r>
              <w:rPr>
                <w:rFonts w:asciiTheme="minorEastAsia" w:hAnsiTheme="minorEastAsia"/>
                <w:sz w:val="24"/>
                <w:szCs w:val="24"/>
              </w:rPr>
              <w:t xml:space="preserve">11</w:t>
            </w:r>
            <w:r>
              <w:rPr>
                <w:rFonts w:hint="eastAsia" w:asciiTheme="minorEastAsia" w:hAnsiTheme="minorEastAsia"/>
                <w:sz w:val="24"/>
                <w:szCs w:val="24"/>
              </w:rPr>
              <w:t xml:space="preserve">.</w:t>
            </w:r>
            <w:r>
              <w:rPr>
                <w:rFonts w:asciiTheme="minorEastAsia" w:hAnsiTheme="minorEastAsia"/>
                <w:sz w:val="24"/>
                <w:szCs w:val="24"/>
              </w:rPr>
              <w:t xml:space="preserve">传输方式：4G网络</w:t>
            </w:r>
            <w:r>
              <w:rPr>
                <w:rFonts w:hint="eastAsia" w:asciiTheme="minorEastAsia" w:hAnsiTheme="minorEastAsia"/>
                <w:sz w:val="24"/>
                <w:szCs w:val="24"/>
              </w:rPr>
              <w:t xml:space="preserve">。</w:t>
            </w:r>
            <w:r/>
          </w:p>
        </w:tc>
      </w:tr>
      <w:tr>
        <w:trPr>
          <w:jc w:val="center"/>
          <w:trHeight w:val="340"/>
        </w:trPr>
        <w:tc>
          <w:tcPr>
            <w:tcW w:w="539" w:type="pct"/>
            <w:vAlign w:val="center"/>
            <w:textDirection w:val="lrTb"/>
            <w:noWrap w:val="false"/>
          </w:tcPr>
          <w:p>
            <w:pPr>
              <w:jc w:val="center"/>
              <w:spacing w:line="380" w:lineRule="exact"/>
              <w:rPr>
                <w:rFonts w:asciiTheme="minorEastAsia" w:hAnsiTheme="minorEastAsia"/>
                <w:color w:val="000000"/>
                <w:sz w:val="24"/>
                <w:szCs w:val="24"/>
              </w:rPr>
            </w:pPr>
            <w:r>
              <w:rPr>
                <w:rFonts w:hint="eastAsia" w:asciiTheme="minorEastAsia" w:hAnsiTheme="minorEastAsia"/>
                <w:sz w:val="24"/>
                <w:szCs w:val="24"/>
              </w:rPr>
              <w:t xml:space="preserve">2</w:t>
            </w:r>
            <w:r/>
          </w:p>
        </w:tc>
        <w:tc>
          <w:tcPr>
            <w:tcW w:w="973"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智能边缘终端</w:t>
            </w:r>
            <w:r/>
          </w:p>
        </w:tc>
        <w:tc>
          <w:tcPr>
            <w:tcW w:w="3487" w:type="pct"/>
            <w:vAlign w:val="center"/>
            <w:textDirection w:val="lrTb"/>
            <w:noWrap w:val="false"/>
          </w:tcPr>
          <w:p>
            <w:pPr>
              <w:spacing w:line="380" w:lineRule="exact"/>
              <w:rPr>
                <w:rFonts w:asciiTheme="minorEastAsia" w:hAnsiTheme="minorEastAsia"/>
                <w:sz w:val="24"/>
                <w:szCs w:val="24"/>
              </w:rPr>
            </w:pPr>
            <w:r>
              <w:rPr>
                <w:rFonts w:asciiTheme="minorEastAsia" w:hAnsiTheme="minorEastAsia"/>
                <w:sz w:val="24"/>
                <w:szCs w:val="24"/>
              </w:rPr>
              <w:t xml:space="preserve">1</w:t>
            </w:r>
            <w:r>
              <w:rPr>
                <w:rFonts w:hint="eastAsia" w:asciiTheme="minorEastAsia" w:hAnsiTheme="minorEastAsia"/>
                <w:sz w:val="24"/>
                <w:szCs w:val="24"/>
              </w:rPr>
              <w:t xml:space="preserve">.</w:t>
            </w:r>
            <w:r>
              <w:rPr>
                <w:rFonts w:asciiTheme="minorEastAsia" w:hAnsiTheme="minorEastAsia"/>
                <w:sz w:val="24"/>
                <w:szCs w:val="24"/>
              </w:rPr>
              <w:t xml:space="preserve">20 TOPS INT8；</w:t>
            </w:r>
            <w:r/>
          </w:p>
          <w:p>
            <w:pPr>
              <w:spacing w:line="380" w:lineRule="exact"/>
              <w:rPr>
                <w:rFonts w:asciiTheme="minorEastAsia" w:hAnsiTheme="minorEastAsia"/>
                <w:sz w:val="24"/>
                <w:szCs w:val="24"/>
              </w:rPr>
            </w:pPr>
            <w:r>
              <w:rPr>
                <w:rFonts w:asciiTheme="minorEastAsia" w:hAnsiTheme="minorEastAsia"/>
                <w:sz w:val="24"/>
                <w:szCs w:val="24"/>
              </w:rPr>
              <w:t xml:space="preserve">2</w:t>
            </w:r>
            <w:r>
              <w:rPr>
                <w:rFonts w:hint="eastAsia" w:asciiTheme="minorEastAsia" w:hAnsiTheme="minorEastAsia"/>
                <w:sz w:val="24"/>
                <w:szCs w:val="24"/>
              </w:rPr>
              <w:t xml:space="preserve">.</w:t>
            </w:r>
            <w:r>
              <w:rPr>
                <w:rFonts w:asciiTheme="minorEastAsia" w:hAnsiTheme="minorEastAsia"/>
                <w:sz w:val="24"/>
                <w:szCs w:val="24"/>
              </w:rPr>
              <w:t xml:space="preserve">10 TFLOPS FP16；</w:t>
            </w:r>
            <w:r/>
          </w:p>
          <w:p>
            <w:pPr>
              <w:spacing w:line="380" w:lineRule="exact"/>
              <w:rPr>
                <w:rFonts w:asciiTheme="minorEastAsia" w:hAnsiTheme="minorEastAsia"/>
                <w:sz w:val="24"/>
                <w:szCs w:val="24"/>
              </w:rPr>
            </w:pPr>
            <w:r>
              <w:rPr>
                <w:rFonts w:asciiTheme="minorEastAsia" w:hAnsiTheme="minorEastAsia"/>
                <w:sz w:val="24"/>
                <w:szCs w:val="24"/>
              </w:rPr>
              <w:t xml:space="preserve">3</w:t>
            </w:r>
            <w:r>
              <w:rPr>
                <w:rFonts w:hint="eastAsia" w:asciiTheme="minorEastAsia" w:hAnsiTheme="minorEastAsia"/>
                <w:sz w:val="24"/>
                <w:szCs w:val="24"/>
              </w:rPr>
              <w:t xml:space="preserve">.</w:t>
            </w:r>
            <w:r>
              <w:rPr>
                <w:rFonts w:asciiTheme="minorEastAsia" w:hAnsiTheme="minorEastAsia"/>
                <w:sz w:val="24"/>
                <w:szCs w:val="24"/>
              </w:rPr>
              <w:t xml:space="preserve">LPDDR4X，12 GB，最大51.2 GB/s；</w:t>
            </w:r>
            <w:r/>
          </w:p>
          <w:p>
            <w:pPr>
              <w:spacing w:line="380" w:lineRule="exact"/>
              <w:rPr>
                <w:rFonts w:asciiTheme="minorEastAsia" w:hAnsiTheme="minorEastAsia"/>
                <w:sz w:val="24"/>
                <w:szCs w:val="24"/>
              </w:rPr>
            </w:pPr>
            <w:r>
              <w:rPr>
                <w:rFonts w:asciiTheme="minorEastAsia" w:hAnsiTheme="minorEastAsia"/>
                <w:sz w:val="24"/>
                <w:szCs w:val="24"/>
              </w:rPr>
              <w:t xml:space="preserve">4</w:t>
            </w:r>
            <w:r>
              <w:rPr>
                <w:rFonts w:hint="eastAsia" w:asciiTheme="minorEastAsia" w:hAnsiTheme="minorEastAsia"/>
                <w:sz w:val="24"/>
                <w:szCs w:val="24"/>
              </w:rPr>
              <w:t xml:space="preserve">.</w:t>
            </w:r>
            <w:r>
              <w:rPr>
                <w:rFonts w:asciiTheme="minorEastAsia" w:hAnsiTheme="minorEastAsia"/>
                <w:sz w:val="24"/>
                <w:szCs w:val="24"/>
              </w:rPr>
              <w:t xml:space="preserve">支持H.264/H.265 Decoder硬件解码，40路1080P30FPS，4路4K 75FPS，YUV420；</w:t>
            </w:r>
            <w:r/>
          </w:p>
          <w:p>
            <w:pPr>
              <w:spacing w:line="380" w:lineRule="exact"/>
              <w:rPr>
                <w:rFonts w:asciiTheme="minorEastAsia" w:hAnsiTheme="minorEastAsia"/>
                <w:sz w:val="24"/>
                <w:szCs w:val="24"/>
              </w:rPr>
            </w:pPr>
            <w:r>
              <w:rPr>
                <w:rFonts w:asciiTheme="minorEastAsia" w:hAnsiTheme="minorEastAsia"/>
                <w:sz w:val="24"/>
                <w:szCs w:val="24"/>
              </w:rPr>
              <w:t xml:space="preserve">5</w:t>
            </w:r>
            <w:r>
              <w:rPr>
                <w:rFonts w:hint="eastAsia" w:asciiTheme="minorEastAsia" w:hAnsiTheme="minorEastAsia"/>
                <w:sz w:val="24"/>
                <w:szCs w:val="24"/>
              </w:rPr>
              <w:t xml:space="preserve">.</w:t>
            </w:r>
            <w:r>
              <w:rPr>
                <w:rFonts w:asciiTheme="minorEastAsia" w:hAnsiTheme="minorEastAsia"/>
                <w:sz w:val="24"/>
                <w:szCs w:val="24"/>
              </w:rPr>
              <w:t xml:space="preserve">支持H.264/H.265 Encoder硬件编码，20路1080P30FPS，3路4K 50FPS，YUV420；</w:t>
            </w:r>
            <w:r/>
          </w:p>
          <w:p>
            <w:pPr>
              <w:spacing w:line="380" w:lineRule="exact"/>
              <w:rPr>
                <w:rFonts w:asciiTheme="minorEastAsia" w:hAnsiTheme="minorEastAsia"/>
                <w:sz w:val="24"/>
                <w:szCs w:val="24"/>
              </w:rPr>
            </w:pPr>
            <w:r>
              <w:rPr>
                <w:rFonts w:asciiTheme="minorEastAsia" w:hAnsiTheme="minorEastAsia"/>
                <w:sz w:val="24"/>
                <w:szCs w:val="24"/>
              </w:rPr>
              <w:t xml:space="preserve">6</w:t>
            </w:r>
            <w:r>
              <w:rPr>
                <w:rFonts w:hint="eastAsia" w:asciiTheme="minorEastAsia" w:hAnsiTheme="minorEastAsia"/>
                <w:sz w:val="24"/>
                <w:szCs w:val="24"/>
              </w:rPr>
              <w:t xml:space="preserve">.</w:t>
            </w:r>
            <w:r>
              <w:rPr>
                <w:rFonts w:asciiTheme="minorEastAsia" w:hAnsiTheme="minorEastAsia"/>
                <w:sz w:val="24"/>
                <w:szCs w:val="24"/>
              </w:rPr>
              <w:t xml:space="preserve">JPEG解码1080P 512FPS，编码1080P 256FPS，分辨率最大16384 × 16384，最小32 × 32；</w:t>
            </w:r>
            <w:r/>
          </w:p>
          <w:p>
            <w:pPr>
              <w:spacing w:line="380" w:lineRule="exact"/>
              <w:rPr>
                <w:rFonts w:asciiTheme="minorEastAsia" w:hAnsiTheme="minorEastAsia"/>
                <w:sz w:val="24"/>
                <w:szCs w:val="24"/>
              </w:rPr>
            </w:pPr>
            <w:r>
              <w:rPr>
                <w:rFonts w:asciiTheme="minorEastAsia" w:hAnsiTheme="minorEastAsia"/>
                <w:sz w:val="24"/>
                <w:szCs w:val="24"/>
              </w:rPr>
              <w:t xml:space="preserve">7</w:t>
            </w:r>
            <w:r>
              <w:rPr>
                <w:rFonts w:hint="eastAsia" w:asciiTheme="minorEastAsia" w:hAnsiTheme="minorEastAsia"/>
                <w:sz w:val="24"/>
                <w:szCs w:val="24"/>
              </w:rPr>
              <w:t xml:space="preserve">.</w:t>
            </w:r>
            <w:r>
              <w:rPr>
                <w:rFonts w:asciiTheme="minorEastAsia" w:hAnsiTheme="minorEastAsia"/>
                <w:sz w:val="24"/>
                <w:szCs w:val="24"/>
              </w:rPr>
              <w:t xml:space="preserve">HEIF解码1080P 480FPS，最大分辨率：5120 × 8192；</w:t>
            </w:r>
            <w:r/>
          </w:p>
          <w:p>
            <w:pPr>
              <w:spacing w:line="380" w:lineRule="exact"/>
              <w:rPr>
                <w:rFonts w:asciiTheme="minorEastAsia" w:hAnsiTheme="minorEastAsia"/>
                <w:sz w:val="24"/>
                <w:szCs w:val="24"/>
              </w:rPr>
            </w:pPr>
            <w:r>
              <w:rPr>
                <w:rFonts w:asciiTheme="minorEastAsia" w:hAnsiTheme="minorEastAsia"/>
                <w:sz w:val="24"/>
                <w:szCs w:val="24"/>
              </w:rPr>
              <w:t xml:space="preserve">8</w:t>
            </w:r>
            <w:r>
              <w:rPr>
                <w:rFonts w:hint="eastAsia" w:asciiTheme="minorEastAsia" w:hAnsiTheme="minorEastAsia"/>
                <w:sz w:val="24"/>
                <w:szCs w:val="24"/>
              </w:rPr>
              <w:t xml:space="preserve">.</w:t>
            </w:r>
            <w:r>
              <w:rPr>
                <w:rFonts w:asciiTheme="minorEastAsia" w:hAnsiTheme="minorEastAsia"/>
                <w:sz w:val="24"/>
                <w:szCs w:val="24"/>
              </w:rPr>
              <w:t xml:space="preserve">编码能力1080P 240FPS，最大分辨率8192 × 8192；</w:t>
            </w:r>
            <w:r/>
          </w:p>
          <w:p>
            <w:pPr>
              <w:spacing w:line="380" w:lineRule="exact"/>
              <w:rPr>
                <w:rFonts w:asciiTheme="minorEastAsia" w:hAnsiTheme="minorEastAsia"/>
                <w:sz w:val="24"/>
                <w:szCs w:val="24"/>
              </w:rPr>
            </w:pPr>
            <w:r>
              <w:rPr>
                <w:rFonts w:asciiTheme="minorEastAsia" w:hAnsiTheme="minorEastAsia"/>
                <w:sz w:val="24"/>
                <w:szCs w:val="24"/>
              </w:rPr>
              <w:t xml:space="preserve">9</w:t>
            </w:r>
            <w:r>
              <w:rPr>
                <w:rFonts w:hint="eastAsia" w:asciiTheme="minorEastAsia" w:hAnsiTheme="minorEastAsia"/>
                <w:sz w:val="24"/>
                <w:szCs w:val="24"/>
              </w:rPr>
              <w:t xml:space="preserve">.</w:t>
            </w:r>
            <w:r>
              <w:rPr>
                <w:rFonts w:asciiTheme="minorEastAsia" w:hAnsiTheme="minorEastAsia"/>
                <w:sz w:val="24"/>
                <w:szCs w:val="24"/>
              </w:rPr>
              <w:t xml:space="preserve">网络：2个GE RJ45；</w:t>
            </w:r>
            <w:r/>
          </w:p>
          <w:p>
            <w:pPr>
              <w:spacing w:line="380" w:lineRule="exact"/>
              <w:rPr>
                <w:rFonts w:asciiTheme="minorEastAsia" w:hAnsiTheme="minorEastAsia"/>
                <w:sz w:val="24"/>
                <w:szCs w:val="24"/>
              </w:rPr>
            </w:pPr>
            <w:r>
              <w:rPr>
                <w:rFonts w:asciiTheme="minorEastAsia" w:hAnsiTheme="minorEastAsia"/>
                <w:sz w:val="24"/>
                <w:szCs w:val="24"/>
              </w:rPr>
              <w:t xml:space="preserve">10</w:t>
            </w:r>
            <w:r>
              <w:rPr>
                <w:rFonts w:hint="eastAsia" w:asciiTheme="minorEastAsia" w:hAnsiTheme="minorEastAsia"/>
                <w:sz w:val="24"/>
                <w:szCs w:val="24"/>
              </w:rPr>
              <w:t xml:space="preserve">.</w:t>
            </w:r>
            <w:r>
              <w:rPr>
                <w:rFonts w:asciiTheme="minorEastAsia" w:hAnsiTheme="minorEastAsia"/>
                <w:sz w:val="24"/>
                <w:szCs w:val="24"/>
              </w:rPr>
              <w:t xml:space="preserve">其他I/O：1个HDMI接口，1对3.5 mm立体声输入输出接口；2个外部和1个内部USB2.0接口（Type-A）；</w:t>
            </w:r>
            <w:r/>
          </w:p>
          <w:p>
            <w:pPr>
              <w:spacing w:line="380" w:lineRule="exact"/>
              <w:rPr>
                <w:rFonts w:asciiTheme="minorEastAsia" w:hAnsiTheme="minorEastAsia"/>
                <w:sz w:val="24"/>
                <w:szCs w:val="24"/>
              </w:rPr>
            </w:pPr>
            <w:r>
              <w:rPr>
                <w:rFonts w:asciiTheme="minorEastAsia" w:hAnsiTheme="minorEastAsia"/>
                <w:sz w:val="24"/>
                <w:szCs w:val="24"/>
              </w:rPr>
              <w:t xml:space="preserve">11</w:t>
            </w:r>
            <w:r>
              <w:rPr>
                <w:rFonts w:hint="eastAsia" w:asciiTheme="minorEastAsia" w:hAnsiTheme="minorEastAsia"/>
                <w:sz w:val="24"/>
                <w:szCs w:val="24"/>
              </w:rPr>
              <w:t xml:space="preserve">.</w:t>
            </w:r>
            <w:r>
              <w:rPr>
                <w:rFonts w:asciiTheme="minorEastAsia" w:hAnsiTheme="minorEastAsia"/>
                <w:sz w:val="24"/>
                <w:szCs w:val="24"/>
              </w:rPr>
              <w:t xml:space="preserve">工作湿度：≤99%RH；</w:t>
            </w:r>
            <w:r/>
          </w:p>
          <w:p>
            <w:pPr>
              <w:spacing w:line="380" w:lineRule="exact"/>
              <w:rPr>
                <w:rFonts w:asciiTheme="minorEastAsia" w:hAnsiTheme="minorEastAsia"/>
                <w:sz w:val="24"/>
                <w:szCs w:val="24"/>
              </w:rPr>
            </w:pPr>
            <w:r>
              <w:rPr>
                <w:rFonts w:asciiTheme="minorEastAsia" w:hAnsiTheme="minorEastAsia"/>
                <w:sz w:val="24"/>
                <w:szCs w:val="24"/>
              </w:rPr>
              <w:t xml:space="preserve">12</w:t>
            </w:r>
            <w:r>
              <w:rPr>
                <w:rFonts w:hint="eastAsia" w:asciiTheme="minorEastAsia" w:hAnsiTheme="minorEastAsia"/>
                <w:sz w:val="24"/>
                <w:szCs w:val="24"/>
              </w:rPr>
              <w:t xml:space="preserve">.</w:t>
            </w:r>
            <w:r>
              <w:rPr>
                <w:rFonts w:asciiTheme="minorEastAsia" w:hAnsiTheme="minorEastAsia"/>
                <w:sz w:val="24"/>
                <w:szCs w:val="24"/>
              </w:rPr>
              <w:t xml:space="preserve">通信方式：NB-IoT；</w:t>
            </w:r>
            <w:r/>
          </w:p>
          <w:p>
            <w:pPr>
              <w:spacing w:line="380" w:lineRule="exact"/>
              <w:rPr>
                <w:rFonts w:asciiTheme="minorEastAsia" w:hAnsiTheme="minorEastAsia"/>
                <w:sz w:val="24"/>
                <w:szCs w:val="24"/>
              </w:rPr>
            </w:pPr>
            <w:r>
              <w:rPr>
                <w:rFonts w:asciiTheme="minorEastAsia" w:hAnsiTheme="minorEastAsia"/>
                <w:sz w:val="24"/>
                <w:szCs w:val="24"/>
              </w:rPr>
              <w:t xml:space="preserve">13</w:t>
            </w:r>
            <w:r>
              <w:rPr>
                <w:rFonts w:hint="eastAsia" w:asciiTheme="minorEastAsia" w:hAnsiTheme="minorEastAsia"/>
                <w:sz w:val="24"/>
                <w:szCs w:val="24"/>
              </w:rPr>
              <w:t xml:space="preserve">.</w:t>
            </w:r>
            <w:r>
              <w:rPr>
                <w:rFonts w:asciiTheme="minorEastAsia" w:hAnsiTheme="minorEastAsia"/>
                <w:sz w:val="24"/>
                <w:szCs w:val="24"/>
              </w:rPr>
              <w:t xml:space="preserve">流量套餐：提供3年流量套餐</w:t>
            </w:r>
            <w:r>
              <w:rPr>
                <w:rFonts w:hint="eastAsia" w:asciiTheme="minorEastAsia" w:hAnsiTheme="minorEastAsia"/>
                <w:sz w:val="24"/>
                <w:szCs w:val="24"/>
              </w:rPr>
              <w:t xml:space="preserve">。</w:t>
            </w:r>
            <w:r/>
          </w:p>
        </w:tc>
      </w:tr>
      <w:tr>
        <w:trPr>
          <w:jc w:val="center"/>
          <w:trHeight w:val="340"/>
        </w:trPr>
        <w:tc>
          <w:tcPr>
            <w:tcW w:w="539"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3</w:t>
            </w:r>
            <w:r/>
          </w:p>
        </w:tc>
        <w:tc>
          <w:tcPr>
            <w:shd w:val="clear" w:color="auto" w:fill="auto"/>
            <w:tcW w:w="973" w:type="pct"/>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分布式光纤声传感设备</w:t>
            </w:r>
            <w:r/>
          </w:p>
        </w:tc>
        <w:tc>
          <w:tcPr>
            <w:tcW w:w="3487" w:type="pct"/>
            <w:vAlign w:val="center"/>
            <w:textDirection w:val="lrTb"/>
            <w:noWrap w:val="false"/>
          </w:tcPr>
          <w:p>
            <w:pPr>
              <w:spacing w:line="380" w:lineRule="exact"/>
              <w:rPr>
                <w:rFonts w:asciiTheme="minorEastAsia" w:hAnsiTheme="minorEastAsia"/>
                <w:sz w:val="24"/>
                <w:szCs w:val="24"/>
              </w:rPr>
            </w:pPr>
            <w:r>
              <w:rPr>
                <w:rFonts w:hint="eastAsia" w:asciiTheme="minorEastAsia" w:hAnsiTheme="minorEastAsia"/>
                <w:sz w:val="24"/>
                <w:szCs w:val="24"/>
              </w:rPr>
              <w:t xml:space="preserve">1.探测距离：100km；</w:t>
            </w:r>
            <w:r/>
          </w:p>
          <w:p>
            <w:pPr>
              <w:spacing w:line="380" w:lineRule="exact"/>
              <w:rPr>
                <w:rFonts w:asciiTheme="minorEastAsia" w:hAnsiTheme="minorEastAsia"/>
                <w:sz w:val="24"/>
                <w:szCs w:val="24"/>
              </w:rPr>
            </w:pPr>
            <w:r>
              <w:rPr>
                <w:rFonts w:hint="eastAsia" w:asciiTheme="minorEastAsia" w:hAnsiTheme="minorEastAsia"/>
                <w:sz w:val="24"/>
                <w:szCs w:val="24"/>
              </w:rPr>
              <w:t xml:space="preserve">2.空间分辨率：采样间隔0.2m，空间分辨率≤1m；</w:t>
            </w:r>
            <w:r/>
          </w:p>
          <w:p>
            <w:pPr>
              <w:spacing w:line="380" w:lineRule="exact"/>
              <w:rPr>
                <w:rFonts w:asciiTheme="minorEastAsia" w:hAnsiTheme="minorEastAsia"/>
                <w:sz w:val="24"/>
                <w:szCs w:val="24"/>
              </w:rPr>
            </w:pPr>
            <w:r>
              <w:rPr>
                <w:rFonts w:hint="eastAsia" w:asciiTheme="minorEastAsia" w:hAnsiTheme="minorEastAsia"/>
                <w:sz w:val="24"/>
                <w:szCs w:val="24"/>
              </w:rPr>
              <w:t xml:space="preserve">3.响应带宽0.001-50kHz（在传感器端口外接5km裸纤盘 ,并在尾端接入 1m光纤跳线 ,在跳线尾端接入压电陶瓷式振动模拟器 ,在响应带宽范围内调节振动频率 ,应可在主机软件瀑布图上显示出振动信号 ；0.001-1Hz采用耦合低频滤波器方法进行试验）；</w:t>
            </w:r>
            <w:r/>
          </w:p>
          <w:p>
            <w:pPr>
              <w:spacing w:line="380" w:lineRule="exact"/>
              <w:rPr>
                <w:rFonts w:asciiTheme="minorEastAsia" w:hAnsiTheme="minorEastAsia"/>
                <w:sz w:val="24"/>
                <w:szCs w:val="24"/>
              </w:rPr>
            </w:pPr>
            <w:r>
              <w:rPr>
                <w:rFonts w:hint="eastAsia" w:asciiTheme="minorEastAsia" w:hAnsiTheme="minorEastAsia"/>
                <w:sz w:val="24"/>
                <w:szCs w:val="24"/>
              </w:rPr>
              <w:t xml:space="preserve">4.自噪声水平优于3.5pε/√Hz（随机采集光纤静止状态下噪声数据,计算 PSD(功率谱密度),统计各频点的概率分布,计算各频点自噪声(置信区间 99%),最终选取所有频点自噪声的中位数作为设备的自噪声）；</w:t>
            </w:r>
            <w:r/>
          </w:p>
          <w:p>
            <w:pPr>
              <w:spacing w:line="380" w:lineRule="exact"/>
              <w:rPr>
                <w:rFonts w:asciiTheme="minorEastAsia" w:hAnsiTheme="minorEastAsia"/>
                <w:sz w:val="24"/>
                <w:szCs w:val="24"/>
              </w:rPr>
            </w:pPr>
            <w:r>
              <w:rPr>
                <w:rFonts w:hint="eastAsia" w:asciiTheme="minorEastAsia" w:hAnsiTheme="minorEastAsia"/>
                <w:sz w:val="24"/>
                <w:szCs w:val="24"/>
              </w:rPr>
              <w:t xml:space="preserve">5.波形保真度：≥99.8%；</w:t>
            </w:r>
            <w:r/>
          </w:p>
          <w:p>
            <w:pPr>
              <w:spacing w:line="380" w:lineRule="exact"/>
              <w:rPr>
                <w:rFonts w:asciiTheme="minorEastAsia" w:hAnsiTheme="minorEastAsia"/>
                <w:sz w:val="24"/>
                <w:szCs w:val="24"/>
              </w:rPr>
            </w:pPr>
            <w:r>
              <w:rPr>
                <w:rFonts w:hint="eastAsia" w:asciiTheme="minorEastAsia" w:hAnsiTheme="minorEastAsia"/>
                <w:sz w:val="24"/>
                <w:szCs w:val="24"/>
              </w:rPr>
              <w:t xml:space="preserve">6.通信接口：1000M以太网；</w:t>
            </w:r>
            <w:r/>
          </w:p>
          <w:p>
            <w:pPr>
              <w:spacing w:line="380" w:lineRule="exact"/>
              <w:rPr>
                <w:rFonts w:asciiTheme="minorEastAsia" w:hAnsiTheme="minorEastAsia"/>
                <w:sz w:val="24"/>
                <w:szCs w:val="24"/>
              </w:rPr>
            </w:pPr>
            <w:r>
              <w:rPr>
                <w:rFonts w:hint="eastAsia" w:asciiTheme="minorEastAsia" w:hAnsiTheme="minorEastAsia"/>
                <w:sz w:val="24"/>
                <w:szCs w:val="24"/>
              </w:rPr>
              <w:t xml:space="preserve">7.传感光纤：G652.D标准单模光纤；</w:t>
            </w:r>
            <w:r/>
          </w:p>
          <w:p>
            <w:pPr>
              <w:spacing w:line="380" w:lineRule="exact"/>
              <w:rPr>
                <w:rFonts w:asciiTheme="minorEastAsia" w:hAnsiTheme="minorEastAsia"/>
                <w:sz w:val="24"/>
                <w:szCs w:val="24"/>
              </w:rPr>
            </w:pPr>
            <w:r>
              <w:rPr>
                <w:rFonts w:hint="eastAsia" w:asciiTheme="minorEastAsia" w:hAnsiTheme="minorEastAsia"/>
                <w:sz w:val="24"/>
                <w:szCs w:val="24"/>
              </w:rPr>
              <w:t xml:space="preserve">8.输出接口：FC/APC，可用通道数不少于10个。</w:t>
            </w:r>
            <w:r/>
          </w:p>
        </w:tc>
      </w:tr>
      <w:tr>
        <w:trPr>
          <w:jc w:val="center"/>
          <w:trHeight w:val="340"/>
        </w:trPr>
        <w:tc>
          <w:tcPr>
            <w:tcW w:w="539"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4</w:t>
            </w:r>
            <w:r/>
          </w:p>
        </w:tc>
        <w:tc>
          <w:tcPr>
            <w:shd w:val="clear" w:color="auto" w:fill="auto"/>
            <w:tcW w:w="973" w:type="pct"/>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光纤感知神经分析系统</w:t>
            </w:r>
            <w:r/>
          </w:p>
        </w:tc>
        <w:tc>
          <w:tcPr>
            <w:tcW w:w="3487" w:type="pct"/>
            <w:vAlign w:val="center"/>
            <w:textDirection w:val="lrTb"/>
            <w:noWrap w:val="false"/>
          </w:tcPr>
          <w:p>
            <w:pPr>
              <w:spacing w:line="380" w:lineRule="exact"/>
              <w:rPr>
                <w:rFonts w:asciiTheme="minorEastAsia" w:hAnsiTheme="minorEastAsia"/>
                <w:sz w:val="24"/>
                <w:szCs w:val="24"/>
              </w:rPr>
            </w:pPr>
            <w:r>
              <w:rPr>
                <w:rFonts w:hint="eastAsia" w:asciiTheme="minorEastAsia" w:hAnsiTheme="minorEastAsia"/>
                <w:sz w:val="24"/>
                <w:szCs w:val="24"/>
              </w:rPr>
              <w:t xml:space="preserve">1.空间分辨率：采样间隔0.2m，空间分辨率≤1m；</w:t>
            </w:r>
            <w:r/>
          </w:p>
          <w:p>
            <w:pPr>
              <w:spacing w:line="380" w:lineRule="exact"/>
              <w:rPr>
                <w:rFonts w:asciiTheme="minorEastAsia" w:hAnsiTheme="minorEastAsia"/>
                <w:sz w:val="24"/>
                <w:szCs w:val="24"/>
              </w:rPr>
            </w:pPr>
            <w:r>
              <w:rPr>
                <w:rFonts w:hint="eastAsia" w:asciiTheme="minorEastAsia" w:hAnsiTheme="minorEastAsia"/>
                <w:sz w:val="24"/>
                <w:szCs w:val="24"/>
              </w:rPr>
              <w:t xml:space="preserve">2.信号响应频带：0.001-50kHz（在传感器端口外接5km裸纤盘 ,并在尾端接入 1m光纤跳线 ,在跳线尾端接入压电陶瓷式振动模拟器 ,在响应带宽范围内调节振动频率 ,应可在主机软件瀑布图上显示出振动信号 ；0.001-1Hz采用耦合低频滤波器方法进行试验）；</w:t>
            </w:r>
            <w:r/>
          </w:p>
          <w:p>
            <w:pPr>
              <w:spacing w:line="380" w:lineRule="exact"/>
              <w:rPr>
                <w:rFonts w:asciiTheme="minorEastAsia" w:hAnsiTheme="minorEastAsia"/>
                <w:sz w:val="24"/>
                <w:szCs w:val="24"/>
              </w:rPr>
            </w:pPr>
            <w:r>
              <w:rPr>
                <w:rFonts w:hint="eastAsia" w:asciiTheme="minorEastAsia" w:hAnsiTheme="minorEastAsia"/>
                <w:sz w:val="24"/>
                <w:szCs w:val="24"/>
              </w:rPr>
              <w:t xml:space="preserve">3.自噪声水平@累计概率95%：≤3.5pε/√Hz（随机采集光纤静止状态下噪声数据,计算 PSD(功率谱密度),统计各频点的概率分布,计算各频点自噪声(置信区间 99%),最终选取所有频点自噪声的中位数作为设备的自噪声</w:t>
            </w:r>
            <w:r/>
          </w:p>
          <w:p>
            <w:pPr>
              <w:spacing w:line="380" w:lineRule="exact"/>
              <w:rPr>
                <w:rFonts w:asciiTheme="minorEastAsia" w:hAnsiTheme="minorEastAsia"/>
                <w:sz w:val="24"/>
                <w:szCs w:val="24"/>
              </w:rPr>
            </w:pPr>
            <w:r>
              <w:rPr>
                <w:rFonts w:hint="eastAsia" w:asciiTheme="minorEastAsia" w:hAnsiTheme="minorEastAsia"/>
                <w:sz w:val="24"/>
                <w:szCs w:val="24"/>
              </w:rPr>
              <w:t xml:space="preserve">4.入侵报警功能检查≤3s（当探测器被触发时,应能在不大于 3s的时间内通过信号处理器输出入侵报警信号）</w:t>
            </w:r>
            <w:r/>
          </w:p>
          <w:p>
            <w:pPr>
              <w:spacing w:line="380" w:lineRule="exact"/>
              <w:rPr>
                <w:rFonts w:asciiTheme="minorEastAsia" w:hAnsiTheme="minorEastAsia"/>
                <w:sz w:val="24"/>
                <w:szCs w:val="24"/>
              </w:rPr>
            </w:pPr>
            <w:r>
              <w:rPr>
                <w:rFonts w:hint="eastAsia" w:asciiTheme="minorEastAsia" w:hAnsiTheme="minorEastAsia"/>
                <w:sz w:val="24"/>
                <w:szCs w:val="24"/>
              </w:rPr>
              <w:t xml:space="preserve">5.断纤报警功能检查≤3s（当出现断纤时,应能在不大于 3s的时间内通过信号处理器输出断纤报警信号,且宜能通过显示/指示单元显示距光纤始端最近的断纤区域 (位置 )</w:t>
            </w:r>
            <w:r/>
          </w:p>
        </w:tc>
      </w:tr>
      <w:tr>
        <w:trPr>
          <w:jc w:val="center"/>
          <w:trHeight w:val="340"/>
        </w:trPr>
        <w:tc>
          <w:tcPr>
            <w:tcW w:w="539"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5</w:t>
            </w:r>
            <w:r/>
          </w:p>
        </w:tc>
        <w:tc>
          <w:tcPr>
            <w:shd w:val="clear" w:color="auto" w:fill="auto"/>
            <w:tcW w:w="973" w:type="pct"/>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光纤租赁</w:t>
            </w:r>
            <w:r/>
          </w:p>
        </w:tc>
        <w:tc>
          <w:tcPr>
            <w:tcW w:w="3487" w:type="pct"/>
            <w:vAlign w:val="center"/>
            <w:textDirection w:val="lrTb"/>
            <w:noWrap w:val="false"/>
          </w:tcPr>
          <w:p>
            <w:pPr>
              <w:spacing w:line="380" w:lineRule="exact"/>
              <w:rPr>
                <w:rFonts w:asciiTheme="minorEastAsia" w:hAnsiTheme="minorEastAsia"/>
                <w:sz w:val="24"/>
                <w:szCs w:val="24"/>
              </w:rPr>
            </w:pPr>
            <w:r>
              <w:rPr>
                <w:rFonts w:hint="eastAsia" w:asciiTheme="minorEastAsia" w:hAnsiTheme="minorEastAsia"/>
                <w:sz w:val="24"/>
                <w:szCs w:val="24"/>
              </w:rPr>
              <w:t xml:space="preserve">配套光纤租赁</w:t>
            </w:r>
            <w:r/>
          </w:p>
        </w:tc>
      </w:tr>
    </w:tbl>
    <w:p>
      <w:pPr>
        <w:pStyle w:val="855"/>
        <w:ind w:firstLine="480"/>
        <w:spacing w:line="360" w:lineRule="auto"/>
        <w:rPr>
          <w:rFonts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布点清单：</w:t>
      </w:r>
      <w:r/>
    </w:p>
    <w:tbl>
      <w:tblPr>
        <w:tblStyle w:val="863"/>
        <w:tblW w:w="4916" w:type="pct"/>
        <w:jc w:val="center"/>
        <w:tblBorders>
          <w:top w:val="single" w:color="auto" w:sz="8" w:space="0"/>
          <w:left w:val="single" w:color="auto" w:sz="8" w:space="0"/>
          <w:bottom w:val="single" w:color="auto" w:sz="8" w:space="0"/>
          <w:right w:val="single" w:color="auto" w:sz="8" w:space="0"/>
        </w:tblBorders>
        <w:tblCellMar>
          <w:left w:w="0" w:type="dxa"/>
          <w:right w:w="0" w:type="dxa"/>
        </w:tblCellMar>
        <w:tblLook w:val="04A0" w:firstRow="1" w:lastRow="0" w:firstColumn="1" w:lastColumn="0" w:noHBand="0" w:noVBand="1"/>
      </w:tblPr>
      <w:tblGrid>
        <w:gridCol w:w="820"/>
        <w:gridCol w:w="1666"/>
        <w:gridCol w:w="739"/>
        <w:gridCol w:w="750"/>
        <w:gridCol w:w="3477"/>
        <w:gridCol w:w="2044"/>
      </w:tblGrid>
      <w:tr>
        <w:trPr>
          <w:jc w:val="center"/>
          <w:trHeight w:val="530"/>
          <w:tblHeader/>
        </w:trPr>
        <w:tc>
          <w:tcPr>
            <w:shd w:val="clear" w:color="auto" w:fill="auto"/>
            <w:tcW w:w="432" w:type="pct"/>
            <w:vAlign w:val="center"/>
            <w:textDirection w:val="lrTb"/>
            <w:noWrap w:val="false"/>
          </w:tcPr>
          <w:p>
            <w:pPr>
              <w:jc w:val="center"/>
              <w:spacing w:line="380" w:lineRule="exact"/>
              <w:rPr>
                <w:rFonts w:asciiTheme="minorEastAsia" w:hAnsiTheme="minorEastAsia"/>
                <w:b/>
                <w:bCs/>
                <w:sz w:val="24"/>
                <w:szCs w:val="24"/>
              </w:rPr>
            </w:pPr>
            <w:r>
              <w:rPr>
                <w:rFonts w:hint="eastAsia" w:asciiTheme="minorEastAsia" w:hAnsiTheme="minorEastAsia"/>
                <w:b/>
                <w:bCs/>
                <w:sz w:val="24"/>
                <w:szCs w:val="24"/>
              </w:rPr>
              <w:t xml:space="preserve">序号</w:t>
            </w:r>
            <w:r/>
          </w:p>
        </w:tc>
        <w:tc>
          <w:tcPr>
            <w:shd w:val="clear" w:color="auto" w:fill="auto"/>
            <w:tcW w:w="876" w:type="pct"/>
            <w:vAlign w:val="center"/>
            <w:textDirection w:val="lrTb"/>
            <w:noWrap w:val="false"/>
          </w:tcPr>
          <w:p>
            <w:pPr>
              <w:jc w:val="center"/>
              <w:spacing w:line="380" w:lineRule="exact"/>
              <w:rPr>
                <w:rFonts w:asciiTheme="minorEastAsia" w:hAnsiTheme="minorEastAsia"/>
                <w:b/>
                <w:bCs/>
                <w:sz w:val="24"/>
                <w:szCs w:val="24"/>
              </w:rPr>
            </w:pPr>
            <w:r>
              <w:rPr>
                <w:rFonts w:hint="eastAsia" w:asciiTheme="minorEastAsia" w:hAnsiTheme="minorEastAsia"/>
                <w:b/>
                <w:bCs/>
                <w:sz w:val="24"/>
                <w:szCs w:val="24"/>
              </w:rPr>
              <w:t xml:space="preserve">监测设备类型</w:t>
            </w:r>
            <w:r/>
          </w:p>
        </w:tc>
        <w:tc>
          <w:tcPr>
            <w:shd w:val="clear" w:color="auto" w:fill="auto"/>
            <w:tcW w:w="389" w:type="pct"/>
            <w:vAlign w:val="center"/>
            <w:textDirection w:val="lrTb"/>
            <w:noWrap w:val="false"/>
          </w:tcPr>
          <w:p>
            <w:pPr>
              <w:jc w:val="center"/>
              <w:spacing w:line="380" w:lineRule="exact"/>
              <w:rPr>
                <w:rFonts w:asciiTheme="minorEastAsia" w:hAnsiTheme="minorEastAsia"/>
                <w:b/>
                <w:bCs/>
                <w:sz w:val="24"/>
                <w:szCs w:val="24"/>
              </w:rPr>
            </w:pPr>
            <w:r>
              <w:rPr>
                <w:rFonts w:hint="eastAsia" w:asciiTheme="minorEastAsia" w:hAnsiTheme="minorEastAsia"/>
                <w:b/>
                <w:bCs/>
                <w:sz w:val="24"/>
                <w:szCs w:val="24"/>
              </w:rPr>
              <w:t xml:space="preserve">单位</w:t>
            </w:r>
            <w:r/>
          </w:p>
        </w:tc>
        <w:tc>
          <w:tcPr>
            <w:shd w:val="clear" w:color="auto" w:fill="auto"/>
            <w:tcW w:w="395" w:type="pct"/>
            <w:vAlign w:val="center"/>
            <w:textDirection w:val="lrTb"/>
            <w:noWrap w:val="false"/>
          </w:tcPr>
          <w:p>
            <w:pPr>
              <w:jc w:val="center"/>
              <w:spacing w:line="380" w:lineRule="exact"/>
              <w:rPr>
                <w:rFonts w:asciiTheme="minorEastAsia" w:hAnsiTheme="minorEastAsia"/>
                <w:b/>
                <w:bCs/>
                <w:sz w:val="24"/>
                <w:szCs w:val="24"/>
              </w:rPr>
            </w:pPr>
            <w:r>
              <w:rPr>
                <w:rFonts w:hint="eastAsia" w:asciiTheme="minorEastAsia" w:hAnsiTheme="minorEastAsia"/>
                <w:b/>
                <w:bCs/>
                <w:sz w:val="24"/>
                <w:szCs w:val="24"/>
              </w:rPr>
              <w:t xml:space="preserve">数量</w:t>
            </w:r>
            <w:r/>
          </w:p>
        </w:tc>
        <w:tc>
          <w:tcPr>
            <w:shd w:val="clear" w:color="auto" w:fill="auto"/>
            <w:tcW w:w="1830" w:type="pct"/>
            <w:vAlign w:val="center"/>
            <w:textDirection w:val="lrTb"/>
            <w:noWrap w:val="false"/>
          </w:tcPr>
          <w:p>
            <w:pPr>
              <w:jc w:val="center"/>
              <w:spacing w:line="380" w:lineRule="exact"/>
              <w:rPr>
                <w:rFonts w:asciiTheme="minorEastAsia" w:hAnsiTheme="minorEastAsia"/>
                <w:b/>
                <w:bCs/>
                <w:sz w:val="24"/>
                <w:szCs w:val="24"/>
              </w:rPr>
            </w:pPr>
            <w:r>
              <w:rPr>
                <w:rFonts w:hint="eastAsia" w:asciiTheme="minorEastAsia" w:hAnsiTheme="minorEastAsia"/>
                <w:b/>
                <w:bCs/>
                <w:sz w:val="24"/>
                <w:szCs w:val="24"/>
              </w:rPr>
              <w:t xml:space="preserve">监测设备放置位置</w:t>
            </w:r>
            <w:r/>
          </w:p>
        </w:tc>
        <w:tc>
          <w:tcPr>
            <w:shd w:val="clear" w:color="auto" w:fill="auto"/>
            <w:tcW w:w="1075" w:type="pct"/>
            <w:vAlign w:val="center"/>
            <w:textDirection w:val="lrTb"/>
            <w:noWrap w:val="false"/>
          </w:tcPr>
          <w:p>
            <w:pPr>
              <w:jc w:val="center"/>
              <w:spacing w:line="380" w:lineRule="exact"/>
              <w:rPr>
                <w:rFonts w:asciiTheme="minorEastAsia" w:hAnsiTheme="minorEastAsia"/>
                <w:b/>
                <w:bCs/>
                <w:sz w:val="24"/>
                <w:szCs w:val="24"/>
              </w:rPr>
            </w:pPr>
            <w:r>
              <w:rPr>
                <w:rFonts w:hint="eastAsia" w:asciiTheme="minorEastAsia" w:hAnsiTheme="minorEastAsia"/>
                <w:b/>
                <w:bCs/>
                <w:sz w:val="24"/>
                <w:szCs w:val="24"/>
              </w:rPr>
              <w:t xml:space="preserve">部署原则</w:t>
            </w:r>
            <w:r/>
          </w:p>
        </w:tc>
      </w:tr>
      <w:tr>
        <w:trPr>
          <w:jc w:val="center"/>
          <w:trHeight w:val="1653"/>
        </w:trPr>
        <w:tc>
          <w:tcPr>
            <w:shd w:val="clear" w:color="auto" w:fill="auto"/>
            <w:tcW w:w="432"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1</w:t>
            </w:r>
            <w:r/>
          </w:p>
        </w:tc>
        <w:tc>
          <w:tcPr>
            <w:shd w:val="clear" w:color="auto" w:fill="auto"/>
            <w:tcW w:w="876"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摄像头</w:t>
            </w:r>
            <w:r/>
          </w:p>
        </w:tc>
        <w:tc>
          <w:tcPr>
            <w:shd w:val="clear" w:color="auto" w:fill="auto"/>
            <w:tcW w:w="389"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个</w:t>
            </w:r>
            <w:r/>
          </w:p>
        </w:tc>
        <w:tc>
          <w:tcPr>
            <w:shd w:val="clear" w:color="auto" w:fill="auto"/>
            <w:tcW w:w="395"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5</w:t>
            </w:r>
            <w:r/>
          </w:p>
        </w:tc>
        <w:tc>
          <w:tcPr>
            <w:shd w:val="clear" w:color="auto" w:fill="auto"/>
            <w:tcW w:w="1830" w:type="pct"/>
            <w:vAlign w:val="center"/>
            <w:textDirection w:val="lrTb"/>
            <w:noWrap w:val="false"/>
          </w:tcPr>
          <w:p>
            <w:pPr>
              <w:spacing w:line="380" w:lineRule="exact"/>
              <w:rPr>
                <w:rFonts w:asciiTheme="minorEastAsia" w:hAnsiTheme="minorEastAsia"/>
                <w:sz w:val="24"/>
                <w:szCs w:val="24"/>
              </w:rPr>
            </w:pPr>
            <w:r>
              <w:rPr>
                <w:rFonts w:hint="eastAsia" w:asciiTheme="minorEastAsia" w:hAnsiTheme="minorEastAsia"/>
                <w:sz w:val="24"/>
                <w:szCs w:val="24"/>
              </w:rPr>
              <w:t xml:space="preserve">交通产业大厦作为连云港第三方施工场景地块内施工的智慧监测工程。沿施工红线范围边界，后续以工程实际状况为准</w:t>
            </w:r>
            <w:r/>
          </w:p>
        </w:tc>
        <w:tc>
          <w:tcPr>
            <w:shd w:val="clear" w:color="auto" w:fill="auto"/>
            <w:tcW w:w="1075"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每隔100米至少布设一台</w:t>
            </w:r>
            <w:r/>
          </w:p>
        </w:tc>
      </w:tr>
      <w:tr>
        <w:trPr>
          <w:jc w:val="center"/>
          <w:trHeight w:val="837"/>
        </w:trPr>
        <w:tc>
          <w:tcPr>
            <w:shd w:val="clear" w:color="auto" w:fill="auto"/>
            <w:tcW w:w="432"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2</w:t>
            </w:r>
            <w:r/>
          </w:p>
        </w:tc>
        <w:tc>
          <w:tcPr>
            <w:shd w:val="clear" w:color="auto" w:fill="auto"/>
            <w:tcW w:w="876"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智能边缘服务器</w:t>
            </w:r>
            <w:r/>
          </w:p>
        </w:tc>
        <w:tc>
          <w:tcPr>
            <w:shd w:val="clear" w:color="auto" w:fill="auto"/>
            <w:tcW w:w="389"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台</w:t>
            </w:r>
            <w:r/>
          </w:p>
        </w:tc>
        <w:tc>
          <w:tcPr>
            <w:shd w:val="clear" w:color="auto" w:fill="auto"/>
            <w:tcW w:w="395"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2</w:t>
            </w:r>
            <w:r/>
          </w:p>
        </w:tc>
        <w:tc>
          <w:tcPr>
            <w:shd w:val="clear" w:color="auto" w:fill="auto"/>
            <w:tcW w:w="1830" w:type="pct"/>
            <w:vAlign w:val="center"/>
            <w:textDirection w:val="lrTb"/>
            <w:noWrap w:val="false"/>
          </w:tcPr>
          <w:p>
            <w:pPr>
              <w:spacing w:line="380" w:lineRule="exact"/>
              <w:rPr>
                <w:rFonts w:asciiTheme="minorEastAsia" w:hAnsiTheme="minorEastAsia"/>
                <w:sz w:val="24"/>
                <w:szCs w:val="24"/>
              </w:rPr>
            </w:pPr>
            <w:r>
              <w:rPr>
                <w:rFonts w:hint="eastAsia" w:asciiTheme="minorEastAsia" w:hAnsiTheme="minorEastAsia"/>
                <w:sz w:val="24"/>
                <w:szCs w:val="24"/>
              </w:rPr>
              <w:t xml:space="preserve">摄像头附近、项目部机房或信息化室</w:t>
            </w:r>
            <w:r/>
          </w:p>
        </w:tc>
        <w:tc>
          <w:tcPr>
            <w:shd w:val="clear" w:color="auto" w:fill="auto"/>
            <w:tcW w:w="1075"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2-3个摄像头接1台边缘计算服务器</w:t>
            </w:r>
            <w:r/>
          </w:p>
        </w:tc>
      </w:tr>
      <w:tr>
        <w:trPr>
          <w:jc w:val="center"/>
          <w:trHeight w:val="837"/>
        </w:trPr>
        <w:tc>
          <w:tcPr>
            <w:shd w:val="clear" w:color="auto" w:fill="auto"/>
            <w:tcW w:w="432"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3</w:t>
            </w:r>
            <w:r/>
          </w:p>
        </w:tc>
        <w:tc>
          <w:tcPr>
            <w:shd w:val="clear" w:color="auto" w:fill="auto"/>
            <w:tcW w:w="876"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分布式光纤声传感设备</w:t>
            </w:r>
            <w:r/>
          </w:p>
        </w:tc>
        <w:tc>
          <w:tcPr>
            <w:shd w:val="clear" w:color="auto" w:fill="auto"/>
            <w:tcW w:w="389"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台</w:t>
            </w:r>
            <w:r/>
          </w:p>
        </w:tc>
        <w:tc>
          <w:tcPr>
            <w:shd w:val="clear" w:color="auto" w:fill="auto"/>
            <w:tcW w:w="395"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1</w:t>
            </w:r>
            <w:r/>
          </w:p>
        </w:tc>
        <w:tc>
          <w:tcPr>
            <w:shd w:val="clear" w:color="auto" w:fill="auto"/>
            <w:tcW w:w="1830"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连云港市海州区合适运营商机房</w:t>
            </w:r>
            <w:r/>
          </w:p>
        </w:tc>
        <w:tc>
          <w:tcPr>
            <w:shd w:val="clear" w:color="auto" w:fill="auto"/>
            <w:tcW w:w="1075"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放置在监测区域内合适机房</w:t>
            </w:r>
            <w:r/>
          </w:p>
        </w:tc>
      </w:tr>
      <w:tr>
        <w:trPr>
          <w:jc w:val="center"/>
          <w:trHeight w:val="1245"/>
        </w:trPr>
        <w:tc>
          <w:tcPr>
            <w:shd w:val="clear" w:color="auto" w:fill="auto"/>
            <w:tcW w:w="432"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4</w:t>
            </w:r>
            <w:r/>
          </w:p>
        </w:tc>
        <w:tc>
          <w:tcPr>
            <w:shd w:val="clear" w:color="auto" w:fill="auto"/>
            <w:tcW w:w="876"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光纤感知神经分析系统</w:t>
            </w:r>
            <w:r/>
          </w:p>
        </w:tc>
        <w:tc>
          <w:tcPr>
            <w:shd w:val="clear" w:color="auto" w:fill="auto"/>
            <w:tcW w:w="389"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个</w:t>
            </w:r>
            <w:r/>
          </w:p>
        </w:tc>
        <w:tc>
          <w:tcPr>
            <w:shd w:val="clear" w:color="auto" w:fill="auto"/>
            <w:tcW w:w="395"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1</w:t>
            </w:r>
            <w:r/>
          </w:p>
        </w:tc>
        <w:tc>
          <w:tcPr>
            <w:shd w:val="clear" w:color="auto" w:fill="auto"/>
            <w:tcW w:w="1830"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与分布式光纤声传感设备设备配套使用</w:t>
            </w:r>
            <w:r/>
          </w:p>
        </w:tc>
        <w:tc>
          <w:tcPr>
            <w:shd w:val="clear" w:color="auto" w:fill="auto"/>
            <w:tcW w:w="1075"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与分布式声传感设备搭配使用，1套系统可接多台设备</w:t>
            </w:r>
            <w:r/>
          </w:p>
        </w:tc>
      </w:tr>
      <w:tr>
        <w:trPr>
          <w:jc w:val="center"/>
          <w:trHeight w:val="551"/>
        </w:trPr>
        <w:tc>
          <w:tcPr>
            <w:shd w:val="clear" w:color="auto" w:fill="auto"/>
            <w:tcW w:w="432"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5</w:t>
            </w:r>
            <w:r/>
          </w:p>
        </w:tc>
        <w:tc>
          <w:tcPr>
            <w:shd w:val="clear" w:color="auto" w:fill="auto"/>
            <w:tcW w:w="876"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光纤租赁</w:t>
            </w:r>
            <w:r/>
          </w:p>
        </w:tc>
        <w:tc>
          <w:tcPr>
            <w:shd w:val="clear" w:color="auto" w:fill="auto"/>
            <w:tcW w:w="389"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公里</w:t>
            </w:r>
            <w:r/>
          </w:p>
        </w:tc>
        <w:tc>
          <w:tcPr>
            <w:shd w:val="clear" w:color="auto" w:fill="auto"/>
            <w:tcW w:w="395"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50</w:t>
            </w:r>
            <w:r/>
          </w:p>
        </w:tc>
        <w:tc>
          <w:tcPr>
            <w:shd w:val="clear" w:color="auto" w:fill="auto"/>
            <w:tcW w:w="1830"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试点路段</w:t>
            </w:r>
            <w:r/>
          </w:p>
        </w:tc>
        <w:tc>
          <w:tcPr>
            <w:shd w:val="clear" w:color="auto" w:fill="auto"/>
            <w:tcW w:w="1075" w:type="pct"/>
            <w:vAlign w:val="center"/>
            <w:textDirection w:val="lrTb"/>
            <w:noWrap w:val="false"/>
          </w:tcPr>
          <w:p>
            <w:pPr>
              <w:jc w:val="center"/>
              <w:spacing w:line="380" w:lineRule="exact"/>
              <w:rPr>
                <w:rFonts w:asciiTheme="minorEastAsia" w:hAnsiTheme="minorEastAsia"/>
                <w:sz w:val="24"/>
                <w:szCs w:val="24"/>
              </w:rPr>
            </w:pPr>
            <w:r>
              <w:rPr>
                <w:rFonts w:hint="eastAsia" w:asciiTheme="minorEastAsia" w:hAnsiTheme="minorEastAsia"/>
                <w:sz w:val="24"/>
                <w:szCs w:val="24"/>
              </w:rPr>
              <w:t xml:space="preserve">试点路段沿线</w:t>
            </w:r>
            <w:r/>
          </w:p>
        </w:tc>
      </w:tr>
    </w:tbl>
    <w:p>
      <w:pPr>
        <w:ind w:firstLine="480"/>
        <w:rPr>
          <w:rFonts w:ascii="宋体" w:hAnsi="宋体" w:eastAsia="宋体" w:cs="宋体"/>
          <w:sz w:val="24"/>
          <w:szCs w:val="24"/>
        </w:rPr>
      </w:pPr>
      <w:r>
        <w:rPr>
          <w:rFonts w:hint="eastAsia" w:ascii="宋体" w:hAnsi="宋体" w:eastAsia="宋体" w:cs="宋体"/>
          <w:sz w:val="24"/>
          <w:szCs w:val="24"/>
        </w:rPr>
        <w:t xml:space="preserve">备注：实际安装位置最终依据采购人需求为主。</w:t>
      </w:r>
      <w:r/>
    </w:p>
    <w:p>
      <w:pPr>
        <w:pStyle w:val="855"/>
        <w:ind w:firstLine="480"/>
        <w:spacing w:line="360" w:lineRule="auto"/>
        <w:rPr>
          <w:rFonts w:asciiTheme="minorEastAsia" w:hAnsiTheme="minorEastAsia" w:eastAsiaTheme="minorEastAsia" w:cstheme="minorBidi"/>
          <w:b/>
          <w:bCs/>
          <w:sz w:val="24"/>
          <w:szCs w:val="24"/>
        </w:rPr>
      </w:pPr>
      <w:r>
        <w:rPr>
          <w:rFonts w:hint="eastAsia" w:asciiTheme="minorEastAsia" w:hAnsiTheme="minorEastAsia" w:eastAsiaTheme="minorEastAsia" w:cstheme="minorBidi"/>
          <w:b/>
          <w:bCs/>
          <w:sz w:val="24"/>
          <w:szCs w:val="24"/>
        </w:rPr>
        <w:t xml:space="preserve">（五）运行监测中心</w:t>
      </w:r>
      <w:r/>
    </w:p>
    <w:p>
      <w:pPr>
        <w:pStyle w:val="855"/>
        <w:ind w:firstLine="482"/>
        <w:spacing w:line="360" w:lineRule="auto"/>
        <w:rPr>
          <w:rFonts w:asciiTheme="minorEastAsia" w:hAnsiTheme="minorEastAsia" w:eastAsiaTheme="minorEastAsia" w:cstheme="minorBidi"/>
          <w:b/>
          <w:bCs/>
          <w:sz w:val="24"/>
          <w:szCs w:val="24"/>
        </w:rPr>
      </w:pPr>
      <w:r>
        <w:rPr>
          <w:rFonts w:hint="eastAsia" w:asciiTheme="minorEastAsia" w:hAnsiTheme="minorEastAsia" w:eastAsiaTheme="minorEastAsia" w:cstheme="minorBidi"/>
          <w:b/>
          <w:bCs/>
          <w:sz w:val="24"/>
          <w:szCs w:val="24"/>
        </w:rPr>
        <w:t xml:space="preserve">1.配置清单</w:t>
      </w:r>
      <w:r/>
    </w:p>
    <w:tbl>
      <w:tblPr>
        <w:tblW w:w="94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26"/>
        <w:gridCol w:w="4962"/>
        <w:gridCol w:w="1701"/>
        <w:gridCol w:w="1732"/>
      </w:tblGrid>
      <w:tr>
        <w:trPr>
          <w:jc w:val="center"/>
          <w:trHeight w:val="340"/>
          <w:tblHeader/>
        </w:trPr>
        <w:tc>
          <w:tcPr>
            <w:tcW w:w="1026" w:type="dxa"/>
            <w:vAlign w:val="center"/>
            <w:textDirection w:val="lrTb"/>
            <w:noWrap w:val="false"/>
          </w:tcPr>
          <w:p>
            <w:pPr>
              <w:jc w:val="center"/>
              <w:spacing w:line="400" w:lineRule="exact"/>
              <w:rPr>
                <w:rFonts w:asciiTheme="minorEastAsia" w:hAnsiTheme="minorEastAsia"/>
                <w:b/>
                <w:bCs/>
                <w:color w:val="000000"/>
                <w:sz w:val="24"/>
                <w:szCs w:val="24"/>
              </w:rPr>
            </w:pPr>
            <w:r>
              <w:rPr>
                <w:rFonts w:hint="eastAsia" w:asciiTheme="minorEastAsia" w:hAnsiTheme="minorEastAsia"/>
                <w:b/>
                <w:bCs/>
                <w:color w:val="000000"/>
                <w:sz w:val="24"/>
                <w:szCs w:val="24"/>
              </w:rPr>
              <w:t xml:space="preserve">序号</w:t>
            </w:r>
            <w:r/>
          </w:p>
        </w:tc>
        <w:tc>
          <w:tcPr>
            <w:tcW w:w="4962" w:type="dxa"/>
            <w:vAlign w:val="center"/>
            <w:textDirection w:val="lrTb"/>
            <w:noWrap w:val="false"/>
          </w:tcPr>
          <w:p>
            <w:pPr>
              <w:jc w:val="center"/>
              <w:spacing w:line="400" w:lineRule="exact"/>
              <w:rPr>
                <w:rFonts w:asciiTheme="minorEastAsia" w:hAnsiTheme="minorEastAsia"/>
                <w:b/>
                <w:bCs/>
                <w:color w:val="000000"/>
                <w:sz w:val="24"/>
                <w:szCs w:val="24"/>
              </w:rPr>
            </w:pPr>
            <w:r>
              <w:rPr>
                <w:rFonts w:hint="eastAsia" w:asciiTheme="minorEastAsia" w:hAnsiTheme="minorEastAsia"/>
                <w:b/>
                <w:bCs/>
                <w:color w:val="000000"/>
                <w:sz w:val="24"/>
                <w:szCs w:val="24"/>
              </w:rPr>
              <w:t xml:space="preserve">名称</w:t>
            </w:r>
            <w:r/>
          </w:p>
        </w:tc>
        <w:tc>
          <w:tcPr>
            <w:tcW w:w="1701" w:type="dxa"/>
            <w:vAlign w:val="center"/>
            <w:textDirection w:val="lrTb"/>
            <w:noWrap w:val="false"/>
          </w:tcPr>
          <w:p>
            <w:pPr>
              <w:jc w:val="center"/>
              <w:spacing w:line="400" w:lineRule="exact"/>
              <w:rPr>
                <w:rFonts w:asciiTheme="minorEastAsia" w:hAnsiTheme="minorEastAsia"/>
                <w:b/>
                <w:bCs/>
                <w:color w:val="000000"/>
                <w:sz w:val="24"/>
                <w:szCs w:val="24"/>
              </w:rPr>
            </w:pPr>
            <w:r>
              <w:rPr>
                <w:rFonts w:hint="eastAsia" w:asciiTheme="minorEastAsia" w:hAnsiTheme="minorEastAsia"/>
                <w:b/>
                <w:bCs/>
                <w:color w:val="000000"/>
                <w:sz w:val="24"/>
                <w:szCs w:val="24"/>
              </w:rPr>
              <w:t xml:space="preserve">数量</w:t>
            </w:r>
            <w:r/>
          </w:p>
        </w:tc>
        <w:tc>
          <w:tcPr>
            <w:tcW w:w="1732" w:type="dxa"/>
            <w:vAlign w:val="center"/>
            <w:textDirection w:val="lrTb"/>
            <w:noWrap w:val="false"/>
          </w:tcPr>
          <w:p>
            <w:pPr>
              <w:jc w:val="center"/>
              <w:spacing w:line="400" w:lineRule="exact"/>
              <w:rPr>
                <w:rFonts w:asciiTheme="minorEastAsia" w:hAnsiTheme="minorEastAsia"/>
                <w:b/>
                <w:bCs/>
                <w:color w:val="000000"/>
                <w:sz w:val="24"/>
                <w:szCs w:val="24"/>
              </w:rPr>
            </w:pPr>
            <w:r>
              <w:rPr>
                <w:rFonts w:hint="eastAsia" w:asciiTheme="minorEastAsia" w:hAnsiTheme="minorEastAsia"/>
                <w:b/>
                <w:bCs/>
                <w:color w:val="000000"/>
                <w:sz w:val="24"/>
                <w:szCs w:val="24"/>
              </w:rPr>
              <w:t xml:space="preserve">单位</w:t>
            </w:r>
            <w:r/>
          </w:p>
        </w:tc>
      </w:tr>
      <w:tr>
        <w:trPr>
          <w:jc w:val="center"/>
          <w:trHeight w:val="340"/>
        </w:trPr>
        <w:tc>
          <w:tcPr>
            <w:tcW w:w="1026" w:type="dxa"/>
            <w:vAlign w:val="center"/>
            <w:textDirection w:val="lrTb"/>
            <w:noWrap w:val="false"/>
          </w:tcPr>
          <w:p>
            <w:pPr>
              <w:jc w:val="cente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gridSpan w:val="3"/>
            <w:tcW w:w="8395" w:type="dxa"/>
            <w:vAlign w:val="center"/>
            <w:textDirection w:val="lrTb"/>
            <w:noWrap w:val="false"/>
          </w:tcPr>
          <w:p>
            <w:pPr>
              <w:jc w:val="left"/>
              <w:spacing w:line="400" w:lineRule="exact"/>
              <w:rPr>
                <w:rFonts w:asciiTheme="minorEastAsia" w:hAnsiTheme="minorEastAsia"/>
                <w:color w:val="000000"/>
                <w:sz w:val="24"/>
                <w:szCs w:val="24"/>
              </w:rPr>
            </w:pPr>
            <w:r>
              <w:rPr>
                <w:rFonts w:hint="eastAsia" w:cs="宋体" w:asciiTheme="minorEastAsia" w:hAnsiTheme="minorEastAsia"/>
                <w:color w:val="000000"/>
                <w:sz w:val="24"/>
                <w:szCs w:val="24"/>
              </w:rPr>
              <w:t xml:space="preserve">基础设施建设</w:t>
            </w:r>
            <w:r/>
          </w:p>
        </w:tc>
      </w:tr>
      <w:tr>
        <w:trPr>
          <w:jc w:val="center"/>
          <w:trHeight w:val="340"/>
        </w:trPr>
        <w:tc>
          <w:tcPr>
            <w:tcW w:w="1026" w:type="dxa"/>
            <w:vAlign w:val="center"/>
            <w:textDirection w:val="lrTb"/>
            <w:noWrap w:val="false"/>
          </w:tcPr>
          <w:p>
            <w:pPr>
              <w:jc w:val="cente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1.1</w:t>
            </w:r>
            <w:r/>
          </w:p>
        </w:tc>
        <w:tc>
          <w:tcPr>
            <w:tcW w:w="4962" w:type="dxa"/>
            <w:vAlign w:val="center"/>
            <w:textDirection w:val="lrTb"/>
            <w:noWrap w:val="false"/>
          </w:tcPr>
          <w:p>
            <w:pPr>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原场地拆除</w:t>
            </w:r>
            <w:r/>
          </w:p>
        </w:tc>
        <w:tc>
          <w:tcPr>
            <w:tcW w:w="1701" w:type="dxa"/>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1</w:t>
            </w:r>
            <w:r/>
          </w:p>
        </w:tc>
        <w:tc>
          <w:tcPr>
            <w:tcW w:w="1732" w:type="dxa"/>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项</w:t>
            </w:r>
            <w:r/>
          </w:p>
        </w:tc>
      </w:tr>
      <w:tr>
        <w:trPr>
          <w:jc w:val="center"/>
          <w:trHeight w:val="340"/>
        </w:trPr>
        <w:tc>
          <w:tcPr>
            <w:tcW w:w="1026" w:type="dxa"/>
            <w:vAlign w:val="center"/>
            <w:textDirection w:val="lrTb"/>
            <w:noWrap w:val="false"/>
          </w:tcPr>
          <w:p>
            <w:pPr>
              <w:jc w:val="center"/>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1.2</w:t>
            </w:r>
            <w:r/>
          </w:p>
        </w:tc>
        <w:tc>
          <w:tcPr>
            <w:tcW w:w="4962" w:type="dxa"/>
            <w:vAlign w:val="center"/>
            <w:textDirection w:val="lrTb"/>
            <w:noWrap w:val="false"/>
          </w:tcPr>
          <w:p>
            <w:pPr>
              <w:jc w:val="left"/>
              <w:spacing w:line="40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综合布线及线路改造</w:t>
            </w:r>
            <w:r/>
          </w:p>
        </w:tc>
        <w:tc>
          <w:tcPr>
            <w:tcW w:w="1701" w:type="dxa"/>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1</w:t>
            </w:r>
            <w:r/>
          </w:p>
        </w:tc>
        <w:tc>
          <w:tcPr>
            <w:tcW w:w="1732" w:type="dxa"/>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项</w:t>
            </w:r>
            <w:r/>
          </w:p>
        </w:tc>
      </w:tr>
    </w:tbl>
    <w:p>
      <w:pPr>
        <w:pStyle w:val="855"/>
        <w:ind w:firstLine="480"/>
        <w:spacing w:line="360" w:lineRule="auto"/>
        <w:rPr>
          <w:rFonts w:asciiTheme="minorEastAsia" w:hAnsiTheme="minorEastAsia" w:eastAsiaTheme="minorEastAsia" w:cstheme="minorBidi"/>
          <w:b/>
          <w:bCs/>
          <w:sz w:val="24"/>
          <w:szCs w:val="24"/>
        </w:rPr>
      </w:pPr>
      <w:r>
        <w:rPr>
          <w:rFonts w:hint="eastAsia" w:asciiTheme="minorEastAsia" w:hAnsiTheme="minorEastAsia" w:eastAsiaTheme="minorEastAsia" w:cstheme="minorBidi"/>
          <w:b/>
          <w:bCs/>
          <w:sz w:val="24"/>
          <w:szCs w:val="24"/>
        </w:rPr>
        <w:t xml:space="preserve">2.运行监测中心建设其他要求</w:t>
      </w:r>
      <w:r/>
    </w:p>
    <w:p>
      <w:pPr>
        <w:pStyle w:val="855"/>
        <w:ind w:firstLine="480"/>
        <w:spacing w:line="360" w:lineRule="auto"/>
        <w:rPr>
          <w:rFonts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包含但不限于原场地拆除及废弃材料外运，运行监测中心的吊顶、布线和墙面的修整恢复及电气改造，面积约100平方米，此部分包含在预算金额内。</w:t>
      </w:r>
      <w:r/>
    </w:p>
    <w:tbl>
      <w:tblPr>
        <w:tblW w:w="47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42"/>
        <w:gridCol w:w="1841"/>
        <w:gridCol w:w="6575"/>
      </w:tblGrid>
      <w:tr>
        <w:trPr>
          <w:jc w:val="center"/>
          <w:trHeight w:val="358"/>
        </w:trPr>
        <w:tc>
          <w:tcPr>
            <w:shd w:val="clear" w:color="auto" w:fill="auto"/>
            <w:tcW w:w="551" w:type="pct"/>
            <w:vAlign w:val="center"/>
            <w:textDirection w:val="lrTb"/>
            <w:noWrap w:val="false"/>
          </w:tcPr>
          <w:p>
            <w:pPr>
              <w:jc w:val="center"/>
              <w:spacing w:line="360" w:lineRule="auto"/>
              <w:rPr>
                <w:rFonts w:asciiTheme="minorEastAsia" w:hAnsiTheme="minorEastAsia"/>
                <w:b/>
                <w:bCs/>
                <w:sz w:val="24"/>
                <w:szCs w:val="24"/>
              </w:rPr>
            </w:pPr>
            <w:r>
              <w:rPr>
                <w:rFonts w:hint="eastAsia" w:asciiTheme="minorEastAsia" w:hAnsiTheme="minorEastAsia"/>
                <w:b/>
                <w:bCs/>
                <w:sz w:val="24"/>
                <w:szCs w:val="24"/>
              </w:rPr>
              <w:t xml:space="preserve">序号</w:t>
            </w:r>
            <w:r/>
          </w:p>
        </w:tc>
        <w:tc>
          <w:tcPr>
            <w:shd w:val="clear" w:color="auto" w:fill="auto"/>
            <w:tcW w:w="973" w:type="pct"/>
            <w:vAlign w:val="center"/>
            <w:textDirection w:val="lrTb"/>
            <w:noWrap w:val="false"/>
          </w:tcPr>
          <w:p>
            <w:pPr>
              <w:jc w:val="center"/>
              <w:spacing w:line="360" w:lineRule="auto"/>
              <w:rPr>
                <w:rFonts w:asciiTheme="minorEastAsia" w:hAnsiTheme="minorEastAsia"/>
                <w:b/>
                <w:bCs/>
                <w:sz w:val="24"/>
                <w:szCs w:val="24"/>
              </w:rPr>
            </w:pPr>
            <w:r>
              <w:rPr>
                <w:rFonts w:hint="eastAsia" w:asciiTheme="minorEastAsia" w:hAnsiTheme="minorEastAsia"/>
                <w:b/>
                <w:bCs/>
                <w:sz w:val="24"/>
                <w:szCs w:val="24"/>
              </w:rPr>
              <w:t xml:space="preserve">服务项</w:t>
            </w:r>
            <w:r/>
          </w:p>
        </w:tc>
        <w:tc>
          <w:tcPr>
            <w:shd w:val="clear" w:color="auto" w:fill="auto"/>
            <w:tcW w:w="3474" w:type="pct"/>
            <w:vAlign w:val="center"/>
            <w:textDirection w:val="lrTb"/>
            <w:noWrap w:val="false"/>
          </w:tcPr>
          <w:p>
            <w:pPr>
              <w:jc w:val="center"/>
              <w:spacing w:line="360" w:lineRule="auto"/>
              <w:rPr>
                <w:rFonts w:asciiTheme="minorEastAsia" w:hAnsiTheme="minorEastAsia"/>
                <w:b/>
                <w:bCs/>
                <w:sz w:val="24"/>
                <w:szCs w:val="24"/>
              </w:rPr>
            </w:pPr>
            <w:r>
              <w:rPr>
                <w:rFonts w:hint="eastAsia" w:asciiTheme="minorEastAsia" w:hAnsiTheme="minorEastAsia"/>
                <w:b/>
                <w:bCs/>
                <w:sz w:val="24"/>
                <w:szCs w:val="24"/>
              </w:rPr>
              <w:t xml:space="preserve">服务要求</w:t>
            </w:r>
            <w:r/>
          </w:p>
        </w:tc>
      </w:tr>
      <w:tr>
        <w:trPr>
          <w:jc w:val="center"/>
          <w:trHeight w:val="358"/>
          <w:tblHeader/>
        </w:trPr>
        <w:tc>
          <w:tcPr>
            <w:gridSpan w:val="3"/>
            <w:shd w:val="clear" w:color="auto" w:fill="auto"/>
            <w:tcW w:w="5000" w:type="pct"/>
            <w:vAlign w:val="center"/>
            <w:textDirection w:val="lrTb"/>
            <w:noWrap w:val="false"/>
          </w:tcPr>
          <w:p>
            <w:pPr>
              <w:spacing w:line="380" w:lineRule="exact"/>
              <w:rPr>
                <w:rFonts w:asciiTheme="minorEastAsia" w:hAnsiTheme="minorEastAsia"/>
                <w:b/>
                <w:bCs/>
                <w:sz w:val="24"/>
                <w:szCs w:val="24"/>
              </w:rPr>
            </w:pPr>
            <w:r>
              <w:rPr>
                <w:rFonts w:hint="eastAsia" w:cs="宋体" w:asciiTheme="minorEastAsia" w:hAnsiTheme="minorEastAsia"/>
                <w:color w:val="000000"/>
                <w:sz w:val="24"/>
                <w:szCs w:val="24"/>
              </w:rPr>
              <w:t xml:space="preserve">基础设施建设</w:t>
            </w:r>
            <w:r/>
          </w:p>
        </w:tc>
      </w:tr>
      <w:tr>
        <w:trPr>
          <w:jc w:val="center"/>
          <w:trHeight w:val="340"/>
        </w:trPr>
        <w:tc>
          <w:tcPr>
            <w:tcW w:w="551" w:type="pct"/>
            <w:vAlign w:val="center"/>
            <w:textDirection w:val="lrTb"/>
            <w:noWrap w:val="false"/>
          </w:tcPr>
          <w:p>
            <w:pPr>
              <w:jc w:val="center"/>
              <w:spacing w:line="380" w:lineRule="exact"/>
              <w:rPr>
                <w:rFonts w:asciiTheme="minorEastAsia" w:hAnsiTheme="minorEastAsia"/>
                <w:sz w:val="24"/>
                <w:szCs w:val="24"/>
              </w:rPr>
            </w:pPr>
            <w:r>
              <w:rPr>
                <w:rFonts w:hint="eastAsia" w:cs="宋体" w:asciiTheme="minorEastAsia" w:hAnsiTheme="minorEastAsia"/>
                <w:color w:val="000000"/>
                <w:sz w:val="24"/>
                <w:szCs w:val="24"/>
              </w:rPr>
              <w:t xml:space="preserve">1</w:t>
            </w:r>
            <w:r/>
          </w:p>
        </w:tc>
        <w:tc>
          <w:tcPr>
            <w:tcW w:w="973" w:type="pct"/>
            <w:vAlign w:val="center"/>
            <w:textDirection w:val="lrTb"/>
            <w:noWrap w:val="false"/>
          </w:tcPr>
          <w:p>
            <w:pPr>
              <w:jc w:val="center"/>
              <w:spacing w:line="380" w:lineRule="exact"/>
              <w:rPr>
                <w:rFonts w:asciiTheme="minorEastAsia" w:hAnsiTheme="minorEastAsia"/>
                <w:sz w:val="24"/>
                <w:szCs w:val="24"/>
              </w:rPr>
            </w:pPr>
            <w:r>
              <w:rPr>
                <w:rFonts w:hint="eastAsia" w:cs="宋体" w:asciiTheme="minorEastAsia" w:hAnsiTheme="minorEastAsia"/>
                <w:color w:val="000000"/>
                <w:sz w:val="24"/>
                <w:szCs w:val="24"/>
              </w:rPr>
              <w:t xml:space="preserve">原场地拆除</w:t>
            </w:r>
            <w:r/>
          </w:p>
        </w:tc>
        <w:tc>
          <w:tcPr>
            <w:tcW w:w="3474" w:type="pct"/>
            <w:vAlign w:val="center"/>
            <w:textDirection w:val="lrTb"/>
            <w:noWrap w:val="false"/>
          </w:tcPr>
          <w:p>
            <w:pPr>
              <w:spacing w:line="380" w:lineRule="exact"/>
              <w:rPr>
                <w:rFonts w:asciiTheme="minorEastAsia" w:hAnsiTheme="minorEastAsia"/>
                <w:sz w:val="24"/>
                <w:szCs w:val="24"/>
              </w:rPr>
            </w:pPr>
            <w:r>
              <w:rPr>
                <w:rFonts w:hint="eastAsia" w:asciiTheme="minorEastAsia" w:hAnsiTheme="minorEastAsia"/>
                <w:sz w:val="24"/>
                <w:szCs w:val="24"/>
              </w:rPr>
              <w:t xml:space="preserve">原场地拆除及废弃装料外运费用</w:t>
            </w:r>
            <w:r/>
          </w:p>
        </w:tc>
      </w:tr>
      <w:tr>
        <w:trPr>
          <w:jc w:val="center"/>
          <w:trHeight w:val="340"/>
        </w:trPr>
        <w:tc>
          <w:tcPr>
            <w:tcW w:w="551" w:type="pct"/>
            <w:vAlign w:val="center"/>
            <w:textDirection w:val="lrTb"/>
            <w:noWrap w:val="false"/>
          </w:tcPr>
          <w:p>
            <w:pPr>
              <w:jc w:val="center"/>
              <w:spacing w:line="380" w:lineRule="exact"/>
              <w:rPr>
                <w:rFonts w:asciiTheme="minorEastAsia" w:hAnsiTheme="minorEastAsia"/>
                <w:sz w:val="24"/>
                <w:szCs w:val="24"/>
              </w:rPr>
            </w:pPr>
            <w:r>
              <w:rPr>
                <w:rFonts w:hint="eastAsia" w:cs="宋体" w:asciiTheme="minorEastAsia" w:hAnsiTheme="minorEastAsia"/>
                <w:color w:val="000000"/>
                <w:sz w:val="24"/>
                <w:szCs w:val="24"/>
              </w:rPr>
              <w:t xml:space="preserve">2</w:t>
            </w:r>
            <w:r/>
          </w:p>
        </w:tc>
        <w:tc>
          <w:tcPr>
            <w:tcW w:w="973" w:type="pct"/>
            <w:vAlign w:val="center"/>
            <w:textDirection w:val="lrTb"/>
            <w:noWrap w:val="false"/>
          </w:tcPr>
          <w:p>
            <w:pPr>
              <w:jc w:val="center"/>
              <w:spacing w:line="380" w:lineRule="exact"/>
              <w:rPr>
                <w:rFonts w:asciiTheme="minorEastAsia" w:hAnsiTheme="minorEastAsia"/>
                <w:sz w:val="24"/>
                <w:szCs w:val="24"/>
              </w:rPr>
            </w:pPr>
            <w:r>
              <w:rPr>
                <w:rFonts w:hint="eastAsia" w:cs="宋体" w:asciiTheme="minorEastAsia" w:hAnsiTheme="minorEastAsia"/>
                <w:color w:val="000000"/>
                <w:sz w:val="24"/>
                <w:szCs w:val="24"/>
              </w:rPr>
              <w:t xml:space="preserve">综合布线及线路改造</w:t>
            </w:r>
            <w:r/>
          </w:p>
        </w:tc>
        <w:tc>
          <w:tcPr>
            <w:tcW w:w="3474" w:type="pct"/>
            <w:vAlign w:val="center"/>
            <w:textDirection w:val="lrTb"/>
            <w:noWrap w:val="false"/>
          </w:tcPr>
          <w:p>
            <w:pPr>
              <w:spacing w:line="380" w:lineRule="exact"/>
              <w:rPr>
                <w:rFonts w:asciiTheme="minorEastAsia" w:hAnsiTheme="minorEastAsia"/>
                <w:sz w:val="24"/>
                <w:szCs w:val="24"/>
              </w:rPr>
            </w:pPr>
            <w:r>
              <w:rPr>
                <w:rFonts w:hint="eastAsia" w:asciiTheme="minorEastAsia" w:hAnsiTheme="minorEastAsia"/>
                <w:sz w:val="24"/>
                <w:szCs w:val="24"/>
              </w:rPr>
              <w:t xml:space="preserve">运营监测中心综合布线及线路改造，面积约100平方米</w:t>
            </w:r>
            <w:r/>
          </w:p>
        </w:tc>
      </w:tr>
    </w:tbl>
    <w:p>
      <w:pPr>
        <w:pStyle w:val="855"/>
        <w:ind w:firstLine="480"/>
        <w:spacing w:line="360" w:lineRule="auto"/>
        <w:rPr>
          <w:rFonts w:asciiTheme="minorEastAsia" w:hAnsiTheme="minorEastAsia" w:eastAsiaTheme="minorEastAsia" w:cstheme="minorBidi"/>
          <w:b/>
          <w:bCs/>
          <w:sz w:val="24"/>
          <w:szCs w:val="24"/>
        </w:rPr>
      </w:pPr>
      <w:r>
        <w:rPr>
          <w:rFonts w:hint="eastAsia" w:asciiTheme="minorEastAsia" w:hAnsiTheme="minorEastAsia" w:eastAsiaTheme="minorEastAsia" w:cstheme="minorBidi"/>
          <w:b/>
          <w:bCs/>
          <w:sz w:val="24"/>
          <w:szCs w:val="24"/>
        </w:rPr>
        <w:t xml:space="preserve">(六)政务云资源及信息系统安全要求</w:t>
      </w:r>
      <w:r/>
    </w:p>
    <w:p>
      <w:pPr>
        <w:pStyle w:val="855"/>
        <w:ind w:firstLine="482"/>
        <w:spacing w:line="360" w:lineRule="auto"/>
        <w:rPr>
          <w:rFonts w:asciiTheme="minorEastAsia" w:hAnsiTheme="minorEastAsia" w:eastAsiaTheme="minorEastAsia" w:cstheme="minorBidi"/>
          <w:b/>
          <w:bCs/>
          <w:sz w:val="24"/>
          <w:szCs w:val="24"/>
        </w:rPr>
      </w:pPr>
      <w:r>
        <w:rPr>
          <w:rFonts w:hint="eastAsia" w:asciiTheme="minorEastAsia" w:hAnsiTheme="minorEastAsia" w:eastAsiaTheme="minorEastAsia" w:cstheme="minorBidi"/>
          <w:b/>
          <w:bCs/>
          <w:sz w:val="24"/>
          <w:szCs w:val="24"/>
        </w:rPr>
        <w:t xml:space="preserve">1.配置清单</w:t>
      </w:r>
      <w:r/>
    </w:p>
    <w:tbl>
      <w:tblPr>
        <w:tblW w:w="94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2"/>
        <w:gridCol w:w="4988"/>
        <w:gridCol w:w="1816"/>
        <w:gridCol w:w="1680"/>
      </w:tblGrid>
      <w:tr>
        <w:trPr>
          <w:jc w:val="center"/>
          <w:trHeight w:val="340"/>
          <w:tblHeader/>
        </w:trPr>
        <w:tc>
          <w:tcPr>
            <w:shd w:val="clear" w:color="auto" w:fill="auto"/>
            <w:tcW w:w="992" w:type="dxa"/>
            <w:vAlign w:val="center"/>
            <w:textDirection w:val="lrTb"/>
            <w:noWrap w:val="false"/>
          </w:tcPr>
          <w:p>
            <w:pPr>
              <w:jc w:val="center"/>
              <w:spacing w:line="380" w:lineRule="exact"/>
              <w:rPr>
                <w:rFonts w:asciiTheme="minorEastAsia" w:hAnsiTheme="minorEastAsia"/>
                <w:b/>
                <w:bCs/>
                <w:color w:val="000000"/>
                <w:sz w:val="24"/>
                <w:szCs w:val="24"/>
              </w:rPr>
            </w:pPr>
            <w:r>
              <w:rPr>
                <w:rFonts w:asciiTheme="minorEastAsia" w:hAnsiTheme="minorEastAsia"/>
                <w:b/>
                <w:bCs/>
                <w:color w:val="000000"/>
                <w:sz w:val="24"/>
                <w:szCs w:val="24"/>
              </w:rPr>
              <w:t xml:space="preserve">序号</w:t>
            </w:r>
            <w:r/>
          </w:p>
        </w:tc>
        <w:tc>
          <w:tcPr>
            <w:shd w:val="clear" w:color="auto" w:fill="auto"/>
            <w:tcW w:w="4988" w:type="dxa"/>
            <w:vAlign w:val="center"/>
            <w:textDirection w:val="lrTb"/>
            <w:noWrap w:val="false"/>
          </w:tcPr>
          <w:p>
            <w:pPr>
              <w:jc w:val="center"/>
              <w:spacing w:line="380" w:lineRule="exact"/>
              <w:rPr>
                <w:rFonts w:asciiTheme="minorEastAsia" w:hAnsiTheme="minorEastAsia"/>
                <w:b/>
                <w:bCs/>
                <w:color w:val="000000"/>
                <w:sz w:val="24"/>
                <w:szCs w:val="24"/>
              </w:rPr>
            </w:pPr>
            <w:r>
              <w:rPr>
                <w:rFonts w:asciiTheme="minorEastAsia" w:hAnsiTheme="minorEastAsia"/>
                <w:b/>
                <w:bCs/>
                <w:color w:val="000000"/>
                <w:sz w:val="24"/>
                <w:szCs w:val="24"/>
              </w:rPr>
              <w:t xml:space="preserve">分项名称</w:t>
            </w:r>
            <w:r/>
          </w:p>
        </w:tc>
        <w:tc>
          <w:tcPr>
            <w:shd w:val="clear" w:color="auto" w:fill="auto"/>
            <w:tcW w:w="1816" w:type="dxa"/>
            <w:vAlign w:val="center"/>
            <w:textDirection w:val="lrTb"/>
            <w:noWrap w:val="false"/>
          </w:tcPr>
          <w:p>
            <w:pPr>
              <w:jc w:val="center"/>
              <w:spacing w:line="380" w:lineRule="exact"/>
              <w:rPr>
                <w:rFonts w:asciiTheme="minorEastAsia" w:hAnsiTheme="minorEastAsia"/>
                <w:b/>
                <w:bCs/>
                <w:color w:val="000000"/>
                <w:sz w:val="24"/>
                <w:szCs w:val="24"/>
              </w:rPr>
            </w:pPr>
            <w:r>
              <w:rPr>
                <w:rFonts w:asciiTheme="minorEastAsia" w:hAnsiTheme="minorEastAsia"/>
                <w:b/>
                <w:bCs/>
                <w:color w:val="000000"/>
                <w:sz w:val="24"/>
                <w:szCs w:val="24"/>
              </w:rPr>
              <w:t xml:space="preserve">数量</w:t>
            </w:r>
            <w:r/>
          </w:p>
        </w:tc>
        <w:tc>
          <w:tcPr>
            <w:shd w:val="clear" w:color="auto" w:fill="auto"/>
            <w:tcW w:w="1680" w:type="dxa"/>
            <w:vAlign w:val="center"/>
            <w:textDirection w:val="lrTb"/>
            <w:noWrap w:val="false"/>
          </w:tcPr>
          <w:p>
            <w:pPr>
              <w:jc w:val="center"/>
              <w:spacing w:line="380" w:lineRule="exact"/>
              <w:rPr>
                <w:rFonts w:asciiTheme="minorEastAsia" w:hAnsiTheme="minorEastAsia"/>
                <w:b/>
                <w:bCs/>
                <w:color w:val="000000"/>
                <w:sz w:val="24"/>
                <w:szCs w:val="24"/>
              </w:rPr>
            </w:pPr>
            <w:r>
              <w:rPr>
                <w:rFonts w:asciiTheme="minorEastAsia" w:hAnsiTheme="minorEastAsia"/>
                <w:b/>
                <w:bCs/>
                <w:color w:val="000000"/>
                <w:sz w:val="24"/>
                <w:szCs w:val="24"/>
              </w:rPr>
              <w:t xml:space="preserve">单位</w:t>
            </w:r>
            <w:r/>
          </w:p>
        </w:tc>
      </w:tr>
      <w:tr>
        <w:trPr>
          <w:jc w:val="center"/>
          <w:trHeight w:val="340"/>
        </w:trPr>
        <w:tc>
          <w:tcPr>
            <w:tcW w:w="992" w:type="dxa"/>
            <w:vAlign w:val="center"/>
            <w:textDirection w:val="lrTb"/>
            <w:noWrap w:val="false"/>
          </w:tcPr>
          <w:p>
            <w:pPr>
              <w:jc w:val="center"/>
              <w:spacing w:line="380" w:lineRule="exact"/>
              <w:widowControl/>
              <w:rPr>
                <w:rFonts w:asciiTheme="minorEastAsia" w:hAnsiTheme="minorEastAsia"/>
                <w:color w:val="000000"/>
                <w:sz w:val="24"/>
                <w:szCs w:val="24"/>
              </w:rPr>
            </w:pPr>
            <w:r>
              <w:rPr>
                <w:rFonts w:hint="eastAsia" w:ascii="宋体" w:hAnsi="宋体" w:eastAsia="宋体" w:cs="宋体"/>
                <w:color w:val="000000"/>
                <w:sz w:val="24"/>
                <w:szCs w:val="24"/>
              </w:rPr>
              <w:t xml:space="preserve">1</w:t>
            </w:r>
            <w:r/>
          </w:p>
        </w:tc>
        <w:tc>
          <w:tcPr>
            <w:tcW w:w="4988" w:type="dxa"/>
            <w:vAlign w:val="center"/>
            <w:textDirection w:val="lrTb"/>
            <w:noWrap w:val="false"/>
          </w:tcPr>
          <w:p>
            <w:pPr>
              <w:jc w:val="left"/>
              <w:spacing w:line="380" w:lineRule="exact"/>
              <w:widowControl/>
              <w:rPr>
                <w:rFonts w:asciiTheme="minorEastAsia" w:hAnsiTheme="minorEastAsia"/>
                <w:sz w:val="24"/>
                <w:szCs w:val="24"/>
              </w:rPr>
            </w:pPr>
            <w:r>
              <w:rPr>
                <w:rFonts w:hint="eastAsia" w:ascii="宋体" w:hAnsi="宋体" w:eastAsia="宋体" w:cs="宋体"/>
                <w:color w:val="000000"/>
                <w:sz w:val="24"/>
                <w:szCs w:val="24"/>
              </w:rPr>
              <w:t xml:space="preserve">互联网-云主机(信创)-CPU</w:t>
            </w:r>
            <w:r/>
          </w:p>
        </w:tc>
        <w:tc>
          <w:tcPr>
            <w:tcW w:w="1816" w:type="dxa"/>
            <w:vAlign w:val="center"/>
            <w:textDirection w:val="lrTb"/>
            <w:noWrap w:val="false"/>
          </w:tcPr>
          <w:p>
            <w:pPr>
              <w:jc w:val="center"/>
              <w:spacing w:line="380" w:lineRule="exact"/>
              <w:widowControl/>
              <w:rPr>
                <w:rFonts w:asciiTheme="minorEastAsia" w:hAnsiTheme="minorEastAsia"/>
                <w:color w:val="000000"/>
                <w:sz w:val="24"/>
                <w:szCs w:val="24"/>
              </w:rPr>
            </w:pPr>
            <w:r>
              <w:rPr>
                <w:rFonts w:hint="eastAsia" w:ascii="宋体" w:hAnsi="宋体" w:eastAsia="宋体" w:cs="宋体"/>
                <w:color w:val="000000"/>
                <w:sz w:val="24"/>
                <w:szCs w:val="24"/>
              </w:rPr>
              <w:t xml:space="preserve">64</w:t>
            </w:r>
            <w:r/>
          </w:p>
        </w:tc>
        <w:tc>
          <w:tcPr>
            <w:tcW w:w="1680" w:type="dxa"/>
            <w:vAlign w:val="center"/>
            <w:textDirection w:val="lrTb"/>
            <w:noWrap w:val="false"/>
          </w:tcPr>
          <w:p>
            <w:pPr>
              <w:jc w:val="center"/>
              <w:spacing w:line="380" w:lineRule="exact"/>
              <w:widowControl/>
              <w:rPr>
                <w:rFonts w:asciiTheme="minorEastAsia" w:hAnsiTheme="minorEastAsia"/>
                <w:color w:val="000000"/>
                <w:sz w:val="24"/>
                <w:szCs w:val="24"/>
              </w:rPr>
            </w:pPr>
            <w:r>
              <w:rPr>
                <w:rFonts w:hint="eastAsia" w:ascii="宋体" w:hAnsi="宋体" w:eastAsia="宋体" w:cs="宋体"/>
                <w:color w:val="000000"/>
                <w:sz w:val="24"/>
                <w:szCs w:val="24"/>
              </w:rPr>
              <w:t xml:space="preserve">核</w:t>
            </w:r>
            <w:r/>
          </w:p>
        </w:tc>
      </w:tr>
      <w:tr>
        <w:trPr>
          <w:jc w:val="center"/>
          <w:trHeight w:val="340"/>
        </w:trPr>
        <w:tc>
          <w:tcPr>
            <w:tcW w:w="992" w:type="dxa"/>
            <w:vAlign w:val="center"/>
            <w:textDirection w:val="lrTb"/>
            <w:noWrap w:val="false"/>
          </w:tcPr>
          <w:p>
            <w:pPr>
              <w:jc w:val="center"/>
              <w:spacing w:line="380" w:lineRule="exact"/>
              <w:widowControl/>
              <w:rPr>
                <w:rFonts w:asciiTheme="minorEastAsia" w:hAnsiTheme="minorEastAsia"/>
                <w:color w:val="000000"/>
                <w:sz w:val="24"/>
                <w:szCs w:val="24"/>
              </w:rPr>
            </w:pPr>
            <w:r>
              <w:rPr>
                <w:rFonts w:hint="eastAsia" w:ascii="宋体" w:hAnsi="宋体" w:eastAsia="宋体" w:cs="宋体"/>
                <w:color w:val="000000"/>
                <w:sz w:val="24"/>
                <w:szCs w:val="24"/>
              </w:rPr>
              <w:t xml:space="preserve">2</w:t>
            </w:r>
            <w:r/>
          </w:p>
        </w:tc>
        <w:tc>
          <w:tcPr>
            <w:tcW w:w="4988" w:type="dxa"/>
            <w:vAlign w:val="center"/>
            <w:textDirection w:val="lrTb"/>
            <w:noWrap w:val="false"/>
          </w:tcPr>
          <w:p>
            <w:pPr>
              <w:jc w:val="left"/>
              <w:spacing w:line="380" w:lineRule="exact"/>
              <w:widowControl/>
              <w:rPr>
                <w:rFonts w:asciiTheme="minorEastAsia" w:hAnsiTheme="minorEastAsia"/>
                <w:color w:val="000000"/>
                <w:sz w:val="24"/>
                <w:szCs w:val="24"/>
              </w:rPr>
            </w:pPr>
            <w:r>
              <w:rPr>
                <w:rFonts w:hint="eastAsia" w:ascii="宋体" w:hAnsi="宋体" w:eastAsia="宋体" w:cs="宋体"/>
                <w:color w:val="000000"/>
                <w:sz w:val="24"/>
                <w:szCs w:val="24"/>
              </w:rPr>
              <w:t xml:space="preserve">互联网-云主机(信创)-内存</w:t>
            </w:r>
            <w:r/>
          </w:p>
        </w:tc>
        <w:tc>
          <w:tcPr>
            <w:shd w:val="clear" w:color="auto" w:fill="auto"/>
            <w:tcW w:w="1816" w:type="dxa"/>
            <w:vAlign w:val="center"/>
            <w:textDirection w:val="lrTb"/>
            <w:noWrap w:val="false"/>
          </w:tcPr>
          <w:p>
            <w:pPr>
              <w:jc w:val="center"/>
              <w:spacing w:line="380" w:lineRule="exact"/>
              <w:widowControl/>
              <w:rPr>
                <w:rFonts w:asciiTheme="minorEastAsia" w:hAnsiTheme="minorEastAsia"/>
                <w:color w:val="000000"/>
                <w:sz w:val="24"/>
                <w:szCs w:val="24"/>
              </w:rPr>
            </w:pPr>
            <w:r>
              <w:rPr>
                <w:rFonts w:hint="eastAsia" w:ascii="宋体" w:hAnsi="宋体" w:eastAsia="宋体" w:cs="宋体"/>
                <w:color w:val="000000"/>
                <w:sz w:val="24"/>
                <w:szCs w:val="24"/>
              </w:rPr>
              <w:t xml:space="preserve">128</w:t>
            </w:r>
            <w:r/>
          </w:p>
        </w:tc>
        <w:tc>
          <w:tcPr>
            <w:shd w:val="clear" w:color="auto" w:fill="auto"/>
            <w:tcW w:w="1680" w:type="dxa"/>
            <w:vAlign w:val="center"/>
            <w:textDirection w:val="lrTb"/>
            <w:noWrap w:val="false"/>
          </w:tcPr>
          <w:p>
            <w:pPr>
              <w:jc w:val="center"/>
              <w:spacing w:line="380" w:lineRule="exact"/>
              <w:widowControl/>
              <w:rPr>
                <w:rFonts w:asciiTheme="minorEastAsia" w:hAnsiTheme="minorEastAsia"/>
                <w:color w:val="000000"/>
                <w:sz w:val="24"/>
                <w:szCs w:val="24"/>
              </w:rPr>
            </w:pPr>
            <w:r>
              <w:rPr>
                <w:rFonts w:hint="eastAsia" w:ascii="宋体" w:hAnsi="宋体" w:eastAsia="宋体" w:cs="宋体"/>
                <w:color w:val="000000"/>
                <w:sz w:val="24"/>
                <w:szCs w:val="24"/>
              </w:rPr>
              <w:t xml:space="preserve">GB</w:t>
            </w:r>
            <w:r/>
          </w:p>
        </w:tc>
      </w:tr>
      <w:tr>
        <w:trPr>
          <w:jc w:val="center"/>
          <w:trHeight w:val="340"/>
        </w:trPr>
        <w:tc>
          <w:tcPr>
            <w:tcW w:w="992" w:type="dxa"/>
            <w:vAlign w:val="center"/>
            <w:textDirection w:val="lrTb"/>
            <w:noWrap w:val="false"/>
          </w:tcPr>
          <w:p>
            <w:pPr>
              <w:jc w:val="center"/>
              <w:spacing w:line="380" w:lineRule="exact"/>
              <w:widowControl/>
              <w:rPr>
                <w:rFonts w:asciiTheme="minorEastAsia" w:hAnsiTheme="minorEastAsia"/>
                <w:color w:val="000000"/>
                <w:sz w:val="24"/>
                <w:szCs w:val="24"/>
              </w:rPr>
            </w:pPr>
            <w:r>
              <w:rPr>
                <w:rFonts w:hint="eastAsia" w:ascii="宋体" w:hAnsi="宋体" w:eastAsia="宋体" w:cs="宋体"/>
                <w:color w:val="000000"/>
                <w:sz w:val="24"/>
                <w:szCs w:val="24"/>
              </w:rPr>
              <w:t xml:space="preserve">3</w:t>
            </w:r>
            <w:r/>
          </w:p>
        </w:tc>
        <w:tc>
          <w:tcPr>
            <w:tcW w:w="4988" w:type="dxa"/>
            <w:vAlign w:val="center"/>
            <w:textDirection w:val="lrTb"/>
            <w:noWrap w:val="false"/>
          </w:tcPr>
          <w:p>
            <w:pPr>
              <w:jc w:val="left"/>
              <w:spacing w:line="380" w:lineRule="exact"/>
              <w:widowControl/>
              <w:rPr>
                <w:rFonts w:asciiTheme="minorEastAsia" w:hAnsiTheme="minorEastAsia"/>
                <w:color w:val="000000"/>
                <w:sz w:val="24"/>
                <w:szCs w:val="24"/>
              </w:rPr>
            </w:pPr>
            <w:r>
              <w:rPr>
                <w:rFonts w:hint="eastAsia" w:ascii="宋体" w:hAnsi="宋体" w:eastAsia="宋体" w:cs="宋体"/>
                <w:color w:val="000000"/>
                <w:sz w:val="24"/>
                <w:szCs w:val="24"/>
              </w:rPr>
              <w:t xml:space="preserve">互联网-云主机存储（信创）</w:t>
            </w:r>
            <w:r/>
          </w:p>
        </w:tc>
        <w:tc>
          <w:tcPr>
            <w:shd w:val="clear" w:color="auto" w:fill="auto"/>
            <w:tcW w:w="1816" w:type="dxa"/>
            <w:vAlign w:val="center"/>
            <w:textDirection w:val="lrTb"/>
            <w:noWrap w:val="false"/>
          </w:tcPr>
          <w:p>
            <w:pPr>
              <w:jc w:val="center"/>
              <w:spacing w:line="380" w:lineRule="exact"/>
              <w:widowControl/>
              <w:rPr>
                <w:rFonts w:asciiTheme="minorEastAsia" w:hAnsiTheme="minorEastAsia"/>
                <w:color w:val="000000"/>
                <w:sz w:val="24"/>
                <w:szCs w:val="24"/>
              </w:rPr>
            </w:pPr>
            <w:r>
              <w:rPr>
                <w:rFonts w:hint="eastAsia" w:ascii="宋体" w:hAnsi="宋体" w:eastAsia="宋体" w:cs="宋体"/>
                <w:color w:val="000000"/>
                <w:sz w:val="24"/>
                <w:szCs w:val="24"/>
              </w:rPr>
              <w:t xml:space="preserve">4</w:t>
            </w:r>
            <w:r/>
          </w:p>
        </w:tc>
        <w:tc>
          <w:tcPr>
            <w:shd w:val="clear" w:color="auto" w:fill="auto"/>
            <w:tcW w:w="1680" w:type="dxa"/>
            <w:vAlign w:val="center"/>
            <w:textDirection w:val="lrTb"/>
            <w:noWrap w:val="false"/>
          </w:tcPr>
          <w:p>
            <w:pPr>
              <w:jc w:val="center"/>
              <w:spacing w:line="380" w:lineRule="exact"/>
              <w:widowControl/>
              <w:rPr>
                <w:rFonts w:asciiTheme="minorEastAsia" w:hAnsiTheme="minorEastAsia"/>
                <w:color w:val="000000"/>
                <w:sz w:val="24"/>
                <w:szCs w:val="24"/>
              </w:rPr>
            </w:pPr>
            <w:r>
              <w:rPr>
                <w:rFonts w:hint="eastAsia" w:ascii="宋体" w:hAnsi="宋体" w:eastAsia="宋体" w:cs="宋体"/>
                <w:color w:val="000000"/>
                <w:sz w:val="24"/>
                <w:szCs w:val="24"/>
              </w:rPr>
              <w:t xml:space="preserve">TB</w:t>
            </w:r>
            <w:r/>
          </w:p>
        </w:tc>
      </w:tr>
      <w:tr>
        <w:trPr>
          <w:jc w:val="center"/>
          <w:trHeight w:val="340"/>
        </w:trPr>
        <w:tc>
          <w:tcPr>
            <w:tcW w:w="992" w:type="dxa"/>
            <w:vAlign w:val="center"/>
            <w:textDirection w:val="lrTb"/>
            <w:noWrap w:val="false"/>
          </w:tcPr>
          <w:p>
            <w:pPr>
              <w:jc w:val="center"/>
              <w:spacing w:line="380" w:lineRule="exact"/>
              <w:widowControl/>
              <w:rPr>
                <w:rFonts w:asciiTheme="minorEastAsia" w:hAnsiTheme="minorEastAsia"/>
                <w:color w:val="000000"/>
                <w:sz w:val="24"/>
                <w:szCs w:val="24"/>
              </w:rPr>
            </w:pPr>
            <w:r>
              <w:rPr>
                <w:rFonts w:hint="eastAsia" w:ascii="宋体" w:hAnsi="宋体" w:eastAsia="宋体" w:cs="宋体"/>
                <w:color w:val="000000"/>
                <w:sz w:val="24"/>
                <w:szCs w:val="24"/>
              </w:rPr>
              <w:t xml:space="preserve">4</w:t>
            </w:r>
            <w:r/>
          </w:p>
        </w:tc>
        <w:tc>
          <w:tcPr>
            <w:tcW w:w="4988" w:type="dxa"/>
            <w:vAlign w:val="center"/>
            <w:textDirection w:val="lrTb"/>
            <w:noWrap w:val="false"/>
          </w:tcPr>
          <w:p>
            <w:pPr>
              <w:jc w:val="left"/>
              <w:spacing w:line="380" w:lineRule="exact"/>
              <w:widowControl/>
              <w:rPr>
                <w:rFonts w:asciiTheme="minorEastAsia" w:hAnsiTheme="minorEastAsia"/>
                <w:color w:val="000000"/>
                <w:sz w:val="24"/>
                <w:szCs w:val="24"/>
              </w:rPr>
            </w:pPr>
            <w:r>
              <w:rPr>
                <w:rFonts w:hint="eastAsia" w:ascii="宋体" w:hAnsi="宋体" w:eastAsia="宋体" w:cs="宋体"/>
                <w:color w:val="000000"/>
                <w:sz w:val="24"/>
                <w:szCs w:val="24"/>
              </w:rPr>
              <w:t xml:space="preserve">电子政务外网区-云主机(信创)-CPU</w:t>
            </w:r>
            <w:r/>
          </w:p>
        </w:tc>
        <w:tc>
          <w:tcPr>
            <w:shd w:val="clear" w:color="auto" w:fill="auto"/>
            <w:tcW w:w="1816" w:type="dxa"/>
            <w:vAlign w:val="center"/>
            <w:textDirection w:val="lrTb"/>
            <w:noWrap w:val="false"/>
          </w:tcPr>
          <w:p>
            <w:pPr>
              <w:jc w:val="center"/>
              <w:spacing w:line="380" w:lineRule="exact"/>
              <w:widowControl/>
              <w:rPr>
                <w:rFonts w:asciiTheme="minorEastAsia" w:hAnsiTheme="minorEastAsia"/>
                <w:color w:val="000000"/>
                <w:sz w:val="24"/>
                <w:szCs w:val="24"/>
              </w:rPr>
            </w:pPr>
            <w:r>
              <w:rPr>
                <w:rFonts w:hint="eastAsia" w:ascii="宋体" w:hAnsi="宋体" w:eastAsia="宋体" w:cs="宋体"/>
                <w:color w:val="000000"/>
                <w:sz w:val="24"/>
                <w:szCs w:val="24"/>
              </w:rPr>
              <w:t xml:space="preserve">1664</w:t>
            </w:r>
            <w:r/>
          </w:p>
        </w:tc>
        <w:tc>
          <w:tcPr>
            <w:shd w:val="clear" w:color="auto" w:fill="auto"/>
            <w:tcW w:w="1680" w:type="dxa"/>
            <w:vAlign w:val="center"/>
            <w:textDirection w:val="lrTb"/>
            <w:noWrap w:val="false"/>
          </w:tcPr>
          <w:p>
            <w:pPr>
              <w:jc w:val="center"/>
              <w:spacing w:line="380" w:lineRule="exact"/>
              <w:widowControl/>
              <w:rPr>
                <w:rFonts w:asciiTheme="minorEastAsia" w:hAnsiTheme="minorEastAsia"/>
                <w:color w:val="000000"/>
                <w:sz w:val="24"/>
                <w:szCs w:val="24"/>
              </w:rPr>
            </w:pPr>
            <w:r>
              <w:rPr>
                <w:rFonts w:hint="eastAsia" w:ascii="宋体" w:hAnsi="宋体" w:eastAsia="宋体" w:cs="宋体"/>
                <w:color w:val="000000"/>
                <w:sz w:val="24"/>
                <w:szCs w:val="24"/>
              </w:rPr>
              <w:t xml:space="preserve">核</w:t>
            </w:r>
            <w:r/>
          </w:p>
        </w:tc>
      </w:tr>
      <w:tr>
        <w:trPr>
          <w:jc w:val="center"/>
          <w:trHeight w:val="340"/>
        </w:trPr>
        <w:tc>
          <w:tcPr>
            <w:tcW w:w="992" w:type="dxa"/>
            <w:vAlign w:val="center"/>
            <w:textDirection w:val="lrTb"/>
            <w:noWrap w:val="false"/>
          </w:tcPr>
          <w:p>
            <w:pPr>
              <w:jc w:val="center"/>
              <w:spacing w:line="380" w:lineRule="exact"/>
              <w:widowControl/>
              <w:rPr>
                <w:rFonts w:asciiTheme="minorEastAsia" w:hAnsiTheme="minorEastAsia"/>
                <w:color w:val="000000"/>
                <w:sz w:val="24"/>
                <w:szCs w:val="24"/>
              </w:rPr>
            </w:pPr>
            <w:r>
              <w:rPr>
                <w:rFonts w:hint="eastAsia" w:ascii="宋体" w:hAnsi="宋体" w:eastAsia="宋体" w:cs="宋体"/>
                <w:color w:val="000000"/>
                <w:sz w:val="24"/>
                <w:szCs w:val="24"/>
              </w:rPr>
              <w:t xml:space="preserve">5</w:t>
            </w:r>
            <w:r/>
          </w:p>
        </w:tc>
        <w:tc>
          <w:tcPr>
            <w:tcW w:w="4988" w:type="dxa"/>
            <w:vAlign w:val="center"/>
            <w:textDirection w:val="lrTb"/>
            <w:noWrap w:val="false"/>
          </w:tcPr>
          <w:p>
            <w:pPr>
              <w:jc w:val="left"/>
              <w:spacing w:line="380" w:lineRule="exact"/>
              <w:widowControl/>
              <w:rPr>
                <w:rFonts w:asciiTheme="minorEastAsia" w:hAnsiTheme="minorEastAsia"/>
                <w:sz w:val="24"/>
                <w:szCs w:val="24"/>
              </w:rPr>
            </w:pPr>
            <w:r>
              <w:rPr>
                <w:rFonts w:hint="eastAsia" w:ascii="宋体" w:hAnsi="宋体" w:eastAsia="宋体" w:cs="宋体"/>
                <w:color w:val="000000"/>
                <w:sz w:val="24"/>
                <w:szCs w:val="24"/>
              </w:rPr>
              <w:t xml:space="preserve">电子政务外网区-云主机(信创)-内存</w:t>
            </w:r>
            <w:r/>
          </w:p>
        </w:tc>
        <w:tc>
          <w:tcPr>
            <w:tcW w:w="1816" w:type="dxa"/>
            <w:vAlign w:val="center"/>
            <w:textDirection w:val="lrTb"/>
            <w:noWrap w:val="false"/>
          </w:tcPr>
          <w:p>
            <w:pPr>
              <w:jc w:val="center"/>
              <w:spacing w:line="380" w:lineRule="exact"/>
              <w:widowControl/>
              <w:rPr>
                <w:rFonts w:asciiTheme="minorEastAsia" w:hAnsiTheme="minorEastAsia"/>
                <w:color w:val="000000"/>
                <w:sz w:val="24"/>
                <w:szCs w:val="24"/>
              </w:rPr>
            </w:pPr>
            <w:r>
              <w:rPr>
                <w:rFonts w:hint="eastAsia" w:ascii="宋体" w:hAnsi="宋体" w:eastAsia="宋体" w:cs="宋体"/>
                <w:color w:val="000000"/>
                <w:sz w:val="24"/>
                <w:szCs w:val="24"/>
              </w:rPr>
              <w:t xml:space="preserve">4304</w:t>
            </w:r>
            <w:r/>
          </w:p>
        </w:tc>
        <w:tc>
          <w:tcPr>
            <w:tcW w:w="1680" w:type="dxa"/>
            <w:vAlign w:val="center"/>
            <w:textDirection w:val="lrTb"/>
            <w:noWrap w:val="false"/>
          </w:tcPr>
          <w:p>
            <w:pPr>
              <w:jc w:val="center"/>
              <w:spacing w:line="380" w:lineRule="exact"/>
              <w:widowControl/>
              <w:rPr>
                <w:rFonts w:asciiTheme="minorEastAsia" w:hAnsiTheme="minorEastAsia"/>
                <w:color w:val="000000"/>
                <w:sz w:val="24"/>
                <w:szCs w:val="24"/>
              </w:rPr>
            </w:pPr>
            <w:r>
              <w:rPr>
                <w:rFonts w:hint="eastAsia" w:ascii="宋体" w:hAnsi="宋体" w:eastAsia="宋体" w:cs="宋体"/>
                <w:color w:val="000000"/>
                <w:sz w:val="24"/>
                <w:szCs w:val="24"/>
              </w:rPr>
              <w:t xml:space="preserve">GB</w:t>
            </w:r>
            <w:r/>
          </w:p>
        </w:tc>
      </w:tr>
      <w:tr>
        <w:trPr>
          <w:jc w:val="center"/>
          <w:trHeight w:val="340"/>
        </w:trPr>
        <w:tc>
          <w:tcPr>
            <w:tcW w:w="992" w:type="dxa"/>
            <w:vAlign w:val="center"/>
            <w:textDirection w:val="lrTb"/>
            <w:noWrap w:val="false"/>
          </w:tcPr>
          <w:p>
            <w:pPr>
              <w:jc w:val="center"/>
              <w:spacing w:line="380" w:lineRule="exact"/>
              <w:widowControl/>
              <w:rPr>
                <w:rFonts w:asciiTheme="minorEastAsia" w:hAnsiTheme="minorEastAsia"/>
                <w:color w:val="000000"/>
                <w:sz w:val="24"/>
                <w:szCs w:val="24"/>
              </w:rPr>
            </w:pPr>
            <w:r>
              <w:rPr>
                <w:rFonts w:hint="eastAsia" w:ascii="宋体" w:hAnsi="宋体" w:eastAsia="宋体" w:cs="宋体"/>
                <w:color w:val="000000"/>
                <w:sz w:val="24"/>
                <w:szCs w:val="24"/>
              </w:rPr>
              <w:t xml:space="preserve">6</w:t>
            </w:r>
            <w:r/>
          </w:p>
        </w:tc>
        <w:tc>
          <w:tcPr>
            <w:tcW w:w="4988" w:type="dxa"/>
            <w:vAlign w:val="center"/>
            <w:textDirection w:val="lrTb"/>
            <w:noWrap w:val="false"/>
          </w:tcPr>
          <w:p>
            <w:pPr>
              <w:jc w:val="left"/>
              <w:spacing w:line="380" w:lineRule="exact"/>
              <w:widowControl/>
              <w:rPr>
                <w:rFonts w:asciiTheme="minorEastAsia" w:hAnsiTheme="minorEastAsia"/>
                <w:sz w:val="24"/>
                <w:szCs w:val="24"/>
              </w:rPr>
            </w:pPr>
            <w:r>
              <w:rPr>
                <w:rFonts w:hint="eastAsia" w:ascii="宋体" w:hAnsi="宋体" w:eastAsia="宋体" w:cs="宋体"/>
                <w:color w:val="000000"/>
                <w:sz w:val="24"/>
                <w:szCs w:val="24"/>
              </w:rPr>
              <w:t xml:space="preserve">电子政务外网区-云主机存储（信创）</w:t>
            </w:r>
            <w:r/>
          </w:p>
        </w:tc>
        <w:tc>
          <w:tcPr>
            <w:tcW w:w="1816" w:type="dxa"/>
            <w:vAlign w:val="center"/>
            <w:textDirection w:val="lrTb"/>
            <w:noWrap w:val="false"/>
          </w:tcPr>
          <w:p>
            <w:pPr>
              <w:jc w:val="center"/>
              <w:spacing w:line="380" w:lineRule="exact"/>
              <w:widowControl/>
              <w:rPr>
                <w:rFonts w:asciiTheme="minorEastAsia" w:hAnsiTheme="minorEastAsia"/>
                <w:color w:val="000000"/>
                <w:sz w:val="24"/>
                <w:szCs w:val="24"/>
              </w:rPr>
            </w:pPr>
            <w:r>
              <w:rPr>
                <w:rFonts w:hint="eastAsia" w:ascii="宋体" w:hAnsi="宋体" w:eastAsia="宋体" w:cs="宋体"/>
                <w:color w:val="000000"/>
                <w:sz w:val="24"/>
                <w:szCs w:val="24"/>
              </w:rPr>
              <w:t xml:space="preserve">82</w:t>
            </w:r>
            <w:r/>
          </w:p>
        </w:tc>
        <w:tc>
          <w:tcPr>
            <w:tcW w:w="1680" w:type="dxa"/>
            <w:vAlign w:val="center"/>
            <w:textDirection w:val="lrTb"/>
            <w:noWrap w:val="false"/>
          </w:tcPr>
          <w:p>
            <w:pPr>
              <w:jc w:val="center"/>
              <w:spacing w:line="380" w:lineRule="exact"/>
              <w:widowControl/>
              <w:rPr>
                <w:rFonts w:asciiTheme="minorEastAsia" w:hAnsiTheme="minorEastAsia"/>
                <w:color w:val="000000"/>
                <w:sz w:val="24"/>
                <w:szCs w:val="24"/>
              </w:rPr>
            </w:pPr>
            <w:r>
              <w:rPr>
                <w:rFonts w:hint="eastAsia" w:ascii="宋体" w:hAnsi="宋体" w:eastAsia="宋体" w:cs="宋体"/>
                <w:color w:val="000000"/>
                <w:sz w:val="24"/>
                <w:szCs w:val="24"/>
              </w:rPr>
              <w:t xml:space="preserve">TB</w:t>
            </w:r>
            <w:r/>
          </w:p>
        </w:tc>
      </w:tr>
      <w:tr>
        <w:trPr>
          <w:jc w:val="center"/>
          <w:trHeight w:val="340"/>
        </w:trPr>
        <w:tc>
          <w:tcPr>
            <w:tcW w:w="992" w:type="dxa"/>
            <w:vAlign w:val="center"/>
            <w:textDirection w:val="lrTb"/>
            <w:noWrap w:val="false"/>
          </w:tcPr>
          <w:p>
            <w:pPr>
              <w:jc w:val="center"/>
              <w:spacing w:line="380" w:lineRule="exact"/>
              <w:widowControl/>
              <w:rPr>
                <w:rFonts w:asciiTheme="minorEastAsia" w:hAnsiTheme="minorEastAsia"/>
                <w:color w:val="000000"/>
                <w:sz w:val="24"/>
                <w:szCs w:val="24"/>
              </w:rPr>
            </w:pPr>
            <w:r>
              <w:rPr>
                <w:rFonts w:hint="eastAsia" w:ascii="宋体" w:hAnsi="宋体" w:eastAsia="宋体" w:cs="宋体"/>
                <w:color w:val="000000"/>
                <w:sz w:val="24"/>
                <w:szCs w:val="24"/>
              </w:rPr>
              <w:t xml:space="preserve">7</w:t>
            </w:r>
            <w:r/>
          </w:p>
        </w:tc>
        <w:tc>
          <w:tcPr>
            <w:tcW w:w="4988" w:type="dxa"/>
            <w:vAlign w:val="center"/>
            <w:textDirection w:val="lrTb"/>
            <w:noWrap w:val="false"/>
          </w:tcPr>
          <w:p>
            <w:pPr>
              <w:jc w:val="left"/>
              <w:spacing w:line="380" w:lineRule="exact"/>
              <w:widowControl/>
              <w:rPr>
                <w:rFonts w:asciiTheme="minorEastAsia" w:hAnsiTheme="minorEastAsia"/>
                <w:color w:val="000000"/>
                <w:sz w:val="24"/>
                <w:szCs w:val="24"/>
              </w:rPr>
            </w:pPr>
            <w:r>
              <w:rPr>
                <w:rFonts w:hint="eastAsia" w:ascii="宋体" w:hAnsi="宋体" w:eastAsia="宋体" w:cs="宋体"/>
                <w:color w:val="000000"/>
                <w:sz w:val="24"/>
                <w:szCs w:val="24"/>
              </w:rPr>
              <w:t xml:space="preserve">密码服务（信创）</w:t>
            </w:r>
            <w:r/>
          </w:p>
        </w:tc>
        <w:tc>
          <w:tcPr>
            <w:tcW w:w="1816" w:type="dxa"/>
            <w:vAlign w:val="center"/>
            <w:textDirection w:val="lrTb"/>
            <w:noWrap w:val="false"/>
          </w:tcPr>
          <w:p>
            <w:pPr>
              <w:jc w:val="center"/>
              <w:spacing w:line="380" w:lineRule="exact"/>
              <w:widowControl/>
              <w:rPr>
                <w:rFonts w:asciiTheme="minorEastAsia" w:hAnsiTheme="minorEastAsia"/>
                <w:color w:val="000000"/>
                <w:sz w:val="24"/>
                <w:szCs w:val="24"/>
              </w:rPr>
            </w:pPr>
            <w:r>
              <w:rPr>
                <w:rFonts w:hint="eastAsia" w:ascii="宋体" w:hAnsi="宋体" w:eastAsia="宋体" w:cs="宋体"/>
                <w:color w:val="000000"/>
                <w:sz w:val="24"/>
                <w:szCs w:val="24"/>
              </w:rPr>
              <w:t xml:space="preserve">1</w:t>
            </w:r>
            <w:r/>
          </w:p>
        </w:tc>
        <w:tc>
          <w:tcPr>
            <w:tcW w:w="1680" w:type="dxa"/>
            <w:vAlign w:val="center"/>
            <w:textDirection w:val="lrTb"/>
            <w:noWrap w:val="false"/>
          </w:tcPr>
          <w:p>
            <w:pPr>
              <w:jc w:val="center"/>
              <w:spacing w:line="380" w:lineRule="exact"/>
              <w:widowControl/>
              <w:rPr>
                <w:rFonts w:asciiTheme="minorEastAsia" w:hAnsiTheme="minorEastAsia"/>
                <w:color w:val="000000"/>
                <w:sz w:val="24"/>
                <w:szCs w:val="24"/>
              </w:rPr>
            </w:pPr>
            <w:r>
              <w:rPr>
                <w:rFonts w:hint="eastAsia" w:ascii="宋体" w:hAnsi="宋体" w:eastAsia="宋体" w:cs="宋体"/>
                <w:color w:val="000000"/>
                <w:sz w:val="24"/>
                <w:szCs w:val="24"/>
              </w:rPr>
              <w:t xml:space="preserve">套</w:t>
            </w:r>
            <w:r/>
          </w:p>
        </w:tc>
      </w:tr>
      <w:tr>
        <w:trPr>
          <w:jc w:val="center"/>
          <w:trHeight w:val="340"/>
        </w:trPr>
        <w:tc>
          <w:tcPr>
            <w:tcW w:w="992" w:type="dxa"/>
            <w:vAlign w:val="center"/>
            <w:textDirection w:val="lrTb"/>
            <w:noWrap w:val="false"/>
          </w:tcPr>
          <w:p>
            <w:pPr>
              <w:jc w:val="center"/>
              <w:spacing w:line="380" w:lineRule="exact"/>
              <w:widowControl/>
              <w:rPr>
                <w:rFonts w:asciiTheme="minorEastAsia" w:hAnsiTheme="minorEastAsia"/>
                <w:color w:val="000000"/>
                <w:sz w:val="24"/>
                <w:szCs w:val="24"/>
              </w:rPr>
            </w:pPr>
            <w:r>
              <w:rPr>
                <w:rFonts w:hint="eastAsia" w:ascii="宋体" w:hAnsi="宋体" w:eastAsia="宋体" w:cs="宋体"/>
                <w:color w:val="000000"/>
                <w:sz w:val="24"/>
                <w:szCs w:val="24"/>
              </w:rPr>
              <w:t xml:space="preserve">8</w:t>
            </w:r>
            <w:r/>
          </w:p>
        </w:tc>
        <w:tc>
          <w:tcPr>
            <w:tcW w:w="4988" w:type="dxa"/>
            <w:vAlign w:val="center"/>
            <w:textDirection w:val="lrTb"/>
            <w:noWrap w:val="false"/>
          </w:tcPr>
          <w:p>
            <w:pPr>
              <w:jc w:val="left"/>
              <w:spacing w:line="380" w:lineRule="exact"/>
              <w:widowControl/>
              <w:rPr>
                <w:rFonts w:asciiTheme="minorEastAsia" w:hAnsiTheme="minorEastAsia"/>
                <w:color w:val="000000"/>
                <w:sz w:val="24"/>
                <w:szCs w:val="24"/>
              </w:rPr>
            </w:pPr>
            <w:r>
              <w:rPr>
                <w:rFonts w:hint="eastAsia" w:ascii="宋体" w:hAnsi="宋体" w:eastAsia="宋体" w:cs="宋体"/>
                <w:color w:val="000000"/>
                <w:sz w:val="24"/>
                <w:szCs w:val="24"/>
              </w:rPr>
              <w:t xml:space="preserve">操作系统</w:t>
            </w:r>
            <w:r/>
          </w:p>
        </w:tc>
        <w:tc>
          <w:tcPr>
            <w:tcW w:w="1816" w:type="dxa"/>
            <w:vAlign w:val="center"/>
            <w:textDirection w:val="lrTb"/>
            <w:noWrap w:val="false"/>
          </w:tcPr>
          <w:p>
            <w:pPr>
              <w:jc w:val="center"/>
              <w:spacing w:line="380" w:lineRule="exact"/>
              <w:widowControl/>
              <w:rPr>
                <w:rFonts w:asciiTheme="minorEastAsia" w:hAnsiTheme="minorEastAsia"/>
                <w:color w:val="000000"/>
                <w:sz w:val="24"/>
                <w:szCs w:val="24"/>
              </w:rPr>
            </w:pPr>
            <w:r>
              <w:rPr>
                <w:rFonts w:hint="eastAsia" w:ascii="宋体" w:hAnsi="宋体" w:eastAsia="宋体" w:cs="宋体"/>
                <w:color w:val="000000"/>
                <w:sz w:val="24"/>
                <w:szCs w:val="24"/>
              </w:rPr>
              <w:t xml:space="preserve">10</w:t>
            </w:r>
            <w:r/>
          </w:p>
        </w:tc>
        <w:tc>
          <w:tcPr>
            <w:tcW w:w="1680" w:type="dxa"/>
            <w:vAlign w:val="center"/>
            <w:textDirection w:val="lrTb"/>
            <w:noWrap w:val="false"/>
          </w:tcPr>
          <w:p>
            <w:pPr>
              <w:jc w:val="center"/>
              <w:spacing w:line="380" w:lineRule="exact"/>
              <w:widowControl/>
              <w:rPr>
                <w:rFonts w:asciiTheme="minorEastAsia" w:hAnsiTheme="minorEastAsia"/>
                <w:color w:val="000000"/>
                <w:sz w:val="24"/>
                <w:szCs w:val="24"/>
              </w:rPr>
            </w:pPr>
            <w:r>
              <w:rPr>
                <w:rFonts w:hint="eastAsia" w:ascii="宋体" w:hAnsi="宋体" w:eastAsia="宋体" w:cs="宋体"/>
                <w:color w:val="000000"/>
                <w:sz w:val="24"/>
                <w:szCs w:val="24"/>
              </w:rPr>
              <w:t xml:space="preserve">套</w:t>
            </w:r>
            <w:r/>
          </w:p>
        </w:tc>
      </w:tr>
      <w:tr>
        <w:trPr>
          <w:jc w:val="center"/>
          <w:trHeight w:val="340"/>
        </w:trPr>
        <w:tc>
          <w:tcPr>
            <w:tcW w:w="992" w:type="dxa"/>
            <w:vAlign w:val="center"/>
            <w:textDirection w:val="lrTb"/>
            <w:noWrap w:val="false"/>
          </w:tcPr>
          <w:p>
            <w:pPr>
              <w:jc w:val="center"/>
              <w:spacing w:line="380" w:lineRule="exact"/>
              <w:widowControl/>
              <w:rPr>
                <w:rFonts w:asciiTheme="minorEastAsia" w:hAnsiTheme="minorEastAsia"/>
                <w:color w:val="000000"/>
                <w:sz w:val="24"/>
                <w:szCs w:val="24"/>
              </w:rPr>
            </w:pPr>
            <w:r>
              <w:rPr>
                <w:rFonts w:hint="eastAsia" w:ascii="宋体" w:hAnsi="宋体" w:eastAsia="宋体" w:cs="宋体"/>
                <w:color w:val="000000"/>
                <w:sz w:val="24"/>
                <w:szCs w:val="24"/>
              </w:rPr>
              <w:t xml:space="preserve">9</w:t>
            </w:r>
            <w:r/>
          </w:p>
        </w:tc>
        <w:tc>
          <w:tcPr>
            <w:tcW w:w="4988" w:type="dxa"/>
            <w:vAlign w:val="center"/>
            <w:textDirection w:val="lrTb"/>
            <w:noWrap w:val="false"/>
          </w:tcPr>
          <w:p>
            <w:pPr>
              <w:jc w:val="left"/>
              <w:spacing w:line="380" w:lineRule="exact"/>
              <w:widowControl/>
              <w:rPr>
                <w:rFonts w:asciiTheme="minorEastAsia" w:hAnsiTheme="minorEastAsia"/>
                <w:color w:val="000000"/>
                <w:sz w:val="24"/>
                <w:szCs w:val="24"/>
              </w:rPr>
            </w:pPr>
            <w:r>
              <w:rPr>
                <w:rFonts w:hint="eastAsia" w:ascii="宋体" w:hAnsi="宋体" w:eastAsia="宋体" w:cs="宋体"/>
                <w:color w:val="000000"/>
                <w:sz w:val="24"/>
                <w:szCs w:val="24"/>
              </w:rPr>
              <w:t xml:space="preserve">数据库</w:t>
            </w:r>
            <w:r/>
          </w:p>
        </w:tc>
        <w:tc>
          <w:tcPr>
            <w:tcW w:w="1816" w:type="dxa"/>
            <w:vAlign w:val="center"/>
            <w:textDirection w:val="lrTb"/>
            <w:noWrap w:val="false"/>
          </w:tcPr>
          <w:p>
            <w:pPr>
              <w:jc w:val="center"/>
              <w:spacing w:line="380" w:lineRule="exact"/>
              <w:widowControl/>
              <w:rPr>
                <w:rFonts w:asciiTheme="minorEastAsia" w:hAnsiTheme="minorEastAsia"/>
                <w:color w:val="000000"/>
                <w:sz w:val="24"/>
                <w:szCs w:val="24"/>
              </w:rPr>
            </w:pPr>
            <w:r>
              <w:rPr>
                <w:rFonts w:hint="eastAsia" w:ascii="宋体" w:hAnsi="宋体" w:eastAsia="宋体" w:cs="宋体"/>
                <w:color w:val="000000"/>
                <w:sz w:val="24"/>
                <w:szCs w:val="24"/>
              </w:rPr>
              <w:t xml:space="preserve">4</w:t>
            </w:r>
            <w:r/>
          </w:p>
        </w:tc>
        <w:tc>
          <w:tcPr>
            <w:tcW w:w="1680" w:type="dxa"/>
            <w:vAlign w:val="center"/>
            <w:textDirection w:val="lrTb"/>
            <w:noWrap w:val="false"/>
          </w:tcPr>
          <w:p>
            <w:pPr>
              <w:jc w:val="center"/>
              <w:spacing w:line="380" w:lineRule="exact"/>
              <w:widowControl/>
              <w:rPr>
                <w:rFonts w:asciiTheme="minorEastAsia" w:hAnsiTheme="minorEastAsia"/>
                <w:color w:val="000000"/>
                <w:sz w:val="24"/>
                <w:szCs w:val="24"/>
              </w:rPr>
            </w:pPr>
            <w:r>
              <w:rPr>
                <w:rFonts w:hint="eastAsia" w:ascii="宋体" w:hAnsi="宋体" w:eastAsia="宋体" w:cs="宋体"/>
                <w:color w:val="000000"/>
                <w:sz w:val="24"/>
                <w:szCs w:val="24"/>
              </w:rPr>
              <w:t xml:space="preserve">套</w:t>
            </w:r>
            <w:r/>
          </w:p>
        </w:tc>
      </w:tr>
    </w:tbl>
    <w:p>
      <w:pPr>
        <w:pStyle w:val="855"/>
        <w:ind w:firstLine="480"/>
        <w:spacing w:line="360" w:lineRule="auto"/>
        <w:rPr>
          <w:rFonts w:asciiTheme="minorEastAsia" w:hAnsiTheme="minorEastAsia" w:eastAsiaTheme="minorEastAsia" w:cstheme="minorBidi"/>
          <w:b/>
          <w:bCs/>
          <w:sz w:val="24"/>
          <w:szCs w:val="24"/>
        </w:rPr>
      </w:pPr>
      <w:r>
        <w:rPr>
          <w:rFonts w:hint="eastAsia" w:asciiTheme="minorEastAsia" w:hAnsiTheme="minorEastAsia" w:eastAsiaTheme="minorEastAsia" w:cstheme="minorBidi"/>
          <w:b/>
          <w:bCs/>
          <w:sz w:val="24"/>
          <w:szCs w:val="24"/>
        </w:rPr>
        <w:t xml:space="preserve">2.政务云资源要求</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具体服务技术要求：</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配置清单中1-7项依托市信创政务云部署，防火墙等网络安全资源共用信创云相关资源。其中云主机、云主机存储、密码服务以租赁方式，按照信创政务云统一价格租赁。操作系统及数据库通过采购方式布设，其中操作系统和数据库的技术要求如下：</w:t>
      </w:r>
      <w:r/>
    </w:p>
    <w:p>
      <w:pPr>
        <w:ind w:firstLine="482"/>
        <w:spacing w:line="360" w:lineRule="auto"/>
        <w:rPr>
          <w:rFonts w:asciiTheme="minorEastAsia" w:hAnsiTheme="minorEastAsia"/>
          <w:b/>
          <w:bCs/>
          <w:sz w:val="24"/>
          <w:szCs w:val="24"/>
        </w:rPr>
      </w:pPr>
      <w:r>
        <w:rPr>
          <w:rFonts w:hint="eastAsia" w:asciiTheme="minorEastAsia" w:hAnsiTheme="minorEastAsia"/>
          <w:b/>
          <w:bCs/>
          <w:sz w:val="24"/>
          <w:szCs w:val="24"/>
        </w:rPr>
        <w:t xml:space="preserve">（1）操作系统</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①基本需求：</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操作系统须至少满足《操作系统政府采购需求标准（2023年版）》中加“*”的指标要求，如下表所示：</w:t>
      </w:r>
      <w:r/>
    </w:p>
    <w:tbl>
      <w:tblPr>
        <w:tblStyle w:val="890"/>
        <w:tblW w:w="5000" w:type="pct"/>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4"/>
        <w:gridCol w:w="1417"/>
        <w:gridCol w:w="1417"/>
        <w:gridCol w:w="1843"/>
        <w:gridCol w:w="4257"/>
      </w:tblGrid>
      <w:tr>
        <w:trPr>
          <w:jc w:val="center"/>
          <w:trHeight w:val="567"/>
        </w:trPr>
        <w:tc>
          <w:tcPr>
            <w:shd w:val="clear" w:color="auto" w:fill="auto"/>
            <w:tcW w:w="714" w:type="dxa"/>
            <w:vAlign w:val="center"/>
            <w:textDirection w:val="lrTb"/>
            <w:noWrap w:val="false"/>
          </w:tcPr>
          <w:p>
            <w:pPr>
              <w:jc w:val="center"/>
              <w:rPr>
                <w:rFonts w:ascii="宋体" w:hAnsi="宋体" w:eastAsia="宋体" w:cs="宋体"/>
                <w:b/>
                <w:bCs/>
                <w:i/>
                <w:sz w:val="24"/>
                <w:szCs w:val="18"/>
                <w:u w:val="single"/>
              </w:rPr>
            </w:pPr>
            <w:r>
              <w:rPr>
                <w:rFonts w:hint="eastAsia" w:ascii="宋体" w:hAnsi="宋体" w:eastAsia="宋体" w:cs="宋体"/>
                <w:b/>
                <w:bCs/>
                <w:i/>
                <w:sz w:val="24"/>
                <w:szCs w:val="18"/>
                <w:u w:val="single"/>
              </w:rPr>
              <w:t xml:space="preserve">序号</w:t>
            </w:r>
            <w:r/>
          </w:p>
        </w:tc>
        <w:tc>
          <w:tcPr>
            <w:shd w:val="clear" w:color="auto" w:fill="auto"/>
            <w:tcW w:w="1417" w:type="dxa"/>
            <w:vAlign w:val="center"/>
            <w:textDirection w:val="lrTb"/>
            <w:noWrap w:val="false"/>
          </w:tcPr>
          <w:p>
            <w:pPr>
              <w:jc w:val="center"/>
              <w:rPr>
                <w:rFonts w:ascii="宋体" w:hAnsi="宋体" w:eastAsia="宋体" w:cs="宋体"/>
                <w:b/>
                <w:bCs/>
                <w:i/>
                <w:sz w:val="24"/>
                <w:szCs w:val="18"/>
                <w:u w:val="single"/>
              </w:rPr>
            </w:pPr>
            <w:r>
              <w:rPr>
                <w:rFonts w:hint="eastAsia" w:ascii="宋体" w:hAnsi="宋体" w:eastAsia="宋体" w:cs="宋体"/>
                <w:b/>
                <w:bCs/>
                <w:i/>
                <w:sz w:val="24"/>
                <w:szCs w:val="18"/>
                <w:u w:val="single"/>
              </w:rPr>
              <w:t xml:space="preserve">分类</w:t>
            </w:r>
            <w:r/>
          </w:p>
        </w:tc>
        <w:tc>
          <w:tcPr>
            <w:shd w:val="clear" w:color="auto" w:fill="auto"/>
            <w:tcW w:w="1417" w:type="dxa"/>
            <w:vAlign w:val="center"/>
            <w:textDirection w:val="lrTb"/>
            <w:noWrap w:val="false"/>
          </w:tcPr>
          <w:p>
            <w:pPr>
              <w:jc w:val="center"/>
              <w:rPr>
                <w:rFonts w:ascii="宋体" w:hAnsi="宋体" w:eastAsia="宋体" w:cs="宋体"/>
                <w:b/>
                <w:bCs/>
                <w:i/>
                <w:sz w:val="24"/>
                <w:szCs w:val="18"/>
                <w:u w:val="single"/>
              </w:rPr>
            </w:pPr>
            <w:r>
              <w:rPr>
                <w:rFonts w:hint="eastAsia" w:ascii="宋体" w:hAnsi="宋体" w:eastAsia="宋体" w:cs="宋体"/>
                <w:b/>
                <w:bCs/>
                <w:i/>
                <w:sz w:val="24"/>
                <w:szCs w:val="18"/>
                <w:u w:val="single"/>
              </w:rPr>
              <w:t xml:space="preserve">一级指标</w:t>
            </w:r>
            <w:r/>
          </w:p>
        </w:tc>
        <w:tc>
          <w:tcPr>
            <w:shd w:val="clear" w:color="auto" w:fill="auto"/>
            <w:tcW w:w="1843" w:type="dxa"/>
            <w:vAlign w:val="center"/>
            <w:textDirection w:val="lrTb"/>
            <w:noWrap w:val="false"/>
          </w:tcPr>
          <w:p>
            <w:pPr>
              <w:jc w:val="center"/>
              <w:rPr>
                <w:rFonts w:ascii="宋体" w:hAnsi="宋体" w:eastAsia="宋体" w:cs="宋体"/>
                <w:b/>
                <w:bCs/>
                <w:i/>
                <w:sz w:val="24"/>
                <w:szCs w:val="18"/>
                <w:u w:val="single"/>
              </w:rPr>
            </w:pPr>
            <w:r>
              <w:rPr>
                <w:rFonts w:hint="eastAsia" w:ascii="宋体" w:hAnsi="宋体" w:eastAsia="宋体" w:cs="宋体"/>
                <w:b/>
                <w:bCs/>
                <w:i/>
                <w:sz w:val="24"/>
                <w:szCs w:val="18"/>
                <w:u w:val="single"/>
              </w:rPr>
              <w:t xml:space="preserve">二级指标</w:t>
            </w:r>
            <w:r/>
          </w:p>
        </w:tc>
        <w:tc>
          <w:tcPr>
            <w:shd w:val="clear" w:color="auto" w:fill="auto"/>
            <w:tcW w:w="4257" w:type="dxa"/>
            <w:vAlign w:val="center"/>
            <w:textDirection w:val="lrTb"/>
            <w:noWrap w:val="false"/>
          </w:tcPr>
          <w:p>
            <w:pPr>
              <w:jc w:val="center"/>
              <w:rPr>
                <w:rFonts w:ascii="宋体" w:hAnsi="宋体" w:eastAsia="宋体" w:cs="宋体"/>
                <w:b/>
                <w:bCs/>
                <w:i/>
                <w:sz w:val="24"/>
                <w:szCs w:val="18"/>
                <w:u w:val="single"/>
              </w:rPr>
            </w:pPr>
            <w:r>
              <w:rPr>
                <w:rFonts w:hint="eastAsia" w:ascii="宋体" w:hAnsi="宋体" w:eastAsia="宋体" w:cs="宋体"/>
                <w:b/>
                <w:bCs/>
                <w:i/>
                <w:sz w:val="24"/>
                <w:szCs w:val="18"/>
                <w:u w:val="single"/>
              </w:rPr>
              <w:t xml:space="preserve">指标要求</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w:t>
            </w:r>
            <w:r/>
          </w:p>
        </w:tc>
        <w:tc>
          <w:tcPr>
            <w:tcW w:w="141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141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*操作系统支持多CPU架构</w:t>
            </w:r>
            <w:r/>
          </w:p>
        </w:tc>
        <w:tc>
          <w:tcPr>
            <w:tcW w:w="1843"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*同源兼容多CPU平台架构</w:t>
            </w:r>
            <w:r/>
          </w:p>
        </w:tc>
        <w:tc>
          <w:tcPr>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操作系统支持同源兼容ARM、</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LoongArch</w:t>
            </w:r>
            <w:r>
              <w:rPr>
                <w:rFonts w:hint="eastAsia" w:cs="宋体" w:asciiTheme="minorEastAsia" w:hAnsiTheme="minorEastAsia"/>
                <w:b/>
                <w:i/>
                <w:szCs w:val="21"/>
                <w:u w:val="single"/>
              </w:rPr>
              <w:t xml:space="preserve">、MIPS、SW64、x86架构的CPU</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2</w:t>
            </w:r>
            <w:r/>
          </w:p>
        </w:tc>
        <w:tc>
          <w:tcPr>
            <w:tcW w:w="141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1417" w:type="dxa"/>
            <w:vAlign w:val="center"/>
            <w:vMerge w:val="restart"/>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*操作系统支持CPU内置功能</w:t>
            </w:r>
            <w:r/>
          </w:p>
        </w:tc>
        <w:tc>
          <w:tcPr>
            <w:tcW w:w="1843"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*多核支持</w:t>
            </w:r>
            <w:r/>
          </w:p>
        </w:tc>
        <w:tc>
          <w:tcPr>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操作系统支持双核及多核处理器，包括核间负载均衡、线程绑定等，并提供接口，通过访问接口获取运行状态和控制多核调度</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3</w:t>
            </w:r>
            <w:r/>
          </w:p>
        </w:tc>
        <w:tc>
          <w:tcPr>
            <w:tcW w:w="141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1843"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*CPU虚拟化支持</w:t>
            </w:r>
            <w:r/>
          </w:p>
        </w:tc>
        <w:tc>
          <w:tcPr>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操作系统支持CPU虚拟化技术</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4</w:t>
            </w:r>
            <w:r/>
          </w:p>
        </w:tc>
        <w:tc>
          <w:tcPr>
            <w:tcW w:w="141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1843"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*动态调节CPU运行频率</w:t>
            </w:r>
            <w:r/>
          </w:p>
        </w:tc>
        <w:tc>
          <w:tcPr>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操作系统根据负载情况，自动调节CPU的运行频率</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5</w:t>
            </w:r>
            <w:r/>
          </w:p>
        </w:tc>
        <w:tc>
          <w:tcPr>
            <w:tcW w:w="141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1843"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*支持多CPU</w:t>
            </w:r>
            <w:r/>
          </w:p>
        </w:tc>
        <w:tc>
          <w:tcPr>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支持跨路内存访问，支持CPU间负载均衡，支持并优化NUMA体系架构</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6</w:t>
            </w:r>
            <w:r/>
          </w:p>
        </w:tc>
        <w:tc>
          <w:tcPr>
            <w:tcW w:w="141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1843"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*支持CPU内置安全功能</w:t>
            </w:r>
            <w:r/>
          </w:p>
        </w:tc>
        <w:tc>
          <w:tcPr>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操作系统支持CPU硬件密码运算与随机数生成等功能；提供编程接口供应用程序调用；支持通过硬件指令判别临界区冲突；支持调用CPU指令，实现自旋锁</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7</w:t>
            </w:r>
            <w:r/>
          </w:p>
        </w:tc>
        <w:tc>
          <w:tcPr>
            <w:tcW w:w="141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1417" w:type="dxa"/>
            <w:vAlign w:val="center"/>
            <w:vMerge w:val="restart"/>
            <w:textDirection w:val="lrTb"/>
            <w:noWrap w:val="false"/>
          </w:tcPr>
          <w:p>
            <w:pPr>
              <w:ind w:firstLine="211"/>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*安装部署</w:t>
            </w:r>
            <w:r/>
          </w:p>
        </w:tc>
        <w:tc>
          <w:tcPr>
            <w:tcW w:w="1843"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*安装方式</w:t>
            </w:r>
            <w:r/>
          </w:p>
        </w:tc>
        <w:tc>
          <w:tcPr>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操作系统支持光盘安装、USB闪存盘安装、网络安装和无人值守安装</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8</w:t>
            </w:r>
            <w:r/>
          </w:p>
        </w:tc>
        <w:tc>
          <w:tcPr>
            <w:tcW w:w="141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1843"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*安装模式</w:t>
            </w:r>
            <w:r/>
          </w:p>
        </w:tc>
        <w:tc>
          <w:tcPr>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操作系统支持图形或文本安装模式</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9</w:t>
            </w:r>
            <w:r/>
          </w:p>
        </w:tc>
        <w:tc>
          <w:tcPr>
            <w:tcW w:w="1417" w:type="dxa"/>
            <w:vAlign w:val="center"/>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1843"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*安装过程配置</w:t>
            </w:r>
            <w:r/>
          </w:p>
        </w:tc>
        <w:tc>
          <w:tcPr>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安装界面文种设置、逻辑分区配置（如LVM）、自定义分区设置、安装组件设置、时区设置、键盘布局设置、初始用户设置、计算机名设置和网络设置，支持通过USB闪存盘等方式加载硬件驱动、支持设置加密文件系统</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10</w:t>
            </w:r>
            <w:r/>
          </w:p>
        </w:tc>
        <w:tc>
          <w:tcPr>
            <w:tcW w:w="141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1843"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*系统引导</w:t>
            </w:r>
            <w:r/>
          </w:p>
        </w:tc>
        <w:tc>
          <w:tcPr>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a)操作系统应支持UEFI2.0及以上规范固件引导，当计算机以UEFI模式启动安装时，安装程序应分配ESP，并在ESP中放置启动引导文件，使系统能以UEFI模式引导；</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b)支持bootloader引导，支持MBR及GPT</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11</w:t>
            </w:r>
            <w:r/>
          </w:p>
        </w:tc>
        <w:tc>
          <w:tcPr>
            <w:tcW w:w="141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1843"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*引导修复</w:t>
            </w:r>
            <w:r/>
          </w:p>
        </w:tc>
        <w:tc>
          <w:tcPr>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操作系统安装媒体提供系统引导修复功能，当已安装的系统引导被破坏时，可重建系统引导</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12</w:t>
            </w:r>
            <w:r/>
          </w:p>
        </w:tc>
        <w:tc>
          <w:tcPr>
            <w:tcW w:w="141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1843"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*引导参数编辑</w:t>
            </w:r>
            <w:r/>
          </w:p>
        </w:tc>
        <w:tc>
          <w:tcPr>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操作系统支持用户编辑引导参数，支持GRUB口令保护</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13</w:t>
            </w:r>
            <w:r/>
          </w:p>
        </w:tc>
        <w:tc>
          <w:tcPr>
            <w:tcW w:w="141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1843"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*数据保护</w:t>
            </w:r>
            <w:r/>
          </w:p>
        </w:tc>
        <w:tc>
          <w:tcPr>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安装程序在安装执行前明确提示用户可能会删除已有数据，并提供退出/取消功能，当用户取消安装时，不改变硬盘上已有数据</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14</w:t>
            </w:r>
            <w:r/>
          </w:p>
        </w:tc>
        <w:tc>
          <w:tcPr>
            <w:tcW w:w="141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1843"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*分辨率自适应</w:t>
            </w:r>
            <w:r/>
          </w:p>
        </w:tc>
        <w:tc>
          <w:tcPr>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操作系统安装完成后应自动适配显示器最佳分辨率(文本模式除外)</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15</w:t>
            </w:r>
            <w:r/>
          </w:p>
        </w:tc>
        <w:tc>
          <w:tcPr>
            <w:tcW w:w="141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1843"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*安装配置正确性校验</w:t>
            </w:r>
            <w:r/>
          </w:p>
        </w:tc>
        <w:tc>
          <w:tcPr>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操作系统安装和配置过程中，如用户自定义的某些配置可能会影响系统启动或正常使用，予以明确提示</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16</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*系统内核</w:t>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*内核要求</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a)若操作系统是基于Linux内核的服务器操作系统应兼容4.19版内核</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b)若操作系统属于其他类型内核不做要求</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17</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shd w:val="clear" w:color="auto" w:fill="auto"/>
            <w:tcW w:w="1417" w:type="dxa"/>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*进程、线程调度</w:t>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*NUMA</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操作系统支持基于NUMA的亲和调度</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18</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*多核轮询</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操作系统支持CPU多核轮询调度</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19</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*进程调度</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操作系统具备进程优先级动态调整能</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力，允许在进程运行时对优先级进行调整；区分实时进程与非实时进程，分别进行调度；支持进程运行状态检查</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20</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shd w:val="clear" w:color="auto" w:fill="auto"/>
            <w:tcW w:w="1417" w:type="dxa"/>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*内存管理</w:t>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*内存容量</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操作系统支持最大内存不小于4TB</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21</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*内存大页管理</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操作系统允许应用申请内存大页降低页表转换</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22</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*NUMA</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操作系统支持NUMA近节点优化</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23</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内存超分</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操作系统支持虚拟内存超分，提升内存的使用率</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24</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shd w:val="clear" w:color="auto" w:fill="auto"/>
            <w:tcW w:w="1417" w:type="dxa"/>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*存储管理</w:t>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*RAID支持</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操作系统支持硬RAID和软RAID，支持软RAID级别0、1、5、6、10</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25</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*虚拟文件系统</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操作系统支持将不同功能的外部设备抽象为统一的文件操作接口，包括存储、输入输出设备</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26</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*文件管理</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操作系统支持文件存储、检索和共享</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27</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*可移动存储</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操作系统支持对可移动外部存储的管理，包括启停、禁用、恢复等</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28</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*外部独立存储</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操作系统支持使用外部独立存储设备</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29</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*多路径聚合</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操作系统支持存储多路径聚合及I/O动态负载均衡</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30</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*故障检测</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操作系统支持硬盘损坏或老化检测及信息收集</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31</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*虚拟内存</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操作系统支持将硬盘的特定分区或文件作为虚拟扩展内存用于存放内存数据，支持虚拟内</w:t>
            </w:r>
            <w:r>
              <w:rPr>
                <w:rFonts w:hint="eastAsia" w:cs="宋体" w:asciiTheme="minorEastAsia" w:hAnsiTheme="minorEastAsia"/>
                <w:b/>
                <w:i/>
                <w:szCs w:val="21"/>
                <w:u w:val="single"/>
              </w:rPr>
              <w:t xml:space="preserve">存压缩</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32</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*网络块设备挂载</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w:t>
            </w:r>
            <w:r>
              <w:rPr>
                <w:rFonts w:hint="eastAsia" w:cs="宋体" w:asciiTheme="minorEastAsia" w:hAnsiTheme="minorEastAsia"/>
                <w:b/>
                <w:i/>
                <w:szCs w:val="21"/>
                <w:u w:val="single"/>
              </w:rPr>
              <w:t xml:space="preserve">FCoE</w:t>
            </w:r>
            <w:r>
              <w:rPr>
                <w:rFonts w:hint="eastAsia" w:cs="宋体" w:asciiTheme="minorEastAsia" w:hAnsiTheme="minorEastAsia"/>
                <w:b/>
                <w:i/>
                <w:szCs w:val="21"/>
                <w:u w:val="single"/>
              </w:rPr>
              <w:t xml:space="preserve">、</w:t>
            </w:r>
            <w:r>
              <w:rPr>
                <w:rFonts w:hint="eastAsia" w:cs="宋体" w:asciiTheme="minorEastAsia" w:hAnsiTheme="minorEastAsia"/>
                <w:b/>
                <w:i/>
                <w:szCs w:val="21"/>
                <w:u w:val="single"/>
              </w:rPr>
              <w:t xml:space="preserve">iSCSI</w:t>
            </w:r>
            <w:r>
              <w:rPr>
                <w:rFonts w:hint="eastAsia" w:cs="宋体" w:asciiTheme="minorEastAsia" w:hAnsiTheme="minorEastAsia"/>
                <w:b/>
                <w:i/>
                <w:szCs w:val="21"/>
                <w:u w:val="single"/>
              </w:rPr>
              <w:t xml:space="preserve">，支持将</w:t>
            </w:r>
            <w:r>
              <w:rPr>
                <w:rFonts w:hint="eastAsia" w:cs="宋体" w:asciiTheme="minorEastAsia" w:hAnsiTheme="minorEastAsia"/>
                <w:b/>
                <w:i/>
                <w:szCs w:val="21"/>
                <w:u w:val="single"/>
              </w:rPr>
              <w:t xml:space="preserve">Ceph</w:t>
            </w:r>
            <w:r>
              <w:rPr>
                <w:rFonts w:hint="eastAsia" w:cs="宋体" w:asciiTheme="minorEastAsia" w:hAnsiTheme="minorEastAsia"/>
                <w:b/>
                <w:i/>
                <w:szCs w:val="21"/>
                <w:u w:val="single"/>
              </w:rPr>
              <w:t xml:space="preserve">块设备视为常规存储设备挂载到某个</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目录并作为标准文件系统使用</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34</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shd w:val="clear" w:color="auto" w:fill="auto"/>
            <w:tcW w:w="1417" w:type="dxa"/>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*网络管理</w:t>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*网络链路检测</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操作系统支持网络链路故障检测、链路事件通知和链路状态查询</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35</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*TCP卸载引擎</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操作系统支持运行TCP协议卸载引擎的网卡</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36</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*网络协议</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操作系统支持IPv4、IPv6</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37</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shd w:val="clear" w:color="auto" w:fill="auto"/>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*多网卡绑定</w:t>
            </w:r>
            <w:r/>
          </w:p>
        </w:tc>
        <w:tc>
          <w:tcPr>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操作系统支持多网卡绑定</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39</w:t>
            </w:r>
            <w:r/>
          </w:p>
        </w:tc>
        <w:tc>
          <w:tcPr>
            <w:tcW w:w="141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1417" w:type="dxa"/>
            <w:vAlign w:val="center"/>
            <w:vMerge w:val="restart"/>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*文件系统</w:t>
            </w:r>
            <w:r/>
          </w:p>
        </w:tc>
        <w:tc>
          <w:tcPr>
            <w:tcW w:w="1843"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*文件系统支持</w:t>
            </w:r>
            <w:r/>
          </w:p>
        </w:tc>
        <w:tc>
          <w:tcPr>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操作系统支持XFS、EXT3、EXT4、NTFS、FAT32等文件系统，支持相应格式分区创建、删除、格式化等</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40</w:t>
            </w:r>
            <w:r/>
          </w:p>
        </w:tc>
        <w:tc>
          <w:tcPr>
            <w:tcW w:w="141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1843"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*日志式文件系统</w:t>
            </w:r>
            <w:r/>
          </w:p>
        </w:tc>
        <w:tc>
          <w:tcPr>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操作系统支持日志式文件系统</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41</w:t>
            </w:r>
            <w:r/>
          </w:p>
        </w:tc>
        <w:tc>
          <w:tcPr>
            <w:tcW w:w="141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1843"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*文件处理能力</w:t>
            </w:r>
            <w:r/>
          </w:p>
        </w:tc>
        <w:tc>
          <w:tcPr>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操作系统支持最大文件不小于4TB，最大分区与文件系统不小于10PB，最大文件名长度不小于255字节</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42</w:t>
            </w:r>
            <w:r/>
          </w:p>
        </w:tc>
        <w:tc>
          <w:tcPr>
            <w:tcW w:w="141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1843"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*分区大小调整</w:t>
            </w:r>
            <w:r/>
          </w:p>
        </w:tc>
        <w:tc>
          <w:tcPr>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操作系统支持动态调整分区大小，对系统分区容量进行改变</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44</w:t>
            </w:r>
            <w:r/>
          </w:p>
        </w:tc>
        <w:tc>
          <w:tcPr>
            <w:tcW w:w="141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1417" w:type="dxa"/>
            <w:vAlign w:val="center"/>
            <w:vMerge w:val="restart"/>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*应用开发运行环境</w:t>
            </w:r>
            <w:r/>
          </w:p>
        </w:tc>
        <w:tc>
          <w:tcPr>
            <w:tcW w:w="1843"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*集成开发环境/开发框架</w:t>
            </w:r>
            <w:r/>
          </w:p>
        </w:tc>
        <w:tc>
          <w:tcPr>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操作系统通过内置、软件仓库或附加光盘等方式提供开发环境，包括Qt、</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Eclipse、</w:t>
            </w:r>
            <w:r>
              <w:rPr>
                <w:rFonts w:hint="eastAsia" w:cs="宋体" w:asciiTheme="minorEastAsia" w:hAnsiTheme="minorEastAsia"/>
                <w:b/>
                <w:i/>
                <w:szCs w:val="21"/>
                <w:u w:val="single"/>
              </w:rPr>
              <w:t xml:space="preserve">VSCode</w:t>
            </w:r>
            <w:r>
              <w:rPr>
                <w:rFonts w:hint="eastAsia" w:cs="宋体" w:asciiTheme="minorEastAsia" w:hAnsiTheme="minorEastAsia"/>
                <w:b/>
                <w:i/>
                <w:szCs w:val="21"/>
                <w:u w:val="single"/>
              </w:rPr>
              <w:t xml:space="preserve">等</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45</w:t>
            </w:r>
            <w:r/>
          </w:p>
        </w:tc>
        <w:tc>
          <w:tcPr>
            <w:tcW w:w="141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1843"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*开发工具库</w:t>
            </w:r>
            <w:r/>
          </w:p>
        </w:tc>
        <w:tc>
          <w:tcPr>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操作系统通过内置、软件仓库或附加光盘等方式提供开发库，包括GNUC、GNUC++、Java、Qt、</w:t>
            </w:r>
            <w:r>
              <w:rPr>
                <w:rFonts w:hint="eastAsia" w:cs="宋体" w:asciiTheme="minorEastAsia" w:hAnsiTheme="minorEastAsia"/>
                <w:b/>
                <w:i/>
                <w:szCs w:val="21"/>
                <w:u w:val="single"/>
              </w:rPr>
              <w:t xml:space="preserve">Gtk</w:t>
            </w:r>
            <w:r>
              <w:rPr>
                <w:rFonts w:hint="eastAsia" w:cs="宋体" w:asciiTheme="minorEastAsia" w:hAnsiTheme="minorEastAsia"/>
                <w:b/>
                <w:i/>
                <w:szCs w:val="21"/>
                <w:u w:val="single"/>
              </w:rPr>
              <w:t xml:space="preserve">+、Cairo、OpenGL、Perl、Python、Ruby、Rust、Golang、JS等</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46</w:t>
            </w:r>
            <w:r/>
          </w:p>
        </w:tc>
        <w:tc>
          <w:tcPr>
            <w:tcW w:w="141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1843"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*编译器开发工具</w:t>
            </w:r>
            <w:r/>
          </w:p>
        </w:tc>
        <w:tc>
          <w:tcPr>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操作系统通过内置、软件仓库或附加光盘等方式提供编译开发工具，包括GCC、G++、</w:t>
            </w:r>
            <w:r>
              <w:rPr>
                <w:rFonts w:hint="eastAsia" w:cs="宋体" w:asciiTheme="minorEastAsia" w:hAnsiTheme="minorEastAsia"/>
                <w:b/>
                <w:i/>
                <w:szCs w:val="21"/>
                <w:u w:val="single"/>
              </w:rPr>
              <w:t xml:space="preserve">Binutils</w:t>
            </w:r>
            <w:r>
              <w:rPr>
                <w:rFonts w:hint="eastAsia" w:cs="宋体" w:asciiTheme="minorEastAsia" w:hAnsiTheme="minorEastAsia"/>
                <w:b/>
                <w:i/>
                <w:szCs w:val="21"/>
                <w:u w:val="single"/>
              </w:rPr>
              <w:t xml:space="preserve">、GDB、Make、</w:t>
            </w:r>
            <w:r>
              <w:rPr>
                <w:rFonts w:hint="eastAsia" w:cs="宋体" w:asciiTheme="minorEastAsia" w:hAnsiTheme="minorEastAsia"/>
                <w:b/>
                <w:i/>
                <w:szCs w:val="21"/>
                <w:u w:val="single"/>
              </w:rPr>
              <w:t xml:space="preserve">CMake</w:t>
            </w:r>
            <w:r>
              <w:rPr>
                <w:rFonts w:hint="eastAsia" w:cs="宋体" w:asciiTheme="minorEastAsia" w:hAnsiTheme="minorEastAsia"/>
                <w:b/>
                <w:i/>
                <w:szCs w:val="21"/>
                <w:u w:val="single"/>
              </w:rPr>
              <w:t xml:space="preserve">等</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47</w:t>
            </w:r>
            <w:r/>
          </w:p>
        </w:tc>
        <w:tc>
          <w:tcPr>
            <w:tcW w:w="141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1843"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*文本编辑工具</w:t>
            </w:r>
            <w:r/>
          </w:p>
        </w:tc>
        <w:tc>
          <w:tcPr>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操作系统通过内置、软件仓库或附加光盘等方式提供文本编辑工具，包括</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Emacs、Vim等</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48</w:t>
            </w:r>
            <w:r/>
          </w:p>
        </w:tc>
        <w:tc>
          <w:tcPr>
            <w:tcW w:w="141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1843"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*软件包管理</w:t>
            </w:r>
            <w:r/>
          </w:p>
        </w:tc>
        <w:tc>
          <w:tcPr>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操作系统支持查询软件包描述和包含文件，以及软件包依赖；</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支持在安装时自动提示并下载安装缺失的依赖软件包</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49</w:t>
            </w:r>
            <w:r/>
          </w:p>
        </w:tc>
        <w:tc>
          <w:tcPr>
            <w:tcW w:w="141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1843"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*开发文档</w:t>
            </w:r>
            <w:r/>
          </w:p>
        </w:tc>
        <w:tc>
          <w:tcPr>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供应商应提供软件开发参考文档、驱动开发参考文档、应用移植开发文档、API文档</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50</w:t>
            </w:r>
            <w:r/>
          </w:p>
        </w:tc>
        <w:tc>
          <w:tcPr>
            <w:tcW w:w="141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1417" w:type="dxa"/>
            <w:vAlign w:val="center"/>
            <w:vMerge w:val="restart"/>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*服务支持</w:t>
            </w:r>
            <w:r/>
          </w:p>
        </w:tc>
        <w:tc>
          <w:tcPr>
            <w:tcW w:w="1843"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*网络服务</w:t>
            </w:r>
            <w:r/>
          </w:p>
        </w:tc>
        <w:tc>
          <w:tcPr>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操作系统支持TCP/UDP</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51</w:t>
            </w:r>
            <w:r/>
          </w:p>
        </w:tc>
        <w:tc>
          <w:tcPr>
            <w:tcW w:w="141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1843"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*网络共享</w:t>
            </w:r>
            <w:r/>
          </w:p>
        </w:tc>
        <w:tc>
          <w:tcPr>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操作系统支持基于NFS、SMB、FTP、CIFS等协议的数据网络共享服务</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52</w:t>
            </w:r>
            <w:r/>
          </w:p>
        </w:tc>
        <w:tc>
          <w:tcPr>
            <w:tcW w:w="141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1843"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*WEB服务</w:t>
            </w:r>
            <w:r/>
          </w:p>
        </w:tc>
        <w:tc>
          <w:tcPr>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操作系统支持基于HTTP、HTTPS、</w:t>
            </w:r>
            <w:r>
              <w:rPr>
                <w:rFonts w:hint="eastAsia" w:cs="宋体" w:asciiTheme="minorEastAsia" w:hAnsiTheme="minorEastAsia"/>
                <w:b/>
                <w:i/>
                <w:szCs w:val="21"/>
                <w:u w:val="single"/>
              </w:rPr>
              <w:t xml:space="preserve">FastCGI</w:t>
            </w:r>
            <w:r>
              <w:rPr>
                <w:rFonts w:hint="eastAsia" w:cs="宋体" w:asciiTheme="minorEastAsia" w:hAnsiTheme="minorEastAsia"/>
                <w:b/>
                <w:i/>
                <w:szCs w:val="21"/>
                <w:u w:val="single"/>
              </w:rPr>
              <w:t xml:space="preserve">等协议WEB服务</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53</w:t>
            </w:r>
            <w:r/>
          </w:p>
        </w:tc>
        <w:tc>
          <w:tcPr>
            <w:tcW w:w="141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1843"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*加密传输服务</w:t>
            </w:r>
            <w:r/>
          </w:p>
        </w:tc>
        <w:tc>
          <w:tcPr>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操作系统支持基于IPSec和SSL协议的隧道加密传输服务</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54</w:t>
            </w:r>
            <w:r/>
          </w:p>
        </w:tc>
        <w:tc>
          <w:tcPr>
            <w:tcW w:w="141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1843"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*数字证书服务</w:t>
            </w:r>
            <w:r/>
          </w:p>
        </w:tc>
        <w:tc>
          <w:tcPr>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操作系统支持基于PKI体系的数字证书服务</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55</w:t>
            </w:r>
            <w:r/>
          </w:p>
        </w:tc>
        <w:tc>
          <w:tcPr>
            <w:tcW w:w="141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1843"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*访问控制服务</w:t>
            </w:r>
            <w:r/>
          </w:p>
        </w:tc>
        <w:tc>
          <w:tcPr>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操作系统支持基于RBAC(基于角色的访问控制)机制的访问控制服务</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56</w:t>
            </w:r>
            <w:r/>
          </w:p>
        </w:tc>
        <w:tc>
          <w:tcPr>
            <w:tcW w:w="141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1843"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*网络管理服务</w:t>
            </w:r>
            <w:r/>
          </w:p>
        </w:tc>
        <w:tc>
          <w:tcPr>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操作系统支持基于SNMP、NETCONF、RESTCONF等协议的网络管理服务</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57</w:t>
            </w:r>
            <w:r/>
          </w:p>
        </w:tc>
        <w:tc>
          <w:tcPr>
            <w:tcW w:w="141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1843"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*时间同步服务</w:t>
            </w:r>
            <w:r/>
          </w:p>
        </w:tc>
        <w:tc>
          <w:tcPr>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操作系统支持基于NTP协议网络时间同步服务</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58</w:t>
            </w:r>
            <w:r/>
          </w:p>
        </w:tc>
        <w:tc>
          <w:tcPr>
            <w:tcW w:w="141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1843"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*远程连接服务</w:t>
            </w:r>
            <w:r/>
          </w:p>
        </w:tc>
        <w:tc>
          <w:tcPr>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操作系统支持RPC、</w:t>
            </w:r>
            <w:r>
              <w:rPr>
                <w:rFonts w:hint="eastAsia" w:cs="宋体" w:asciiTheme="minorEastAsia" w:hAnsiTheme="minorEastAsia"/>
                <w:b/>
                <w:i/>
                <w:szCs w:val="21"/>
                <w:u w:val="single"/>
              </w:rPr>
              <w:t xml:space="preserve">rsync</w:t>
            </w:r>
            <w:r>
              <w:rPr>
                <w:rFonts w:hint="eastAsia" w:cs="宋体" w:asciiTheme="minorEastAsia" w:hAnsiTheme="minorEastAsia"/>
                <w:b/>
                <w:i/>
                <w:szCs w:val="21"/>
                <w:u w:val="single"/>
              </w:rPr>
              <w:t xml:space="preserve">、SSH等远程服务</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59</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*邮件服务</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操作系统支持基于SMTP、POP3、IMAP等的邮件服务</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60</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*身份鉴别服务</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操作系统支持基于轻量级目录访问协议的统一身份鉴别服务</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61</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vMerge w:val="restart"/>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*数据存储和查询服务</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操作系统支持结构化和非结构化格式数据的存储和查询服务</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62</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1843" w:type="dxa"/>
            <w:vAlign w:val="center"/>
            <w:vMerge w:val="continue"/>
            <w:textDirection w:val="lrTb"/>
            <w:noWrap w:val="false"/>
          </w:tcPr>
          <w:p>
            <w:pP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操作系统支持块、文件、对象等类型的数据存储服务</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63</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1843" w:type="dxa"/>
            <w:vAlign w:val="center"/>
            <w:vMerge w:val="continue"/>
            <w:textDirection w:val="lrTb"/>
            <w:noWrap w:val="false"/>
          </w:tcPr>
          <w:p>
            <w:pP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操作系统支持SQL、NoSQL、键值等类型的数据库</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64</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*存储服务</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操作系统支持多种传输速率和存储协议的SAN和NAS存储</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65</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vMerge w:val="restart"/>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*集群支持</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操作系统支持服务基于主备机制的分布式集群、高可用集群的部署模式</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66</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1843" w:type="dxa"/>
            <w:vAlign w:val="center"/>
            <w:vMerge w:val="continue"/>
            <w:textDirection w:val="lrTb"/>
            <w:noWrap w:val="false"/>
          </w:tcPr>
          <w:p>
            <w:pP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操作系统支持服务基于分布式通信协</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议的分布式集群、高可用集群的部署模式</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67</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1843" w:type="dxa"/>
            <w:vAlign w:val="center"/>
            <w:vMerge w:val="continue"/>
            <w:textDirection w:val="lrTb"/>
            <w:noWrap w:val="false"/>
          </w:tcPr>
          <w:p>
            <w:pP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操作系统支持基于虚拟路由器冗余协议的高可用集群部署模式</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68</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*分布式服务</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操作系统支持基于同步、异步请求处理机制的分布式服务</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69</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vMerge w:val="restart"/>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*负载均衡模式</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操作系统支持基于OSI模型的4/7层和链路层的负载均衡模式</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70</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1843" w:type="dxa"/>
            <w:vAlign w:val="center"/>
            <w:vMerge w:val="continue"/>
            <w:textDirection w:val="lrTb"/>
            <w:noWrap w:val="false"/>
          </w:tcPr>
          <w:p>
            <w:pP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操作系统支持基于不同调度算法的负载均衡模式</w:t>
            </w:r>
            <w:r/>
          </w:p>
        </w:tc>
      </w:tr>
      <w:tr>
        <w:trPr>
          <w:jc w:val="center"/>
          <w:trHeight w:val="567"/>
        </w:trPr>
        <w:tc>
          <w:tcPr>
            <w:tcW w:w="714"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71</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*高可用服务</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操作系统提供对HA的支持，支持多种集群配置模式，包括主主模式、主备模式、N+1模式和N+M模式，支持资源及节点故障检测</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79</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7" w:type="dxa"/>
            <w:vAlign w:val="center"/>
            <w:vMerge w:val="restart"/>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*虚拟化</w:t>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*虚拟化部署</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操作系统支持在KVM、Xen、Hyper-V虚拟机上安装部署操作系统</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80</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*内核虚拟化(KVM)</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操作系统支持KVM虚拟化：</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对虚拟机进行启、停等管理操作；对虚拟机硬盘做快照并从快照恢复；兼容</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qemu</w:t>
            </w:r>
            <w:r>
              <w:rPr>
                <w:rFonts w:hint="eastAsia" w:cs="宋体" w:asciiTheme="minorEastAsia" w:hAnsiTheme="minorEastAsia"/>
                <w:b/>
                <w:i/>
                <w:szCs w:val="21"/>
                <w:u w:val="single"/>
              </w:rPr>
              <w:t xml:space="preserve">、</w:t>
            </w:r>
            <w:r>
              <w:rPr>
                <w:rFonts w:hint="eastAsia" w:cs="宋体" w:asciiTheme="minorEastAsia" w:hAnsiTheme="minorEastAsia"/>
                <w:b/>
                <w:i/>
                <w:szCs w:val="21"/>
                <w:u w:val="single"/>
              </w:rPr>
              <w:t xml:space="preserve">libvirt</w:t>
            </w:r>
            <w:r>
              <w:rPr>
                <w:rFonts w:hint="eastAsia" w:cs="宋体" w:asciiTheme="minorEastAsia" w:hAnsiTheme="minorEastAsia"/>
                <w:b/>
                <w:i/>
                <w:szCs w:val="21"/>
                <w:u w:val="single"/>
              </w:rPr>
              <w:t xml:space="preserve">标准接口；支持UEFI或</w:t>
            </w:r>
            <w:r>
              <w:rPr>
                <w:rFonts w:hint="eastAsia" w:cs="宋体" w:asciiTheme="minorEastAsia" w:hAnsiTheme="minorEastAsia"/>
                <w:b/>
                <w:i/>
                <w:szCs w:val="21"/>
                <w:u w:val="single"/>
              </w:rPr>
              <w:t xml:space="preserve">legacyBIOS</w:t>
            </w:r>
            <w:r>
              <w:rPr>
                <w:rFonts w:hint="eastAsia" w:cs="宋体" w:asciiTheme="minorEastAsia" w:hAnsiTheme="minorEastAsia"/>
                <w:b/>
                <w:i/>
                <w:szCs w:val="21"/>
                <w:u w:val="single"/>
              </w:rPr>
              <w:t xml:space="preserve">方式启动；</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支持虚拟时钟arch-timer；支持虚拟鼠标、键盘、触控板、声卡、显卡、硬盘、CDROM、串口</w:t>
            </w:r>
            <w:r>
              <w:rPr>
                <w:rFonts w:hint="eastAsia" w:cs="宋体" w:asciiTheme="minorEastAsia" w:hAnsiTheme="minorEastAsia"/>
                <w:b/>
                <w:i/>
                <w:szCs w:val="21"/>
                <w:u w:val="single"/>
              </w:rPr>
              <w:t xml:space="preserve">pty</w:t>
            </w:r>
            <w:r>
              <w:rPr>
                <w:rFonts w:hint="eastAsia" w:cs="宋体" w:asciiTheme="minorEastAsia" w:hAnsiTheme="minorEastAsia"/>
                <w:b/>
                <w:i/>
                <w:szCs w:val="21"/>
                <w:u w:val="single"/>
              </w:rPr>
              <w:t xml:space="preserve">/pipe/file等设备；</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支持</w:t>
            </w:r>
            <w:r>
              <w:rPr>
                <w:rFonts w:hint="eastAsia" w:cs="宋体" w:asciiTheme="minorEastAsia" w:hAnsiTheme="minorEastAsia"/>
                <w:b/>
                <w:i/>
                <w:szCs w:val="21"/>
                <w:u w:val="single"/>
              </w:rPr>
              <w:t xml:space="preserve">Virtio</w:t>
            </w:r>
            <w:r>
              <w:rPr>
                <w:rFonts w:hint="eastAsia" w:cs="宋体" w:asciiTheme="minorEastAsia" w:hAnsiTheme="minorEastAsia"/>
                <w:b/>
                <w:i/>
                <w:szCs w:val="21"/>
                <w:u w:val="single"/>
              </w:rPr>
              <w:t xml:space="preserve">协议下的虚拟设备，包括串口、</w:t>
            </w:r>
            <w:r>
              <w:rPr>
                <w:rFonts w:hint="eastAsia" w:cs="宋体" w:asciiTheme="minorEastAsia" w:hAnsiTheme="minorEastAsia"/>
                <w:b/>
                <w:i/>
                <w:szCs w:val="21"/>
                <w:u w:val="single"/>
              </w:rPr>
              <w:t xml:space="preserve">blk</w:t>
            </w:r>
            <w:r>
              <w:rPr>
                <w:rFonts w:hint="eastAsia" w:cs="宋体" w:asciiTheme="minorEastAsia" w:hAnsiTheme="minorEastAsia"/>
                <w:b/>
                <w:i/>
                <w:szCs w:val="21"/>
                <w:u w:val="single"/>
              </w:rPr>
              <w:t xml:space="preserve">驱动硬盘、SCSI驱动硬盘、不同后端控制器类型的</w:t>
            </w:r>
            <w:r>
              <w:rPr>
                <w:rFonts w:hint="eastAsia" w:cs="宋体" w:asciiTheme="minorEastAsia" w:hAnsiTheme="minorEastAsia"/>
                <w:b/>
                <w:i/>
                <w:szCs w:val="21"/>
                <w:u w:val="single"/>
              </w:rPr>
              <w:t xml:space="preserve">Virtio</w:t>
            </w:r>
            <w:r>
              <w:rPr>
                <w:rFonts w:hint="eastAsia" w:cs="宋体" w:asciiTheme="minorEastAsia" w:hAnsiTheme="minorEastAsia"/>
                <w:b/>
                <w:i/>
                <w:szCs w:val="21"/>
                <w:u w:val="single"/>
              </w:rPr>
              <w:t xml:space="preserve">网卡(包括内核态、用户态、</w:t>
            </w:r>
            <w:r>
              <w:rPr>
                <w:rFonts w:hint="eastAsia" w:cs="宋体" w:asciiTheme="minorEastAsia" w:hAnsiTheme="minorEastAsia"/>
                <w:b/>
                <w:i/>
                <w:szCs w:val="21"/>
                <w:u w:val="single"/>
              </w:rPr>
              <w:t xml:space="preserve">qemu</w:t>
            </w:r>
            <w:r>
              <w:rPr>
                <w:rFonts w:hint="eastAsia" w:cs="宋体" w:asciiTheme="minorEastAsia" w:hAnsiTheme="minorEastAsia"/>
                <w:b/>
                <w:i/>
                <w:szCs w:val="21"/>
                <w:u w:val="single"/>
              </w:rPr>
              <w:t xml:space="preserve">)、GPU、</w:t>
            </w:r>
            <w:r>
              <w:rPr>
                <w:rFonts w:hint="eastAsia" w:cs="宋体" w:asciiTheme="minorEastAsia" w:hAnsiTheme="minorEastAsia"/>
                <w:b/>
                <w:i/>
                <w:szCs w:val="21"/>
                <w:u w:val="single"/>
              </w:rPr>
              <w:t xml:space="preserve">vsock</w:t>
            </w:r>
            <w:r>
              <w:rPr>
                <w:rFonts w:hint="eastAsia" w:cs="宋体" w:asciiTheme="minorEastAsia" w:hAnsiTheme="minorEastAsia"/>
                <w:b/>
                <w:i/>
                <w:szCs w:val="21"/>
                <w:u w:val="single"/>
              </w:rPr>
              <w:t xml:space="preserve">设备等；支持硬盘和网卡选择类型VFIO设备；支持虚拟机CPU、内存、网卡、硬盘等离线调整；支持虚拟机网卡、硬盘、USB设备热插拔；支持PCI/PCIE设备直通；支持虚拟机热迁移和加密传</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输；支持虚拟机远程访问；支持虚拟机CPU和I/O线程绑定</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81</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*KVM虚拟机管理</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操作系统支持虚拟机对主机的访问控</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制；虚拟机可以拥有独立的物理资源，且各个虚拟机之间严格隔离；支持大页内存运行虚拟机；支持三种CPU型号模拟模式，包括直通、宿主模型、自定义；支持虚拟机资源调配控制，包括Numa、CPU、内存、I/O、网卡；支持CPU拓扑模拟和透传</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82</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7" w:type="dxa"/>
            <w:vAlign w:val="center"/>
            <w:vMerge w:val="restart"/>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*容器</w:t>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*容器虚拟化</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操作系统支持OCI；支持进程命名空间隔离技术包括不限于</w:t>
            </w:r>
            <w:r>
              <w:rPr>
                <w:rFonts w:hint="eastAsia" w:cs="宋体" w:asciiTheme="minorEastAsia" w:hAnsiTheme="minorEastAsia"/>
                <w:b/>
                <w:i/>
                <w:szCs w:val="21"/>
                <w:u w:val="single"/>
              </w:rPr>
              <w:t xml:space="preserve">mnt</w:t>
            </w:r>
            <w:r>
              <w:rPr>
                <w:rFonts w:hint="eastAsia" w:cs="宋体" w:asciiTheme="minorEastAsia" w:hAnsiTheme="minorEastAsia"/>
                <w:b/>
                <w:i/>
                <w:szCs w:val="21"/>
                <w:u w:val="single"/>
              </w:rPr>
              <w:t xml:space="preserve">、</w:t>
            </w:r>
            <w:r>
              <w:rPr>
                <w:rFonts w:hint="eastAsia" w:cs="宋体" w:asciiTheme="minorEastAsia" w:hAnsiTheme="minorEastAsia"/>
                <w:b/>
                <w:i/>
                <w:szCs w:val="21"/>
                <w:u w:val="single"/>
              </w:rPr>
              <w:t xml:space="preserve">pid</w:t>
            </w:r>
            <w:r>
              <w:rPr>
                <w:rFonts w:hint="eastAsia" w:cs="宋体" w:asciiTheme="minorEastAsia" w:hAnsiTheme="minorEastAsia"/>
                <w:b/>
                <w:i/>
                <w:szCs w:val="21"/>
                <w:u w:val="single"/>
              </w:rPr>
              <w:t xml:space="preserve">、</w:t>
            </w:r>
            <w:r>
              <w:rPr>
                <w:rFonts w:hint="eastAsia" w:cs="宋体" w:asciiTheme="minorEastAsia" w:hAnsiTheme="minorEastAsia"/>
                <w:b/>
                <w:i/>
                <w:szCs w:val="21"/>
                <w:u w:val="single"/>
              </w:rPr>
              <w:t xml:space="preserve">ipc</w:t>
            </w:r>
            <w:r>
              <w:rPr>
                <w:rFonts w:hint="eastAsia" w:cs="宋体" w:asciiTheme="minorEastAsia" w:hAnsiTheme="minorEastAsia"/>
                <w:b/>
                <w:i/>
                <w:szCs w:val="21"/>
                <w:u w:val="single"/>
              </w:rPr>
              <w:t xml:space="preserve">、</w:t>
            </w:r>
            <w:r>
              <w:rPr>
                <w:rFonts w:hint="eastAsia" w:cs="宋体" w:asciiTheme="minorEastAsia" w:hAnsiTheme="minorEastAsia"/>
                <w:b/>
                <w:i/>
                <w:szCs w:val="21"/>
                <w:u w:val="single"/>
              </w:rPr>
              <w:t xml:space="preserve">uts</w:t>
            </w:r>
            <w:r>
              <w:rPr>
                <w:rFonts w:hint="eastAsia" w:cs="宋体" w:asciiTheme="minorEastAsia" w:hAnsiTheme="minorEastAsia"/>
                <w:b/>
                <w:i/>
                <w:szCs w:val="21"/>
                <w:u w:val="single"/>
              </w:rPr>
              <w:t xml:space="preserve">、user、network等；支持在同CPU指令架构下的不同规格硬件上无缝分</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发，保障运行兼容性；支持沙箱扩展；支持面</w:t>
            </w:r>
            <w:r>
              <w:rPr>
                <w:rFonts w:hint="eastAsia" w:cs="宋体" w:asciiTheme="minorEastAsia" w:hAnsiTheme="minorEastAsia"/>
                <w:b/>
                <w:i/>
                <w:szCs w:val="21"/>
                <w:u w:val="single"/>
              </w:rPr>
              <w:t xml:space="preserve">向容器的独立逻辑文件管理，具备在容器创建时指定专用根文件夹，容器内进程文件访问重定向等功能；支持日志查询功能；支持通过控制终端对容器内主进程的标准输入输出对接交互；支持通过控制终端对容器内新建进程</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的标准输入输出对接交互；支持容器存储卷管理（新增、删除、卷容量配置、自动回收）、卷共享；支持面向容器的网络设备资源分配和使用；支持CNI；支持容器获取物理节点资源信息</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83</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*容器镜像和存储管理</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操作系统支持容器镜像导入、导出；支持容器镜像分层保存、导入</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84</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*容器资源隔离和调配</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容器资源在线调整，包括CPU资源、内存资源、I/O资源等；支持文件配额分配、存储带宽资源使用量监控等机制，实现容器级I/O控制能力；支持面向容器的网络带宽调度策略，实现容器级网络带宽分配、使用量监控等机制；支持面向容器的存储空间使用监控、分配机制；支持容器CPU核独占；支持面向容器的CPU时间片资源按需划分机制；支持面向容器的内存分配和回收机制，实现内存使用量跟踪和管理；支持同一集群在线、离线业务混合部</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署；支持对容器的编排、负载均衡、调度等能力；支持根据容器在线与离线混合部署状态进行资源优先调度，提高计算机资源利用率</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85</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易用性要求</w:t>
            </w:r>
            <w:r/>
          </w:p>
        </w:tc>
        <w:tc>
          <w:tcPr>
            <w:shd w:val="clear" w:color="auto" w:fill="auto"/>
            <w:tcW w:w="1417" w:type="dxa"/>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*中文支持</w:t>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*字符编码集</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操作系统应符合GB18030的要求</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86</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易用性要求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*中文帮助文档</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操作系统内置中文帮助文档</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89</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易用性要求</w:t>
            </w:r>
            <w:r/>
          </w:p>
        </w:tc>
        <w:tc>
          <w:tcPr>
            <w:shd w:val="clear" w:color="auto" w:fill="auto"/>
            <w:tcW w:w="1417" w:type="dxa"/>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*管理工具</w:t>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*系统信息查看工具</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操作系统支持查看系统版本、内核版本、内存容量、CPU型号等信息</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90</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易用性要求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*网络管理工具</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操作系统支持多网口自动连接、网络地址（常被称为“IP地址”）设置、DNS设置、路由设置；支持多网卡链路聚合，模式类型包括但不仅限于轮询、主备、802.3AD动态链路聚合</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91</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易用性要求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*日期和时间管理工具</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操作系统可设置时间同步服务器地址，支持局域网和广域网的同步设置</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92</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易用性要求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*日志服务管理工具</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操作系统支持收集系统日志</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93</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易用性要求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*帐户管理工具</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操作系统支持帐户添加、删除、属性修改等</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94</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易用性要求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*用户操作审计工具</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操作系统支持用户操作痕迹查询</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95</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易用性要求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*存储管理工具</w:t>
            </w:r>
            <w:r/>
          </w:p>
        </w:tc>
        <w:tc>
          <w:tcPr>
            <w:shd w:val="clear" w:color="auto" w:fill="auto"/>
            <w:tcW w:w="4257" w:type="dxa"/>
            <w:vAlign w:val="center"/>
            <w:textDirection w:val="lrTb"/>
            <w:noWrap w:val="false"/>
          </w:tcPr>
          <w:p>
            <w:pPr>
              <w:jc w:val="left"/>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操作系统支持EXT、XFS、NTFS、FAT、SWAP等多种格式的分区管理</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96</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易用性要求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*SNMP协议工具包</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操作系统支持SNMP设备和操作信息检索</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97</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易用性要求</w:t>
            </w:r>
            <w:r/>
          </w:p>
        </w:tc>
        <w:tc>
          <w:tcPr>
            <w:shd w:val="clear" w:color="auto" w:fill="auto"/>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*文本终端连接工具</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操作系统支持多终端协同管理</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98</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易用性要求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*服务管理工具集</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操作系统支持服务启动与停止，查看服务状态及日志，查询服务启动顺序及依赖关系</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99</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易用性要求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*配置管理工具</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操作系统提供配置管理工具，可以简化任务配置及服务管理</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100</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易用性要求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*监控管理工具</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操作系统支持监控系统资源使用情况，包含CPU、内存、存储I/O、网络I/O等</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101</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易用性要求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*守护进程</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操作系统支持按需启动守护进程，用户可自定义设定需求守护的进程，如遇异常可重新加载，实现应用持续运行</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102</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shd w:val="clear" w:color="auto" w:fill="auto"/>
            <w:tcW w:w="1417" w:type="dxa"/>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*基础组件兼容</w:t>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*版本兼容</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操作系统基础运行库或开发环境向后</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（向下）兼容，即系统版本升级后，能兼容上一版本所运行的软件与设备</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103</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*兼容周期</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操作系统主版本兼容维护时间自发布</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之日起不低于5年，包括但不限于安全修复、功能升级、新硬件支持等</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104</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兼容方式</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操作系统支持以增量升级包的方式实现版本更新</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105</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shd w:val="clear" w:color="auto" w:fill="auto"/>
            <w:tcW w:w="1417" w:type="dxa"/>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*运行环境</w:t>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*文件系统层次结构</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供应商应给出长期兼容支持的文件系统层次结构</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106</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*运行库</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供应商应给出长期兼容支持的运行库</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107</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*命令</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供应商应给出长期兼容支持的常用命令</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109</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shd w:val="clear" w:color="auto" w:fill="auto"/>
            <w:tcW w:w="1417" w:type="dxa"/>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*软件兼容</w:t>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*集群软件</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供应商提供兼容的集群软件清单，且至少兼容一款产品</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110</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*虚拟化云平台</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供应商提供兼容的虚拟化平台软件清单，且至少兼容三款产品</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111</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*容器云</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供应商提供兼容的容器云软件清单，且至少兼容三款产品</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112</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*存储软件</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供应商提供兼容的存储软件清单，且至少兼容一款产品</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113</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*数据库管理系统</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供应商提供兼容的数据库软件清单，且至少兼容三款产品</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114</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*中间件</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供应商提供兼容的中间件软件清单，且至少兼容三款产品</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115</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*运维平台</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供应商提供兼容的运维平台软件清单，且至少兼容一款产品</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116</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shd w:val="clear" w:color="auto" w:fill="auto"/>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*备份软件</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供应商提供兼容的备份恢复软件清单，且至少兼容一款产品</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117</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*大数据平台</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供应商提供兼容的大数据平台软件清单，且至少兼容一款产品</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118</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*终端防护及杀毒</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供应商提供兼容的终端防护及杀毒软件清单，且至少兼容一款产品</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119</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*网络防护</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供应商提供兼容的网络防护软件清单，且至少兼容一款产品</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120</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*身份认证</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供应商提供兼容的身份认证软件清单，且至少兼容一款产品</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121</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shd w:val="clear" w:color="auto" w:fill="auto"/>
            <w:tcW w:w="1417" w:type="dxa"/>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*硬件兼容</w:t>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*服务器整机</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供应商提供兼容的服务器整机品牌及型号清单，且至少兼容一款产品</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122</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*AI服务器</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供应商提供兼容的AI服务器整机品牌及型号清单，且至少兼容一款产品</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123</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*存储</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供应商提供兼容的存储服务器整机品牌及型号清单，且至少兼容一款产品</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124</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*部件兼容</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供应商提供兼容的系统总线、HBA卡、RAID卡、网卡、光纤卡、AI加速卡、GPU、NPU等品牌及型号清单</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125</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可靠性要求</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*稳定性</w:t>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*操作系统连续运行168小时</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操作系统高负载下连续常态运行168小时无故障</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126</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可靠性要求</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*备份还原</w:t>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*备份还原</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操作系统提供备份还原功能，支持生成系统状态快照及恢复系统状态</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127</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可靠性要求</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*内存纠错</w:t>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*内存纠错</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操作系统支持DDR3、DDR4等内存上的ECC查错、纠错</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130</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可靠性要求</w:t>
            </w:r>
            <w:r/>
          </w:p>
        </w:tc>
        <w:tc>
          <w:tcPr>
            <w:tcW w:w="141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*热插拔</w:t>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*硬盘热插拔</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硬件支持时，操作系统支持硬盘热插拔</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131</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可维护性要求</w:t>
            </w:r>
            <w:r/>
          </w:p>
        </w:tc>
        <w:tc>
          <w:tcPr>
            <w:shd w:val="clear" w:color="auto" w:fill="auto"/>
            <w:tcW w:w="1417" w:type="dxa"/>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*维护工具</w:t>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*远程维护</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操作系统提供远程控制管理工具，支持RDP、SSH、SPICE、VNC等协议，方便用户进行文本或图形化形式的远程连接</w:t>
            </w:r>
            <w:r/>
          </w:p>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及维护</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132</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可维护性要求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*文件完整检查</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操作系统提供文件系统检查工具，对文件系统完整性进行检测和修复</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133</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可维护性要求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*内核分析</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操作系统提供内核性能分析工具，提供性能分析框架，支持对内核函数层面进行分析；提供内核探测工具，支持对内核及用户态程序动态追踪</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137</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可维护性要求</w:t>
            </w:r>
            <w:r/>
          </w:p>
        </w:tc>
        <w:tc>
          <w:tcPr>
            <w:shd w:val="clear" w:color="auto" w:fill="auto"/>
            <w:tcW w:w="1417" w:type="dxa"/>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*日志管理</w:t>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*日志记录与存储</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对安全事件的日志记录，包括帐户增删改、成功登录、失败登录、敏感服务开启关闭、配置修改等，日志信息详实，包括所属用户、访问时间、访问地址等；支持内核异常日志信息的记录和存储；支持内核崩溃转储机制，系统崩溃时可收集整个内存信息；支持配置远程日志功能，可将指定日志内容归档到日志服务器；支持对日志功能进行访问控制，防止未经授权的访问</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138</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可维护性要求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*日志处理与分析</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操作系统提供系统错误问题回溯分析</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工具，对系统崩溃问题及错误问题进行回溯；支持日志切分、一键收集、转储、同步机制</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139</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可维护性要求</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*脆弱性管理</w:t>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*脆弱性管理</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提供故障管理框架，内置故障分析专家系统，可与外部同类型系统互联；具备故障响应、故障警告功能，提供用户接口，支持故障响应、警告信息分发；支持故障管理守护进程，使用统一的传输信道或机制上报故障信息；具备硬件故障信息捕获、紧急处理功能，包括CPU、内存及PCIe设备等硬件的故障；支持诊断/响应组件动态加载机制；提供或支持第三方远程诊断框架及调</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测工具集，实现远程诊断及调试断点功能；</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支持物理机、虚拟机中操作系统的故障恢复</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140</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可维护性要求</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*热补丁</w:t>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*热补丁</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对内核热补丁进行编号，每个热补丁拥有独立编号；支持增量修复以及回滚机制；提供热补丁合法性和一致性校验功能；提供热补丁管理机制和工具，功能至少覆盖补丁查询、安装、移除；提供热补丁升级和回滚系统日</w:t>
            </w:r>
            <w:r/>
          </w:p>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志，便于查询或回溯</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141</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可维护性要求</w:t>
            </w:r>
            <w:r/>
          </w:p>
        </w:tc>
        <w:tc>
          <w:tcPr>
            <w:shd w:val="clear" w:color="auto" w:fill="auto"/>
            <w:tcW w:w="1417" w:type="dxa"/>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*系统升级</w:t>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*升级内容</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操作系统支持系统增量升级功能，对系统部件、安全补丁等升级</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142</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可维护性要求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*升级方式</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操作系统支持在线升级和离线升级</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143</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可维护性要求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*数据保护</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操作系统升级不得修改破坏用户数据</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144</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可维护性要求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操作系统升级不得影响原有软硬件兼</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容性，如有影响应显式的提示告知用户</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145</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可维护性要求</w:t>
            </w:r>
            <w:r/>
          </w:p>
        </w:tc>
        <w:tc>
          <w:tcPr>
            <w:shd w:val="clear" w:color="auto" w:fill="auto"/>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*回退</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操作系统提供升级回退机制，能卸载已升级的软件包，恢复系统原有状态，如升级为不可回退，则系统升级前以显式的提示告知用户</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146</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*交付方式</w:t>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*交付方式</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供应商提供光盘、USB闪存盘、镜像文件（下载）等交付方式</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147</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shd w:val="clear" w:color="auto" w:fill="auto"/>
            <w:tcW w:w="1417" w:type="dxa"/>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*服务周期</w:t>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*产品维护周期</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产品自发布之日起至产品停止功能升级（包含不限于新特性、新硬件支持、问题修复、安全补丁等）之日止≥5年</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148</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*产品延伸服务周期</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产品停止功能升级之日起至产品停止功能维护（包括问题修复、安全补丁等）之日止≥5年</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149</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*产品延伸安全服务周期</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≥3年</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150</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*售后服务最小保障期</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≥8年</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151</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shd w:val="clear" w:color="auto" w:fill="auto"/>
            <w:tcW w:w="1417" w:type="dxa"/>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*售后服务</w:t>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*原厂服务</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服务由操作系统厂商的正式员工提供，不由代理商提供</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152</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*服务热线电话</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操作系统厂商为最终用户提供工作日</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每日不少于8h（覆盖一般工作时间，具体时间由企业标准给出）中文技术服务热线</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153</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*技术服务标准</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操作系统厂商提供工作日每日不少于8h技术支持服务</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154</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定制优化增值服务</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操作系统厂商提供代码级定制优化服务</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155</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*技术服务时效</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操作系统厂商满足同城4h、异地12h响要求，两个工作日解决问题，对于未能解决的问题和故障提供可行的升级方</w:t>
            </w:r>
            <w:r/>
          </w:p>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案</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156</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*技术服务保障</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发生非人为因素故障，在七日内由操作系统厂商原厂人员免费对产品进行补</w:t>
            </w:r>
            <w:r/>
          </w:p>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充或更换</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157</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shd w:val="clear" w:color="auto" w:fill="auto"/>
            <w:tcW w:w="1417" w:type="dxa"/>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*现场交付与安装调试</w:t>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*现场安装调试</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操作系统厂商提供产品安装与现场调</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试，并提供安装与调试所需的工具和设备</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158</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*配套资料</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交付产品时操作系统厂商提供配套的技术资料，包括但不限于系统说明文件、用户手册（用户安装、操作、维护、故障排除）等</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159</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*系统更换</w:t>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*系统更换</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服务期内，操作系统厂商支持版本免费更换（注：更换后不延长服务期）</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160</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*厂商能力要求</w:t>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*服务团队</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操作系统厂商建立全国技术服务体系</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和服务团队，为客户提供专业的原厂中文服务</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161</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供应保障要求</w:t>
            </w:r>
            <w:r/>
          </w:p>
        </w:tc>
        <w:tc>
          <w:tcPr>
            <w:shd w:val="clear" w:color="auto" w:fill="auto"/>
            <w:tcW w:w="1417" w:type="dxa"/>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*数据安全保障</w:t>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*数据收集安全保障</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除用户授权采集的信息外不采集其他</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数据，相关信息采集无安全风险，相关数据存储在大陆境内</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162</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供应保障要求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*数据供给安全保障</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涉及数据下载的线上服务物理服务器</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不出境，包括代码仓库、系统补丁、安全补丁、服务网站等</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163</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供应保障要求</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*代码无风险</w:t>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*代码无风险</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操作系统厂商提供源代码，源代码可供第三方机构审查，开源许可合规，代码知识产权无风险，无恶意安全漏洞或后门，代码可追溯、可重构</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164</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供应保障要求</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工程构建体系</w:t>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工程构建体系</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操作系统厂商具备统一的工程构建体</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系，能用一套操作系统源码构建用于云侧计算、边侧计算场景中部署运行的操作系统，降低部署后系统维护、使用复杂度</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165</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安全要求</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*基本要求</w:t>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*基本要求</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操作系统应当符合安全可靠测评要求</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166</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安全要求</w:t>
            </w:r>
            <w:r/>
          </w:p>
        </w:tc>
        <w:tc>
          <w:tcPr>
            <w:shd w:val="clear" w:color="auto" w:fill="auto"/>
            <w:tcW w:w="1417" w:type="dxa"/>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*密码算法支持</w:t>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*密码算法实现</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操作系统支持GM/T0002、GM/T0003和GM/T0004规定的密码算法运算</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167</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安全要求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*随机数生成</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操作系统随机数质量符合GM/T0005《随机性检测规范》或GB/T32915《信息安全技术二元序列随机性检测方法》</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168</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安全要求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*内置数字证书</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操作系统内置国家电子认证根CA的根证书</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169</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安全要求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*密码协议实现</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操作系统支持符合GB/T38636—2020的TLCP</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170</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安全要求</w:t>
            </w:r>
            <w:r/>
          </w:p>
        </w:tc>
        <w:tc>
          <w:tcPr>
            <w:shd w:val="clear" w:color="auto" w:fill="auto"/>
            <w:tcW w:w="1417" w:type="dxa"/>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*安全管理</w:t>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*防火墙</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操作系统提供防火墙配置管理工具，支持基于协议、网络地址、端口的访问控制规则配置，规则修改后立即生效；支持关闭指定服务和端口，包括但不限于关闭远程访问、共享访问等；支持防止ARP欺骗攻击</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171</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安全要求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*安全框架</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操作系统提供统一访问控制安全框架</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176</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安全要求</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*身份鉴别</w:t>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*身份鉴别服务</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用户标识使用帐户名和帐户ID，在操作系统的整个生存周期内用户标识具有</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唯一性；支持用户口令复杂度校验及强口令管理；支持用户口令有效期配置；支持口令鉴别</w:t>
            </w:r>
            <w:r>
              <w:rPr>
                <w:rFonts w:hint="eastAsia" w:cs="宋体" w:asciiTheme="minorEastAsia" w:hAnsiTheme="minorEastAsia"/>
                <w:b/>
                <w:i/>
                <w:szCs w:val="21"/>
                <w:u w:val="single"/>
              </w:rPr>
              <w:t xml:space="preserve">失败控制；支持口令加密算法配置，用户口令进行加密后以不可逆的密文形式保存；支持禁止根帐户</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（root）远程登录设置</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177</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安全要求</w:t>
            </w:r>
            <w:r/>
          </w:p>
        </w:tc>
        <w:tc>
          <w:tcPr>
            <w:shd w:val="clear" w:color="auto" w:fill="auto"/>
            <w:tcW w:w="1417" w:type="dxa"/>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*访问控制</w:t>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*自主访问控制</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允许客体拥有者以普通帐户决定并控</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制对客体的访问，并阻止非授权用户对客体的访问；普通用户缺省拥有新建、读写和删除私有目录下文件的权限；支持细粒度的自主访问控制，将访问控制的粒度控制在单个用户，对系统中的每一个客体，实现由客体拥有者以指定用户方式确定其对该客体的访问权限，而其他同组用户或非同组的用户和用户</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组对该客体的访问权则由客体拥有者授予</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178</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安全要求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*强制访问控制</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操作系统支持对应用程序的访问控制</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与资源限制，包括对文件、网络等客体的访问控制；支持应用安装控制、应用执行控制</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179</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安全要求</w:t>
            </w:r>
            <w:r/>
          </w:p>
        </w:tc>
        <w:tc>
          <w:tcPr>
            <w:tcW w:w="1417"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*安全审计</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能对身份鉴别的使用、自主访问控制、标记和强制访问控制策略的修改等生成审计日志；审计记录包括：事件类型、事件发生的日期、触发事件的用户、事件成功或失败等字段；支持审计日志查询和导出功能</w:t>
            </w:r>
            <w:r/>
          </w:p>
        </w:tc>
      </w:tr>
      <w:tr>
        <w:trPr>
          <w:jc w:val="center"/>
          <w:trHeight w:val="567"/>
        </w:trPr>
        <w:tc>
          <w:tcPr>
            <w:shd w:val="clear" w:color="auto" w:fill="auto"/>
            <w:tcW w:w="714"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180</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安全要求</w:t>
            </w:r>
            <w:r/>
          </w:p>
        </w:tc>
        <w:tc>
          <w:tcPr>
            <w:shd w:val="clear" w:color="auto" w:fill="auto"/>
            <w:tcW w:w="141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*漏洞管理</w:t>
            </w:r>
            <w:r/>
          </w:p>
        </w:tc>
        <w:tc>
          <w:tcPr>
            <w:shd w:val="clear" w:color="auto" w:fill="auto"/>
            <w:tcW w:w="1843" w:type="dxa"/>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*漏洞管理</w:t>
            </w:r>
            <w:r/>
          </w:p>
        </w:tc>
        <w:tc>
          <w:tcPr>
            <w:shd w:val="clear" w:color="auto" w:fill="auto"/>
            <w:tcW w:w="4257" w:type="dxa"/>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漏洞编号，每个漏洞独立编号，可直接使用NVDB、CNVD或CVE编号；漏洞提醒，发现或获悉漏洞信息时，通过系统推送、电子邮件或官方网站等方式通知用户；漏洞修复，对已发现的安全漏洞通过补丁等方式对系统漏洞进行修复；漏洞列表，提供每个版本已修复的漏洞列表，提供命令或网页等方式方便用户查询漏洞及其修复情况</w:t>
            </w:r>
            <w:r/>
          </w:p>
        </w:tc>
      </w:tr>
    </w:tbl>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②其他需求：</w:t>
      </w:r>
      <w:r/>
    </w:p>
    <w:p>
      <w:pPr>
        <w:ind w:firstLine="480"/>
        <w:spacing w:line="360" w:lineRule="auto"/>
        <w:rPr>
          <w:rFonts w:asciiTheme="minorEastAsia" w:hAnsiTheme="minorEastAsia"/>
          <w:b/>
          <w:bCs/>
          <w:sz w:val="24"/>
          <w:szCs w:val="24"/>
        </w:rPr>
      </w:pPr>
      <w:r>
        <w:rPr>
          <w:rFonts w:hint="eastAsia" w:asciiTheme="minorEastAsia" w:hAnsiTheme="minorEastAsia"/>
          <w:sz w:val="24"/>
          <w:szCs w:val="24"/>
        </w:rPr>
        <w:t xml:space="preserve">支持自主CPU平台(飞腾、鲲鹏、龙芯、申威、海光、兆芯等国产CPU)。提供图形化管理工具和统一的管理平台，构建数据中心、高可用集群和负载均衡集群、虚拟化应用服务、分布式文件系统等。</w:t>
      </w:r>
      <w:r/>
    </w:p>
    <w:p>
      <w:pPr>
        <w:ind w:firstLine="482"/>
        <w:spacing w:line="360" w:lineRule="auto"/>
        <w:rPr>
          <w:rFonts w:asciiTheme="minorEastAsia" w:hAnsiTheme="minorEastAsia"/>
          <w:b/>
          <w:bCs/>
          <w:sz w:val="24"/>
          <w:szCs w:val="24"/>
        </w:rPr>
      </w:pPr>
      <w:r>
        <w:rPr>
          <w:rFonts w:hint="eastAsia" w:asciiTheme="minorEastAsia" w:hAnsiTheme="minorEastAsia"/>
          <w:b/>
          <w:bCs/>
          <w:sz w:val="24"/>
          <w:szCs w:val="24"/>
        </w:rPr>
        <w:t xml:space="preserve">（2）数据库</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①基本需求：</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数据库须至少满足《数据库政府采购需求标准（2023年版）》中加“*”的指标要求，如下表所示：</w:t>
      </w:r>
      <w:r/>
    </w:p>
    <w:tbl>
      <w:tblPr>
        <w:tblStyle w:val="890"/>
        <w:tblW w:w="959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397"/>
        <w:gridCol w:w="1418"/>
        <w:gridCol w:w="1841"/>
        <w:gridCol w:w="4232"/>
      </w:tblGrid>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bCs/>
                <w:i/>
                <w:szCs w:val="21"/>
                <w:u w:val="single"/>
              </w:rPr>
            </w:pPr>
            <w:r>
              <w:rPr>
                <w:rFonts w:hint="eastAsia" w:cs="宋体" w:asciiTheme="minorEastAsia" w:hAnsiTheme="minorEastAsia"/>
                <w:b/>
                <w:bCs/>
                <w:i/>
                <w:szCs w:val="21"/>
                <w:u w:val="single"/>
              </w:rPr>
              <w:t xml:space="preserve">序号</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bCs/>
                <w:i/>
                <w:szCs w:val="21"/>
                <w:u w:val="single"/>
              </w:rPr>
            </w:pPr>
            <w:r>
              <w:rPr>
                <w:rFonts w:hint="eastAsia" w:cs="宋体" w:asciiTheme="minorEastAsia" w:hAnsiTheme="minorEastAsia"/>
                <w:b/>
                <w:bCs/>
                <w:i/>
                <w:szCs w:val="21"/>
                <w:u w:val="single"/>
              </w:rPr>
              <w:t xml:space="preserve">指标分类</w:t>
            </w:r>
            <w:r/>
          </w:p>
        </w:tc>
        <w:tc>
          <w:tcPr>
            <w:shd w:val="clear" w:color="auto" w:fill="auto"/>
            <w:tcW w:w="1418" w:type="dxa"/>
            <w:vAlign w:val="center"/>
            <w:textDirection w:val="lrTb"/>
            <w:noWrap w:val="false"/>
          </w:tcPr>
          <w:p>
            <w:pPr>
              <w:jc w:val="center"/>
              <w:spacing w:line="360" w:lineRule="exact"/>
              <w:rPr>
                <w:rFonts w:cs="宋体" w:asciiTheme="minorEastAsia" w:hAnsiTheme="minorEastAsia"/>
                <w:b/>
                <w:bCs/>
                <w:i/>
                <w:szCs w:val="21"/>
                <w:u w:val="single"/>
              </w:rPr>
            </w:pPr>
            <w:r>
              <w:rPr>
                <w:rFonts w:hint="eastAsia" w:cs="宋体" w:asciiTheme="minorEastAsia" w:hAnsiTheme="minorEastAsia"/>
                <w:b/>
                <w:bCs/>
                <w:i/>
                <w:szCs w:val="21"/>
                <w:u w:val="single"/>
              </w:rPr>
              <w:t xml:space="preserve">一级指标</w:t>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bCs/>
                <w:i/>
                <w:szCs w:val="21"/>
                <w:u w:val="single"/>
              </w:rPr>
            </w:pPr>
            <w:r>
              <w:rPr>
                <w:rFonts w:hint="eastAsia" w:cs="宋体" w:asciiTheme="minorEastAsia" w:hAnsiTheme="minorEastAsia"/>
                <w:b/>
                <w:bCs/>
                <w:i/>
                <w:szCs w:val="21"/>
                <w:u w:val="single"/>
              </w:rPr>
              <w:t xml:space="preserve">二级指标</w:t>
            </w:r>
            <w:r/>
          </w:p>
        </w:tc>
        <w:tc>
          <w:tcPr>
            <w:shd w:val="clear" w:color="auto" w:fill="auto"/>
            <w:tcW w:w="4232" w:type="dxa"/>
            <w:vAlign w:val="center"/>
            <w:textDirection w:val="lrTb"/>
            <w:noWrap w:val="false"/>
          </w:tcPr>
          <w:p>
            <w:pPr>
              <w:jc w:val="center"/>
              <w:spacing w:line="360" w:lineRule="exact"/>
              <w:rPr>
                <w:rFonts w:cs="宋体" w:asciiTheme="minorEastAsia" w:hAnsiTheme="minorEastAsia"/>
                <w:b/>
                <w:bCs/>
                <w:i/>
                <w:szCs w:val="21"/>
                <w:u w:val="single"/>
              </w:rPr>
            </w:pPr>
            <w:r>
              <w:rPr>
                <w:rFonts w:hint="eastAsia" w:cs="宋体" w:asciiTheme="minorEastAsia" w:hAnsiTheme="minorEastAsia"/>
                <w:b/>
                <w:bCs/>
                <w:i/>
                <w:szCs w:val="21"/>
                <w:u w:val="single"/>
              </w:rPr>
              <w:t xml:space="preserve">指标要求</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shd w:val="clear" w:color="auto" w:fill="auto"/>
            <w:tcW w:w="1418" w:type="dxa"/>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*安装与升级</w:t>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*数据库安装</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a)支持命令行或图形化的安装；</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b)支持命令行或图形化的可配置安装能力；</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c)依据安装环境提供相应的初始化参数配置值；</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d)提供图形化软件组件管理向导工具</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2</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8"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*数据库重启</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a)支持命令行或图形化的方式关闭和启动服务；</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b)关闭服务后，再启动服务，服务正常</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3</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8"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*安装配置日志</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a)提供软件安装的日志记录功能；</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b)记录的软件安装信息完整正确；</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c)提供安装配置操作的日志记录功能；</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d)记录的配置操作信息完整正确</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4</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8"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*升级维护</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a)支持版本升级，保证版本间功能和数据的兼容性；</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b)厂商提供当前版本与历史版本的差异说明文档，包含新版本对软件和硬件的支持情况</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7</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shd w:val="clear" w:color="auto" w:fill="auto"/>
            <w:tcW w:w="1418"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*数据配置</w:t>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*参数配置</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a)依据工作负载和运行环境，提供配置参数修改的能力</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b)修改数据库配置参数后，配置参数立即生效或数据库重新启动生效，立即生效的配置参数和需要数据库重新启动方可生效的配置参数在相关文档中明确</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10</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shd w:val="clear" w:color="auto" w:fill="auto"/>
            <w:tcW w:w="1418"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*SQL功能</w:t>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*基础数据类型</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a)支持数值类型；</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b)支持字符类型；</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c)支持二进制类型；</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d)支持日期和时间类型；</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e)支持布尔类型；</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f)支持（大）文本类型；</w:t>
            </w:r>
            <w:r/>
          </w:p>
          <w:p>
            <w:pPr>
              <w:jc w:val="left"/>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g)支持大对象类型</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13</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8" w:type="dxa"/>
            <w:vAlign w:val="center"/>
            <w:vMerge w:val="restart"/>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*SQL功能</w:t>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*数据存储基础功能</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支持基础数据类型</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14</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8"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数据存储增强功能</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a)支持扩展数据类型；</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b)支持自定义数据类型</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15</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8"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*数据检索基础功能</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支持基础数据类型</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17</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8"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*核心SQL能力</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a)支持左外连接；</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b)支持右外连接；</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c)支持内连接；</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d)支持全连接</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18</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8"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*字符集</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中文字符集符合GB18030的要求</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19</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8"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*常用操作符</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a)支持逻辑操作符及相关运算；</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b)支持比较操作符及相关运算；</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c)支持算术运算符及相关运算</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20</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8"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*条件表达式</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a)支持对比条件表达式；</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b)支持逻辑条件表达式；</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c)支持空值条件表达式；</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d)支持等于条件表达式；</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e)支持模式匹配条件表达式；</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f)支持区间条件表达式；</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g)支持IN条件表达式；</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h)支持存在条件表达式；</w:t>
            </w:r>
            <w:r/>
          </w:p>
          <w:p>
            <w:pPr>
              <w:jc w:val="left"/>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i</w:t>
            </w:r>
            <w:r>
              <w:rPr>
                <w:rFonts w:hint="eastAsia" w:cs="宋体" w:asciiTheme="minorEastAsia" w:hAnsiTheme="minorEastAsia"/>
                <w:b/>
                <w:i/>
                <w:szCs w:val="21"/>
                <w:u w:val="single"/>
              </w:rPr>
              <w:t xml:space="preserve">)支持以上条件表达式的复合表达式</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21</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8"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*SQL执行计划</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支持SQL计划，使SQL按照指定的语句执行，并实现预期结果</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22</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shd w:val="clear" w:color="auto" w:fill="auto"/>
            <w:tcW w:w="1418" w:type="dxa"/>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*数据库对象</w:t>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*基础对象类型</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a)支持用户的创建、删除、修改；</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b)支持角色的创建、删除、修改；</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c)支持存储过程的创建、删除、修改；</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d)支持表操作功能；</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e)支持自增序列；</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f)支持主键约束、外键约束、唯一性约束、检查约束和联合主键约束；</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g)支持游标功能；</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h)支持视图的创建、删除、修改；</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i</w:t>
            </w:r>
            <w:r>
              <w:rPr>
                <w:rFonts w:hint="eastAsia" w:cs="宋体" w:asciiTheme="minorEastAsia" w:hAnsiTheme="minorEastAsia"/>
                <w:b/>
                <w:i/>
                <w:szCs w:val="21"/>
                <w:u w:val="single"/>
              </w:rPr>
              <w:t xml:space="preserve">)支持数值计算函数、字符处理函数、日期时间值函数、间隔函数、类型转换函数、位运算函数、聚合函数、格式化、系统信息等常用函数</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24</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8"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*基础表分区管理</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lang w:eastAsia="en-US"/>
              </w:rPr>
              <w:t xml:space="preserve">a)</w:t>
            </w:r>
            <w:r>
              <w:rPr>
                <w:rFonts w:hint="eastAsia" w:cs="宋体" w:asciiTheme="minorEastAsia" w:hAnsiTheme="minorEastAsia"/>
                <w:b/>
                <w:i/>
                <w:szCs w:val="21"/>
                <w:u w:val="single"/>
              </w:rPr>
              <w:t xml:space="preserve">哈希分区方式；</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b)范围分区方式；</w:t>
            </w:r>
            <w:r/>
          </w:p>
          <w:p>
            <w:pPr>
              <w:jc w:val="left"/>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c)列表分区方式</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28</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8"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*对象变更</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a)支持数据库的创建、删除、更新以及数据库属性的查询；</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b)支持在线变更表结构、索引；</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c)支持数据的增加、删除、修改和查询</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33</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shd w:val="clear" w:color="auto" w:fill="auto"/>
            <w:tcW w:w="1418" w:type="dxa"/>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*事务能力</w:t>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*事务基础特性</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支持事务的ACID</w:t>
            </w:r>
            <w:r/>
          </w:p>
        </w:tc>
      </w:tr>
      <w:tr>
        <w:trPr>
          <w:jc w:val="center"/>
          <w:trHeight w:val="415"/>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34</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8"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*死锁检测与处理</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a)在并发执行过程中，能检测到死锁；</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b)提供解决全局死锁的机制；</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c)具备死锁处理能力；</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d)具备死锁超时回滚的能力；</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e)具备死锁检测与处理记录功能</w:t>
            </w:r>
            <w:r/>
          </w:p>
        </w:tc>
      </w:tr>
      <w:tr>
        <w:trPr>
          <w:jc w:val="center"/>
          <w:trHeight w:val="3288"/>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35</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shd w:val="clear" w:color="auto" w:fill="auto"/>
            <w:tcW w:w="1418"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*运维</w:t>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*运行时统计信息基础功能</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a）数据库慢SQL统计：</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1）支持统计SQL语句；</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2）支持统计用户名；</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3）支持统计数据库名；</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4）支持统计执行时长；</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b）数据库性能状态统计：</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1）支持统计每秒事务数和查询数；</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2）支持统计SQL平均响应时间；</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3）支持统计高频SQL</w:t>
            </w:r>
            <w:r/>
          </w:p>
        </w:tc>
      </w:tr>
      <w:tr>
        <w:trPr>
          <w:jc w:val="center"/>
          <w:trHeight w:val="2258"/>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37</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8" w:type="dxa"/>
            <w:vAlign w:val="center"/>
            <w:vMerge w:val="restart"/>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*运维</w:t>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*日志</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a)具备对各类事件进行日志记录的功能，可通过日志查看操作内容、执行过程和结果；</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b)具备提示和警告功能，提示或警告数据库结构修改、数据库运行配置修改等重要操作；</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c)日志完整正确，并且提供可读文本的形式；</w:t>
            </w:r>
            <w:r/>
          </w:p>
          <w:p>
            <w:pPr>
              <w:jc w:val="left"/>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d)支持中文日志</w:t>
            </w:r>
            <w:r/>
          </w:p>
        </w:tc>
      </w:tr>
      <w:tr>
        <w:trPr>
          <w:jc w:val="center"/>
          <w:trHeight w:val="406"/>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38</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8"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*远程运维</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具备远程维护功能</w:t>
            </w:r>
            <w:r/>
          </w:p>
        </w:tc>
      </w:tr>
      <w:tr>
        <w:trPr>
          <w:jc w:val="center"/>
          <w:trHeight w:val="2400"/>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39</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8"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*报警</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a)厂商提供通知管理员的方法或工具；</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b)支持设置报警基线，数据库运行中遇到重要事件、异常事件和状态、超过报警阈值等情况时，通知管理员；</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c)提供报警API；</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d)报警发生时，支持报警信息的实时展示</w:t>
            </w:r>
            <w:r/>
          </w:p>
        </w:tc>
      </w:tr>
      <w:tr>
        <w:trPr>
          <w:jc w:val="center"/>
          <w:trHeight w:val="416"/>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42</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1418" w:type="dxa"/>
            <w:vAlign w:val="center"/>
            <w:vMerge w:val="restart"/>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*迁移</w:t>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*数据迁移</w:t>
            </w:r>
            <w:r/>
          </w:p>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a)提供元数据、数据库、数据库对象、表数据快速迁移的功能；</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b)支持数据迁移工具实现同构或异构数据库之间的数据迁移；</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c)支持全量数据迁移、增量数据持续同步等迁移模式；</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d)在数据迁移过程中具备应对传输异常的能力，保障数据迁移的稳定性、连续性和一致性；</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e)支持存量数据的一次性迁移和增量数据库的持续同步；</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f)支持多种不同类型的源数据库和目标数据库</w:t>
            </w:r>
            <w:r>
              <w:rPr>
                <w:rFonts w:hint="eastAsia" w:cs="宋体" w:asciiTheme="minorEastAsia" w:hAnsiTheme="minorEastAsia"/>
                <w:b/>
                <w:i/>
                <w:szCs w:val="21"/>
                <w:u w:val="single"/>
              </w:rPr>
              <w:t xml:space="preserve">之间的数据迁移</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43</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shd w:val="clear" w:color="auto" w:fill="auto"/>
            <w:tcW w:w="1418"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*数据比对基础功能</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对源数据库和目标数据库之间的数据进行比对，支持数据一致性，并提供一致性比对报告</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45</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shd w:val="clear" w:color="auto" w:fill="auto"/>
            <w:tcW w:w="1418" w:type="dxa"/>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*备份恢复</w:t>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*数据备份</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a)运行状态下支持对数据库进行全库备份；</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b)运行状态下支持对数据库进行部分备份；</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c)运行状态下支持对数据库进行增量备份</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48</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8"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*多种存储媒体备份、还原</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支持多种备份存储媒体，支持多种存储媒体的部分、完整数据库数据还原处理能力</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49</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8"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*备份还原的一致性校验</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提供数据库备份数据一致性校验的命令或工具</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50</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shd w:val="clear" w:color="auto" w:fill="auto"/>
            <w:tcW w:w="1418"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*集群管理</w:t>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*集群构建与管理</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a)支持集群的运行环境；</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b)支持创建并配置数据库集群；</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c)配置信息至少包括日常运维管理、容灾管理、日志管理、备份管理、监控等</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53</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shd w:val="clear" w:color="auto" w:fill="auto"/>
            <w:tcW w:w="1418" w:type="dxa"/>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*工具</w:t>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*数据库开发调试工具</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a)具备图形化功能，提高易用性；</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b)具备导入、编辑、保存、执行SQL语句和SQL脚本功能；</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c)具备复制、编辑现有数据库对象功能；</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d)具备关键词显示标记、动态语法提示的SQL编辑器功能</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57</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8"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*用户、角色管理工具</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a)支持创建、修改、删除用户的功能；b）提供定义用户的功能；</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c)支持创建、修改、删除角色的功能，且提供用户自定义角色的功能</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58</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8"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*SQL执行计划查看工具</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a)提供与数据库管理系统进行SQL交互的工具，方便运维工作；</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b)支持查看SQL语句查询执行计划与统计信息</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59</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8"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*数据库对象工具</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a)支持创建、修改、删除表的功能，支持定义表结构、约束、存储配置管理的功能；</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b)支持创建、修改、删除索引的功能，支持定义索引结构、类型、存储配置管理的功能；</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c)支持创建、修改、删除视图的功能，支持视图定义的功能；</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d)支持创建、修改、删除约束的功能，支持约束定义的功能</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60</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8"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*导入导出工具</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a)支持导出不同格式，可以将不同格式数据导入到数据库中；</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b)支持不同级别和不同数据库对象的导入/导出功能；</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c)支持从文本文件或者其他上游数据源将数据导入；</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d)支持SQL脚本进行导入导出</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62</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8"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*数据库运维工具</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a)支持数据库、数据库存储对象结构、数据、统计信息更新维护；</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b)支持数据库创建、数据库修改、数据库删除、数据库模板维护；</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c)支持数据库任务自动化调度作业管理；</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d)支持图形化展示数据库管理的各种元数据界面，展示的内容具有层次性，包括模式、非模式数据字典信息</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65</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8" w:type="dxa"/>
            <w:vAlign w:val="center"/>
            <w:vMerge w:val="restart"/>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*图形化管理</w:t>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*图形化的开发工具</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厂商提供图形化的开发工具</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66</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1418"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*图形化运维工具</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厂商提供图形化的运维工具</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74</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可靠性要求</w:t>
            </w:r>
            <w:r/>
          </w:p>
        </w:tc>
        <w:tc>
          <w:tcPr>
            <w:shd w:val="clear" w:color="auto" w:fill="auto"/>
            <w:tcW w:w="1418"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*稳定运行</w:t>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*稳定运行</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a)支持连续稳定运行；</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b)支持数据库管理系统运行风险的报警能力</w:t>
            </w:r>
            <w:r/>
          </w:p>
        </w:tc>
      </w:tr>
      <w:tr>
        <w:trPr>
          <w:jc w:val="center"/>
          <w:trHeight w:val="35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75</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可靠性要求</w:t>
            </w:r>
            <w:r/>
          </w:p>
        </w:tc>
        <w:tc>
          <w:tcPr>
            <w:shd w:val="clear" w:color="auto" w:fill="auto"/>
            <w:tcW w:w="1418" w:type="dxa"/>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*故障切换</w:t>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*快速切换</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支持快速切换，在主数据库出现故障时，能够快速切换到备用数据库，保障业务正常运行</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76</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可靠性要求</w:t>
            </w:r>
            <w:r/>
          </w:p>
        </w:tc>
        <w:tc>
          <w:tcPr>
            <w:shd w:val="clear" w:color="auto" w:fill="auto"/>
            <w:tcW w:w="1418"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*恢复无断点</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支持无断点恢复能力</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77</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可靠性要求</w:t>
            </w:r>
            <w:r/>
          </w:p>
        </w:tc>
        <w:tc>
          <w:tcPr>
            <w:shd w:val="clear" w:color="auto" w:fill="auto"/>
            <w:tcW w:w="1418" w:type="dxa"/>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*容灾能力</w:t>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*主备备份</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a)支持多副本，支持主副本与从副本之间的数据同步，最低时延由生产厂商提供；</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b)提供基于主机的数据库复制技术，包括基于日志的备用数据库远程数据库备份技术，并具备数据副本间的复制能力</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78</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可靠性要求</w:t>
            </w:r>
            <w:r/>
          </w:p>
        </w:tc>
        <w:tc>
          <w:tcPr>
            <w:tcW w:w="1418"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*实例容灾</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a)在任意数据库实例出现故障时，集群内服务正常运行，数据不丢失，集群整体业务可用；</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b)在实例故障、节点故障等单数据库实例故障时，RPO时间等于0，RTO时间小于30s</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79</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可靠性要求</w:t>
            </w:r>
            <w:r/>
          </w:p>
        </w:tc>
        <w:tc>
          <w:tcPr>
            <w:tcW w:w="1418"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*容灾部署</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a)提供远程容灾部署与管理功能；</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b)提供生产中心与备份中心之间的容灾部署与管理功能</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80</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可靠性要求</w:t>
            </w:r>
            <w:r/>
          </w:p>
        </w:tc>
        <w:tc>
          <w:tcPr>
            <w:tcW w:w="1418"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*同城容灾</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a)支持同城双中心部署，当主中心故障时，业务切换到备中心；</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b)由于网络、供电等原因造成的可用区级故障，触发集群计划外停机，在同城多可用区场景下，RPO时间等于0，RTO时间小于1分钟</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82</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可靠性要求</w:t>
            </w:r>
            <w:r/>
          </w:p>
        </w:tc>
        <w:tc>
          <w:tcPr>
            <w:shd w:val="clear" w:color="auto" w:fill="auto"/>
            <w:tcW w:w="1418" w:type="dxa"/>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*容错性</w:t>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*服务端编程稳定性</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支持当用户自定义的存储过程、函数运行异常时，数据库稳定运行</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83</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可靠性要求</w:t>
            </w:r>
            <w:r/>
          </w:p>
        </w:tc>
        <w:tc>
          <w:tcPr>
            <w:tcW w:w="1418"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*网络容错</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支持网络中断时，保障事务一致性</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84</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可靠性要求</w:t>
            </w:r>
            <w:r/>
          </w:p>
        </w:tc>
        <w:tc>
          <w:tcPr>
            <w:tcW w:w="1418"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*检测报警</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a)支持数据库实例启动时错误检测能力；</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b)支持加载不同文件格式、不同大小数据出现错误时的故障检测和处理能力；</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c)支持数据库备份执行过程中发生故障时报错或者报警能力；</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d)支持数据库恢复发生故障时报错或者报警能力</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85</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可靠性要求</w:t>
            </w:r>
            <w:r/>
          </w:p>
        </w:tc>
        <w:tc>
          <w:tcPr>
            <w:tcW w:w="1418"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*故障恢复</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a)系统故障重启后能正常运行且支持数据一致性；</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b)支持完全媒体故障恢复的能力；</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c)提供基于时间点故障恢复功能</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86</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可靠性要求</w:t>
            </w:r>
            <w:r/>
          </w:p>
        </w:tc>
        <w:tc>
          <w:tcPr>
            <w:tcW w:w="1418"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*不同级别故障可恢复</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支持数据库事务故障、系统故障、存储媒体故障不同级别的可恢复能力</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88</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兼容要求</w:t>
            </w:r>
            <w:r/>
          </w:p>
        </w:tc>
        <w:tc>
          <w:tcPr>
            <w:shd w:val="clear" w:color="auto" w:fill="auto"/>
            <w:tcW w:w="1418"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*硬件兼容</w:t>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*硬件平台兼容</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a)同源支持以下至少三种CPU平台架构：</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1)ARM；</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2)</w:t>
            </w:r>
            <w:r>
              <w:rPr>
                <w:rFonts w:hint="eastAsia" w:cs="宋体" w:asciiTheme="minorEastAsia" w:hAnsiTheme="minorEastAsia"/>
                <w:b/>
                <w:i/>
                <w:szCs w:val="21"/>
                <w:u w:val="single"/>
              </w:rPr>
              <w:t xml:space="preserve">LoongArch</w:t>
            </w:r>
            <w:r>
              <w:rPr>
                <w:rFonts w:hint="eastAsia" w:cs="宋体" w:asciiTheme="minorEastAsia" w:hAnsiTheme="minorEastAsia"/>
                <w:b/>
                <w:i/>
                <w:szCs w:val="21"/>
                <w:u w:val="single"/>
              </w:rPr>
              <w:t xml:space="preserve">；</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3)MIPS；</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4)SW64；</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5)x86；</w:t>
            </w:r>
            <w:r/>
          </w:p>
          <w:p>
            <w:pPr>
              <w:jc w:val="left"/>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b)支持SMP和NUMA的运行环境</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89</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兼容要求</w:t>
            </w:r>
            <w:r/>
          </w:p>
        </w:tc>
        <w:tc>
          <w:tcPr>
            <w:shd w:val="clear" w:color="auto" w:fill="auto"/>
            <w:tcW w:w="1418" w:type="dxa"/>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*标准兼容</w:t>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*ODBC</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支持ODBC</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90</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兼容要求</w:t>
            </w:r>
            <w:r/>
          </w:p>
        </w:tc>
        <w:tc>
          <w:tcPr>
            <w:tcW w:w="1418"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*JDBC</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支持JDBC</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91</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shd w:val="clear" w:color="auto" w:fill="auto"/>
            <w:tcW w:w="1418"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*交付方式</w:t>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*交付方式</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以光盘、便携式移动设备、镜像文件、在线下载等交付方式提供产品交付物</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92</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shd w:val="clear" w:color="auto" w:fill="auto"/>
            <w:tcW w:w="1418" w:type="dxa"/>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*服务周期</w:t>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*产品维护周期</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产品自发布之日起至产品停止功能升级（包含不限于新特性、新硬件支持、问题修复、安全补丁等）之日止≥5年</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93</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tcW w:w="1418"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*产品延伸服务周期</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产品停止功能升级之日起至产品停止功能维护（包括问题修复、安全补丁等）之日止≥4年</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94</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tcW w:w="1418"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*产品延伸安全服务周期</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产品功能维护停止之日起至产品停止安全维护（包括中高风险漏洞修复）之日止≥2年</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95</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tcW w:w="1418"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*售后服务最小保障期</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自销售之日起，产品售后服务周期≥6年</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96</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shd w:val="clear" w:color="auto" w:fill="auto"/>
            <w:tcW w:w="1418"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*供应链与服务保障</w:t>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*供应链与服务保障基础要求</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a)提供多种形式支持服务，包含电话、电子邮件、远程连接等；</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b)提供技术支持服务，支持同城4h、异地12h</w:t>
            </w:r>
            <w:r>
              <w:rPr>
                <w:rFonts w:hint="eastAsia" w:cs="宋体" w:asciiTheme="minorEastAsia" w:hAnsiTheme="minorEastAsia"/>
                <w:b/>
                <w:i/>
                <w:szCs w:val="21"/>
                <w:u w:val="single"/>
              </w:rPr>
              <w:t xml:space="preserve">响应要求，两个工作日解决问题，对于未能解决的问题和故障提供可行的升级方案；</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c)提供培训材料、产品手册、培训视频等培训相关内容；</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d)建立全国技术服务体系和服务团</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队，符合专业服务体系标准要求，提供原厂中文服务；</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e)服务周期内支持版本免费升级；</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f)开源产品对获得的社区源代码进行安全性和知识产权审查与管理；</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g)提供数据库参数、慢SQL语句的性能优化指南，包含性能优化的具体措施、技巧、案例及建议等</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100</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安全要求</w:t>
            </w:r>
            <w:r/>
          </w:p>
        </w:tc>
        <w:tc>
          <w:tcPr>
            <w:shd w:val="clear" w:color="auto" w:fill="auto"/>
            <w:tcW w:w="1418"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*基本要求</w:t>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*基本要求</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数据库应当符合安全可靠测评要求</w:t>
            </w:r>
            <w:r/>
          </w:p>
        </w:tc>
      </w:tr>
      <w:tr>
        <w:trPr>
          <w:jc w:val="center"/>
          <w:trHeight w:val="15"/>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102</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安全要求</w:t>
            </w:r>
            <w:r/>
          </w:p>
        </w:tc>
        <w:tc>
          <w:tcPr>
            <w:shd w:val="clear" w:color="auto" w:fill="auto"/>
            <w:tcW w:w="1418" w:type="dxa"/>
            <w:vAlign w:val="center"/>
            <w:vMerge w:val="restart"/>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*基础安全</w:t>
            </w:r>
            <w:r/>
          </w:p>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*基础安全</w:t>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*漏洞管理</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建立漏洞管理机制，及时通过邮件、网站等方式将安全漏洞告知用户，并提供安全补丁对漏洞进行修复</w:t>
            </w:r>
            <w:r/>
          </w:p>
        </w:tc>
      </w:tr>
      <w:tr>
        <w:trPr>
          <w:jc w:val="center"/>
          <w:trHeight w:val="567"/>
        </w:trPr>
        <w:tc>
          <w:tcPr>
            <w:shd w:val="clear" w:color="auto" w:fill="auto"/>
            <w:tcW w:w="709" w:type="dxa"/>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103</w:t>
            </w:r>
            <w:r/>
          </w:p>
        </w:tc>
        <w:tc>
          <w:tcPr>
            <w:shd w:val="clear" w:color="auto" w:fill="auto"/>
            <w:tcW w:w="1397"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安全要求</w:t>
            </w:r>
            <w:r/>
          </w:p>
        </w:tc>
        <w:tc>
          <w:tcPr>
            <w:shd w:val="clear" w:color="auto" w:fill="auto"/>
            <w:tcW w:w="1418" w:type="dxa"/>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1841" w:type="dxa"/>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*身份鉴别及访问控制</w:t>
            </w:r>
            <w:r/>
          </w:p>
        </w:tc>
        <w:tc>
          <w:tcPr>
            <w:shd w:val="clear" w:color="auto" w:fill="auto"/>
            <w:tcW w:w="4232" w:type="dxa"/>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提供身份鉴别及访问控制，加解密的密码要求符合GM/T0028的相关规定</w:t>
            </w:r>
            <w:r/>
          </w:p>
        </w:tc>
      </w:tr>
    </w:tbl>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②其他需求：</w:t>
      </w:r>
      <w:r/>
    </w:p>
    <w:p>
      <w:pPr>
        <w:pStyle w:val="855"/>
        <w:ind w:firstLine="480"/>
        <w:spacing w:line="360" w:lineRule="auto"/>
        <w:rPr>
          <w:rFonts w:asciiTheme="minorEastAsia" w:hAnsiTheme="minorEastAsia" w:eastAsiaTheme="minorEastAsia" w:cstheme="minorBidi"/>
          <w:sz w:val="24"/>
          <w:szCs w:val="24"/>
        </w:rPr>
      </w:pPr>
      <w:r>
        <w:rPr>
          <w:rFonts w:hint="eastAsia" w:asciiTheme="minorEastAsia" w:hAnsiTheme="minorEastAsia"/>
          <w:sz w:val="24"/>
          <w:szCs w:val="24"/>
        </w:rPr>
        <w:t xml:space="preserve">与省平台适配的数据库，以满足省市复用需求。数据库需为国产集中式关系型数据库，具有跨操作系统平台的能力，不限于支持Linux、麒麟、UOS等操作系统等，支持INTEL、鲲鹏、飞腾等处理器。具备强大的数据安全功能、高可用性、可扩展性和容错性，能够保护数据免受未经授权的访问、篡改或丢失，并保障数据业务连续性的关键数据存储和访问组件。</w:t>
      </w:r>
      <w:r/>
    </w:p>
    <w:p>
      <w:pPr>
        <w:pStyle w:val="855"/>
        <w:ind w:firstLine="480"/>
        <w:spacing w:line="360" w:lineRule="auto"/>
        <w:rPr>
          <w:rFonts w:asciiTheme="minorEastAsia" w:hAnsiTheme="minorEastAsia" w:eastAsiaTheme="minorEastAsia" w:cstheme="minorBidi"/>
          <w:b/>
          <w:bCs/>
          <w:sz w:val="24"/>
          <w:szCs w:val="24"/>
        </w:rPr>
      </w:pPr>
      <w:r>
        <w:rPr>
          <w:rFonts w:hint="eastAsia" w:asciiTheme="minorEastAsia" w:hAnsiTheme="minorEastAsia" w:eastAsiaTheme="minorEastAsia" w:cstheme="minorBidi"/>
          <w:b/>
          <w:bCs/>
          <w:sz w:val="24"/>
          <w:szCs w:val="24"/>
        </w:rPr>
        <w:t xml:space="preserve">3.网络安全要求</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按照《信息安全技术网络安全等级保护基本要求》(GB/T22239-2019)以及《信息安全技术—网络安全等级保护安全设计技术要求》（GB/T 25070-2019）标准第三级的安全保护能力，结合系统的业务安全需求特点，使</w:t>
      </w:r>
      <w:r>
        <w:rPr>
          <w:rFonts w:hint="eastAsia" w:asciiTheme="minorEastAsia" w:hAnsiTheme="minorEastAsia"/>
          <w:sz w:val="24"/>
          <w:szCs w:val="24"/>
        </w:rPr>
        <w:t xml:space="preserve">连云港市</w:t>
      </w:r>
      <w:r>
        <w:rPr>
          <w:rFonts w:asciiTheme="minorEastAsia" w:hAnsiTheme="minorEastAsia"/>
          <w:sz w:val="24"/>
          <w:szCs w:val="24"/>
        </w:rPr>
        <w:t xml:space="preserve">城市生命线信息系统不仅达到网络安全等级保护“第三级基本要求”和“第三级安全保护能力”，而且符合其自身业务特点。 </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三级等保要求基础性指标、常规性指标、重点保护和安全保障能力的综合实力都 要达到国家规定的标准，可以有效提升信息系统的安全性和可靠性。其要求主要包括以下几个方面： </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A.基础设施防护：包括网络安全设备、操作系统、数据库、应用服务器等方面的安全防护，确保信息系统的基础设施不被攻击或破坏。 </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B.数据安全防护：包括数据的加密、备份、恢复等方面的安全措施，防止数据泄露、损</w:t>
      </w:r>
      <w:r>
        <w:rPr>
          <w:rFonts w:asciiTheme="minorEastAsia" w:hAnsiTheme="minorEastAsia"/>
          <w:sz w:val="24"/>
          <w:szCs w:val="24"/>
        </w:rPr>
        <w:t xml:space="preserve">坏或被篡改。 </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C.用户身份认证和访问控制：确定用户身份，并根据其权限分配访问控制，防止未授权人员访问系统或数据。 </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D.安全监测与应急响应：包括安全漏洞扫描、恶意代码检测、入侵检测等方面的安全监测与事件响应，能够及时识别和处理安全事件。</w:t>
      </w:r>
      <w:r/>
    </w:p>
    <w:p>
      <w:pPr>
        <w:pStyle w:val="855"/>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cstheme="minorBidi"/>
          <w:b/>
          <w:bCs/>
          <w:sz w:val="24"/>
          <w:szCs w:val="24"/>
        </w:rPr>
        <w:t xml:space="preserve">4.</w:t>
      </w:r>
      <w:r>
        <w:rPr>
          <w:rFonts w:hint="eastAsia" w:asciiTheme="minorEastAsia" w:hAnsiTheme="minorEastAsia" w:eastAsiaTheme="minorEastAsia"/>
          <w:b/>
          <w:bCs/>
          <w:sz w:val="24"/>
          <w:szCs w:val="24"/>
        </w:rPr>
        <w:t xml:space="preserve">数据安全要求</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按照《数据安全法》、《个人信息保护法》、《信息安全技术网络安全等级保护基本要求》(GB/T22239-</w:t>
      </w:r>
      <w:r>
        <w:rPr>
          <w:rFonts w:asciiTheme="minorEastAsia" w:hAnsiTheme="minorEastAsia"/>
          <w:sz w:val="24"/>
          <w:szCs w:val="24"/>
        </w:rPr>
        <w:t xml:space="preserve">2019)、《信息安全技术—政务信息共享—数据安全技术要求》（GB/T 39477-2020）等标准的要求，以技术保障为基础、以监测预警为核心、以协同响应为目标，围绕国家在数据安全防护体系核心合规性标准要求，在数据、人、工具、管理安全等方面进行积极防御，全面建成全方位数据安全体系。根据数据安全的相关需求，经过专业化实施，采用独立的生产数据脱敏环境，实现数据脱敏的自动化及可视化，保障数据安全，加强数据调用管理，提升操作效率，建设一套高安全、高性能、高可靠、易管理、易操作的数据安全系统及数据安全风险评估办法。 </w:t>
      </w:r>
      <w:r/>
    </w:p>
    <w:p>
      <w:pPr>
        <w:pStyle w:val="855"/>
        <w:ind w:firstLine="480"/>
        <w:spacing w:line="360" w:lineRule="auto"/>
        <w:rPr>
          <w:rFonts w:asciiTheme="minorEastAsia" w:hAnsiTheme="minorEastAsia" w:eastAsiaTheme="minorEastAsia" w:cstheme="minorBidi"/>
          <w:b/>
          <w:bCs/>
          <w:sz w:val="24"/>
          <w:szCs w:val="24"/>
        </w:rPr>
      </w:pPr>
      <w:r>
        <w:rPr>
          <w:rFonts w:hint="eastAsia" w:asciiTheme="minorEastAsia" w:hAnsiTheme="minorEastAsia" w:eastAsiaTheme="minorEastAsia" w:cstheme="minorBidi"/>
          <w:b/>
          <w:bCs/>
          <w:sz w:val="24"/>
          <w:szCs w:val="24"/>
        </w:rPr>
        <w:t xml:space="preserve">四、省市复用对接要求</w:t>
      </w:r>
      <w:r/>
    </w:p>
    <w:p>
      <w:pPr>
        <w:spacing w:line="360" w:lineRule="auto"/>
        <w:widowControl/>
        <w:rPr>
          <w:rFonts w:ascii="宋体" w:hAnsi="宋体" w:cs="宋体"/>
          <w:sz w:val="24"/>
          <w:szCs w:val="24"/>
        </w:rPr>
      </w:pPr>
      <w:r>
        <w:rPr>
          <w:rFonts w:hint="eastAsia" w:asciiTheme="minorEastAsia" w:hAnsiTheme="minorEastAsia"/>
          <w:sz w:val="24"/>
          <w:szCs w:val="24"/>
        </w:rPr>
        <w:t xml:space="preserve">项目建设须根据省市复用具体要求，结合我市实际情况，充分复用省级监管系统提供的应用功能及预测预警算法模型分析演算能力，从系统架构层面提出满足我市城市生命线监测监管建设需求和省市复用要求的技术架构方案；从系统应用层面提出满足我市建设需求的省市复用方案；从省市数据对接方面提出并制定我市城市生命线库表、消息、文件、视频等类型数据的接入、治理、同步上传的省市数据对接实施方案。</w:t>
      </w:r>
      <w:r>
        <w:rPr>
          <w:rFonts w:hint="eastAsia" w:ascii="宋体" w:hAnsi="宋体" w:cs="宋体"/>
          <w:sz w:val="24"/>
          <w:szCs w:val="24"/>
        </w:rPr>
        <w:t xml:space="preserve">如投标人需要更详细了解对接相关</w:t>
      </w:r>
      <w:r>
        <w:rPr>
          <w:rFonts w:hint="eastAsia" w:ascii="宋体" w:hAnsi="宋体" w:cs="宋体"/>
          <w:sz w:val="24"/>
          <w:szCs w:val="24"/>
        </w:rPr>
        <w:t xml:space="preserve">要求及数据等内容，</w:t>
      </w:r>
      <w:r>
        <w:rPr>
          <w:rFonts w:hint="eastAsia" w:ascii="宋体" w:hAnsi="宋体" w:cs="宋体"/>
          <w:sz w:val="24"/>
          <w:szCs w:val="24"/>
        </w:rPr>
        <w:t xml:space="preserve">可联系采购人。</w:t>
      </w:r>
      <w:r/>
    </w:p>
    <w:p>
      <w:pPr>
        <w:pStyle w:val="855"/>
        <w:ind w:firstLine="480"/>
        <w:spacing w:line="360" w:lineRule="auto"/>
        <w:rPr>
          <w:rFonts w:asciiTheme="minorEastAsia" w:hAnsiTheme="minorEastAsia" w:eastAsiaTheme="minorEastAsia" w:cstheme="minorBidi"/>
          <w:b/>
          <w:bCs/>
          <w:i/>
          <w:iCs/>
          <w:sz w:val="24"/>
          <w:szCs w:val="24"/>
          <w:u w:val="single"/>
        </w:rPr>
      </w:pPr>
      <w:r>
        <w:rPr>
          <w:rFonts w:hint="eastAsia" w:asciiTheme="minorEastAsia" w:hAnsiTheme="minorEastAsia" w:eastAsiaTheme="minorEastAsia" w:cstheme="minorBidi"/>
          <w:b/>
          <w:bCs/>
          <w:i/>
          <w:iCs/>
          <w:sz w:val="24"/>
          <w:szCs w:val="24"/>
          <w:u w:val="single"/>
        </w:rPr>
        <w:t xml:space="preserve">投标人承诺如若中标：（1）在项目实施阶段应严格遵循本项目省市复用建设要求（满足省级平台对接要求，省、市、县三级贯通建设架构），专项应用系统（燃气、供水、排水、地下管线交互、道路、桥梁、第三方施工）基于省市建设成果基础上结合连云港市需求进行定制化开发。（2）根</w:t>
      </w:r>
      <w:r>
        <w:rPr>
          <w:rFonts w:hint="eastAsia"/>
          <w:b/>
          <w:bCs/>
          <w:i/>
          <w:iCs/>
          <w:sz w:val="24"/>
          <w:szCs w:val="24"/>
          <w:u w:val="single"/>
        </w:rPr>
        <w:t xml:space="preserve">据采购人要求，在规定时间内完成与江苏省城市生命线监管系统数据对接工作，对接费用已经包含在预算金额中。（3）配合采购人完成省级考核。</w:t>
      </w:r>
      <w:r>
        <w:rPr>
          <w:rFonts w:hint="eastAsia" w:hAnsi="宋体"/>
          <w:b/>
          <w:bCs/>
          <w:i/>
          <w:iCs/>
          <w:sz w:val="24"/>
          <w:szCs w:val="18"/>
          <w:u w:val="single"/>
        </w:rPr>
        <w:t xml:space="preserve">（投标文件中提供加盖投标人公章的承诺函，须明确承诺内容，否则投标无效。详见第六章 投标文件格式 二十）</w:t>
      </w:r>
      <w:r/>
    </w:p>
    <w:p>
      <w:pPr>
        <w:pStyle w:val="855"/>
        <w:ind w:firstLine="480"/>
        <w:spacing w:line="360" w:lineRule="auto"/>
        <w:rPr>
          <w:rFonts w:asciiTheme="minorEastAsia" w:hAnsiTheme="minorEastAsia" w:eastAsiaTheme="minorEastAsia" w:cstheme="minorBidi"/>
          <w:b/>
          <w:bCs/>
          <w:sz w:val="24"/>
          <w:szCs w:val="24"/>
        </w:rPr>
      </w:pPr>
      <w:r>
        <w:rPr>
          <w:rFonts w:hint="eastAsia" w:asciiTheme="minorEastAsia" w:hAnsiTheme="minorEastAsia" w:eastAsiaTheme="minorEastAsia" w:cstheme="minorBidi"/>
          <w:b/>
          <w:bCs/>
          <w:sz w:val="24"/>
          <w:szCs w:val="24"/>
        </w:rPr>
        <w:t xml:space="preserve">五、与现有系统对接要求</w:t>
      </w:r>
      <w:r/>
    </w:p>
    <w:p>
      <w:pPr>
        <w:pStyle w:val="855"/>
        <w:ind w:firstLine="480"/>
        <w:spacing w:line="360" w:lineRule="auto"/>
        <w:rPr>
          <w:rFonts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完成与连云港市燃气、供水、排水等平台的对接工作，获取城市生命线系统正常运行所</w:t>
      </w:r>
      <w:r>
        <w:rPr>
          <w:rFonts w:hint="eastAsia" w:asciiTheme="minorEastAsia" w:hAnsiTheme="minorEastAsia" w:eastAsiaTheme="minorEastAsia" w:cstheme="minorBidi"/>
          <w:sz w:val="24"/>
          <w:szCs w:val="24"/>
        </w:rPr>
        <w:t xml:space="preserve">需要的数据信息，满足省级下发的《城市生命线安全工程——城市基础设施安全运行智慧监管系统数据标准（试行）》以及《省市数据对接规范（修订版）》要求。</w:t>
      </w:r>
      <w:r/>
    </w:p>
    <w:p>
      <w:pPr>
        <w:pStyle w:val="855"/>
        <w:ind w:firstLine="480"/>
        <w:spacing w:line="360" w:lineRule="auto"/>
        <w:rPr>
          <w:rFonts w:asciiTheme="minorEastAsia" w:hAnsiTheme="minorEastAsia" w:eastAsiaTheme="minorEastAsia" w:cstheme="minorBidi"/>
          <w:b/>
          <w:bCs/>
          <w:sz w:val="24"/>
          <w:szCs w:val="24"/>
        </w:rPr>
      </w:pPr>
      <w:r>
        <w:rPr>
          <w:rFonts w:hint="eastAsia" w:asciiTheme="minorEastAsia" w:hAnsiTheme="minorEastAsia" w:eastAsiaTheme="minorEastAsia" w:cstheme="minorBidi"/>
          <w:b/>
          <w:bCs/>
          <w:sz w:val="24"/>
          <w:szCs w:val="24"/>
        </w:rPr>
        <w:t xml:space="preserve">六、市县一体化推进要求</w:t>
      </w:r>
      <w:r/>
    </w:p>
    <w:p>
      <w:pPr>
        <w:pStyle w:val="855"/>
        <w:ind w:firstLine="480"/>
        <w:spacing w:line="360" w:lineRule="auto"/>
        <w:rPr>
          <w:rFonts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根据省政府市县一体化要求，市级监管系统的建设要充分考虑试点县市的需求，打通各层级、各条线之间的“数据壁垒”和“信息烟囱”，实现数据上下贯通、实时交互、充分共享。</w:t>
      </w:r>
      <w:r/>
    </w:p>
    <w:p>
      <w:pPr>
        <w:ind w:firstLine="480"/>
        <w:spacing w:line="360" w:lineRule="auto"/>
        <w:widowControl/>
        <w:rPr>
          <w:rFonts w:ascii="宋体" w:hAnsi="宋体" w:cs="宋体"/>
          <w:sz w:val="24"/>
          <w:szCs w:val="24"/>
        </w:rPr>
      </w:pPr>
      <w:r>
        <w:rPr>
          <w:rFonts w:hint="eastAsia" w:asciiTheme="minorEastAsia" w:hAnsiTheme="minorEastAsia"/>
          <w:sz w:val="24"/>
          <w:szCs w:val="24"/>
        </w:rPr>
        <w:t xml:space="preserve">项目建设需充分考虑我市试点县市基本情况，在满足省级要求、市级监管需求的基础上，从市级平台可提供的复用能力、市县系统数据对接技术实现、市县系统对接接口技术实现等方面提出我市城市综合监管平台市县一体化推进方案，实现市县资源共享、能力复用，节约县市系统建设成本。</w:t>
      </w:r>
      <w:r>
        <w:rPr>
          <w:rFonts w:hint="eastAsia" w:ascii="宋体" w:hAnsi="宋体" w:cs="宋体"/>
          <w:sz w:val="24"/>
          <w:szCs w:val="24"/>
        </w:rPr>
        <w:t xml:space="preserve">如投标人需要更详细了解对接相关</w:t>
      </w:r>
      <w:r>
        <w:rPr>
          <w:rFonts w:hint="eastAsia" w:ascii="宋体" w:hAnsi="宋体" w:cs="宋体"/>
          <w:sz w:val="24"/>
          <w:szCs w:val="24"/>
        </w:rPr>
        <w:t xml:space="preserve">要求及数据等内容，</w:t>
      </w:r>
      <w:r>
        <w:rPr>
          <w:rFonts w:hint="eastAsia" w:ascii="宋体" w:hAnsi="宋体" w:cs="宋体"/>
          <w:sz w:val="24"/>
          <w:szCs w:val="24"/>
        </w:rPr>
        <w:t xml:space="preserve">可联系采购人。</w:t>
      </w:r>
      <w:r/>
    </w:p>
    <w:p>
      <w:pPr>
        <w:pStyle w:val="855"/>
        <w:ind w:firstLine="480"/>
        <w:spacing w:line="360" w:lineRule="auto"/>
        <w:rPr>
          <w:rFonts w:asciiTheme="minorEastAsia" w:hAnsiTheme="minorEastAsia" w:eastAsiaTheme="minorEastAsia" w:cstheme="minorBidi"/>
          <w:b/>
          <w:bCs/>
          <w:sz w:val="24"/>
          <w:szCs w:val="24"/>
        </w:rPr>
      </w:pPr>
      <w:r>
        <w:rPr>
          <w:rFonts w:hint="eastAsia" w:asciiTheme="minorEastAsia" w:hAnsiTheme="minorEastAsia" w:eastAsiaTheme="minorEastAsia" w:cstheme="minorBidi"/>
          <w:b/>
          <w:bCs/>
          <w:sz w:val="24"/>
          <w:szCs w:val="24"/>
        </w:rPr>
        <w:t xml:space="preserve">七、安全等级测评要求</w:t>
      </w:r>
      <w:r/>
    </w:p>
    <w:p>
      <w:pPr>
        <w:pStyle w:val="855"/>
        <w:ind w:firstLine="480"/>
        <w:spacing w:line="360" w:lineRule="auto"/>
        <w:rPr>
          <w:rFonts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测评包含按照国家相关政策、标椎规范要求完成本项目的软件第三方测评、计算机等级保护测评、政务信息系统密码应用安全性评估等工作。</w:t>
      </w:r>
      <w:r/>
    </w:p>
    <w:p>
      <w:pPr>
        <w:pStyle w:val="855"/>
        <w:ind w:firstLine="480"/>
        <w:spacing w:line="360" w:lineRule="auto"/>
        <w:rPr>
          <w:rFonts w:asciiTheme="minorEastAsia" w:hAnsiTheme="minorEastAsia" w:eastAsiaTheme="minorEastAsia" w:cstheme="minorBidi"/>
          <w:b/>
          <w:bCs/>
          <w:i/>
          <w:iCs/>
          <w:sz w:val="24"/>
          <w:szCs w:val="24"/>
          <w:u w:val="single"/>
        </w:rPr>
      </w:pPr>
      <w:r>
        <w:rPr>
          <w:rFonts w:hint="eastAsia" w:asciiTheme="minorEastAsia" w:hAnsiTheme="minorEastAsia" w:eastAsiaTheme="minorEastAsia" w:cstheme="minorBidi"/>
          <w:b/>
          <w:bCs/>
          <w:i/>
          <w:iCs/>
          <w:sz w:val="24"/>
          <w:szCs w:val="24"/>
          <w:u w:val="single"/>
        </w:rPr>
        <w:t xml:space="preserve">投标人承诺如若中标，承建的智慧监管系统满足信息安全等级保护三级测评、系统密码应用安全性评估，且符合自身业务特点。</w:t>
      </w:r>
      <w:r>
        <w:rPr>
          <w:rFonts w:hint="eastAsia" w:hAnsi="宋体"/>
          <w:b/>
          <w:bCs/>
          <w:i/>
          <w:iCs/>
          <w:sz w:val="24"/>
          <w:szCs w:val="18"/>
          <w:u w:val="single"/>
        </w:rPr>
        <w:t xml:space="preserve">（投标文件中提供加盖投标人公章的承诺函，须明确承诺内容，否则投标无效。详见第六章 投标文件格式 二十）</w:t>
      </w:r>
      <w:r/>
    </w:p>
    <w:p>
      <w:pPr>
        <w:pStyle w:val="855"/>
        <w:ind w:firstLine="480"/>
        <w:spacing w:line="360" w:lineRule="auto"/>
        <w:rPr>
          <w:rFonts w:asciiTheme="minorEastAsia" w:hAnsiTheme="minorEastAsia" w:eastAsiaTheme="minorEastAsia" w:cstheme="minorBidi"/>
          <w:b/>
          <w:bCs/>
          <w:sz w:val="24"/>
          <w:szCs w:val="24"/>
        </w:rPr>
      </w:pPr>
      <w:r>
        <w:rPr>
          <w:rFonts w:hint="eastAsia" w:asciiTheme="minorEastAsia" w:hAnsiTheme="minorEastAsia" w:eastAsiaTheme="minorEastAsia" w:cstheme="minorBidi"/>
          <w:b/>
          <w:bCs/>
          <w:sz w:val="24"/>
          <w:szCs w:val="24"/>
        </w:rPr>
        <w:t xml:space="preserve">八、项目实施其他要求</w:t>
      </w:r>
      <w:r/>
    </w:p>
    <w:p>
      <w:pPr>
        <w:pStyle w:val="855"/>
        <w:ind w:firstLine="480"/>
        <w:spacing w:line="360" w:lineRule="auto"/>
        <w:rPr>
          <w:rFonts w:asciiTheme="minorEastAsia" w:hAnsiTheme="minorEastAsia" w:eastAsiaTheme="minorEastAsia" w:cstheme="minorBidi"/>
          <w:b/>
          <w:bCs/>
          <w:sz w:val="24"/>
          <w:szCs w:val="24"/>
        </w:rPr>
      </w:pPr>
      <w:r>
        <w:rPr>
          <w:rFonts w:hint="eastAsia" w:asciiTheme="minorEastAsia" w:hAnsiTheme="minorEastAsia" w:eastAsiaTheme="minorEastAsia" w:cstheme="minorBidi"/>
          <w:b/>
          <w:bCs/>
          <w:sz w:val="24"/>
          <w:szCs w:val="24"/>
        </w:rPr>
        <w:t xml:space="preserve">1.供货要求</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提供的软硬件设备（含配件辅材）应是全新的合格正品，外观和内在质量都不得有任何问题。技术指标符合采购文件要求和国家规定的出厂要求，其产品的质量性能、技术指标和使用功能达到合同要求。使用说明书、随配附件和工具以及清单一并附于货物内。</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货物送达指定地点后，采购人现场开箱检查，根据合同对货物的质量、规格、数量进行检验，如有缺漏、损坏，由中标人负责调换、补齐；如未能按合同约定供货，采购人有权向中标人提出索赔。根据验货情况做开箱记录，双方签字确认。</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所提供的技术资料（包含货物及软件系统）完整正确，数据和资料准确无误，能够保证项目顺利进行，正确地安装调试和验收，满足正常运行和维修保养的需要。</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在未验收前，货物保管、安全均由中标人负责，货物送到采购人指定地点，并负责办理运输和装卸，费用由中标人负责。</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本项目采购货物中如涉及到低挥发性原辅材料的，优先提供符合国家推荐性标准的涂料、胶黏剂、油墨、清洗剂等挥发性有机物产品。</w:t>
      </w:r>
      <w:r/>
    </w:p>
    <w:p>
      <w:pPr>
        <w:ind w:firstLine="480"/>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2.调试要求</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内容主要包括但不限于软件、硬件安装调试、集成测试以及对接等内容。软硬件设备中标人要制定具体的现场安装计划（包括进度表与拟派技术人员）并与采购人进行确认；严格按照规定的时间、地点、环境进行安装，保证达到合同文件的要求。软件系统开发以及集成测试、系统对接达到合同规定要求，实现正常运行，达到稳定、流畅等项目预期需求和性能。</w:t>
      </w:r>
      <w:r/>
    </w:p>
    <w:p>
      <w:pPr>
        <w:pStyle w:val="855"/>
        <w:ind w:firstLine="482"/>
        <w:spacing w:line="360" w:lineRule="auto"/>
        <w:rPr>
          <w:rFonts w:asciiTheme="minorEastAsia" w:hAnsiTheme="minorEastAsia" w:eastAsiaTheme="minorEastAsia" w:cstheme="minorBidi"/>
          <w:b/>
          <w:bCs/>
          <w:sz w:val="24"/>
          <w:szCs w:val="24"/>
        </w:rPr>
      </w:pPr>
      <w:r>
        <w:rPr>
          <w:rFonts w:hint="eastAsia" w:asciiTheme="minorEastAsia" w:hAnsiTheme="minorEastAsia" w:eastAsiaTheme="minorEastAsia" w:cstheme="minorBidi"/>
          <w:b/>
          <w:sz w:val="24"/>
          <w:szCs w:val="24"/>
        </w:rPr>
        <w:t xml:space="preserve">3.</w:t>
      </w:r>
      <w:r>
        <w:rPr>
          <w:rFonts w:hint="eastAsia" w:asciiTheme="minorEastAsia" w:hAnsiTheme="minorEastAsia" w:eastAsiaTheme="minorEastAsia" w:cstheme="minorBidi"/>
          <w:b/>
          <w:bCs/>
          <w:sz w:val="24"/>
          <w:szCs w:val="24"/>
        </w:rPr>
        <w:t xml:space="preserve">辅材、配件要求</w:t>
      </w:r>
      <w:r/>
    </w:p>
    <w:p>
      <w:pPr>
        <w:ind w:firstLine="48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辅材包含但不限于穿线管、扎带、标签、网络跳线、网线</w:t>
      </w:r>
      <w:r>
        <w:rPr>
          <w:rFonts w:hint="eastAsia" w:asciiTheme="minorEastAsia" w:hAnsiTheme="minorEastAsia"/>
          <w:color w:val="000000"/>
          <w:sz w:val="24"/>
          <w:szCs w:val="21"/>
        </w:rPr>
        <w:t xml:space="preserve">等</w:t>
      </w:r>
      <w:r>
        <w:rPr>
          <w:rFonts w:hint="eastAsia" w:ascii="宋体" w:hAnsi="宋体" w:eastAsia="宋体" w:cs="宋体"/>
          <w:bCs/>
          <w:sz w:val="24"/>
          <w:szCs w:val="24"/>
        </w:rPr>
        <w:t xml:space="preserve">，包含招标文件中未列出而项目实施必需的软件、硬件辅材配件，以保证项目顺利进行。</w:t>
      </w:r>
      <w:r>
        <w:rPr>
          <w:rFonts w:hint="eastAsia" w:ascii="宋体" w:hAnsi="宋体" w:eastAsia="宋体" w:cs="宋体"/>
          <w:bCs/>
          <w:color w:val="000000"/>
          <w:sz w:val="24"/>
          <w:szCs w:val="24"/>
        </w:rPr>
        <w:t xml:space="preserve">因不同投标人的设备设计原理未必完全相同，投标人可视自身情况配置辅材，应能充分满足采购人需求的功能及参数要求。此部分包含在投标报价中。</w:t>
      </w:r>
      <w:r>
        <w:rPr>
          <w:rFonts w:hint="eastAsia" w:ascii="宋体" w:hAnsi="宋体" w:eastAsia="宋体" w:cs="宋体"/>
          <w:bCs/>
          <w:sz w:val="24"/>
          <w:szCs w:val="24"/>
        </w:rPr>
        <w:t xml:space="preserve">如果投标人中标并签署合同后，在供货或项目实施时出现辅材和配件的任何遗漏，均由中标人及时配齐，不影响项目正常实施，</w:t>
      </w:r>
      <w:r>
        <w:rPr>
          <w:rFonts w:hint="eastAsia" w:ascii="宋体" w:hAnsi="宋体" w:eastAsia="宋体" w:cs="Times New Roman"/>
          <w:bCs/>
          <w:color w:val="000000"/>
          <w:sz w:val="24"/>
          <w:szCs w:val="24"/>
        </w:rPr>
        <w:t xml:space="preserve">采购人不在额外支付费用</w:t>
      </w:r>
      <w:r>
        <w:rPr>
          <w:rFonts w:hint="eastAsia" w:ascii="宋体" w:hAnsi="宋体" w:eastAsia="宋体" w:cs="宋体"/>
          <w:bCs/>
          <w:sz w:val="24"/>
          <w:szCs w:val="24"/>
        </w:rPr>
        <w:t xml:space="preserve">。</w:t>
      </w:r>
      <w:r/>
    </w:p>
    <w:p>
      <w:pPr>
        <w:ind w:firstLine="480"/>
        <w:jc w:val="left"/>
        <w:spacing w:line="360" w:lineRule="auto"/>
        <w:widowControl/>
        <w:rPr>
          <w:rFonts w:ascii="宋体" w:hAnsi="宋体" w:eastAsia="宋体" w:cs="宋体"/>
          <w:b/>
          <w:sz w:val="24"/>
          <w:szCs w:val="24"/>
        </w:rPr>
      </w:pPr>
      <w:r>
        <w:rPr>
          <w:rFonts w:hint="eastAsia" w:ascii="宋体" w:hAnsi="宋体" w:eastAsia="宋体" w:cs="宋体"/>
          <w:b/>
          <w:sz w:val="24"/>
          <w:szCs w:val="24"/>
        </w:rPr>
        <w:t xml:space="preserve">4.项目实施管理要求</w:t>
      </w:r>
      <w:r/>
    </w:p>
    <w:p>
      <w:pPr>
        <w:ind w:firstLine="480"/>
        <w:spacing w:line="360" w:lineRule="auto"/>
        <w:rPr>
          <w:sz w:val="24"/>
          <w:szCs w:val="24"/>
        </w:rPr>
      </w:pPr>
      <w:r>
        <w:rPr>
          <w:rFonts w:hint="eastAsia"/>
          <w:sz w:val="24"/>
          <w:szCs w:val="24"/>
        </w:rPr>
        <w:t xml:space="preserve">由于项目包含城市基础地理数据及地下管线数据，数据安全要求较高，中标人需在采购人指定的区域、使用专用网络环境下处理项目数据。坚持科学的态度和实事求是的原则，确保信息数据的安全性，维护采购人合法权益。</w:t>
      </w:r>
      <w:r/>
    </w:p>
    <w:p>
      <w:pPr>
        <w:ind w:firstLine="48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项目进度管理：采用科学合理的方法确定进度目标，并从制度上和技术上进行进度控制，在保证质量的基础上，实现整体计划目标。</w:t>
      </w:r>
      <w:r/>
    </w:p>
    <w:p>
      <w:pPr>
        <w:ind w:firstLine="48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项目配置管理：建立项目配置文件管理库，保存项目实施中的记录性文件等。</w:t>
      </w:r>
      <w:r/>
    </w:p>
    <w:p>
      <w:pPr>
        <w:ind w:firstLine="48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项目变更管理：建立项目变更管理办法，对于每项变更，都必须按照预先设计好的项目变更流程，提出变更请求，评估变更可能带来的影响，经采购人审批后，才能实施变更。变更工作完成后，需通知所有相关人员，确保项目能够协调一致地进行。</w:t>
      </w:r>
      <w:r/>
    </w:p>
    <w:p>
      <w:pPr>
        <w:ind w:firstLine="48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项目质量管理：应当按照采购人要求制定出项目的质量管理标准，确保项目所有成员理解并执行该标准。在项目的实施过程中，中标人应安排专人对项目的质量情况进行跟踪，并通过项目的监控、检查、纠错、贯彻等阶段，及时的纠正可能引起目标偏差的问题，保证项目的实施过程符合预定的项目质量管理标准，保障项目质量管理的完整性、正确性和可追溯性。</w:t>
      </w:r>
      <w:r/>
    </w:p>
    <w:p>
      <w:pPr>
        <w:ind w:firstLine="48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项目风险管理：针对项目实施的工作要求，详细分析实施过程中可能出现的各类风险，制定完善的风险管理策略，以有效控制风险发生。</w:t>
      </w:r>
      <w:r/>
    </w:p>
    <w:p>
      <w:pPr>
        <w:pStyle w:val="855"/>
        <w:ind w:firstLine="480"/>
        <w:spacing w:line="360" w:lineRule="auto"/>
        <w:rPr>
          <w:rFonts w:asciiTheme="minorEastAsia" w:hAnsiTheme="minorEastAsia" w:eastAsiaTheme="minorEastAsia" w:cstheme="minorBidi"/>
          <w:b/>
          <w:bCs/>
          <w:sz w:val="24"/>
          <w:szCs w:val="24"/>
        </w:rPr>
      </w:pPr>
      <w:r>
        <w:rPr>
          <w:rFonts w:hint="eastAsia" w:asciiTheme="minorEastAsia" w:hAnsiTheme="minorEastAsia" w:eastAsiaTheme="minorEastAsia" w:cstheme="minorBidi"/>
          <w:b/>
          <w:bCs/>
          <w:sz w:val="24"/>
          <w:szCs w:val="24"/>
        </w:rPr>
        <w:t xml:space="preserve">九、知识产权要求</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1.中标人应保证采购人在使用、接受本合同中服务或其任何一部分时不受第三方提出侵</w:t>
      </w:r>
      <w:r>
        <w:rPr>
          <w:rFonts w:hint="eastAsia" w:asciiTheme="minorEastAsia" w:hAnsiTheme="minorEastAsia"/>
          <w:sz w:val="24"/>
          <w:szCs w:val="24"/>
        </w:rPr>
        <w:t xml:space="preserve">犯其专利权、版权、商标权和工业设计权等知识产权的起诉。一旦出现侵权，由中标人负全部责任，既包括第三方的索赔责任，也包括第三方索赔给采购人造成的损失。</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2.本项目中建设的所有软件系统知识产权（包括但不限于著作权、专利权）归采购人所有，系统验收后中标人应向采购人移交中标人针对本项目自主开发部分的全部源代码，未经采购人书面同意，中标人不得将本项目相关源代码用于其他项目。</w:t>
      </w:r>
      <w:r/>
    </w:p>
    <w:p>
      <w:pPr>
        <w:ind w:firstLine="480"/>
        <w:spacing w:line="360" w:lineRule="auto"/>
        <w:rPr>
          <w:sz w:val="24"/>
          <w:szCs w:val="24"/>
        </w:rPr>
      </w:pPr>
      <w:r>
        <w:rPr>
          <w:rFonts w:hint="eastAsia" w:asciiTheme="minorEastAsia" w:hAnsiTheme="minorEastAsia"/>
          <w:sz w:val="24"/>
          <w:szCs w:val="24"/>
        </w:rPr>
        <w:t xml:space="preserve">3.中标单位，需无偿提供市级监管系统可复用的源代码供我市有需求的县区、板块使用。</w:t>
      </w:r>
      <w:r/>
    </w:p>
    <w:p>
      <w:pPr>
        <w:pStyle w:val="855"/>
        <w:ind w:firstLine="480"/>
        <w:spacing w:line="360" w:lineRule="auto"/>
        <w:rPr>
          <w:rFonts w:asciiTheme="minorEastAsia" w:hAnsiTheme="minorEastAsia" w:eastAsiaTheme="minorEastAsia" w:cstheme="minorBidi"/>
          <w:b/>
          <w:bCs/>
          <w:sz w:val="24"/>
          <w:szCs w:val="24"/>
        </w:rPr>
      </w:pPr>
      <w:r>
        <w:rPr>
          <w:rFonts w:hint="eastAsia" w:asciiTheme="minorEastAsia" w:hAnsiTheme="minorEastAsia" w:eastAsiaTheme="minorEastAsia" w:cstheme="minorBidi"/>
          <w:b/>
          <w:bCs/>
          <w:sz w:val="24"/>
          <w:szCs w:val="24"/>
        </w:rPr>
        <w:t xml:space="preserve">十、保密要求</w:t>
      </w:r>
      <w:r/>
    </w:p>
    <w:p>
      <w:pPr>
        <w:pStyle w:val="855"/>
        <w:ind w:firstLine="480"/>
        <w:spacing w:line="360" w:lineRule="auto"/>
        <w:rPr>
          <w:rFonts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1.中标人应对采购人提供的有关合同或任何合同条文、规格、计划、图纸、样品或资料，以及因本项目所获得的所有内部资料、技术文档、数据和信息予以保密；即使向履行本合同有关的人员提供，也应注意保密并限于履行合同的必需范围。中标人应就上述要求与采购人签订保密协议并严格遵守，未经采购人书面许可，中标人不得以任何形式向第三方透露上述所有内容。</w:t>
      </w:r>
      <w:r/>
    </w:p>
    <w:p>
      <w:pPr>
        <w:pStyle w:val="855"/>
        <w:ind w:firstLine="480"/>
        <w:spacing w:line="360" w:lineRule="auto"/>
        <w:rPr>
          <w:rFonts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2.中标人驻场人员及与本项目有关的工作人员应签订保密承诺书，承诺内容需得到采购人认可。若中标人驻场及与本项目有关的工作人员因岗位或工作动发生调整，中标人应将变动调整情况及时告知采购人，并保证上述人员仍应履行保密要求。</w:t>
      </w:r>
      <w:r/>
    </w:p>
    <w:p>
      <w:pPr>
        <w:ind w:firstLine="480"/>
        <w:spacing w:line="360" w:lineRule="auto"/>
        <w:rPr>
          <w:sz w:val="24"/>
          <w:szCs w:val="24"/>
        </w:rPr>
      </w:pPr>
      <w:r>
        <w:rPr>
          <w:rFonts w:hint="eastAsia" w:asciiTheme="minorEastAsia" w:hAnsiTheme="minorEastAsia"/>
          <w:sz w:val="24"/>
          <w:szCs w:val="24"/>
        </w:rPr>
        <w:t xml:space="preserve">3.在</w:t>
      </w:r>
      <w:r>
        <w:rPr>
          <w:rFonts w:hint="eastAsia"/>
          <w:sz w:val="24"/>
          <w:szCs w:val="24"/>
        </w:rPr>
        <w:t xml:space="preserve">项目实施过程中，中标人必须严守保密规定，未经同意，不得将采购人信息数据向任何无关单位和个人提供和泄露，必须有严格的数据保密措施，如因操作不当导致数据泄密应追究相应法律责任。</w:t>
      </w:r>
      <w:r/>
    </w:p>
    <w:p>
      <w:pPr>
        <w:pStyle w:val="855"/>
        <w:ind w:firstLine="480"/>
        <w:spacing w:line="360" w:lineRule="auto"/>
        <w:rPr>
          <w:rFonts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4.中标人应将合同、保密协议一并提交给采购人。因中标人泄密给采购人造成的损失，由中标人承担所有赔偿及连带责任。</w:t>
      </w:r>
      <w:r/>
    </w:p>
    <w:p>
      <w:pPr>
        <w:ind w:firstLine="480"/>
        <w:spacing w:line="360" w:lineRule="auto"/>
        <w:rPr>
          <w:rFonts w:ascii="宋体" w:hAnsi="宋体"/>
          <w:sz w:val="24"/>
          <w:szCs w:val="24"/>
        </w:rPr>
      </w:pPr>
      <w:r>
        <w:rPr>
          <w:rFonts w:hint="eastAsia" w:ascii="宋体" w:hAnsi="宋体"/>
          <w:sz w:val="24"/>
          <w:szCs w:val="24"/>
        </w:rPr>
        <w:t xml:space="preserve">5.本项目中涉及的地下管线数据属于涉密数据，需根据有关保密要求，由市住建局与市自然资源和规划局签订保密协议，导出综合管线数据。市住建局委托江苏省测绘资料档案馆进行脱密处理，委托第三方服务公司进行脱敏处理，并对管线数据的存储进行特殊设计，来保证管线数据的安全。</w:t>
      </w:r>
      <w:r/>
    </w:p>
    <w:p>
      <w:pPr>
        <w:pStyle w:val="855"/>
        <w:ind w:firstLine="480"/>
        <w:spacing w:line="360" w:lineRule="auto"/>
        <w:rPr>
          <w:rFonts w:asciiTheme="minorEastAsia" w:hAnsiTheme="minorEastAsia" w:eastAsiaTheme="minorEastAsia" w:cstheme="minorBidi"/>
          <w:b/>
          <w:bCs/>
          <w:sz w:val="24"/>
          <w:szCs w:val="24"/>
        </w:rPr>
      </w:pPr>
      <w:r>
        <w:rPr>
          <w:rFonts w:hint="eastAsia" w:asciiTheme="minorEastAsia" w:hAnsiTheme="minorEastAsia" w:eastAsiaTheme="minorEastAsia" w:cstheme="minorBidi"/>
          <w:b/>
          <w:bCs/>
          <w:sz w:val="24"/>
          <w:szCs w:val="24"/>
        </w:rPr>
        <w:t xml:space="preserve">十一、系统更新及信创保障要求</w:t>
      </w:r>
      <w:r/>
    </w:p>
    <w:p>
      <w:pPr>
        <w:ind w:firstLine="480"/>
        <w:spacing w:line="360" w:lineRule="auto"/>
        <w:rPr>
          <w:sz w:val="24"/>
          <w:szCs w:val="24"/>
        </w:rPr>
      </w:pPr>
      <w:r>
        <w:rPr>
          <w:rFonts w:hint="eastAsia"/>
          <w:sz w:val="24"/>
          <w:szCs w:val="24"/>
        </w:rPr>
        <w:t xml:space="preserve">本项目所涵盖的定制软件开发工作，必须严格遵循省、市当前及未来五年内可能出台的国家、地区法律法规、文件规定以及行业相关政策要求。若中标人的软件系统未能满足上述要求，需按照相关规定无条件地对相关系统进行改造，以确保其软硬件达到最新的安全可靠性政策标准。此外，本项目涉及的信创产品在运维期内，若信创相关政策发生变动，中标人应积极响应，无条件协助完成系统的国产化适配和部署工作，以确保系统的持续合规性与适</w:t>
      </w:r>
      <w:r>
        <w:rPr>
          <w:rFonts w:hint="eastAsia"/>
          <w:sz w:val="24"/>
          <w:szCs w:val="24"/>
        </w:rPr>
        <w:t xml:space="preserve">应性。该部分均包含在预算金额内，请投标人综合考虑报价，合同履约期间，采购人不在额外支付费用。</w:t>
      </w:r>
      <w:r/>
    </w:p>
    <w:p>
      <w:pPr>
        <w:pStyle w:val="855"/>
        <w:ind w:firstLine="480"/>
        <w:spacing w:line="360" w:lineRule="auto"/>
        <w:rPr>
          <w:rFonts w:asciiTheme="minorEastAsia" w:hAnsiTheme="minorEastAsia" w:eastAsiaTheme="minorEastAsia" w:cstheme="minorBidi"/>
          <w:b/>
          <w:bCs/>
          <w:sz w:val="24"/>
          <w:szCs w:val="24"/>
        </w:rPr>
      </w:pPr>
      <w:r>
        <w:rPr>
          <w:rFonts w:hint="eastAsia" w:asciiTheme="minorEastAsia" w:hAnsiTheme="minorEastAsia" w:eastAsiaTheme="minorEastAsia" w:cstheme="minorBidi"/>
          <w:b/>
          <w:bCs/>
          <w:sz w:val="24"/>
          <w:szCs w:val="24"/>
        </w:rPr>
        <w:t xml:space="preserve">十二、人员配备要求</w:t>
      </w:r>
      <w:r/>
    </w:p>
    <w:p>
      <w:pPr>
        <w:ind w:firstLine="480"/>
        <w:spacing w:line="360" w:lineRule="auto"/>
        <w:rPr>
          <w:rFonts w:asciiTheme="minorEastAsia" w:hAnsiTheme="minorEastAsia"/>
          <w:sz w:val="24"/>
          <w:szCs w:val="24"/>
        </w:rPr>
      </w:pPr>
      <w:r>
        <w:rPr>
          <w:rFonts w:hint="eastAsia" w:ascii="宋体" w:hAnsi="宋体" w:cs="宋体"/>
          <w:sz w:val="24"/>
        </w:rPr>
        <w:t xml:space="preserve">1.本项目实施</w:t>
      </w:r>
      <w:r>
        <w:rPr>
          <w:rFonts w:hint="eastAsia" w:asciiTheme="minorEastAsia" w:hAnsiTheme="minorEastAsia"/>
          <w:sz w:val="24"/>
          <w:szCs w:val="24"/>
        </w:rPr>
        <w:t xml:space="preserve">涵盖综合应用、7个省选场景、1个地方特色场景，7个省选场景包括燃气、供水、排水、地下管线、道路、桥梁、第三方施工破坏专项场景，连云港市特色场景为防震专项场景。</w:t>
      </w:r>
      <w:r>
        <w:rPr>
          <w:rFonts w:hint="eastAsia" w:ascii="宋体" w:hAnsi="宋体" w:cs="宋体"/>
          <w:sz w:val="24"/>
        </w:rPr>
        <w:t xml:space="preserve">为保障项目的顺利实施，投标人应合理成立本项目的实施团队，确保有效人力和物力的投</w:t>
      </w:r>
      <w:r>
        <w:rPr>
          <w:rFonts w:hint="eastAsia" w:asciiTheme="minorEastAsia" w:hAnsiTheme="minorEastAsia"/>
          <w:sz w:val="24"/>
          <w:szCs w:val="24"/>
        </w:rPr>
        <w:t xml:space="preserve">入。本项目配备项目组成员不少于10名（包含运维驻场2人），其中：</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项目负责人：须具有丰富的类似项目管理及运营服务工作经验，主要职责包括：主持本项目的技术、质量管理工作，对本项目技术、质量、进度全面负责。</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燃气专项技术负责人：须具有燃气专业技术经验，主要负责本项目涉及燃气专项的技术方向、技术决策、技术管理和技术协调工作。</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供排水专项技术负责人：须具有供水和排水专业技术经验，主要负责本项目涉及供水专项和排水专项的技术方向、技术决策、技术管理和技术协调工作。</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道路专项技术负责人：须具有道路专业技术经验，主要负责本项目涉及道路专项的技术方向、技术决策、技术管理和技术协调工作。</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桥梁专项技术负责人：须具有桥梁专业技术经验，主要负责本项目涉及桥梁专项的技术方向、技术决策、技术管理和技术协调工作。</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信息安全技术负责人承担本项目信息安全规划、实施、管理工作，确保本项目信息安全体系的建立和有效运行。制定和实施信息安全策略，管理安全设备，处理安全事件，并进行合规审计和风险评估。‌</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现场安全负责人：负责制定施工安全方案，监督施工现场的安全措施，确保设备安装人员的人身安全。</w:t>
      </w:r>
      <w:r/>
    </w:p>
    <w:p>
      <w:pPr>
        <w:ind w:firstLine="480"/>
        <w:jc w:val="left"/>
        <w:spacing w:line="440" w:lineRule="exact"/>
        <w:widowControl/>
        <w:rPr>
          <w:rFonts w:ascii="宋体" w:hAnsi="宋体" w:cs="宋体"/>
          <w:sz w:val="24"/>
        </w:rPr>
      </w:pPr>
      <w:r>
        <w:rPr>
          <w:rFonts w:hint="eastAsia" w:ascii="宋体" w:hAnsi="宋体" w:cs="宋体"/>
          <w:sz w:val="24"/>
        </w:rPr>
        <w:t xml:space="preserve">2.投标人须配备详细的服务方案，建立健全保障项目顺利实施的各项管理制度和质量保证体系；安排专职的项目负责人和足够的高素质专业技术人员参加本项目建设工作。</w:t>
      </w:r>
      <w:r/>
    </w:p>
    <w:p>
      <w:pPr>
        <w:ind w:firstLine="480"/>
        <w:jc w:val="left"/>
        <w:spacing w:line="440" w:lineRule="exact"/>
        <w:widowControl/>
        <w:rPr>
          <w:rFonts w:ascii="宋体" w:hAnsi="宋体" w:cs="宋体"/>
          <w:sz w:val="24"/>
        </w:rPr>
      </w:pPr>
      <w:r>
        <w:rPr>
          <w:rFonts w:hint="eastAsia" w:ascii="宋体" w:hAnsi="宋体" w:cs="宋体"/>
          <w:sz w:val="24"/>
        </w:rPr>
        <w:t xml:space="preserve">3.项目负责人须具有丰富的项目管理及运营服务工作经验，项目负责人全程负责本项目工作，不得无故更换，项目组成员一经确认，如需变更需征得采购人书面批准。</w:t>
      </w:r>
      <w:r/>
    </w:p>
    <w:p>
      <w:pPr>
        <w:ind w:firstLine="480"/>
        <w:jc w:val="left"/>
        <w:spacing w:line="440" w:lineRule="exact"/>
        <w:widowControl/>
        <w:rPr>
          <w:rFonts w:ascii="宋体" w:hAnsi="宋体" w:cs="宋体"/>
          <w:sz w:val="24"/>
        </w:rPr>
      </w:pPr>
      <w:r>
        <w:rPr>
          <w:rFonts w:hint="eastAsia" w:ascii="宋体" w:hAnsi="宋体" w:cs="宋体"/>
          <w:sz w:val="24"/>
        </w:rPr>
        <w:t xml:space="preserve">4.实施双方成员的职责要明晰、确定，并且须落到实处。保证经采购人确认的项目组能够按照要求提供现场开发服务，现场实施人员须服从采购人统一管理。</w:t>
      </w:r>
      <w:r/>
    </w:p>
    <w:p>
      <w:pPr>
        <w:ind w:firstLine="480"/>
        <w:jc w:val="left"/>
        <w:spacing w:line="440" w:lineRule="exact"/>
        <w:widowControl/>
        <w:rPr>
          <w:rFonts w:ascii="宋体" w:hAnsi="宋体" w:cs="宋体"/>
          <w:sz w:val="24"/>
          <w:highlight w:val="yellow"/>
        </w:rPr>
      </w:pPr>
      <w:r>
        <w:rPr>
          <w:rFonts w:hint="eastAsia" w:ascii="宋体" w:hAnsi="宋体" w:cs="宋体"/>
          <w:sz w:val="24"/>
        </w:rPr>
        <w:t xml:space="preserve">5.应具有较强的本地化服务能力，服务期限内能在本地提供持续的服务，非本地投标人中标后须在本地配有较强的技术队伍。</w:t>
      </w:r>
      <w:r/>
    </w:p>
    <w:p>
      <w:pPr>
        <w:ind w:firstLine="482"/>
        <w:spacing w:line="360" w:lineRule="auto"/>
        <w:rPr>
          <w:b/>
          <w:bCs/>
          <w:sz w:val="24"/>
          <w:szCs w:val="24"/>
        </w:rPr>
      </w:pPr>
      <w:r>
        <w:rPr>
          <w:rFonts w:hint="eastAsia"/>
          <w:b/>
          <w:bCs/>
          <w:sz w:val="24"/>
          <w:szCs w:val="24"/>
        </w:rPr>
        <w:t xml:space="preserve">十三、服务期限及进度安排</w:t>
      </w:r>
      <w:r/>
    </w:p>
    <w:p>
      <w:pPr>
        <w:ind w:firstLine="482"/>
        <w:spacing w:line="500" w:lineRule="exact"/>
        <w:rPr>
          <w:rFonts w:asciiTheme="minorEastAsia" w:hAnsiTheme="minorEastAsia"/>
          <w:b/>
          <w:bCs/>
          <w:i/>
          <w:iCs/>
          <w:sz w:val="24"/>
          <w:u w:val="single"/>
        </w:rPr>
      </w:pPr>
      <w:r>
        <w:rPr>
          <w:rFonts w:hint="eastAsia" w:asciiTheme="minorEastAsia" w:hAnsiTheme="minorEastAsia"/>
          <w:b/>
          <w:bCs/>
          <w:i/>
          <w:iCs/>
          <w:sz w:val="24"/>
          <w:u w:val="single"/>
        </w:rPr>
        <w:t xml:space="preserve">1.服务期限：自合同约定之日起12个月内完成一期建设。</w:t>
      </w:r>
      <w:r/>
    </w:p>
    <w:p>
      <w:pPr>
        <w:ind w:firstLine="482"/>
        <w:spacing w:line="500" w:lineRule="exact"/>
        <w:rPr>
          <w:rFonts w:ascii="宋体" w:hAnsi="宋体" w:eastAsia="宋体" w:cs="宋体"/>
          <w:b/>
          <w:i/>
          <w:sz w:val="24"/>
          <w:u w:val="single"/>
        </w:rPr>
      </w:pPr>
      <w:r>
        <w:rPr>
          <w:rFonts w:hint="eastAsia" w:ascii="宋体" w:hAnsi="宋体" w:eastAsia="宋体" w:cs="宋体"/>
          <w:b/>
          <w:i/>
          <w:sz w:val="24"/>
          <w:u w:val="single"/>
        </w:rPr>
        <w:t xml:space="preserve">2.进度要求：</w:t>
      </w:r>
      <w:r/>
    </w:p>
    <w:p>
      <w:pPr>
        <w:ind w:left="479"/>
        <w:spacing w:line="500" w:lineRule="exact"/>
        <w:rPr>
          <w:rFonts w:ascii="宋体" w:hAnsi="宋体" w:eastAsia="宋体" w:cs="宋体"/>
          <w:b/>
          <w:i/>
          <w:sz w:val="24"/>
          <w:u w:val="single"/>
        </w:rPr>
      </w:pPr>
      <w:r>
        <w:rPr>
          <w:rFonts w:hint="eastAsia" w:ascii="宋体" w:hAnsi="宋体" w:eastAsia="宋体" w:cs="宋体"/>
          <w:b/>
          <w:i/>
          <w:sz w:val="24"/>
          <w:u w:val="single"/>
        </w:rPr>
        <w:t xml:space="preserve">（1）2024年12月</w:t>
      </w:r>
      <w:r>
        <w:rPr>
          <w:rFonts w:hint="eastAsia" w:asciiTheme="minorEastAsia" w:hAnsiTheme="minorEastAsia"/>
          <w:b/>
          <w:i/>
          <w:sz w:val="24"/>
          <w:szCs w:val="24"/>
          <w:u w:val="single"/>
        </w:rPr>
        <w:t xml:space="preserve">20日前完成连云港市城市基础设施安全运行智慧监管系统建设并上线</w:t>
      </w:r>
      <w:r>
        <w:rPr>
          <w:rFonts w:hint="eastAsia" w:ascii="宋体" w:hAnsi="宋体" w:eastAsia="宋体" w:cs="宋体"/>
          <w:b/>
          <w:i/>
          <w:sz w:val="24"/>
          <w:u w:val="single"/>
        </w:rPr>
        <w:t xml:space="preserve">；（2）项目总建设工期为12个月内全部完成；（3）运维期为 3 年。</w:t>
      </w:r>
      <w:r/>
    </w:p>
    <w:p>
      <w:pPr>
        <w:ind w:firstLine="482"/>
        <w:spacing w:line="360" w:lineRule="auto"/>
        <w:rPr>
          <w:b/>
          <w:bCs/>
          <w:sz w:val="24"/>
          <w:szCs w:val="24"/>
        </w:rPr>
      </w:pPr>
      <w:r>
        <w:rPr>
          <w:rFonts w:hint="eastAsia"/>
          <w:b/>
          <w:bCs/>
          <w:sz w:val="24"/>
          <w:szCs w:val="24"/>
        </w:rPr>
        <w:t xml:space="preserve">十四、售后服务要求</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本项目</w:t>
      </w:r>
      <w:r>
        <w:rPr>
          <w:rFonts w:hint="eastAsia" w:asciiTheme="minorEastAsia" w:hAnsiTheme="minorEastAsia"/>
          <w:sz w:val="24"/>
          <w:szCs w:val="24"/>
        </w:rPr>
        <w:t xml:space="preserve">系统</w:t>
      </w:r>
      <w:r>
        <w:rPr>
          <w:rFonts w:hint="eastAsia" w:asciiTheme="minorEastAsia" w:hAnsiTheme="minorEastAsia"/>
          <w:sz w:val="24"/>
          <w:szCs w:val="24"/>
        </w:rPr>
        <w:t xml:space="preserve">运维服务周期为3年，硬件质保3年，自系统验收通过之日起计算。运维期内所提供运维、技术服务涉及的费用含在本次报价中。运维期内，提供至少2人驻场运行维护团队，支撑响应系统各类故障及日常服务器巡检与维护、平台运行等运行维护要求和数据分析、辅助决策等技术支持。中标人无条件对系统进行维护和升级，需要根据国家、省、市接口调整变更软件调整。驻点人员在连云港市运行监测中心进行系统及数据的安全运行保障、异常情况配合处理以及软硬件维护等工作。</w:t>
      </w:r>
      <w:r/>
    </w:p>
    <w:p>
      <w:pPr>
        <w:ind w:firstLine="480"/>
        <w:jc w:val="left"/>
        <w:spacing w:line="360" w:lineRule="auto"/>
        <w:rPr>
          <w:rFonts w:ascii="Times New Roman" w:hAnsi="Times New Roman" w:eastAsia="宋体" w:cs="Times New Roman"/>
          <w:sz w:val="24"/>
          <w:szCs w:val="24"/>
        </w:rPr>
      </w:pPr>
      <w:r>
        <w:rPr>
          <w:rFonts w:hint="eastAsia" w:asciiTheme="minorEastAsia" w:hAnsiTheme="minorEastAsia"/>
          <w:sz w:val="24"/>
          <w:szCs w:val="24"/>
        </w:rPr>
        <w:t xml:space="preserve">1.第一部分硬件设备，3年内对城市生命线建设的硬件监测设备进行维护，确保设备的正常运行。</w:t>
      </w:r>
      <w:r>
        <w:rPr>
          <w:rFonts w:hint="eastAsia" w:ascii="Times New Roman" w:hAnsi="Times New Roman" w:eastAsia="宋体" w:cs="Times New Roman"/>
          <w:sz w:val="24"/>
          <w:szCs w:val="24"/>
        </w:rPr>
        <w:t xml:space="preserve">中标人承担维修、保养、安检、调换等，相关费用包含在预算内，采购方不再支付任何费用；对于采购方人为原因造成的故障，中标人只收取成本费用。出现质量问题，</w:t>
      </w:r>
      <w:r>
        <w:rPr>
          <w:rFonts w:hint="eastAsia" w:ascii="宋体" w:hAnsi="宋体" w:eastAsia="宋体" w:cs="宋体"/>
          <w:bCs/>
          <w:sz w:val="24"/>
          <w:szCs w:val="24"/>
        </w:rPr>
        <w:t xml:space="preserve">中标人需协调原厂商提供原厂保修服务。如需替换设备或零件，配置不得低于原有配置其中，所有硬件内置的定制软件、配套管理软件及附带软件提供采购人使用权。</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2.第二部分系统软件，包括1个门户、1个综合应用系统、8个专项应用系统以及运行监测中心对接等。要求应用软件系统能够正常运行，当这些系统出现问题时，能发现并提出解决方案，可以协助专业解决人员解决故障或进行对应的变更、升级等操作。</w:t>
      </w:r>
      <w:r>
        <w:rPr>
          <w:rFonts w:hint="eastAsia" w:ascii="宋体" w:hAnsi="宋体" w:eastAsia="宋体" w:cs="宋体"/>
          <w:sz w:val="24"/>
          <w:szCs w:val="24"/>
        </w:rPr>
        <w:t xml:space="preserve">遇到紧急突发事件无法解决，需派专业技术人员及时排除故障，并做好售后服务工作，不影响采购人单位正常业务运行。</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3.第三部分数据运维，提供针对本工程中所涉及的全生命周期的数据治理、数据对接、数据开发、数据报送的运维服务，保证数据在使用、共享时高质量和及时响应。</w:t>
      </w:r>
      <w:r/>
    </w:p>
    <w:p>
      <w:pPr>
        <w:ind w:firstLine="482"/>
        <w:spacing w:line="360" w:lineRule="auto"/>
        <w:rPr>
          <w:b/>
          <w:bCs/>
          <w:sz w:val="24"/>
          <w:szCs w:val="24"/>
        </w:rPr>
      </w:pPr>
      <w:r>
        <w:rPr>
          <w:rFonts w:hint="eastAsia"/>
          <w:b/>
          <w:bCs/>
          <w:sz w:val="24"/>
          <w:szCs w:val="24"/>
        </w:rPr>
        <w:t xml:space="preserve">十五、培训要求</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1.中标人应负责对采购人单位相关使用人员进行全面的技术培训，</w:t>
      </w:r>
      <w:r>
        <w:rPr>
          <w:sz w:val="24"/>
          <w:szCs w:val="32"/>
        </w:rPr>
        <w:t xml:space="preserve">主要内容侧重于系统的使用及系统的基本维护、常见问题及解决办法等</w:t>
      </w:r>
      <w:r>
        <w:rPr>
          <w:rFonts w:hint="eastAsia"/>
          <w:sz w:val="24"/>
          <w:szCs w:val="32"/>
        </w:rPr>
        <w:t xml:space="preserve">，</w:t>
      </w:r>
      <w:r>
        <w:rPr>
          <w:rFonts w:hint="eastAsia" w:asciiTheme="minorEastAsia" w:hAnsiTheme="minorEastAsia"/>
          <w:sz w:val="24"/>
          <w:szCs w:val="24"/>
        </w:rPr>
        <w:t xml:space="preserve">保证使用人员能独立进行日常维护管理和简易故障处理等工作，以便所使用的软件产品能够正常、安全地运行。 </w:t>
      </w:r>
      <w:r/>
    </w:p>
    <w:p>
      <w:pPr>
        <w:ind w:firstLine="562"/>
        <w:jc w:val="left"/>
        <w:spacing w:line="360" w:lineRule="auto"/>
        <w:rPr>
          <w:rFonts w:ascii="宋体" w:hAnsi="宋体" w:eastAsia="宋体" w:cs="Times New Roman"/>
          <w:bCs/>
          <w:sz w:val="24"/>
          <w:szCs w:val="24"/>
        </w:rPr>
      </w:pPr>
      <w:r>
        <w:rPr>
          <w:rFonts w:hint="eastAsia" w:asciiTheme="minorEastAsia" w:hAnsiTheme="minorEastAsia"/>
          <w:sz w:val="24"/>
          <w:szCs w:val="24"/>
        </w:rPr>
        <w:t xml:space="preserve">2.中标人的培训对象为系统管理员和系统使用人员，中标人需提供培训教材，</w:t>
      </w:r>
      <w:r>
        <w:rPr>
          <w:rFonts w:hint="eastAsia"/>
          <w:sz w:val="24"/>
          <w:szCs w:val="32"/>
        </w:rPr>
        <w:t xml:space="preserve">并提供理论与实操相结合的多样化培训方式</w:t>
      </w:r>
      <w:r>
        <w:rPr>
          <w:sz w:val="24"/>
          <w:szCs w:val="32"/>
        </w:rPr>
        <w:t xml:space="preserve">。采购人负责对培训质量的监控，并有权对培训内容提出改正意见</w:t>
      </w:r>
      <w:r>
        <w:rPr>
          <w:rFonts w:hint="eastAsia"/>
          <w:sz w:val="24"/>
          <w:szCs w:val="32"/>
        </w:rPr>
        <w:t xml:space="preserve">。</w:t>
      </w:r>
      <w:r/>
    </w:p>
    <w:p>
      <w:pPr>
        <w:pStyle w:val="853"/>
        <w:ind w:firstLine="482"/>
        <w:rPr>
          <w:rFonts w:asciiTheme="minorEastAsia" w:hAnsiTheme="minorEastAsia" w:eastAsiaTheme="minorEastAsia"/>
          <w:b/>
          <w:sz w:val="24"/>
          <w:szCs w:val="28"/>
        </w:rPr>
      </w:pPr>
      <w:r>
        <w:rPr>
          <w:rFonts w:hint="eastAsia" w:asciiTheme="minorEastAsia" w:hAnsiTheme="minorEastAsia" w:eastAsiaTheme="minorEastAsia"/>
          <w:b/>
          <w:sz w:val="24"/>
          <w:szCs w:val="28"/>
        </w:rPr>
        <w:t xml:space="preserve">十六、商品包装及快递包装要求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本项目涉及的货物发运前应对其进行满足运输距离、防潮、防震、防锈和防破损装卸等要求包装，以保证货物安全运达采购人指定地点，符合《商品包装政府采购需求标准（试行）》、《快递包装政府采购需求标准（试行）》等规定。具体要求如下：</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（一）商品包装环保要求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1.商品包装层数不得超过3 层，空隙率不大于40%；</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2.商品包装尽可能使用单一材质的包装材料，如因功能需求必需使用不同材质，不同材质间应便于分离；</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3.商品包装中铅、汞、镉、六价铬的总含量应不大于100mg/kg；</w:t>
      </w:r>
      <w:r/>
    </w:p>
    <w:p>
      <w:pPr>
        <w:ind w:left="479"/>
        <w:jc w:val="left"/>
        <w:spacing w:line="360" w:lineRule="auto"/>
        <w:rPr>
          <w:rFonts w:ascii="宋体" w:hAnsi="宋体" w:eastAsia="宋体" w:cs="宋体"/>
          <w:sz w:val="24"/>
          <w:szCs w:val="24"/>
        </w:rPr>
      </w:pPr>
      <w:r>
        <w:rPr>
          <w:rFonts w:hint="eastAsia" w:ascii="宋体" w:hAnsi="宋体" w:eastAsia="宋体" w:cs="宋体"/>
          <w:sz w:val="24"/>
          <w:szCs w:val="24"/>
        </w:rPr>
        <w:t xml:space="preserve">4.商品包装印刷使用的油墨中挥发性有机化合物(VOCs)含量应不大于 5%（以重量计）；5.塑料材质商品包装上呈现的印刷颜色不得超过6色；</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6.纸质商品包装应使用 75%以上的可再生纤维原料生产；7.木质商品包装的原料应来源于可持续性森林。</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（二）快递包装环保要求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1.快递包装中重金属（铅、汞、镉、六价铬）总量应不大于 100mg/kg；</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2.快递包装印刷使用的油墨中不应添加邻苯二甲酸酯，其挥发性有机化合物(VOCs)含量应不大于5%（以重量计）；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3.快递包装中使用纸基材的包装材料，纸基材中的有机氯的含量应不大于 150 mg/kg；</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5.快递中使用的塑料包装袋不得使用聚氯乙烯作为原料，且原料应为单一材质制成，生物分解率大于60%；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6.快递中使用的充气类填充物不得使用聚氯乙烯作为原料，且原料为单一材质制成，生物分解率大于60%；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7.快递中使用的集装袋应为单一材质制成，其重复使用次数应不小于 80 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8.快递中应使用幅宽不大于45mm 的生物降解胶带；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9.快递包装中不得使用溶剂型胶粘剂；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10.快递应使用电子面单；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11.直接使用商品包装作为快递包装的商品，其商品包装满足《商品包装政府采购需求标</w:t>
      </w:r>
      <w:r>
        <w:rPr>
          <w:rFonts w:hint="eastAsia" w:ascii="宋体" w:hAnsi="宋体" w:eastAsia="宋体" w:cs="宋体"/>
          <w:sz w:val="24"/>
          <w:szCs w:val="24"/>
        </w:rPr>
        <w:t xml:space="preserve">准（试行）》即可；</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12.快递包装产品质量和封装方式应符合相关国家或行业标准技术指标要求。</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十七、验收要求</w:t>
      </w:r>
      <w:r/>
    </w:p>
    <w:p>
      <w:pPr>
        <w:ind w:firstLine="480"/>
        <w:spacing w:line="360" w:lineRule="auto"/>
        <w:rPr>
          <w:sz w:val="24"/>
          <w:szCs w:val="24"/>
        </w:rPr>
      </w:pPr>
      <w:r>
        <w:rPr>
          <w:rFonts w:hint="eastAsia"/>
          <w:sz w:val="24"/>
          <w:szCs w:val="24"/>
        </w:rPr>
        <w:t xml:space="preserve">采购人根据国家有关规定、招标文件、中标人的投标文件、财务相关规定以及合同约定的内容和验收标准进行验收，验收情况作为支付货款的依据。因服务的质量问题发生争议的，应当邀请国家认可的质量检测机构对服务质量进行鉴定。符合标准的，鉴定费由采购人承担；不符合标准的，鉴定费由中标人承担。中标人要接受采购人确认的具有客观、公平、公正、具有良好职业操守的监理单位的监督管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验收工作由采购人组织实施，中标人参与共同完成。中标人应配合完成验收工作，提交相关文档，经采购人单位确认后进行项目验收。相关要求包括但不限于：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1.中标人应按照采购人要求，如期完成合同规定的各项工作。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中标人应按照采购人要求，移交实施过程中的各类文档，并进行产出物的交付。产出物应提供电子和纸质两种介质，内容应清晰完整，并保持版本一致。中标人提供的交付物包括但不局限于以下内容：设备安装、运行、使用、软件开发、测试、诊断和维修的技术文件、配置相关文档、配件清单以及配套软件技术说明文档，根据具体情况进行调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3.对验收中发现的问题，中标人应提出有效解决办法和措施，经采购人确认后实施。</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中标人按照要求调试完毕，硬件及系统各项功能满足采购清单及技术参数质量要求，正常运行，材料齐全即验收合格。采购人对各节点验收材料汇总后，签署到货验收报告，进入质量保障及维护期。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4.本项目执行《财政部 生态环境部 工业和信息化部关于印发《绿色数据中心政府采购需求标准（试行）&gt;的通知》（财库〔2023〕7号）的相关要求。涉及本次采购标的的设备(防火墙、交换机等)采购人有权在履约验收时对中标人提供的产品或服务进行抽查检测，必要时可委托取得相关资质的第三方机构对其进行检测、认证。</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十八、付款方式与履约保证金</w:t>
      </w:r>
      <w:r/>
    </w:p>
    <w:p>
      <w:pPr>
        <w:ind w:firstLine="480"/>
        <w:jc w:val="left"/>
        <w:spacing w:line="360" w:lineRule="auto"/>
        <w:rPr>
          <w:rFonts w:ascii="宋体" w:hAnsi="宋体" w:eastAsia="宋体" w:cs="宋体"/>
          <w:b/>
          <w:bCs/>
          <w:sz w:val="24"/>
          <w:szCs w:val="24"/>
        </w:rPr>
      </w:pPr>
      <w:r>
        <w:rPr>
          <w:rFonts w:hint="eastAsia" w:ascii="宋体" w:hAnsi="宋体" w:eastAsia="宋体" w:cs="宋体"/>
          <w:bCs/>
          <w:sz w:val="24"/>
          <w:szCs w:val="24"/>
        </w:rPr>
        <w:t xml:space="preserve">1.付款方式：</w:t>
      </w:r>
      <w:r>
        <w:rPr>
          <w:rFonts w:hint="eastAsia" w:ascii="宋体" w:hAnsi="宋体" w:eastAsia="宋体" w:cs="宋体"/>
          <w:sz w:val="24"/>
          <w:szCs w:val="24"/>
        </w:rPr>
        <w:t xml:space="preserve">合同签订后，项目系统上线运行付到合同总金额的20%，验收合格后付到合同总金额的90%，余款一年后一次性付清（不计利息）。</w:t>
      </w:r>
      <w:r/>
    </w:p>
    <w:p>
      <w:pPr>
        <w:ind w:firstLine="480"/>
        <w:jc w:val="left"/>
        <w:spacing w:line="360" w:lineRule="auto"/>
        <w:rPr>
          <w:rFonts w:cs="Times New Roman" w:asciiTheme="minorEastAsia" w:hAnsiTheme="minorEastAsia"/>
          <w:b/>
          <w:bCs/>
          <w:sz w:val="24"/>
          <w:szCs w:val="24"/>
        </w:rPr>
      </w:pPr>
      <w:r>
        <w:rPr>
          <w:rFonts w:hint="eastAsia" w:cs="Times New Roman" w:asciiTheme="minorEastAsia" w:hAnsiTheme="minorEastAsia"/>
          <w:bCs/>
          <w:sz w:val="24"/>
          <w:szCs w:val="24"/>
        </w:rPr>
        <w:t xml:space="preserve">2.履约保证金：</w:t>
      </w:r>
      <w:r>
        <w:rPr>
          <w:rFonts w:hint="eastAsia" w:cs="Times New Roman" w:asciiTheme="minorEastAsia" w:hAnsiTheme="minorEastAsia"/>
          <w:sz w:val="24"/>
          <w:szCs w:val="24"/>
        </w:rPr>
        <w:t xml:space="preserve">本项目不收取履约保证金。</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十九、报价要求</w:t>
      </w:r>
      <w:r/>
    </w:p>
    <w:p>
      <w:pPr>
        <w:ind w:firstLine="480"/>
        <w:spacing w:line="360" w:lineRule="auto"/>
        <w:rPr>
          <w:sz w:val="24"/>
        </w:rPr>
      </w:pPr>
      <w:r>
        <w:rPr>
          <w:rFonts w:hint="eastAsia"/>
          <w:sz w:val="24"/>
        </w:rPr>
        <w:t xml:space="preserve">本项目报价不得超过预算价，应根据国家收费标准并结合市场实际进行报价，总价包干。</w:t>
      </w:r>
      <w:r>
        <w:rPr>
          <w:rFonts w:hint="eastAsia"/>
          <w:sz w:val="24"/>
          <w:szCs w:val="24"/>
        </w:rPr>
        <w:t xml:space="preserve">投标报价应是招标文件所确定的采购范围内的全部工作内容的价格体现，应涵盖采购人在招</w:t>
      </w:r>
      <w:r>
        <w:rPr>
          <w:rFonts w:hint="eastAsia"/>
          <w:sz w:val="24"/>
          <w:szCs w:val="24"/>
        </w:rPr>
        <w:t xml:space="preserve">标文件中所要求的所有工作内容，</w:t>
      </w:r>
      <w:r>
        <w:rPr>
          <w:rFonts w:hint="eastAsia" w:asciiTheme="minorEastAsia" w:hAnsiTheme="minorEastAsia"/>
          <w:sz w:val="24"/>
        </w:rPr>
        <w:t xml:space="preserve">包含但不限于人员、设备、系统开发、售后服务、伴随配套服务等所有含税费用。</w:t>
      </w:r>
      <w:r>
        <w:rPr>
          <w:rFonts w:hint="eastAsia"/>
          <w:sz w:val="24"/>
          <w:szCs w:val="24"/>
        </w:rPr>
        <w:t xml:space="preserve">报价时需充分考虑本项目技术支持与维护服务费用以及投标人确认为需要发生的其它费用等，直至交付至采购人使用时所需要的各种费用（包含所有隐含的费用），采购人不支付报价以外的任何费用。</w:t>
      </w:r>
      <w:r/>
    </w:p>
    <w:p>
      <w:pPr>
        <w:ind w:firstLine="480"/>
        <w:spacing w:line="360" w:lineRule="auto"/>
        <w:rPr>
          <w:sz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ind w:firstLine="480"/>
        <w:spacing w:line="360" w:lineRule="auto"/>
        <w:rPr>
          <w:sz w:val="24"/>
        </w:rPr>
      </w:pPr>
      <w:r>
        <w:rPr>
          <w:sz w:val="24"/>
        </w:rPr>
      </w:r>
      <w:r/>
    </w:p>
    <w:p>
      <w:pPr>
        <w:jc w:val="left"/>
        <w:spacing w:line="50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注：下表为本项目采购需求中须满足的实质性要求和条件，请供应商逐条明确响应，并按照要求提供证明材料（如有），否则投标无效。</w:t>
      </w:r>
      <w:r/>
    </w:p>
    <w:tbl>
      <w:tblPr>
        <w:tblStyle w:val="863"/>
        <w:tblW w:w="9854" w:type="dxa"/>
        <w:jc w:val="center"/>
        <w:tblLayout w:type="fixed"/>
        <w:tblLook w:val="04A0" w:firstRow="1" w:lastRow="0" w:firstColumn="1" w:lastColumn="0" w:noHBand="0" w:noVBand="1"/>
      </w:tblPr>
      <w:tblGrid>
        <w:gridCol w:w="958"/>
        <w:gridCol w:w="8896"/>
      </w:tblGrid>
      <w:tr>
        <w:trPr>
          <w:jc w:val="center"/>
        </w:trPr>
        <w:tc>
          <w:tcPr>
            <w:gridSpan w:val="2"/>
            <w:tcBorders>
              <w:top w:val="none" w:color="000000" w:sz="4" w:space="0"/>
              <w:left w:val="none" w:color="000000" w:sz="4" w:space="0"/>
              <w:bottom w:val="single" w:color="auto" w:sz="4" w:space="0"/>
              <w:right w:val="none" w:color="000000" w:sz="4" w:space="0"/>
            </w:tcBorders>
            <w:tcW w:w="9854" w:type="dxa"/>
            <w:vAlign w:val="center"/>
            <w:textDirection w:val="lrTb"/>
            <w:noWrap w:val="false"/>
          </w:tcPr>
          <w:p>
            <w:pPr>
              <w:jc w:val="center"/>
              <w:spacing w:line="500" w:lineRule="exact"/>
              <w:rPr>
                <w:rFonts w:asciiTheme="minorEastAsia" w:hAnsiTheme="minorEastAsia"/>
                <w:b/>
                <w:sz w:val="24"/>
                <w:szCs w:val="24"/>
              </w:rPr>
            </w:pPr>
            <w:r>
              <w:rPr>
                <w:rFonts w:asciiTheme="minorEastAsia" w:hAnsiTheme="minorEastAsia"/>
                <w:b/>
                <w:sz w:val="24"/>
                <w:szCs w:val="24"/>
              </w:rPr>
              <w:t xml:space="preserve">采购需求中须满足的实质性要求和条件</w:t>
            </w:r>
            <w:r/>
          </w:p>
        </w:tc>
      </w:tr>
      <w:tr>
        <w:trPr>
          <w:jc w:val="center"/>
        </w:trPr>
        <w:tc>
          <w:tcPr>
            <w:tcBorders>
              <w:top w:val="single" w:color="auto" w:sz="4" w:space="0"/>
            </w:tcBorders>
            <w:tcW w:w="958"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8896"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958" w:type="dxa"/>
            <w:textDirection w:val="lrTb"/>
            <w:noWrap w:val="false"/>
          </w:tcPr>
          <w:p>
            <w:pPr>
              <w:jc w:val="center"/>
              <w:spacing w:line="360" w:lineRule="auto"/>
              <w:rPr>
                <w:rFonts w:asciiTheme="minorEastAsia" w:hAnsiTheme="minorEastAsia"/>
                <w:b/>
                <w:i/>
                <w:sz w:val="24"/>
                <w:szCs w:val="24"/>
                <w:u w:val="single"/>
              </w:rPr>
            </w:pPr>
            <w:r>
              <w:rPr>
                <w:rFonts w:hint="eastAsia" w:asciiTheme="minorEastAsia" w:hAnsiTheme="minorEastAsia"/>
                <w:b/>
                <w:i/>
                <w:sz w:val="24"/>
                <w:szCs w:val="24"/>
                <w:u w:val="single"/>
              </w:rPr>
              <w:t xml:space="preserve">1</w:t>
            </w:r>
            <w:r/>
          </w:p>
        </w:tc>
        <w:tc>
          <w:tcPr>
            <w:tcW w:w="8896" w:type="dxa"/>
            <w:textDirection w:val="lrTb"/>
            <w:noWrap w:val="false"/>
          </w:tcPr>
          <w:p>
            <w:pPr>
              <w:jc w:val="left"/>
              <w:spacing w:line="360" w:lineRule="auto"/>
              <w:rPr>
                <w:rFonts w:asciiTheme="minorEastAsia" w:hAnsiTheme="minorEastAsia"/>
                <w:sz w:val="24"/>
                <w:szCs w:val="24"/>
              </w:rPr>
            </w:pPr>
            <w:r>
              <w:rPr>
                <w:rFonts w:hint="eastAsia" w:asciiTheme="minorEastAsia" w:hAnsiTheme="minorEastAsia"/>
                <w:b/>
                <w:bCs/>
                <w:i/>
                <w:iCs/>
                <w:sz w:val="24"/>
                <w:szCs w:val="24"/>
                <w:u w:val="single"/>
              </w:rPr>
              <w:t xml:space="preserve">四、省市复用对接要求：</w:t>
            </w:r>
            <w:r/>
          </w:p>
          <w:p>
            <w:pPr>
              <w:pStyle w:val="855"/>
              <w:spacing w:line="360" w:lineRule="auto"/>
              <w:rPr>
                <w:rFonts w:asciiTheme="minorEastAsia" w:hAnsiTheme="minorEastAsia" w:eastAsiaTheme="minorEastAsia" w:cstheme="minorBidi"/>
                <w:b/>
                <w:bCs/>
                <w:i/>
                <w:iCs/>
                <w:sz w:val="24"/>
                <w:szCs w:val="24"/>
                <w:u w:val="single"/>
              </w:rPr>
            </w:pPr>
            <w:r>
              <w:rPr>
                <w:rFonts w:hint="eastAsia" w:asciiTheme="minorEastAsia" w:hAnsiTheme="minorEastAsia" w:eastAsiaTheme="minorEastAsia" w:cstheme="minorBidi"/>
                <w:b/>
                <w:bCs/>
                <w:i/>
                <w:iCs/>
                <w:sz w:val="24"/>
                <w:szCs w:val="24"/>
                <w:u w:val="single"/>
              </w:rPr>
              <w:t xml:space="preserve">投标人承诺如若中标：（1）在项目实施阶段应严格遵循本项目省市复用建设要求（满足省级平台对接要求，省、市、县三级贯通建设架构），专项应用系统（燃气、供水、排水、地下管线交互、道路、桥梁、第三方施工）基于省市建设成果基础上结合连云港市需求进行定制化开发。（2）根</w:t>
            </w:r>
            <w:r>
              <w:rPr>
                <w:rFonts w:hint="eastAsia"/>
                <w:b/>
                <w:bCs/>
                <w:i/>
                <w:iCs/>
                <w:sz w:val="24"/>
                <w:szCs w:val="24"/>
                <w:u w:val="single"/>
              </w:rPr>
              <w:t xml:space="preserve">据采购人要求，在规定时间内完成与江苏省城市生命线监管系统数据对接工作，对接费用已经包含在预算金额中。（3）配合采购人完成省级考核。</w:t>
            </w:r>
            <w:r>
              <w:rPr>
                <w:rFonts w:hint="eastAsia" w:hAnsi="宋体"/>
                <w:b/>
                <w:bCs/>
                <w:i/>
                <w:iCs/>
                <w:sz w:val="24"/>
                <w:szCs w:val="18"/>
                <w:u w:val="single"/>
              </w:rPr>
              <w:t xml:space="preserve">（投标文件中提供加盖投标人公章的承诺函，须明确承诺内容，否则投标无效。详见第六章 投标文件格式 二十）</w:t>
            </w:r>
            <w:r/>
          </w:p>
        </w:tc>
      </w:tr>
      <w:tr>
        <w:trPr>
          <w:jc w:val="center"/>
        </w:trPr>
        <w:tc>
          <w:tcPr>
            <w:tcW w:w="958" w:type="dxa"/>
            <w:textDirection w:val="lrTb"/>
            <w:noWrap w:val="false"/>
          </w:tcPr>
          <w:p>
            <w:pPr>
              <w:jc w:val="center"/>
              <w:spacing w:line="360" w:lineRule="auto"/>
              <w:rPr>
                <w:rFonts w:asciiTheme="minorEastAsia" w:hAnsiTheme="minorEastAsia"/>
                <w:b/>
                <w:i/>
                <w:sz w:val="24"/>
                <w:szCs w:val="24"/>
                <w:u w:val="single"/>
              </w:rPr>
            </w:pPr>
            <w:r>
              <w:rPr>
                <w:rFonts w:hint="eastAsia" w:asciiTheme="minorEastAsia" w:hAnsiTheme="minorEastAsia"/>
                <w:b/>
                <w:i/>
                <w:sz w:val="24"/>
                <w:szCs w:val="24"/>
                <w:u w:val="single"/>
              </w:rPr>
              <w:t xml:space="preserve">2</w:t>
            </w:r>
            <w:r/>
          </w:p>
        </w:tc>
        <w:tc>
          <w:tcPr>
            <w:tcW w:w="8896" w:type="dxa"/>
            <w:textDirection w:val="lrTb"/>
            <w:noWrap w:val="false"/>
          </w:tcPr>
          <w:p>
            <w:pPr>
              <w:jc w:val="left"/>
              <w:spacing w:line="360" w:lineRule="auto"/>
              <w:rPr>
                <w:rFonts w:asciiTheme="minorEastAsia" w:hAnsiTheme="minorEastAsia"/>
                <w:b/>
                <w:bCs/>
                <w:i/>
                <w:iCs/>
                <w:sz w:val="24"/>
                <w:szCs w:val="24"/>
                <w:u w:val="single"/>
              </w:rPr>
            </w:pPr>
            <w:r>
              <w:rPr>
                <w:rFonts w:hint="eastAsia" w:asciiTheme="minorEastAsia" w:hAnsiTheme="minorEastAsia"/>
                <w:b/>
                <w:bCs/>
                <w:i/>
                <w:iCs/>
                <w:sz w:val="24"/>
                <w:szCs w:val="24"/>
                <w:u w:val="single"/>
              </w:rPr>
              <w:t xml:space="preserve">七、安全等级测评要求：</w:t>
            </w:r>
            <w:r/>
          </w:p>
          <w:p>
            <w:pPr>
              <w:pStyle w:val="855"/>
              <w:spacing w:line="360" w:lineRule="auto"/>
              <w:rPr>
                <w:rFonts w:asciiTheme="minorEastAsia" w:hAnsiTheme="minorEastAsia" w:eastAsiaTheme="minorEastAsia" w:cstheme="minorBidi"/>
                <w:b/>
                <w:bCs/>
                <w:i/>
                <w:iCs/>
                <w:sz w:val="24"/>
                <w:szCs w:val="24"/>
                <w:u w:val="single"/>
              </w:rPr>
            </w:pPr>
            <w:r>
              <w:rPr>
                <w:rFonts w:hint="eastAsia" w:asciiTheme="minorEastAsia" w:hAnsiTheme="minorEastAsia" w:eastAsiaTheme="minorEastAsia" w:cstheme="minorBidi"/>
                <w:b/>
                <w:bCs/>
                <w:i/>
                <w:iCs/>
                <w:sz w:val="24"/>
                <w:szCs w:val="24"/>
                <w:u w:val="single"/>
              </w:rPr>
              <w:t xml:space="preserve">投标人承诺如若中标，承建的智慧监管系统满足信息安全等级保护三级测评、系统密码应用安全性评估，且符合自身业务特点。</w:t>
            </w:r>
            <w:r>
              <w:rPr>
                <w:rFonts w:hint="eastAsia" w:hAnsi="宋体"/>
                <w:b/>
                <w:bCs/>
                <w:i/>
                <w:iCs/>
                <w:sz w:val="24"/>
                <w:szCs w:val="18"/>
                <w:u w:val="single"/>
              </w:rPr>
              <w:t xml:space="preserve">（投标文件中提供加盖投标人公章的承诺函，须明确承诺内容，否则投标无效。详见第六章 投标文件格式 二十）</w:t>
            </w:r>
            <w:r/>
          </w:p>
        </w:tc>
      </w:tr>
      <w:tr>
        <w:trPr>
          <w:jc w:val="center"/>
        </w:trPr>
        <w:tc>
          <w:tcPr>
            <w:tcW w:w="958" w:type="dxa"/>
            <w:textDirection w:val="lrTb"/>
            <w:noWrap w:val="false"/>
          </w:tcPr>
          <w:p>
            <w:pPr>
              <w:jc w:val="center"/>
              <w:spacing w:line="360" w:lineRule="auto"/>
              <w:rPr>
                <w:rFonts w:asciiTheme="minorEastAsia" w:hAnsiTheme="minorEastAsia"/>
                <w:b/>
                <w:i/>
                <w:sz w:val="24"/>
                <w:szCs w:val="24"/>
                <w:u w:val="single"/>
              </w:rPr>
            </w:pPr>
            <w:r>
              <w:rPr>
                <w:rFonts w:hint="eastAsia" w:asciiTheme="minorEastAsia" w:hAnsiTheme="minorEastAsia"/>
                <w:b/>
                <w:i/>
                <w:sz w:val="24"/>
                <w:szCs w:val="24"/>
                <w:u w:val="single"/>
              </w:rPr>
              <w:t xml:space="preserve">3</w:t>
            </w:r>
            <w:r/>
          </w:p>
        </w:tc>
        <w:tc>
          <w:tcPr>
            <w:tcW w:w="8896" w:type="dxa"/>
            <w:textDirection w:val="lrTb"/>
            <w:noWrap w:val="false"/>
          </w:tcPr>
          <w:p>
            <w:pPr>
              <w:spacing w:line="360" w:lineRule="auto"/>
              <w:rPr>
                <w:b/>
                <w:bCs/>
                <w:i/>
                <w:sz w:val="24"/>
                <w:szCs w:val="24"/>
                <w:u w:val="single"/>
              </w:rPr>
            </w:pPr>
            <w:r>
              <w:rPr>
                <w:rFonts w:hint="eastAsia"/>
                <w:b/>
                <w:bCs/>
                <w:i/>
                <w:sz w:val="24"/>
                <w:szCs w:val="24"/>
                <w:u w:val="single"/>
              </w:rPr>
              <w:t xml:space="preserve">十三、服务期限及进度安排：</w:t>
            </w:r>
            <w:r/>
          </w:p>
          <w:p>
            <w:pPr>
              <w:spacing w:line="360" w:lineRule="auto"/>
              <w:rPr>
                <w:rFonts w:asciiTheme="minorEastAsia" w:hAnsiTheme="minorEastAsia"/>
                <w:b/>
                <w:bCs/>
                <w:i/>
                <w:iCs/>
                <w:sz w:val="24"/>
                <w:u w:val="single"/>
              </w:rPr>
            </w:pPr>
            <w:r>
              <w:rPr>
                <w:rFonts w:hint="eastAsia" w:asciiTheme="minorEastAsia" w:hAnsiTheme="minorEastAsia"/>
                <w:b/>
                <w:bCs/>
                <w:i/>
                <w:iCs/>
                <w:sz w:val="24"/>
                <w:u w:val="single"/>
              </w:rPr>
              <w:t xml:space="preserve">1.服务期限：自合同约定之日起12个月内完成一期建设。</w:t>
            </w:r>
            <w:r/>
          </w:p>
          <w:p>
            <w:pPr>
              <w:spacing w:line="360" w:lineRule="auto"/>
              <w:rPr>
                <w:rFonts w:ascii="宋体" w:hAnsi="宋体" w:eastAsia="宋体" w:cs="宋体"/>
                <w:b/>
                <w:i/>
                <w:sz w:val="24"/>
                <w:u w:val="single"/>
              </w:rPr>
            </w:pPr>
            <w:r>
              <w:rPr>
                <w:rFonts w:hint="eastAsia" w:ascii="宋体" w:hAnsi="宋体" w:eastAsia="宋体" w:cs="宋体"/>
                <w:b/>
                <w:i/>
                <w:sz w:val="24"/>
                <w:u w:val="single"/>
              </w:rPr>
              <w:t xml:space="preserve">2.进度要求：</w:t>
            </w:r>
            <w:r/>
            <w:r>
              <w:rPr>
                <w:rFonts w:hint="eastAsia" w:ascii="宋体" w:hAnsi="宋体" w:eastAsia="宋体" w:cs="宋体"/>
                <w:b/>
                <w:i/>
                <w:sz w:val="24"/>
                <w:u w:val="single"/>
              </w:rPr>
              <w:t xml:space="preserve">（1）2024年12月</w:t>
            </w:r>
            <w:r>
              <w:rPr>
                <w:rFonts w:hint="eastAsia" w:asciiTheme="minorEastAsia" w:hAnsiTheme="minorEastAsia"/>
                <w:b/>
                <w:i/>
                <w:sz w:val="24"/>
                <w:szCs w:val="24"/>
                <w:u w:val="single"/>
              </w:rPr>
              <w:t xml:space="preserve">20日前完成连云港市城市基础设施安全运行智慧监管系统建设并上线</w:t>
            </w:r>
            <w:r>
              <w:rPr>
                <w:rFonts w:hint="eastAsia" w:ascii="宋体" w:hAnsi="宋体" w:eastAsia="宋体" w:cs="宋体"/>
                <w:b/>
                <w:i/>
                <w:sz w:val="24"/>
                <w:u w:val="single"/>
              </w:rPr>
              <w:t xml:space="preserve">；（2）项目总建设工期为12个月内全部完成；（3）运维期为 3 年。</w:t>
            </w:r>
            <w:r/>
            <w:r>
              <w:rPr>
                <w:rFonts w:ascii="宋体" w:hAnsi="宋体" w:eastAsia="宋体" w:cs="宋体"/>
                <w:b/>
                <w:i/>
                <w:sz w:val="24"/>
                <w:u w:val="single"/>
              </w:rPr>
            </w:r>
          </w:p>
        </w:tc>
      </w:tr>
      <w:tr>
        <w:trPr>
          <w:jc w:val="center"/>
        </w:trPr>
        <w:tc>
          <w:tcPr>
            <w:tcW w:w="958" w:type="dxa"/>
            <w:textDirection w:val="lrTb"/>
            <w:noWrap w:val="false"/>
          </w:tcPr>
          <w:p>
            <w:pPr>
              <w:jc w:val="center"/>
              <w:spacing w:line="360" w:lineRule="auto"/>
              <w:rPr>
                <w:rFonts w:asciiTheme="minorEastAsia" w:hAnsiTheme="minorEastAsia"/>
                <w:b/>
                <w:i/>
                <w:sz w:val="24"/>
                <w:szCs w:val="24"/>
                <w:u w:val="single"/>
              </w:rPr>
            </w:pPr>
            <w:r>
              <w:rPr>
                <w:rFonts w:hint="eastAsia" w:asciiTheme="minorEastAsia" w:hAnsiTheme="minorEastAsia"/>
                <w:b/>
                <w:i/>
                <w:sz w:val="24"/>
                <w:szCs w:val="24"/>
                <w:u w:val="single"/>
              </w:rPr>
              <w:t xml:space="preserve">4</w:t>
            </w:r>
            <w:r/>
          </w:p>
        </w:tc>
        <w:tc>
          <w:tcPr>
            <w:tcW w:w="8896" w:type="dxa"/>
            <w:textDirection w:val="lrTb"/>
            <w:noWrap w:val="false"/>
          </w:tcPr>
          <w:p>
            <w:pPr>
              <w:spacing w:line="360" w:lineRule="auto"/>
              <w:rPr>
                <w:rFonts w:asciiTheme="minorEastAsia" w:hAnsiTheme="minorEastAsia"/>
                <w:b/>
                <w:bCs/>
                <w:i/>
                <w:sz w:val="24"/>
                <w:szCs w:val="24"/>
                <w:u w:val="single"/>
              </w:rPr>
            </w:pPr>
            <w:r>
              <w:rPr>
                <w:rFonts w:hint="eastAsia" w:asciiTheme="minorEastAsia" w:hAnsiTheme="minorEastAsia"/>
                <w:b/>
                <w:bCs/>
                <w:i/>
                <w:sz w:val="24"/>
                <w:szCs w:val="24"/>
                <w:u w:val="single"/>
              </w:rPr>
              <w:t xml:space="preserve">操作系统</w:t>
            </w:r>
            <w:r/>
          </w:p>
          <w:p>
            <w:pPr>
              <w:spacing w:line="360" w:lineRule="auto"/>
              <w:rPr>
                <w:rFonts w:asciiTheme="minorEastAsia" w:hAnsiTheme="minorEastAsia"/>
                <w:b/>
                <w:i/>
                <w:sz w:val="24"/>
                <w:szCs w:val="24"/>
                <w:u w:val="single"/>
              </w:rPr>
            </w:pPr>
            <w:r>
              <w:rPr>
                <w:rFonts w:hint="eastAsia" w:asciiTheme="minorEastAsia" w:hAnsiTheme="minorEastAsia"/>
                <w:b/>
                <w:i/>
                <w:sz w:val="24"/>
                <w:szCs w:val="24"/>
                <w:u w:val="single"/>
              </w:rPr>
              <w:t xml:space="preserve">操作系统须至少满足《操作系统政府采购需求标准（2023年版）》中加“*”的</w:t>
            </w:r>
            <w:r>
              <w:rPr>
                <w:rFonts w:hint="eastAsia" w:asciiTheme="minorEastAsia" w:hAnsiTheme="minorEastAsia"/>
                <w:b/>
                <w:i/>
                <w:sz w:val="24"/>
                <w:szCs w:val="24"/>
                <w:u w:val="single"/>
              </w:rPr>
              <w:t xml:space="preserve">指标要求，如下表所示：</w:t>
            </w:r>
            <w:r/>
          </w:p>
          <w:tbl>
            <w:tblPr>
              <w:tblStyle w:val="890"/>
              <w:tblW w:w="4981" w:type="pct"/>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1"/>
              <w:gridCol w:w="1106"/>
              <w:gridCol w:w="1351"/>
              <w:gridCol w:w="1598"/>
              <w:gridCol w:w="3603"/>
            </w:tblGrid>
            <w:tr>
              <w:trPr>
                <w:jc w:val="center"/>
                <w:trHeight w:val="567"/>
              </w:trPr>
              <w:tc>
                <w:tcPr>
                  <w:shd w:val="clear" w:color="auto" w:fill="auto"/>
                  <w:tcW w:w="403" w:type="pct"/>
                  <w:vAlign w:val="center"/>
                  <w:textDirection w:val="lrTb"/>
                  <w:noWrap w:val="false"/>
                </w:tcPr>
                <w:p>
                  <w:pPr>
                    <w:jc w:val="center"/>
                    <w:rPr>
                      <w:rFonts w:ascii="宋体" w:hAnsi="宋体" w:eastAsia="宋体" w:cs="宋体"/>
                      <w:b/>
                      <w:bCs/>
                      <w:i/>
                      <w:sz w:val="24"/>
                      <w:szCs w:val="18"/>
                      <w:u w:val="single"/>
                    </w:rPr>
                  </w:pPr>
                  <w:r>
                    <w:rPr>
                      <w:rFonts w:hint="eastAsia" w:ascii="宋体" w:hAnsi="宋体" w:eastAsia="宋体" w:cs="宋体"/>
                      <w:b/>
                      <w:bCs/>
                      <w:i/>
                      <w:sz w:val="24"/>
                      <w:szCs w:val="18"/>
                      <w:u w:val="single"/>
                    </w:rPr>
                    <w:t xml:space="preserve">序号</w:t>
                  </w:r>
                  <w:r/>
                </w:p>
              </w:tc>
              <w:tc>
                <w:tcPr>
                  <w:shd w:val="clear" w:color="auto" w:fill="auto"/>
                  <w:tcW w:w="664" w:type="pct"/>
                  <w:vAlign w:val="center"/>
                  <w:textDirection w:val="lrTb"/>
                  <w:noWrap w:val="false"/>
                </w:tcPr>
                <w:p>
                  <w:pPr>
                    <w:jc w:val="center"/>
                    <w:rPr>
                      <w:rFonts w:ascii="宋体" w:hAnsi="宋体" w:eastAsia="宋体" w:cs="宋体"/>
                      <w:b/>
                      <w:bCs/>
                      <w:i/>
                      <w:sz w:val="24"/>
                      <w:szCs w:val="18"/>
                      <w:u w:val="single"/>
                    </w:rPr>
                  </w:pPr>
                  <w:r>
                    <w:rPr>
                      <w:rFonts w:hint="eastAsia" w:ascii="宋体" w:hAnsi="宋体" w:eastAsia="宋体" w:cs="宋体"/>
                      <w:b/>
                      <w:bCs/>
                      <w:i/>
                      <w:sz w:val="24"/>
                      <w:szCs w:val="18"/>
                      <w:u w:val="single"/>
                    </w:rPr>
                    <w:t xml:space="preserve">分类</w:t>
                  </w:r>
                  <w:r/>
                </w:p>
              </w:tc>
              <w:tc>
                <w:tcPr>
                  <w:shd w:val="clear" w:color="auto" w:fill="auto"/>
                  <w:tcW w:w="811" w:type="pct"/>
                  <w:vAlign w:val="center"/>
                  <w:textDirection w:val="lrTb"/>
                  <w:noWrap w:val="false"/>
                </w:tcPr>
                <w:p>
                  <w:pPr>
                    <w:jc w:val="center"/>
                    <w:rPr>
                      <w:rFonts w:ascii="宋体" w:hAnsi="宋体" w:eastAsia="宋体" w:cs="宋体"/>
                      <w:b/>
                      <w:bCs/>
                      <w:i/>
                      <w:sz w:val="24"/>
                      <w:szCs w:val="18"/>
                      <w:u w:val="single"/>
                    </w:rPr>
                  </w:pPr>
                  <w:r>
                    <w:rPr>
                      <w:rFonts w:hint="eastAsia" w:ascii="宋体" w:hAnsi="宋体" w:eastAsia="宋体" w:cs="宋体"/>
                      <w:b/>
                      <w:bCs/>
                      <w:i/>
                      <w:sz w:val="24"/>
                      <w:szCs w:val="18"/>
                      <w:u w:val="single"/>
                    </w:rPr>
                    <w:t xml:space="preserve">一级指标</w:t>
                  </w:r>
                  <w:r/>
                </w:p>
              </w:tc>
              <w:tc>
                <w:tcPr>
                  <w:shd w:val="clear" w:color="auto" w:fill="auto"/>
                  <w:tcW w:w="959" w:type="pct"/>
                  <w:vAlign w:val="center"/>
                  <w:textDirection w:val="lrTb"/>
                  <w:noWrap w:val="false"/>
                </w:tcPr>
                <w:p>
                  <w:pPr>
                    <w:jc w:val="center"/>
                    <w:rPr>
                      <w:rFonts w:ascii="宋体" w:hAnsi="宋体" w:eastAsia="宋体" w:cs="宋体"/>
                      <w:b/>
                      <w:bCs/>
                      <w:i/>
                      <w:sz w:val="24"/>
                      <w:szCs w:val="18"/>
                      <w:u w:val="single"/>
                    </w:rPr>
                  </w:pPr>
                  <w:r>
                    <w:rPr>
                      <w:rFonts w:hint="eastAsia" w:ascii="宋体" w:hAnsi="宋体" w:eastAsia="宋体" w:cs="宋体"/>
                      <w:b/>
                      <w:bCs/>
                      <w:i/>
                      <w:sz w:val="24"/>
                      <w:szCs w:val="18"/>
                      <w:u w:val="single"/>
                    </w:rPr>
                    <w:t xml:space="preserve">二级指标</w:t>
                  </w:r>
                  <w:r/>
                </w:p>
              </w:tc>
              <w:tc>
                <w:tcPr>
                  <w:shd w:val="clear" w:color="auto" w:fill="auto"/>
                  <w:tcW w:w="2163" w:type="pct"/>
                  <w:vAlign w:val="center"/>
                  <w:textDirection w:val="lrTb"/>
                  <w:noWrap w:val="false"/>
                </w:tcPr>
                <w:p>
                  <w:pPr>
                    <w:jc w:val="center"/>
                    <w:rPr>
                      <w:rFonts w:ascii="宋体" w:hAnsi="宋体" w:eastAsia="宋体" w:cs="宋体"/>
                      <w:b/>
                      <w:bCs/>
                      <w:i/>
                      <w:sz w:val="24"/>
                      <w:szCs w:val="18"/>
                      <w:u w:val="single"/>
                    </w:rPr>
                  </w:pPr>
                  <w:r>
                    <w:rPr>
                      <w:rFonts w:hint="eastAsia" w:ascii="宋体" w:hAnsi="宋体" w:eastAsia="宋体" w:cs="宋体"/>
                      <w:b/>
                      <w:bCs/>
                      <w:i/>
                      <w:sz w:val="24"/>
                      <w:szCs w:val="18"/>
                      <w:u w:val="single"/>
                    </w:rPr>
                    <w:t xml:space="preserve">指标要求</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w:t>
                  </w:r>
                  <w:r/>
                </w:p>
              </w:tc>
              <w:tc>
                <w:tcPr>
                  <w:tcW w:w="66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811"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*操作系统支持多CPU架构</w:t>
                  </w:r>
                  <w:r/>
                </w:p>
              </w:tc>
              <w:tc>
                <w:tcPr>
                  <w:tcW w:w="959"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*同源兼容多CPU平台架构</w:t>
                  </w:r>
                  <w:r/>
                </w:p>
              </w:tc>
              <w:tc>
                <w:tcPr>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操作系统支持同源兼容ARM、</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LoongArch</w:t>
                  </w:r>
                  <w:r>
                    <w:rPr>
                      <w:rFonts w:hint="eastAsia" w:cs="宋体" w:asciiTheme="minorEastAsia" w:hAnsiTheme="minorEastAsia"/>
                      <w:b/>
                      <w:i/>
                      <w:szCs w:val="21"/>
                      <w:u w:val="single"/>
                    </w:rPr>
                    <w:t xml:space="preserve">、MIPS、SW64、x86架构的CPU</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2</w:t>
                  </w:r>
                  <w:r/>
                </w:p>
              </w:tc>
              <w:tc>
                <w:tcPr>
                  <w:tcW w:w="66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811" w:type="pct"/>
                  <w:vAlign w:val="center"/>
                  <w:vMerge w:val="restart"/>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*操作系统支持CPU内置功能</w:t>
                  </w:r>
                  <w:r/>
                </w:p>
              </w:tc>
              <w:tc>
                <w:tcPr>
                  <w:tcW w:w="959"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*多核支持</w:t>
                  </w:r>
                  <w:r/>
                </w:p>
              </w:tc>
              <w:tc>
                <w:tcPr>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操作系统支持双核及多核处理器，包括核间负载均衡、线程绑定等，并提供接口，通过访问接口获取运行状态和控制多核调度</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3</w:t>
                  </w:r>
                  <w:r/>
                </w:p>
              </w:tc>
              <w:tc>
                <w:tcPr>
                  <w:tcW w:w="66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959"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*CPU虚拟化支持</w:t>
                  </w:r>
                  <w:r/>
                </w:p>
              </w:tc>
              <w:tc>
                <w:tcPr>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操作系统支持CPU虚拟化技术</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4</w:t>
                  </w:r>
                  <w:r/>
                </w:p>
              </w:tc>
              <w:tc>
                <w:tcPr>
                  <w:tcW w:w="66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959"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*动态调节CPU运行频率</w:t>
                  </w:r>
                  <w:r/>
                </w:p>
              </w:tc>
              <w:tc>
                <w:tcPr>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操作系统根据负载情况，自动调节CPU的运行频率</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5</w:t>
                  </w:r>
                  <w:r/>
                </w:p>
              </w:tc>
              <w:tc>
                <w:tcPr>
                  <w:tcW w:w="66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959"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*支持多CPU</w:t>
                  </w:r>
                  <w:r/>
                </w:p>
              </w:tc>
              <w:tc>
                <w:tcPr>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支持跨路内存访问，支持CPU间负载均衡，支持并优化NUMA体系架构</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6</w:t>
                  </w:r>
                  <w:r/>
                </w:p>
              </w:tc>
              <w:tc>
                <w:tcPr>
                  <w:tcW w:w="66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959"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*支持CPU内置安全功能</w:t>
                  </w:r>
                  <w:r/>
                </w:p>
              </w:tc>
              <w:tc>
                <w:tcPr>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操作系统支持CPU硬件密码运算与随机数生成等功能；提供编程接口供应用程序调用；支持通过硬件指令判别临界区冲突；支持调用CPU指令，实现自旋锁</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7</w:t>
                  </w:r>
                  <w:r/>
                </w:p>
              </w:tc>
              <w:tc>
                <w:tcPr>
                  <w:tcW w:w="66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811" w:type="pct"/>
                  <w:vAlign w:val="center"/>
                  <w:vMerge w:val="restart"/>
                  <w:textDirection w:val="lrTb"/>
                  <w:noWrap w:val="false"/>
                </w:tcPr>
                <w:p>
                  <w:pPr>
                    <w:ind w:firstLine="211"/>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*安装部署</w:t>
                  </w:r>
                  <w:r/>
                </w:p>
              </w:tc>
              <w:tc>
                <w:tcPr>
                  <w:tcW w:w="959"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*安装方式</w:t>
                  </w:r>
                  <w:r/>
                </w:p>
              </w:tc>
              <w:tc>
                <w:tcPr>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操作系统支持光盘安装、USB闪存盘安装、网络安装和无人值守安装</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8</w:t>
                  </w:r>
                  <w:r/>
                </w:p>
              </w:tc>
              <w:tc>
                <w:tcPr>
                  <w:tcW w:w="66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959"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*安装模式</w:t>
                  </w:r>
                  <w:r/>
                </w:p>
              </w:tc>
              <w:tc>
                <w:tcPr>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操作系统支持图形或文本安装模式</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9</w:t>
                  </w:r>
                  <w:r/>
                </w:p>
              </w:tc>
              <w:tc>
                <w:tcPr>
                  <w:tcW w:w="664" w:type="pct"/>
                  <w:vAlign w:val="center"/>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959"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*安装过程配置</w:t>
                  </w:r>
                  <w:r/>
                </w:p>
              </w:tc>
              <w:tc>
                <w:tcPr>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安装界面文种设置、逻辑分区配置（如LVM）、自定义分区设置、安装组件设置、时区设置、键盘布局设置、初始用户设置、计算机名设置和网络设置，支持通过USB闪存盘等方式加载硬件驱动、支持设置加密文件系统</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10</w:t>
                  </w:r>
                  <w:r/>
                </w:p>
              </w:tc>
              <w:tc>
                <w:tcPr>
                  <w:tcW w:w="66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959"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*系统引导</w:t>
                  </w:r>
                  <w:r/>
                </w:p>
              </w:tc>
              <w:tc>
                <w:tcPr>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a)操作系统应支持UEFI2.0及以上规范固件引导，当计算机以UEFI模式启动安装时，安装程序应分配ESP，并在ESP中放置启动引导文件，使系统能以UEFI模式引导；</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b)支持bootloader引导，支持MBR及GPT</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11</w:t>
                  </w:r>
                  <w:r/>
                </w:p>
              </w:tc>
              <w:tc>
                <w:tcPr>
                  <w:tcW w:w="66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959"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*引导修复</w:t>
                  </w:r>
                  <w:r/>
                </w:p>
              </w:tc>
              <w:tc>
                <w:tcPr>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操作系统安装媒体提供系统引导修复功能，当已安装的系统引导被破坏时，可重建系统引导</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12</w:t>
                  </w:r>
                  <w:r/>
                </w:p>
              </w:tc>
              <w:tc>
                <w:tcPr>
                  <w:tcW w:w="66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959"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*引导参数编辑</w:t>
                  </w:r>
                  <w:r/>
                </w:p>
              </w:tc>
              <w:tc>
                <w:tcPr>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操作系统支持用户编辑引导参数，支持GRUB口令保护</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13</w:t>
                  </w:r>
                  <w:r/>
                </w:p>
              </w:tc>
              <w:tc>
                <w:tcPr>
                  <w:tcW w:w="66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959"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*数据保护</w:t>
                  </w:r>
                  <w:r/>
                </w:p>
              </w:tc>
              <w:tc>
                <w:tcPr>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安装程序在安装执行前明确提示用户可能会删除已有数据，并提供退出/取消功能，当用户取消安装时，不改变硬盘上已有数据</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14</w:t>
                  </w:r>
                  <w:r/>
                </w:p>
              </w:tc>
              <w:tc>
                <w:tcPr>
                  <w:tcW w:w="66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959"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*分辨率自适应</w:t>
                  </w:r>
                  <w:r/>
                </w:p>
              </w:tc>
              <w:tc>
                <w:tcPr>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操作系统安装完成后应自动适配显示器最佳分辨率(文本模式除外)</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15</w:t>
                  </w:r>
                  <w:r/>
                </w:p>
              </w:tc>
              <w:tc>
                <w:tcPr>
                  <w:tcW w:w="66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959"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*安装配置正确性校验</w:t>
                  </w:r>
                  <w:r/>
                </w:p>
              </w:tc>
              <w:tc>
                <w:tcPr>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操作系统安装和配置过程中，如用户自定义的某些配置可能会影响系统启动或正常使用，予以明确提示</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16</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shd w:val="clear" w:color="auto" w:fill="auto"/>
                  <w:tcW w:w="811"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*系统内核</w:t>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*内核要求</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a)若操作系统是基于Linux内核的服务器操作系统应兼容4.19版内核</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b)若操作系统属于其他类型内核不做要求</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17</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shd w:val="clear" w:color="auto" w:fill="auto"/>
                  <w:tcW w:w="811" w:type="pct"/>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*进程、线程调度</w:t>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*NUMA</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操作系统支持基于NUMA的亲和调度</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18</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*多核轮询</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操作系统支持CPU多核轮询调度</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19</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*进程调度</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操作系统具备进程优先级动态调整能</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力，允许在进程运行时对优先级进行调整；区分实时进程与非实时进程，分别进行调度；支持进程运行状态检查</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20</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shd w:val="clear" w:color="auto" w:fill="auto"/>
                  <w:tcW w:w="811" w:type="pct"/>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*内存管理</w:t>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*内存容量</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操作系统支持最大内存不小于4TB</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21</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*内存大页管理</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操作系统允许应用申请内存大页降低页表转换</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22</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*NUMA</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操作系统支持NUMA近节点优化</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23</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内存超分</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操作系统支持虚拟内存超分，提升内存的使用率</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24</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shd w:val="clear" w:color="auto" w:fill="auto"/>
                  <w:tcW w:w="811" w:type="pct"/>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*存储管理</w:t>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*RAID支持</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操作系统支持硬RAID和软RAID，支持软RAID级别0、1、5、6、10</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25</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*虚拟文件系统</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操作系统支持将不同功能的外部设备抽象为统一的文件操作接口，包括存储、输入输出设备</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26</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*文件管理</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操作系统支持文件存储、检索和共享</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27</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*可移动存储</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操作系统支持对可移动外部存储的管理，包括启停、禁用、恢复等</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28</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*外部独立存储</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操作系统支持使用外部独立存储设备</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29</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*多路径聚合</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操作系统支持存储多路径聚合及I/O动态负载均衡</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30</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*故障检测</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操作系统支持硬盘损坏或老化检测及信息收集</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31</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*虚拟内存</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操作系统支持将硬盘的特定分区或文件作为虚拟扩展内存用于存放内存数据，支持虚拟内存压缩</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32</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*网络块设备挂载</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w:t>
                  </w:r>
                  <w:r>
                    <w:rPr>
                      <w:rFonts w:hint="eastAsia" w:cs="宋体" w:asciiTheme="minorEastAsia" w:hAnsiTheme="minorEastAsia"/>
                      <w:b/>
                      <w:i/>
                      <w:szCs w:val="21"/>
                      <w:u w:val="single"/>
                    </w:rPr>
                    <w:t xml:space="preserve">FCoE</w:t>
                  </w:r>
                  <w:r>
                    <w:rPr>
                      <w:rFonts w:hint="eastAsia" w:cs="宋体" w:asciiTheme="minorEastAsia" w:hAnsiTheme="minorEastAsia"/>
                      <w:b/>
                      <w:i/>
                      <w:szCs w:val="21"/>
                      <w:u w:val="single"/>
                    </w:rPr>
                    <w:t xml:space="preserve">、</w:t>
                  </w:r>
                  <w:r>
                    <w:rPr>
                      <w:rFonts w:hint="eastAsia" w:cs="宋体" w:asciiTheme="minorEastAsia" w:hAnsiTheme="minorEastAsia"/>
                      <w:b/>
                      <w:i/>
                      <w:szCs w:val="21"/>
                      <w:u w:val="single"/>
                    </w:rPr>
                    <w:t xml:space="preserve">iSCSI</w:t>
                  </w:r>
                  <w:r>
                    <w:rPr>
                      <w:rFonts w:hint="eastAsia" w:cs="宋体" w:asciiTheme="minorEastAsia" w:hAnsiTheme="minorEastAsia"/>
                      <w:b/>
                      <w:i/>
                      <w:szCs w:val="21"/>
                      <w:u w:val="single"/>
                    </w:rPr>
                    <w:t xml:space="preserve">，支持将</w:t>
                  </w:r>
                  <w:r>
                    <w:rPr>
                      <w:rFonts w:hint="eastAsia" w:cs="宋体" w:asciiTheme="minorEastAsia" w:hAnsiTheme="minorEastAsia"/>
                      <w:b/>
                      <w:i/>
                      <w:szCs w:val="21"/>
                      <w:u w:val="single"/>
                    </w:rPr>
                    <w:t xml:space="preserve">Ceph</w:t>
                  </w:r>
                  <w:r>
                    <w:rPr>
                      <w:rFonts w:hint="eastAsia" w:cs="宋体" w:asciiTheme="minorEastAsia" w:hAnsiTheme="minorEastAsia"/>
                      <w:b/>
                      <w:i/>
                      <w:szCs w:val="21"/>
                      <w:u w:val="single"/>
                    </w:rPr>
                    <w:t xml:space="preserve">块设备视为常规存储设备挂载到某个</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目录并作为标准文件系统使用</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34</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shd w:val="clear" w:color="auto" w:fill="auto"/>
                  <w:tcW w:w="811" w:type="pct"/>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*网络管理</w:t>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*网络链路检测</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操作系统支持网络链路故障检测、链路事件通知和链路状态查询</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35</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*TCP卸载引擎</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操作系统支持运行TCP协议卸载引擎的网卡</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36</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*网络协议</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操作系统支持IPv4、IPv6</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37</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shd w:val="clear" w:color="auto" w:fill="auto"/>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*多网卡绑定</w:t>
                  </w:r>
                  <w:r/>
                </w:p>
              </w:tc>
              <w:tc>
                <w:tcPr>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操作系统支持多网卡绑定</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39</w:t>
                  </w:r>
                  <w:r/>
                </w:p>
              </w:tc>
              <w:tc>
                <w:tcPr>
                  <w:tcW w:w="66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811" w:type="pct"/>
                  <w:vAlign w:val="center"/>
                  <w:vMerge w:val="restart"/>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*文件系统</w:t>
                  </w:r>
                  <w:r/>
                </w:p>
              </w:tc>
              <w:tc>
                <w:tcPr>
                  <w:tcW w:w="959"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*文件系统支持</w:t>
                  </w:r>
                  <w:r/>
                </w:p>
              </w:tc>
              <w:tc>
                <w:tcPr>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操作系统支持XFS、EXT3、EXT4、NTFS、FAT32等文件系统，支持相应格式分区创建、删除、格式化等</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40</w:t>
                  </w:r>
                  <w:r/>
                </w:p>
              </w:tc>
              <w:tc>
                <w:tcPr>
                  <w:tcW w:w="66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959"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*日志式文件系统</w:t>
                  </w:r>
                  <w:r/>
                </w:p>
              </w:tc>
              <w:tc>
                <w:tcPr>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操作系统支持日志式文件系统</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41</w:t>
                  </w:r>
                  <w:r/>
                </w:p>
              </w:tc>
              <w:tc>
                <w:tcPr>
                  <w:tcW w:w="66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959"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*文件处理能力</w:t>
                  </w:r>
                  <w:r/>
                </w:p>
              </w:tc>
              <w:tc>
                <w:tcPr>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操作系统支持最大文件不小于4TB，最大分区与文件系统不小于10PB，最大文件名长度不小于255字节</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42</w:t>
                  </w:r>
                  <w:r/>
                </w:p>
              </w:tc>
              <w:tc>
                <w:tcPr>
                  <w:tcW w:w="66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959"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*分区大小调整</w:t>
                  </w:r>
                  <w:r/>
                </w:p>
              </w:tc>
              <w:tc>
                <w:tcPr>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操作系统支持动态调整分区大小，对系统分区容量进行改变</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44</w:t>
                  </w:r>
                  <w:r/>
                </w:p>
              </w:tc>
              <w:tc>
                <w:tcPr>
                  <w:tcW w:w="66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811" w:type="pct"/>
                  <w:vAlign w:val="center"/>
                  <w:vMerge w:val="restart"/>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*应用开发运行环境</w:t>
                  </w:r>
                  <w:r/>
                </w:p>
              </w:tc>
              <w:tc>
                <w:tcPr>
                  <w:tcW w:w="959"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*集成开发环境/开发框架</w:t>
                  </w:r>
                  <w:r/>
                </w:p>
              </w:tc>
              <w:tc>
                <w:tcPr>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操作系统通过内置、软件仓库或附加光盘等方式提供开发环境，包括Qt、</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Eclipse、</w:t>
                  </w:r>
                  <w:r>
                    <w:rPr>
                      <w:rFonts w:hint="eastAsia" w:cs="宋体" w:asciiTheme="minorEastAsia" w:hAnsiTheme="minorEastAsia"/>
                      <w:b/>
                      <w:i/>
                      <w:szCs w:val="21"/>
                      <w:u w:val="single"/>
                    </w:rPr>
                    <w:t xml:space="preserve">VSCode</w:t>
                  </w:r>
                  <w:r>
                    <w:rPr>
                      <w:rFonts w:hint="eastAsia" w:cs="宋体" w:asciiTheme="minorEastAsia" w:hAnsiTheme="minorEastAsia"/>
                      <w:b/>
                      <w:i/>
                      <w:szCs w:val="21"/>
                      <w:u w:val="single"/>
                    </w:rPr>
                    <w:t xml:space="preserve">等</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45</w:t>
                  </w:r>
                  <w:r/>
                </w:p>
              </w:tc>
              <w:tc>
                <w:tcPr>
                  <w:tcW w:w="66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959"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*开发工具库</w:t>
                  </w:r>
                  <w:r/>
                </w:p>
              </w:tc>
              <w:tc>
                <w:tcPr>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操作系统通过内置、软件仓库或附加光盘等方式提供开发库，包括GNUC、GNUC++、Java、Qt、</w:t>
                  </w:r>
                  <w:r>
                    <w:rPr>
                      <w:rFonts w:hint="eastAsia" w:cs="宋体" w:asciiTheme="minorEastAsia" w:hAnsiTheme="minorEastAsia"/>
                      <w:b/>
                      <w:i/>
                      <w:szCs w:val="21"/>
                      <w:u w:val="single"/>
                    </w:rPr>
                    <w:t xml:space="preserve">Gtk</w:t>
                  </w:r>
                  <w:r>
                    <w:rPr>
                      <w:rFonts w:hint="eastAsia" w:cs="宋体" w:asciiTheme="minorEastAsia" w:hAnsiTheme="minorEastAsia"/>
                      <w:b/>
                      <w:i/>
                      <w:szCs w:val="21"/>
                      <w:u w:val="single"/>
                    </w:rPr>
                    <w:t xml:space="preserve">+、Cairo、OpenGL、Perl、Python、Ruby、Rust、Golang、JS等</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46</w:t>
                  </w:r>
                  <w:r/>
                </w:p>
              </w:tc>
              <w:tc>
                <w:tcPr>
                  <w:tcW w:w="66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959"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*编译器开发工具</w:t>
                  </w:r>
                  <w:r/>
                </w:p>
              </w:tc>
              <w:tc>
                <w:tcPr>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操作系统通过内置、软件仓库或附加光盘等方式提供编译开发工具，包括GCC、</w:t>
                  </w:r>
                  <w:r>
                    <w:rPr>
                      <w:rFonts w:hint="eastAsia" w:cs="宋体" w:asciiTheme="minorEastAsia" w:hAnsiTheme="minorEastAsia"/>
                      <w:b/>
                      <w:i/>
                      <w:szCs w:val="21"/>
                      <w:u w:val="single"/>
                    </w:rPr>
                    <w:t xml:space="preserve">G++、</w:t>
                  </w:r>
                  <w:r>
                    <w:rPr>
                      <w:rFonts w:hint="eastAsia" w:cs="宋体" w:asciiTheme="minorEastAsia" w:hAnsiTheme="minorEastAsia"/>
                      <w:b/>
                      <w:i/>
                      <w:szCs w:val="21"/>
                      <w:u w:val="single"/>
                    </w:rPr>
                    <w:t xml:space="preserve">Binutils</w:t>
                  </w:r>
                  <w:r>
                    <w:rPr>
                      <w:rFonts w:hint="eastAsia" w:cs="宋体" w:asciiTheme="minorEastAsia" w:hAnsiTheme="minorEastAsia"/>
                      <w:b/>
                      <w:i/>
                      <w:szCs w:val="21"/>
                      <w:u w:val="single"/>
                    </w:rPr>
                    <w:t xml:space="preserve">、GDB、Make、</w:t>
                  </w:r>
                  <w:r>
                    <w:rPr>
                      <w:rFonts w:hint="eastAsia" w:cs="宋体" w:asciiTheme="minorEastAsia" w:hAnsiTheme="minorEastAsia"/>
                      <w:b/>
                      <w:i/>
                      <w:szCs w:val="21"/>
                      <w:u w:val="single"/>
                    </w:rPr>
                    <w:t xml:space="preserve">CMake</w:t>
                  </w:r>
                  <w:r>
                    <w:rPr>
                      <w:rFonts w:hint="eastAsia" w:cs="宋体" w:asciiTheme="minorEastAsia" w:hAnsiTheme="minorEastAsia"/>
                      <w:b/>
                      <w:i/>
                      <w:szCs w:val="21"/>
                      <w:u w:val="single"/>
                    </w:rPr>
                    <w:t xml:space="preserve">等</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47</w:t>
                  </w:r>
                  <w:r/>
                </w:p>
              </w:tc>
              <w:tc>
                <w:tcPr>
                  <w:tcW w:w="66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959"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*文本编辑工具</w:t>
                  </w:r>
                  <w:r/>
                </w:p>
              </w:tc>
              <w:tc>
                <w:tcPr>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操作系统通过内置、软件仓库或附加光盘等方式提供文本编辑工具，包括</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Emacs、Vim等</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48</w:t>
                  </w:r>
                  <w:r/>
                </w:p>
              </w:tc>
              <w:tc>
                <w:tcPr>
                  <w:tcW w:w="66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959"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*软件包管理</w:t>
                  </w:r>
                  <w:r/>
                </w:p>
              </w:tc>
              <w:tc>
                <w:tcPr>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操作系统支持查询软件包描述和包含文件，以及软件包依赖；</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支持在安装时自动提示并下载安装缺失的依赖软件包</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49</w:t>
                  </w:r>
                  <w:r/>
                </w:p>
              </w:tc>
              <w:tc>
                <w:tcPr>
                  <w:tcW w:w="66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959"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*开发文档</w:t>
                  </w:r>
                  <w:r/>
                </w:p>
              </w:tc>
              <w:tc>
                <w:tcPr>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供应商应提供软件开发参考文档、驱动开发参考文档、应用移植开发文档、API文档</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50</w:t>
                  </w:r>
                  <w:r/>
                </w:p>
              </w:tc>
              <w:tc>
                <w:tcPr>
                  <w:tcW w:w="66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811" w:type="pct"/>
                  <w:vAlign w:val="center"/>
                  <w:vMerge w:val="restart"/>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*服务支持</w:t>
                  </w:r>
                  <w:r/>
                </w:p>
              </w:tc>
              <w:tc>
                <w:tcPr>
                  <w:tcW w:w="959"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*网络服务</w:t>
                  </w:r>
                  <w:r/>
                </w:p>
              </w:tc>
              <w:tc>
                <w:tcPr>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操作系统支持TCP/UDP</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51</w:t>
                  </w:r>
                  <w:r/>
                </w:p>
              </w:tc>
              <w:tc>
                <w:tcPr>
                  <w:tcW w:w="66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959"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*网络共享</w:t>
                  </w:r>
                  <w:r/>
                </w:p>
              </w:tc>
              <w:tc>
                <w:tcPr>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操作系统支持基于NFS、SMB、FTP、CIFS等协议的数据网络共享服务</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52</w:t>
                  </w:r>
                  <w:r/>
                </w:p>
              </w:tc>
              <w:tc>
                <w:tcPr>
                  <w:tcW w:w="66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959"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*WEB服务</w:t>
                  </w:r>
                  <w:r/>
                </w:p>
              </w:tc>
              <w:tc>
                <w:tcPr>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操作系统支持基于HTTP、HTTPS、</w:t>
                  </w:r>
                  <w:r>
                    <w:rPr>
                      <w:rFonts w:hint="eastAsia" w:cs="宋体" w:asciiTheme="minorEastAsia" w:hAnsiTheme="minorEastAsia"/>
                      <w:b/>
                      <w:i/>
                      <w:szCs w:val="21"/>
                      <w:u w:val="single"/>
                    </w:rPr>
                    <w:t xml:space="preserve">FastCGI</w:t>
                  </w:r>
                  <w:r>
                    <w:rPr>
                      <w:rFonts w:hint="eastAsia" w:cs="宋体" w:asciiTheme="minorEastAsia" w:hAnsiTheme="minorEastAsia"/>
                      <w:b/>
                      <w:i/>
                      <w:szCs w:val="21"/>
                      <w:u w:val="single"/>
                    </w:rPr>
                    <w:t xml:space="preserve">等协议WEB服务</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53</w:t>
                  </w:r>
                  <w:r/>
                </w:p>
              </w:tc>
              <w:tc>
                <w:tcPr>
                  <w:tcW w:w="66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959"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*加密传输服务</w:t>
                  </w:r>
                  <w:r/>
                </w:p>
              </w:tc>
              <w:tc>
                <w:tcPr>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操作系统支持基于IPSec和SSL协议的隧道加密传输服务</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54</w:t>
                  </w:r>
                  <w:r/>
                </w:p>
              </w:tc>
              <w:tc>
                <w:tcPr>
                  <w:tcW w:w="66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959"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*数字证书服务</w:t>
                  </w:r>
                  <w:r/>
                </w:p>
              </w:tc>
              <w:tc>
                <w:tcPr>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操作系统支持基于PKI体系的数字证书服务</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55</w:t>
                  </w:r>
                  <w:r/>
                </w:p>
              </w:tc>
              <w:tc>
                <w:tcPr>
                  <w:tcW w:w="66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959"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*访问控制服务</w:t>
                  </w:r>
                  <w:r/>
                </w:p>
              </w:tc>
              <w:tc>
                <w:tcPr>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操作系统支持基于RBAC(基于角色的访问控制)机制的访问控制服务</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56</w:t>
                  </w:r>
                  <w:r/>
                </w:p>
              </w:tc>
              <w:tc>
                <w:tcPr>
                  <w:tcW w:w="66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959"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*网络管理服务</w:t>
                  </w:r>
                  <w:r/>
                </w:p>
              </w:tc>
              <w:tc>
                <w:tcPr>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操作系统支持基于SNMP、NETCONF、RESTCONF等协议的网络管理服务</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57</w:t>
                  </w:r>
                  <w:r/>
                </w:p>
              </w:tc>
              <w:tc>
                <w:tcPr>
                  <w:tcW w:w="66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959"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*时间同步服务</w:t>
                  </w:r>
                  <w:r/>
                </w:p>
              </w:tc>
              <w:tc>
                <w:tcPr>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操作系统支持基于NTP协议网络时间同步服务</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58</w:t>
                  </w:r>
                  <w:r/>
                </w:p>
              </w:tc>
              <w:tc>
                <w:tcPr>
                  <w:tcW w:w="66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959"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*远程连接服务</w:t>
                  </w:r>
                  <w:r/>
                </w:p>
              </w:tc>
              <w:tc>
                <w:tcPr>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操作系统支持RPC、</w:t>
                  </w:r>
                  <w:r>
                    <w:rPr>
                      <w:rFonts w:hint="eastAsia" w:cs="宋体" w:asciiTheme="minorEastAsia" w:hAnsiTheme="minorEastAsia"/>
                      <w:b/>
                      <w:i/>
                      <w:szCs w:val="21"/>
                      <w:u w:val="single"/>
                    </w:rPr>
                    <w:t xml:space="preserve">rsync</w:t>
                  </w:r>
                  <w:r>
                    <w:rPr>
                      <w:rFonts w:hint="eastAsia" w:cs="宋体" w:asciiTheme="minorEastAsia" w:hAnsiTheme="minorEastAsia"/>
                      <w:b/>
                      <w:i/>
                      <w:szCs w:val="21"/>
                      <w:u w:val="single"/>
                    </w:rPr>
                    <w:t xml:space="preserve">、SSH等远程服务</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59</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*邮件服务</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操作系统支持基于SMTP、POP3、IMAP等的邮件服务</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60</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*身份鉴别服务</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操作系统支持基于轻量级目录访问协议的统一身份鉴别服务</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61</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vMerge w:val="restart"/>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*数据存储和查询服务</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操作系统支持结构化和非结构化格式数据的存储和查询服务</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62</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959" w:type="pct"/>
                  <w:vAlign w:val="center"/>
                  <w:vMerge w:val="continue"/>
                  <w:textDirection w:val="lrTb"/>
                  <w:noWrap w:val="false"/>
                </w:tcPr>
                <w:p>
                  <w:pP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操作系统支持块、文件、对象等类型的数据存储服务</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63</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959" w:type="pct"/>
                  <w:vAlign w:val="center"/>
                  <w:vMerge w:val="continue"/>
                  <w:textDirection w:val="lrTb"/>
                  <w:noWrap w:val="false"/>
                </w:tcPr>
                <w:p>
                  <w:pP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操作系统支持SQL、NoSQL、键值等类型</w:t>
                  </w:r>
                  <w:r>
                    <w:rPr>
                      <w:rFonts w:hint="eastAsia" w:cs="宋体" w:asciiTheme="minorEastAsia" w:hAnsiTheme="minorEastAsia"/>
                      <w:b/>
                      <w:i/>
                      <w:szCs w:val="21"/>
                      <w:u w:val="single"/>
                    </w:rPr>
                    <w:t xml:space="preserve">的数据库</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64</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*存储服务</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操作系统支持多种传输速率和存储协议的SAN和NAS存储</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65</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vMerge w:val="restart"/>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*集群支持</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操作系统支持服务基于主备机制的分布式集群、高可用集群的部署模式</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66</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959" w:type="pct"/>
                  <w:vAlign w:val="center"/>
                  <w:vMerge w:val="continue"/>
                  <w:textDirection w:val="lrTb"/>
                  <w:noWrap w:val="false"/>
                </w:tcPr>
                <w:p>
                  <w:pP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操作系统支持服务基于分布式通信协</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议的分布式集群、高可用集群的部署模式</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67</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959" w:type="pct"/>
                  <w:vAlign w:val="center"/>
                  <w:vMerge w:val="continue"/>
                  <w:textDirection w:val="lrTb"/>
                  <w:noWrap w:val="false"/>
                </w:tcPr>
                <w:p>
                  <w:pP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操作系统支持基于虚拟路由器冗余协议的高可用集群部署模式</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68</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*分布式服务</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操作系统支持基于同步、异步请求处理机制的分布式服务</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69</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vMerge w:val="restart"/>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*负载均衡模式</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操作系统支持基于OSI模型的4/7层和链路层的负载均衡模式</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70</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tcW w:w="959" w:type="pct"/>
                  <w:vAlign w:val="center"/>
                  <w:vMerge w:val="continue"/>
                  <w:textDirection w:val="lrTb"/>
                  <w:noWrap w:val="false"/>
                </w:tcPr>
                <w:p>
                  <w:pP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操作系统支持基于不同调度算法的负载均衡模式</w:t>
                  </w:r>
                  <w:r/>
                </w:p>
              </w:tc>
            </w:tr>
            <w:tr>
              <w:trPr>
                <w:jc w:val="center"/>
                <w:trHeight w:val="567"/>
              </w:trPr>
              <w:tc>
                <w:tcPr>
                  <w:tcW w:w="40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71</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*高可用服务</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操作系统提供对HA的支持，支持多种集群配置模式，包括主主模式、主备模式、N+1模式和N+M模式，支持资源及节点故障检测</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79</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811" w:type="pct"/>
                  <w:vAlign w:val="center"/>
                  <w:vMerge w:val="restart"/>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*虚拟化</w:t>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*虚拟化部署</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操作系统支持在KVM、Xen、Hyper-V虚拟机上安装部署操作系统</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80</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*内核虚拟化(KVM)</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操作系统支持KVM虚拟化：</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对虚拟机进行启、停等管理操作；对虚拟机硬盘做快照并从快照恢复；兼容</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qemu</w:t>
                  </w:r>
                  <w:r>
                    <w:rPr>
                      <w:rFonts w:hint="eastAsia" w:cs="宋体" w:asciiTheme="minorEastAsia" w:hAnsiTheme="minorEastAsia"/>
                      <w:b/>
                      <w:i/>
                      <w:szCs w:val="21"/>
                      <w:u w:val="single"/>
                    </w:rPr>
                    <w:t xml:space="preserve">、</w:t>
                  </w:r>
                  <w:r>
                    <w:rPr>
                      <w:rFonts w:hint="eastAsia" w:cs="宋体" w:asciiTheme="minorEastAsia" w:hAnsiTheme="minorEastAsia"/>
                      <w:b/>
                      <w:i/>
                      <w:szCs w:val="21"/>
                      <w:u w:val="single"/>
                    </w:rPr>
                    <w:t xml:space="preserve">libvirt</w:t>
                  </w:r>
                  <w:r>
                    <w:rPr>
                      <w:rFonts w:hint="eastAsia" w:cs="宋体" w:asciiTheme="minorEastAsia" w:hAnsiTheme="minorEastAsia"/>
                      <w:b/>
                      <w:i/>
                      <w:szCs w:val="21"/>
                      <w:u w:val="single"/>
                    </w:rPr>
                    <w:t xml:space="preserve">标准接口；支持UEFI或</w:t>
                  </w:r>
                  <w:r>
                    <w:rPr>
                      <w:rFonts w:hint="eastAsia" w:cs="宋体" w:asciiTheme="minorEastAsia" w:hAnsiTheme="minorEastAsia"/>
                      <w:b/>
                      <w:i/>
                      <w:szCs w:val="21"/>
                      <w:u w:val="single"/>
                    </w:rPr>
                    <w:t xml:space="preserve">legacyBIOS</w:t>
                  </w:r>
                  <w:r>
                    <w:rPr>
                      <w:rFonts w:hint="eastAsia" w:cs="宋体" w:asciiTheme="minorEastAsia" w:hAnsiTheme="minorEastAsia"/>
                      <w:b/>
                      <w:i/>
                      <w:szCs w:val="21"/>
                      <w:u w:val="single"/>
                    </w:rPr>
                    <w:t xml:space="preserve">方式启动；</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支持虚拟时钟arch-timer；支持虚拟鼠标、键盘、触控板、声卡、显卡、硬盘、CDROM、串口</w:t>
                  </w:r>
                  <w:r>
                    <w:rPr>
                      <w:rFonts w:hint="eastAsia" w:cs="宋体" w:asciiTheme="minorEastAsia" w:hAnsiTheme="minorEastAsia"/>
                      <w:b/>
                      <w:i/>
                      <w:szCs w:val="21"/>
                      <w:u w:val="single"/>
                    </w:rPr>
                    <w:t xml:space="preserve">pty</w:t>
                  </w:r>
                  <w:r>
                    <w:rPr>
                      <w:rFonts w:hint="eastAsia" w:cs="宋体" w:asciiTheme="minorEastAsia" w:hAnsiTheme="minorEastAsia"/>
                      <w:b/>
                      <w:i/>
                      <w:szCs w:val="21"/>
                      <w:u w:val="single"/>
                    </w:rPr>
                    <w:t xml:space="preserve">/pipe/file等设备；</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支持</w:t>
                  </w:r>
                  <w:r>
                    <w:rPr>
                      <w:rFonts w:hint="eastAsia" w:cs="宋体" w:asciiTheme="minorEastAsia" w:hAnsiTheme="minorEastAsia"/>
                      <w:b/>
                      <w:i/>
                      <w:szCs w:val="21"/>
                      <w:u w:val="single"/>
                    </w:rPr>
                    <w:t xml:space="preserve">Virtio</w:t>
                  </w:r>
                  <w:r>
                    <w:rPr>
                      <w:rFonts w:hint="eastAsia" w:cs="宋体" w:asciiTheme="minorEastAsia" w:hAnsiTheme="minorEastAsia"/>
                      <w:b/>
                      <w:i/>
                      <w:szCs w:val="21"/>
                      <w:u w:val="single"/>
                    </w:rPr>
                    <w:t xml:space="preserve">协议下的虚拟设备，包括串口、</w:t>
                  </w:r>
                  <w:r>
                    <w:rPr>
                      <w:rFonts w:hint="eastAsia" w:cs="宋体" w:asciiTheme="minorEastAsia" w:hAnsiTheme="minorEastAsia"/>
                      <w:b/>
                      <w:i/>
                      <w:szCs w:val="21"/>
                      <w:u w:val="single"/>
                    </w:rPr>
                    <w:t xml:space="preserve">blk</w:t>
                  </w:r>
                  <w:r>
                    <w:rPr>
                      <w:rFonts w:hint="eastAsia" w:cs="宋体" w:asciiTheme="minorEastAsia" w:hAnsiTheme="minorEastAsia"/>
                      <w:b/>
                      <w:i/>
                      <w:szCs w:val="21"/>
                      <w:u w:val="single"/>
                    </w:rPr>
                    <w:t xml:space="preserve">驱动硬盘、SCSI驱动硬盘、不同后端控制器类型的</w:t>
                  </w:r>
                  <w:r>
                    <w:rPr>
                      <w:rFonts w:hint="eastAsia" w:cs="宋体" w:asciiTheme="minorEastAsia" w:hAnsiTheme="minorEastAsia"/>
                      <w:b/>
                      <w:i/>
                      <w:szCs w:val="21"/>
                      <w:u w:val="single"/>
                    </w:rPr>
                    <w:t xml:space="preserve">Virtio</w:t>
                  </w:r>
                  <w:r>
                    <w:rPr>
                      <w:rFonts w:hint="eastAsia" w:cs="宋体" w:asciiTheme="minorEastAsia" w:hAnsiTheme="minorEastAsia"/>
                      <w:b/>
                      <w:i/>
                      <w:szCs w:val="21"/>
                      <w:u w:val="single"/>
                    </w:rPr>
                    <w:t xml:space="preserve">网卡(包括内核态、用户态、</w:t>
                  </w:r>
                  <w:r>
                    <w:rPr>
                      <w:rFonts w:hint="eastAsia" w:cs="宋体" w:asciiTheme="minorEastAsia" w:hAnsiTheme="minorEastAsia"/>
                      <w:b/>
                      <w:i/>
                      <w:szCs w:val="21"/>
                      <w:u w:val="single"/>
                    </w:rPr>
                    <w:t xml:space="preserve">qemu</w:t>
                  </w:r>
                  <w:r>
                    <w:rPr>
                      <w:rFonts w:hint="eastAsia" w:cs="宋体" w:asciiTheme="minorEastAsia" w:hAnsiTheme="minorEastAsia"/>
                      <w:b/>
                      <w:i/>
                      <w:szCs w:val="21"/>
                      <w:u w:val="single"/>
                    </w:rPr>
                    <w:t xml:space="preserve">)、GPU、</w:t>
                  </w:r>
                  <w:r>
                    <w:rPr>
                      <w:rFonts w:hint="eastAsia" w:cs="宋体" w:asciiTheme="minorEastAsia" w:hAnsiTheme="minorEastAsia"/>
                      <w:b/>
                      <w:i/>
                      <w:szCs w:val="21"/>
                      <w:u w:val="single"/>
                    </w:rPr>
                    <w:t xml:space="preserve">vsock</w:t>
                  </w:r>
                  <w:r>
                    <w:rPr>
                      <w:rFonts w:hint="eastAsia" w:cs="宋体" w:asciiTheme="minorEastAsia" w:hAnsiTheme="minorEastAsia"/>
                      <w:b/>
                      <w:i/>
                      <w:szCs w:val="21"/>
                      <w:u w:val="single"/>
                    </w:rPr>
                    <w:t xml:space="preserve">设备等；支持硬盘和网卡选择类型VFIO设备；支持虚拟机CPU、内存、网卡、硬盘等离线调整；支持虚拟机网卡、硬盘、USB设备热插拔；支持PCI/PCIE设</w:t>
                  </w:r>
                  <w:r>
                    <w:rPr>
                      <w:rFonts w:hint="eastAsia" w:cs="宋体" w:asciiTheme="minorEastAsia" w:hAnsiTheme="minorEastAsia"/>
                      <w:b/>
                      <w:i/>
                      <w:szCs w:val="21"/>
                      <w:u w:val="single"/>
                    </w:rPr>
                    <w:t xml:space="preserve">备直通；支持虚拟机热迁移和加密传</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输；支持虚拟机远程访问；支持虚拟机CPU和I/O线程绑定</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81</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*KVM虚拟机管理</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操作系统支持虚拟机对主机的访问控</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制；虚拟机可以拥有独立的物理资源，且各个虚拟机之间严格隔离；支持大页内存运行虚拟机；支持三种CPU型号模拟模式，包括直通、宿主模型、自定义；支持虚拟机资源调配控制，包括Numa、CPU、内存、I/O、网卡；支持CPU拓扑模拟和透传</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82</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811" w:type="pct"/>
                  <w:vAlign w:val="center"/>
                  <w:vMerge w:val="restart"/>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*容器</w:t>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*容器虚拟化</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操作系统支持OCI；支持进程命名空间隔离技术包括不限于</w:t>
                  </w:r>
                  <w:r>
                    <w:rPr>
                      <w:rFonts w:hint="eastAsia" w:cs="宋体" w:asciiTheme="minorEastAsia" w:hAnsiTheme="minorEastAsia"/>
                      <w:b/>
                      <w:i/>
                      <w:szCs w:val="21"/>
                      <w:u w:val="single"/>
                    </w:rPr>
                    <w:t xml:space="preserve">mnt</w:t>
                  </w:r>
                  <w:r>
                    <w:rPr>
                      <w:rFonts w:hint="eastAsia" w:cs="宋体" w:asciiTheme="minorEastAsia" w:hAnsiTheme="minorEastAsia"/>
                      <w:b/>
                      <w:i/>
                      <w:szCs w:val="21"/>
                      <w:u w:val="single"/>
                    </w:rPr>
                    <w:t xml:space="preserve">、</w:t>
                  </w:r>
                  <w:r>
                    <w:rPr>
                      <w:rFonts w:hint="eastAsia" w:cs="宋体" w:asciiTheme="minorEastAsia" w:hAnsiTheme="minorEastAsia"/>
                      <w:b/>
                      <w:i/>
                      <w:szCs w:val="21"/>
                      <w:u w:val="single"/>
                    </w:rPr>
                    <w:t xml:space="preserve">pid</w:t>
                  </w:r>
                  <w:r>
                    <w:rPr>
                      <w:rFonts w:hint="eastAsia" w:cs="宋体" w:asciiTheme="minorEastAsia" w:hAnsiTheme="minorEastAsia"/>
                      <w:b/>
                      <w:i/>
                      <w:szCs w:val="21"/>
                      <w:u w:val="single"/>
                    </w:rPr>
                    <w:t xml:space="preserve">、</w:t>
                  </w:r>
                  <w:r>
                    <w:rPr>
                      <w:rFonts w:hint="eastAsia" w:cs="宋体" w:asciiTheme="minorEastAsia" w:hAnsiTheme="minorEastAsia"/>
                      <w:b/>
                      <w:i/>
                      <w:szCs w:val="21"/>
                      <w:u w:val="single"/>
                    </w:rPr>
                    <w:t xml:space="preserve">ipc</w:t>
                  </w:r>
                  <w:r>
                    <w:rPr>
                      <w:rFonts w:hint="eastAsia" w:cs="宋体" w:asciiTheme="minorEastAsia" w:hAnsiTheme="minorEastAsia"/>
                      <w:b/>
                      <w:i/>
                      <w:szCs w:val="21"/>
                      <w:u w:val="single"/>
                    </w:rPr>
                    <w:t xml:space="preserve">、</w:t>
                  </w:r>
                  <w:r>
                    <w:rPr>
                      <w:rFonts w:hint="eastAsia" w:cs="宋体" w:asciiTheme="minorEastAsia" w:hAnsiTheme="minorEastAsia"/>
                      <w:b/>
                      <w:i/>
                      <w:szCs w:val="21"/>
                      <w:u w:val="single"/>
                    </w:rPr>
                    <w:t xml:space="preserve">uts</w:t>
                  </w:r>
                  <w:r>
                    <w:rPr>
                      <w:rFonts w:hint="eastAsia" w:cs="宋体" w:asciiTheme="minorEastAsia" w:hAnsiTheme="minorEastAsia"/>
                      <w:b/>
                      <w:i/>
                      <w:szCs w:val="21"/>
                      <w:u w:val="single"/>
                    </w:rPr>
                    <w:t xml:space="preserve">、user、network等；支持在同CPU指令架构下的不同规格硬件上无缝分</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发，保障运行兼容性；支持沙箱扩展；支持面向容器的独立逻辑文件管理，具备在容器创建时指定专用根文件夹，容器内进程文件访问重定向等功能；支持日志查询功能；支持通过控制终端对容器内主进程的标准输入输出对接交互；支持通过控制终端对容器内新建进程</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的标准输入输出对接交互；支持容器存储卷管理（新增、删除、卷容量配置、自动回收）、卷共享；支持面向容器的网络设备资源分配和使用；支持CNI；支持容器获取物理节点资源信息</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83</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*容器镜像和存储管理</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操作系统支持容器镜像导入、导出；支持容器镜像分层保存、导入</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84</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*容器资源隔离和调配</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容器资源在线调整，包括CPU资源、内存资源、I/O资源等；支持文件配额分配、存储带宽资源使用量监控等机制，实现容器级I/O控制能力；支持面向容器的网络带宽调度策略，实现容器级网络带宽分配、使用量监控等机制；支持面向容器的存储空间使用监控、分配机制；支持容器CPU核独占；支持面向容器的CPU时间片资源按需划分机制；支持面向容器的内存分配和回</w:t>
                  </w:r>
                  <w:r>
                    <w:rPr>
                      <w:rFonts w:hint="eastAsia" w:cs="宋体" w:asciiTheme="minorEastAsia" w:hAnsiTheme="minorEastAsia"/>
                      <w:b/>
                      <w:i/>
                      <w:szCs w:val="21"/>
                      <w:u w:val="single"/>
                    </w:rPr>
                    <w:t xml:space="preserve">收机制，实现内存使用量跟踪和管理；支持同一集群在线、离线业务混合部</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署；支持对容器的编排、负载均衡、调度等能力；支持根据容器在线与离线混合部署状态进行资源优先调度，提高计算机资源利用率</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85</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易用性要求</w:t>
                  </w:r>
                  <w:r/>
                </w:p>
              </w:tc>
              <w:tc>
                <w:tcPr>
                  <w:shd w:val="clear" w:color="auto" w:fill="auto"/>
                  <w:tcW w:w="811" w:type="pct"/>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*中文支持</w:t>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*字符编码集</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操作系统应符合GB18030的要求</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86</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易用性要求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*中文帮助文档</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操作系统内置中文帮助文档</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89</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易用性要求</w:t>
                  </w:r>
                  <w:r/>
                </w:p>
              </w:tc>
              <w:tc>
                <w:tcPr>
                  <w:shd w:val="clear" w:color="auto" w:fill="auto"/>
                  <w:tcW w:w="811" w:type="pct"/>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*管理工具</w:t>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*系统信息查看工具</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操作系统支持查看系统版本、内核版本、内存容量、CPU型号等信息</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90</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易用性要求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*网络管理工具</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操作系统支持多网口自动连接、网络地址（常被称为“IP地址”）设置、DNS设置、路由设置；支持多网卡链路聚合，模式类型包括但不仅限于轮询、主备、802.3AD动态链路聚合</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91</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易用性要求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*日期和时间管理工具</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操作系统可设置时间同步服务器地址，支持局域网和广域网的同步设置</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92</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易用性要求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*日志服务管理工具</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操作系统支持收集系统日志</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93</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易用性要求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*帐户管理工具</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操作系统支持帐户添加、删除、属性修改等</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94</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易用性要求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*用户操作审计工具</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操作系统支持用户操作痕迹查询</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95</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易用性要求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*存储管理工具</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操作系统支持EXT、XFS、NTFS、FAT、SWAP等多种格式的分区管理</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96</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易用性要求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*SNMP协议工具包</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操作系统支持SNMP设备和操作信息检索</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97</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易用性要求</w:t>
                  </w:r>
                  <w:r/>
                </w:p>
              </w:tc>
              <w:tc>
                <w:tcPr>
                  <w:shd w:val="clear" w:color="auto" w:fill="auto"/>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*文本终端连接工具</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操作系统支持多终端协同管理</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98</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易用性要求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*服务管理工具集</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操作系统支持服务启动与停止，查看服务状态及日志，查询服务启动顺序及依赖关系</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99</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易用性要求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*配置管理工具</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操作系统提供配置管理工具，可以简化任务配置及服务管理</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100</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易用性要求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*监控管理工具</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操作系统支持监控系统资源使用情况，包含CPU、内存、存储I/O、网络I/O等</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101</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易用性要求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*守护进程</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操作系统支持按需启动守护进程，用户可自定义设定需求守护的进程，如遇异常可重新加载，实现应用持续运行</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102</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shd w:val="clear" w:color="auto" w:fill="auto"/>
                  <w:tcW w:w="811" w:type="pct"/>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*基础组件兼容</w:t>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*版本兼容</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操作系统基础运行库或开发环境向后</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（向下）兼容，即系统版本升级后，能兼容上一版本所运行的软件与设备</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103</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*兼容周期</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操作系统主版本兼容维护时间自发布</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之日起不低于5年，包括但不限于安全修复、功能升级、新硬件支持等</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104</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兼容方式</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操作系统支持以增量升级包的方式实现版本更新</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105</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shd w:val="clear" w:color="auto" w:fill="auto"/>
                  <w:tcW w:w="811" w:type="pct"/>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*运行环境</w:t>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*文件系统层次结构</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供应商应给出长期兼容支持的文件系统层次结构</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106</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*运行库</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供应商应给出长期兼容支持的运行库</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107</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*命令</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供应商应给出长期兼容支持的常用命令</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109</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shd w:val="clear" w:color="auto" w:fill="auto"/>
                  <w:tcW w:w="811" w:type="pct"/>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*软件兼容</w:t>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*集群软件</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供应商提供兼容的集群软件清单，且至少兼容一款产品</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110</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*虚拟化云平台</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供应商提供兼容的虚拟化平台软件清单，且至少兼容三款产品</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111</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*容器云</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供应商提供兼容的容器云软件清单，且至少兼容三款产品</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112</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*存储软件</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供应商提供兼容的存储软件清单，且至少兼容一款产品</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113</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*数据库管理系统</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供应商提供兼容的数据库软件清单，且至少兼容三款产品</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114</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*中间件</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供应商提供兼容的中间件软件清单，且至少兼容三款产品</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115</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*运维平台</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供应商提供兼容的运维平台软件清单，且至少兼容一款产品</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116</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shd w:val="clear" w:color="auto" w:fill="auto"/>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*备份软件</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供应商提供兼容的备份恢复软件清单，且至少兼容一款产品</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117</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*大数据平台</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供应商提供兼容的大数据平台软件清单，且至少兼容一款产品</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118</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*终端防护及杀毒</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供应商提供兼容的终端防护及杀毒软件清单，且至少兼容一款产品</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119</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*网络防护</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供应商提供兼容的网络防护软件清单，且至少兼容一款产品</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120</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*身份认证</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供应商提供兼容的身份认证软件清单，且至少兼容一款产品</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121</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shd w:val="clear" w:color="auto" w:fill="auto"/>
                  <w:tcW w:w="811" w:type="pct"/>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*硬件兼容</w:t>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*服务器整机</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供应商提供兼容的服务器整机品牌及型号清单，且至少兼容一款产品</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122</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*AI服务器</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供应商提供兼容的AI服务器整机品牌及型号清单，且至少兼容一款产品</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123</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*存储</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供应商提供兼容的存储服务器整机品牌及型号清单，且至少兼容一款产品</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124</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*部件兼容</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供应商提供兼容的系统总线、HBA卡、RAID卡、网卡、光纤卡、AI加速卡、GPU、NPU等品牌及型号清单</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125</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可靠性要求</w:t>
                  </w:r>
                  <w:r/>
                </w:p>
              </w:tc>
              <w:tc>
                <w:tcPr>
                  <w:shd w:val="clear" w:color="auto" w:fill="auto"/>
                  <w:tcW w:w="811"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*稳定性</w:t>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*操作系统连续运行168小时</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操作系统高负载下连续常态运行168小时无故障</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126</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可靠性要求</w:t>
                  </w:r>
                  <w:r/>
                </w:p>
              </w:tc>
              <w:tc>
                <w:tcPr>
                  <w:shd w:val="clear" w:color="auto" w:fill="auto"/>
                  <w:tcW w:w="811"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*备份还原</w:t>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*备份还原</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操作系统提供备份还原功能，支持生成系统状态快照及恢复系统状态</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127</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可靠性要求</w:t>
                  </w:r>
                  <w:r/>
                </w:p>
              </w:tc>
              <w:tc>
                <w:tcPr>
                  <w:shd w:val="clear" w:color="auto" w:fill="auto"/>
                  <w:tcW w:w="811"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*内存纠错</w:t>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*内存纠错</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操作系统支持DDR3、DDR4等内存上的ECC查错、纠错</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130</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可靠性要求</w:t>
                  </w:r>
                  <w:r/>
                </w:p>
              </w:tc>
              <w:tc>
                <w:tcPr>
                  <w:tcW w:w="811"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*热插拔</w:t>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*硬盘热插拔</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硬件支持时，操作系统支持硬盘热插拔</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131</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可维护性要求</w:t>
                  </w:r>
                  <w:r/>
                </w:p>
              </w:tc>
              <w:tc>
                <w:tcPr>
                  <w:shd w:val="clear" w:color="auto" w:fill="auto"/>
                  <w:tcW w:w="811" w:type="pct"/>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*维护工具</w:t>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*远程维护</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操作系统提供远程控制管理工具，支持RDP、SSH、SPICE、VNC等协议，方便用户进行文本或图形化形式的远程连接</w:t>
                  </w:r>
                  <w:r/>
                </w:p>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及维护</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132</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可维护性要求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*文件完整检查</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操作系统提供文件系统检查工具，对文件系统完整性进行检测和修复</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133</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可维护性要求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*内核分析</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操作系统提供内核性能分析工具，提供性能分析框架，支持对内核函数层面进行分析；提供内核探测工具，支持对内核及用户态程序动态追踪</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137</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可维护性要求</w:t>
                  </w:r>
                  <w:r/>
                </w:p>
              </w:tc>
              <w:tc>
                <w:tcPr>
                  <w:shd w:val="clear" w:color="auto" w:fill="auto"/>
                  <w:tcW w:w="811" w:type="pct"/>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*日志管理</w:t>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*日志记录与存储</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对安全事件的日志记录，包括帐户增删改、成功登录、失败登录、敏感服务开启关闭、配置修改等，日志信息详实，包括所属用户、访问时间、访问地址等；支持内核异常日志信息的记录和存储；支持内核崩溃转储机制，系统崩溃时可收集整个内存信息；支持配置远程日志功能，可将指定日志内容归档到日志服务器；支持对日志功能进行访问控制，防止未经授权的访问</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138</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可维护性要求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*日志处理与分析</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操作系统提供系统错误问题回溯分析</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工具，对系统崩溃问题及错误问题进行回溯；支持日志切分、一键收集、转储、同步机制</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139</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可维护性要求</w:t>
                  </w:r>
                  <w:r/>
                </w:p>
              </w:tc>
              <w:tc>
                <w:tcPr>
                  <w:shd w:val="clear" w:color="auto" w:fill="auto"/>
                  <w:tcW w:w="811"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*脆弱性管理</w:t>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*脆弱性管理</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提供故障管理框架，内置故障分析专家系统，可与外部同类型系统互联；具备故障响应、故障警告功能，提供用户接口，支持故障响应、警告信息分发；支持故障管理守护进程，使用统一的传输信道或机制上报故障信息；具备硬件故障信息捕获、紧急处理功能，包括CPU、内存及PCIe设备等硬件的故障；支持诊断/响应组件动态加载机制；提供或支持第三方远程诊断框架及调</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测工具集，实现远程诊断及调试断点功能；</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支持物理机、虚拟机中操作系统的故障恢复</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140</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可维护性要求</w:t>
                  </w:r>
                  <w:r/>
                </w:p>
              </w:tc>
              <w:tc>
                <w:tcPr>
                  <w:shd w:val="clear" w:color="auto" w:fill="auto"/>
                  <w:tcW w:w="811"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*热补丁</w:t>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*热补丁</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对内核热补丁进行编号，每个热补丁拥有独立编号；支持增量修复以及回滚机制；提供热补丁合法性和一致性校验功能；提供热补丁管理机制和工具，功能至少覆盖补丁查询、安装、移除；提供热补丁升级和回滚系统日</w:t>
                  </w:r>
                  <w:r/>
                </w:p>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志，便于查询或回溯</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141</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可维护性要求</w:t>
                  </w:r>
                  <w:r/>
                </w:p>
              </w:tc>
              <w:tc>
                <w:tcPr>
                  <w:shd w:val="clear" w:color="auto" w:fill="auto"/>
                  <w:tcW w:w="811" w:type="pct"/>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*系统升级</w:t>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*升级内容</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操作系统支持系统增量升级功能，对系统部件、安全补丁等升级</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142</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可维护性要求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*升级方式</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操作系统支持在线升级和离线升级</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143</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可维护性要求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*数据保护</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操作系统升级不得修改破坏用户数据</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144</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可维护性要求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*兼容性</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操作系统升级不得影响原有软硬件兼</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容性，如有影响应显式的提示告知用户</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145</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可维护性要求</w:t>
                  </w:r>
                  <w:r/>
                </w:p>
              </w:tc>
              <w:tc>
                <w:tcPr>
                  <w:shd w:val="clear" w:color="auto" w:fill="auto"/>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*回退</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操作系统提供升级回退机制，能卸载已升级的软件包，恢复系统原有状态，如升级为不可回退，则系统升级前以显式的提示告知用户</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146</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shd w:val="clear" w:color="auto" w:fill="auto"/>
                  <w:tcW w:w="811"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*交付方式</w:t>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*交付方式</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供应商提供光盘、USB闪存盘、镜像文件（下载）等交付方式</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147</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shd w:val="clear" w:color="auto" w:fill="auto"/>
                  <w:tcW w:w="811" w:type="pct"/>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*服务周期</w:t>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*产品维护周期</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产品自发布之日起至产品停止功能升级（包含不限于新特性、新硬件支持、问题修复、安全补丁等）之日止≥5年</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148</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*产品延伸服务周期</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产品停止功能升级之日起至产品停止功能维护（包括问题修复、安全补丁等）之日止≥5年</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149</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*产品延伸安全服务周期</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≥3年</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150</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*售后服务最小保障期</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≥8年</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151</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shd w:val="clear" w:color="auto" w:fill="auto"/>
                  <w:tcW w:w="811" w:type="pct"/>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*售后服务</w:t>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*原厂服务</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服务由操作系统厂商的正式员工提供，不由代理商提供</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152</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*服务热线电话</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操作系统厂商为最终用户提供工作日</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每日不少于8h（覆盖一般工作时间，具体时间由企业标准给出）中文技术服务热线</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153</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*技术服务标准</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操作系统厂商提供工作日每日不少于8h技术支持服务</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154</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定制优化增值服务</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操作系统厂商提供代码级定制优化服务</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155</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*技术服务时效</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操作系统厂商满足同城4h、异地12h响要求，两个工作日解决问题，对于未能解决的问题和故障提供可行的升级方</w:t>
                  </w:r>
                  <w:r/>
                </w:p>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案</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156</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*技术服务保障</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发生非人为因素故障，在七日内由操作系统厂商原厂人员免费对产品进行补</w:t>
                  </w:r>
                  <w:r/>
                </w:p>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充或更换</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157</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shd w:val="clear" w:color="auto" w:fill="auto"/>
                  <w:tcW w:w="811" w:type="pct"/>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*现场交付与安装调试</w:t>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*现场安装调试</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操作系统厂商提供产品安装与现场调</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试，并提供安装与调试所需的工具和设备</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158</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*配套资料</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交付产品时操作系统厂商提供配套的技术资料，包括但不限于系统说明文件、用户手册（用户安装、操作、维护、故障排除）等</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159</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shd w:val="clear" w:color="auto" w:fill="auto"/>
                  <w:tcW w:w="811"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*系统更换</w:t>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*系统更换</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服务期内，操作系统厂商支持版本免费更换（注：更换后不延长服务期）</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160</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shd w:val="clear" w:color="auto" w:fill="auto"/>
                  <w:tcW w:w="811"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*厂商能力要求</w:t>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*服务团队</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操作系统厂商建立全国技术服务体系</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和服务团队，为客户提供专业的原厂中</w:t>
                  </w:r>
                  <w:r>
                    <w:rPr>
                      <w:rFonts w:hint="eastAsia" w:cs="宋体" w:asciiTheme="minorEastAsia" w:hAnsiTheme="minorEastAsia"/>
                      <w:b/>
                      <w:i/>
                      <w:szCs w:val="21"/>
                      <w:u w:val="single"/>
                    </w:rPr>
                    <w:t xml:space="preserve">文服务</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161</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供应保障要求</w:t>
                  </w:r>
                  <w:r/>
                </w:p>
              </w:tc>
              <w:tc>
                <w:tcPr>
                  <w:shd w:val="clear" w:color="auto" w:fill="auto"/>
                  <w:tcW w:w="811" w:type="pct"/>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*数据安全保障</w:t>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*数据收集安全保障</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除用户授权采集的信息外不采集其他</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数据，相关信息采集无安全风险，相关数据存储在大陆境内</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162</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供应保障要求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*数据供给安全保障</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涉及数据下载的线上服务物理服务器</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不出境，包括代码仓库、系统补丁、安全补丁、服务网站等</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163</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供应保障要求</w:t>
                  </w:r>
                  <w:r/>
                </w:p>
              </w:tc>
              <w:tc>
                <w:tcPr>
                  <w:shd w:val="clear" w:color="auto" w:fill="auto"/>
                  <w:tcW w:w="811"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*代码无风险</w:t>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*代码无风险</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操作系统厂商提供源代码，源代码可供第三方机构审查，开源许可合规，代码知识产权无风险，无恶意安全漏洞或后门，代码可追溯、可重构</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164</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供应保障要求</w:t>
                  </w:r>
                  <w:r/>
                </w:p>
              </w:tc>
              <w:tc>
                <w:tcPr>
                  <w:shd w:val="clear" w:color="auto" w:fill="auto"/>
                  <w:tcW w:w="811"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工程构建体系</w:t>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工程构建体系</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操作系统厂商具备统一的工程构建体</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系，能用一套操作系统源码构建用于云侧计算、边侧计算场景中部署运行的操作系统，降低部署后系统维护、使用复杂度</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165</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安全要求</w:t>
                  </w:r>
                  <w:r/>
                </w:p>
              </w:tc>
              <w:tc>
                <w:tcPr>
                  <w:shd w:val="clear" w:color="auto" w:fill="auto"/>
                  <w:tcW w:w="811"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*基本要求</w:t>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*基本要求</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操作系统应当符合安全可靠测评要求</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166</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安全要求</w:t>
                  </w:r>
                  <w:r/>
                </w:p>
              </w:tc>
              <w:tc>
                <w:tcPr>
                  <w:shd w:val="clear" w:color="auto" w:fill="auto"/>
                  <w:tcW w:w="811" w:type="pct"/>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*密码算法支持</w:t>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*密码算法实现</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操作系统支持GM/T0002、GM/T0003和GM/T0004规定的密码算法运算</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167</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安全要求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*随机数生成</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操作系统随机数质量符合GM/T0005《随机性检测规范》或GB/T32915《信息安全技术二元序列随机性检测方法》</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168</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安全要求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*内置数字证书</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操作系统内置国家电子认证根CA的根证书</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169</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安全要求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*密码协议实现</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操作系统支持符合GB/T38636—2020的TLCP</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170</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安全要求</w:t>
                  </w:r>
                  <w:r/>
                </w:p>
              </w:tc>
              <w:tc>
                <w:tcPr>
                  <w:shd w:val="clear" w:color="auto" w:fill="auto"/>
                  <w:tcW w:w="811" w:type="pct"/>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*安全管理</w:t>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*防火墙</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操作系统提供防火墙配置管理工具，支持基于协议、网络地址、端口的访问控制规则配置，规则修改后立即生效；支持关闭指定服务和端口，包括但不限于关闭远程访问、共享访问等；支持防止ARP欺骗攻击</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171</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安全要求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*安全框架</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操作系统提供统一访问控制安全框架</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176</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安全要求</w:t>
                  </w:r>
                  <w:r/>
                </w:p>
              </w:tc>
              <w:tc>
                <w:tcPr>
                  <w:shd w:val="clear" w:color="auto" w:fill="auto"/>
                  <w:tcW w:w="811"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*身份鉴别</w:t>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*身份鉴别服务</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用户标识使用帐户名和帐户ID，在操作系统的整个生存周期内用户标识具有</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唯一性；支持用户口令复杂度校验及强口令管理；支持用户口令有效期配置；</w:t>
                  </w:r>
                  <w:r>
                    <w:rPr>
                      <w:rFonts w:hint="eastAsia" w:cs="宋体" w:asciiTheme="minorEastAsia" w:hAnsiTheme="minorEastAsia"/>
                      <w:b/>
                      <w:i/>
                      <w:szCs w:val="21"/>
                      <w:u w:val="single"/>
                    </w:rPr>
                    <w:t xml:space="preserve">支持口令鉴别失败控制；支持口令加密算法配置，用户口令进行加密后以不可逆的密文形式保存；支持禁止根帐户</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（root）远程登录设置</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177</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安全要求</w:t>
                  </w:r>
                  <w:r/>
                </w:p>
              </w:tc>
              <w:tc>
                <w:tcPr>
                  <w:shd w:val="clear" w:color="auto" w:fill="auto"/>
                  <w:tcW w:w="811" w:type="pct"/>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*访问控制</w:t>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*自主访问控制</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允许客体拥有者以普通帐户决定并控</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制对客体的访问，并阻止非授权用户对客体的访问；普通用户缺省拥有新建、读写和删除私有目录下文件的权限；支持细粒度的自主访问控制，将访问控制的粒度控制在单个用户，对系统中的每一个客体，实现由客体拥有者以指定用户方式确定其对该客体的访问权限，而其他同组用户或非同组的用户和用户</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组对该客体的访问权则由客体拥有者授予</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178</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安全要求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*强制访问控制</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操作系统支持对应用程序的访问控制</w:t>
                  </w:r>
                  <w:r/>
                </w:p>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与资源限制，包括对文件、网络等客体的访问控制；支持应用安装控制、应用执行控制</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179</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安全要求</w:t>
                  </w:r>
                  <w:r/>
                </w:p>
              </w:tc>
              <w:tc>
                <w:tcPr>
                  <w:tcW w:w="811"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*安全审计</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能对身份鉴别的使用、自主访问控制、标记和强制访问控制策略的修改等生成审计日志；审计记录包括：事件类型、事件发生的日期、触发事件的用户、事件成功或失败等字段；支持审计日志查询和导出功能</w:t>
                  </w:r>
                  <w:r/>
                </w:p>
              </w:tc>
            </w:tr>
            <w:tr>
              <w:trPr>
                <w:jc w:val="center"/>
                <w:trHeight w:val="567"/>
              </w:trPr>
              <w:tc>
                <w:tcPr>
                  <w:shd w:val="clear" w:color="auto" w:fill="auto"/>
                  <w:tcW w:w="403"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180</w:t>
                  </w:r>
                  <w:r/>
                </w:p>
              </w:tc>
              <w:tc>
                <w:tcPr>
                  <w:shd w:val="clear" w:color="auto" w:fill="auto"/>
                  <w:tcW w:w="66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安全要求</w:t>
                  </w:r>
                  <w:r/>
                </w:p>
              </w:tc>
              <w:tc>
                <w:tcPr>
                  <w:shd w:val="clear" w:color="auto" w:fill="auto"/>
                  <w:tcW w:w="811"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*漏洞管理</w:t>
                  </w:r>
                  <w:r/>
                </w:p>
              </w:tc>
              <w:tc>
                <w:tcPr>
                  <w:shd w:val="clear" w:color="auto" w:fill="auto"/>
                  <w:tcW w:w="959" w:type="pct"/>
                  <w:vAlign w:val="center"/>
                  <w:textDirection w:val="lrTb"/>
                  <w:noWrap w:val="false"/>
                </w:tcPr>
                <w:p>
                  <w:pP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*漏洞管理</w:t>
                  </w:r>
                  <w:r/>
                </w:p>
              </w:tc>
              <w:tc>
                <w:tcPr>
                  <w:shd w:val="clear" w:color="auto" w:fill="auto"/>
                  <w:tcW w:w="2163" w:type="pct"/>
                  <w:vAlign w:val="center"/>
                  <w:textDirection w:val="lrTb"/>
                  <w:noWrap w:val="false"/>
                </w:tcPr>
                <w:p>
                  <w:pP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操作系统支持漏洞编号，每个漏洞独立编号，可直接使用NVDB、CNVD或CVE编号；漏洞提醒，发现或获悉漏洞信息时，通过系统推送、电子邮件或官方网站等方式通知用户；漏洞修复，对已发现的安全漏洞通过补丁等方式对系统漏洞进行修复；漏洞列表，提供每个版本已修复的漏洞列表，提供命令或网页等方式方便用户查询漏洞及其修复情况</w:t>
                  </w:r>
                  <w:r/>
                </w:p>
              </w:tc>
            </w:tr>
          </w:tbl>
          <w:p>
            <w:pPr>
              <w:spacing w:line="360" w:lineRule="auto"/>
              <w:rPr>
                <w:b/>
                <w:bCs/>
                <w:i/>
                <w:sz w:val="24"/>
                <w:szCs w:val="24"/>
                <w:u w:val="single"/>
              </w:rPr>
            </w:pPr>
            <w:r>
              <w:rPr>
                <w:b/>
                <w:bCs/>
                <w:i/>
                <w:sz w:val="24"/>
                <w:szCs w:val="24"/>
                <w:u w:val="single"/>
              </w:rPr>
            </w:r>
            <w:r/>
          </w:p>
        </w:tc>
      </w:tr>
      <w:tr>
        <w:trPr>
          <w:jc w:val="center"/>
        </w:trPr>
        <w:tc>
          <w:tcPr>
            <w:tcW w:w="958" w:type="dxa"/>
            <w:textDirection w:val="lrTb"/>
            <w:noWrap w:val="false"/>
          </w:tcPr>
          <w:p>
            <w:pPr>
              <w:jc w:val="center"/>
              <w:spacing w:line="360" w:lineRule="auto"/>
              <w:rPr>
                <w:rFonts w:asciiTheme="minorEastAsia" w:hAnsiTheme="minorEastAsia"/>
                <w:b/>
                <w:i/>
                <w:sz w:val="24"/>
                <w:szCs w:val="24"/>
                <w:u w:val="single"/>
              </w:rPr>
            </w:pPr>
            <w:r>
              <w:rPr>
                <w:rFonts w:hint="eastAsia" w:asciiTheme="minorEastAsia" w:hAnsiTheme="minorEastAsia"/>
                <w:b/>
                <w:i/>
                <w:sz w:val="24"/>
                <w:szCs w:val="24"/>
                <w:u w:val="single"/>
              </w:rPr>
              <w:t xml:space="preserve">5</w:t>
            </w:r>
            <w:r/>
          </w:p>
        </w:tc>
        <w:tc>
          <w:tcPr>
            <w:tcW w:w="8896" w:type="dxa"/>
            <w:textDirection w:val="lrTb"/>
            <w:noWrap w:val="false"/>
          </w:tcPr>
          <w:p>
            <w:pPr>
              <w:spacing w:line="360" w:lineRule="auto"/>
              <w:rPr>
                <w:rFonts w:asciiTheme="minorEastAsia" w:hAnsiTheme="minorEastAsia"/>
                <w:b/>
                <w:bCs/>
                <w:i/>
                <w:sz w:val="24"/>
                <w:szCs w:val="24"/>
                <w:u w:val="single"/>
              </w:rPr>
            </w:pPr>
            <w:r>
              <w:rPr>
                <w:rFonts w:hint="eastAsia" w:asciiTheme="minorEastAsia" w:hAnsiTheme="minorEastAsia"/>
                <w:b/>
                <w:bCs/>
                <w:i/>
                <w:sz w:val="24"/>
                <w:szCs w:val="24"/>
                <w:u w:val="single"/>
              </w:rPr>
              <w:t xml:space="preserve">数据库</w:t>
            </w:r>
            <w:r/>
          </w:p>
          <w:p>
            <w:pPr>
              <w:spacing w:line="360" w:lineRule="auto"/>
              <w:rPr>
                <w:rFonts w:asciiTheme="minorEastAsia" w:hAnsiTheme="minorEastAsia"/>
                <w:b/>
                <w:i/>
                <w:sz w:val="24"/>
                <w:szCs w:val="24"/>
                <w:u w:val="single"/>
              </w:rPr>
            </w:pPr>
            <w:r>
              <w:rPr>
                <w:rFonts w:hint="eastAsia" w:asciiTheme="minorEastAsia" w:hAnsiTheme="minorEastAsia"/>
                <w:b/>
                <w:i/>
                <w:sz w:val="24"/>
                <w:szCs w:val="24"/>
                <w:u w:val="single"/>
              </w:rPr>
              <w:t xml:space="preserve">数据库须至少满足《数据库政府采购需求标准（2023年版）》中加“*”的指标要求，如下表所示：</w:t>
            </w:r>
            <w:r/>
          </w:p>
          <w:tbl>
            <w:tblPr>
              <w:tblStyle w:val="890"/>
              <w:tblW w:w="836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1"/>
              <w:gridCol w:w="1321"/>
              <w:gridCol w:w="1104"/>
              <w:gridCol w:w="1227"/>
              <w:gridCol w:w="3968"/>
            </w:tblGrid>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bCs/>
                      <w:i/>
                      <w:szCs w:val="21"/>
                      <w:u w:val="single"/>
                    </w:rPr>
                  </w:pPr>
                  <w:r>
                    <w:rPr>
                      <w:rFonts w:hint="eastAsia" w:cs="宋体" w:asciiTheme="minorEastAsia" w:hAnsiTheme="minorEastAsia"/>
                      <w:b/>
                      <w:bCs/>
                      <w:i/>
                      <w:szCs w:val="21"/>
                      <w:u w:val="single"/>
                    </w:rPr>
                    <w:t xml:space="preserve">序号</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bCs/>
                      <w:i/>
                      <w:szCs w:val="21"/>
                      <w:u w:val="single"/>
                    </w:rPr>
                  </w:pPr>
                  <w:r>
                    <w:rPr>
                      <w:rFonts w:hint="eastAsia" w:cs="宋体" w:asciiTheme="minorEastAsia" w:hAnsiTheme="minorEastAsia"/>
                      <w:b/>
                      <w:bCs/>
                      <w:i/>
                      <w:szCs w:val="21"/>
                      <w:u w:val="single"/>
                    </w:rPr>
                    <w:t xml:space="preserve">指标分类</w:t>
                  </w:r>
                  <w:r/>
                </w:p>
              </w:tc>
              <w:tc>
                <w:tcPr>
                  <w:shd w:val="clear" w:color="auto" w:fill="auto"/>
                  <w:tcW w:w="660" w:type="pct"/>
                  <w:vAlign w:val="center"/>
                  <w:textDirection w:val="lrTb"/>
                  <w:noWrap w:val="false"/>
                </w:tcPr>
                <w:p>
                  <w:pPr>
                    <w:jc w:val="center"/>
                    <w:spacing w:line="360" w:lineRule="exact"/>
                    <w:rPr>
                      <w:rFonts w:cs="宋体" w:asciiTheme="minorEastAsia" w:hAnsiTheme="minorEastAsia"/>
                      <w:b/>
                      <w:bCs/>
                      <w:i/>
                      <w:szCs w:val="21"/>
                      <w:u w:val="single"/>
                    </w:rPr>
                  </w:pPr>
                  <w:r>
                    <w:rPr>
                      <w:rFonts w:hint="eastAsia" w:cs="宋体" w:asciiTheme="minorEastAsia" w:hAnsiTheme="minorEastAsia"/>
                      <w:b/>
                      <w:bCs/>
                      <w:i/>
                      <w:szCs w:val="21"/>
                      <w:u w:val="single"/>
                    </w:rPr>
                    <w:t xml:space="preserve">一级指标</w:t>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bCs/>
                      <w:i/>
                      <w:szCs w:val="21"/>
                      <w:u w:val="single"/>
                    </w:rPr>
                  </w:pPr>
                  <w:r>
                    <w:rPr>
                      <w:rFonts w:hint="eastAsia" w:cs="宋体" w:asciiTheme="minorEastAsia" w:hAnsiTheme="minorEastAsia"/>
                      <w:b/>
                      <w:bCs/>
                      <w:i/>
                      <w:szCs w:val="21"/>
                      <w:u w:val="single"/>
                    </w:rPr>
                    <w:t xml:space="preserve">二级指标</w:t>
                  </w:r>
                  <w:r/>
                </w:p>
              </w:tc>
              <w:tc>
                <w:tcPr>
                  <w:shd w:val="clear" w:color="auto" w:fill="auto"/>
                  <w:tcW w:w="2373" w:type="pct"/>
                  <w:vAlign w:val="center"/>
                  <w:textDirection w:val="lrTb"/>
                  <w:noWrap w:val="false"/>
                </w:tcPr>
                <w:p>
                  <w:pPr>
                    <w:jc w:val="center"/>
                    <w:spacing w:line="360" w:lineRule="exact"/>
                    <w:rPr>
                      <w:rFonts w:cs="宋体" w:asciiTheme="minorEastAsia" w:hAnsiTheme="minorEastAsia"/>
                      <w:b/>
                      <w:bCs/>
                      <w:i/>
                      <w:szCs w:val="21"/>
                      <w:u w:val="single"/>
                    </w:rPr>
                  </w:pPr>
                  <w:r>
                    <w:rPr>
                      <w:rFonts w:hint="eastAsia" w:cs="宋体" w:asciiTheme="minorEastAsia" w:hAnsiTheme="minorEastAsia"/>
                      <w:b/>
                      <w:bCs/>
                      <w:i/>
                      <w:szCs w:val="21"/>
                      <w:u w:val="single"/>
                    </w:rPr>
                    <w:t xml:space="preserve">指标要求</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shd w:val="clear" w:color="auto" w:fill="auto"/>
                  <w:tcW w:w="660" w:type="pct"/>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*安装与升级</w:t>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*数据库安装</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a)支持命令行或图形化的安装；</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b)支持命令行或图形化的可配置安装能力；</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c)依据安装环境提供相应的初始化参数配置值；</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d)提供图形化软件组件管理向导工具</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2</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660"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*数据库重启</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a)支持命令行或图形化的方式关闭和启动服务；</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b)关闭服务后，再启动服务，服务正常</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3</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660"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*安装配置日志</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a)提供软件安装的日志记录功能；</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b)记录的软件安装信息完整正确；</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c)提供安装配置操作的日志记录功能；</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d)记录的配置操作信息完整正确</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4</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660"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*升级维护</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a)支持版本升级，保证版本间功能和数据的兼容性；</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b)厂商提供当前版本与历史版本的差异说明文档，包含新版本对软件和硬件的支持情况</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7</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shd w:val="clear" w:color="auto" w:fill="auto"/>
                  <w:tcW w:w="66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*数据配置</w:t>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*参数配置</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a)依据工作负载和运行环境，提供配置参数修改的能力</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b)修改数据库配置参数后，配置参数立即生效或数据库重新启动生效，立即生效的配置参数和需要数据库重新启动方可生效的配置参数在相关文档中明确</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10</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shd w:val="clear" w:color="auto" w:fill="auto"/>
                  <w:tcW w:w="66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*SQL功能</w:t>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*基础数据类型</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a)支持数值类型；</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b)支持字符类型；</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c)支持二进制类型；</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d)支持日期和时间类型；</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e)支持布尔类型；</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f)支持（大）文本类型；</w:t>
                  </w:r>
                  <w:r/>
                </w:p>
                <w:p>
                  <w:pPr>
                    <w:jc w:val="left"/>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g)支持大对象类型</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13</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660" w:type="pct"/>
                  <w:vAlign w:val="center"/>
                  <w:vMerge w:val="restart"/>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*SQL功能</w:t>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*数据存储基础功能</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支持基础数据类型</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14</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660"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数据存储增强功能</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a)支持扩展数据类型；</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b)支持自定义数据类型</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15</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660"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*数据检索基础功能</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支持基础数据类型</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17</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660"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*核心SQL能</w:t>
                  </w:r>
                  <w:r>
                    <w:rPr>
                      <w:rFonts w:hint="eastAsia" w:cs="宋体" w:asciiTheme="minorEastAsia" w:hAnsiTheme="minorEastAsia"/>
                      <w:b/>
                      <w:i/>
                      <w:szCs w:val="21"/>
                      <w:u w:val="single"/>
                    </w:rPr>
                    <w:t xml:space="preserve">力</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a)支持左外连接；</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b)支持右外连接；</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c)支持内连接；</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d)支持全连接</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18</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660"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*字符集</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中文字符集符合GB18030的要求</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19</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660"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*常用操作符</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a)支持逻辑操作符及相关运算；</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b)支持比较操作符及相关运算；</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c)支持算术运算符及相关运算</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20</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660"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*条件表达式</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a)支持对比条件表达式；</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b)支持逻辑条件表达式；</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c)支持空值条件表达式；</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d)支持等于条件表达式；</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e)支持模式匹配条件表达式；</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f)支持区间条件表达式；</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g)支持IN条件表达式；</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h)支持存在条件表达式；</w:t>
                  </w:r>
                  <w:r/>
                </w:p>
                <w:p>
                  <w:pPr>
                    <w:jc w:val="left"/>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i</w:t>
                  </w:r>
                  <w:r>
                    <w:rPr>
                      <w:rFonts w:hint="eastAsia" w:cs="宋体" w:asciiTheme="minorEastAsia" w:hAnsiTheme="minorEastAsia"/>
                      <w:b/>
                      <w:i/>
                      <w:szCs w:val="21"/>
                      <w:u w:val="single"/>
                    </w:rPr>
                    <w:t xml:space="preserve">)支持以上条件表达式的复合表达式</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21</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660"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*SQL执行计划</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支持SQL计划，使SQL按照指定的语句执行，并实现预期结果</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22</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shd w:val="clear" w:color="auto" w:fill="auto"/>
                  <w:tcW w:w="660" w:type="pct"/>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*数据库对象</w:t>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*基础对象类型</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a)支持用户的创建、删除、修改；</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b)支持角色的创建、删除、修改；</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c)支持存储过程的创建、删除、修改；</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d)支持表操作功能；</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e)支持自增序列；</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f)支持主键约束、外键约束、唯一性约束、检查约束和联合主键约束；</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g)支持游标功能；</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h)支持视图的创建、删除、修改；</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i</w:t>
                  </w:r>
                  <w:r>
                    <w:rPr>
                      <w:rFonts w:hint="eastAsia" w:cs="宋体" w:asciiTheme="minorEastAsia" w:hAnsiTheme="minorEastAsia"/>
                      <w:b/>
                      <w:i/>
                      <w:szCs w:val="21"/>
                      <w:u w:val="single"/>
                    </w:rPr>
                    <w:t xml:space="preserve">)支持数值计算函数、字符处理函数、日期时间值函数、间隔函数、类型转换函数、位运算函数、聚合函数、格式化、系统信息等常用函数</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24</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660"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*基础表分区管理</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lang w:eastAsia="en-US"/>
                    </w:rPr>
                    <w:t xml:space="preserve">a)</w:t>
                  </w:r>
                  <w:r>
                    <w:rPr>
                      <w:rFonts w:hint="eastAsia" w:cs="宋体" w:asciiTheme="minorEastAsia" w:hAnsiTheme="minorEastAsia"/>
                      <w:b/>
                      <w:i/>
                      <w:szCs w:val="21"/>
                      <w:u w:val="single"/>
                    </w:rPr>
                    <w:t xml:space="preserve">哈希分区方式；</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b)范围分区方式；</w:t>
                  </w:r>
                  <w:r/>
                </w:p>
                <w:p>
                  <w:pPr>
                    <w:jc w:val="left"/>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c)列表分区方式</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28</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660"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*对象变更</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a)支持数据库的创建、删除、更新以及数据库属性的查询；</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b)支持在线变更表结构、索引；</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c)支持数据的增加、删除、修改和查询</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33</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shd w:val="clear" w:color="auto" w:fill="auto"/>
                  <w:tcW w:w="660" w:type="pct"/>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*事务能力</w:t>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*事务基础特性</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支持事务的ACID</w:t>
                  </w:r>
                  <w:r/>
                </w:p>
              </w:tc>
            </w:tr>
            <w:tr>
              <w:trPr>
                <w:jc w:val="center"/>
                <w:trHeight w:val="415"/>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34</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660"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*死锁检测与处理</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a)在并发执行过程中，能检测到死锁；</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b)提供解决全局死锁的机制；</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c)具备死锁处理能力；</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d)具备死锁超时回滚的能力；</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e)具备死锁检测与处理记录功能</w:t>
                  </w:r>
                  <w:r/>
                </w:p>
              </w:tc>
            </w:tr>
            <w:tr>
              <w:trPr>
                <w:jc w:val="center"/>
                <w:trHeight w:val="3539"/>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35</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shd w:val="clear" w:color="auto" w:fill="auto"/>
                  <w:tcW w:w="66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*运维</w:t>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*运行时统计信息基础功能</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a）数据库慢SQL统计：</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1）支持统计SQL语句；</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2）支持统计用户名；</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3）支持统计数据库名；</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4）支持统计执行时长；</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b）数据库性能状态统计：</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1）支持统计每秒事务数和查询数；</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2）支持统计SQL平均响应时间；</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3）支持统计高频SQL</w:t>
                  </w:r>
                  <w:r/>
                </w:p>
              </w:tc>
            </w:tr>
            <w:tr>
              <w:trPr>
                <w:jc w:val="center"/>
                <w:trHeight w:val="2951"/>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37</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660" w:type="pct"/>
                  <w:vAlign w:val="center"/>
                  <w:vMerge w:val="restart"/>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*运维</w:t>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*日志</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a)具备对各类事件进行日志记录的功能，可通过日志查看操作内容、执行过程和结果；</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b)具备提示和警告功能，提示或警告数据库结构修改、数据库运行配置修改等重要操作；</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c)日志完整正确，并且提供可读文本的形式；</w:t>
                  </w:r>
                  <w:r/>
                </w:p>
                <w:p>
                  <w:pPr>
                    <w:jc w:val="left"/>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d)支持中文日志</w:t>
                  </w:r>
                  <w:r/>
                </w:p>
              </w:tc>
            </w:tr>
            <w:tr>
              <w:trPr>
                <w:jc w:val="center"/>
                <w:trHeight w:val="569"/>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38</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660"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*远程运维</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具备远程维护功能</w:t>
                  </w:r>
                  <w:r/>
                </w:p>
              </w:tc>
            </w:tr>
            <w:tr>
              <w:trPr>
                <w:jc w:val="center"/>
                <w:trHeight w:val="2400"/>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39</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660"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*报警</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a)厂商提供通知管理员的方法或工具；</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b)支持设置报警基线，数据库运行中遇到重要事件、异常事件和状态、超过报警阈值等情况时，通知管理员；</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c)提供报警API；</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d)报警发生时，支持报警信息的实时展示</w:t>
                  </w:r>
                  <w:r/>
                </w:p>
              </w:tc>
            </w:tr>
            <w:tr>
              <w:trPr>
                <w:jc w:val="center"/>
                <w:trHeight w:val="4939"/>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42</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660" w:type="pct"/>
                  <w:vAlign w:val="center"/>
                  <w:vMerge w:val="restart"/>
                  <w:textDirection w:val="lrTb"/>
                  <w:noWrap w:val="false"/>
                </w:tcPr>
                <w:p>
                  <w:pPr>
                    <w:ind w:firstLine="211"/>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*迁移</w:t>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*数据迁移</w:t>
                  </w:r>
                  <w:r/>
                </w:p>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jc w:val="center"/>
                    <w:spacing w:line="360" w:lineRule="exact"/>
                    <w:rPr>
                      <w:rFonts w:cs="宋体" w:asciiTheme="minorEastAsia" w:hAnsiTheme="minorEastAsia"/>
                      <w:b/>
                      <w:i/>
                      <w:szCs w:val="21"/>
                      <w:u w:val="single"/>
                      <w:lang w:eastAsia="en-US"/>
                    </w:rPr>
                  </w:pPr>
                  <w:r>
                    <w:rPr>
                      <w:rFonts w:cs="宋体" w:asciiTheme="minorEastAsia" w:hAnsiTheme="minorEastAsia"/>
                      <w:b/>
                      <w:i/>
                      <w:szCs w:val="21"/>
                      <w:u w:val="single"/>
                      <w:lang w:eastAsia="en-US"/>
                    </w:rPr>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a)提供元数据、数据库、数据库对象、表数据快速迁移的功能；</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b)支持数据迁移工具实现同构或异构数据库之间的数据迁移；</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c)支持全量数据迁移、增量数据持续同步等迁移模式；</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d)在数据迁移过程中具备应对传输异常的能力，保障数据迁移的稳定性、连续性和一致性；</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e)支持存量数据的一次性迁移和增量数据库的持续同步；</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f)支持多种不同类型的源数据库和目标数据库之间的数据迁移</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43</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shd w:val="clear" w:color="auto" w:fill="auto"/>
                  <w:tcW w:w="660"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*数据比对基础功能</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对源数据库和目标数据库之间的数据进行比对，支持数据一致性，并提供一致性比对报告</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45</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shd w:val="clear" w:color="auto" w:fill="auto"/>
                  <w:tcW w:w="660" w:type="pct"/>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*备份恢复</w:t>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*数据备份</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a)运行状态下支持对数据库进行全库备份；</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b)运行状态下支持对数据库进行部分备份；</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c)运行状态下支持对数据库进行增量备份</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48</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660"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*多种存储媒体备份、还原</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支持多种备份存储媒体，支持多种存储媒体的部分、完整数据库数据还原处理能力</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49</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660"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*备份还原的一致性校验</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提供数据库备份数据一致性校验的命令或工具</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50</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shd w:val="clear" w:color="auto" w:fill="auto"/>
                  <w:tcW w:w="66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*集群管理</w:t>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*集群构建与管理</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a)支持集群的运行环境；</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b)支持创建并配置数据库集群；</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c)配置信息至少包括日常运维管理、容灾管理、日志管理、备份管理、监控等</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53</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shd w:val="clear" w:color="auto" w:fill="auto"/>
                  <w:tcW w:w="660" w:type="pct"/>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*工具</w:t>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*数据库开发调试工具</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a)具备图形化功能，提高易用性；</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b)具备导入、编辑、保存、执行SQL语句和SQL脚本功能；</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c)具备复制、编辑现有数据库对象功能；</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d)具备关键词显示标记、动态语法提示的SQL编辑器功能</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57</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660"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*用户、角色管理工具</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a)支持创建、修改、删除用户的功能；b）提供定义用户的功能；</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c)支持创建、修改、删除角色的功能，且提供用户自定义角色的功能</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58</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660"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*SQL执行计</w:t>
                  </w:r>
                  <w:r>
                    <w:rPr>
                      <w:rFonts w:hint="eastAsia" w:cs="宋体" w:asciiTheme="minorEastAsia" w:hAnsiTheme="minorEastAsia"/>
                      <w:b/>
                      <w:i/>
                      <w:szCs w:val="21"/>
                      <w:u w:val="single"/>
                    </w:rPr>
                    <w:t xml:space="preserve">划查看工具</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a)提供与数据库管理系统进行SQL交互的工</w:t>
                  </w:r>
                  <w:r>
                    <w:rPr>
                      <w:rFonts w:hint="eastAsia" w:cs="宋体" w:asciiTheme="minorEastAsia" w:hAnsiTheme="minorEastAsia"/>
                      <w:b/>
                      <w:i/>
                      <w:szCs w:val="21"/>
                      <w:u w:val="single"/>
                    </w:rPr>
                    <w:t xml:space="preserve">具，方便运维工作；</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b)支持查看SQL语句查询执行计划与统计信息</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59</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660"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*数据库对象工具</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a)支持创建、修改、删除表的功能，支持定义表结构、约束、存储配置管理的功能；</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b)支持创建、修改、删除索引的功能，支持定义索引结构、类型、存储配置管理的功能；</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c)支持创建、修改、删除视图的功能，支持视图定义的功能；</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d)支持创建、修改、删除约束的功能，支持约束定义的功能</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60</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660"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*导入导出工具</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a)支持导出不同格式，可以将不同格式数据导入到数据库中；</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b)支持不同级别和不同数据库对象的导入/导出功能；</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c)支持从文本文件或者其他上游数据源将数据导入；</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d)支持SQL脚本进行导入导出</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62</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660"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*数据库运维工具</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a)支持数据库、数据库存储对象结构、数据、统计信息更新维护；</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b)支持数据库创建、数据库修改、数据库删除、数据库模板维护；</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c)支持数据库任务自动化调度作业管理；</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d)支持图形化展示数据库管理的各种元数据界面，展示的内容具有层次性，包括模式、非模式数据字典信息</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65</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660" w:type="pct"/>
                  <w:vAlign w:val="center"/>
                  <w:vMerge w:val="restart"/>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*图形化管理</w:t>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*图形化的开发工具</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厂商提供图形化的开发工具</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66</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功能要求</w:t>
                  </w:r>
                  <w:r/>
                </w:p>
              </w:tc>
              <w:tc>
                <w:tcPr>
                  <w:tcW w:w="660"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*图形化运维工具</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厂商提供图形化的运维工具</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74</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可靠性要求</w:t>
                  </w:r>
                  <w:r/>
                </w:p>
              </w:tc>
              <w:tc>
                <w:tcPr>
                  <w:shd w:val="clear" w:color="auto" w:fill="auto"/>
                  <w:tcW w:w="66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*稳定运行</w:t>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*稳定运行</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a)支持连续稳定运行；</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b)支持数据库管理系统运行风险的报警能力</w:t>
                  </w:r>
                  <w:r/>
                </w:p>
              </w:tc>
            </w:tr>
            <w:tr>
              <w:trPr>
                <w:jc w:val="center"/>
                <w:trHeight w:val="35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75</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可靠性要求</w:t>
                  </w:r>
                  <w:r/>
                </w:p>
              </w:tc>
              <w:tc>
                <w:tcPr>
                  <w:shd w:val="clear" w:color="auto" w:fill="auto"/>
                  <w:tcW w:w="660" w:type="pct"/>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*故障切换</w:t>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*快速切换</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支持快速切换，在主数据库出现故障时，能够快速切换到备用数据库，保障业务正常运行</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76</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可靠性要求</w:t>
                  </w:r>
                  <w:r/>
                </w:p>
              </w:tc>
              <w:tc>
                <w:tcPr>
                  <w:shd w:val="clear" w:color="auto" w:fill="auto"/>
                  <w:tcW w:w="660"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*恢复无断点</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支持无断点恢复能力</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77</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可靠性要求</w:t>
                  </w:r>
                  <w:r/>
                </w:p>
              </w:tc>
              <w:tc>
                <w:tcPr>
                  <w:shd w:val="clear" w:color="auto" w:fill="auto"/>
                  <w:tcW w:w="660" w:type="pct"/>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*容灾能力</w:t>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*主备备份</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a)支持多副本，支持主副本与从副本之间的</w:t>
                  </w:r>
                  <w:r>
                    <w:rPr>
                      <w:rFonts w:hint="eastAsia" w:cs="宋体" w:asciiTheme="minorEastAsia" w:hAnsiTheme="minorEastAsia"/>
                      <w:b/>
                      <w:i/>
                      <w:szCs w:val="21"/>
                      <w:u w:val="single"/>
                    </w:rPr>
                    <w:t xml:space="preserve">数据同步，最低时延由生产厂商提供；</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b)提供基于主机的数据库复制技术，包括基于日志的备用数据库远程数据库备份技术，并具备数据副本间的复制能力</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78</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可靠性要求</w:t>
                  </w:r>
                  <w:r/>
                </w:p>
              </w:tc>
              <w:tc>
                <w:tcPr>
                  <w:tcW w:w="660"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*实例容灾</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a)在任意数据库实例出现故障时，集群内服务正常运行，数据不丢失，集群整体业务可用；</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b)在实例故障、节点故障等单数据库实例故障时，RPO时间等于0，RTO时间小于30s</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79</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可靠性要求</w:t>
                  </w:r>
                  <w:r/>
                </w:p>
              </w:tc>
              <w:tc>
                <w:tcPr>
                  <w:tcW w:w="660"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*容灾部署</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a)提供远程容灾部署与管理功能；</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b)提供生产中心与备份中心之间的容灾部署与管理功能</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80</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可靠性要求</w:t>
                  </w:r>
                  <w:r/>
                </w:p>
              </w:tc>
              <w:tc>
                <w:tcPr>
                  <w:tcW w:w="660"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*同城容灾</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a)支持同城双中心部署，当主中心故障时，业务切换到备中心；</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b)由于网络、供电等原因造成的可用区级故障，触发集群计划外停机，在同城多可用区场景下，RPO时间等于0，RTO时间小于1分钟</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82</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可靠性要求</w:t>
                  </w:r>
                  <w:r/>
                </w:p>
              </w:tc>
              <w:tc>
                <w:tcPr>
                  <w:shd w:val="clear" w:color="auto" w:fill="auto"/>
                  <w:tcW w:w="660" w:type="pct"/>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*容错性</w:t>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*服务端编程稳定性</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支持当用户自定义的存储过程、函数运行异常时，数据库稳定运行</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83</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可靠性要求</w:t>
                  </w:r>
                  <w:r/>
                </w:p>
              </w:tc>
              <w:tc>
                <w:tcPr>
                  <w:tcW w:w="660"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*网络容错</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支持网络中断时，保障事务一致性</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84</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可靠性要求</w:t>
                  </w:r>
                  <w:r/>
                </w:p>
              </w:tc>
              <w:tc>
                <w:tcPr>
                  <w:tcW w:w="660"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*检测报警</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a)支持数据库实例启动时错误检测能力；</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b)支持加载不同文件格式、不同大小数据出现错误时的故障检测和处理能力；</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c)支持数据库备份执行过程中发生故障时报错或者报警能力；</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d)支持数据库恢复发生故障时报错或者报警能力</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85</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可靠性要求</w:t>
                  </w:r>
                  <w:r/>
                </w:p>
              </w:tc>
              <w:tc>
                <w:tcPr>
                  <w:tcW w:w="660"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*故障恢复</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a)系统故障重启后能正常运行且支持数据一致性；</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b)支持完全媒体故障恢复的能力；</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c)提供基于时间点故障恢复功能</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86</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可靠性要求</w:t>
                  </w:r>
                  <w:r/>
                </w:p>
              </w:tc>
              <w:tc>
                <w:tcPr>
                  <w:tcW w:w="660"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*不同级别故障可恢复</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支持数据库事务故障、系统故障、存储媒体故障不同级别的可恢复能力</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88</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兼容要求</w:t>
                  </w:r>
                  <w:r/>
                </w:p>
              </w:tc>
              <w:tc>
                <w:tcPr>
                  <w:shd w:val="clear" w:color="auto" w:fill="auto"/>
                  <w:tcW w:w="66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*硬件兼容</w:t>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*硬件平台兼容</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a)同源支持以下至少三种CPU平台架构：</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1)ARM；</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2)</w:t>
                  </w:r>
                  <w:r>
                    <w:rPr>
                      <w:rFonts w:hint="eastAsia" w:cs="宋体" w:asciiTheme="minorEastAsia" w:hAnsiTheme="minorEastAsia"/>
                      <w:b/>
                      <w:i/>
                      <w:szCs w:val="21"/>
                      <w:u w:val="single"/>
                    </w:rPr>
                    <w:t xml:space="preserve">LoongArch</w:t>
                  </w:r>
                  <w:r>
                    <w:rPr>
                      <w:rFonts w:hint="eastAsia" w:cs="宋体" w:asciiTheme="minorEastAsia" w:hAnsiTheme="minorEastAsia"/>
                      <w:b/>
                      <w:i/>
                      <w:szCs w:val="21"/>
                      <w:u w:val="single"/>
                    </w:rPr>
                    <w:t xml:space="preserve">；</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3)MIPS；</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4)SW64；</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5)x86；</w:t>
                  </w:r>
                  <w:r/>
                </w:p>
                <w:p>
                  <w:pPr>
                    <w:jc w:val="left"/>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b)支持SMP和NUMA的运行环境</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89</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兼容要求</w:t>
                  </w:r>
                  <w:r/>
                </w:p>
              </w:tc>
              <w:tc>
                <w:tcPr>
                  <w:shd w:val="clear" w:color="auto" w:fill="auto"/>
                  <w:tcW w:w="660" w:type="pct"/>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*标准兼容</w:t>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*ODBC</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支持ODBC</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90</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兼容要求</w:t>
                  </w:r>
                  <w:r/>
                </w:p>
              </w:tc>
              <w:tc>
                <w:tcPr>
                  <w:tcW w:w="660"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*JDBC</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支持JDBC</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91</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shd w:val="clear" w:color="auto" w:fill="auto"/>
                  <w:tcW w:w="66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*交付方式</w:t>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*交付方式</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以光盘、便携式移动设备、镜像文件、在线下载等交付方式提供产品交付物</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92</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shd w:val="clear" w:color="auto" w:fill="auto"/>
                  <w:tcW w:w="660" w:type="pct"/>
                  <w:vAlign w:val="center"/>
                  <w:vMerge w:val="restart"/>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*服务周期</w:t>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*产品维护周期</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产品自发布之日起至产品停止功能升级（包含不限于新特性、新硬件支持、问题修复、安全补丁等）之日止≥5年</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93</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tcW w:w="660"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*产品延伸服务周期</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产品停止功能升级之日起至产品停止功能维护（包括问题修复、安全补丁等）之日止≥4年</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94</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tcW w:w="660"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*产品延伸安全服务周期</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产品功能维护停止之日起至产品停止安全维护（包括中高风险漏洞修复）之日止≥2年</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95</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tcW w:w="660"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*售后服务最小保障期</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自销售之日起，产品售后服务周期≥6年</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96</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服务要求</w:t>
                  </w:r>
                  <w:r/>
                </w:p>
              </w:tc>
              <w:tc>
                <w:tcPr>
                  <w:shd w:val="clear" w:color="auto" w:fill="auto"/>
                  <w:tcW w:w="66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*供应链与服务保障</w:t>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*供应链与服务保障基础要求</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a)提供多种形式支持服务，包含电话、电子邮件、远程连接等；</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b)提供技术支持服务，支持同城4h、异地12h响应要求，两个工作日解决问题，对于未能解决的问题和故障提供可行的升级方案；</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c)提供培训材料、产品手册、培训视频等培训相关内容；</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d)建立全国技术服务体系和服务团</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队，符合专业服务体系标准要求，提供原厂中文服务；</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e)服务周期内支持版本免费升级；</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f)开源产品对获得的社区源代码进行安全性和知识产权审查与管理；</w:t>
                  </w:r>
                  <w:r/>
                </w:p>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g)提供数据库参数、慢SQL语句的性能优化指南，包含性能优化的具体措施、技巧、案例及建议等</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100</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安全要求</w:t>
                  </w:r>
                  <w:r/>
                </w:p>
              </w:tc>
              <w:tc>
                <w:tcPr>
                  <w:shd w:val="clear" w:color="auto" w:fill="auto"/>
                  <w:tcW w:w="66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*基本要求</w:t>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*基本要求</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数据库应当符合安全可靠测评要求</w:t>
                  </w:r>
                  <w:r/>
                </w:p>
              </w:tc>
            </w:tr>
            <w:tr>
              <w:trPr>
                <w:jc w:val="center"/>
                <w:trHeight w:val="15"/>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102</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安全要求</w:t>
                  </w:r>
                  <w:r/>
                </w:p>
              </w:tc>
              <w:tc>
                <w:tcPr>
                  <w:shd w:val="clear" w:color="auto" w:fill="auto"/>
                  <w:tcW w:w="660" w:type="pct"/>
                  <w:vAlign w:val="center"/>
                  <w:vMerge w:val="restart"/>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*基础安全</w:t>
                  </w:r>
                  <w:r/>
                </w:p>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*基础安全</w:t>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*漏洞管理</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建立漏洞管理机制，及时通过邮件、网站等</w:t>
                  </w:r>
                  <w:r>
                    <w:rPr>
                      <w:rFonts w:hint="eastAsia" w:cs="宋体" w:asciiTheme="minorEastAsia" w:hAnsiTheme="minorEastAsia"/>
                      <w:b/>
                      <w:i/>
                      <w:szCs w:val="21"/>
                      <w:u w:val="single"/>
                    </w:rPr>
                    <w:t xml:space="preserve">方式将安全漏洞告知用户，并提供安全补丁对漏洞进行修复</w:t>
                  </w:r>
                  <w:r/>
                </w:p>
              </w:tc>
            </w:tr>
            <w:tr>
              <w:trPr>
                <w:jc w:val="center"/>
                <w:trHeight w:val="567"/>
              </w:trPr>
              <w:tc>
                <w:tcPr>
                  <w:shd w:val="clear" w:color="auto" w:fill="auto"/>
                  <w:tcW w:w="443" w:type="pct"/>
                  <w:vAlign w:val="center"/>
                  <w:textDirection w:val="lrTb"/>
                  <w:noWrap w:val="false"/>
                </w:tcPr>
                <w:p>
                  <w:pPr>
                    <w:jc w:val="center"/>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103</w:t>
                  </w:r>
                  <w:r/>
                </w:p>
              </w:tc>
              <w:tc>
                <w:tcPr>
                  <w:shd w:val="clear" w:color="auto" w:fill="auto"/>
                  <w:tcW w:w="790"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安全要求</w:t>
                  </w:r>
                  <w:r/>
                </w:p>
              </w:tc>
              <w:tc>
                <w:tcPr>
                  <w:shd w:val="clear" w:color="auto" w:fill="auto"/>
                  <w:tcW w:w="660" w:type="pct"/>
                  <w:vAlign w:val="center"/>
                  <w:vMerge w:val="continue"/>
                  <w:textDirection w:val="lrTb"/>
                  <w:noWrap w:val="false"/>
                </w:tcPr>
                <w:p>
                  <w:pPr>
                    <w:jc w:val="center"/>
                    <w:spacing w:line="360" w:lineRule="exact"/>
                    <w:rPr>
                      <w:rFonts w:cs="宋体" w:asciiTheme="minorEastAsia" w:hAnsiTheme="minorEastAsia"/>
                      <w:b/>
                      <w:i/>
                      <w:szCs w:val="21"/>
                      <w:u w:val="single"/>
                    </w:rPr>
                  </w:pPr>
                  <w:r>
                    <w:rPr>
                      <w:rFonts w:cs="宋体" w:asciiTheme="minorEastAsia" w:hAnsiTheme="minorEastAsia"/>
                      <w:b/>
                      <w:i/>
                      <w:szCs w:val="21"/>
                      <w:u w:val="single"/>
                    </w:rPr>
                  </w:r>
                  <w:r/>
                </w:p>
              </w:tc>
              <w:tc>
                <w:tcPr>
                  <w:shd w:val="clear" w:color="auto" w:fill="auto"/>
                  <w:tcW w:w="734" w:type="pct"/>
                  <w:vAlign w:val="center"/>
                  <w:textDirection w:val="lrTb"/>
                  <w:noWrap w:val="false"/>
                </w:tcPr>
                <w:p>
                  <w:pPr>
                    <w:jc w:val="center"/>
                    <w:spacing w:line="360" w:lineRule="exact"/>
                    <w:rPr>
                      <w:rFonts w:cs="宋体" w:asciiTheme="minorEastAsia" w:hAnsiTheme="minorEastAsia"/>
                      <w:b/>
                      <w:i/>
                      <w:szCs w:val="21"/>
                      <w:u w:val="single"/>
                      <w:lang w:eastAsia="en-US"/>
                    </w:rPr>
                  </w:pPr>
                  <w:r>
                    <w:rPr>
                      <w:rFonts w:hint="eastAsia" w:cs="宋体" w:asciiTheme="minorEastAsia" w:hAnsiTheme="minorEastAsia"/>
                      <w:b/>
                      <w:i/>
                      <w:szCs w:val="21"/>
                      <w:u w:val="single"/>
                    </w:rPr>
                    <w:t xml:space="preserve">*身份鉴别及访问控制</w:t>
                  </w:r>
                  <w:r/>
                </w:p>
              </w:tc>
              <w:tc>
                <w:tcPr>
                  <w:shd w:val="clear" w:color="auto" w:fill="auto"/>
                  <w:tcW w:w="2373" w:type="pct"/>
                  <w:vAlign w:val="center"/>
                  <w:textDirection w:val="lrTb"/>
                  <w:noWrap w:val="false"/>
                </w:tcPr>
                <w:p>
                  <w:pPr>
                    <w:jc w:val="left"/>
                    <w:spacing w:line="360" w:lineRule="exact"/>
                    <w:rPr>
                      <w:rFonts w:cs="宋体" w:asciiTheme="minorEastAsia" w:hAnsiTheme="minorEastAsia"/>
                      <w:b/>
                      <w:i/>
                      <w:szCs w:val="21"/>
                      <w:u w:val="single"/>
                    </w:rPr>
                  </w:pPr>
                  <w:r>
                    <w:rPr>
                      <w:rFonts w:hint="eastAsia" w:cs="宋体" w:asciiTheme="minorEastAsia" w:hAnsiTheme="minorEastAsia"/>
                      <w:b/>
                      <w:i/>
                      <w:szCs w:val="21"/>
                      <w:u w:val="single"/>
                    </w:rPr>
                    <w:t xml:space="preserve">提供身份鉴别及访问控制，加解密的密码要求符合GM/T0028的相关规定</w:t>
                  </w:r>
                  <w:r/>
                </w:p>
              </w:tc>
            </w:tr>
          </w:tbl>
          <w:p>
            <w:pPr>
              <w:spacing w:line="360" w:lineRule="auto"/>
              <w:rPr>
                <w:b/>
                <w:bCs/>
                <w:i/>
                <w:sz w:val="24"/>
                <w:szCs w:val="24"/>
                <w:u w:val="single"/>
              </w:rPr>
            </w:pPr>
            <w:r>
              <w:rPr>
                <w:b/>
                <w:bCs/>
                <w:i/>
                <w:sz w:val="24"/>
                <w:szCs w:val="24"/>
                <w:u w:val="single"/>
              </w:rPr>
            </w:r>
            <w:r/>
          </w:p>
        </w:tc>
      </w:tr>
    </w:tbl>
    <w:p>
      <w:pPr>
        <w:pStyle w:val="855"/>
      </w:pPr>
      <w:r/>
      <w:bookmarkStart w:id="4" w:name="_Toc162361614"/>
      <w:r/>
      <w:bookmarkEnd w:id="3"/>
      <w:r/>
      <w:r/>
    </w:p>
    <w:p>
      <w:r>
        <w:br w:type="page" w:clear="all"/>
      </w:r>
      <w:r/>
    </w:p>
    <w:p>
      <w:pPr>
        <w:pStyle w:val="842"/>
        <w:jc w:val="center"/>
        <w:spacing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4"/>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t xml:space="preserve">二、评标标准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）本项目评分总分为</w:t>
      </w:r>
      <w:r>
        <w:rPr>
          <w:rFonts w:hint="eastAsia"/>
          <w:sz w:val="24"/>
          <w:szCs w:val="24"/>
        </w:rPr>
        <w:t xml:space="preserve">100</w:t>
      </w:r>
      <w:r>
        <w:rPr>
          <w:rFonts w:hint="eastAsia"/>
          <w:sz w:val="24"/>
          <w:szCs w:val="24"/>
        </w:rPr>
        <w:t xml:space="preserve">分，按四舍五入取至小数点后两位。</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）总得分</w:t>
      </w:r>
      <w:r>
        <w:rPr>
          <w:rFonts w:hint="eastAsia"/>
          <w:sz w:val="24"/>
          <w:szCs w:val="24"/>
        </w:rPr>
        <w:t xml:space="preserve">=</w:t>
      </w:r>
      <w:r>
        <w:rPr>
          <w:rFonts w:hint="eastAsia"/>
          <w:sz w:val="24"/>
          <w:szCs w:val="24"/>
        </w:rPr>
        <w:t xml:space="preserve">价格分</w:t>
      </w:r>
      <w:r>
        <w:rPr>
          <w:rFonts w:hint="eastAsia"/>
          <w:sz w:val="24"/>
          <w:szCs w:val="24"/>
        </w:rPr>
        <w:t xml:space="preserve">+</w:t>
      </w:r>
      <w:r>
        <w:rPr>
          <w:rFonts w:hint="eastAsia"/>
          <w:sz w:val="24"/>
          <w:szCs w:val="24"/>
        </w:rPr>
        <w:t xml:space="preserve">商务分</w:t>
      </w:r>
      <w:r>
        <w:rPr>
          <w:rFonts w:hint="eastAsia"/>
          <w:sz w:val="24"/>
          <w:szCs w:val="24"/>
        </w:rPr>
        <w:t xml:space="preserve">+</w:t>
      </w:r>
      <w:r>
        <w:rPr>
          <w:rFonts w:hint="eastAsia"/>
          <w:sz w:val="24"/>
          <w:szCs w:val="24"/>
        </w:rPr>
        <w:t xml:space="preserve">技术分。</w:t>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1.价格分（10分）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采用低价优先法计算，即满足招标文件要求且投标价格最低的投标报价为评标基准价，其价格分为满分。其他投标人的价格分统一按照下列公式计算，小数点后保留两位：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投标报价得分=（评标基准价/投标报价）×10分。</w:t>
      </w:r>
      <w:r/>
    </w:p>
    <w:p>
      <w:pPr>
        <w:ind w:firstLine="482"/>
        <w:spacing w:line="500" w:lineRule="exact"/>
        <w:rPr>
          <w:rFonts w:asciiTheme="minorEastAsia" w:hAnsiTheme="minorEastAsia"/>
          <w:sz w:val="24"/>
          <w:szCs w:val="24"/>
        </w:rPr>
      </w:pPr>
      <w:r>
        <w:rPr>
          <w:rFonts w:hint="eastAsia" w:asciiTheme="minorEastAsia" w:hAnsiTheme="minorEastAsia"/>
          <w:b/>
          <w:color w:val="000000"/>
          <w:sz w:val="24"/>
          <w:szCs w:val="24"/>
          <w:shd w:val="clear" w:color="auto" w:fill="ffffff"/>
        </w:rPr>
        <w:t xml:space="preserve">本项目</w:t>
      </w:r>
      <w:r>
        <w:rPr>
          <w:rFonts w:hint="eastAsia"/>
          <w:b/>
          <w:sz w:val="24"/>
        </w:rPr>
        <w:t xml:space="preserve">不执行价格评审优惠措施。</w:t>
      </w:r>
      <w:r/>
    </w:p>
    <w:p>
      <w:pPr>
        <w:ind w:firstLine="482"/>
        <w:spacing w:line="360" w:lineRule="auto"/>
        <w:rPr>
          <w:rFonts w:asciiTheme="minorEastAsia" w:hAnsiTheme="minorEastAsia"/>
          <w:b/>
          <w:sz w:val="24"/>
          <w:szCs w:val="24"/>
        </w:rPr>
      </w:pPr>
      <w:r>
        <w:rPr>
          <w:rFonts w:hint="eastAsia" w:asciiTheme="minorEastAsia" w:hAnsiTheme="minorEastAsia"/>
          <w:b/>
          <w:sz w:val="24"/>
          <w:szCs w:val="24"/>
        </w:rPr>
        <w:t xml:space="preserve">2.商务分（55分）</w:t>
      </w:r>
      <w:r/>
    </w:p>
    <w:tbl>
      <w:tblPr>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51"/>
        <w:gridCol w:w="7334"/>
      </w:tblGrid>
      <w:tr>
        <w:trPr>
          <w:jc w:val="center"/>
          <w:trHeight w:val="621"/>
        </w:trPr>
        <w:tc>
          <w:tcPr>
            <w:tcW w:w="195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733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951" w:type="dxa"/>
            <w:vAlign w:val="center"/>
            <w:textDirection w:val="lrTb"/>
            <w:noWrap w:val="false"/>
          </w:tcPr>
          <w:p>
            <w:pPr>
              <w:jc w:val="center"/>
              <w:spacing w:line="440" w:lineRule="exact"/>
              <w:rPr>
                <w:rFonts w:cs="宋体" w:asciiTheme="minorEastAsia" w:hAnsiTheme="minorEastAsia"/>
                <w:sz w:val="24"/>
                <w:szCs w:val="24"/>
              </w:rPr>
            </w:pPr>
            <w:r>
              <w:rPr>
                <w:rFonts w:hint="eastAsia" w:cs="宋体" w:asciiTheme="minorEastAsia" w:hAnsiTheme="minorEastAsia"/>
                <w:sz w:val="24"/>
                <w:szCs w:val="24"/>
              </w:rPr>
              <w:t xml:space="preserve">业绩</w:t>
            </w:r>
            <w:r>
              <w:rPr>
                <w:rFonts w:hint="eastAsia" w:cs="宋体" w:asciiTheme="minorEastAsia" w:hAnsiTheme="minorEastAsia"/>
                <w:sz w:val="24"/>
                <w:szCs w:val="24"/>
              </w:rPr>
              <w:br/>
              <w:t xml:space="preserve">（12分）</w:t>
            </w:r>
            <w:r/>
          </w:p>
        </w:tc>
        <w:tc>
          <w:tcPr>
            <w:tcW w:w="7334" w:type="dxa"/>
            <w:vAlign w:val="center"/>
            <w:textDirection w:val="lrTb"/>
            <w:noWrap w:val="false"/>
          </w:tcPr>
          <w:p>
            <w:pPr>
              <w:spacing w:line="360" w:lineRule="auto"/>
              <w:widowControl/>
              <w:rPr>
                <w:rFonts w:ascii="宋体" w:hAnsi="宋体" w:cs="宋体"/>
                <w:sz w:val="24"/>
                <w:szCs w:val="24"/>
              </w:rPr>
            </w:pPr>
            <w:r>
              <w:rPr>
                <w:rFonts w:hint="eastAsia" w:ascii="宋体" w:hAnsi="宋体" w:cs="宋体"/>
                <w:sz w:val="24"/>
                <w:szCs w:val="24"/>
              </w:rPr>
              <w:t xml:space="preserve">自2021年1月1日以来，投标人具有城市生命线安全建设相关软件系统开发类似项目业绩（合同内容至少与燃气、供水、城市内涝（排水）、道路、桥梁、第三方施工、地下管线其中之一相关）的，每提供一个业绩得2分，</w:t>
            </w:r>
            <w:r>
              <w:rPr>
                <w:rFonts w:hint="eastAsia" w:ascii="宋体" w:hAnsi="宋体" w:cs="宋体"/>
                <w:b/>
                <w:sz w:val="24"/>
                <w:szCs w:val="24"/>
              </w:rPr>
              <w:t xml:space="preserve">最高得12分。</w:t>
            </w:r>
            <w:r/>
          </w:p>
          <w:p>
            <w:pPr>
              <w:spacing w:line="360" w:lineRule="auto"/>
              <w:widowControl/>
              <w:rPr>
                <w:rFonts w:ascii="宋体" w:hAnsi="宋体" w:cs="宋体"/>
                <w:sz w:val="24"/>
                <w:szCs w:val="24"/>
              </w:rPr>
            </w:pPr>
            <w:r>
              <w:rPr>
                <w:rFonts w:hint="eastAsia" w:ascii="宋体" w:hAnsi="宋体" w:cs="宋体"/>
                <w:b/>
                <w:sz w:val="24"/>
                <w:szCs w:val="24"/>
              </w:rPr>
              <w:t xml:space="preserve"> (投标文件中同时提供合同及与合同对应的中标通知书扫描件，并加盖投标人公章。如没有中标通知书，投标人须同时提供合同及加盖被服务单位公章的证明材料，证明内容至少包含被服务单位联系方式、</w:t>
            </w:r>
            <w:r>
              <w:rPr>
                <w:rFonts w:hint="eastAsia" w:ascii="宋体" w:hAnsi="宋体" w:cs="宋体"/>
                <w:b/>
                <w:sz w:val="24"/>
                <w:szCs w:val="24"/>
              </w:rPr>
              <w:t xml:space="preserve">合同项目名称、</w:t>
            </w:r>
            <w:r>
              <w:rPr>
                <w:rFonts w:hint="eastAsia" w:ascii="宋体" w:hAnsi="宋体" w:cs="宋体"/>
                <w:b/>
                <w:sz w:val="24"/>
                <w:szCs w:val="24"/>
              </w:rPr>
              <w:t xml:space="preserve">服务</w:t>
            </w:r>
            <w:r>
              <w:rPr>
                <w:rFonts w:hint="eastAsia" w:ascii="宋体" w:hAnsi="宋体" w:cs="宋体"/>
                <w:b/>
                <w:sz w:val="24"/>
                <w:szCs w:val="24"/>
              </w:rPr>
              <w:t xml:space="preserve">内容以及证明该项目进入履约环节的相关表述等。合同须能够清晰反应合同首页、建设内容、合同签字页等。上述证明材料缺项或未提供均不得分)</w:t>
            </w:r>
            <w:r/>
          </w:p>
        </w:tc>
      </w:tr>
      <w:tr>
        <w:trPr>
          <w:jc w:val="center"/>
          <w:trHeight w:val="621"/>
        </w:trPr>
        <w:tc>
          <w:tcPr>
            <w:tcW w:w="1951" w:type="dxa"/>
            <w:vAlign w:val="center"/>
            <w:textDirection w:val="lrTb"/>
            <w:noWrap w:val="false"/>
          </w:tcPr>
          <w:p>
            <w:pPr>
              <w:jc w:val="center"/>
              <w:spacing w:line="440" w:lineRule="exact"/>
              <w:rPr>
                <w:rFonts w:cs="宋体" w:asciiTheme="minorEastAsia" w:hAnsiTheme="minorEastAsia"/>
                <w:sz w:val="24"/>
                <w:szCs w:val="24"/>
              </w:rPr>
            </w:pPr>
            <w:r>
              <w:rPr>
                <w:rFonts w:hint="eastAsia" w:cs="宋体" w:asciiTheme="minorEastAsia" w:hAnsiTheme="minorEastAsia"/>
                <w:sz w:val="24"/>
                <w:szCs w:val="24"/>
              </w:rPr>
              <w:t xml:space="preserve">履约能力</w:t>
            </w:r>
            <w:r>
              <w:rPr>
                <w:rFonts w:hint="eastAsia" w:cs="宋体" w:asciiTheme="minorEastAsia" w:hAnsiTheme="minorEastAsia"/>
                <w:sz w:val="24"/>
                <w:szCs w:val="24"/>
              </w:rPr>
              <w:br/>
              <w:t xml:space="preserve">（14分）</w:t>
            </w:r>
            <w:r/>
          </w:p>
        </w:tc>
        <w:tc>
          <w:tcPr>
            <w:tcW w:w="733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1.投标人具有信息安全管理体系认证证书的</w:t>
            </w:r>
            <w:r>
              <w:rPr>
                <w:rFonts w:hint="eastAsia" w:ascii="宋体" w:hAnsi="宋体" w:cs="宋体"/>
                <w:b/>
                <w:sz w:val="24"/>
                <w:szCs w:val="24"/>
              </w:rPr>
              <w:t xml:space="preserve">得2分。</w:t>
            </w:r>
            <w:r>
              <w:rPr>
                <w:rFonts w:hint="eastAsia" w:ascii="宋体" w:hAnsi="宋体" w:cs="宋体"/>
                <w:sz w:val="24"/>
                <w:szCs w:val="24"/>
              </w:rPr>
              <w:br/>
              <w:t xml:space="preserve">2.投标人具有信息技术服务管理认证证书的</w:t>
            </w:r>
            <w:r>
              <w:rPr>
                <w:rFonts w:hint="eastAsia" w:ascii="宋体" w:hAnsi="宋体" w:cs="宋体"/>
                <w:b/>
                <w:sz w:val="24"/>
                <w:szCs w:val="24"/>
              </w:rPr>
              <w:t xml:space="preserve">得2分。</w:t>
            </w:r>
            <w:r>
              <w:rPr>
                <w:rFonts w:hint="eastAsia" w:ascii="宋体" w:hAnsi="宋体" w:cs="宋体"/>
                <w:sz w:val="24"/>
                <w:szCs w:val="24"/>
              </w:rPr>
              <w:br/>
              <w:t xml:space="preserve">3.投标人具有知识产权管理体系认证证书的</w:t>
            </w:r>
            <w:r>
              <w:rPr>
                <w:rFonts w:hint="eastAsia" w:ascii="宋体" w:hAnsi="宋体" w:cs="宋体"/>
                <w:b/>
                <w:sz w:val="24"/>
                <w:szCs w:val="24"/>
              </w:rPr>
              <w:t xml:space="preserve">得2分。</w:t>
            </w:r>
            <w:r>
              <w:rPr>
                <w:rFonts w:hint="eastAsia" w:ascii="宋体" w:hAnsi="宋体" w:cs="宋体"/>
                <w:b/>
                <w:sz w:val="24"/>
                <w:szCs w:val="24"/>
              </w:rPr>
              <w:br/>
            </w:r>
            <w:r>
              <w:rPr>
                <w:rFonts w:hint="eastAsia" w:ascii="宋体" w:hAnsi="宋体" w:cs="宋体"/>
                <w:sz w:val="24"/>
                <w:szCs w:val="24"/>
              </w:rPr>
              <w:t xml:space="preserve">4.投标人具有业务连续性管理体系认证的</w:t>
            </w:r>
            <w:r>
              <w:rPr>
                <w:rFonts w:hint="eastAsia" w:ascii="宋体" w:hAnsi="宋体" w:cs="宋体"/>
                <w:b/>
                <w:sz w:val="24"/>
                <w:szCs w:val="24"/>
              </w:rPr>
              <w:t xml:space="preserve">得2分。</w:t>
            </w:r>
            <w:r/>
          </w:p>
          <w:p>
            <w:pPr>
              <w:spacing w:line="360" w:lineRule="auto"/>
              <w:widowControl/>
              <w:rPr>
                <w:rFonts w:ascii="宋体" w:hAnsi="宋体" w:cs="宋体"/>
                <w:b/>
                <w:sz w:val="24"/>
                <w:szCs w:val="24"/>
              </w:rPr>
            </w:pPr>
            <w:r>
              <w:rPr>
                <w:rFonts w:hint="eastAsia" w:ascii="宋体" w:hAnsi="宋体" w:cs="宋体"/>
                <w:sz w:val="24"/>
                <w:szCs w:val="24"/>
              </w:rPr>
              <w:t xml:space="preserve">5.投标人具有质量管理体系认证证书的</w:t>
            </w:r>
            <w:r>
              <w:rPr>
                <w:rFonts w:hint="eastAsia" w:ascii="宋体" w:hAnsi="宋体" w:cs="宋体"/>
                <w:b/>
                <w:sz w:val="24"/>
                <w:szCs w:val="24"/>
              </w:rPr>
              <w:t xml:space="preserve">得2分。</w:t>
            </w:r>
            <w:r/>
          </w:p>
          <w:p>
            <w:pPr>
              <w:spacing w:line="360" w:lineRule="auto"/>
              <w:widowControl/>
              <w:rPr>
                <w:rFonts w:ascii="宋体" w:hAnsi="宋体" w:cs="宋体"/>
                <w:sz w:val="24"/>
                <w:szCs w:val="24"/>
              </w:rPr>
            </w:pPr>
            <w:r>
              <w:rPr>
                <w:rFonts w:hint="eastAsia" w:ascii="宋体" w:hAnsi="宋体" w:cs="宋体"/>
                <w:sz w:val="24"/>
                <w:szCs w:val="24"/>
              </w:rPr>
              <w:t xml:space="preserve">6.投标人具有环境管理体系认证证书的</w:t>
            </w:r>
            <w:r>
              <w:rPr>
                <w:rFonts w:hint="eastAsia" w:ascii="宋体" w:hAnsi="宋体" w:cs="宋体"/>
                <w:b/>
                <w:sz w:val="24"/>
                <w:szCs w:val="24"/>
              </w:rPr>
              <w:t xml:space="preserve">得2分。</w:t>
            </w:r>
            <w:r/>
          </w:p>
          <w:p>
            <w:pPr>
              <w:spacing w:line="360" w:lineRule="auto"/>
              <w:widowControl/>
              <w:rPr>
                <w:rFonts w:ascii="宋体" w:hAnsi="宋体" w:cs="宋体"/>
                <w:b/>
                <w:sz w:val="24"/>
                <w:szCs w:val="24"/>
              </w:rPr>
            </w:pPr>
            <w:r>
              <w:rPr>
                <w:rFonts w:hint="eastAsia" w:ascii="宋体" w:hAnsi="宋体" w:cs="宋体"/>
                <w:sz w:val="24"/>
                <w:szCs w:val="24"/>
              </w:rPr>
              <w:t xml:space="preserve">7.投标人具有职业健康安全管理体系认证证书的</w:t>
            </w:r>
            <w:r>
              <w:rPr>
                <w:rFonts w:hint="eastAsia" w:ascii="宋体" w:hAnsi="宋体" w:cs="宋体"/>
                <w:b/>
                <w:sz w:val="24"/>
                <w:szCs w:val="24"/>
              </w:rPr>
              <w:t xml:space="preserve">得2分。</w:t>
            </w:r>
            <w:r/>
          </w:p>
          <w:p>
            <w:pPr>
              <w:spacing w:line="360" w:lineRule="auto"/>
              <w:widowControl/>
              <w:rPr>
                <w:rFonts w:ascii="宋体" w:hAnsi="宋体" w:cs="宋体"/>
                <w:sz w:val="24"/>
                <w:szCs w:val="24"/>
              </w:rPr>
            </w:pPr>
            <w:r>
              <w:rPr>
                <w:rFonts w:hint="eastAsia" w:ascii="宋体" w:hAnsi="宋体" w:cs="宋体"/>
                <w:b/>
                <w:bCs/>
                <w:sz w:val="24"/>
                <w:szCs w:val="24"/>
              </w:rPr>
              <w:t xml:space="preserve">（上述1-7项投标人须提供有效证书扫描件并加盖投标人公章，</w:t>
            </w:r>
            <w:r>
              <w:rPr>
                <w:rFonts w:hint="eastAsia" w:ascii="宋体" w:hAnsi="宋体" w:cs="宋体"/>
                <w:b/>
                <w:bCs/>
                <w:sz w:val="24"/>
                <w:szCs w:val="24"/>
              </w:rPr>
              <w:t xml:space="preserve">否则</w:t>
            </w:r>
            <w:r>
              <w:rPr>
                <w:rFonts w:hint="eastAsia" w:ascii="宋体" w:hAnsi="宋体" w:cs="宋体"/>
                <w:b/>
                <w:bCs/>
                <w:sz w:val="24"/>
                <w:szCs w:val="24"/>
              </w:rPr>
              <w:t xml:space="preserve">不得分）</w:t>
            </w:r>
            <w:r/>
          </w:p>
        </w:tc>
      </w:tr>
      <w:tr>
        <w:trPr>
          <w:jc w:val="center"/>
          <w:trHeight w:val="621"/>
        </w:trPr>
        <w:tc>
          <w:tcPr>
            <w:tcW w:w="1951" w:type="dxa"/>
            <w:vAlign w:val="center"/>
            <w:textDirection w:val="lrTb"/>
            <w:noWrap w:val="false"/>
          </w:tcPr>
          <w:p>
            <w:pPr>
              <w:jc w:val="center"/>
              <w:spacing w:line="440" w:lineRule="exact"/>
              <w:rPr>
                <w:rFonts w:cs="宋体" w:asciiTheme="minorEastAsia" w:hAnsiTheme="minorEastAsia"/>
                <w:sz w:val="24"/>
                <w:szCs w:val="24"/>
              </w:rPr>
            </w:pPr>
            <w:r>
              <w:rPr>
                <w:rFonts w:hint="eastAsia" w:cs="宋体" w:asciiTheme="minorEastAsia" w:hAnsiTheme="minorEastAsia"/>
                <w:sz w:val="24"/>
                <w:szCs w:val="24"/>
              </w:rPr>
              <w:t xml:space="preserve">企业荣誉</w:t>
            </w:r>
            <w:r>
              <w:rPr>
                <w:rFonts w:hint="eastAsia" w:cs="宋体" w:asciiTheme="minorEastAsia" w:hAnsiTheme="minorEastAsia"/>
                <w:sz w:val="24"/>
                <w:szCs w:val="24"/>
              </w:rPr>
              <w:br/>
              <w:t xml:space="preserve">（4分）</w:t>
            </w:r>
            <w:r/>
          </w:p>
        </w:tc>
        <w:tc>
          <w:tcPr>
            <w:tcW w:w="7334" w:type="dxa"/>
            <w:vAlign w:val="center"/>
            <w:textDirection w:val="lrTb"/>
            <w:noWrap w:val="false"/>
          </w:tcPr>
          <w:p>
            <w:pPr>
              <w:spacing w:line="360" w:lineRule="auto"/>
              <w:widowControl/>
              <w:rPr>
                <w:rFonts w:ascii="宋体" w:hAnsi="宋体" w:cs="宋体"/>
                <w:sz w:val="24"/>
                <w:szCs w:val="24"/>
              </w:rPr>
            </w:pPr>
            <w:r>
              <w:rPr>
                <w:rFonts w:hint="eastAsia" w:ascii="宋体" w:hAnsi="宋体" w:cs="宋体"/>
                <w:sz w:val="24"/>
                <w:szCs w:val="24"/>
              </w:rPr>
              <w:t xml:space="preserve">投标人获得过燃气、供排水、道路、桥梁相关领域科学技术进步奖或科学技术奖的，国家级科学技术进步奖或科学技术奖的得4分；省级科学技术进步奖或科学技术奖的得2分；市级科学技术进步奖或科学技术奖的得1分；</w:t>
            </w:r>
            <w:r>
              <w:rPr>
                <w:rFonts w:hint="eastAsia" w:ascii="宋体" w:hAnsi="宋体" w:cs="宋体"/>
                <w:b/>
                <w:sz w:val="24"/>
                <w:szCs w:val="24"/>
              </w:rPr>
              <w:t xml:space="preserve">本项不累计得分，最高得4分。</w:t>
            </w:r>
            <w:r>
              <w:rPr>
                <w:rFonts w:hint="eastAsia" w:ascii="宋体" w:hAnsi="宋体" w:cs="宋体"/>
                <w:b/>
                <w:sz w:val="24"/>
                <w:szCs w:val="24"/>
              </w:rPr>
              <w:br/>
              <w:t xml:space="preserve">（投标文件中提供奖项证书扫描件并加盖投标人公章，证书须清晰反应投标人名称，</w:t>
            </w:r>
            <w:r>
              <w:rPr>
                <w:rFonts w:hint="eastAsia" w:ascii="宋体" w:hAnsi="宋体" w:cs="宋体"/>
                <w:b/>
                <w:sz w:val="24"/>
                <w:szCs w:val="24"/>
              </w:rPr>
              <w:t xml:space="preserve">否则</w:t>
            </w:r>
            <w:r>
              <w:rPr>
                <w:rFonts w:hint="eastAsia" w:ascii="宋体" w:hAnsi="宋体" w:cs="宋体"/>
                <w:b/>
                <w:sz w:val="24"/>
                <w:szCs w:val="24"/>
              </w:rPr>
              <w:t xml:space="preserve">不得分</w:t>
            </w:r>
            <w:r>
              <w:rPr>
                <w:rFonts w:hint="eastAsia" w:ascii="宋体" w:hAnsi="宋体" w:cs="宋体"/>
                <w:b/>
                <w:sz w:val="24"/>
                <w:szCs w:val="24"/>
              </w:rPr>
              <w:t xml:space="preserve">。名称不完全一致，相关领域由</w:t>
            </w:r>
            <w:r>
              <w:rPr>
                <w:rFonts w:hint="eastAsia" w:asciiTheme="minorEastAsia" w:hAnsiTheme="minorEastAsia"/>
                <w:b/>
                <w:bCs/>
                <w:sz w:val="24"/>
              </w:rPr>
              <w:t xml:space="preserve">评标委员会</w:t>
            </w:r>
            <w:r>
              <w:rPr>
                <w:rFonts w:hint="eastAsia" w:ascii="宋体" w:hAnsi="宋体" w:cs="宋体"/>
                <w:b/>
                <w:sz w:val="24"/>
                <w:szCs w:val="24"/>
              </w:rPr>
              <w:t xml:space="preserve">统一</w:t>
            </w:r>
            <w:r>
              <w:rPr>
                <w:rFonts w:hint="eastAsia" w:ascii="宋体" w:hAnsi="宋体" w:cs="宋体"/>
                <w:b/>
                <w:sz w:val="24"/>
                <w:szCs w:val="24"/>
              </w:rPr>
              <w:t xml:space="preserve">认定，投标人可提供说明等证明材料，便于评审</w:t>
            </w:r>
            <w:r>
              <w:rPr>
                <w:rFonts w:hint="eastAsia" w:ascii="宋体" w:hAnsi="宋体" w:cs="宋体"/>
                <w:b/>
                <w:sz w:val="24"/>
                <w:szCs w:val="24"/>
              </w:rPr>
              <w:t xml:space="preserve">）</w:t>
            </w:r>
            <w:r/>
          </w:p>
        </w:tc>
      </w:tr>
      <w:tr>
        <w:trPr>
          <w:jc w:val="center"/>
          <w:trHeight w:val="621"/>
        </w:trPr>
        <w:tc>
          <w:tcPr>
            <w:tcW w:w="1951" w:type="dxa"/>
            <w:vAlign w:val="center"/>
            <w:textDirection w:val="lrTb"/>
            <w:noWrap w:val="false"/>
          </w:tcPr>
          <w:p>
            <w:pPr>
              <w:jc w:val="center"/>
              <w:spacing w:line="440" w:lineRule="exact"/>
              <w:rPr>
                <w:rFonts w:cs="宋体" w:asciiTheme="minorEastAsia" w:hAnsiTheme="minorEastAsia"/>
                <w:sz w:val="24"/>
                <w:szCs w:val="24"/>
              </w:rPr>
            </w:pPr>
            <w:r>
              <w:rPr>
                <w:rFonts w:hint="eastAsia" w:cs="宋体" w:asciiTheme="minorEastAsia" w:hAnsiTheme="minorEastAsia"/>
                <w:sz w:val="24"/>
                <w:szCs w:val="24"/>
              </w:rPr>
              <w:t xml:space="preserve">软件著作权证书</w:t>
            </w:r>
            <w:r>
              <w:rPr>
                <w:rFonts w:hint="eastAsia" w:cs="宋体" w:asciiTheme="minorEastAsia" w:hAnsiTheme="minorEastAsia"/>
                <w:sz w:val="24"/>
                <w:szCs w:val="24"/>
              </w:rPr>
              <w:br/>
              <w:t xml:space="preserve">（5分）</w:t>
            </w:r>
            <w:r/>
          </w:p>
        </w:tc>
        <w:tc>
          <w:tcPr>
            <w:tcW w:w="7334" w:type="dxa"/>
            <w:vAlign w:val="center"/>
            <w:textDirection w:val="lrTb"/>
            <w:noWrap w:val="false"/>
          </w:tcPr>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color w:val="000000"/>
                <w:sz w:val="24"/>
                <w:szCs w:val="24"/>
                <w:highlight w:val="yellow"/>
              </w:rPr>
            </w:pPr>
            <w:r>
              <w:rPr>
                <w:rFonts w:hint="eastAsia" w:ascii="宋体" w:hAnsi="宋体" w:cs="宋体"/>
                <w:sz w:val="24"/>
                <w:szCs w:val="24"/>
              </w:rPr>
              <w:t xml:space="preserve">投标人具有城市基础设施监管类、地下管线监管类、燃气监测监管类、燃气预警类、第三方施工监测监管类、桥梁监测监管类、排水监测监管类相关的软件著作权证书的，每提供一个证书得0.5分，</w:t>
            </w:r>
            <w:r>
              <w:rPr>
                <w:rFonts w:hint="eastAsia" w:ascii="宋体" w:hAnsi="宋体" w:cs="宋体"/>
                <w:b/>
                <w:sz w:val="24"/>
                <w:szCs w:val="24"/>
              </w:rPr>
              <w:t xml:space="preserve">最高得5分。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Theme="minorEastAsia" w:hAnsiTheme="minorEastAsia"/>
                <w:b/>
                <w:bCs/>
                <w:sz w:val="24"/>
              </w:rPr>
              <w:t xml:space="preserve">（投标文件中提供相关证书扫描件并加盖投标人公章，否则不得分。名称或功能相近的，由评标委员会统一认定。投标人可提供相关说明等证明材料，便于评审）</w:t>
            </w:r>
            <w:r/>
          </w:p>
        </w:tc>
      </w:tr>
      <w:tr>
        <w:trPr>
          <w:jc w:val="center"/>
          <w:trHeight w:val="621"/>
        </w:trPr>
        <w:tc>
          <w:tcPr>
            <w:tcW w:w="1951" w:type="dxa"/>
            <w:vAlign w:val="center"/>
            <w:textDirection w:val="lrTb"/>
            <w:noWrap w:val="false"/>
          </w:tcPr>
          <w:p>
            <w:pPr>
              <w:jc w:val="center"/>
              <w:spacing w:line="440" w:lineRule="exact"/>
              <w:rPr>
                <w:rFonts w:cs="宋体" w:asciiTheme="minorEastAsia" w:hAnsiTheme="minorEastAsia"/>
                <w:sz w:val="24"/>
                <w:szCs w:val="24"/>
              </w:rPr>
            </w:pPr>
            <w:r>
              <w:rPr>
                <w:rFonts w:hint="eastAsia" w:cs="宋体" w:asciiTheme="minorEastAsia" w:hAnsiTheme="minorEastAsia"/>
                <w:sz w:val="24"/>
                <w:szCs w:val="24"/>
              </w:rPr>
              <w:t xml:space="preserve">项目团队成员</w:t>
            </w:r>
            <w:r/>
          </w:p>
          <w:p>
            <w:pPr>
              <w:jc w:val="center"/>
              <w:spacing w:line="440" w:lineRule="exact"/>
              <w:rPr>
                <w:rFonts w:cs="宋体" w:asciiTheme="minorEastAsia" w:hAnsiTheme="minorEastAsia"/>
                <w:sz w:val="24"/>
                <w:szCs w:val="24"/>
              </w:rPr>
            </w:pPr>
            <w:r>
              <w:rPr>
                <w:rFonts w:hint="eastAsia" w:cs="宋体" w:asciiTheme="minorEastAsia" w:hAnsiTheme="minorEastAsia"/>
                <w:sz w:val="24"/>
                <w:szCs w:val="24"/>
              </w:rPr>
              <w:t xml:space="preserve">（15分）</w:t>
            </w:r>
            <w:r/>
          </w:p>
        </w:tc>
        <w:tc>
          <w:tcPr>
            <w:tcW w:w="7334" w:type="dxa"/>
            <w:vAlign w:val="center"/>
            <w:textDirection w:val="lrTb"/>
            <w:noWrap w:val="false"/>
          </w:tcPr>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1.项目负责人</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sz w:val="24"/>
                <w:szCs w:val="24"/>
              </w:rPr>
            </w:pPr>
            <w:r>
              <w:rPr>
                <w:rFonts w:hint="eastAsia" w:ascii="宋体" w:hAnsi="宋体" w:cs="宋体"/>
                <w:sz w:val="24"/>
                <w:szCs w:val="24"/>
              </w:rPr>
              <w:t xml:space="preserve">具有智慧类或信息化类高级职称，且同时具有网络工程师及软件工程师（高级）证书的</w:t>
            </w:r>
            <w:r>
              <w:rPr>
                <w:rFonts w:hint="eastAsia" w:ascii="宋体" w:hAnsi="宋体" w:cs="宋体"/>
                <w:b/>
                <w:sz w:val="24"/>
                <w:szCs w:val="24"/>
              </w:rPr>
              <w:t xml:space="preserve">得3分。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2.技术负责人</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sz w:val="24"/>
                <w:szCs w:val="24"/>
              </w:rPr>
              <w:t xml:space="preserve">①燃气专项技术负责人1名：具有注册公用设备工程师（暖通空调或</w:t>
            </w:r>
            <w:r>
              <w:rPr>
                <w:rFonts w:hint="eastAsia" w:ascii="宋体" w:hAnsi="宋体" w:cs="宋体"/>
                <w:sz w:val="24"/>
                <w:szCs w:val="24"/>
              </w:rPr>
              <w:t xml:space="preserve">动力)证书的得1分</w:t>
            </w:r>
            <w:r>
              <w:rPr>
                <w:rFonts w:hint="eastAsia" w:ascii="宋体" w:hAnsi="宋体" w:cs="宋体"/>
                <w:sz w:val="24"/>
                <w:szCs w:val="24"/>
              </w:rPr>
              <w:t xml:space="preserve">，在满足上述要求的基础上</w:t>
            </w:r>
            <w:r>
              <w:rPr>
                <w:rFonts w:hint="eastAsia" w:ascii="宋体" w:hAnsi="宋体" w:cs="宋体"/>
                <w:sz w:val="24"/>
                <w:szCs w:val="24"/>
              </w:rPr>
              <w:t xml:space="preserve">：</w:t>
            </w:r>
            <w:r>
              <w:rPr>
                <w:rFonts w:hint="eastAsia" w:ascii="宋体" w:hAnsi="宋体" w:cs="宋体"/>
                <w:sz w:val="24"/>
                <w:szCs w:val="24"/>
              </w:rPr>
              <w:t xml:space="preserve">同时具有正高级工程师（研究员级工程师）职称的再得1分；</w:t>
            </w:r>
            <w:r>
              <w:rPr>
                <w:rFonts w:hint="eastAsia" w:ascii="宋体" w:hAnsi="宋体" w:cs="宋体"/>
                <w:sz w:val="24"/>
                <w:szCs w:val="24"/>
              </w:rPr>
              <w:t xml:space="preserve">同时</w:t>
            </w:r>
            <w:r>
              <w:rPr>
                <w:rFonts w:hint="eastAsia" w:ascii="宋体" w:hAnsi="宋体" w:cs="宋体"/>
                <w:sz w:val="24"/>
                <w:szCs w:val="24"/>
              </w:rPr>
              <w:t xml:space="preserve">具有高级工程师</w:t>
            </w:r>
            <w:r>
              <w:rPr>
                <w:rFonts w:hint="eastAsia" w:ascii="宋体" w:hAnsi="宋体" w:cs="宋体"/>
                <w:sz w:val="24"/>
                <w:szCs w:val="24"/>
              </w:rPr>
              <w:t xml:space="preserve">(副高)</w:t>
            </w:r>
            <w:r>
              <w:rPr>
                <w:rFonts w:hint="eastAsia" w:ascii="宋体" w:hAnsi="宋体" w:cs="宋体"/>
                <w:sz w:val="24"/>
                <w:szCs w:val="24"/>
              </w:rPr>
              <w:t xml:space="preserve">职称的再得0.5分，</w:t>
            </w:r>
            <w:r>
              <w:rPr>
                <w:rFonts w:hint="eastAsia" w:ascii="宋体" w:hAnsi="宋体" w:cs="宋体"/>
                <w:b/>
                <w:sz w:val="24"/>
                <w:szCs w:val="24"/>
              </w:rPr>
              <w:t xml:space="preserve">本项最高得2分。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sz w:val="24"/>
                <w:szCs w:val="24"/>
              </w:rPr>
            </w:pPr>
            <w:r>
              <w:rPr>
                <w:rFonts w:hint="eastAsia" w:ascii="宋体" w:hAnsi="宋体" w:cs="宋体"/>
                <w:sz w:val="24"/>
                <w:szCs w:val="24"/>
              </w:rPr>
              <w:t xml:space="preserve">②供水、排水专项技术负责人1名：具有注册公用设备工程师(给水排水)证书的得1分</w:t>
            </w:r>
            <w:r>
              <w:rPr>
                <w:rFonts w:hint="eastAsia" w:ascii="宋体" w:hAnsi="宋体" w:cs="宋体"/>
                <w:sz w:val="24"/>
                <w:szCs w:val="24"/>
              </w:rPr>
              <w:t xml:space="preserve">，</w:t>
            </w:r>
            <w:r>
              <w:rPr>
                <w:rFonts w:hint="eastAsia" w:ascii="宋体" w:hAnsi="宋体" w:cs="宋体"/>
                <w:sz w:val="24"/>
                <w:szCs w:val="24"/>
              </w:rPr>
              <w:t xml:space="preserve">在</w:t>
            </w:r>
            <w:r>
              <w:rPr>
                <w:rFonts w:hint="eastAsia" w:ascii="宋体" w:hAnsi="宋体" w:cs="宋体"/>
                <w:sz w:val="24"/>
                <w:szCs w:val="24"/>
              </w:rPr>
              <w:t xml:space="preserve">满足上述要求的</w:t>
            </w:r>
            <w:r>
              <w:rPr>
                <w:rFonts w:hint="eastAsia" w:ascii="宋体" w:hAnsi="宋体" w:cs="宋体"/>
                <w:sz w:val="24"/>
                <w:szCs w:val="24"/>
              </w:rPr>
              <w:t xml:space="preserve">基础上</w:t>
            </w:r>
            <w:r>
              <w:rPr>
                <w:rFonts w:hint="eastAsia" w:ascii="宋体" w:hAnsi="宋体" w:cs="宋体"/>
                <w:sz w:val="24"/>
                <w:szCs w:val="24"/>
              </w:rPr>
              <w:t xml:space="preserve">：</w:t>
            </w:r>
            <w:r>
              <w:rPr>
                <w:rFonts w:hint="eastAsia" w:ascii="宋体" w:hAnsi="宋体" w:cs="宋体"/>
                <w:sz w:val="24"/>
                <w:szCs w:val="24"/>
              </w:rPr>
              <w:t xml:space="preserve">同时具有</w:t>
            </w:r>
            <w:r>
              <w:rPr>
                <w:rFonts w:hint="eastAsia" w:ascii="宋体" w:hAnsi="宋体" w:cs="宋体"/>
                <w:sz w:val="24"/>
                <w:szCs w:val="24"/>
              </w:rPr>
              <w:t xml:space="preserve">正高级工程师（研究员级工程师）职称的再得1分；同时具有</w:t>
            </w:r>
            <w:r>
              <w:rPr>
                <w:rFonts w:hint="eastAsia" w:ascii="宋体" w:hAnsi="宋体" w:cs="宋体"/>
                <w:sz w:val="24"/>
                <w:szCs w:val="24"/>
              </w:rPr>
              <w:t xml:space="preserve">高级工程师</w:t>
            </w:r>
            <w:r>
              <w:rPr>
                <w:rFonts w:hint="eastAsia" w:ascii="宋体" w:hAnsi="宋体" w:cs="宋体"/>
                <w:sz w:val="24"/>
                <w:szCs w:val="24"/>
              </w:rPr>
              <w:t xml:space="preserve">(副高)</w:t>
            </w:r>
            <w:r>
              <w:rPr>
                <w:rFonts w:hint="eastAsia" w:ascii="宋体" w:hAnsi="宋体" w:cs="宋体"/>
                <w:sz w:val="24"/>
                <w:szCs w:val="24"/>
              </w:rPr>
              <w:t xml:space="preserve">职称的再得0.5分，</w:t>
            </w:r>
            <w:r>
              <w:rPr>
                <w:rFonts w:hint="eastAsia" w:ascii="宋体" w:hAnsi="宋体" w:cs="宋体"/>
                <w:b/>
                <w:sz w:val="24"/>
                <w:szCs w:val="24"/>
              </w:rPr>
              <w:t xml:space="preserve">本项最高得2分。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sz w:val="24"/>
                <w:szCs w:val="24"/>
                <w:highlight w:val="yellow"/>
              </w:rPr>
            </w:pPr>
            <w:r>
              <w:rPr>
                <w:rFonts w:hint="eastAsia" w:ascii="宋体" w:hAnsi="宋体" w:cs="宋体"/>
                <w:sz w:val="24"/>
                <w:szCs w:val="24"/>
              </w:rPr>
              <w:t xml:space="preserve">③桥梁专项技术负责人1名：具有一级注册结构工程师证书的得1分</w:t>
            </w:r>
            <w:r>
              <w:rPr>
                <w:rFonts w:hint="eastAsia" w:ascii="宋体" w:hAnsi="宋体" w:cs="宋体"/>
                <w:sz w:val="24"/>
                <w:szCs w:val="24"/>
              </w:rPr>
              <w:t xml:space="preserve">，</w:t>
            </w:r>
            <w:r>
              <w:rPr>
                <w:rFonts w:hint="eastAsia" w:ascii="宋体" w:hAnsi="宋体" w:cs="宋体"/>
                <w:sz w:val="24"/>
                <w:szCs w:val="24"/>
              </w:rPr>
              <w:t xml:space="preserve">在</w:t>
            </w:r>
            <w:r>
              <w:rPr>
                <w:rFonts w:hint="eastAsia" w:ascii="宋体" w:hAnsi="宋体" w:cs="宋体"/>
                <w:sz w:val="24"/>
                <w:szCs w:val="24"/>
              </w:rPr>
              <w:t xml:space="preserve">满足上述要求的</w:t>
            </w:r>
            <w:r>
              <w:rPr>
                <w:rFonts w:hint="eastAsia" w:ascii="宋体" w:hAnsi="宋体" w:cs="宋体"/>
                <w:sz w:val="24"/>
                <w:szCs w:val="24"/>
              </w:rPr>
              <w:t xml:space="preserve">基础上</w:t>
            </w:r>
            <w:r>
              <w:rPr>
                <w:rFonts w:hint="eastAsia" w:ascii="宋体" w:hAnsi="宋体" w:cs="宋体"/>
                <w:sz w:val="24"/>
                <w:szCs w:val="24"/>
              </w:rPr>
              <w:t xml:space="preserve">：</w:t>
            </w:r>
            <w:r>
              <w:rPr>
                <w:rFonts w:hint="eastAsia" w:ascii="宋体" w:hAnsi="宋体" w:cs="宋体"/>
                <w:sz w:val="24"/>
                <w:szCs w:val="24"/>
              </w:rPr>
              <w:t xml:space="preserve">同时</w:t>
            </w:r>
            <w:r>
              <w:rPr>
                <w:rFonts w:hint="eastAsia" w:ascii="宋体" w:hAnsi="宋体" w:cs="宋体"/>
                <w:sz w:val="24"/>
                <w:szCs w:val="24"/>
              </w:rPr>
              <w:t xml:space="preserve">具有正高级工程师（研究员级工程师）职称的再得1分；同时</w:t>
            </w:r>
            <w:r>
              <w:rPr>
                <w:rFonts w:hint="eastAsia" w:ascii="宋体" w:hAnsi="宋体" w:cs="宋体"/>
                <w:sz w:val="24"/>
                <w:szCs w:val="24"/>
              </w:rPr>
              <w:t xml:space="preserve">具有高级工程师</w:t>
            </w:r>
            <w:r>
              <w:rPr>
                <w:rFonts w:hint="eastAsia" w:ascii="宋体" w:hAnsi="宋体" w:cs="宋体"/>
                <w:sz w:val="24"/>
                <w:szCs w:val="24"/>
              </w:rPr>
              <w:t xml:space="preserve">(副高)</w:t>
            </w:r>
            <w:r>
              <w:rPr>
                <w:rFonts w:hint="eastAsia" w:ascii="宋体" w:hAnsi="宋体" w:cs="宋体"/>
                <w:sz w:val="24"/>
                <w:szCs w:val="24"/>
              </w:rPr>
              <w:t xml:space="preserve">职称的再得0.5分，</w:t>
            </w:r>
            <w:r>
              <w:rPr>
                <w:rFonts w:hint="eastAsia" w:ascii="宋体" w:hAnsi="宋体" w:cs="宋体"/>
                <w:b/>
                <w:sz w:val="24"/>
                <w:szCs w:val="24"/>
              </w:rPr>
              <w:t xml:space="preserve">本项最高得2分。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sz w:val="24"/>
                <w:szCs w:val="24"/>
              </w:rPr>
            </w:pPr>
            <w:r>
              <w:rPr>
                <w:rFonts w:hint="eastAsia" w:ascii="宋体" w:hAnsi="宋体" w:cs="宋体"/>
                <w:sz w:val="24"/>
                <w:szCs w:val="24"/>
              </w:rPr>
              <w:t xml:space="preserve">④道路专项技术负责人1名：具有注册土木工程师（道路工程）证书或注册道路工程师证书的得1分</w:t>
            </w:r>
            <w:r>
              <w:rPr>
                <w:rFonts w:hint="eastAsia" w:ascii="宋体" w:hAnsi="宋体" w:cs="宋体"/>
                <w:sz w:val="24"/>
                <w:szCs w:val="24"/>
              </w:rPr>
              <w:t xml:space="preserve">，</w:t>
            </w:r>
            <w:r>
              <w:rPr>
                <w:rFonts w:hint="eastAsia" w:ascii="宋体" w:hAnsi="宋体" w:cs="宋体"/>
                <w:sz w:val="24"/>
                <w:szCs w:val="24"/>
              </w:rPr>
              <w:t xml:space="preserve">在满足上述要求的基础上：</w:t>
            </w:r>
            <w:r>
              <w:rPr>
                <w:rFonts w:hint="eastAsia" w:ascii="宋体" w:hAnsi="宋体" w:cs="宋体"/>
                <w:sz w:val="24"/>
                <w:szCs w:val="24"/>
              </w:rPr>
              <w:t xml:space="preserve">同时具有正高级工程师（研究员级工程师）职称的再得1分；同时</w:t>
            </w:r>
            <w:r>
              <w:rPr>
                <w:rFonts w:hint="eastAsia" w:ascii="宋体" w:hAnsi="宋体" w:cs="宋体"/>
                <w:sz w:val="24"/>
                <w:szCs w:val="24"/>
              </w:rPr>
              <w:t xml:space="preserve">具有高级工程师</w:t>
            </w:r>
            <w:r>
              <w:rPr>
                <w:rFonts w:hint="eastAsia" w:ascii="宋体" w:hAnsi="宋体" w:cs="宋体"/>
                <w:sz w:val="24"/>
                <w:szCs w:val="24"/>
              </w:rPr>
              <w:t xml:space="preserve">(副高)</w:t>
            </w:r>
            <w:r>
              <w:rPr>
                <w:rFonts w:hint="eastAsia" w:ascii="宋体" w:hAnsi="宋体" w:cs="宋体"/>
                <w:sz w:val="24"/>
                <w:szCs w:val="24"/>
              </w:rPr>
              <w:t xml:space="preserve">职称的再得0.5分，</w:t>
            </w:r>
            <w:r>
              <w:rPr>
                <w:rFonts w:hint="eastAsia" w:ascii="宋体" w:hAnsi="宋体" w:cs="宋体"/>
                <w:b/>
                <w:sz w:val="24"/>
                <w:szCs w:val="24"/>
              </w:rPr>
              <w:t xml:space="preserve">本项最高得2分。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sz w:val="24"/>
                <w:szCs w:val="24"/>
              </w:rPr>
            </w:pPr>
            <w:r>
              <w:rPr>
                <w:rFonts w:hint="eastAsia" w:ascii="宋体" w:hAnsi="宋体" w:cs="宋体"/>
                <w:sz w:val="24"/>
                <w:szCs w:val="24"/>
              </w:rPr>
              <w:t xml:space="preserve">⑤信息安全技术负责人1名：具有注册信息安全工程师证书（CISP）的得1分</w:t>
            </w:r>
            <w:r>
              <w:rPr>
                <w:rFonts w:hint="eastAsia" w:ascii="宋体" w:hAnsi="宋体" w:cs="宋体"/>
                <w:sz w:val="24"/>
                <w:szCs w:val="24"/>
              </w:rPr>
              <w:t xml:space="preserve">，</w:t>
            </w:r>
            <w:r>
              <w:rPr>
                <w:rFonts w:hint="eastAsia" w:ascii="宋体" w:hAnsi="宋体" w:cs="宋体"/>
                <w:sz w:val="24"/>
                <w:szCs w:val="24"/>
              </w:rPr>
              <w:t xml:space="preserve">在满足上述要求的基础上：</w:t>
            </w:r>
            <w:r>
              <w:rPr>
                <w:rFonts w:hint="eastAsia" w:ascii="宋体" w:hAnsi="宋体" w:cs="宋体"/>
                <w:sz w:val="24"/>
                <w:szCs w:val="24"/>
              </w:rPr>
              <w:t xml:space="preserve">同时</w:t>
            </w:r>
            <w:r>
              <w:rPr>
                <w:rFonts w:hint="eastAsia" w:ascii="宋体" w:hAnsi="宋体" w:cs="宋体"/>
                <w:sz w:val="24"/>
                <w:szCs w:val="24"/>
              </w:rPr>
              <w:t xml:space="preserve">具有正高级工程师（研究员级工程师）职称的再得1分；</w:t>
            </w:r>
            <w:r>
              <w:rPr>
                <w:rFonts w:hint="eastAsia" w:ascii="宋体" w:hAnsi="宋体" w:cs="宋体"/>
                <w:sz w:val="24"/>
                <w:szCs w:val="24"/>
              </w:rPr>
              <w:t xml:space="preserve">同时</w:t>
            </w:r>
            <w:r>
              <w:rPr>
                <w:rFonts w:hint="eastAsia" w:ascii="宋体" w:hAnsi="宋体" w:cs="宋体"/>
                <w:sz w:val="24"/>
                <w:szCs w:val="24"/>
              </w:rPr>
              <w:t xml:space="preserve">具有高级工程师</w:t>
            </w:r>
            <w:r>
              <w:rPr>
                <w:rFonts w:hint="eastAsia" w:ascii="宋体" w:hAnsi="宋体" w:cs="宋体"/>
                <w:sz w:val="24"/>
                <w:szCs w:val="24"/>
              </w:rPr>
              <w:t xml:space="preserve">(副高)</w:t>
            </w:r>
            <w:r>
              <w:rPr>
                <w:rFonts w:hint="eastAsia" w:ascii="宋体" w:hAnsi="宋体" w:cs="宋体"/>
                <w:sz w:val="24"/>
                <w:szCs w:val="24"/>
              </w:rPr>
              <w:t xml:space="preserve">职称的再得0.5分，</w:t>
            </w:r>
            <w:r>
              <w:rPr>
                <w:rFonts w:hint="eastAsia" w:ascii="宋体" w:hAnsi="宋体" w:cs="宋体"/>
                <w:b/>
                <w:sz w:val="24"/>
                <w:szCs w:val="24"/>
              </w:rPr>
              <w:t xml:space="preserve">本项最高得2分。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sz w:val="24"/>
                <w:szCs w:val="24"/>
              </w:rPr>
            </w:pPr>
            <w:r>
              <w:rPr>
                <w:rFonts w:hint="eastAsia" w:ascii="宋体" w:hAnsi="宋体" w:cs="宋体"/>
                <w:sz w:val="24"/>
                <w:szCs w:val="24"/>
              </w:rPr>
              <w:t xml:space="preserve">⑥现场安全负责人1名：具有注册安全工程师证书的得1分</w:t>
            </w:r>
            <w:r>
              <w:rPr>
                <w:rFonts w:hint="eastAsia" w:ascii="宋体" w:hAnsi="宋体" w:cs="宋体"/>
                <w:sz w:val="24"/>
                <w:szCs w:val="24"/>
              </w:rPr>
              <w:t xml:space="preserve">，</w:t>
            </w:r>
            <w:r>
              <w:rPr>
                <w:rFonts w:hint="eastAsia" w:ascii="宋体" w:hAnsi="宋体" w:cs="宋体"/>
                <w:sz w:val="24"/>
                <w:szCs w:val="24"/>
              </w:rPr>
              <w:t xml:space="preserve">在满足上述要求的基础上：</w:t>
            </w:r>
            <w:r>
              <w:rPr>
                <w:rFonts w:hint="eastAsia" w:ascii="宋体" w:hAnsi="宋体" w:cs="宋体"/>
                <w:sz w:val="24"/>
                <w:szCs w:val="24"/>
              </w:rPr>
              <w:t xml:space="preserve">同时</w:t>
            </w:r>
            <w:r>
              <w:rPr>
                <w:rFonts w:hint="eastAsia" w:ascii="宋体" w:hAnsi="宋体" w:cs="宋体"/>
                <w:sz w:val="24"/>
                <w:szCs w:val="24"/>
              </w:rPr>
              <w:t xml:space="preserve">具有正高级工程师（研究员级工程师）职称的再得1分；</w:t>
            </w:r>
            <w:r>
              <w:rPr>
                <w:rFonts w:hint="eastAsia" w:ascii="宋体" w:hAnsi="宋体" w:cs="宋体"/>
                <w:sz w:val="24"/>
                <w:szCs w:val="24"/>
              </w:rPr>
              <w:t xml:space="preserve">同时</w:t>
            </w:r>
            <w:r>
              <w:rPr>
                <w:rFonts w:hint="eastAsia" w:ascii="宋体" w:hAnsi="宋体" w:cs="宋体"/>
                <w:sz w:val="24"/>
                <w:szCs w:val="24"/>
              </w:rPr>
              <w:t xml:space="preserve">具有高级工程师</w:t>
            </w:r>
            <w:r>
              <w:rPr>
                <w:rFonts w:hint="eastAsia" w:ascii="宋体" w:hAnsi="宋体" w:cs="宋体"/>
                <w:sz w:val="24"/>
                <w:szCs w:val="24"/>
              </w:rPr>
              <w:t xml:space="preserve">(副高)</w:t>
            </w:r>
            <w:r>
              <w:rPr>
                <w:rFonts w:hint="eastAsia" w:ascii="宋体" w:hAnsi="宋体" w:cs="宋体"/>
                <w:sz w:val="24"/>
                <w:szCs w:val="24"/>
              </w:rPr>
              <w:t xml:space="preserve">职称的再得0.5分，</w:t>
            </w:r>
            <w:r>
              <w:rPr>
                <w:rFonts w:hint="eastAsia" w:ascii="宋体" w:hAnsi="宋体" w:cs="宋体"/>
                <w:b/>
                <w:sz w:val="24"/>
                <w:szCs w:val="24"/>
              </w:rPr>
              <w:t xml:space="preserve">本项最高得2分。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eastAsia="宋体" w:cs="宋体"/>
                <w:b/>
                <w:bCs/>
                <w:color w:val="000000"/>
                <w:sz w:val="24"/>
                <w:szCs w:val="24"/>
              </w:rPr>
              <w:t xml:space="preserve">（上述</w:t>
            </w:r>
            <w:r>
              <w:rPr>
                <w:rFonts w:hint="eastAsia" w:ascii="宋体" w:hAnsi="宋体" w:cs="宋体"/>
                <w:b/>
                <w:sz w:val="24"/>
                <w:szCs w:val="24"/>
              </w:rPr>
              <w:t xml:space="preserve">所配备人员</w:t>
            </w:r>
            <w:r>
              <w:rPr>
                <w:rFonts w:hint="eastAsia" w:ascii="宋体" w:hAnsi="宋体" w:eastAsia="宋体" w:cs="宋体"/>
                <w:b/>
                <w:bCs/>
                <w:color w:val="000000"/>
                <w:sz w:val="24"/>
                <w:szCs w:val="24"/>
              </w:rPr>
              <w:t xml:space="preserve">投标文件中同时提供有效相关证书及2024年1月1日以来任意一个月由投标人为其缴纳的社保证明材料扫描件并加盖投标人公章，否则不得分。</w:t>
            </w:r>
            <w:r>
              <w:rPr>
                <w:rFonts w:hint="eastAsia" w:ascii="宋体" w:hAnsi="宋体" w:eastAsia="宋体" w:cs="宋体"/>
                <w:b/>
                <w:bCs/>
                <w:color w:val="000000"/>
                <w:sz w:val="24"/>
                <w:szCs w:val="24"/>
              </w:rPr>
              <w:t xml:space="preserve">注：</w:t>
            </w:r>
            <w:r>
              <w:rPr>
                <w:rFonts w:hint="eastAsia" w:ascii="宋体" w:hAnsi="宋体" w:eastAsia="宋体" w:cs="宋体"/>
                <w:b/>
                <w:bCs/>
                <w:color w:val="000000"/>
                <w:sz w:val="24"/>
                <w:szCs w:val="24"/>
              </w:rPr>
              <w:fldChar w:fldCharType="begin"/>
            </w:r>
            <w:r>
              <w:rPr>
                <w:rFonts w:hint="eastAsia" w:ascii="宋体" w:hAnsi="宋体" w:eastAsia="宋体" w:cs="宋体"/>
                <w:b/>
                <w:bCs/>
                <w:color w:val="000000"/>
                <w:sz w:val="24"/>
                <w:szCs w:val="24"/>
              </w:rPr>
              <w:instrText xml:space="preserve"> eq \o\ac(○,1)</w:instrText>
            </w:r>
            <w:r>
              <w:rPr>
                <w:rFonts w:hint="eastAsia" w:ascii="宋体" w:hAnsi="宋体" w:eastAsia="宋体" w:cs="宋体"/>
                <w:b/>
                <w:bCs/>
                <w:color w:val="000000"/>
                <w:sz w:val="24"/>
                <w:szCs w:val="24"/>
              </w:rPr>
              <w:fldChar w:fldCharType="end"/>
            </w:r>
            <w:r>
              <w:rPr>
                <w:rFonts w:hint="eastAsia" w:ascii="宋体" w:hAnsi="宋体" w:cs="宋体"/>
                <w:b/>
                <w:sz w:val="24"/>
                <w:szCs w:val="24"/>
              </w:rPr>
              <w:t xml:space="preserve">一人多证不重复得分</w:t>
            </w:r>
            <w:r>
              <w:rPr>
                <w:rFonts w:hint="eastAsia" w:ascii="宋体" w:hAnsi="宋体" w:cs="宋体"/>
                <w:b/>
                <w:sz w:val="24"/>
                <w:szCs w:val="24"/>
              </w:rPr>
              <w:t xml:space="preserve">；</w:t>
            </w:r>
            <w:r>
              <w:rPr>
                <w:rFonts w:hint="eastAsia" w:ascii="宋体" w:hAnsi="宋体" w:cs="宋体"/>
                <w:b/>
                <w:sz w:val="24"/>
                <w:szCs w:val="24"/>
              </w:rPr>
              <w:fldChar w:fldCharType="begin"/>
            </w:r>
            <w:r>
              <w:rPr>
                <w:rFonts w:hint="eastAsia" w:ascii="宋体" w:hAnsi="宋体" w:cs="宋体"/>
                <w:b/>
                <w:sz w:val="24"/>
                <w:szCs w:val="24"/>
              </w:rPr>
              <w:instrText xml:space="preserve"> eq \o\ac(○,2)</w:instrText>
            </w:r>
            <w:r>
              <w:rPr>
                <w:rFonts w:hint="eastAsia" w:ascii="宋体" w:hAnsi="宋体" w:cs="宋体"/>
                <w:b/>
                <w:sz w:val="24"/>
                <w:szCs w:val="24"/>
              </w:rPr>
              <w:fldChar w:fldCharType="end"/>
            </w:r>
            <w:r>
              <w:rPr>
                <w:rFonts w:hint="eastAsia" w:ascii="宋体" w:hAnsi="宋体" w:cs="宋体"/>
                <w:b/>
                <w:sz w:val="24"/>
                <w:szCs w:val="24"/>
              </w:rPr>
              <w:t xml:space="preserve">单项</w:t>
            </w:r>
            <w:r>
              <w:rPr>
                <w:rFonts w:hint="eastAsia" w:ascii="宋体" w:hAnsi="宋体" w:cs="宋体"/>
                <w:b/>
                <w:sz w:val="24"/>
                <w:szCs w:val="24"/>
              </w:rPr>
              <w:t xml:space="preserve">同时提供</w:t>
            </w:r>
            <w:r>
              <w:rPr>
                <w:rFonts w:hint="eastAsia" w:ascii="宋体" w:hAnsi="宋体" w:cs="宋体"/>
                <w:b/>
                <w:sz w:val="24"/>
                <w:szCs w:val="24"/>
              </w:rPr>
              <w:t xml:space="preserve">正高级工程师（研究员级工程师）职称</w:t>
            </w:r>
            <w:r>
              <w:rPr>
                <w:rFonts w:hint="eastAsia" w:ascii="宋体" w:hAnsi="宋体" w:cs="宋体"/>
                <w:b/>
                <w:sz w:val="24"/>
                <w:szCs w:val="24"/>
              </w:rPr>
              <w:t xml:space="preserve">和</w:t>
            </w:r>
            <w:r>
              <w:rPr>
                <w:rFonts w:hint="eastAsia" w:ascii="宋体" w:hAnsi="宋体" w:cs="宋体"/>
                <w:b/>
                <w:sz w:val="24"/>
                <w:szCs w:val="24"/>
              </w:rPr>
              <w:t xml:space="preserve">高级工程师(副高)职称</w:t>
            </w:r>
            <w:r>
              <w:rPr>
                <w:rFonts w:hint="eastAsia" w:ascii="宋体" w:hAnsi="宋体" w:cs="宋体"/>
                <w:b/>
                <w:sz w:val="24"/>
                <w:szCs w:val="24"/>
              </w:rPr>
              <w:t xml:space="preserve">的按最高得分，不重复计分</w:t>
            </w:r>
            <w:r>
              <w:rPr>
                <w:rFonts w:hint="eastAsia" w:ascii="宋体" w:hAnsi="宋体" w:cs="宋体"/>
                <w:b/>
                <w:sz w:val="24"/>
                <w:szCs w:val="24"/>
              </w:rPr>
              <w:t xml:space="preserve">）</w:t>
            </w:r>
            <w:r/>
          </w:p>
        </w:tc>
      </w:tr>
      <w:tr>
        <w:trPr>
          <w:jc w:val="center"/>
          <w:trHeight w:val="621"/>
        </w:trPr>
        <w:tc>
          <w:tcPr>
            <w:tcW w:w="1951" w:type="dxa"/>
            <w:vAlign w:val="center"/>
            <w:textDirection w:val="lrTb"/>
            <w:noWrap w:val="false"/>
          </w:tcPr>
          <w:p>
            <w:pPr>
              <w:jc w:val="center"/>
              <w:spacing w:line="440" w:lineRule="exact"/>
              <w:rPr>
                <w:rFonts w:cs="宋体" w:asciiTheme="minorEastAsia" w:hAnsiTheme="minorEastAsia"/>
                <w:sz w:val="24"/>
                <w:szCs w:val="24"/>
              </w:rPr>
            </w:pPr>
            <w:r>
              <w:rPr>
                <w:rFonts w:hint="eastAsia" w:cs="宋体" w:asciiTheme="minorEastAsia" w:hAnsiTheme="minorEastAsia"/>
                <w:sz w:val="24"/>
                <w:szCs w:val="24"/>
              </w:rPr>
              <w:t xml:space="preserve">项目实施要求</w:t>
            </w:r>
            <w:r/>
          </w:p>
          <w:p>
            <w:pPr>
              <w:jc w:val="center"/>
              <w:spacing w:line="440" w:lineRule="exact"/>
              <w:rPr>
                <w:rFonts w:cs="宋体" w:asciiTheme="minorEastAsia" w:hAnsiTheme="minorEastAsia"/>
                <w:sz w:val="24"/>
                <w:szCs w:val="24"/>
              </w:rPr>
            </w:pPr>
            <w:r>
              <w:rPr>
                <w:rFonts w:hint="eastAsia" w:cs="宋体" w:asciiTheme="minorEastAsia" w:hAnsiTheme="minorEastAsia"/>
                <w:sz w:val="24"/>
                <w:szCs w:val="24"/>
              </w:rPr>
              <w:t xml:space="preserve">（2分）</w:t>
            </w:r>
            <w:r/>
          </w:p>
        </w:tc>
        <w:tc>
          <w:tcPr>
            <w:tcW w:w="7334" w:type="dxa"/>
            <w:vAlign w:val="center"/>
            <w:textDirection w:val="lrTb"/>
            <w:noWrap w:val="false"/>
          </w:tcPr>
          <w:p>
            <w:pPr>
              <w:spacing w:line="360" w:lineRule="auto"/>
              <w:widowControl/>
              <w:rPr>
                <w:rFonts w:ascii="宋体" w:hAnsi="宋体" w:cs="宋体"/>
                <w:b/>
                <w:sz w:val="24"/>
                <w:szCs w:val="24"/>
              </w:rPr>
            </w:pPr>
            <w:r>
              <w:rPr>
                <w:rFonts w:hint="eastAsia" w:ascii="宋体" w:hAnsi="宋体" w:cs="宋体"/>
                <w:sz w:val="24"/>
                <w:szCs w:val="24"/>
              </w:rPr>
              <w:t xml:space="preserve">投标人在项目所在地（连云港地区）有服务机构的或承诺中标后一个月内为本项目设立服务机构的</w:t>
            </w:r>
            <w:r>
              <w:rPr>
                <w:rFonts w:hint="eastAsia" w:ascii="宋体" w:hAnsi="宋体" w:cs="宋体"/>
                <w:b/>
                <w:sz w:val="24"/>
                <w:szCs w:val="24"/>
              </w:rPr>
              <w:t xml:space="preserve">得 2分。</w:t>
            </w:r>
            <w:r/>
          </w:p>
          <w:p>
            <w:pPr>
              <w:spacing w:line="360" w:lineRule="auto"/>
              <w:widowControl/>
              <w:rPr>
                <w:rFonts w:ascii="宋体" w:hAnsi="宋体" w:cs="宋体"/>
                <w:b/>
                <w:sz w:val="24"/>
                <w:szCs w:val="24"/>
              </w:rPr>
            </w:pPr>
            <w:r>
              <w:rPr>
                <w:rFonts w:hint="eastAsia" w:ascii="宋体" w:hAnsi="宋体" w:cs="宋体"/>
                <w:b/>
                <w:sz w:val="24"/>
                <w:szCs w:val="24"/>
              </w:rPr>
              <w:t xml:space="preserve">（投标文件中提供如下证明材料：</w:t>
            </w:r>
            <w:r>
              <w:rPr>
                <w:rFonts w:ascii="宋体" w:hAnsi="宋体" w:cs="宋体"/>
                <w:b/>
                <w:sz w:val="24"/>
                <w:szCs w:val="24"/>
              </w:rPr>
              <w:fldChar w:fldCharType="begin"/>
            </w:r>
            <w:r>
              <w:rPr>
                <w:rFonts w:hint="eastAsia" w:ascii="宋体" w:hAnsi="宋体" w:cs="宋体"/>
                <w:b/>
                <w:sz w:val="24"/>
                <w:szCs w:val="24"/>
              </w:rPr>
              <w:instrText xml:space="preserve">eq \o\ac(○,</w:instrText>
            </w:r>
            <w:r>
              <w:rPr>
                <w:rFonts w:hint="eastAsia" w:ascii="宋体" w:hAnsi="宋体" w:cs="宋体"/>
                <w:b/>
                <w:sz w:val="16"/>
                <w:szCs w:val="24"/>
              </w:rPr>
              <w:instrText xml:space="preserve">1</w:instrText>
            </w:r>
            <w:r>
              <w:rPr>
                <w:rFonts w:hint="eastAsia" w:ascii="宋体" w:hAnsi="宋体" w:cs="宋体"/>
                <w:b/>
                <w:sz w:val="24"/>
                <w:szCs w:val="24"/>
              </w:rPr>
              <w:instrText xml:space="preserve">)</w:instrText>
            </w:r>
            <w:r>
              <w:rPr>
                <w:rFonts w:ascii="宋体" w:hAnsi="宋体" w:cs="宋体"/>
                <w:b/>
                <w:sz w:val="24"/>
                <w:szCs w:val="24"/>
              </w:rPr>
              <w:fldChar w:fldCharType="end"/>
            </w:r>
            <w:r>
              <w:rPr>
                <w:rFonts w:hint="eastAsia" w:ascii="宋体" w:hAnsi="宋体" w:cs="宋体"/>
                <w:b/>
                <w:sz w:val="24"/>
                <w:szCs w:val="24"/>
              </w:rPr>
              <w:t xml:space="preserve">连云港地区注册的企业提供营业执照扫描件；</w:t>
            </w:r>
            <w:r>
              <w:rPr>
                <w:rFonts w:ascii="宋体" w:hAnsi="宋体" w:cs="宋体"/>
                <w:b/>
                <w:sz w:val="24"/>
                <w:szCs w:val="24"/>
              </w:rPr>
              <w:fldChar w:fldCharType="begin"/>
            </w:r>
            <w:r>
              <w:rPr>
                <w:rFonts w:hint="eastAsia" w:ascii="宋体" w:hAnsi="宋体" w:cs="宋体"/>
                <w:b/>
                <w:sz w:val="24"/>
                <w:szCs w:val="24"/>
              </w:rPr>
              <w:instrText xml:space="preserve">eq \o\ac(○,</w:instrText>
            </w:r>
            <w:r>
              <w:rPr>
                <w:rFonts w:hint="eastAsia" w:ascii="宋体" w:hAnsi="宋体" w:cs="宋体"/>
                <w:b/>
                <w:sz w:val="16"/>
                <w:szCs w:val="24"/>
              </w:rPr>
              <w:instrText xml:space="preserve">2</w:instrText>
            </w:r>
            <w:r>
              <w:rPr>
                <w:rFonts w:hint="eastAsia" w:ascii="宋体" w:hAnsi="宋体" w:cs="宋体"/>
                <w:b/>
                <w:sz w:val="24"/>
                <w:szCs w:val="24"/>
              </w:rPr>
              <w:instrText xml:space="preserve">)</w:instrText>
            </w:r>
            <w:r>
              <w:rPr>
                <w:rFonts w:ascii="宋体" w:hAnsi="宋体" w:cs="宋体"/>
                <w:b/>
                <w:sz w:val="24"/>
                <w:szCs w:val="24"/>
              </w:rPr>
              <w:fldChar w:fldCharType="end"/>
            </w:r>
            <w:r>
              <w:rPr>
                <w:rFonts w:hint="eastAsia" w:ascii="宋体" w:hAnsi="宋体" w:cs="宋体"/>
                <w:b/>
                <w:sz w:val="24"/>
                <w:szCs w:val="24"/>
              </w:rPr>
              <w:t xml:space="preserve">外地企业提供投标人（含下属分支机构）在连云港地</w:t>
            </w:r>
            <w:r>
              <w:rPr>
                <w:rFonts w:hint="eastAsia" w:ascii="宋体" w:hAnsi="宋体" w:cs="宋体"/>
                <w:b/>
                <w:sz w:val="24"/>
                <w:szCs w:val="24"/>
              </w:rPr>
              <w:t xml:space="preserve">区的房产证明材料或租赁房屋协议</w:t>
            </w:r>
            <w:r>
              <w:rPr>
                <w:rFonts w:hint="eastAsia" w:ascii="宋体" w:hAnsi="宋体" w:cs="宋体"/>
                <w:b/>
                <w:sz w:val="24"/>
                <w:szCs w:val="24"/>
              </w:rPr>
              <w:t xml:space="preserve">（合同）</w:t>
            </w:r>
            <w:r>
              <w:rPr>
                <w:rFonts w:hint="eastAsia" w:ascii="宋体" w:hAnsi="宋体" w:cs="宋体"/>
                <w:b/>
                <w:sz w:val="24"/>
                <w:szCs w:val="24"/>
              </w:rPr>
              <w:t xml:space="preserve">扫描件；</w:t>
            </w:r>
            <w:r>
              <w:rPr>
                <w:rFonts w:ascii="宋体" w:hAnsi="宋体" w:cs="宋体"/>
                <w:b/>
                <w:sz w:val="24"/>
                <w:szCs w:val="24"/>
              </w:rPr>
              <w:fldChar w:fldCharType="begin"/>
            </w:r>
            <w:r>
              <w:rPr>
                <w:rFonts w:hint="eastAsia" w:ascii="宋体" w:hAnsi="宋体" w:cs="宋体"/>
                <w:b/>
                <w:sz w:val="24"/>
                <w:szCs w:val="24"/>
              </w:rPr>
              <w:instrText xml:space="preserve">eq \o\ac(○,</w:instrText>
            </w:r>
            <w:r>
              <w:rPr>
                <w:rFonts w:hint="eastAsia" w:ascii="宋体" w:hAnsi="宋体" w:cs="宋体"/>
                <w:b/>
                <w:sz w:val="16"/>
                <w:szCs w:val="24"/>
              </w:rPr>
              <w:instrText xml:space="preserve">3</w:instrText>
            </w:r>
            <w:r>
              <w:rPr>
                <w:rFonts w:hint="eastAsia" w:ascii="宋体" w:hAnsi="宋体" w:cs="宋体"/>
                <w:b/>
                <w:sz w:val="24"/>
                <w:szCs w:val="24"/>
              </w:rPr>
              <w:instrText xml:space="preserve">)</w:instrText>
            </w:r>
            <w:r>
              <w:rPr>
                <w:rFonts w:ascii="宋体" w:hAnsi="宋体" w:cs="宋体"/>
                <w:b/>
                <w:sz w:val="24"/>
                <w:szCs w:val="24"/>
              </w:rPr>
              <w:fldChar w:fldCharType="end"/>
            </w:r>
            <w:r>
              <w:rPr>
                <w:rFonts w:hint="eastAsia" w:ascii="宋体" w:hAnsi="宋体" w:cs="宋体"/>
                <w:b/>
                <w:sz w:val="24"/>
                <w:szCs w:val="24"/>
              </w:rPr>
              <w:t xml:space="preserve">如以上均无，则提供加盖投标人公章的承诺函，须明确承诺内容</w:t>
            </w:r>
            <w:r>
              <w:rPr>
                <w:rFonts w:hint="eastAsia" w:ascii="宋体" w:hAnsi="宋体" w:cs="宋体"/>
                <w:b/>
                <w:sz w:val="24"/>
                <w:szCs w:val="24"/>
              </w:rPr>
              <w:t xml:space="preserve">。</w:t>
            </w:r>
            <w:r>
              <w:rPr>
                <w:rFonts w:hint="eastAsia" w:ascii="宋体" w:hAnsi="宋体" w:cs="宋体"/>
                <w:b/>
                <w:sz w:val="24"/>
                <w:szCs w:val="24"/>
              </w:rPr>
              <w:t xml:space="preserve">投标人提供的上述证明材料如不符合要求则不得分）</w:t>
            </w:r>
            <w:r/>
          </w:p>
        </w:tc>
      </w:tr>
      <w:tr>
        <w:trPr>
          <w:jc w:val="center"/>
          <w:trHeight w:val="621"/>
        </w:trPr>
        <w:tc>
          <w:tcPr>
            <w:tcW w:w="1951" w:type="dxa"/>
            <w:vAlign w:val="center"/>
            <w:textDirection w:val="lrTb"/>
            <w:noWrap w:val="false"/>
          </w:tcPr>
          <w:p>
            <w:pPr>
              <w:jc w:val="center"/>
              <w:spacing w:line="440" w:lineRule="exact"/>
              <w:rPr>
                <w:rFonts w:cs="宋体" w:asciiTheme="minorEastAsia" w:hAnsiTheme="minorEastAsia"/>
                <w:sz w:val="24"/>
                <w:szCs w:val="24"/>
              </w:rPr>
            </w:pPr>
            <w:r>
              <w:rPr>
                <w:rFonts w:hint="eastAsia" w:cs="宋体" w:asciiTheme="minorEastAsia" w:hAnsiTheme="minorEastAsia"/>
                <w:sz w:val="24"/>
                <w:szCs w:val="24"/>
              </w:rPr>
              <w:t xml:space="preserve">售后服务承诺</w:t>
            </w:r>
            <w:r/>
          </w:p>
          <w:p>
            <w:pPr>
              <w:jc w:val="center"/>
              <w:spacing w:line="440" w:lineRule="exact"/>
              <w:rPr>
                <w:rFonts w:cs="宋体" w:asciiTheme="minorEastAsia" w:hAnsiTheme="minorEastAsia"/>
                <w:sz w:val="24"/>
                <w:szCs w:val="24"/>
              </w:rPr>
            </w:pPr>
            <w:r>
              <w:rPr>
                <w:rFonts w:hint="eastAsia" w:cs="宋体" w:asciiTheme="minorEastAsia" w:hAnsiTheme="minorEastAsia"/>
                <w:sz w:val="24"/>
                <w:szCs w:val="24"/>
              </w:rPr>
              <w:t xml:space="preserve">（3分）</w:t>
            </w:r>
            <w:r/>
          </w:p>
        </w:tc>
        <w:tc>
          <w:tcPr>
            <w:tcW w:w="7334" w:type="dxa"/>
            <w:vAlign w:val="center"/>
            <w:textDirection w:val="lrTb"/>
            <w:noWrap w:val="false"/>
          </w:tcPr>
          <w:p>
            <w:pPr>
              <w:spacing w:line="360" w:lineRule="auto"/>
              <w:widowControl/>
              <w:rPr>
                <w:rFonts w:ascii="宋体" w:hAnsi="宋体" w:cs="宋体"/>
                <w:b/>
                <w:sz w:val="24"/>
                <w:szCs w:val="24"/>
              </w:rPr>
            </w:pPr>
            <w:r>
              <w:rPr>
                <w:rFonts w:hint="eastAsia" w:ascii="宋体" w:hAnsi="宋体" w:cs="宋体"/>
                <w:sz w:val="24"/>
                <w:szCs w:val="24"/>
              </w:rPr>
              <w:t xml:space="preserve">投标人承诺在售后服务期限内接到采购人问题通知，4小时内反馈并解决问题的得3分；5小时内反馈并解决问题的得 2分；6小时内反馈并解决问题的得 1分，</w:t>
            </w:r>
            <w:r>
              <w:rPr>
                <w:rFonts w:hint="eastAsia" w:ascii="宋体" w:hAnsi="宋体" w:cs="宋体"/>
                <w:b/>
                <w:sz w:val="24"/>
                <w:szCs w:val="24"/>
              </w:rPr>
              <w:t xml:space="preserve">本项最高得3分。</w:t>
            </w:r>
            <w:r/>
          </w:p>
          <w:p>
            <w:pPr>
              <w:spacing w:line="360" w:lineRule="auto"/>
              <w:widowControl/>
              <w:rPr>
                <w:rFonts w:ascii="宋体" w:hAnsi="宋体" w:cs="宋体"/>
                <w:sz w:val="24"/>
                <w:szCs w:val="24"/>
              </w:rPr>
            </w:pPr>
            <w:r>
              <w:rPr>
                <w:rFonts w:hint="eastAsia" w:ascii="宋体" w:hAnsi="宋体" w:cs="宋体"/>
                <w:b/>
                <w:sz w:val="24"/>
                <w:szCs w:val="24"/>
              </w:rPr>
              <w:t xml:space="preserve">（投标文件中提供加盖投标人公章的承诺函，格式自拟，须明确承诺内容，否则不得分）</w:t>
            </w:r>
            <w:r/>
          </w:p>
        </w:tc>
      </w:tr>
    </w:tbl>
    <w:p>
      <w:pPr>
        <w:ind w:firstLine="482"/>
        <w:spacing w:line="360" w:lineRule="auto"/>
        <w:rPr>
          <w:rFonts w:asciiTheme="minorEastAsia" w:hAnsiTheme="minorEastAsia"/>
          <w:b/>
          <w:sz w:val="24"/>
          <w:szCs w:val="24"/>
        </w:rPr>
      </w:pPr>
      <w:r>
        <w:rPr>
          <w:rFonts w:hint="eastAsia" w:asciiTheme="minorEastAsia" w:hAnsiTheme="minorEastAsia"/>
          <w:b/>
          <w:sz w:val="24"/>
          <w:szCs w:val="24"/>
        </w:rPr>
        <w:t xml:space="preserve">3.技术分（35分）</w:t>
      </w:r>
      <w:r/>
    </w:p>
    <w:tbl>
      <w:tblPr>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51"/>
        <w:gridCol w:w="7334"/>
      </w:tblGrid>
      <w:tr>
        <w:trPr>
          <w:jc w:val="center"/>
          <w:trHeight w:val="621"/>
        </w:trPr>
        <w:tc>
          <w:tcPr>
            <w:tcW w:w="195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733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951"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项目整体建设方案（3分）</w:t>
            </w:r>
            <w:r/>
          </w:p>
        </w:tc>
        <w:tc>
          <w:tcPr>
            <w:tcW w:w="7334" w:type="dxa"/>
            <w:vAlign w:val="center"/>
            <w:textDirection w:val="lrTb"/>
            <w:noWrap w:val="false"/>
          </w:tcPr>
          <w:p>
            <w:pPr>
              <w:spacing w:line="360" w:lineRule="auto"/>
              <w:widowControl/>
              <w:rPr>
                <w:rFonts w:ascii="宋体" w:hAnsi="宋体" w:cs="宋体"/>
                <w:sz w:val="24"/>
                <w:szCs w:val="24"/>
              </w:rPr>
            </w:pPr>
            <w:r>
              <w:rPr>
                <w:rFonts w:hint="eastAsia" w:ascii="宋体" w:hAnsi="宋体" w:cs="宋体"/>
                <w:sz w:val="24"/>
                <w:szCs w:val="24"/>
              </w:rPr>
              <w:t xml:space="preserve">投标人根据项目需求编制本项目整体设计方案，详细阐述对本项目建设背景、建设目标、建设内容的理解，内容包含但不限于对项目现状分析、总体架构、数据架构、平台架构、技术架构、系统部署等。</w:t>
            </w:r>
            <w:r/>
          </w:p>
          <w:p>
            <w:pPr>
              <w:spacing w:line="360" w:lineRule="auto"/>
              <w:widowControl/>
              <w:rPr>
                <w:rFonts w:ascii="宋体" w:hAnsi="宋体" w:cs="宋体"/>
                <w:b/>
                <w:sz w:val="24"/>
                <w:szCs w:val="24"/>
              </w:rPr>
            </w:pPr>
            <w:r>
              <w:rPr>
                <w:rFonts w:hint="eastAsia" w:ascii="宋体" w:hAnsi="宋体" w:cs="宋体"/>
                <w:sz w:val="24"/>
                <w:szCs w:val="24"/>
              </w:rPr>
              <w:t xml:space="preserve">内容完整详实，对本项目建设背景、建设目标、建设内容有深入分析的，贴合采购需求的</w:t>
            </w:r>
            <w:r>
              <w:rPr>
                <w:rFonts w:hint="eastAsia" w:ascii="宋体" w:hAnsi="宋体" w:cs="宋体"/>
                <w:b/>
                <w:sz w:val="24"/>
                <w:szCs w:val="24"/>
              </w:rPr>
              <w:t xml:space="preserve">得3分；</w:t>
            </w:r>
            <w:r/>
          </w:p>
          <w:p>
            <w:pPr>
              <w:spacing w:line="360" w:lineRule="auto"/>
              <w:widowControl/>
              <w:rPr>
                <w:rFonts w:ascii="宋体" w:hAnsi="宋体" w:cs="宋体"/>
                <w:b/>
                <w:sz w:val="24"/>
                <w:szCs w:val="24"/>
              </w:rPr>
            </w:pPr>
            <w:r>
              <w:rPr>
                <w:rFonts w:hint="eastAsia" w:ascii="宋体" w:hAnsi="宋体" w:cs="宋体"/>
                <w:sz w:val="24"/>
                <w:szCs w:val="24"/>
              </w:rPr>
              <w:t xml:space="preserve">内容较完整详实，对本项目建设背景、建设目标、建设内容有较合理分析的，较贴合采购需求的</w:t>
            </w:r>
            <w:r>
              <w:rPr>
                <w:rFonts w:hint="eastAsia" w:ascii="宋体" w:hAnsi="宋体" w:cs="宋体"/>
                <w:b/>
                <w:sz w:val="24"/>
                <w:szCs w:val="24"/>
              </w:rPr>
              <w:t xml:space="preserve">得2分；</w:t>
            </w:r>
            <w:r/>
          </w:p>
          <w:p>
            <w:pPr>
              <w:spacing w:line="360" w:lineRule="auto"/>
              <w:widowControl/>
              <w:rPr>
                <w:rFonts w:ascii="宋体" w:hAnsi="宋体" w:cs="宋体"/>
                <w:b/>
                <w:sz w:val="24"/>
                <w:szCs w:val="24"/>
              </w:rPr>
            </w:pPr>
            <w:r>
              <w:rPr>
                <w:rFonts w:hint="eastAsia" w:ascii="宋体" w:hAnsi="宋体" w:cs="宋体"/>
                <w:sz w:val="24"/>
                <w:szCs w:val="24"/>
              </w:rPr>
              <w:t xml:space="preserve">内容尚完整，理解程度一般，针对性不强，需求分析笼统的</w:t>
            </w:r>
            <w:r>
              <w:rPr>
                <w:rFonts w:hint="eastAsia" w:ascii="宋体" w:hAnsi="宋体" w:cs="宋体"/>
                <w:b/>
                <w:sz w:val="24"/>
                <w:szCs w:val="24"/>
              </w:rPr>
              <w:t xml:space="preserve">得1分；</w:t>
            </w:r>
            <w:r/>
          </w:p>
          <w:p>
            <w:pPr>
              <w:spacing w:line="360" w:lineRule="auto"/>
              <w:widowControl/>
              <w:rPr>
                <w:rFonts w:ascii="宋体" w:hAnsi="宋体" w:cs="宋体"/>
                <w:b/>
                <w:sz w:val="24"/>
                <w:szCs w:val="24"/>
              </w:rPr>
            </w:pPr>
            <w:r>
              <w:rPr>
                <w:rFonts w:hint="eastAsia" w:ascii="宋体" w:hAnsi="宋体" w:cs="宋体"/>
                <w:b/>
                <w:sz w:val="24"/>
                <w:szCs w:val="24"/>
              </w:rPr>
              <w:t xml:space="preserve">该项未见阐述不得分。</w:t>
            </w:r>
            <w:r/>
          </w:p>
        </w:tc>
      </w:tr>
      <w:tr>
        <w:trPr>
          <w:jc w:val="center"/>
          <w:trHeight w:val="621"/>
        </w:trPr>
        <w:tc>
          <w:tcPr>
            <w:tcW w:w="1951"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应用支撑平台建设方案（3分）</w:t>
            </w:r>
            <w:r/>
          </w:p>
        </w:tc>
        <w:tc>
          <w:tcPr>
            <w:tcW w:w="733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投标人根据采购需求中“（一）应用支撑平台建设需求”的要求编制</w:t>
            </w:r>
            <w:r/>
          </w:p>
          <w:p>
            <w:pPr>
              <w:spacing w:line="360" w:lineRule="auto"/>
              <w:widowControl/>
              <w:rPr>
                <w:rFonts w:ascii="宋体" w:hAnsi="宋体" w:cs="宋体"/>
                <w:sz w:val="24"/>
                <w:szCs w:val="24"/>
              </w:rPr>
            </w:pPr>
            <w:r>
              <w:rPr>
                <w:rFonts w:hint="eastAsia" w:ascii="宋体" w:hAnsi="宋体" w:cs="宋体"/>
                <w:sz w:val="24"/>
                <w:szCs w:val="24"/>
              </w:rPr>
              <w:t xml:space="preserve">应用支撑平台建设方案，方案内容包含但不限于提供支撑平台功能设计方案</w:t>
            </w:r>
            <w:r>
              <w:rPr>
                <w:rFonts w:hint="eastAsia" w:ascii="宋体" w:hAnsi="宋体" w:cs="宋体"/>
                <w:sz w:val="24"/>
                <w:szCs w:val="24"/>
              </w:rPr>
              <w:t xml:space="preserve">等</w:t>
            </w:r>
            <w:r>
              <w:rPr>
                <w:rFonts w:hint="eastAsia" w:ascii="宋体" w:hAnsi="宋体" w:cs="宋体"/>
                <w:sz w:val="24"/>
                <w:szCs w:val="24"/>
              </w:rPr>
              <w:t xml:space="preserve">。应用支撑平台包括：大数据平台、数据中台、视频融合平台、地理信息系统（GIS）平台、物联网平台、融合通信平台、统一认证平台、统一工作流平台、业务支撑中心、AI监测算法等内容。</w:t>
            </w:r>
            <w:r/>
          </w:p>
          <w:p>
            <w:pPr>
              <w:spacing w:line="360" w:lineRule="auto"/>
              <w:widowControl/>
              <w:rPr>
                <w:rFonts w:ascii="宋体" w:hAnsi="宋体" w:cs="宋体"/>
                <w:sz w:val="24"/>
                <w:szCs w:val="24"/>
              </w:rPr>
            </w:pPr>
            <w:r>
              <w:rPr>
                <w:rFonts w:hint="eastAsia" w:ascii="宋体" w:hAnsi="宋体" w:cs="宋体"/>
                <w:sz w:val="24"/>
                <w:szCs w:val="24"/>
              </w:rPr>
              <w:t xml:space="preserve">内容完整详实，科学合理，流程清晰，</w:t>
            </w:r>
            <w:r>
              <w:rPr>
                <w:rFonts w:hint="eastAsia" w:ascii="宋体" w:hAnsi="宋体" w:cs="宋体"/>
                <w:sz w:val="24"/>
                <w:szCs w:val="24"/>
              </w:rPr>
              <w:t xml:space="preserve">可实施性强的</w:t>
            </w:r>
            <w:r>
              <w:rPr>
                <w:rFonts w:hint="eastAsia" w:ascii="宋体" w:hAnsi="宋体" w:cs="宋体"/>
                <w:b/>
                <w:sz w:val="24"/>
                <w:szCs w:val="24"/>
              </w:rPr>
              <w:t xml:space="preserve">得3分；</w:t>
            </w:r>
            <w:r/>
          </w:p>
          <w:p>
            <w:pPr>
              <w:spacing w:line="360" w:lineRule="auto"/>
              <w:widowControl/>
              <w:rPr>
                <w:rFonts w:ascii="宋体" w:hAnsi="宋体" w:cs="宋体"/>
                <w:sz w:val="24"/>
                <w:szCs w:val="24"/>
              </w:rPr>
            </w:pPr>
            <w:r>
              <w:rPr>
                <w:rFonts w:hint="eastAsia" w:ascii="宋体" w:hAnsi="宋体" w:cs="宋体"/>
                <w:sz w:val="24"/>
                <w:szCs w:val="24"/>
              </w:rPr>
              <w:t xml:space="preserve">内容较合理，较科学合理，流程较清晰</w:t>
            </w:r>
            <w:r>
              <w:rPr>
                <w:rFonts w:hint="eastAsia" w:ascii="宋体" w:hAnsi="宋体" w:eastAsia="宋体" w:cs="宋体"/>
                <w:sz w:val="24"/>
                <w:szCs w:val="21"/>
              </w:rPr>
              <w:t xml:space="preserve">，</w:t>
            </w:r>
            <w:r>
              <w:rPr>
                <w:rFonts w:hint="eastAsia" w:ascii="宋体" w:hAnsi="宋体" w:cs="宋体"/>
                <w:sz w:val="24"/>
                <w:szCs w:val="24"/>
              </w:rPr>
              <w:t xml:space="preserve">可实施性较强的</w:t>
            </w:r>
            <w:r>
              <w:rPr>
                <w:rFonts w:hint="eastAsia" w:ascii="宋体" w:hAnsi="宋体" w:cs="宋体"/>
                <w:b/>
                <w:sz w:val="24"/>
                <w:szCs w:val="24"/>
              </w:rPr>
              <w:t xml:space="preserve">得2分；</w:t>
            </w:r>
            <w:r/>
          </w:p>
          <w:p>
            <w:pPr>
              <w:spacing w:line="360" w:lineRule="auto"/>
              <w:widowControl/>
              <w:rPr>
                <w:rFonts w:ascii="宋体" w:hAnsi="宋体" w:cs="宋体"/>
                <w:b/>
                <w:sz w:val="24"/>
                <w:szCs w:val="24"/>
              </w:rPr>
            </w:pPr>
            <w:r>
              <w:rPr>
                <w:rFonts w:hint="eastAsia" w:ascii="宋体" w:hAnsi="宋体" w:cs="宋体"/>
                <w:sz w:val="24"/>
                <w:szCs w:val="24"/>
              </w:rPr>
              <w:t xml:space="preserve">内容简单有缺项，科学合理性一般，可实施性不强的</w:t>
            </w:r>
            <w:r>
              <w:rPr>
                <w:rFonts w:hint="eastAsia" w:ascii="宋体" w:hAnsi="宋体" w:cs="宋体"/>
                <w:b/>
                <w:sz w:val="24"/>
                <w:szCs w:val="24"/>
              </w:rPr>
              <w:t xml:space="preserve">得1分；</w:t>
            </w:r>
            <w:r/>
          </w:p>
          <w:p>
            <w:pPr>
              <w:spacing w:line="360" w:lineRule="auto"/>
              <w:widowControl/>
              <w:rPr>
                <w:rFonts w:ascii="宋体" w:hAnsi="宋体" w:cs="宋体"/>
                <w:b/>
                <w:sz w:val="24"/>
                <w:szCs w:val="24"/>
              </w:rPr>
            </w:pPr>
            <w:r>
              <w:rPr>
                <w:rFonts w:hint="eastAsia" w:ascii="宋体" w:hAnsi="宋体" w:cs="宋体"/>
                <w:b/>
                <w:sz w:val="24"/>
                <w:szCs w:val="24"/>
              </w:rPr>
              <w:t xml:space="preserve">该项未见阐述不得分。</w:t>
            </w:r>
            <w:r/>
          </w:p>
        </w:tc>
      </w:tr>
      <w:tr>
        <w:trPr>
          <w:jc w:val="center"/>
          <w:trHeight w:val="4282"/>
        </w:trPr>
        <w:tc>
          <w:tcPr>
            <w:tcW w:w="1951"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应用系统软件建设方案（5分）</w:t>
            </w:r>
            <w:r/>
          </w:p>
        </w:tc>
        <w:tc>
          <w:tcPr>
            <w:tcW w:w="7334" w:type="dxa"/>
            <w:vAlign w:val="center"/>
            <w:textDirection w:val="lrTb"/>
            <w:noWrap w:val="false"/>
          </w:tcPr>
          <w:p>
            <w:pPr>
              <w:spacing w:line="360" w:lineRule="auto"/>
              <w:widowControl/>
              <w:rPr>
                <w:rFonts w:ascii="宋体" w:hAnsi="宋体" w:cs="宋体"/>
                <w:sz w:val="24"/>
                <w:szCs w:val="24"/>
              </w:rPr>
            </w:pPr>
            <w:r>
              <w:rPr>
                <w:rFonts w:hint="eastAsia" w:ascii="宋体" w:hAnsi="宋体" w:cs="宋体"/>
                <w:sz w:val="24"/>
                <w:szCs w:val="24"/>
              </w:rPr>
              <w:t xml:space="preserve">投标人根据采购需求中“（二）应用系统软件建设需求”的要求编制</w:t>
            </w:r>
            <w:r/>
          </w:p>
          <w:p>
            <w:pPr>
              <w:spacing w:line="360" w:lineRule="auto"/>
              <w:widowControl/>
              <w:rPr>
                <w:rFonts w:ascii="宋体" w:hAnsi="宋体" w:cs="宋体"/>
                <w:sz w:val="24"/>
                <w:szCs w:val="24"/>
              </w:rPr>
            </w:pPr>
            <w:r>
              <w:rPr>
                <w:rFonts w:hint="eastAsia" w:ascii="宋体" w:hAnsi="宋体" w:cs="宋体"/>
                <w:sz w:val="24"/>
                <w:szCs w:val="24"/>
              </w:rPr>
              <w:t xml:space="preserve">应用系统软件建设方案，方案内容包含但不限于提供系统功能设计</w:t>
            </w:r>
            <w:r>
              <w:rPr>
                <w:rFonts w:hint="eastAsia" w:ascii="宋体" w:hAnsi="宋体" w:cs="宋体"/>
                <w:sz w:val="24"/>
                <w:szCs w:val="24"/>
              </w:rPr>
              <w:t xml:space="preserve">思路或设计</w:t>
            </w:r>
            <w:r>
              <w:rPr>
                <w:rFonts w:hint="eastAsia" w:ascii="宋体" w:hAnsi="宋体" w:cs="宋体"/>
                <w:sz w:val="24"/>
                <w:szCs w:val="24"/>
              </w:rPr>
              <w:t xml:space="preserve">方</w:t>
            </w:r>
            <w:r>
              <w:rPr>
                <w:rFonts w:hint="eastAsia" w:ascii="宋体" w:hAnsi="宋体" w:cs="宋体"/>
                <w:sz w:val="24"/>
              </w:rPr>
              <w:t xml:space="preserve">案或原型设计界面截图（须配说明）</w:t>
            </w:r>
            <w:r>
              <w:rPr>
                <w:rFonts w:hint="eastAsia" w:ascii="宋体" w:hAnsi="宋体" w:cs="宋体"/>
                <w:sz w:val="24"/>
              </w:rPr>
              <w:t xml:space="preserve">等</w:t>
            </w:r>
            <w:r>
              <w:rPr>
                <w:rFonts w:hint="eastAsia" w:ascii="宋体" w:hAnsi="宋体" w:cs="宋体"/>
                <w:sz w:val="24"/>
              </w:rPr>
              <w:t xml:space="preserve">。</w:t>
            </w:r>
            <w:r>
              <w:rPr>
                <w:rFonts w:hint="eastAsia" w:ascii="宋体" w:hAnsi="宋体" w:cs="宋体"/>
                <w:sz w:val="24"/>
                <w:szCs w:val="24"/>
              </w:rPr>
              <w:t xml:space="preserve">应用系统软件包括：门户及移动端应用、综合应用、燃气、供水、排水、地下管线、道路、桥梁、第三方施工及防震10个专项。</w:t>
            </w:r>
            <w:r/>
          </w:p>
          <w:p>
            <w:pPr>
              <w:spacing w:line="360" w:lineRule="auto"/>
              <w:widowControl/>
              <w:rPr>
                <w:rFonts w:ascii="宋体" w:hAnsi="宋体" w:cs="宋体"/>
                <w:sz w:val="24"/>
                <w:szCs w:val="24"/>
              </w:rPr>
            </w:pPr>
            <w:r>
              <w:rPr>
                <w:rFonts w:hint="eastAsia" w:ascii="宋体" w:hAnsi="宋体" w:cs="宋体"/>
                <w:sz w:val="24"/>
                <w:szCs w:val="24"/>
              </w:rPr>
              <w:t xml:space="preserve">方案包含上述内容，阐述详细，思路清晰，科学合理，符合或优于项目需求，可实施性强的</w:t>
            </w:r>
            <w:r>
              <w:rPr>
                <w:rFonts w:hint="eastAsia" w:ascii="宋体" w:hAnsi="宋体" w:cs="宋体"/>
                <w:b/>
                <w:sz w:val="24"/>
                <w:szCs w:val="24"/>
              </w:rPr>
              <w:t xml:space="preserve">得5分；</w:t>
            </w:r>
            <w:r/>
          </w:p>
          <w:p>
            <w:pPr>
              <w:spacing w:line="360" w:lineRule="auto"/>
              <w:widowControl/>
              <w:rPr>
                <w:rFonts w:ascii="宋体" w:hAnsi="宋体" w:cs="宋体"/>
                <w:sz w:val="24"/>
                <w:szCs w:val="24"/>
              </w:rPr>
            </w:pPr>
            <w:r>
              <w:rPr>
                <w:rFonts w:hint="eastAsia" w:ascii="宋体" w:hAnsi="宋体" w:cs="宋体"/>
                <w:sz w:val="24"/>
                <w:szCs w:val="24"/>
              </w:rPr>
              <w:t xml:space="preserve">方案包含上述内容，阐述较详细，思路较清晰，较科学合理，较符合项目需求，可实施性较强的</w:t>
            </w:r>
            <w:r>
              <w:rPr>
                <w:rFonts w:hint="eastAsia" w:ascii="宋体" w:hAnsi="宋体" w:cs="宋体"/>
                <w:b/>
                <w:sz w:val="24"/>
                <w:szCs w:val="24"/>
              </w:rPr>
              <w:t xml:space="preserve">得4分；</w:t>
            </w:r>
            <w:r/>
          </w:p>
          <w:p>
            <w:pPr>
              <w:spacing w:line="360" w:lineRule="auto"/>
              <w:widowControl/>
              <w:rPr>
                <w:rFonts w:ascii="宋体" w:hAnsi="宋体" w:cs="宋体"/>
                <w:b/>
                <w:sz w:val="24"/>
                <w:szCs w:val="24"/>
              </w:rPr>
            </w:pPr>
            <w:r>
              <w:rPr>
                <w:rFonts w:hint="eastAsia" w:ascii="宋体" w:hAnsi="宋体" w:cs="宋体"/>
                <w:sz w:val="24"/>
                <w:szCs w:val="24"/>
              </w:rPr>
              <w:t xml:space="preserve">方案基本包含上述内容，阐述不够详细，较科学合理性一般，基本符合项目需求，可实施性一般的</w:t>
            </w:r>
            <w:r>
              <w:rPr>
                <w:rFonts w:hint="eastAsia" w:ascii="宋体" w:hAnsi="宋体" w:cs="宋体"/>
                <w:b/>
                <w:sz w:val="24"/>
                <w:szCs w:val="24"/>
              </w:rPr>
              <w:t xml:space="preserve">得3分；</w:t>
            </w:r>
            <w:r/>
          </w:p>
          <w:p>
            <w:pPr>
              <w:spacing w:line="360" w:lineRule="auto"/>
              <w:widowControl/>
              <w:rPr>
                <w:rFonts w:ascii="宋体" w:hAnsi="宋体" w:cs="宋体"/>
                <w:sz w:val="24"/>
                <w:szCs w:val="24"/>
              </w:rPr>
            </w:pPr>
            <w:r>
              <w:rPr>
                <w:rFonts w:hint="eastAsia" w:ascii="宋体" w:hAnsi="宋体" w:cs="宋体"/>
                <w:sz w:val="24"/>
                <w:szCs w:val="24"/>
              </w:rPr>
              <w:t xml:space="preserve">上述内容有缺项，内容简单粗糙，思路不清晰，与项目需求有偏差，可实施性不强的</w:t>
            </w:r>
            <w:r>
              <w:rPr>
                <w:rFonts w:hint="eastAsia" w:ascii="宋体" w:hAnsi="宋体" w:cs="宋体"/>
                <w:b/>
                <w:sz w:val="24"/>
                <w:szCs w:val="24"/>
              </w:rPr>
              <w:t xml:space="preserve">得1分；</w:t>
            </w:r>
            <w:r/>
          </w:p>
          <w:p>
            <w:pPr>
              <w:spacing w:line="360" w:lineRule="auto"/>
              <w:widowControl/>
              <w:rPr>
                <w:rFonts w:ascii="宋体" w:hAnsi="宋体" w:cs="宋体"/>
                <w:b/>
                <w:sz w:val="24"/>
                <w:szCs w:val="24"/>
              </w:rPr>
            </w:pPr>
            <w:r>
              <w:rPr>
                <w:rFonts w:hint="eastAsia" w:ascii="宋体" w:hAnsi="宋体" w:cs="宋体"/>
                <w:b/>
                <w:sz w:val="24"/>
                <w:szCs w:val="24"/>
              </w:rPr>
              <w:t xml:space="preserve">该项未见阐述不得分。</w:t>
            </w:r>
            <w:r/>
          </w:p>
        </w:tc>
      </w:tr>
      <w:tr>
        <w:trPr>
          <w:jc w:val="center"/>
          <w:trHeight w:val="621"/>
        </w:trPr>
        <w:tc>
          <w:tcPr>
            <w:tcW w:w="1951"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监测设备方案</w:t>
            </w:r>
            <w:r/>
          </w:p>
          <w:p>
            <w:pPr>
              <w:jc w:val="center"/>
              <w:spacing w:line="360" w:lineRule="auto"/>
              <w:widowControl/>
              <w:rPr>
                <w:rFonts w:ascii="宋体" w:hAnsi="宋体" w:cs="宋体"/>
                <w:sz w:val="24"/>
                <w:szCs w:val="24"/>
              </w:rPr>
            </w:pPr>
            <w:r>
              <w:rPr>
                <w:rFonts w:hint="eastAsia" w:ascii="宋体" w:hAnsi="宋体" w:cs="宋体"/>
                <w:sz w:val="24"/>
                <w:szCs w:val="24"/>
              </w:rPr>
              <w:t xml:space="preserve">（3分）</w:t>
            </w:r>
            <w:r/>
          </w:p>
        </w:tc>
        <w:tc>
          <w:tcPr>
            <w:tcW w:w="7334" w:type="dxa"/>
            <w:vAlign w:val="center"/>
            <w:textDirection w:val="lrTb"/>
            <w:noWrap w:val="false"/>
          </w:tcPr>
          <w:p>
            <w:pPr>
              <w:spacing w:line="360" w:lineRule="auto"/>
              <w:widowControl/>
              <w:rPr>
                <w:rFonts w:ascii="宋体" w:hAnsi="宋体" w:cs="宋体"/>
                <w:sz w:val="24"/>
                <w:szCs w:val="24"/>
              </w:rPr>
            </w:pPr>
            <w:r>
              <w:rPr>
                <w:rFonts w:hint="eastAsia" w:ascii="宋体" w:hAnsi="宋体" w:cs="宋体"/>
                <w:sz w:val="24"/>
                <w:szCs w:val="24"/>
              </w:rPr>
              <w:t xml:space="preserve">投标人结合项目需求编制监测设备方案，方案包括但不限于基本情况、布点依据、布点方案、设备安装和运维方案、数据采集与存储、数据分析与应用等内容。</w:t>
            </w:r>
            <w:r/>
          </w:p>
          <w:p>
            <w:pPr>
              <w:spacing w:line="360" w:lineRule="auto"/>
              <w:widowControl/>
              <w:rPr>
                <w:rFonts w:ascii="宋体" w:hAnsi="宋体" w:cs="宋体"/>
                <w:sz w:val="24"/>
                <w:szCs w:val="24"/>
              </w:rPr>
            </w:pPr>
            <w:r>
              <w:rPr>
                <w:rFonts w:hint="eastAsia" w:ascii="宋体" w:hAnsi="宋体" w:cs="宋体"/>
                <w:sz w:val="24"/>
                <w:szCs w:val="24"/>
              </w:rPr>
              <w:t xml:space="preserve">内容完整详实，优于或贴合项目需求，可实施性强的</w:t>
            </w:r>
            <w:r>
              <w:rPr>
                <w:rFonts w:hint="eastAsia" w:ascii="宋体" w:hAnsi="宋体" w:cs="宋体"/>
                <w:b/>
                <w:sz w:val="24"/>
                <w:szCs w:val="24"/>
              </w:rPr>
              <w:t xml:space="preserve">得3分；</w:t>
            </w:r>
            <w:r/>
          </w:p>
          <w:p>
            <w:pPr>
              <w:spacing w:line="360" w:lineRule="auto"/>
              <w:widowControl/>
              <w:rPr>
                <w:rFonts w:ascii="宋体" w:hAnsi="宋体" w:cs="宋体"/>
                <w:b/>
                <w:sz w:val="24"/>
                <w:szCs w:val="24"/>
              </w:rPr>
            </w:pPr>
            <w:r>
              <w:rPr>
                <w:rFonts w:hint="eastAsia" w:ascii="宋体" w:hAnsi="宋体" w:cs="宋体"/>
                <w:sz w:val="24"/>
                <w:szCs w:val="24"/>
              </w:rPr>
              <w:t xml:space="preserve">内容较详细，较贴合项目需求，可实施性较强的</w:t>
            </w:r>
            <w:r>
              <w:rPr>
                <w:rFonts w:hint="eastAsia" w:ascii="宋体" w:hAnsi="宋体" w:cs="宋体"/>
                <w:b/>
                <w:sz w:val="24"/>
                <w:szCs w:val="24"/>
              </w:rPr>
              <w:t xml:space="preserve">得2分；</w:t>
            </w:r>
            <w:r/>
          </w:p>
          <w:p>
            <w:pPr>
              <w:spacing w:line="360" w:lineRule="auto"/>
              <w:widowControl/>
              <w:rPr>
                <w:rFonts w:ascii="宋体" w:hAnsi="宋体" w:cs="宋体"/>
                <w:sz w:val="24"/>
                <w:szCs w:val="24"/>
              </w:rPr>
            </w:pPr>
            <w:r>
              <w:rPr>
                <w:rFonts w:hint="eastAsia" w:ascii="宋体" w:hAnsi="宋体" w:cs="宋体"/>
                <w:sz w:val="24"/>
                <w:szCs w:val="24"/>
              </w:rPr>
              <w:t xml:space="preserve">内容简单不详细，与项目需求理解有偏差，可实施性一般的</w:t>
            </w:r>
            <w:r>
              <w:rPr>
                <w:rFonts w:hint="eastAsia" w:ascii="宋体" w:hAnsi="宋体" w:cs="宋体"/>
                <w:b/>
                <w:sz w:val="24"/>
                <w:szCs w:val="24"/>
              </w:rPr>
              <w:t xml:space="preserve">得1分；</w:t>
            </w:r>
            <w:r/>
          </w:p>
          <w:p>
            <w:pPr>
              <w:spacing w:line="360" w:lineRule="auto"/>
              <w:widowControl/>
              <w:rPr>
                <w:rFonts w:ascii="宋体" w:hAnsi="宋体" w:cs="宋体"/>
                <w:b/>
                <w:sz w:val="24"/>
                <w:szCs w:val="24"/>
              </w:rPr>
            </w:pPr>
            <w:r>
              <w:rPr>
                <w:rFonts w:hint="eastAsia" w:ascii="宋体" w:hAnsi="宋体" w:cs="宋体"/>
                <w:b/>
                <w:sz w:val="24"/>
                <w:szCs w:val="24"/>
              </w:rPr>
              <w:t xml:space="preserve">该项未见阐述不得分。</w:t>
            </w:r>
            <w:r/>
          </w:p>
        </w:tc>
      </w:tr>
      <w:tr>
        <w:trPr>
          <w:jc w:val="center"/>
          <w:trHeight w:val="621"/>
        </w:trPr>
        <w:tc>
          <w:tcPr>
            <w:tcW w:w="1951"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数据治理方案</w:t>
            </w:r>
            <w:r/>
          </w:p>
          <w:p>
            <w:pPr>
              <w:jc w:val="center"/>
              <w:spacing w:line="360" w:lineRule="auto"/>
              <w:widowControl/>
              <w:rPr>
                <w:rFonts w:ascii="宋体" w:hAnsi="宋体" w:cs="宋体"/>
                <w:sz w:val="24"/>
                <w:szCs w:val="24"/>
              </w:rPr>
            </w:pPr>
            <w:r>
              <w:rPr>
                <w:rFonts w:hint="eastAsia" w:ascii="宋体" w:hAnsi="宋体" w:cs="宋体"/>
                <w:sz w:val="24"/>
                <w:szCs w:val="24"/>
              </w:rPr>
              <w:t xml:space="preserve">（3分）</w:t>
            </w:r>
            <w:r/>
          </w:p>
        </w:tc>
        <w:tc>
          <w:tcPr>
            <w:tcW w:w="7334" w:type="dxa"/>
            <w:vAlign w:val="center"/>
            <w:textDirection w:val="lrTb"/>
            <w:noWrap w:val="false"/>
          </w:tcPr>
          <w:p>
            <w:pPr>
              <w:spacing w:line="360" w:lineRule="auto"/>
              <w:widowControl/>
              <w:rPr>
                <w:rFonts w:ascii="宋体" w:hAnsi="宋体" w:cs="宋体"/>
                <w:sz w:val="24"/>
                <w:szCs w:val="24"/>
              </w:rPr>
            </w:pPr>
            <w:r>
              <w:rPr>
                <w:rFonts w:hint="eastAsia" w:ascii="宋体" w:hAnsi="宋体" w:cs="宋体"/>
                <w:sz w:val="24"/>
                <w:szCs w:val="24"/>
              </w:rPr>
              <w:t xml:space="preserve">投标人结合项目需求提供数据治理方案，方案包括但不限于数据资源现状梳理、数据汇聚、数据开发实施、数据资源池建设、数据服务封装实施、数据运维等内容。</w:t>
            </w:r>
            <w:r/>
          </w:p>
          <w:p>
            <w:pPr>
              <w:spacing w:line="360" w:lineRule="auto"/>
              <w:widowControl/>
              <w:rPr>
                <w:rFonts w:ascii="宋体" w:hAnsi="宋体" w:cs="宋体"/>
                <w:sz w:val="24"/>
                <w:szCs w:val="24"/>
              </w:rPr>
            </w:pPr>
            <w:r>
              <w:rPr>
                <w:rFonts w:hint="eastAsia" w:ascii="宋体" w:hAnsi="宋体" w:cs="宋体"/>
                <w:sz w:val="24"/>
                <w:szCs w:val="24"/>
              </w:rPr>
              <w:t xml:space="preserve">内容完整详实，优于或贴合项目需求，可实施性强的</w:t>
            </w:r>
            <w:r>
              <w:rPr>
                <w:rFonts w:hint="eastAsia" w:ascii="宋体" w:hAnsi="宋体" w:cs="宋体"/>
                <w:b/>
                <w:sz w:val="24"/>
                <w:szCs w:val="24"/>
              </w:rPr>
              <w:t xml:space="preserve">得3分；</w:t>
            </w:r>
            <w:r/>
          </w:p>
          <w:p>
            <w:pPr>
              <w:spacing w:line="360" w:lineRule="auto"/>
              <w:widowControl/>
              <w:rPr>
                <w:rFonts w:ascii="宋体" w:hAnsi="宋体" w:cs="宋体"/>
                <w:b/>
                <w:sz w:val="24"/>
                <w:szCs w:val="24"/>
              </w:rPr>
            </w:pPr>
            <w:r>
              <w:rPr>
                <w:rFonts w:hint="eastAsia" w:ascii="宋体" w:hAnsi="宋体" w:cs="宋体"/>
                <w:sz w:val="24"/>
                <w:szCs w:val="24"/>
              </w:rPr>
              <w:t xml:space="preserve">内容较详细，较贴合项目需求，可实施性较强的</w:t>
            </w:r>
            <w:r>
              <w:rPr>
                <w:rFonts w:hint="eastAsia" w:ascii="宋体" w:hAnsi="宋体" w:cs="宋体"/>
                <w:b/>
                <w:sz w:val="24"/>
                <w:szCs w:val="24"/>
              </w:rPr>
              <w:t xml:space="preserve">得2分；</w:t>
            </w:r>
            <w:r/>
          </w:p>
          <w:p>
            <w:pPr>
              <w:spacing w:line="360" w:lineRule="auto"/>
              <w:widowControl/>
              <w:rPr>
                <w:rFonts w:ascii="宋体" w:hAnsi="宋体" w:cs="宋体"/>
                <w:sz w:val="24"/>
                <w:szCs w:val="24"/>
              </w:rPr>
            </w:pPr>
            <w:r>
              <w:rPr>
                <w:rFonts w:hint="eastAsia" w:ascii="宋体" w:hAnsi="宋体" w:cs="宋体"/>
                <w:sz w:val="24"/>
                <w:szCs w:val="24"/>
              </w:rPr>
              <w:t xml:space="preserve">内容简单不详细，与项目需求理解有偏差，可实施性一般的</w:t>
            </w:r>
            <w:r>
              <w:rPr>
                <w:rFonts w:hint="eastAsia" w:ascii="宋体" w:hAnsi="宋体" w:cs="宋体"/>
                <w:b/>
                <w:sz w:val="24"/>
                <w:szCs w:val="24"/>
              </w:rPr>
              <w:t xml:space="preserve">得1分；</w:t>
            </w:r>
            <w:r/>
          </w:p>
          <w:p>
            <w:pPr>
              <w:spacing w:line="360" w:lineRule="auto"/>
              <w:widowControl/>
              <w:rPr>
                <w:rFonts w:ascii="宋体" w:hAnsi="宋体" w:cs="宋体"/>
                <w:sz w:val="24"/>
                <w:szCs w:val="24"/>
              </w:rPr>
            </w:pPr>
            <w:r>
              <w:rPr>
                <w:rFonts w:hint="eastAsia" w:ascii="宋体" w:hAnsi="宋体" w:cs="宋体"/>
                <w:b/>
                <w:sz w:val="24"/>
                <w:szCs w:val="24"/>
              </w:rPr>
              <w:t xml:space="preserve">该项未见阐述不得分。</w:t>
            </w:r>
            <w:r/>
          </w:p>
        </w:tc>
      </w:tr>
      <w:tr>
        <w:trPr>
          <w:jc w:val="center"/>
          <w:trHeight w:val="621"/>
        </w:trPr>
        <w:tc>
          <w:tcPr>
            <w:tcW w:w="1951"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省市复用对接方案（3分）</w:t>
            </w:r>
            <w:r/>
          </w:p>
        </w:tc>
        <w:tc>
          <w:tcPr>
            <w:tcW w:w="7334" w:type="dxa"/>
            <w:vAlign w:val="center"/>
            <w:textDirection w:val="lrTb"/>
            <w:noWrap w:val="false"/>
          </w:tcPr>
          <w:p>
            <w:pPr>
              <w:spacing w:line="360" w:lineRule="auto"/>
              <w:widowControl/>
              <w:rPr>
                <w:rFonts w:ascii="宋体" w:hAnsi="宋体" w:cs="宋体"/>
                <w:sz w:val="24"/>
                <w:szCs w:val="24"/>
              </w:rPr>
            </w:pPr>
            <w:r>
              <w:rPr>
                <w:rFonts w:hint="eastAsia" w:ascii="宋体" w:hAnsi="宋体" w:cs="宋体"/>
                <w:sz w:val="24"/>
                <w:szCs w:val="24"/>
              </w:rPr>
              <w:t xml:space="preserve">投标人根据项目需求编制省市复用对接方案，方案包括但不限于：从系统架构层面提出满足我市城市生命线监测监管建设需求和省市复</w:t>
            </w:r>
            <w:r>
              <w:rPr>
                <w:rFonts w:hint="eastAsia" w:ascii="宋体" w:hAnsi="宋体" w:cs="宋体"/>
                <w:sz w:val="24"/>
                <w:szCs w:val="24"/>
              </w:rPr>
              <w:t xml:space="preserve">用要求的技术架构方案；从系统应用层面提出满足我市建设需求的省市复用方案；从省市数据对接方面提出我市城市生命线库表、消息、文件、视频等类型数据的接入、治理、同步上传的省市数据对接实施方案等内容。</w:t>
            </w:r>
            <w:r/>
          </w:p>
          <w:p>
            <w:pPr>
              <w:spacing w:line="360" w:lineRule="auto"/>
              <w:widowControl/>
              <w:rPr>
                <w:rFonts w:ascii="宋体" w:hAnsi="宋体" w:cs="宋体"/>
                <w:b/>
                <w:sz w:val="24"/>
                <w:szCs w:val="24"/>
              </w:rPr>
            </w:pPr>
            <w:r>
              <w:rPr>
                <w:rFonts w:hint="eastAsia" w:ascii="宋体" w:hAnsi="宋体" w:cs="宋体"/>
                <w:sz w:val="24"/>
                <w:szCs w:val="24"/>
              </w:rPr>
              <w:t xml:space="preserve">方案包含上述内容，思路流程清晰，内容详细，拟对接方案可实施性强的</w:t>
            </w:r>
            <w:r>
              <w:rPr>
                <w:rFonts w:hint="eastAsia" w:ascii="宋体" w:hAnsi="宋体" w:cs="宋体"/>
                <w:b/>
                <w:sz w:val="24"/>
                <w:szCs w:val="24"/>
              </w:rPr>
              <w:t xml:space="preserve">得3分；</w:t>
            </w:r>
            <w:r/>
          </w:p>
          <w:p>
            <w:pPr>
              <w:spacing w:line="360" w:lineRule="auto"/>
              <w:widowControl/>
              <w:rPr>
                <w:rFonts w:ascii="宋体" w:hAnsi="宋体" w:cs="宋体"/>
                <w:b/>
                <w:sz w:val="24"/>
                <w:szCs w:val="24"/>
              </w:rPr>
            </w:pPr>
            <w:r>
              <w:rPr>
                <w:rFonts w:hint="eastAsia" w:ascii="宋体" w:hAnsi="宋体" w:cs="宋体"/>
                <w:sz w:val="24"/>
                <w:szCs w:val="24"/>
              </w:rPr>
              <w:t xml:space="preserve">方案包含上述内容，思路流程较清晰，内容较详细，拟对接方案可实施性较强的</w:t>
            </w:r>
            <w:r>
              <w:rPr>
                <w:rFonts w:hint="eastAsia" w:ascii="宋体" w:hAnsi="宋体" w:cs="宋体"/>
                <w:b/>
                <w:sz w:val="24"/>
                <w:szCs w:val="24"/>
              </w:rPr>
              <w:t xml:space="preserve">得2分；</w:t>
            </w:r>
            <w:r/>
          </w:p>
          <w:p>
            <w:pPr>
              <w:spacing w:line="360" w:lineRule="auto"/>
              <w:widowControl/>
              <w:rPr>
                <w:rFonts w:ascii="宋体" w:hAnsi="宋体" w:cs="宋体"/>
                <w:sz w:val="24"/>
                <w:szCs w:val="24"/>
              </w:rPr>
            </w:pPr>
            <w:r>
              <w:rPr>
                <w:rFonts w:hint="eastAsia" w:ascii="宋体" w:hAnsi="宋体" w:cs="宋体"/>
                <w:sz w:val="24"/>
                <w:szCs w:val="24"/>
              </w:rPr>
              <w:t xml:space="preserve">上述内容有缺项，内容简单，拟对接方案可实施性一般的</w:t>
            </w:r>
            <w:r>
              <w:rPr>
                <w:rFonts w:hint="eastAsia" w:ascii="宋体" w:hAnsi="宋体" w:cs="宋体"/>
                <w:b/>
                <w:sz w:val="24"/>
                <w:szCs w:val="24"/>
              </w:rPr>
              <w:t xml:space="preserve">得1分；</w:t>
            </w:r>
            <w:r/>
          </w:p>
          <w:p>
            <w:pPr>
              <w:spacing w:line="360" w:lineRule="auto"/>
              <w:widowControl/>
              <w:rPr>
                <w:rFonts w:ascii="宋体" w:hAnsi="宋体" w:cs="宋体"/>
                <w:b/>
                <w:sz w:val="24"/>
                <w:szCs w:val="24"/>
              </w:rPr>
            </w:pPr>
            <w:r>
              <w:rPr>
                <w:rFonts w:hint="eastAsia" w:ascii="宋体" w:hAnsi="宋体" w:cs="宋体"/>
                <w:b/>
                <w:sz w:val="24"/>
                <w:szCs w:val="24"/>
              </w:rPr>
              <w:t xml:space="preserve">该项未见阐述不得分。</w:t>
            </w:r>
            <w:r/>
          </w:p>
        </w:tc>
      </w:tr>
      <w:tr>
        <w:trPr>
          <w:jc w:val="center"/>
          <w:trHeight w:val="621"/>
        </w:trPr>
        <w:tc>
          <w:tcPr>
            <w:tcW w:w="1951"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市县一体化推进方案（3分）</w:t>
            </w:r>
            <w:r/>
          </w:p>
        </w:tc>
        <w:tc>
          <w:tcPr>
            <w:tcW w:w="7334" w:type="dxa"/>
            <w:vAlign w:val="center"/>
            <w:textDirection w:val="lrTb"/>
            <w:noWrap w:val="false"/>
          </w:tcPr>
          <w:p>
            <w:pPr>
              <w:spacing w:line="360" w:lineRule="auto"/>
              <w:widowControl/>
              <w:rPr>
                <w:rFonts w:ascii="宋体" w:hAnsi="宋体" w:cs="宋体"/>
                <w:sz w:val="24"/>
                <w:szCs w:val="24"/>
              </w:rPr>
            </w:pPr>
            <w:r>
              <w:rPr>
                <w:rFonts w:hint="eastAsia" w:ascii="宋体" w:hAnsi="宋体" w:cs="宋体"/>
                <w:sz w:val="24"/>
                <w:szCs w:val="24"/>
              </w:rPr>
              <w:t xml:space="preserve">投标人编制市县一体化推进方案，方案包括但不限于市级平台可提供的复用能力、市县系统数据对接技术实现、市县系统对接接口技术实现等内容。</w:t>
            </w:r>
            <w:r/>
          </w:p>
          <w:p>
            <w:pPr>
              <w:spacing w:line="360" w:lineRule="auto"/>
              <w:widowControl/>
              <w:rPr>
                <w:rFonts w:ascii="宋体" w:hAnsi="宋体" w:cs="宋体"/>
                <w:sz w:val="24"/>
                <w:szCs w:val="24"/>
              </w:rPr>
            </w:pPr>
            <w:r>
              <w:rPr>
                <w:rFonts w:hint="eastAsia" w:ascii="宋体" w:hAnsi="宋体" w:cs="宋体"/>
                <w:sz w:val="24"/>
                <w:szCs w:val="24"/>
              </w:rPr>
              <w:t xml:space="preserve">包含上述内容，内容完整详实，流程清晰，可实施性强的</w:t>
            </w:r>
            <w:r>
              <w:rPr>
                <w:rFonts w:hint="eastAsia" w:ascii="宋体" w:hAnsi="宋体" w:cs="宋体"/>
                <w:b/>
                <w:sz w:val="24"/>
                <w:szCs w:val="24"/>
              </w:rPr>
              <w:t xml:space="preserve">得3分；</w:t>
            </w:r>
            <w:r/>
          </w:p>
          <w:p>
            <w:pPr>
              <w:spacing w:line="360" w:lineRule="auto"/>
              <w:widowControl/>
              <w:rPr>
                <w:rFonts w:ascii="宋体" w:hAnsi="宋体" w:cs="宋体"/>
                <w:b/>
                <w:sz w:val="24"/>
                <w:szCs w:val="24"/>
              </w:rPr>
            </w:pPr>
            <w:r>
              <w:rPr>
                <w:rFonts w:hint="eastAsia" w:ascii="宋体" w:hAnsi="宋体" w:cs="宋体"/>
                <w:sz w:val="24"/>
                <w:szCs w:val="24"/>
              </w:rPr>
              <w:t xml:space="preserve">包含上述内容，内容较详细，流程较清晰，可实施性较强的</w:t>
            </w:r>
            <w:r>
              <w:rPr>
                <w:rFonts w:hint="eastAsia" w:ascii="宋体" w:hAnsi="宋体" w:cs="宋体"/>
                <w:b/>
                <w:sz w:val="24"/>
                <w:szCs w:val="24"/>
              </w:rPr>
              <w:t xml:space="preserve">得2分；</w:t>
            </w:r>
            <w:r/>
          </w:p>
          <w:p>
            <w:pPr>
              <w:spacing w:line="360" w:lineRule="auto"/>
              <w:widowControl/>
              <w:rPr>
                <w:rFonts w:ascii="宋体" w:hAnsi="宋体" w:cs="宋体"/>
                <w:b/>
                <w:sz w:val="24"/>
                <w:szCs w:val="24"/>
              </w:rPr>
            </w:pPr>
            <w:r>
              <w:rPr>
                <w:rFonts w:hint="eastAsia" w:ascii="宋体" w:hAnsi="宋体" w:cs="宋体"/>
                <w:sz w:val="24"/>
                <w:szCs w:val="24"/>
              </w:rPr>
              <w:t xml:space="preserve">上述内容有缺项，内容简单，可实施性一般的</w:t>
            </w:r>
            <w:r>
              <w:rPr>
                <w:rFonts w:hint="eastAsia" w:ascii="宋体" w:hAnsi="宋体" w:cs="宋体"/>
                <w:b/>
                <w:sz w:val="24"/>
                <w:szCs w:val="24"/>
              </w:rPr>
              <w:t xml:space="preserve">得1分；</w:t>
            </w:r>
            <w:r/>
          </w:p>
          <w:p>
            <w:pPr>
              <w:spacing w:line="360" w:lineRule="auto"/>
              <w:widowControl/>
              <w:rPr>
                <w:rFonts w:ascii="宋体" w:hAnsi="宋体" w:cs="宋体"/>
                <w:b/>
                <w:sz w:val="24"/>
                <w:szCs w:val="24"/>
              </w:rPr>
            </w:pPr>
            <w:r>
              <w:rPr>
                <w:rFonts w:hint="eastAsia" w:ascii="宋体" w:hAnsi="宋体" w:cs="宋体"/>
                <w:b/>
                <w:sz w:val="24"/>
                <w:szCs w:val="24"/>
              </w:rPr>
              <w:t xml:space="preserve">该项未见阐述不得分。</w:t>
            </w:r>
            <w:r/>
          </w:p>
        </w:tc>
      </w:tr>
      <w:tr>
        <w:trPr>
          <w:jc w:val="center"/>
          <w:trHeight w:val="621"/>
        </w:trPr>
        <w:tc>
          <w:tcPr>
            <w:tcW w:w="1951"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售后服务方案</w:t>
            </w:r>
            <w:r/>
          </w:p>
          <w:p>
            <w:pPr>
              <w:jc w:val="center"/>
              <w:spacing w:line="360" w:lineRule="auto"/>
              <w:widowControl/>
              <w:rPr>
                <w:rFonts w:ascii="宋体" w:hAnsi="宋体" w:cs="宋体"/>
                <w:sz w:val="24"/>
                <w:szCs w:val="24"/>
              </w:rPr>
            </w:pPr>
            <w:r>
              <w:rPr>
                <w:rFonts w:hint="eastAsia" w:ascii="宋体" w:hAnsi="宋体" w:cs="宋体"/>
                <w:sz w:val="24"/>
                <w:szCs w:val="24"/>
              </w:rPr>
              <w:t xml:space="preserve">（4分）</w:t>
            </w:r>
            <w:r/>
          </w:p>
        </w:tc>
        <w:tc>
          <w:tcPr>
            <w:tcW w:w="7334" w:type="dxa"/>
            <w:vAlign w:val="center"/>
            <w:textDirection w:val="lrTb"/>
            <w:noWrap w:val="false"/>
          </w:tcPr>
          <w:p>
            <w:pPr>
              <w:spacing w:line="360" w:lineRule="auto"/>
              <w:widowControl/>
              <w:rPr>
                <w:rFonts w:ascii="宋体" w:hAnsi="宋体" w:cs="宋体"/>
                <w:sz w:val="24"/>
                <w:szCs w:val="24"/>
              </w:rPr>
            </w:pPr>
            <w:r>
              <w:rPr>
                <w:rFonts w:hint="eastAsia" w:ascii="宋体" w:hAnsi="宋体" w:cs="宋体"/>
                <w:sz w:val="24"/>
                <w:szCs w:val="24"/>
              </w:rPr>
              <w:t xml:space="preserve">投标人结合项目需求编制售后服务方案，方案包括但不限于售后服务内容、质保期及运行维护期的服务内容、遇到故障响应时间、故障处理、恢复时效、支撑保障等内容。</w:t>
            </w:r>
            <w:r/>
          </w:p>
          <w:p>
            <w:pPr>
              <w:spacing w:line="360" w:lineRule="auto"/>
              <w:widowControl/>
              <w:rPr>
                <w:rFonts w:ascii="宋体" w:hAnsi="宋体" w:cs="宋体"/>
                <w:b/>
                <w:sz w:val="24"/>
                <w:szCs w:val="24"/>
              </w:rPr>
            </w:pPr>
            <w:r>
              <w:rPr>
                <w:rFonts w:hint="eastAsia" w:ascii="宋体" w:hAnsi="宋体" w:cs="宋体"/>
                <w:sz w:val="24"/>
                <w:szCs w:val="24"/>
              </w:rPr>
              <w:t xml:space="preserve">内容科学合理，服务目标针对性强，响应及故障处理及时，措施切实可行的</w:t>
            </w:r>
            <w:r>
              <w:rPr>
                <w:rFonts w:hint="eastAsia" w:ascii="宋体" w:hAnsi="宋体" w:cs="宋体"/>
                <w:b/>
                <w:sz w:val="24"/>
                <w:szCs w:val="24"/>
              </w:rPr>
              <w:t xml:space="preserve">得4分；</w:t>
            </w:r>
            <w:r/>
          </w:p>
          <w:p>
            <w:pPr>
              <w:spacing w:line="360" w:lineRule="auto"/>
              <w:widowControl/>
              <w:rPr>
                <w:rFonts w:ascii="宋体" w:hAnsi="宋体" w:cs="宋体"/>
                <w:b/>
                <w:sz w:val="24"/>
                <w:szCs w:val="24"/>
              </w:rPr>
            </w:pPr>
            <w:r>
              <w:rPr>
                <w:rFonts w:hint="eastAsia" w:ascii="宋体" w:hAnsi="宋体" w:cs="宋体"/>
                <w:sz w:val="24"/>
                <w:szCs w:val="24"/>
              </w:rPr>
              <w:t xml:space="preserve">内容较科学合理，服务目标针对性较强，响应及故障处理较及时，措施可行的</w:t>
            </w:r>
            <w:r>
              <w:rPr>
                <w:rFonts w:hint="eastAsia" w:ascii="宋体" w:hAnsi="宋体" w:cs="宋体"/>
                <w:b/>
                <w:sz w:val="24"/>
                <w:szCs w:val="24"/>
              </w:rPr>
              <w:t xml:space="preserve">得3分；</w:t>
            </w:r>
            <w:r/>
          </w:p>
          <w:p>
            <w:pPr>
              <w:spacing w:line="360" w:lineRule="auto"/>
              <w:widowControl/>
              <w:rPr>
                <w:rFonts w:ascii="宋体" w:hAnsi="宋体" w:cs="宋体"/>
                <w:b/>
                <w:sz w:val="24"/>
                <w:szCs w:val="24"/>
              </w:rPr>
            </w:pPr>
            <w:r>
              <w:rPr>
                <w:rFonts w:hint="eastAsia" w:ascii="宋体" w:hAnsi="宋体" w:cs="宋体"/>
                <w:sz w:val="24"/>
                <w:szCs w:val="24"/>
              </w:rPr>
              <w:t xml:space="preserve">方案内容简单,合理性一般，可实施性一般的</w:t>
            </w:r>
            <w:r>
              <w:rPr>
                <w:rFonts w:hint="eastAsia" w:ascii="宋体" w:hAnsi="宋体" w:cs="宋体"/>
                <w:b/>
                <w:sz w:val="24"/>
                <w:szCs w:val="24"/>
              </w:rPr>
              <w:t xml:space="preserve">得2分；</w:t>
            </w:r>
            <w:r/>
          </w:p>
          <w:p>
            <w:pPr>
              <w:spacing w:line="360" w:lineRule="auto"/>
              <w:widowControl/>
              <w:rPr>
                <w:rFonts w:ascii="宋体" w:hAnsi="宋体" w:cs="宋体"/>
                <w:b/>
                <w:sz w:val="24"/>
                <w:szCs w:val="24"/>
              </w:rPr>
            </w:pPr>
            <w:r>
              <w:rPr>
                <w:rFonts w:hint="eastAsia" w:ascii="宋体" w:hAnsi="宋体" w:cs="宋体"/>
                <w:b/>
                <w:sz w:val="24"/>
                <w:szCs w:val="24"/>
              </w:rPr>
              <w:t xml:space="preserve">该项未见阐述不得分。</w:t>
            </w:r>
            <w:r/>
          </w:p>
        </w:tc>
      </w:tr>
      <w:tr>
        <w:trPr>
          <w:jc w:val="center"/>
          <w:trHeight w:val="621"/>
        </w:trPr>
        <w:tc>
          <w:tcPr>
            <w:tcW w:w="1951"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人员计划及质量保证措施方案</w:t>
            </w:r>
            <w:r/>
          </w:p>
          <w:p>
            <w:pPr>
              <w:jc w:val="center"/>
              <w:spacing w:line="360" w:lineRule="auto"/>
              <w:widowControl/>
              <w:rPr>
                <w:rFonts w:ascii="宋体" w:hAnsi="宋体" w:cs="宋体"/>
                <w:sz w:val="24"/>
                <w:szCs w:val="24"/>
              </w:rPr>
            </w:pPr>
            <w:r>
              <w:rPr>
                <w:rFonts w:hint="eastAsia" w:ascii="宋体" w:hAnsi="宋体" w:cs="宋体"/>
                <w:sz w:val="24"/>
                <w:szCs w:val="24"/>
              </w:rPr>
              <w:t xml:space="preserve">（4分）</w:t>
            </w:r>
            <w:r/>
          </w:p>
        </w:tc>
        <w:tc>
          <w:tcPr>
            <w:tcW w:w="7334" w:type="dxa"/>
            <w:vAlign w:val="center"/>
            <w:textDirection w:val="lrTb"/>
            <w:noWrap w:val="false"/>
          </w:tcPr>
          <w:p>
            <w:pPr>
              <w:spacing w:line="360" w:lineRule="auto"/>
              <w:widowControl/>
              <w:rPr>
                <w:rFonts w:ascii="宋体" w:hAnsi="宋体" w:cs="宋体"/>
                <w:sz w:val="24"/>
                <w:szCs w:val="24"/>
              </w:rPr>
            </w:pPr>
            <w:r>
              <w:rPr>
                <w:rFonts w:hint="eastAsia" w:ascii="宋体" w:hAnsi="宋体" w:cs="宋体"/>
                <w:sz w:val="24"/>
                <w:szCs w:val="24"/>
              </w:rPr>
              <w:t xml:space="preserve">投标人结合项目需求编制人员计划及质量保证措施方案，方案内容至少包含投标人针对本项目提供的人员工作计划安排、职责分工、实施过程中质量保证措施等内容。</w:t>
            </w:r>
            <w:r/>
          </w:p>
          <w:p>
            <w:pPr>
              <w:spacing w:line="360" w:lineRule="auto"/>
              <w:widowControl/>
              <w:rPr>
                <w:rFonts w:ascii="宋体" w:hAnsi="宋体" w:cs="宋体"/>
                <w:b/>
                <w:sz w:val="24"/>
                <w:szCs w:val="24"/>
              </w:rPr>
            </w:pPr>
            <w:r>
              <w:rPr>
                <w:rFonts w:hint="eastAsia" w:ascii="宋体" w:hAnsi="宋体" w:cs="宋体"/>
                <w:sz w:val="24"/>
                <w:szCs w:val="24"/>
              </w:rPr>
              <w:t xml:space="preserve">方案内容详细，有具体的服务内容，人员计划安排合理，配套完善的</w:t>
            </w:r>
            <w:r>
              <w:rPr>
                <w:rFonts w:hint="eastAsia" w:ascii="宋体" w:hAnsi="宋体" w:cs="宋体"/>
                <w:sz w:val="24"/>
                <w:szCs w:val="24"/>
              </w:rPr>
              <w:t xml:space="preserve">质量保证措施且优于采购需求的</w:t>
            </w:r>
            <w:r>
              <w:rPr>
                <w:rFonts w:hint="eastAsia" w:ascii="宋体" w:hAnsi="宋体" w:cs="宋体"/>
                <w:b/>
                <w:sz w:val="24"/>
                <w:szCs w:val="24"/>
              </w:rPr>
              <w:t xml:space="preserve">得4分；</w:t>
            </w:r>
            <w:r/>
          </w:p>
          <w:p>
            <w:pPr>
              <w:spacing w:line="360" w:lineRule="auto"/>
              <w:widowControl/>
              <w:rPr>
                <w:rFonts w:ascii="宋体" w:hAnsi="宋体" w:cs="宋体"/>
                <w:sz w:val="24"/>
                <w:szCs w:val="24"/>
              </w:rPr>
            </w:pPr>
            <w:r>
              <w:rPr>
                <w:rFonts w:hint="eastAsia" w:ascii="宋体" w:hAnsi="宋体" w:cs="宋体"/>
                <w:sz w:val="24"/>
                <w:szCs w:val="24"/>
              </w:rPr>
              <w:t xml:space="preserve">方案内容较详细，有较具体的服务内容，人员计划安排较合理，配套较完善的质量保证措施的</w:t>
            </w:r>
            <w:r>
              <w:rPr>
                <w:rFonts w:hint="eastAsia" w:ascii="宋体" w:hAnsi="宋体" w:cs="宋体"/>
                <w:b/>
                <w:sz w:val="24"/>
                <w:szCs w:val="24"/>
              </w:rPr>
              <w:t xml:space="preserve">得3分；</w:t>
            </w:r>
            <w:r/>
          </w:p>
          <w:p>
            <w:pPr>
              <w:spacing w:line="360" w:lineRule="auto"/>
              <w:widowControl/>
              <w:rPr>
                <w:rFonts w:ascii="宋体" w:hAnsi="宋体" w:cs="宋体"/>
                <w:sz w:val="24"/>
                <w:szCs w:val="24"/>
              </w:rPr>
            </w:pPr>
            <w:r>
              <w:rPr>
                <w:rFonts w:hint="eastAsia" w:ascii="宋体" w:hAnsi="宋体" w:cs="宋体"/>
                <w:sz w:val="24"/>
                <w:szCs w:val="24"/>
              </w:rPr>
              <w:t xml:space="preserve">方案有服务内容，人员计划安排合理性一般，配套有质量保证措施的</w:t>
            </w:r>
            <w:r>
              <w:rPr>
                <w:rFonts w:hint="eastAsia" w:ascii="宋体" w:hAnsi="宋体" w:cs="宋体"/>
                <w:b/>
                <w:sz w:val="24"/>
                <w:szCs w:val="24"/>
              </w:rPr>
              <w:t xml:space="preserve">得2分；</w:t>
            </w:r>
            <w:r/>
          </w:p>
          <w:p>
            <w:pPr>
              <w:spacing w:line="360" w:lineRule="auto"/>
              <w:widowControl/>
              <w:rPr>
                <w:rFonts w:ascii="宋体" w:hAnsi="宋体" w:cs="宋体"/>
                <w:b/>
                <w:sz w:val="24"/>
                <w:szCs w:val="24"/>
              </w:rPr>
            </w:pPr>
            <w:r>
              <w:rPr>
                <w:rFonts w:hint="eastAsia" w:ascii="宋体" w:hAnsi="宋体" w:cs="宋体"/>
                <w:b/>
                <w:sz w:val="24"/>
                <w:szCs w:val="24"/>
              </w:rPr>
              <w:t xml:space="preserve">该项未见阐述不得分。</w:t>
            </w:r>
            <w:r/>
          </w:p>
        </w:tc>
      </w:tr>
      <w:tr>
        <w:trPr>
          <w:jc w:val="center"/>
          <w:trHeight w:val="621"/>
        </w:trPr>
        <w:tc>
          <w:tcPr>
            <w:tcW w:w="1951"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培训方案</w:t>
            </w:r>
            <w:r/>
          </w:p>
          <w:p>
            <w:pPr>
              <w:jc w:val="center"/>
              <w:spacing w:line="360" w:lineRule="auto"/>
              <w:widowControl/>
              <w:rPr>
                <w:rFonts w:ascii="宋体" w:hAnsi="宋体" w:cs="宋体"/>
                <w:sz w:val="24"/>
                <w:szCs w:val="24"/>
              </w:rPr>
            </w:pPr>
            <w:r>
              <w:rPr>
                <w:rFonts w:hint="eastAsia" w:ascii="宋体" w:hAnsi="宋体" w:cs="宋体"/>
                <w:sz w:val="24"/>
                <w:szCs w:val="24"/>
              </w:rPr>
              <w:t xml:space="preserve">（4分）</w:t>
            </w:r>
            <w:r/>
          </w:p>
        </w:tc>
        <w:tc>
          <w:tcPr>
            <w:tcW w:w="7334" w:type="dxa"/>
            <w:vAlign w:val="center"/>
            <w:textDirection w:val="lrTb"/>
            <w:noWrap w:val="false"/>
          </w:tcPr>
          <w:p>
            <w:pPr>
              <w:spacing w:line="360" w:lineRule="auto"/>
              <w:widowControl/>
              <w:rPr>
                <w:rFonts w:ascii="宋体" w:hAnsi="宋体" w:cs="宋体"/>
                <w:sz w:val="24"/>
                <w:szCs w:val="24"/>
              </w:rPr>
            </w:pPr>
            <w:r>
              <w:rPr>
                <w:rFonts w:hint="eastAsia" w:ascii="宋体" w:hAnsi="宋体" w:cs="宋体"/>
                <w:sz w:val="24"/>
                <w:szCs w:val="24"/>
              </w:rPr>
              <w:t xml:space="preserve">投标人结合项目需求制定培训方案，方案包含但不限于培训对象与内容、培训师资、培训目标、培训计划安排等内容。</w:t>
            </w:r>
            <w:r/>
          </w:p>
          <w:p>
            <w:pPr>
              <w:spacing w:line="360" w:lineRule="auto"/>
              <w:widowControl/>
              <w:rPr>
                <w:rFonts w:ascii="宋体" w:hAnsi="宋体" w:cs="宋体"/>
                <w:b/>
                <w:sz w:val="24"/>
                <w:szCs w:val="24"/>
              </w:rPr>
            </w:pPr>
            <w:r>
              <w:rPr>
                <w:rFonts w:hint="eastAsia" w:ascii="宋体" w:hAnsi="宋体" w:cs="宋体"/>
                <w:sz w:val="24"/>
                <w:szCs w:val="24"/>
              </w:rPr>
              <w:t xml:space="preserve">方案内容详细，目标明确，合理清晰，可操作性强的</w:t>
            </w:r>
            <w:r>
              <w:rPr>
                <w:rFonts w:hint="eastAsia" w:ascii="宋体" w:hAnsi="宋体" w:cs="宋体"/>
                <w:b/>
                <w:sz w:val="24"/>
                <w:szCs w:val="24"/>
              </w:rPr>
              <w:t xml:space="preserve">得4分；</w:t>
            </w:r>
            <w:r/>
          </w:p>
          <w:p>
            <w:pPr>
              <w:spacing w:line="360" w:lineRule="auto"/>
              <w:widowControl/>
              <w:rPr>
                <w:rFonts w:ascii="宋体" w:hAnsi="宋体" w:cs="宋体"/>
                <w:sz w:val="24"/>
                <w:szCs w:val="24"/>
              </w:rPr>
            </w:pPr>
            <w:r>
              <w:rPr>
                <w:rFonts w:hint="eastAsia" w:ascii="宋体" w:hAnsi="宋体" w:cs="宋体"/>
                <w:sz w:val="24"/>
                <w:szCs w:val="24"/>
              </w:rPr>
              <w:t xml:space="preserve">方案内容较详细，目标较明确，较合理，可操作性较强的</w:t>
            </w:r>
            <w:r>
              <w:rPr>
                <w:rFonts w:hint="eastAsia" w:ascii="宋体" w:hAnsi="宋体" w:cs="宋体"/>
                <w:b/>
                <w:sz w:val="24"/>
                <w:szCs w:val="24"/>
              </w:rPr>
              <w:t xml:space="preserve">得3分；</w:t>
            </w:r>
            <w:r/>
          </w:p>
          <w:p>
            <w:pPr>
              <w:spacing w:line="360" w:lineRule="auto"/>
              <w:widowControl/>
              <w:rPr>
                <w:rFonts w:ascii="宋体" w:hAnsi="宋体" w:cs="宋体"/>
                <w:sz w:val="24"/>
                <w:szCs w:val="24"/>
              </w:rPr>
            </w:pPr>
            <w:r>
              <w:rPr>
                <w:rFonts w:hint="eastAsia" w:ascii="宋体" w:hAnsi="宋体" w:cs="宋体"/>
                <w:sz w:val="24"/>
                <w:szCs w:val="24"/>
              </w:rPr>
              <w:t xml:space="preserve">方案内容简单，不清晰，合理性一般，可操作性不强的</w:t>
            </w:r>
            <w:r>
              <w:rPr>
                <w:rFonts w:hint="eastAsia" w:ascii="宋体" w:hAnsi="宋体" w:cs="宋体"/>
                <w:b/>
                <w:sz w:val="24"/>
                <w:szCs w:val="24"/>
              </w:rPr>
              <w:t xml:space="preserve">得2分；</w:t>
            </w:r>
            <w:r/>
          </w:p>
          <w:p>
            <w:pPr>
              <w:spacing w:line="360" w:lineRule="auto"/>
              <w:widowControl/>
              <w:rPr>
                <w:rFonts w:ascii="宋体" w:hAnsi="宋体" w:cs="宋体"/>
                <w:b/>
                <w:sz w:val="24"/>
                <w:szCs w:val="24"/>
              </w:rPr>
            </w:pPr>
            <w:r>
              <w:rPr>
                <w:rFonts w:hint="eastAsia" w:ascii="宋体" w:hAnsi="宋体" w:cs="宋体"/>
                <w:b/>
                <w:sz w:val="24"/>
                <w:szCs w:val="24"/>
              </w:rPr>
              <w:t xml:space="preserve">该项未见阐述不得分。</w:t>
            </w:r>
            <w:r/>
          </w:p>
        </w:tc>
      </w:tr>
    </w:tbl>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rPr>
          <w:rFonts w:ascii="黑体" w:hAnsi="黑体" w:eastAsia="黑体"/>
        </w:rPr>
      </w:pPr>
      <w:r/>
      <w:bookmarkStart w:id="5" w:name="_Toc162361615"/>
      <w:r>
        <w:rPr>
          <w:rFonts w:hint="eastAsia" w:ascii="黑体" w:hAnsi="黑体" w:eastAsia="黑体"/>
        </w:rPr>
        <w:br w:type="page" w:clear="all"/>
      </w:r>
      <w:r/>
    </w:p>
    <w:p>
      <w:pPr>
        <w:pStyle w:val="842"/>
        <w:jc w:val="center"/>
        <w:spacing w:line="360" w:lineRule="auto"/>
        <w:rPr>
          <w:rFonts w:ascii="黑体" w:hAnsi="黑体" w:eastAsia="黑体"/>
          <w:b w:val="0"/>
        </w:rPr>
      </w:pPr>
      <w:r>
        <w:rPr>
          <w:rFonts w:hint="eastAsia" w:ascii="黑体" w:hAnsi="黑体" w:eastAsia="黑体"/>
          <w:b w:val="0"/>
        </w:rPr>
        <w:t xml:space="preserve">第六章  投标文件格式</w:t>
      </w:r>
      <w:bookmarkEnd w:id="5"/>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b/>
          <w:sz w:val="36"/>
          <w:szCs w:val="36"/>
        </w:rPr>
        <w:outlineLvl w:val="1"/>
      </w:pPr>
      <w:r>
        <w:rPr>
          <w:rFonts w:hint="eastAsia" w:ascii="宋体" w:hAnsi="宋体" w:eastAsia="宋体" w:cs="宋体"/>
          <w:b/>
          <w:sz w:val="36"/>
          <w:szCs w:val="36"/>
        </w:rPr>
        <w:t xml:space="preserve">一、法人或者其他组织的营业执照等证明文件，自然人的身份证明</w:t>
      </w:r>
      <w:r/>
    </w:p>
    <w:p>
      <w:r/>
      <w:r/>
    </w:p>
    <w:p>
      <w:r/>
      <w:r/>
    </w:p>
    <w:p>
      <w:r/>
      <w:r/>
    </w:p>
    <w:p>
      <w:r/>
      <w:r/>
    </w:p>
    <w:p>
      <w:pPr>
        <w:jc w:val="left"/>
        <w:spacing w:line="500" w:lineRule="exact"/>
        <w:rPr>
          <w:sz w:val="24"/>
          <w:szCs w:val="24"/>
        </w:rPr>
      </w:pPr>
      <w:r>
        <w:rPr>
          <w:rFonts w:hint="eastAsia" w:ascii="Arial" w:hAnsi="Arial" w:eastAsia="宋体" w:cs="Arial"/>
          <w:b/>
          <w:sz w:val="36"/>
        </w:rPr>
        <w:t xml:space="preserve">二、上一年度的财务状况报告</w:t>
      </w:r>
      <w:r>
        <w:rPr>
          <w:rFonts w:hint="eastAsia"/>
          <w:sz w:val="24"/>
          <w:szCs w:val="24"/>
        </w:rPr>
        <w:t xml:space="preserve">（成立不满一年无需提供）</w:t>
      </w:r>
      <w:r/>
    </w:p>
    <w:p>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根据连财购〔2023〕4号文件精神，可以提供《财务状况报告及税收、社会保障资金缴纳情况承诺函》</w:t>
      </w:r>
      <w:r/>
    </w:p>
    <w:p>
      <w:pPr>
        <w:spacing w:line="360" w:lineRule="auto"/>
        <w:rPr>
          <w:rFonts w:asciiTheme="minorEastAsia" w:hAnsiTheme="minorEastAsia"/>
          <w:sz w:val="24"/>
          <w:szCs w:val="24"/>
        </w:rPr>
      </w:pPr>
      <w:r>
        <w:rPr>
          <w:rFonts w:asciiTheme="minorEastAsia" w:hAnsiTheme="minorEastAsia"/>
          <w:sz w:val="24"/>
          <w:szCs w:val="24"/>
        </w:rPr>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三、依法缴纳税收和社会保障资金的相关材料</w:t>
      </w:r>
      <w:r/>
    </w:p>
    <w:p>
      <w:pPr>
        <w:ind w:firstLine="480"/>
        <w:spacing w:line="360" w:lineRule="auto"/>
        <w:rPr>
          <w:rFonts w:asciiTheme="minorEastAsia" w:hAnsiTheme="minorEastAsia"/>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 xml:space="preserve">根据连财购〔2023〕4号文件精神，提供《财务状况报告及税收、社会保障资金缴纳情况承诺函》。</w:t>
      </w:r>
      <w:r/>
    </w:p>
    <w:p>
      <w:pPr>
        <w:ind w:firstLine="480"/>
        <w:jc w:val="left"/>
        <w:spacing w:line="500" w:lineRule="exact"/>
        <w:rPr>
          <w:sz w:val="24"/>
          <w:szCs w:val="24"/>
        </w:rPr>
      </w:pPr>
      <w:r>
        <w:rPr>
          <w:sz w:val="24"/>
          <w:szCs w:val="24"/>
        </w:rPr>
      </w:r>
      <w:r/>
    </w:p>
    <w:p>
      <w:r/>
      <w:r/>
    </w:p>
    <w:p>
      <w:pPr>
        <w:rPr>
          <w:b/>
          <w:sz w:val="24"/>
        </w:rPr>
      </w:pPr>
      <w:r>
        <w:rPr>
          <w:b/>
          <w:sz w:val="24"/>
        </w:rPr>
      </w:r>
      <w:r/>
    </w:p>
    <w:p>
      <w:pPr>
        <w:rPr>
          <w:b/>
          <w:sz w:val="24"/>
        </w:rPr>
      </w:pPr>
      <w:r>
        <w:rPr>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w:t>
      </w:r>
      <w:r>
        <w:rPr>
          <w:rFonts w:hint="eastAsia" w:ascii="Calibri" w:hAnsi="Calibri" w:eastAsia="宋体" w:cs="Times New Roman"/>
          <w:sz w:val="24"/>
          <w:szCs w:val="24"/>
        </w:rPr>
        <w:t xml:space="preserve">2023</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4</w:t>
      </w:r>
      <w:r>
        <w:rPr>
          <w:rFonts w:hint="eastAsia" w:ascii="Calibri" w:hAnsi="Calibri" w:eastAsia="宋体" w:cs="Times New Roman"/>
          <w:sz w:val="24"/>
          <w:szCs w:val="24"/>
        </w:rPr>
        <w:t xml:space="preserve">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1</w:t>
      </w:r>
      <w:r>
        <w:rPr>
          <w:rFonts w:hint="eastAsia" w:ascii="Calibri" w:hAnsi="Calibri" w:eastAsia="宋体" w:cs="Times New Roman"/>
          <w:sz w:val="24"/>
          <w:szCs w:val="24"/>
        </w:rPr>
        <w:t xml:space="preserve">）具有良好的商业信誉和健全的财务会计制度（财务状况报告）；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w:t>
      </w:r>
      <w:r>
        <w:rPr>
          <w:rFonts w:hint="eastAsia" w:ascii="Calibri" w:hAnsi="Calibri" w:eastAsia="宋体" w:cs="Times New Roman"/>
          <w:sz w:val="24"/>
          <w:szCs w:val="24"/>
        </w:rPr>
        <w:t xml:space="preserve">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日期：年月日</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四、具备履行合同所必需的设备和专业技术能力的声明及证明材料</w:t>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日期：年月日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五、参加政府采购活动前</w:t>
      </w:r>
      <w:r>
        <w:rPr>
          <w:rFonts w:hint="eastAsia" w:ascii="Arial" w:hAnsi="Arial" w:eastAsia="宋体" w:cs="Arial"/>
          <w:b/>
          <w:iCs/>
          <w:sz w:val="36"/>
        </w:rPr>
        <w:t xml:space="preserve">3</w:t>
      </w:r>
      <w:r>
        <w:rPr>
          <w:rFonts w:hint="eastAsia" w:ascii="Arial" w:hAnsi="Arial" w:eastAsia="宋体" w:cs="Arial"/>
          <w:b/>
          <w:iCs/>
          <w:sz w:val="36"/>
        </w:rPr>
        <w:t xml:space="preserve">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w:t>
      </w:r>
      <w:r>
        <w:rPr>
          <w:rFonts w:hint="eastAsia" w:ascii="Calibri" w:hAnsi="Calibri" w:eastAsia="宋体" w:cs="Times New Roman"/>
          <w:sz w:val="24"/>
          <w:szCs w:val="24"/>
        </w:rPr>
        <w:t xml:space="preserve"> 3 </w:t>
      </w:r>
      <w:r>
        <w:rPr>
          <w:rFonts w:hint="eastAsia" w:ascii="Calibri" w:hAnsi="Calibri" w:eastAsia="宋体" w:cs="Times New Roman"/>
          <w:sz w:val="24"/>
          <w:szCs w:val="24"/>
        </w:rPr>
        <w:t xml:space="preserve">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日期：年月日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我方代理人，联系电话：。</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项目（项目编号：）投标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日期：年月日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w:t>
      </w:r>
      <w:r>
        <w:rPr>
          <w:rFonts w:ascii="Calibri" w:hAnsi="Calibri" w:eastAsia="宋体" w:cs="Times New Roman"/>
          <w:sz w:val="24"/>
          <w:szCs w:val="24"/>
        </w:rPr>
        <w:t xml:space="preserve">、若供应商为事业单位或其他组织或分支机构（仅当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采购单位</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ind w:firstLine="480"/>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ind w:firstLine="468"/>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日期：年月日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r/>
      <w:r/>
    </w:p>
    <w:p>
      <w:r/>
      <w:r/>
    </w:p>
    <w:p>
      <w:r/>
      <w:r/>
    </w:p>
    <w:p>
      <w:r/>
      <w:r/>
    </w:p>
    <w:p>
      <w:r/>
      <w:r/>
    </w:p>
    <w:p>
      <w:r/>
      <w:r/>
    </w:p>
    <w:p>
      <w:r/>
      <w:r/>
    </w:p>
    <w:p>
      <w:r/>
      <w:r/>
    </w:p>
    <w:p>
      <w:r/>
      <w:r/>
    </w:p>
    <w:p>
      <w:r/>
      <w:r/>
    </w:p>
    <w:p>
      <w:r/>
      <w:r/>
    </w:p>
    <w:p>
      <w:r/>
      <w:r/>
    </w:p>
    <w:p>
      <w:r/>
      <w:r/>
    </w:p>
    <w:p>
      <w:pPr>
        <w:rPr>
          <w:rFonts w:hint="eastAsia"/>
        </w:rPr>
      </w:pPr>
      <w:r>
        <w:rPr>
          <w:rFonts w:hint="eastAsia"/>
        </w:rPr>
      </w:r>
      <w:r/>
    </w:p>
    <w:p>
      <w:r/>
      <w:r/>
    </w:p>
    <w:p>
      <w:r/>
      <w:r/>
    </w:p>
    <w:p>
      <w:pPr>
        <w:jc w:val="left"/>
        <w:keepLines/>
        <w:keepNext/>
        <w:spacing w:before="260" w:after="260" w:line="416" w:lineRule="auto"/>
        <w:rPr>
          <w:rFonts w:ascii="黑体" w:hAnsi="黑体" w:eastAsia="黑体" w:cs="Times New Roman"/>
          <w:b/>
          <w:color w:val="000000"/>
          <w:sz w:val="32"/>
          <w:szCs w:val="32"/>
        </w:rPr>
        <w:outlineLvl w:val="1"/>
      </w:pPr>
      <w:r>
        <w:rPr>
          <w:rFonts w:hint="eastAsia" w:ascii="Arial" w:hAnsi="Arial" w:eastAsia="宋体" w:cs="Arial"/>
          <w:b/>
          <w:iCs/>
          <w:sz w:val="36"/>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日期：年月日</w:t>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十一、中小企业声明函（服务）</w:t>
      </w:r>
      <w:r/>
    </w:p>
    <w:p>
      <w:pPr>
        <w:jc w:val="center"/>
        <w:spacing w:line="360" w:lineRule="auto"/>
        <w:tabs>
          <w:tab w:val="left" w:pos="360" w:leader="none"/>
        </w:tabs>
        <w:rPr>
          <w:rFonts w:ascii="黑体" w:hAnsi="黑体" w:eastAsia="黑体" w:cs="宋体"/>
          <w:bCs/>
          <w:sz w:val="36"/>
          <w:szCs w:val="28"/>
        </w:rPr>
      </w:pPr>
      <w:r>
        <w:rPr>
          <w:rFonts w:ascii="黑体" w:hAnsi="黑体" w:eastAsia="黑体" w:cs="宋体"/>
          <w:bCs/>
          <w:sz w:val="36"/>
          <w:szCs w:val="28"/>
        </w:rPr>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3.中标人提供的所有《中小企业声明函》均随中标结果公开。</w:t>
      </w:r>
      <w:r/>
    </w:p>
    <w:p>
      <w:r/>
      <w:r/>
    </w:p>
    <w:p>
      <w:r/>
      <w:r/>
    </w:p>
    <w:p>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十二、残疾人福利性单位声明函</w:t>
      </w:r>
      <w:r/>
    </w:p>
    <w:p>
      <w:pPr>
        <w:jc w:val="center"/>
        <w:spacing w:line="360" w:lineRule="auto"/>
        <w:tabs>
          <w:tab w:val="left" w:pos="360" w:leader="none"/>
        </w:tabs>
        <w:rPr>
          <w:rFonts w:ascii="黑体" w:hAnsi="黑体" w:eastAsia="黑体" w:cs="宋体"/>
          <w:bCs/>
          <w:sz w:val="36"/>
          <w:szCs w:val="28"/>
        </w:rPr>
      </w:pPr>
      <w:r>
        <w:rPr>
          <w:rFonts w:ascii="黑体" w:hAnsi="黑体" w:eastAsia="黑体" w:cs="宋体"/>
          <w:bCs/>
          <w:sz w:val="36"/>
          <w:szCs w:val="28"/>
        </w:rPr>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141号）的规定，本单位为符合条件的残疾人福利性单位，且本单位参加单位的项目（</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2.</w:t>
      </w:r>
      <w:r>
        <w:rPr>
          <w:rFonts w:hint="eastAsia" w:ascii="宋体" w:hAnsi="宋体" w:eastAsia="宋体" w:cs="Times New Roman"/>
          <w:sz w:val="24"/>
          <w:szCs w:val="24"/>
        </w:rPr>
        <w:t xml:space="preserve">中标人提供的所有《中小企业声明函》均随中标结果公开。</w:t>
      </w:r>
      <w:r/>
    </w:p>
    <w:p>
      <w:pPr>
        <w:ind w:firstLine="420"/>
        <w:jc w:val="left"/>
        <w:spacing w:line="360" w:lineRule="auto"/>
      </w:pPr>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十三、分包意向协议书</w:t>
      </w:r>
      <w:r/>
    </w:p>
    <w:p>
      <w:pPr>
        <w:jc w:val="center"/>
        <w:spacing w:line="264" w:lineRule="auto"/>
        <w:rPr>
          <w:sz w:val="29"/>
        </w:rPr>
      </w:pPr>
      <w:r>
        <w:rPr>
          <w:rFonts w:hint="eastAsia" w:ascii="宋体" w:hAnsi="宋体" w:eastAsia="宋体"/>
          <w:b/>
          <w:color w:val="000000"/>
          <w:sz w:val="29"/>
        </w:rPr>
        <w:t xml:space="preserve">分包意向协议书</w:t>
      </w:r>
      <w:r/>
    </w:p>
    <w:p>
      <w:pPr>
        <w:rPr>
          <w:rFonts w:ascii="宋体" w:hAnsi="宋体" w:eastAsia="宋体"/>
          <w:color w:val="000000"/>
        </w:rPr>
      </w:pPr>
      <w:r>
        <w:rPr>
          <w:rFonts w:ascii="宋体" w:hAnsi="宋体" w:eastAsia="宋体"/>
          <w:color w:val="000000"/>
        </w:rPr>
      </w:r>
      <w:r/>
    </w:p>
    <w:p>
      <w:pPr>
        <w:ind w:firstLine="120"/>
        <w:spacing w:line="360" w:lineRule="auto"/>
        <w:rPr>
          <w:rFonts w:asciiTheme="minorEastAsia" w:hAnsiTheme="minorEastAsia"/>
          <w:sz w:val="24"/>
          <w:szCs w:val="24"/>
        </w:rPr>
      </w:pPr>
      <w:r>
        <w:rPr>
          <w:rFonts w:hint="eastAsia" w:asciiTheme="minorEastAsia" w:hAnsiTheme="minorEastAsia"/>
          <w:color w:val="000000"/>
          <w:sz w:val="24"/>
          <w:szCs w:val="24"/>
        </w:rPr>
        <w:t xml:space="preserve">立约方</w:t>
      </w:r>
      <w:r>
        <w:rPr>
          <w:rFonts w:hint="eastAsia" w:asciiTheme="minorEastAsia" w:hAnsiTheme="minorEastAsia"/>
          <w:color w:val="000000"/>
          <w:sz w:val="24"/>
          <w:szCs w:val="24"/>
          <w:u w:val="single"/>
        </w:rPr>
        <w:t xml:space="preserve">：（甲公司全称）</w:t>
      </w:r>
      <w:r/>
    </w:p>
    <w:p>
      <w:pPr>
        <w:ind w:firstLine="1118"/>
        <w:spacing w:line="360" w:lineRule="auto"/>
        <w:rPr>
          <w:rFonts w:asciiTheme="minorEastAsia" w:hAnsiTheme="minorEastAsia"/>
          <w:sz w:val="24"/>
          <w:szCs w:val="24"/>
        </w:rPr>
      </w:pPr>
      <w:r>
        <w:rPr>
          <w:rFonts w:hint="eastAsia" w:asciiTheme="minorEastAsia" w:hAnsiTheme="minorEastAsia"/>
          <w:color w:val="000000"/>
          <w:sz w:val="24"/>
          <w:szCs w:val="24"/>
          <w:u w:val="single"/>
        </w:rPr>
        <w:t xml:space="preserve">（乙公司全称）</w:t>
      </w:r>
      <w:r/>
    </w:p>
    <w:p>
      <w:pPr>
        <w:ind w:firstLine="1100"/>
        <w:spacing w:line="360" w:lineRule="auto"/>
        <w:rPr>
          <w:rFonts w:asciiTheme="minorEastAsia" w:hAnsiTheme="minorEastAsia"/>
          <w:sz w:val="24"/>
          <w:szCs w:val="24"/>
        </w:rPr>
      </w:pPr>
      <w:r>
        <w:rPr>
          <w:rFonts w:hint="eastAsia" w:asciiTheme="minorEastAsia" w:hAnsiTheme="minorEastAsia"/>
          <w:color w:val="000000"/>
          <w:sz w:val="24"/>
          <w:szCs w:val="24"/>
          <w:u w:val="single"/>
        </w:rPr>
        <w:t xml:space="preserve">（······公司全称）</w:t>
      </w:r>
      <w:r/>
    </w:p>
    <w:p>
      <w:pPr>
        <w:ind w:left="60" w:right="1220" w:firstLine="540"/>
        <w:spacing w:line="360" w:lineRule="auto"/>
        <w:rPr>
          <w:rFonts w:asciiTheme="minorEastAsia" w:hAnsiTheme="minorEastAsia"/>
          <w:sz w:val="24"/>
          <w:szCs w:val="24"/>
        </w:rPr>
      </w:pPr>
      <w:r>
        <w:rPr>
          <w:rFonts w:hint="eastAsia" w:asciiTheme="minorEastAsia" w:hAnsiTheme="minorEastAsia"/>
          <w:color w:val="000000"/>
          <w:sz w:val="24"/>
          <w:szCs w:val="24"/>
          <w:u w:val="single"/>
        </w:rPr>
        <w:t xml:space="preserve">（甲公司全称）、（乙公司全称）、（······公司全称）</w:t>
      </w:r>
      <w:r>
        <w:rPr>
          <w:rFonts w:hint="eastAsia" w:asciiTheme="minorEastAsia" w:hAnsiTheme="minorEastAsia"/>
          <w:color w:val="000000"/>
          <w:sz w:val="24"/>
          <w:szCs w:val="24"/>
        </w:rPr>
        <w:t xml:space="preserve">自愿达成分包意向，参加</w:t>
      </w:r>
      <w:r>
        <w:rPr>
          <w:rFonts w:hint="eastAsia" w:asciiTheme="minorEastAsia" w:hAnsiTheme="minorEastAsia"/>
          <w:color w:val="000000"/>
          <w:sz w:val="24"/>
          <w:szCs w:val="24"/>
          <w:u w:val="single"/>
        </w:rPr>
        <w:t xml:space="preserve">（采购项目名称）（采购项目编号）</w:t>
      </w:r>
      <w:r>
        <w:rPr>
          <w:rFonts w:hint="eastAsia" w:asciiTheme="minorEastAsia" w:hAnsiTheme="minorEastAsia"/>
          <w:color w:val="000000"/>
          <w:sz w:val="24"/>
          <w:szCs w:val="24"/>
        </w:rPr>
        <w:t xml:space="preserve">的响应活动。经各方充分协商一致，就项目的响应和合同实施阶段的有关事务协商一致订立意向如下：</w:t>
      </w:r>
      <w:r/>
    </w:p>
    <w:p>
      <w:pPr>
        <w:ind w:firstLine="520"/>
        <w:spacing w:line="360" w:lineRule="auto"/>
        <w:rPr>
          <w:rFonts w:asciiTheme="minorEastAsia" w:hAnsiTheme="minorEastAsia"/>
          <w:b/>
          <w:sz w:val="24"/>
          <w:szCs w:val="24"/>
        </w:rPr>
      </w:pPr>
      <w:r>
        <w:rPr>
          <w:rFonts w:hint="eastAsia" w:asciiTheme="minorEastAsia" w:hAnsiTheme="minorEastAsia"/>
          <w:b/>
          <w:color w:val="000000"/>
          <w:sz w:val="24"/>
          <w:szCs w:val="24"/>
        </w:rPr>
        <w:t xml:space="preserve">一、分包意向各方关系</w:t>
      </w:r>
      <w:r/>
    </w:p>
    <w:p>
      <w:pPr>
        <w:ind w:left="60" w:right="1140" w:firstLine="480"/>
        <w:spacing w:line="360" w:lineRule="auto"/>
        <w:rPr>
          <w:rFonts w:asciiTheme="minorEastAsia" w:hAnsiTheme="minorEastAsia"/>
          <w:sz w:val="24"/>
          <w:szCs w:val="24"/>
        </w:rPr>
      </w:pPr>
      <w:r>
        <w:rPr>
          <w:rFonts w:hint="eastAsia" w:asciiTheme="minorEastAsia" w:hAnsiTheme="minorEastAsia"/>
          <w:color w:val="000000"/>
          <w:sz w:val="24"/>
          <w:szCs w:val="24"/>
          <w:u w:val="single"/>
        </w:rPr>
        <w:t xml:space="preserve">（甲公司全称）为投标</w:t>
      </w:r>
      <w:r>
        <w:rPr>
          <w:rFonts w:hint="eastAsia" w:asciiTheme="minorEastAsia" w:hAnsiTheme="minorEastAsia"/>
          <w:color w:val="000000"/>
          <w:sz w:val="24"/>
          <w:szCs w:val="24"/>
          <w:u w:val="single"/>
        </w:rPr>
        <w:t xml:space="preserve">方</w:t>
      </w:r>
      <w:r>
        <w:rPr>
          <w:rFonts w:hint="eastAsia" w:asciiTheme="minorEastAsia" w:hAnsiTheme="minorEastAsia"/>
          <w:color w:val="000000"/>
          <w:sz w:val="24"/>
          <w:szCs w:val="24"/>
          <w:u w:val="single"/>
        </w:rPr>
        <w:t xml:space="preserve">、（乙公司全称）、（······公司全称）</w:t>
      </w:r>
      <w:r>
        <w:rPr>
          <w:rFonts w:hint="eastAsia" w:asciiTheme="minorEastAsia" w:hAnsiTheme="minorEastAsia"/>
          <w:color w:val="000000"/>
          <w:sz w:val="24"/>
          <w:szCs w:val="24"/>
        </w:rPr>
        <w:t xml:space="preserve">为分包意向供应商，</w:t>
      </w:r>
      <w:r>
        <w:rPr>
          <w:rFonts w:hint="eastAsia" w:asciiTheme="minorEastAsia" w:hAnsiTheme="minorEastAsia"/>
          <w:color w:val="000000"/>
          <w:sz w:val="24"/>
          <w:szCs w:val="24"/>
          <w:u w:val="single"/>
        </w:rPr>
        <w:t xml:space="preserve">（甲公司全称）</w:t>
      </w:r>
      <w:r>
        <w:rPr>
          <w:rFonts w:hint="eastAsia" w:asciiTheme="minorEastAsia" w:hAnsiTheme="minorEastAsia"/>
          <w:color w:val="000000"/>
          <w:sz w:val="24"/>
          <w:szCs w:val="24"/>
        </w:rPr>
        <w:t xml:space="preserve">以投标供应商的身份参加本项目的响应。若中标，</w:t>
      </w:r>
      <w:r>
        <w:rPr>
          <w:rFonts w:hint="eastAsia" w:asciiTheme="minorEastAsia" w:hAnsiTheme="minorEastAsia"/>
          <w:color w:val="000000"/>
          <w:sz w:val="24"/>
          <w:szCs w:val="24"/>
          <w:u w:val="single"/>
        </w:rPr>
        <w:t xml:space="preserve">（甲公司全称）与采购人</w:t>
      </w:r>
      <w:r>
        <w:rPr>
          <w:rFonts w:hint="eastAsia" w:asciiTheme="minorEastAsia" w:hAnsiTheme="minorEastAsia"/>
          <w:color w:val="000000"/>
          <w:sz w:val="24"/>
          <w:szCs w:val="24"/>
        </w:rPr>
        <w:t xml:space="preserve">签订政府采购合同。承接分包意向的各供应商与</w:t>
      </w:r>
      <w:r>
        <w:rPr>
          <w:rFonts w:hint="eastAsia" w:asciiTheme="minorEastAsia" w:hAnsiTheme="minorEastAsia"/>
          <w:color w:val="000000"/>
          <w:sz w:val="24"/>
          <w:szCs w:val="24"/>
          <w:u w:val="single"/>
        </w:rPr>
        <w:t xml:space="preserve">（甲公司全称）</w:t>
      </w:r>
      <w:r>
        <w:rPr>
          <w:rFonts w:hint="eastAsia" w:asciiTheme="minorEastAsia" w:hAnsiTheme="minorEastAsia"/>
          <w:color w:val="000000"/>
          <w:sz w:val="24"/>
          <w:szCs w:val="24"/>
        </w:rPr>
        <w:t xml:space="preserve">签订分包合同。</w:t>
      </w:r>
      <w:r>
        <w:rPr>
          <w:rFonts w:hint="eastAsia" w:asciiTheme="minorEastAsia" w:hAnsiTheme="minorEastAsia"/>
          <w:color w:val="000000"/>
          <w:sz w:val="24"/>
          <w:szCs w:val="24"/>
          <w:u w:val="single"/>
        </w:rPr>
        <w:t xml:space="preserve">（甲公司全称）</w:t>
      </w:r>
      <w:r>
        <w:rPr>
          <w:rFonts w:hint="eastAsia" w:asciiTheme="minorEastAsia" w:hAnsiTheme="minorEastAsia"/>
          <w:color w:val="000000"/>
          <w:sz w:val="24"/>
          <w:szCs w:val="24"/>
        </w:rPr>
        <w:t xml:space="preserve">就采购项目和分包项目向采购人负责，分包供应商就分包项目承担责任。</w:t>
      </w:r>
      <w:r/>
    </w:p>
    <w:p>
      <w:pPr>
        <w:ind w:firstLine="520"/>
        <w:spacing w:line="360" w:lineRule="auto"/>
        <w:rPr>
          <w:rFonts w:asciiTheme="minorEastAsia" w:hAnsiTheme="minorEastAsia"/>
          <w:b/>
          <w:sz w:val="24"/>
          <w:szCs w:val="24"/>
        </w:rPr>
      </w:pPr>
      <w:r>
        <w:rPr>
          <w:rFonts w:hint="eastAsia" w:asciiTheme="minorEastAsia" w:hAnsiTheme="minorEastAsia"/>
          <w:b/>
          <w:color w:val="000000"/>
          <w:sz w:val="24"/>
          <w:szCs w:val="24"/>
        </w:rPr>
        <w:t xml:space="preserve">二、有关事项约定如下：</w:t>
      </w:r>
      <w:r/>
    </w:p>
    <w:p>
      <w:pPr>
        <w:ind w:left="60" w:right="1080" w:firstLine="460"/>
        <w:spacing w:before="83" w:line="360" w:lineRule="auto"/>
        <w:rPr>
          <w:rFonts w:asciiTheme="minorEastAsia" w:hAnsiTheme="minorEastAsia"/>
          <w:sz w:val="24"/>
          <w:szCs w:val="24"/>
        </w:rPr>
      </w:pPr>
      <w:r>
        <w:rPr>
          <w:rFonts w:hint="eastAsia" w:asciiTheme="minorEastAsia" w:hAnsiTheme="minorEastAsia"/>
          <w:color w:val="000000"/>
          <w:sz w:val="24"/>
          <w:szCs w:val="24"/>
        </w:rPr>
        <w:t xml:space="preserve">1．如中标，分包供应商分别与</w:t>
      </w:r>
      <w:r>
        <w:rPr>
          <w:rFonts w:hint="eastAsia" w:asciiTheme="minorEastAsia" w:hAnsiTheme="minorEastAsia"/>
          <w:color w:val="000000"/>
          <w:sz w:val="24"/>
          <w:szCs w:val="24"/>
          <w:u w:val="single"/>
        </w:rPr>
        <w:t xml:space="preserve">（甲公司全称）</w:t>
      </w:r>
      <w:r>
        <w:rPr>
          <w:rFonts w:hint="eastAsia" w:asciiTheme="minorEastAsia" w:hAnsiTheme="minorEastAsia"/>
          <w:color w:val="000000"/>
          <w:sz w:val="24"/>
          <w:szCs w:val="24"/>
        </w:rPr>
        <w:t xml:space="preserve">签订合同书，并就中标项目分包部分承担法律责任；</w:t>
      </w:r>
      <w:r/>
    </w:p>
    <w:p>
      <w:pPr>
        <w:ind w:left="80" w:right="1160" w:firstLine="440"/>
        <w:spacing w:before="24" w:line="360" w:lineRule="auto"/>
        <w:rPr>
          <w:rFonts w:asciiTheme="minorEastAsia" w:hAnsiTheme="minorEastAsia"/>
          <w:sz w:val="24"/>
          <w:szCs w:val="24"/>
        </w:rPr>
      </w:pPr>
      <w:r>
        <w:rPr>
          <w:rFonts w:hint="eastAsia" w:asciiTheme="minorEastAsia" w:hAnsiTheme="minorEastAsia"/>
          <w:color w:val="000000"/>
          <w:sz w:val="24"/>
          <w:szCs w:val="24"/>
        </w:rPr>
        <w:t xml:space="preserve">2．分包意向供应商1</w:t>
      </w:r>
      <w:r>
        <w:rPr>
          <w:rFonts w:hint="eastAsia" w:asciiTheme="minorEastAsia" w:hAnsiTheme="minorEastAsia"/>
          <w:color w:val="000000"/>
          <w:sz w:val="24"/>
          <w:szCs w:val="24"/>
          <w:u w:val="single"/>
        </w:rPr>
        <w:t xml:space="preserve">（公司全称）为（请填写：大型、中型、小型、微型）企业</w:t>
      </w:r>
      <w:r>
        <w:rPr>
          <w:rFonts w:hint="eastAsia" w:asciiTheme="minorEastAsia" w:hAnsiTheme="minorEastAsia"/>
          <w:color w:val="000000"/>
          <w:sz w:val="24"/>
          <w:szCs w:val="24"/>
        </w:rPr>
        <w:t xml:space="preserve">，将承担适宜分包部分</w:t>
      </w:r>
      <w:r>
        <w:rPr>
          <w:rFonts w:hint="eastAsia" w:asciiTheme="minorEastAsia" w:hAnsiTheme="minorEastAsia"/>
          <w:color w:val="000000"/>
          <w:sz w:val="24"/>
          <w:szCs w:val="24"/>
          <w:u w:val="single"/>
        </w:rPr>
        <w:t xml:space="preserve">（具体分包内容）</w:t>
      </w:r>
      <w:r>
        <w:rPr>
          <w:rFonts w:hint="eastAsia" w:asciiTheme="minorEastAsia" w:hAnsiTheme="minorEastAsia"/>
          <w:color w:val="000000"/>
          <w:sz w:val="24"/>
          <w:szCs w:val="24"/>
        </w:rPr>
        <w:t xml:space="preserve">占合同总金额＿％的工作内容。</w:t>
      </w:r>
      <w:r/>
    </w:p>
    <w:p>
      <w:pPr>
        <w:ind w:left="60" w:right="1120" w:firstLine="480"/>
        <w:spacing w:before="24" w:line="360" w:lineRule="auto"/>
        <w:rPr>
          <w:rFonts w:asciiTheme="minorEastAsia" w:hAnsiTheme="minorEastAsia"/>
          <w:sz w:val="24"/>
          <w:szCs w:val="24"/>
        </w:rPr>
      </w:pPr>
      <w:r>
        <w:rPr>
          <w:rFonts w:hint="eastAsia" w:asciiTheme="minorEastAsia" w:hAnsiTheme="minorEastAsia"/>
          <w:color w:val="000000"/>
          <w:sz w:val="24"/>
          <w:szCs w:val="24"/>
        </w:rPr>
        <w:t xml:space="preserve">3．分包意向供应商2</w:t>
      </w:r>
      <w:r>
        <w:rPr>
          <w:rFonts w:hint="eastAsia" w:asciiTheme="minorEastAsia" w:hAnsiTheme="minorEastAsia"/>
          <w:color w:val="000000"/>
          <w:sz w:val="24"/>
          <w:szCs w:val="24"/>
          <w:u w:val="single"/>
        </w:rPr>
        <w:t xml:space="preserve">（公司全称）为（请填写：大型、中型、小型、微型）企业</w:t>
      </w:r>
      <w:r>
        <w:rPr>
          <w:rFonts w:hint="eastAsia" w:asciiTheme="minorEastAsia" w:hAnsiTheme="minorEastAsia"/>
          <w:color w:val="000000"/>
          <w:sz w:val="24"/>
          <w:szCs w:val="24"/>
        </w:rPr>
        <w:t xml:space="preserve">，将承担适宜分包部分</w:t>
      </w:r>
      <w:r>
        <w:rPr>
          <w:rFonts w:hint="eastAsia" w:asciiTheme="minorEastAsia" w:hAnsiTheme="minorEastAsia"/>
          <w:color w:val="000000"/>
          <w:sz w:val="24"/>
          <w:szCs w:val="24"/>
          <w:u w:val="single"/>
        </w:rPr>
        <w:t xml:space="preserve">（具体分包内容）占</w:t>
      </w:r>
      <w:r>
        <w:rPr>
          <w:rFonts w:hint="eastAsia" w:asciiTheme="minorEastAsia" w:hAnsiTheme="minorEastAsia"/>
          <w:color w:val="000000"/>
          <w:sz w:val="24"/>
          <w:szCs w:val="24"/>
        </w:rPr>
        <w:t xml:space="preserve">合同总金额</w:t>
      </w:r>
      <w:r>
        <w:rPr>
          <w:rFonts w:hint="eastAsia" w:asciiTheme="minorEastAsia" w:hAnsiTheme="minorEastAsia"/>
          <w:color w:val="000000"/>
          <w:sz w:val="24"/>
          <w:szCs w:val="24"/>
          <w:u w:val="single"/>
        </w:rPr>
        <w:t xml:space="preserve">＿</w:t>
      </w:r>
      <w:r>
        <w:rPr>
          <w:rFonts w:hint="eastAsia" w:asciiTheme="minorEastAsia" w:hAnsiTheme="minorEastAsia"/>
          <w:color w:val="000000"/>
          <w:sz w:val="24"/>
          <w:szCs w:val="24"/>
        </w:rPr>
        <w:t xml:space="preserve">％的工作内容。</w:t>
      </w:r>
      <w:r/>
    </w:p>
    <w:p>
      <w:pPr>
        <w:ind w:firstLine="520"/>
        <w:spacing w:line="360" w:lineRule="auto"/>
        <w:rPr>
          <w:rFonts w:asciiTheme="minorEastAsia" w:hAnsiTheme="minorEastAsia"/>
          <w:sz w:val="24"/>
          <w:szCs w:val="24"/>
        </w:rPr>
      </w:pPr>
      <w:r>
        <w:rPr>
          <w:rFonts w:hint="eastAsia" w:asciiTheme="minorEastAsia" w:hAnsiTheme="minorEastAsia"/>
          <w:color w:val="000000"/>
          <w:sz w:val="24"/>
          <w:szCs w:val="24"/>
        </w:rPr>
        <w:t xml:space="preserve">···</w:t>
      </w:r>
      <w:r/>
    </w:p>
    <w:p>
      <w:pPr>
        <w:ind w:firstLine="500"/>
        <w:spacing w:before="34" w:line="360" w:lineRule="auto"/>
        <w:rPr>
          <w:rFonts w:asciiTheme="minorEastAsia" w:hAnsiTheme="minorEastAsia"/>
          <w:b/>
          <w:sz w:val="24"/>
          <w:szCs w:val="24"/>
        </w:rPr>
      </w:pPr>
      <w:r>
        <w:rPr>
          <w:rFonts w:hint="eastAsia" w:asciiTheme="minorEastAsia" w:hAnsiTheme="minorEastAsia"/>
          <w:b/>
          <w:color w:val="000000"/>
          <w:sz w:val="24"/>
          <w:szCs w:val="24"/>
        </w:rPr>
        <w:t xml:space="preserve">三、接受分包的企业与分包企业之间的关系：</w:t>
      </w:r>
      <w:r/>
    </w:p>
    <w:p>
      <w:pPr>
        <w:ind w:left="40" w:right="1040" w:firstLine="480"/>
        <w:spacing w:before="4" w:line="360" w:lineRule="auto"/>
        <w:rPr>
          <w:rFonts w:asciiTheme="minorEastAsia" w:hAnsiTheme="minorEastAsia"/>
          <w:sz w:val="24"/>
          <w:szCs w:val="24"/>
        </w:rPr>
      </w:pPr>
      <w:r>
        <w:rPr>
          <w:rFonts w:hint="eastAsia" w:asciiTheme="minorEastAsia" w:hAnsiTheme="minorEastAsia"/>
          <w:color w:val="000000"/>
          <w:sz w:val="24"/>
          <w:szCs w:val="24"/>
        </w:rPr>
        <w:t xml:space="preserve">1．分包意向供应商1</w:t>
      </w:r>
      <w:r>
        <w:rPr>
          <w:rFonts w:hint="eastAsia" w:asciiTheme="minorEastAsia" w:hAnsiTheme="minorEastAsia"/>
          <w:color w:val="000000"/>
          <w:sz w:val="24"/>
          <w:szCs w:val="24"/>
          <w:u w:val="single"/>
        </w:rPr>
        <w:t xml:space="preserve">（公司全称）</w:t>
      </w:r>
      <w:r>
        <w:rPr>
          <w:rFonts w:hint="eastAsia" w:asciiTheme="minorEastAsia" w:hAnsiTheme="minorEastAsia"/>
          <w:color w:val="000000"/>
          <w:sz w:val="24"/>
          <w:szCs w:val="24"/>
        </w:rPr>
        <w:t xml:space="preserve">与分包企业之间</w:t>
      </w:r>
      <w:r>
        <w:rPr>
          <w:rFonts w:hint="eastAsia" w:asciiTheme="minorEastAsia" w:hAnsiTheme="minorEastAsia"/>
          <w:color w:val="000000"/>
          <w:sz w:val="24"/>
          <w:szCs w:val="24"/>
          <w:u w:val="single"/>
        </w:rPr>
        <w:t xml:space="preserve">（请填写：是否存在）</w:t>
      </w:r>
      <w:r>
        <w:rPr>
          <w:rFonts w:hint="eastAsia" w:asciiTheme="minorEastAsia" w:hAnsiTheme="minorEastAsia"/>
          <w:color w:val="000000"/>
          <w:sz w:val="24"/>
          <w:szCs w:val="24"/>
        </w:rPr>
        <w:t xml:space="preserve">直接控股、管理关系的情形。</w:t>
      </w:r>
      <w:r/>
    </w:p>
    <w:p>
      <w:pPr>
        <w:ind w:left="40" w:right="1000" w:firstLine="460"/>
        <w:spacing w:before="44" w:line="360" w:lineRule="auto"/>
        <w:rPr>
          <w:rFonts w:asciiTheme="minorEastAsia" w:hAnsiTheme="minorEastAsia"/>
          <w:sz w:val="24"/>
          <w:szCs w:val="24"/>
        </w:rPr>
      </w:pPr>
      <w:r>
        <w:rPr>
          <w:rFonts w:hint="eastAsia" w:asciiTheme="minorEastAsia" w:hAnsiTheme="minorEastAsia"/>
          <w:color w:val="000000"/>
          <w:sz w:val="24"/>
          <w:szCs w:val="24"/>
        </w:rPr>
        <w:t xml:space="preserve">2．分包意向供应商2</w:t>
      </w:r>
      <w:r>
        <w:rPr>
          <w:rFonts w:hint="eastAsia" w:asciiTheme="minorEastAsia" w:hAnsiTheme="minorEastAsia"/>
          <w:color w:val="000000"/>
          <w:sz w:val="24"/>
          <w:szCs w:val="24"/>
          <w:u w:val="single"/>
        </w:rPr>
        <w:t xml:space="preserve">（公司全称）</w:t>
      </w:r>
      <w:r>
        <w:rPr>
          <w:rFonts w:hint="eastAsia" w:asciiTheme="minorEastAsia" w:hAnsiTheme="minorEastAsia"/>
          <w:color w:val="000000"/>
          <w:sz w:val="24"/>
          <w:szCs w:val="24"/>
        </w:rPr>
        <w:t xml:space="preserve">与分包企业之间</w:t>
      </w:r>
      <w:r>
        <w:rPr>
          <w:rFonts w:hint="eastAsia" w:asciiTheme="minorEastAsia" w:hAnsiTheme="minorEastAsia"/>
          <w:color w:val="000000"/>
          <w:sz w:val="24"/>
          <w:szCs w:val="24"/>
          <w:u w:val="single"/>
        </w:rPr>
        <w:t xml:space="preserve">（请填写：是否存在）</w:t>
      </w:r>
      <w:r>
        <w:rPr>
          <w:rFonts w:hint="eastAsia" w:asciiTheme="minorEastAsia" w:hAnsiTheme="minorEastAsia"/>
          <w:color w:val="000000"/>
          <w:sz w:val="24"/>
          <w:szCs w:val="24"/>
        </w:rPr>
        <w:t xml:space="preserve">直接控股、管理关系的情形。</w:t>
      </w:r>
      <w:r/>
    </w:p>
    <w:p>
      <w:pPr>
        <w:ind w:firstLine="520"/>
        <w:spacing w:line="360" w:lineRule="auto"/>
        <w:rPr>
          <w:rFonts w:asciiTheme="minorEastAsia" w:hAnsiTheme="minorEastAsia"/>
          <w:sz w:val="24"/>
          <w:szCs w:val="24"/>
        </w:rPr>
      </w:pPr>
      <w:r>
        <w:rPr>
          <w:rFonts w:hint="eastAsia" w:asciiTheme="minorEastAsia" w:hAnsiTheme="minorEastAsia"/>
          <w:color w:val="000000"/>
          <w:sz w:val="24"/>
          <w:szCs w:val="24"/>
        </w:rPr>
        <w:t xml:space="preserve">...</w:t>
      </w:r>
      <w:r/>
    </w:p>
    <w:p>
      <w:pPr>
        <w:ind w:left="20" w:right="880" w:firstLine="480"/>
        <w:spacing w:before="93" w:line="360" w:lineRule="auto"/>
        <w:rPr>
          <w:rFonts w:asciiTheme="minorEastAsia" w:hAnsiTheme="minorEastAsia"/>
          <w:sz w:val="24"/>
          <w:szCs w:val="24"/>
        </w:rPr>
      </w:pPr>
      <w:r>
        <w:rPr>
          <w:rFonts w:hint="eastAsia" w:asciiTheme="minorEastAsia" w:hAnsiTheme="minorEastAsia"/>
          <w:color w:val="000000"/>
          <w:sz w:val="24"/>
          <w:szCs w:val="24"/>
        </w:rPr>
        <w:t xml:space="preserve">四、如因违约过失责任而导致采购人经济损失或被索赔时，</w:t>
      </w:r>
      <w:r>
        <w:rPr>
          <w:rFonts w:hint="eastAsia" w:asciiTheme="minorEastAsia" w:hAnsiTheme="minorEastAsia"/>
          <w:color w:val="000000"/>
          <w:sz w:val="24"/>
          <w:szCs w:val="24"/>
          <w:u w:val="single"/>
        </w:rPr>
        <w:t xml:space="preserve">（甲公司全称）</w:t>
      </w:r>
      <w:r>
        <w:rPr>
          <w:rFonts w:hint="eastAsia" w:asciiTheme="minorEastAsia" w:hAnsiTheme="minorEastAsia"/>
          <w:color w:val="000000"/>
          <w:sz w:val="24"/>
          <w:szCs w:val="24"/>
        </w:rPr>
        <w:t xml:space="preserve">同意无条件优先清偿采购人的一切债务和经济赔偿。</w:t>
      </w:r>
      <w:r/>
    </w:p>
    <w:p>
      <w:pPr>
        <w:ind w:firstLine="500"/>
        <w:spacing w:before="22" w:line="360" w:lineRule="auto"/>
        <w:rPr>
          <w:rFonts w:asciiTheme="minorEastAsia" w:hAnsiTheme="minorEastAsia"/>
          <w:sz w:val="24"/>
          <w:szCs w:val="24"/>
        </w:rPr>
      </w:pPr>
      <w:r>
        <w:rPr>
          <w:rFonts w:hint="eastAsia" w:asciiTheme="minorEastAsia" w:hAnsiTheme="minorEastAsia"/>
          <w:color w:val="000000"/>
          <w:sz w:val="24"/>
          <w:szCs w:val="24"/>
        </w:rPr>
        <w:t xml:space="preserve">五、如中标，分包意向供应商不得以任何理由提出终止本意向协议。</w:t>
      </w:r>
      <w:r/>
    </w:p>
    <w:p>
      <w:pPr>
        <w:ind w:left="60" w:right="820" w:firstLine="460"/>
        <w:spacing w:before="64" w:line="360" w:lineRule="auto"/>
        <w:rPr>
          <w:rFonts w:asciiTheme="minorEastAsia" w:hAnsiTheme="minorEastAsia"/>
          <w:color w:val="000000"/>
          <w:sz w:val="24"/>
          <w:szCs w:val="24"/>
        </w:rPr>
      </w:pPr>
      <w:r>
        <w:rPr>
          <w:rFonts w:hint="eastAsia" w:asciiTheme="minorEastAsia" w:hAnsiTheme="minorEastAsia"/>
          <w:color w:val="000000"/>
          <w:sz w:val="24"/>
          <w:szCs w:val="24"/>
        </w:rPr>
        <w:t xml:space="preserve">六、本意向书在自签署之日起生效，有效期内有效，如获中标资格，有效期延续至合同履行完毕之日。</w:t>
      </w:r>
      <w:r/>
    </w:p>
    <w:p>
      <w:pPr>
        <w:spacing w:line="360" w:lineRule="auto"/>
        <w:rPr>
          <w:rFonts w:asciiTheme="minorEastAsia" w:hAnsiTheme="minorEastAsia"/>
          <w:color w:val="000000"/>
          <w:sz w:val="24"/>
          <w:szCs w:val="24"/>
        </w:rPr>
      </w:pPr>
      <w:r>
        <w:rPr>
          <w:rFonts w:asciiTheme="minorEastAsia" w:hAnsiTheme="minorEastAsia"/>
          <w:color w:val="000000"/>
          <w:sz w:val="24"/>
          <w:szCs w:val="24"/>
        </w:rPr>
      </w:r>
      <w:r/>
    </w:p>
    <w:p>
      <w:pPr>
        <w:spacing w:line="360" w:lineRule="auto"/>
        <w:rPr>
          <w:rFonts w:asciiTheme="minorEastAsia" w:hAnsiTheme="minorEastAsia"/>
          <w:color w:val="000000"/>
          <w:sz w:val="24"/>
          <w:szCs w:val="24"/>
        </w:rPr>
      </w:pPr>
      <w:r>
        <w:rPr>
          <w:rFonts w:asciiTheme="minorEastAsia" w:hAnsiTheme="minorEastAsia"/>
          <w:color w:val="000000"/>
          <w:sz w:val="24"/>
          <w:szCs w:val="24"/>
        </w:rPr>
      </w:r>
      <w:r/>
    </w:p>
    <w:p>
      <w:pPr>
        <w:ind w:firstLine="480"/>
        <w:spacing w:line="360" w:lineRule="auto"/>
        <w:rPr>
          <w:rFonts w:asciiTheme="minorEastAsia" w:hAnsiTheme="minorEastAsia"/>
          <w:sz w:val="24"/>
          <w:szCs w:val="24"/>
        </w:rPr>
      </w:pPr>
      <w:r>
        <w:rPr>
          <w:rFonts w:hint="eastAsia" w:asciiTheme="minorEastAsia" w:hAnsiTheme="minorEastAsia"/>
          <w:color w:val="000000"/>
          <w:sz w:val="24"/>
          <w:szCs w:val="24"/>
        </w:rPr>
        <w:t xml:space="preserve">甲公司全称：（盖章）</w:t>
      </w:r>
      <w:r/>
    </w:p>
    <w:p>
      <w:pPr>
        <w:ind w:firstLine="480"/>
        <w:spacing w:line="360" w:lineRule="auto"/>
        <w:rPr>
          <w:rFonts w:asciiTheme="minorEastAsia" w:hAnsiTheme="minorEastAsia"/>
          <w:sz w:val="24"/>
          <w:szCs w:val="24"/>
        </w:rPr>
      </w:pPr>
      <w:r>
        <w:rPr>
          <w:rFonts w:hint="eastAsia" w:asciiTheme="minorEastAsia" w:hAnsiTheme="minorEastAsia"/>
          <w:color w:val="000000"/>
          <w:sz w:val="24"/>
          <w:szCs w:val="24"/>
        </w:rPr>
        <w:t xml:space="preserve">法定代表人（签字或盖章）</w:t>
      </w:r>
      <w:r/>
    </w:p>
    <w:p>
      <w:pPr>
        <w:ind w:firstLine="1680"/>
        <w:spacing w:line="360" w:lineRule="auto"/>
        <w:rPr>
          <w:rFonts w:asciiTheme="minorEastAsia" w:hAnsiTheme="minorEastAsia"/>
          <w:sz w:val="24"/>
          <w:szCs w:val="24"/>
        </w:rPr>
      </w:pPr>
      <w:r>
        <w:rPr>
          <w:rFonts w:hint="eastAsia" w:asciiTheme="minorEastAsia" w:hAnsiTheme="minorEastAsia"/>
          <w:color w:val="000000"/>
          <w:sz w:val="24"/>
          <w:szCs w:val="24"/>
        </w:rPr>
        <w:t xml:space="preserve">年 月 日</w:t>
      </w:r>
      <w:r/>
    </w:p>
    <w:p>
      <w:pPr>
        <w:spacing w:line="360" w:lineRule="auto"/>
        <w:rPr>
          <w:rFonts w:asciiTheme="minorEastAsia" w:hAnsiTheme="minorEastAsia"/>
          <w:color w:val="000000"/>
          <w:sz w:val="24"/>
          <w:szCs w:val="24"/>
        </w:rPr>
      </w:pPr>
      <w:r>
        <w:rPr>
          <w:rFonts w:asciiTheme="minorEastAsia" w:hAnsiTheme="minorEastAsia"/>
          <w:color w:val="000000"/>
          <w:sz w:val="24"/>
          <w:szCs w:val="24"/>
        </w:rPr>
      </w:r>
      <w:r/>
    </w:p>
    <w:p>
      <w:pPr>
        <w:ind w:firstLine="480"/>
        <w:spacing w:line="360" w:lineRule="auto"/>
        <w:rPr>
          <w:rFonts w:asciiTheme="minorEastAsia" w:hAnsiTheme="minorEastAsia"/>
          <w:sz w:val="24"/>
          <w:szCs w:val="24"/>
        </w:rPr>
      </w:pPr>
      <w:r>
        <w:rPr>
          <w:rFonts w:hint="eastAsia" w:asciiTheme="minorEastAsia" w:hAnsiTheme="minorEastAsia"/>
          <w:color w:val="000000"/>
          <w:sz w:val="24"/>
          <w:szCs w:val="24"/>
        </w:rPr>
        <w:t xml:space="preserve">乙公司全称：（盖章）</w:t>
      </w:r>
      <w:r/>
    </w:p>
    <w:p>
      <w:pPr>
        <w:ind w:firstLine="480"/>
        <w:spacing w:line="360" w:lineRule="auto"/>
        <w:rPr>
          <w:rFonts w:asciiTheme="minorEastAsia" w:hAnsiTheme="minorEastAsia"/>
          <w:sz w:val="24"/>
          <w:szCs w:val="24"/>
        </w:rPr>
      </w:pPr>
      <w:r>
        <w:rPr>
          <w:rFonts w:hint="eastAsia" w:asciiTheme="minorEastAsia" w:hAnsiTheme="minorEastAsia"/>
          <w:color w:val="000000"/>
          <w:sz w:val="24"/>
          <w:szCs w:val="24"/>
        </w:rPr>
        <w:t xml:space="preserve">法定代表人（签字或盖章）</w:t>
      </w:r>
      <w:r/>
    </w:p>
    <w:p>
      <w:pPr>
        <w:ind w:firstLine="1680"/>
        <w:spacing w:line="360" w:lineRule="auto"/>
        <w:rPr>
          <w:rFonts w:asciiTheme="minorEastAsia" w:hAnsiTheme="minorEastAsia"/>
          <w:sz w:val="24"/>
          <w:szCs w:val="24"/>
        </w:rPr>
      </w:pPr>
      <w:r>
        <w:rPr>
          <w:rFonts w:hint="eastAsia" w:asciiTheme="minorEastAsia" w:hAnsiTheme="minorEastAsia"/>
          <w:color w:val="000000"/>
          <w:sz w:val="24"/>
          <w:szCs w:val="24"/>
        </w:rPr>
        <w:t xml:space="preserve">年 月 日</w:t>
      </w:r>
      <w:r/>
    </w:p>
    <w:p>
      <w:pPr>
        <w:spacing w:line="360" w:lineRule="auto"/>
        <w:rPr>
          <w:rFonts w:asciiTheme="minorEastAsia" w:hAnsiTheme="minorEastAsia"/>
          <w:color w:val="000000"/>
          <w:sz w:val="24"/>
          <w:szCs w:val="24"/>
        </w:rPr>
      </w:pPr>
      <w:r>
        <w:rPr>
          <w:rFonts w:asciiTheme="minorEastAsia" w:hAnsiTheme="minorEastAsia"/>
          <w:color w:val="000000"/>
          <w:sz w:val="24"/>
          <w:szCs w:val="24"/>
        </w:rPr>
      </w:r>
      <w:r/>
    </w:p>
    <w:p>
      <w:pPr>
        <w:ind w:firstLine="480"/>
        <w:spacing w:line="360" w:lineRule="auto"/>
        <w:rPr>
          <w:rFonts w:asciiTheme="minorEastAsia" w:hAnsiTheme="minorEastAsia"/>
          <w:sz w:val="24"/>
          <w:szCs w:val="24"/>
        </w:rPr>
      </w:pPr>
      <w:r>
        <w:rPr>
          <w:rFonts w:hint="eastAsia" w:asciiTheme="minorEastAsia" w:hAnsiTheme="minorEastAsia"/>
          <w:color w:val="000000"/>
          <w:sz w:val="24"/>
          <w:szCs w:val="24"/>
        </w:rPr>
        <w:t xml:space="preserve">······公司全称（盖章）</w:t>
      </w:r>
      <w:r/>
    </w:p>
    <w:p>
      <w:pPr>
        <w:ind w:firstLine="480"/>
        <w:spacing w:before="14" w:line="360" w:lineRule="auto"/>
        <w:rPr>
          <w:rFonts w:asciiTheme="minorEastAsia" w:hAnsiTheme="minorEastAsia"/>
          <w:sz w:val="24"/>
          <w:szCs w:val="24"/>
        </w:rPr>
      </w:pPr>
      <w:r>
        <w:rPr>
          <w:rFonts w:hint="eastAsia" w:asciiTheme="minorEastAsia" w:hAnsiTheme="minorEastAsia"/>
          <w:color w:val="000000"/>
          <w:sz w:val="24"/>
          <w:szCs w:val="24"/>
        </w:rPr>
        <w:t xml:space="preserve">法定代表人：（签字或盖章）</w:t>
      </w:r>
      <w:r/>
    </w:p>
    <w:p>
      <w:pPr>
        <w:ind w:firstLine="1920"/>
        <w:spacing w:before="12" w:line="360" w:lineRule="auto"/>
        <w:rPr>
          <w:rFonts w:asciiTheme="minorEastAsia" w:hAnsiTheme="minorEastAsia"/>
          <w:sz w:val="24"/>
          <w:szCs w:val="24"/>
        </w:rPr>
      </w:pPr>
      <w:r>
        <w:rPr>
          <w:rFonts w:hint="eastAsia" w:asciiTheme="minorEastAsia" w:hAnsiTheme="minorEastAsia"/>
          <w:color w:val="000000"/>
          <w:sz w:val="24"/>
          <w:szCs w:val="24"/>
        </w:rPr>
        <w:t xml:space="preserve">年 月 日</w:t>
      </w:r>
      <w:r/>
    </w:p>
    <w:p>
      <w:pPr>
        <w:spacing w:line="360" w:lineRule="auto"/>
        <w:rPr>
          <w:rFonts w:asciiTheme="minorEastAsia" w:hAnsiTheme="minorEastAsia"/>
          <w:color w:val="000000"/>
          <w:sz w:val="24"/>
          <w:szCs w:val="24"/>
        </w:rPr>
      </w:pPr>
      <w:r>
        <w:rPr>
          <w:rFonts w:asciiTheme="minorEastAsia" w:hAnsiTheme="minorEastAsia"/>
          <w:color w:val="000000"/>
          <w:sz w:val="24"/>
          <w:szCs w:val="24"/>
        </w:rPr>
      </w:r>
      <w:r/>
    </w:p>
    <w:p>
      <w:pPr>
        <w:spacing w:line="360" w:lineRule="auto"/>
        <w:rPr>
          <w:rFonts w:asciiTheme="minorEastAsia" w:hAnsiTheme="minorEastAsia"/>
          <w:color w:val="000000"/>
          <w:sz w:val="24"/>
          <w:szCs w:val="24"/>
        </w:rPr>
      </w:pPr>
      <w:r>
        <w:rPr>
          <w:rFonts w:asciiTheme="minorEastAsia" w:hAnsiTheme="minorEastAsia"/>
          <w:color w:val="000000"/>
          <w:sz w:val="24"/>
          <w:szCs w:val="24"/>
        </w:rPr>
      </w:r>
      <w:r/>
    </w:p>
    <w:p>
      <w:pPr>
        <w:ind w:firstLine="20"/>
        <w:spacing w:line="360" w:lineRule="auto"/>
        <w:rPr>
          <w:rFonts w:asciiTheme="minorEastAsia" w:hAnsiTheme="minorEastAsia"/>
          <w:b/>
          <w:color w:val="000000"/>
          <w:sz w:val="24"/>
          <w:szCs w:val="24"/>
        </w:rPr>
      </w:pPr>
      <w:r>
        <w:rPr>
          <w:rFonts w:hint="eastAsia" w:asciiTheme="minorEastAsia" w:hAnsiTheme="minorEastAsia"/>
          <w:b/>
          <w:color w:val="000000"/>
          <w:sz w:val="24"/>
          <w:szCs w:val="24"/>
        </w:rPr>
        <w:t xml:space="preserve">注：</w:t>
      </w:r>
      <w:r/>
    </w:p>
    <w:p>
      <w:pPr>
        <w:ind w:firstLine="494"/>
        <w:spacing w:line="360" w:lineRule="auto"/>
        <w:rPr>
          <w:rFonts w:asciiTheme="minorEastAsia" w:hAnsiTheme="minorEastAsia"/>
          <w:b/>
          <w:color w:val="000000"/>
          <w:sz w:val="24"/>
          <w:szCs w:val="24"/>
        </w:rPr>
      </w:pPr>
      <w:r>
        <w:rPr>
          <w:rFonts w:hint="eastAsia" w:asciiTheme="minorEastAsia" w:hAnsiTheme="minorEastAsia"/>
          <w:b/>
          <w:color w:val="000000"/>
          <w:sz w:val="24"/>
          <w:szCs w:val="24"/>
        </w:rPr>
        <w:t xml:space="preserve">1.各方成员应在本意向书上共同盖章确认。</w:t>
      </w:r>
      <w:r/>
    </w:p>
    <w:p>
      <w:pPr>
        <w:ind w:firstLine="494"/>
        <w:spacing w:line="360" w:lineRule="auto"/>
        <w:rPr>
          <w:rFonts w:asciiTheme="minorEastAsia" w:hAnsiTheme="minorEastAsia"/>
          <w:b/>
          <w:color w:val="000000"/>
          <w:sz w:val="24"/>
          <w:szCs w:val="24"/>
        </w:rPr>
      </w:pPr>
      <w:r>
        <w:rPr>
          <w:rFonts w:hint="eastAsia" w:asciiTheme="minorEastAsia" w:hAnsiTheme="minorEastAsia"/>
          <w:b/>
          <w:color w:val="000000"/>
          <w:sz w:val="24"/>
          <w:szCs w:val="24"/>
        </w:rPr>
        <w:t xml:space="preserve">2.本意向书内容将作为签订合同的附件之一。</w:t>
      </w:r>
      <w:r/>
    </w:p>
    <w:p>
      <w:pPr>
        <w:ind w:firstLine="482"/>
        <w:spacing w:line="360" w:lineRule="auto"/>
        <w:rPr>
          <w:rFonts w:asciiTheme="minorEastAsia" w:hAnsiTheme="minorEastAsia"/>
          <w:b/>
          <w:sz w:val="24"/>
          <w:szCs w:val="24"/>
        </w:rPr>
      </w:pPr>
      <w:r>
        <w:rPr>
          <w:rFonts w:hint="eastAsia" w:asciiTheme="minorEastAsia" w:hAnsiTheme="minorEastAsia"/>
          <w:b/>
          <w:color w:val="000000"/>
          <w:sz w:val="24"/>
          <w:szCs w:val="24"/>
        </w:rPr>
        <w:t xml:space="preserve">3.按照第一章 投标邀请 资格条件：</w:t>
      </w:r>
      <w:r>
        <w:rPr>
          <w:rFonts w:hint="eastAsia" w:asciiTheme="minorEastAsia" w:hAnsiTheme="minorEastAsia"/>
          <w:b/>
          <w:sz w:val="24"/>
          <w:szCs w:val="24"/>
        </w:rPr>
        <w:t xml:space="preserve">（二）落实政府采购政策需满足的资格要求，提供对应的《中小企业声明函》等证明材料。</w:t>
      </w:r>
      <w:r/>
    </w:p>
    <w:p>
      <w:pPr>
        <w:ind w:firstLine="482"/>
        <w:spacing w:line="360" w:lineRule="auto"/>
        <w:rPr>
          <w:rFonts w:asciiTheme="minorEastAsia" w:hAnsiTheme="minorEastAsia"/>
          <w:b/>
          <w:sz w:val="24"/>
          <w:szCs w:val="24"/>
        </w:rPr>
      </w:pPr>
      <w:r>
        <w:rPr>
          <w:rFonts w:hint="eastAsia" w:asciiTheme="minorEastAsia" w:hAnsiTheme="minorEastAsia"/>
          <w:b/>
          <w:sz w:val="24"/>
          <w:szCs w:val="24"/>
        </w:rPr>
        <w:t xml:space="preserve">4.适宜分包部分详见十四、投标分项报价表。</w:t>
      </w:r>
      <w:r/>
    </w:p>
    <w:p>
      <w:pPr>
        <w:ind w:firstLine="482"/>
        <w:spacing w:line="360" w:lineRule="auto"/>
        <w:rPr>
          <w:rFonts w:hint="eastAsia" w:asciiTheme="minorEastAsia" w:hAnsiTheme="minorEastAsia"/>
          <w:b/>
          <w:bCs/>
          <w:sz w:val="24"/>
          <w:szCs w:val="24"/>
          <w:highlight w:val="none"/>
        </w:rPr>
      </w:pPr>
      <w:r>
        <w:rPr>
          <w:rFonts w:hint="eastAsia" w:asciiTheme="minorEastAsia" w:hAnsiTheme="minorEastAsia"/>
          <w:b/>
          <w:sz w:val="24"/>
          <w:szCs w:val="24"/>
        </w:rPr>
        <w:t xml:space="preserve">5.分包协议中所填写的比例如与投标分项报价表中经计算得出的比例不一致，投标人将承担一切不利后果。</w:t>
      </w:r>
      <w:r/>
    </w:p>
    <w:p>
      <w:pPr>
        <w:ind w:firstLine="482"/>
        <w:spacing w:line="360" w:lineRule="auto"/>
        <w:rPr>
          <w:rFonts w:asciiTheme="minorEastAsia" w:hAnsiTheme="minorEastAsia"/>
          <w:b/>
          <w:bCs/>
          <w:sz w:val="24"/>
          <w:szCs w:val="24"/>
        </w:rPr>
      </w:pPr>
      <w:r>
        <w:rPr>
          <w:rFonts w:asciiTheme="minorEastAsia" w:hAnsiTheme="minorEastAsia"/>
          <w:b/>
          <w:bCs/>
          <w:sz w:val="24"/>
          <w:szCs w:val="24"/>
        </w:rPr>
      </w:r>
      <w:r>
        <w:rPr>
          <w:rFonts w:asciiTheme="minorEastAsia" w:hAnsiTheme="minorEastAsia"/>
          <w:b/>
          <w:bCs/>
          <w:sz w:val="24"/>
          <w:szCs w:val="24"/>
        </w:rPr>
      </w:r>
      <w:r/>
    </w:p>
    <w:p>
      <w:pPr>
        <w:ind w:firstLine="482"/>
        <w:spacing w:line="360" w:lineRule="auto"/>
        <w:rPr>
          <w:rFonts w:asciiTheme="minorEastAsia" w:hAnsiTheme="minorEastAsia"/>
          <w:b/>
          <w:bCs/>
          <w:sz w:val="24"/>
          <w:szCs w:val="24"/>
        </w:rPr>
      </w:pPr>
      <w:r>
        <w:rPr>
          <w:rFonts w:asciiTheme="minorEastAsia" w:hAnsiTheme="minorEastAsia"/>
          <w:b/>
          <w:bCs/>
          <w:sz w:val="24"/>
          <w:szCs w:val="24"/>
        </w:rPr>
      </w:r>
      <w:r>
        <w:rPr>
          <w:rFonts w:asciiTheme="minorEastAsia" w:hAnsiTheme="minorEastAsia"/>
          <w:b/>
          <w:bCs/>
          <w:sz w:val="24"/>
          <w:szCs w:val="24"/>
        </w:rPr>
      </w:r>
      <w:r/>
    </w:p>
    <w:p>
      <w:pPr>
        <w:ind w:firstLine="482"/>
        <w:spacing w:line="360" w:lineRule="auto"/>
        <w:rPr>
          <w:rFonts w:asciiTheme="minorEastAsia" w:hAnsiTheme="minorEastAsia"/>
          <w:b/>
          <w:bCs/>
          <w:sz w:val="24"/>
          <w:szCs w:val="24"/>
        </w:rPr>
      </w:pPr>
      <w:r>
        <w:rPr>
          <w:rFonts w:asciiTheme="minorEastAsia" w:hAnsiTheme="minorEastAsia"/>
          <w:b/>
          <w:bCs/>
          <w:sz w:val="24"/>
          <w:szCs w:val="24"/>
        </w:rPr>
      </w:r>
      <w:r>
        <w:rPr>
          <w:rFonts w:asciiTheme="minorEastAsia" w:hAnsiTheme="minorEastAsia"/>
          <w:b/>
          <w:bCs/>
          <w:sz w:val="24"/>
          <w:szCs w:val="24"/>
        </w:rPr>
      </w:r>
      <w:r/>
    </w:p>
    <w:p>
      <w:pPr>
        <w:ind w:firstLine="482"/>
        <w:spacing w:line="360" w:lineRule="auto"/>
        <w:rPr>
          <w:rFonts w:asciiTheme="minorEastAsia" w:hAnsiTheme="minorEastAsia"/>
          <w:b/>
          <w:bCs/>
          <w:sz w:val="24"/>
          <w:szCs w:val="24"/>
        </w:rPr>
      </w:pPr>
      <w:r>
        <w:rPr>
          <w:rFonts w:asciiTheme="minorEastAsia" w:hAnsiTheme="minorEastAsia"/>
          <w:b/>
          <w:bCs/>
          <w:sz w:val="24"/>
          <w:szCs w:val="24"/>
        </w:rPr>
      </w:r>
      <w:r>
        <w:rPr>
          <w:rFonts w:asciiTheme="minorEastAsia" w:hAnsiTheme="minorEastAsia"/>
          <w:b/>
          <w:bCs/>
          <w:sz w:val="24"/>
          <w:szCs w:val="24"/>
        </w:rPr>
      </w:r>
      <w:r/>
    </w:p>
    <w:p>
      <w:pPr>
        <w:ind w:firstLine="482"/>
        <w:spacing w:line="360" w:lineRule="auto"/>
        <w:rPr>
          <w:rFonts w:asciiTheme="minorEastAsia" w:hAnsiTheme="minorEastAsia"/>
          <w:b/>
          <w:bCs/>
          <w:sz w:val="24"/>
          <w:szCs w:val="24"/>
        </w:rPr>
      </w:pPr>
      <w:r>
        <w:rPr>
          <w:rFonts w:asciiTheme="minorEastAsia" w:hAnsiTheme="minorEastAsia"/>
          <w:b/>
          <w:bCs/>
          <w:sz w:val="24"/>
          <w:szCs w:val="24"/>
        </w:rPr>
      </w:r>
      <w:r>
        <w:rPr>
          <w:rFonts w:asciiTheme="minorEastAsia" w:hAnsiTheme="minorEastAsia"/>
          <w:b/>
          <w:bCs/>
          <w:sz w:val="24"/>
          <w:szCs w:val="24"/>
        </w:rPr>
      </w:r>
      <w:r/>
    </w:p>
    <w:p>
      <w:pPr>
        <w:ind w:firstLine="482"/>
        <w:spacing w:line="360" w:lineRule="auto"/>
        <w:rPr>
          <w:rFonts w:asciiTheme="minorEastAsia" w:hAnsiTheme="minorEastAsia"/>
          <w:b/>
          <w:bCs/>
          <w:sz w:val="24"/>
          <w:szCs w:val="24"/>
        </w:rPr>
      </w:pPr>
      <w:r>
        <w:rPr>
          <w:rFonts w:asciiTheme="minorEastAsia" w:hAnsiTheme="minorEastAsia"/>
          <w:b/>
          <w:bCs/>
          <w:sz w:val="24"/>
          <w:szCs w:val="24"/>
        </w:rPr>
      </w:r>
      <w:r>
        <w:rPr>
          <w:rFonts w:asciiTheme="minorEastAsia" w:hAnsiTheme="minorEastAsia"/>
          <w:b/>
          <w:bCs/>
          <w:sz w:val="24"/>
          <w:szCs w:val="24"/>
        </w:rPr>
      </w:r>
      <w:r/>
    </w:p>
    <w:p>
      <w:pPr>
        <w:ind w:firstLine="482"/>
        <w:spacing w:line="360" w:lineRule="auto"/>
        <w:rPr>
          <w:rFonts w:asciiTheme="minorEastAsia" w:hAnsiTheme="minorEastAsia"/>
          <w:b/>
          <w:bCs/>
          <w:sz w:val="24"/>
          <w:szCs w:val="24"/>
        </w:rPr>
      </w:pPr>
      <w:r>
        <w:rPr>
          <w:rFonts w:hint="eastAsia" w:asciiTheme="minorEastAsia" w:hAnsiTheme="minorEastAsia"/>
          <w:b/>
          <w:sz w:val="24"/>
          <w:szCs w:val="24"/>
          <w:highlight w:val="none"/>
        </w:rPr>
      </w:r>
      <w:r>
        <w:rPr>
          <w:rFonts w:hint="eastAsia" w:asciiTheme="minorEastAsia" w:hAnsiTheme="minorEastAsia"/>
          <w:b/>
          <w:sz w:val="24"/>
          <w:szCs w:val="24"/>
          <w:highlight w:val="none"/>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十四、投标分项报价表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p>
    <w:p>
      <w:pPr>
        <w:jc w:val="righ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单位：元</w:t>
      </w:r>
      <w:r/>
    </w:p>
    <w:tbl>
      <w:tblPr>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977"/>
        <w:gridCol w:w="1276"/>
        <w:gridCol w:w="850"/>
        <w:gridCol w:w="1032"/>
        <w:gridCol w:w="1520"/>
        <w:gridCol w:w="1382"/>
      </w:tblGrid>
      <w:tr>
        <w:trPr>
          <w:jc w:val="center"/>
          <w:trHeight w:val="567"/>
          <w:tblHeader/>
        </w:trPr>
        <w:tc>
          <w:tcPr>
            <w:shd w:val="clear" w:color="auto" w:fill="auto"/>
            <w:tcW w:w="817"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shd w:val="clear" w:color="auto" w:fill="auto"/>
            <w:tcW w:w="2977"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产品、服务（标的）名称</w:t>
            </w:r>
            <w:r/>
          </w:p>
        </w:tc>
        <w:tc>
          <w:tcPr>
            <w:shd w:val="clear" w:color="auto" w:fill="auto"/>
            <w:tcW w:w="1276"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分项单位</w:t>
            </w:r>
            <w:r/>
          </w:p>
        </w:tc>
        <w:tc>
          <w:tcPr>
            <w:shd w:val="clear" w:color="auto" w:fill="auto"/>
            <w:tcW w:w="850"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c>
          <w:tcPr>
            <w:shd w:val="clear" w:color="auto" w:fill="auto"/>
            <w:tcW w:w="1032"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p>
        </w:tc>
        <w:tc>
          <w:tcPr>
            <w:shd w:val="clear" w:color="auto" w:fill="auto"/>
            <w:tcW w:w="1520"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单项合计价</w:t>
            </w:r>
            <w:r/>
          </w:p>
        </w:tc>
        <w:tc>
          <w:tcPr>
            <w:shd w:val="clear" w:color="auto" w:fill="auto"/>
            <w:tcW w:w="1382"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专门面向中小微企业</w:t>
            </w:r>
            <w:r>
              <w:rPr>
                <w:rFonts w:hint="eastAsia" w:ascii="宋体" w:hAnsi="宋体" w:eastAsia="宋体" w:cs="宋体"/>
                <w:b/>
                <w:bCs/>
                <w:color w:val="000000"/>
                <w:sz w:val="24"/>
                <w:szCs w:val="24"/>
              </w:rPr>
              <w:t xml:space="preserve">部分</w:t>
            </w:r>
            <w:r/>
          </w:p>
        </w:tc>
      </w:tr>
      <w:tr>
        <w:trPr>
          <w:jc w:val="center"/>
          <w:trHeight w:val="567"/>
        </w:trPr>
        <w:tc>
          <w:tcPr>
            <w:tcW w:w="817"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一</w:t>
            </w:r>
            <w:r/>
          </w:p>
        </w:tc>
        <w:tc>
          <w:tcPr>
            <w:tcW w:w="2977" w:type="dxa"/>
            <w:vAlign w:val="center"/>
            <w:textDirection w:val="lrTb"/>
            <w:noWrap w:val="false"/>
          </w:tcPr>
          <w:p>
            <w:pPr>
              <w:jc w:val="lef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应用支撑平台开发</w:t>
            </w:r>
            <w:r/>
          </w:p>
        </w:tc>
        <w:tc>
          <w:tcPr>
            <w:tcW w:w="1276"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shd w:val="clear" w:color="auto" w:fill="auto"/>
            <w:tcW w:w="850"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tcW w:w="1032"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tcW w:w="1520"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tcW w:w="1382" w:type="dxa"/>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W w:w="2977"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大数据平台</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W w:w="2977"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数据中台</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W w:w="2977"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视频融合平台</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tcW w:w="2977"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地理信息系统（GIS）</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1.5</w:t>
            </w:r>
            <w:r/>
          </w:p>
        </w:tc>
        <w:tc>
          <w:tcPr>
            <w:tcW w:w="2977"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物联网平台</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1.6</w:t>
            </w:r>
            <w:r/>
          </w:p>
        </w:tc>
        <w:tc>
          <w:tcPr>
            <w:tcW w:w="2977"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融合通信平台</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1.7</w:t>
            </w:r>
            <w:r/>
          </w:p>
        </w:tc>
        <w:tc>
          <w:tcPr>
            <w:tcW w:w="2977"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统一认证平台</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1.8</w:t>
            </w:r>
            <w:r/>
          </w:p>
        </w:tc>
        <w:tc>
          <w:tcPr>
            <w:tcW w:w="2977"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统一工作流平台</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1.9</w:t>
            </w:r>
            <w:r/>
          </w:p>
        </w:tc>
        <w:tc>
          <w:tcPr>
            <w:tcW w:w="2977"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业务支撑中心</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1.10</w:t>
            </w:r>
            <w:r/>
          </w:p>
        </w:tc>
        <w:tc>
          <w:tcPr>
            <w:tcW w:w="2977"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AI监测算法</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二</w:t>
            </w:r>
            <w:r/>
          </w:p>
        </w:tc>
        <w:tc>
          <w:tcPr>
            <w:tcW w:w="2977" w:type="dxa"/>
            <w:vAlign w:val="center"/>
            <w:textDirection w:val="lrTb"/>
            <w:noWrap w:val="false"/>
          </w:tcPr>
          <w:p>
            <w:pPr>
              <w:jc w:val="lef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应用系统软件开发</w:t>
            </w:r>
            <w:r/>
          </w:p>
        </w:tc>
        <w:tc>
          <w:tcPr>
            <w:tcW w:w="1276"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shd w:val="clear" w:color="auto" w:fill="auto"/>
            <w:tcW w:w="850"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tcW w:w="1032"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tcW w:w="1520"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tcW w:w="1382" w:type="dxa"/>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2.1</w:t>
            </w:r>
            <w:r/>
          </w:p>
        </w:tc>
        <w:tc>
          <w:tcPr>
            <w:tcW w:w="2977" w:type="dxa"/>
            <w:vAlign w:val="center"/>
            <w:textDirection w:val="lrTb"/>
            <w:noWrap w:val="false"/>
          </w:tcPr>
          <w:p>
            <w:pPr>
              <w:jc w:val="left"/>
              <w:rPr>
                <w:rFonts w:ascii="宋体" w:hAnsi="宋体" w:eastAsia="宋体" w:cs="宋体"/>
                <w:color w:val="000000"/>
                <w:sz w:val="24"/>
                <w:szCs w:val="24"/>
              </w:rPr>
            </w:pPr>
            <w:r/>
            <w:bookmarkStart w:id="6" w:name="_Toc170944100"/>
            <w:r>
              <w:rPr>
                <w:rFonts w:hint="eastAsia" w:ascii="宋体" w:hAnsi="宋体" w:eastAsia="宋体" w:cs="宋体"/>
                <w:color w:val="000000"/>
                <w:sz w:val="24"/>
                <w:szCs w:val="24"/>
              </w:rPr>
              <w:t xml:space="preserve">门户及移动端应用</w:t>
            </w:r>
            <w:bookmarkEnd w:id="6"/>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中小微</w:t>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2.2</w:t>
            </w:r>
            <w:r/>
          </w:p>
        </w:tc>
        <w:tc>
          <w:tcPr>
            <w:tcW w:w="2977"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综合应用专项</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中小微</w:t>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2.3</w:t>
            </w:r>
            <w:r/>
          </w:p>
        </w:tc>
        <w:tc>
          <w:tcPr>
            <w:tcW w:w="2977"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燃气专项</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小微</w:t>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2.4</w:t>
            </w:r>
            <w:r/>
          </w:p>
        </w:tc>
        <w:tc>
          <w:tcPr>
            <w:tcW w:w="2977"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供水专项</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小微</w:t>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2.5</w:t>
            </w:r>
            <w:r/>
          </w:p>
        </w:tc>
        <w:tc>
          <w:tcPr>
            <w:tcW w:w="2977"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排水专项</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小微</w:t>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2.6</w:t>
            </w:r>
            <w:r/>
          </w:p>
        </w:tc>
        <w:tc>
          <w:tcPr>
            <w:tcW w:w="2977" w:type="dxa"/>
            <w:vAlign w:val="center"/>
            <w:textDirection w:val="lrTb"/>
            <w:noWrap w:val="false"/>
          </w:tcPr>
          <w:p>
            <w:pPr>
              <w:jc w:val="left"/>
              <w:rPr>
                <w:rFonts w:ascii="宋体" w:hAnsi="宋体" w:eastAsia="宋体" w:cs="宋体"/>
                <w:color w:val="000000"/>
                <w:sz w:val="24"/>
                <w:szCs w:val="24"/>
              </w:rPr>
            </w:pPr>
            <w:r/>
            <w:bookmarkStart w:id="7" w:name="_Toc4551"/>
            <w:r/>
            <w:bookmarkStart w:id="8" w:name="_Toc170301889"/>
            <w:r>
              <w:rPr>
                <w:rFonts w:hint="eastAsia" w:ascii="宋体" w:hAnsi="宋体" w:eastAsia="宋体" w:cs="宋体"/>
                <w:color w:val="000000"/>
                <w:sz w:val="24"/>
                <w:szCs w:val="24"/>
              </w:rPr>
              <w:t xml:space="preserve">地下管线专项</w:t>
            </w:r>
            <w:bookmarkEnd w:id="7"/>
            <w:r/>
            <w:bookmarkEnd w:id="8"/>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小微</w:t>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2.7</w:t>
            </w:r>
            <w:r/>
          </w:p>
        </w:tc>
        <w:tc>
          <w:tcPr>
            <w:tcW w:w="2977"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道路专项</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小微</w:t>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2.8</w:t>
            </w:r>
            <w:r/>
          </w:p>
        </w:tc>
        <w:tc>
          <w:tcPr>
            <w:tcW w:w="2977" w:type="dxa"/>
            <w:vAlign w:val="center"/>
            <w:textDirection w:val="lrTb"/>
            <w:noWrap w:val="false"/>
          </w:tcPr>
          <w:p>
            <w:pPr>
              <w:jc w:val="left"/>
              <w:rPr>
                <w:rFonts w:ascii="宋体" w:hAnsi="宋体" w:eastAsia="宋体" w:cs="宋体"/>
                <w:color w:val="000000"/>
                <w:sz w:val="24"/>
                <w:szCs w:val="24"/>
              </w:rPr>
            </w:pPr>
            <w:r/>
            <w:bookmarkStart w:id="9" w:name="_Toc170301887"/>
            <w:r>
              <w:rPr>
                <w:rFonts w:hint="eastAsia" w:ascii="宋体" w:hAnsi="宋体" w:eastAsia="宋体" w:cs="宋体"/>
                <w:color w:val="000000"/>
                <w:sz w:val="24"/>
                <w:szCs w:val="24"/>
              </w:rPr>
              <w:t xml:space="preserve">桥梁专项</w:t>
            </w:r>
            <w:bookmarkEnd w:id="9"/>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小微</w:t>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2.9</w:t>
            </w:r>
            <w:r/>
          </w:p>
        </w:tc>
        <w:tc>
          <w:tcPr>
            <w:tcW w:w="2977"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第三方施工专项</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小微</w:t>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2.10</w:t>
            </w:r>
            <w:r/>
          </w:p>
        </w:tc>
        <w:tc>
          <w:tcPr>
            <w:tcW w:w="2977"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防震专项</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小微</w:t>
            </w:r>
            <w:r/>
          </w:p>
        </w:tc>
      </w:tr>
      <w:tr>
        <w:trPr>
          <w:jc w:val="center"/>
          <w:trHeight w:val="567"/>
        </w:trPr>
        <w:tc>
          <w:tcPr>
            <w:tcW w:w="817"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三</w:t>
            </w:r>
            <w:r/>
          </w:p>
        </w:tc>
        <w:tc>
          <w:tcPr>
            <w:tcW w:w="2977" w:type="dxa"/>
            <w:vAlign w:val="center"/>
            <w:textDirection w:val="lrTb"/>
            <w:noWrap w:val="false"/>
          </w:tcPr>
          <w:p>
            <w:pPr>
              <w:jc w:val="lef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数据治理</w:t>
            </w:r>
            <w:r/>
          </w:p>
        </w:tc>
        <w:tc>
          <w:tcPr>
            <w:tcW w:w="1276"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shd w:val="clear" w:color="auto" w:fill="auto"/>
            <w:tcW w:w="850"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tcW w:w="1032"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tcW w:w="1520"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tcW w:w="1382" w:type="dxa"/>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3.1</w:t>
            </w:r>
            <w:r/>
          </w:p>
        </w:tc>
        <w:tc>
          <w:tcPr>
            <w:tcW w:w="2977" w:type="dxa"/>
            <w:vAlign w:val="center"/>
            <w:textDirection w:val="lrTb"/>
            <w:noWrap w:val="false"/>
          </w:tcPr>
          <w:p>
            <w:pPr>
              <w:jc w:val="lef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数据治理实施</w:t>
            </w:r>
            <w:r/>
          </w:p>
        </w:tc>
        <w:tc>
          <w:tcPr>
            <w:tcW w:w="127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shd w:val="clear" w:color="auto" w:fill="auto"/>
            <w:tcW w:w="817"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color w:val="000000"/>
                <w:sz w:val="24"/>
                <w:szCs w:val="24"/>
              </w:rPr>
              <w:t xml:space="preserve">3.1.1</w:t>
            </w:r>
            <w:r/>
          </w:p>
        </w:tc>
        <w:tc>
          <w:tcPr>
            <w:shd w:val="clear" w:color="auto" w:fill="auto"/>
            <w:tcW w:w="2977"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数据资源现状梳理</w:t>
            </w:r>
            <w:r/>
          </w:p>
        </w:tc>
        <w:tc>
          <w:tcPr>
            <w:shd w:val="clear" w:color="auto" w:fill="auto"/>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小微</w:t>
            </w:r>
            <w:r/>
          </w:p>
        </w:tc>
      </w:tr>
      <w:tr>
        <w:trPr>
          <w:jc w:val="center"/>
          <w:trHeight w:val="567"/>
        </w:trPr>
        <w:tc>
          <w:tcPr>
            <w:shd w:val="clear" w:color="auto" w:fill="auto"/>
            <w:tcW w:w="817"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color w:val="000000"/>
                <w:sz w:val="24"/>
                <w:szCs w:val="24"/>
              </w:rPr>
              <w:t xml:space="preserve">3.1.2</w:t>
            </w:r>
            <w:r/>
          </w:p>
        </w:tc>
        <w:tc>
          <w:tcPr>
            <w:shd w:val="clear" w:color="auto" w:fill="auto"/>
            <w:tcW w:w="2977"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数据汇聚</w:t>
            </w:r>
            <w:r/>
          </w:p>
        </w:tc>
        <w:tc>
          <w:tcPr>
            <w:shd w:val="clear" w:color="auto" w:fill="auto"/>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小微</w:t>
            </w:r>
            <w:r/>
          </w:p>
        </w:tc>
      </w:tr>
      <w:tr>
        <w:trPr>
          <w:jc w:val="center"/>
          <w:trHeight w:val="567"/>
        </w:trPr>
        <w:tc>
          <w:tcPr>
            <w:shd w:val="clear" w:color="auto" w:fill="auto"/>
            <w:tcW w:w="817"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color w:val="000000"/>
                <w:sz w:val="24"/>
                <w:szCs w:val="24"/>
              </w:rPr>
              <w:t xml:space="preserve">3.1.3</w:t>
            </w:r>
            <w:r/>
          </w:p>
        </w:tc>
        <w:tc>
          <w:tcPr>
            <w:shd w:val="clear" w:color="auto" w:fill="auto"/>
            <w:tcW w:w="2977"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数据开发实施</w:t>
            </w:r>
            <w:r/>
          </w:p>
        </w:tc>
        <w:tc>
          <w:tcPr>
            <w:shd w:val="clear" w:color="auto" w:fill="auto"/>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小微</w:t>
            </w:r>
            <w:r/>
          </w:p>
        </w:tc>
      </w:tr>
      <w:tr>
        <w:trPr>
          <w:jc w:val="center"/>
          <w:trHeight w:val="567"/>
        </w:trPr>
        <w:tc>
          <w:tcPr>
            <w:shd w:val="clear" w:color="auto" w:fill="auto"/>
            <w:tcW w:w="817"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color w:val="000000"/>
                <w:sz w:val="24"/>
                <w:szCs w:val="24"/>
              </w:rPr>
              <w:t xml:space="preserve">3.1.4</w:t>
            </w:r>
            <w:r/>
          </w:p>
        </w:tc>
        <w:tc>
          <w:tcPr>
            <w:shd w:val="clear" w:color="auto" w:fill="auto"/>
            <w:tcW w:w="2977"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数据资源池建设</w:t>
            </w:r>
            <w:r/>
          </w:p>
        </w:tc>
        <w:tc>
          <w:tcPr>
            <w:shd w:val="clear" w:color="auto" w:fill="auto"/>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小微</w:t>
            </w:r>
            <w:r/>
          </w:p>
        </w:tc>
      </w:tr>
      <w:tr>
        <w:trPr>
          <w:jc w:val="center"/>
          <w:trHeight w:val="567"/>
        </w:trPr>
        <w:tc>
          <w:tcPr>
            <w:shd w:val="clear" w:color="auto" w:fill="auto"/>
            <w:tcW w:w="817"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color w:val="000000"/>
                <w:sz w:val="24"/>
                <w:szCs w:val="24"/>
              </w:rPr>
              <w:t xml:space="preserve">3.1.5</w:t>
            </w:r>
            <w:r/>
          </w:p>
        </w:tc>
        <w:tc>
          <w:tcPr>
            <w:shd w:val="clear" w:color="auto" w:fill="auto"/>
            <w:tcW w:w="2977"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数据服务封装实施</w:t>
            </w:r>
            <w:r/>
          </w:p>
        </w:tc>
        <w:tc>
          <w:tcPr>
            <w:shd w:val="clear" w:color="auto" w:fill="auto"/>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小微</w:t>
            </w:r>
            <w:r/>
          </w:p>
        </w:tc>
      </w:tr>
      <w:tr>
        <w:trPr>
          <w:jc w:val="center"/>
          <w:trHeight w:val="567"/>
        </w:trPr>
        <w:tc>
          <w:tcPr>
            <w:shd w:val="clear" w:color="auto" w:fill="auto"/>
            <w:tcW w:w="817"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color w:val="000000"/>
                <w:sz w:val="24"/>
                <w:szCs w:val="24"/>
              </w:rPr>
              <w:t xml:space="preserve">3.1.6</w:t>
            </w:r>
            <w:r/>
          </w:p>
        </w:tc>
        <w:tc>
          <w:tcPr>
            <w:shd w:val="clear" w:color="auto" w:fill="auto"/>
            <w:tcW w:w="2977"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数据运维</w:t>
            </w:r>
            <w:r/>
          </w:p>
        </w:tc>
        <w:tc>
          <w:tcPr>
            <w:shd w:val="clear" w:color="auto" w:fill="auto"/>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小微</w:t>
            </w:r>
            <w:r/>
          </w:p>
        </w:tc>
      </w:tr>
      <w:tr>
        <w:trPr>
          <w:jc w:val="center"/>
          <w:trHeight w:val="567"/>
        </w:trPr>
        <w:tc>
          <w:tcPr>
            <w:shd w:val="clear" w:color="auto" w:fill="auto"/>
            <w:tcW w:w="817" w:type="dxa"/>
            <w:vAlign w:val="center"/>
            <w:textDirection w:val="lrTb"/>
            <w:noWrap w:val="false"/>
          </w:tcPr>
          <w:p>
            <w:pPr>
              <w:jc w:val="center"/>
              <w:spacing w:line="400" w:lineRule="exact"/>
              <w:rPr>
                <w:rFonts w:ascii="宋体" w:hAnsi="宋体" w:eastAsia="宋体" w:cs="宋体"/>
                <w:b/>
                <w:bCs/>
                <w:sz w:val="24"/>
                <w:szCs w:val="24"/>
              </w:rPr>
            </w:pPr>
            <w:r>
              <w:rPr>
                <w:rFonts w:hint="eastAsia" w:ascii="宋体" w:hAnsi="宋体" w:eastAsia="宋体" w:cs="宋体"/>
                <w:b/>
                <w:bCs/>
                <w:color w:val="000000"/>
                <w:sz w:val="24"/>
                <w:szCs w:val="24"/>
              </w:rPr>
              <w:t xml:space="preserve">3.2</w:t>
            </w:r>
            <w:r/>
          </w:p>
        </w:tc>
        <w:tc>
          <w:tcPr>
            <w:shd w:val="clear" w:color="auto" w:fill="auto"/>
            <w:tcW w:w="2977" w:type="dxa"/>
            <w:vAlign w:val="center"/>
            <w:textDirection w:val="lrTb"/>
            <w:noWrap w:val="false"/>
          </w:tcPr>
          <w:p>
            <w:pPr>
              <w:jc w:val="lef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数据脱敏脱密</w:t>
            </w:r>
            <w:r/>
          </w:p>
        </w:tc>
        <w:tc>
          <w:tcPr>
            <w:shd w:val="clear" w:color="auto" w:fill="auto"/>
            <w:tcW w:w="127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shd w:val="clear" w:color="auto" w:fill="auto"/>
            <w:tcW w:w="817"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color w:val="000000"/>
                <w:sz w:val="24"/>
                <w:szCs w:val="24"/>
              </w:rPr>
              <w:t xml:space="preserve">3.2.1</w:t>
            </w:r>
            <w:r/>
          </w:p>
        </w:tc>
        <w:tc>
          <w:tcPr>
            <w:shd w:val="clear" w:color="auto" w:fill="auto"/>
            <w:tcW w:w="2977"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数据脱密</w:t>
            </w:r>
            <w:r/>
          </w:p>
        </w:tc>
        <w:tc>
          <w:tcPr>
            <w:shd w:val="clear" w:color="auto" w:fill="auto"/>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shd w:val="clear" w:color="auto" w:fill="auto"/>
            <w:tcW w:w="817"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color w:val="000000"/>
                <w:sz w:val="24"/>
                <w:szCs w:val="24"/>
              </w:rPr>
              <w:t xml:space="preserve">3.2.2</w:t>
            </w:r>
            <w:r/>
          </w:p>
        </w:tc>
        <w:tc>
          <w:tcPr>
            <w:shd w:val="clear" w:color="auto" w:fill="auto"/>
            <w:tcW w:w="2977"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数据脱敏</w:t>
            </w:r>
            <w:r/>
          </w:p>
        </w:tc>
        <w:tc>
          <w:tcPr>
            <w:shd w:val="clear" w:color="auto" w:fill="auto"/>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shd w:val="clear" w:color="auto" w:fill="auto"/>
            <w:tcW w:w="817" w:type="dxa"/>
            <w:vAlign w:val="center"/>
            <w:textDirection w:val="lrTb"/>
            <w:noWrap w:val="false"/>
          </w:tcPr>
          <w:p>
            <w:pPr>
              <w:jc w:val="center"/>
              <w:spacing w:line="400" w:lineRule="exact"/>
              <w:rPr>
                <w:rFonts w:ascii="宋体" w:hAnsi="宋体" w:eastAsia="宋体" w:cs="宋体"/>
                <w:b/>
                <w:bCs/>
                <w:sz w:val="24"/>
                <w:szCs w:val="24"/>
              </w:rPr>
            </w:pPr>
            <w:r>
              <w:rPr>
                <w:rFonts w:hint="eastAsia" w:ascii="宋体" w:hAnsi="宋体" w:eastAsia="宋体" w:cs="宋体"/>
                <w:b/>
                <w:bCs/>
                <w:color w:val="000000"/>
                <w:sz w:val="24"/>
                <w:szCs w:val="24"/>
              </w:rPr>
              <w:t xml:space="preserve">3.3</w:t>
            </w:r>
            <w:r/>
          </w:p>
        </w:tc>
        <w:tc>
          <w:tcPr>
            <w:shd w:val="clear" w:color="auto" w:fill="auto"/>
            <w:tcW w:w="2977" w:type="dxa"/>
            <w:vAlign w:val="center"/>
            <w:textDirection w:val="lrTb"/>
            <w:noWrap w:val="false"/>
          </w:tcPr>
          <w:p>
            <w:pPr>
              <w:jc w:val="lef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信息资源共享</w:t>
            </w:r>
            <w:r/>
          </w:p>
        </w:tc>
        <w:tc>
          <w:tcPr>
            <w:shd w:val="clear" w:color="auto" w:fill="auto"/>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shd w:val="clear" w:color="auto" w:fill="auto"/>
            <w:tcW w:w="817" w:type="dxa"/>
            <w:vAlign w:val="center"/>
            <w:textDirection w:val="lrTb"/>
            <w:noWrap w:val="false"/>
          </w:tcPr>
          <w:p>
            <w:pPr>
              <w:jc w:val="center"/>
              <w:spacing w:line="400" w:lineRule="exact"/>
              <w:rPr>
                <w:rFonts w:ascii="宋体" w:hAnsi="宋体" w:eastAsia="宋体" w:cs="宋体"/>
                <w:b/>
                <w:bCs/>
                <w:sz w:val="24"/>
                <w:szCs w:val="24"/>
              </w:rPr>
            </w:pPr>
            <w:r>
              <w:rPr>
                <w:rFonts w:hint="eastAsia" w:ascii="宋体" w:hAnsi="宋体" w:eastAsia="宋体" w:cs="宋体"/>
                <w:b/>
                <w:bCs/>
                <w:color w:val="000000"/>
                <w:sz w:val="24"/>
                <w:szCs w:val="24"/>
              </w:rPr>
              <w:t xml:space="preserve">3.4</w:t>
            </w:r>
            <w:r/>
          </w:p>
        </w:tc>
        <w:tc>
          <w:tcPr>
            <w:shd w:val="clear" w:color="auto" w:fill="auto"/>
            <w:tcW w:w="2977" w:type="dxa"/>
            <w:vAlign w:val="center"/>
            <w:textDirection w:val="lrTb"/>
            <w:noWrap w:val="false"/>
          </w:tcPr>
          <w:p>
            <w:pPr>
              <w:jc w:val="lef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省市数据对接</w:t>
            </w:r>
            <w:r/>
          </w:p>
        </w:tc>
        <w:tc>
          <w:tcPr>
            <w:shd w:val="clear" w:color="auto" w:fill="auto"/>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四</w:t>
            </w:r>
            <w:r/>
          </w:p>
        </w:tc>
        <w:tc>
          <w:tcPr>
            <w:tcW w:w="2977" w:type="dxa"/>
            <w:vAlign w:val="center"/>
            <w:textDirection w:val="lrTb"/>
            <w:noWrap w:val="false"/>
          </w:tcPr>
          <w:p>
            <w:pPr>
              <w:jc w:val="lef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硬件购置</w:t>
            </w:r>
            <w:r/>
          </w:p>
        </w:tc>
        <w:tc>
          <w:tcPr>
            <w:tcW w:w="1276"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shd w:val="clear" w:color="auto" w:fill="auto"/>
            <w:tcW w:w="850"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tcW w:w="1032"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tcW w:w="1520"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tcW w:w="1382" w:type="dxa"/>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b/>
                <w:bCs/>
                <w:color w:val="000000"/>
                <w:sz w:val="24"/>
                <w:szCs w:val="24"/>
              </w:rPr>
              <w:t xml:space="preserve">4.1</w:t>
            </w:r>
            <w:r/>
          </w:p>
        </w:tc>
        <w:tc>
          <w:tcPr>
            <w:tcW w:w="2977" w:type="dxa"/>
            <w:vAlign w:val="center"/>
            <w:textDirection w:val="lrTb"/>
            <w:noWrap w:val="false"/>
          </w:tcPr>
          <w:p>
            <w:pPr>
              <w:jc w:val="lef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排水专项</w:t>
            </w:r>
            <w:r/>
          </w:p>
        </w:tc>
        <w:tc>
          <w:tcPr>
            <w:tcW w:w="127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4.1.1</w:t>
            </w:r>
            <w:r/>
          </w:p>
        </w:tc>
        <w:tc>
          <w:tcPr>
            <w:tcW w:w="2977"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电子水尺</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19</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b/>
                <w:bCs/>
                <w:color w:val="000000"/>
                <w:sz w:val="24"/>
                <w:szCs w:val="24"/>
              </w:rPr>
              <w:t xml:space="preserve">4.4</w:t>
            </w:r>
            <w:r/>
          </w:p>
        </w:tc>
        <w:tc>
          <w:tcPr>
            <w:tcW w:w="2977" w:type="dxa"/>
            <w:vAlign w:val="center"/>
            <w:textDirection w:val="lrTb"/>
            <w:noWrap w:val="false"/>
          </w:tcPr>
          <w:p>
            <w:pPr>
              <w:jc w:val="lef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道路专项</w:t>
            </w:r>
            <w:r/>
          </w:p>
        </w:tc>
        <w:tc>
          <w:tcPr>
            <w:tcW w:w="127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4.4.1</w:t>
            </w:r>
            <w:r/>
          </w:p>
        </w:tc>
        <w:tc>
          <w:tcPr>
            <w:tcW w:w="2977"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三维地质探地雷达（车载）服务</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Km</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40</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b/>
                <w:bCs/>
                <w:color w:val="000000"/>
                <w:sz w:val="24"/>
                <w:szCs w:val="24"/>
              </w:rPr>
              <w:t xml:space="preserve">4.5</w:t>
            </w:r>
            <w:r/>
          </w:p>
        </w:tc>
        <w:tc>
          <w:tcPr>
            <w:tcW w:w="2977" w:type="dxa"/>
            <w:vAlign w:val="center"/>
            <w:textDirection w:val="lrTb"/>
            <w:noWrap w:val="false"/>
          </w:tcPr>
          <w:p>
            <w:pPr>
              <w:jc w:val="lef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桥梁专项</w:t>
            </w:r>
            <w:r/>
          </w:p>
        </w:tc>
        <w:tc>
          <w:tcPr>
            <w:tcW w:w="127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4.5.1</w:t>
            </w:r>
            <w:r/>
          </w:p>
        </w:tc>
        <w:tc>
          <w:tcPr>
            <w:tcW w:w="2977"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振弦式应变传感器（带温度）</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W w:w="85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57</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4.5.2</w:t>
            </w:r>
            <w:r/>
          </w:p>
        </w:tc>
        <w:tc>
          <w:tcPr>
            <w:tcW w:w="2977"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光电挠度仪</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W w:w="85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4.5.3</w:t>
            </w:r>
            <w:r/>
          </w:p>
        </w:tc>
        <w:tc>
          <w:tcPr>
            <w:tcW w:w="2977"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裂缝计</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W w:w="85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4.5.4</w:t>
            </w:r>
            <w:r/>
          </w:p>
        </w:tc>
        <w:tc>
          <w:tcPr>
            <w:tcW w:w="2977"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高清球机</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W w:w="85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4.5.5</w:t>
            </w:r>
            <w:r/>
          </w:p>
        </w:tc>
        <w:tc>
          <w:tcPr>
            <w:tcW w:w="2977"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机柜</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W w:w="85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4.5.6</w:t>
            </w:r>
            <w:r/>
          </w:p>
        </w:tc>
        <w:tc>
          <w:tcPr>
            <w:tcW w:w="2977"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综合采集仪（无线）</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W w:w="85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4.5.7</w:t>
            </w:r>
            <w:r/>
          </w:p>
        </w:tc>
        <w:tc>
          <w:tcPr>
            <w:tcW w:w="2977"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视频网络专线</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条</w:t>
            </w:r>
            <w:r/>
          </w:p>
        </w:tc>
        <w:tc>
          <w:tcPr>
            <w:shd w:val="clear" w:color="auto" w:fill="auto"/>
            <w:tcW w:w="85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b/>
                <w:bCs/>
                <w:color w:val="000000"/>
                <w:sz w:val="24"/>
                <w:szCs w:val="24"/>
              </w:rPr>
              <w:t xml:space="preserve">4.6</w:t>
            </w:r>
            <w:r/>
          </w:p>
        </w:tc>
        <w:tc>
          <w:tcPr>
            <w:tcW w:w="2977" w:type="dxa"/>
            <w:vAlign w:val="center"/>
            <w:textDirection w:val="lrTb"/>
            <w:noWrap w:val="false"/>
          </w:tcPr>
          <w:p>
            <w:pPr>
              <w:jc w:val="lef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第三方施工破环专项</w:t>
            </w:r>
            <w:r/>
          </w:p>
        </w:tc>
        <w:tc>
          <w:tcPr>
            <w:tcW w:w="127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4.6.1</w:t>
            </w:r>
            <w:r/>
          </w:p>
        </w:tc>
        <w:tc>
          <w:tcPr>
            <w:tcW w:w="2977"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摄像头</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4.6.2</w:t>
            </w:r>
            <w:r/>
          </w:p>
        </w:tc>
        <w:tc>
          <w:tcPr>
            <w:tcW w:w="2977"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智能边缘服务器</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4.6.3</w:t>
            </w:r>
            <w:r/>
          </w:p>
        </w:tc>
        <w:tc>
          <w:tcPr>
            <w:tcW w:w="2977" w:type="dxa"/>
            <w:vAlign w:val="center"/>
            <w:textDirection w:val="lrTb"/>
            <w:noWrap w:val="false"/>
          </w:tcPr>
          <w:p>
            <w:pPr>
              <w:jc w:val="left"/>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分布式光纤声传感设备</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b/>
                <w:color w:val="000000"/>
                <w:sz w:val="24"/>
                <w:szCs w:val="24"/>
              </w:rPr>
            </w:pPr>
            <w:r>
              <w:rPr>
                <w:rFonts w:ascii="宋体" w:hAnsi="宋体" w:eastAsia="宋体" w:cs="宋体"/>
                <w:b/>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4.6.4</w:t>
            </w:r>
            <w:r/>
          </w:p>
        </w:tc>
        <w:tc>
          <w:tcPr>
            <w:tcW w:w="2977" w:type="dxa"/>
            <w:vAlign w:val="center"/>
            <w:textDirection w:val="lrTb"/>
            <w:noWrap w:val="false"/>
          </w:tcPr>
          <w:p>
            <w:pPr>
              <w:jc w:val="left"/>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光纤感知神经分析系统</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小微</w:t>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4.6.5</w:t>
            </w:r>
            <w:r/>
          </w:p>
        </w:tc>
        <w:tc>
          <w:tcPr>
            <w:tcW w:w="2977" w:type="dxa"/>
            <w:vAlign w:val="center"/>
            <w:textDirection w:val="lrTb"/>
            <w:noWrap w:val="false"/>
          </w:tcPr>
          <w:p>
            <w:pPr>
              <w:jc w:val="left"/>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光纤租赁</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五</w:t>
            </w:r>
            <w:r/>
          </w:p>
        </w:tc>
        <w:tc>
          <w:tcPr>
            <w:tcW w:w="2977" w:type="dxa"/>
            <w:vAlign w:val="center"/>
            <w:textDirection w:val="lrTb"/>
            <w:noWrap w:val="false"/>
          </w:tcPr>
          <w:p>
            <w:pPr>
              <w:jc w:val="left"/>
              <w:rPr>
                <w:rFonts w:ascii="宋体" w:hAnsi="宋体" w:eastAsia="宋体" w:cs="宋体"/>
                <w:b/>
                <w:bCs/>
                <w:sz w:val="24"/>
                <w:szCs w:val="24"/>
              </w:rPr>
            </w:pPr>
            <w:r>
              <w:rPr>
                <w:rFonts w:hint="eastAsia" w:ascii="宋体" w:hAnsi="宋体" w:eastAsia="宋体" w:cs="宋体"/>
                <w:b/>
                <w:bCs/>
                <w:color w:val="000000"/>
                <w:sz w:val="24"/>
                <w:szCs w:val="24"/>
              </w:rPr>
              <w:t xml:space="preserve">运行监测中心</w:t>
            </w:r>
            <w:r/>
          </w:p>
        </w:tc>
        <w:tc>
          <w:tcPr>
            <w:tcW w:w="127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5.1</w:t>
            </w:r>
            <w:r/>
          </w:p>
        </w:tc>
        <w:tc>
          <w:tcPr>
            <w:tcW w:w="2977"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原场地拆除</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5.2</w:t>
            </w:r>
            <w:r/>
          </w:p>
        </w:tc>
        <w:tc>
          <w:tcPr>
            <w:tcW w:w="2977"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综合布线及线路改造</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六</w:t>
            </w:r>
            <w:r/>
          </w:p>
        </w:tc>
        <w:tc>
          <w:tcPr>
            <w:tcW w:w="2977" w:type="dxa"/>
            <w:vAlign w:val="center"/>
            <w:textDirection w:val="lrTb"/>
            <w:noWrap w:val="false"/>
          </w:tcPr>
          <w:p>
            <w:pPr>
              <w:jc w:val="left"/>
              <w:rPr>
                <w:rFonts w:ascii="宋体" w:hAnsi="宋体" w:eastAsia="宋体" w:cs="宋体"/>
                <w:b/>
                <w:bCs/>
                <w:color w:val="000000"/>
                <w:sz w:val="24"/>
                <w:szCs w:val="24"/>
              </w:rPr>
            </w:pPr>
            <w:r/>
            <w:bookmarkStart w:id="10" w:name="_Hlk174525904"/>
            <w:r>
              <w:rPr>
                <w:rFonts w:hint="eastAsia" w:ascii="宋体" w:hAnsi="宋体" w:eastAsia="宋体" w:cs="宋体"/>
                <w:b/>
                <w:bCs/>
                <w:color w:val="000000"/>
                <w:sz w:val="24"/>
                <w:szCs w:val="24"/>
              </w:rPr>
              <w:t xml:space="preserve">政务云资源及信息系统安全</w:t>
            </w:r>
            <w:bookmarkEnd w:id="10"/>
            <w:r/>
            <w:r/>
          </w:p>
        </w:tc>
        <w:tc>
          <w:tcPr>
            <w:tcW w:w="1276"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shd w:val="clear" w:color="auto" w:fill="auto"/>
            <w:tcW w:w="850"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tcW w:w="1032"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tcW w:w="1520"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tcW w:w="1382" w:type="dxa"/>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6.1</w:t>
            </w:r>
            <w:r/>
          </w:p>
        </w:tc>
        <w:tc>
          <w:tcPr>
            <w:tcW w:w="2977"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互联网-云主机(信创)-CPU</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核</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64</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t xml:space="preserve">2</w:t>
            </w:r>
            <w:r/>
          </w:p>
        </w:tc>
        <w:tc>
          <w:tcPr>
            <w:tcW w:w="2977"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互联网-云主机(信创)-内存</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GB</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128</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t xml:space="preserve">3</w:t>
            </w:r>
            <w:r/>
          </w:p>
        </w:tc>
        <w:tc>
          <w:tcPr>
            <w:tcW w:w="2977"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互联网-云主机存储（信创）</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TB</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t xml:space="preserve">4</w:t>
            </w:r>
            <w:r/>
          </w:p>
        </w:tc>
        <w:tc>
          <w:tcPr>
            <w:tcW w:w="2977"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电子政务外网区-云主机(信创)-CPU</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核</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1664</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t xml:space="preserve">5</w:t>
            </w:r>
            <w:r/>
          </w:p>
        </w:tc>
        <w:tc>
          <w:tcPr>
            <w:tcW w:w="2977"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电子政务外网区-云主机(信创)-内存</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GB</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4304</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t xml:space="preserve">6</w:t>
            </w:r>
            <w:r/>
          </w:p>
        </w:tc>
        <w:tc>
          <w:tcPr>
            <w:tcW w:w="2977"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电子政务外网区-云主机存储（信创）</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TB</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82</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t xml:space="preserve">7</w:t>
            </w:r>
            <w:r/>
          </w:p>
        </w:tc>
        <w:tc>
          <w:tcPr>
            <w:tcW w:w="2977"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密码服务（信创）</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t xml:space="preserve">8</w:t>
            </w:r>
            <w:r/>
          </w:p>
        </w:tc>
        <w:tc>
          <w:tcPr>
            <w:tcW w:w="2977"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操作系统</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t xml:space="preserve">9</w:t>
            </w:r>
            <w:r/>
          </w:p>
        </w:tc>
        <w:tc>
          <w:tcPr>
            <w:tcW w:w="2977"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数据库</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七</w:t>
            </w:r>
            <w:r/>
          </w:p>
        </w:tc>
        <w:tc>
          <w:tcPr>
            <w:tcW w:w="2977" w:type="dxa"/>
            <w:vAlign w:val="center"/>
            <w:textDirection w:val="lrTb"/>
            <w:noWrap w:val="false"/>
          </w:tcPr>
          <w:p>
            <w:pPr>
              <w:jc w:val="lef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省市复用对接</w:t>
            </w:r>
            <w:r/>
          </w:p>
        </w:tc>
        <w:tc>
          <w:tcPr>
            <w:tcW w:w="1276"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套</w:t>
            </w:r>
            <w:r/>
          </w:p>
        </w:tc>
        <w:tc>
          <w:tcPr>
            <w:shd w:val="clear" w:color="auto" w:fill="auto"/>
            <w:tcW w:w="850"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1</w:t>
            </w:r>
            <w:r/>
          </w:p>
        </w:tc>
        <w:tc>
          <w:tcPr>
            <w:tcW w:w="1032"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tcW w:w="1520"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tcW w:w="1382" w:type="dxa"/>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八</w:t>
            </w:r>
            <w:r/>
          </w:p>
        </w:tc>
        <w:tc>
          <w:tcPr>
            <w:tcW w:w="2977" w:type="dxa"/>
            <w:vAlign w:val="center"/>
            <w:textDirection w:val="lrTb"/>
            <w:noWrap w:val="false"/>
          </w:tcPr>
          <w:p>
            <w:pPr>
              <w:jc w:val="lef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市县一体化</w:t>
            </w:r>
            <w:r/>
          </w:p>
        </w:tc>
        <w:tc>
          <w:tcPr>
            <w:tcW w:w="1276"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套</w:t>
            </w:r>
            <w:r/>
          </w:p>
        </w:tc>
        <w:tc>
          <w:tcPr>
            <w:shd w:val="clear" w:color="auto" w:fill="auto"/>
            <w:tcW w:w="850"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1</w:t>
            </w:r>
            <w:r/>
          </w:p>
        </w:tc>
        <w:tc>
          <w:tcPr>
            <w:tcW w:w="1032"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tcW w:w="1520"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tcW w:w="1382" w:type="dxa"/>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九</w:t>
            </w:r>
            <w:r/>
          </w:p>
        </w:tc>
        <w:tc>
          <w:tcPr>
            <w:tcW w:w="2977" w:type="dxa"/>
            <w:vAlign w:val="center"/>
            <w:textDirection w:val="lrTb"/>
            <w:noWrap w:val="false"/>
          </w:tcPr>
          <w:p>
            <w:pPr>
              <w:jc w:val="lef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其他建设要求</w:t>
            </w:r>
            <w:r/>
          </w:p>
        </w:tc>
        <w:tc>
          <w:tcPr>
            <w:tcW w:w="1276"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shd w:val="clear" w:color="auto" w:fill="auto"/>
            <w:tcW w:w="850"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tcW w:w="1032"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tcW w:w="1520"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tcW w:w="1382" w:type="dxa"/>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9.1</w:t>
            </w:r>
            <w:r/>
          </w:p>
        </w:tc>
        <w:tc>
          <w:tcPr>
            <w:tcW w:w="2977"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管线脱敏脱密</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tcW w:w="8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9.2</w:t>
            </w:r>
            <w:r/>
          </w:p>
        </w:tc>
        <w:tc>
          <w:tcPr>
            <w:tcW w:w="2977"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网络安全等级保护测评</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W w:w="85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03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67"/>
        </w:trPr>
        <w:tc>
          <w:tcPr>
            <w:gridSpan w:val="5"/>
            <w:tcW w:w="6952" w:type="dxa"/>
            <w:vAlign w:val="center"/>
            <w:textDirection w:val="lrTb"/>
            <w:noWrap w:val="false"/>
          </w:tcPr>
          <w:p>
            <w:pPr>
              <w:jc w:val="center"/>
              <w:rPr>
                <w:rFonts w:ascii="宋体" w:hAnsi="宋体" w:eastAsia="宋体" w:cs="宋体"/>
                <w:color w:val="000000"/>
                <w:sz w:val="24"/>
                <w:szCs w:val="24"/>
              </w:rPr>
            </w:pPr>
            <w:r>
              <w:rPr>
                <w:rFonts w:hint="eastAsia" w:ascii="宋体" w:hAnsi="宋体"/>
                <w:color w:val="000000"/>
                <w:sz w:val="24"/>
              </w:rPr>
              <w:t xml:space="preserve">总计（元）</w:t>
            </w:r>
            <w:r/>
          </w:p>
        </w:tc>
        <w:tc>
          <w:tcPr>
            <w:tcW w:w="152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82" w:type="dxa"/>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bl>
    <w:p>
      <w:pPr>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日期：年月日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ind w:firstLine="420"/>
        <w:spacing w:line="500" w:lineRule="exact"/>
      </w:pPr>
      <w:r/>
      <w:r/>
    </w:p>
    <w:p>
      <w:pPr>
        <w:ind w:firstLine="482"/>
        <w:spacing w:line="360" w:lineRule="auto"/>
        <w:rPr>
          <w:rFonts w:asciiTheme="minorEastAsia" w:hAnsiTheme="minorEastAsia"/>
          <w:b/>
          <w:sz w:val="24"/>
          <w:szCs w:val="24"/>
        </w:rPr>
      </w:pPr>
      <w:r>
        <w:rPr>
          <w:rFonts w:asciiTheme="minorEastAsia" w:hAnsiTheme="minorEastAsia"/>
          <w:b/>
          <w:sz w:val="24"/>
          <w:szCs w:val="24"/>
        </w:rPr>
        <w:t xml:space="preserve">注：</w:t>
      </w:r>
      <w:r/>
    </w:p>
    <w:p>
      <w:pPr>
        <w:ind w:firstLine="482"/>
        <w:spacing w:line="360" w:lineRule="auto"/>
        <w:rPr>
          <w:rFonts w:asciiTheme="minorEastAsia" w:hAnsiTheme="minorEastAsia"/>
          <w:b/>
          <w:sz w:val="24"/>
          <w:szCs w:val="24"/>
        </w:rPr>
      </w:pPr>
      <w:r>
        <w:rPr>
          <w:rFonts w:hint="eastAsia" w:asciiTheme="minorEastAsia" w:hAnsiTheme="minorEastAsia"/>
          <w:b/>
          <w:sz w:val="24"/>
          <w:szCs w:val="24"/>
        </w:rPr>
        <w:t xml:space="preserve">1.</w:t>
      </w:r>
      <w:r>
        <w:rPr>
          <w:rFonts w:asciiTheme="minorEastAsia" w:hAnsiTheme="minorEastAsia"/>
          <w:b/>
          <w:sz w:val="24"/>
          <w:szCs w:val="24"/>
        </w:rPr>
        <w:t xml:space="preserve">请投标人按照要求填写，</w:t>
      </w:r>
      <w:r>
        <w:rPr>
          <w:rFonts w:hint="eastAsia" w:asciiTheme="minorEastAsia" w:hAnsiTheme="minorEastAsia"/>
          <w:b/>
          <w:sz w:val="24"/>
          <w:szCs w:val="24"/>
        </w:rPr>
        <w:t xml:space="preserve">如投标分项报价表中经计算得出的比例与分包协议中所填写的比例不一致，投标人将承担一切不利后果。</w:t>
      </w:r>
      <w:r/>
    </w:p>
    <w:p>
      <w:pPr>
        <w:ind w:firstLine="482"/>
        <w:spacing w:line="360" w:lineRule="auto"/>
        <w:rPr>
          <w:rFonts w:asciiTheme="minorEastAsia" w:hAnsiTheme="minorEastAsia"/>
          <w:b/>
          <w:sz w:val="24"/>
          <w:szCs w:val="24"/>
        </w:rPr>
      </w:pPr>
      <w:r>
        <w:rPr>
          <w:rFonts w:hint="eastAsia" w:asciiTheme="minorEastAsia" w:hAnsiTheme="minorEastAsia"/>
          <w:b/>
          <w:sz w:val="24"/>
          <w:szCs w:val="24"/>
        </w:rPr>
        <w:t xml:space="preserve">2.投标人</w:t>
      </w:r>
      <w:r>
        <w:rPr>
          <w:rFonts w:hint="eastAsia" w:asciiTheme="minorEastAsia" w:hAnsiTheme="minorEastAsia"/>
          <w:b/>
          <w:sz w:val="24"/>
          <w:szCs w:val="24"/>
        </w:rPr>
        <w:t xml:space="preserve">须按照表格内容填写分项报价明细表，表中已有内容不得改动。如需补充内容，可另行增加，格式自拟。</w:t>
      </w:r>
      <w:r/>
    </w:p>
    <w:p>
      <w:pPr>
        <w:ind w:firstLine="482"/>
        <w:spacing w:line="360" w:lineRule="auto"/>
        <w:rPr>
          <w:rFonts w:asciiTheme="minorEastAsia" w:hAnsiTheme="minorEastAsia"/>
          <w:b/>
          <w:sz w:val="24"/>
          <w:szCs w:val="24"/>
        </w:rPr>
      </w:pPr>
      <w:r>
        <w:rPr>
          <w:rFonts w:asciiTheme="minorEastAsia" w:hAnsiTheme="minorEastAsia"/>
          <w:b/>
          <w:sz w:val="24"/>
          <w:szCs w:val="24"/>
        </w:rPr>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十五、技术要求响应及偏离表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p>
    <w:tbl>
      <w:tblPr>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99"/>
        <w:gridCol w:w="3402"/>
        <w:gridCol w:w="3261"/>
        <w:gridCol w:w="1805"/>
      </w:tblGrid>
      <w:tr>
        <w:trPr>
          <w:cantSplit/>
          <w:jc w:val="center"/>
        </w:trPr>
        <w:tc>
          <w:tcPr>
            <w:tcW w:w="1099"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402"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26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80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10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0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0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0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日期：年月日</w:t>
      </w:r>
      <w:r/>
    </w:p>
    <w:p>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bookmarkStart w:id="11" w:name="_Hlt26955054"/>
      <w:r/>
      <w:bookmarkEnd w:id="11"/>
      <w:r>
        <w:rPr>
          <w:rFonts w:hint="eastAsia" w:ascii="Arial" w:hAnsi="Arial" w:eastAsia="宋体" w:cs="Arial"/>
          <w:b/>
          <w:iCs/>
          <w:sz w:val="36"/>
        </w:rPr>
        <w:t xml:space="preserve">十六、商务要求响应及偏离表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W w:w="97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42"/>
        <w:gridCol w:w="3261"/>
        <w:gridCol w:w="3402"/>
        <w:gridCol w:w="1842"/>
      </w:tblGrid>
      <w:tr>
        <w:trPr>
          <w:cantSplit/>
        </w:trPr>
        <w:tc>
          <w:tcPr>
            <w:tcW w:w="1242" w:type="dxa"/>
            <w:vAlign w:val="center"/>
            <w:textDirection w:val="lrTb"/>
            <w:noWrap w:val="false"/>
          </w:tcPr>
          <w:p>
            <w:pPr>
              <w:jc w:val="center"/>
              <w:rPr>
                <w:rFonts w:ascii="宋体" w:hAnsi="宋体" w:eastAsia="宋体" w:cs="Times New Roman"/>
                <w:color w:val="000000"/>
                <w:sz w:val="24"/>
                <w:szCs w:val="24"/>
              </w:rPr>
            </w:pPr>
            <w:r/>
            <w:bookmarkStart w:id="12" w:name="_Hlt26955056"/>
            <w:r/>
            <w:bookmarkStart w:id="13" w:name="_Hlt26671372"/>
            <w:r/>
            <w:bookmarkStart w:id="14" w:name="_Hlt26782999"/>
            <w:r/>
            <w:bookmarkStart w:id="15" w:name="_Hlt26609391"/>
            <w:r/>
            <w:bookmarkStart w:id="16" w:name="_Hlt26671343"/>
            <w:r/>
            <w:bookmarkStart w:id="17" w:name="_Hlt26580838"/>
            <w:r/>
            <w:bookmarkStart w:id="18" w:name="_Hlt24879081"/>
            <w:r/>
            <w:bookmarkStart w:id="19" w:name="_Hlt26955064"/>
            <w:r/>
            <w:bookmarkEnd w:id="12"/>
            <w:r/>
            <w:bookmarkEnd w:id="13"/>
            <w:r/>
            <w:bookmarkEnd w:id="14"/>
            <w:r/>
            <w:bookmarkEnd w:id="15"/>
            <w:r/>
            <w:bookmarkEnd w:id="16"/>
            <w:r/>
            <w:bookmarkEnd w:id="17"/>
            <w:r/>
            <w:bookmarkEnd w:id="18"/>
            <w:r/>
            <w:bookmarkEnd w:id="19"/>
            <w:r>
              <w:rPr>
                <w:rFonts w:hint="eastAsia" w:ascii="宋体" w:hAnsi="宋体" w:eastAsia="宋体" w:cs="Times New Roman"/>
                <w:color w:val="000000"/>
                <w:sz w:val="24"/>
                <w:szCs w:val="24"/>
              </w:rPr>
              <w:t xml:space="preserve">序号</w:t>
            </w:r>
            <w:r/>
          </w:p>
        </w:tc>
        <w:tc>
          <w:tcPr>
            <w:tcW w:w="326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84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24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24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24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2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日期：年月日</w:t>
      </w:r>
      <w:r/>
    </w:p>
    <w:p>
      <w:r/>
      <w:bookmarkStart w:id="20" w:name="_Hlt26955066"/>
      <w:r/>
      <w:bookmarkStart w:id="21" w:name="_格式2__法定代表人授权书"/>
      <w:r/>
      <w:bookmarkStart w:id="22" w:name="_Hlt26671374"/>
      <w:r/>
      <w:bookmarkStart w:id="23" w:name="_Hlt26609389"/>
      <w:r/>
      <w:bookmarkEnd w:id="20"/>
      <w:r/>
      <w:bookmarkEnd w:id="21"/>
      <w:r/>
      <w:bookmarkEnd w:id="22"/>
      <w:r/>
      <w:bookmarkEnd w:id="23"/>
      <w:r/>
      <w:r/>
    </w:p>
    <w:p>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十七、类似项目业绩一览表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ind w:firstLine="240"/>
        <w:jc w:val="left"/>
        <w:spacing w:line="360" w:lineRule="auto"/>
      </w:pPr>
      <w:r>
        <w:rPr>
          <w:rFonts w:hint="eastAsia" w:ascii="宋体" w:hAnsi="宋体" w:eastAsia="宋体" w:cs="方正仿宋_GBK"/>
          <w:color w:val="000000"/>
          <w:sz w:val="24"/>
          <w:szCs w:val="24"/>
        </w:rPr>
        <w:t xml:space="preserve">项目名称：         项目编号：         分包号：</w:t>
      </w:r>
      <w:r/>
    </w:p>
    <w:tbl>
      <w:tblPr>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808"/>
        <w:gridCol w:w="2686"/>
        <w:gridCol w:w="1850"/>
        <w:gridCol w:w="1985"/>
        <w:gridCol w:w="1309"/>
      </w:tblGrid>
      <w:tr>
        <w:trPr>
          <w:cantSplit/>
          <w:jc w:val="center"/>
        </w:trPr>
        <w:tc>
          <w:tcPr>
            <w:tcW w:w="1808"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180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80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80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80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日期：年月日</w:t>
      </w:r>
      <w:r/>
    </w:p>
    <w:p>
      <w:r/>
      <w:r/>
    </w:p>
    <w:p>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sz w:val="36"/>
          <w:szCs w:val="36"/>
        </w:rPr>
      </w:pPr>
      <w:r>
        <w:rPr>
          <w:rFonts w:ascii="Arial" w:hAnsi="Arial" w:eastAsia="宋体" w:cs="Arial"/>
          <w:iCs/>
          <w:sz w:val="36"/>
        </w:rPr>
      </w:r>
      <w:r>
        <w:rPr>
          <w:rFonts w:ascii="Arial" w:hAnsi="Arial" w:eastAsia="宋体" w:cs="Arial"/>
          <w:iCs/>
          <w:sz w:val="36"/>
        </w:rPr>
      </w:r>
      <w:r/>
    </w:p>
    <w:p>
      <w:pPr>
        <w:rPr>
          <w:rFonts w:ascii="Arial" w:hAnsi="Arial" w:eastAsia="宋体" w:cs="Arial"/>
          <w:sz w:val="36"/>
          <w:szCs w:val="36"/>
        </w:rPr>
      </w:pPr>
      <w:r>
        <w:rPr>
          <w:rFonts w:ascii="Arial" w:hAnsi="Arial" w:eastAsia="宋体" w:cs="Arial"/>
          <w:iCs/>
          <w:sz w:val="36"/>
          <w:szCs w:val="36"/>
        </w:rPr>
      </w:r>
      <w:r>
        <w:rPr>
          <w:rFonts w:ascii="Arial" w:hAnsi="Arial" w:eastAsia="宋体" w:cs="Arial"/>
          <w:iCs/>
          <w:sz w:val="36"/>
          <w:szCs w:val="36"/>
        </w:rPr>
      </w:r>
      <w:r/>
    </w:p>
    <w:p>
      <w:pPr>
        <w:rPr>
          <w:rFonts w:ascii="Arial" w:hAnsi="Arial" w:eastAsia="宋体" w:cs="Arial"/>
          <w:iCs/>
          <w:sz w:val="36"/>
          <w:szCs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sz w:val="36"/>
          <w:szCs w:val="36"/>
        </w:rPr>
      </w:pPr>
      <w:r>
        <w:rPr>
          <w:rFonts w:ascii="Arial" w:hAnsi="Arial" w:eastAsia="宋体" w:cs="Arial"/>
          <w:iCs/>
          <w:sz w:val="36"/>
        </w:rPr>
      </w:r>
      <w:r>
        <w:rPr>
          <w:rFonts w:ascii="Arial" w:hAnsi="Arial" w:eastAsia="宋体" w:cs="Arial"/>
          <w:iCs/>
          <w:sz w:val="36"/>
        </w:rPr>
      </w:r>
      <w:r/>
    </w:p>
    <w:p>
      <w:pPr>
        <w:rPr>
          <w:rFonts w:ascii="Arial" w:hAnsi="Arial" w:eastAsia="宋体" w:cs="Arial"/>
          <w:iCs/>
          <w:sz w:val="36"/>
          <w:szCs w:val="36"/>
        </w:rPr>
      </w:pPr>
      <w:r>
        <w:rPr>
          <w:rFonts w:ascii="Arial" w:hAnsi="Arial" w:eastAsia="宋体" w:cs="Arial"/>
          <w:iCs/>
          <w:sz w:val="36"/>
        </w:rPr>
      </w:r>
      <w:r/>
    </w:p>
    <w:p>
      <w:pPr>
        <w:jc w:val="left"/>
        <w:keepLines/>
        <w:keepNext/>
        <w:spacing w:before="360" w:after="200" w:line="360" w:lineRule="auto"/>
        <w:rPr>
          <w:rFonts w:hint="eastAsia" w:ascii="Arial" w:hAnsi="Arial" w:eastAsia="宋体" w:cs="Arial"/>
          <w:b/>
          <w:bCs/>
          <w:iCs/>
          <w:sz w:val="36"/>
          <w:szCs w:val="36"/>
          <w:highlight w:val="none"/>
        </w:rPr>
        <w:outlineLvl w:val="1"/>
      </w:pPr>
      <w:r>
        <w:rPr>
          <w:rFonts w:hint="eastAsia" w:ascii="Arial" w:hAnsi="Arial" w:eastAsia="宋体" w:cs="Arial"/>
          <w:b/>
          <w:iCs/>
          <w:sz w:val="36"/>
        </w:rPr>
        <w:t xml:space="preserve">十八、项目团队人员一览表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ind w:firstLine="600"/>
        <w:jc w:val="left"/>
        <w:spacing w:line="360" w:lineRule="auto"/>
      </w:pPr>
      <w:r>
        <w:rPr>
          <w:rFonts w:hint="eastAsia" w:ascii="宋体" w:hAnsi="宋体" w:eastAsia="宋体" w:cs="方正仿宋_GBK"/>
          <w:color w:val="000000"/>
          <w:sz w:val="24"/>
          <w:szCs w:val="24"/>
        </w:rPr>
        <w:t xml:space="preserve">项目名称：        项目编号：        分包号：</w:t>
      </w:r>
      <w:r/>
    </w:p>
    <w:tbl>
      <w:tblPr>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25"/>
        <w:gridCol w:w="1559"/>
        <w:gridCol w:w="1984"/>
        <w:gridCol w:w="1560"/>
        <w:gridCol w:w="1338"/>
        <w:gridCol w:w="1601"/>
      </w:tblGrid>
      <w:tr>
        <w:trPr>
          <w:cantSplit/>
          <w:jc w:val="center"/>
        </w:trPr>
        <w:tc>
          <w:tcPr>
            <w:tcW w:w="152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55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98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56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152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52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52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52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日期：年月日</w:t>
      </w:r>
      <w:r/>
    </w:p>
    <w:p>
      <w:r/>
      <w:r/>
    </w:p>
    <w:p>
      <w:r/>
      <w:r/>
    </w:p>
    <w:p>
      <w:r/>
      <w:r/>
    </w:p>
    <w:p>
      <w:pPr>
        <w:rPr>
          <w:sz w:val="24"/>
          <w:szCs w:val="24"/>
        </w:rPr>
      </w:pPr>
      <w:r>
        <w:rPr>
          <w:rFonts w:hint="eastAsia"/>
          <w:sz w:val="24"/>
          <w:szCs w:val="24"/>
        </w:rPr>
        <w:t xml:space="preserve">    </w:t>
      </w:r>
      <w:r>
        <w:rPr>
          <w:sz w:val="24"/>
          <w:szCs w:val="24"/>
        </w:rPr>
        <w:t xml:space="preserve">本表格为模板，</w:t>
      </w:r>
      <w:r>
        <w:rPr>
          <w:sz w:val="24"/>
          <w:szCs w:val="24"/>
        </w:rPr>
        <w:t xml:space="preserve">可变动。</w:t>
      </w:r>
      <w:r>
        <w:rPr>
          <w:sz w:val="24"/>
          <w:szCs w:val="24"/>
        </w:rPr>
        <w:t xml:space="preserve">请投标人</w:t>
      </w:r>
      <w:r>
        <w:rPr>
          <w:rFonts w:ascii="宋体" w:hAnsi="宋体" w:eastAsia="宋体" w:cs="Times New Roman"/>
          <w:color w:val="000000"/>
          <w:sz w:val="24"/>
          <w:szCs w:val="24"/>
        </w:rPr>
        <w:t xml:space="preserve">根据项目需求、评分办法确定一览表格式</w:t>
      </w:r>
      <w:r>
        <w:rPr>
          <w:rFonts w:ascii="宋体" w:hAnsi="宋体" w:eastAsia="宋体" w:cs="Times New Roman"/>
          <w:color w:val="000000"/>
          <w:sz w:val="24"/>
          <w:szCs w:val="24"/>
        </w:rPr>
        <w:t xml:space="preserve">。</w:t>
      </w:r>
      <w:r/>
    </w:p>
    <w:p>
      <w:pPr>
        <w:rPr>
          <w:sz w:val="24"/>
          <w:szCs w:val="24"/>
        </w:rPr>
      </w:pPr>
      <w:r>
        <w:rPr>
          <w:sz w:val="24"/>
          <w:szCs w:val="24"/>
        </w:rPr>
      </w:r>
      <w:r/>
    </w:p>
    <w:p>
      <w:r/>
      <w:r/>
    </w:p>
    <w:p>
      <w:r/>
      <w:r/>
    </w:p>
    <w:p>
      <w:r/>
      <w:r/>
    </w:p>
    <w:p>
      <w:r/>
      <w:r/>
    </w:p>
    <w:p>
      <w:r/>
      <w:r/>
    </w:p>
    <w:p>
      <w:r/>
      <w:r/>
    </w:p>
    <w:p>
      <w:pPr>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p>
    <w:p>
      <w:pPr>
        <w:rPr>
          <w:rFonts w:hint="eastAsia"/>
        </w:rPr>
      </w:pPr>
      <w:r>
        <w:rPr>
          <w:rFonts w:hint="eastAsia"/>
        </w:rPr>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十九、开标一览表</w:t>
      </w:r>
      <w:r/>
    </w:p>
    <w:p>
      <w:pPr>
        <w:jc w:val="left"/>
        <w:spacing w:line="360" w:lineRule="auto"/>
        <w:rPr>
          <w:rFonts w:ascii="Arial" w:hAnsi="Arial" w:eastAsia="宋体" w:cs="Arial"/>
          <w:color w:val="000000" w:themeColor="text1"/>
          <w:sz w:val="36"/>
        </w:rPr>
      </w:pPr>
      <w:r>
        <w:rPr>
          <w:rFonts w:hint="eastAsia" w:ascii="宋体" w:hAnsi="宋体" w:eastAsia="宋体" w:cs="方正仿宋_GBK"/>
          <w:color w:val="000000" w:themeColor="text1"/>
          <w:sz w:val="24"/>
          <w:szCs w:val="24"/>
        </w:rPr>
        <w:t xml:space="preserve">项目编号：      分包号：</w:t>
      </w:r>
      <w:r/>
    </w:p>
    <w:p>
      <w:pPr>
        <w:ind w:firstLine="480"/>
        <w:jc w:val="right"/>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货币单位：人民币元</w:t>
      </w:r>
      <w:r/>
    </w:p>
    <w:tbl>
      <w:tblPr>
        <w:tblStyle w:val="863"/>
        <w:tblW w:w="0" w:type="auto"/>
        <w:tblLook w:val="04A0" w:firstRow="1" w:lastRow="0" w:firstColumn="1" w:lastColumn="0" w:noHBand="0" w:noVBand="1"/>
      </w:tblPr>
      <w:tblGrid>
        <w:gridCol w:w="2840"/>
        <w:gridCol w:w="2841"/>
        <w:gridCol w:w="4066"/>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项目内容</w:t>
            </w:r>
            <w:r/>
          </w:p>
        </w:tc>
        <w:tc>
          <w:tcPr>
            <w:tcW w:w="4066"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w:t>
            </w:r>
            <w:r>
              <w:rPr>
                <w:rFonts w:hint="eastAsia" w:ascii="Times New Roman" w:hAnsi="Times New Roman" w:eastAsia="宋体" w:cs="Times New Roman"/>
                <w:color w:val="000000" w:themeColor="text1"/>
                <w:sz w:val="24"/>
                <w:szCs w:val="24"/>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详见投标文件</w:t>
            </w:r>
            <w:r/>
          </w:p>
        </w:tc>
        <w:tc>
          <w:tcPr>
            <w:tcW w:w="4066"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总价（大写）</w:t>
            </w:r>
            <w:r/>
          </w:p>
        </w:tc>
        <w:tc>
          <w:tcPr>
            <w:gridSpan w:val="2"/>
            <w:tcW w:w="6907"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r>
    </w:tbl>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投标人公章：</w:t>
      </w:r>
      <w:r>
        <w:rPr>
          <w:rFonts w:hint="eastAsia" w:ascii="Times New Roman" w:hAnsi="Times New Roman" w:eastAsia="宋体" w:cs="Times New Roman"/>
          <w:color w:val="000000" w:themeColor="text1"/>
          <w:sz w:val="24"/>
          <w:szCs w:val="24"/>
        </w:rPr>
        <w:t xml:space="preserve">（电子签章）</w:t>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二十、承诺函</w:t>
      </w:r>
      <w:r/>
    </w:p>
    <w:p>
      <w:pPr>
        <w:jc w:val="center"/>
        <w:spacing w:line="360" w:lineRule="auto"/>
        <w:rPr>
          <w:rFonts w:ascii="Times New Roman" w:hAnsi="宋体" w:eastAsia="宋体" w:cs="Times New Roman"/>
          <w:b/>
          <w:sz w:val="32"/>
          <w:szCs w:val="24"/>
        </w:rPr>
      </w:pPr>
      <w:r>
        <w:rPr>
          <w:rFonts w:hint="eastAsia" w:ascii="Times New Roman" w:hAnsi="宋体" w:eastAsia="宋体" w:cs="Times New Roman"/>
          <w:b/>
          <w:sz w:val="32"/>
          <w:szCs w:val="24"/>
        </w:rPr>
        <w:t xml:space="preserve">承诺函</w:t>
      </w:r>
      <w:r/>
    </w:p>
    <w:p>
      <w:pPr>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360" w:lineRule="auto"/>
        <w:rPr>
          <w:rFonts w:ascii="宋体" w:hAnsi="宋体" w:eastAsia="宋体" w:cs="Times New Roman"/>
          <w:color w:val="000000"/>
          <w:sz w:val="24"/>
          <w:szCs w:val="20"/>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rPr>
        <w:t xml:space="preserve">【</w:t>
      </w:r>
      <w:r>
        <w:rPr>
          <w:rFonts w:hint="eastAsia" w:asciiTheme="minorEastAsia" w:hAnsiTheme="minorEastAsia"/>
          <w:sz w:val="24"/>
          <w:szCs w:val="24"/>
        </w:rPr>
        <w:t xml:space="preserve">连云港市住房和城乡建设局</w:t>
      </w:r>
      <w:r>
        <w:rPr>
          <w:rFonts w:hint="eastAsia" w:ascii="Times New Roman" w:hAnsi="Times New Roman" w:eastAsia="宋体" w:cs="Times New Roman"/>
          <w:b/>
          <w:sz w:val="24"/>
          <w:szCs w:val="24"/>
        </w:rPr>
        <w:t xml:space="preserve">】</w:t>
      </w:r>
      <w:r/>
    </w:p>
    <w:p>
      <w:pPr>
        <w:ind w:firstLine="482"/>
        <w:spacing w:line="360" w:lineRule="auto"/>
        <w:rPr>
          <w:rFonts w:ascii="Times New Roman" w:hAnsi="宋体" w:eastAsia="宋体" w:cs="Times New Roman"/>
          <w:b/>
          <w:sz w:val="24"/>
          <w:szCs w:val="24"/>
        </w:rPr>
      </w:pPr>
      <w:r>
        <w:rPr>
          <w:rFonts w:hint="eastAsia" w:ascii="Times New Roman" w:hAnsi="宋体" w:eastAsia="宋体" w:cs="Times New Roman"/>
          <w:b/>
          <w:bCs/>
          <w:sz w:val="24"/>
          <w:szCs w:val="24"/>
        </w:rPr>
        <w:t xml:space="preserve">我公司郑重承诺</w:t>
      </w:r>
      <w:r>
        <w:rPr>
          <w:rFonts w:hint="eastAsia" w:ascii="Times New Roman" w:hAnsi="宋体" w:eastAsia="宋体" w:cs="Times New Roman"/>
          <w:b/>
          <w:sz w:val="24"/>
          <w:szCs w:val="24"/>
        </w:rPr>
        <w:t xml:space="preserve">，如我公司中标，将完全响应下列要求：</w:t>
      </w:r>
      <w:r/>
    </w:p>
    <w:p>
      <w:pPr>
        <w:ind w:firstLine="470"/>
        <w:jc w:val="left"/>
        <w:spacing w:line="500" w:lineRule="exact"/>
        <w:rPr>
          <w:rFonts w:asciiTheme="minorEastAsia" w:hAnsiTheme="minorEastAsia"/>
          <w:sz w:val="24"/>
          <w:szCs w:val="24"/>
        </w:rPr>
      </w:pPr>
      <w:r>
        <w:rPr>
          <w:rFonts w:hint="eastAsia" w:asciiTheme="minorEastAsia" w:hAnsiTheme="minorEastAsia"/>
          <w:bCs/>
          <w:iCs/>
          <w:sz w:val="24"/>
          <w:szCs w:val="24"/>
        </w:rPr>
        <w:t xml:space="preserve">一、省市复用对接要求：</w:t>
      </w:r>
      <w:r/>
    </w:p>
    <w:p>
      <w:pPr>
        <w:ind w:firstLine="480"/>
        <w:spacing w:line="360" w:lineRule="auto"/>
        <w:rPr>
          <w:rFonts w:asciiTheme="minorEastAsia" w:hAnsiTheme="minorEastAsia"/>
          <w:bCs/>
          <w:iCs/>
          <w:sz w:val="24"/>
          <w:szCs w:val="24"/>
        </w:rPr>
      </w:pPr>
      <w:r>
        <w:rPr>
          <w:rFonts w:hint="eastAsia" w:asciiTheme="minorEastAsia" w:hAnsiTheme="minorEastAsia"/>
          <w:bCs/>
          <w:iCs/>
          <w:sz w:val="24"/>
          <w:szCs w:val="24"/>
        </w:rPr>
        <w:t xml:space="preserve">（1）在项目实施阶段应严格遵循本项目省市复用建设要求（满足省级平台对接要求，省、市、县三级贯通建设架构），专项应用系统（燃气、供水、排水、地下管线交互、道路、桥梁、第三方施工）基于省市建设成果基础上结合连云港市需求进行定制化开发。</w:t>
      </w:r>
      <w:r/>
    </w:p>
    <w:p>
      <w:pPr>
        <w:ind w:firstLine="480"/>
        <w:spacing w:line="360" w:lineRule="auto"/>
        <w:rPr>
          <w:rFonts w:asciiTheme="minorEastAsia" w:hAnsiTheme="minorEastAsia"/>
          <w:bCs/>
          <w:iCs/>
          <w:sz w:val="24"/>
          <w:szCs w:val="24"/>
        </w:rPr>
      </w:pPr>
      <w:r>
        <w:rPr>
          <w:rFonts w:hint="eastAsia" w:asciiTheme="minorEastAsia" w:hAnsiTheme="minorEastAsia"/>
          <w:bCs/>
          <w:iCs/>
          <w:sz w:val="24"/>
          <w:szCs w:val="24"/>
        </w:rPr>
        <w:t xml:space="preserve">（2）根据采购人要求，在规定时间内完成与江苏省城市生命线监管系统数据对接工作，对接费用已经包含在预算金额中。</w:t>
      </w:r>
      <w:r/>
    </w:p>
    <w:p>
      <w:pPr>
        <w:ind w:firstLine="480"/>
        <w:spacing w:line="360" w:lineRule="auto"/>
        <w:rPr>
          <w:rFonts w:asciiTheme="minorEastAsia" w:hAnsiTheme="minorEastAsia"/>
          <w:bCs/>
          <w:iCs/>
          <w:sz w:val="24"/>
          <w:szCs w:val="24"/>
        </w:rPr>
      </w:pPr>
      <w:r>
        <w:rPr>
          <w:rFonts w:hint="eastAsia" w:asciiTheme="minorEastAsia" w:hAnsiTheme="minorEastAsia"/>
          <w:bCs/>
          <w:iCs/>
          <w:sz w:val="24"/>
          <w:szCs w:val="24"/>
        </w:rPr>
        <w:t xml:space="preserve">（3）配合采购人完成省级考核。</w:t>
      </w:r>
      <w:r/>
    </w:p>
    <w:p>
      <w:pPr>
        <w:ind w:firstLine="480"/>
        <w:spacing w:line="360" w:lineRule="auto"/>
        <w:rPr>
          <w:rFonts w:ascii="宋体" w:hAnsi="宋体" w:eastAsia="宋体" w:cs="Times New Roman"/>
          <w:sz w:val="24"/>
          <w:szCs w:val="20"/>
        </w:rPr>
      </w:pPr>
      <w:r>
        <w:rPr>
          <w:rFonts w:hint="eastAsia" w:ascii="宋体" w:hAnsi="宋体" w:eastAsia="宋体" w:cs="Times New Roman"/>
          <w:sz w:val="24"/>
          <w:szCs w:val="20"/>
        </w:rPr>
        <w:t xml:space="preserve">二、安全等级测评要求：</w:t>
      </w:r>
      <w:r/>
    </w:p>
    <w:p>
      <w:pPr>
        <w:ind w:firstLine="480"/>
        <w:spacing w:line="360" w:lineRule="auto"/>
        <w:rPr>
          <w:rFonts w:ascii="宋体" w:hAnsi="宋体" w:eastAsia="宋体" w:cs="Times New Roman"/>
          <w:sz w:val="24"/>
          <w:szCs w:val="20"/>
        </w:rPr>
      </w:pPr>
      <w:r>
        <w:rPr>
          <w:rFonts w:hint="eastAsia" w:ascii="宋体" w:hAnsi="宋体" w:eastAsia="宋体" w:cs="Times New Roman"/>
          <w:sz w:val="24"/>
          <w:szCs w:val="20"/>
        </w:rPr>
        <w:t xml:space="preserve">承建的智慧监管系统满足信息安全等级保护三级测评、系统密码应用安全性评估，且符合自身业务特点。</w:t>
      </w:r>
      <w:r/>
    </w:p>
    <w:p>
      <w:pPr>
        <w:ind w:firstLine="482"/>
        <w:spacing w:line="360" w:lineRule="auto"/>
        <w:rPr>
          <w:rFonts w:ascii="宋体" w:hAnsi="宋体" w:eastAsia="宋体" w:cs="Times New Roman"/>
          <w:b/>
          <w:sz w:val="24"/>
          <w:szCs w:val="20"/>
        </w:rPr>
      </w:pPr>
      <w:r>
        <w:rPr>
          <w:rFonts w:hint="eastAsia" w:ascii="宋体" w:hAnsi="宋体" w:eastAsia="宋体" w:cs="Times New Roman"/>
          <w:b/>
          <w:sz w:val="24"/>
          <w:szCs w:val="20"/>
        </w:rPr>
        <w:t xml:space="preserve">如未能履行上述事项，采购人有权按违约处理。</w:t>
      </w:r>
      <w:r/>
    </w:p>
    <w:p>
      <w:pPr>
        <w:ind w:firstLine="482"/>
        <w:spacing w:line="360" w:lineRule="auto"/>
        <w:rPr>
          <w:rFonts w:ascii="宋体" w:hAnsi="宋体" w:eastAsia="宋体" w:cs="Times New Roman"/>
          <w:bCs/>
          <w:sz w:val="24"/>
          <w:szCs w:val="24"/>
        </w:rPr>
      </w:pPr>
      <w:r>
        <w:rPr>
          <w:rFonts w:hint="eastAsia" w:ascii="宋体" w:hAnsi="宋体" w:eastAsia="宋体" w:cs="Times New Roman"/>
          <w:b/>
          <w:sz w:val="24"/>
          <w:szCs w:val="24"/>
        </w:rPr>
        <w:t xml:space="preserve">特此承诺</w:t>
      </w:r>
      <w:r>
        <w:rPr>
          <w:rFonts w:hint="eastAsia" w:ascii="宋体" w:hAnsi="宋体" w:eastAsia="宋体" w:cs="Times New Roman"/>
          <w:bCs/>
          <w:sz w:val="24"/>
          <w:szCs w:val="24"/>
        </w:rPr>
        <w:t xml:space="preserve">。</w:t>
      </w:r>
      <w:r/>
    </w:p>
    <w:p>
      <w:pPr>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400" w:lineRule="exact"/>
        <w:rPr>
          <w:rFonts w:ascii="宋体" w:hAnsi="宋体" w:eastAsia="宋体" w:cs="Times New Roman"/>
          <w:b/>
          <w:color w:val="000000"/>
          <w:sz w:val="28"/>
          <w:szCs w:val="30"/>
        </w:rPr>
      </w:pPr>
      <w:r>
        <w:rPr>
          <w:rFonts w:ascii="宋体" w:hAnsi="宋体" w:eastAsia="宋体" w:cs="Times New Roman"/>
          <w:b/>
          <w:color w:val="000000"/>
          <w:sz w:val="28"/>
          <w:szCs w:val="30"/>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宋体" w:hAnsi="Courier New" w:eastAsia="宋体" w:cs="Times New Roman"/>
          <w:color w:val="000000"/>
          <w:sz w:val="24"/>
          <w:szCs w:val="24"/>
        </w:rPr>
      </w:pPr>
      <w:r>
        <w:rPr>
          <w:rFonts w:hint="eastAsia" w:ascii="宋体" w:hAnsi="Courier New" w:eastAsia="宋体" w:cs="Times New Roman"/>
          <w:color w:val="000000"/>
          <w:sz w:val="24"/>
          <w:szCs w:val="24"/>
        </w:rPr>
        <w:t xml:space="preserve">日期：    年     月     日</w:t>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ascii="宋体" w:hAnsi="宋体" w:eastAsia="宋体" w:cs="仿宋"/>
          <w:color w:val="000000"/>
          <w:sz w:val="24"/>
          <w:szCs w:val="24"/>
        </w:rPr>
      </w:pPr>
      <w:r>
        <w:rPr>
          <w:rFonts w:ascii="宋体" w:hAnsi="宋体" w:eastAsia="宋体" w:cs="仿宋"/>
          <w:color w:val="000000"/>
          <w:sz w:val="24"/>
          <w:szCs w:val="24"/>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ascii="宋体" w:hAnsi="宋体" w:eastAsia="宋体" w:cs="仿宋"/>
          <w:color w:val="000000"/>
          <w:sz w:val="24"/>
          <w:szCs w:val="24"/>
          <w:u w:val="single"/>
        </w:rPr>
      </w:pPr>
      <w:r>
        <w:rPr>
          <w:rFonts w:ascii="宋体" w:hAnsi="宋体" w:eastAsia="宋体" w:cs="仿宋"/>
          <w:color w:val="000000"/>
          <w:sz w:val="24"/>
          <w:szCs w:val="24"/>
          <w:u w:val="single"/>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pPr>
        <w:pStyle w:val="855"/>
      </w:pPr>
      <w:r/>
      <w:r/>
    </w:p>
    <w:p>
      <w:pPr>
        <w:ind w:firstLine="480"/>
        <w:jc w:val="left"/>
        <w:spacing w:line="500" w:lineRule="exact"/>
        <w:widowControl/>
        <w:rPr>
          <w:sz w:val="24"/>
          <w:szCs w:val="24"/>
        </w:rPr>
      </w:pPr>
      <w:r>
        <w:rPr>
          <w:sz w:val="24"/>
          <w:szCs w:val="24"/>
        </w:rPr>
      </w:r>
      <w:r/>
    </w:p>
    <w:sectPr>
      <w:footerReference w:type="default" r:id="rId10"/>
      <w:footnotePr/>
      <w:endnotePr/>
      <w:type w:val="nextPage"/>
      <w:pgSz w:w="11906" w:h="16838" w:orient="portrait"/>
      <w:pgMar w:top="1134" w:right="1134" w:bottom="1134" w:left="1134"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黑体">
    <w:panose1 w:val="02010609060101010101"/>
  </w:font>
  <w:font w:name="Symbol">
    <w:panose1 w:val="05050102010706020507"/>
  </w:font>
  <w:font w:name="Wingdings">
    <w:panose1 w:val="05000000000000000000"/>
  </w:font>
  <w:font w:name="MS Mincho">
    <w:panose1 w:val="02020603050405090304"/>
  </w:font>
  <w:font w:name="Courier New">
    <w:panose1 w:val="02070309020205020404"/>
  </w:font>
  <w:font w:name="Calibri">
    <w:panose1 w:val="020F0502020204030204"/>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pPr>
    <w:r/>
    <w:r/>
  </w:p>
  <w:p>
    <w:pPr>
      <w:pStyle w:val="8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858"/>
          <w:jc w:val="center"/>
        </w:pPr>
        <w:r>
          <w:fldChar w:fldCharType="begin"/>
        </w:r>
        <w:r>
          <w:instrText xml:space="preserve"> PAGE   \* MERGEFORMAT </w:instrText>
        </w:r>
        <w:r>
          <w:fldChar w:fldCharType="separate"/>
        </w:r>
        <w:r>
          <w:rPr>
            <w:lang w:val="zh-CN"/>
          </w:rPr>
          <w:t xml:space="preserve">130</w:t>
        </w:r>
        <w:r>
          <w:rPr>
            <w:lang w:val="zh-CN"/>
          </w:rPr>
          <w:fldChar w:fldCharType="end"/>
        </w:r>
        <w:r/>
      </w:p>
    </w:sdtContent>
  </w:sdt>
  <w:p>
    <w:pPr>
      <w:pStyle w:val="8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4">
    <w:name w:val="Heading 1 Char"/>
    <w:basedOn w:val="847"/>
    <w:link w:val="842"/>
    <w:uiPriority w:val="9"/>
    <w:rPr>
      <w:rFonts w:ascii="Arial" w:hAnsi="Arial" w:eastAsia="Arial" w:cs="Arial"/>
      <w:sz w:val="40"/>
      <w:szCs w:val="40"/>
    </w:rPr>
  </w:style>
  <w:style w:type="character" w:styleId="675">
    <w:name w:val="Heading 2 Char"/>
    <w:basedOn w:val="847"/>
    <w:link w:val="843"/>
    <w:uiPriority w:val="9"/>
    <w:rPr>
      <w:rFonts w:ascii="Arial" w:hAnsi="Arial" w:eastAsia="Arial" w:cs="Arial"/>
      <w:sz w:val="34"/>
    </w:rPr>
  </w:style>
  <w:style w:type="character" w:styleId="676">
    <w:name w:val="Heading 3 Char"/>
    <w:basedOn w:val="847"/>
    <w:link w:val="844"/>
    <w:uiPriority w:val="9"/>
    <w:rPr>
      <w:rFonts w:ascii="Arial" w:hAnsi="Arial" w:eastAsia="Arial" w:cs="Arial"/>
      <w:sz w:val="30"/>
      <w:szCs w:val="30"/>
    </w:rPr>
  </w:style>
  <w:style w:type="character" w:styleId="677">
    <w:name w:val="Heading 4 Char"/>
    <w:basedOn w:val="847"/>
    <w:link w:val="845"/>
    <w:uiPriority w:val="9"/>
    <w:rPr>
      <w:rFonts w:ascii="Arial" w:hAnsi="Arial" w:eastAsia="Arial" w:cs="Arial"/>
      <w:b/>
      <w:bCs/>
      <w:sz w:val="26"/>
      <w:szCs w:val="26"/>
    </w:rPr>
  </w:style>
  <w:style w:type="character" w:styleId="678">
    <w:name w:val="Heading 5 Char"/>
    <w:basedOn w:val="847"/>
    <w:link w:val="846"/>
    <w:uiPriority w:val="9"/>
    <w:rPr>
      <w:rFonts w:ascii="Arial" w:hAnsi="Arial" w:eastAsia="Arial" w:cs="Arial"/>
      <w:b/>
      <w:bCs/>
      <w:sz w:val="24"/>
      <w:szCs w:val="24"/>
    </w:rPr>
  </w:style>
  <w:style w:type="paragraph" w:styleId="679">
    <w:name w:val="Heading 6"/>
    <w:basedOn w:val="841"/>
    <w:next w:val="841"/>
    <w:link w:val="680"/>
    <w:uiPriority w:val="9"/>
    <w:unhideWhenUsed/>
    <w:qFormat/>
    <w:pPr>
      <w:keepLines/>
      <w:keepNext/>
      <w:spacing w:before="320" w:after="200"/>
      <w:outlineLvl w:val="5"/>
    </w:pPr>
    <w:rPr>
      <w:rFonts w:ascii="Arial" w:hAnsi="Arial" w:eastAsia="Arial" w:cs="Arial"/>
      <w:b/>
      <w:bCs/>
      <w:sz w:val="22"/>
      <w:szCs w:val="22"/>
    </w:rPr>
  </w:style>
  <w:style w:type="character" w:styleId="680">
    <w:name w:val="Heading 6 Char"/>
    <w:basedOn w:val="847"/>
    <w:link w:val="679"/>
    <w:uiPriority w:val="9"/>
    <w:rPr>
      <w:rFonts w:ascii="Arial" w:hAnsi="Arial" w:eastAsia="Arial" w:cs="Arial"/>
      <w:b/>
      <w:bCs/>
      <w:sz w:val="22"/>
      <w:szCs w:val="22"/>
    </w:rPr>
  </w:style>
  <w:style w:type="paragraph" w:styleId="681">
    <w:name w:val="Heading 7"/>
    <w:basedOn w:val="841"/>
    <w:next w:val="841"/>
    <w:link w:val="682"/>
    <w:uiPriority w:val="9"/>
    <w:unhideWhenUsed/>
    <w:qFormat/>
    <w:pPr>
      <w:keepLines/>
      <w:keepNext/>
      <w:spacing w:before="320" w:after="200"/>
      <w:outlineLvl w:val="6"/>
    </w:pPr>
    <w:rPr>
      <w:rFonts w:ascii="Arial" w:hAnsi="Arial" w:eastAsia="Arial" w:cs="Arial"/>
      <w:b/>
      <w:bCs/>
      <w:i/>
      <w:iCs/>
      <w:sz w:val="22"/>
      <w:szCs w:val="22"/>
    </w:rPr>
  </w:style>
  <w:style w:type="character" w:styleId="682">
    <w:name w:val="Heading 7 Char"/>
    <w:basedOn w:val="847"/>
    <w:link w:val="681"/>
    <w:uiPriority w:val="9"/>
    <w:rPr>
      <w:rFonts w:ascii="Arial" w:hAnsi="Arial" w:eastAsia="Arial" w:cs="Arial"/>
      <w:b/>
      <w:bCs/>
      <w:i/>
      <w:iCs/>
      <w:sz w:val="22"/>
      <w:szCs w:val="22"/>
    </w:rPr>
  </w:style>
  <w:style w:type="paragraph" w:styleId="683">
    <w:name w:val="Heading 8"/>
    <w:basedOn w:val="841"/>
    <w:next w:val="841"/>
    <w:link w:val="684"/>
    <w:uiPriority w:val="9"/>
    <w:unhideWhenUsed/>
    <w:qFormat/>
    <w:pPr>
      <w:keepLines/>
      <w:keepNext/>
      <w:spacing w:before="320" w:after="200"/>
      <w:outlineLvl w:val="7"/>
    </w:pPr>
    <w:rPr>
      <w:rFonts w:ascii="Arial" w:hAnsi="Arial" w:eastAsia="Arial" w:cs="Arial"/>
      <w:i/>
      <w:iCs/>
      <w:sz w:val="22"/>
      <w:szCs w:val="22"/>
    </w:rPr>
  </w:style>
  <w:style w:type="character" w:styleId="684">
    <w:name w:val="Heading 8 Char"/>
    <w:basedOn w:val="847"/>
    <w:link w:val="683"/>
    <w:uiPriority w:val="9"/>
    <w:rPr>
      <w:rFonts w:ascii="Arial" w:hAnsi="Arial" w:eastAsia="Arial" w:cs="Arial"/>
      <w:i/>
      <w:iCs/>
      <w:sz w:val="22"/>
      <w:szCs w:val="22"/>
    </w:rPr>
  </w:style>
  <w:style w:type="paragraph" w:styleId="685">
    <w:name w:val="Heading 9"/>
    <w:basedOn w:val="841"/>
    <w:next w:val="841"/>
    <w:link w:val="686"/>
    <w:uiPriority w:val="9"/>
    <w:unhideWhenUsed/>
    <w:qFormat/>
    <w:pPr>
      <w:keepLines/>
      <w:keepNext/>
      <w:spacing w:before="320" w:after="200"/>
      <w:outlineLvl w:val="8"/>
    </w:pPr>
    <w:rPr>
      <w:rFonts w:ascii="Arial" w:hAnsi="Arial" w:eastAsia="Arial" w:cs="Arial"/>
      <w:i/>
      <w:iCs/>
      <w:sz w:val="21"/>
      <w:szCs w:val="21"/>
    </w:rPr>
  </w:style>
  <w:style w:type="character" w:styleId="686">
    <w:name w:val="Heading 9 Char"/>
    <w:basedOn w:val="847"/>
    <w:link w:val="685"/>
    <w:uiPriority w:val="9"/>
    <w:rPr>
      <w:rFonts w:ascii="Arial" w:hAnsi="Arial" w:eastAsia="Arial" w:cs="Arial"/>
      <w:i/>
      <w:iCs/>
      <w:sz w:val="21"/>
      <w:szCs w:val="21"/>
    </w:rPr>
  </w:style>
  <w:style w:type="paragraph" w:styleId="687">
    <w:name w:val="List Paragraph"/>
    <w:basedOn w:val="841"/>
    <w:uiPriority w:val="34"/>
    <w:qFormat/>
    <w:pPr>
      <w:contextualSpacing/>
      <w:ind w:left="720"/>
    </w:pPr>
  </w:style>
  <w:style w:type="paragraph" w:styleId="688">
    <w:name w:val="No Spacing"/>
    <w:uiPriority w:val="1"/>
    <w:qFormat/>
    <w:pPr>
      <w:spacing w:before="0" w:after="0" w:line="240" w:lineRule="auto"/>
    </w:pPr>
  </w:style>
  <w:style w:type="paragraph" w:styleId="689">
    <w:name w:val="Title"/>
    <w:basedOn w:val="841"/>
    <w:next w:val="841"/>
    <w:link w:val="690"/>
    <w:uiPriority w:val="10"/>
    <w:qFormat/>
    <w:pPr>
      <w:contextualSpacing/>
      <w:spacing w:before="300" w:after="200"/>
    </w:pPr>
    <w:rPr>
      <w:sz w:val="48"/>
      <w:szCs w:val="48"/>
    </w:rPr>
  </w:style>
  <w:style w:type="character" w:styleId="690">
    <w:name w:val="Title Char"/>
    <w:basedOn w:val="847"/>
    <w:link w:val="689"/>
    <w:uiPriority w:val="10"/>
    <w:rPr>
      <w:sz w:val="48"/>
      <w:szCs w:val="48"/>
    </w:rPr>
  </w:style>
  <w:style w:type="paragraph" w:styleId="691">
    <w:name w:val="Subtitle"/>
    <w:basedOn w:val="841"/>
    <w:next w:val="841"/>
    <w:link w:val="692"/>
    <w:uiPriority w:val="11"/>
    <w:qFormat/>
    <w:pPr>
      <w:spacing w:before="200" w:after="200"/>
    </w:pPr>
    <w:rPr>
      <w:sz w:val="24"/>
      <w:szCs w:val="24"/>
    </w:rPr>
  </w:style>
  <w:style w:type="character" w:styleId="692">
    <w:name w:val="Subtitle Char"/>
    <w:basedOn w:val="847"/>
    <w:link w:val="691"/>
    <w:uiPriority w:val="11"/>
    <w:rPr>
      <w:sz w:val="24"/>
      <w:szCs w:val="24"/>
    </w:rPr>
  </w:style>
  <w:style w:type="paragraph" w:styleId="693">
    <w:name w:val="Quote"/>
    <w:basedOn w:val="841"/>
    <w:next w:val="841"/>
    <w:link w:val="694"/>
    <w:uiPriority w:val="29"/>
    <w:qFormat/>
    <w:pPr>
      <w:ind w:left="720" w:right="720"/>
    </w:pPr>
    <w:rPr>
      <w:i/>
    </w:rPr>
  </w:style>
  <w:style w:type="character" w:styleId="694">
    <w:name w:val="Quote Char"/>
    <w:link w:val="693"/>
    <w:uiPriority w:val="29"/>
    <w:rPr>
      <w:i/>
    </w:rPr>
  </w:style>
  <w:style w:type="paragraph" w:styleId="695">
    <w:name w:val="Intense Quote"/>
    <w:basedOn w:val="841"/>
    <w:next w:val="841"/>
    <w:link w:val="6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6">
    <w:name w:val="Intense Quote Char"/>
    <w:link w:val="695"/>
    <w:uiPriority w:val="30"/>
    <w:rPr>
      <w:i/>
    </w:rPr>
  </w:style>
  <w:style w:type="character" w:styleId="697">
    <w:name w:val="Header Char"/>
    <w:basedOn w:val="847"/>
    <w:link w:val="859"/>
    <w:uiPriority w:val="99"/>
  </w:style>
  <w:style w:type="character" w:styleId="698">
    <w:name w:val="Footer Char"/>
    <w:basedOn w:val="847"/>
    <w:link w:val="858"/>
    <w:uiPriority w:val="99"/>
  </w:style>
  <w:style w:type="character" w:styleId="699">
    <w:name w:val="Caption Char"/>
    <w:basedOn w:val="850"/>
    <w:link w:val="858"/>
    <w:uiPriority w:val="99"/>
  </w:style>
  <w:style w:type="table" w:styleId="700">
    <w:name w:val="Table Grid Light"/>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1">
    <w:name w:val="Plain Table 1"/>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2"/>
    <w:basedOn w:val="8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3"/>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4">
    <w:name w:val="Plain Table 4"/>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5">
    <w:name w:val="Plain Table 5"/>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6">
    <w:name w:val="Grid Table 1 Light"/>
    <w:basedOn w:val="8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7">
    <w:name w:val="Grid Table 1 Light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8">
    <w:name w:val="Grid Table 1 Light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9">
    <w:name w:val="Grid Table 1 Light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0">
    <w:name w:val="Grid Table 1 Light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1">
    <w:name w:val="Grid Table 1 Light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2">
    <w:name w:val="Grid Table 1 Light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3">
    <w:name w:val="Grid Table 2"/>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4">
    <w:name w:val="Grid Table 2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5">
    <w:name w:val="Grid Table 2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6">
    <w:name w:val="Grid Table 2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7">
    <w:name w:val="Grid Table 2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8">
    <w:name w:val="Grid Table 2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9">
    <w:name w:val="Grid Table 2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0">
    <w:name w:val="Grid Table 3"/>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4"/>
    <w:basedOn w:val="8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name w:val="Grid Table 4 - Accent 1"/>
    <w:basedOn w:val="8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9">
    <w:name w:val="Grid Table 4 - Accent 2"/>
    <w:basedOn w:val="8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0">
    <w:name w:val="Grid Table 4 - Accent 3"/>
    <w:basedOn w:val="8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1">
    <w:name w:val="Grid Table 4 - Accent 4"/>
    <w:basedOn w:val="8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2">
    <w:name w:val="Grid Table 4 - Accent 5"/>
    <w:basedOn w:val="8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3">
    <w:name w:val="Grid Table 4 - Accent 6"/>
    <w:basedOn w:val="8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4">
    <w:name w:val="Grid Table 5 Dark"/>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5">
    <w:name w:val="Grid Table 5 Dark- Accent 1"/>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6">
    <w:name w:val="Grid Table 5 Dark - Accent 2"/>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7">
    <w:name w:val="Grid Table 5 Dark - Accent 3"/>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8">
    <w:name w:val="Grid Table 5 Dark- Accent 4"/>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9">
    <w:name w:val="Grid Table 5 Dark - Accent 5"/>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0">
    <w:name w:val="Grid Table 5 Dark - Accent 6"/>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1">
    <w:name w:val="Grid Table 6 Colorful"/>
    <w:basedOn w:val="8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2">
    <w:name w:val="Grid Table 6 Colorful - Accent 1"/>
    <w:basedOn w:val="8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3">
    <w:name w:val="Grid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4">
    <w:name w:val="Grid Table 6 Colorful - Accent 3"/>
    <w:basedOn w:val="8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5">
    <w:name w:val="Grid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6">
    <w:name w:val="Grid Table 6 Colorful - Accent 5"/>
    <w:basedOn w:val="8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7">
    <w:name w:val="Grid Table 6 Colorful - Accent 6"/>
    <w:basedOn w:val="8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8">
    <w:name w:val="Grid Table 7 Colorful"/>
    <w:basedOn w:val="8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9">
    <w:name w:val="Grid Table 7 Colorful - Accent 1"/>
    <w:basedOn w:val="8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0">
    <w:name w:val="Grid Table 7 Colorful - Accent 2"/>
    <w:basedOn w:val="8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7 Colorful - Accent 3"/>
    <w:basedOn w:val="8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7 Colorful - Accent 4"/>
    <w:basedOn w:val="8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7 Colorful - Accent 5"/>
    <w:basedOn w:val="8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4">
    <w:name w:val="Grid Table 7 Colorful - Accent 6"/>
    <w:basedOn w:val="8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5">
    <w:name w:val="List Table 1 Light"/>
    <w:basedOn w:val="8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name w:val="List Table 1 Light - Accent 1"/>
    <w:basedOn w:val="84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7">
    <w:name w:val="List Table 1 Light - Accent 2"/>
    <w:basedOn w:val="84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8">
    <w:name w:val="List Table 1 Light - Accent 3"/>
    <w:basedOn w:val="84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9">
    <w:name w:val="List Table 1 Light - Accent 4"/>
    <w:basedOn w:val="84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0">
    <w:name w:val="List Table 1 Light - Accent 5"/>
    <w:basedOn w:val="84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1">
    <w:name w:val="List Table 1 Light - Accent 6"/>
    <w:basedOn w:val="84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2">
    <w:name w:val="List Table 2"/>
    <w:basedOn w:val="8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3">
    <w:name w:val="List Table 2 - Accent 1"/>
    <w:basedOn w:val="8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4">
    <w:name w:val="List Table 2 - Accent 2"/>
    <w:basedOn w:val="8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5">
    <w:name w:val="List Table 2 - Accent 3"/>
    <w:basedOn w:val="8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6">
    <w:name w:val="List Table 2 - Accent 4"/>
    <w:basedOn w:val="8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7">
    <w:name w:val="List Table 2 - Accent 5"/>
    <w:basedOn w:val="8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8">
    <w:name w:val="List Table 2 - Accent 6"/>
    <w:basedOn w:val="8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9">
    <w:name w:val="List Table 3"/>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3 - Accent 1"/>
    <w:basedOn w:val="8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1">
    <w:name w:val="List Table 3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2">
    <w:name w:val="List Table 3 - Accent 3"/>
    <w:basedOn w:val="8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3">
    <w:name w:val="List Table 3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4">
    <w:name w:val="List Table 3 - Accent 5"/>
    <w:basedOn w:val="8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5">
    <w:name w:val="List Table 3 - Accent 6"/>
    <w:basedOn w:val="8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6">
    <w:name w:val="List Table 4"/>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4 - Accent 1"/>
    <w:basedOn w:val="8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8">
    <w:name w:val="List Table 4 - Accent 2"/>
    <w:basedOn w:val="8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9">
    <w:name w:val="List Table 4 - Accent 3"/>
    <w:basedOn w:val="8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0">
    <w:name w:val="List Table 4 - Accent 4"/>
    <w:basedOn w:val="8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1">
    <w:name w:val="List Table 4 - Accent 5"/>
    <w:basedOn w:val="8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2">
    <w:name w:val="List Table 4 - Accent 6"/>
    <w:basedOn w:val="8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3">
    <w:name w:val="List Table 5 Dark"/>
    <w:basedOn w:val="8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1"/>
    <w:basedOn w:val="8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2"/>
    <w:basedOn w:val="8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3"/>
    <w:basedOn w:val="8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4"/>
    <w:basedOn w:val="8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5"/>
    <w:basedOn w:val="8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6"/>
    <w:basedOn w:val="8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6 Colorful"/>
    <w:basedOn w:val="8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1">
    <w:name w:val="List Table 6 Colorful - Accent 1"/>
    <w:basedOn w:val="8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2">
    <w:name w:val="List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3">
    <w:name w:val="List Table 6 Colorful - Accent 3"/>
    <w:basedOn w:val="8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4">
    <w:name w:val="List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5">
    <w:name w:val="List Table 6 Colorful - Accent 5"/>
    <w:basedOn w:val="8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6">
    <w:name w:val="List Table 6 Colorful - Accent 6"/>
    <w:basedOn w:val="8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7">
    <w:name w:val="List Table 7 Colorful"/>
    <w:basedOn w:val="8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8">
    <w:name w:val="List Table 7 Colorful - Accent 1"/>
    <w:basedOn w:val="8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9">
    <w:name w:val="List Table 7 Colorful - Accent 2"/>
    <w:basedOn w:val="8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0">
    <w:name w:val="List Table 7 Colorful - Accent 3"/>
    <w:basedOn w:val="8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1">
    <w:name w:val="List Table 7 Colorful - Accent 4"/>
    <w:basedOn w:val="8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2">
    <w:name w:val="List Table 7 Colorful - Accent 5"/>
    <w:basedOn w:val="8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3">
    <w:name w:val="List Table 7 Colorful - Accent 6"/>
    <w:basedOn w:val="8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4">
    <w:name w:val="Lined - Accent"/>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5">
    <w:name w:val="Lined - Accent 1"/>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6">
    <w:name w:val="Lined - Accent 2"/>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7">
    <w:name w:val="Lined - Accent 3"/>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8">
    <w:name w:val="Lined - Accent 4"/>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9">
    <w:name w:val="Lined - Accent 5"/>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0">
    <w:name w:val="Lined - Accent 6"/>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1">
    <w:name w:val="Bordered &amp; Lined - Accent"/>
    <w:basedOn w:val="8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2">
    <w:name w:val="Bordered &amp; Lined - Accent 1"/>
    <w:basedOn w:val="8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3">
    <w:name w:val="Bordered &amp; Lined - Accent 2"/>
    <w:basedOn w:val="8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4">
    <w:name w:val="Bordered &amp; Lined - Accent 3"/>
    <w:basedOn w:val="8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5">
    <w:name w:val="Bordered &amp; Lined - Accent 4"/>
    <w:basedOn w:val="8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6">
    <w:name w:val="Bordered &amp; Lined - Accent 5"/>
    <w:basedOn w:val="8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7">
    <w:name w:val="Bordered &amp; Lined - Accent 6"/>
    <w:basedOn w:val="8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8">
    <w:name w:val="Bordered"/>
    <w:basedOn w:val="8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9">
    <w:name w:val="Bordered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0">
    <w:name w:val="Bordered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1">
    <w:name w:val="Bordered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2">
    <w:name w:val="Bordered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3">
    <w:name w:val="Bordered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4">
    <w:name w:val="Bordered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5">
    <w:name w:val="footnote text"/>
    <w:basedOn w:val="841"/>
    <w:link w:val="826"/>
    <w:uiPriority w:val="99"/>
    <w:semiHidden/>
    <w:unhideWhenUsed/>
    <w:pPr>
      <w:spacing w:after="40" w:line="240" w:lineRule="auto"/>
    </w:pPr>
    <w:rPr>
      <w:sz w:val="18"/>
    </w:rPr>
  </w:style>
  <w:style w:type="character" w:styleId="826">
    <w:name w:val="Footnote Text Char"/>
    <w:link w:val="825"/>
    <w:uiPriority w:val="99"/>
    <w:rPr>
      <w:sz w:val="18"/>
    </w:rPr>
  </w:style>
  <w:style w:type="character" w:styleId="827">
    <w:name w:val="footnote reference"/>
    <w:basedOn w:val="847"/>
    <w:uiPriority w:val="99"/>
    <w:unhideWhenUsed/>
    <w:rPr>
      <w:vertAlign w:val="superscript"/>
    </w:rPr>
  </w:style>
  <w:style w:type="paragraph" w:styleId="828">
    <w:name w:val="endnote text"/>
    <w:basedOn w:val="841"/>
    <w:link w:val="829"/>
    <w:uiPriority w:val="99"/>
    <w:semiHidden/>
    <w:unhideWhenUsed/>
    <w:pPr>
      <w:spacing w:after="0" w:line="240" w:lineRule="auto"/>
    </w:pPr>
    <w:rPr>
      <w:sz w:val="20"/>
    </w:rPr>
  </w:style>
  <w:style w:type="character" w:styleId="829">
    <w:name w:val="Endnote Text Char"/>
    <w:link w:val="828"/>
    <w:uiPriority w:val="99"/>
    <w:rPr>
      <w:sz w:val="20"/>
    </w:rPr>
  </w:style>
  <w:style w:type="character" w:styleId="830">
    <w:name w:val="endnote reference"/>
    <w:basedOn w:val="847"/>
    <w:uiPriority w:val="99"/>
    <w:semiHidden/>
    <w:unhideWhenUsed/>
    <w:rPr>
      <w:vertAlign w:val="superscript"/>
    </w:rPr>
  </w:style>
  <w:style w:type="paragraph" w:styleId="831">
    <w:name w:val="toc 2"/>
    <w:basedOn w:val="841"/>
    <w:next w:val="841"/>
    <w:uiPriority w:val="39"/>
    <w:unhideWhenUsed/>
    <w:pPr>
      <w:ind w:left="283" w:right="0" w:firstLine="0"/>
      <w:spacing w:after="57"/>
    </w:pPr>
  </w:style>
  <w:style w:type="paragraph" w:styleId="832">
    <w:name w:val="toc 3"/>
    <w:basedOn w:val="841"/>
    <w:next w:val="841"/>
    <w:uiPriority w:val="39"/>
    <w:unhideWhenUsed/>
    <w:pPr>
      <w:ind w:left="567" w:right="0" w:firstLine="0"/>
      <w:spacing w:after="57"/>
    </w:pPr>
  </w:style>
  <w:style w:type="paragraph" w:styleId="833">
    <w:name w:val="toc 4"/>
    <w:basedOn w:val="841"/>
    <w:next w:val="841"/>
    <w:uiPriority w:val="39"/>
    <w:unhideWhenUsed/>
    <w:pPr>
      <w:ind w:left="850" w:right="0" w:firstLine="0"/>
      <w:spacing w:after="57"/>
    </w:pPr>
  </w:style>
  <w:style w:type="paragraph" w:styleId="834">
    <w:name w:val="toc 5"/>
    <w:basedOn w:val="841"/>
    <w:next w:val="841"/>
    <w:uiPriority w:val="39"/>
    <w:unhideWhenUsed/>
    <w:pPr>
      <w:ind w:left="1134" w:right="0" w:firstLine="0"/>
      <w:spacing w:after="57"/>
    </w:pPr>
  </w:style>
  <w:style w:type="paragraph" w:styleId="835">
    <w:name w:val="toc 6"/>
    <w:basedOn w:val="841"/>
    <w:next w:val="841"/>
    <w:uiPriority w:val="39"/>
    <w:unhideWhenUsed/>
    <w:pPr>
      <w:ind w:left="1417" w:right="0" w:firstLine="0"/>
      <w:spacing w:after="57"/>
    </w:pPr>
  </w:style>
  <w:style w:type="paragraph" w:styleId="836">
    <w:name w:val="toc 7"/>
    <w:basedOn w:val="841"/>
    <w:next w:val="841"/>
    <w:uiPriority w:val="39"/>
    <w:unhideWhenUsed/>
    <w:pPr>
      <w:ind w:left="1701" w:right="0" w:firstLine="0"/>
      <w:spacing w:after="57"/>
    </w:pPr>
  </w:style>
  <w:style w:type="paragraph" w:styleId="837">
    <w:name w:val="toc 8"/>
    <w:basedOn w:val="841"/>
    <w:next w:val="841"/>
    <w:uiPriority w:val="39"/>
    <w:unhideWhenUsed/>
    <w:pPr>
      <w:ind w:left="1984" w:right="0" w:firstLine="0"/>
      <w:spacing w:after="57"/>
    </w:pPr>
  </w:style>
  <w:style w:type="paragraph" w:styleId="838">
    <w:name w:val="toc 9"/>
    <w:basedOn w:val="841"/>
    <w:next w:val="841"/>
    <w:uiPriority w:val="39"/>
    <w:unhideWhenUsed/>
    <w:pPr>
      <w:ind w:left="2268" w:right="0" w:firstLine="0"/>
      <w:spacing w:after="57"/>
    </w:pPr>
  </w:style>
  <w:style w:type="paragraph" w:styleId="839">
    <w:name w:val="TOC Heading"/>
    <w:uiPriority w:val="39"/>
    <w:unhideWhenUsed/>
  </w:style>
  <w:style w:type="paragraph" w:styleId="840">
    <w:name w:val="table of figures"/>
    <w:basedOn w:val="841"/>
    <w:next w:val="841"/>
    <w:uiPriority w:val="99"/>
    <w:unhideWhenUsed/>
    <w:pPr>
      <w:spacing w:after="0" w:afterAutospacing="0"/>
    </w:pPr>
  </w:style>
  <w:style w:type="paragraph" w:styleId="841" w:default="1">
    <w:name w:val="Normal"/>
    <w:qFormat/>
    <w:pPr>
      <w:jc w:val="both"/>
      <w:widowControl w:val="off"/>
    </w:pPr>
    <w:rPr>
      <w:rFonts w:asciiTheme="minorHAnsi" w:hAnsiTheme="minorHAnsi" w:eastAsiaTheme="minorEastAsia" w:cstheme="minorBidi"/>
      <w:sz w:val="21"/>
      <w:szCs w:val="22"/>
    </w:rPr>
  </w:style>
  <w:style w:type="paragraph" w:styleId="842">
    <w:name w:val="Heading 1"/>
    <w:basedOn w:val="841"/>
    <w:next w:val="841"/>
    <w:link w:val="871"/>
    <w:uiPriority w:val="9"/>
    <w:qFormat/>
    <w:pPr>
      <w:keepLines/>
      <w:keepNext/>
      <w:spacing w:before="340" w:after="330" w:line="578" w:lineRule="auto"/>
      <w:outlineLvl w:val="0"/>
    </w:pPr>
    <w:rPr>
      <w:b/>
      <w:bCs/>
      <w:sz w:val="44"/>
      <w:szCs w:val="44"/>
    </w:rPr>
  </w:style>
  <w:style w:type="paragraph" w:styleId="843">
    <w:name w:val="Heading 2"/>
    <w:basedOn w:val="841"/>
    <w:next w:val="841"/>
    <w:link w:val="868"/>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44">
    <w:name w:val="Heading 3"/>
    <w:basedOn w:val="841"/>
    <w:next w:val="841"/>
    <w:link w:val="873"/>
    <w:uiPriority w:val="9"/>
    <w:unhideWhenUsed/>
    <w:qFormat/>
    <w:pPr>
      <w:keepLines/>
      <w:keepNext/>
      <w:spacing w:before="260" w:after="260" w:line="416" w:lineRule="auto"/>
      <w:outlineLvl w:val="2"/>
    </w:pPr>
    <w:rPr>
      <w:b/>
      <w:bCs/>
      <w:sz w:val="32"/>
      <w:szCs w:val="32"/>
    </w:rPr>
  </w:style>
  <w:style w:type="paragraph" w:styleId="845">
    <w:name w:val="Heading 4"/>
    <w:basedOn w:val="841"/>
    <w:next w:val="841"/>
    <w:link w:val="882"/>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46">
    <w:name w:val="Heading 5"/>
    <w:basedOn w:val="841"/>
    <w:next w:val="841"/>
    <w:link w:val="881"/>
    <w:uiPriority w:val="9"/>
    <w:semiHidden/>
    <w:unhideWhenUsed/>
    <w:qFormat/>
    <w:pPr>
      <w:keepLines/>
      <w:keepNext/>
      <w:spacing w:before="280" w:after="290" w:line="376" w:lineRule="auto"/>
      <w:outlineLvl w:val="4"/>
    </w:pPr>
    <w:rPr>
      <w:b/>
      <w:bCs/>
      <w:sz w:val="28"/>
      <w:szCs w:val="28"/>
    </w:rPr>
  </w:style>
  <w:style w:type="character" w:styleId="847" w:default="1">
    <w:name w:val="Default Paragraph Font"/>
    <w:uiPriority w:val="1"/>
    <w:semiHidden/>
    <w:unhideWhenUsed/>
  </w:style>
  <w:style w:type="table" w:styleId="848" w:default="1">
    <w:name w:val="Normal Table"/>
    <w:uiPriority w:val="99"/>
    <w:semiHidden/>
    <w:unhideWhenUsed/>
    <w:qFormat/>
    <w:tblPr>
      <w:tblInd w:w="0" w:type="dxa"/>
      <w:tblCellMar>
        <w:left w:w="108" w:type="dxa"/>
        <w:top w:w="0" w:type="dxa"/>
        <w:right w:w="108" w:type="dxa"/>
        <w:bottom w:w="0" w:type="dxa"/>
      </w:tblCellMar>
    </w:tblPr>
  </w:style>
  <w:style w:type="numbering" w:styleId="849" w:default="1">
    <w:name w:val="No List"/>
    <w:uiPriority w:val="99"/>
    <w:semiHidden/>
    <w:unhideWhenUsed/>
  </w:style>
  <w:style w:type="paragraph" w:styleId="850">
    <w:name w:val="Caption"/>
    <w:basedOn w:val="841"/>
    <w:next w:val="851"/>
    <w:uiPriority w:val="99"/>
    <w:unhideWhenUsed/>
    <w:qFormat/>
    <w:pPr>
      <w:jc w:val="center"/>
    </w:pPr>
    <w:rPr>
      <w:rFonts w:ascii="华文仿宋" w:hAnsi="华文仿宋" w:cs="华文仿宋"/>
      <w:b/>
      <w:bCs/>
      <w:szCs w:val="21"/>
    </w:rPr>
  </w:style>
  <w:style w:type="paragraph" w:styleId="851" w:customStyle="1">
    <w:name w:val="连云港图表名"/>
    <w:basedOn w:val="841"/>
    <w:qFormat/>
    <w:pPr>
      <w:jc w:val="center"/>
      <w:spacing w:line="360" w:lineRule="auto"/>
    </w:pPr>
    <w:rPr>
      <w:b/>
      <w:bCs/>
      <w:szCs w:val="21"/>
    </w:rPr>
  </w:style>
  <w:style w:type="paragraph" w:styleId="852">
    <w:name w:val="Document Map"/>
    <w:basedOn w:val="841"/>
    <w:link w:val="872"/>
    <w:uiPriority w:val="99"/>
    <w:semiHidden/>
    <w:unhideWhenUsed/>
    <w:qFormat/>
    <w:rPr>
      <w:rFonts w:ascii="宋体" w:eastAsia="宋体"/>
      <w:sz w:val="18"/>
      <w:szCs w:val="18"/>
    </w:rPr>
  </w:style>
  <w:style w:type="paragraph" w:styleId="853">
    <w:name w:val="annotation text"/>
    <w:basedOn w:val="841"/>
    <w:link w:val="875"/>
    <w:qFormat/>
    <w:pPr>
      <w:ind w:firstLine="922"/>
      <w:jc w:val="left"/>
      <w:spacing w:line="360" w:lineRule="auto"/>
    </w:pPr>
    <w:rPr>
      <w:rFonts w:ascii="Times New Roman" w:hAnsi="Times New Roman" w:eastAsia="宋体" w:cs="Times New Roman"/>
      <w:szCs w:val="24"/>
    </w:rPr>
  </w:style>
  <w:style w:type="paragraph" w:styleId="854">
    <w:name w:val="Body Text"/>
    <w:basedOn w:val="841"/>
    <w:link w:val="885"/>
    <w:uiPriority w:val="99"/>
    <w:unhideWhenUsed/>
    <w:qFormat/>
    <w:pPr>
      <w:spacing w:after="120"/>
    </w:pPr>
    <w:rPr>
      <w:rFonts w:ascii="Calibri" w:hAnsi="Calibri" w:eastAsia="宋体" w:cs="Times New Roman"/>
    </w:rPr>
  </w:style>
  <w:style w:type="paragraph" w:styleId="855">
    <w:name w:val="Plain Text"/>
    <w:basedOn w:val="841"/>
    <w:link w:val="879"/>
    <w:qFormat/>
    <w:rPr>
      <w:rFonts w:ascii="宋体" w:hAnsi="Courier New" w:eastAsia="宋体" w:cs="Times New Roman"/>
      <w:szCs w:val="20"/>
    </w:rPr>
  </w:style>
  <w:style w:type="paragraph" w:styleId="856">
    <w:name w:val="Date"/>
    <w:basedOn w:val="841"/>
    <w:next w:val="841"/>
    <w:link w:val="874"/>
    <w:uiPriority w:val="99"/>
    <w:semiHidden/>
    <w:unhideWhenUsed/>
    <w:qFormat/>
    <w:pPr>
      <w:ind w:left="100"/>
    </w:pPr>
  </w:style>
  <w:style w:type="paragraph" w:styleId="857">
    <w:name w:val="Balloon Text"/>
    <w:basedOn w:val="841"/>
    <w:link w:val="876"/>
    <w:uiPriority w:val="99"/>
    <w:semiHidden/>
    <w:unhideWhenUsed/>
    <w:qFormat/>
    <w:rPr>
      <w:sz w:val="18"/>
      <w:szCs w:val="18"/>
    </w:rPr>
  </w:style>
  <w:style w:type="paragraph" w:styleId="858">
    <w:name w:val="Footer"/>
    <w:basedOn w:val="841"/>
    <w:link w:val="870"/>
    <w:uiPriority w:val="99"/>
    <w:unhideWhenUsed/>
    <w:qFormat/>
    <w:pPr>
      <w:jc w:val="left"/>
      <w:tabs>
        <w:tab w:val="center" w:pos="4153" w:leader="none"/>
        <w:tab w:val="right" w:pos="8306" w:leader="none"/>
      </w:tabs>
    </w:pPr>
    <w:rPr>
      <w:sz w:val="18"/>
      <w:szCs w:val="18"/>
    </w:rPr>
  </w:style>
  <w:style w:type="paragraph" w:styleId="859">
    <w:name w:val="Header"/>
    <w:basedOn w:val="841"/>
    <w:link w:val="86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60">
    <w:name w:val="toc 1"/>
    <w:basedOn w:val="841"/>
    <w:next w:val="841"/>
    <w:uiPriority w:val="39"/>
    <w:unhideWhenUsed/>
    <w:qFormat/>
    <w:pPr>
      <w:jc w:val="center"/>
      <w:spacing w:line="360" w:lineRule="auto"/>
      <w:tabs>
        <w:tab w:val="right" w:pos="9628" w:leader="dot"/>
      </w:tabs>
    </w:pPr>
    <w:rPr>
      <w:sz w:val="32"/>
    </w:rPr>
  </w:style>
  <w:style w:type="paragraph" w:styleId="861">
    <w:name w:val="Normal (Web)"/>
    <w:basedOn w:val="841"/>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62">
    <w:name w:val="annotation subject"/>
    <w:basedOn w:val="853"/>
    <w:next w:val="853"/>
    <w:link w:val="880"/>
    <w:uiPriority w:val="99"/>
    <w:semiHidden/>
    <w:unhideWhenUsed/>
    <w:qFormat/>
    <w:pPr>
      <w:ind w:firstLine="0"/>
      <w:spacing w:line="240" w:lineRule="auto"/>
    </w:pPr>
    <w:rPr>
      <w:rFonts w:asciiTheme="minorHAnsi" w:hAnsiTheme="minorHAnsi" w:eastAsiaTheme="minorEastAsia" w:cstheme="minorBidi"/>
      <w:b/>
      <w:bCs/>
      <w:szCs w:val="22"/>
    </w:rPr>
  </w:style>
  <w:style w:type="table" w:styleId="863">
    <w:name w:val="Table Grid"/>
    <w:basedOn w:val="84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4">
    <w:name w:val="FollowedHyperlink"/>
    <w:basedOn w:val="847"/>
    <w:uiPriority w:val="99"/>
    <w:semiHidden/>
    <w:unhideWhenUsed/>
    <w:qFormat/>
    <w:rPr>
      <w:color w:val="800080" w:themeColor="followedHyperlink"/>
      <w:u w:val="single"/>
    </w:rPr>
  </w:style>
  <w:style w:type="character" w:styleId="865">
    <w:name w:val="Hyperlink"/>
    <w:uiPriority w:val="99"/>
    <w:qFormat/>
    <w:rPr>
      <w:color w:val="0000ff"/>
      <w:u w:val="none"/>
    </w:rPr>
  </w:style>
  <w:style w:type="character" w:styleId="866">
    <w:name w:val="annotation reference"/>
    <w:qFormat/>
    <w:rPr>
      <w:sz w:val="21"/>
      <w:szCs w:val="21"/>
    </w:rPr>
  </w:style>
  <w:style w:type="paragraph" w:styleId="867" w:customStyle="1">
    <w:name w:val="标题 51"/>
    <w:basedOn w:val="841"/>
    <w:next w:val="841"/>
    <w:uiPriority w:val="9"/>
    <w:qFormat/>
    <w:pPr>
      <w:keepLines/>
      <w:keepNext/>
      <w:spacing w:before="280" w:after="290" w:line="376" w:lineRule="auto"/>
      <w:outlineLvl w:val="4"/>
    </w:pPr>
    <w:rPr>
      <w:b/>
      <w:bCs/>
      <w:sz w:val="28"/>
      <w:szCs w:val="28"/>
    </w:rPr>
  </w:style>
  <w:style w:type="character" w:styleId="868" w:customStyle="1">
    <w:name w:val="标题 2 Char"/>
    <w:basedOn w:val="847"/>
    <w:link w:val="843"/>
    <w:uiPriority w:val="9"/>
    <w:qFormat/>
    <w:rPr>
      <w:rFonts w:asciiTheme="majorHAnsi" w:hAnsiTheme="majorHAnsi" w:eastAsiaTheme="majorEastAsia" w:cstheme="majorBidi"/>
      <w:b/>
      <w:bCs/>
      <w:sz w:val="32"/>
      <w:szCs w:val="32"/>
    </w:rPr>
  </w:style>
  <w:style w:type="character" w:styleId="869" w:customStyle="1">
    <w:name w:val="页眉 Char"/>
    <w:basedOn w:val="847"/>
    <w:link w:val="859"/>
    <w:uiPriority w:val="99"/>
    <w:qFormat/>
    <w:rPr>
      <w:sz w:val="18"/>
      <w:szCs w:val="18"/>
    </w:rPr>
  </w:style>
  <w:style w:type="character" w:styleId="870" w:customStyle="1">
    <w:name w:val="页脚 Char"/>
    <w:basedOn w:val="847"/>
    <w:link w:val="858"/>
    <w:uiPriority w:val="99"/>
    <w:qFormat/>
    <w:rPr>
      <w:sz w:val="18"/>
      <w:szCs w:val="18"/>
    </w:rPr>
  </w:style>
  <w:style w:type="character" w:styleId="871" w:customStyle="1">
    <w:name w:val="标题 1 Char"/>
    <w:basedOn w:val="847"/>
    <w:link w:val="842"/>
    <w:uiPriority w:val="9"/>
    <w:qFormat/>
    <w:rPr>
      <w:b/>
      <w:bCs/>
      <w:sz w:val="44"/>
      <w:szCs w:val="44"/>
    </w:rPr>
  </w:style>
  <w:style w:type="character" w:styleId="872" w:customStyle="1">
    <w:name w:val="文档结构图 Char"/>
    <w:basedOn w:val="847"/>
    <w:link w:val="852"/>
    <w:uiPriority w:val="99"/>
    <w:semiHidden/>
    <w:qFormat/>
    <w:rPr>
      <w:rFonts w:ascii="宋体" w:eastAsia="宋体"/>
      <w:sz w:val="18"/>
      <w:szCs w:val="18"/>
    </w:rPr>
  </w:style>
  <w:style w:type="character" w:styleId="873" w:customStyle="1">
    <w:name w:val="标题 3 Char"/>
    <w:basedOn w:val="847"/>
    <w:link w:val="844"/>
    <w:uiPriority w:val="9"/>
    <w:qFormat/>
    <w:rPr>
      <w:b/>
      <w:bCs/>
      <w:sz w:val="32"/>
      <w:szCs w:val="32"/>
    </w:rPr>
  </w:style>
  <w:style w:type="character" w:styleId="874" w:customStyle="1">
    <w:name w:val="日期 Char"/>
    <w:basedOn w:val="847"/>
    <w:link w:val="856"/>
    <w:uiPriority w:val="99"/>
    <w:semiHidden/>
    <w:qFormat/>
  </w:style>
  <w:style w:type="character" w:styleId="875" w:customStyle="1">
    <w:name w:val="批注文字 Char"/>
    <w:basedOn w:val="847"/>
    <w:link w:val="853"/>
    <w:qFormat/>
    <w:rPr>
      <w:rFonts w:ascii="Times New Roman" w:hAnsi="Times New Roman" w:eastAsia="宋体" w:cs="Times New Roman"/>
      <w:szCs w:val="24"/>
    </w:rPr>
  </w:style>
  <w:style w:type="character" w:styleId="876" w:customStyle="1">
    <w:name w:val="批注框文本 Char"/>
    <w:basedOn w:val="847"/>
    <w:link w:val="857"/>
    <w:uiPriority w:val="99"/>
    <w:semiHidden/>
    <w:qFormat/>
    <w:rPr>
      <w:sz w:val="18"/>
      <w:szCs w:val="18"/>
    </w:rPr>
  </w:style>
  <w:style w:type="paragraph" w:styleId="877" w:customStyle="1">
    <w:name w:val="Default"/>
    <w:link w:val="878"/>
    <w:uiPriority w:val="99"/>
    <w:qFormat/>
    <w:pPr>
      <w:widowControl w:val="off"/>
    </w:pPr>
    <w:rPr>
      <w:rFonts w:ascii="MS Mincho" w:hAnsi="Calibri"/>
      <w:color w:val="000000"/>
      <w:sz w:val="21"/>
      <w:szCs w:val="24"/>
    </w:rPr>
  </w:style>
  <w:style w:type="character" w:styleId="878" w:customStyle="1">
    <w:name w:val="Default Char"/>
    <w:link w:val="877"/>
    <w:uiPriority w:val="99"/>
    <w:qFormat/>
    <w:rPr>
      <w:rFonts w:ascii="MS Mincho" w:hAnsi="Calibri" w:eastAsia="宋体" w:cs="Times New Roman"/>
      <w:color w:val="000000"/>
      <w:szCs w:val="24"/>
    </w:rPr>
  </w:style>
  <w:style w:type="character" w:styleId="879" w:customStyle="1">
    <w:name w:val="纯文本 Char"/>
    <w:basedOn w:val="847"/>
    <w:link w:val="855"/>
    <w:qFormat/>
    <w:rPr>
      <w:rFonts w:ascii="宋体" w:hAnsi="Courier New" w:eastAsia="宋体" w:cs="Times New Roman"/>
      <w:szCs w:val="20"/>
    </w:rPr>
  </w:style>
  <w:style w:type="character" w:styleId="880" w:customStyle="1">
    <w:name w:val="批注主题 Char"/>
    <w:basedOn w:val="875"/>
    <w:link w:val="862"/>
    <w:uiPriority w:val="99"/>
    <w:semiHidden/>
    <w:qFormat/>
    <w:rPr>
      <w:rFonts w:ascii="Times New Roman" w:hAnsi="Times New Roman" w:eastAsia="宋体" w:cs="Times New Roman"/>
      <w:b/>
      <w:bCs/>
      <w:szCs w:val="24"/>
    </w:rPr>
  </w:style>
  <w:style w:type="character" w:styleId="881" w:customStyle="1">
    <w:name w:val="标题 5 Char"/>
    <w:basedOn w:val="847"/>
    <w:link w:val="846"/>
    <w:uiPriority w:val="9"/>
    <w:semiHidden/>
    <w:qFormat/>
    <w:rPr>
      <w:b/>
      <w:bCs/>
      <w:sz w:val="28"/>
      <w:szCs w:val="28"/>
    </w:rPr>
  </w:style>
  <w:style w:type="character" w:styleId="882" w:customStyle="1">
    <w:name w:val="标题 4 Char"/>
    <w:basedOn w:val="847"/>
    <w:link w:val="845"/>
    <w:uiPriority w:val="9"/>
    <w:semiHidden/>
    <w:qFormat/>
    <w:rPr>
      <w:rFonts w:asciiTheme="majorHAnsi" w:hAnsiTheme="majorHAnsi" w:eastAsiaTheme="majorEastAsia" w:cstheme="majorBidi"/>
      <w:b/>
      <w:bCs/>
      <w:sz w:val="28"/>
      <w:szCs w:val="28"/>
    </w:rPr>
  </w:style>
  <w:style w:type="character" w:styleId="883" w:customStyle="1">
    <w:name w:val="未处理的提及1"/>
    <w:basedOn w:val="847"/>
    <w:uiPriority w:val="99"/>
    <w:semiHidden/>
    <w:unhideWhenUsed/>
    <w:qFormat/>
    <w:rPr>
      <w:color w:val="605e5c"/>
      <w:shd w:val="clear" w:color="auto" w:fill="e1dfdd"/>
    </w:rPr>
  </w:style>
  <w:style w:type="character" w:styleId="884" w:customStyle="1">
    <w:name w:val="正文文本 字符"/>
    <w:basedOn w:val="847"/>
    <w:uiPriority w:val="99"/>
    <w:semiHidden/>
    <w:qFormat/>
  </w:style>
  <w:style w:type="character" w:styleId="885" w:customStyle="1">
    <w:name w:val="正文文本 Char"/>
    <w:link w:val="854"/>
    <w:uiPriority w:val="99"/>
    <w:qFormat/>
    <w:rPr>
      <w:rFonts w:ascii="Calibri" w:hAnsi="Calibri" w:eastAsia="宋体" w:cs="Times New Roman"/>
    </w:rPr>
  </w:style>
  <w:style w:type="paragraph" w:styleId="886" w:customStyle="1">
    <w:name w:val="连云港段落文字"/>
    <w:basedOn w:val="841"/>
    <w:qFormat/>
    <w:pPr>
      <w:ind w:firstLine="480"/>
      <w:spacing w:line="360" w:lineRule="auto"/>
    </w:pPr>
    <w:rPr>
      <w:rFonts w:ascii="华文仿宋" w:hAnsi="宋体" w:cs="宋体"/>
      <w:szCs w:val="24"/>
    </w:rPr>
  </w:style>
  <w:style w:type="paragraph" w:styleId="887" w:customStyle="1">
    <w:name w:val="连云港表内文字"/>
    <w:basedOn w:val="851"/>
    <w:qFormat/>
    <w:pPr>
      <w:spacing w:line="240" w:lineRule="auto"/>
    </w:pPr>
    <w:rPr>
      <w:rFonts w:ascii="华文仿宋" w:hAnsi="华文仿宋" w:cs="华文仿宋"/>
      <w:b w:val="0"/>
      <w:bCs w:val="0"/>
      <w:sz w:val="20"/>
      <w:szCs w:val="20"/>
    </w:rPr>
  </w:style>
  <w:style w:type="paragraph" w:styleId="888" w:customStyle="1">
    <w:name w:val="表格内文字"/>
    <w:qFormat/>
    <w:pPr>
      <w:jc w:val="center"/>
    </w:pPr>
    <w:rPr>
      <w:sz w:val="21"/>
      <w:szCs w:val="21"/>
    </w:rPr>
  </w:style>
  <w:style w:type="paragraph" w:styleId="889" w:customStyle="1">
    <w:name w:val="正文_0"/>
    <w:qFormat/>
    <w:pPr>
      <w:jc w:val="both"/>
      <w:widowControl w:val="off"/>
    </w:pPr>
    <w:rPr>
      <w:sz w:val="21"/>
      <w:szCs w:val="24"/>
    </w:rPr>
  </w:style>
  <w:style w:type="table" w:styleId="890" w:customStyle="1">
    <w:name w:val="Table Normal"/>
    <w:semiHidden/>
    <w:unhideWhenUsed/>
    <w:qFormat/>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0B29E8-A332-4D77-8853-5A2FBC9DD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李俊怡</cp:lastModifiedBy>
  <cp:revision>219</cp:revision>
  <dcterms:created xsi:type="dcterms:W3CDTF">2024-01-04T03:50:00Z</dcterms:created>
  <dcterms:modified xsi:type="dcterms:W3CDTF">2024-10-21T07:28:48Z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1E6567D0A3D442128C86017C20A42A21_13</vt:lpwstr>
  </property>
</Properties>
</file>