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jc w:val="cente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无锡市政府采购项目</w:t>
      </w:r>
      <w:r/>
    </w:p>
    <w:p>
      <w:pPr>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公开招标文件</w:t>
      </w:r>
      <w:r/>
    </w:p>
    <w:p>
      <w:pPr>
        <w:jc w:val="center"/>
        <w:spacing w:line="360" w:lineRule="auto"/>
        <w:rPr>
          <w:rFonts w:ascii="宋体" w:hAnsi="宋体" w:cs="宋体"/>
          <w:b/>
          <w:color w:val="auto"/>
          <w:sz w:val="24"/>
          <w:highlight w:val="none"/>
        </w:rPr>
      </w:pPr>
      <w:r>
        <w:rPr>
          <w:rFonts w:hint="eastAsia" w:ascii="华文中宋" w:hAnsi="华文中宋" w:eastAsia="华文中宋"/>
          <w:b/>
          <w:color w:val="auto"/>
          <w:sz w:val="30"/>
          <w:highlight w:val="none"/>
        </w:rPr>
        <w:t xml:space="preserve">（全流程电子化）</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pStyle w:val="903"/>
        <w:rPr>
          <w:color w:val="auto"/>
          <w:highlight w:val="none"/>
        </w:rPr>
      </w:pPr>
      <w:r>
        <w:rPr>
          <w:color w:val="auto"/>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643"/>
        <w:jc w:val="left"/>
        <w:keepLines w:val="0"/>
        <w:keepNext w:val="0"/>
        <w:pageBreakBefore w:val="0"/>
        <w:spacing w:before="90" w:after="90"/>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政府采购编号：</w:t>
      </w:r>
      <w:r>
        <w:rPr>
          <w:rFonts w:hint="eastAsia" w:ascii="宋体" w:hAnsi="宋体" w:cs="宋体"/>
          <w:b/>
          <w:color w:val="auto"/>
          <w:sz w:val="32"/>
          <w:szCs w:val="32"/>
          <w:highlight w:val="none"/>
          <w:lang w:eastAsia="zh-CN"/>
        </w:rPr>
        <w:t xml:space="preserve">JSZC-320200-BJJZ-G2025-0020</w:t>
      </w:r>
      <w:r/>
    </w:p>
    <w:p>
      <w:pPr>
        <w:ind w:firstLine="643"/>
        <w:keepLines w:val="0"/>
        <w:keepNext w:val="0"/>
        <w:pageBreakBefore w:val="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keepLines w:val="0"/>
        <w:keepNext w:val="0"/>
        <w:pageBreakBefore w:val="0"/>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中药饮片、集中代加工及配送服务项目（第二次）</w:t>
      </w:r>
      <w:r/>
    </w:p>
    <w:p>
      <w:pPr>
        <w:ind w:firstLine="643"/>
        <w:keepLines w:val="0"/>
        <w:keepNext w:val="0"/>
        <w:pageBreakBefore w:val="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keepLines w:val="0"/>
        <w:keepNext w:val="0"/>
        <w:pageBreakBefore w:val="0"/>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采购人：无锡市精神卫生中心</w:t>
      </w:r>
      <w:r/>
    </w:p>
    <w:p>
      <w:pPr>
        <w:ind w:firstLine="643"/>
        <w:keepLines w:val="0"/>
        <w:keepNext w:val="0"/>
        <w:pageBreakBefore w:val="0"/>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采购代理机构：北京建智达工程管理股份有限公司 </w:t>
      </w:r>
      <w:r/>
    </w:p>
    <w:p>
      <w:pPr>
        <w:pStyle w:val="903"/>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color w:val="auto"/>
          <w:sz w:val="44"/>
          <w:szCs w:val="44"/>
          <w:highlight w:val="none"/>
        </w:rPr>
      </w:pPr>
      <w:r>
        <w:rPr>
          <w:rFonts w:hint="eastAsia" w:ascii="宋体" w:hAnsi="宋体" w:cs="宋体"/>
          <w:b/>
          <w:color w:val="auto"/>
          <w:sz w:val="32"/>
          <w:szCs w:val="32"/>
          <w:highlight w:val="none"/>
        </w:rPr>
        <w:t xml:space="preserve">2025年</w:t>
      </w: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月</w:t>
      </w:r>
      <w:r/>
    </w:p>
    <w:p>
      <w:pPr>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360" w:lineRule="auto"/>
        <w:rPr>
          <w:rFonts w:hint="eastAsia" w:ascii="宋体" w:hAnsi="宋体" w:cs="宋体"/>
          <w:b/>
          <w:color w:val="auto"/>
          <w:sz w:val="44"/>
          <w:szCs w:val="44"/>
          <w:highlight w:val="none"/>
        </w:rPr>
        <w:sectPr>
          <w:headerReference w:type="default" r:id="rId9"/>
          <w:footnotePr/>
          <w:endnotePr/>
          <w:type w:val="nextPage"/>
          <w:pgSz w:w="11906" w:h="16838" w:orient="portrait"/>
          <w:pgMar w:top="1440" w:right="1440" w:bottom="1440" w:left="1287" w:header="851" w:footer="992" w:gutter="0"/>
          <w:cols w:num="1" w:sep="0" w:space="0" w:equalWidth="1"/>
          <w:docGrid w:linePitch="360"/>
        </w:sectPr>
      </w:pPr>
      <w:r>
        <w:rPr>
          <w:rFonts w:hint="eastAsia" w:ascii="宋体" w:hAnsi="宋体" w:cs="宋体"/>
          <w:b/>
          <w:color w:val="auto"/>
          <w:sz w:val="44"/>
          <w:szCs w:val="44"/>
          <w:highlight w:val="none"/>
        </w:rPr>
      </w:r>
      <w:r/>
    </w:p>
    <w:p>
      <w:pPr>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spacing w:line="1000" w:lineRule="exact"/>
        <w:tabs>
          <w:tab w:val="left" w:pos="8000" w:leader="none"/>
        </w:tabs>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 </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第二部分    投标供应商须知 </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 </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 </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第五部分    附件  </w:t>
      </w:r>
      <w:r/>
    </w:p>
    <w:p>
      <w:pPr>
        <w:spacing w:line="1000" w:lineRule="exact"/>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widowControl/>
        <w:rPr>
          <w:rFonts w:ascii="宋体" w:hAnsi="宋体" w:cs="宋体"/>
          <w:b/>
          <w:color w:val="auto"/>
          <w:sz w:val="24"/>
          <w:highlight w:val="none"/>
        </w:rPr>
      </w:pPr>
      <w:r>
        <w:rPr>
          <w:rFonts w:ascii="宋体" w:hAnsi="宋体" w:cs="宋体"/>
          <w:b/>
          <w:color w:val="auto"/>
          <w:sz w:val="24"/>
          <w:highlight w:val="none"/>
        </w:rPr>
      </w:r>
      <w:r/>
    </w:p>
    <w:p>
      <w:pPr>
        <w:spacing w:before="470"/>
        <w:widowControl/>
        <w:rPr>
          <w:rFonts w:ascii="宋体" w:hAnsi="宋体" w:cs="宋体"/>
          <w:b/>
          <w:color w:val="auto"/>
          <w:sz w:val="24"/>
          <w:highlight w:val="none"/>
        </w:rPr>
      </w:pPr>
      <w:r>
        <w:rPr>
          <w:rFonts w:ascii="宋体" w:hAnsi="宋体" w:cs="宋体"/>
          <w:b/>
          <w:color w:val="auto"/>
          <w:sz w:val="24"/>
          <w:highlight w:val="none"/>
        </w:rPr>
      </w:r>
      <w:r/>
    </w:p>
    <w:p>
      <w:pPr>
        <w:spacing w:before="470" w:line="440" w:lineRule="exact"/>
        <w:widowControl/>
        <w:rPr>
          <w:rFonts w:ascii="宋体" w:hAnsi="宋体" w:cs="宋体"/>
          <w:b/>
          <w:color w:val="auto"/>
          <w:sz w:val="44"/>
          <w:szCs w:val="44"/>
          <w:highlight w:val="none"/>
        </w:rPr>
      </w:pPr>
      <w:r>
        <w:rPr>
          <w:rFonts w:ascii="宋体" w:hAnsi="宋体" w:cs="宋体"/>
          <w:b/>
          <w:color w:val="auto"/>
          <w:sz w:val="44"/>
          <w:szCs w:val="44"/>
          <w:highlight w:val="none"/>
        </w:rPr>
      </w:r>
      <w:r/>
    </w:p>
    <w:p>
      <w:pPr>
        <w:spacing w:before="470" w:line="440" w:lineRule="exact"/>
        <w:widowControl/>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before="470" w:line="440" w:lineRule="exact"/>
        <w:widowControl/>
        <w:rPr>
          <w:rFonts w:hint="eastAsia" w:ascii="宋体" w:hAnsi="宋体" w:cs="宋体"/>
          <w:b/>
          <w:color w:val="auto"/>
          <w:sz w:val="44"/>
          <w:szCs w:val="44"/>
          <w:highlight w:val="none"/>
        </w:rPr>
        <w:sectPr>
          <w:footnotePr/>
          <w:endnotePr/>
          <w:type w:val="nextPage"/>
          <w:pgSz w:w="11906" w:h="16838" w:orient="portrait"/>
          <w:pgMar w:top="1440" w:right="1440" w:bottom="1440" w:left="1287" w:header="851" w:footer="992" w:gutter="0"/>
          <w:cols w:num="1" w:sep="0" w:space="0" w:equalWidth="1"/>
          <w:docGrid w:linePitch="360"/>
        </w:sectPr>
      </w:pPr>
      <w:r>
        <w:rPr>
          <w:rFonts w:hint="eastAsia" w:ascii="宋体" w:hAnsi="宋体" w:cs="宋体"/>
          <w:b/>
          <w:color w:val="auto"/>
          <w:sz w:val="44"/>
          <w:szCs w:val="44"/>
          <w:highlight w:val="none"/>
        </w:rPr>
      </w:r>
      <w:r/>
    </w:p>
    <w:p>
      <w:pPr>
        <w:jc w:val="center"/>
        <w:spacing w:before="470" w:line="440" w:lineRule="exact"/>
        <w:widowControl/>
        <w:rPr>
          <w:rFonts w:ascii="宋体" w:hAnsi="宋体" w:cs="宋体"/>
          <w:b/>
          <w:color w:val="auto"/>
          <w:sz w:val="44"/>
          <w:szCs w:val="44"/>
          <w:highlight w:val="none"/>
        </w:rPr>
      </w:pPr>
      <w:r>
        <w:rPr>
          <w:rFonts w:hint="eastAsia" w:ascii="宋体" w:hAnsi="宋体" w:cs="宋体"/>
          <w:b/>
          <w:color w:val="auto"/>
          <w:sz w:val="44"/>
          <w:szCs w:val="44"/>
          <w:highlight w:val="none"/>
        </w:rPr>
        <w:t xml:space="preserve">第一部分. 投标邀请</w:t>
      </w:r>
      <w:r/>
    </w:p>
    <w:p>
      <w:pPr>
        <w:ind w:firstLine="480"/>
        <w:jc w:val="left"/>
        <w:spacing w:before="470" w:line="360" w:lineRule="auto"/>
        <w:widowControl/>
        <w:rPr>
          <w:rFonts w:ascii="宋体" w:hAnsi="宋体" w:cs="宋体"/>
          <w:color w:val="auto"/>
          <w:sz w:val="44"/>
          <w:szCs w:val="44"/>
          <w:highlight w:val="none"/>
        </w:rPr>
      </w:pPr>
      <w:r>
        <w:rPr>
          <w:rFonts w:hint="eastAsia" w:ascii="宋体" w:hAnsi="宋体" w:cs="宋体"/>
          <w:color w:val="auto"/>
          <w:sz w:val="24"/>
          <w:highlight w:val="none"/>
        </w:rPr>
        <w:t xml:space="preserve">北京建智达工程管理股份有限公司受无锡市精神卫生中心委托，就其</w:t>
      </w:r>
      <w:r>
        <w:rPr>
          <w:rFonts w:hint="eastAsia" w:ascii="宋体" w:hAnsi="宋体" w:cs="宋体"/>
          <w:color w:val="auto"/>
          <w:sz w:val="24"/>
          <w:highlight w:val="none"/>
          <w:lang w:eastAsia="zh-CN"/>
        </w:rPr>
        <w:t xml:space="preserve">中药饮片、集中代加工及配送服务项目（第二次）</w:t>
      </w:r>
      <w:r>
        <w:rPr>
          <w:rFonts w:hint="eastAsia" w:ascii="宋体" w:hAnsi="宋体" w:cs="宋体"/>
          <w:color w:val="auto"/>
          <w:sz w:val="24"/>
          <w:highlight w:val="none"/>
        </w:rPr>
        <w:t xml:space="preserve">进行公开招标。现欢迎符合相关条件的投标供应商参加投标，投标邀请如下：</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8445"/>
      </w:tblGrid>
      <w:tr>
        <w:trPr>
          <w:jc w:val="center"/>
          <w:trHeight w:val="516"/>
        </w:trPr>
        <w:tc>
          <w:tcPr>
            <w:tcW w:w="826" w:type="dxa"/>
            <w:vAlign w:val="center"/>
            <w:textDirection w:val="lrTb"/>
            <w:noWrap/>
          </w:tcPr>
          <w:p>
            <w:pPr>
              <w:jc w:val="center"/>
              <w:spacing w:line="312"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8445" w:type="dxa"/>
            <w:vAlign w:val="center"/>
            <w:textDirection w:val="lrTb"/>
            <w:noWrap/>
          </w:tcPr>
          <w:p>
            <w:pPr>
              <w:jc w:val="center"/>
              <w:spacing w:line="312"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Pr>
        <w:tc>
          <w:tcPr>
            <w:tcW w:w="826" w:type="dxa"/>
            <w:vAlign w:val="center"/>
            <w:textDirection w:val="lrTb"/>
            <w:noWrap/>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8445" w:type="dxa"/>
            <w:vAlign w:val="center"/>
            <w:textDirection w:val="lrTb"/>
            <w:noWrap/>
          </w:tcPr>
          <w:p>
            <w:pPr>
              <w:jc w:val="left"/>
              <w:keepLines w:val="0"/>
              <w:keepNext w:val="0"/>
              <w:pageBreakBefore w:val="0"/>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中药饮片、集中代加工及配送服务项目（第二次）</w:t>
            </w:r>
            <w:r/>
          </w:p>
          <w:p>
            <w:pPr>
              <w:jc w:val="left"/>
              <w:keepLines w:val="0"/>
              <w:keepNext w:val="0"/>
              <w:pageBreakBefore w:val="0"/>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采购编号：</w:t>
            </w:r>
            <w:r>
              <w:rPr>
                <w:rFonts w:hint="eastAsia" w:ascii="宋体" w:hAnsi="宋体" w:cs="宋体"/>
                <w:color w:val="auto"/>
                <w:sz w:val="24"/>
                <w:highlight w:val="none"/>
                <w:lang w:eastAsia="zh-CN"/>
              </w:rPr>
              <w:t xml:space="preserve">JSZC-320200-BJJZ-G2025-0020</w:t>
            </w:r>
            <w:r/>
          </w:p>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采购方式：公开招标</w:t>
            </w:r>
            <w:r/>
          </w:p>
        </w:tc>
      </w:tr>
      <w:tr>
        <w:trPr>
          <w:jc w:val="center"/>
        </w:trPr>
        <w:tc>
          <w:tcPr>
            <w:tcW w:w="826" w:type="dxa"/>
            <w:vAlign w:val="center"/>
            <w:textDirection w:val="lrTb"/>
            <w:noWrap/>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8445" w:type="dxa"/>
            <w:vAlign w:val="center"/>
            <w:textDirection w:val="lrTb"/>
            <w:noWrap/>
          </w:tcPr>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采购人：无锡市精神卫生中心</w:t>
            </w:r>
            <w:r/>
          </w:p>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采购人地址：无锡市钱荣路156号</w:t>
            </w:r>
            <w:r/>
          </w:p>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采购代理机构：北京建智达工程管理股份有限公司 </w:t>
            </w:r>
            <w:r/>
          </w:p>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采购代理机构地址：无锡市滨湖区绣溪道59号交大创意园21号楼3楼</w:t>
            </w:r>
            <w:r/>
          </w:p>
        </w:tc>
      </w:tr>
      <w:tr>
        <w:trPr>
          <w:jc w:val="center"/>
          <w:trHeight w:val="90"/>
        </w:trPr>
        <w:tc>
          <w:tcPr>
            <w:tcW w:w="826" w:type="dxa"/>
            <w:vAlign w:val="center"/>
            <w:textDirection w:val="lrTb"/>
            <w:noWrap/>
          </w:tcPr>
          <w:p>
            <w:pPr>
              <w:jc w:val="center"/>
              <w:spacing w:line="312"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8445" w:type="dxa"/>
            <w:vAlign w:val="center"/>
            <w:textDirection w:val="lrTb"/>
            <w:noWrap/>
          </w:tcPr>
          <w:p>
            <w:pPr>
              <w:numPr>
                <w:ilvl w:val="255"/>
                <w:numId w:val="0"/>
              </w:numPr>
              <w:jc w:val="left"/>
              <w:keepLines w:val="0"/>
              <w:keepNext w:val="0"/>
              <w:pageBreakBefore w:val="0"/>
              <w:spacing w:line="312"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采购项目概况、要求： </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1、项目概述：采购人的中医医师开具中药饮片处方，供应商针对门诊和住院患者提供中药代煎和配送服务。</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2、采购预算：1299万元</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3、履约期限：合同签订之日起3年</w:t>
            </w:r>
            <w:r/>
          </w:p>
          <w:p>
            <w:pPr>
              <w:pStyle w:val="714"/>
              <w:jc w:val="left"/>
              <w:keepLines w:val="0"/>
              <w:keepNext w:val="0"/>
              <w:pageBreakBefore w:val="0"/>
              <w:spacing w:line="312" w:lineRule="auto"/>
              <w:rPr>
                <w:color w:val="auto"/>
                <w:highlight w:val="none"/>
              </w:rPr>
            </w:pPr>
            <w:r>
              <w:rPr>
                <w:rFonts w:hint="eastAsia" w:ascii="宋体" w:hAnsi="宋体" w:eastAsia="宋体" w:cs="宋体"/>
                <w:bCs/>
                <w:color w:val="auto"/>
                <w:sz w:val="24"/>
                <w:szCs w:val="24"/>
                <w:highlight w:val="none"/>
              </w:rPr>
              <w:t xml:space="preserve">4、质量标准：合格，符合法律法规、行业规范及采购人使用需求</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5、交货期：</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5.1中药饮片：采购人每月按需采购，供应商收到采购人购货单后72小时内及时供货，每批货物与采购人购货单所需货物数量相符。具体品种见附件1《中药饮片需求目录》</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5.2中药饮片代加工：供应商负责将加工好的中药饮片按采购人要求的时间制作配送，原则上当天四点之前传处方，制好的汤剂将于第二天/膏剂（协定方）于三个工作日/膏剂(冬令膏方）于五个工作日内送至采购人指定位置；具体项目见附件2《中药代加工服务项目》</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5.3中药饮片及代加工成品配送时间应满足患者用药需要，交付时间不受节假日的影响。</w:t>
            </w:r>
            <w:r/>
          </w:p>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bCs/>
                <w:color w:val="auto"/>
                <w:sz w:val="24"/>
                <w:highlight w:val="none"/>
              </w:rPr>
              <w:t xml:space="preserve">6、投标报价要求：详见采购需求《四、投标报价及项目付款》</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本项目非专门面向中小企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jc w:val="center"/>
          <w:trHeight w:val="557"/>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投标供应商资格条件： </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1.满足《中华人民共和国政府采购法》第二十二条规定；</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①具有独立承担民事责任的能力； </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②具有良好的商业信誉和健全的财务会计制度；</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③具有履行合同所必需的设备和专业技术能力；</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④有依法缴纳税收和社会保障资金的良好记录； </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⑤参加政府采购活动前三年内，在经营活动中没有重大违法记录；</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⑥法律、行政法规规定的其他条件。</w:t>
            </w:r>
            <w:r/>
          </w:p>
          <w:p>
            <w:pPr>
              <w:jc w:val="left"/>
              <w:keepLines w:val="0"/>
              <w:keepNext w:val="0"/>
              <w:pageBreakBefore w:val="0"/>
              <w:spacing w:line="312" w:lineRule="auto"/>
              <w:widowControl/>
              <w:rPr>
                <w:rFonts w:ascii="宋体" w:hAnsi="宋体" w:cs="宋体"/>
                <w:bCs/>
                <w:color w:val="auto"/>
                <w:sz w:val="24"/>
                <w:highlight w:val="none"/>
              </w:rPr>
            </w:pPr>
            <w:r>
              <w:rPr>
                <w:rFonts w:hint="eastAsia" w:ascii="宋体" w:hAnsi="宋体" w:cs="宋体"/>
                <w:color w:val="auto"/>
                <w:sz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2.落实政府采购政策需满足的资格要求：</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①投标供应商如为小微企业的，按照《政府采购促进中小企业发展管理办法》（财库〔2020〕46号）规定提供《中小企业声明函》；</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r/>
          </w:p>
          <w:p>
            <w:pPr>
              <w:jc w:val="left"/>
              <w:keepLines w:val="0"/>
              <w:keepNext w:val="0"/>
              <w:pageBreakBefore w:val="0"/>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③投标供应商如为残疾人福利性单位的提供《残疾人福利性单位声明函》；</w:t>
            </w:r>
            <w:r/>
          </w:p>
          <w:p>
            <w:pPr>
              <w:jc w:val="left"/>
              <w:keepLines w:val="0"/>
              <w:keepNext w:val="0"/>
              <w:pageBreakBefore w:val="0"/>
              <w:spacing w:line="312" w:lineRule="auto"/>
              <w:rPr>
                <w:rFonts w:ascii="宋体" w:hAnsi="宋体" w:cs="宋体"/>
                <w:color w:val="auto"/>
                <w:sz w:val="24"/>
                <w:highlight w:val="none"/>
              </w:rPr>
            </w:pPr>
            <w:r>
              <w:rPr>
                <w:rFonts w:hint="eastAsia" w:ascii="宋体" w:hAnsi="宋体" w:cs="宋体"/>
                <w:bCs/>
                <w:color w:val="auto"/>
                <w:sz w:val="24"/>
                <w:highlight w:val="none"/>
              </w:rPr>
              <w:t xml:space="preserve">④中小企业划型标准详见《关于印发中小企业划型标准规定的通知》</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工信部联企业〔2011〕300号）</w:t>
            </w:r>
            <w:r>
              <w:rPr>
                <w:rFonts w:hint="eastAsia" w:ascii="宋体" w:hAnsi="宋体" w:cs="宋体"/>
                <w:color w:val="auto"/>
                <w:sz w:val="24"/>
                <w:highlight w:val="none"/>
              </w:rPr>
              <w:t xml:space="preserve">；</w:t>
            </w:r>
            <w:r/>
          </w:p>
          <w:p>
            <w:pPr>
              <w:numPr>
                <w:ilvl w:val="0"/>
                <w:numId w:val="7"/>
              </w:numPr>
              <w:jc w:val="both"/>
              <w:keepLines w:val="0"/>
              <w:keepNext w:val="0"/>
              <w:pageBreakBefore w:val="0"/>
              <w:spacing w:line="312"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本项目的特定资格要求：投标供应商需具备有效期内的《药品生产许可证》或《药品经营许可证》。</w:t>
            </w:r>
            <w:r/>
          </w:p>
          <w:p>
            <w:pPr>
              <w:jc w:val="left"/>
              <w:keepLines w:val="0"/>
              <w:keepNext w:val="0"/>
              <w:pageBreakBefore w:val="0"/>
              <w:spacing w:line="312"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4.投标供应商未被列入“信用中国”网站（www.creditchina.gov.cn）记录失信被执行人，同时，不处于中国政府采购网（www.ccgp.gov.cn）“政府采购严重违法失信行为信息记录”中的禁止参加政府采购活动期间的情形；</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bCs/>
                <w:color w:val="auto"/>
                <w:sz w:val="24"/>
                <w:highlight w:val="none"/>
              </w:rPr>
              <w:t xml:space="preserve">5.本项目不接受联合体投标。</w:t>
            </w:r>
            <w:r/>
          </w:p>
        </w:tc>
      </w:tr>
      <w:tr>
        <w:trPr>
          <w:jc w:val="center"/>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获取采购文件相关事宜：</w:t>
            </w:r>
            <w:r/>
          </w:p>
          <w:p>
            <w:pPr>
              <w:jc w:val="left"/>
              <w:keepLines w:val="0"/>
              <w:keepNext w:val="0"/>
              <w:pageBreakBefore w:val="0"/>
              <w:spacing w:line="312"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（1）获取采购文件时间：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日至2025年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w:t>
            </w:r>
            <w:r>
              <w:rPr>
                <w:rFonts w:hint="eastAsia" w:ascii="宋体" w:hAnsi="宋体" w:cs="宋体"/>
                <w:color w:val="auto"/>
                <w:sz w:val="24"/>
                <w:highlight w:val="none"/>
                <w:lang w:val="zh-CN"/>
              </w:rPr>
              <w:t xml:space="preserve">23:59时止（法定假日除外）。</w:t>
            </w:r>
            <w:r>
              <w:rPr>
                <w:rFonts w:hint="eastAsia" w:ascii="宋体" w:hAnsi="宋体" w:cs="宋体"/>
                <w:b/>
                <w:bCs/>
                <w:color w:val="auto"/>
                <w:sz w:val="24"/>
                <w:highlight w:val="none"/>
                <w:lang w:val="zh-CN"/>
              </w:rPr>
              <w:t xml:space="preserve">五个工作日后仍可下载招标文件，但不作为供应商权益受到损害的证明材料和依据。</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（2）售价：0元</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（3）采购文件获取地点方式：</w:t>
            </w:r>
            <w:r>
              <w:rPr>
                <w:rFonts w:hint="eastAsia" w:ascii="宋体" w:hAnsi="宋体" w:cs="宋体"/>
                <w:color w:val="auto"/>
                <w:sz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，完成项目</w:t>
            </w:r>
            <w:r>
              <w:rPr>
                <w:rFonts w:hint="eastAsia" w:ascii="宋体" w:hAnsi="宋体" w:cs="宋体"/>
                <w:color w:val="auto"/>
                <w:sz w:val="24"/>
                <w:highlight w:val="none"/>
              </w:rPr>
              <w:t xml:space="preserve">获取</w:t>
            </w:r>
            <w:r>
              <w:rPr>
                <w:rFonts w:hint="eastAsia" w:ascii="宋体" w:hAnsi="宋体" w:cs="宋体"/>
                <w:color w:val="auto"/>
                <w:sz w:val="24"/>
                <w:highlight w:val="none"/>
                <w:lang w:val="zh-CN"/>
              </w:rPr>
              <w:t xml:space="preserve">，方可按要求制作、上传投标文件。</w:t>
            </w:r>
            <w:r>
              <w:rPr>
                <w:rFonts w:hint="eastAsia" w:ascii="宋体" w:hAnsi="宋体" w:cs="宋体"/>
                <w:color w:val="auto"/>
                <w:sz w:val="24"/>
                <w:highlight w:val="none"/>
              </w:rPr>
              <w:t xml:space="preserve">供应商须</w:t>
            </w:r>
            <w:r>
              <w:rPr>
                <w:rFonts w:hint="eastAsia" w:ascii="宋体" w:hAnsi="宋体" w:cs="宋体"/>
                <w:color w:val="auto"/>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p>
        </w:tc>
      </w:tr>
      <w:tr>
        <w:trPr>
          <w:jc w:val="center"/>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投标供应商要求澄清采购文件的截止时间：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w:t>
            </w:r>
            <w:r>
              <w:rPr>
                <w:rFonts w:hint="eastAsia" w:ascii="宋体" w:hAnsi="宋体" w:cs="宋体"/>
                <w:color w:val="auto"/>
                <w:sz w:val="24"/>
                <w:highlight w:val="none"/>
              </w:rPr>
              <w:t xml:space="preserve">10:00前，以书面传真形式和电子邮件形式发送给采购代理机构。</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采购人对采购文件澄清、修改时间：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日</w:t>
            </w:r>
            <w:r>
              <w:rPr>
                <w:rFonts w:hint="eastAsia" w:ascii="宋体" w:hAnsi="宋体" w:cs="宋体"/>
                <w:color w:val="auto"/>
                <w:sz w:val="24"/>
                <w:highlight w:val="none"/>
              </w:rPr>
              <w:t xml:space="preserve">17:00前，以书面（或电子稿）形式发送给各投标供应商。</w:t>
            </w:r>
            <w:r/>
          </w:p>
        </w:tc>
      </w:tr>
      <w:tr>
        <w:trPr>
          <w:jc w:val="center"/>
          <w:trHeight w:val="90"/>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投标有效期：投标截止时间起90天。</w:t>
            </w:r>
            <w:r/>
          </w:p>
        </w:tc>
      </w:tr>
      <w:tr>
        <w:trPr>
          <w:jc w:val="center"/>
          <w:trHeight w:val="442"/>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8445" w:type="dxa"/>
            <w:vAlign w:val="bottom"/>
            <w:textDirection w:val="lrTb"/>
            <w:noWrap/>
          </w:tcPr>
          <w:p>
            <w:pPr>
              <w:jc w:val="left"/>
              <w:keepLines w:val="0"/>
              <w:keepNext w:val="0"/>
              <w:pageBreakBefore w:val="0"/>
              <w:spacing w:line="312" w:lineRule="auto"/>
              <w:rPr>
                <w:rFonts w:ascii="宋体" w:hAnsi="宋体" w:cs="宋体"/>
                <w:color w:val="auto"/>
                <w:sz w:val="24"/>
                <w:highlight w:val="none"/>
              </w:rPr>
            </w:pPr>
            <w:r/>
            <w:bookmarkStart w:id="0" w:name="OLE_LINK39"/>
            <w:r>
              <w:rPr>
                <w:rFonts w:hint="eastAsia" w:ascii="宋体" w:hAnsi="宋体" w:cs="宋体"/>
                <w:color w:val="auto"/>
                <w:sz w:val="24"/>
                <w:highlight w:val="none"/>
              </w:rPr>
              <w:t xml:space="preserve">本项目</w:t>
            </w:r>
            <w:bookmarkEnd w:id="0"/>
            <w:r>
              <w:rPr>
                <w:rFonts w:hint="eastAsia" w:ascii="宋体" w:hAnsi="宋体" w:cs="宋体"/>
                <w:color w:val="auto"/>
                <w:sz w:val="24"/>
                <w:highlight w:val="none"/>
              </w:rPr>
              <w:t xml:space="preserve">无需缴纳投标保证金；</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本项目需要缴纳履约保证金，要求如下：</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1）中标供应商应在合同首次付款前，向采购人缴纳履约保证金，金额为合同总价的5%。</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2）履约保证金缴纳形式：电子履约保函、支票、汇票、本票、见索即付的银行保函、电汇等非现金方式缴纳。</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3）以下情形出现时，甲方有权扣除乙方的履约保证金：</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（1）乙方未能按照合同约定的时间、质量和标准履行合同义务；</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（2）乙方在合同履行过程中存在欺诈、恶意串通等不正当行为；</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（3）乙方在合同履行过程中有其他违反法律法规的行为。</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4）履约保证金退还时间、方式：履约保证金在本项目验收合格后，在乙方提供收到返还履约保证金的收据后30日内无息退还；违约责任：每逾期一天退还履约保证金的按相应金额的万分之一计算。</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5）履约过程中中标供应商在服务期、质量标准、将中标项目转包或分包给他人的、拒绝履行合同义务等方面发生的不履约或违背合同规定的责任和义务的行为，都可能导致采购人扣缴其部分乃至全部履约保证金。</w:t>
            </w:r>
            <w:r/>
          </w:p>
          <w:p>
            <w:pPr>
              <w:pStyle w:val="715"/>
              <w:ind w:firstLine="0"/>
              <w:jc w:val="left"/>
              <w:keepLines w:val="0"/>
              <w:keepNext w:val="0"/>
              <w:pageBreakBefore w:val="0"/>
              <w:spacing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6）电子履约保函其他咨询事项，参见下列通知：</w:t>
            </w:r>
            <w:r/>
          </w:p>
          <w:p>
            <w:pPr>
              <w:pStyle w:val="715"/>
              <w:ind w:firstLine="0"/>
              <w:jc w:val="left"/>
              <w:keepLines w:val="0"/>
              <w:keepNext w:val="0"/>
              <w:pageBreakBefore w:val="0"/>
              <w:spacing w:line="312" w:lineRule="auto"/>
              <w:rPr>
                <w:color w:val="auto"/>
                <w:highlight w:val="none"/>
              </w:rPr>
            </w:pPr>
            <w:r>
              <w:rPr>
                <w:rFonts w:hint="eastAsia" w:ascii="宋体" w:hAnsi="宋体" w:cs="宋体"/>
                <w:color w:val="auto"/>
                <w:sz w:val="24"/>
                <w:szCs w:val="24"/>
                <w:highlight w:val="none"/>
              </w:rPr>
              <w:t xml:space="preserve">①《无锡市财政局关于在全市政府采购领域进一步推行电子履约保函的通知》，网址：</w:t>
            </w:r>
            <w:r>
              <w:rPr>
                <w:rStyle w:val="712"/>
                <w:rFonts w:hint="eastAsia" w:ascii="宋体" w:hAnsi="宋体" w:cs="宋体"/>
                <w:color w:val="auto"/>
                <w:sz w:val="24"/>
                <w:szCs w:val="24"/>
                <w:highlight w:val="none"/>
                <w:u w:val="none"/>
              </w:rPr>
              <w:t xml:space="preserve">http://cz.wuxi.gov.cn/doc/2024/08/16/4375216.shtml</w:t>
            </w:r>
            <w:r>
              <w:rPr>
                <w:rFonts w:hint="eastAsia" w:ascii="宋体" w:hAnsi="宋体" w:cs="宋体"/>
                <w:color w:val="auto"/>
                <w:sz w:val="24"/>
                <w:szCs w:val="24"/>
                <w:highlight w:val="none"/>
              </w:rPr>
              <w:t xml:space="preserve">②《</w:t>
            </w:r>
            <w:r>
              <w:rPr>
                <w:rFonts w:ascii="宋体" w:hAnsi="宋体" w:cs="宋体"/>
                <w:color w:val="auto"/>
                <w:sz w:val="24"/>
                <w:szCs w:val="24"/>
                <w:highlight w:val="none"/>
              </w:rPr>
              <w:t xml:space="preserve">江苏政府采购电子履约保函（保险）平台操作手册</w:t>
            </w:r>
            <w:r>
              <w:rPr>
                <w:rFonts w:hint="eastAsia" w:ascii="宋体" w:hAnsi="宋体" w:cs="宋体"/>
                <w:color w:val="auto"/>
                <w:sz w:val="24"/>
                <w:szCs w:val="24"/>
                <w:highlight w:val="none"/>
              </w:rPr>
              <w:t xml:space="preserve">》，网址：http://www.ccgp-jiangsu.gov.cn//webfile/jiangsu/202312/1702448568370077762.pdf</w:t>
            </w:r>
            <w:r/>
          </w:p>
        </w:tc>
      </w:tr>
      <w:tr>
        <w:trPr>
          <w:jc w:val="center"/>
          <w:trHeight w:val="2807"/>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投标文件接收截止时间：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月21</w:t>
            </w:r>
            <w:r>
              <w:rPr>
                <w:rFonts w:hint="eastAsia" w:ascii="宋体" w:hAnsi="宋体" w:cs="宋体"/>
                <w:color w:val="auto"/>
                <w:sz w:val="24"/>
                <w:szCs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0时止。</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投标地点：</w:t>
            </w:r>
            <w:r>
              <w:rPr>
                <w:rFonts w:hint="eastAsia" w:ascii="宋体" w:hAnsi="宋体" w:cs="宋体"/>
                <w:color w:val="auto"/>
                <w:sz w:val="24"/>
                <w:highlight w:val="none"/>
                <w:shd w:val="clear" w:color="auto" w:fill="ffffff"/>
              </w:rPr>
              <w:t xml:space="preserve">江苏省政府采购（苏采云）平台投标，线上不见面开标</w:t>
            </w:r>
            <w:r>
              <w:rPr>
                <w:rFonts w:hint="eastAsia" w:ascii="宋体" w:hAnsi="宋体" w:cs="宋体"/>
                <w:color w:val="auto"/>
                <w:sz w:val="24"/>
                <w:highlight w:val="none"/>
              </w:rPr>
              <w:t xml:space="preserve">。</w:t>
            </w:r>
            <w:r/>
          </w:p>
          <w:p>
            <w:pPr>
              <w:jc w:val="left"/>
              <w:keepLines w:val="0"/>
              <w:keepNext w:val="0"/>
              <w:pageBreakBefore w:val="0"/>
              <w:spacing w:line="312"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注：</w:t>
            </w:r>
            <w:r/>
          </w:p>
          <w:p>
            <w:pPr>
              <w:jc w:val="left"/>
              <w:keepLines w:val="0"/>
              <w:keepNext w:val="0"/>
              <w:pageBreakBefore w:val="0"/>
              <w:spacing w:line="312"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1、投标截止时间后将无法上传或撤回、修改投标文件，请投标供应商谨慎处理。</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2、请投标供应商关注开标大厅的提示进行解密，解密时间为30分钟，供应商未解密但解密剩余时间为0秒后，视为投标供应商放弃投标。</w:t>
            </w:r>
            <w:r/>
          </w:p>
        </w:tc>
      </w:tr>
      <w:tr>
        <w:trPr>
          <w:jc w:val="center"/>
          <w:trHeight w:val="4176"/>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网上解密时间：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月21</w:t>
            </w:r>
            <w:r>
              <w:rPr>
                <w:rFonts w:hint="eastAsia" w:ascii="宋体" w:hAnsi="宋体" w:cs="宋体"/>
                <w:color w:val="auto"/>
                <w:sz w:val="24"/>
                <w:szCs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rPr>
                <w:rFonts w:hint="eastAsia" w:ascii="宋体" w:hAnsi="宋体" w:cs="宋体"/>
                <w:color w:val="auto"/>
                <w:sz w:val="24"/>
                <w:highlight w:val="none"/>
                <w:lang w:val="zh-CN"/>
              </w:rPr>
              <w:t xml:space="preserve">。</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投标地点：江苏省政府采购（苏采云）平台投标，线上不见面开标。</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w:t>
            </w:r>
            <w:bookmarkStart w:id="7" w:name="_GoBack"/>
            <w:r/>
            <w:bookmarkEnd w:id="7"/>
            <w:r>
              <w:rPr>
                <w:rFonts w:hint="eastAsia" w:ascii="宋体" w:hAnsi="宋体" w:cs="宋体"/>
                <w:color w:val="auto"/>
                <w:sz w:val="24"/>
                <w:highlight w:val="none"/>
              </w:rPr>
              <w:t xml:space="preserve">采云”系统供应商操作手册》。</w:t>
            </w:r>
            <w:r/>
          </w:p>
          <w:p>
            <w:pPr>
              <w:jc w:val="left"/>
              <w:keepLines w:val="0"/>
              <w:keepNext w:val="0"/>
              <w:pageBreakBefore w:val="0"/>
              <w:spacing w:line="312" w:lineRule="auto"/>
              <w:widowControl/>
              <w:rPr>
                <w:rFonts w:ascii="宋体" w:hAnsi="宋体" w:cs="宋体"/>
                <w:b/>
                <w:bCs/>
                <w:color w:val="auto"/>
                <w:sz w:val="24"/>
                <w:highlight w:val="none"/>
              </w:rPr>
            </w:pPr>
            <w:r>
              <w:rPr>
                <w:rFonts w:hint="eastAsia" w:ascii="宋体" w:hAnsi="宋体" w:cs="宋体"/>
                <w:bCs/>
                <w:color w:val="auto"/>
                <w:sz w:val="24"/>
                <w:highlight w:val="none"/>
              </w:rPr>
              <w:t xml:space="preserve">2、投标文件的授权委托书中需明确授权委托人的联系方式（手机），否则如由于无法及时联系相关授权委托人而造成的一切后果由各投标供应商自行承担。</w:t>
            </w:r>
            <w:r/>
          </w:p>
        </w:tc>
      </w:tr>
      <w:tr>
        <w:trPr>
          <w:jc w:val="center"/>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确定中标单位时间：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highlight w:val="none"/>
                <w:lang w:val="zh-CN"/>
              </w:rPr>
              <w:t xml:space="preserve">评审结束后</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确定中标单位地点：江苏省政府采购（苏采云）平台投标，线上不见面开标。</w:t>
            </w:r>
            <w:r/>
          </w:p>
        </w:tc>
      </w:tr>
      <w:tr>
        <w:trPr>
          <w:jc w:val="center"/>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445" w:type="dxa"/>
            <w:vAlign w:val="center"/>
            <w:textDirection w:val="lrTb"/>
            <w:noWrap/>
          </w:tcPr>
          <w:p>
            <w:pPr>
              <w:jc w:val="left"/>
              <w:keepLines w:val="0"/>
              <w:keepNext w:val="0"/>
              <w:pageBreakBefore w:val="0"/>
              <w:spacing w:line="312" w:lineRule="auto"/>
              <w:widowControl/>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投标文件份数：</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1、因供应商可能会存在操作不熟练、业务不熟悉等因素，为保证开评标流程顺利，供应商如有问题应及时反馈，供应商在投标截止时间前网上上传电子投标文件。</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2、供应商在开标前务必确认电脑浏览器设置、CA证书软件下载等，确保和CA证书匹配可以正常登录苏采云投标客户端。</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3、本项目为不见面开标，投标供应商无需递交纸质投标文件至现场，仅中标供应商在中标公告结束后递交纸质版投标文件一正二副至招标代理机构。若纸质投标文件与电子投标文件不符，则以电子投标文件为准。</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4、供应商请仔细阅读供应商注册流程和招标文件中关于电子开评标等相关事项，如有问题可发送邮件或电话咨询。</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5、本次采购采用江苏省政府采购（苏采云）平台进行采购活动，采购文件发布、报价、评审和中标结果发布全程电子化。</w:t>
            </w:r>
            <w:r/>
          </w:p>
        </w:tc>
      </w:tr>
      <w:tr>
        <w:trPr>
          <w:jc w:val="center"/>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445" w:type="dxa"/>
            <w:vAlign w:val="center"/>
            <w:textDirection w:val="lrTb"/>
            <w:noWrap/>
          </w:tcPr>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采购</w:t>
            </w:r>
            <w:bookmarkStart w:id="1" w:name="OLE_LINK11"/>
            <w:r>
              <w:rPr>
                <w:rFonts w:hint="eastAsia" w:ascii="宋体" w:hAnsi="宋体" w:cs="宋体"/>
                <w:color w:val="auto"/>
                <w:sz w:val="24"/>
                <w:highlight w:val="none"/>
              </w:rPr>
              <w:t xml:space="preserve">人：无锡市精神卫生中心</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联系人：陈女士</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联系电话：0510-83200801</w:t>
            </w:r>
            <w:bookmarkEnd w:id="1"/>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联系地址：无锡市钱荣路156号</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采购代理机构：北京建智达工程管理股份有限公司 </w:t>
            </w:r>
            <w:r/>
          </w:p>
          <w:p>
            <w:pPr>
              <w:jc w:val="left"/>
              <w:keepLines w:val="0"/>
              <w:keepNext w:val="0"/>
              <w:pageBreakBefore w:val="0"/>
              <w:spacing w:line="312"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联系人：黎晓明、杨亚丁、</w:t>
            </w:r>
            <w:r>
              <w:rPr>
                <w:rFonts w:hint="eastAsia" w:ascii="宋体" w:hAnsi="宋体" w:cs="宋体"/>
                <w:color w:val="auto"/>
                <w:sz w:val="24"/>
                <w:highlight w:val="none"/>
                <w:lang w:eastAsia="zh-CN"/>
              </w:rPr>
              <w:t xml:space="preserve">袁沂</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联系电话：0510-85013684</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联系地址：无锡市滨湖区绣溪道59号交大创意园21号楼3楼</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电子邮件地址：</w:t>
            </w:r>
            <w:r>
              <w:rPr>
                <w:rStyle w:val="712"/>
                <w:rFonts w:hint="eastAsia" w:ascii="宋体" w:hAnsi="宋体" w:cs="宋体"/>
                <w:color w:val="auto"/>
                <w:sz w:val="24"/>
                <w:highlight w:val="none"/>
                <w:u w:val="none"/>
              </w:rPr>
              <w:t xml:space="preserve">bjjzdwx@163.com</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有关本次采购活动方面的问题，可来信、来函（传真）或电话联系。</w:t>
            </w:r>
            <w:r/>
          </w:p>
        </w:tc>
      </w:tr>
      <w:tr>
        <w:trPr>
          <w:jc w:val="center"/>
          <w:trHeight w:val="414"/>
        </w:trPr>
        <w:tc>
          <w:tcPr>
            <w:tcW w:w="826" w:type="dxa"/>
            <w:vAlign w:val="center"/>
            <w:textDirection w:val="lrTb"/>
            <w:noWrap/>
          </w:tcPr>
          <w:p>
            <w:pPr>
              <w:jc w:val="center"/>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445" w:type="dxa"/>
            <w:vAlign w:val="center"/>
            <w:textDirection w:val="lrTb"/>
            <w:noWrap/>
          </w:tcPr>
          <w:p>
            <w:pPr>
              <w:jc w:val="left"/>
              <w:keepLines w:val="0"/>
              <w:keepNext w:val="0"/>
              <w:pageBreakBefore w:val="0"/>
              <w:spacing w:line="312"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供应商主体信息库注册：</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1.请有意参加本项目采购活动的供应商按以下流程进行操作：</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（2）办理“意源”CA数字证书和“方正”电子签章（办理地址：无锡市滨湖区观山路199号12号楼二楼9号、10号窗口），办理指南链接：http://jsxcmm.com/help/help.html。</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（3）CA驱动下载：</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技术服务电话：0510-81827781（服务时间：工作日 9:00-11:30，13:00-17:00）</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jc w:val="left"/>
              <w:keepLines w:val="0"/>
              <w:keepNext w:val="0"/>
              <w:pageBreakBefore w:val="0"/>
              <w:spacing w:line="312" w:lineRule="auto"/>
              <w:widowControl/>
              <w:rPr>
                <w:rFonts w:ascii="宋体" w:hAnsi="宋体" w:cs="宋体"/>
                <w:color w:val="auto"/>
                <w:sz w:val="24"/>
                <w:highlight w:val="none"/>
              </w:rPr>
            </w:pPr>
            <w:r>
              <w:rPr>
                <w:rFonts w:hint="eastAsia" w:ascii="宋体" w:hAnsi="宋体" w:cs="宋体"/>
                <w:color w:val="auto"/>
                <w:sz w:val="24"/>
                <w:highlight w:val="none"/>
              </w:rPr>
              <w:t xml:space="preserve">技术支持QQ：田女士：3071474382 ；王先生：897651173。</w:t>
            </w:r>
            <w:r/>
          </w:p>
        </w:tc>
      </w:tr>
    </w:tbl>
    <w:p>
      <w:pPr>
        <w:jc w:val="center"/>
        <w:spacing w:line="360" w:lineRule="auto"/>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第二部分. 投标供应商须知</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（一）遵循原则：</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（二）采购文件：</w:t>
      </w:r>
      <w:r/>
    </w:p>
    <w:p>
      <w:pPr>
        <w:ind w:firstLine="36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1．采购文件包括文件目录所列全部内容，投标供应商应仔细阅读，并在投标文件中充分响应采购文件的所有要求。</w:t>
      </w:r>
      <w:r/>
    </w:p>
    <w:p>
      <w:pPr>
        <w:ind w:firstLine="36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2．投标供应商应登录苏采云平台http://jszfcg.jscz.gov.cn/jszc/login在线申请获取采购文件及有关资料，按采购文件要求提交全部资料并对采购文件各项内容做出实质性响应，否则该投标供应商的投标无效。</w:t>
      </w:r>
      <w:r/>
    </w:p>
    <w:p>
      <w:pPr>
        <w:ind w:firstLine="36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36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4．采购文件一经售出、一律不退，且仅作为本次采购投标使用。</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（三）采购文件的解释：</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1．投标供应商如有需要对采购文件要求澄清的问题，请以书面提出，并按“投标邀请”第6项规定的时间将电子邮件或书面传真发送至北京建智达工程管理股份有限公司 ，联系方式详见“投标邀请”第13项。</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2．采购人、北京建智达工程管理股份有限公司 将按“投标邀请”第6项规定的时间对投标供应商针对采购文件书面提出的要求澄清的问题进行书面答疑。</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（四）采购文件的补充或修正：</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进行必要的澄清或者修改，但不得改变采购标的和资格条件。澄清或者修改应该在中国政府采购网、江苏政府采购网、无锡政府采购网上发布澄清公告。澄清或者修改的内容为招标文件的组成部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bjjzdwx@163.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color w:val="auto"/>
          <w:sz w:val="24"/>
          <w:highlight w:val="none"/>
        </w:rPr>
        <w:t xml:space="preserve">。</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（五）投标文件的组成：（按《“苏采云”系统供应商操作手册》上传对应文件）</w:t>
      </w:r>
      <w:r/>
    </w:p>
    <w:p>
      <w:pPr>
        <w:ind w:firstLine="482"/>
        <w:jc w:val="both"/>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投标文件由商务文件、技术文件组成。（相应内容上传至投标客户端）。</w:t>
      </w:r>
      <w:r/>
    </w:p>
    <w:p>
      <w:pPr>
        <w:pStyle w:val="1096"/>
        <w:ind w:firstLine="482"/>
        <w:jc w:val="both"/>
        <w:keepLines w:val="0"/>
        <w:keepNext w:val="0"/>
        <w:pageBreakBefore w:val="0"/>
        <w:spacing w:line="360" w:lineRule="auto"/>
        <w:tabs>
          <w:tab w:val="left" w:pos="1050" w:leader="none"/>
          <w:tab w:val="left" w:pos="1365" w:leader="none"/>
        </w:tabs>
        <w:rPr>
          <w:b/>
          <w:color w:val="auto"/>
          <w:highlight w:val="none"/>
        </w:rPr>
      </w:pPr>
      <w:r>
        <w:rPr>
          <w:rFonts w:hint="eastAsia"/>
          <w:b/>
          <w:color w:val="auto"/>
          <w:highlight w:val="none"/>
        </w:rPr>
        <w:t xml:space="preserve">一）商务文件部分包括：</w:t>
      </w:r>
      <w:r/>
    </w:p>
    <w:p>
      <w:pPr>
        <w:pStyle w:val="1096"/>
        <w:ind w:firstLine="480"/>
        <w:jc w:val="both"/>
        <w:keepLines w:val="0"/>
        <w:keepNext w:val="0"/>
        <w:pageBreakBefore w:val="0"/>
        <w:spacing w:line="360" w:lineRule="auto"/>
        <w:tabs>
          <w:tab w:val="left" w:pos="1050" w:leader="none"/>
          <w:tab w:val="left" w:pos="1365" w:leader="none"/>
        </w:tabs>
        <w:rPr>
          <w:b/>
          <w:color w:val="auto"/>
          <w:highlight w:val="none"/>
        </w:rPr>
      </w:pPr>
      <w:r>
        <w:rPr>
          <w:rFonts w:hint="eastAsia"/>
          <w:bCs/>
          <w:color w:val="auto"/>
          <w:szCs w:val="20"/>
          <w:highlight w:val="none"/>
        </w:rPr>
        <w:t xml:space="preserve">1、投标</w:t>
      </w:r>
      <w:r>
        <w:rPr>
          <w:rFonts w:hint="eastAsia"/>
          <w:bCs/>
          <w:color w:val="auto"/>
          <w:highlight w:val="none"/>
        </w:rPr>
        <w:t xml:space="preserve">函（格式见附件）</w:t>
      </w:r>
      <w:r/>
    </w:p>
    <w:p>
      <w:pPr>
        <w:ind w:firstLine="480"/>
        <w:jc w:val="both"/>
        <w:keepLines w:val="0"/>
        <w:keepNext w:val="0"/>
        <w:pageBreakBefore w:val="0"/>
        <w:spacing w:line="360" w:lineRule="auto"/>
        <w:tabs>
          <w:tab w:val="left" w:pos="525" w:leader="none"/>
          <w:tab w:val="left" w:pos="1050" w:leader="none"/>
        </w:tabs>
        <w:rPr>
          <w:rFonts w:hAnsi="宋体" w:cs="宋体"/>
          <w:bCs/>
          <w:color w:val="auto"/>
          <w:sz w:val="24"/>
          <w:highlight w:val="none"/>
        </w:rPr>
      </w:pPr>
      <w:r>
        <w:rPr>
          <w:rFonts w:hint="eastAsia" w:ascii="宋体" w:hAnsi="宋体" w:cs="宋体"/>
          <w:bCs/>
          <w:color w:val="auto"/>
          <w:sz w:val="24"/>
          <w:highlight w:val="none"/>
        </w:rPr>
        <w:t xml:space="preserve">2、证</w:t>
      </w:r>
      <w:r>
        <w:rPr>
          <w:rFonts w:hint="eastAsia" w:hAnsi="宋体" w:cs="宋体"/>
          <w:bCs/>
          <w:color w:val="auto"/>
          <w:sz w:val="24"/>
          <w:highlight w:val="none"/>
        </w:rPr>
        <w:t xml:space="preserve">明文件：</w:t>
      </w:r>
      <w:r/>
    </w:p>
    <w:p>
      <w:pPr>
        <w:ind w:firstLine="480"/>
        <w:jc w:val="both"/>
        <w:keepLines w:val="0"/>
        <w:keepNext w:val="0"/>
        <w:pageBreakBefore w:val="0"/>
        <w:spacing w:line="360" w:lineRule="auto"/>
        <w:tabs>
          <w:tab w:val="left" w:pos="420" w:leader="none"/>
          <w:tab w:val="left" w:pos="720" w:leader="none"/>
          <w:tab w:val="left" w:pos="1365" w:leader="none"/>
        </w:tabs>
        <w:rPr>
          <w:rFonts w:hAnsi="宋体" w:cs="宋体"/>
          <w:bCs/>
          <w:color w:val="auto"/>
          <w:sz w:val="24"/>
          <w:highlight w:val="none"/>
        </w:rPr>
      </w:pPr>
      <w:r>
        <w:rPr>
          <w:rFonts w:hint="eastAsia" w:ascii="宋体" w:hAnsi="宋体" w:cs="宋体"/>
          <w:bCs/>
          <w:color w:val="auto"/>
          <w:sz w:val="24"/>
          <w:highlight w:val="none"/>
        </w:rPr>
        <w:t xml:space="preserve">（1）</w:t>
      </w:r>
      <w:r>
        <w:rPr>
          <w:rFonts w:hint="eastAsia" w:hAnsi="宋体" w:cs="宋体"/>
          <w:bCs/>
          <w:color w:val="auto"/>
          <w:sz w:val="24"/>
          <w:highlight w:val="none"/>
        </w:rPr>
        <w:t xml:space="preserve">资格、资信证明文件</w:t>
      </w:r>
      <w:r>
        <w:rPr>
          <w:rFonts w:hint="eastAsia" w:hAnsi="宋体" w:cs="宋体"/>
          <w:b/>
          <w:color w:val="auto"/>
          <w:sz w:val="24"/>
          <w:highlight w:val="none"/>
        </w:rPr>
        <w:t xml:space="preserve">（扫描后上传）</w:t>
      </w:r>
      <w:r/>
    </w:p>
    <w:p>
      <w:pPr>
        <w:ind w:firstLine="480"/>
        <w:jc w:val="both"/>
        <w:keepLines w:val="0"/>
        <w:keepNext w:val="0"/>
        <w:pageBreakBefore w:val="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1.关于资格的声明函；</w:t>
      </w:r>
      <w:r>
        <w:rPr>
          <w:rFonts w:hint="eastAsia" w:ascii="宋体" w:hAnsi="宋体" w:cs="宋体"/>
          <w:b/>
          <w:bCs/>
          <w:color w:val="auto"/>
          <w:sz w:val="24"/>
          <w:highlight w:val="none"/>
        </w:rPr>
        <w:t xml:space="preserve">（格式见附件）</w:t>
      </w:r>
      <w:r/>
    </w:p>
    <w:p>
      <w:pPr>
        <w:ind w:firstLine="480"/>
        <w:jc w:val="both"/>
        <w:keepLines w:val="0"/>
        <w:keepNext w:val="0"/>
        <w:pageBreakBefore w:val="0"/>
        <w:spacing w:line="360" w:lineRule="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olor w:val="auto"/>
          <w:sz w:val="24"/>
          <w:highlight w:val="none"/>
        </w:rPr>
        <w:t xml:space="preserve">投标供应商有效期内法人登记证明材料，如营业执照副本</w:t>
      </w:r>
      <w:r>
        <w:rPr>
          <w:rFonts w:hint="eastAsia" w:ascii="宋体" w:hAnsi="宋体" w:cs="宋体"/>
          <w:bCs/>
          <w:color w:val="auto"/>
          <w:sz w:val="24"/>
          <w:highlight w:val="none"/>
        </w:rPr>
        <w:t xml:space="preserve">（</w:t>
      </w:r>
      <w:r>
        <w:rPr>
          <w:rFonts w:hint="eastAsia" w:ascii="宋体" w:hAnsi="宋体"/>
          <w:b/>
          <w:bCs/>
          <w:color w:val="auto"/>
          <w:sz w:val="24"/>
          <w:szCs w:val="22"/>
          <w:highlight w:val="none"/>
        </w:rPr>
        <w:t xml:space="preserve">扫描件加盖公章</w:t>
      </w:r>
      <w:r>
        <w:rPr>
          <w:rFonts w:hint="eastAsia" w:ascii="宋体" w:hAnsi="宋体" w:cs="宋体"/>
          <w:bCs/>
          <w:color w:val="auto"/>
          <w:sz w:val="24"/>
          <w:highlight w:val="none"/>
        </w:rPr>
        <w:t xml:space="preserve">）；</w:t>
      </w:r>
      <w:r/>
    </w:p>
    <w:p>
      <w:pPr>
        <w:ind w:firstLine="480"/>
        <w:jc w:val="both"/>
        <w:keepLines w:val="0"/>
        <w:keepNext w:val="0"/>
        <w:pageBreakBefore w:val="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3.投标供应商法定代表人授权委托书；</w:t>
      </w:r>
      <w:r>
        <w:rPr>
          <w:rFonts w:hint="eastAsia" w:ascii="宋体" w:hAnsi="宋体" w:cs="宋体"/>
          <w:color w:val="auto"/>
          <w:sz w:val="24"/>
          <w:highlight w:val="none"/>
        </w:rPr>
        <w:t xml:space="preserve">（法定代表人亲自参与投标的除外，格式见附件）；</w:t>
      </w:r>
      <w:r/>
    </w:p>
    <w:p>
      <w:pPr>
        <w:ind w:firstLine="480"/>
        <w:jc w:val="both"/>
        <w:keepLines w:val="0"/>
        <w:keepNext w:val="0"/>
        <w:pageBreakBefore w:val="0"/>
        <w:spacing w:line="360" w:lineRule="auto"/>
        <w:tabs>
          <w:tab w:val="left" w:pos="210" w:leader="none"/>
          <w:tab w:val="left" w:pos="1155" w:leader="none"/>
          <w:tab w:val="left" w:pos="1575" w:leader="none"/>
        </w:tabs>
        <w:rPr>
          <w:rFonts w:ascii="宋体" w:hAnsi="宋体"/>
          <w:color w:val="auto"/>
          <w:sz w:val="24"/>
          <w:highlight w:val="none"/>
        </w:rPr>
      </w:pPr>
      <w:r>
        <w:rPr>
          <w:rFonts w:hint="eastAsia" w:ascii="宋体" w:hAnsi="宋体" w:cs="宋体"/>
          <w:color w:val="auto"/>
          <w:sz w:val="24"/>
          <w:highlight w:val="none"/>
        </w:rPr>
        <w:t xml:space="preserve">4.投标供应商法定代表人身份证及法定代表人授权代表身份证；</w:t>
      </w:r>
      <w:r>
        <w:rPr>
          <w:rFonts w:hint="eastAsia" w:ascii="宋体" w:hAnsi="宋体"/>
          <w:color w:val="auto"/>
          <w:sz w:val="24"/>
          <w:highlight w:val="none"/>
        </w:rPr>
        <w:t xml:space="preserve">（提供正、反面原件扫描件）；</w:t>
      </w:r>
      <w:r/>
    </w:p>
    <w:p>
      <w:pPr>
        <w:ind w:firstLine="480"/>
        <w:jc w:val="both"/>
        <w:keepLines w:val="0"/>
        <w:keepNext w:val="0"/>
        <w:pageBreakBefore w:val="0"/>
        <w:spacing w:line="360" w:lineRule="auto"/>
        <w:tabs>
          <w:tab w:val="left" w:pos="1050" w:leader="none"/>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5.</w:t>
      </w:r>
      <w:bookmarkStart w:id="2" w:name="OLE_LINK49"/>
      <w:r>
        <w:rPr>
          <w:rFonts w:hint="eastAsia" w:ascii="宋体" w:hAnsi="宋体" w:cs="宋体"/>
          <w:color w:val="auto"/>
          <w:sz w:val="24"/>
          <w:highlight w:val="none"/>
        </w:rPr>
        <w:t xml:space="preserve">投标供应商特定资格条件证明材料</w:t>
      </w:r>
      <w:bookmarkEnd w:id="2"/>
      <w:r>
        <w:rPr>
          <w:rFonts w:hint="eastAsia" w:ascii="宋体" w:hAnsi="宋体" w:cs="宋体"/>
          <w:color w:val="auto"/>
          <w:sz w:val="24"/>
          <w:highlight w:val="none"/>
        </w:rPr>
        <w:t xml:space="preserve">：</w:t>
      </w:r>
      <w:r>
        <w:rPr>
          <w:rFonts w:hint="eastAsia" w:ascii="宋体" w:hAnsi="宋体"/>
          <w:color w:val="auto"/>
          <w:sz w:val="24"/>
          <w:highlight w:val="none"/>
        </w:rPr>
        <w:t xml:space="preserve">投标供应商需具备有效期内的《药品生产许可证》或《药品经营许可证》。</w:t>
      </w:r>
      <w:r/>
    </w:p>
    <w:p>
      <w:pPr>
        <w:ind w:firstLine="480"/>
        <w:jc w:val="both"/>
        <w:keepLines w:val="0"/>
        <w:keepNext w:val="0"/>
        <w:pageBreakBefore w:val="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color w:val="auto"/>
          <w:sz w:val="24"/>
          <w:highlight w:val="none"/>
        </w:rPr>
        <w:t xml:space="preserve">6.投标供应商近三个月（</w:t>
      </w:r>
      <w:r>
        <w:rPr>
          <w:rFonts w:hint="eastAsia" w:ascii="宋体" w:hAnsi="宋体" w:cs="宋体"/>
          <w:color w:val="auto"/>
          <w:sz w:val="24"/>
          <w:highlight w:val="none"/>
          <w:lang w:eastAsia="zh-CN"/>
        </w:rPr>
        <w:t xml:space="preserve">2025年1月-2025年3月</w:t>
      </w:r>
      <w:r>
        <w:rPr>
          <w:rFonts w:hint="eastAsia" w:ascii="宋体" w:hAnsi="宋体" w:cs="宋体"/>
          <w:color w:val="auto"/>
          <w:sz w:val="24"/>
          <w:highlight w:val="none"/>
        </w:rPr>
        <w:t xml:space="preserve">）中任意一个月份的财务状况报表（资产负债表、利润表）或由会计师事务所出</w:t>
      </w:r>
      <w:r>
        <w:rPr>
          <w:rFonts w:hint="eastAsia" w:ascii="宋体" w:hAnsi="宋体" w:cs="宋体"/>
          <w:bCs/>
          <w:color w:val="auto"/>
          <w:sz w:val="24"/>
          <w:highlight w:val="none"/>
        </w:rPr>
        <w:t xml:space="preserve">具的2023年度审计报告和所附已审财务报告；</w:t>
      </w:r>
      <w:r/>
    </w:p>
    <w:p>
      <w:pPr>
        <w:ind w:firstLine="480"/>
        <w:jc w:val="both"/>
        <w:keepLines w:val="0"/>
        <w:keepNext w:val="0"/>
        <w:pageBreakBefore w:val="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w:t>
      </w:r>
      <w:r>
        <w:rPr>
          <w:rFonts w:hint="eastAsia" w:ascii="宋体" w:hAnsi="宋体" w:cs="宋体"/>
          <w:color w:val="auto"/>
          <w:sz w:val="24"/>
          <w:highlight w:val="none"/>
        </w:rPr>
        <w:t xml:space="preserve">近</w:t>
      </w:r>
      <w:r>
        <w:rPr>
          <w:rFonts w:ascii="宋体" w:hAnsi="宋体" w:cs="宋体"/>
          <w:color w:val="auto"/>
          <w:sz w:val="24"/>
          <w:highlight w:val="none"/>
        </w:rPr>
        <w:t xml:space="preserve">三</w:t>
      </w:r>
      <w:r>
        <w:rPr>
          <w:rFonts w:hint="eastAsia" w:ascii="宋体" w:hAnsi="宋体" w:cs="宋体"/>
          <w:color w:val="auto"/>
          <w:sz w:val="24"/>
          <w:highlight w:val="none"/>
        </w:rPr>
        <w:t xml:space="preserve">个月（</w:t>
      </w:r>
      <w:r>
        <w:rPr>
          <w:rFonts w:hint="eastAsia" w:ascii="宋体" w:hAnsi="宋体" w:cs="宋体"/>
          <w:color w:val="auto"/>
          <w:sz w:val="24"/>
          <w:highlight w:val="none"/>
          <w:lang w:eastAsia="zh-CN"/>
        </w:rPr>
        <w:t xml:space="preserve">2025年1月-2025年3月</w:t>
      </w:r>
      <w:r>
        <w:rPr>
          <w:rFonts w:hint="eastAsia" w:ascii="宋体" w:hAnsi="宋体" w:cs="宋体"/>
          <w:color w:val="auto"/>
          <w:sz w:val="24"/>
          <w:highlight w:val="none"/>
        </w:rPr>
        <w:t xml:space="preserve">）中</w:t>
      </w:r>
      <w:r>
        <w:rPr>
          <w:rFonts w:hint="eastAsia" w:ascii="宋体" w:hAnsi="宋体" w:cs="宋体"/>
          <w:bCs/>
          <w:color w:val="auto"/>
          <w:sz w:val="24"/>
          <w:highlight w:val="none"/>
        </w:rPr>
        <w:t xml:space="preserve">任意一个月份的依法缴纳税收的相关材料（提供相关主管部门证明或银行代扣证明）；</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highlight w:val="none"/>
        </w:rPr>
        <w:t xml:space="preserve">8.投标</w:t>
      </w:r>
      <w:r>
        <w:rPr>
          <w:rFonts w:hint="eastAsia" w:ascii="宋体" w:hAnsi="宋体" w:cs="宋体"/>
          <w:color w:val="auto"/>
          <w:sz w:val="24"/>
          <w:highlight w:val="none"/>
        </w:rPr>
        <w:t xml:space="preserve">供应商近三个月（</w:t>
      </w:r>
      <w:r>
        <w:rPr>
          <w:rFonts w:hint="eastAsia" w:ascii="宋体" w:hAnsi="宋体" w:cs="宋体"/>
          <w:color w:val="auto"/>
          <w:sz w:val="24"/>
          <w:highlight w:val="none"/>
          <w:lang w:eastAsia="zh-CN"/>
        </w:rPr>
        <w:t xml:space="preserve">2025年1月-2025年3月</w:t>
      </w:r>
      <w:r>
        <w:rPr>
          <w:rFonts w:hint="eastAsia" w:ascii="宋体" w:hAnsi="宋体" w:cs="宋体"/>
          <w:color w:val="auto"/>
          <w:sz w:val="24"/>
          <w:highlight w:val="none"/>
        </w:rPr>
        <w:t xml:space="preserve">）中</w:t>
      </w:r>
      <w:r>
        <w:rPr>
          <w:rFonts w:hint="eastAsia" w:ascii="宋体" w:hAnsi="宋体" w:cs="宋体"/>
          <w:bCs/>
          <w:color w:val="auto"/>
          <w:sz w:val="24"/>
          <w:highlight w:val="none"/>
        </w:rPr>
        <w:t xml:space="preserve">任意一个月份的依法缴纳社会保障资金的相关材料（提供相关主管部门证明或银行代扣证明）；</w:t>
      </w:r>
      <w:r/>
    </w:p>
    <w:p>
      <w:pPr>
        <w:ind w:firstLine="480"/>
        <w:jc w:val="both"/>
        <w:keepLines w:val="0"/>
        <w:keepNext w:val="0"/>
        <w:pageBreakBefore w:val="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9.被授权代表提供法定的社保收缴部门出具的</w:t>
      </w:r>
      <w:r>
        <w:rPr>
          <w:rFonts w:hint="eastAsia" w:ascii="宋体" w:hAnsi="宋体" w:cs="宋体"/>
          <w:color w:val="auto"/>
          <w:sz w:val="24"/>
          <w:highlight w:val="none"/>
        </w:rPr>
        <w:t xml:space="preserve">近三个月（</w:t>
      </w:r>
      <w:r>
        <w:rPr>
          <w:rFonts w:hint="eastAsia" w:ascii="宋体" w:hAnsi="宋体" w:cs="宋体"/>
          <w:color w:val="auto"/>
          <w:sz w:val="24"/>
          <w:highlight w:val="none"/>
          <w:lang w:eastAsia="zh-CN"/>
        </w:rPr>
        <w:t xml:space="preserve">2025年1月-2025年3月</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中任意一个月的投标供应商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lang w:val="zh-CN"/>
        </w:rPr>
        <w:t xml:space="preserve">；</w:t>
      </w:r>
      <w:r/>
    </w:p>
    <w:p>
      <w:pPr>
        <w:ind w:firstLine="480"/>
        <w:jc w:val="both"/>
        <w:keepLines w:val="0"/>
        <w:keepNext w:val="0"/>
        <w:pageBreakBefore w:val="0"/>
        <w:spacing w:line="360" w:lineRule="auto"/>
        <w:tabs>
          <w:tab w:val="left" w:pos="1050" w:leader="none"/>
          <w:tab w:val="left" w:pos="120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10.承诺书；（格式见附件）</w:t>
      </w:r>
      <w:r/>
    </w:p>
    <w:p>
      <w:pPr>
        <w:ind w:firstLine="516"/>
        <w:jc w:val="both"/>
        <w:keepLines w:val="0"/>
        <w:keepNext w:val="0"/>
        <w:pageBreakBefore w:val="0"/>
        <w:spacing w:line="360" w:lineRule="auto"/>
        <w:tabs>
          <w:tab w:val="left" w:pos="0" w:leader="none"/>
        </w:tabs>
        <w:rPr>
          <w:color w:val="auto"/>
          <w:highlight w:val="none"/>
        </w:rPr>
      </w:pPr>
      <w:r>
        <w:rPr>
          <w:rFonts w:hint="eastAsia" w:ascii="宋体" w:hAnsi="宋体" w:cs="宋体"/>
          <w:b/>
          <w:color w:val="auto"/>
          <w:sz w:val="24"/>
          <w:highlight w:val="none"/>
        </w:rPr>
        <w:t xml:space="preserve">注：</w:t>
      </w:r>
      <w:r>
        <w:rPr>
          <w:rFonts w:hint="eastAsia" w:ascii="宋体" w:hAnsi="宋体" w:cs="宋体"/>
          <w:b/>
          <w:bCs/>
          <w:color w:val="auto"/>
          <w:sz w:val="24"/>
          <w:highlight w:val="none"/>
        </w:rPr>
        <w:t xml:space="preserve">投标供应商须提供上述资料原件的扫描件加盖公章上传至投标系统中。</w:t>
      </w:r>
      <w:r/>
    </w:p>
    <w:p>
      <w:pPr>
        <w:ind w:firstLine="482"/>
        <w:jc w:val="both"/>
        <w:keepLines w:val="0"/>
        <w:keepNext w:val="0"/>
        <w:pageBreakBefore w:val="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上述资格、资信证明文件投标供应商必须按要求全部提供，否则投标文件无效。如上述资格、资信证明文件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jc w:val="both"/>
        <w:keepLines w:val="0"/>
        <w:keepNext w:val="0"/>
        <w:pageBreakBefore w:val="0"/>
        <w:spacing w:line="360" w:lineRule="auto"/>
        <w:tabs>
          <w:tab w:val="left" w:pos="1050" w:leader="none"/>
          <w:tab w:val="left" w:pos="120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4、补充证明文件（投标供应商可按情况自行提供）</w:t>
      </w:r>
      <w:r/>
    </w:p>
    <w:p>
      <w:pPr>
        <w:ind w:firstLine="480"/>
        <w:jc w:val="both"/>
        <w:keepLines w:val="0"/>
        <w:keepNext w:val="0"/>
        <w:pageBreakBefore w:val="0"/>
        <w:spacing w:line="360" w:lineRule="auto"/>
        <w:tabs>
          <w:tab w:val="left" w:pos="210" w:leader="none"/>
          <w:tab w:val="left" w:pos="1155" w:leader="none"/>
          <w:tab w:val="left" w:pos="1575" w:leader="none"/>
        </w:tabs>
        <w:rPr>
          <w:rFonts w:ascii="宋体" w:hAnsi="宋体"/>
          <w:color w:val="auto"/>
          <w:sz w:val="24"/>
          <w:highlight w:val="none"/>
        </w:rPr>
      </w:pPr>
      <w:r>
        <w:rPr>
          <w:rFonts w:hint="eastAsia" w:ascii="宋体" w:hAnsi="宋体"/>
          <w:bCs/>
          <w:color w:val="auto"/>
          <w:sz w:val="24"/>
          <w:highlight w:val="none"/>
        </w:rPr>
        <w:t xml:space="preserve">5、</w:t>
      </w:r>
      <w:r>
        <w:rPr>
          <w:rFonts w:hint="eastAsia" w:ascii="宋体" w:hAnsi="宋体"/>
          <w:color w:val="auto"/>
          <w:sz w:val="24"/>
          <w:highlight w:val="none"/>
        </w:rPr>
        <w:t xml:space="preserve">投标供应商认为有必要提供的其他资料（参照评分标准要求及采购需求）。</w:t>
      </w:r>
      <w:r/>
    </w:p>
    <w:p>
      <w:pPr>
        <w:ind w:firstLine="480"/>
        <w:jc w:val="both"/>
        <w:keepLines w:val="0"/>
        <w:keepNext w:val="0"/>
        <w:pageBreakBefore w:val="0"/>
        <w:spacing w:line="360" w:lineRule="auto"/>
        <w:tabs>
          <w:tab w:val="left" w:pos="210" w:leader="none"/>
          <w:tab w:val="left" w:pos="1155" w:leader="none"/>
          <w:tab w:val="left" w:pos="1575" w:leader="none"/>
        </w:tabs>
        <w:rPr>
          <w:rFonts w:ascii="宋体" w:hAnsi="宋体"/>
          <w:color w:val="auto"/>
          <w:sz w:val="24"/>
          <w:highlight w:val="none"/>
        </w:rPr>
      </w:pPr>
      <w:r>
        <w:rPr>
          <w:rFonts w:hint="eastAsia" w:ascii="宋体" w:hAnsi="宋体"/>
          <w:color w:val="auto"/>
          <w:sz w:val="24"/>
          <w:highlight w:val="none"/>
        </w:rPr>
        <w:t xml:space="preserve">6、投标偏离表（格式见附件）。</w:t>
      </w:r>
      <w:r/>
    </w:p>
    <w:p>
      <w:pPr>
        <w:ind w:firstLine="480"/>
        <w:jc w:val="both"/>
        <w:keepLines w:val="0"/>
        <w:keepNext w:val="0"/>
        <w:pageBreakBefore w:val="0"/>
        <w:spacing w:line="360" w:lineRule="auto"/>
        <w:tabs>
          <w:tab w:val="left" w:pos="210" w:leader="none"/>
          <w:tab w:val="left" w:pos="1155" w:leader="none"/>
          <w:tab w:val="left" w:pos="1575" w:leader="none"/>
        </w:tabs>
        <w:rPr>
          <w:rFonts w:ascii="宋体" w:hAnsi="宋体"/>
          <w:color w:val="auto"/>
          <w:sz w:val="24"/>
          <w:highlight w:val="none"/>
        </w:rPr>
      </w:pPr>
      <w:r>
        <w:rPr>
          <w:rFonts w:hint="eastAsia" w:ascii="宋体" w:hAnsi="宋体"/>
          <w:color w:val="auto"/>
          <w:sz w:val="24"/>
          <w:highlight w:val="none"/>
        </w:rPr>
        <w:t xml:space="preserve">7、报价部分（格式见附件）</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bCs/>
          <w:color w:val="auto"/>
          <w:sz w:val="24"/>
          <w:highlight w:val="none"/>
        </w:rPr>
        <w:t xml:space="preserve">（1）</w:t>
      </w:r>
      <w:r>
        <w:rPr>
          <w:rFonts w:hint="eastAsia" w:ascii="宋体" w:hAnsi="宋体" w:cs="宋体"/>
          <w:color w:val="auto"/>
          <w:sz w:val="24"/>
          <w:highlight w:val="none"/>
        </w:rPr>
        <w:t xml:space="preserve">开标一览表</w:t>
      </w:r>
      <w:r/>
    </w:p>
    <w:p>
      <w:pPr>
        <w:ind w:firstLine="482"/>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二）技术文件部分（此部分为暗标）</w:t>
      </w:r>
      <w:r/>
    </w:p>
    <w:p>
      <w:pPr>
        <w:pStyle w:val="955"/>
        <w:ind w:left="0" w:firstLine="480"/>
        <w:jc w:val="both"/>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rPr>
          <w:rFonts w:hint="eastAsia" w:ascii="宋体" w:hAnsi="宋体" w:eastAsia="宋体" w:cs="宋体"/>
          <w:bCs/>
          <w:color w:val="auto"/>
          <w:sz w:val="24"/>
          <w:szCs w:val="24"/>
          <w:highlight w:val="none"/>
        </w:rPr>
        <w:t xml:space="preserve">投标供应商应按评分标准中的顺序编制完整的服务方案，以便评审</w:t>
      </w:r>
      <w:r>
        <w:rPr>
          <w:rFonts w:hint="eastAsia" w:ascii="宋体" w:hAnsi="宋体" w:eastAsia="宋体" w:cs="宋体"/>
          <w:color w:val="auto"/>
          <w:sz w:val="24"/>
          <w:szCs w:val="24"/>
          <w:highlight w:val="none"/>
        </w:rPr>
        <w:t xml:space="preserve">）</w:t>
      </w:r>
      <w:r/>
    </w:p>
    <w:p>
      <w:pPr>
        <w:ind w:firstLine="482"/>
        <w:jc w:val="both"/>
        <w:keepLines w:val="0"/>
        <w:keepNext w:val="0"/>
        <w:pageBreakBefore w:val="0"/>
        <w:spacing w:line="360" w:lineRule="auto"/>
        <w:tabs>
          <w:tab w:val="left" w:pos="525" w:leader="none"/>
          <w:tab w:val="left" w:pos="898" w:leader="none"/>
          <w:tab w:val="left" w:pos="1050" w:leader="none"/>
        </w:tabs>
        <w:rPr>
          <w:rFonts w:ascii="宋体" w:hAnsi="宋体"/>
          <w:b/>
          <w:color w:val="auto"/>
          <w:sz w:val="24"/>
          <w:highlight w:val="none"/>
        </w:rPr>
      </w:pPr>
      <w:r>
        <w:rPr>
          <w:rFonts w:hint="eastAsia" w:ascii="宋体" w:hAnsi="宋体" w:cs="宋体"/>
          <w:color w:val="auto"/>
          <w:sz w:val="24"/>
          <w:highlight w:val="none"/>
        </w:rPr>
        <w:t xml:space="preserve">注：</w:t>
      </w:r>
      <w:r>
        <w:rPr>
          <w:rFonts w:hint="eastAsia" w:ascii="宋体" w:hAnsi="宋体"/>
          <w:b/>
          <w:color w:val="auto"/>
          <w:sz w:val="24"/>
          <w:highlight w:val="none"/>
        </w:rPr>
        <w:t xml:space="preserve">暗标编制装订要求：</w:t>
      </w:r>
      <w:r/>
    </w:p>
    <w:p>
      <w:pPr>
        <w:numPr>
          <w:ilvl w:val="255"/>
          <w:numId w:val="0"/>
        </w:numPr>
        <w:ind w:firstLine="480"/>
        <w:jc w:val="both"/>
        <w:keepLines w:val="0"/>
        <w:keepNext w:val="0"/>
        <w:pageBreakBefore w:val="0"/>
        <w:spacing w:line="360" w:lineRule="auto"/>
        <w:tabs>
          <w:tab w:val="left" w:pos="525" w:leader="none"/>
          <w:tab w:val="left" w:pos="898"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排版要求：</w:t>
      </w:r>
      <w:bookmarkStart w:id="3" w:name="OLE_LINK1"/>
      <w:r>
        <w:rPr>
          <w:rFonts w:hint="eastAsia" w:ascii="宋体" w:hAnsi="宋体"/>
          <w:bCs/>
          <w:color w:val="auto"/>
          <w:sz w:val="24"/>
          <w:highlight w:val="none"/>
        </w:rPr>
        <w:t xml:space="preserve">正文字号为小四号，字体不限。文本内容应当连续，不得有空白页。文本可插入图片（图片可黑白、可彩色），全篇文本中图片里的字号、字体不作限制。</w:t>
      </w:r>
      <w:bookmarkEnd w:id="3"/>
      <w:r/>
      <w:r/>
    </w:p>
    <w:p>
      <w:pPr>
        <w:numPr>
          <w:ilvl w:val="255"/>
          <w:numId w:val="0"/>
        </w:numPr>
        <w:ind w:firstLine="480"/>
        <w:jc w:val="both"/>
        <w:keepLines w:val="0"/>
        <w:keepNext w:val="0"/>
        <w:pageBreakBefore w:val="0"/>
        <w:spacing w:line="360" w:lineRule="auto"/>
        <w:tabs>
          <w:tab w:val="left" w:pos="525" w:leader="none"/>
          <w:tab w:val="left" w:pos="898" w:leader="none"/>
          <w:tab w:val="left" w:pos="1050" w:leader="none"/>
        </w:tabs>
        <w:rPr>
          <w:rFonts w:ascii="宋体" w:hAnsi="宋体" w:cs="宋体"/>
          <w:bCs/>
          <w:color w:val="auto"/>
          <w:sz w:val="24"/>
          <w:szCs w:val="20"/>
          <w:highlight w:val="none"/>
        </w:rPr>
      </w:pPr>
      <w:r>
        <w:rPr>
          <w:rFonts w:hint="eastAsia" w:ascii="宋体" w:hAnsi="宋体"/>
          <w:bCs/>
          <w:color w:val="auto"/>
          <w:sz w:val="24"/>
          <w:highlight w:val="none"/>
        </w:rPr>
        <w:t xml:space="preserve">暗标（包括插入图片）不得出现投标供应商名称、商标、公司logo、人员姓名及其联系地址和方式，要求版面整洁、字迹清楚、不许涂改，不得出现能显示企业特征或其他提示性的标记或标识，也不得采用任何不符合常规、有别于其他投标供应商的特殊做法。</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（六）投标文件的要求：</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1.所有文件、往来函件均应使用简体中文（规格、型号辅助符号除外）。</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2.投标文件由投标供应商按给定格式如实填写（编写），须有法人（盖章）、法定代表人或法定代表人授权代表签字或盖章，方为有效，未尽事宜可自行补充。</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3.投标供应商报价一律以人民币为报价结算货币，结算单位为“元”。</w:t>
      </w:r>
      <w:r/>
    </w:p>
    <w:p>
      <w:pPr>
        <w:ind w:firstLine="360"/>
        <w:jc w:val="both"/>
        <w:keepLines w:val="0"/>
        <w:keepNext w:val="0"/>
        <w:pageBreakBefore w:val="0"/>
        <w:spacing w:line="360" w:lineRule="auto"/>
        <w:tabs>
          <w:tab w:val="left" w:pos="0" w:leader="none"/>
          <w:tab w:val="left" w:pos="704" w:leader="none"/>
        </w:tabs>
        <w:rPr>
          <w:rFonts w:ascii="宋体" w:hAnsi="宋体" w:cs="宋体"/>
          <w:b/>
          <w:bCs/>
          <w:color w:val="auto"/>
          <w:sz w:val="24"/>
          <w:highlight w:val="none"/>
        </w:rPr>
      </w:pPr>
      <w:r>
        <w:rPr>
          <w:rFonts w:hint="eastAsia" w:ascii="宋体" w:hAnsi="宋体" w:cs="宋体"/>
          <w:color w:val="auto"/>
          <w:sz w:val="24"/>
          <w:highlight w:val="none"/>
        </w:rPr>
        <w:t xml:space="preserve">4.投标文件格式部分，应由投标供应商按给定格式提供，不得更改。</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5.中标单位在中标公告结束后递交纸质版投标文件一正二副至招标代理机构，</w:t>
      </w:r>
      <w:r>
        <w:rPr>
          <w:rFonts w:hint="eastAsia" w:ascii="宋体" w:hAnsi="宋体" w:cs="宋体"/>
          <w:color w:val="auto"/>
          <w:sz w:val="24"/>
          <w:highlight w:val="none"/>
          <w:lang w:val="zh-CN"/>
        </w:rPr>
        <w:t xml:space="preserve">若纸质投标文件与电子投标文件不符，则以电子投标文件为准</w:t>
      </w:r>
      <w:r>
        <w:rPr>
          <w:rFonts w:hint="eastAsia" w:ascii="宋体" w:hAnsi="宋体" w:cs="宋体"/>
          <w:color w:val="auto"/>
          <w:sz w:val="24"/>
          <w:highlight w:val="none"/>
        </w:rPr>
        <w:t xml:space="preserve">。</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6.供应商在开标前务必确认电脑浏览器设置、CA证书软件下载等，确保和CA证书匹配可以正常登录苏采云投标客户端。</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7.供应商请仔细阅读供应商注册流程和招标文件中关于电子开评标等相关事项，如有问题可发送邮件或电话咨询。</w:t>
      </w:r>
      <w:r/>
    </w:p>
    <w:p>
      <w:pPr>
        <w:ind w:firstLine="36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8.本次采购采用“苏采云”系统进行采购活动，采购文件发布、报价、评审和中标结果发布全程电子化。</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（七）网上投标</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1、潜在投标供应商可在项目招标公告附件中查看公开招标文件，如确定投标，必须在苏采云平台（http://jszfcg.jscz.gov.cn/jszc/login</w:t>
      </w:r>
      <w:r>
        <w:rPr>
          <w:rFonts w:hint="eastAsia" w:ascii="宋体" w:hAnsi="宋体" w:cs="宋体"/>
          <w:color w:val="auto"/>
          <w:sz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2、招标文件（后缀名为“.kedt”）、“苏采云”系统供应商操作手册及政府采购客户端工具也可通过“苏采云”系统--已参与项目--报名详情页面内相应链接进行下载。</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4、投标供应商应对CA数字证书妥善保管，如被他人盗用投标，后果自负。</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5、投标供应商按招标文件规定的网上解密时间进行解密，如未按时解密后果自负。</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注：①</w:t>
      </w:r>
      <w:r>
        <w:rPr>
          <w:rFonts w:hint="eastAsia" w:ascii="宋体" w:hAnsi="宋体" w:cs="宋体"/>
          <w:color w:val="auto"/>
          <w:sz w:val="24"/>
          <w:highlight w:val="none"/>
        </w:rPr>
        <w:t xml:space="preserve">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6、投标供应商应当对招标文件提出的要求和条件作出实质性响应，并在电子投标系统逐条应答。</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7、投标供应商应对要求提供的资格证明文件（如资质证书、资格证书）、技术资料（如白皮书、彩页、手册、检测报告等）扫描上传至投标系统。</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8、投标文件不应有涂改、增删和潦草之处，如有必须修改时，修改处必须有法人、法定代表人或法定代表人授权代表的签章。</w:t>
      </w:r>
      <w:r/>
    </w:p>
    <w:p>
      <w:pPr>
        <w:ind w:firstLine="480"/>
        <w:jc w:val="both"/>
        <w:keepLines w:val="0"/>
        <w:keepNext w:val="0"/>
        <w:pageBreakBefore w:val="0"/>
        <w:spacing w:line="360" w:lineRule="auto"/>
        <w:tabs>
          <w:tab w:val="left" w:pos="0" w:leader="none"/>
          <w:tab w:val="left" w:pos="704" w:leader="none"/>
        </w:tabs>
        <w:rPr>
          <w:rFonts w:ascii="宋体" w:hAnsi="宋体" w:cs="宋体"/>
          <w:color w:val="auto"/>
          <w:sz w:val="24"/>
          <w:highlight w:val="none"/>
        </w:rPr>
      </w:pPr>
      <w:r>
        <w:rPr>
          <w:rFonts w:hint="eastAsia" w:ascii="宋体" w:hAnsi="宋体" w:cs="宋体"/>
          <w:color w:val="auto"/>
          <w:sz w:val="24"/>
          <w:highlight w:val="none"/>
        </w:rPr>
        <w:t xml:space="preserve">9、投标费用自理。</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（八）无效投标文件的确认：</w:t>
      </w:r>
      <w:r/>
    </w:p>
    <w:p>
      <w:pPr>
        <w:ind w:firstLine="36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投标供应商有下列情况之一者，其投标文件无效：</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bCs/>
          <w:color w:val="auto"/>
          <w:sz w:val="24"/>
          <w:highlight w:val="none"/>
        </w:rPr>
        <w:t xml:space="preserve">未按规定在</w:t>
      </w:r>
      <w:r>
        <w:rPr>
          <w:rFonts w:hint="eastAsia" w:ascii="宋体" w:hAnsi="宋体" w:cs="宋体"/>
          <w:color w:val="auto"/>
          <w:sz w:val="24"/>
          <w:highlight w:val="none"/>
        </w:rPr>
        <w:t xml:space="preserve">江苏省政府采购（苏采云）平台</w:t>
      </w:r>
      <w:r>
        <w:rPr>
          <w:rFonts w:hint="eastAsia" w:ascii="宋体" w:hAnsi="宋体"/>
          <w:bCs/>
          <w:color w:val="auto"/>
          <w:sz w:val="24"/>
          <w:highlight w:val="none"/>
        </w:rPr>
        <w:t xml:space="preserve">注册的</w:t>
      </w:r>
      <w:r>
        <w:rPr>
          <w:rFonts w:hint="eastAsia" w:ascii="宋体" w:hAnsi="宋体" w:cs="宋体"/>
          <w:color w:val="auto"/>
          <w:sz w:val="24"/>
          <w:highlight w:val="none"/>
        </w:rPr>
        <w:t xml:space="preserve">；</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电子投标文件未按规定的期限投标的；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电子投标文件未按要求密封、签署、盖章、</w:t>
      </w:r>
      <w:bookmarkStart w:id="4" w:name="_Hlk95937726"/>
      <w:r>
        <w:rPr>
          <w:rFonts w:hint="eastAsia" w:ascii="宋体" w:hAnsi="宋体" w:cs="宋体"/>
          <w:color w:val="auto"/>
          <w:sz w:val="24"/>
          <w:highlight w:val="none"/>
        </w:rPr>
        <w:t xml:space="preserve">上传至系统</w:t>
      </w:r>
      <w:bookmarkEnd w:id="4"/>
      <w:r>
        <w:rPr>
          <w:rFonts w:hint="eastAsia" w:ascii="宋体" w:hAnsi="宋体" w:cs="宋体"/>
          <w:color w:val="auto"/>
          <w:sz w:val="24"/>
          <w:highlight w:val="none"/>
        </w:rPr>
        <w:t xml:space="preserve">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供应商未按采购文件要求解密投标文件的；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投标供应商的法定代表人授权代表，无法定代表人授权委托书的；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不具备招标文件中规定的资格要求及未按招标文件规定的要求提供资格证明文件的；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投标文件含有采购人不能接受的附加条件的；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投标文件未按招标文件规定的格式、内容和要求填写、制作的；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投标文件书写潦草、字迹模糊不清、无法辨认的；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投标文件中有招标文件未允许提供的选择性内容的；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恶意串通其他投标供应商，故意哄抬价格或压价的；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提供虚假材料的（包括工商营业执照、财务报表、资格证明文件等）；</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不同投标供应商聘请同一人为其报价提供技术或经济咨询服务的；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不同投标供应商的单位负责人为同一人或者存在直接控股、管理关系的；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改变招标文件规定的暂定价格或不可竞争费用的；改变招标文件规定的服务期、误期违约金、质量标准及质量违约金的；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改变招标文件提供的工程量清单中的清单编码、计量单位、采购数量、项目特征；</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投标文件报价出现前后不一致，投标供应商拒不确认修正后的报价的；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超过招标文件规定的最高限价的；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未通过初步资格性审查、投标文件资格性检查、投标文件符合性检查的；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投标供应商的报价畸高或畸低，在询标时没有合理的解释或者不能提供计算依据和报价依据的；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不同投标供应商的投标文件的装订形式、纸张情况、目录序号、排版格式、文字风格等存在明显的相似性或一致性，特征显示由同一单位或者同一个人编制的；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不同投标供应商投标文件内容存在非正常一致、项目组成员或者联系人员出现同一人、投标文件中错误（或异常）一致或雷同、</w:t>
      </w:r>
      <w:r>
        <w:rPr>
          <w:rStyle w:val="1165"/>
          <w:rFonts w:hint="eastAsia" w:ascii="宋体" w:hAnsi="宋体" w:cs="宋体"/>
          <w:color w:val="auto"/>
          <w:sz w:val="24"/>
          <w:highlight w:val="none"/>
        </w:rPr>
        <w:t xml:space="preserve">上传系统的文档信息一致或雷同的，或者</w:t>
      </w:r>
      <w:r>
        <w:rPr>
          <w:rFonts w:hint="eastAsia" w:ascii="宋体" w:hAnsi="宋体" w:cs="宋体"/>
          <w:color w:val="auto"/>
          <w:sz w:val="24"/>
          <w:highlight w:val="none"/>
        </w:rPr>
        <w:t xml:space="preserve">投标报价呈规律性差异；</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不同投标供应商的委托代理人、项目负责人以及其他相关人员有在同一个单位缴纳社会保险的；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同一投标文件中单位名称落款与公章不是同一单位的；</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olor w:val="auto"/>
          <w:sz w:val="24"/>
          <w:highlight w:val="none"/>
        </w:rPr>
        <w:t xml:space="preserve">投标供应商的投标文件上传使用的MAC地址、标书制作工具客户端标识码或IP地址一致的，不同投标文件留有相同标记标识、存在两处以上一致性错误或雷同等情况，视为投标供应商相互围标、串标，其投标无效；</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
        </w:numPr>
        <w:ind w:left="0" w:firstLine="420"/>
        <w:jc w:val="both"/>
        <w:keepLines w:val="0"/>
        <w:keepNext w:val="0"/>
        <w:pageBreakBefore w:val="0"/>
        <w:spacing w:line="360" w:lineRule="auto"/>
        <w:tabs>
          <w:tab w:val="left" w:pos="0" w:leader="none"/>
          <w:tab w:val="clear" w:pos="900" w:leader="none"/>
        </w:tabs>
        <w:rPr>
          <w:rFonts w:ascii="宋体" w:hAnsi="宋体"/>
          <w:color w:val="auto"/>
          <w:sz w:val="24"/>
          <w:highlight w:val="none"/>
        </w:rPr>
      </w:pPr>
      <w:r>
        <w:rPr>
          <w:rFonts w:hint="eastAsia" w:ascii="宋体" w:hAnsi="宋体"/>
          <w:color w:val="auto"/>
          <w:sz w:val="24"/>
          <w:highlight w:val="none"/>
        </w:rPr>
        <w:t xml:space="preserve">投标文件暗标部分中出现该投标供应商单位名称、简称、人员姓名、Logo、商标、电话号码等任何标识标记及其他暗示性标志的； </w:t>
      </w:r>
      <w:r/>
    </w:p>
    <w:p>
      <w:pPr>
        <w:numPr>
          <w:ilvl w:val="0"/>
          <w:numId w:val="1"/>
        </w:numPr>
        <w:ind w:left="0" w:firstLine="480"/>
        <w:jc w:val="both"/>
        <w:keepLines w:val="0"/>
        <w:keepNext w:val="0"/>
        <w:pageBreakBefore w:val="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投标文件内容不全或不符合法律法规和招标文件中规定的其他实质性要求的。</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（九） 开标、评标：</w:t>
      </w:r>
      <w:r/>
    </w:p>
    <w:p>
      <w:pPr>
        <w:ind w:firstLine="480"/>
        <w:jc w:val="both"/>
        <w:keepLines w:val="0"/>
        <w:keepNext w:val="0"/>
        <w:pageBreakBefore w:val="0"/>
        <w:spacing w:line="360" w:lineRule="auto"/>
        <w:tabs>
          <w:tab w:val="left" w:pos="525" w:leader="none"/>
          <w:tab w:val="left" w:pos="840" w:leader="none"/>
          <w:tab w:val="left" w:pos="1050" w:leader="none"/>
          <w:tab w:val="left" w:pos="1146" w:leader="none"/>
          <w:tab w:val="left" w:pos="177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1.所有投标单位在采购文件规定的时间内解密各自投标文件。</w:t>
      </w:r>
      <w:r/>
    </w:p>
    <w:p>
      <w:pPr>
        <w:pStyle w:val="1168"/>
        <w:ind w:firstLine="480"/>
        <w:jc w:val="both"/>
        <w:keepLines w:val="0"/>
        <w:keepNext w:val="0"/>
        <w:pageBreakBefore w:val="0"/>
        <w:spacing w:line="360" w:lineRule="auto"/>
        <w:rPr>
          <w:rStyle w:val="1165"/>
          <w:rFonts w:ascii="宋体" w:hAnsi="宋体" w:cs="宋体"/>
          <w:color w:val="auto"/>
          <w:sz w:val="24"/>
          <w:highlight w:val="none"/>
        </w:rPr>
      </w:pPr>
      <w:r>
        <w:rPr>
          <w:rStyle w:val="1165"/>
          <w:rFonts w:ascii="宋体" w:hAnsi="宋体" w:cs="宋体"/>
          <w:color w:val="auto"/>
          <w:sz w:val="24"/>
          <w:highlight w:val="none"/>
        </w:rPr>
        <w:t xml:space="preserve">解密后，供应商须自行准备设备（包括但不限于笔记本电脑、</w:t>
      </w:r>
      <w:r>
        <w:rPr>
          <w:rStyle w:val="1165"/>
          <w:rFonts w:hint="eastAsia" w:ascii="宋体" w:hAnsi="宋体" w:cs="宋体"/>
          <w:color w:val="auto"/>
          <w:sz w:val="24"/>
          <w:highlight w:val="none"/>
        </w:rPr>
        <w:t xml:space="preserve">CA锁、</w:t>
      </w:r>
      <w:r>
        <w:rPr>
          <w:rStyle w:val="1165"/>
          <w:rFonts w:ascii="宋体" w:hAnsi="宋体" w:cs="宋体"/>
          <w:color w:val="auto"/>
          <w:sz w:val="24"/>
          <w:highlight w:val="none"/>
        </w:rPr>
        <w:t xml:space="preserve">无线网络</w:t>
      </w:r>
      <w:r>
        <w:rPr>
          <w:rStyle w:val="1165"/>
          <w:rFonts w:hint="eastAsia" w:ascii="宋体" w:hAnsi="宋体" w:cs="宋体"/>
          <w:color w:val="auto"/>
          <w:sz w:val="24"/>
          <w:highlight w:val="none"/>
        </w:rPr>
        <w:t xml:space="preserve">热点</w:t>
      </w:r>
      <w:r>
        <w:rPr>
          <w:rStyle w:val="1165"/>
          <w:rFonts w:ascii="宋体" w:hAnsi="宋体" w:cs="宋体"/>
          <w:color w:val="auto"/>
          <w:sz w:val="24"/>
          <w:highlight w:val="none"/>
        </w:rPr>
        <w:t xml:space="preserve">）登录“</w:t>
      </w:r>
      <w:r>
        <w:rPr>
          <w:rStyle w:val="1165"/>
          <w:rFonts w:hint="eastAsia" w:ascii="宋体" w:hAnsi="宋体" w:cs="宋体"/>
          <w:color w:val="auto"/>
          <w:sz w:val="24"/>
          <w:highlight w:val="none"/>
        </w:rPr>
        <w:t xml:space="preserve">江苏省政府采购（苏采云）平台</w:t>
      </w:r>
      <w:r>
        <w:rPr>
          <w:rStyle w:val="1165"/>
          <w:rFonts w:ascii="宋体" w:hAnsi="宋体" w:cs="宋体"/>
          <w:color w:val="auto"/>
          <w:sz w:val="24"/>
          <w:highlight w:val="none"/>
        </w:rPr>
        <w:t xml:space="preserve">”，按采购文件规定时间解密后，在评审过程中保持在线，等待</w:t>
      </w:r>
      <w:r>
        <w:rPr>
          <w:rStyle w:val="1165"/>
          <w:rFonts w:hint="eastAsia" w:ascii="宋体" w:hAnsi="宋体" w:cs="宋体"/>
          <w:color w:val="auto"/>
          <w:sz w:val="24"/>
          <w:highlight w:val="none"/>
        </w:rPr>
        <w:t xml:space="preserve">评审</w:t>
      </w:r>
      <w:r>
        <w:rPr>
          <w:rStyle w:val="1165"/>
          <w:rFonts w:ascii="宋体" w:hAnsi="宋体" w:cs="宋体"/>
          <w:color w:val="auto"/>
          <w:sz w:val="24"/>
          <w:highlight w:val="none"/>
        </w:rPr>
        <w:t xml:space="preserve">小组的</w:t>
      </w:r>
      <w:r>
        <w:rPr>
          <w:rStyle w:val="1165"/>
          <w:rFonts w:hint="eastAsia" w:ascii="宋体" w:hAnsi="宋体" w:cs="宋体"/>
          <w:color w:val="auto"/>
          <w:sz w:val="24"/>
          <w:highlight w:val="none"/>
        </w:rPr>
        <w:t xml:space="preserve">询标（如有）</w:t>
      </w:r>
      <w:r>
        <w:rPr>
          <w:rStyle w:val="1165"/>
          <w:rFonts w:ascii="宋体" w:hAnsi="宋体" w:cs="宋体"/>
          <w:color w:val="auto"/>
          <w:sz w:val="24"/>
          <w:highlight w:val="none"/>
        </w:rPr>
        <w:t xml:space="preserve">、按要求报价，并等待评审结果，中途不得离开。如未按要求应答，由此所产生的损失及风险由供应商自行承担。</w:t>
      </w:r>
      <w:r/>
    </w:p>
    <w:p>
      <w:pPr>
        <w:ind w:firstLine="480"/>
        <w:jc w:val="both"/>
        <w:keepLines w:val="0"/>
        <w:keepNext w:val="0"/>
        <w:pageBreakBefore w:val="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2.投标截止时间后参加投标的供应商或解密投标文件的供应商不足3家的，不进行评审。投标供应商按开评标流程参与本次投标，开评标流程如下：开标等待----〉开标主持----〉供应商解密----〉唱标----〉评审----〉评审结束。说明：整个开评标环节，供应商只需要在【供应商解密】环节进行 CA 解密、【唱标】环节进行唱标确认、【评审】环节等待询标澄清或最终报价的准备，其余环节均为语音播报，供应商观看开标即可。</w:t>
      </w:r>
      <w:r/>
    </w:p>
    <w:p>
      <w:pPr>
        <w:ind w:firstLine="480"/>
        <w:jc w:val="both"/>
        <w:keepLines w:val="0"/>
        <w:keepNext w:val="0"/>
        <w:pageBreakBefore w:val="0"/>
        <w:spacing w:line="360" w:lineRule="auto"/>
        <w:tabs>
          <w:tab w:val="left" w:pos="840" w:leader="none"/>
          <w:tab w:val="left" w:pos="105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3.资格性审查：</w:t>
      </w:r>
      <w:r/>
    </w:p>
    <w:p>
      <w:pPr>
        <w:ind w:firstLine="480"/>
        <w:jc w:val="both"/>
        <w:keepLines w:val="0"/>
        <w:keepNext w:val="0"/>
        <w:pageBreakBefore w:val="0"/>
        <w:spacing w:line="360" w:lineRule="auto"/>
        <w:tabs>
          <w:tab w:val="left" w:pos="52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3.1.1投标文件资格性检查由</w:t>
      </w:r>
      <w:r>
        <w:rPr>
          <w:rFonts w:hint="eastAsia" w:ascii="宋体" w:hAnsi="宋体" w:cs="宋体"/>
          <w:bCs/>
          <w:color w:val="auto"/>
          <w:sz w:val="24"/>
          <w:szCs w:val="20"/>
          <w:highlight w:val="none"/>
        </w:rPr>
        <w:t xml:space="preserve">采购代理机构组建的资</w:t>
      </w:r>
      <w:r>
        <w:rPr>
          <w:rFonts w:hint="eastAsia" w:ascii="宋体" w:hAnsi="宋体" w:cs="宋体"/>
          <w:color w:val="auto"/>
          <w:sz w:val="24"/>
          <w:szCs w:val="20"/>
          <w:highlight w:val="none"/>
        </w:rPr>
        <w:t xml:space="preserve">格审查小组负责。</w:t>
      </w:r>
      <w:r/>
    </w:p>
    <w:p>
      <w:pPr>
        <w:ind w:firstLine="480"/>
        <w:jc w:val="both"/>
        <w:keepLines w:val="0"/>
        <w:keepNext w:val="0"/>
        <w:pageBreakBefore w:val="0"/>
        <w:spacing w:line="360" w:lineRule="auto"/>
        <w:tabs>
          <w:tab w:val="left" w:pos="52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3.1.2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jc w:val="both"/>
        <w:keepLines w:val="0"/>
        <w:keepNext w:val="0"/>
        <w:pageBreakBefore w:val="0"/>
        <w:spacing w:line="360" w:lineRule="auto"/>
        <w:tabs>
          <w:tab w:val="left" w:pos="52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3.1.3信用信息查询</w:t>
      </w:r>
      <w:r/>
    </w:p>
    <w:p>
      <w:pPr>
        <w:ind w:firstLine="480"/>
        <w:jc w:val="both"/>
        <w:keepLines w:val="0"/>
        <w:keepNext w:val="0"/>
        <w:pageBreakBefore w:val="0"/>
        <w:spacing w:line="360" w:lineRule="auto"/>
        <w:tabs>
          <w:tab w:val="left" w:pos="52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采购代理机构在开标后通过“信用中国”网站（www.creditchina.gov.cn）、中国政府采购网（</w:t>
      </w:r>
      <w:r>
        <w:rPr>
          <w:rFonts w:hint="eastAsia" w:ascii="宋体" w:hAnsi="宋体" w:cs="宋体"/>
          <w:color w:val="auto"/>
          <w:sz w:val="24"/>
          <w:szCs w:val="20"/>
          <w:highlight w:val="none"/>
          <w:u w:val="none"/>
        </w:rPr>
        <w:t xml:space="preserve">www.ccgp.gov.cn</w:t>
      </w:r>
      <w:r>
        <w:rPr>
          <w:rFonts w:hint="eastAsia" w:ascii="宋体" w:hAnsi="宋体" w:cs="宋体"/>
          <w:color w:val="auto"/>
          <w:sz w:val="24"/>
          <w:szCs w:val="20"/>
          <w:highlight w:val="none"/>
        </w:rPr>
        <w:t xml:space="preserve">)、</w:t>
      </w:r>
      <w:r>
        <w:rPr>
          <w:rFonts w:hint="eastAsia" w:ascii="宋体" w:hAnsi="宋体" w:cs="宋体"/>
          <w:color w:val="auto"/>
          <w:sz w:val="24"/>
          <w:highlight w:val="none"/>
        </w:rPr>
        <w:t xml:space="preserve">“信用江苏”（http://credit.jiangsu.gov.cn/）</w:t>
      </w:r>
      <w:r>
        <w:rPr>
          <w:rFonts w:hint="eastAsia" w:ascii="宋体" w:hAnsi="宋体" w:cs="宋体"/>
          <w:color w:val="auto"/>
          <w:sz w:val="24"/>
          <w:szCs w:val="20"/>
          <w:highlight w:val="none"/>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p>
    <w:p>
      <w:pPr>
        <w:ind w:firstLine="482"/>
        <w:jc w:val="both"/>
        <w:keepLines w:val="0"/>
        <w:keepNext w:val="0"/>
        <w:pageBreakBefore w:val="0"/>
        <w:spacing w:line="360" w:lineRule="auto"/>
        <w:tabs>
          <w:tab w:val="left" w:pos="0" w:leader="none"/>
        </w:tabs>
        <w:rPr>
          <w:rFonts w:ascii="宋体" w:hAnsi="宋体" w:cs="宋体"/>
          <w:b/>
          <w:color w:val="auto"/>
          <w:sz w:val="24"/>
          <w:szCs w:val="20"/>
          <w:highlight w:val="none"/>
        </w:rPr>
      </w:pPr>
      <w:r>
        <w:rPr>
          <w:rFonts w:hint="eastAsia" w:ascii="宋体" w:hAnsi="宋体" w:cs="宋体"/>
          <w:b/>
          <w:color w:val="auto"/>
          <w:sz w:val="24"/>
          <w:szCs w:val="20"/>
          <w:highlight w:val="none"/>
        </w:rPr>
        <w:t xml:space="preserve">4.评标工作程序：</w:t>
      </w:r>
      <w:r/>
    </w:p>
    <w:p>
      <w:pPr>
        <w:ind w:firstLine="480"/>
        <w:jc w:val="both"/>
        <w:keepLines w:val="0"/>
        <w:keepNext w:val="0"/>
        <w:pageBreakBefore w:val="0"/>
        <w:spacing w:line="360" w:lineRule="auto"/>
        <w:tabs>
          <w:tab w:val="left" w:pos="945"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4.1采购人依法组建评标委员会，并实行回避制度。开标、评标工作由采购代理机构负责组织。</w:t>
      </w:r>
      <w:r/>
    </w:p>
    <w:p>
      <w:pPr>
        <w:ind w:firstLine="480"/>
        <w:jc w:val="both"/>
        <w:keepLines w:val="0"/>
        <w:keepNext w:val="0"/>
        <w:pageBreakBefore w:val="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具体开标、评审事务由依法组建的评标委员会负责。如有争议最终由评标委员会认定。</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4.2投标文件报价出现前后不一致的，按照下列规定修正：</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（1）投标文件中开标一览表内容与投标文件中相应内容不一致的，以开标一览表为准；</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（2）大写金额和小写金额不一致的，以大写金额为准；</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（3）单价金额小数点或者百分比有明显错位的，以开标一览表的总价为准，并修改单价；</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（4）总价金额与按单价汇总金额不一致的，以单价金额计算结果为准。</w:t>
      </w:r>
      <w:r/>
    </w:p>
    <w:p>
      <w:pPr>
        <w:ind w:firstLine="480"/>
        <w:jc w:val="both"/>
        <w:keepLines w:val="0"/>
        <w:keepNext w:val="0"/>
        <w:pageBreakBefore w:val="0"/>
        <w:spacing w:line="360" w:lineRule="auto"/>
        <w:tabs>
          <w:tab w:val="left" w:pos="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r/>
    </w:p>
    <w:p>
      <w:pPr>
        <w:ind w:firstLine="480"/>
        <w:jc w:val="both"/>
        <w:keepLines w:val="0"/>
        <w:keepNext w:val="0"/>
        <w:pageBreakBefore w:val="0"/>
        <w:spacing w:line="360" w:lineRule="auto"/>
        <w:tabs>
          <w:tab w:val="left" w:pos="1365"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4.3 投标文件符合性检查。</w:t>
      </w:r>
      <w:r/>
    </w:p>
    <w:p>
      <w:pPr>
        <w:ind w:firstLine="480"/>
        <w:jc w:val="both"/>
        <w:keepLines w:val="0"/>
        <w:keepNext w:val="0"/>
        <w:pageBreakBefore w:val="0"/>
        <w:spacing w:line="360" w:lineRule="auto"/>
        <w:tabs>
          <w:tab w:val="left" w:pos="525"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4.3.1评标委员会对符合资格要求的投标供应商的投标文件进行符合性审查，以确定其是否满足采购文件的实质性要求。</w:t>
      </w:r>
      <w:r/>
    </w:p>
    <w:p>
      <w:pPr>
        <w:ind w:firstLine="480"/>
        <w:jc w:val="both"/>
        <w:keepLines w:val="0"/>
        <w:keepNext w:val="0"/>
        <w:pageBreakBefore w:val="0"/>
        <w:spacing w:line="360" w:lineRule="auto"/>
        <w:tabs>
          <w:tab w:val="left" w:pos="52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4.3.2 对于投标文件中含义不明确、同类问题表述不一致或者有明显文字和计算错误的内容，评标委员会应当要求投标供应商作出必要的澄清、说明或者补正。</w:t>
      </w:r>
      <w:r/>
    </w:p>
    <w:p>
      <w:pPr>
        <w:ind w:firstLine="480"/>
        <w:jc w:val="both"/>
        <w:keepLines w:val="0"/>
        <w:keepNext w:val="0"/>
        <w:pageBreakBefore w:val="0"/>
        <w:spacing w:line="360" w:lineRule="auto"/>
        <w:tabs>
          <w:tab w:val="left" w:pos="136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cs="宋体"/>
          <w:color w:val="auto"/>
          <w:sz w:val="24"/>
          <w:highlight w:val="none"/>
        </w:rPr>
        <w:t xml:space="preserve">若投标供应商被授权代表未在规定时间内按上述要求作出回复，则视为投标供应商默认资审结果或评审结果。</w:t>
      </w:r>
      <w:r/>
    </w:p>
    <w:p>
      <w:pPr>
        <w:ind w:firstLine="480"/>
        <w:jc w:val="both"/>
        <w:keepLines w:val="0"/>
        <w:keepNext w:val="0"/>
        <w:pageBreakBefore w:val="0"/>
        <w:spacing w:line="360" w:lineRule="auto"/>
        <w:tabs>
          <w:tab w:val="left" w:pos="136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4.4比较与评价</w:t>
      </w:r>
      <w:r/>
    </w:p>
    <w:p>
      <w:pPr>
        <w:ind w:firstLine="480"/>
        <w:jc w:val="both"/>
        <w:keepLines w:val="0"/>
        <w:keepNext w:val="0"/>
        <w:pageBreakBefore w:val="0"/>
        <w:spacing w:line="360" w:lineRule="auto"/>
        <w:tabs>
          <w:tab w:val="left" w:pos="1365" w:leader="none"/>
        </w:tabs>
        <w:rPr>
          <w:rFonts w:ascii="宋体" w:hAnsi="宋体" w:cs="宋体"/>
          <w:color w:val="auto"/>
          <w:sz w:val="24"/>
          <w:szCs w:val="22"/>
          <w:highlight w:val="none"/>
        </w:rPr>
      </w:pPr>
      <w:r>
        <w:rPr>
          <w:rFonts w:hint="eastAsia" w:ascii="宋体" w:hAnsi="宋体" w:cs="宋体"/>
          <w:color w:val="auto"/>
          <w:sz w:val="24"/>
          <w:szCs w:val="20"/>
          <w:highlight w:val="none"/>
        </w:rPr>
        <w:t xml:space="preserve">4.4</w:t>
      </w:r>
      <w:r>
        <w:rPr>
          <w:rFonts w:hint="eastAsia" w:ascii="宋体" w:hAnsi="宋体" w:cs="宋体"/>
          <w:color w:val="auto"/>
          <w:sz w:val="24"/>
          <w:szCs w:val="22"/>
          <w:highlight w:val="none"/>
        </w:rPr>
        <w:t xml:space="preserve">.1投标文件资格性检查和符合性检查结束后，凡属于“（八）无效投标文件的确认”的投标文件不进入比较与评价程序。</w:t>
      </w:r>
      <w:r/>
    </w:p>
    <w:p>
      <w:pPr>
        <w:ind w:firstLine="480"/>
        <w:jc w:val="both"/>
        <w:keepLines w:val="0"/>
        <w:keepNext w:val="0"/>
        <w:pageBreakBefore w:val="0"/>
        <w:spacing w:line="360" w:lineRule="auto"/>
        <w:tabs>
          <w:tab w:val="left" w:pos="1365"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4.4</w:t>
      </w:r>
      <w:r>
        <w:rPr>
          <w:rFonts w:hint="eastAsia" w:ascii="宋体" w:hAnsi="宋体" w:cs="宋体"/>
          <w:color w:val="auto"/>
          <w:sz w:val="24"/>
          <w:szCs w:val="22"/>
          <w:highlight w:val="none"/>
        </w:rPr>
        <w:t xml:space="preserve">.2经评审有效的投标文件按采购文件中规定的评标方法和标准，由评标委员会进行比较与评价。</w:t>
      </w:r>
      <w:r/>
    </w:p>
    <w:p>
      <w:pPr>
        <w:ind w:firstLine="480"/>
        <w:jc w:val="both"/>
        <w:keepLines w:val="0"/>
        <w:keepNext w:val="0"/>
        <w:pageBreakBefore w:val="0"/>
        <w:spacing w:line="360" w:lineRule="auto"/>
        <w:tabs>
          <w:tab w:val="left" w:pos="1365" w:leader="none"/>
        </w:tabs>
        <w:rPr>
          <w:rFonts w:ascii="宋体" w:hAnsi="宋体" w:cs="宋体"/>
          <w:bCs/>
          <w:color w:val="auto"/>
          <w:sz w:val="24"/>
          <w:szCs w:val="20"/>
          <w:highlight w:val="none"/>
        </w:rPr>
      </w:pPr>
      <w:r>
        <w:rPr>
          <w:rFonts w:hint="eastAsia" w:ascii="宋体" w:hAnsi="宋体" w:cs="宋体"/>
          <w:color w:val="auto"/>
          <w:sz w:val="24"/>
          <w:szCs w:val="20"/>
          <w:highlight w:val="none"/>
        </w:rPr>
        <w:t xml:space="preserve">4.4</w:t>
      </w:r>
      <w:r>
        <w:rPr>
          <w:rFonts w:hint="eastAsia" w:ascii="宋体" w:hAnsi="宋体" w:cs="宋体"/>
          <w:bCs/>
          <w:color w:val="auto"/>
          <w:sz w:val="24"/>
          <w:szCs w:val="20"/>
          <w:highlight w:val="none"/>
        </w:rPr>
        <w:t xml:space="preserve">.3评审全部结束后，由工作人员在公证或监督下，汇总各投标供应商商务标和技术标得分，确定各投标供应商总分和最终排序。</w:t>
      </w:r>
      <w:r/>
    </w:p>
    <w:p>
      <w:pPr>
        <w:ind w:firstLine="480"/>
        <w:jc w:val="both"/>
        <w:keepLines w:val="0"/>
        <w:keepNext w:val="0"/>
        <w:pageBreakBefore w:val="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 评标方法</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投标供应商通过资格性与符合性审查的，方可进入比较与评价程序。</w:t>
      </w:r>
      <w:r/>
    </w:p>
    <w:p>
      <w:pPr>
        <w:ind w:firstLine="480"/>
        <w:jc w:val="both"/>
        <w:keepLines w:val="0"/>
        <w:keepNext w:val="0"/>
        <w:pageBreakBefore w:val="0"/>
        <w:spacing w:line="360" w:lineRule="auto"/>
        <w:tabs>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比较与评价采用综合评分法（计分均保留2位小数），</w:t>
      </w:r>
      <w:r>
        <w:rPr>
          <w:rFonts w:hint="eastAsia" w:ascii="宋体" w:hAnsi="宋体" w:cs="宋体"/>
          <w:color w:val="auto"/>
          <w:sz w:val="24"/>
          <w:highlight w:val="none"/>
        </w:rPr>
        <w:t xml:space="preserve">评审委员会遵循公平、公正、择优原则，独立按照评分标准分别评定投标供应商的分值；</w:t>
      </w:r>
      <w:r>
        <w:rPr>
          <w:rFonts w:hint="eastAsia" w:ascii="宋体" w:hAnsi="宋体" w:cs="宋体"/>
          <w:bCs/>
          <w:color w:val="auto"/>
          <w:sz w:val="24"/>
          <w:highlight w:val="none"/>
        </w:rPr>
        <w:t xml:space="preserve">评标结果按评审后得分由高到低顺序排列。得分相同的，按投标报价由低到高顺序排列。得分且投标报价相同的并列。</w:t>
      </w:r>
      <w:r>
        <w:rPr>
          <w:rFonts w:hint="eastAsia" w:ascii="宋体" w:hAnsi="宋体" w:cs="宋体"/>
          <w:b/>
          <w:color w:val="auto"/>
          <w:sz w:val="24"/>
          <w:highlight w:val="none"/>
        </w:rPr>
        <w:t xml:space="preserve">投标文件满足采购文件全部实质性要求，且按照评审因素的量化指标评审得分最高的为中标供应商。未列入本评分标准的其他条件不作为评分内容。</w:t>
      </w:r>
      <w:r/>
    </w:p>
    <w:p>
      <w:pPr>
        <w:numPr>
          <w:ilvl w:val="0"/>
          <w:numId w:val="8"/>
        </w:numPr>
        <w:jc w:val="both"/>
        <w:keepLines w:val="0"/>
        <w:keepNext w:val="0"/>
        <w:pageBreakBefore w:val="0"/>
        <w:spacing w:line="360" w:lineRule="auto"/>
        <w:rPr>
          <w:rFonts w:ascii="宋体" w:hAnsi="宋体" w:cs="宋体"/>
          <w:b/>
          <w:color w:val="auto"/>
          <w:sz w:val="24"/>
          <w:szCs w:val="20"/>
          <w:highlight w:val="none"/>
        </w:rPr>
        <w:outlineLvl w:val="0"/>
      </w:pPr>
      <w:r>
        <w:rPr>
          <w:rFonts w:hint="eastAsia" w:ascii="宋体" w:hAnsi="宋体" w:cs="宋体"/>
          <w:b/>
          <w:color w:val="auto"/>
          <w:sz w:val="24"/>
          <w:szCs w:val="20"/>
          <w:highlight w:val="none"/>
        </w:rPr>
        <w:t xml:space="preserve">评分项目及分值（总分100分）</w:t>
      </w:r>
      <w:r/>
    </w:p>
    <w:p>
      <w:pPr>
        <w:jc w:val="both"/>
        <w:keepLines w:val="0"/>
        <w:keepNext w:val="0"/>
        <w:pageBreakBefore w:val="0"/>
        <w:spacing w:line="360" w:lineRule="auto"/>
        <w:rPr>
          <w:rFonts w:ascii="宋体" w:hAnsi="宋体" w:cs="宋体"/>
          <w:b/>
          <w:color w:val="auto"/>
          <w:sz w:val="24"/>
          <w:szCs w:val="20"/>
          <w:highlight w:val="none"/>
        </w:rPr>
      </w:pPr>
      <w:r>
        <w:rPr>
          <w:rFonts w:hint="eastAsia" w:ascii="宋体" w:hAnsi="宋体" w:cs="宋体"/>
          <w:b/>
          <w:color w:val="auto"/>
          <w:sz w:val="24"/>
          <w:szCs w:val="20"/>
          <w:highlight w:val="none"/>
        </w:rPr>
        <w:t xml:space="preserve">总分（100分）=报价部分（30分）+商务标（20分）+技术标（50分，暗标）</w:t>
      </w:r>
      <w:r/>
    </w:p>
    <w:p>
      <w:pPr>
        <w:jc w:val="both"/>
        <w:keepLines w:val="0"/>
        <w:keepNext w:val="0"/>
        <w:pageBreakBefore w:val="0"/>
        <w:spacing w:line="360" w:lineRule="auto"/>
        <w:rPr>
          <w:rFonts w:ascii="宋体" w:hAnsi="宋体" w:cs="宋体"/>
          <w:b/>
          <w:color w:val="auto"/>
          <w:sz w:val="24"/>
          <w:szCs w:val="20"/>
          <w:highlight w:val="none"/>
        </w:rPr>
      </w:pPr>
      <w:r>
        <w:rPr>
          <w:rFonts w:hint="eastAsia" w:ascii="宋体" w:hAnsi="宋体" w:cs="宋体"/>
          <w:b/>
          <w:color w:val="auto"/>
          <w:sz w:val="24"/>
          <w:szCs w:val="20"/>
          <w:highlight w:val="none"/>
        </w:rPr>
        <w:t xml:space="preserve">一）报价部分（30分）</w:t>
      </w:r>
      <w:r/>
    </w:p>
    <w:p>
      <w:pPr>
        <w:pStyle w:val="973"/>
        <w:ind w:firstLine="480"/>
        <w:jc w:val="both"/>
        <w:keepLines w:val="0"/>
        <w:keepNext w:val="0"/>
        <w:pageBreakBefore w:val="0"/>
        <w:spacing w:line="360" w:lineRule="auto"/>
        <w:tabs>
          <w:tab w:val="left" w:pos="680" w:leader="none"/>
        </w:tabs>
        <w:rPr>
          <w:color w:val="auto"/>
          <w:highlight w:val="none"/>
        </w:rPr>
      </w:pPr>
      <w:r>
        <w:rPr>
          <w:rFonts w:hint="eastAsia"/>
          <w:color w:val="auto"/>
          <w:highlight w:val="none"/>
        </w:rPr>
        <w:t xml:space="preserve">报价得分中药饮片优惠率占比80%，代加工服务的优惠率占比20%，供应商在开标一览表中对中药饮片优惠率和代加工服务的优惠率分别进行报价后，根据下方的公式换算后得出评标优惠率。评标优惠率=中药饮片的优惠率×0.8+代加工服务的优惠率×0.2</w:t>
      </w:r>
      <w:r/>
    </w:p>
    <w:p>
      <w:pPr>
        <w:pStyle w:val="973"/>
        <w:ind w:firstLine="480"/>
        <w:jc w:val="both"/>
        <w:keepLines w:val="0"/>
        <w:keepNext w:val="0"/>
        <w:pageBreakBefore w:val="0"/>
        <w:spacing w:line="360" w:lineRule="auto"/>
        <w:tabs>
          <w:tab w:val="left" w:pos="680" w:leader="none"/>
        </w:tabs>
        <w:rPr>
          <w:color w:val="auto"/>
          <w:highlight w:val="none"/>
        </w:rPr>
      </w:pPr>
      <w:r>
        <w:rPr>
          <w:rFonts w:hint="eastAsia"/>
          <w:color w:val="auto"/>
          <w:highlight w:val="none"/>
        </w:rPr>
        <w:t xml:space="preserve">例：中药饮片的优惠率为5%,代加工服务的优惠率为4%，则评标优惠率为5%*0.8+4%*0.2=4.8%（计算时，按百分制，精确到小数点后两位）；合同签订时，按照中药饮片的优惠率为5%,代加工服务的优惠率为4%签订合同。前文仅做含义解释，不作为任何优惠率报价指引。</w:t>
      </w:r>
      <w:r/>
    </w:p>
    <w:p>
      <w:pPr>
        <w:pStyle w:val="973"/>
        <w:ind w:firstLine="480"/>
        <w:jc w:val="both"/>
        <w:keepLines w:val="0"/>
        <w:keepNext w:val="0"/>
        <w:pageBreakBefore w:val="0"/>
        <w:spacing w:line="360" w:lineRule="auto"/>
        <w:tabs>
          <w:tab w:val="left" w:pos="680" w:leader="none"/>
        </w:tabs>
        <w:rPr>
          <w:color w:val="auto"/>
          <w:highlight w:val="none"/>
        </w:rPr>
      </w:pPr>
      <w:r>
        <w:rPr>
          <w:rFonts w:hint="eastAsia"/>
          <w:color w:val="auto"/>
          <w:highlight w:val="none"/>
        </w:rPr>
        <w:t xml:space="preserve">采用低价优先法计算，即满足采购文件要求且有效的评标优惠率最高为评标基准价，满分30分。其他投标供应商的价格分统一按照下列公式计算：</w:t>
      </w:r>
      <w:r/>
    </w:p>
    <w:p>
      <w:pPr>
        <w:pStyle w:val="973"/>
        <w:ind w:firstLine="480"/>
        <w:jc w:val="both"/>
        <w:keepLines w:val="0"/>
        <w:keepNext w:val="0"/>
        <w:pageBreakBefore w:val="0"/>
        <w:spacing w:line="360" w:lineRule="auto"/>
        <w:tabs>
          <w:tab w:val="left" w:pos="680" w:leader="none"/>
        </w:tabs>
        <w:rPr>
          <w:color w:val="auto"/>
          <w:highlight w:val="none"/>
        </w:rPr>
      </w:pPr>
      <w:r>
        <w:rPr>
          <w:rFonts w:hint="eastAsia"/>
          <w:color w:val="auto"/>
          <w:highlight w:val="none"/>
        </w:rPr>
        <w:t xml:space="preserve">投标报价得分=（1-评标基准价）／（1-投标报价）×价格权值×100，结果保留两位小数。</w:t>
      </w:r>
      <w:r/>
    </w:p>
    <w:p>
      <w:pPr>
        <w:ind w:firstLine="482"/>
        <w:jc w:val="both"/>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小微型企业价格扣除：</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5.如允许联合体投标的项目，且存在联合投标的，</w:t>
      </w:r>
      <w:r>
        <w:rPr>
          <w:rFonts w:ascii="宋体" w:hAnsi="宋体"/>
          <w:bCs/>
          <w:color w:val="auto"/>
          <w:sz w:val="24"/>
          <w:highlight w:val="none"/>
        </w:rPr>
        <w:t xml:space="preserve">联合协议中约定</w:t>
      </w:r>
      <w:r>
        <w:rPr>
          <w:rFonts w:hint="eastAsia" w:ascii="宋体" w:hAnsi="宋体"/>
          <w:bCs/>
          <w:color w:val="auto"/>
          <w:sz w:val="24"/>
          <w:highlight w:val="none"/>
        </w:rPr>
        <w:t xml:space="preserve">，</w:t>
      </w:r>
      <w:r>
        <w:rPr>
          <w:rFonts w:ascii="宋体" w:hAnsi="宋体"/>
          <w:bCs/>
          <w:color w:val="auto"/>
          <w:sz w:val="24"/>
          <w:highlight w:val="none"/>
        </w:rPr>
        <w:t xml:space="preserve">小型、微型企业（</w:t>
      </w:r>
      <w:r>
        <w:rPr>
          <w:rFonts w:hint="eastAsia" w:ascii="宋体" w:hAnsi="宋体"/>
          <w:bCs/>
          <w:color w:val="auto"/>
          <w:sz w:val="24"/>
          <w:highlight w:val="none"/>
        </w:rPr>
        <w:t xml:space="preserve">监狱</w:t>
      </w:r>
      <w:r>
        <w:rPr>
          <w:rFonts w:ascii="宋体" w:hAnsi="宋体"/>
          <w:bCs/>
          <w:color w:val="auto"/>
          <w:sz w:val="24"/>
          <w:highlight w:val="none"/>
        </w:rPr>
        <w:t xml:space="preserve">企业、残疾人福利性单位视同小型、微型企业</w:t>
      </w:r>
      <w:r>
        <w:rPr>
          <w:rFonts w:hint="eastAsia" w:ascii="宋体" w:hAnsi="宋体"/>
          <w:bCs/>
          <w:color w:val="auto"/>
          <w:sz w:val="24"/>
          <w:highlight w:val="none"/>
        </w:rPr>
        <w:t xml:space="preserve">，</w:t>
      </w:r>
      <w:r>
        <w:rPr>
          <w:rFonts w:ascii="宋体" w:hAnsi="宋体"/>
          <w:bCs/>
          <w:color w:val="auto"/>
          <w:sz w:val="24"/>
          <w:highlight w:val="none"/>
        </w:rPr>
        <w:t xml:space="preserve">下同）</w:t>
      </w:r>
      <w:r>
        <w:rPr>
          <w:rFonts w:hint="eastAsia" w:ascii="宋体" w:hAnsi="宋体"/>
          <w:bCs/>
          <w:color w:val="auto"/>
          <w:sz w:val="24"/>
          <w:highlight w:val="none"/>
        </w:rPr>
        <w:t xml:space="preserve">的</w:t>
      </w:r>
      <w:r>
        <w:rPr>
          <w:rFonts w:ascii="宋体" w:hAnsi="宋体"/>
          <w:bCs/>
          <w:color w:val="auto"/>
          <w:sz w:val="24"/>
          <w:highlight w:val="none"/>
        </w:rPr>
        <w:t xml:space="preserve">协议</w:t>
      </w:r>
      <w:r>
        <w:rPr>
          <w:rFonts w:hint="eastAsia" w:ascii="宋体" w:hAnsi="宋体"/>
          <w:bCs/>
          <w:color w:val="auto"/>
          <w:sz w:val="24"/>
          <w:highlight w:val="none"/>
        </w:rPr>
        <w:t xml:space="preserve">合同</w:t>
      </w:r>
      <w:r>
        <w:rPr>
          <w:rFonts w:ascii="宋体" w:hAnsi="宋体"/>
          <w:bCs/>
          <w:color w:val="auto"/>
          <w:sz w:val="24"/>
          <w:highlight w:val="none"/>
        </w:rPr>
        <w:t xml:space="preserve">金额占到联合体协议合同总金额</w:t>
      </w:r>
      <w:r>
        <w:rPr>
          <w:rFonts w:hint="eastAsia" w:ascii="宋体" w:hAnsi="宋体"/>
          <w:bCs/>
          <w:color w:val="auto"/>
          <w:sz w:val="24"/>
          <w:highlight w:val="none"/>
        </w:rPr>
        <w:t xml:space="preserve">30</w:t>
      </w:r>
      <w:r>
        <w:rPr>
          <w:rFonts w:ascii="宋体" w:hAnsi="宋体"/>
          <w:bCs/>
          <w:color w:val="auto"/>
          <w:sz w:val="24"/>
          <w:highlight w:val="none"/>
        </w:rPr>
        <w:t xml:space="preserve">%以上的</w:t>
      </w:r>
      <w:r>
        <w:rPr>
          <w:rFonts w:hint="eastAsia" w:ascii="宋体" w:hAnsi="宋体"/>
          <w:bCs/>
          <w:color w:val="auto"/>
          <w:sz w:val="24"/>
          <w:highlight w:val="none"/>
        </w:rPr>
        <w:t xml:space="preserve">，</w:t>
      </w:r>
      <w:r>
        <w:rPr>
          <w:rFonts w:ascii="宋体" w:hAnsi="宋体"/>
          <w:bCs/>
          <w:color w:val="auto"/>
          <w:sz w:val="24"/>
          <w:highlight w:val="none"/>
        </w:rPr>
        <w:t xml:space="preserve">可给予联合体</w:t>
      </w:r>
      <w:r>
        <w:rPr>
          <w:rFonts w:hint="eastAsia" w:ascii="宋体" w:hAnsi="宋体"/>
          <w:bCs/>
          <w:color w:val="auto"/>
          <w:sz w:val="24"/>
          <w:highlight w:val="none"/>
        </w:rPr>
        <w:t xml:space="preserve">4</w:t>
      </w:r>
      <w:r>
        <w:rPr>
          <w:rFonts w:ascii="宋体" w:hAnsi="宋体"/>
          <w:bCs/>
          <w:color w:val="auto"/>
          <w:sz w:val="24"/>
          <w:highlight w:val="none"/>
        </w:rPr>
        <w:t xml:space="preserve">%的价格扣除</w:t>
      </w:r>
      <w:r>
        <w:rPr>
          <w:rFonts w:hint="eastAsia" w:ascii="宋体" w:hAnsi="宋体"/>
          <w:bCs/>
          <w:color w:val="auto"/>
          <w:sz w:val="24"/>
          <w:highlight w:val="none"/>
        </w:rPr>
        <w:t xml:space="preserve">，用扣除后的价格参与评审。投标供应商须在《联合</w:t>
      </w:r>
      <w:r>
        <w:rPr>
          <w:rFonts w:ascii="宋体" w:hAnsi="宋体"/>
          <w:bCs/>
          <w:color w:val="auto"/>
          <w:sz w:val="24"/>
          <w:highlight w:val="none"/>
        </w:rPr>
        <w:t xml:space="preserve">体各方共同</w:t>
      </w:r>
      <w:r>
        <w:rPr>
          <w:rFonts w:hint="eastAsia" w:ascii="宋体" w:hAnsi="宋体"/>
          <w:bCs/>
          <w:color w:val="auto"/>
          <w:sz w:val="24"/>
          <w:highlight w:val="none"/>
        </w:rPr>
        <w:t xml:space="preserve">投标</w:t>
      </w:r>
      <w:r>
        <w:rPr>
          <w:rFonts w:ascii="宋体" w:hAnsi="宋体"/>
          <w:bCs/>
          <w:color w:val="auto"/>
          <w:sz w:val="24"/>
          <w:highlight w:val="none"/>
        </w:rPr>
        <w:t xml:space="preserve">协议</w:t>
      </w:r>
      <w:r>
        <w:rPr>
          <w:rFonts w:hint="eastAsia" w:ascii="宋体" w:hAnsi="宋体"/>
          <w:bCs/>
          <w:color w:val="auto"/>
          <w:sz w:val="24"/>
          <w:highlight w:val="none"/>
        </w:rPr>
        <w:t xml:space="preserve">》中明确，否则不得享受价格扣除。</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联合体</w:t>
      </w:r>
      <w:r>
        <w:rPr>
          <w:rFonts w:ascii="宋体" w:hAnsi="宋体"/>
          <w:bCs/>
          <w:color w:val="auto"/>
          <w:sz w:val="24"/>
          <w:highlight w:val="none"/>
        </w:rPr>
        <w:t xml:space="preserve">各方均为小型、微型企业的</w:t>
      </w:r>
      <w:r>
        <w:rPr>
          <w:rFonts w:hint="eastAsia" w:ascii="宋体" w:hAnsi="宋体"/>
          <w:bCs/>
          <w:color w:val="auto"/>
          <w:sz w:val="24"/>
          <w:highlight w:val="none"/>
        </w:rPr>
        <w:t xml:space="preserve">，</w:t>
      </w:r>
      <w:r>
        <w:rPr>
          <w:rFonts w:ascii="宋体" w:hAnsi="宋体"/>
          <w:bCs/>
          <w:color w:val="auto"/>
          <w:sz w:val="24"/>
          <w:highlight w:val="none"/>
        </w:rPr>
        <w:t xml:space="preserve">联合体视同为小型、微型企业按规定享受价格扣除</w:t>
      </w:r>
      <w:r>
        <w:rPr>
          <w:rFonts w:hint="eastAsia" w:ascii="宋体" w:hAnsi="宋体"/>
          <w:bCs/>
          <w:color w:val="auto"/>
          <w:sz w:val="24"/>
          <w:highlight w:val="none"/>
        </w:rPr>
        <w:t xml:space="preserve">。</w:t>
      </w:r>
      <w:r/>
    </w:p>
    <w:p>
      <w:pPr>
        <w:ind w:firstLine="480"/>
        <w:jc w:val="both"/>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w:t>
      </w:r>
      <w:r>
        <w:rPr>
          <w:rFonts w:ascii="宋体" w:hAnsi="宋体"/>
          <w:bCs/>
          <w:color w:val="auto"/>
          <w:sz w:val="24"/>
          <w:highlight w:val="none"/>
        </w:rPr>
        <w:t xml:space="preserve">联合体的法人与参加联合体的小型、微型企业之间存在投资关系的</w:t>
      </w:r>
      <w:r>
        <w:rPr>
          <w:rFonts w:hint="eastAsia" w:ascii="宋体" w:hAnsi="宋体"/>
          <w:bCs/>
          <w:color w:val="auto"/>
          <w:sz w:val="24"/>
          <w:highlight w:val="none"/>
        </w:rPr>
        <w:t xml:space="preserve">，</w:t>
      </w:r>
      <w:r>
        <w:rPr>
          <w:rFonts w:ascii="宋体" w:hAnsi="宋体"/>
          <w:bCs/>
          <w:color w:val="auto"/>
          <w:sz w:val="24"/>
          <w:highlight w:val="none"/>
        </w:rPr>
        <w:t xml:space="preserve">不得享受价格扣除</w:t>
      </w:r>
      <w:r>
        <w:rPr>
          <w:rFonts w:hint="eastAsia" w:ascii="宋体" w:hAnsi="宋体"/>
          <w:bCs/>
          <w:color w:val="auto"/>
          <w:sz w:val="24"/>
          <w:highlight w:val="none"/>
        </w:rPr>
        <w:t xml:space="preserve">。投标供应商</w:t>
      </w:r>
      <w:r>
        <w:rPr>
          <w:rFonts w:ascii="宋体" w:hAnsi="宋体"/>
          <w:bCs/>
          <w:color w:val="auto"/>
          <w:sz w:val="24"/>
          <w:highlight w:val="none"/>
        </w:rPr>
        <w:t xml:space="preserve">须在</w:t>
      </w:r>
      <w:r>
        <w:rPr>
          <w:rFonts w:hint="eastAsia" w:ascii="宋体" w:hAnsi="宋体"/>
          <w:bCs/>
          <w:color w:val="auto"/>
          <w:sz w:val="24"/>
          <w:highlight w:val="none"/>
        </w:rPr>
        <w:t xml:space="preserve">《联合</w:t>
      </w:r>
      <w:r>
        <w:rPr>
          <w:rFonts w:ascii="宋体" w:hAnsi="宋体"/>
          <w:bCs/>
          <w:color w:val="auto"/>
          <w:sz w:val="24"/>
          <w:highlight w:val="none"/>
        </w:rPr>
        <w:t xml:space="preserve">体各方共同</w:t>
      </w:r>
      <w:r>
        <w:rPr>
          <w:rFonts w:hint="eastAsia" w:ascii="宋体" w:hAnsi="宋体"/>
          <w:bCs/>
          <w:color w:val="auto"/>
          <w:sz w:val="24"/>
          <w:highlight w:val="none"/>
        </w:rPr>
        <w:t xml:space="preserve">投标</w:t>
      </w:r>
      <w:r>
        <w:rPr>
          <w:rFonts w:ascii="宋体" w:hAnsi="宋体"/>
          <w:bCs/>
          <w:color w:val="auto"/>
          <w:sz w:val="24"/>
          <w:highlight w:val="none"/>
        </w:rPr>
        <w:t xml:space="preserve">协议</w:t>
      </w:r>
      <w:r>
        <w:rPr>
          <w:rFonts w:hint="eastAsia" w:ascii="宋体" w:hAnsi="宋体"/>
          <w:bCs/>
          <w:color w:val="auto"/>
          <w:sz w:val="24"/>
          <w:highlight w:val="none"/>
        </w:rPr>
        <w:t xml:space="preserve">》中</w:t>
      </w:r>
      <w:r>
        <w:rPr>
          <w:rFonts w:ascii="宋体" w:hAnsi="宋体"/>
          <w:bCs/>
          <w:color w:val="auto"/>
          <w:sz w:val="24"/>
          <w:highlight w:val="none"/>
        </w:rPr>
        <w:t xml:space="preserve">明确联合体各方是否存在</w:t>
      </w:r>
      <w:r>
        <w:rPr>
          <w:rFonts w:hint="eastAsia" w:ascii="宋体" w:hAnsi="宋体"/>
          <w:bCs/>
          <w:color w:val="auto"/>
          <w:sz w:val="24"/>
          <w:highlight w:val="none"/>
        </w:rPr>
        <w:t xml:space="preserve">上述</w:t>
      </w:r>
      <w:r>
        <w:rPr>
          <w:rFonts w:ascii="宋体" w:hAnsi="宋体"/>
          <w:bCs/>
          <w:color w:val="auto"/>
          <w:sz w:val="24"/>
          <w:highlight w:val="none"/>
        </w:rPr>
        <w:t xml:space="preserve">关系</w:t>
      </w:r>
      <w:r>
        <w:rPr>
          <w:rFonts w:hint="eastAsia" w:ascii="宋体" w:hAnsi="宋体"/>
          <w:bCs/>
          <w:color w:val="auto"/>
          <w:sz w:val="24"/>
          <w:highlight w:val="none"/>
        </w:rPr>
        <w:t xml:space="preserve">，</w:t>
      </w:r>
      <w:r>
        <w:rPr>
          <w:rFonts w:ascii="宋体" w:hAnsi="宋体"/>
          <w:bCs/>
          <w:color w:val="auto"/>
          <w:sz w:val="24"/>
          <w:highlight w:val="none"/>
        </w:rPr>
        <w:t xml:space="preserve">如未进行明确的亦不得享受价格扣除</w:t>
      </w:r>
      <w:r>
        <w:rPr>
          <w:rFonts w:hint="eastAsia" w:ascii="宋体" w:hAnsi="宋体"/>
          <w:bCs/>
          <w:color w:val="auto"/>
          <w:sz w:val="24"/>
          <w:highlight w:val="none"/>
        </w:rPr>
        <w:t xml:space="preserve">。</w:t>
      </w:r>
      <w:r/>
    </w:p>
    <w:p>
      <w:pPr>
        <w:jc w:val="both"/>
        <w:keepLines w:val="0"/>
        <w:keepNext w:val="0"/>
        <w:pageBreakBefore w:val="0"/>
        <w:spacing w:line="360" w:lineRule="auto"/>
        <w:rPr>
          <w:rFonts w:ascii="宋体" w:hAnsi="宋体" w:cs="宋体"/>
          <w:b/>
          <w:color w:val="auto"/>
          <w:sz w:val="24"/>
          <w:szCs w:val="20"/>
          <w:highlight w:val="none"/>
        </w:rPr>
      </w:pPr>
      <w:r>
        <w:rPr>
          <w:rFonts w:hint="eastAsia" w:ascii="宋体" w:hAnsi="宋体" w:cs="宋体"/>
          <w:b/>
          <w:color w:val="auto"/>
          <w:sz w:val="24"/>
          <w:szCs w:val="20"/>
          <w:highlight w:val="none"/>
        </w:rPr>
        <w:t xml:space="preserve">二）商务标（明标，20分）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（1）业绩（</w:t>
      </w:r>
      <w:r>
        <w:rPr>
          <w:rFonts w:hint="default" w:ascii="宋体" w:hAnsi="宋体" w:cs="宋体"/>
          <w:color w:val="auto"/>
          <w:sz w:val="24"/>
          <w:highlight w:val="none"/>
          <w:lang w:val="en-US"/>
        </w:rPr>
        <w:t xml:space="preserve">3</w:t>
      </w:r>
      <w:r>
        <w:rPr>
          <w:rFonts w:hint="eastAsia" w:ascii="宋体" w:hAnsi="宋体" w:cs="宋体"/>
          <w:color w:val="auto"/>
          <w:sz w:val="24"/>
          <w:highlight w:val="none"/>
        </w:rPr>
        <w:t xml:space="preserve">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投标供应商自2023年1月1日以来（以签订合同时间为准）</w:t>
      </w:r>
      <w:r>
        <w:rPr>
          <w:rFonts w:hint="eastAsia" w:ascii="宋体" w:hAnsi="宋体" w:cs="宋体"/>
          <w:color w:val="auto"/>
          <w:sz w:val="24"/>
          <w:highlight w:val="none"/>
        </w:rPr>
        <w:t xml:space="preserve">承担过</w:t>
      </w:r>
      <w:r>
        <w:rPr>
          <w:rFonts w:hint="eastAsia" w:ascii="宋体" w:hAnsi="宋体" w:cs="宋体"/>
          <w:bCs/>
          <w:color w:val="auto"/>
          <w:sz w:val="24"/>
          <w:highlight w:val="none"/>
        </w:rPr>
        <w:t xml:space="preserve">类似的项目</w:t>
      </w:r>
      <w:r>
        <w:rPr>
          <w:rFonts w:hint="eastAsia" w:ascii="宋体" w:hAnsi="宋体" w:cs="宋体"/>
          <w:color w:val="auto"/>
          <w:sz w:val="24"/>
          <w:highlight w:val="none"/>
        </w:rPr>
        <w:t xml:space="preserve">，有一个得1分，最高得</w:t>
      </w:r>
      <w:r>
        <w:rPr>
          <w:rFonts w:hint="default" w:ascii="宋体" w:hAnsi="宋体" w:cs="宋体"/>
          <w:color w:val="auto"/>
          <w:sz w:val="24"/>
          <w:highlight w:val="none"/>
          <w:lang w:val="en-US"/>
        </w:rPr>
        <w:t xml:space="preserve">3</w:t>
      </w:r>
      <w:r>
        <w:rPr>
          <w:rFonts w:hint="eastAsia" w:ascii="宋体" w:hAnsi="宋体" w:cs="宋体"/>
          <w:color w:val="auto"/>
          <w:sz w:val="24"/>
          <w:highlight w:val="none"/>
        </w:rPr>
        <w:t xml:space="preserve">分。投标时提供合同原件扫描件。</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（2）供应及质量保障能力（</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w:t>
      </w:r>
      <w:r>
        <w:rPr>
          <w:rFonts w:hint="eastAsia" w:ascii="宋体" w:hAnsi="宋体" w:cs="宋体"/>
          <w:color w:val="auto"/>
          <w:sz w:val="24"/>
          <w:highlight w:val="none"/>
        </w:rPr>
        <w:t xml:space="preserve">仓储条件承诺（</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投标供应商应有保障药品质量安全的仓储条件，配备独立仓库的得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分（投标时提供仓库实地照片、房产证或租赁合同</w:t>
      </w:r>
      <w:r>
        <w:rPr>
          <w:rFonts w:hint="eastAsia" w:ascii="宋体" w:hAnsi="宋体" w:cs="宋体"/>
          <w:color w:val="auto"/>
          <w:sz w:val="24"/>
          <w:highlight w:val="none"/>
        </w:rPr>
        <w:t xml:space="preserve">原件扫描件，未提供的可以承诺项目在中标后签订合同前为本项目配备独立仓库</w:t>
      </w:r>
      <w:r>
        <w:rPr>
          <w:rFonts w:hint="eastAsia" w:ascii="宋体" w:hAnsi="宋体" w:cs="宋体"/>
          <w:bCs/>
          <w:color w:val="auto"/>
          <w:sz w:val="24"/>
          <w:highlight w:val="none"/>
        </w:rPr>
        <w:t xml:space="preserve">，承诺书格式自拟，</w:t>
      </w:r>
      <w:r>
        <w:rPr>
          <w:rFonts w:hint="eastAsia" w:ascii="宋体" w:hAnsi="宋体" w:cs="宋体"/>
          <w:color w:val="auto"/>
          <w:sz w:val="24"/>
          <w:highlight w:val="none"/>
        </w:rPr>
        <w:t xml:space="preserve">证明材料及承诺书均未提供</w:t>
      </w:r>
      <w:r>
        <w:rPr>
          <w:rFonts w:hint="eastAsia" w:ascii="宋体" w:hAnsi="宋体" w:cs="宋体"/>
          <w:bCs/>
          <w:color w:val="auto"/>
          <w:sz w:val="24"/>
          <w:highlight w:val="none"/>
        </w:rPr>
        <w:t xml:space="preserve">或提供不符合要求均不得分）。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w:t>
      </w:r>
      <w:r>
        <w:rPr>
          <w:rFonts w:hint="eastAsia" w:ascii="宋体" w:hAnsi="宋体" w:cs="宋体"/>
          <w:color w:val="auto"/>
          <w:sz w:val="24"/>
          <w:highlight w:val="none"/>
        </w:rPr>
        <w:t xml:space="preserve">制作车间（</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投标供应商具备毒性中药饮片制作车间的得1分，投标供应商具备发酵中药饮片制作车间的得1分。提供车间图片及成品证明材料</w:t>
      </w:r>
      <w:r>
        <w:rPr>
          <w:rFonts w:hint="eastAsia" w:ascii="宋体" w:hAnsi="宋体" w:cs="宋体"/>
          <w:color w:val="auto"/>
          <w:sz w:val="24"/>
          <w:highlight w:val="none"/>
        </w:rPr>
        <w:t xml:space="preserve">原件扫描件</w:t>
      </w:r>
      <w:r>
        <w:rPr>
          <w:rFonts w:hint="eastAsia" w:ascii="宋体" w:hAnsi="宋体" w:cs="宋体"/>
          <w:bCs/>
          <w:color w:val="auto"/>
          <w:sz w:val="24"/>
          <w:highlight w:val="none"/>
        </w:rPr>
        <w:t xml:space="preserve">，不提供或提供不符合要求均不得分。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③留样区（2分）</w:t>
      </w:r>
      <w:r>
        <w:rPr>
          <w:rFonts w:hint="eastAsia" w:ascii="宋体" w:hAnsi="宋体" w:cs="宋体"/>
          <w:bCs/>
          <w:color w:val="auto"/>
          <w:sz w:val="24"/>
          <w:highlight w:val="none"/>
        </w:rPr>
        <w:t xml:space="preserve">投标供应商应配置留样区域：有饮片留样区，代配饮片留样满1月得1分；有代煎产品留样区，代煎产品留样满1月得1分。（投标时提供留样区照片及承诺书</w:t>
      </w:r>
      <w:r>
        <w:rPr>
          <w:rFonts w:hint="eastAsia" w:ascii="宋体" w:hAnsi="宋体" w:cs="宋体"/>
          <w:color w:val="auto"/>
          <w:sz w:val="24"/>
          <w:highlight w:val="none"/>
        </w:rPr>
        <w:t xml:space="preserve">原件扫描件上传系统并签章，未提供</w:t>
      </w:r>
      <w:r>
        <w:rPr>
          <w:rFonts w:hint="eastAsia" w:ascii="宋体" w:hAnsi="宋体" w:cs="宋体"/>
          <w:bCs/>
          <w:color w:val="auto"/>
          <w:sz w:val="24"/>
          <w:highlight w:val="none"/>
        </w:rPr>
        <w:t xml:space="preserve">或提供不符合要求均不得分）。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④</w:t>
      </w:r>
      <w:r>
        <w:rPr>
          <w:rFonts w:hint="eastAsia" w:ascii="宋体" w:hAnsi="宋体" w:cs="宋体"/>
          <w:color w:val="auto"/>
          <w:sz w:val="24"/>
          <w:highlight w:val="none"/>
        </w:rPr>
        <w:t xml:space="preserve">临方加工设备（3分）</w:t>
      </w:r>
      <w:r>
        <w:rPr>
          <w:rFonts w:hint="eastAsia" w:ascii="宋体" w:hAnsi="宋体" w:cs="宋体"/>
          <w:bCs/>
          <w:color w:val="auto"/>
          <w:sz w:val="24"/>
          <w:highlight w:val="none"/>
        </w:rPr>
        <w:t xml:space="preserve">投标供应商配备临方加工设备（煎制、熬膏、制丸、磨粉等），</w:t>
      </w:r>
      <w:r>
        <w:rPr>
          <w:rFonts w:hint="eastAsia" w:ascii="宋体" w:hAnsi="宋体" w:cs="宋体"/>
          <w:color w:val="auto"/>
          <w:sz w:val="24"/>
          <w:highlight w:val="none"/>
        </w:rPr>
        <w:t xml:space="preserve">每具备一类加工设备的得1分</w:t>
      </w:r>
      <w:r>
        <w:rPr>
          <w:rFonts w:hint="eastAsia" w:ascii="宋体" w:hAnsi="宋体" w:cs="宋体"/>
          <w:bCs/>
          <w:color w:val="auto"/>
          <w:sz w:val="24"/>
          <w:highlight w:val="none"/>
        </w:rPr>
        <w:t xml:space="preserve">（10年以上设备不计分），最高得3分，（投标时提供设备照片、购买发票或租赁合同</w:t>
      </w:r>
      <w:r>
        <w:rPr>
          <w:rFonts w:hint="eastAsia" w:ascii="宋体" w:hAnsi="宋体" w:cs="宋体"/>
          <w:color w:val="auto"/>
          <w:sz w:val="24"/>
          <w:highlight w:val="none"/>
        </w:rPr>
        <w:t xml:space="preserve">原件扫描件上传系统并签章，未提供</w:t>
      </w:r>
      <w:r>
        <w:rPr>
          <w:rFonts w:hint="eastAsia" w:ascii="宋体" w:hAnsi="宋体" w:cs="宋体"/>
          <w:bCs/>
          <w:color w:val="auto"/>
          <w:sz w:val="24"/>
          <w:highlight w:val="none"/>
        </w:rPr>
        <w:t xml:space="preserve">或提供不符合要求均不得分）。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⑤饮片种类(3分)投标供应商销售的饮片在品种及规格必须能满足采购人使用需求；</w:t>
      </w:r>
      <w:r>
        <w:rPr>
          <w:rFonts w:hint="eastAsia" w:ascii="Segoe UI" w:hAnsi="Segoe UI" w:cs="Segoe UI"/>
          <w:color w:val="auto"/>
          <w:sz w:val="24"/>
          <w:highlight w:val="none"/>
          <w:shd w:val="clear" w:color="auto" w:fill="ffffff"/>
        </w:rPr>
        <w:t xml:space="preserve">此外其中药饮片覆盖品种</w:t>
      </w:r>
      <w:r>
        <w:rPr>
          <w:rFonts w:hint="eastAsia" w:ascii="宋体" w:hAnsi="宋体" w:cs="宋体"/>
          <w:bCs/>
          <w:color w:val="auto"/>
          <w:sz w:val="24"/>
          <w:highlight w:val="none"/>
        </w:rPr>
        <w:t xml:space="preserve">，达到300（不含）-400(不含)个品种的得1分；达到400-500(不含)个品种的得2分；达到500个及以上品种的得3分，本项最高得3分。评审时按照供应商提供的销售饮片品种目录清单为准。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）应急对接时间（3分）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般问题如未能按时送达、顾客服务性投诉的，响应时间不超过半小时，配送药品出现质量问题，应在接到通知后2小时内响应到场，24小时内完成退换，并处理（或协助采购人处理）好因质量问题和服务不当引起的投诉、纠纷得1分；在接到通知后1.5小时内响应到场，24小时内完成退换，并处理（或协助采购人处理）好因质量问题和服务不当引起的投诉、纠纷得2分；在接到通知后1小时内响应到场，24小时内完成退换，并处理（或协助采购人处理）好因质量问题和服务不当引起的投诉、纠纷得3分；</w:t>
      </w:r>
      <w:r>
        <w:rPr>
          <w:rFonts w:hint="eastAsia" w:ascii="宋体" w:hAnsi="宋体" w:cs="宋体"/>
          <w:bCs w:val="0"/>
          <w:color w:val="auto"/>
          <w:sz w:val="24"/>
          <w:highlight w:val="none"/>
        </w:rPr>
        <w:t xml:space="preserve">提供承诺书（承诺书格式自拟）</w:t>
      </w:r>
      <w:r>
        <w:rPr>
          <w:rFonts w:hint="eastAsia" w:ascii="宋体" w:hAnsi="宋体" w:cs="宋体"/>
          <w:color w:val="auto"/>
          <w:sz w:val="24"/>
          <w:highlight w:val="none"/>
        </w:rPr>
        <w:t xml:space="preserve">，不提供或提供不符合要求均不得分。</w:t>
      </w:r>
      <w:r/>
    </w:p>
    <w:p>
      <w:pPr>
        <w:ind w:firstLine="480"/>
        <w:jc w:val="both"/>
        <w:keepLines w:val="0"/>
        <w:keepNext w:val="0"/>
        <w:pageBreakBefore w:val="0"/>
        <w:spacing w:line="360" w:lineRule="auto"/>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（4）增值服务（2分）</w:t>
      </w:r>
      <w:r/>
    </w:p>
    <w:p>
      <w:pPr>
        <w:ind w:firstLine="480"/>
        <w:jc w:val="both"/>
        <w:keepLines w:val="0"/>
        <w:keepNext w:val="0"/>
        <w:pageBreakBefore w:val="0"/>
        <w:spacing w:line="360" w:lineRule="auto"/>
        <w:rPr>
          <w:rFonts w:hint="eastAsia" w:ascii="宋体" w:hAnsi="宋体" w:eastAsia="宋体" w:cs="宋体"/>
          <w:b w:val="0"/>
          <w:bCs/>
          <w:color w:val="auto"/>
          <w:sz w:val="24"/>
          <w:highlight w:val="none"/>
          <w:lang w:eastAsia="zh-CN"/>
        </w:rPr>
      </w:pPr>
      <w:r>
        <w:rPr>
          <w:rFonts w:hint="eastAsia" w:ascii="宋体" w:hAnsi="宋体" w:cs="宋体"/>
          <w:b w:val="0"/>
          <w:bCs w:val="0"/>
          <w:color w:val="auto"/>
          <w:sz w:val="24"/>
          <w:highlight w:val="none"/>
          <w:lang w:eastAsia="zh-CN"/>
        </w:rPr>
        <w:t xml:space="preserve">投标供应商承诺承担所有配送费用，确保患者无需承担任何快递</w:t>
      </w:r>
      <w:r>
        <w:rPr>
          <w:rFonts w:hint="eastAsia" w:ascii="宋体" w:hAnsi="宋体" w:cs="宋体"/>
          <w:b w:val="0"/>
          <w:bCs w:val="0"/>
          <w:color w:val="auto"/>
          <w:sz w:val="24"/>
          <w:highlight w:val="none"/>
          <w:lang w:val="en-US" w:eastAsia="zh-CN"/>
        </w:rPr>
        <w:t xml:space="preserve">/配送</w:t>
      </w:r>
      <w:r>
        <w:rPr>
          <w:rFonts w:hint="eastAsia" w:ascii="宋体" w:hAnsi="宋体" w:cs="宋体"/>
          <w:b w:val="0"/>
          <w:bCs w:val="0"/>
          <w:color w:val="auto"/>
          <w:sz w:val="24"/>
          <w:highlight w:val="none"/>
          <w:lang w:eastAsia="zh-CN"/>
        </w:rPr>
        <w:t xml:space="preserve">费用的，得2分。投标时提</w:t>
      </w:r>
      <w:r>
        <w:rPr>
          <w:rFonts w:hint="eastAsia" w:ascii="宋体" w:hAnsi="宋体" w:cs="宋体"/>
          <w:b w:val="0"/>
          <w:bCs w:val="0"/>
          <w:color w:val="auto"/>
          <w:sz w:val="24"/>
          <w:highlight w:val="none"/>
          <w:lang w:val="en-US" w:eastAsia="zh-CN"/>
        </w:rPr>
        <w:t xml:space="preserve">供</w:t>
      </w:r>
      <w:r>
        <w:rPr>
          <w:rFonts w:hint="eastAsia" w:ascii="宋体" w:hAnsi="宋体" w:cs="宋体"/>
          <w:b w:val="0"/>
          <w:bCs w:val="0"/>
          <w:color w:val="auto"/>
          <w:sz w:val="24"/>
          <w:highlight w:val="none"/>
          <w:lang w:eastAsia="zh-CN"/>
        </w:rPr>
        <w:t xml:space="preserve">承诺书原件（格式自拟，</w:t>
      </w:r>
      <w:r>
        <w:rPr>
          <w:rFonts w:hint="eastAsia" w:ascii="宋体" w:hAnsi="宋体" w:cs="宋体"/>
          <w:b w:val="0"/>
          <w:bCs w:val="0"/>
          <w:color w:val="auto"/>
          <w:sz w:val="24"/>
          <w:highlight w:val="none"/>
          <w:lang w:val="en-US" w:eastAsia="zh-CN"/>
        </w:rPr>
        <w:t xml:space="preserve">内容需明确包含前述完整内容</w:t>
      </w:r>
      <w:r>
        <w:rPr>
          <w:rFonts w:hint="eastAsia" w:ascii="宋体" w:hAnsi="宋体" w:cs="宋体"/>
          <w:b w:val="0"/>
          <w:bCs w:val="0"/>
          <w:color w:val="auto"/>
          <w:sz w:val="24"/>
          <w:highlight w:val="none"/>
          <w:lang w:eastAsia="zh-CN"/>
        </w:rPr>
        <w:t xml:space="preserve">）。</w:t>
      </w:r>
      <w:r/>
    </w:p>
    <w:p>
      <w:pPr>
        <w:ind w:firstLine="482"/>
        <w:jc w:val="both"/>
        <w:keepLines w:val="0"/>
        <w:keepNext w:val="0"/>
        <w:pageBreakBefore w:val="0"/>
        <w:spacing w:line="360" w:lineRule="auto"/>
        <w:rPr>
          <w:rStyle w:val="1185"/>
          <w:rFonts w:hint="default"/>
          <w:color w:val="auto"/>
          <w:sz w:val="24"/>
          <w:szCs w:val="24"/>
          <w:highlight w:val="none"/>
        </w:rPr>
      </w:pPr>
      <w:r>
        <w:rPr>
          <w:rFonts w:hint="eastAsia" w:ascii="宋体" w:hAnsi="宋体" w:cs="宋体"/>
          <w:b/>
          <w:bCs/>
          <w:color w:val="auto"/>
          <w:sz w:val="24"/>
          <w:highlight w:val="none"/>
        </w:rPr>
        <w:t xml:space="preserve">注：以上涉及提供承诺的评分若中标后</w:t>
      </w:r>
      <w:r>
        <w:rPr>
          <w:rFonts w:hint="eastAsia" w:ascii="宋体" w:hAnsi="宋体" w:cs="宋体"/>
          <w:b/>
          <w:color w:val="auto"/>
          <w:sz w:val="24"/>
          <w:highlight w:val="none"/>
        </w:rPr>
        <w:t xml:space="preserve">签订合同前</w:t>
      </w:r>
      <w:r>
        <w:rPr>
          <w:rFonts w:hint="eastAsia" w:ascii="宋体" w:hAnsi="宋体" w:cs="宋体"/>
          <w:b/>
          <w:bCs/>
          <w:color w:val="auto"/>
          <w:sz w:val="24"/>
          <w:highlight w:val="none"/>
        </w:rPr>
        <w:t xml:space="preserve">不能满足，采购人有权取消该供应商的中标资格，并不用承担任何违约性责任，同时按相应规定对该供应商进行处罚，且中标资格顺延至第二名或重新招标。请投标供应商根据实际情况进行考虑。</w:t>
      </w:r>
      <w:r/>
    </w:p>
    <w:p>
      <w:pPr>
        <w:jc w:val="both"/>
        <w:keepLines w:val="0"/>
        <w:keepNext w:val="0"/>
        <w:pageBreakBefore w:val="0"/>
        <w:spacing w:line="360" w:lineRule="auto"/>
        <w:rPr>
          <w:rFonts w:ascii="宋体" w:hAnsi="宋体" w:cs="宋体"/>
          <w:b/>
          <w:color w:val="auto"/>
          <w:sz w:val="24"/>
          <w:szCs w:val="20"/>
          <w:highlight w:val="none"/>
        </w:rPr>
      </w:pPr>
      <w:r>
        <w:rPr>
          <w:rFonts w:hint="eastAsia" w:ascii="宋体" w:hAnsi="宋体" w:cs="宋体"/>
          <w:b/>
          <w:color w:val="auto"/>
          <w:sz w:val="24"/>
          <w:szCs w:val="20"/>
          <w:highlight w:val="none"/>
        </w:rPr>
        <w:t xml:space="preserve">三）技术标（暗标，50分）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（1）质量控制方案（5分）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根据投标供应商提供的全程质量控制管理方案进行综合评审，全程质量控制管理方案包括且不限于中药饮片质量控制、代加工服务质量控制、信息管理质量控制等措施和方案。</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•方案详尽且完善，中药饮片质量控制、代加工服务质量控制、信息管理质量控制等措施和方案均得到有效体现，且具备高度的可操作性和实施效果得5分；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•方案较为全面，但可能在某些方面（如中药饮片质量控制、代加工服务质量控制或信息管理质量控制）存在细节不足或实施难度得3分；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•方案基本覆盖主要方面，但存在明显缺陷或不足，可能影响到整体质量控制效果得1分；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•不提供方案或完全不符合要求不得分。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（2）服务方案（20分）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①饮片供应方案（5分）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•供应方案详尽、完善，包括饮片来源、质量控制、储存管理、配送流程等方面，确保饮片供应的及时性、准确性和安全性得5分；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•供应方案基本全面，但在某些环节（如质量控制、配送流程）可能存在不足或不够细致得3分；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•供应方案内容较为简略，缺乏关键环节的详细描述或存在明显缺陷得1分；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•未提供饮片供应方案或方案完全不符合要求不得分。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②代加工（汤剂、膏药、制丸、磨粉）管理方案（5分）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•管理方案全面且详细，涵盖原料采购、加工流程、质量控制、成品储存与配送等方面，确保代加工服务的规范化、高效化和安全化得5分；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•管理方案基本覆盖主要环节，但在某些方面（如质量控制、成品储存）可能存在不足或不够具体得3分；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•管理方案内容较为简单，缺乏关键环节的详细描述或存在明显漏洞得1分；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•未提供代加工管理方案或方案完全不符合要求不得分。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③日常管理方案（5分）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•日常管理方案完善，包括人员培训、设备维护、环境卫生、安全管理等方面，确保日常运营的顺利进行得5分；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•日常管理方案基本全面，但在某些方面（如人员培训、设备维护）可能存在不足或不够细致得3分；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•日常管理方案内容较为简略，缺乏关键环节的详细描述或存在明显缺陷得1分；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•未提供日常管理方案或方案完全不符合要求不得分。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④差错处理方案等措施和方案（5分）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•差错处理方案详尽且实用，包括差错识别、原因分析、纠正措施、预防措施等方面，确保及时有效地处理差错并防止类似问题再次发生得5分；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•差错处理方案基本全面，但在某些环节（如预防措施）可能存在不足或不够具体得3分；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•差错处理方案内容较为简单，缺乏关键环节的详细描述或存在明显漏洞得1分；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•未提供差错处理方案或方案完全不符合要求不得分。</w:t>
      </w:r>
      <w:r/>
    </w:p>
    <w:p>
      <w:pPr>
        <w:pStyle w:val="714"/>
        <w:ind w:firstLine="480"/>
        <w:jc w:val="both"/>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（3）售后服务方案（5分）：</w:t>
      </w:r>
      <w:r/>
    </w:p>
    <w:p>
      <w:pPr>
        <w:pStyle w:val="716"/>
        <w:ind w:firstLine="480"/>
        <w:jc w:val="both"/>
        <w:keepLines w:val="0"/>
        <w:keepNext w:val="0"/>
        <w:pageBreakBefore w:val="0"/>
        <w:spacing w:line="360" w:lineRule="auto"/>
        <w:rPr>
          <w:rStyle w:val="991"/>
          <w:rFonts w:ascii="宋体" w:hAnsi="宋体" w:cs="宋体"/>
          <w:color w:val="auto"/>
          <w:sz w:val="24"/>
          <w:szCs w:val="24"/>
          <w:highlight w:val="none"/>
        </w:rPr>
      </w:pPr>
      <w:r>
        <w:rPr>
          <w:rStyle w:val="991"/>
          <w:rFonts w:hint="eastAsia" w:ascii="宋体" w:hAnsi="宋体" w:cs="宋体"/>
          <w:color w:val="auto"/>
          <w:sz w:val="24"/>
          <w:szCs w:val="24"/>
          <w:highlight w:val="none"/>
        </w:rPr>
        <w:t xml:space="preserve">根据投标供应商提供的售后服务方案，包括售后服务的内容和详细方案合理性、科学性、备件备品、故障响应时间、重大故障的应急预案和措施等情况。</w:t>
      </w:r>
      <w:r/>
    </w:p>
    <w:p>
      <w:pPr>
        <w:pStyle w:val="716"/>
        <w:ind w:firstLine="480"/>
        <w:jc w:val="both"/>
        <w:keepLines w:val="0"/>
        <w:keepNext w:val="0"/>
        <w:pageBreakBefore w:val="0"/>
        <w:spacing w:line="360" w:lineRule="auto"/>
        <w:rPr>
          <w:rStyle w:val="991"/>
          <w:rFonts w:ascii="宋体" w:hAnsi="宋体" w:cs="宋体"/>
          <w:color w:val="auto"/>
          <w:sz w:val="24"/>
          <w:szCs w:val="24"/>
          <w:highlight w:val="none"/>
        </w:rPr>
      </w:pPr>
      <w:r>
        <w:rPr>
          <w:rFonts w:hint="eastAsia" w:ascii="宋体" w:hAnsi="宋体" w:cs="宋体"/>
          <w:color w:val="auto"/>
          <w:szCs w:val="24"/>
          <w:highlight w:val="none"/>
        </w:rPr>
        <w:t xml:space="preserve">•</w:t>
      </w:r>
      <w:r>
        <w:rPr>
          <w:rStyle w:val="991"/>
          <w:rFonts w:hint="eastAsia" w:ascii="宋体" w:hAnsi="宋体" w:cs="宋体"/>
          <w:color w:val="auto"/>
          <w:sz w:val="24"/>
          <w:szCs w:val="24"/>
          <w:highlight w:val="none"/>
        </w:rPr>
        <w:t xml:space="preserve">售后服务方案详细完整，参照医院实际情况编制，思路合理得5分；</w:t>
      </w:r>
      <w:r/>
    </w:p>
    <w:p>
      <w:pPr>
        <w:pStyle w:val="716"/>
        <w:ind w:firstLine="480"/>
        <w:jc w:val="both"/>
        <w:keepLines w:val="0"/>
        <w:keepNext w:val="0"/>
        <w:pageBreakBefore w:val="0"/>
        <w:spacing w:line="360" w:lineRule="auto"/>
        <w:rPr>
          <w:rStyle w:val="991"/>
          <w:rFonts w:ascii="宋体" w:hAnsi="宋体" w:cs="宋体"/>
          <w:color w:val="auto"/>
          <w:sz w:val="24"/>
          <w:szCs w:val="24"/>
          <w:highlight w:val="none"/>
        </w:rPr>
      </w:pPr>
      <w:r>
        <w:rPr>
          <w:rFonts w:hint="eastAsia" w:ascii="宋体" w:hAnsi="宋体" w:cs="宋体"/>
          <w:color w:val="auto"/>
          <w:szCs w:val="24"/>
          <w:highlight w:val="none"/>
        </w:rPr>
        <w:t xml:space="preserve">•</w:t>
      </w:r>
      <w:r>
        <w:rPr>
          <w:rStyle w:val="991"/>
          <w:rFonts w:hint="eastAsia" w:ascii="宋体" w:hAnsi="宋体" w:cs="宋体"/>
          <w:color w:val="auto"/>
          <w:sz w:val="24"/>
          <w:szCs w:val="24"/>
          <w:highlight w:val="none"/>
        </w:rPr>
        <w:t xml:space="preserve">售后服务方案较详细完整，与医院实际情况大致相符，思路较合理得3分；</w:t>
      </w:r>
      <w:r/>
    </w:p>
    <w:p>
      <w:pPr>
        <w:pStyle w:val="716"/>
        <w:ind w:firstLine="480"/>
        <w:jc w:val="both"/>
        <w:keepLines w:val="0"/>
        <w:keepNext w:val="0"/>
        <w:pageBreakBefore w:val="0"/>
        <w:spacing w:line="360" w:lineRule="auto"/>
        <w:rPr>
          <w:rStyle w:val="991"/>
          <w:rFonts w:ascii="宋体" w:hAnsi="宋体" w:cs="宋体"/>
          <w:color w:val="auto"/>
          <w:sz w:val="24"/>
          <w:szCs w:val="24"/>
          <w:highlight w:val="none"/>
        </w:rPr>
      </w:pPr>
      <w:r>
        <w:rPr>
          <w:rFonts w:hint="eastAsia" w:ascii="宋体" w:hAnsi="宋体" w:cs="宋体"/>
          <w:color w:val="auto"/>
          <w:szCs w:val="24"/>
          <w:highlight w:val="none"/>
        </w:rPr>
        <w:t xml:space="preserve">•</w:t>
      </w:r>
      <w:r>
        <w:rPr>
          <w:rStyle w:val="991"/>
          <w:rFonts w:hint="eastAsia" w:ascii="宋体" w:hAnsi="宋体" w:cs="宋体"/>
          <w:color w:val="auto"/>
          <w:sz w:val="24"/>
          <w:szCs w:val="24"/>
          <w:highlight w:val="none"/>
        </w:rPr>
        <w:t xml:space="preserve">售后服务方案简单，不太符合医院实际情况得1分；</w:t>
      </w:r>
      <w:r/>
    </w:p>
    <w:p>
      <w:pPr>
        <w:ind w:firstLine="480"/>
        <w:jc w:val="both"/>
        <w:keepLines w:val="0"/>
        <w:keepNext w:val="0"/>
        <w:pageBreakBefore w:val="0"/>
        <w:spacing w:line="360" w:lineRule="auto"/>
        <w:tabs>
          <w:tab w:val="left" w:pos="0" w:leader="none"/>
        </w:tabs>
        <w:rPr>
          <w:rStyle w:val="991"/>
          <w:rFonts w:ascii="宋体" w:hAnsi="宋体" w:cs="宋体"/>
          <w:color w:val="auto"/>
          <w:sz w:val="24"/>
          <w:szCs w:val="24"/>
          <w:highlight w:val="none"/>
        </w:rPr>
      </w:pPr>
      <w:r>
        <w:rPr>
          <w:rFonts w:hint="eastAsia" w:ascii="宋体" w:hAnsi="宋体" w:cs="宋体"/>
          <w:color w:val="auto"/>
          <w:sz w:val="24"/>
          <w:highlight w:val="none"/>
        </w:rPr>
        <w:t xml:space="preserve">•</w:t>
      </w:r>
      <w:r>
        <w:rPr>
          <w:rStyle w:val="991"/>
          <w:rFonts w:hint="eastAsia" w:ascii="宋体" w:hAnsi="宋体" w:cs="宋体"/>
          <w:color w:val="auto"/>
          <w:sz w:val="24"/>
          <w:szCs w:val="24"/>
          <w:highlight w:val="none"/>
        </w:rPr>
        <w:t xml:space="preserve">售后服务方案无可操作性，与医院实际情况相悖或未提供执行方案，不得分；</w:t>
      </w:r>
      <w:r/>
    </w:p>
    <w:p>
      <w:pPr>
        <w:ind w:firstLine="480"/>
        <w:jc w:val="both"/>
        <w:keepLines w:val="0"/>
        <w:keepNext w:val="0"/>
        <w:pageBreakBefore w:val="0"/>
        <w:spacing w:line="360" w:lineRule="auto"/>
        <w:rPr>
          <w:rFonts w:ascii="宋体" w:hAnsi="宋体" w:cs="宋体"/>
          <w:bCs/>
          <w:color w:val="auto"/>
          <w:sz w:val="24"/>
          <w:highlight w:val="none"/>
        </w:rPr>
      </w:pPr>
      <w:r>
        <w:rPr>
          <w:rStyle w:val="991"/>
          <w:rFonts w:hint="eastAsia" w:ascii="宋体" w:hAnsi="宋体" w:cs="宋体"/>
          <w:color w:val="auto"/>
          <w:sz w:val="24"/>
          <w:szCs w:val="24"/>
          <w:highlight w:val="none"/>
        </w:rPr>
        <w:t xml:space="preserve">（4）</w:t>
      </w:r>
      <w:r>
        <w:rPr>
          <w:rFonts w:hint="eastAsia" w:ascii="宋体" w:hAnsi="宋体" w:cs="宋体"/>
          <w:bCs/>
          <w:color w:val="auto"/>
          <w:sz w:val="24"/>
          <w:highlight w:val="none"/>
        </w:rPr>
        <w:t xml:space="preserve">投标供应商的组织架构、各岗位职责分工、管理机制（6分） </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拥有科学、合理且高效的组织架构，各部门之间职责明确，协同顺畅。各岗位职责分工细致、合理，员工能够高效地完成工作任务。同时，管理机制完善，包括决策、执行、监督、激励等各个环节，能够确保供应商的稳定运营和持续发展得6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的组织架构基本合理，但可能存在部分部门职责重叠或沟通不畅的情况。各岗位职责分工相对明确，但个别岗位可能存在职责不清或工作量不均衡的问题。管理机制较为完善，但在某些环节上可能缺乏足够的灵活性和执行力得4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的组织架构存在一定的不合理性，部门之间协作不够紧密，可能存在信息沟通障碍。各岗位职责分工不够明确，员工工作效率受到一定影响。管理机制相对简单，缺乏必要的监督和激励机制，可能导致员工积极性不高或工作懈怠得2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的组织架构混乱，部门之间职责不清，协作困难。各岗位职责分工极其不明确，员工无法有效开展工作。管理机制基本缺失，缺乏有效的决策、执行和监督机制，供应商运营效率低下，存在较高的风险得1分</w:t>
      </w:r>
      <w:r>
        <w:rPr>
          <w:rStyle w:val="991"/>
          <w:rFonts w:hint="eastAsia" w:ascii="宋体" w:hAnsi="宋体" w:cs="宋体"/>
          <w:color w:val="auto"/>
          <w:sz w:val="24"/>
          <w:szCs w:val="24"/>
          <w:highlight w:val="none"/>
        </w:rPr>
        <w:t xml:space="preserve">；</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•投标供应商在组织架构、各岗位职责分工、管理机制等方面存在严重问题，无法满足基本的运营需求。供应商可能面临严重的内部管理问题，甚至无法维持正常的运营活动得0分。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（5）物流配送（5分）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具备完善的物流配送体系，拥有专用配送车辆，每辆配送车均配备空调以确保药品在阴凉环境中运输。同时，供应商有专职驾驶人员负责配送，他们具备丰富的驾驶经验和良好的职业素养。此外，供应商还配备了专用通信及GPS设备，能够实时监控车辆位置和配送进度，确保药品准时、安全地送达目的地得5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在物流配送方面有一定的基础，拥有专用配送车辆，但可能不是每辆车都配备空调。驾驶人员多为兼职或临时雇佣，可能在配送经验和职业素养方面有所欠缺。通信和GPS设备可能不够先进或完善，但能够基本满足配送需求得3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在物流配送方面存在明显不足，拥有专用配送车辆，且车辆状况可能不佳。驾驶人员缺乏专业培训或经验不足，可能导致配送效率低下或安全问题。通信和GPS设备可能缺失或功能不完善，无法有效监控配送进度和车辆位置得1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•投标供应商在物流配送方面完全无法满足要求，缺乏专用配送车辆、驾驶人员以及必要的通信和GPS设备。这种情况下，供应商可能无法承担药品配送任务，或者配送过程中存在极高的风险和不确定性得0分。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（6）提供信息系统对接方案（4分）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方案至少包括信息系统维护更新的及时性（保证医疗机构和投标供应商间的处方信息和配送信息及时传达到位，服务及时）、处方信息的完整性、配送信息的及时准确性、服务手段的便利性</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•对接方案科学合理、信息完整准确，服务便利，得4分；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对接方案科学合理、</w:t>
      </w:r>
      <w:r>
        <w:rPr>
          <w:rFonts w:hint="eastAsia" w:ascii="宋体" w:hAnsi="宋体" w:cs="宋体"/>
          <w:bCs/>
          <w:color w:val="auto"/>
          <w:sz w:val="24"/>
          <w:highlight w:val="none"/>
        </w:rPr>
        <w:t xml:space="preserve">信息较为完整准确，服务较便利</w:t>
      </w:r>
      <w:r>
        <w:rPr>
          <w:rFonts w:hint="eastAsia" w:ascii="宋体" w:hAnsi="宋体" w:cs="宋体"/>
          <w:color w:val="auto"/>
          <w:sz w:val="24"/>
          <w:highlight w:val="none"/>
        </w:rPr>
        <w:t xml:space="preserve">，得2分；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对接方案合理性、</w:t>
      </w:r>
      <w:r>
        <w:rPr>
          <w:rFonts w:hint="eastAsia" w:ascii="宋体" w:hAnsi="宋体" w:cs="宋体"/>
          <w:bCs/>
          <w:color w:val="auto"/>
          <w:sz w:val="24"/>
          <w:highlight w:val="none"/>
        </w:rPr>
        <w:t xml:space="preserve">信息完整度及准确性不高，服务较为麻烦</w:t>
      </w:r>
      <w:r>
        <w:rPr>
          <w:rFonts w:hint="eastAsia" w:ascii="宋体" w:hAnsi="宋体" w:cs="宋体"/>
          <w:color w:val="auto"/>
          <w:sz w:val="24"/>
          <w:highlight w:val="none"/>
        </w:rPr>
        <w:t xml:space="preserve">，得1分；</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不提供不得分；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w:t>
      </w:r>
      <w:r>
        <w:rPr>
          <w:rFonts w:hint="eastAsia" w:ascii="宋体" w:hAnsi="宋体" w:cs="宋体"/>
          <w:color w:val="auto"/>
          <w:sz w:val="24"/>
          <w:highlight w:val="none"/>
        </w:rPr>
        <w:t xml:space="preserve">为保证代煎中药质量，投标供应商需对代煎的每个操作步骤都做出详细规定，并做好记录可供追溯。提供相关的追溯方案</w:t>
      </w:r>
      <w:r>
        <w:rPr>
          <w:rFonts w:hint="eastAsia" w:ascii="宋体" w:hAnsi="宋体" w:cs="宋体"/>
          <w:bCs/>
          <w:color w:val="auto"/>
          <w:sz w:val="24"/>
          <w:highlight w:val="none"/>
        </w:rPr>
        <w:t xml:space="preserve">（5分）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•追溯方案详细，步骤清晰完整，思路合理得5分；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•追溯方案较详细，步骤较清晰完整，思路较合理得3分；</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•追溯方案简略，步骤不太明确，思路不合理得1分；</w:t>
      </w:r>
      <w:r/>
    </w:p>
    <w:p>
      <w:pPr>
        <w:pStyle w:val="716"/>
        <w:jc w:val="both"/>
        <w:keepLines w:val="0"/>
        <w:keepNext w:val="0"/>
        <w:pageBreakBefore w:val="0"/>
        <w:spacing w:line="360" w:lineRule="auto"/>
        <w:rPr>
          <w:color w:val="auto"/>
          <w:highlight w:val="none"/>
        </w:rPr>
      </w:pPr>
      <w:r>
        <w:rPr>
          <w:rFonts w:hint="eastAsia" w:ascii="宋体" w:hAnsi="宋体" w:cs="宋体"/>
          <w:bCs/>
          <w:color w:val="auto"/>
          <w:szCs w:val="24"/>
          <w:highlight w:val="none"/>
        </w:rPr>
        <w:t xml:space="preserve">•未提供追溯方案不得分。</w:t>
      </w:r>
      <w:r/>
    </w:p>
    <w:p>
      <w:pPr>
        <w:ind w:firstLine="482"/>
        <w:jc w:val="both"/>
        <w:keepLines w:val="0"/>
        <w:keepNext w:val="0"/>
        <w:pageBreakBefore w:val="0"/>
        <w:spacing w:line="360" w:lineRule="auto"/>
        <w:rPr>
          <w:rFonts w:ascii="宋体" w:hAnsi="宋体" w:cs="宋体"/>
          <w:color w:val="auto"/>
          <w:sz w:val="24"/>
          <w:szCs w:val="20"/>
          <w:highlight w:val="none"/>
        </w:rPr>
      </w:pPr>
      <w:r>
        <w:rPr>
          <w:rFonts w:hint="eastAsia" w:ascii="宋体" w:hAnsi="宋体" w:cs="宋体"/>
          <w:b/>
          <w:bCs/>
          <w:color w:val="auto"/>
          <w:sz w:val="24"/>
          <w:szCs w:val="20"/>
          <w:highlight w:val="none"/>
        </w:rPr>
        <w:t xml:space="preserve">加分（本项目为服务类，不适用本条）：</w:t>
      </w:r>
      <w:r>
        <w:rPr>
          <w:rFonts w:hint="eastAsia" w:ascii="宋体" w:hAnsi="宋体" w:cs="宋体"/>
          <w:color w:val="auto"/>
          <w:sz w:val="24"/>
          <w:szCs w:val="20"/>
          <w:highlight w:val="none"/>
        </w:rPr>
        <w:t xml:space="preserve">所选用产品属于节能产品、环境标志产品品目清单范围的，提供由国家确定的认证机构（根据《市场监</w:t>
      </w:r>
      <w:r>
        <w:rPr>
          <w:rFonts w:hint="eastAsia" w:ascii="宋体" w:hAnsi="宋体" w:cs="宋体"/>
          <w:color w:val="auto"/>
          <w:sz w:val="24"/>
          <w:highlight w:val="none"/>
        </w:rPr>
        <w:t xml:space="preserve">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0.5分（同一产品同时具有节能产品、环境标志产品认证证书的不重复加分）。</w:t>
      </w:r>
      <w:r/>
    </w:p>
    <w:p>
      <w:pPr>
        <w:jc w:val="both"/>
        <w:keepLines w:val="0"/>
        <w:keepNext w:val="0"/>
        <w:pageBreakBefore w:val="0"/>
        <w:spacing w:line="360" w:lineRule="auto"/>
        <w:rPr>
          <w:color w:val="auto"/>
          <w:highlight w:val="none"/>
        </w:rPr>
      </w:pPr>
      <w:r>
        <w:rPr>
          <w:color w:val="auto"/>
          <w:highlight w:val="none"/>
        </w:rPr>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（十）确定中标投标供应商：</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1．评标委员会根据招标文件规定的评标方法和评标标准进行评审，按招标文件的要求依法推荐中标供应商。评标结束后，投标供应商可进入江苏省政府采购（苏采云）平台，进行评审结果查询。</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2．采购代理机构应当自评审结束之日起2个工作日内将评审报告送交采购人。采购人应当自收到评审报告之日起5个工作日内在评审报告推荐的中标供应商候选单位中按顺序确定中标供应商。采购代理机构将在中标供应商确定之日起2个工作日内发出中标通知书，并在财政部门指定的信息发布媒体（中国政府采购网、江苏政府采购网、无锡政府采购网）上发布中标公告。</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3．投标供应商如有质疑，应在中标结果公告发布之日起7个工作日内，以书面形式一次性向采购人提出质疑，并抄送采购代理机构，同时该质疑应由投标供应商法定代表人或参加投标的授权委托人签署和盖公章（原件）。</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4．提出质疑的供应商应当是参加所质疑项目采购活动的供应商。潜在供应商已依法获取其可质疑的采购文件的，可以对该文件提出质疑。对采购文件提出质疑的，应当在获取采购文件期限届满之日起7个工作日内提出。</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5．供应商提出质疑应当提交质疑函和必要的证明材料。质疑函应当包括下列内容：</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①供应商的姓名或者名称、地址、邮编、联系人及联系电话；</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②质疑项目的名称、编号；</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③具体、明确的质疑事项和与质疑事项相关的请求；</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④事实依据；</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⑤必要的法律依据；</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⑥提出质疑的日期。</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5．采购人将在收到质疑后七个工作日内，对质疑内容作出答复。</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6．采购人将在收到经投标供应商法定代表人或参加投标的授权委托人签署和加盖公章（原件）的书面质</w:t>
      </w:r>
      <w:r>
        <w:rPr>
          <w:rFonts w:hint="eastAsia" w:ascii="宋体" w:hAnsi="宋体" w:cs="宋体"/>
          <w:color w:val="auto"/>
          <w:sz w:val="24"/>
          <w:highlight w:val="none"/>
        </w:rPr>
        <w:t xml:space="preserve">疑后七个工作日内，对质疑内容作出答复。如投标供应商在成交结果公告发布之日起七个工作日后向采购人提出质疑或质疑未经投标供应商法定代表人或参加投标的授权委托人签署和加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jc w:val="both"/>
        <w:keepLines w:val="0"/>
        <w:keepNext w:val="0"/>
        <w:pageBreakBefore w:val="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7．在发布中标公告的同时，采购人及代理机构将向中标供应商发出中标通知书。</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（十一） 废标的确认：</w:t>
      </w:r>
      <w:r/>
    </w:p>
    <w:p>
      <w:pPr>
        <w:ind w:firstLine="480"/>
        <w:jc w:val="both"/>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numPr>
          <w:ilvl w:val="0"/>
          <w:numId w:val="9"/>
        </w:numPr>
        <w:jc w:val="both"/>
        <w:keepLines w:val="0"/>
        <w:keepNext w:val="0"/>
        <w:pageBreakBefore w:val="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符合专业条件的投标供应商或者对采购文件做实质响应的投标供应商不足三家的；</w:t>
      </w:r>
      <w:r/>
    </w:p>
    <w:p>
      <w:pPr>
        <w:numPr>
          <w:ilvl w:val="0"/>
          <w:numId w:val="9"/>
        </w:numPr>
        <w:jc w:val="both"/>
        <w:keepLines w:val="0"/>
        <w:keepNext w:val="0"/>
        <w:pageBreakBefore w:val="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出现影响采购公正的违法、违规行为；</w:t>
      </w:r>
      <w:r/>
    </w:p>
    <w:p>
      <w:pPr>
        <w:numPr>
          <w:ilvl w:val="0"/>
          <w:numId w:val="9"/>
        </w:numPr>
        <w:jc w:val="both"/>
        <w:keepLines w:val="0"/>
        <w:keepNext w:val="0"/>
        <w:pageBreakBefore w:val="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投标供应商的报价均超过采购预算，采购人不能支付的；</w:t>
      </w:r>
      <w:r/>
    </w:p>
    <w:p>
      <w:pPr>
        <w:numPr>
          <w:ilvl w:val="0"/>
          <w:numId w:val="9"/>
        </w:numPr>
        <w:jc w:val="both"/>
        <w:keepLines w:val="0"/>
        <w:keepNext w:val="0"/>
        <w:pageBreakBefore w:val="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因重大变故，采购任务取消。</w:t>
      </w:r>
      <w:r/>
    </w:p>
    <w:p>
      <w:pPr>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（十二）中标无效的确认：</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（1）提供虚假材料谋取中标的；</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（2）采取不正当手段诋毁、排挤其他投标供应商的；</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（3）与招标采购单位、其他投标供应商恶意串通的；</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（4）向采购人行贿或者提供其他不正当利益的；</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（5）在招标过程中与采购人进行协商谈判、不按照招标文件和中标投标供应商的投标文件订立合同，或者与采购人另行订立背离合同实质性内容的协议的；</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（6）拒绝有关部门监督检查或者提供虚假情况的。</w:t>
      </w:r>
      <w:r/>
    </w:p>
    <w:p>
      <w:pPr>
        <w:ind w:firstLine="480"/>
        <w:jc w:val="both"/>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jc w:val="both"/>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（十三）签订、履行合同：</w:t>
      </w:r>
      <w:r/>
    </w:p>
    <w:p>
      <w:pPr>
        <w:ind w:firstLine="480"/>
        <w:jc w:val="both"/>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人应当自中标通知书发出之日起30日内，按照采购文件和中标投标供应商投标文件的约定，与中标投标供应商签订书面合同。所签订的合同不得对采购文件和中标投标供应商投标文件作实质性修改。采购人不得向中标投标供应商提出任何不合理的要求，作为签订合同的条件，不得与中标投标供应商私下订立背离合同实质性内容的协议。合同经北京建智达工程管理股份有限公司见证后生效。采购人因不可抗力原因迟延签订合同的，应当自不可抗力事由消除之日起7日内完成合同签订事宜。</w:t>
      </w:r>
      <w:r/>
    </w:p>
    <w:p>
      <w:pPr>
        <w:ind w:firstLine="480"/>
        <w:jc w:val="both"/>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both"/>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北京建智达工程管理股份有限公司监督合同的履行。中标方非因不可抗力未履行招标、投标文件和合同规定的义务，一经查实，招标代理机构将根据具体情况提请政府采购管理部门作出相应处理。</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（十四）代理服务费：</w:t>
      </w:r>
      <w:r/>
    </w:p>
    <w:p>
      <w:pPr>
        <w:ind w:firstLine="480"/>
        <w:jc w:val="both"/>
        <w:keepLines w:val="0"/>
        <w:keepNext w:val="0"/>
        <w:pageBreakBefore w:val="0"/>
        <w:spacing w:line="360" w:lineRule="auto"/>
        <w:tabs>
          <w:tab w:val="left" w:pos="220" w:leader="none"/>
          <w:tab w:val="left" w:pos="945" w:leader="none"/>
          <w:tab w:val="left" w:pos="1050" w:leader="none"/>
        </w:tabs>
        <w:rPr>
          <w:rFonts w:ascii="宋体" w:hAnsi="宋体"/>
          <w:bCs/>
          <w:color w:val="auto"/>
          <w:sz w:val="24"/>
          <w:highlight w:val="none"/>
        </w:rPr>
      </w:pPr>
      <w:r>
        <w:rPr>
          <w:rFonts w:hint="eastAsia" w:ascii="宋体" w:hAnsi="宋体" w:cs="宋体"/>
          <w:bCs/>
          <w:color w:val="auto"/>
          <w:sz w:val="24"/>
          <w:highlight w:val="none"/>
        </w:rPr>
        <w:t xml:space="preserve">1.</w:t>
      </w:r>
      <w:r>
        <w:rPr>
          <w:rFonts w:hint="eastAsia" w:ascii="宋体" w:hAnsi="宋体"/>
          <w:bCs/>
          <w:color w:val="auto"/>
          <w:sz w:val="24"/>
          <w:highlight w:val="none"/>
        </w:rPr>
        <w:t xml:space="preserve">本项目招标代理费由中标供应商支付，</w:t>
      </w:r>
      <w:r>
        <w:rPr>
          <w:rFonts w:hint="eastAsia" w:ascii="宋体" w:hAnsi="宋体"/>
          <w:color w:val="auto"/>
          <w:sz w:val="24"/>
          <w:highlight w:val="none"/>
        </w:rPr>
        <w:t xml:space="preserve">以预算金额为计费基础，按差额定率累进法计算，收费标准为：金额100万以下的费率为1.5%*0.6；金额100万－500万部分的费率为0.8%*0.6；金额500万－1000万部分的费率为0.45%*0.6；金额1000万－5000万部分的费率为0.25%*0.6。</w:t>
      </w:r>
      <w:r/>
    </w:p>
    <w:p>
      <w:pPr>
        <w:ind w:firstLine="480"/>
        <w:jc w:val="both"/>
        <w:keepLines w:val="0"/>
        <w:keepNext w:val="0"/>
        <w:pageBreakBefore w:val="0"/>
        <w:spacing w:line="360" w:lineRule="auto"/>
        <w:tabs>
          <w:tab w:val="left" w:pos="220" w:leader="none"/>
          <w:tab w:val="left" w:pos="945" w:leader="none"/>
          <w:tab w:val="left" w:pos="1050" w:leader="none"/>
        </w:tabs>
        <w:rPr>
          <w:rFonts w:ascii="宋体" w:hAnsi="宋体" w:cs="宋体"/>
          <w:bCs/>
          <w:color w:val="auto"/>
          <w:sz w:val="24"/>
          <w:highlight w:val="none"/>
        </w:rPr>
      </w:pPr>
      <w:r>
        <w:rPr>
          <w:rFonts w:hint="eastAsia" w:ascii="宋体" w:hAnsi="宋体"/>
          <w:bCs/>
          <w:color w:val="auto"/>
          <w:sz w:val="24"/>
          <w:highlight w:val="none"/>
        </w:rPr>
        <w:t xml:space="preserve">中标供应商在领取中标通知书时一次性结清前述费用。</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（十五）政府采购信用担保</w:t>
      </w:r>
      <w:r/>
    </w:p>
    <w:p>
      <w:pPr>
        <w:ind w:firstLine="482"/>
        <w:jc w:val="both"/>
        <w:keepLines w:val="0"/>
        <w:keepNext w:val="0"/>
        <w:pageBreakBefore w:val="0"/>
        <w:spacing w:line="360" w:lineRule="auto"/>
        <w:tabs>
          <w:tab w:val="left" w:pos="900" w:leader="none"/>
        </w:tabs>
        <w:rPr>
          <w:rFonts w:ascii="宋体" w:hAnsi="宋体" w:cs="宋体"/>
          <w:b/>
          <w:color w:val="auto"/>
          <w:sz w:val="24"/>
          <w:highlight w:val="none"/>
        </w:rPr>
      </w:pPr>
      <w:r>
        <w:rPr>
          <w:rFonts w:hint="eastAsia" w:ascii="宋体" w:hAnsi="宋体" w:cs="宋体"/>
          <w:b/>
          <w:color w:val="auto"/>
          <w:sz w:val="24"/>
          <w:highlight w:val="none"/>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（十六）政府采购合同融资</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根据无锡市《关于开展政府采购合同融资工作的通知》（锡财购〔2020〕17号）要求：合同融资，是指参与政府采购的供应商，凭借中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政府采购合同融资政策告知：</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中标、成交供应商可依法依规使用本项目合同向金融机构融资，但采购人不为中标、成交供应商的融资行为提供担保。</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无锡市政府采购合同融资政策告知函</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各供应商：</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欢迎贵公司参与无锡市政府采购活动！</w:t>
      </w:r>
      <w:r/>
    </w:p>
    <w:p>
      <w:pPr>
        <w:ind w:firstLine="480"/>
        <w:jc w:val="both"/>
        <w:keepLines w:val="0"/>
        <w:keepNext w:val="0"/>
        <w:pageBreakBefore w:val="0"/>
        <w:spacing w:line="360" w:lineRule="auto"/>
        <w:tabs>
          <w:tab w:val="left" w:pos="900" w:leader="none"/>
        </w:tabs>
        <w:rPr>
          <w:rFonts w:ascii="宋体" w:hAnsi="宋体" w:cs="宋体"/>
          <w:bCs/>
          <w:color w:val="auto"/>
          <w:sz w:val="24"/>
          <w:highlight w:val="none"/>
        </w:rPr>
      </w:pPr>
      <w:r>
        <w:rPr>
          <w:rFonts w:hint="eastAsia" w:ascii="宋体" w:hAnsi="宋体" w:cs="宋体"/>
          <w:bCs/>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jc w:val="both"/>
        <w:keepLines w:val="0"/>
        <w:keepNext w:val="0"/>
        <w:pageBreakBefore w:val="0"/>
        <w:spacing w:line="360" w:lineRule="auto"/>
        <w:tabs>
          <w:tab w:val="left" w:pos="900" w:leader="none"/>
        </w:tabs>
        <w:rPr>
          <w:rFonts w:ascii="宋体" w:hAnsi="宋体" w:cs="宋体"/>
          <w:b/>
          <w:color w:val="auto"/>
          <w:sz w:val="44"/>
          <w:szCs w:val="44"/>
          <w:highlight w:val="none"/>
        </w:rPr>
      </w:pPr>
      <w:r>
        <w:rPr>
          <w:rFonts w:hint="eastAsia" w:ascii="宋体" w:hAnsi="宋体" w:cs="宋体"/>
          <w:bCs/>
          <w:color w:val="auto"/>
          <w:sz w:val="24"/>
          <w:highlight w:val="none"/>
        </w:rPr>
        <w:t xml:space="preserve">贷款渠道和提供贷款的金融机构，可在无锡政府采购网无锡市政府采购交易管理一体化系统查询联系。详见无锡市政府采购网“政采贷”专栏</w:t>
      </w:r>
      <w:r/>
    </w:p>
    <w:p>
      <w:pPr>
        <w:jc w:val="both"/>
        <w:keepLines w:val="0"/>
        <w:keepNext w:val="0"/>
        <w:pageBreakBefore w:val="0"/>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（十七）其他：</w:t>
      </w:r>
      <w:r/>
    </w:p>
    <w:p>
      <w:pPr>
        <w:ind w:firstLine="480"/>
        <w:jc w:val="both"/>
        <w:keepLines w:val="0"/>
        <w:keepNext w:val="0"/>
        <w:pageBreakBefore w:val="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1.采购文件的条款必须认真审阅，投标供应商应自行检查采购文件页数是否齐全。若有遗漏、重复或不清楚，需立刻通知采购人予以更正；凡属对条款的误解所造成的中标价格失误，由供应商负责。</w:t>
      </w:r>
      <w:r/>
    </w:p>
    <w:p>
      <w:pPr>
        <w:ind w:firstLine="480"/>
        <w:jc w:val="both"/>
        <w:keepLines w:val="0"/>
        <w:keepNext w:val="0"/>
        <w:pageBreakBefore w:val="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numPr>
          <w:ilvl w:val="0"/>
          <w:numId w:val="0"/>
        </w:numPr>
        <w:ind w:firstLine="883"/>
        <w:jc w:val="center"/>
        <w:spacing w:line="540" w:lineRule="exact"/>
        <w:rPr>
          <w:rFonts w:ascii="宋体" w:hAnsi="宋体" w:cs="宋体"/>
          <w:b/>
          <w:color w:val="auto"/>
          <w:sz w:val="44"/>
          <w:szCs w:val="44"/>
          <w:highlight w:val="none"/>
        </w:rPr>
      </w:pPr>
      <w:r>
        <w:rPr>
          <w:rFonts w:hint="eastAsia" w:ascii="宋体" w:hAnsi="宋体" w:eastAsia="宋体" w:cs="宋体"/>
          <w:b/>
          <w:color w:val="auto"/>
          <w:sz w:val="44"/>
          <w:szCs w:val="44"/>
          <w:highlight w:val="none"/>
          <w:lang w:val="en-US" w:eastAsia="zh-CN" w:bidi="ar-SA"/>
        </w:rPr>
        <w:t xml:space="preserve">第三部分．</w:t>
      </w:r>
      <w:r>
        <w:rPr>
          <w:rFonts w:hint="eastAsia" w:ascii="宋体" w:hAnsi="宋体" w:cs="宋体"/>
          <w:b/>
          <w:color w:val="auto"/>
          <w:sz w:val="44"/>
          <w:szCs w:val="44"/>
          <w:highlight w:val="none"/>
        </w:rPr>
        <w:t xml:space="preserve">采购需求</w:t>
      </w:r>
      <w:bookmarkStart w:id="5" w:name="五．合同条款"/>
      <w:r/>
      <w:bookmarkEnd w:id="5"/>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一、项目概况</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项目概述：采购人的中医医师开具中药饮片处方，供应商针对门诊和住院患者提供中药代煎和配送服务。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采购预算：1299万元</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履约期限：合同签订之日起3年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4、交货期：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4.1中药饮片：采购人每月按需采购，供应商收到采购人购货单后72小时内及时供货，每批货物与采购人购货单所需货物数量相符。具体品种见附件1《中药饮片需求目录》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中药饮片代加工：供应商负责将加工好的中药饮片按采购人要求的时间制作配送，原则上当天四点之前传处方，制好的汤剂将于第二天/膏剂（协定方）于三个工作日/膏剂(冬令膏方）于五个工作日内送至采购人指定位置；具体项目见附件2《中药代加工服务项目》</w:t>
      </w:r>
      <w:r/>
    </w:p>
    <w:p>
      <w:pPr>
        <w:pStyle w:val="71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4.3中药饮片及代加工成品配送时间应满足患者用药需要，交付时间不受节假日的影响。</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质量标准：合格，符合法律法规、行业规范及采购人使用需求</w:t>
      </w:r>
      <w:r>
        <w:rPr>
          <w:rFonts w:hint="eastAsia" w:ascii="宋体" w:hAnsi="宋体" w:cs="宋体"/>
          <w:bCs/>
          <w:color w:val="auto"/>
          <w:sz w:val="24"/>
          <w:highlight w:val="none"/>
          <w:lang w:eastAsia="zh-CN"/>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为落实政府采购政策需满足的要求：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①投标供应商如为小微企业的，按照《政府采购促进中小企业发展管理办法》（财库〔2020〕46号）规定提供《中小企业声明函》；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③投标供应商如为残疾人福利性单位的提供《残疾人福利性单位声明函》；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④中小企业划型标准详见《关于印发中小企业划型标准规定的通知》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工信部联企业〔2011〕300号）。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非专门面向中小企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pStyle w:val="674"/>
        <w:numPr>
          <w:ilvl w:val="0"/>
          <w:numId w:val="10"/>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投标供应商拟派本项目实施团队的人员应由收方人员、审方人员、饮片调剂人员、调剂复核人员、煎药人员、质量管理人员等组成。投标供应商有完善的审方系统，能及时发现处方问题并及时沟通。需配备中药师（含以上）或执业中药师为本项目专职服务，投标时同时提供中药师（含以上）或执业中药师的①证书扫描件、②供应商为其缴纳的、由法定社保机构出具的</w:t>
      </w:r>
      <w:r>
        <w:rPr>
          <w:rFonts w:hint="eastAsia" w:ascii="宋体" w:hAnsi="宋体" w:cs="宋体"/>
          <w:color w:val="auto"/>
          <w:sz w:val="24"/>
          <w:highlight w:val="none"/>
          <w:lang w:eastAsia="zh-CN"/>
        </w:rPr>
        <w:t xml:space="preserve">2025年1月-2025年3月</w:t>
      </w:r>
      <w:r>
        <w:rPr>
          <w:rFonts w:hint="eastAsia" w:ascii="宋体" w:hAnsi="宋体" w:cs="宋体"/>
          <w:color w:val="auto"/>
          <w:sz w:val="24"/>
          <w:highlight w:val="none"/>
        </w:rPr>
        <w:t xml:space="preserve">任一月份的缴费证明。</w:t>
      </w:r>
      <w:r/>
    </w:p>
    <w:p>
      <w:pPr>
        <w:numPr>
          <w:ilvl w:val="255"/>
          <w:numId w:val="0"/>
        </w:numPr>
        <w:jc w:val="left"/>
        <w:spacing w:line="360" w:lineRule="auto"/>
        <w:widowControl/>
        <w:rPr>
          <w:rFonts w:ascii="宋体" w:hAnsi="宋体" w:cs="宋体"/>
          <w:b/>
          <w:bCs/>
          <w:i/>
          <w:iCs/>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投标供应商需具备中药饮片调剂及中药煎煮中心，且该中心应</w:t>
      </w:r>
      <w:r>
        <w:rPr>
          <w:rFonts w:ascii="宋体" w:hAnsi="宋体" w:cs="宋体"/>
          <w:color w:val="auto"/>
          <w:sz w:val="24"/>
          <w:highlight w:val="none"/>
        </w:rPr>
        <w:t xml:space="preserve">配</w:t>
      </w:r>
      <w:r>
        <w:rPr>
          <w:rFonts w:hint="eastAsia" w:ascii="宋体" w:hAnsi="宋体" w:cs="宋体"/>
          <w:color w:val="auto"/>
          <w:sz w:val="24"/>
          <w:highlight w:val="none"/>
        </w:rPr>
        <w:t xml:space="preserve">备温湿度监控设备和高清摄像头，以保障代加工全过程可实现远程视频监控。</w:t>
      </w:r>
      <w:r>
        <w:rPr>
          <w:rFonts w:hint="eastAsia" w:ascii="宋体" w:hAnsi="宋体" w:cs="宋体"/>
          <w:b/>
          <w:bCs/>
          <w:i/>
          <w:iCs/>
          <w:color w:val="auto"/>
          <w:sz w:val="24"/>
          <w:highlight w:val="none"/>
          <w:u w:val="single"/>
        </w:rPr>
        <w:t xml:space="preserve">投标时提供能清晰体现监控设备及摄像头的现场照片，同时提交承诺书，承诺视频监控资料保存期限不少于30天。</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3、药品（制剂）储存和调配、煎煮、配送所使用的场地、设备、环境卫生和人员资质等应符合国家相关法律法规的要求，保障中药饮片质量储存要求。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供应商根据医院每天的处方量，配备满足医院现有业务及发展需求的煎药机、包装机等设备，保障代煎药品质量和速率。供应商代煎加工服务使用的煎药机必须具备智能控制和自动挤压功能，自动挤压装置的电机功率不少于4OW（</w:t>
      </w:r>
      <w:r>
        <w:rPr>
          <w:rFonts w:hint="eastAsia" w:ascii="宋体" w:hAnsi="宋体" w:cs="宋体"/>
          <w:b/>
          <w:bCs/>
          <w:i/>
          <w:iCs/>
          <w:color w:val="auto"/>
          <w:sz w:val="24"/>
          <w:highlight w:val="none"/>
          <w:u w:val="single"/>
        </w:rPr>
        <w:t xml:space="preserve">投标时提供煎药机的产品彩页或使用说明，证明前述要求</w:t>
      </w:r>
      <w:r>
        <w:rPr>
          <w:rFonts w:hint="eastAsia" w:ascii="宋体" w:hAnsi="宋体" w:cs="宋体"/>
          <w:color w:val="auto"/>
          <w:sz w:val="24"/>
          <w:highlight w:val="none"/>
        </w:rPr>
        <w:t xml:space="preserve">）。有煎药室工作制度和相关设备的标准化操作程序（S0P）。</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供应商按临床需要提供合格的中药饮片，根据采购人要求对中药饮片进行加工（如打碎、打粉，制膏剂等），能提供代煎、熬膏等中药代加工服务，并能将配好的药方或汤剂、膏剂等代加工后的成品配送到医院或客户手中，配送给医院的，运输车辆及人员应符合《中华人民共和国道路交通安全法》等相关法律法规要求；配送给客户的，需选择合适的快递或物流单位，快递（物流）费由客户承担，运输过程的变质、破损、补发等情形产生的损失，由供应商承担，与采购人无关。</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6、供应商应严格按照 《药品经营质量管理规范》《药品生产质量管理规范》（GMP）、《医疗机构药品监督管理办法》《医院中药饮片管理规范》《医疗机构中药煎药室管理规范》《国家药品包装容器（材料）标准》等相关法律法规的要求，进行中药饮片的调剂、代煎及质量管理工作。</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供应商应确保用于代加工服务的中药饮片质量均应符合《中华人民共和国药典》《江苏省中药饮片炮制规范》等标准，且达到医院使用中药饮片质量的要求，能接受各级部门及医院的检查。中标供应商给采购人的中药饮片有效期应大于1年有效期。任何被检验的货物或服务不符合质量要求，采购人均可以拒绝接受，供应商应及时更换被拒绝的货物或重新提供服务，且不得影响采购人正常工作，费用由供应商承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8、合同履约期限内，乙方所供药品如列入江苏省药品监督管理局官网（首页-专题专栏-监督抽检-药品质量的通告），按合同约定承担相应责任。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9、煎药要求：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①具有保证煎药质量的各种煎药设备，不仅能满足煎药的数量要求，还要满足特色药的煎制要求（包含二煎），能提供特殊煎煮方法（凡注明有先煎、后下、包煎、另煎、烊化、煎汤代水，应当按照要求或医嘱操作）。投标时无需提供煎药设备列表，如中标，供应商在合同签订时向采购人提交煎药设备清单，如无法满足特殊煎煮方法的，供应商承诺采购具备特殊煎煮方法、满足采购需求的新设备，费用由投标供应商承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②代煎企业提供的全部中药饮片的煎煮汤液均应按国家及地方有关规定的标准及保护措施进行包装、运输、配送，尤其是煎煮汤液的配送必须符合相关规定，且在包装袋上明确贴有患者信息、外用药提醒标识、存储温度等相关标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③对润药加水量、煎制时间、煎制温度、先煎后下等煎煮条件进行智能化控制，避免人为操作失误，实现煎药过程标准化、同质化管理。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④煎药、熬膏不定期接受采购人医院专业人员监督检查，不合格产品由代煎企业负责赔偿。如患者提出意见，由代煎企业负责解释，及时处理纠纷。</w:t>
      </w:r>
      <w:r/>
    </w:p>
    <w:p>
      <w:pPr>
        <w:pStyle w:val="71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⑤加工过程中的废水、废气、废渣等管理应符合相关环保的法律法规要求。</w:t>
      </w:r>
      <w:r/>
    </w:p>
    <w:p>
      <w:pPr>
        <w:spacing w:line="360" w:lineRule="auto"/>
        <w:rPr>
          <w:color w:val="auto"/>
          <w:highlight w:val="none"/>
        </w:rPr>
      </w:pPr>
      <w:r>
        <w:rPr>
          <w:rFonts w:hint="eastAsia" w:ascii="宋体" w:hAnsi="宋体" w:cs="宋体"/>
          <w:color w:val="auto"/>
          <w:sz w:val="24"/>
          <w:highlight w:val="none"/>
        </w:rPr>
        <w:t xml:space="preserve">10、</w:t>
      </w:r>
      <w:r>
        <w:rPr>
          <w:rFonts w:ascii="Segoe UI" w:hAnsi="Segoe UI" w:eastAsia="Segoe UI" w:cs="Segoe UI"/>
          <w:color w:val="auto"/>
          <w:sz w:val="24"/>
          <w:highlight w:val="none"/>
          <w:shd w:val="clear" w:color="auto" w:fill="ffffff"/>
        </w:rPr>
        <w:t xml:space="preserve">供应商所供应的中药饮片，在品种和规格上必须100% 覆盖</w:t>
      </w:r>
      <w:r>
        <w:rPr>
          <w:rFonts w:hint="eastAsia" w:ascii="Segoe UI" w:hAnsi="Segoe UI" w:cs="Segoe UI"/>
          <w:color w:val="auto"/>
          <w:sz w:val="24"/>
          <w:highlight w:val="none"/>
          <w:shd w:val="clear" w:color="auto" w:fill="ffffff"/>
        </w:rPr>
        <w:t xml:space="preserve">采购人</w:t>
      </w:r>
      <w:r>
        <w:rPr>
          <w:rFonts w:ascii="Segoe UI" w:hAnsi="Segoe UI" w:eastAsia="Segoe UI" w:cs="Segoe UI"/>
          <w:color w:val="auto"/>
          <w:sz w:val="24"/>
          <w:highlight w:val="none"/>
          <w:shd w:val="clear" w:color="auto" w:fill="ffffff"/>
        </w:rPr>
        <w:t xml:space="preserve">目前在用的215个品种</w:t>
      </w:r>
      <w:r>
        <w:rPr>
          <w:rFonts w:hint="eastAsia" w:ascii="Segoe UI" w:hAnsi="Segoe UI" w:cs="Segoe UI"/>
          <w:color w:val="auto"/>
          <w:sz w:val="24"/>
          <w:highlight w:val="none"/>
          <w:shd w:val="clear" w:color="auto" w:fill="ffffff"/>
        </w:rPr>
        <w:t xml:space="preserve">；</w:t>
      </w:r>
      <w:r>
        <w:rPr>
          <w:rFonts w:ascii="Segoe UI" w:hAnsi="Segoe UI" w:eastAsia="Segoe UI" w:cs="Segoe UI"/>
          <w:color w:val="auto"/>
          <w:sz w:val="24"/>
          <w:highlight w:val="none"/>
          <w:shd w:val="clear" w:color="auto" w:fill="ffffff"/>
        </w:rPr>
        <w:t xml:space="preserve">此外，供应商提供的销售饮片品种目录清单中，品种数量不得少于 300个，</w:t>
      </w:r>
      <w:r>
        <w:rPr>
          <w:rFonts w:hint="eastAsia" w:ascii="宋体" w:hAnsi="宋体" w:cs="宋体"/>
          <w:b/>
          <w:bCs/>
          <w:i/>
          <w:iCs/>
          <w:color w:val="auto"/>
          <w:sz w:val="24"/>
          <w:highlight w:val="none"/>
          <w:u w:val="single"/>
        </w:rPr>
        <w:t xml:space="preserve">投标时提供药品销售目录及承诺书。</w:t>
      </w:r>
      <w:r/>
    </w:p>
    <w:p>
      <w:pPr>
        <w:numPr>
          <w:ilvl w:val="0"/>
          <w:numId w:val="10"/>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其他服务要求</w:t>
      </w:r>
      <w:r/>
    </w:p>
    <w:p>
      <w:pPr>
        <w:spacing w:line="360" w:lineRule="auto"/>
        <w:rPr>
          <w:rFonts w:ascii="宋体" w:hAnsi="宋体" w:cs="宋体"/>
          <w:b/>
          <w:bCs/>
          <w:i/>
          <w:iCs/>
          <w:color w:val="auto"/>
          <w:sz w:val="24"/>
          <w:highlight w:val="none"/>
          <w:u w:val="single"/>
        </w:rPr>
      </w:pP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供应商能够提供详细追溯说明，能够做到每张处方从医院审方传方、企业接方审方、转换生产指令、审核出单、规范调剂、配方审核、加工流程、成品审核、配送等都可完整追溯。供应商在生产期间应做好各种生产记录并保存，以确保中药饮片质量。如发生患者投诉，要能提供流程记录和留样记录。</w:t>
      </w:r>
      <w:r>
        <w:rPr>
          <w:rFonts w:hint="eastAsia" w:ascii="宋体" w:hAnsi="宋体" w:cs="宋体"/>
          <w:b/>
          <w:bCs/>
          <w:i/>
          <w:iCs/>
          <w:color w:val="auto"/>
          <w:sz w:val="24"/>
          <w:highlight w:val="none"/>
          <w:u w:val="single"/>
        </w:rPr>
        <w:t xml:space="preserve">投标时提供供应商的《生产记录》格式。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投标供应商所使用的系统需能与采购人中药房相应的处方数据软件进行无缝对接；必须支持处方远程作废或取消、实时状态查询、加工全流程追踪查询以及配送服务查询与跟踪。</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 xml:space="preserve">供应商能够提供配送服务方案，应急对接方案，应急送货服务方案，应急代煎服务方案，确保应急情况下反应迅速。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 xml:space="preserve">遵守保密义务，对所有患者信息和处方信息进行保密。</w:t>
      </w:r>
      <w:r/>
    </w:p>
    <w:p>
      <w:pPr>
        <w:pStyle w:val="71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5、中标供应商不得与病人私下直接接触。</w:t>
      </w:r>
      <w:r/>
    </w:p>
    <w:p>
      <w:pPr>
        <w:pStyle w:val="71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当病人选择中药代煎并配送到家服务后，医院信息系统会将含有患者姓名、联系方式、处方详情等关键信息的订单，传输至中标供应商。供应商收到订单后，需第一时间与患者取得联系，详细登记患者家庭住址等配送信息，确保配送地址准确详实。待中药煎制完毕且质量检测合格，供应商需安排专业配送人员将煎好的中药直送患者家中。整个配送过程中，供应商承担全部责任，供应商应当全力保障患者及时、安全地收到药品。</w:t>
      </w:r>
      <w:r/>
    </w:p>
    <w:p>
      <w:pPr>
        <w:numPr>
          <w:ilvl w:val="0"/>
          <w:numId w:val="10"/>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投标报价及项目付款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（一）投标报价要求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1、本项目采用“优惠率”报价，有效报价范围为0（含）～100%（不含），不在有效报价范围内的投标做无效投标处理。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2、投标供应商报价时，参照中药饮片的单项和中药代加工服务的单项最高限价，以优惠率形式进行报价：实际结算价=最高限价*（1-优惠率）。各项服务仅允许填报一个优惠率，数量按实结算。</w:t>
      </w:r>
      <w:r/>
    </w:p>
    <w:p>
      <w:pPr>
        <w:numPr>
          <w:ilvl w:val="0"/>
          <w:numId w:val="11"/>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如采购人有需要其他不在此次招标清单内的中药饮片，则参考本地同等级医院供货价进行结算，供应商需提供同等级医院供货清单，双方确认后进行结算，如仍无法确认价格，双方协商经审计确认后定价。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投标总报价应涵盖采购需求中的全部商务、技术要求以及供应商投标内容所涉及的一切费用</w:t>
      </w:r>
      <w:r>
        <w:rPr>
          <w:rFonts w:hint="eastAsia" w:ascii="宋体" w:hAnsi="宋体" w:cs="宋体"/>
          <w:color w:val="auto"/>
          <w:sz w:val="24"/>
          <w:highlight w:val="none"/>
        </w:rPr>
        <w:t xml:space="preserve">，</w:t>
      </w:r>
      <w:r>
        <w:rPr>
          <w:rFonts w:ascii="宋体" w:hAnsi="宋体" w:cs="宋体"/>
          <w:color w:val="auto"/>
          <w:sz w:val="24"/>
          <w:highlight w:val="none"/>
        </w:rPr>
        <w:t xml:space="preserve">采购人不会就采购需求相关内容另行支付其他任何费用</w:t>
      </w:r>
      <w:r>
        <w:rPr>
          <w:rFonts w:hint="eastAsia" w:ascii="宋体" w:hAnsi="宋体" w:cs="宋体"/>
          <w:color w:val="auto"/>
          <w:sz w:val="24"/>
          <w:highlight w:val="none"/>
        </w:rPr>
        <w:t xml:space="preserve">。</w:t>
      </w:r>
      <w:r/>
    </w:p>
    <w:p>
      <w:pPr>
        <w:numPr>
          <w:ilvl w:val="0"/>
          <w:numId w:val="12"/>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项目付款说明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1、中药饮片付款说明：按照验收通过的中药饮片结算金额，根据医院药品账期进行付款，每次</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申请付款前需提供合规发票。因</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提供的发票不合格，</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有权顺延付款而不承担任何责任。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2、代煎服务付款说明：病人自费。在病人选择代煎服务时，将明确告知其代煎费用的具体金额及支付方式。病人需在取药时或按照双方约定的时间支付代煎费用。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3、配送服务付款说明：病人自费</w:t>
      </w:r>
      <w:r>
        <w:rPr>
          <w:rFonts w:hint="eastAsia" w:ascii="宋体" w:hAnsi="宋体" w:cs="宋体"/>
          <w:bCs/>
          <w:color w:val="auto"/>
          <w:sz w:val="24"/>
          <w:highlight w:val="none"/>
        </w:rPr>
        <w:t xml:space="preserve">（快递到付）</w:t>
      </w:r>
      <w:r>
        <w:rPr>
          <w:rFonts w:hint="eastAsia" w:ascii="宋体" w:hAnsi="宋体" w:cs="宋体"/>
          <w:color w:val="auto"/>
          <w:sz w:val="24"/>
          <w:highlight w:val="none"/>
        </w:rPr>
        <w:t xml:space="preserve">。此部分可以由供应商分包给具备条件的物流公司或快递公司，拟分包情况以书面形式向采购人告知，作为甲乙双方履约的合同附件。因物流公司或快递公司配送服务引起的矛盾纠纷、损失等，均由供应商承担。</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注：本项目不得有负偏离，否则按无效标处理。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附件1《中药饮片需求目录》</w:t>
      </w:r>
      <w:r/>
    </w:p>
    <w:p>
      <w:pPr>
        <w:pStyle w:val="682"/>
        <w:ind w:left="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tbl>
      <w:tblPr>
        <w:tblStyle w:val="681"/>
        <w:tblW w:w="76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6"/>
        <w:gridCol w:w="2489"/>
        <w:gridCol w:w="1691"/>
        <w:gridCol w:w="2379"/>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pStyle w:val="682"/>
              <w:ind w:left="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药品名称</w:t>
            </w:r>
            <w:r/>
          </w:p>
          <w:p>
            <w:pPr>
              <w:pStyle w:val="682"/>
              <w:ind w:left="0"/>
              <w:jc w:val="center"/>
              <w:rPr>
                <w:rFonts w:hint="eastAsia"/>
                <w:color w:val="auto"/>
                <w:sz w:val="24"/>
                <w:szCs w:val="24"/>
                <w:highlight w:val="none"/>
              </w:rPr>
            </w:pPr>
            <w:r>
              <w:rPr>
                <w:rFonts w:hint="eastAsia" w:ascii="宋体" w:hAnsi="宋体" w:cs="宋体"/>
                <w:color w:val="auto"/>
                <w:sz w:val="24"/>
                <w:szCs w:val="24"/>
                <w:highlight w:val="none"/>
                <w:lang w:val="en-US" w:eastAsia="zh-CN"/>
              </w:rPr>
              <w:t xml:space="preserve">规格：统货</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预计3年用量</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w:t>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（元/kg）</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夜交藤</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炒芥子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白术</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2474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磁石</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全瓜蒌</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1629</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柴胡</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枳实</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牡蛎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黄芩</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乌梅</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透骨草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远志</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酸枣仁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龙齿</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香附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苏梗</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枳壳</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燀山桃仁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干益母草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淡豆豉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薏苡仁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竹沥半夏</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醋龟甲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麸炒薏苡仁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煨肉豆蔻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干石斛</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煅石决明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黑顺片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炒诃子肉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酒管花肉苁蓉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酒牛膝</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藁本片</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制地龙</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3895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259</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芥子</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炒桑枝</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麸炒白芍</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烫骨碎补</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48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498</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numPr>
          <w:ilvl w:val="0"/>
          <w:numId w:val="13"/>
        </w:numPr>
        <w:spacing w:line="360" w:lineRule="auto"/>
        <w:rPr>
          <w:color w:val="auto"/>
          <w:highlight w:val="none"/>
        </w:rPr>
      </w:pPr>
      <w:r>
        <w:rPr>
          <w:rFonts w:hint="eastAsia" w:ascii="宋体" w:hAnsi="宋体" w:cs="宋体"/>
          <w:color w:val="auto"/>
          <w:sz w:val="24"/>
          <w:highlight w:val="none"/>
        </w:rPr>
        <w:t xml:space="preserve">若受政策性因素影响，中标后以上药品种类有需纳入集中采购目录的，采购人有权与中标人终止该药品种类的采购，并不构成违约。</w:t>
      </w:r>
      <w:r/>
    </w:p>
    <w:p>
      <w:pPr>
        <w:pStyle w:val="682"/>
        <w:ind w:left="0"/>
        <w:spacing w:line="360" w:lineRule="auto"/>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2、上表所列“预计3年用量”为采购人按照以往采购情况的预估用量，并不表示在本合同项下必然采购上表中的用量，所有用量按实计算。</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附件2《中药代加工服务项目》</w:t>
      </w:r>
      <w:r/>
    </w:p>
    <w:tbl>
      <w:tblPr>
        <w:tblStyle w:val="681"/>
        <w:tblW w:w="8040" w:type="dxa"/>
        <w:tblInd w:w="113" w:type="dxa"/>
        <w:tblLayout w:type="autofit"/>
        <w:tblCellMar>
          <w:left w:w="108" w:type="dxa"/>
          <w:top w:w="0" w:type="dxa"/>
          <w:right w:w="108" w:type="dxa"/>
          <w:bottom w:w="0" w:type="dxa"/>
        </w:tblCellMar>
        <w:tblLook w:val="04A0" w:firstRow="1" w:lastRow="0" w:firstColumn="1" w:lastColumn="0" w:noHBand="0" w:noVBand="1"/>
      </w:tblPr>
      <w:tblGrid>
        <w:gridCol w:w="1080"/>
        <w:gridCol w:w="1958"/>
        <w:gridCol w:w="1650"/>
        <w:gridCol w:w="3352"/>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单项最高限价</w:t>
            </w:r>
            <w:r/>
          </w:p>
        </w:tc>
        <w:tc>
          <w:tcPr>
            <w:shd w:val="clear" w:color="auto" w:fill="auto"/>
            <w:tcBorders>
              <w:top w:val="single" w:color="auto" w:sz="4" w:space="0"/>
              <w:left w:val="single" w:color="auto" w:sz="4" w:space="0"/>
              <w:bottom w:val="single" w:color="auto" w:sz="4" w:space="0"/>
              <w:right w:val="single" w:color="auto" w:sz="4" w:space="0"/>
            </w:tcBorders>
            <w:tcW w:w="335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中药临方加工</w:t>
            </w:r>
            <w:r>
              <w:rPr>
                <w:rFonts w:hint="eastAsia" w:ascii="宋体" w:hAnsi="宋体" w:cs="宋体"/>
                <w:bCs/>
                <w:color w:val="auto"/>
                <w:sz w:val="24"/>
                <w:highlight w:val="none"/>
              </w:rPr>
              <w:t xml:space="preserve">（汤剂代煎）</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3元/帖（2包）</w:t>
            </w:r>
            <w:r/>
          </w:p>
        </w:tc>
        <w:tc>
          <w:tcPr>
            <w:shd w:val="clear" w:color="auto" w:fill="auto"/>
            <w:tcBorders>
              <w:top w:val="single" w:color="auto" w:sz="4" w:space="0"/>
              <w:left w:val="single" w:color="auto" w:sz="4" w:space="0"/>
              <w:bottom w:val="single" w:color="auto" w:sz="4" w:space="0"/>
              <w:right w:val="single" w:color="auto" w:sz="4" w:space="0"/>
            </w:tcBorders>
            <w:tcW w:w="335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58"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中药临方加工（</w:t>
            </w:r>
            <w:r>
              <w:rPr>
                <w:rFonts w:hint="eastAsia" w:ascii="宋体" w:hAnsi="宋体" w:cs="宋体"/>
                <w:bCs/>
                <w:color w:val="auto"/>
                <w:sz w:val="24"/>
                <w:highlight w:val="none"/>
              </w:rPr>
              <w:t xml:space="preserve">膏方加工</w:t>
            </w:r>
            <w:r>
              <w:rPr>
                <w:rFonts w:hint="eastAsia" w:ascii="宋体" w:hAnsi="宋体" w:cs="宋体"/>
                <w:color w:val="auto"/>
                <w:sz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75元/副（20包）</w:t>
            </w:r>
            <w:r/>
          </w:p>
        </w:tc>
        <w:tc>
          <w:tcPr>
            <w:shd w:val="clear" w:color="auto" w:fill="auto"/>
            <w:tcBorders>
              <w:top w:val="single" w:color="auto" w:sz="4" w:space="0"/>
              <w:left w:val="single" w:color="auto" w:sz="4" w:space="0"/>
              <w:bottom w:val="single" w:color="auto" w:sz="4" w:space="0"/>
              <w:right w:val="single" w:color="auto" w:sz="4" w:space="0"/>
            </w:tcBorders>
            <w:tcW w:w="3352"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1、含黄酒、容器、冰糖等辅料。</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2、以1副（20包）为收费起点，不足20包按20包收费；超过部分继续按1副（20包）计算收费，以此类推。</w:t>
            </w:r>
            <w:r/>
          </w:p>
        </w:tc>
      </w:tr>
      <w:tr>
        <w:trPr>
          <w:trHeight w:val="480"/>
        </w:trPr>
        <w:tc>
          <w:tcPr>
            <w:gridSpan w:val="4"/>
            <w:shd w:val="clear" w:color="auto" w:fill="auto"/>
            <w:tcBorders>
              <w:top w:val="single" w:color="auto" w:sz="4" w:space="0"/>
              <w:left w:val="single" w:color="auto" w:sz="4" w:space="0"/>
              <w:bottom w:val="single" w:color="auto" w:sz="4" w:space="0"/>
              <w:right w:val="single" w:color="auto" w:sz="4" w:space="0"/>
            </w:tcBorders>
            <w:tcW w:w="8040" w:type="dxa"/>
            <w:vAlign w:val="center"/>
            <w:textDirection w:val="lrTb"/>
            <w:noWrap/>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上述中药临方加工，均应同时包含中药临方加工（理疗中药协定方打粉）、中药临方加工饮片分包装（理疗中药协定方饮片分包装）、中药临方加工（理疗中药协定方打粉制丸），具体按中药临方加工要求为准。</w:t>
            </w:r>
            <w:r/>
          </w:p>
        </w:tc>
      </w:tr>
    </w:tbl>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rPr>
          <w:rFonts w:ascii="宋体" w:hAnsi="宋体" w:cs="宋体"/>
          <w:b/>
          <w:color w:val="auto"/>
          <w:sz w:val="32"/>
          <w:szCs w:val="20"/>
          <w:highlight w:val="none"/>
        </w:rPr>
      </w:pPr>
      <w:r>
        <w:rPr>
          <w:rFonts w:hint="eastAsia" w:ascii="宋体" w:hAnsi="宋体" w:cs="宋体"/>
          <w:b/>
          <w:color w:val="auto"/>
          <w:sz w:val="44"/>
          <w:szCs w:val="44"/>
          <w:highlight w:val="none"/>
        </w:rPr>
        <w:t xml:space="preserve">第四部分．合同</w:t>
      </w:r>
      <w:r/>
    </w:p>
    <w:p>
      <w:pPr>
        <w:jc w:val="center"/>
        <w:spacing w:line="360" w:lineRule="auto"/>
        <w:rPr>
          <w:rFonts w:ascii="黑体" w:hAnsi="宋体" w:eastAsia="黑体"/>
          <w:b/>
          <w:color w:val="auto"/>
          <w:sz w:val="28"/>
          <w:szCs w:val="28"/>
          <w:highlight w:val="none"/>
        </w:rPr>
      </w:pPr>
      <w:r>
        <w:rPr>
          <w:rFonts w:hint="eastAsia" w:ascii="黑体" w:hAnsi="宋体" w:eastAsia="黑体"/>
          <w:b/>
          <w:color w:val="auto"/>
          <w:sz w:val="28"/>
          <w:szCs w:val="28"/>
          <w:highlight w:val="none"/>
        </w:rPr>
        <w:t xml:space="preserve">中药饮片、集中代加工及配送服务合同书</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甲方（采购人）：无锡市精神卫生中心</w:t>
      </w:r>
      <w:r/>
    </w:p>
    <w:p>
      <w:pPr>
        <w:pStyle w:val="71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rPr>
          <w:rFonts w:ascii="宋体" w:hAnsi="宋体" w:cs="宋体"/>
          <w:color w:val="auto"/>
          <w:sz w:val="24"/>
          <w:highlight w:val="none"/>
        </w:rPr>
      </w:pPr>
      <w:r>
        <w:rPr>
          <w:rFonts w:hint="eastAsia" w:ascii="宋体" w:hAnsi="宋体" w:cs="宋体"/>
          <w:bCs/>
          <w:color w:val="auto"/>
          <w:sz w:val="24"/>
          <w:highlight w:val="none"/>
        </w:rPr>
        <w:t xml:space="preserve">电话：</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乙方（中标方）：</w:t>
      </w:r>
      <w:r/>
    </w:p>
    <w:p>
      <w:pPr>
        <w:pStyle w:val="71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714"/>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rPr>
          <w:rFonts w:ascii="宋体" w:hAnsi="宋体" w:cs="宋体"/>
          <w:color w:val="auto"/>
          <w:sz w:val="24"/>
          <w:highlight w:val="none"/>
        </w:rPr>
      </w:pPr>
      <w:r>
        <w:rPr>
          <w:rFonts w:ascii="宋体" w:hAnsi="宋体" w:cs="宋体"/>
          <w:color w:val="auto"/>
          <w:sz w:val="24"/>
          <w:highlight w:val="none"/>
        </w:rPr>
      </w:r>
      <w:r/>
    </w:p>
    <w:p>
      <w:pPr>
        <w:ind w:firstLine="480"/>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供需双方以平等、自愿、公平、诚信、守法为原则，经友好协商，就无锡市精神卫生中心中药饮片、集中代加工及配送服务采购事项订立本合同。双方均已仔细阅读本合同之所有条款，均已充分注意并详细了解双方对各方根据本合同享有的权利和义务，充分理解并自愿接受下列条款。</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（一）采购编号：</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（三）合同金额（预估）：1299万元，</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合同单价=分项限价*（1-中标优惠率）（最终按甲方实际采购数量计算）。</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中药饮片中标优惠率：</w:t>
      </w:r>
      <w:r/>
    </w:p>
    <w:p>
      <w:pPr>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代加工服务中标优惠率：</w:t>
      </w:r>
      <w:r/>
    </w:p>
    <w:p>
      <w:pPr>
        <w:jc w:val="left"/>
        <w:spacing w:line="312"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（四）质量和检验：</w:t>
      </w:r>
      <w:r/>
    </w:p>
    <w:p>
      <w:pPr>
        <w:ind w:firstLine="480"/>
        <w:jc w:val="left"/>
        <w:spacing w:line="312"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 乙方应严格按照采购文件的有关规定和乙方投标文件及相关法律规定提供合格的产品及服务。                                   </w:t>
      </w:r>
      <w:r/>
    </w:p>
    <w:p>
      <w:pPr>
        <w:ind w:firstLine="523"/>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 如果任何被检验的货物或服务不符合质量要求，甲方有权拒绝接受，乙方应及时更换合格的货物或重新提供服务，且不得影响甲方正常工作，由此产生的全部费用由乙方承担。甲方接受相应货物或服务的行为，将不会被视为系对货物或服务与合同项下质量要求相符的确认，本规定并不免除乙方在本合同项下的货物质量保证义务或其他义务。</w:t>
      </w:r>
      <w:r/>
    </w:p>
    <w:p>
      <w:pPr>
        <w:ind w:firstLine="480"/>
        <w:jc w:val="left"/>
        <w:spacing w:line="312" w:lineRule="auto"/>
        <w:tabs>
          <w:tab w:val="left" w:pos="42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 药品（即指“中药饮片”，本合同项下或称“药剂”）到货验收按国家有关规定或相关部颁标准执行，包括：数量、外观、包装标识内容、质量、性能等资料及包装完整无破损。</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4. 甲方应在货物运到并接到乙方通知后及时按照招投标文件的约定组织验收，在验收过程中发现有质量及其他问题，甲方可向乙方索赔，但不得擅自变更原采购文件规定的相关内容，如有变更应按《中华人民共和国政府采购法》的相关程序执行。甲方出具的验收手续，不免除乙方的质保责任或因质量问题产生的赔偿责任。</w:t>
      </w:r>
      <w:r/>
    </w:p>
    <w:p>
      <w:pPr>
        <w:ind w:firstLine="480"/>
        <w:jc w:val="left"/>
        <w:spacing w:line="312" w:lineRule="auto"/>
        <w:tabs>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5. 甲方不得擅自变更招投标文件约定的性能、指标等相关内容，如有变更应按《中华人民共和国政府采购法》的相关程序执行。</w:t>
      </w:r>
      <w:r/>
    </w:p>
    <w:p>
      <w:pPr>
        <w:ind w:firstLine="480"/>
        <w:jc w:val="left"/>
        <w:spacing w:line="312" w:lineRule="auto"/>
        <w:tabs>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6. 中药饮片有效期应大于1年有效期（如乙方在投标时有更优惠承诺，按其承诺执行），自药品验收合格之日起算。</w:t>
      </w:r>
      <w:r/>
    </w:p>
    <w:p>
      <w:pPr>
        <w:jc w:val="left"/>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（五）交货条件：</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 药品的外观、包装、运输应按国家有关规定或相关部颁标准及甲方的要求执行，并满足运输的需求。如因乙方运输、包装不当等原因造成损坏或丢失，应由乙方负责调换或补缺，与甲方无关。</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 本合同项下药品交货必须附有盖乙方公章的中药饮片检验合格书和发票，每种中药饮片的每一批次都需要附有合格证，随货同行的中药饮片名称和数量应与发票一致。</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 运输及到货地点：由乙方负责进行运输并承担所有费用。制剂委托乙方代煎并在次日将制剂成品送至无锡市精神卫生中心（或甲方指定的其他地点）；自制制剂使用的中药饮片送至无锡市精神卫生中心制剂室（或甲方指定的其他地点）。药剂在交付前的全部风险及责任由乙方承担。</w:t>
      </w:r>
      <w:r/>
    </w:p>
    <w:p>
      <w:pPr>
        <w:ind w:firstLine="240"/>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（六）交货期及相关规定：</w:t>
      </w:r>
      <w:r/>
    </w:p>
    <w:p>
      <w:pPr>
        <w:ind w:firstLine="360"/>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1、中药饮片：甲方每月按需采购，中药饮片乙方收到甲方购货单后72小时内及时供货，每批货物与甲方购货单所需货物数量相符。具体品种见附件1</w:t>
      </w:r>
      <w:r/>
    </w:p>
    <w:p>
      <w:pPr>
        <w:ind w:firstLine="480"/>
        <w:jc w:val="left"/>
        <w:spacing w:line="312" w:lineRule="auto"/>
        <w:tabs>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2、中药饮片代加工：</w:t>
      </w:r>
      <w:r>
        <w:rPr>
          <w:rFonts w:hint="eastAsia" w:ascii="宋体" w:hAnsi="宋体" w:cs="宋体"/>
          <w:color w:val="auto"/>
          <w:sz w:val="24"/>
          <w:highlight w:val="none"/>
        </w:rPr>
        <w:t xml:space="preserve">乙方负责将加工好的中药饮片按采购人要求的时间制作配送，原则上当天四点之前传处方，制好的汤剂将于第二天/膏剂（协定方）于三个工作日/膏剂(冬令膏方）于五个工作日内送至采购人指定位置；具体项目见附件2《中药代加工服务项目》</w:t>
      </w:r>
      <w:r>
        <w:rPr>
          <w:rFonts w:hint="eastAsia" w:ascii="宋体" w:hAnsi="宋体" w:cs="宋体"/>
          <w:bCs/>
          <w:color w:val="auto"/>
          <w:sz w:val="24"/>
          <w:highlight w:val="none"/>
        </w:rPr>
        <w:t xml:space="preserve">。对于包装破损的药剂，甲方有权拒收，由乙方按要求重新制作配送，重新制作配送的药剂应于甲方拒收第二天送达甲方指定位置。发生药剂配送晚到、影响病患取药的情形，甲方有权向乙方按照相应中药饮片金额2倍追究违约金。该金额不足以弥补甲方损失的，乙方应按甲方损失进行赔偿。</w:t>
      </w:r>
      <w:r/>
    </w:p>
    <w:p>
      <w:pPr>
        <w:ind w:firstLine="480"/>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中药饮片代加工单位在生产期间应做好各种生产记录并保存，以确保中药质量。如发生患者投诉，乙方要第一时间提供流程记录和留样记录。投标文件应附生产记录格式。乙方应根据甲方要求对中药饮片进行加工（如打碎、打粉，制膏剂等）。</w:t>
      </w:r>
      <w:r/>
    </w:p>
    <w:p>
      <w:pPr>
        <w:ind w:firstLine="480"/>
        <w:jc w:val="left"/>
        <w:spacing w:line="312" w:lineRule="auto"/>
        <w:tabs>
          <w:tab w:val="left" w:pos="73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如果任何被检验的货物或服务不符合质量要求，甲方均可以拒绝接受，乙方应及时更换被拒绝的货物或重新提供服务，且不得影响甲方正常工作，费用由乙方承担。</w:t>
      </w:r>
      <w:r/>
    </w:p>
    <w:p>
      <w:pPr>
        <w:ind w:firstLine="24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（七）货款支付步骤和办法：</w:t>
      </w:r>
      <w:r/>
    </w:p>
    <w:p>
      <w:pPr>
        <w:ind w:firstLine="24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1、中药饮片付款说明：按照验收通过的中药饮片结算金额，根据医院药品账期进行付款，每次</w:t>
      </w: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方申请付款前需提供合规发票。因乙方提供的发票不合格，甲方有权顺延付款而不承担任何责任。</w:t>
      </w:r>
      <w:r/>
    </w:p>
    <w:p>
      <w:pPr>
        <w:ind w:firstLine="24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2、代煎服务付款说明：病人自费。在病人选择代煎服务时，甲方需要明确告知其代煎费用的具体金额及支付方式。病人需在取药时或按照双方约定的时间支付代煎费用。甲</w:t>
      </w:r>
      <w:r>
        <w:rPr>
          <w:rFonts w:hint="eastAsia" w:ascii="宋体" w:hAnsi="宋体" w:cs="宋体"/>
          <w:color w:val="auto"/>
          <w:sz w:val="24"/>
          <w:highlight w:val="none"/>
        </w:rPr>
        <w:t xml:space="preserve">方不承担任何代煎服务项下的费用。</w:t>
      </w:r>
      <w:r/>
    </w:p>
    <w:p>
      <w:pPr>
        <w:ind w:firstLine="24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配送服务付款说明：病人自费（快递到付）。此部分可以由乙方分包给具备条件的物流公司或快递公司，拟分包情况需提前以书面形式向甲方告知，作为供、需双方履约的合同附件。因物流公司或快递公司配送服务引起的矛盾纠纷、损失等，均由乙方处理并承担相应责任。</w:t>
      </w:r>
      <w:r/>
    </w:p>
    <w:p>
      <w:pPr>
        <w:ind w:firstLine="24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（八）违约责任：  </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 如乙方逾期交货的，每逾期一日，应按照该批次购货单上的药品价格总额的万分之二向甲方支付违约金。逾期达3日的，甲方有权解除本合同，且乙方应按照中标价的5%向甲方支付违约金，违约金不足以弥补甲方损失的，乙方还应赔偿不足部分。</w:t>
      </w:r>
      <w:r/>
    </w:p>
    <w:p>
      <w:pPr>
        <w:ind w:firstLine="480"/>
        <w:jc w:val="left"/>
        <w:spacing w:line="312" w:lineRule="auto"/>
        <w:tabs>
          <w:tab w:val="left" w:pos="105" w:leader="none"/>
          <w:tab w:val="left" w:pos="525" w:leader="none"/>
          <w:tab w:val="left" w:pos="945" w:leader="none"/>
          <w:tab w:val="left" w:pos="1965" w:leader="none"/>
        </w:tabs>
        <w:rPr>
          <w:rFonts w:ascii="宋体" w:hAnsi="宋体" w:cs="宋体"/>
          <w:bCs/>
          <w:color w:val="auto"/>
          <w:sz w:val="24"/>
          <w:highlight w:val="none"/>
        </w:rPr>
      </w:pPr>
      <w:r>
        <w:rPr>
          <w:rFonts w:hint="eastAsia" w:ascii="宋体" w:hAnsi="宋体" w:cs="宋体"/>
          <w:bCs/>
          <w:color w:val="auto"/>
          <w:sz w:val="24"/>
          <w:highlight w:val="none"/>
        </w:rPr>
        <w:t xml:space="preserve">2. 乙方所供药品经验收不合格的，或因乙方药品质量问题给甲方造成不良影响或后果的（包括经济损失或名誉受损），甲方有权解除本合同，并要求乙方支付中标价的10%的违约金，违约金不足以弥补甲方损失的，乙方还应赔偿不足部分。</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 若由于乙方药品质量问题对他人造成损害的，甲方有权解除本合同，乙方须承担因此产生的所有责任和后果（包括但不限于甲方的直接损失、可得利益损失、甲方先行他人赔付的赔偿金、行政罚款、支出的律师费、诉讼费、保全担保费、评估鉴定费、差旅费等合理费用），并按中标价的10%向甲方支付违约金。若甲方认为需先行处理的（基于甲方的特殊性，甲方可以调解结案），处理结案后甲方有权向乙方全额追偿（乙方在此事先承诺对追偿数额及追偿项目放弃抗辩权）。</w:t>
      </w:r>
      <w:r/>
    </w:p>
    <w:p>
      <w:pPr>
        <w:ind w:firstLine="480"/>
        <w:jc w:val="left"/>
        <w:spacing w:line="312" w:lineRule="auto"/>
        <w:tabs>
          <w:tab w:val="left" w:pos="105" w:leader="none"/>
          <w:tab w:val="left" w:pos="525" w:leader="none"/>
          <w:tab w:val="left" w:pos="945" w:leader="none"/>
          <w:tab w:val="left" w:pos="1965" w:leader="none"/>
        </w:tabs>
        <w:rPr>
          <w:rFonts w:ascii="宋体" w:hAnsi="宋体" w:cs="宋体"/>
          <w:bCs/>
          <w:color w:val="auto"/>
          <w:sz w:val="24"/>
          <w:highlight w:val="none"/>
        </w:rPr>
      </w:pPr>
      <w:r>
        <w:rPr>
          <w:rFonts w:hint="eastAsia" w:ascii="宋体" w:hAnsi="宋体" w:cs="宋体"/>
          <w:bCs/>
          <w:color w:val="auto"/>
          <w:sz w:val="24"/>
          <w:highlight w:val="none"/>
        </w:rPr>
        <w:t xml:space="preserve">4. 若乙方未能按约提供质保等本合同约定的服务或有其他违约行为的，乙方应按照中标价的5%向甲方支付违约金，违约金不足以弥补甲方损失的，乙方还应赔偿不足部分。经甲方要求乙方未能更正违约行为并提供合格质保服务的，甲方有权解除本合同，并要求乙方支付中标价的10%的违约金，违约金不足以弥补甲方损失的，乙方还应赔偿不足部分。</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 在不可抗力事件发生后，遭遇不可抗力的一方应尽快以书面形式将不可抗力的情况和原因通知对方，并应尽实际可能继续履行合同义务，以及寻求采取合理的方案履行不受不可抗力影响的其他事项。不可抗力事件影响消除后，双方可通过友好协商在合理的时间内达成进一步履行合同的协议。“不可抗力”系指不可预见、不可避免、不可克服的事件，包括但不限于：战争、洪水、台风、地震及其他法律法规规定的事件。</w:t>
      </w:r>
      <w:r/>
    </w:p>
    <w:p>
      <w:pPr>
        <w:numPr>
          <w:ilvl w:val="255"/>
          <w:numId w:val="0"/>
        </w:num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6.如果乙方在本合同履行完毕之前破产或无清偿能力或资不抵债，甲方有权在任何时候以书面形式通知乙方解除合同而不给乙方补偿。该终止合同的行为将不损害或影响甲方已经采取或将要采取的任何行动、追偿或补救措施的权利。本合同下甲方已支付合同价、所有权已经转移的资产不得作为破产财产。       </w:t>
      </w:r>
      <w:r/>
    </w:p>
    <w:p>
      <w:pPr>
        <w:numPr>
          <w:ilvl w:val="255"/>
          <w:numId w:val="0"/>
        </w:num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7.乙方所供药品如列入江苏省药品监督管</w:t>
      </w:r>
      <w:r>
        <w:rPr>
          <w:rFonts w:hint="eastAsia" w:ascii="宋体" w:hAnsi="宋体" w:cs="宋体"/>
          <w:bCs/>
          <w:color w:val="auto"/>
          <w:sz w:val="24"/>
          <w:highlight w:val="none"/>
        </w:rPr>
        <w:t xml:space="preserve">理局官网（首页-专题专栏-监督抽检-药品质量的通告）或出现其他负面舆情的，甲方有权立即解除合同而无需承担任何违约责任，乙方应按照中标价的5%向甲方支付违约金，违约金不足以弥补甲方损失的，乙方还应赔偿不足部分。同时，不论甲方是否选择解除本合同，甲方均有权对已接受尚未出售的全部药剂、在途药剂等直接做退货处理，乙方应当自费取回相应药剂，如甲方通知后乙方在3日内未及时取回的，视为乙方放弃相应药剂的所有权，甲方有权代为处理，代为处理所产生的费用，由乙方承担。已售出的相应药剂，如病人后续主张赔偿，乙方应当承担全部责任。</w:t>
      </w:r>
      <w:r/>
    </w:p>
    <w:p>
      <w:pPr>
        <w:pStyle w:val="714"/>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8.本合同项下甲方损失包括但不限于直接损失及为主张损失所支出的诉讼费、保全担保费、律师费、评估鉴定费、差旅费等其他费用。</w:t>
      </w:r>
      <w:r/>
    </w:p>
    <w:p>
      <w:pPr>
        <w:ind w:firstLine="48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（九）其他事项：                              </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1.乙方应在合同首次付款前，向甲方缴纳履约保证金，金额为合同总价的5%。</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2.履约保证金缴纳形式：电子履约保函、支票、汇票、本票、见索即付的银行保函、电汇等非现金方式缴纳。</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3.以下情形出现时，甲方有权扣除乙方的履约保证金：</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（1）乙方未能按照合同约定的时间、质量和标准履行合同义务；</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（2）乙方在合同履行过程中存在欺诈、恶意串通等不正当行为；</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（3）乙方在合同履行过程中有其他违反法律法规的行为。</w:t>
      </w:r>
      <w:r/>
    </w:p>
    <w:p>
      <w:pPr>
        <w:ind w:firstLine="480"/>
        <w:jc w:val="left"/>
        <w:spacing w:line="312" w:lineRule="auto"/>
        <w:widowControl/>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4.履约保证金退还时间、方式：履约保证金在本项目验收合格后，在乙方提供收到返还履约保证金的收据后30日内无息退还；违约责任：每逾期一天退还履约保证金的按相应金额的万分之一计算。</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5.履约过程中乙方在服务期、质量标准、将中标项目转包或分包给他人的、拒绝履行合同义务等方面发生的不履约或违背合同规定的责任和义务的行为，都可能导致采购人扣缴其部分乃至全部履约保证金。</w:t>
      </w:r>
      <w:r/>
    </w:p>
    <w:p>
      <w:pPr>
        <w:ind w:firstLine="480"/>
        <w:jc w:val="left"/>
        <w:spacing w:line="312" w:lineRule="auto"/>
        <w:tabs>
          <w:tab w:val="left" w:pos="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（十） 合同不可分割部分：招标文件、投标文件、合同条款、合同附件及中标通知书，乙方在报价、评审过程所作其他有关承诺、声明、书面澄清等均为本合同不可分割的部分，与本合同具有同等法律效力。若该等内容与本合同内容相冲突的，以本合同内容为准。</w:t>
      </w:r>
      <w:r/>
    </w:p>
    <w:p>
      <w:pPr>
        <w:ind w:firstLine="480"/>
        <w:jc w:val="left"/>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（十一） 合同生效及其他：</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 合同经供需双方盖章并经见证方盖章后即生效。</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 合同签订后供需双方即直接产生权利与义务的关系，合同执行过程中出现的问题应按照合同约定及《中华人民共和国民法典》的规定办理，在合同履行过程中，双方如有争议，由双方协调解决。如协商不能解决，双方可向无锡仲裁委员会按其仲裁规则申请仲裁，仲裁期间，除正在进行仲裁的部分外，本合同应继续执行。</w:t>
      </w:r>
      <w:r/>
    </w:p>
    <w:p>
      <w:pPr>
        <w:pStyle w:val="714"/>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乙方应安排专人与甲方就本合同的履行进行对接。如乙方对接人变动的，应在变动发生前 15 日书面通知甲方。 </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4. 为双方发出通知、书信往来联系的需要，双方在本合同首部确定的通讯地址等为有效的通</w:t>
      </w:r>
      <w:r>
        <w:rPr>
          <w:rFonts w:hint="eastAsia" w:ascii="宋体" w:hAnsi="宋体" w:cs="宋体"/>
          <w:bCs/>
          <w:color w:val="auto"/>
          <w:sz w:val="24"/>
          <w:highlight w:val="none"/>
        </w:rPr>
        <w:t xml:space="preserve">讯地址，本合同项下的任何通知、索赔或其它通讯往来均必须以书面形式发出。双方确认并同意对方发出的任何通知，及传票、裁定、判决或其它法律诉讼通知如果送达于该任一地址即视为充分有效送达。一方变更通知或通讯地址，应自变更之日起两日内，以书面形式通知对方，否则由未通知方承担由此而引起的相关责任。除本合同另有约定外，双方之间任何通知，均应以快递邮件、挂号信形式或专人送递进行方为有效。以快递邮件、挂号信形式发出的，在该通知投寄之日起2个工作日内即视为送达；以专人送递的，则一经实际签收即视为送达。一方拒收的，则视为已送达。</w:t>
      </w:r>
      <w:r/>
    </w:p>
    <w:p>
      <w:pPr>
        <w:ind w:firstLine="480"/>
        <w:jc w:val="left"/>
        <w:spacing w:line="312" w:lineRule="auto"/>
        <w:tabs>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 合同在执行过程中出现的未尽事宜，双方在不违背本合同和采购文件的原则下协商解决，协商结果以书面形式盖章记录在案，作为合同的附件。此附件与本合同具有同等效力。</w:t>
      </w:r>
      <w:r/>
    </w:p>
    <w:p>
      <w:pPr>
        <w:ind w:firstLine="480"/>
        <w:jc w:val="left"/>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（十二） 合同备案：</w:t>
      </w: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  6  </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份，见证方执</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份，均具有同等法律效力</w:t>
      </w:r>
      <w:r>
        <w:rPr>
          <w:rFonts w:hint="eastAsia" w:ascii="宋体" w:hAnsi="宋体" w:cs="宋体"/>
          <w:bCs/>
          <w:color w:val="auto"/>
          <w:sz w:val="24"/>
          <w:highlight w:val="none"/>
        </w:rPr>
        <w:t xml:space="preserve">。</w:t>
      </w:r>
      <w:r/>
    </w:p>
    <w:p>
      <w:pPr>
        <w:ind w:firstLine="480"/>
        <w:jc w:val="left"/>
        <w:spacing w:line="312" w:lineRule="auto"/>
        <w:rPr>
          <w:rFonts w:ascii="宋体" w:hAnsi="宋体" w:cs="宋体"/>
          <w:bCs/>
          <w:color w:val="auto"/>
          <w:sz w:val="24"/>
          <w:highlight w:val="none"/>
        </w:rPr>
      </w:pPr>
      <w:r>
        <w:rPr>
          <w:rFonts w:hint="eastAsia" w:ascii="宋体" w:hAnsi="宋体" w:cs="宋体"/>
          <w:bCs/>
          <w:color w:val="auto"/>
          <w:sz w:val="24"/>
          <w:highlight w:val="none"/>
        </w:rPr>
        <w:t xml:space="preserve">（十三）合同期限：自 年  月  日起至    年   月   日止。</w:t>
      </w:r>
      <w:r/>
    </w:p>
    <w:p>
      <w:pPr>
        <w:jc w:val="cente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（下无正文）</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甲方（采购人）：（盖章）                </w:t>
      </w:r>
      <w:r>
        <w:rPr>
          <w:rFonts w:hint="eastAsia" w:ascii="宋体" w:hAnsi="宋体" w:cs="宋体"/>
          <w:color w:val="auto"/>
          <w:sz w:val="24"/>
          <w:highlight w:val="none"/>
        </w:rPr>
        <w:t xml:space="preserve">乙方</w:t>
      </w:r>
      <w:r>
        <w:rPr>
          <w:rFonts w:hint="eastAsia" w:ascii="宋体" w:hAnsi="宋体" w:cs="宋体"/>
          <w:bCs/>
          <w:color w:val="auto"/>
          <w:sz w:val="24"/>
          <w:highlight w:val="none"/>
        </w:rPr>
        <w:t xml:space="preserve">（中标方）：（盖章）</w:t>
      </w:r>
      <w:r/>
    </w:p>
    <w:p>
      <w:pPr>
        <w:spacing w:line="440" w:lineRule="exact"/>
        <w:rPr>
          <w:rFonts w:ascii="宋体" w:hAnsi="宋体" w:cs="宋体"/>
          <w:bCs/>
          <w:color w:val="auto"/>
          <w:sz w:val="24"/>
          <w:highlight w:val="none"/>
        </w:rPr>
      </w:pPr>
      <w:r>
        <w:rPr>
          <w:rFonts w:ascii="宋体" w:hAnsi="宋体" w:cs="宋体"/>
          <w:bCs/>
          <w:color w:val="auto"/>
          <w:sz w:val="24"/>
          <w:highlight w:val="none"/>
        </w:rPr>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年   月    日                           年   月     日</w:t>
      </w:r>
      <w:r/>
    </w:p>
    <w:p>
      <w:pPr>
        <w:ind w:firstLine="480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乙方</w:t>
      </w:r>
      <w:r>
        <w:rPr>
          <w:rFonts w:hint="eastAsia" w:ascii="宋体" w:hAnsi="宋体" w:cs="宋体"/>
          <w:bCs/>
          <w:color w:val="auto"/>
          <w:sz w:val="24"/>
          <w:highlight w:val="none"/>
        </w:rPr>
        <w:t xml:space="preserve">户名：</w:t>
      </w:r>
      <w:r/>
    </w:p>
    <w:p>
      <w:pPr>
        <w:ind w:firstLine="480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乙方</w:t>
      </w:r>
      <w:r>
        <w:rPr>
          <w:rFonts w:hint="eastAsia" w:ascii="宋体" w:hAnsi="宋体" w:cs="宋体"/>
          <w:bCs/>
          <w:color w:val="auto"/>
          <w:sz w:val="24"/>
          <w:highlight w:val="none"/>
        </w:rPr>
        <w:t xml:space="preserve">开户银行：</w:t>
      </w:r>
      <w:r/>
    </w:p>
    <w:p>
      <w:pPr>
        <w:ind w:firstLine="480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乙方</w:t>
      </w:r>
      <w:r>
        <w:rPr>
          <w:rFonts w:hint="eastAsia" w:ascii="宋体" w:hAnsi="宋体" w:cs="宋体"/>
          <w:bCs/>
          <w:color w:val="auto"/>
          <w:sz w:val="24"/>
          <w:highlight w:val="none"/>
        </w:rPr>
        <w:t xml:space="preserve">账号：</w:t>
      </w:r>
      <w:r/>
    </w:p>
    <w:p>
      <w:pPr>
        <w:ind w:firstLine="480"/>
        <w:jc w:val="left"/>
        <w:rPr>
          <w:rFonts w:ascii="宋体" w:hAnsi="宋体" w:cs="宋体"/>
          <w:bCs/>
          <w:color w:val="auto"/>
          <w:sz w:val="24"/>
          <w:highlight w:val="none"/>
          <w:u w:val="single"/>
        </w:rPr>
      </w:pPr>
      <w:r>
        <w:rPr>
          <w:rFonts w:ascii="宋体" w:hAnsi="宋体" w:cs="宋体"/>
          <w:bCs/>
          <w:color w:val="auto"/>
          <w:sz w:val="24"/>
          <w:highlight w:val="none"/>
          <w:u w:val="single"/>
        </w:rPr>
      </w:r>
      <w:r/>
    </w:p>
    <w:p>
      <w:pPr>
        <w:jc w:val="left"/>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见证方（公章）：</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pStyle w:val="674"/>
        <w:numPr>
          <w:ilvl w:val="3"/>
          <w:numId w:val="0"/>
        </w:numPr>
        <w:ind w:left="402"/>
        <w:rPr>
          <w:color w:val="auto"/>
          <w:highlight w:val="none"/>
        </w:rPr>
      </w:pPr>
      <w:r>
        <w:rPr>
          <w:color w:val="auto"/>
          <w:highlight w:val="none"/>
        </w:rPr>
      </w:r>
      <w:r/>
    </w:p>
    <w:p>
      <w:pPr>
        <w:rPr>
          <w:rFonts w:ascii="宋体" w:hAnsi="宋体"/>
          <w:bCs/>
          <w:color w:val="auto"/>
          <w:sz w:val="24"/>
          <w:highlight w:val="none"/>
        </w:rPr>
      </w:pPr>
      <w:r>
        <w:rPr>
          <w:rFonts w:ascii="宋体" w:hAnsi="宋体"/>
          <w:bCs/>
          <w:color w:val="auto"/>
          <w:sz w:val="24"/>
          <w:highlight w:val="none"/>
        </w:rPr>
      </w:r>
      <w:r/>
    </w:p>
    <w:p>
      <w:pPr>
        <w:pStyle w:val="674"/>
        <w:numPr>
          <w:ilvl w:val="3"/>
          <w:numId w:val="0"/>
        </w:numPr>
        <w:ind w:left="402"/>
        <w:rPr>
          <w:color w:val="auto"/>
          <w:highlight w:val="none"/>
        </w:rPr>
      </w:pPr>
      <w:r>
        <w:rPr>
          <w:color w:val="auto"/>
          <w:highlight w:val="none"/>
        </w:rPr>
      </w:r>
      <w:r/>
    </w:p>
    <w:p>
      <w:pPr>
        <w:pStyle w:val="674"/>
        <w:numPr>
          <w:ilvl w:val="3"/>
          <w:numId w:val="0"/>
        </w:numPr>
        <w:rPr>
          <w:color w:val="auto"/>
          <w:highlight w:val="none"/>
        </w:rPr>
      </w:pPr>
      <w:r>
        <w:rPr>
          <w:color w:val="auto"/>
          <w:highlight w:val="none"/>
        </w:rPr>
      </w:r>
      <w:r/>
    </w:p>
    <w:p>
      <w:pPr>
        <w:ind w:firstLine="480"/>
        <w:spacing w:line="360" w:lineRule="auto"/>
        <w:tabs>
          <w:tab w:val="left" w:pos="210" w:leader="none"/>
          <w:tab w:val="left" w:pos="735" w:leader="none"/>
          <w:tab w:val="left" w:pos="1155" w:leader="none"/>
        </w:tabs>
        <w:rPr>
          <w:rFonts w:ascii="宋体"/>
          <w:bCs/>
          <w:color w:val="auto"/>
          <w:sz w:val="24"/>
          <w:highlight w:val="none"/>
        </w:rPr>
      </w:pPr>
      <w:r>
        <w:rPr>
          <w:rFonts w:ascii="宋体"/>
          <w:bCs/>
          <w:color w:val="auto"/>
          <w:sz w:val="24"/>
          <w:highlight w:val="none"/>
        </w:rPr>
      </w:r>
      <w:r/>
    </w:p>
    <w:p>
      <w:pPr>
        <w:jc w:val="center"/>
        <w:spacing w:line="360" w:lineRule="auto"/>
        <w:rPr>
          <w:rFonts w:ascii="黑体" w:eastAsia="黑体"/>
          <w:b/>
          <w:color w:val="auto"/>
          <w:sz w:val="32"/>
          <w:szCs w:val="32"/>
          <w:highlight w:val="none"/>
        </w:rPr>
      </w:pPr>
      <w:r>
        <w:rPr>
          <w:rFonts w:ascii="黑体" w:eastAsia="黑体"/>
          <w:b/>
          <w:color w:val="auto"/>
          <w:sz w:val="32"/>
          <w:szCs w:val="32"/>
          <w:highlight w:val="none"/>
        </w:rPr>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第五部分．附件（投标文件部分格式）</w:t>
      </w:r>
      <w:r/>
    </w:p>
    <w:p>
      <w:pPr>
        <w:rPr>
          <w:rFonts w:ascii="黑体" w:hAnsi="宋体" w:eastAsia="黑体"/>
          <w:bCs/>
          <w:color w:val="auto"/>
          <w:sz w:val="32"/>
          <w:szCs w:val="32"/>
          <w:highlight w:val="none"/>
        </w:rPr>
        <w:outlineLvl w:val="0"/>
      </w:pPr>
      <w:r>
        <w:rPr>
          <w:rFonts w:hint="eastAsia" w:ascii="黑体" w:hAnsi="宋体" w:eastAsia="黑体"/>
          <w:bCs/>
          <w:color w:val="auto"/>
          <w:sz w:val="24"/>
          <w:highlight w:val="none"/>
        </w:rPr>
        <w:t xml:space="preserve">（一）投标函（格式）</w:t>
      </w:r>
      <w:r/>
    </w:p>
    <w:p>
      <w:pPr>
        <w:jc w:val="center"/>
        <w:rPr>
          <w:rFonts w:hAnsi="宋体"/>
          <w:color w:val="auto"/>
          <w:sz w:val="24"/>
          <w:highlight w:val="none"/>
        </w:rPr>
        <w:outlineLvl w:val="0"/>
      </w:pPr>
      <w:r>
        <w:rPr>
          <w:rFonts w:hint="eastAsia" w:ascii="黑体" w:hAnsi="宋体" w:eastAsia="黑体"/>
          <w:bCs/>
          <w:color w:val="auto"/>
          <w:sz w:val="32"/>
          <w:szCs w:val="32"/>
          <w:highlight w:val="none"/>
        </w:rPr>
        <w:t xml:space="preserve">投标函</w:t>
      </w:r>
      <w:r/>
    </w:p>
    <w:p>
      <w:pPr>
        <w:spacing w:before="4" w:line="460" w:lineRule="exact"/>
        <w:widowControl/>
        <w:rPr>
          <w:rFonts w:hAnsi="宋体"/>
          <w:color w:val="auto"/>
          <w:sz w:val="24"/>
          <w:highlight w:val="none"/>
        </w:rPr>
      </w:pPr>
      <w:r>
        <w:rPr>
          <w:rFonts w:hAnsi="宋体"/>
          <w:color w:val="auto"/>
          <w:sz w:val="24"/>
          <w:highlight w:val="none"/>
        </w:rPr>
      </w:r>
      <w:r/>
    </w:p>
    <w:p>
      <w:pPr>
        <w:spacing w:before="4" w:line="46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致：北京建智达工程管理股份有限公司</w:t>
      </w:r>
      <w:r/>
    </w:p>
    <w:p>
      <w:pPr>
        <w:ind w:firstLine="480"/>
        <w:spacing w:before="4" w:line="46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一、我们收到贵方采购编号采购文件，经仔细阅读和研究，我们决定参加此次</w:t>
      </w:r>
      <w:r>
        <w:rPr>
          <w:rFonts w:hint="eastAsia" w:ascii="宋体" w:hAnsi="宋体" w:cs="宋体"/>
          <w:color w:val="auto"/>
          <w:sz w:val="24"/>
          <w:szCs w:val="22"/>
          <w:highlight w:val="none"/>
          <w:u w:val="single"/>
        </w:rPr>
        <w:t xml:space="preserve">              （项目名称）              </w:t>
      </w:r>
      <w:r>
        <w:rPr>
          <w:rFonts w:hint="eastAsia" w:ascii="宋体" w:hAnsi="宋体" w:cs="宋体"/>
          <w:color w:val="auto"/>
          <w:sz w:val="24"/>
          <w:szCs w:val="22"/>
          <w:highlight w:val="none"/>
        </w:rPr>
        <w:t xml:space="preserve">的投标。</w:t>
      </w:r>
      <w:r/>
    </w:p>
    <w:p>
      <w:pPr>
        <w:pStyle w:val="955"/>
        <w:ind w:left="0" w:firstLine="720"/>
        <w:spacing w:after="0"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2"/>
          <w:highlight w:val="none"/>
        </w:rPr>
        <w:t xml:space="preserve">二、我方愿意提供北京建智达工程管理股份有限公司在采购文件中要求的文件、资料。</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三、我们同意按照采购文件中的规定，本投标文件报价的有效期限为投标截止之日起90天。</w:t>
      </w:r>
      <w:r/>
    </w:p>
    <w:p>
      <w:pPr>
        <w:ind w:firstLine="480"/>
        <w:spacing w:line="360" w:lineRule="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五、如果我们的投标文件被接受，我们将履行采购文件中规定的每一项要求，按期、按质、按量，完成任务。</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六、我方认为贵单位有权决定中标者。</w:t>
      </w:r>
      <w:r/>
    </w:p>
    <w:p>
      <w:pPr>
        <w:ind w:firstLine="480"/>
        <w:spacing w:line="360" w:lineRule="auto"/>
        <w:tabs>
          <w:tab w:val="left" w:pos="525"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七、我方愿意遵守《中华人民共和国政府采购法》，并按《中华人民共和国民法典》和合同条款履行自己的全部责任。在合同履行过程中，双方如有争议，按相关法规和有关文件规定处理。</w:t>
      </w:r>
      <w:r/>
    </w:p>
    <w:p>
      <w:pPr>
        <w:ind w:firstLine="480"/>
        <w:spacing w:line="360" w:lineRule="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八、如果我方被确定为中标供应商，我方如无不可抗力，又未履行采购文件、投标文件和合同条款的，一经查实，我方愿意赔偿由此而造成的一切损失，并同意接受按采购文件的相关要求对我方进行的处理。</w:t>
      </w:r>
      <w:r/>
    </w:p>
    <w:p>
      <w:pPr>
        <w:ind w:firstLine="480"/>
        <w:spacing w:line="400" w:lineRule="exact"/>
        <w:rPr>
          <w:rFonts w:ascii="宋体" w:hAnsi="宋体" w:cs="宋体"/>
          <w:bCs/>
          <w:color w:val="auto"/>
          <w:sz w:val="24"/>
          <w:highlight w:val="none"/>
        </w:rPr>
      </w:pPr>
      <w:r>
        <w:rPr>
          <w:rFonts w:ascii="宋体" w:hAnsi="宋体" w:cs="宋体"/>
          <w:bCs/>
          <w:color w:val="auto"/>
          <w:sz w:val="24"/>
          <w:highlight w:val="none"/>
        </w:rPr>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投标供应商（盖章）：     </w:t>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法定代表人或法定代表人授权代表签字或盖章：</w:t>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电话：                              传真：</w:t>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                              邮编：                             </w:t>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开户名称：</w:t>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开户银行：                   </w:t>
      </w:r>
      <w:r/>
    </w:p>
    <w:p>
      <w:pPr>
        <w:ind w:firstLine="480"/>
        <w:spacing w:line="40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开户账号：</w:t>
      </w:r>
      <w:r/>
    </w:p>
    <w:p>
      <w:pPr>
        <w:ind w:left="840"/>
        <w:jc w:val="center"/>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ascii="黑体" w:hAnsi="宋体" w:eastAsia="黑体"/>
          <w:bCs/>
          <w:color w:val="auto"/>
          <w:sz w:val="24"/>
          <w:highlight w:val="none"/>
        </w:rPr>
      </w:pPr>
      <w:r>
        <w:rPr>
          <w:rFonts w:hint="eastAsia" w:ascii="黑体" w:hAnsi="宋体" w:eastAsia="黑体"/>
          <w:bCs/>
          <w:color w:val="auto"/>
          <w:sz w:val="24"/>
          <w:highlight w:val="none"/>
        </w:rPr>
        <w:br w:type="page" w:clear="all"/>
      </w:r>
      <w:r/>
    </w:p>
    <w:p>
      <w:pPr>
        <w:jc w:val="left"/>
        <w:rPr>
          <w:rFonts w:ascii="黑体" w:hAnsi="宋体" w:eastAsia="黑体"/>
          <w:bCs/>
          <w:color w:val="auto"/>
          <w:sz w:val="24"/>
          <w:szCs w:val="22"/>
          <w:highlight w:val="none"/>
        </w:rPr>
        <w:outlineLvl w:val="0"/>
      </w:pPr>
      <w:r>
        <w:rPr>
          <w:rFonts w:hint="eastAsia" w:ascii="黑体" w:hAnsi="宋体" w:eastAsia="黑体"/>
          <w:bCs/>
          <w:color w:val="auto"/>
          <w:sz w:val="24"/>
          <w:highlight w:val="none"/>
        </w:rPr>
        <w:t xml:space="preserve">（二）</w:t>
      </w:r>
      <w:r>
        <w:rPr>
          <w:rFonts w:hint="eastAsia" w:ascii="黑体" w:hAnsi="宋体" w:eastAsia="黑体"/>
          <w:bCs/>
          <w:color w:val="auto"/>
          <w:sz w:val="24"/>
          <w:szCs w:val="22"/>
          <w:highlight w:val="none"/>
        </w:rPr>
        <w:t xml:space="preserve">关于资格的声明函（格式）</w:t>
      </w:r>
      <w:r/>
    </w:p>
    <w:p>
      <w:pPr>
        <w:jc w:val="center"/>
        <w:spacing w:line="360" w:lineRule="auto"/>
        <w:rPr>
          <w:rFonts w:hAnsi="宋体"/>
          <w:color w:val="auto"/>
          <w:sz w:val="24"/>
          <w:highlight w:val="none"/>
        </w:rPr>
      </w:pPr>
      <w:r>
        <w:rPr>
          <w:rFonts w:hAnsi="宋体"/>
          <w:color w:val="auto"/>
          <w:sz w:val="24"/>
          <w:highlight w:val="none"/>
        </w:rPr>
      </w:r>
      <w:r/>
    </w:p>
    <w:p>
      <w:pPr>
        <w:jc w:val="center"/>
        <w:rPr>
          <w:rFonts w:hAnsi="宋体" w:cs="宋体"/>
          <w:b/>
          <w:bCs/>
          <w:color w:val="auto"/>
          <w:sz w:val="30"/>
          <w:szCs w:val="30"/>
          <w:highlight w:val="none"/>
        </w:rPr>
        <w:outlineLvl w:val="0"/>
      </w:pPr>
      <w:r>
        <w:rPr>
          <w:rFonts w:hint="eastAsia" w:hAnsi="宋体" w:cs="宋体"/>
          <w:b/>
          <w:bCs/>
          <w:color w:val="auto"/>
          <w:sz w:val="30"/>
          <w:szCs w:val="30"/>
          <w:highlight w:val="none"/>
        </w:rPr>
        <w:t xml:space="preserve">关于资格的声明函</w:t>
      </w:r>
      <w:r/>
    </w:p>
    <w:p>
      <w:pPr>
        <w:jc w:val="center"/>
        <w:spacing w:line="360" w:lineRule="auto"/>
        <w:rPr>
          <w:rFonts w:hAnsi="宋体"/>
          <w:color w:val="auto"/>
          <w:sz w:val="24"/>
          <w:highlight w:val="none"/>
        </w:rPr>
      </w:pPr>
      <w:r>
        <w:rPr>
          <w:rFonts w:hAnsi="宋体"/>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    日期：</w:t>
      </w:r>
      <w:r/>
    </w:p>
    <w:p>
      <w:pPr>
        <w:jc w:val="center"/>
        <w:spacing w:line="360" w:lineRule="auto"/>
        <w:rPr>
          <w:rFonts w:hAnsi="宋体"/>
          <w:color w:val="auto"/>
          <w:sz w:val="24"/>
          <w:highlight w:val="none"/>
        </w:rPr>
      </w:pPr>
      <w:r>
        <w:rPr>
          <w:rFonts w:hAnsi="宋体"/>
          <w:color w:val="auto"/>
          <w:sz w:val="24"/>
          <w:highlight w:val="none"/>
        </w:rPr>
      </w:r>
      <w:r/>
    </w:p>
    <w:p>
      <w:pPr>
        <w:jc w:val="center"/>
        <w:rPr>
          <w:rFonts w:hAnsi="宋体"/>
          <w:color w:val="auto"/>
          <w:highlight w:val="none"/>
        </w:rPr>
      </w:pPr>
      <w:r>
        <w:rPr>
          <w:rFonts w:hAnsi="宋体"/>
          <w:color w:val="auto"/>
          <w:highlight w:val="none"/>
        </w:rPr>
      </w:r>
      <w:r/>
    </w:p>
    <w:p>
      <w:pPr>
        <w:spacing w:line="360" w:lineRule="auto"/>
        <w:rPr>
          <w:rFonts w:hAnsi="宋体"/>
          <w:color w:val="auto"/>
          <w:sz w:val="24"/>
          <w:highlight w:val="none"/>
          <w:u w:val="single"/>
        </w:rPr>
      </w:pPr>
      <w:r>
        <w:rPr>
          <w:rFonts w:hint="eastAsia" w:hAnsi="宋体"/>
          <w:color w:val="auto"/>
          <w:sz w:val="24"/>
          <w:highlight w:val="none"/>
          <w:u w:val="single"/>
        </w:rPr>
        <w:t xml:space="preserve">北京建智达工程管理股份有限公司：</w:t>
      </w:r>
      <w:r/>
    </w:p>
    <w:p>
      <w:pPr>
        <w:pStyle w:val="908"/>
        <w:ind w:left="0" w:right="34" w:firstLine="403"/>
        <w:spacing w:line="360" w:lineRule="auto"/>
        <w:rPr>
          <w:rFonts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908"/>
        <w:ind w:left="0" w:right="34" w:firstLine="403"/>
        <w:spacing w:line="360" w:lineRule="auto"/>
        <w:rPr>
          <w:rFonts w:hAnsi="宋体"/>
          <w:color w:val="auto"/>
          <w:szCs w:val="24"/>
          <w:highlight w:val="none"/>
        </w:rPr>
      </w:pPr>
      <w:r>
        <w:rPr>
          <w:rFonts w:hint="eastAsia" w:hAnsi="宋体"/>
          <w:color w:val="auto"/>
          <w:szCs w:val="24"/>
          <w:highlight w:val="none"/>
        </w:rPr>
        <w:t xml:space="preserve">我公司愿针对本项目（采购编号：　　　　）进行报价，响应文件中所有关于报价资格的文件、证明、陈述均是真实的、准确的。若有违背，我公司（单位）        愿意承担由此而产生的一切后果。</w:t>
      </w:r>
      <w:r/>
    </w:p>
    <w:p>
      <w:pPr>
        <w:pStyle w:val="908"/>
        <w:ind w:left="0" w:right="34" w:firstLine="403"/>
        <w:rPr>
          <w:rFonts w:hAnsi="宋体"/>
          <w:color w:val="auto"/>
          <w:szCs w:val="24"/>
          <w:highlight w:val="none"/>
        </w:rPr>
      </w:pPr>
      <w:r>
        <w:rPr>
          <w:rFonts w:hAnsi="宋体"/>
          <w:color w:val="auto"/>
          <w:szCs w:val="24"/>
          <w:highlight w:val="none"/>
        </w:rPr>
      </w:r>
      <w:r/>
    </w:p>
    <w:p>
      <w:pPr>
        <w:pStyle w:val="908"/>
        <w:ind w:left="0" w:right="34" w:firstLine="403"/>
        <w:rPr>
          <w:rFonts w:hAnsi="宋体"/>
          <w:color w:val="auto"/>
          <w:sz w:val="21"/>
          <w:highlight w:val="none"/>
        </w:rPr>
      </w:pPr>
      <w:r>
        <w:rPr>
          <w:rFonts w:hAnsi="宋体"/>
          <w:color w:val="auto"/>
          <w:sz w:val="21"/>
          <w:highlight w:val="none"/>
        </w:rPr>
      </w:r>
      <w:r/>
    </w:p>
    <w:p>
      <w:pPr>
        <w:pStyle w:val="908"/>
        <w:ind w:left="0" w:right="34" w:firstLine="403"/>
        <w:rPr>
          <w:rFonts w:hAnsi="宋体"/>
          <w:color w:val="auto"/>
          <w:sz w:val="21"/>
          <w:highlight w:val="none"/>
        </w:rPr>
      </w:pPr>
      <w:r>
        <w:rPr>
          <w:rFonts w:hAnsi="宋体"/>
          <w:color w:val="auto"/>
          <w:sz w:val="21"/>
          <w:highlight w:val="none"/>
        </w:rPr>
      </w:r>
      <w:r/>
    </w:p>
    <w:p>
      <w:pPr>
        <w:spacing w:line="360" w:lineRule="auto"/>
        <w:rPr>
          <w:b/>
          <w:bCs/>
          <w:color w:val="auto"/>
          <w:sz w:val="24"/>
          <w:highlight w:val="none"/>
        </w:rPr>
        <w:outlineLvl w:val="0"/>
      </w:pPr>
      <w:r>
        <w:rPr>
          <w:b/>
          <w:bCs/>
          <w:color w:val="auto"/>
          <w:sz w:val="24"/>
          <w:highlight w:val="none"/>
        </w:rPr>
      </w:r>
      <w:r/>
    </w:p>
    <w:p>
      <w:pPr>
        <w:jc w:val="left"/>
        <w:spacing w:line="360" w:lineRule="auto"/>
        <w:rPr>
          <w:b/>
          <w:bCs/>
          <w:color w:val="auto"/>
          <w:sz w:val="24"/>
          <w:highlight w:val="none"/>
        </w:rPr>
        <w:outlineLvl w:val="0"/>
      </w:pPr>
      <w:r>
        <w:rPr>
          <w:rFonts w:hint="eastAsia"/>
          <w:b/>
          <w:bCs/>
          <w:color w:val="auto"/>
          <w:sz w:val="24"/>
          <w:highlight w:val="none"/>
        </w:rPr>
        <w:t xml:space="preserve">投标供应商（盖章）：</w:t>
      </w:r>
      <w:r/>
    </w:p>
    <w:p>
      <w:pPr>
        <w:spacing w:line="360" w:lineRule="auto"/>
        <w:rPr>
          <w:b/>
          <w:bCs/>
          <w:color w:val="auto"/>
          <w:sz w:val="24"/>
          <w:highlight w:val="none"/>
        </w:rPr>
        <w:outlineLvl w:val="0"/>
      </w:pPr>
      <w:r>
        <w:rPr>
          <w:rFonts w:hint="eastAsia"/>
          <w:b/>
          <w:bCs/>
          <w:color w:val="auto"/>
          <w:sz w:val="24"/>
          <w:highlight w:val="none"/>
        </w:rPr>
        <w:t xml:space="preserve">　　　　　　　　　　　法定代表人或法定代表人授权代表签字或盖章：</w:t>
      </w:r>
      <w:r/>
    </w:p>
    <w:p>
      <w:pPr>
        <w:spacing w:line="360" w:lineRule="auto"/>
        <w:rPr>
          <w:b/>
          <w:bCs/>
          <w:color w:val="auto"/>
          <w:sz w:val="24"/>
          <w:highlight w:val="none"/>
        </w:rPr>
        <w:outlineLvl w:val="0"/>
      </w:pPr>
      <w:r>
        <w:rPr>
          <w:rFonts w:hint="eastAsia"/>
          <w:b/>
          <w:bCs/>
          <w:color w:val="auto"/>
          <w:sz w:val="24"/>
          <w:highlight w:val="none"/>
        </w:rPr>
        <w:t xml:space="preserve">                                   年     月     日</w:t>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ind w:firstLine="480"/>
        <w:jc w:val="left"/>
        <w:spacing w:line="480" w:lineRule="auto"/>
        <w:tabs>
          <w:tab w:val="left" w:pos="6300" w:leader="none"/>
        </w:tabs>
        <w:rPr>
          <w:color w:val="auto"/>
          <w:sz w:val="28"/>
          <w:szCs w:val="28"/>
          <w:highlight w:val="none"/>
        </w:rPr>
      </w:pPr>
      <w:r>
        <w:rPr>
          <w:rFonts w:hint="eastAsia" w:ascii="宋体" w:hAnsi="宋体" w:cs="宋体"/>
          <w:color w:val="auto"/>
          <w:sz w:val="24"/>
          <w:highlight w:val="none"/>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left"/>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（三）法定代表人授权委托书（格式）</w:t>
      </w:r>
      <w:r/>
    </w:p>
    <w:p>
      <w:pPr>
        <w:jc w:val="center"/>
        <w:rPr>
          <w:rFonts w:hAnsi="宋体" w:cs="宋体"/>
          <w:b/>
          <w:bCs/>
          <w:color w:val="auto"/>
          <w:sz w:val="30"/>
          <w:szCs w:val="30"/>
          <w:highlight w:val="none"/>
        </w:rPr>
        <w:outlineLvl w:val="0"/>
      </w:pPr>
      <w:r>
        <w:rPr>
          <w:rFonts w:hAnsi="宋体" w:cs="宋体"/>
          <w:b/>
          <w:bCs/>
          <w:color w:val="auto"/>
          <w:sz w:val="30"/>
          <w:szCs w:val="30"/>
          <w:highlight w:val="none"/>
        </w:rPr>
      </w:r>
      <w:r/>
    </w:p>
    <w:p>
      <w:pPr>
        <w:jc w:val="center"/>
        <w:rPr>
          <w:rFonts w:hAnsi="宋体"/>
          <w:b/>
          <w:bCs/>
          <w:color w:val="auto"/>
          <w:sz w:val="30"/>
          <w:szCs w:val="30"/>
          <w:highlight w:val="none"/>
        </w:rPr>
        <w:outlineLvl w:val="0"/>
      </w:pPr>
      <w:r>
        <w:rPr>
          <w:rFonts w:hint="eastAsia" w:hAnsi="宋体" w:cs="宋体"/>
          <w:b/>
          <w:bCs/>
          <w:color w:val="auto"/>
          <w:sz w:val="30"/>
          <w:szCs w:val="30"/>
          <w:highlight w:val="none"/>
        </w:rPr>
        <w:t xml:space="preserve">法定代表人授权委托书</w:t>
      </w:r>
      <w:r/>
    </w:p>
    <w:p>
      <w:pPr>
        <w:jc w:val="left"/>
        <w:rPr>
          <w:rFonts w:ascii="黑体" w:hAnsi="宋体" w:eastAsia="黑体"/>
          <w:bCs/>
          <w:color w:val="auto"/>
          <w:sz w:val="24"/>
          <w:highlight w:val="none"/>
        </w:rPr>
        <w:outlineLvl w:val="0"/>
      </w:pPr>
      <w:r>
        <w:rPr>
          <w:rFonts w:ascii="黑体" w:hAnsi="宋体" w:eastAsia="黑体"/>
          <w:bCs/>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    日期：</w:t>
      </w:r>
      <w:r/>
    </w:p>
    <w:p>
      <w:pPr>
        <w:spacing w:line="360" w:lineRule="auto"/>
        <w:rPr>
          <w:rFonts w:hAnsi="宋体"/>
          <w:color w:val="auto"/>
          <w:sz w:val="24"/>
          <w:highlight w:val="none"/>
          <w:u w:val="single"/>
        </w:rPr>
      </w:pPr>
      <w:r>
        <w:rPr>
          <w:rFonts w:hint="eastAsia" w:hAnsi="宋体"/>
          <w:color w:val="auto"/>
          <w:sz w:val="24"/>
          <w:highlight w:val="none"/>
          <w:u w:val="single"/>
        </w:rPr>
        <w:t xml:space="preserve">北京建智达工程管理股份有限公司：</w:t>
      </w:r>
      <w:r/>
    </w:p>
    <w:p>
      <w:pPr>
        <w:spacing w:line="360" w:lineRule="auto"/>
        <w:rPr>
          <w:rFonts w:hAnsi="宋体"/>
          <w:color w:val="auto"/>
          <w:sz w:val="24"/>
          <w:highlight w:val="none"/>
        </w:rPr>
      </w:pPr>
      <w:r>
        <w:rPr>
          <w:rFonts w:hint="eastAsia" w:hAnsi="宋体"/>
          <w:color w:val="auto"/>
          <w:sz w:val="24"/>
          <w:highlight w:val="none"/>
          <w:u w:val="single"/>
        </w:rPr>
        <w:t xml:space="preserve">     （投标供应商名称）       </w:t>
      </w:r>
      <w:r>
        <w:rPr>
          <w:rFonts w:hint="eastAsia" w:hAnsi="宋体" w:cs="宋体"/>
          <w:color w:val="auto"/>
          <w:sz w:val="24"/>
          <w:highlight w:val="none"/>
        </w:rPr>
        <w:t xml:space="preserve">系</w:t>
      </w:r>
      <w:r>
        <w:rPr>
          <w:rFonts w:hint="eastAsia" w:hAnsi="宋体"/>
          <w:color w:val="auto"/>
          <w:sz w:val="24"/>
          <w:highlight w:val="none"/>
        </w:rPr>
        <w:t xml:space="preserve">中华人民共和国合法企业</w:t>
      </w:r>
      <w:r/>
    </w:p>
    <w:p>
      <w:pPr>
        <w:spacing w:line="360" w:lineRule="auto"/>
        <w:rPr>
          <w:rFonts w:hAnsi="宋体"/>
          <w:color w:val="auto"/>
          <w:sz w:val="24"/>
          <w:highlight w:val="none"/>
        </w:rPr>
      </w:pPr>
      <w:r>
        <w:rPr>
          <w:rFonts w:hint="eastAsia" w:hAnsi="宋体"/>
          <w:color w:val="auto"/>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Ansi="宋体"/>
          <w:color w:val="auto"/>
          <w:sz w:val="24"/>
          <w:highlight w:val="none"/>
        </w:rPr>
      </w:pPr>
      <w:r>
        <w:rPr>
          <w:rFonts w:hint="eastAsia" w:hAnsi="宋体"/>
          <w:color w:val="auto"/>
          <w:sz w:val="24"/>
          <w:highlight w:val="none"/>
        </w:rPr>
        <w:t xml:space="preserve">我公司（单位）对被授权人的签名负全部责任。</w:t>
      </w:r>
      <w:r/>
    </w:p>
    <w:p>
      <w:pPr>
        <w:ind w:firstLine="480"/>
        <w:spacing w:line="360" w:lineRule="auto"/>
        <w:rPr>
          <w:rFonts w:hAnsi="宋体"/>
          <w:color w:val="auto"/>
          <w:sz w:val="24"/>
          <w:highlight w:val="none"/>
        </w:rPr>
      </w:pPr>
      <w:r>
        <w:rPr>
          <w:rFonts w:hint="eastAsia"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Ansi="宋体"/>
          <w:color w:val="auto"/>
          <w:sz w:val="24"/>
          <w:highlight w:val="none"/>
        </w:rPr>
      </w:pPr>
      <w:r>
        <w:rPr>
          <w:rFonts w:hint="eastAsia" w:hAnsi="宋体"/>
          <w:color w:val="auto"/>
          <w:sz w:val="24"/>
          <w:highlight w:val="none"/>
        </w:rPr>
        <w:t xml:space="preserve">被授权人情况：</w:t>
      </w:r>
      <w:r/>
    </w:p>
    <w:p>
      <w:pPr>
        <w:ind w:firstLine="480"/>
        <w:spacing w:line="360" w:lineRule="auto"/>
        <w:rPr>
          <w:rFonts w:hAnsi="宋体"/>
          <w:color w:val="auto"/>
          <w:sz w:val="24"/>
          <w:highlight w:val="none"/>
        </w:rPr>
      </w:pPr>
      <w:r>
        <w:rPr>
          <w:rFonts w:hint="eastAsia" w:hAnsi="宋体"/>
          <w:color w:val="auto"/>
          <w:sz w:val="24"/>
          <w:highlight w:val="none"/>
        </w:rPr>
        <w:t xml:space="preserve">姓名：          性别：         年龄：          职务：</w:t>
      </w:r>
      <w:r/>
    </w:p>
    <w:p>
      <w:pPr>
        <w:ind w:firstLine="480"/>
        <w:spacing w:line="360" w:lineRule="auto"/>
        <w:rPr>
          <w:rFonts w:hAnsi="宋体"/>
          <w:color w:val="auto"/>
          <w:sz w:val="24"/>
          <w:highlight w:val="none"/>
        </w:rPr>
      </w:pPr>
      <w:r>
        <w:rPr>
          <w:rFonts w:hint="eastAsia" w:hAnsi="宋体"/>
          <w:color w:val="auto"/>
          <w:sz w:val="24"/>
          <w:highlight w:val="none"/>
        </w:rPr>
        <w:t xml:space="preserve">身份证号码：                   电话：</w:t>
      </w:r>
      <w:r/>
    </w:p>
    <w:p>
      <w:pPr>
        <w:ind w:firstLine="480"/>
        <w:spacing w:line="360" w:lineRule="auto"/>
        <w:rPr>
          <w:rFonts w:hAnsi="宋体"/>
          <w:color w:val="auto"/>
          <w:sz w:val="24"/>
          <w:highlight w:val="none"/>
        </w:rPr>
      </w:pPr>
      <w:r>
        <w:rPr>
          <w:rFonts w:hint="eastAsia" w:hAnsi="宋体"/>
          <w:color w:val="auto"/>
          <w:sz w:val="24"/>
          <w:highlight w:val="none"/>
        </w:rPr>
        <w:t xml:space="preserve">通讯地址：</w:t>
      </w:r>
      <w:r/>
    </w:p>
    <w:p>
      <w:pPr>
        <w:ind w:firstLine="480"/>
        <w:spacing w:line="360" w:lineRule="auto"/>
        <w:rPr>
          <w:rFonts w:hAnsi="宋体"/>
          <w:color w:val="auto"/>
          <w:sz w:val="24"/>
          <w:highlight w:val="none"/>
        </w:rPr>
      </w:pPr>
      <w:r>
        <w:rPr>
          <w:rFonts w:hint="eastAsia" w:hAnsi="宋体"/>
          <w:color w:val="auto"/>
          <w:sz w:val="24"/>
          <w:highlight w:val="none"/>
        </w:rPr>
        <w:t xml:space="preserve">投标供应商（盖章）：</w:t>
      </w:r>
      <w:r/>
    </w:p>
    <w:p>
      <w:pPr>
        <w:ind w:firstLine="4320"/>
        <w:spacing w:line="360" w:lineRule="auto"/>
        <w:rPr>
          <w:rFonts w:hAnsi="宋体"/>
          <w:color w:val="auto"/>
          <w:sz w:val="24"/>
          <w:highlight w:val="none"/>
        </w:rPr>
      </w:pPr>
      <w:r>
        <w:rPr>
          <w:rFonts w:hint="eastAsia" w:hAnsi="宋体"/>
          <w:color w:val="auto"/>
          <w:sz w:val="24"/>
          <w:highlight w:val="none"/>
        </w:rPr>
        <w:t xml:space="preserve">法定代表人（签字或盖章）：</w:t>
      </w:r>
      <w:r/>
    </w:p>
    <w:p>
      <w:pPr>
        <w:ind w:firstLine="4320"/>
        <w:spacing w:line="360" w:lineRule="auto"/>
        <w:rPr>
          <w:rFonts w:hAnsi="宋体"/>
          <w:color w:val="auto"/>
          <w:sz w:val="24"/>
          <w:highlight w:val="none"/>
        </w:rPr>
      </w:pPr>
      <w:r>
        <w:rPr>
          <w:rFonts w:hint="eastAsia" w:hAnsi="宋体"/>
          <w:color w:val="auto"/>
          <w:sz w:val="24"/>
          <w:highlight w:val="none"/>
        </w:rPr>
        <w:t xml:space="preserve">年     月     日</w:t>
      </w:r>
      <w:r/>
    </w:p>
    <w:p>
      <w:pPr>
        <w:ind w:firstLine="5760"/>
        <w:spacing w:line="360" w:lineRule="auto"/>
        <w:rPr>
          <w:rFonts w:hAnsi="宋体"/>
          <w:color w:val="auto"/>
          <w:sz w:val="24"/>
          <w:highlight w:val="none"/>
        </w:rPr>
      </w:pPr>
      <w:r>
        <w:rPr>
          <w:rFonts w:hAnsi="宋体"/>
          <w:color w:val="auto"/>
          <w:sz w:val="24"/>
          <w:highlight w:val="none"/>
        </w:rPr>
      </w:r>
      <w:r/>
    </w:p>
    <w:tbl>
      <w:tblPr>
        <w:tblStyle w:val="681"/>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jc w:val="center"/>
          <w:trHeight w:val="2820"/>
        </w:trPr>
        <w:tc>
          <w:tcPr>
            <w:tcW w:w="4680" w:type="dxa"/>
            <w:textDirection w:val="lrTb"/>
            <w:noWrap/>
          </w:tcPr>
          <w:p>
            <w:pPr>
              <w:spacing w:before="4" w:line="360" w:lineRule="auto"/>
              <w:widowControl/>
              <w:rPr>
                <w:rFonts w:hAnsi="宋体"/>
                <w:color w:val="auto"/>
                <w:sz w:val="24"/>
                <w:highlight w:val="none"/>
              </w:rPr>
            </w:pPr>
            <w:r>
              <w:rPr>
                <w:rFonts w:hAnsi="宋体"/>
                <w:color w:val="auto"/>
                <w:sz w:val="24"/>
                <w:highlight w:val="none"/>
              </w:rPr>
            </w:r>
            <w:r/>
          </w:p>
          <w:p>
            <w:pPr>
              <w:spacing w:before="4" w:line="360" w:lineRule="auto"/>
              <w:widowControl/>
              <w:rPr>
                <w:rFonts w:hAnsi="宋体"/>
                <w:color w:val="auto"/>
                <w:sz w:val="24"/>
                <w:highlight w:val="none"/>
              </w:rPr>
            </w:pPr>
            <w:r>
              <w:rPr>
                <w:rFonts w:hAnsi="宋体"/>
                <w:color w:val="auto"/>
                <w:sz w:val="24"/>
                <w:highlight w:val="none"/>
              </w:rPr>
            </w:r>
            <w:r/>
          </w:p>
          <w:p>
            <w:pPr>
              <w:jc w:val="center"/>
              <w:spacing w:before="4" w:line="360" w:lineRule="auto"/>
              <w:widowControl/>
              <w:rPr>
                <w:rFonts w:hAnsi="宋体"/>
                <w:color w:val="auto"/>
                <w:sz w:val="24"/>
                <w:highlight w:val="none"/>
              </w:rPr>
            </w:pPr>
            <w:r>
              <w:rPr>
                <w:rFonts w:hint="eastAsia" w:hAnsi="宋体"/>
                <w:color w:val="auto"/>
                <w:sz w:val="24"/>
                <w:highlight w:val="none"/>
              </w:rPr>
              <w:t xml:space="preserve">法定代表人身份证复印件正反面</w:t>
            </w:r>
            <w:r/>
          </w:p>
        </w:tc>
        <w:tc>
          <w:tcPr>
            <w:tcBorders>
              <w:top w:val="none" w:color="000000" w:sz="4" w:space="0"/>
              <w:bottom w:val="none" w:color="000000" w:sz="4" w:space="0"/>
            </w:tcBorders>
            <w:tcW w:w="720" w:type="dxa"/>
            <w:textDirection w:val="lrTb"/>
            <w:noWrap/>
          </w:tcPr>
          <w:p>
            <w:pPr>
              <w:jc w:val="left"/>
              <w:widowControl/>
              <w:rPr>
                <w:rFonts w:hAnsi="宋体"/>
                <w:color w:val="auto"/>
                <w:sz w:val="24"/>
                <w:highlight w:val="none"/>
              </w:rPr>
            </w:pPr>
            <w:r>
              <w:rPr>
                <w:rFonts w:hAnsi="宋体"/>
                <w:color w:val="auto"/>
                <w:sz w:val="24"/>
                <w:highlight w:val="none"/>
              </w:rPr>
            </w:r>
            <w:r/>
          </w:p>
        </w:tc>
        <w:tc>
          <w:tcPr>
            <w:tcW w:w="4792" w:type="dxa"/>
            <w:textDirection w:val="lrTb"/>
            <w:noWrap/>
          </w:tcPr>
          <w:p>
            <w:pPr>
              <w:spacing w:before="4" w:line="360" w:lineRule="auto"/>
              <w:widowControl/>
              <w:rPr>
                <w:rFonts w:hAnsi="宋体"/>
                <w:color w:val="auto"/>
                <w:sz w:val="24"/>
                <w:highlight w:val="none"/>
              </w:rPr>
            </w:pPr>
            <w:r>
              <w:rPr>
                <w:rFonts w:hAnsi="宋体"/>
                <w:color w:val="auto"/>
                <w:sz w:val="24"/>
                <w:highlight w:val="none"/>
              </w:rPr>
            </w:r>
            <w:r/>
          </w:p>
          <w:p>
            <w:pPr>
              <w:spacing w:before="4" w:line="360" w:lineRule="auto"/>
              <w:widowControl/>
              <w:rPr>
                <w:rFonts w:hAnsi="宋体"/>
                <w:color w:val="auto"/>
                <w:sz w:val="24"/>
                <w:highlight w:val="none"/>
              </w:rPr>
            </w:pPr>
            <w:r>
              <w:rPr>
                <w:rFonts w:hAnsi="宋体"/>
                <w:color w:val="auto"/>
                <w:sz w:val="24"/>
                <w:highlight w:val="none"/>
              </w:rPr>
            </w:r>
            <w:r/>
          </w:p>
          <w:p>
            <w:pPr>
              <w:jc w:val="center"/>
              <w:spacing w:before="4" w:line="360" w:lineRule="auto"/>
              <w:widowControl/>
              <w:rPr>
                <w:rFonts w:hAnsi="宋体"/>
                <w:color w:val="auto"/>
                <w:sz w:val="24"/>
                <w:highlight w:val="none"/>
              </w:rPr>
            </w:pPr>
            <w:r>
              <w:rPr>
                <w:rFonts w:hint="eastAsia" w:hAnsi="宋体"/>
                <w:color w:val="auto"/>
                <w:sz w:val="24"/>
                <w:highlight w:val="none"/>
              </w:rPr>
              <w:t xml:space="preserve">授权代表身份证复印件正反面</w:t>
            </w:r>
            <w:r/>
          </w:p>
        </w:tc>
      </w:tr>
    </w:tbl>
    <w:p>
      <w:pPr>
        <w:spacing w:line="360" w:lineRule="auto"/>
        <w:widowControl/>
        <w:rPr>
          <w:rFonts w:hAnsi="宋体" w:cs="宋体"/>
          <w:b/>
          <w:bCs/>
          <w:color w:val="auto"/>
          <w:sz w:val="30"/>
          <w:szCs w:val="30"/>
          <w:highlight w:val="none"/>
        </w:rPr>
      </w:pPr>
      <w:r>
        <w:rPr>
          <w:rFonts w:hAnsi="宋体" w:cs="宋体"/>
          <w:b/>
          <w:bCs/>
          <w:color w:val="auto"/>
          <w:sz w:val="30"/>
          <w:szCs w:val="30"/>
          <w:highlight w:val="none"/>
        </w:rPr>
      </w:r>
      <w:r/>
    </w:p>
    <w:p>
      <w:pPr>
        <w:spacing w:line="360" w:lineRule="auto"/>
        <w:widowControl/>
        <w:rPr>
          <w:rFonts w:hAnsi="宋体" w:cs="宋体"/>
          <w:b/>
          <w:bCs/>
          <w:color w:val="auto"/>
          <w:sz w:val="30"/>
          <w:szCs w:val="30"/>
          <w:highlight w:val="none"/>
        </w:rPr>
      </w:pPr>
      <w:r>
        <w:rPr>
          <w:rFonts w:hAnsi="宋体" w:cs="宋体"/>
          <w:b/>
          <w:bCs/>
          <w:color w:val="auto"/>
          <w:sz w:val="30"/>
          <w:szCs w:val="30"/>
          <w:highlight w:val="none"/>
        </w:rPr>
      </w:r>
      <w:r/>
    </w:p>
    <w:p>
      <w:pPr>
        <w:pStyle w:val="887"/>
        <w:ind w:firstLine="0"/>
        <w:rPr>
          <w:rFonts w:hAnsi="宋体" w:cs="宋体"/>
          <w:b/>
          <w:color w:val="auto"/>
          <w:sz w:val="30"/>
          <w:szCs w:val="30"/>
          <w:highlight w:val="none"/>
        </w:rPr>
      </w:pPr>
      <w:r>
        <w:rPr>
          <w:rFonts w:hAnsi="宋体" w:cs="宋体"/>
          <w:b/>
          <w:color w:val="auto"/>
          <w:sz w:val="30"/>
          <w:szCs w:val="30"/>
          <w:highlight w:val="none"/>
        </w:rPr>
      </w:r>
      <w:r/>
    </w:p>
    <w:p>
      <w:pPr>
        <w:jc w:val="left"/>
        <w:spacing w:line="360" w:lineRule="auto"/>
        <w:rPr>
          <w:rStyle w:val="1167"/>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left"/>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（四）法定代表人亲自参加投标的需提供</w:t>
      </w:r>
      <w:r/>
    </w:p>
    <w:p>
      <w:pPr>
        <w:jc w:val="center"/>
        <w:spacing w:line="360" w:lineRule="auto"/>
        <w:rPr>
          <w:rStyle w:val="1167"/>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spacing w:line="360" w:lineRule="auto"/>
        <w:rPr>
          <w:rStyle w:val="1167"/>
          <w:rFonts w:ascii="黑体" w:hAnsi="黑体" w:eastAsia="黑体"/>
          <w:color w:val="auto"/>
          <w:sz w:val="28"/>
          <w:szCs w:val="28"/>
          <w:highlight w:val="none"/>
        </w:rPr>
      </w:pPr>
      <w:r>
        <w:rPr>
          <w:rStyle w:val="1167"/>
          <w:rFonts w:hint="eastAsia" w:ascii="黑体" w:hAnsi="黑体" w:eastAsia="黑体" w:cs="黑体"/>
          <w:color w:val="auto"/>
          <w:sz w:val="28"/>
          <w:szCs w:val="28"/>
          <w:highlight w:val="none"/>
        </w:rPr>
        <w:t xml:space="preserve">法定代表人身份证明书（格式）</w:t>
      </w:r>
      <w:r/>
    </w:p>
    <w:p>
      <w:pPr>
        <w:ind w:firstLine="612"/>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单位名称：</w:t>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p>
    <w:p>
      <w:pPr>
        <w:ind w:firstLine="612"/>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u w:val="single"/>
        </w:rPr>
      </w:pPr>
      <w:r>
        <w:rPr>
          <w:rStyle w:val="1167"/>
          <w:rFonts w:hint="eastAsia" w:ascii="宋体" w:hAnsi="宋体" w:cs="宋体"/>
          <w:color w:val="auto"/>
          <w:sz w:val="24"/>
          <w:highlight w:val="none"/>
        </w:rPr>
        <w:t xml:space="preserve">单位性质：</w:t>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p>
    <w:p>
      <w:pPr>
        <w:ind w:firstLine="610"/>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u w:val="single"/>
        </w:rPr>
      </w:pPr>
      <w:r>
        <w:rPr>
          <w:rStyle w:val="1167"/>
          <w:rFonts w:hint="eastAsia" w:ascii="宋体" w:hAnsi="宋体" w:cs="宋体"/>
          <w:color w:val="auto"/>
          <w:sz w:val="24"/>
          <w:highlight w:val="none"/>
        </w:rPr>
        <w:t xml:space="preserve">地址：</w:t>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rPr>
          <w:rStyle w:val="1167"/>
          <w:rFonts w:ascii="宋体"/>
          <w:color w:val="auto"/>
          <w:sz w:val="24"/>
          <w:highlight w:val="none"/>
          <w:u w:val="single"/>
        </w:rPr>
        <w:tab/>
      </w:r>
      <w:r/>
    </w:p>
    <w:p>
      <w:pPr>
        <w:ind w:firstLine="610"/>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成立时间：年月日</w:t>
      </w:r>
      <w:r/>
    </w:p>
    <w:p>
      <w:pPr>
        <w:ind w:firstLine="610"/>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u w:val="single"/>
        </w:rPr>
      </w:pPr>
      <w:r>
        <w:rPr>
          <w:rStyle w:val="1167"/>
          <w:rFonts w:hint="eastAsia" w:ascii="宋体" w:hAnsi="宋体" w:cs="宋体"/>
          <w:color w:val="auto"/>
          <w:sz w:val="24"/>
          <w:highlight w:val="none"/>
        </w:rPr>
        <w:t xml:space="preserve">经营期限：</w:t>
      </w:r>
      <w:r>
        <w:rPr>
          <w:rStyle w:val="1167"/>
          <w:rFonts w:ascii="宋体"/>
          <w:color w:val="auto"/>
          <w:sz w:val="24"/>
          <w:highlight w:val="none"/>
          <w:u w:val="single"/>
        </w:rPr>
        <w:tab/>
      </w:r>
      <w:r>
        <w:rPr>
          <w:rStyle w:val="1167"/>
          <w:rFonts w:ascii="宋体"/>
          <w:color w:val="auto"/>
          <w:sz w:val="24"/>
          <w:highlight w:val="none"/>
          <w:u w:val="single"/>
        </w:rPr>
        <w:tab/>
      </w:r>
      <w:r/>
    </w:p>
    <w:p>
      <w:pPr>
        <w:ind w:firstLine="610"/>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u w:val="single"/>
        </w:rPr>
      </w:pPr>
      <w:r>
        <w:rPr>
          <w:rStyle w:val="1167"/>
          <w:rFonts w:hint="eastAsia" w:ascii="宋体" w:hAnsi="宋体" w:cs="宋体"/>
          <w:color w:val="auto"/>
          <w:sz w:val="24"/>
          <w:highlight w:val="none"/>
        </w:rPr>
        <w:t xml:space="preserve">姓名： 性别： 年龄：  职务：</w:t>
      </w:r>
      <w:r>
        <w:rPr>
          <w:rStyle w:val="1167"/>
          <w:rFonts w:ascii="宋体"/>
          <w:color w:val="auto"/>
          <w:sz w:val="24"/>
          <w:highlight w:val="none"/>
          <w:u w:val="single"/>
        </w:rPr>
        <w:tab/>
      </w:r>
      <w:r>
        <w:rPr>
          <w:rStyle w:val="1167"/>
          <w:rFonts w:ascii="宋体"/>
          <w:color w:val="auto"/>
          <w:sz w:val="24"/>
          <w:highlight w:val="none"/>
          <w:u w:val="single"/>
        </w:rPr>
        <w:tab/>
      </w:r>
      <w:r/>
    </w:p>
    <w:p>
      <w:pPr>
        <w:ind w:firstLine="610"/>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系的法定代表人。</w:t>
      </w:r>
      <w:r/>
    </w:p>
    <w:p>
      <w:pPr>
        <w:ind w:firstLine="610"/>
        <w:spacing w:line="360" w:lineRule="auto"/>
        <w:rPr>
          <w:rStyle w:val="1167"/>
          <w:rFonts w:ascii="宋体"/>
          <w:color w:val="auto"/>
          <w:sz w:val="24"/>
          <w:highlight w:val="none"/>
        </w:rPr>
      </w:pPr>
      <w:r>
        <w:rPr>
          <w:rFonts w:ascii="宋体"/>
          <w:color w:val="auto"/>
          <w:sz w:val="24"/>
          <w:highlight w:val="none"/>
        </w:rPr>
      </w:r>
      <w:r/>
    </w:p>
    <w:p>
      <w:pPr>
        <w:ind w:firstLine="610"/>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特此证明。</w:t>
      </w:r>
      <w:r/>
    </w:p>
    <w:p>
      <w:pPr>
        <w:ind w:firstLine="4560"/>
        <w:spacing w:line="360" w:lineRule="auto"/>
        <w:tabs>
          <w:tab w:val="left" w:pos="720" w:leader="none"/>
          <w:tab w:val="left" w:pos="900" w:leader="none"/>
        </w:tabs>
        <w:rPr>
          <w:rStyle w:val="1167"/>
          <w:rFonts w:ascii="宋体"/>
          <w:color w:val="auto"/>
          <w:sz w:val="24"/>
          <w:highlight w:val="none"/>
        </w:rPr>
      </w:pPr>
      <w:r>
        <w:rPr>
          <w:rFonts w:ascii="宋体"/>
          <w:color w:val="auto"/>
          <w:sz w:val="24"/>
          <w:highlight w:val="none"/>
        </w:rPr>
      </w:r>
      <w:r/>
    </w:p>
    <w:p>
      <w:pPr>
        <w:ind w:firstLine="4800"/>
        <w:spacing w:line="600" w:lineRule="auto"/>
        <w:tabs>
          <w:tab w:val="left" w:pos="720" w:leader="none"/>
          <w:tab w:val="left" w:pos="900" w:leader="none"/>
        </w:tabs>
        <w:rPr>
          <w:rStyle w:val="1167"/>
          <w:rFonts w:ascii="宋体"/>
          <w:color w:val="auto"/>
          <w:sz w:val="24"/>
          <w:highlight w:val="none"/>
        </w:rPr>
      </w:pPr>
      <w:r>
        <w:rPr>
          <w:rStyle w:val="1167"/>
          <w:rFonts w:hint="eastAsia" w:ascii="宋体" w:hAnsi="宋体" w:cs="宋体"/>
          <w:color w:val="auto"/>
          <w:sz w:val="24"/>
          <w:highlight w:val="none"/>
        </w:rPr>
        <w:t xml:space="preserve">投标供应商：</w:t>
      </w:r>
      <w:r>
        <w:rPr>
          <w:rStyle w:val="1167"/>
          <w:rFonts w:hint="eastAsia" w:ascii="宋体" w:hAnsi="宋体" w:cs="宋体"/>
          <w:color w:val="auto"/>
          <w:sz w:val="24"/>
          <w:highlight w:val="none"/>
          <w:u w:val="single"/>
        </w:rPr>
        <w:t xml:space="preserve">（盖公章）</w:t>
      </w:r>
      <w:r/>
    </w:p>
    <w:p>
      <w:pPr>
        <w:ind w:right="480" w:firstLine="5280"/>
        <w:rPr>
          <w:rStyle w:val="1167"/>
          <w:rFonts w:ascii="宋体"/>
          <w:color w:val="auto"/>
          <w:sz w:val="24"/>
          <w:highlight w:val="none"/>
        </w:rPr>
      </w:pPr>
      <w:r>
        <w:rPr>
          <w:rStyle w:val="1167"/>
          <w:rFonts w:hint="eastAsia" w:ascii="宋体" w:hAnsi="宋体" w:cs="宋体"/>
          <w:color w:val="auto"/>
          <w:sz w:val="24"/>
          <w:highlight w:val="none"/>
        </w:rPr>
        <w:t xml:space="preserve">日期：  年  月  日</w:t>
      </w:r>
      <w:r/>
    </w:p>
    <w:tbl>
      <w:tblPr>
        <w:tblStyle w:val="681"/>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textDirection w:val="lrTb"/>
            <w:noWrap/>
          </w:tcPr>
          <w:p>
            <w:pPr>
              <w:spacing w:line="360" w:lineRule="auto"/>
              <w:rPr>
                <w:rStyle w:val="1167"/>
                <w:rFonts w:ascii="宋体"/>
                <w:color w:val="auto"/>
                <w:sz w:val="24"/>
                <w:highlight w:val="none"/>
              </w:rPr>
            </w:pPr>
            <w:r>
              <w:rPr>
                <w:rFonts w:ascii="宋体"/>
                <w:color w:val="auto"/>
                <w:sz w:val="24"/>
                <w:highlight w:val="none"/>
              </w:rPr>
            </w:r>
            <w:r/>
          </w:p>
          <w:p>
            <w:pPr>
              <w:spacing w:line="360" w:lineRule="auto"/>
              <w:rPr>
                <w:rStyle w:val="1167"/>
                <w:rFonts w:ascii="宋体"/>
                <w:color w:val="auto"/>
                <w:sz w:val="24"/>
                <w:highlight w:val="none"/>
              </w:rPr>
            </w:pPr>
            <w:r>
              <w:rPr>
                <w:rFonts w:ascii="宋体"/>
                <w:color w:val="auto"/>
                <w:sz w:val="24"/>
                <w:highlight w:val="none"/>
              </w:rPr>
            </w:r>
            <w:r/>
          </w:p>
          <w:p>
            <w:pPr>
              <w:jc w:val="center"/>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法定代表人身份证复印件</w:t>
            </w:r>
            <w:r/>
          </w:p>
          <w:p>
            <w:pPr>
              <w:jc w:val="center"/>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（正面）</w:t>
            </w:r>
            <w:r/>
          </w:p>
        </w:tc>
        <w:tc>
          <w:tcPr>
            <w:tcW w:w="707" w:type="dxa"/>
            <w:textDirection w:val="lrTb"/>
            <w:noWrap/>
          </w:tcPr>
          <w:p>
            <w:pPr>
              <w:jc w:val="left"/>
              <w:rPr>
                <w:rStyle w:val="1167"/>
                <w:rFonts w:ascii="宋体"/>
                <w:color w:val="auto"/>
                <w:sz w:val="24"/>
                <w:highlight w:val="none"/>
              </w:rPr>
            </w:pPr>
            <w:r>
              <w:rPr>
                <w:rFonts w:ascii="宋体"/>
                <w:color w:val="auto"/>
                <w:sz w:val="24"/>
                <w:highlight w:val="none"/>
              </w:rPr>
            </w:r>
            <w:r/>
          </w:p>
        </w:tc>
        <w:tc>
          <w:tcPr>
            <w:tcW w:w="4545" w:type="dxa"/>
            <w:textDirection w:val="lrTb"/>
            <w:noWrap/>
          </w:tcPr>
          <w:p>
            <w:pPr>
              <w:spacing w:line="360" w:lineRule="auto"/>
              <w:rPr>
                <w:rStyle w:val="1167"/>
                <w:rFonts w:ascii="宋体"/>
                <w:color w:val="auto"/>
                <w:sz w:val="24"/>
                <w:highlight w:val="none"/>
              </w:rPr>
            </w:pPr>
            <w:r>
              <w:rPr>
                <w:rFonts w:ascii="宋体"/>
                <w:color w:val="auto"/>
                <w:sz w:val="24"/>
                <w:highlight w:val="none"/>
              </w:rPr>
            </w:r>
            <w:r/>
          </w:p>
          <w:p>
            <w:pPr>
              <w:spacing w:line="360" w:lineRule="auto"/>
              <w:rPr>
                <w:rStyle w:val="1167"/>
                <w:rFonts w:ascii="宋体"/>
                <w:color w:val="auto"/>
                <w:sz w:val="24"/>
                <w:highlight w:val="none"/>
              </w:rPr>
            </w:pPr>
            <w:r>
              <w:rPr>
                <w:rFonts w:ascii="宋体"/>
                <w:color w:val="auto"/>
                <w:sz w:val="24"/>
                <w:highlight w:val="none"/>
              </w:rPr>
            </w:r>
            <w:r/>
          </w:p>
          <w:p>
            <w:pPr>
              <w:jc w:val="center"/>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法定代表人身份证复印件</w:t>
            </w:r>
            <w:r/>
          </w:p>
          <w:p>
            <w:pPr>
              <w:jc w:val="center"/>
              <w:spacing w:line="360" w:lineRule="auto"/>
              <w:rPr>
                <w:rStyle w:val="1167"/>
                <w:rFonts w:ascii="宋体"/>
                <w:color w:val="auto"/>
                <w:sz w:val="24"/>
                <w:highlight w:val="none"/>
              </w:rPr>
            </w:pPr>
            <w:r>
              <w:rPr>
                <w:rStyle w:val="1167"/>
                <w:rFonts w:hint="eastAsia" w:ascii="宋体" w:hAnsi="宋体" w:cs="宋体"/>
                <w:color w:val="auto"/>
                <w:sz w:val="24"/>
                <w:highlight w:val="none"/>
              </w:rPr>
              <w:t xml:space="preserve">（反面）</w:t>
            </w:r>
            <w:r/>
          </w:p>
        </w:tc>
      </w:tr>
    </w:tbl>
    <w:p>
      <w:pPr>
        <w:pStyle w:val="887"/>
        <w:ind w:firstLine="0"/>
        <w:rPr>
          <w:rFonts w:ascii="宋体" w:hAnsi="宋体" w:cs="宋体"/>
          <w:b/>
          <w:color w:val="auto"/>
          <w:sz w:val="28"/>
          <w:szCs w:val="28"/>
          <w:highlight w:val="none"/>
        </w:rPr>
      </w:pPr>
      <w:r>
        <w:rPr>
          <w:rFonts w:ascii="宋体" w:hAnsi="宋体" w:cs="宋体"/>
          <w:b/>
          <w:color w:val="auto"/>
          <w:sz w:val="28"/>
          <w:szCs w:val="28"/>
          <w:highlight w:val="none"/>
        </w:rPr>
      </w:r>
      <w:r/>
    </w:p>
    <w:p>
      <w:pPr>
        <w:pStyle w:val="887"/>
        <w:ind w:firstLine="0"/>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87"/>
        <w:ind w:firstLine="0"/>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 xml:space="preserve">（五）承诺书（格式）</w:t>
      </w:r>
      <w:r/>
    </w:p>
    <w:p>
      <w:pPr>
        <w:ind w:left="420"/>
        <w:jc w:val="center"/>
        <w:rPr>
          <w:rFonts w:ascii="黑体" w:hAnsi="宋体" w:eastAsia="黑体"/>
          <w:bCs/>
          <w:color w:val="auto"/>
          <w:sz w:val="32"/>
          <w:szCs w:val="32"/>
          <w:highlight w:val="none"/>
        </w:rPr>
        <w:outlineLvl w:val="0"/>
      </w:pPr>
      <w:r>
        <w:rPr>
          <w:rFonts w:ascii="黑体" w:hAnsi="宋体" w:eastAsia="黑体"/>
          <w:bCs/>
          <w:color w:val="auto"/>
          <w:sz w:val="32"/>
          <w:szCs w:val="32"/>
          <w:highlight w:val="none"/>
        </w:rPr>
      </w:r>
      <w:r/>
    </w:p>
    <w:p>
      <w:pPr>
        <w:jc w:val="center"/>
        <w:keepNext/>
        <w:rPr>
          <w:rFonts w:hAnsi="宋体"/>
          <w:b/>
          <w:color w:val="auto"/>
          <w:sz w:val="28"/>
          <w:szCs w:val="22"/>
          <w:highlight w:val="none"/>
        </w:rPr>
        <w:outlineLvl w:val="2"/>
      </w:pPr>
      <w:r/>
      <w:bookmarkStart w:id="6" w:name="OLE_LINK42"/>
      <w:r>
        <w:rPr>
          <w:rFonts w:hint="eastAsia" w:hAnsi="宋体"/>
          <w:b/>
          <w:color w:val="auto"/>
          <w:sz w:val="28"/>
          <w:szCs w:val="22"/>
          <w:highlight w:val="none"/>
        </w:rPr>
        <w:t xml:space="preserve">承诺书（廉政承诺书格式）</w:t>
      </w:r>
      <w:r/>
    </w:p>
    <w:p>
      <w:pPr>
        <w:ind w:firstLine="480"/>
        <w:spacing w:line="520" w:lineRule="exact"/>
        <w:rPr>
          <w:rFonts w:hAnsi="宋体"/>
          <w:color w:val="auto"/>
          <w:sz w:val="24"/>
          <w:highlight w:val="none"/>
        </w:rPr>
      </w:pPr>
      <w:r>
        <w:rPr>
          <w:rFonts w:hint="eastAsia" w:hAnsi="宋体"/>
          <w:color w:val="auto"/>
          <w:sz w:val="24"/>
          <w:highlight w:val="none"/>
        </w:rPr>
        <w:t xml:space="preserve">为了积极配合贵单位的招标工作，有效遏制不公平竞争和违规违纪问题的发生，确保招标工作的公平、公正、公开，我们保证认真贯彻《招投标法》等相关规定以及相关廉政要求，特向贵单位承诺如下事项：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2、主动了解贵</w:t>
      </w:r>
      <w:r>
        <w:rPr>
          <w:rFonts w:hint="eastAsia" w:ascii="宋体" w:hAnsi="宋体"/>
          <w:color w:val="auto"/>
          <w:sz w:val="24"/>
          <w:highlight w:val="none"/>
        </w:rPr>
        <w:t xml:space="preserve">单位</w:t>
      </w:r>
      <w:r>
        <w:rPr>
          <w:rFonts w:hint="eastAsia" w:ascii="宋体" w:hAnsi="宋体" w:cs="宋体"/>
          <w:color w:val="auto"/>
          <w:sz w:val="24"/>
          <w:highlight w:val="none"/>
        </w:rPr>
        <w:t xml:space="preserve">招投标纪律，积极配合贵局执行招投标廉政建设的有关规定。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3、不使用不正当手段妨碍、排挤其他投标单位或串通投标。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6、不向涉及招标的单位及个人购置或提供通讯工具、交通工具和高档办公用品等。</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9、一旦发现相关人员在招标过程中有索要财物等不廉政行为，坚决予以抵制，并及时向贵局纪检监察室举报。</w:t>
      </w:r>
      <w:r/>
    </w:p>
    <w:p>
      <w:pPr>
        <w:ind w:firstLine="480"/>
        <w:spacing w:line="520" w:lineRule="exact"/>
        <w:rPr>
          <w:rFonts w:hAnsi="宋体"/>
          <w:color w:val="auto"/>
          <w:sz w:val="24"/>
          <w:highlight w:val="none"/>
        </w:rPr>
      </w:pPr>
      <w:r>
        <w:rPr>
          <w:rFonts w:hint="eastAsia" w:ascii="宋体" w:hAnsi="宋体" w:cs="宋体"/>
          <w:color w:val="auto"/>
          <w:sz w:val="24"/>
          <w:highlight w:val="none"/>
        </w:rPr>
        <w:t xml:space="preserve">我们若违反上述承</w:t>
      </w:r>
      <w:r>
        <w:rPr>
          <w:rFonts w:hint="eastAsia" w:hAnsi="宋体"/>
          <w:color w:val="auto"/>
          <w:sz w:val="24"/>
          <w:highlight w:val="none"/>
        </w:rPr>
        <w:t xml:space="preserve">诺，愿接受取消投标资格及其他任何形式的处理。</w:t>
      </w:r>
      <w:r/>
    </w:p>
    <w:p>
      <w:pPr>
        <w:ind w:firstLine="480"/>
        <w:spacing w:line="520" w:lineRule="exact"/>
        <w:rPr>
          <w:rFonts w:hAnsi="宋体"/>
          <w:color w:val="auto"/>
          <w:sz w:val="24"/>
          <w:highlight w:val="none"/>
        </w:rPr>
      </w:pPr>
      <w:r>
        <w:rPr>
          <w:rFonts w:hAnsi="宋体"/>
          <w:color w:val="auto"/>
          <w:sz w:val="24"/>
          <w:highlight w:val="none"/>
        </w:rPr>
      </w:r>
      <w:r/>
    </w:p>
    <w:p>
      <w:pPr>
        <w:ind w:firstLine="480"/>
        <w:spacing w:line="360" w:lineRule="auto"/>
        <w:rPr>
          <w:rFonts w:hAnsi="宋体"/>
          <w:color w:val="auto"/>
          <w:sz w:val="24"/>
          <w:highlight w:val="none"/>
        </w:rPr>
      </w:pPr>
      <w:r>
        <w:rPr>
          <w:rFonts w:hint="eastAsia" w:hAnsi="宋体"/>
          <w:color w:val="auto"/>
          <w:sz w:val="24"/>
          <w:highlight w:val="none"/>
        </w:rPr>
        <w:t xml:space="preserve">投标供应商（盖章）：             </w:t>
      </w:r>
      <w:r/>
    </w:p>
    <w:p>
      <w:pPr>
        <w:ind w:firstLine="480"/>
        <w:spacing w:line="360" w:lineRule="auto"/>
        <w:rPr>
          <w:rFonts w:hAnsi="宋体"/>
          <w:color w:val="auto"/>
          <w:sz w:val="24"/>
          <w:highlight w:val="none"/>
        </w:rPr>
      </w:pPr>
      <w:r>
        <w:rPr>
          <w:rFonts w:hint="eastAsia" w:hAnsi="宋体"/>
          <w:color w:val="auto"/>
          <w:sz w:val="24"/>
          <w:highlight w:val="none"/>
        </w:rPr>
        <w:t xml:space="preserve">法定代表人或授权代理人：          </w:t>
      </w:r>
      <w:r>
        <w:rPr>
          <w:rFonts w:hAnsi="宋体"/>
          <w:color w:val="auto"/>
          <w:sz w:val="24"/>
          <w:highlight w:val="none"/>
        </w:rPr>
        <w:t xml:space="preserve">（</w:t>
      </w:r>
      <w:r>
        <w:rPr>
          <w:rFonts w:hint="eastAsia" w:hAnsi="宋体"/>
          <w:color w:val="auto"/>
          <w:sz w:val="24"/>
          <w:highlight w:val="none"/>
        </w:rPr>
        <w:t xml:space="preserve">签字或盖章</w:t>
      </w:r>
      <w:r>
        <w:rPr>
          <w:rFonts w:hAnsi="宋体"/>
          <w:color w:val="auto"/>
          <w:sz w:val="24"/>
          <w:highlight w:val="none"/>
        </w:rPr>
        <w:t xml:space="preserve">）</w:t>
      </w:r>
      <w:r/>
    </w:p>
    <w:p>
      <w:pPr>
        <w:spacing w:line="360" w:lineRule="auto"/>
        <w:widowControl/>
        <w:rPr>
          <w:rFonts w:hAnsi="宋体" w:cs="宋体"/>
          <w:bCs/>
          <w:color w:val="auto"/>
          <w:sz w:val="24"/>
          <w:highlight w:val="none"/>
        </w:rPr>
      </w:pPr>
      <w:r>
        <w:rPr>
          <w:rFonts w:hint="eastAsia" w:hAnsi="宋体"/>
          <w:color w:val="auto"/>
          <w:sz w:val="24"/>
          <w:szCs w:val="22"/>
          <w:highlight w:val="none"/>
        </w:rPr>
        <w:t xml:space="preserve">    年    月     日</w:t>
      </w:r>
      <w:r/>
    </w:p>
    <w:p>
      <w:pPr>
        <w:pStyle w:val="955"/>
        <w:ind w:left="0" w:firstLine="0"/>
        <w:rPr>
          <w:rFonts w:hAnsi="宋体" w:cs="宋体"/>
          <w:bCs/>
          <w:color w:val="auto"/>
          <w:sz w:val="24"/>
          <w:highlight w:val="none"/>
        </w:rPr>
      </w:pPr>
      <w:r>
        <w:rPr>
          <w:rFonts w:hAnsi="宋体" w:cs="宋体"/>
          <w:bCs/>
          <w:color w:val="auto"/>
          <w:sz w:val="24"/>
          <w:highlight w:val="none"/>
        </w:rPr>
      </w:r>
      <w:bookmarkEnd w:id="6"/>
      <w:r/>
    </w:p>
    <w:p>
      <w:pPr>
        <w:rPr>
          <w:rFonts w:hAnsi="宋体" w:cs="宋体"/>
          <w:bCs/>
          <w:color w:val="auto"/>
          <w:sz w:val="24"/>
          <w:highlight w:val="none"/>
        </w:rPr>
      </w:pPr>
      <w:r>
        <w:rPr>
          <w:rFonts w:hAnsi="宋体" w:cs="宋体"/>
          <w:bCs/>
          <w:color w:val="auto"/>
          <w:sz w:val="24"/>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pStyle w:val="687"/>
        <w:rPr>
          <w:rFonts w:ascii="黑体" w:hAnsi="宋体" w:eastAsia="黑体"/>
          <w:bCs/>
          <w:color w:val="auto"/>
          <w:sz w:val="24"/>
          <w:szCs w:val="22"/>
          <w:highlight w:val="none"/>
        </w:rPr>
      </w:pPr>
      <w:r>
        <w:rPr>
          <w:rFonts w:ascii="黑体" w:hAnsi="宋体" w:eastAsia="黑体"/>
          <w:bCs/>
          <w:color w:val="auto"/>
          <w:sz w:val="24"/>
          <w:szCs w:val="22"/>
          <w:highlight w:val="none"/>
        </w:rPr>
      </w:r>
      <w:r/>
    </w:p>
    <w:p>
      <w:pPr>
        <w:pStyle w:val="688"/>
        <w:rPr>
          <w:rFonts w:ascii="黑体" w:hAnsi="宋体" w:eastAsia="黑体"/>
          <w:bCs/>
          <w:color w:val="auto"/>
          <w:sz w:val="24"/>
          <w:szCs w:val="22"/>
          <w:highlight w:val="none"/>
        </w:rPr>
      </w:pPr>
      <w:r>
        <w:rPr>
          <w:rFonts w:ascii="黑体" w:hAnsi="宋体" w:eastAsia="黑体"/>
          <w:bCs/>
          <w:color w:val="auto"/>
          <w:sz w:val="24"/>
          <w:szCs w:val="22"/>
          <w:highlight w:val="none"/>
        </w:rPr>
      </w:r>
      <w:r/>
    </w:p>
    <w:p>
      <w:pPr>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r/>
    </w:p>
    <w:p>
      <w:pPr>
        <w:pStyle w:val="673"/>
        <w:jc w:val="left"/>
        <w:spacing w:before="120" w:after="120"/>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（六）（投标供应商）中小企业声明函（格式）</w:t>
      </w:r>
      <w:r/>
    </w:p>
    <w:p>
      <w:pPr>
        <w:pStyle w:val="689"/>
        <w:ind w:left="0" w:right="34"/>
        <w:spacing w:line="360" w:lineRule="auto"/>
        <w:rPr>
          <w:rFonts w:ascii="宋体" w:hAnsi="宋体"/>
          <w:color w:val="auto"/>
          <w:highlight w:val="none"/>
        </w:rPr>
      </w:pPr>
      <w:r>
        <w:rPr>
          <w:rFonts w:hint="eastAsia" w:ascii="宋体" w:hAnsi="宋体"/>
          <w:color w:val="auto"/>
          <w:highlight w:val="none"/>
        </w:rPr>
        <w:t xml:space="preserve">一、常规说明：</w:t>
      </w:r>
      <w:r/>
    </w:p>
    <w:p>
      <w:pPr>
        <w:pStyle w:val="689"/>
        <w:ind w:left="0" w:right="34" w:firstLine="403"/>
        <w:spacing w:line="360" w:lineRule="auto"/>
        <w:rPr>
          <w:rFonts w:ascii="宋体" w:hAnsi="宋体"/>
          <w:color w:val="auto"/>
          <w:highlight w:val="none"/>
        </w:rPr>
      </w:pPr>
      <w:r>
        <w:rPr>
          <w:rFonts w:hint="eastAsia" w:ascii="宋体" w:hAnsi="宋体"/>
          <w:color w:val="auto"/>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highlight w:val="none"/>
        </w:rPr>
        <w:t xml:space="preserve">参与政府采购活动的供应商对其企业规模实行承诺制</w:t>
      </w:r>
      <w:r>
        <w:rPr>
          <w:rFonts w:hint="eastAsia" w:ascii="宋体" w:hAnsi="宋体"/>
          <w:color w:val="auto"/>
          <w:highlight w:val="none"/>
        </w:rPr>
        <w:t xml:space="preserve">，</w:t>
      </w:r>
      <w:r>
        <w:rPr>
          <w:rFonts w:ascii="宋体" w:hAnsi="宋体"/>
          <w:color w:val="auto"/>
          <w:highlight w:val="none"/>
        </w:rPr>
        <w:t xml:space="preserve">并对其声明的真实性承担法律责任，在资格审查和评审过程中无需提供证明其企业规模的其他材料</w:t>
      </w:r>
      <w:r>
        <w:rPr>
          <w:rFonts w:hint="eastAsia" w:ascii="宋体" w:hAnsi="宋体"/>
          <w:color w:val="auto"/>
          <w:highlight w:val="none"/>
        </w:rPr>
        <w:t xml:space="preserve">。</w:t>
      </w:r>
      <w:r/>
    </w:p>
    <w:p>
      <w:pPr>
        <w:pStyle w:val="689"/>
        <w:ind w:left="0" w:right="34" w:firstLine="403"/>
        <w:spacing w:line="360" w:lineRule="auto"/>
        <w:rPr>
          <w:rFonts w:ascii="宋体" w:hAnsi="宋体"/>
          <w:color w:val="auto"/>
          <w:highlight w:val="none"/>
        </w:rPr>
      </w:pPr>
      <w:r>
        <w:rPr>
          <w:rFonts w:hint="eastAsia" w:ascii="宋体" w:hAnsi="宋体"/>
          <w:color w:val="auto"/>
          <w:highlight w:val="none"/>
        </w:rPr>
        <w:t xml:space="preserve">2、中小企业声明函</w:t>
      </w:r>
      <w:r>
        <w:rPr>
          <w:rFonts w:hint="eastAsia" w:ascii="宋体" w:hAnsi="宋体"/>
          <w:b/>
          <w:bCs/>
          <w:color w:val="auto"/>
          <w:highlight w:val="none"/>
        </w:rPr>
        <w:t xml:space="preserve">不可删除</w:t>
      </w:r>
      <w:r>
        <w:rPr>
          <w:rFonts w:hint="eastAsia" w:ascii="宋体" w:hAnsi="宋体"/>
          <w:color w:val="auto"/>
          <w:highlight w:val="none"/>
        </w:rPr>
        <w:t xml:space="preserve">，投标供应商非中小企业，请将空表列入投标文件。</w:t>
      </w:r>
      <w:r/>
    </w:p>
    <w:p>
      <w:pPr>
        <w:pStyle w:val="689"/>
        <w:ind w:left="0" w:right="34" w:firstLine="403"/>
        <w:spacing w:line="360" w:lineRule="auto"/>
        <w:rPr>
          <w:rFonts w:ascii="宋体" w:hAnsi="宋体"/>
          <w:color w:val="auto"/>
          <w:highlight w:val="none"/>
        </w:rPr>
      </w:pPr>
      <w:r>
        <w:rPr>
          <w:rFonts w:hint="eastAsia" w:ascii="宋体" w:hAnsi="宋体"/>
          <w:color w:val="auto"/>
          <w:highlight w:val="none"/>
        </w:rPr>
        <w:t xml:space="preserve">3、从业人员、营业收入、资产总额填报上一年度数据，无上一年度数据的新成立企业可不填报。</w:t>
      </w:r>
      <w:r/>
    </w:p>
    <w:p>
      <w:pPr>
        <w:pStyle w:val="689"/>
        <w:ind w:left="0" w:right="34" w:firstLine="403"/>
        <w:spacing w:line="360" w:lineRule="auto"/>
        <w:rPr>
          <w:rFonts w:ascii="宋体" w:hAnsi="宋体"/>
          <w:color w:val="auto"/>
          <w:highlight w:val="none"/>
        </w:rPr>
      </w:pPr>
      <w:r>
        <w:rPr>
          <w:rFonts w:hint="eastAsia" w:ascii="宋体" w:hAnsi="宋体"/>
          <w:color w:val="auto"/>
          <w:highlight w:val="none"/>
        </w:rPr>
        <w:t xml:space="preserve">4、投标供应商需同时提供《中小企业声明函》并按要求填写《明细报价表》方可享受价格扣除。</w:t>
      </w:r>
      <w:r/>
    </w:p>
    <w:p>
      <w:pPr>
        <w:pStyle w:val="689"/>
        <w:ind w:left="0" w:right="34" w:firstLine="403"/>
        <w:spacing w:line="360" w:lineRule="auto"/>
        <w:rPr>
          <w:rFonts w:ascii="宋体" w:hAnsi="宋体"/>
          <w:color w:val="auto"/>
          <w:highlight w:val="none"/>
        </w:rPr>
      </w:pPr>
      <w:r>
        <w:rPr>
          <w:rFonts w:hint="eastAsia" w:ascii="宋体" w:hAnsi="宋体"/>
          <w:color w:val="auto"/>
          <w:highlight w:val="none"/>
        </w:rPr>
        <w:t xml:space="preserve">5、在货物采购项目中，供应商提供的货物既有中小企业制造的货物，也有大型企业制造的货物的，不享受本办法规定的中小企业扶持政策。</w:t>
      </w:r>
      <w:r/>
    </w:p>
    <w:p>
      <w:pPr>
        <w:pStyle w:val="689"/>
        <w:ind w:left="0" w:right="34" w:firstLine="403"/>
        <w:spacing w:line="360" w:lineRule="auto"/>
        <w:rPr>
          <w:rFonts w:ascii="宋体" w:hAnsi="宋体"/>
          <w:color w:val="auto"/>
          <w:highlight w:val="none"/>
        </w:rPr>
      </w:pPr>
      <w:r>
        <w:rPr>
          <w:rFonts w:hint="eastAsia" w:ascii="宋体" w:hAnsi="宋体"/>
          <w:color w:val="auto"/>
          <w:highlight w:val="none"/>
        </w:rPr>
        <w:t xml:space="preserve">6、中标、中标供应商的《中小企业声明函》将随中标、成交公告进行公示。供应商提供声明函内容不实的，属于提供虚假材料谋取中标、成交，依照《中华人民共和国政府采购法》等国家有关规定追究相应责任。</w:t>
      </w:r>
      <w:r/>
    </w:p>
    <w:p>
      <w:pPr>
        <w:jc w:val="center"/>
        <w:spacing w:line="480" w:lineRule="auto"/>
        <w:rPr>
          <w:rFonts w:ascii="宋体" w:hAnsi="宋体"/>
          <w:color w:val="auto"/>
          <w:sz w:val="24"/>
          <w:highlight w:val="none"/>
        </w:rPr>
      </w:pPr>
      <w:r>
        <w:rPr>
          <w:rFonts w:hint="eastAsia" w:ascii="宋体" w:hAnsi="宋体"/>
          <w:b/>
          <w:bCs/>
          <w:color w:val="auto"/>
          <w:highlight w:val="none"/>
        </w:rPr>
        <w:br w:type="column"/>
      </w:r>
      <w:r>
        <w:rPr>
          <w:rFonts w:hint="eastAsia" w:ascii="黑体" w:eastAsia="黑体"/>
          <w:bCs/>
          <w:color w:val="auto"/>
          <w:sz w:val="28"/>
          <w:szCs w:val="28"/>
          <w:highlight w:val="none"/>
        </w:rPr>
        <w:t xml:space="preserve">中小企业声明函</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 号）的规定，本公司（联合体）参加</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采购活动，工程的施工单位全部为符合政策要求的中小企业（或者：服务全部由符合政策要求的中小企业承接）。相关企业（含联合体中的中小企业、签订分包意向协议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的中小企业）的具体情况如下：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（招标文件中明确的所属行业）</w:t>
      </w:r>
      <w:r>
        <w:rPr>
          <w:rFonts w:hint="eastAsia" w:ascii="宋体" w:hAnsi="宋体"/>
          <w:color w:val="auto"/>
          <w:sz w:val="24"/>
          <w:highlight w:val="none"/>
        </w:rPr>
        <w:t xml:space="preserve">；承建（承接）企业为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 ，属于</w:t>
      </w:r>
      <w:r>
        <w:rPr>
          <w:rFonts w:hint="eastAsia" w:ascii="宋体" w:hAnsi="宋体"/>
          <w:color w:val="auto"/>
          <w:sz w:val="24"/>
          <w:highlight w:val="none"/>
          <w:u w:val="single"/>
        </w:rPr>
        <w:t xml:space="preserve">（招标文件中明确的所属行业）</w:t>
      </w:r>
      <w:r>
        <w:rPr>
          <w:rFonts w:hint="eastAsia" w:ascii="宋体" w:hAnsi="宋体"/>
          <w:color w:val="auto"/>
          <w:sz w:val="24"/>
          <w:highlight w:val="none"/>
        </w:rPr>
        <w:t xml:space="preserve">； 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 小型企业、微型企业）</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本企业对上述声明内容的真实性负责。如有虚假，将依 法承担相应责任。 </w:t>
      </w:r>
      <w:r/>
    </w:p>
    <w:p>
      <w:pPr>
        <w:ind w:firstLine="4800"/>
        <w:spacing w:line="360" w:lineRule="auto"/>
        <w:rPr>
          <w:rFonts w:ascii="宋体" w:hAnsi="宋体"/>
          <w:bCs/>
          <w:color w:val="auto"/>
          <w:sz w:val="24"/>
          <w:highlight w:val="none"/>
        </w:rPr>
      </w:pPr>
      <w:r>
        <w:rPr>
          <w:rFonts w:ascii="宋体" w:hAnsi="宋体"/>
          <w:bCs/>
          <w:color w:val="auto"/>
          <w:sz w:val="24"/>
          <w:highlight w:val="none"/>
        </w:rPr>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投标供应商（公章）：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color w:val="auto"/>
          <w:sz w:val="24"/>
          <w:highlight w:val="none"/>
        </w:rPr>
      </w:pPr>
      <w:r>
        <w:rPr>
          <w:rFonts w:ascii="宋体" w:hAnsi="宋体" w:cs="宋体"/>
          <w:b/>
          <w:bCs/>
          <w:color w:val="auto"/>
          <w:spacing w:val="-2"/>
          <w:sz w:val="24"/>
          <w:highlight w:val="none"/>
        </w:rPr>
        <w:t xml:space="preserve">注：</w:t>
      </w:r>
      <w:r>
        <w:rPr>
          <w:rFonts w:hint="eastAsia" w:ascii="宋体" w:hAnsi="宋体" w:cs="宋体"/>
          <w:color w:val="auto"/>
          <w:sz w:val="24"/>
          <w:highlight w:val="none"/>
        </w:rPr>
        <w:t xml:space="preserve">1.从业人员、营业收入、资产总额填报上一年度数据，无上一年度数据的新成立企业可不填报。</w:t>
      </w:r>
      <w:r/>
    </w:p>
    <w:p>
      <w:pPr>
        <w:pStyle w:val="689"/>
        <w:ind w:left="0" w:right="34" w:firstLine="480"/>
        <w:spacing w:line="360" w:lineRule="auto"/>
        <w:rPr>
          <w:rFonts w:ascii="宋体" w:hAnsi="宋体" w:cs="宋体"/>
          <w:color w:val="auto"/>
          <w:highlight w:val="none"/>
        </w:rPr>
      </w:pPr>
      <w:r>
        <w:rPr>
          <w:rFonts w:hint="eastAsia" w:ascii="宋体" w:hAnsi="宋体" w:cs="宋体"/>
          <w:color w:val="auto"/>
          <w:highlight w:val="none"/>
        </w:rPr>
        <w:t xml:space="preserve">2.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spacing w:line="580" w:lineRule="exact"/>
        <w:rPr>
          <w:rFonts w:ascii="宋体" w:hAnsi="宋体"/>
          <w:b/>
          <w:bCs/>
          <w:color w:val="auto"/>
          <w:sz w:val="24"/>
          <w:highlight w:val="none"/>
        </w:rPr>
      </w:pPr>
      <w:r>
        <w:rPr>
          <w:rFonts w:ascii="宋体" w:hAnsi="宋体"/>
          <w:b/>
          <w:bCs/>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jc w:val="left"/>
        <w:rPr>
          <w:rFonts w:ascii="黑体" w:hAnsi="宋体" w:eastAsia="黑体"/>
          <w:color w:val="auto"/>
          <w:sz w:val="24"/>
          <w:highlight w:val="none"/>
        </w:rPr>
        <w:outlineLvl w:val="0"/>
      </w:pPr>
      <w:r>
        <w:rPr>
          <w:rFonts w:ascii="黑体" w:hAnsi="宋体" w:eastAsia="黑体"/>
          <w:color w:val="auto"/>
          <w:sz w:val="24"/>
          <w:highlight w:val="none"/>
        </w:rPr>
      </w:r>
      <w:r/>
    </w:p>
    <w:p>
      <w:pPr>
        <w:jc w:val="left"/>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r/>
    </w:p>
    <w:p>
      <w:pPr>
        <w:jc w:val="left"/>
        <w:rPr>
          <w:rFonts w:ascii="黑体" w:hAnsi="宋体" w:eastAsia="黑体"/>
          <w:color w:val="auto"/>
          <w:sz w:val="24"/>
          <w:highlight w:val="none"/>
        </w:rPr>
        <w:outlineLvl w:val="0"/>
      </w:pPr>
      <w:r>
        <w:rPr>
          <w:rFonts w:hint="eastAsia" w:ascii="黑体" w:hAnsi="宋体" w:eastAsia="黑体"/>
          <w:bCs/>
          <w:color w:val="auto"/>
          <w:sz w:val="24"/>
          <w:szCs w:val="22"/>
          <w:highlight w:val="none"/>
        </w:rPr>
        <w:t xml:space="preserve">（七）残疾人福利性单位声明函（格式）</w:t>
      </w:r>
      <w:r/>
    </w:p>
    <w:p>
      <w:pPr>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auto"/>
          <w:sz w:val="24"/>
          <w:highlight w:val="none"/>
        </w:rPr>
        <w:outlineLvl w:val="0"/>
      </w:pPr>
      <w:r>
        <w:rPr>
          <w:rFonts w:hAnsi="宋体" w:cs="宋体"/>
          <w:color w:val="auto"/>
          <w:sz w:val="24"/>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本公司对上述声明的真实性负责。如有虚假，将依法承担相应责任。</w:t>
      </w:r>
      <w:r/>
    </w:p>
    <w:p>
      <w:pPr>
        <w:spacing w:line="440" w:lineRule="exact"/>
        <w:rPr>
          <w:rFonts w:hAnsi="宋体" w:cs="宋体"/>
          <w:color w:val="auto"/>
          <w:sz w:val="24"/>
          <w:highlight w:val="none"/>
        </w:rPr>
        <w:outlineLvl w:val="0"/>
      </w:pPr>
      <w:r>
        <w:rPr>
          <w:rFonts w:hAnsi="宋体" w:cs="宋体"/>
          <w:color w:val="auto"/>
          <w:sz w:val="24"/>
          <w:highlight w:val="none"/>
        </w:rPr>
      </w:r>
      <w:r/>
    </w:p>
    <w:p>
      <w:pPr>
        <w:spacing w:line="440" w:lineRule="exact"/>
        <w:rPr>
          <w:rFonts w:hAnsi="宋体" w:cs="宋体"/>
          <w:color w:val="auto"/>
          <w:sz w:val="24"/>
          <w:highlight w:val="none"/>
        </w:rPr>
        <w:outlineLvl w:val="0"/>
      </w:pPr>
      <w:r>
        <w:rPr>
          <w:rFonts w:hAnsi="宋体" w:cs="宋体"/>
          <w:color w:val="auto"/>
          <w:sz w:val="24"/>
          <w:highlight w:val="none"/>
        </w:rPr>
        <w:tab/>
      </w:r>
      <w:r/>
    </w:p>
    <w:p>
      <w:pPr>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企业名称（盖章）：</w:t>
      </w:r>
      <w:r/>
    </w:p>
    <w:p>
      <w:pPr>
        <w:jc w:val="right"/>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日　　　　　　期：</w:t>
      </w:r>
      <w:r/>
    </w:p>
    <w:p>
      <w:pPr>
        <w:jc w:val="center"/>
        <w:rPr>
          <w:rFonts w:hAnsi="宋体" w:cs="宋体"/>
          <w:b/>
          <w:bCs/>
          <w:color w:val="auto"/>
          <w:sz w:val="32"/>
          <w:szCs w:val="32"/>
          <w:highlight w:val="none"/>
        </w:rPr>
      </w:pPr>
      <w:r>
        <w:rPr>
          <w:rFonts w:hAnsi="宋体" w:cs="宋体"/>
          <w:b/>
          <w:bCs/>
          <w:color w:val="auto"/>
          <w:sz w:val="32"/>
          <w:szCs w:val="32"/>
          <w:highlight w:val="none"/>
        </w:rPr>
      </w:r>
      <w:r/>
    </w:p>
    <w:p>
      <w:pPr>
        <w:jc w:val="center"/>
        <w:rPr>
          <w:rFonts w:hAnsi="宋体" w:cs="宋体"/>
          <w:b/>
          <w:bCs/>
          <w:color w:val="auto"/>
          <w:sz w:val="32"/>
          <w:szCs w:val="32"/>
          <w:highlight w:val="none"/>
        </w:rPr>
      </w:pPr>
      <w:r>
        <w:rPr>
          <w:rFonts w:hAnsi="宋体" w:cs="宋体"/>
          <w:b/>
          <w:bCs/>
          <w:color w:val="auto"/>
          <w:sz w:val="32"/>
          <w:szCs w:val="32"/>
          <w:highlight w:val="none"/>
        </w:rPr>
      </w:r>
      <w:r/>
    </w:p>
    <w:p>
      <w:pPr>
        <w:jc w:val="center"/>
        <w:rPr>
          <w:rFonts w:hAnsi="宋体" w:cs="宋体"/>
          <w:b/>
          <w:bCs/>
          <w:color w:val="auto"/>
          <w:sz w:val="32"/>
          <w:szCs w:val="32"/>
          <w:highlight w:val="none"/>
        </w:rPr>
      </w:pPr>
      <w:r>
        <w:rPr>
          <w:rFonts w:hAnsi="宋体" w:cs="宋体"/>
          <w:b/>
          <w:bCs/>
          <w:color w:val="auto"/>
          <w:sz w:val="32"/>
          <w:szCs w:val="32"/>
          <w:highlight w:val="none"/>
        </w:rPr>
      </w:r>
      <w:r/>
    </w:p>
    <w:p>
      <w:pPr>
        <w:jc w:val="center"/>
        <w:rPr>
          <w:rFonts w:hAnsi="宋体" w:cs="宋体"/>
          <w:b/>
          <w:bCs/>
          <w:color w:val="auto"/>
          <w:sz w:val="32"/>
          <w:szCs w:val="32"/>
          <w:highlight w:val="none"/>
        </w:rPr>
      </w:pPr>
      <w:r>
        <w:rPr>
          <w:rFonts w:hAnsi="宋体" w:cs="宋体"/>
          <w:b/>
          <w:bCs/>
          <w:color w:val="auto"/>
          <w:sz w:val="32"/>
          <w:szCs w:val="32"/>
          <w:highlight w:val="none"/>
        </w:rPr>
      </w:r>
      <w:r/>
    </w:p>
    <w:p>
      <w:pPr>
        <w:jc w:val="center"/>
        <w:rPr>
          <w:rFonts w:hAnsi="宋体" w:cs="宋体"/>
          <w:b/>
          <w:bCs/>
          <w:color w:val="auto"/>
          <w:sz w:val="32"/>
          <w:szCs w:val="32"/>
          <w:highlight w:val="none"/>
        </w:rPr>
      </w:pPr>
      <w:r>
        <w:rPr>
          <w:rFonts w:hAnsi="宋体" w:cs="宋体"/>
          <w:b/>
          <w:bCs/>
          <w:color w:val="auto"/>
          <w:sz w:val="32"/>
          <w:szCs w:val="32"/>
          <w:highlight w:val="none"/>
        </w:rPr>
      </w:r>
      <w:r/>
    </w:p>
    <w:p>
      <w:pPr>
        <w:jc w:val="center"/>
        <w:rPr>
          <w:rFonts w:hAnsi="宋体" w:cs="宋体"/>
          <w:b/>
          <w:bCs/>
          <w:color w:val="auto"/>
          <w:sz w:val="32"/>
          <w:szCs w:val="32"/>
          <w:highlight w:val="none"/>
        </w:rPr>
      </w:pPr>
      <w:r>
        <w:rPr>
          <w:rFonts w:hAnsi="宋体" w:cs="宋体"/>
          <w:b/>
          <w:bCs/>
          <w:color w:val="auto"/>
          <w:sz w:val="32"/>
          <w:szCs w:val="32"/>
          <w:highlight w:val="none"/>
        </w:rPr>
      </w:r>
      <w:r/>
    </w:p>
    <w:p>
      <w:pPr>
        <w:jc w:val="center"/>
        <w:rPr>
          <w:rFonts w:hAnsi="宋体" w:cs="宋体"/>
          <w:b/>
          <w:bCs/>
          <w:color w:val="auto"/>
          <w:sz w:val="32"/>
          <w:szCs w:val="32"/>
          <w:highlight w:val="none"/>
        </w:rPr>
      </w:pPr>
      <w:r>
        <w:rPr>
          <w:rFonts w:hAnsi="宋体" w:cs="宋体"/>
          <w:b/>
          <w:bCs/>
          <w:color w:val="auto"/>
          <w:sz w:val="32"/>
          <w:szCs w:val="32"/>
          <w:highlight w:val="none"/>
        </w:rPr>
      </w:r>
      <w:r/>
    </w:p>
    <w:p>
      <w:pPr>
        <w:pStyle w:val="903"/>
        <w:rPr>
          <w:color w:val="auto"/>
          <w:highlight w:val="none"/>
        </w:rPr>
      </w:pPr>
      <w:r>
        <w:rPr>
          <w:color w:val="auto"/>
          <w:highlight w:val="none"/>
        </w:rPr>
      </w:r>
      <w:r/>
    </w:p>
    <w:p>
      <w:pPr>
        <w:pStyle w:val="903"/>
        <w:rPr>
          <w:color w:val="auto"/>
          <w:highlight w:val="none"/>
        </w:rPr>
      </w:pPr>
      <w:r>
        <w:rPr>
          <w:color w:val="auto"/>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jc w:val="left"/>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r/>
    </w:p>
    <w:p>
      <w:pPr>
        <w:jc w:val="left"/>
        <w:rPr>
          <w:rFonts w:ascii="黑体" w:hAnsi="宋体" w:eastAsia="黑体"/>
          <w:bCs/>
          <w:color w:val="auto"/>
          <w:sz w:val="24"/>
          <w:szCs w:val="22"/>
          <w:highlight w:val="none"/>
        </w:rPr>
        <w:outlineLvl w:val="0"/>
      </w:pPr>
      <w:r>
        <w:rPr>
          <w:rFonts w:hint="eastAsia" w:ascii="黑体" w:hAnsi="宋体" w:eastAsia="黑体"/>
          <w:bCs/>
          <w:color w:val="auto"/>
          <w:sz w:val="24"/>
          <w:szCs w:val="22"/>
          <w:highlight w:val="none"/>
        </w:rPr>
        <w:t xml:space="preserve">（八）投标偏离表（格式）</w:t>
      </w:r>
      <w:r/>
    </w:p>
    <w:p>
      <w:pPr>
        <w:jc w:val="center"/>
        <w:spacing w:line="400" w:lineRule="exact"/>
        <w:rPr>
          <w:rFonts w:ascii="宋体" w:hAnsi="宋体" w:cs="宋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政府采购编号：</w:t>
      </w:r>
      <w:r/>
    </w:p>
    <w:tbl>
      <w:tblPr>
        <w:tblStyle w:val="681"/>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r>
    </w:tbl>
    <w:p>
      <w:pP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spacing w:line="360" w:lineRule="auto"/>
        <w:rPr>
          <w:rFonts w:ascii="宋体"/>
          <w:b/>
          <w:bCs/>
          <w:color w:val="auto"/>
          <w:sz w:val="24"/>
          <w:highlight w:val="none"/>
        </w:rPr>
      </w:pPr>
      <w:r>
        <w:rPr>
          <w:rFonts w:ascii="宋体"/>
          <w:b/>
          <w:bCs/>
          <w:color w:val="auto"/>
          <w:sz w:val="24"/>
          <w:highlight w:val="none"/>
        </w:rPr>
      </w:r>
      <w:r/>
    </w:p>
    <w:p>
      <w:pPr>
        <w:spacing w:line="360" w:lineRule="auto"/>
        <w:rPr>
          <w:rFonts w:ascii="宋体"/>
          <w:b/>
          <w:bCs/>
          <w:color w:val="auto"/>
          <w:sz w:val="24"/>
          <w:highlight w:val="none"/>
        </w:rPr>
      </w:pPr>
      <w:r>
        <w:rPr>
          <w:rFonts w:ascii="宋体"/>
          <w:b/>
          <w:bCs/>
          <w:color w:val="auto"/>
          <w:sz w:val="24"/>
          <w:highlight w:val="none"/>
        </w:rPr>
      </w:r>
      <w:r/>
    </w:p>
    <w:p>
      <w:pPr>
        <w:spacing w:line="360" w:lineRule="auto"/>
        <w:rPr>
          <w:rFonts w:ascii="宋体" w:hAnsi="宋体" w:cs="宋体"/>
          <w:bCs/>
          <w:color w:val="auto"/>
          <w:sz w:val="30"/>
          <w:highlight w:val="none"/>
        </w:rPr>
      </w:pPr>
      <w:r>
        <w:rPr>
          <w:rFonts w:hint="eastAsia" w:ascii="宋体"/>
          <w:b/>
          <w:bCs/>
          <w:color w:val="auto"/>
          <w:sz w:val="24"/>
          <w:highlight w:val="none"/>
        </w:rPr>
        <w:t xml:space="preserve">注：</w:t>
      </w:r>
      <w:r/>
    </w:p>
    <w:p>
      <w:pPr>
        <w:spacing w:line="360" w:lineRule="auto"/>
        <w:rPr>
          <w:rFonts w:ascii="宋体"/>
          <w:color w:val="auto"/>
          <w:sz w:val="24"/>
          <w:highlight w:val="none"/>
        </w:rPr>
      </w:pPr>
      <w:r>
        <w:rPr>
          <w:rFonts w:hint="eastAsia" w:ascii="宋体"/>
          <w:color w:val="auto"/>
          <w:sz w:val="24"/>
          <w:highlight w:val="none"/>
        </w:rPr>
        <w:t xml:space="preserve">（1）本表不得删除；</w:t>
      </w:r>
      <w:r/>
    </w:p>
    <w:p>
      <w:pPr>
        <w:spacing w:line="360" w:lineRule="auto"/>
        <w:rPr>
          <w:rFonts w:ascii="宋体"/>
          <w:color w:val="auto"/>
          <w:sz w:val="24"/>
          <w:highlight w:val="none"/>
        </w:rPr>
      </w:pPr>
      <w:r>
        <w:rPr>
          <w:rFonts w:hint="eastAsia" w:ascii="宋体"/>
          <w:color w:val="auto"/>
          <w:sz w:val="24"/>
          <w:highlight w:val="none"/>
        </w:rPr>
        <w:t xml:space="preserve">（2）投标供应商应根据招标文件要求认真填写，如无任何技术偏离，在“偏离说明”中注明“无偏离”；</w:t>
      </w:r>
      <w:r/>
    </w:p>
    <w:p>
      <w:pPr>
        <w:spacing w:line="360" w:lineRule="auto"/>
        <w:rPr>
          <w:rFonts w:ascii="宋体"/>
          <w:color w:val="auto"/>
          <w:sz w:val="24"/>
          <w:highlight w:val="none"/>
        </w:rPr>
      </w:pPr>
      <w:r>
        <w:rPr>
          <w:rFonts w:hint="eastAsia" w:ascii="宋体"/>
          <w:color w:val="auto"/>
          <w:sz w:val="24"/>
          <w:highlight w:val="none"/>
        </w:rPr>
        <w:t xml:space="preserve">（3）如有技术偏离项，请于本表中列明偏离内容，如需要可自行延长，其余无偏离内容不须赘述；</w:t>
      </w:r>
      <w:r/>
    </w:p>
    <w:p>
      <w:pPr>
        <w:spacing w:line="360" w:lineRule="auto"/>
        <w:rPr>
          <w:rFonts w:ascii="宋体" w:hAnsi="宋体"/>
          <w:b/>
          <w:color w:val="auto"/>
          <w:sz w:val="24"/>
          <w:highlight w:val="none"/>
        </w:rPr>
        <w:outlineLvl w:val="0"/>
      </w:pPr>
      <w:r>
        <w:rPr>
          <w:rFonts w:hint="eastAsia" w:ascii="宋体" w:hAnsi="宋体"/>
          <w:b/>
          <w:color w:val="auto"/>
          <w:sz w:val="24"/>
          <w:highlight w:val="none"/>
        </w:rPr>
        <w:t xml:space="preserve">（4）招标文件“第三部分．采购需求”中要求提供相关证明材料的需提供相应材料，若未按要求或无证明材料或材料无法有效确认的，视为负偏离。</w:t>
      </w:r>
      <w:r/>
    </w:p>
    <w:p>
      <w:pPr>
        <w:pStyle w:val="903"/>
        <w:rPr>
          <w:color w:val="auto"/>
          <w:highlight w:val="none"/>
        </w:rPr>
      </w:pPr>
      <w:r>
        <w:rPr>
          <w:color w:val="auto"/>
          <w:highlight w:val="none"/>
        </w:rPr>
      </w:r>
      <w:r/>
    </w:p>
    <w:p>
      <w:pPr>
        <w:pStyle w:val="903"/>
        <w:rPr>
          <w:color w:val="auto"/>
          <w:highlight w:val="none"/>
        </w:rPr>
      </w:pPr>
      <w:r>
        <w:rPr>
          <w:color w:val="auto"/>
          <w:highlight w:val="none"/>
        </w:rPr>
      </w:r>
      <w:r/>
    </w:p>
    <w:p>
      <w:pPr>
        <w:pStyle w:val="903"/>
        <w:rPr>
          <w:color w:val="auto"/>
          <w:highlight w:val="none"/>
        </w:rPr>
      </w:pPr>
      <w:r>
        <w:rPr>
          <w:color w:val="auto"/>
          <w:highlight w:val="none"/>
        </w:rPr>
      </w:r>
      <w:r/>
    </w:p>
    <w:p>
      <w:pPr>
        <w:pStyle w:val="903"/>
        <w:rPr>
          <w:color w:val="auto"/>
          <w:highlight w:val="none"/>
        </w:rPr>
      </w:pPr>
      <w:r>
        <w:rPr>
          <w:color w:val="auto"/>
          <w:highlight w:val="none"/>
        </w:rPr>
      </w:r>
      <w:r/>
    </w:p>
    <w:p>
      <w:pPr>
        <w:pStyle w:val="903"/>
        <w:rPr>
          <w:color w:val="auto"/>
          <w:highlight w:val="none"/>
        </w:rPr>
      </w:pPr>
      <w:r>
        <w:rPr>
          <w:color w:val="auto"/>
          <w:highlight w:val="none"/>
        </w:rPr>
      </w:r>
      <w:r/>
    </w:p>
    <w:p>
      <w:pPr>
        <w:spacing w:line="400" w:lineRule="exact"/>
        <w:rPr>
          <w:rFonts w:ascii="宋体" w:hAnsi="宋体" w:cs="宋体"/>
          <w:bCs/>
          <w:color w:val="auto"/>
          <w:sz w:val="24"/>
          <w:highlight w:val="none"/>
        </w:rPr>
      </w:pPr>
      <w:r>
        <w:rPr>
          <w:rFonts w:ascii="宋体" w:hAnsi="宋体" w:cs="宋体"/>
          <w:bCs/>
          <w:color w:val="auto"/>
          <w:sz w:val="24"/>
          <w:highlight w:val="none"/>
        </w:rPr>
      </w:r>
      <w:r/>
    </w:p>
    <w:p>
      <w:pPr>
        <w:pStyle w:val="682"/>
        <w:rPr>
          <w:color w:val="auto"/>
          <w:highlight w:val="none"/>
        </w:rPr>
      </w:pPr>
      <w:r>
        <w:rPr>
          <w:color w:val="auto"/>
          <w:highlight w:val="none"/>
        </w:rPr>
      </w:r>
      <w:r/>
    </w:p>
    <w:p>
      <w:pPr>
        <w:rPr>
          <w:rFonts w:ascii="黑体" w:hAnsi="宋体" w:eastAsia="黑体"/>
          <w:color w:val="auto"/>
          <w:sz w:val="24"/>
          <w:highlight w:val="none"/>
        </w:rPr>
        <w:outlineLvl w:val="0"/>
      </w:pPr>
      <w:r>
        <w:rPr>
          <w:rFonts w:hint="eastAsia" w:ascii="黑体" w:hAnsi="宋体" w:eastAsia="黑体"/>
          <w:bCs/>
          <w:color w:val="auto"/>
          <w:sz w:val="24"/>
          <w:highlight w:val="none"/>
        </w:rPr>
        <w:t xml:space="preserve">（九）开标一览表（格式）</w:t>
      </w:r>
      <w:r/>
    </w:p>
    <w:p>
      <w:pPr>
        <w:ind w:firstLine="480"/>
        <w:spacing w:line="400" w:lineRule="exact"/>
        <w:rPr>
          <w:color w:val="auto"/>
          <w:sz w:val="24"/>
          <w:highlight w:val="none"/>
        </w:rPr>
      </w:pPr>
      <w:r>
        <w:rPr>
          <w:color w:val="auto"/>
          <w:sz w:val="24"/>
          <w:highlight w:val="none"/>
        </w:rPr>
      </w:r>
      <w:r/>
    </w:p>
    <w:p>
      <w:pPr>
        <w:jc w:val="center"/>
        <w:rPr>
          <w:rFonts w:hAnsi="宋体" w:eastAsia="黑体" w:cs="宋体"/>
          <w:bCs/>
          <w:color w:val="auto"/>
          <w:sz w:val="30"/>
          <w:szCs w:val="30"/>
          <w:highlight w:val="none"/>
        </w:rPr>
        <w:outlineLvl w:val="0"/>
      </w:pPr>
      <w:r>
        <w:rPr>
          <w:rFonts w:hint="eastAsia" w:ascii="黑体" w:eastAsia="黑体"/>
          <w:bCs/>
          <w:color w:val="auto"/>
          <w:sz w:val="36"/>
          <w:szCs w:val="36"/>
          <w:highlight w:val="none"/>
        </w:rPr>
        <w:t xml:space="preserve">开标一览表</w:t>
      </w:r>
      <w:r/>
    </w:p>
    <w:p>
      <w:pPr>
        <w:rPr>
          <w:rFonts w:hAnsi="宋体" w:cs="宋体"/>
          <w:bCs/>
          <w:color w:val="auto"/>
          <w:sz w:val="30"/>
          <w:szCs w:val="30"/>
          <w:highlight w:val="none"/>
        </w:rPr>
        <w:outlineLvl w:val="0"/>
      </w:pPr>
      <w:r>
        <w:rPr>
          <w:rFonts w:hAnsi="宋体" w:cs="宋体"/>
          <w:bCs/>
          <w:color w:val="auto"/>
          <w:sz w:val="30"/>
          <w:szCs w:val="30"/>
          <w:highlight w:val="none"/>
        </w:rPr>
      </w:r>
      <w:r/>
    </w:p>
    <w:p>
      <w:pPr>
        <w:spacing w:line="300" w:lineRule="auto"/>
        <w:rPr>
          <w:rFonts w:hAnsi="宋体" w:cs="宋体"/>
          <w:bCs/>
          <w:color w:val="auto"/>
          <w:sz w:val="24"/>
          <w:highlight w:val="none"/>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 xml:space="preserve">编号：</w:t>
      </w:r>
      <w:r/>
    </w:p>
    <w:tbl>
      <w:tblPr>
        <w:tblStyle w:val="68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18"/>
        <w:gridCol w:w="4167"/>
      </w:tblGrid>
      <w:tr>
        <w:trPr>
          <w:cantSplit/>
          <w:trHeight w:val="567"/>
        </w:trPr>
        <w:tc>
          <w:tcPr>
            <w:tcW w:w="4718" w:type="dxa"/>
            <w:vAlign w:val="center"/>
            <w:textDirection w:val="lrTb"/>
            <w:noWrap/>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项目名称</w:t>
            </w:r>
            <w:r/>
          </w:p>
        </w:tc>
        <w:tc>
          <w:tcPr>
            <w:tcW w:w="4167" w:type="dxa"/>
            <w:vAlign w:val="center"/>
            <w:textDirection w:val="lrTb"/>
            <w:noWrap/>
          </w:tcPr>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投标优惠率</w:t>
            </w:r>
            <w:r/>
          </w:p>
        </w:tc>
      </w:tr>
      <w:tr>
        <w:trPr>
          <w:cantSplit/>
          <w:trHeight w:val="902"/>
        </w:trPr>
        <w:tc>
          <w:tcPr>
            <w:tcW w:w="4718" w:type="dxa"/>
            <w:vAlign w:val="center"/>
            <w:textDirection w:val="lrTb"/>
            <w:noWrap/>
          </w:tcPr>
          <w:p>
            <w:pPr>
              <w:pStyle w:val="1171"/>
              <w:jc w:val="center"/>
              <w:spacing w:line="360" w:lineRule="auto"/>
              <w:rPr>
                <w:rFonts w:hAnsi="宋体" w:cs="宋体"/>
                <w:color w:val="auto"/>
                <w:szCs w:val="24"/>
                <w:highlight w:val="none"/>
              </w:rPr>
            </w:pPr>
            <w:r>
              <w:rPr>
                <w:rFonts w:hint="eastAsia" w:hAnsi="宋体" w:cs="宋体"/>
                <w:color w:val="auto"/>
                <w:szCs w:val="24"/>
                <w:highlight w:val="none"/>
              </w:rPr>
              <w:t xml:space="preserve">中药饮片</w:t>
            </w:r>
            <w:r/>
          </w:p>
        </w:tc>
        <w:tc>
          <w:tcPr>
            <w:tcW w:w="4167" w:type="dxa"/>
            <w:vAlign w:val="center"/>
            <w:textDirection w:val="lrTb"/>
            <w:noWrap/>
          </w:tcPr>
          <w:p>
            <w:pPr>
              <w:pStyle w:val="1171"/>
              <w:jc w:val="center"/>
              <w:spacing w:line="360" w:lineRule="auto"/>
              <w:rPr>
                <w:rFonts w:hAnsi="宋体" w:cs="宋体"/>
                <w:color w:val="auto"/>
                <w:szCs w:val="24"/>
                <w:highlight w:val="none"/>
              </w:rPr>
            </w:pPr>
            <w:r>
              <w:rPr>
                <w:rFonts w:hint="eastAsia" w:hAnsi="宋体" w:cs="宋体"/>
                <w:color w:val="auto"/>
                <w:szCs w:val="24"/>
                <w:highlight w:val="none"/>
              </w:rPr>
              <w:t xml:space="preserve">%</w:t>
            </w:r>
            <w:r/>
          </w:p>
        </w:tc>
      </w:tr>
      <w:tr>
        <w:trPr>
          <w:cantSplit/>
          <w:trHeight w:val="902"/>
        </w:trPr>
        <w:tc>
          <w:tcPr>
            <w:tcW w:w="4718" w:type="dxa"/>
            <w:vAlign w:val="center"/>
            <w:textDirection w:val="lrTb"/>
            <w:noWrap/>
          </w:tcPr>
          <w:p>
            <w:pPr>
              <w:pStyle w:val="1171"/>
              <w:jc w:val="center"/>
              <w:spacing w:line="360" w:lineRule="auto"/>
              <w:rPr>
                <w:rFonts w:hAnsi="宋体" w:cs="宋体"/>
                <w:color w:val="auto"/>
                <w:szCs w:val="24"/>
                <w:highlight w:val="none"/>
              </w:rPr>
            </w:pPr>
            <w:r>
              <w:rPr>
                <w:rFonts w:hint="eastAsia" w:hAnsi="宋体" w:cs="宋体"/>
                <w:color w:val="auto"/>
                <w:szCs w:val="24"/>
                <w:highlight w:val="none"/>
              </w:rPr>
              <w:t xml:space="preserve">代加工服务</w:t>
            </w:r>
            <w:r/>
          </w:p>
        </w:tc>
        <w:tc>
          <w:tcPr>
            <w:tcW w:w="4167" w:type="dxa"/>
            <w:vAlign w:val="center"/>
            <w:textDirection w:val="lrTb"/>
            <w:noWrap/>
          </w:tcPr>
          <w:p>
            <w:pPr>
              <w:pStyle w:val="1171"/>
              <w:jc w:val="center"/>
              <w:spacing w:line="360" w:lineRule="auto"/>
              <w:rPr>
                <w:rFonts w:hAnsi="宋体" w:cs="宋体"/>
                <w:color w:val="auto"/>
                <w:szCs w:val="24"/>
                <w:highlight w:val="none"/>
              </w:rPr>
            </w:pPr>
            <w:r>
              <w:rPr>
                <w:rFonts w:hint="eastAsia" w:hAnsi="宋体" w:cs="宋体"/>
                <w:color w:val="auto"/>
                <w:szCs w:val="24"/>
                <w:highlight w:val="none"/>
              </w:rPr>
              <w:t xml:space="preserve">%</w:t>
            </w:r>
            <w:r/>
          </w:p>
        </w:tc>
      </w:tr>
    </w:tbl>
    <w:p>
      <w:pPr>
        <w:spacing w:line="360" w:lineRule="auto"/>
        <w:rPr>
          <w:rFonts w:hAnsi="宋体"/>
          <w:color w:val="auto"/>
          <w:sz w:val="24"/>
          <w:highlight w:val="none"/>
        </w:rPr>
      </w:pPr>
      <w:r>
        <w:rPr>
          <w:rFonts w:hAnsi="宋体"/>
          <w:color w:val="auto"/>
          <w:sz w:val="24"/>
          <w:highlight w:val="none"/>
        </w:rPr>
      </w:r>
      <w:r/>
    </w:p>
    <w:p>
      <w:pPr>
        <w:pStyle w:val="714"/>
        <w:rPr>
          <w:color w:val="auto"/>
          <w:highlight w:val="none"/>
        </w:rPr>
      </w:pPr>
      <w:r>
        <w:rPr>
          <w:color w:val="auto"/>
          <w:highlight w:val="none"/>
        </w:rPr>
      </w:r>
      <w:r/>
    </w:p>
    <w:p>
      <w:pPr>
        <w:pStyle w:val="910"/>
        <w:rPr>
          <w:color w:val="auto"/>
          <w:highlight w:val="none"/>
        </w:rPr>
      </w:pPr>
      <w:r>
        <w:rPr>
          <w:color w:val="auto"/>
          <w:highlight w:val="none"/>
        </w:rPr>
      </w:r>
      <w:r/>
    </w:p>
    <w:p>
      <w:pPr>
        <w:spacing w:line="360" w:lineRule="auto"/>
        <w:rPr>
          <w:rFonts w:hAnsi="宋体"/>
          <w:color w:val="auto"/>
          <w:sz w:val="24"/>
          <w:highlight w:val="none"/>
        </w:rPr>
      </w:pPr>
      <w:r>
        <w:rPr>
          <w:rFonts w:hint="eastAsia" w:hAnsi="宋体"/>
          <w:color w:val="auto"/>
          <w:sz w:val="24"/>
          <w:highlight w:val="none"/>
        </w:rPr>
        <w:t xml:space="preserve">法定代表人或授权代表签字：                            日期：   年   月   日</w:t>
      </w:r>
      <w:r/>
    </w:p>
    <w:p>
      <w:pPr>
        <w:spacing w:line="360" w:lineRule="auto"/>
        <w:rPr>
          <w:rFonts w:hAnsi="宋体"/>
          <w:color w:val="auto"/>
          <w:sz w:val="24"/>
          <w:highlight w:val="none"/>
        </w:rPr>
      </w:pPr>
      <w:r>
        <w:rPr>
          <w:rFonts w:hAnsi="宋体"/>
          <w:color w:val="auto"/>
          <w:sz w:val="24"/>
          <w:highlight w:val="none"/>
        </w:rPr>
      </w:r>
      <w:r/>
    </w:p>
    <w:p>
      <w:pPr>
        <w:pStyle w:val="685"/>
        <w:rPr>
          <w:rFonts w:hAnsi="宋体"/>
          <w:b/>
          <w:bCs/>
          <w:color w:val="auto"/>
          <w:sz w:val="24"/>
          <w:highlight w:val="none"/>
        </w:rPr>
      </w:pPr>
      <w:r>
        <w:rPr>
          <w:rFonts w:hint="eastAsia" w:hAnsi="宋体"/>
          <w:b/>
          <w:bCs/>
          <w:color w:val="auto"/>
          <w:sz w:val="24"/>
          <w:highlight w:val="none"/>
        </w:rPr>
        <w:t xml:space="preserve">填写说明：</w:t>
      </w:r>
      <w:r/>
    </w:p>
    <w:p>
      <w:pPr>
        <w:pStyle w:val="685"/>
        <w:numPr>
          <w:ilvl w:val="0"/>
          <w:numId w:val="14"/>
        </w:numPr>
        <w:rPr>
          <w:rFonts w:hAnsi="宋体"/>
          <w:b/>
          <w:bCs/>
          <w:color w:val="auto"/>
          <w:sz w:val="24"/>
          <w:highlight w:val="none"/>
        </w:rPr>
      </w:pPr>
      <w:r>
        <w:rPr>
          <w:rFonts w:hint="eastAsia" w:hAnsi="宋体"/>
          <w:b/>
          <w:bCs/>
          <w:color w:val="auto"/>
          <w:sz w:val="24"/>
          <w:highlight w:val="none"/>
        </w:rPr>
        <w:t xml:space="preserve">实际结算价=最高限价*（1-优惠率）</w:t>
      </w:r>
      <w:r/>
    </w:p>
    <w:p>
      <w:pPr>
        <w:pStyle w:val="685"/>
        <w:numPr>
          <w:ilvl w:val="0"/>
          <w:numId w:val="14"/>
        </w:numPr>
        <w:rPr>
          <w:rFonts w:hAnsi="宋体"/>
          <w:b/>
          <w:bCs/>
          <w:color w:val="auto"/>
          <w:sz w:val="24"/>
          <w:highlight w:val="none"/>
        </w:rPr>
      </w:pPr>
      <w:r>
        <w:rPr>
          <w:rFonts w:hint="eastAsia" w:hAnsi="宋体"/>
          <w:b/>
          <w:bCs/>
          <w:color w:val="auto"/>
          <w:sz w:val="24"/>
          <w:highlight w:val="none"/>
        </w:rPr>
        <w:t xml:space="preserve">投标时系统中，如仅允许填写一个数据，请按照“评标优惠率=中药饮片的优惠率×0.8+代加工服务的优惠率×0.2”计算后，将评标优惠率填入系统。评标优惠率仅用于计算报价分，如中标，按照本表填报的分项投标优惠率执行。</w:t>
      </w:r>
      <w:r/>
    </w:p>
    <w:p>
      <w:pPr>
        <w:pStyle w:val="714"/>
        <w:rPr>
          <w:color w:val="auto"/>
          <w:highlight w:val="none"/>
        </w:rPr>
      </w:pPr>
      <w:r>
        <w:rPr>
          <w:color w:val="auto"/>
          <w:highlight w:val="none"/>
        </w:rPr>
      </w:r>
      <w:r/>
    </w:p>
    <w:sectPr>
      <w:footerReference w:type="default" r:id="rId10"/>
      <w:footnotePr/>
      <w:endnotePr/>
      <w:type w:val="nextPage"/>
      <w:pgSz w:w="11906" w:h="16838" w:orient="portrait"/>
      <w:pgMar w:top="1440" w:right="1440" w:bottom="1440" w:left="12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MS Sans Serif">
    <w:panose1 w:val="020B0503020202020204"/>
  </w:font>
  <w:font w:name="文鼎CS中宋">
    <w:panose1 w:val="020B0503020202020204"/>
  </w:font>
  <w:font w:name="Tahoma">
    <w:panose1 w:val="020B0604030504040204"/>
  </w:font>
  <w:font w:name="Segoe UI">
    <w:panose1 w:val="020B0502040204020203"/>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微软雅黑">
    <w:panose1 w:val="020B0503020204020204"/>
  </w:font>
  <w:font w:name="Calibri">
    <w:panose1 w:val="020F0502020204030204"/>
  </w:font>
  <w:font w:name="DFKai-SB">
    <w:panose1 w:val="03050502040202030202"/>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5"/>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7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0"/>
      <w:numFmt w:val="decimal"/>
      <w:pStyle w:val="1121"/>
      <w:isLgl w:val="false"/>
      <w:suff w:val="tab"/>
      <w:lvlText w:val=""/>
      <w:lvlJc w:val="left"/>
      <w:pPr>
        <w:tabs>
          <w:tab w:val="left" w:pos="360" w:leader="none"/>
        </w:tabs>
      </w:pPr>
    </w:lvl>
    <w:lvl w:ilvl="1">
      <w:start w:val="1"/>
      <w:numFmt w:val="bullet"/>
      <w:pStyle w:val="113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840" w:hanging="420"/>
      </w:pPr>
      <w:rPr>
        <w:rFonts w:hint="eastAsia"/>
      </w:rPr>
    </w:lvl>
    <w:lvl w:ilvl="1">
      <w:start w:val="1"/>
      <w:numFmt w:val="lowerLetter"/>
      <w:isLgl w:val="false"/>
      <w:suff w:val="tab"/>
      <w:lvlText w:val="%2)"/>
      <w:lvlJc w:val="left"/>
      <w:pPr>
        <w:ind w:left="1110" w:hanging="420"/>
        <w:tabs>
          <w:tab w:val="left" w:pos="840" w:leader="none"/>
        </w:tabs>
      </w:pPr>
    </w:lvl>
    <w:lvl w:ilvl="2">
      <w:start w:val="1"/>
      <w:numFmt w:val="lowerRoman"/>
      <w:isLgl w:val="false"/>
      <w:suff w:val="tab"/>
      <w:lvlText w:val="%3."/>
      <w:lvlJc w:val="right"/>
      <w:pPr>
        <w:ind w:left="1530" w:hanging="420"/>
        <w:tabs>
          <w:tab w:val="left" w:pos="1260" w:leader="none"/>
        </w:tabs>
      </w:pPr>
    </w:lvl>
    <w:lvl w:ilvl="3">
      <w:start w:val="1"/>
      <w:numFmt w:val="decimal"/>
      <w:isLgl w:val="false"/>
      <w:suff w:val="tab"/>
      <w:lvlText w:val="%4."/>
      <w:lvlJc w:val="left"/>
      <w:pPr>
        <w:ind w:left="1950" w:hanging="420"/>
        <w:tabs>
          <w:tab w:val="left" w:pos="1680" w:leader="none"/>
        </w:tabs>
      </w:pPr>
    </w:lvl>
    <w:lvl w:ilvl="4">
      <w:start w:val="1"/>
      <w:numFmt w:val="lowerLetter"/>
      <w:isLgl w:val="false"/>
      <w:suff w:val="tab"/>
      <w:lvlText w:val="%5)"/>
      <w:lvlJc w:val="left"/>
      <w:pPr>
        <w:ind w:left="2370" w:hanging="420"/>
        <w:tabs>
          <w:tab w:val="left" w:pos="2100" w:leader="none"/>
        </w:tabs>
      </w:pPr>
    </w:lvl>
    <w:lvl w:ilvl="5">
      <w:start w:val="1"/>
      <w:numFmt w:val="lowerRoman"/>
      <w:isLgl w:val="false"/>
      <w:suff w:val="tab"/>
      <w:lvlText w:val="%6."/>
      <w:lvlJc w:val="right"/>
      <w:pPr>
        <w:ind w:left="2790" w:hanging="420"/>
        <w:tabs>
          <w:tab w:val="left" w:pos="2520" w:leader="none"/>
        </w:tabs>
      </w:pPr>
    </w:lvl>
    <w:lvl w:ilvl="6">
      <w:start w:val="1"/>
      <w:numFmt w:val="decimal"/>
      <w:isLgl w:val="false"/>
      <w:suff w:val="tab"/>
      <w:lvlText w:val="%7."/>
      <w:lvlJc w:val="left"/>
      <w:pPr>
        <w:ind w:left="3210" w:hanging="420"/>
        <w:tabs>
          <w:tab w:val="left" w:pos="2940" w:leader="none"/>
        </w:tabs>
      </w:pPr>
    </w:lvl>
    <w:lvl w:ilvl="7">
      <w:start w:val="1"/>
      <w:numFmt w:val="lowerLetter"/>
      <w:isLgl w:val="false"/>
      <w:suff w:val="tab"/>
      <w:lvlText w:val="%8)"/>
      <w:lvlJc w:val="left"/>
      <w:pPr>
        <w:ind w:left="3630" w:hanging="420"/>
        <w:tabs>
          <w:tab w:val="left" w:pos="3360" w:leader="none"/>
        </w:tabs>
      </w:pPr>
    </w:lvl>
    <w:lvl w:ilvl="8">
      <w:start w:val="1"/>
      <w:numFmt w:val="lowerRoman"/>
      <w:isLgl w:val="false"/>
      <w:suff w:val="tab"/>
      <w:lvlText w:val="%9."/>
      <w:lvlJc w:val="right"/>
      <w:pPr>
        <w:ind w:left="4050" w:hanging="420"/>
        <w:tabs>
          <w:tab w:val="left" w:pos="3780" w:leader="none"/>
        </w:tabs>
      </w:pPr>
    </w:lvl>
  </w:abstractNum>
  <w:abstractNum w:abstractNumId="4">
    <w:multiLevelType w:val="hybridMultilevel"/>
    <w:lvl w:ilvl="0">
      <w:start w:val="1"/>
      <w:numFmt w:val="chineseCountingThousand"/>
      <w:pStyle w:val="866"/>
      <w:isLgl w:val="false"/>
      <w:suff w:val="tab"/>
      <w:lvlText w:val="第%1部分"/>
      <w:lvlJc w:val="left"/>
      <w:pPr>
        <w:ind w:left="425" w:hanging="425"/>
        <w:tabs>
          <w:tab w:val="left" w:pos="1800" w:leader="none"/>
        </w:tabs>
      </w:pPr>
      <w:rPr>
        <w:rFonts w:hint="eastAsia"/>
      </w:rPr>
    </w:lvl>
    <w:lvl w:ilvl="1">
      <w:start w:val="1"/>
      <w:numFmt w:val="decimal"/>
      <w:pStyle w:val="867"/>
      <w:isLgl w:val="false"/>
      <w:suff w:val="tab"/>
      <w:lvlText w:val="%1.%2"/>
      <w:lvlJc w:val="left"/>
      <w:pPr>
        <w:ind w:left="567" w:hanging="567"/>
        <w:tabs>
          <w:tab w:val="left" w:pos="567" w:leader="none"/>
        </w:tabs>
      </w:pPr>
      <w:rPr>
        <w:rFonts w:hint="eastAsia"/>
      </w:rPr>
    </w:lvl>
    <w:lvl w:ilvl="2">
      <w:start w:val="1"/>
      <w:numFmt w:val="decimal"/>
      <w:pStyle w:val="1089"/>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718"/>
      <w:isLgl w:val="false"/>
      <w:suff w:val="tab"/>
      <w:lvlText w:val="%1.%2.%3.%4.%5"/>
      <w:lvlJc w:val="left"/>
      <w:pPr>
        <w:ind w:left="992" w:hanging="992"/>
        <w:tabs>
          <w:tab w:val="left" w:pos="1080" w:leader="none"/>
        </w:tabs>
      </w:pPr>
      <w:rPr>
        <w:rFonts w:hint="eastAsia"/>
      </w:rPr>
    </w:lvl>
    <w:lvl w:ilvl="5">
      <w:start w:val="1"/>
      <w:numFmt w:val="decimal"/>
      <w:pStyle w:val="86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700"/>
      <w:isLgl w:val="false"/>
      <w:suff w:val="tab"/>
      <w:lvlText w:val="%1."/>
      <w:lvlJc w:val="left"/>
      <w:pPr>
        <w:ind w:left="900" w:hanging="420"/>
        <w:tabs>
          <w:tab w:val="left" w:pos="900" w:leader="none"/>
        </w:tabs>
      </w:pPr>
      <w:rPr>
        <w:rFonts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6">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vanish w:val="0"/>
        <w:color w:val="auto"/>
        <w:spacing w:val="0"/>
        <w:position w:val="0"/>
        <w:sz w:val="44"/>
        <w:u w:val="none"/>
        <w:vertAlign w:val="baseline"/>
      </w:rPr>
    </w:lvl>
    <w:lvl w:ilvl="1">
      <w:start w:val="1"/>
      <w:numFmt w:val="decimal"/>
      <w:pStyle w:val="1176"/>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070"/>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1"/>
  </w:num>
  <w:num w:numId="5">
    <w:abstractNumId w:val="0"/>
  </w:num>
  <w:num w:numId="6">
    <w:abstractNumId w:val="6"/>
  </w:num>
  <w:num w:numId="7">
    <w:abstractNumId w:val="11"/>
  </w:num>
  <w:num w:numId="8">
    <w:abstractNumId w:val="9"/>
  </w:num>
  <w:num w:numId="9">
    <w:abstractNumId w:val="3"/>
  </w:num>
  <w:num w:numId="10">
    <w:abstractNumId w:val="7"/>
  </w:num>
  <w:num w:numId="11">
    <w:abstractNumId w:val="12"/>
  </w:num>
  <w:num w:numId="12">
    <w:abstractNumId w:val="8"/>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707"/>
    <w:uiPriority w:val="10"/>
    <w:rPr>
      <w:sz w:val="48"/>
      <w:szCs w:val="48"/>
    </w:rPr>
  </w:style>
  <w:style w:type="character" w:styleId="36">
    <w:name w:val="Subtitle Char"/>
    <w:basedOn w:val="680"/>
    <w:link w:val="699"/>
    <w:uiPriority w:val="11"/>
    <w:rPr>
      <w:sz w:val="24"/>
      <w:szCs w:val="24"/>
    </w:rPr>
  </w:style>
  <w:style w:type="character" w:styleId="38">
    <w:name w:val="Quote Char"/>
    <w:link w:val="731"/>
    <w:uiPriority w:val="29"/>
    <w:rPr>
      <w:i/>
    </w:rPr>
  </w:style>
  <w:style w:type="character" w:styleId="40">
    <w:name w:val="Intense Quote Char"/>
    <w:link w:val="733"/>
    <w:uiPriority w:val="30"/>
    <w:rPr>
      <w:i/>
    </w:rPr>
  </w:style>
  <w:style w:type="character" w:styleId="42">
    <w:name w:val="Header Char"/>
    <w:basedOn w:val="680"/>
    <w:link w:val="696"/>
    <w:uiPriority w:val="99"/>
  </w:style>
  <w:style w:type="character" w:styleId="46">
    <w:name w:val="Caption Char"/>
    <w:basedOn w:val="684"/>
    <w:link w:val="695"/>
    <w:uiPriority w:val="99"/>
  </w:style>
  <w:style w:type="character" w:styleId="175">
    <w:name w:val="Footnote Text Char"/>
    <w:link w:val="701"/>
    <w:uiPriority w:val="99"/>
    <w:rPr>
      <w:sz w:val="18"/>
    </w:rPr>
  </w:style>
  <w:style w:type="character" w:styleId="178">
    <w:name w:val="Endnote Text Char"/>
    <w:link w:val="694"/>
    <w:uiPriority w:val="99"/>
    <w:rPr>
      <w:sz w:val="20"/>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szCs w:val="24"/>
      <w:lang w:val="en-US" w:eastAsia="zh-CN" w:bidi="ar-SA"/>
    </w:rPr>
  </w:style>
  <w:style w:type="paragraph" w:styleId="671">
    <w:name w:val="Heading 1"/>
    <w:basedOn w:val="670"/>
    <w:next w:val="670"/>
    <w:link w:val="719"/>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2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2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22"/>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23"/>
    <w:uiPriority w:val="9"/>
    <w:unhideWhenUsed/>
    <w:qFormat/>
    <w:pPr>
      <w:keepLines/>
      <w:keepNext/>
      <w:spacing w:before="320" w:after="200"/>
      <w:outlineLvl w:val="4"/>
    </w:pPr>
    <w:rPr>
      <w:rFonts w:ascii="Arial" w:hAnsi="Arial" w:eastAsia="Arial" w:cs="Arial"/>
      <w:b/>
      <w:bCs/>
      <w:sz w:val="24"/>
    </w:rPr>
  </w:style>
  <w:style w:type="paragraph" w:styleId="676">
    <w:name w:val="Heading 6"/>
    <w:basedOn w:val="670"/>
    <w:next w:val="670"/>
    <w:link w:val="724"/>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6"/>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7"/>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index 4"/>
    <w:basedOn w:val="670"/>
    <w:next w:val="670"/>
    <w:uiPriority w:val="0"/>
    <w:qFormat/>
    <w:pPr>
      <w:ind w:left="600"/>
    </w:pPr>
    <w:rPr>
      <w:szCs w:val="20"/>
    </w:rPr>
  </w:style>
  <w:style w:type="paragraph" w:styleId="683">
    <w:name w:val="toc 7"/>
    <w:basedOn w:val="670"/>
    <w:next w:val="670"/>
    <w:uiPriority w:val="39"/>
    <w:unhideWhenUsed/>
    <w:qFormat/>
    <w:pPr>
      <w:ind w:left="1701"/>
      <w:spacing w:after="57"/>
    </w:p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annotation text"/>
    <w:basedOn w:val="670"/>
    <w:uiPriority w:val="99"/>
    <w:semiHidden/>
    <w:unhideWhenUsed/>
    <w:qFormat/>
    <w:pPr>
      <w:jc w:val="left"/>
    </w:pPr>
  </w:style>
  <w:style w:type="paragraph" w:styleId="686">
    <w:name w:val="Body Text"/>
    <w:basedOn w:val="670"/>
    <w:uiPriority w:val="0"/>
    <w:qFormat/>
    <w:rPr>
      <w:rFonts w:ascii="仿宋_GB2312" w:eastAsia="仿宋_GB2312"/>
      <w:sz w:val="28"/>
      <w:szCs w:val="20"/>
    </w:rPr>
  </w:style>
  <w:style w:type="paragraph" w:styleId="687">
    <w:name w:val="Body Text Indent"/>
    <w:basedOn w:val="670"/>
    <w:next w:val="688"/>
    <w:uiPriority w:val="0"/>
    <w:qFormat/>
    <w:pPr>
      <w:ind w:firstLine="576"/>
    </w:pPr>
    <w:rPr>
      <w:b/>
      <w:sz w:val="30"/>
    </w:rPr>
  </w:style>
  <w:style w:type="paragraph" w:styleId="688">
    <w:name w:val="envelope return"/>
    <w:basedOn w:val="670"/>
    <w:uiPriority w:val="0"/>
    <w:qFormat/>
    <w:pPr>
      <w:jc w:val="left"/>
      <w:tabs>
        <w:tab w:val="left" w:pos="1630" w:leader="none"/>
      </w:tabs>
    </w:pPr>
    <w:rPr>
      <w:rFonts w:ascii="Arial" w:hAnsi="Arial" w:eastAsia="DFKai-SB" w:cs="Arial"/>
      <w:sz w:val="28"/>
      <w:lang w:eastAsia="zh-TW"/>
    </w:rPr>
  </w:style>
  <w:style w:type="paragraph" w:styleId="689">
    <w:name w:val="Block Text"/>
    <w:basedOn w:val="670"/>
    <w:uiPriority w:val="0"/>
    <w:qFormat/>
    <w:pPr>
      <w:ind w:left="420" w:right="33"/>
      <w:jc w:val="left"/>
    </w:pPr>
    <w:rPr>
      <w:sz w:val="24"/>
    </w:rPr>
  </w:style>
  <w:style w:type="paragraph" w:styleId="690">
    <w:name w:val="toc 5"/>
    <w:basedOn w:val="670"/>
    <w:next w:val="670"/>
    <w:uiPriority w:val="39"/>
    <w:unhideWhenUsed/>
    <w:qFormat/>
    <w:pPr>
      <w:ind w:left="1134"/>
      <w:spacing w:after="57"/>
    </w:pPr>
  </w:style>
  <w:style w:type="paragraph" w:styleId="691">
    <w:name w:val="toc 3"/>
    <w:basedOn w:val="670"/>
    <w:next w:val="670"/>
    <w:uiPriority w:val="39"/>
    <w:unhideWhenUsed/>
    <w:qFormat/>
    <w:pPr>
      <w:ind w:left="567"/>
      <w:spacing w:after="57"/>
    </w:pPr>
  </w:style>
  <w:style w:type="paragraph" w:styleId="692">
    <w:name w:val="Plain Text"/>
    <w:basedOn w:val="670"/>
    <w:uiPriority w:val="0"/>
    <w:qFormat/>
    <w:rPr>
      <w:rFonts w:ascii="宋体"/>
      <w:szCs w:val="21"/>
    </w:rPr>
  </w:style>
  <w:style w:type="paragraph" w:styleId="693">
    <w:name w:val="toc 8"/>
    <w:basedOn w:val="670"/>
    <w:next w:val="670"/>
    <w:uiPriority w:val="39"/>
    <w:unhideWhenUsed/>
    <w:qFormat/>
    <w:pPr>
      <w:ind w:left="1984"/>
      <w:spacing w:after="57"/>
    </w:pPr>
  </w:style>
  <w:style w:type="paragraph" w:styleId="694">
    <w:name w:val="endnote text"/>
    <w:basedOn w:val="670"/>
    <w:link w:val="864"/>
    <w:uiPriority w:val="99"/>
    <w:semiHidden/>
    <w:unhideWhenUsed/>
    <w:qFormat/>
    <w:rPr>
      <w:sz w:val="20"/>
    </w:rPr>
  </w:style>
  <w:style w:type="paragraph" w:styleId="695">
    <w:name w:val="Footer"/>
    <w:basedOn w:val="670"/>
    <w:link w:val="737"/>
    <w:uiPriority w:val="99"/>
    <w:unhideWhenUsed/>
    <w:qFormat/>
    <w:pPr>
      <w:tabs>
        <w:tab w:val="center" w:pos="7143" w:leader="none"/>
        <w:tab w:val="right" w:pos="14287" w:leader="none"/>
      </w:tabs>
    </w:pPr>
  </w:style>
  <w:style w:type="paragraph" w:styleId="696">
    <w:name w:val="Header"/>
    <w:basedOn w:val="670"/>
    <w:link w:val="735"/>
    <w:uiPriority w:val="99"/>
    <w:unhideWhenUsed/>
    <w:qFormat/>
    <w:pPr>
      <w:tabs>
        <w:tab w:val="center" w:pos="7143" w:leader="none"/>
        <w:tab w:val="right" w:pos="14287" w:leader="none"/>
      </w:tabs>
    </w:pPr>
  </w:style>
  <w:style w:type="paragraph" w:styleId="697">
    <w:name w:val="toc 1"/>
    <w:basedOn w:val="670"/>
    <w:next w:val="670"/>
    <w:uiPriority w:val="39"/>
    <w:unhideWhenUsed/>
    <w:qFormat/>
    <w:pPr>
      <w:spacing w:after="57"/>
    </w:pPr>
  </w:style>
  <w:style w:type="paragraph" w:styleId="698">
    <w:name w:val="toc 4"/>
    <w:basedOn w:val="670"/>
    <w:next w:val="670"/>
    <w:uiPriority w:val="39"/>
    <w:unhideWhenUsed/>
    <w:qFormat/>
    <w:pPr>
      <w:ind w:left="850"/>
      <w:spacing w:after="57"/>
    </w:pPr>
  </w:style>
  <w:style w:type="paragraph" w:styleId="699">
    <w:name w:val="Subtitle"/>
    <w:basedOn w:val="670"/>
    <w:next w:val="670"/>
    <w:link w:val="730"/>
    <w:uiPriority w:val="11"/>
    <w:qFormat/>
    <w:pPr>
      <w:spacing w:before="200" w:after="200"/>
    </w:pPr>
    <w:rPr>
      <w:sz w:val="24"/>
    </w:rPr>
  </w:style>
  <w:style w:type="paragraph" w:styleId="700">
    <w:name w:val="List"/>
    <w:basedOn w:val="670"/>
    <w:uiPriority w:val="0"/>
    <w:qFormat/>
    <w:pPr>
      <w:numPr>
        <w:ilvl w:val="0"/>
        <w:numId w:val="1"/>
      </w:numPr>
      <w:spacing w:after="20" w:line="288" w:lineRule="auto"/>
    </w:pPr>
    <w:rPr>
      <w:szCs w:val="20"/>
      <w:lang w:val="en-GB"/>
    </w:rPr>
  </w:style>
  <w:style w:type="paragraph" w:styleId="701">
    <w:name w:val="footnote text"/>
    <w:basedOn w:val="670"/>
    <w:link w:val="863"/>
    <w:uiPriority w:val="99"/>
    <w:semiHidden/>
    <w:unhideWhenUsed/>
    <w:qFormat/>
    <w:pPr>
      <w:spacing w:after="40"/>
    </w:pPr>
    <w:rPr>
      <w:sz w:val="18"/>
    </w:rPr>
  </w:style>
  <w:style w:type="paragraph" w:styleId="702">
    <w:name w:val="toc 6"/>
    <w:basedOn w:val="670"/>
    <w:next w:val="670"/>
    <w:uiPriority w:val="39"/>
    <w:unhideWhenUsed/>
    <w:qFormat/>
    <w:pPr>
      <w:ind w:left="1417"/>
      <w:spacing w:after="57"/>
    </w:pPr>
  </w:style>
  <w:style w:type="paragraph" w:styleId="703">
    <w:name w:val="table of figures"/>
    <w:basedOn w:val="670"/>
    <w:next w:val="670"/>
    <w:uiPriority w:val="99"/>
    <w:unhideWhenUsed/>
    <w:qFormat/>
  </w:style>
  <w:style w:type="paragraph" w:styleId="704">
    <w:name w:val="toc 2"/>
    <w:basedOn w:val="670"/>
    <w:next w:val="670"/>
    <w:uiPriority w:val="39"/>
    <w:unhideWhenUsed/>
    <w:qFormat/>
    <w:pPr>
      <w:ind w:left="283"/>
      <w:spacing w:after="57"/>
    </w:pPr>
  </w:style>
  <w:style w:type="paragraph" w:styleId="705">
    <w:name w:val="toc 9"/>
    <w:basedOn w:val="670"/>
    <w:next w:val="670"/>
    <w:uiPriority w:val="39"/>
    <w:unhideWhenUsed/>
    <w:qFormat/>
    <w:pPr>
      <w:ind w:left="2268"/>
      <w:spacing w:after="57"/>
    </w:pPr>
  </w:style>
  <w:style w:type="paragraph" w:styleId="706">
    <w:name w:val="Normal (Web)"/>
    <w:basedOn w:val="670"/>
    <w:uiPriority w:val="99"/>
    <w:qFormat/>
    <w:pPr>
      <w:jc w:val="left"/>
      <w:spacing w:before="100" w:beforeAutospacing="1" w:after="100" w:afterAutospacing="1"/>
      <w:widowControl/>
    </w:pPr>
    <w:rPr>
      <w:rFonts w:hint="eastAsia" w:ascii="宋体" w:hAnsi="宋体"/>
      <w:color w:val="000000"/>
      <w:sz w:val="24"/>
    </w:rPr>
  </w:style>
  <w:style w:type="paragraph" w:styleId="707">
    <w:name w:val="Title"/>
    <w:basedOn w:val="670"/>
    <w:next w:val="670"/>
    <w:link w:val="729"/>
    <w:uiPriority w:val="10"/>
    <w:qFormat/>
    <w:pPr>
      <w:contextualSpacing/>
      <w:spacing w:before="300" w:after="200"/>
    </w:pPr>
    <w:rPr>
      <w:sz w:val="48"/>
      <w:szCs w:val="48"/>
    </w:rPr>
  </w:style>
  <w:style w:type="paragraph" w:styleId="708">
    <w:name w:val="Body Text First Indent 2"/>
    <w:basedOn w:val="687"/>
    <w:uiPriority w:val="99"/>
    <w:unhideWhenUsed/>
    <w:qFormat/>
    <w:pPr>
      <w:ind w:firstLine="420"/>
    </w:p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Emphasis"/>
    <w:basedOn w:val="680"/>
    <w:uiPriority w:val="20"/>
    <w:qFormat/>
    <w:rPr>
      <w:i/>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paragraph" w:styleId="714" w:customStyle="1">
    <w:name w:val="正文文本1"/>
    <w:basedOn w:val="670"/>
    <w:next w:val="670"/>
    <w:uiPriority w:val="0"/>
    <w:qFormat/>
    <w:rPr>
      <w:rFonts w:ascii="仿宋_GB2312" w:eastAsia="仿宋_GB2312"/>
      <w:sz w:val="28"/>
      <w:szCs w:val="20"/>
    </w:rPr>
  </w:style>
  <w:style w:type="paragraph" w:styleId="715">
    <w:name w:val="List Paragraph"/>
    <w:basedOn w:val="670"/>
    <w:uiPriority w:val="34"/>
    <w:qFormat/>
    <w:pPr>
      <w:ind w:firstLine="420"/>
    </w:pPr>
    <w:rPr>
      <w:rFonts w:ascii="Calibri" w:hAnsi="Calibri"/>
      <w:szCs w:val="22"/>
    </w:rPr>
  </w:style>
  <w:style w:type="paragraph" w:styleId="716" w:customStyle="1">
    <w:name w:val="_Style 1"/>
    <w:basedOn w:val="670"/>
    <w:uiPriority w:val="34"/>
    <w:qFormat/>
    <w:pPr>
      <w:ind w:firstLine="420"/>
      <w:spacing w:line="360" w:lineRule="auto"/>
    </w:pPr>
    <w:rPr>
      <w:rFonts w:ascii="Calibri" w:hAnsi="Calibri"/>
      <w:sz w:val="24"/>
      <w:szCs w:val="22"/>
    </w:rPr>
  </w:style>
  <w:style w:type="paragraph" w:styleId="717" w:customStyle="1">
    <w:name w:val="段"/>
    <w:next w:val="670"/>
    <w:link w:val="1186"/>
    <w:uiPriority w:val="0"/>
    <w:qFormat/>
    <w:pPr>
      <w:ind w:firstLine="200"/>
      <w:jc w:val="both"/>
    </w:pPr>
    <w:rPr>
      <w:rFonts w:ascii="宋体" w:hAnsi="Times New Roman" w:eastAsia="宋体" w:cs="Times New Roman"/>
      <w:sz w:val="21"/>
      <w:lang w:val="en-US" w:eastAsia="zh-CN" w:bidi="ar-SA"/>
    </w:rPr>
  </w:style>
  <w:style w:type="paragraph" w:styleId="718" w:customStyle="1">
    <w:name w:val="标题 41"/>
    <w:basedOn w:val="670"/>
    <w:next w:val="670"/>
    <w:link w:val="876"/>
    <w:uiPriority w:val="0"/>
    <w:qFormat/>
    <w:pPr>
      <w:numPr>
        <w:ilvl w:val="4"/>
        <w:numId w:val="2"/>
      </w:numPr>
      <w:keepLines/>
      <w:keepNext/>
      <w:spacing w:before="280" w:after="290" w:line="376" w:lineRule="auto"/>
      <w:outlineLvl w:val="3"/>
    </w:pPr>
    <w:rPr>
      <w:rFonts w:ascii="Arial" w:hAnsi="Arial" w:eastAsia="黑体"/>
      <w:b/>
      <w:bCs/>
      <w:sz w:val="28"/>
      <w:szCs w:val="28"/>
    </w:rPr>
  </w:style>
  <w:style w:type="character" w:styleId="719" w:customStyle="1">
    <w:name w:val="标题 1 Char1"/>
    <w:link w:val="671"/>
    <w:uiPriority w:val="9"/>
    <w:qFormat/>
    <w:rPr>
      <w:rFonts w:ascii="Arial" w:hAnsi="Arial" w:eastAsia="Arial" w:cs="Arial"/>
      <w:sz w:val="40"/>
      <w:szCs w:val="40"/>
    </w:rPr>
  </w:style>
  <w:style w:type="character" w:styleId="720" w:customStyle="1">
    <w:name w:val="标题 2 Char1"/>
    <w:link w:val="672"/>
    <w:uiPriority w:val="9"/>
    <w:qFormat/>
    <w:rPr>
      <w:rFonts w:ascii="Arial" w:hAnsi="Arial" w:eastAsia="Arial" w:cs="Arial"/>
      <w:sz w:val="34"/>
    </w:rPr>
  </w:style>
  <w:style w:type="character" w:styleId="721" w:customStyle="1">
    <w:name w:val="标题 3 Char1"/>
    <w:link w:val="673"/>
    <w:uiPriority w:val="9"/>
    <w:qFormat/>
    <w:rPr>
      <w:rFonts w:ascii="Arial" w:hAnsi="Arial" w:eastAsia="Arial" w:cs="Arial"/>
      <w:sz w:val="30"/>
      <w:szCs w:val="30"/>
    </w:rPr>
  </w:style>
  <w:style w:type="character" w:styleId="722" w:customStyle="1">
    <w:name w:val="标题 4 Char1"/>
    <w:link w:val="674"/>
    <w:uiPriority w:val="9"/>
    <w:qFormat/>
    <w:rPr>
      <w:rFonts w:ascii="Arial" w:hAnsi="Arial" w:eastAsia="Arial" w:cs="Arial"/>
      <w:b/>
      <w:bCs/>
      <w:sz w:val="26"/>
      <w:szCs w:val="26"/>
    </w:rPr>
  </w:style>
  <w:style w:type="character" w:styleId="723" w:customStyle="1">
    <w:name w:val="标题 5 Char1"/>
    <w:link w:val="675"/>
    <w:uiPriority w:val="9"/>
    <w:qFormat/>
    <w:rPr>
      <w:rFonts w:ascii="Arial" w:hAnsi="Arial" w:eastAsia="Arial" w:cs="Arial"/>
      <w:b/>
      <w:bCs/>
      <w:sz w:val="24"/>
      <w:szCs w:val="24"/>
    </w:rPr>
  </w:style>
  <w:style w:type="character" w:styleId="724" w:customStyle="1">
    <w:name w:val="标题 6 Char1"/>
    <w:link w:val="676"/>
    <w:uiPriority w:val="9"/>
    <w:qFormat/>
    <w:rPr>
      <w:rFonts w:ascii="Arial" w:hAnsi="Arial" w:eastAsia="Arial" w:cs="Arial"/>
      <w:b/>
      <w:bCs/>
      <w:sz w:val="22"/>
      <w:szCs w:val="22"/>
    </w:rPr>
  </w:style>
  <w:style w:type="character" w:styleId="725" w:customStyle="1">
    <w:name w:val="标题 7 Char1"/>
    <w:link w:val="677"/>
    <w:uiPriority w:val="9"/>
    <w:qFormat/>
    <w:rPr>
      <w:rFonts w:ascii="Arial" w:hAnsi="Arial" w:eastAsia="Arial" w:cs="Arial"/>
      <w:b/>
      <w:bCs/>
      <w:i/>
      <w:iCs/>
      <w:sz w:val="22"/>
      <w:szCs w:val="22"/>
    </w:rPr>
  </w:style>
  <w:style w:type="character" w:styleId="726" w:customStyle="1">
    <w:name w:val="标题 8 Char1"/>
    <w:link w:val="678"/>
    <w:uiPriority w:val="9"/>
    <w:qFormat/>
    <w:rPr>
      <w:rFonts w:ascii="Arial" w:hAnsi="Arial" w:eastAsia="Arial" w:cs="Arial"/>
      <w:i/>
      <w:iCs/>
      <w:sz w:val="22"/>
      <w:szCs w:val="22"/>
    </w:rPr>
  </w:style>
  <w:style w:type="character" w:styleId="727" w:customStyle="1">
    <w:name w:val="标题 9 Char1"/>
    <w:link w:val="679"/>
    <w:uiPriority w:val="9"/>
    <w:qFormat/>
    <w:rPr>
      <w:rFonts w:ascii="Arial" w:hAnsi="Arial" w:eastAsia="Arial" w:cs="Arial"/>
      <w:i/>
      <w:iCs/>
      <w:sz w:val="21"/>
      <w:szCs w:val="21"/>
    </w:rPr>
  </w:style>
  <w:style w:type="paragraph" w:styleId="728">
    <w:name w:val="No Spacing"/>
    <w:uiPriority w:val="1"/>
    <w:qFormat/>
    <w:rPr>
      <w:rFonts w:ascii="Times New Roman" w:hAnsi="Times New Roman" w:eastAsia="宋体" w:cs="Times New Roman"/>
      <w:lang w:val="en-US" w:eastAsia="zh-CN" w:bidi="ar-SA"/>
    </w:rPr>
  </w:style>
  <w:style w:type="character" w:styleId="729" w:customStyle="1">
    <w:name w:val="标题 Char1"/>
    <w:link w:val="707"/>
    <w:uiPriority w:val="10"/>
    <w:qFormat/>
    <w:rPr>
      <w:sz w:val="48"/>
      <w:szCs w:val="48"/>
    </w:rPr>
  </w:style>
  <w:style w:type="character" w:styleId="730" w:customStyle="1">
    <w:name w:val="副标题 Char2"/>
    <w:link w:val="699"/>
    <w:uiPriority w:val="11"/>
    <w:qFormat/>
    <w:rPr>
      <w:sz w:val="24"/>
      <w:szCs w:val="24"/>
    </w:rPr>
  </w:style>
  <w:style w:type="paragraph" w:styleId="731">
    <w:name w:val="Quote"/>
    <w:basedOn w:val="670"/>
    <w:next w:val="670"/>
    <w:link w:val="732"/>
    <w:uiPriority w:val="29"/>
    <w:qFormat/>
    <w:pPr>
      <w:ind w:left="720" w:right="720"/>
    </w:pPr>
    <w:rPr>
      <w:i/>
    </w:rPr>
  </w:style>
  <w:style w:type="character" w:styleId="732" w:customStyle="1">
    <w:name w:val="引用 Char2"/>
    <w:link w:val="731"/>
    <w:uiPriority w:val="29"/>
    <w:qFormat/>
    <w:rPr>
      <w:i/>
    </w:rPr>
  </w:style>
  <w:style w:type="paragraph" w:styleId="733">
    <w:name w:val="Intense Quote"/>
    <w:basedOn w:val="670"/>
    <w:next w:val="670"/>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明显引用 Char2"/>
    <w:link w:val="733"/>
    <w:uiPriority w:val="30"/>
    <w:qFormat/>
    <w:rPr>
      <w:i/>
    </w:rPr>
  </w:style>
  <w:style w:type="character" w:styleId="735" w:customStyle="1">
    <w:name w:val="页眉 Char2"/>
    <w:link w:val="696"/>
    <w:uiPriority w:val="99"/>
    <w:qFormat/>
  </w:style>
  <w:style w:type="character" w:styleId="736" w:customStyle="1">
    <w:name w:val="Footer Char"/>
    <w:link w:val="695"/>
    <w:uiPriority w:val="99"/>
    <w:qFormat/>
  </w:style>
  <w:style w:type="character" w:styleId="737" w:customStyle="1">
    <w:name w:val="页脚 Char1"/>
    <w:link w:val="695"/>
    <w:uiPriority w:val="99"/>
    <w:qFormat/>
  </w:style>
  <w:style w:type="table" w:styleId="7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脚注文本 Char2"/>
    <w:link w:val="701"/>
    <w:uiPriority w:val="99"/>
    <w:qFormat/>
    <w:rPr>
      <w:sz w:val="18"/>
    </w:rPr>
  </w:style>
  <w:style w:type="character" w:styleId="864" w:customStyle="1">
    <w:name w:val="尾注文本 Char"/>
    <w:link w:val="694"/>
    <w:uiPriority w:val="99"/>
    <w:qFormat/>
    <w:rPr>
      <w:sz w:val="20"/>
    </w:rPr>
  </w:style>
  <w:style w:type="paragraph" w:styleId="865" w:customStyle="1">
    <w:name w:val="TOC 标题1"/>
    <w:uiPriority w:val="39"/>
    <w:unhideWhenUsed/>
    <w:qFormat/>
    <w:rPr>
      <w:rFonts w:ascii="Times New Roman" w:hAnsi="Times New Roman" w:eastAsia="宋体" w:cs="Times New Roman"/>
      <w:lang w:val="en-US" w:eastAsia="zh-CN" w:bidi="ar-SA"/>
    </w:rPr>
  </w:style>
  <w:style w:type="paragraph" w:styleId="866" w:customStyle="1">
    <w:name w:val="标题 11"/>
    <w:basedOn w:val="670"/>
    <w:next w:val="670"/>
    <w:link w:val="877"/>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867" w:customStyle="1">
    <w:name w:val="标题 21"/>
    <w:basedOn w:val="670"/>
    <w:next w:val="670"/>
    <w:link w:val="878"/>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868" w:customStyle="1">
    <w:name w:val="标题 31"/>
    <w:basedOn w:val="670"/>
    <w:next w:val="670"/>
    <w:link w:val="879"/>
    <w:uiPriority w:val="0"/>
    <w:qFormat/>
    <w:pPr>
      <w:keepLines/>
      <w:keepNext/>
      <w:spacing w:before="260" w:after="260" w:line="416" w:lineRule="auto"/>
      <w:outlineLvl w:val="2"/>
    </w:pPr>
    <w:rPr>
      <w:rFonts w:ascii="黑体" w:eastAsia="黑体"/>
      <w:b/>
      <w:bCs/>
      <w:sz w:val="32"/>
      <w:szCs w:val="32"/>
    </w:rPr>
  </w:style>
  <w:style w:type="paragraph" w:styleId="869" w:customStyle="1">
    <w:name w:val="标题 51"/>
    <w:basedOn w:val="670"/>
    <w:next w:val="670"/>
    <w:link w:val="880"/>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870" w:customStyle="1">
    <w:name w:val="标题 61"/>
    <w:basedOn w:val="670"/>
    <w:next w:val="670"/>
    <w:link w:val="88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71" w:customStyle="1">
    <w:name w:val="标题 71"/>
    <w:basedOn w:val="670"/>
    <w:next w:val="670"/>
    <w:link w:val="882"/>
    <w:uiPriority w:val="0"/>
    <w:qFormat/>
    <w:pPr>
      <w:ind w:left="1296" w:hanging="1296"/>
      <w:keepLines/>
      <w:keepNext/>
      <w:spacing w:before="240" w:after="64" w:line="320" w:lineRule="atLeast"/>
      <w:tabs>
        <w:tab w:val="left" w:pos="1296" w:leader="none"/>
      </w:tabs>
      <w:outlineLvl w:val="6"/>
    </w:pPr>
    <w:rPr>
      <w:b/>
      <w:sz w:val="24"/>
    </w:rPr>
  </w:style>
  <w:style w:type="paragraph" w:styleId="872" w:customStyle="1">
    <w:name w:val="标题 81"/>
    <w:basedOn w:val="670"/>
    <w:next w:val="670"/>
    <w:link w:val="88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73" w:customStyle="1">
    <w:name w:val="标题 91"/>
    <w:basedOn w:val="670"/>
    <w:next w:val="670"/>
    <w:link w:val="88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74" w:customStyle="1">
    <w:name w:val="默认段落字体1"/>
    <w:uiPriority w:val="1"/>
    <w:unhideWhenUsed/>
    <w:qFormat/>
  </w:style>
  <w:style w:type="table" w:styleId="875" w:customStyle="1">
    <w:name w:val="普通表格1"/>
    <w:uiPriority w:val="0"/>
    <w:semiHidden/>
    <w:qFormat/>
    <w:tblPr>
      <w:tblCellMar>
        <w:left w:w="0" w:type="dxa"/>
        <w:top w:w="0" w:type="dxa"/>
        <w:right w:w="0" w:type="dxa"/>
        <w:bottom w:w="0" w:type="dxa"/>
      </w:tblCellMar>
    </w:tblPr>
  </w:style>
  <w:style w:type="character" w:styleId="876" w:customStyle="1">
    <w:name w:val="标题 4 Char"/>
    <w:link w:val="718"/>
    <w:uiPriority w:val="0"/>
    <w:qFormat/>
    <w:rPr>
      <w:rFonts w:ascii="Arial" w:hAnsi="Arial" w:eastAsia="黑体"/>
      <w:b/>
      <w:bCs/>
      <w:sz w:val="28"/>
      <w:szCs w:val="28"/>
    </w:rPr>
  </w:style>
  <w:style w:type="character" w:styleId="877" w:customStyle="1">
    <w:name w:val="标题 1 Char"/>
    <w:link w:val="866"/>
    <w:uiPriority w:val="0"/>
    <w:qFormat/>
    <w:rPr>
      <w:rFonts w:ascii="黑体" w:eastAsia="黑体"/>
      <w:b/>
      <w:bCs/>
      <w:sz w:val="44"/>
      <w:szCs w:val="44"/>
    </w:rPr>
  </w:style>
  <w:style w:type="character" w:styleId="878" w:customStyle="1">
    <w:name w:val="标题 2 Char"/>
    <w:link w:val="867"/>
    <w:uiPriority w:val="0"/>
    <w:qFormat/>
    <w:rPr>
      <w:rFonts w:ascii="Arial" w:hAnsi="Arial" w:eastAsia="黑体"/>
      <w:b/>
      <w:bCs/>
      <w:sz w:val="32"/>
      <w:szCs w:val="32"/>
    </w:rPr>
  </w:style>
  <w:style w:type="character" w:styleId="879" w:customStyle="1">
    <w:name w:val="标题 3 Char"/>
    <w:link w:val="868"/>
    <w:uiPriority w:val="0"/>
    <w:qFormat/>
    <w:rPr>
      <w:rFonts w:ascii="黑体" w:eastAsia="黑体"/>
      <w:b/>
      <w:bCs/>
      <w:sz w:val="32"/>
      <w:szCs w:val="32"/>
    </w:rPr>
  </w:style>
  <w:style w:type="character" w:styleId="880" w:customStyle="1">
    <w:name w:val="标题 5 Char"/>
    <w:link w:val="869"/>
    <w:uiPriority w:val="0"/>
    <w:qFormat/>
    <w:rPr>
      <w:rFonts w:ascii="黑体" w:eastAsia="黑体"/>
      <w:b/>
      <w:bCs/>
      <w:sz w:val="28"/>
      <w:szCs w:val="28"/>
    </w:rPr>
  </w:style>
  <w:style w:type="character" w:styleId="881" w:customStyle="1">
    <w:name w:val="标题 6 Char"/>
    <w:link w:val="870"/>
    <w:uiPriority w:val="0"/>
    <w:qFormat/>
    <w:rPr>
      <w:rFonts w:ascii="Arial" w:hAnsi="Arial" w:eastAsia="黑体"/>
      <w:b/>
      <w:sz w:val="24"/>
      <w:szCs w:val="24"/>
    </w:rPr>
  </w:style>
  <w:style w:type="character" w:styleId="882" w:customStyle="1">
    <w:name w:val="标题 7 Char"/>
    <w:link w:val="871"/>
    <w:uiPriority w:val="0"/>
    <w:qFormat/>
    <w:rPr>
      <w:b/>
      <w:sz w:val="24"/>
      <w:szCs w:val="24"/>
    </w:rPr>
  </w:style>
  <w:style w:type="character" w:styleId="883" w:customStyle="1">
    <w:name w:val="标题 8 Char"/>
    <w:link w:val="872"/>
    <w:uiPriority w:val="0"/>
    <w:qFormat/>
    <w:rPr>
      <w:rFonts w:ascii="Arial" w:hAnsi="Arial" w:eastAsia="黑体"/>
      <w:sz w:val="24"/>
      <w:szCs w:val="24"/>
    </w:rPr>
  </w:style>
  <w:style w:type="character" w:styleId="884" w:customStyle="1">
    <w:name w:val="标题 9 Char"/>
    <w:link w:val="873"/>
    <w:uiPriority w:val="0"/>
    <w:qFormat/>
    <w:rPr>
      <w:rFonts w:ascii="Arial" w:hAnsi="Arial" w:eastAsia="黑体"/>
      <w:sz w:val="21"/>
      <w:szCs w:val="24"/>
    </w:rPr>
  </w:style>
  <w:style w:type="paragraph" w:styleId="885" w:customStyle="1">
    <w:name w:val="目录 71"/>
    <w:basedOn w:val="670"/>
    <w:next w:val="670"/>
    <w:uiPriority w:val="39"/>
    <w:qFormat/>
    <w:pPr>
      <w:ind w:left="1260" w:firstLine="420"/>
      <w:jc w:val="left"/>
      <w:spacing w:line="288" w:lineRule="auto"/>
    </w:pPr>
    <w:rPr>
      <w:sz w:val="18"/>
      <w:szCs w:val="18"/>
    </w:rPr>
  </w:style>
  <w:style w:type="paragraph" w:styleId="886" w:customStyle="1">
    <w:name w:val="索引 81"/>
    <w:basedOn w:val="670"/>
    <w:next w:val="670"/>
    <w:uiPriority w:val="0"/>
    <w:qFormat/>
    <w:pPr>
      <w:ind w:left="1400"/>
    </w:pPr>
    <w:rPr>
      <w:szCs w:val="20"/>
    </w:rPr>
  </w:style>
  <w:style w:type="paragraph" w:styleId="887" w:customStyle="1">
    <w:name w:val="正文缩进11"/>
    <w:basedOn w:val="670"/>
    <w:link w:val="888"/>
    <w:uiPriority w:val="0"/>
    <w:qFormat/>
    <w:pPr>
      <w:ind w:firstLine="420"/>
      <w:jc w:val="left"/>
      <w:widowControl/>
    </w:pPr>
    <w:rPr>
      <w:sz w:val="20"/>
      <w:szCs w:val="20"/>
    </w:rPr>
  </w:style>
  <w:style w:type="character" w:styleId="888" w:customStyle="1">
    <w:name w:val="正文缩进 Char"/>
    <w:link w:val="887"/>
    <w:uiPriority w:val="0"/>
    <w:qFormat/>
  </w:style>
  <w:style w:type="paragraph" w:styleId="889" w:customStyle="1">
    <w:name w:val="题注1"/>
    <w:basedOn w:val="670"/>
    <w:next w:val="670"/>
    <w:uiPriority w:val="0"/>
    <w:qFormat/>
    <w:rPr>
      <w:rFonts w:ascii="Arial" w:hAnsi="Arial" w:eastAsia="黑体" w:cs="Arial"/>
      <w:sz w:val="20"/>
      <w:szCs w:val="20"/>
    </w:rPr>
  </w:style>
  <w:style w:type="paragraph" w:styleId="890" w:customStyle="1">
    <w:name w:val="索引 51"/>
    <w:basedOn w:val="670"/>
    <w:next w:val="670"/>
    <w:uiPriority w:val="0"/>
    <w:qFormat/>
    <w:pPr>
      <w:ind w:left="800"/>
    </w:pPr>
    <w:rPr>
      <w:szCs w:val="20"/>
    </w:rPr>
  </w:style>
  <w:style w:type="paragraph" w:styleId="891" w:customStyle="1">
    <w:name w:val="文档结构图1"/>
    <w:basedOn w:val="670"/>
    <w:link w:val="892"/>
    <w:uiPriority w:val="0"/>
    <w:qFormat/>
    <w:pPr>
      <w:shd w:val="clear" w:color="auto" w:fill="000080"/>
    </w:pPr>
  </w:style>
  <w:style w:type="character" w:styleId="892" w:customStyle="1">
    <w:name w:val="文档结构图 Char"/>
    <w:link w:val="891"/>
    <w:uiPriority w:val="0"/>
    <w:qFormat/>
    <w:rPr>
      <w:sz w:val="21"/>
      <w:szCs w:val="24"/>
      <w:shd w:val="clear" w:color="auto" w:fill="000080"/>
    </w:rPr>
  </w:style>
  <w:style w:type="paragraph" w:styleId="893" w:customStyle="1">
    <w:name w:val="批注文字1"/>
    <w:basedOn w:val="670"/>
    <w:link w:val="894"/>
    <w:uiPriority w:val="0"/>
    <w:qFormat/>
    <w:pPr>
      <w:jc w:val="left"/>
    </w:pPr>
  </w:style>
  <w:style w:type="character" w:styleId="894" w:customStyle="1">
    <w:name w:val="批注文字 Char"/>
    <w:link w:val="893"/>
    <w:uiPriority w:val="0"/>
    <w:qFormat/>
    <w:rPr>
      <w:sz w:val="21"/>
      <w:szCs w:val="24"/>
    </w:rPr>
  </w:style>
  <w:style w:type="paragraph" w:styleId="895" w:customStyle="1">
    <w:name w:val="索引 61"/>
    <w:basedOn w:val="670"/>
    <w:next w:val="670"/>
    <w:uiPriority w:val="0"/>
    <w:qFormat/>
    <w:pPr>
      <w:ind w:left="1000"/>
    </w:pPr>
    <w:rPr>
      <w:szCs w:val="20"/>
    </w:rPr>
  </w:style>
  <w:style w:type="paragraph" w:styleId="896" w:customStyle="1">
    <w:name w:val="称呼1"/>
    <w:basedOn w:val="670"/>
    <w:next w:val="670"/>
    <w:link w:val="897"/>
    <w:uiPriority w:val="0"/>
    <w:qFormat/>
    <w:pPr>
      <w:ind w:firstLine="420"/>
      <w:spacing w:after="20" w:line="288" w:lineRule="auto"/>
    </w:pPr>
    <w:rPr>
      <w:sz w:val="28"/>
    </w:rPr>
  </w:style>
  <w:style w:type="character" w:styleId="897" w:customStyle="1">
    <w:name w:val="称呼 Char"/>
    <w:link w:val="896"/>
    <w:uiPriority w:val="0"/>
    <w:qFormat/>
    <w:rPr>
      <w:sz w:val="28"/>
      <w:szCs w:val="24"/>
    </w:rPr>
  </w:style>
  <w:style w:type="paragraph" w:styleId="898" w:customStyle="1">
    <w:name w:val="正文文本 31"/>
    <w:basedOn w:val="670"/>
    <w:link w:val="899"/>
    <w:uiPriority w:val="0"/>
    <w:qFormat/>
    <w:pPr>
      <w:jc w:val="center"/>
      <w:spacing w:after="20" w:line="288" w:lineRule="auto"/>
    </w:pPr>
    <w:rPr>
      <w:b/>
      <w:bCs/>
      <w:sz w:val="24"/>
    </w:rPr>
  </w:style>
  <w:style w:type="character" w:styleId="899" w:customStyle="1">
    <w:name w:val="正文文本 3 Char"/>
    <w:link w:val="898"/>
    <w:uiPriority w:val="0"/>
    <w:qFormat/>
    <w:rPr>
      <w:b/>
      <w:bCs/>
      <w:sz w:val="24"/>
      <w:szCs w:val="24"/>
    </w:rPr>
  </w:style>
  <w:style w:type="paragraph" w:styleId="900" w:customStyle="1">
    <w:name w:val="结束语1"/>
    <w:basedOn w:val="670"/>
    <w:link w:val="901"/>
    <w:uiPriority w:val="0"/>
    <w:qFormat/>
    <w:pPr>
      <w:ind w:left="100" w:firstLine="420"/>
      <w:spacing w:after="20" w:line="288" w:lineRule="auto"/>
    </w:pPr>
    <w:rPr>
      <w:sz w:val="28"/>
    </w:rPr>
  </w:style>
  <w:style w:type="character" w:styleId="901" w:customStyle="1">
    <w:name w:val="结束语 Char"/>
    <w:link w:val="900"/>
    <w:uiPriority w:val="0"/>
    <w:qFormat/>
    <w:rPr>
      <w:sz w:val="28"/>
      <w:szCs w:val="24"/>
    </w:rPr>
  </w:style>
  <w:style w:type="paragraph" w:styleId="902" w:customStyle="1">
    <w:name w:val="列表项目符号 31"/>
    <w:basedOn w:val="670"/>
    <w:uiPriority w:val="0"/>
    <w:qFormat/>
    <w:pPr>
      <w:ind w:left="1620" w:hanging="420"/>
      <w:tabs>
        <w:tab w:val="left" w:pos="1620" w:leader="none"/>
      </w:tabs>
    </w:pPr>
  </w:style>
  <w:style w:type="paragraph" w:styleId="903" w:customStyle="1">
    <w:name w:val="正文文本11"/>
    <w:basedOn w:val="670"/>
    <w:next w:val="670"/>
    <w:link w:val="904"/>
    <w:uiPriority w:val="99"/>
    <w:qFormat/>
    <w:rPr>
      <w:rFonts w:ascii="仿宋_GB2312" w:eastAsia="仿宋_GB2312"/>
      <w:sz w:val="28"/>
      <w:szCs w:val="20"/>
    </w:rPr>
  </w:style>
  <w:style w:type="character" w:styleId="904" w:customStyle="1">
    <w:name w:val="正文文本 Char"/>
    <w:link w:val="903"/>
    <w:uiPriority w:val="99"/>
    <w:qFormat/>
    <w:rPr>
      <w:rFonts w:ascii="仿宋_GB2312" w:eastAsia="仿宋_GB2312"/>
      <w:sz w:val="28"/>
    </w:rPr>
  </w:style>
  <w:style w:type="paragraph" w:styleId="905" w:customStyle="1">
    <w:name w:val="正文文本缩进1"/>
    <w:basedOn w:val="670"/>
    <w:next w:val="906"/>
    <w:link w:val="907"/>
    <w:uiPriority w:val="0"/>
    <w:qFormat/>
    <w:pPr>
      <w:ind w:left="156"/>
      <w:spacing w:line="300" w:lineRule="auto"/>
      <w:widowControl/>
    </w:pPr>
    <w:rPr>
      <w:rFonts w:ascii="仿宋_GB2312" w:eastAsia="仿宋_GB2312"/>
      <w:sz w:val="28"/>
      <w:szCs w:val="20"/>
    </w:rPr>
  </w:style>
  <w:style w:type="paragraph" w:styleId="906" w:customStyle="1">
    <w:name w:val="寄信人地址1"/>
    <w:basedOn w:val="670"/>
    <w:uiPriority w:val="99"/>
    <w:qFormat/>
    <w:rPr>
      <w:rFonts w:ascii="Arial" w:hAnsi="Arial"/>
    </w:rPr>
  </w:style>
  <w:style w:type="character" w:styleId="907" w:customStyle="1">
    <w:name w:val="正文文本缩进 Char1"/>
    <w:link w:val="905"/>
    <w:uiPriority w:val="0"/>
    <w:qFormat/>
    <w:rPr>
      <w:rFonts w:ascii="仿宋_GB2312" w:eastAsia="仿宋_GB2312"/>
      <w:sz w:val="28"/>
    </w:rPr>
  </w:style>
  <w:style w:type="paragraph" w:styleId="908" w:customStyle="1">
    <w:name w:val="文本块1"/>
    <w:basedOn w:val="670"/>
    <w:uiPriority w:val="0"/>
    <w:qFormat/>
    <w:pPr>
      <w:ind w:left="420" w:right="33"/>
      <w:jc w:val="left"/>
    </w:pPr>
    <w:rPr>
      <w:sz w:val="24"/>
      <w:szCs w:val="20"/>
    </w:rPr>
  </w:style>
  <w:style w:type="paragraph" w:styleId="909" w:customStyle="1">
    <w:name w:val="列表项目符号 21"/>
    <w:basedOn w:val="670"/>
    <w:uiPriority w:val="0"/>
    <w:qFormat/>
    <w:pPr>
      <w:ind w:left="780"/>
      <w:tabs>
        <w:tab w:val="left" w:pos="360" w:leader="none"/>
        <w:tab w:val="left" w:pos="780" w:leader="none"/>
      </w:tabs>
    </w:pPr>
  </w:style>
  <w:style w:type="paragraph" w:styleId="910" w:customStyle="1">
    <w:name w:val="索引 41"/>
    <w:basedOn w:val="670"/>
    <w:next w:val="670"/>
    <w:uiPriority w:val="0"/>
    <w:qFormat/>
    <w:pPr>
      <w:ind w:left="600"/>
    </w:pPr>
    <w:rPr>
      <w:szCs w:val="20"/>
    </w:rPr>
  </w:style>
  <w:style w:type="paragraph" w:styleId="911" w:customStyle="1">
    <w:name w:val="目录 51"/>
    <w:basedOn w:val="670"/>
    <w:next w:val="670"/>
    <w:uiPriority w:val="39"/>
    <w:qFormat/>
    <w:pPr>
      <w:ind w:left="840" w:firstLine="420"/>
      <w:jc w:val="left"/>
      <w:spacing w:line="288" w:lineRule="auto"/>
    </w:pPr>
    <w:rPr>
      <w:sz w:val="18"/>
      <w:szCs w:val="18"/>
    </w:rPr>
  </w:style>
  <w:style w:type="paragraph" w:styleId="912" w:customStyle="1">
    <w:name w:val="目录 31"/>
    <w:basedOn w:val="670"/>
    <w:next w:val="670"/>
    <w:uiPriority w:val="39"/>
    <w:qFormat/>
    <w:pPr>
      <w:ind w:left="420" w:firstLine="420"/>
      <w:jc w:val="left"/>
      <w:spacing w:line="288" w:lineRule="auto"/>
    </w:pPr>
    <w:rPr>
      <w:iCs/>
      <w:sz w:val="20"/>
      <w:szCs w:val="20"/>
    </w:rPr>
  </w:style>
  <w:style w:type="paragraph" w:styleId="913" w:customStyle="1">
    <w:name w:val="纯文本1"/>
    <w:basedOn w:val="670"/>
    <w:link w:val="914"/>
    <w:uiPriority w:val="0"/>
    <w:qFormat/>
    <w:rPr>
      <w:rFonts w:ascii="宋体" w:hAnsi="Courier New"/>
      <w:szCs w:val="21"/>
    </w:rPr>
  </w:style>
  <w:style w:type="character" w:styleId="914" w:customStyle="1">
    <w:name w:val="纯文本 Char"/>
    <w:link w:val="913"/>
    <w:uiPriority w:val="0"/>
    <w:qFormat/>
    <w:rPr>
      <w:rFonts w:ascii="宋体" w:hAnsi="Courier New"/>
      <w:sz w:val="21"/>
      <w:szCs w:val="21"/>
    </w:rPr>
  </w:style>
  <w:style w:type="paragraph" w:styleId="915" w:customStyle="1">
    <w:name w:val="列表项目符号 51"/>
    <w:basedOn w:val="670"/>
    <w:uiPriority w:val="0"/>
    <w:qFormat/>
    <w:pPr>
      <w:spacing w:line="360" w:lineRule="exact"/>
      <w:widowControl/>
      <w:tabs>
        <w:tab w:val="left" w:pos="360" w:leader="none"/>
        <w:tab w:val="left" w:pos="2040" w:leader="none"/>
      </w:tabs>
    </w:pPr>
    <w:rPr>
      <w:rFonts w:eastAsia="楷体_GB2312"/>
      <w:sz w:val="24"/>
      <w:szCs w:val="20"/>
    </w:rPr>
  </w:style>
  <w:style w:type="paragraph" w:styleId="916" w:customStyle="1">
    <w:name w:val="目录 81"/>
    <w:basedOn w:val="670"/>
    <w:next w:val="670"/>
    <w:uiPriority w:val="39"/>
    <w:qFormat/>
    <w:pPr>
      <w:ind w:left="1470" w:firstLine="420"/>
      <w:jc w:val="left"/>
      <w:spacing w:line="288" w:lineRule="auto"/>
    </w:pPr>
    <w:rPr>
      <w:sz w:val="18"/>
      <w:szCs w:val="18"/>
    </w:rPr>
  </w:style>
  <w:style w:type="paragraph" w:styleId="917" w:customStyle="1">
    <w:name w:val="索引 31"/>
    <w:basedOn w:val="670"/>
    <w:next w:val="670"/>
    <w:uiPriority w:val="0"/>
    <w:qFormat/>
    <w:pPr>
      <w:ind w:left="400"/>
    </w:pPr>
    <w:rPr>
      <w:szCs w:val="20"/>
    </w:rPr>
  </w:style>
  <w:style w:type="paragraph" w:styleId="918" w:customStyle="1">
    <w:name w:val="日期1"/>
    <w:basedOn w:val="670"/>
    <w:next w:val="670"/>
    <w:link w:val="919"/>
    <w:uiPriority w:val="0"/>
    <w:qFormat/>
    <w:pPr>
      <w:ind w:left="100"/>
    </w:pPr>
    <w:rPr>
      <w:rFonts w:ascii="楷体_GB2312" w:eastAsia="楷体_GB2312"/>
      <w:b/>
      <w:sz w:val="28"/>
    </w:rPr>
  </w:style>
  <w:style w:type="character" w:styleId="919" w:customStyle="1">
    <w:name w:val="日期 Char"/>
    <w:link w:val="918"/>
    <w:uiPriority w:val="0"/>
    <w:qFormat/>
    <w:rPr>
      <w:rFonts w:ascii="楷体_GB2312" w:eastAsia="楷体_GB2312"/>
      <w:b/>
      <w:sz w:val="28"/>
      <w:szCs w:val="24"/>
    </w:rPr>
  </w:style>
  <w:style w:type="paragraph" w:styleId="920" w:customStyle="1">
    <w:name w:val="正文文本缩进 21"/>
    <w:basedOn w:val="670"/>
    <w:link w:val="921"/>
    <w:uiPriority w:val="0"/>
    <w:qFormat/>
    <w:pPr>
      <w:ind w:firstLine="559"/>
      <w:spacing w:line="400" w:lineRule="exact"/>
      <w:tabs>
        <w:tab w:val="left" w:pos="0" w:leader="none"/>
        <w:tab w:val="left" w:pos="1134" w:leader="none"/>
      </w:tabs>
    </w:pPr>
    <w:rPr>
      <w:rFonts w:ascii="楷体_GB2312" w:eastAsia="楷体_GB2312"/>
      <w:sz w:val="24"/>
    </w:rPr>
  </w:style>
  <w:style w:type="character" w:styleId="921" w:customStyle="1">
    <w:name w:val="正文文本缩进 2 Char"/>
    <w:link w:val="920"/>
    <w:uiPriority w:val="0"/>
    <w:qFormat/>
    <w:rPr>
      <w:rFonts w:ascii="楷体_GB2312" w:eastAsia="楷体_GB2312"/>
      <w:sz w:val="24"/>
      <w:szCs w:val="24"/>
    </w:rPr>
  </w:style>
  <w:style w:type="paragraph" w:styleId="922" w:customStyle="1">
    <w:name w:val="批注框文本1"/>
    <w:basedOn w:val="670"/>
    <w:link w:val="923"/>
    <w:uiPriority w:val="0"/>
    <w:qFormat/>
    <w:rPr>
      <w:sz w:val="18"/>
      <w:szCs w:val="18"/>
    </w:rPr>
  </w:style>
  <w:style w:type="character" w:styleId="923" w:customStyle="1">
    <w:name w:val="批注框文本 Char"/>
    <w:link w:val="922"/>
    <w:uiPriority w:val="0"/>
    <w:qFormat/>
    <w:rPr>
      <w:sz w:val="18"/>
      <w:szCs w:val="18"/>
    </w:rPr>
  </w:style>
  <w:style w:type="paragraph" w:styleId="924" w:customStyle="1">
    <w:name w:val="页脚1"/>
    <w:basedOn w:val="670"/>
    <w:next w:val="925"/>
    <w:link w:val="926"/>
    <w:uiPriority w:val="99"/>
    <w:qFormat/>
    <w:pPr>
      <w:jc w:val="left"/>
      <w:tabs>
        <w:tab w:val="center" w:pos="4153" w:leader="none"/>
        <w:tab w:val="right" w:pos="8306" w:leader="none"/>
      </w:tabs>
    </w:pPr>
    <w:rPr>
      <w:sz w:val="18"/>
      <w:szCs w:val="18"/>
    </w:rPr>
  </w:style>
  <w:style w:type="paragraph" w:styleId="925" w:customStyle="1">
    <w:name w:val="TOC Heading1"/>
    <w:next w:val="670"/>
    <w:uiPriority w:val="0"/>
    <w:qFormat/>
    <w:rPr>
      <w:rFonts w:ascii="Times New Roman" w:hAnsi="Times New Roman" w:eastAsia="宋体" w:cs="Times New Roman"/>
      <w:sz w:val="32"/>
      <w:lang w:val="en-US" w:eastAsia="zh-CN" w:bidi="ar-SA"/>
    </w:rPr>
  </w:style>
  <w:style w:type="character" w:styleId="926" w:customStyle="1">
    <w:name w:val="页脚 Char"/>
    <w:link w:val="924"/>
    <w:uiPriority w:val="99"/>
    <w:qFormat/>
    <w:rPr>
      <w:sz w:val="18"/>
      <w:szCs w:val="18"/>
    </w:rPr>
  </w:style>
  <w:style w:type="paragraph" w:styleId="927" w:customStyle="1">
    <w:name w:val="页眉11"/>
    <w:basedOn w:val="670"/>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sz w:val="18"/>
      <w:szCs w:val="18"/>
    </w:rPr>
  </w:style>
  <w:style w:type="paragraph" w:styleId="929" w:customStyle="1">
    <w:name w:val="目录 11"/>
    <w:basedOn w:val="670"/>
    <w:next w:val="670"/>
    <w:uiPriority w:val="39"/>
    <w:qFormat/>
    <w:pPr>
      <w:spacing w:before="120" w:after="120" w:line="288" w:lineRule="auto"/>
      <w:tabs>
        <w:tab w:val="right" w:pos="8296" w:leader="dot"/>
      </w:tabs>
    </w:pPr>
    <w:rPr>
      <w:rFonts w:ascii="黑体" w:hAnsi="宋体" w:eastAsia="黑体"/>
      <w:caps/>
      <w:sz w:val="30"/>
      <w:szCs w:val="30"/>
    </w:rPr>
  </w:style>
  <w:style w:type="paragraph" w:styleId="930" w:customStyle="1">
    <w:name w:val="目录 41"/>
    <w:basedOn w:val="670"/>
    <w:next w:val="670"/>
    <w:uiPriority w:val="39"/>
    <w:qFormat/>
    <w:pPr>
      <w:ind w:left="630" w:firstLine="420"/>
      <w:jc w:val="left"/>
      <w:spacing w:line="288" w:lineRule="auto"/>
    </w:pPr>
    <w:rPr>
      <w:sz w:val="18"/>
      <w:szCs w:val="18"/>
    </w:rPr>
  </w:style>
  <w:style w:type="paragraph" w:styleId="931" w:customStyle="1">
    <w:name w:val="副标题1"/>
    <w:basedOn w:val="670"/>
    <w:next w:val="670"/>
    <w:link w:val="932"/>
    <w:uiPriority w:val="0"/>
    <w:qFormat/>
    <w:pPr>
      <w:jc w:val="center"/>
      <w:spacing w:before="240" w:after="60" w:line="312" w:lineRule="auto"/>
      <w:outlineLvl w:val="1"/>
    </w:pPr>
    <w:rPr>
      <w:rFonts w:ascii="幼圆" w:hAnsi="幼圆"/>
      <w:b/>
      <w:bCs/>
      <w:sz w:val="32"/>
      <w:szCs w:val="32"/>
    </w:rPr>
  </w:style>
  <w:style w:type="character" w:styleId="932" w:customStyle="1">
    <w:name w:val="副标题 Char"/>
    <w:link w:val="931"/>
    <w:uiPriority w:val="0"/>
    <w:qFormat/>
    <w:rPr>
      <w:rFonts w:ascii="幼圆" w:hAnsi="幼圆"/>
      <w:b/>
      <w:bCs/>
      <w:sz w:val="32"/>
      <w:szCs w:val="32"/>
    </w:rPr>
  </w:style>
  <w:style w:type="paragraph" w:styleId="933" w:customStyle="1">
    <w:name w:val="列表11"/>
    <w:basedOn w:val="670"/>
    <w:uiPriority w:val="0"/>
    <w:qFormat/>
    <w:pPr>
      <w:spacing w:after="20" w:line="288" w:lineRule="auto"/>
      <w:tabs>
        <w:tab w:val="left" w:pos="360" w:leader="none"/>
        <w:tab w:val="left" w:pos="420" w:leader="none"/>
      </w:tabs>
    </w:pPr>
    <w:rPr>
      <w:szCs w:val="20"/>
      <w:lang w:val="en-GB"/>
    </w:rPr>
  </w:style>
  <w:style w:type="paragraph" w:styleId="934" w:customStyle="1">
    <w:name w:val="脚注文本1"/>
    <w:basedOn w:val="670"/>
    <w:link w:val="935"/>
    <w:uiPriority w:val="0"/>
    <w:qFormat/>
    <w:pPr>
      <w:ind w:firstLine="425"/>
      <w:jc w:val="left"/>
      <w:spacing w:after="60" w:line="360" w:lineRule="exact"/>
    </w:pPr>
    <w:rPr>
      <w:sz w:val="18"/>
      <w:szCs w:val="18"/>
    </w:rPr>
  </w:style>
  <w:style w:type="character" w:styleId="935" w:customStyle="1">
    <w:name w:val="脚注文本 Char"/>
    <w:link w:val="934"/>
    <w:uiPriority w:val="0"/>
    <w:qFormat/>
    <w:rPr>
      <w:sz w:val="18"/>
      <w:szCs w:val="18"/>
    </w:rPr>
  </w:style>
  <w:style w:type="paragraph" w:styleId="936" w:customStyle="1">
    <w:name w:val="目录 61"/>
    <w:basedOn w:val="670"/>
    <w:next w:val="670"/>
    <w:uiPriority w:val="39"/>
    <w:qFormat/>
    <w:pPr>
      <w:ind w:left="1050" w:firstLine="420"/>
      <w:jc w:val="left"/>
      <w:spacing w:line="288" w:lineRule="auto"/>
    </w:pPr>
    <w:rPr>
      <w:sz w:val="18"/>
      <w:szCs w:val="18"/>
    </w:rPr>
  </w:style>
  <w:style w:type="paragraph" w:styleId="937" w:customStyle="1">
    <w:name w:val="正文文本缩进 31"/>
    <w:basedOn w:val="670"/>
    <w:link w:val="938"/>
    <w:uiPriority w:val="0"/>
    <w:qFormat/>
    <w:pPr>
      <w:ind w:firstLine="698"/>
      <w:jc w:val="left"/>
      <w:spacing w:line="360" w:lineRule="auto"/>
    </w:pPr>
    <w:rPr>
      <w:rFonts w:ascii="仿宋_GB2312" w:eastAsia="仿宋_GB2312"/>
      <w:sz w:val="32"/>
      <w:szCs w:val="20"/>
    </w:rPr>
  </w:style>
  <w:style w:type="character" w:styleId="938" w:customStyle="1">
    <w:name w:val="正文文本缩进 3 Char"/>
    <w:link w:val="937"/>
    <w:uiPriority w:val="0"/>
    <w:qFormat/>
    <w:rPr>
      <w:rFonts w:ascii="仿宋_GB2312" w:eastAsia="仿宋_GB2312"/>
      <w:sz w:val="32"/>
    </w:rPr>
  </w:style>
  <w:style w:type="paragraph" w:styleId="939" w:customStyle="1">
    <w:name w:val="索引 71"/>
    <w:basedOn w:val="670"/>
    <w:next w:val="670"/>
    <w:uiPriority w:val="0"/>
    <w:qFormat/>
    <w:pPr>
      <w:ind w:left="1200"/>
    </w:pPr>
    <w:rPr>
      <w:szCs w:val="20"/>
    </w:rPr>
  </w:style>
  <w:style w:type="paragraph" w:styleId="940" w:customStyle="1">
    <w:name w:val="索引 91"/>
    <w:basedOn w:val="670"/>
    <w:next w:val="670"/>
    <w:uiPriority w:val="0"/>
    <w:qFormat/>
    <w:pPr>
      <w:ind w:left="1600"/>
    </w:pPr>
    <w:rPr>
      <w:szCs w:val="20"/>
    </w:rPr>
  </w:style>
  <w:style w:type="paragraph" w:styleId="941" w:customStyle="1">
    <w:name w:val="目录 21"/>
    <w:basedOn w:val="670"/>
    <w:next w:val="670"/>
    <w:uiPriority w:val="39"/>
    <w:qFormat/>
    <w:pPr>
      <w:ind w:left="210" w:firstLine="420"/>
      <w:jc w:val="left"/>
      <w:spacing w:line="288" w:lineRule="auto"/>
    </w:pPr>
    <w:rPr>
      <w:smallCaps/>
      <w:sz w:val="20"/>
      <w:szCs w:val="20"/>
    </w:rPr>
  </w:style>
  <w:style w:type="paragraph" w:styleId="942" w:customStyle="1">
    <w:name w:val="目录 91"/>
    <w:basedOn w:val="670"/>
    <w:next w:val="670"/>
    <w:uiPriority w:val="39"/>
    <w:qFormat/>
    <w:pPr>
      <w:ind w:left="1680" w:firstLine="420"/>
      <w:jc w:val="left"/>
      <w:spacing w:line="288" w:lineRule="auto"/>
    </w:pPr>
    <w:rPr>
      <w:sz w:val="18"/>
      <w:szCs w:val="18"/>
    </w:rPr>
  </w:style>
  <w:style w:type="paragraph" w:styleId="943" w:customStyle="1">
    <w:name w:val="正文文本 21"/>
    <w:basedOn w:val="670"/>
    <w:link w:val="944"/>
    <w:uiPriority w:val="0"/>
    <w:qFormat/>
    <w:pPr>
      <w:ind w:firstLine="420"/>
      <w:spacing w:after="20" w:line="720" w:lineRule="auto"/>
    </w:pPr>
    <w:rPr>
      <w:sz w:val="30"/>
    </w:rPr>
  </w:style>
  <w:style w:type="character" w:styleId="944" w:customStyle="1">
    <w:name w:val="正文文本 2 Char"/>
    <w:link w:val="943"/>
    <w:uiPriority w:val="0"/>
    <w:qFormat/>
    <w:rPr>
      <w:sz w:val="30"/>
      <w:szCs w:val="24"/>
    </w:rPr>
  </w:style>
  <w:style w:type="paragraph" w:styleId="945" w:customStyle="1">
    <w:name w:val="HTML 预设格式1"/>
    <w:basedOn w:val="670"/>
    <w:link w:val="94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46" w:customStyle="1">
    <w:name w:val="HTML 预设格式 Char"/>
    <w:link w:val="945"/>
    <w:uiPriority w:val="0"/>
    <w:qFormat/>
    <w:rPr>
      <w:rFonts w:ascii="黑体" w:hAnsi="Courier New" w:eastAsia="黑体"/>
    </w:rPr>
  </w:style>
  <w:style w:type="paragraph" w:styleId="947" w:customStyle="1">
    <w:name w:val="普通(网站)1"/>
    <w:basedOn w:val="670"/>
    <w:link w:val="948"/>
    <w:uiPriority w:val="0"/>
    <w:qFormat/>
    <w:pPr>
      <w:ind w:firstLine="420"/>
      <w:jc w:val="left"/>
      <w:spacing w:before="100" w:beforeAutospacing="1" w:after="100" w:afterAutospacing="1" w:line="288" w:lineRule="auto"/>
      <w:widowControl/>
    </w:pPr>
    <w:rPr>
      <w:rFonts w:ascii="宋体" w:hAnsi="宋体"/>
      <w:sz w:val="24"/>
    </w:rPr>
  </w:style>
  <w:style w:type="character" w:styleId="948" w:customStyle="1">
    <w:name w:val="普通(网站) Char"/>
    <w:link w:val="947"/>
    <w:uiPriority w:val="0"/>
    <w:qFormat/>
    <w:rPr>
      <w:rFonts w:ascii="宋体" w:hAnsi="宋体"/>
      <w:sz w:val="24"/>
      <w:szCs w:val="24"/>
    </w:rPr>
  </w:style>
  <w:style w:type="paragraph" w:styleId="949" w:customStyle="1">
    <w:name w:val="索引 11"/>
    <w:basedOn w:val="670"/>
    <w:next w:val="670"/>
    <w:uiPriority w:val="0"/>
    <w:qFormat/>
    <w:rPr>
      <w:szCs w:val="20"/>
    </w:rPr>
  </w:style>
  <w:style w:type="paragraph" w:styleId="950" w:customStyle="1">
    <w:name w:val="索引 21"/>
    <w:basedOn w:val="670"/>
    <w:next w:val="670"/>
    <w:uiPriority w:val="0"/>
    <w:qFormat/>
    <w:pPr>
      <w:ind w:left="200"/>
    </w:pPr>
    <w:rPr>
      <w:szCs w:val="20"/>
    </w:rPr>
  </w:style>
  <w:style w:type="paragraph" w:styleId="951" w:customStyle="1">
    <w:name w:val="标题1"/>
    <w:basedOn w:val="670"/>
    <w:link w:val="952"/>
    <w:uiPriority w:val="0"/>
    <w:qFormat/>
    <w:pPr>
      <w:ind w:firstLine="420"/>
      <w:jc w:val="center"/>
      <w:spacing w:before="240" w:after="60" w:line="288" w:lineRule="auto"/>
      <w:outlineLvl w:val="0"/>
    </w:pPr>
    <w:rPr>
      <w:rFonts w:ascii="Arial" w:hAnsi="Arial"/>
      <w:b/>
      <w:bCs/>
      <w:sz w:val="32"/>
      <w:szCs w:val="32"/>
    </w:rPr>
  </w:style>
  <w:style w:type="character" w:styleId="952" w:customStyle="1">
    <w:name w:val="标题 Char"/>
    <w:link w:val="951"/>
    <w:uiPriority w:val="0"/>
    <w:qFormat/>
    <w:rPr>
      <w:rFonts w:ascii="Arial" w:hAnsi="Arial" w:cs="Arial"/>
      <w:b/>
      <w:bCs/>
      <w:sz w:val="32"/>
      <w:szCs w:val="32"/>
    </w:rPr>
  </w:style>
  <w:style w:type="paragraph" w:styleId="953" w:customStyle="1">
    <w:name w:val="批注主题1"/>
    <w:basedOn w:val="893"/>
    <w:next w:val="893"/>
    <w:link w:val="954"/>
    <w:uiPriority w:val="0"/>
    <w:qFormat/>
    <w:rPr>
      <w:b/>
      <w:bCs/>
    </w:rPr>
  </w:style>
  <w:style w:type="character" w:styleId="954" w:customStyle="1">
    <w:name w:val="批注主题 Char"/>
    <w:link w:val="953"/>
    <w:uiPriority w:val="0"/>
    <w:qFormat/>
    <w:rPr>
      <w:b/>
      <w:bCs/>
      <w:sz w:val="21"/>
      <w:szCs w:val="24"/>
    </w:rPr>
  </w:style>
  <w:style w:type="paragraph" w:styleId="955" w:customStyle="1">
    <w:name w:val="正文首行缩进 21"/>
    <w:basedOn w:val="905"/>
    <w:next w:val="670"/>
    <w:link w:val="956"/>
    <w:uiPriority w:val="0"/>
    <w:qFormat/>
    <w:pPr>
      <w:ind w:left="420" w:firstLine="420"/>
      <w:spacing w:after="120" w:line="240" w:lineRule="auto"/>
      <w:widowControl w:val="off"/>
    </w:pPr>
    <w:rPr>
      <w:rFonts w:ascii="Cambria" w:hAnsi="Cambria" w:eastAsia="华文细黑"/>
      <w:sz w:val="21"/>
    </w:rPr>
  </w:style>
  <w:style w:type="character" w:styleId="956" w:customStyle="1">
    <w:name w:val="正文首行缩进 2 Char"/>
    <w:link w:val="955"/>
    <w:uiPriority w:val="0"/>
    <w:qFormat/>
    <w:rPr>
      <w:rFonts w:ascii="Cambria" w:hAnsi="Cambria" w:eastAsia="华文细黑" w:cs="Cambria"/>
      <w:sz w:val="21"/>
    </w:rPr>
  </w:style>
  <w:style w:type="table" w:styleId="957" w:customStyle="1">
    <w:name w:val="网格型1"/>
    <w:basedOn w:val="875"/>
    <w:uiPriority w:val="59"/>
    <w:qFormat/>
    <w:pPr>
      <w:ind w:firstLine="200"/>
      <w:jc w:val="both"/>
      <w:spacing w:line="360" w:lineRule="auto"/>
      <w:widowControl w:val="off"/>
    </w:pPr>
    <w:tblPr>
      <w:tblCellMar>
        <w:left w:w="0" w:type="dxa"/>
        <w:top w:w="0" w:type="dxa"/>
        <w:right w:w="0" w:type="dxa"/>
        <w:bottom w:w="0" w:type="dxa"/>
      </w:tblCellMar>
    </w:tblPr>
  </w:style>
  <w:style w:type="character" w:styleId="958" w:customStyle="1">
    <w:name w:val="要点1"/>
    <w:uiPriority w:val="22"/>
    <w:qFormat/>
    <w:rPr>
      <w:b/>
      <w:bCs/>
    </w:rPr>
  </w:style>
  <w:style w:type="character" w:styleId="959" w:customStyle="1">
    <w:name w:val="页码1"/>
    <w:basedOn w:val="874"/>
    <w:uiPriority w:val="0"/>
    <w:qFormat/>
  </w:style>
  <w:style w:type="character" w:styleId="960" w:customStyle="1">
    <w:name w:val="已访问的超链接1"/>
    <w:uiPriority w:val="99"/>
    <w:qFormat/>
    <w:rPr>
      <w:color w:val="800080"/>
      <w:u w:val="none"/>
    </w:rPr>
  </w:style>
  <w:style w:type="character" w:styleId="961" w:customStyle="1">
    <w:name w:val="强调1"/>
    <w:uiPriority w:val="0"/>
    <w:qFormat/>
    <w:rPr>
      <w:i/>
    </w:rPr>
  </w:style>
  <w:style w:type="character" w:styleId="962" w:customStyle="1">
    <w:name w:val="HTML 定义1"/>
    <w:uiPriority w:val="0"/>
    <w:qFormat/>
  </w:style>
  <w:style w:type="character" w:styleId="963" w:customStyle="1">
    <w:name w:val="HTML 打字机1"/>
    <w:uiPriority w:val="0"/>
    <w:unhideWhenUsed/>
    <w:qFormat/>
    <w:rPr>
      <w:rFonts w:ascii="宋体" w:hAnsi="宋体" w:eastAsia="宋体" w:cs="宋体"/>
      <w:sz w:val="24"/>
      <w:szCs w:val="24"/>
    </w:rPr>
  </w:style>
  <w:style w:type="character" w:styleId="964" w:customStyle="1">
    <w:name w:val="HTML 缩写1"/>
    <w:basedOn w:val="874"/>
    <w:uiPriority w:val="0"/>
    <w:qFormat/>
  </w:style>
  <w:style w:type="character" w:styleId="965" w:customStyle="1">
    <w:name w:val="HTML 变量1"/>
    <w:uiPriority w:val="0"/>
    <w:qFormat/>
  </w:style>
  <w:style w:type="character" w:styleId="966" w:customStyle="1">
    <w:name w:val="超链接1"/>
    <w:uiPriority w:val="99"/>
    <w:qFormat/>
    <w:rPr>
      <w:color w:val="0000ff"/>
      <w:u w:val="none"/>
    </w:rPr>
  </w:style>
  <w:style w:type="character" w:styleId="967" w:customStyle="1">
    <w:name w:val="HTML 代码1"/>
    <w:uiPriority w:val="0"/>
    <w:qFormat/>
    <w:rPr>
      <w:rFonts w:ascii="monospace" w:hAnsi="monospace" w:eastAsia="monospace" w:cs="monospace"/>
      <w:sz w:val="20"/>
    </w:rPr>
  </w:style>
  <w:style w:type="character" w:styleId="968" w:customStyle="1">
    <w:name w:val="批注引用1"/>
    <w:uiPriority w:val="0"/>
    <w:qFormat/>
    <w:rPr>
      <w:sz w:val="21"/>
      <w:szCs w:val="21"/>
    </w:rPr>
  </w:style>
  <w:style w:type="character" w:styleId="969" w:customStyle="1">
    <w:name w:val="HTML 引文1"/>
    <w:uiPriority w:val="0"/>
    <w:qFormat/>
  </w:style>
  <w:style w:type="character" w:styleId="970" w:customStyle="1">
    <w:name w:val="脚注引用1"/>
    <w:uiPriority w:val="0"/>
    <w:qFormat/>
    <w:rPr>
      <w:rFonts w:ascii="宋体" w:hAnsi="宋体" w:eastAsia="宋体"/>
      <w:vertAlign w:val="superscript"/>
    </w:rPr>
  </w:style>
  <w:style w:type="character" w:styleId="971" w:customStyle="1">
    <w:name w:val="HTML 键盘1"/>
    <w:uiPriority w:val="0"/>
    <w:qFormat/>
    <w:rPr>
      <w:rFonts w:ascii="monospace" w:hAnsi="monospace" w:eastAsia="monospace" w:cs="monospace"/>
      <w:sz w:val="20"/>
    </w:rPr>
  </w:style>
  <w:style w:type="character" w:styleId="972" w:customStyle="1">
    <w:name w:val="HTML 样本1"/>
    <w:uiPriority w:val="0"/>
    <w:qFormat/>
    <w:rPr>
      <w:rFonts w:ascii="monospace" w:hAnsi="monospace" w:eastAsia="monospace" w:cs="monospace"/>
    </w:rPr>
  </w:style>
  <w:style w:type="paragraph" w:styleId="973" w:customStyle="1">
    <w:name w:val="列出段落1"/>
    <w:basedOn w:val="670"/>
    <w:uiPriority w:val="34"/>
    <w:qFormat/>
    <w:pPr>
      <w:ind w:firstLine="420"/>
      <w:spacing w:before="120" w:after="120" w:line="360" w:lineRule="auto"/>
    </w:pPr>
    <w:rPr>
      <w:rFonts w:ascii="Calibri" w:hAnsi="Calibri"/>
      <w:sz w:val="24"/>
      <w:szCs w:val="22"/>
    </w:rPr>
  </w:style>
  <w:style w:type="character" w:styleId="974" w:customStyle="1">
    <w:name w:val="font31"/>
    <w:basedOn w:val="680"/>
    <w:uiPriority w:val="0"/>
    <w:qFormat/>
    <w:rPr>
      <w:rFonts w:ascii="Times New Roman" w:hAnsi="Times New Roman" w:cs="Times New Roman"/>
      <w:color w:val="000000"/>
      <w:sz w:val="20"/>
      <w:szCs w:val="20"/>
      <w:u w:val="none"/>
    </w:rPr>
  </w:style>
  <w:style w:type="character" w:styleId="975" w:customStyle="1">
    <w:name w:val="Char Char2"/>
    <w:uiPriority w:val="0"/>
    <w:semiHidden/>
    <w:qFormat/>
    <w:rPr>
      <w:rFonts w:eastAsia="华文细黑"/>
      <w:sz w:val="21"/>
      <w:szCs w:val="24"/>
      <w:lang w:val="en-US" w:eastAsia="zh-CN" w:bidi="ar-SA"/>
    </w:rPr>
  </w:style>
  <w:style w:type="character" w:styleId="976" w:customStyle="1">
    <w:name w:val="font41"/>
    <w:uiPriority w:val="0"/>
    <w:qFormat/>
    <w:rPr>
      <w:rFonts w:ascii="Times New Roman" w:hAnsi="Times New Roman" w:cs="Times New Roman"/>
      <w:color w:val="000000"/>
      <w:sz w:val="20"/>
      <w:szCs w:val="20"/>
      <w:u w:val="none"/>
    </w:rPr>
  </w:style>
  <w:style w:type="character" w:styleId="977" w:customStyle="1">
    <w:name w:val="text_list1"/>
    <w:uiPriority w:val="0"/>
    <w:qFormat/>
    <w:rPr>
      <w:rFonts w:ascii="Arial" w:hAnsi="Arial" w:cs="Arial"/>
      <w:color w:val="000000"/>
      <w:spacing w:val="272"/>
      <w:sz w:val="16"/>
      <w:szCs w:val="16"/>
    </w:rPr>
  </w:style>
  <w:style w:type="character" w:styleId="978" w:customStyle="1">
    <w:name w:val="标题5 Char Char"/>
    <w:link w:val="979"/>
    <w:uiPriority w:val="0"/>
    <w:qFormat/>
    <w:rPr>
      <w:rFonts w:ascii="Tahoma" w:hAnsi="Tahoma"/>
      <w:b/>
      <w:bCs/>
      <w:sz w:val="24"/>
      <w:szCs w:val="32"/>
    </w:rPr>
  </w:style>
  <w:style w:type="paragraph" w:styleId="979" w:customStyle="1">
    <w:name w:val="标题5"/>
    <w:basedOn w:val="868"/>
    <w:link w:val="978"/>
    <w:uiPriority w:val="0"/>
    <w:qFormat/>
    <w:pPr>
      <w:spacing w:line="413" w:lineRule="auto"/>
    </w:pPr>
    <w:rPr>
      <w:rFonts w:ascii="Tahoma" w:hAnsi="Tahoma" w:eastAsia="宋体"/>
      <w:sz w:val="24"/>
    </w:rPr>
  </w:style>
  <w:style w:type="character" w:styleId="980" w:customStyle="1">
    <w:name w:val="font101"/>
    <w:uiPriority w:val="0"/>
    <w:qFormat/>
    <w:rPr>
      <w:rFonts w:ascii="Times New Roman" w:hAnsi="Times New Roman" w:cs="Times New Roman"/>
      <w:color w:val="000000"/>
      <w:sz w:val="20"/>
      <w:szCs w:val="20"/>
      <w:u w:val="none"/>
    </w:rPr>
  </w:style>
  <w:style w:type="character" w:styleId="981" w:customStyle="1">
    <w:name w:val="日期 Char1"/>
    <w:uiPriority w:val="0"/>
    <w:qFormat/>
    <w:rPr>
      <w:sz w:val="21"/>
      <w:szCs w:val="22"/>
    </w:rPr>
  </w:style>
  <w:style w:type="character" w:styleId="982" w:customStyle="1">
    <w:name w:val="Char Char"/>
    <w:uiPriority w:val="0"/>
    <w:qFormat/>
    <w:rPr>
      <w:rFonts w:eastAsia="华文细黑"/>
      <w:b/>
      <w:bCs/>
      <w:sz w:val="21"/>
      <w:szCs w:val="24"/>
      <w:lang w:val="en-US" w:eastAsia="zh-CN" w:bidi="ar-SA"/>
    </w:rPr>
  </w:style>
  <w:style w:type="character" w:styleId="983" w:customStyle="1">
    <w:name w:val="称呼 Char1"/>
    <w:uiPriority w:val="0"/>
    <w:qFormat/>
    <w:rPr>
      <w:sz w:val="21"/>
      <w:szCs w:val="24"/>
    </w:rPr>
  </w:style>
  <w:style w:type="character" w:styleId="984" w:customStyle="1">
    <w:name w:val="书籍标题1"/>
    <w:uiPriority w:val="0"/>
    <w:qFormat/>
    <w:rPr>
      <w:b/>
      <w:bCs/>
      <w:smallCaps/>
      <w:spacing w:val="5"/>
    </w:rPr>
  </w:style>
  <w:style w:type="character" w:styleId="985" w:customStyle="1">
    <w:name w:val="不明显强调1"/>
    <w:uiPriority w:val="0"/>
    <w:qFormat/>
    <w:rPr>
      <w:i/>
      <w:iCs/>
      <w:color w:val="808080"/>
    </w:rPr>
  </w:style>
  <w:style w:type="character" w:styleId="986" w:customStyle="1">
    <w:name w:val="批注文字 Char Char"/>
    <w:uiPriority w:val="0"/>
    <w:qFormat/>
    <w:rPr>
      <w:rFonts w:ascii="华文细黑" w:hAnsi="Cambria" w:eastAsia="华文细黑" w:cs="Cambria"/>
      <w:sz w:val="28"/>
      <w:szCs w:val="20"/>
    </w:rPr>
  </w:style>
  <w:style w:type="character" w:styleId="987" w:customStyle="1">
    <w:name w:val="Char Char3"/>
    <w:uiPriority w:val="0"/>
    <w:qFormat/>
    <w:rPr>
      <w:rFonts w:ascii="幼圆" w:hAnsi="华文细黑" w:eastAsia="幼圆" w:cs="Tahoma"/>
      <w:b/>
      <w:bCs/>
      <w:sz w:val="24"/>
      <w:szCs w:val="24"/>
      <w:lang w:val="en-US" w:eastAsia="zh-CN" w:bidi="ar-SA"/>
    </w:rPr>
  </w:style>
  <w:style w:type="character" w:styleId="988" w:customStyle="1">
    <w:name w:val="CODE"/>
    <w:uiPriority w:val="0"/>
    <w:qFormat/>
    <w:rPr>
      <w:rFonts w:ascii="华文细黑" w:hAnsi="华文细黑"/>
      <w:sz w:val="20"/>
    </w:rPr>
  </w:style>
  <w:style w:type="character" w:styleId="989" w:customStyle="1">
    <w:name w:val="标题 311"/>
    <w:uiPriority w:val="0"/>
    <w:qFormat/>
    <w:rPr>
      <w:rFonts w:hint="eastAsia" w:ascii="黑体" w:hAnsi="ˎ̥" w:eastAsia="黑体"/>
      <w:sz w:val="28"/>
    </w:rPr>
  </w:style>
  <w:style w:type="character" w:styleId="990" w:customStyle="1">
    <w:name w:val="Char Char11"/>
    <w:uiPriority w:val="0"/>
    <w:qFormat/>
    <w:rPr>
      <w:rFonts w:eastAsia="宋体"/>
      <w:b/>
      <w:bCs/>
      <w:sz w:val="32"/>
      <w:szCs w:val="44"/>
      <w:lang w:val="en-US" w:eastAsia="zh-CN" w:bidi="ar-SA"/>
    </w:rPr>
  </w:style>
  <w:style w:type="character" w:styleId="991" w:customStyle="1">
    <w:name w:val="font51"/>
    <w:uiPriority w:val="0"/>
    <w:qFormat/>
    <w:rPr>
      <w:rFonts w:ascii="Times New Roman" w:hAnsi="Times New Roman" w:cs="Times New Roman"/>
      <w:color w:val="000000"/>
      <w:sz w:val="20"/>
      <w:szCs w:val="20"/>
      <w:u w:val="none"/>
    </w:rPr>
  </w:style>
  <w:style w:type="character" w:styleId="992" w:customStyle="1">
    <w:name w:val="正文文本 Char1"/>
    <w:uiPriority w:val="0"/>
    <w:qFormat/>
    <w:rPr>
      <w:sz w:val="21"/>
      <w:szCs w:val="22"/>
    </w:rPr>
  </w:style>
  <w:style w:type="character" w:styleId="993" w:customStyle="1">
    <w:name w:val="结束语 Char1"/>
    <w:uiPriority w:val="0"/>
    <w:qFormat/>
    <w:rPr>
      <w:sz w:val="21"/>
      <w:szCs w:val="24"/>
    </w:rPr>
  </w:style>
  <w:style w:type="character" w:styleId="994" w:customStyle="1">
    <w:name w:val="font141"/>
    <w:uiPriority w:val="0"/>
    <w:qFormat/>
    <w:rPr>
      <w:rFonts w:hint="eastAsia" w:ascii="宋体" w:hAnsi="宋体" w:eastAsia="宋体" w:cs="宋体"/>
      <w:color w:val="000000"/>
      <w:sz w:val="20"/>
      <w:szCs w:val="20"/>
      <w:u w:val="none"/>
    </w:rPr>
  </w:style>
  <w:style w:type="character" w:styleId="995" w:customStyle="1">
    <w:name w:val="font71"/>
    <w:uiPriority w:val="0"/>
    <w:qFormat/>
    <w:rPr>
      <w:rFonts w:ascii="Times New Roman" w:hAnsi="Times New Roman" w:cs="Times New Roman"/>
      <w:color w:val="000000"/>
      <w:sz w:val="20"/>
      <w:szCs w:val="20"/>
      <w:u w:val="none"/>
    </w:rPr>
  </w:style>
  <w:style w:type="character" w:styleId="996" w:customStyle="1">
    <w:name w:val="引用 Char1"/>
    <w:uiPriority w:val="29"/>
    <w:qFormat/>
    <w:rPr>
      <w:i/>
      <w:iCs/>
      <w:color w:val="000000"/>
      <w:sz w:val="21"/>
      <w:szCs w:val="24"/>
    </w:rPr>
  </w:style>
  <w:style w:type="character" w:styleId="997" w:customStyle="1">
    <w:name w:val="font122"/>
    <w:uiPriority w:val="0"/>
    <w:qFormat/>
    <w:rPr>
      <w:rFonts w:ascii="Times New Roman" w:hAnsi="Times New Roman" w:cs="Times New Roman"/>
      <w:color w:val="000000"/>
      <w:sz w:val="20"/>
      <w:szCs w:val="20"/>
      <w:u w:val="none"/>
    </w:rPr>
  </w:style>
  <w:style w:type="character" w:styleId="998" w:customStyle="1">
    <w:name w:val="font91"/>
    <w:uiPriority w:val="0"/>
    <w:qFormat/>
    <w:rPr>
      <w:rFonts w:ascii="Times New Roman" w:hAnsi="Times New Roman" w:cs="Times New Roman"/>
      <w:color w:val="000000"/>
      <w:sz w:val="20"/>
      <w:szCs w:val="20"/>
      <w:u w:val="none"/>
    </w:rPr>
  </w:style>
  <w:style w:type="character" w:styleId="999" w:customStyle="1">
    <w:name w:val="正文缩进 Char1"/>
    <w:uiPriority w:val="0"/>
    <w:qFormat/>
    <w:rPr>
      <w:rFonts w:eastAsia="宋体"/>
      <w:lang w:val="en-US" w:eastAsia="zh-CN" w:bidi="ar-SA"/>
    </w:rPr>
  </w:style>
  <w:style w:type="character" w:styleId="1000"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01" w:customStyle="1">
    <w:name w:val="不明显参考1"/>
    <w:uiPriority w:val="0"/>
    <w:qFormat/>
    <w:rPr>
      <w:smallCaps/>
      <w:color w:val="c0504d"/>
      <w:u w:val="single"/>
    </w:rPr>
  </w:style>
  <w:style w:type="character" w:styleId="1002" w:customStyle="1">
    <w:name w:val="textcontents"/>
    <w:uiPriority w:val="0"/>
    <w:qFormat/>
    <w:rPr>
      <w:rFonts w:cs="Cambria"/>
    </w:rPr>
  </w:style>
  <w:style w:type="character" w:styleId="1003" w:customStyle="1">
    <w:name w:val="tit12"/>
    <w:uiPriority w:val="0"/>
    <w:qFormat/>
    <w:rPr>
      <w:color w:val="db2200"/>
    </w:rPr>
  </w:style>
  <w:style w:type="character" w:styleId="1004" w:customStyle="1">
    <w:name w:val="页眉 Char1"/>
    <w:uiPriority w:val="0"/>
    <w:qFormat/>
    <w:rPr>
      <w:rFonts w:eastAsia="宋体"/>
      <w:sz w:val="18"/>
      <w:szCs w:val="18"/>
      <w:lang w:val="en-US" w:eastAsia="zh-CN" w:bidi="ar-SA"/>
    </w:rPr>
  </w:style>
  <w:style w:type="character" w:styleId="1005" w:customStyle="1">
    <w:name w:val="文档结构图 Char1"/>
    <w:uiPriority w:val="0"/>
    <w:qFormat/>
    <w:rPr>
      <w:rFonts w:ascii="华文细黑"/>
      <w:sz w:val="18"/>
      <w:szCs w:val="18"/>
    </w:rPr>
  </w:style>
  <w:style w:type="character" w:styleId="1006" w:customStyle="1">
    <w:name w:val="正文文本缩进 Char"/>
    <w:uiPriority w:val="0"/>
    <w:qFormat/>
    <w:rPr>
      <w:rFonts w:ascii="Cambria" w:hAnsi="Cambria" w:eastAsia="华文细黑" w:cs="Cambria"/>
      <w:sz w:val="21"/>
      <w:szCs w:val="24"/>
    </w:rPr>
  </w:style>
  <w:style w:type="character" w:styleId="1007" w:customStyle="1">
    <w:name w:val="表格正文 Char"/>
    <w:link w:val="1008"/>
    <w:uiPriority w:val="0"/>
    <w:qFormat/>
    <w:rPr>
      <w:sz w:val="21"/>
      <w:szCs w:val="24"/>
    </w:rPr>
  </w:style>
  <w:style w:type="paragraph" w:styleId="1008" w:customStyle="1">
    <w:name w:val="表格正文"/>
    <w:basedOn w:val="670"/>
    <w:link w:val="1007"/>
    <w:uiPriority w:val="0"/>
    <w:qFormat/>
  </w:style>
  <w:style w:type="character" w:styleId="1009" w:customStyle="1">
    <w:name w:val="Definition"/>
    <w:uiPriority w:val="0"/>
    <w:qFormat/>
    <w:rPr>
      <w:i/>
    </w:rPr>
  </w:style>
  <w:style w:type="character" w:styleId="1010" w:customStyle="1">
    <w:name w:val="Keyboard"/>
    <w:uiPriority w:val="0"/>
    <w:qFormat/>
    <w:rPr>
      <w:rFonts w:ascii="华文细黑" w:hAnsi="华文细黑"/>
      <w:b/>
      <w:sz w:val="20"/>
    </w:rPr>
  </w:style>
  <w:style w:type="character" w:styleId="1011" w:customStyle="1">
    <w:name w:val="font21"/>
    <w:uiPriority w:val="0"/>
    <w:qFormat/>
    <w:rPr>
      <w:rFonts w:ascii="Times New Roman" w:hAnsi="Times New Roman" w:cs="Times New Roman"/>
      <w:color w:val="000000"/>
      <w:sz w:val="20"/>
      <w:szCs w:val="20"/>
      <w:u w:val="none"/>
    </w:rPr>
  </w:style>
  <w:style w:type="character" w:styleId="1012" w:customStyle="1">
    <w:name w:val="HTML 预设格式 Char1"/>
    <w:uiPriority w:val="0"/>
    <w:qFormat/>
    <w:rPr>
      <w:rFonts w:ascii="Courier New" w:hAnsi="Courier New" w:cs="Courier New"/>
    </w:rPr>
  </w:style>
  <w:style w:type="character" w:styleId="1013" w:customStyle="1">
    <w:name w:val="font81"/>
    <w:uiPriority w:val="0"/>
    <w:qFormat/>
    <w:rPr>
      <w:rFonts w:hint="eastAsia" w:ascii="宋体" w:hAnsi="宋体" w:eastAsia="宋体" w:cs="宋体"/>
      <w:color w:val="000000"/>
      <w:sz w:val="20"/>
      <w:szCs w:val="20"/>
      <w:u w:val="none"/>
    </w:rPr>
  </w:style>
  <w:style w:type="character" w:styleId="1014" w:customStyle="1">
    <w:name w:val="chword"/>
    <w:uiPriority w:val="0"/>
    <w:qFormat/>
  </w:style>
  <w:style w:type="character" w:styleId="1015" w:customStyle="1">
    <w:name w:val="Comment"/>
    <w:uiPriority w:val="0"/>
    <w:qFormat/>
    <w:rPr>
      <w:vanish/>
    </w:rPr>
  </w:style>
  <w:style w:type="character" w:styleId="1016" w:customStyle="1">
    <w:name w:val="Para head"/>
    <w:uiPriority w:val="0"/>
    <w:qFormat/>
    <w:rPr>
      <w:rFonts w:ascii="Arial" w:hAnsi="Arial" w:eastAsia="Times New Roman"/>
      <w:sz w:val="20"/>
    </w:rPr>
  </w:style>
  <w:style w:type="character" w:styleId="1017" w:customStyle="1">
    <w:name w:val="副标题 Char1"/>
    <w:uiPriority w:val="0"/>
    <w:qFormat/>
    <w:rPr>
      <w:rFonts w:ascii="Cambria" w:hAnsi="Cambria" w:cs="Times New Roman"/>
      <w:b/>
      <w:bCs/>
      <w:sz w:val="32"/>
      <w:szCs w:val="32"/>
    </w:rPr>
  </w:style>
  <w:style w:type="character" w:styleId="1018" w:customStyle="1">
    <w:name w:val="Variable"/>
    <w:uiPriority w:val="0"/>
    <w:qFormat/>
    <w:rPr>
      <w:i/>
    </w:rPr>
  </w:style>
  <w:style w:type="character" w:styleId="1019" w:customStyle="1">
    <w:name w:val="引用 Char"/>
    <w:link w:val="1020"/>
    <w:uiPriority w:val="0"/>
    <w:qFormat/>
    <w:rPr>
      <w:i/>
      <w:iCs/>
      <w:color w:val="000000"/>
      <w:sz w:val="21"/>
      <w:szCs w:val="22"/>
    </w:rPr>
  </w:style>
  <w:style w:type="paragraph" w:styleId="1020" w:customStyle="1">
    <w:name w:val="引用1"/>
    <w:basedOn w:val="670"/>
    <w:next w:val="670"/>
    <w:link w:val="1019"/>
    <w:uiPriority w:val="0"/>
    <w:qFormat/>
    <w:rPr>
      <w:i/>
      <w:iCs/>
      <w:color w:val="000000"/>
      <w:szCs w:val="22"/>
    </w:rPr>
  </w:style>
  <w:style w:type="character" w:styleId="1021" w:customStyle="1">
    <w:name w:val="HTML Markup"/>
    <w:uiPriority w:val="0"/>
    <w:qFormat/>
    <w:rPr>
      <w:vanish/>
      <w:color w:val="ff0000"/>
    </w:rPr>
  </w:style>
  <w:style w:type="character" w:styleId="1022" w:customStyle="1">
    <w:name w:val="Char Char1"/>
    <w:uiPriority w:val="0"/>
    <w:qFormat/>
    <w:rPr>
      <w:rFonts w:ascii="幼圆" w:hAnsi="Tahoma" w:eastAsia="幼圆" w:cs="Tahoma"/>
      <w:b/>
      <w:bCs/>
      <w:sz w:val="32"/>
      <w:szCs w:val="32"/>
      <w:lang w:val="en-US" w:eastAsia="zh-CN" w:bidi="ar-SA"/>
    </w:rPr>
  </w:style>
  <w:style w:type="character" w:styleId="1023" w:customStyle="1">
    <w:name w:val="font112"/>
    <w:uiPriority w:val="0"/>
    <w:qFormat/>
    <w:rPr>
      <w:rFonts w:hint="eastAsia" w:ascii="宋体" w:hAnsi="宋体" w:eastAsia="宋体" w:cs="宋体"/>
      <w:color w:val="000000"/>
      <w:sz w:val="20"/>
      <w:szCs w:val="20"/>
      <w:u w:val="none"/>
    </w:rPr>
  </w:style>
  <w:style w:type="character" w:styleId="1024" w:customStyle="1">
    <w:name w:val="批注框文本 Char1"/>
    <w:uiPriority w:val="0"/>
    <w:qFormat/>
    <w:rPr>
      <w:sz w:val="18"/>
      <w:szCs w:val="18"/>
    </w:rPr>
  </w:style>
  <w:style w:type="character" w:styleId="1025" w:customStyle="1">
    <w:name w:val="Typewriter"/>
    <w:uiPriority w:val="0"/>
    <w:qFormat/>
    <w:rPr>
      <w:rFonts w:ascii="华文细黑" w:hAnsi="华文细黑"/>
      <w:sz w:val="20"/>
    </w:rPr>
  </w:style>
  <w:style w:type="character" w:styleId="1026" w:customStyle="1">
    <w:name w:val="font121"/>
    <w:uiPriority w:val="0"/>
    <w:qFormat/>
    <w:rPr>
      <w:rFonts w:hint="eastAsia" w:ascii="宋体" w:hAnsi="宋体" w:eastAsia="宋体" w:cs="宋体"/>
      <w:color w:val="000000"/>
      <w:sz w:val="20"/>
      <w:szCs w:val="20"/>
      <w:u w:val="none"/>
    </w:rPr>
  </w:style>
  <w:style w:type="character" w:styleId="1027" w:customStyle="1">
    <w:name w:val="font11"/>
    <w:uiPriority w:val="0"/>
    <w:qFormat/>
    <w:rPr>
      <w:rFonts w:hint="eastAsia" w:ascii="宋体" w:hAnsi="宋体" w:eastAsia="宋体" w:cs="宋体"/>
      <w:color w:val="000000"/>
      <w:sz w:val="20"/>
      <w:szCs w:val="20"/>
      <w:u w:val="none"/>
    </w:rPr>
  </w:style>
  <w:style w:type="character" w:styleId="1028" w:customStyle="1">
    <w:name w:val="itm1"/>
    <w:uiPriority w:val="0"/>
    <w:qFormat/>
    <w:rPr>
      <w:rFonts w:hint="eastAsia" w:ascii="宋体" w:hAnsi="宋体" w:eastAsia="宋体"/>
      <w:sz w:val="21"/>
      <w:szCs w:val="21"/>
    </w:rPr>
  </w:style>
  <w:style w:type="character" w:styleId="1029" w:customStyle="1">
    <w:name w:val="明显引用 Char1"/>
    <w:uiPriority w:val="30"/>
    <w:qFormat/>
    <w:rPr>
      <w:b/>
      <w:bCs/>
      <w:i/>
      <w:iCs/>
      <w:color w:val="4f81bd"/>
      <w:sz w:val="21"/>
      <w:szCs w:val="24"/>
    </w:rPr>
  </w:style>
  <w:style w:type="character" w:styleId="1030" w:customStyle="1">
    <w:name w:val="font131"/>
    <w:uiPriority w:val="0"/>
    <w:qFormat/>
    <w:rPr>
      <w:rFonts w:hint="eastAsia" w:ascii="宋体" w:hAnsi="宋体" w:eastAsia="宋体" w:cs="宋体"/>
      <w:color w:val="ff0000"/>
      <w:sz w:val="18"/>
      <w:szCs w:val="18"/>
      <w:u w:val="none"/>
    </w:rPr>
  </w:style>
  <w:style w:type="character" w:styleId="1031" w:customStyle="1">
    <w:name w:val="批注主题 Char1"/>
    <w:uiPriority w:val="0"/>
    <w:qFormat/>
    <w:rPr>
      <w:b/>
      <w:bCs/>
      <w:sz w:val="21"/>
      <w:szCs w:val="22"/>
    </w:rPr>
  </w:style>
  <w:style w:type="character" w:styleId="1032" w:customStyle="1">
    <w:name w:val="明显参考1"/>
    <w:uiPriority w:val="0"/>
    <w:qFormat/>
    <w:rPr>
      <w:b/>
      <w:bCs/>
      <w:smallCaps/>
      <w:color w:val="c0504d"/>
      <w:spacing w:val="5"/>
      <w:u w:val="single"/>
    </w:rPr>
  </w:style>
  <w:style w:type="character" w:styleId="1033" w:customStyle="1">
    <w:name w:val="CITE"/>
    <w:uiPriority w:val="0"/>
    <w:qFormat/>
    <w:rPr>
      <w:i/>
    </w:rPr>
  </w:style>
  <w:style w:type="character" w:styleId="1034" w:customStyle="1">
    <w:name w:val="more6"/>
    <w:basedOn w:val="874"/>
    <w:uiPriority w:val="0"/>
    <w:qFormat/>
  </w:style>
  <w:style w:type="character" w:styleId="1035" w:customStyle="1">
    <w:name w:val="脚注文本 Char1"/>
    <w:uiPriority w:val="0"/>
    <w:qFormat/>
    <w:rPr>
      <w:sz w:val="18"/>
      <w:szCs w:val="18"/>
    </w:rPr>
  </w:style>
  <w:style w:type="character" w:styleId="1036" w:customStyle="1">
    <w:name w:val="Sample"/>
    <w:uiPriority w:val="0"/>
    <w:qFormat/>
    <w:rPr>
      <w:rFonts w:ascii="华文细黑" w:hAnsi="华文细黑"/>
    </w:rPr>
  </w:style>
  <w:style w:type="character" w:styleId="1037" w:customStyle="1">
    <w:name w:val="Char Char4"/>
    <w:uiPriority w:val="0"/>
    <w:qFormat/>
    <w:rPr>
      <w:rFonts w:ascii="华文细黑" w:hAnsi="华文细黑" w:eastAsia="幼圆" w:cs="Tahoma"/>
      <w:b/>
      <w:sz w:val="28"/>
      <w:szCs w:val="32"/>
      <w:lang w:val="en-US" w:eastAsia="zh-CN" w:bidi="ar-SA"/>
    </w:rPr>
  </w:style>
  <w:style w:type="character" w:styleId="1038" w:customStyle="1">
    <w:name w:val="明显引用 Char"/>
    <w:link w:val="1039"/>
    <w:uiPriority w:val="0"/>
    <w:qFormat/>
    <w:rPr>
      <w:b/>
      <w:bCs/>
      <w:i/>
      <w:iCs/>
      <w:color w:val="4f81bd"/>
      <w:sz w:val="21"/>
      <w:szCs w:val="22"/>
    </w:rPr>
  </w:style>
  <w:style w:type="paragraph" w:styleId="1039" w:customStyle="1">
    <w:name w:val="明显引用1"/>
    <w:basedOn w:val="670"/>
    <w:next w:val="670"/>
    <w:link w:val="1038"/>
    <w:uiPriority w:val="0"/>
    <w:qFormat/>
    <w:pPr>
      <w:ind w:left="936" w:right="936"/>
      <w:spacing w:before="200" w:after="280"/>
      <w:pBdr>
        <w:bottom w:val="single" w:color="4F81BD" w:sz="4" w:space="4"/>
      </w:pBdr>
    </w:pPr>
    <w:rPr>
      <w:b/>
      <w:bCs/>
      <w:i/>
      <w:iCs/>
      <w:color w:val="4f81bd"/>
      <w:szCs w:val="22"/>
    </w:rPr>
  </w:style>
  <w:style w:type="character" w:styleId="1040" w:customStyle="1">
    <w:name w:val="明显强调1"/>
    <w:uiPriority w:val="0"/>
    <w:qFormat/>
    <w:rPr>
      <w:b/>
      <w:bCs/>
      <w:i/>
      <w:iCs/>
      <w:color w:val="4f81bd"/>
    </w:rPr>
  </w:style>
  <w:style w:type="character" w:styleId="1041" w:customStyle="1">
    <w:name w:val="Char Char Char"/>
    <w:uiPriority w:val="0"/>
    <w:qFormat/>
    <w:rPr>
      <w:rFonts w:ascii="宋体" w:hAnsi="宋体" w:eastAsia="宋体"/>
      <w:b/>
      <w:sz w:val="24"/>
      <w:lang w:val="en-US" w:eastAsia="zh-CN" w:bidi="ar-SA"/>
    </w:rPr>
  </w:style>
  <w:style w:type="paragraph" w:styleId="1042" w:customStyle="1">
    <w:name w:val="CM4"/>
    <w:basedOn w:val="1043"/>
    <w:next w:val="1043"/>
    <w:uiPriority w:val="99"/>
    <w:qFormat/>
    <w:pPr>
      <w:spacing w:line="468" w:lineRule="atLeast"/>
    </w:pPr>
    <w:rPr>
      <w:rFonts w:ascii="Times New Roman PSMT" w:hAnsi="Times New Roman" w:eastAsia="Times New Roman PSMT" w:cs="Times New Roman PSMT"/>
    </w:rPr>
  </w:style>
  <w:style w:type="paragraph" w:styleId="1043"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044" w:customStyle="1">
    <w:name w:val="xl27"/>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5" w:customStyle="1">
    <w:name w:val="H1"/>
    <w:basedOn w:val="670"/>
    <w:next w:val="670"/>
    <w:uiPriority w:val="0"/>
    <w:qFormat/>
    <w:pPr>
      <w:jc w:val="left"/>
      <w:keepNext/>
      <w:spacing w:before="100" w:after="100"/>
      <w:outlineLvl w:val="1"/>
    </w:pPr>
    <w:rPr>
      <w:b/>
      <w:sz w:val="48"/>
      <w:szCs w:val="20"/>
    </w:rPr>
  </w:style>
  <w:style w:type="paragraph" w:styleId="1046" w:customStyle="1">
    <w:name w:val="样式 标题 1 + 黑体 三号 非加粗 居中 段前: 6 磅 段后: 6 磅 行距: 固定值 20 磅"/>
    <w:basedOn w:val="866"/>
    <w:uiPriority w:val="0"/>
    <w:qFormat/>
    <w:pPr>
      <w:numPr>
        <w:numId w:val="0"/>
      </w:numPr>
      <w:spacing w:before="120" w:after="120" w:line="400" w:lineRule="exact"/>
    </w:pPr>
    <w:rPr>
      <w:rFonts w:ascii="幼圆" w:hAnsi="幼圆" w:eastAsia="幼圆" w:cs="华文细黑"/>
      <w:b w:val="0"/>
      <w:bCs w:val="0"/>
      <w:sz w:val="32"/>
      <w:szCs w:val="20"/>
    </w:rPr>
  </w:style>
  <w:style w:type="paragraph" w:styleId="1047" w:customStyle="1">
    <w:name w:val="ZDY正文"/>
    <w:basedOn w:val="670"/>
    <w:uiPriority w:val="0"/>
    <w:qFormat/>
    <w:pPr>
      <w:ind w:firstLine="200"/>
      <w:jc w:val="left"/>
      <w:spacing w:before="156" w:line="360" w:lineRule="auto"/>
    </w:pPr>
    <w:rPr>
      <w:rFonts w:ascii="宋体" w:hAnsi="宋体"/>
      <w:sz w:val="24"/>
    </w:rPr>
  </w:style>
  <w:style w:type="paragraph" w:styleId="1048" w:customStyle="1">
    <w:name w:val="1"/>
    <w:basedOn w:val="670"/>
    <w:uiPriority w:val="0"/>
    <w:qFormat/>
    <w:pPr>
      <w:ind w:firstLine="200"/>
      <w:spacing w:line="360" w:lineRule="auto"/>
    </w:pPr>
    <w:rPr>
      <w:rFonts w:ascii="华文细黑" w:hAnsi="华文细黑" w:eastAsia="华文细黑" w:cs="华文细黑"/>
      <w:sz w:val="24"/>
    </w:rPr>
  </w:style>
  <w:style w:type="paragraph" w:styleId="1049" w:customStyle="1">
    <w:name w:val="简介正文"/>
    <w:basedOn w:val="670"/>
    <w:uiPriority w:val="0"/>
    <w:qFormat/>
    <w:pPr>
      <w:ind w:left="1701" w:hanging="1701"/>
      <w:spacing w:after="20" w:line="520" w:lineRule="exact"/>
      <w:tabs>
        <w:tab w:val="left" w:pos="360" w:leader="none"/>
      </w:tabs>
    </w:pPr>
    <w:rPr>
      <w:sz w:val="24"/>
      <w:szCs w:val="20"/>
    </w:rPr>
  </w:style>
  <w:style w:type="paragraph" w:styleId="1050" w:customStyle="1">
    <w:name w:val="xl37"/>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51" w:customStyle="1">
    <w:name w:val="xl43"/>
    <w:basedOn w:val="67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52" w:customStyle="1">
    <w:name w:val="xl38"/>
    <w:basedOn w:val="67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53" w:customStyle="1">
    <w:name w:val="样式 纯文本 + 楷体_GB2312 小四 行距: 固定值 20 磅1"/>
    <w:basedOn w:val="913"/>
    <w:uiPriority w:val="0"/>
    <w:qFormat/>
    <w:pPr>
      <w:ind w:firstLine="200"/>
      <w:spacing w:line="400" w:lineRule="exact"/>
    </w:pPr>
    <w:rPr>
      <w:rFonts w:ascii="楷体_GB2312" w:eastAsia="楷体_GB2312"/>
      <w:sz w:val="24"/>
      <w:szCs w:val="20"/>
    </w:rPr>
  </w:style>
  <w:style w:type="paragraph" w:styleId="1054" w:customStyle="1">
    <w:name w:val="列表2"/>
    <w:basedOn w:val="670"/>
    <w:uiPriority w:val="0"/>
    <w:qFormat/>
    <w:pPr>
      <w:ind w:left="1469" w:hanging="420"/>
      <w:spacing w:after="20" w:line="288" w:lineRule="auto"/>
      <w:tabs>
        <w:tab w:val="left" w:pos="1470" w:leader="none"/>
      </w:tabs>
    </w:pPr>
  </w:style>
  <w:style w:type="paragraph" w:styleId="1055" w:customStyle="1">
    <w:name w:val="程序代码"/>
    <w:basedOn w:val="670"/>
    <w:uiPriority w:val="0"/>
    <w:qFormat/>
    <w:pPr>
      <w:ind w:left="839" w:firstLine="420"/>
      <w:spacing w:after="20" w:line="288" w:lineRule="auto"/>
    </w:pPr>
    <w:rPr>
      <w:rFonts w:eastAsia="仿宋_GB2312"/>
    </w:rPr>
  </w:style>
  <w:style w:type="paragraph" w:styleId="1056" w:customStyle="1">
    <w:name w:val="无间隔1"/>
    <w:uiPriority w:val="1"/>
    <w:qFormat/>
    <w:pPr>
      <w:jc w:val="both"/>
      <w:widowControl w:val="off"/>
    </w:pPr>
    <w:rPr>
      <w:rFonts w:ascii="Times New Roman" w:hAnsi="Times New Roman" w:eastAsia="宋体" w:cs="Times New Roman"/>
      <w:sz w:val="21"/>
      <w:szCs w:val="22"/>
      <w:lang w:val="en-US" w:eastAsia="zh-CN" w:bidi="ar-SA"/>
    </w:rPr>
  </w:style>
  <w:style w:type="paragraph" w:styleId="1057" w:customStyle="1">
    <w:name w:val="xl24"/>
    <w:basedOn w:val="6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8" w:customStyle="1">
    <w:name w:val="默认段落字体 Para Char"/>
    <w:basedOn w:val="670"/>
    <w:uiPriority w:val="0"/>
    <w:qFormat/>
    <w:pPr>
      <w:ind w:firstLine="200"/>
      <w:spacing w:line="360" w:lineRule="auto"/>
    </w:pPr>
    <w:rPr>
      <w:rFonts w:ascii="华文细黑" w:hAnsi="华文细黑" w:eastAsia="华文细黑" w:cs="华文细黑"/>
      <w:sz w:val="24"/>
    </w:rPr>
  </w:style>
  <w:style w:type="paragraph" w:styleId="1059" w:customStyle="1">
    <w:name w:val="xl30"/>
    <w:basedOn w:val="67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60" w:customStyle="1">
    <w:name w:val="无间隔2"/>
    <w:uiPriority w:val="0"/>
    <w:qFormat/>
    <w:pPr>
      <w:jc w:val="both"/>
      <w:widowControl w:val="off"/>
    </w:pPr>
    <w:rPr>
      <w:rFonts w:ascii="仿宋_GB2312" w:hAnsi="仿宋_GB2312" w:eastAsia="华文细黑" w:cs="Cambria"/>
      <w:sz w:val="21"/>
      <w:szCs w:val="22"/>
      <w:lang w:val="en-US" w:eastAsia="zh-CN" w:bidi="ar-SA"/>
    </w:rPr>
  </w:style>
  <w:style w:type="paragraph" w:styleId="1061" w:customStyle="1">
    <w:name w:val="xl4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62" w:customStyle="1">
    <w:name w:val="xl39"/>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63" w:customStyle="1">
    <w:name w:val="xl52"/>
    <w:basedOn w:val="6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64" w:customStyle="1">
    <w:name w:val="Blockquote"/>
    <w:basedOn w:val="670"/>
    <w:uiPriority w:val="0"/>
    <w:qFormat/>
    <w:pPr>
      <w:ind w:left="360" w:right="360"/>
      <w:jc w:val="left"/>
      <w:spacing w:before="100" w:after="100"/>
    </w:pPr>
    <w:rPr>
      <w:rFonts w:ascii="Cambria" w:hAnsi="Cambria" w:eastAsia="华文细黑" w:cs="Cambria"/>
      <w:sz w:val="24"/>
      <w:szCs w:val="20"/>
    </w:rPr>
  </w:style>
  <w:style w:type="paragraph" w:styleId="1065" w:customStyle="1">
    <w:name w:val="Char Char Char Char Char Char Char Char Char Char Char Char Char Char Char Char"/>
    <w:basedOn w:val="670"/>
    <w:uiPriority w:val="0"/>
    <w:qFormat/>
    <w:pPr>
      <w:tabs>
        <w:tab w:val="left" w:pos="360" w:leader="none"/>
      </w:tabs>
    </w:pPr>
    <w:rPr>
      <w:sz w:val="24"/>
    </w:rPr>
  </w:style>
  <w:style w:type="paragraph" w:styleId="1066" w:customStyle="1">
    <w:name w:val="Char Char Char Char"/>
    <w:basedOn w:val="670"/>
    <w:uiPriority w:val="0"/>
    <w:qFormat/>
    <w:rPr>
      <w:rFonts w:ascii="Tahoma" w:hAnsi="Tahoma"/>
      <w:sz w:val="24"/>
      <w:szCs w:val="20"/>
    </w:rPr>
  </w:style>
  <w:style w:type="paragraph" w:styleId="1067" w:customStyle="1">
    <w:name w:val="xl32"/>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8" w:customStyle="1">
    <w:name w:val="Default Paragraph Font Para Char"/>
    <w:basedOn w:val="670"/>
    <w:uiPriority w:val="0"/>
    <w:qFormat/>
    <w:pPr>
      <w:jc w:val="left"/>
      <w:spacing w:after="160" w:line="240" w:lineRule="exact"/>
      <w:widowControl/>
    </w:pPr>
  </w:style>
  <w:style w:type="paragraph" w:styleId="1069" w:customStyle="1">
    <w:name w:val="默认段落字体 Para Char Char Char1 Char"/>
    <w:basedOn w:val="670"/>
    <w:uiPriority w:val="0"/>
    <w:qFormat/>
    <w:pPr>
      <w:ind w:left="420" w:firstLine="420"/>
      <w:spacing w:line="360" w:lineRule="auto"/>
    </w:pPr>
    <w:rPr>
      <w:sz w:val="24"/>
      <w:szCs w:val="21"/>
    </w:rPr>
  </w:style>
  <w:style w:type="paragraph" w:styleId="1070" w:customStyle="1">
    <w:name w:val="Char Char Char Char Char Char Char Char Char Char"/>
    <w:basedOn w:val="670"/>
    <w:uiPriority w:val="0"/>
    <w:qFormat/>
    <w:pPr>
      <w:numPr>
        <w:ilvl w:val="0"/>
        <w:numId w:val="3"/>
      </w:numPr>
    </w:pPr>
    <w:rPr>
      <w:sz w:val="24"/>
    </w:rPr>
  </w:style>
  <w:style w:type="paragraph" w:styleId="1071" w:customStyle="1">
    <w:name w:val="Char Char Char Char1"/>
    <w:basedOn w:val="670"/>
    <w:uiPriority w:val="0"/>
    <w:qFormat/>
    <w:pPr>
      <w:ind w:left="560" w:firstLine="480"/>
      <w:jc w:val="left"/>
      <w:spacing w:after="120" w:line="360" w:lineRule="auto"/>
      <w:widowControl/>
      <w:tabs>
        <w:tab w:val="left" w:pos="360" w:leader="none"/>
      </w:tabs>
    </w:pPr>
    <w:rPr>
      <w:rFonts w:ascii="Verdana" w:hAnsi="Verdana"/>
      <w:sz w:val="24"/>
    </w:rPr>
  </w:style>
  <w:style w:type="paragraph" w:styleId="1072"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73" w:customStyle="1">
    <w:name w:val="表头"/>
    <w:basedOn w:val="670"/>
    <w:uiPriority w:val="0"/>
    <w:qFormat/>
    <w:pPr>
      <w:jc w:val="center"/>
      <w:spacing w:line="320" w:lineRule="atLeast"/>
    </w:pPr>
    <w:rPr>
      <w:rFonts w:eastAsia="黑体"/>
      <w:spacing w:val="-10"/>
      <w:szCs w:val="20"/>
    </w:rPr>
  </w:style>
  <w:style w:type="paragraph" w:styleId="1074" w:customStyle="1">
    <w:name w:val="H4"/>
    <w:basedOn w:val="670"/>
    <w:next w:val="670"/>
    <w:uiPriority w:val="0"/>
    <w:qFormat/>
    <w:pPr>
      <w:jc w:val="left"/>
      <w:keepNext/>
      <w:spacing w:before="100" w:after="100"/>
      <w:outlineLvl w:val="4"/>
    </w:pPr>
    <w:rPr>
      <w:b/>
      <w:sz w:val="24"/>
      <w:szCs w:val="20"/>
    </w:rPr>
  </w:style>
  <w:style w:type="paragraph" w:styleId="1075" w:customStyle="1">
    <w:name w:val="Char"/>
    <w:basedOn w:val="670"/>
    <w:uiPriority w:val="0"/>
    <w:qFormat/>
    <w:pPr>
      <w:ind w:left="420" w:firstLine="420"/>
      <w:spacing w:line="240" w:lineRule="atLeast"/>
    </w:pPr>
    <w:rPr>
      <w:szCs w:val="21"/>
    </w:rPr>
  </w:style>
  <w:style w:type="paragraph" w:styleId="1076" w:customStyle="1">
    <w:name w:val="xl33"/>
    <w:basedOn w:val="6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7" w:customStyle="1">
    <w:name w:val="z-Top of Form"/>
    <w:next w:val="670"/>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078" w:customStyle="1">
    <w:name w:val="标题0"/>
    <w:basedOn w:val="951"/>
    <w:next w:val="951"/>
    <w:uiPriority w:val="0"/>
    <w:qFormat/>
    <w:rPr>
      <w:sz w:val="52"/>
    </w:rPr>
  </w:style>
  <w:style w:type="paragraph" w:styleId="1079" w:customStyle="1">
    <w:name w:val="Javis"/>
    <w:basedOn w:val="670"/>
    <w:uiPriority w:val="0"/>
    <w:qFormat/>
    <w:pPr>
      <w:ind w:right="210"/>
    </w:pPr>
    <w:rPr>
      <w:rFonts w:cs="宋体"/>
      <w:sz w:val="24"/>
      <w:szCs w:val="20"/>
    </w:rPr>
  </w:style>
  <w:style w:type="paragraph" w:styleId="1080" w:customStyle="1">
    <w:name w:val="Definition List"/>
    <w:basedOn w:val="670"/>
    <w:next w:val="1081"/>
    <w:uiPriority w:val="0"/>
    <w:qFormat/>
    <w:pPr>
      <w:ind w:left="360"/>
      <w:jc w:val="left"/>
    </w:pPr>
    <w:rPr>
      <w:rFonts w:ascii="Cambria" w:hAnsi="Cambria" w:eastAsia="华文细黑" w:cs="Cambria"/>
      <w:sz w:val="24"/>
      <w:szCs w:val="20"/>
    </w:rPr>
  </w:style>
  <w:style w:type="paragraph" w:styleId="1081" w:customStyle="1">
    <w:name w:val="Definition Term"/>
    <w:basedOn w:val="670"/>
    <w:next w:val="1080"/>
    <w:uiPriority w:val="0"/>
    <w:qFormat/>
    <w:pPr>
      <w:jc w:val="left"/>
    </w:pPr>
    <w:rPr>
      <w:rFonts w:ascii="Cambria" w:hAnsi="Cambria" w:eastAsia="华文细黑" w:cs="Cambria"/>
      <w:sz w:val="24"/>
      <w:szCs w:val="20"/>
    </w:rPr>
  </w:style>
  <w:style w:type="paragraph" w:styleId="1082" w:customStyle="1">
    <w:name w:val="样式 标题 3 + (中文) 黑体 小四 非加粗 段前: 7.8 磅 段后: 0 磅 行距: 固定值 20 磅"/>
    <w:basedOn w:val="868"/>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83" w:customStyle="1">
    <w:name w:val="表格文字"/>
    <w:basedOn w:val="670"/>
    <w:uiPriority w:val="0"/>
    <w:qFormat/>
    <w:pPr>
      <w:jc w:val="left"/>
      <w:spacing w:line="288" w:lineRule="auto"/>
    </w:pPr>
    <w:rPr>
      <w:szCs w:val="20"/>
    </w:rPr>
  </w:style>
  <w:style w:type="paragraph" w:styleId="1084" w:customStyle="1">
    <w:name w:val="默认段落字体 Para Char Char Char"/>
    <w:basedOn w:val="670"/>
    <w:uiPriority w:val="0"/>
    <w:qFormat/>
  </w:style>
  <w:style w:type="paragraph" w:styleId="1085" w:customStyle="1">
    <w:name w:val="Preformatted"/>
    <w:basedOn w:val="6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86" w:customStyle="1">
    <w:name w:val="font7"/>
    <w:basedOn w:val="670"/>
    <w:uiPriority w:val="0"/>
    <w:qFormat/>
    <w:pPr>
      <w:ind w:firstLine="420"/>
      <w:jc w:val="left"/>
      <w:spacing w:before="100" w:beforeAutospacing="1" w:after="100" w:afterAutospacing="1" w:line="288" w:lineRule="auto"/>
      <w:widowControl/>
    </w:pPr>
    <w:rPr>
      <w:b/>
      <w:bCs/>
      <w:sz w:val="24"/>
    </w:rPr>
  </w:style>
  <w:style w:type="paragraph" w:styleId="1087" w:customStyle="1">
    <w:name w:val="H2"/>
    <w:basedOn w:val="670"/>
    <w:next w:val="670"/>
    <w:uiPriority w:val="0"/>
    <w:qFormat/>
    <w:pPr>
      <w:jc w:val="left"/>
      <w:keepNext/>
      <w:spacing w:before="100" w:after="100"/>
      <w:outlineLvl w:val="2"/>
    </w:pPr>
    <w:rPr>
      <w:b/>
      <w:sz w:val="36"/>
      <w:szCs w:val="20"/>
    </w:rPr>
  </w:style>
  <w:style w:type="paragraph" w:styleId="1088" w:customStyle="1">
    <w:name w:val="正文2"/>
    <w:basedOn w:val="670"/>
    <w:uiPriority w:val="0"/>
    <w:qFormat/>
    <w:pPr>
      <w:ind w:firstLine="200"/>
      <w:jc w:val="left"/>
      <w:spacing w:after="160" w:line="360" w:lineRule="auto"/>
      <w:widowControl/>
    </w:pPr>
    <w:rPr>
      <w:rFonts w:ascii="Verdana" w:hAnsi="Verdana" w:eastAsia="黑体"/>
      <w:szCs w:val="20"/>
      <w:lang w:eastAsia="en-US"/>
    </w:rPr>
  </w:style>
  <w:style w:type="paragraph" w:styleId="1089" w:customStyle="1">
    <w:name w:val="样式一"/>
    <w:basedOn w:val="670"/>
    <w:uiPriority w:val="0"/>
    <w:qFormat/>
    <w:pPr>
      <w:numPr>
        <w:ilvl w:val="2"/>
        <w:numId w:val="2"/>
      </w:numPr>
      <w:spacing w:before="100" w:after="100" w:line="360" w:lineRule="exact"/>
    </w:pPr>
    <w:rPr>
      <w:rFonts w:ascii="宋体" w:hAnsi="宋体" w:eastAsia="黑体"/>
      <w:sz w:val="24"/>
      <w:szCs w:val="20"/>
      <w:lang w:val="en-GB"/>
    </w:rPr>
  </w:style>
  <w:style w:type="paragraph" w:styleId="1090" w:customStyle="1">
    <w:name w:val="xl36"/>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91" w:customStyle="1">
    <w:name w:val="xl51"/>
    <w:basedOn w:val="6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92" w:customStyle="1">
    <w:name w:val="目录文字"/>
    <w:basedOn w:val="670"/>
    <w:uiPriority w:val="0"/>
    <w:qFormat/>
    <w:pPr>
      <w:jc w:val="left"/>
      <w:spacing w:line="480" w:lineRule="auto"/>
      <w:widowControl/>
    </w:pPr>
    <w:rPr>
      <w:rFonts w:ascii="宋体" w:hAnsi="宋体"/>
      <w:sz w:val="24"/>
      <w:szCs w:val="20"/>
    </w:rPr>
  </w:style>
  <w:style w:type="paragraph" w:styleId="1093" w:customStyle="1">
    <w:name w:val="名词解释11"/>
    <w:basedOn w:val="1094"/>
    <w:uiPriority w:val="0"/>
    <w:qFormat/>
    <w:pPr>
      <w:ind w:firstLine="0"/>
      <w:spacing w:after="0"/>
    </w:pPr>
  </w:style>
  <w:style w:type="paragraph" w:styleId="1094" w:customStyle="1">
    <w:name w:val="名词解释"/>
    <w:basedOn w:val="670"/>
    <w:uiPriority w:val="0"/>
    <w:qFormat/>
    <w:pPr>
      <w:ind w:left="2325" w:hanging="2325"/>
      <w:spacing w:after="20" w:line="288" w:lineRule="auto"/>
    </w:pPr>
    <w:rPr>
      <w:szCs w:val="20"/>
    </w:rPr>
  </w:style>
  <w:style w:type="paragraph" w:styleId="1095" w:customStyle="1">
    <w:name w:val="xl31"/>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6" w:customStyle="1">
    <w:name w:val="Char111"/>
    <w:basedOn w:val="670"/>
    <w:uiPriority w:val="0"/>
    <w:qFormat/>
    <w:pPr>
      <w:ind w:firstLine="200"/>
      <w:spacing w:line="360" w:lineRule="auto"/>
    </w:pPr>
    <w:rPr>
      <w:rFonts w:ascii="宋体" w:hAnsi="宋体" w:cs="宋体"/>
      <w:sz w:val="24"/>
    </w:rPr>
  </w:style>
  <w:style w:type="paragraph" w:styleId="1097" w:customStyle="1">
    <w:name w:val="xl26"/>
    <w:basedOn w:val="6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8" w:customStyle="1">
    <w:name w:val="CM41"/>
    <w:basedOn w:val="1043"/>
    <w:next w:val="1043"/>
    <w:uiPriority w:val="99"/>
    <w:qFormat/>
    <w:pPr>
      <w:spacing w:after="478"/>
    </w:pPr>
    <w:rPr>
      <w:rFonts w:ascii="Times New Roman PSMT" w:hAnsi="Times New Roman" w:eastAsia="Times New Roman PSMT" w:cs="Times New Roman PSMT"/>
    </w:rPr>
  </w:style>
  <w:style w:type="paragraph" w:styleId="1099" w:customStyle="1">
    <w:name w:val="图形"/>
    <w:basedOn w:val="670"/>
    <w:uiPriority w:val="0"/>
    <w:qFormat/>
    <w:pPr>
      <w:ind w:firstLine="420"/>
      <w:jc w:val="center"/>
      <w:spacing w:after="20" w:line="288" w:lineRule="auto"/>
    </w:pPr>
  </w:style>
  <w:style w:type="paragraph" w:styleId="1100" w:customStyle="1">
    <w:name w:val="重点"/>
    <w:basedOn w:val="670"/>
    <w:uiPriority w:val="0"/>
    <w:qFormat/>
    <w:pPr>
      <w:ind w:firstLine="420"/>
      <w:spacing w:after="20" w:line="288" w:lineRule="auto"/>
      <w:shd w:val="pct10" w:color="auto" w:fill="auto"/>
    </w:pPr>
    <w:rPr>
      <w:rFonts w:eastAsia="黑体"/>
      <w:b/>
    </w:rPr>
  </w:style>
  <w:style w:type="paragraph" w:styleId="1101" w:customStyle="1">
    <w:name w:val="Address"/>
    <w:basedOn w:val="670"/>
    <w:next w:val="670"/>
    <w:uiPriority w:val="0"/>
    <w:qFormat/>
    <w:pPr>
      <w:jc w:val="left"/>
    </w:pPr>
    <w:rPr>
      <w:rFonts w:ascii="Cambria" w:hAnsi="Cambria" w:eastAsia="华文细黑" w:cs="Cambria"/>
      <w:i/>
      <w:sz w:val="24"/>
      <w:szCs w:val="20"/>
    </w:rPr>
  </w:style>
  <w:style w:type="paragraph" w:styleId="1102" w:customStyle="1">
    <w:name w:val="flNote"/>
    <w:basedOn w:val="670"/>
    <w:uiPriority w:val="0"/>
    <w:qFormat/>
    <w:pPr>
      <w:jc w:val="center"/>
      <w:spacing w:before="320" w:after="160" w:line="360" w:lineRule="atLeast"/>
    </w:pPr>
    <w:rPr>
      <w:rFonts w:ascii="Tahoma" w:hAnsi="Cambria" w:eastAsia="幼圆" w:cs="Cambria"/>
      <w:sz w:val="30"/>
      <w:szCs w:val="20"/>
    </w:rPr>
  </w:style>
  <w:style w:type="paragraph" w:styleId="1103" w:customStyle="1">
    <w:name w:val="z-Bottom of Form"/>
    <w:next w:val="670"/>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04" w:customStyle="1">
    <w:name w:val="函数注释1"/>
    <w:basedOn w:val="670"/>
    <w:uiPriority w:val="0"/>
    <w:qFormat/>
    <w:pPr>
      <w:ind w:left="1678" w:right="210" w:hanging="1049"/>
      <w:jc w:val="left"/>
      <w:spacing w:after="20" w:line="320" w:lineRule="exact"/>
    </w:pPr>
    <w:rPr>
      <w:szCs w:val="20"/>
    </w:rPr>
  </w:style>
  <w:style w:type="paragraph" w:styleId="1105" w:customStyle="1">
    <w:name w:val="xl29"/>
    <w:basedOn w:val="67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6" w:customStyle="1">
    <w:name w:val="xl40"/>
    <w:basedOn w:val="6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07" w:customStyle="1">
    <w:name w:val="xl48"/>
    <w:basedOn w:val="6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8" w:customStyle="1">
    <w:name w:val="a2"/>
    <w:basedOn w:val="670"/>
    <w:uiPriority w:val="0"/>
    <w:qFormat/>
    <w:pPr>
      <w:jc w:val="left"/>
      <w:spacing w:before="100" w:beforeAutospacing="1" w:after="100" w:afterAutospacing="1"/>
      <w:widowControl/>
    </w:pPr>
    <w:rPr>
      <w:rFonts w:ascii="宋体" w:hAnsi="宋体" w:cs="宋体"/>
      <w:sz w:val="24"/>
    </w:rPr>
  </w:style>
  <w:style w:type="paragraph" w:styleId="1109" w:customStyle="1">
    <w:name w:val="p0"/>
    <w:basedOn w:val="670"/>
    <w:uiPriority w:val="0"/>
    <w:qFormat/>
    <w:pPr>
      <w:widowControl/>
    </w:pPr>
    <w:rPr>
      <w:szCs w:val="21"/>
    </w:rPr>
  </w:style>
  <w:style w:type="paragraph" w:styleId="1110" w:customStyle="1">
    <w:name w:val="正文1)"/>
    <w:basedOn w:val="6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11" w:customStyle="1">
    <w:name w:val="H3"/>
    <w:basedOn w:val="670"/>
    <w:next w:val="670"/>
    <w:uiPriority w:val="0"/>
    <w:qFormat/>
    <w:pPr>
      <w:jc w:val="left"/>
      <w:keepNext/>
      <w:spacing w:before="100" w:after="100"/>
      <w:outlineLvl w:val="3"/>
    </w:pPr>
    <w:rPr>
      <w:b/>
      <w:sz w:val="28"/>
      <w:szCs w:val="20"/>
    </w:rPr>
  </w:style>
  <w:style w:type="paragraph" w:styleId="1112" w:customStyle="1">
    <w:name w:val="标准式样"/>
    <w:basedOn w:val="941"/>
    <w:uiPriority w:val="0"/>
    <w:qFormat/>
  </w:style>
  <w:style w:type="paragraph" w:styleId="1113" w:customStyle="1">
    <w:name w:val="菲页(卷)"/>
    <w:basedOn w:val="866"/>
    <w:next w:val="1072"/>
    <w:uiPriority w:val="0"/>
    <w:qFormat/>
    <w:pPr>
      <w:ind w:left="780" w:hanging="360"/>
      <w:keepLines w:val="0"/>
      <w:spacing w:before="0" w:after="0" w:line="240" w:lineRule="auto"/>
      <w:widowControl/>
      <w:outlineLvl w:val="1"/>
    </w:pPr>
    <w:rPr>
      <w:b w:val="0"/>
      <w:bCs w:val="0"/>
      <w:sz w:val="52"/>
      <w:szCs w:val="20"/>
    </w:rPr>
  </w:style>
  <w:style w:type="paragraph" w:styleId="1114" w:customStyle="1">
    <w:name w:val="表格标题"/>
    <w:basedOn w:val="670"/>
    <w:uiPriority w:val="0"/>
    <w:qFormat/>
    <w:pPr>
      <w:jc w:val="center"/>
      <w:spacing w:before="120" w:line="400" w:lineRule="exact"/>
    </w:pPr>
    <w:rPr>
      <w:rFonts w:eastAsia="文鼎CS中宋"/>
      <w:spacing w:val="8"/>
      <w:sz w:val="24"/>
      <w:szCs w:val="20"/>
    </w:rPr>
  </w:style>
  <w:style w:type="paragraph" w:styleId="1115" w:customStyle="1">
    <w:name w:val="表蕊"/>
    <w:basedOn w:val="670"/>
    <w:uiPriority w:val="0"/>
    <w:qFormat/>
    <w:pPr>
      <w:jc w:val="left"/>
      <w:spacing w:line="320" w:lineRule="atLeast"/>
    </w:pPr>
    <w:rPr>
      <w:rFonts w:eastAsia="楷体_GB2312"/>
      <w:spacing w:val="-10"/>
      <w:szCs w:val="20"/>
    </w:rPr>
  </w:style>
  <w:style w:type="paragraph" w:styleId="1116" w:customStyle="1">
    <w:name w:val="回信地址"/>
    <w:basedOn w:val="67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17" w:customStyle="1">
    <w:name w:val="章标题"/>
    <w:next w:val="670"/>
    <w:uiPriority w:val="0"/>
    <w:qFormat/>
    <w:pPr>
      <w:ind w:left="1440" w:hanging="360"/>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118" w:customStyle="1">
    <w:name w:val="H6"/>
    <w:basedOn w:val="670"/>
    <w:next w:val="670"/>
    <w:uiPriority w:val="0"/>
    <w:qFormat/>
    <w:pPr>
      <w:jc w:val="left"/>
      <w:keepNext/>
      <w:spacing w:before="100" w:after="100"/>
      <w:outlineLvl w:val="6"/>
    </w:pPr>
    <w:rPr>
      <w:b/>
      <w:sz w:val="16"/>
      <w:szCs w:val="20"/>
    </w:rPr>
  </w:style>
  <w:style w:type="paragraph" w:styleId="1119" w:customStyle="1">
    <w:name w:val="样式 标题 2 + Times New Roman 四号 非加粗 段前: 5 磅 段后: 0 磅 行距: 固定值 20..."/>
    <w:basedOn w:val="867"/>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20" w:customStyle="1">
    <w:name w:val="xl25"/>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1" w:customStyle="1">
    <w:name w:val="TOC 标题11"/>
    <w:basedOn w:val="866"/>
    <w:next w:val="670"/>
    <w:uiPriority w:val="39"/>
    <w:unhideWhenUsed/>
    <w:qFormat/>
    <w:pPr>
      <w:numPr>
        <w:numId w:val="4"/>
      </w:numPr>
      <w:ind w:left="0" w:firstLine="0"/>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122" w:customStyle="1">
    <w:name w:val="Char1"/>
    <w:basedOn w:val="670"/>
    <w:uiPriority w:val="0"/>
    <w:qFormat/>
    <w:rPr>
      <w:rFonts w:ascii="仿宋_GB2312" w:eastAsia="仿宋_GB2312"/>
      <w:b/>
      <w:sz w:val="32"/>
      <w:szCs w:val="32"/>
    </w:rPr>
  </w:style>
  <w:style w:type="paragraph" w:styleId="1123" w:customStyle="1">
    <w:name w:val="TOC 标题2"/>
    <w:basedOn w:val="866"/>
    <w:next w:val="670"/>
    <w:uiPriority w:val="0"/>
    <w:qFormat/>
    <w:pPr>
      <w:numPr>
        <w:numId w:val="0"/>
      </w:numPr>
      <w:jc w:val="both"/>
      <w:outlineLvl w:val="9"/>
    </w:pPr>
    <w:rPr>
      <w:rFonts w:ascii="Cambria" w:hAnsi="Cambria" w:eastAsia="华文细黑" w:cs="Cambria"/>
    </w:rPr>
  </w:style>
  <w:style w:type="paragraph" w:styleId="1124" w:customStyle="1">
    <w:name w:val="xl45"/>
    <w:basedOn w:val="6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5" w:customStyle="1">
    <w:name w:val="并列项-点"/>
    <w:basedOn w:val="670"/>
    <w:uiPriority w:val="0"/>
    <w:qFormat/>
    <w:pPr>
      <w:ind w:left="851" w:hanging="284"/>
      <w:spacing w:before="120" w:line="360" w:lineRule="auto"/>
      <w:widowControl/>
      <w:tabs>
        <w:tab w:val="left" w:pos="851" w:leader="none"/>
        <w:tab w:val="left" w:pos="927" w:leader="none"/>
      </w:tabs>
    </w:pPr>
    <w:rPr>
      <w:sz w:val="24"/>
      <w:szCs w:val="20"/>
    </w:rPr>
  </w:style>
  <w:style w:type="paragraph" w:styleId="1126" w:customStyle="1">
    <w:name w:val="Char Char Char Char Char Char Char"/>
    <w:basedOn w:val="670"/>
    <w:uiPriority w:val="0"/>
    <w:qFormat/>
    <w:pPr>
      <w:jc w:val="left"/>
      <w:spacing w:after="160" w:line="240" w:lineRule="exact"/>
      <w:widowControl/>
    </w:pPr>
    <w:rPr>
      <w:rFonts w:ascii="Arial" w:hAnsi="Arial" w:eastAsia="Times New Roman" w:cs="Verdana"/>
      <w:b/>
      <w:sz w:val="24"/>
      <w:lang w:eastAsia="en-US"/>
    </w:rPr>
  </w:style>
  <w:style w:type="paragraph" w:styleId="1127" w:customStyle="1">
    <w:name w:val="列出段落2"/>
    <w:basedOn w:val="670"/>
    <w:uiPriority w:val="34"/>
    <w:qFormat/>
    <w:pPr>
      <w:ind w:firstLine="420"/>
    </w:pPr>
    <w:rPr>
      <w:rFonts w:ascii="Calibri" w:hAnsi="Calibri"/>
      <w:szCs w:val="22"/>
    </w:rPr>
  </w:style>
  <w:style w:type="paragraph" w:styleId="1128" w:customStyle="1">
    <w:name w:val="默认段落字体 Para Char Char Char Char Char Char Char"/>
    <w:basedOn w:val="670"/>
    <w:uiPriority w:val="0"/>
    <w:qFormat/>
    <w:rPr>
      <w:rFonts w:eastAsia="华文细黑" w:cs="Cambria"/>
      <w:sz w:val="24"/>
      <w:szCs w:val="20"/>
    </w:rPr>
  </w:style>
  <w:style w:type="paragraph" w:styleId="1129" w:customStyle="1">
    <w:name w:val="Char11"/>
    <w:basedOn w:val="670"/>
    <w:uiPriority w:val="0"/>
    <w:qFormat/>
    <w:rPr>
      <w:rFonts w:ascii="仿宋_GB2312" w:eastAsia="仿宋_GB2312"/>
      <w:b/>
      <w:sz w:val="32"/>
      <w:szCs w:val="32"/>
    </w:rPr>
  </w:style>
  <w:style w:type="paragraph" w:styleId="1130" w:customStyle="1">
    <w:name w:val="项目符号1"/>
    <w:basedOn w:val="670"/>
    <w:uiPriority w:val="0"/>
    <w:qFormat/>
    <w:pPr>
      <w:numPr>
        <w:ilvl w:val="1"/>
        <w:numId w:val="4"/>
      </w:numPr>
      <w:tabs>
        <w:tab w:val="left" w:pos="360" w:leader="none"/>
      </w:tabs>
    </w:pPr>
    <w:rPr>
      <w:szCs w:val="20"/>
    </w:rPr>
  </w:style>
  <w:style w:type="paragraph" w:styleId="1131" w:customStyle="1">
    <w:name w:val="标准文字"/>
    <w:basedOn w:val="670"/>
    <w:uiPriority w:val="0"/>
    <w:qFormat/>
    <w:pPr>
      <w:ind w:firstLine="420"/>
      <w:spacing w:after="20" w:line="360" w:lineRule="auto"/>
    </w:pPr>
  </w:style>
  <w:style w:type="paragraph" w:styleId="1132" w:customStyle="1">
    <w:name w:val="页眉1"/>
    <w:basedOn w:val="67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33" w:customStyle="1">
    <w:name w:val="样式1"/>
    <w:basedOn w:val="670"/>
    <w:uiPriority w:val="0"/>
    <w:qFormat/>
    <w:pPr>
      <w:spacing w:before="120" w:after="120" w:line="300" w:lineRule="auto"/>
    </w:pPr>
    <w:rPr>
      <w:rFonts w:ascii="宋体" w:hAnsi="宋体"/>
      <w:b/>
      <w:sz w:val="24"/>
      <w:szCs w:val="20"/>
    </w:rPr>
  </w:style>
  <w:style w:type="paragraph" w:styleId="1134" w:customStyle="1">
    <w:name w:val="菲页1"/>
    <w:basedOn w:val="867"/>
    <w:uiPriority w:val="0"/>
    <w:qFormat/>
    <w:pPr>
      <w:numPr>
        <w:numId w:val="0"/>
      </w:numPr>
      <w:jc w:val="center"/>
      <w:widowControl/>
    </w:pPr>
    <w:rPr>
      <w:rFonts w:ascii="黑体" w:hAnsi="宋体"/>
      <w:b w:val="0"/>
      <w:bCs w:val="0"/>
      <w:sz w:val="52"/>
      <w:szCs w:val="20"/>
    </w:rPr>
  </w:style>
  <w:style w:type="paragraph" w:styleId="1135" w:customStyle="1">
    <w:name w:val="菲页2"/>
    <w:basedOn w:val="868"/>
    <w:uiPriority w:val="0"/>
    <w:qFormat/>
    <w:pPr>
      <w:ind w:left="6233" w:hanging="420"/>
      <w:jc w:val="center"/>
      <w:spacing w:before="120" w:after="120" w:line="360" w:lineRule="auto"/>
      <w:widowControl/>
    </w:pPr>
    <w:rPr>
      <w:rFonts w:hAnsi="宋体"/>
      <w:b w:val="0"/>
      <w:bCs w:val="0"/>
      <w:sz w:val="44"/>
      <w:szCs w:val="20"/>
    </w:rPr>
  </w:style>
  <w:style w:type="paragraph" w:styleId="1136" w:customStyle="1">
    <w:name w:val="Char Char Char Char Char Char Char Char Char Char1"/>
    <w:basedOn w:val="670"/>
    <w:uiPriority w:val="0"/>
    <w:qFormat/>
    <w:pPr>
      <w:ind w:left="425" w:hanging="425"/>
      <w:tabs>
        <w:tab w:val="left" w:pos="425" w:leader="none"/>
      </w:tabs>
    </w:pPr>
    <w:rPr>
      <w:sz w:val="28"/>
      <w:szCs w:val="20"/>
    </w:rPr>
  </w:style>
  <w:style w:type="paragraph" w:styleId="1137" w:customStyle="1">
    <w:name w:val="xl47"/>
    <w:basedOn w:val="6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38" w:customStyle="1">
    <w:name w:val="函数注释2"/>
    <w:basedOn w:val="670"/>
    <w:uiPriority w:val="0"/>
    <w:qFormat/>
    <w:pPr>
      <w:ind w:left="1680" w:firstLine="420"/>
      <w:spacing w:after="20" w:line="288" w:lineRule="auto"/>
    </w:pPr>
  </w:style>
  <w:style w:type="paragraph" w:styleId="1139" w:customStyle="1">
    <w:name w:val="Char Char Char Char Char Char"/>
    <w:basedOn w:val="670"/>
    <w:uiPriority w:val="0"/>
    <w:qFormat/>
    <w:pPr>
      <w:jc w:val="left"/>
      <w:spacing w:after="160" w:line="240" w:lineRule="exact"/>
      <w:widowControl/>
    </w:pPr>
    <w:rPr>
      <w:rFonts w:ascii="黑体" w:hAnsi="Verdana" w:eastAsia="黑体"/>
      <w:sz w:val="32"/>
      <w:szCs w:val="32"/>
    </w:rPr>
  </w:style>
  <w:style w:type="paragraph" w:styleId="1140" w:customStyle="1">
    <w:name w:val="yyn"/>
    <w:basedOn w:val="670"/>
    <w:uiPriority w:val="0"/>
    <w:qFormat/>
    <w:pPr>
      <w:ind w:right="562" w:firstLine="576"/>
      <w:keepNext/>
      <w:spacing w:line="360" w:lineRule="auto"/>
      <w:widowControl/>
    </w:pPr>
    <w:rPr>
      <w:rFonts w:ascii="宋体"/>
      <w:sz w:val="28"/>
      <w:szCs w:val="20"/>
    </w:rPr>
  </w:style>
  <w:style w:type="paragraph" w:styleId="1141" w:customStyle="1">
    <w:name w:val="font0"/>
    <w:basedOn w:val="670"/>
    <w:uiPriority w:val="0"/>
    <w:qFormat/>
    <w:pPr>
      <w:jc w:val="left"/>
      <w:spacing w:before="100" w:beforeAutospacing="1" w:after="100" w:afterAutospacing="1"/>
      <w:widowControl/>
    </w:pPr>
    <w:rPr>
      <w:rFonts w:hint="eastAsia" w:ascii="宋体" w:hAnsi="宋体"/>
      <w:sz w:val="18"/>
      <w:szCs w:val="18"/>
    </w:rPr>
  </w:style>
  <w:style w:type="paragraph" w:styleId="1142" w:customStyle="1">
    <w:name w:val="font6"/>
    <w:basedOn w:val="670"/>
    <w:uiPriority w:val="0"/>
    <w:qFormat/>
    <w:pPr>
      <w:ind w:firstLine="420"/>
      <w:jc w:val="left"/>
      <w:spacing w:before="100" w:beforeAutospacing="1" w:after="100" w:afterAutospacing="1" w:line="288" w:lineRule="auto"/>
      <w:widowControl/>
    </w:pPr>
    <w:rPr>
      <w:sz w:val="24"/>
    </w:rPr>
  </w:style>
  <w:style w:type="paragraph" w:styleId="1143" w:customStyle="1">
    <w:name w:val="xl35"/>
    <w:basedOn w:val="6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4" w:customStyle="1">
    <w:name w:val="xl49"/>
    <w:basedOn w:val="670"/>
    <w:uiPriority w:val="0"/>
    <w:qFormat/>
    <w:pPr>
      <w:jc w:val="center"/>
      <w:spacing w:before="100" w:beforeAutospacing="1" w:after="100" w:afterAutospacing="1"/>
      <w:widowControl/>
    </w:pPr>
    <w:rPr>
      <w:rFonts w:ascii="宋体" w:hAnsi="宋体"/>
      <w:b/>
      <w:bCs/>
      <w:color w:val="000000"/>
      <w:sz w:val="40"/>
      <w:szCs w:val="40"/>
    </w:rPr>
  </w:style>
  <w:style w:type="paragraph" w:styleId="1145" w:customStyle="1">
    <w:name w:val="xl23"/>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6" w:customStyle="1">
    <w:name w:val="修订1"/>
    <w:uiPriority w:val="0"/>
    <w:qFormat/>
    <w:rPr>
      <w:rFonts w:ascii="Cambria" w:hAnsi="Cambria" w:eastAsia="华文细黑" w:cs="Cambria"/>
      <w:sz w:val="21"/>
      <w:szCs w:val="24"/>
      <w:lang w:val="en-US" w:eastAsia="zh-CN" w:bidi="ar-SA"/>
    </w:rPr>
  </w:style>
  <w:style w:type="paragraph" w:styleId="1147" w:customStyle="1">
    <w:name w:val="font5"/>
    <w:basedOn w:val="670"/>
    <w:uiPriority w:val="0"/>
    <w:qFormat/>
    <w:pPr>
      <w:jc w:val="left"/>
      <w:spacing w:before="100" w:beforeAutospacing="1" w:after="100" w:afterAutospacing="1"/>
      <w:widowControl/>
    </w:pPr>
    <w:rPr>
      <w:rFonts w:hint="eastAsia" w:ascii="宋体" w:hAnsi="宋体"/>
      <w:sz w:val="18"/>
      <w:szCs w:val="18"/>
    </w:rPr>
  </w:style>
  <w:style w:type="paragraph" w:styleId="1148" w:customStyle="1">
    <w:name w:val="样式 (西文) 仿宋_GB2312 居中 行距: 1.5 倍行距"/>
    <w:basedOn w:val="670"/>
    <w:uiPriority w:val="0"/>
    <w:qFormat/>
    <w:pPr>
      <w:jc w:val="center"/>
      <w:spacing w:line="360" w:lineRule="auto"/>
    </w:pPr>
    <w:rPr>
      <w:rFonts w:ascii="华文细黑" w:hAnsi="华文细黑" w:eastAsia="华文细黑" w:cs="华文细黑"/>
      <w:szCs w:val="20"/>
    </w:rPr>
  </w:style>
  <w:style w:type="paragraph" w:styleId="1149" w:customStyle="1">
    <w:name w:val="列表_名词"/>
    <w:basedOn w:val="1093"/>
    <w:uiPriority w:val="0"/>
    <w:qFormat/>
    <w:pPr>
      <w:ind w:left="2745" w:hanging="420"/>
      <w:tabs>
        <w:tab w:val="left" w:pos="2745" w:leader="none"/>
      </w:tabs>
    </w:pPr>
  </w:style>
  <w:style w:type="paragraph" w:styleId="1150" w:customStyle="1">
    <w:name w:val="xl41"/>
    <w:basedOn w:val="67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51" w:customStyle="1">
    <w:name w:val="目录"/>
    <w:basedOn w:val="670"/>
    <w:next w:val="670"/>
    <w:uiPriority w:val="0"/>
    <w:qFormat/>
    <w:pPr>
      <w:ind w:firstLine="420"/>
      <w:jc w:val="center"/>
      <w:spacing w:before="360" w:after="360" w:line="360" w:lineRule="auto"/>
    </w:pPr>
    <w:rPr>
      <w:b/>
      <w:spacing w:val="200"/>
      <w:sz w:val="36"/>
      <w:szCs w:val="20"/>
    </w:rPr>
  </w:style>
  <w:style w:type="paragraph" w:styleId="1152" w:customStyle="1">
    <w:name w:val="Char Char Char Char Char Char Char Char Char Char2"/>
    <w:basedOn w:val="670"/>
    <w:uiPriority w:val="0"/>
    <w:qFormat/>
    <w:pPr>
      <w:tabs>
        <w:tab w:val="left" w:pos="360" w:leader="none"/>
      </w:tabs>
    </w:pPr>
  </w:style>
  <w:style w:type="paragraph" w:styleId="1153" w:customStyle="1">
    <w:name w:val="xl50"/>
    <w:basedOn w:val="670"/>
    <w:uiPriority w:val="0"/>
    <w:qFormat/>
    <w:pPr>
      <w:jc w:val="center"/>
      <w:spacing w:before="100" w:beforeAutospacing="1" w:after="100" w:afterAutospacing="1"/>
      <w:widowControl/>
    </w:pPr>
    <w:rPr>
      <w:rFonts w:ascii="宋体" w:hAnsi="宋体"/>
      <w:b/>
      <w:bCs/>
      <w:sz w:val="40"/>
      <w:szCs w:val="40"/>
    </w:rPr>
  </w:style>
  <w:style w:type="paragraph" w:styleId="1154" w:customStyle="1">
    <w:name w:val="表格"/>
    <w:basedOn w:val="670"/>
    <w:uiPriority w:val="0"/>
    <w:qFormat/>
    <w:pPr>
      <w:jc w:val="center"/>
    </w:pPr>
    <w:rPr>
      <w:szCs w:val="21"/>
    </w:rPr>
  </w:style>
  <w:style w:type="paragraph" w:styleId="1155" w:customStyle="1">
    <w:name w:val="正文(缩进)"/>
    <w:basedOn w:val="670"/>
    <w:uiPriority w:val="0"/>
    <w:qFormat/>
    <w:pPr>
      <w:ind w:firstLine="200"/>
      <w:spacing w:line="360" w:lineRule="auto"/>
      <w:widowControl/>
    </w:pPr>
    <w:rPr>
      <w:rFonts w:eastAsia="仿宋_GB2312"/>
      <w:sz w:val="24"/>
      <w:szCs w:val="20"/>
    </w:rPr>
  </w:style>
  <w:style w:type="paragraph" w:styleId="1156" w:customStyle="1">
    <w:name w:val="Char Char Char1 Char Char Char"/>
    <w:basedOn w:val="670"/>
    <w:uiPriority w:val="0"/>
    <w:qFormat/>
    <w:pPr>
      <w:ind w:firstLine="200"/>
    </w:pPr>
    <w:rPr>
      <w:rFonts w:ascii="Tahoma" w:hAnsi="Tahoma"/>
      <w:sz w:val="24"/>
      <w:szCs w:val="20"/>
    </w:rPr>
  </w:style>
  <w:style w:type="paragraph" w:styleId="1157" w:customStyle="1">
    <w:name w:val="产品型号"/>
    <w:basedOn w:val="670"/>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58" w:customStyle="1">
    <w:name w:val="xl28"/>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9" w:customStyle="1">
    <w:name w:val="H5"/>
    <w:basedOn w:val="670"/>
    <w:next w:val="670"/>
    <w:uiPriority w:val="0"/>
    <w:qFormat/>
    <w:pPr>
      <w:jc w:val="left"/>
      <w:keepNext/>
      <w:spacing w:before="100" w:after="100"/>
      <w:outlineLvl w:val="5"/>
    </w:pPr>
    <w:rPr>
      <w:b/>
      <w:sz w:val="20"/>
      <w:szCs w:val="20"/>
    </w:rPr>
  </w:style>
  <w:style w:type="paragraph" w:styleId="1160" w:customStyle="1">
    <w:name w:val="xl22"/>
    <w:basedOn w:val="6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61" w:customStyle="1">
    <w:name w:val="空半行"/>
    <w:basedOn w:val="670"/>
    <w:uiPriority w:val="0"/>
    <w:qFormat/>
    <w:pPr>
      <w:spacing w:line="120" w:lineRule="exact"/>
    </w:pPr>
    <w:rPr>
      <w:rFonts w:ascii="Cambria" w:hAnsi="Cambria" w:eastAsia="Tahoma" w:cs="Cambria"/>
      <w:color w:val="ffffff"/>
      <w:sz w:val="30"/>
      <w:szCs w:val="20"/>
    </w:rPr>
  </w:style>
  <w:style w:type="paragraph" w:styleId="1162" w:customStyle="1">
    <w:name w:val="xl44"/>
    <w:basedOn w:val="67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63" w:customStyle="1">
    <w:name w:val="xl42"/>
    <w:basedOn w:val="67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64" w:customStyle="1">
    <w:name w:val="xl34"/>
    <w:basedOn w:val="6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165" w:customStyle="1">
    <w:name w:val="NormalCharacter1"/>
    <w:uiPriority w:val="0"/>
    <w:qFormat/>
  </w:style>
  <w:style w:type="paragraph" w:styleId="1166" w:customStyle="1">
    <w:name w:val="UserStyle_4"/>
    <w:basedOn w:val="670"/>
    <w:link w:val="1167"/>
    <w:uiPriority w:val="99"/>
    <w:qFormat/>
  </w:style>
  <w:style w:type="character" w:styleId="1167" w:customStyle="1">
    <w:name w:val="NormalCharacter11"/>
    <w:link w:val="1166"/>
    <w:uiPriority w:val="99"/>
    <w:qFormat/>
    <w:rPr>
      <w:rFonts w:ascii="Times New Roman" w:hAnsi="Times New Roman" w:cs="Times New Roman"/>
    </w:rPr>
  </w:style>
  <w:style w:type="paragraph" w:styleId="1168" w:customStyle="1">
    <w:name w:val="正文缩进1"/>
    <w:basedOn w:val="670"/>
    <w:uiPriority w:val="0"/>
    <w:qFormat/>
    <w:pPr>
      <w:ind w:firstLine="420"/>
      <w:jc w:val="left"/>
      <w:widowControl/>
    </w:pPr>
    <w:rPr>
      <w:sz w:val="20"/>
      <w:szCs w:val="20"/>
    </w:rPr>
  </w:style>
  <w:style w:type="paragraph" w:styleId="1169" w:customStyle="1">
    <w:name w:val="BodyText1I1"/>
    <w:basedOn w:val="1170"/>
    <w:uiPriority w:val="0"/>
    <w:qFormat/>
    <w:pPr>
      <w:ind w:firstLine="420"/>
      <w:spacing w:line="440" w:lineRule="exact"/>
    </w:pPr>
    <w:rPr>
      <w:rFonts w:ascii="宋体" w:hAnsi="Calibri" w:eastAsia="仿宋_GB2312"/>
      <w:sz w:val="24"/>
    </w:rPr>
  </w:style>
  <w:style w:type="paragraph" w:styleId="1170" w:customStyle="1">
    <w:name w:val="BodyText1"/>
    <w:basedOn w:val="670"/>
    <w:uiPriority w:val="0"/>
    <w:qFormat/>
    <w:rPr>
      <w:rFonts w:ascii="楷体_GB2312" w:hAnsi="Arial" w:eastAsia="楷体_GB2312"/>
      <w:sz w:val="28"/>
      <w:szCs w:val="28"/>
    </w:rPr>
  </w:style>
  <w:style w:type="paragraph" w:styleId="1171" w:customStyle="1">
    <w:name w:val="普通文字"/>
    <w:basedOn w:val="670"/>
    <w:next w:val="670"/>
    <w:uiPriority w:val="0"/>
    <w:qFormat/>
    <w:rPr>
      <w:rFonts w:ascii="宋体"/>
      <w:sz w:val="24"/>
      <w:szCs w:val="20"/>
    </w:rPr>
  </w:style>
  <w:style w:type="paragraph" w:styleId="1172" w:customStyle="1">
    <w:name w:val="正文首行缩进1"/>
    <w:basedOn w:val="714"/>
    <w:next w:val="670"/>
    <w:uiPriority w:val="0"/>
    <w:qFormat/>
    <w:pPr>
      <w:ind w:firstLine="100"/>
      <w:spacing w:after="120" w:line="440" w:lineRule="exact"/>
    </w:pPr>
    <w:rPr>
      <w:rFonts w:ascii="宋体" w:hAnsi="宋体"/>
      <w:sz w:val="24"/>
      <w:szCs w:val="28"/>
    </w:rPr>
  </w:style>
  <w:style w:type="paragraph" w:styleId="1173" w:customStyle="1">
    <w:name w:val="列表1"/>
    <w:basedOn w:val="670"/>
    <w:uiPriority w:val="0"/>
    <w:qFormat/>
    <w:pPr>
      <w:numPr>
        <w:ilvl w:val="0"/>
        <w:numId w:val="5"/>
      </w:numPr>
      <w:spacing w:after="20" w:line="288" w:lineRule="auto"/>
    </w:pPr>
    <w:rPr>
      <w:szCs w:val="20"/>
      <w:lang w:val="en-GB" w:eastAsia="en-GB"/>
    </w:rPr>
  </w:style>
  <w:style w:type="paragraph" w:styleId="1174" w:customStyle="1">
    <w:name w:val="列表段落"/>
    <w:basedOn w:val="670"/>
    <w:uiPriority w:val="34"/>
    <w:qFormat/>
    <w:pPr>
      <w:ind w:firstLine="420"/>
    </w:pPr>
    <w:rPr>
      <w:rFonts w:ascii="Calibri" w:hAnsi="Calibri"/>
      <w:szCs w:val="22"/>
    </w:rPr>
  </w:style>
  <w:style w:type="paragraph" w:styleId="1175" w:customStyle="1">
    <w:name w:val="List Paragraph1"/>
    <w:basedOn w:val="670"/>
    <w:uiPriority w:val="0"/>
    <w:qFormat/>
    <w:pPr>
      <w:ind w:firstLine="420"/>
    </w:pPr>
    <w:rPr>
      <w:szCs w:val="21"/>
    </w:rPr>
  </w:style>
  <w:style w:type="paragraph" w:styleId="1176" w:customStyle="1">
    <w:name w:val="02-标书-标题2"/>
    <w:uiPriority w:val="0"/>
    <w:qFormat/>
    <w:pPr>
      <w:numPr>
        <w:ilvl w:val="1"/>
        <w:numId w:val="6"/>
      </w:numPr>
      <w:spacing w:line="360" w:lineRule="auto"/>
      <w:outlineLvl w:val="1"/>
    </w:pPr>
    <w:rPr>
      <w:rFonts w:ascii="黑体" w:hAnsi="宋体" w:eastAsia="黑体" w:cs="Calibri"/>
      <w:sz w:val="32"/>
      <w:szCs w:val="28"/>
      <w:lang w:val="en-US" w:eastAsia="zh-CN" w:bidi="ar-SA"/>
    </w:rPr>
  </w:style>
  <w:style w:type="paragraph" w:styleId="1177" w:customStyle="1">
    <w:name w:val="样式 标题 2 + 宋体 段前: 1 行"/>
    <w:basedOn w:val="672"/>
    <w:uiPriority w:val="0"/>
    <w:qFormat/>
    <w:pPr>
      <w:ind w:left="5806" w:hanging="420"/>
      <w:jc w:val="center"/>
      <w:keepLines w:val="0"/>
      <w:keepNext w:val="0"/>
      <w:spacing w:before="0" w:after="0" w:line="560" w:lineRule="exact"/>
      <w:tabs>
        <w:tab w:val="left" w:pos="5386" w:leader="none"/>
      </w:tabs>
      <w:outlineLvl w:val="0"/>
    </w:pPr>
    <w:rPr>
      <w:rFonts w:ascii="黑体" w:hAnsi="黑体" w:eastAsia="黑体" w:cs="微软雅黑"/>
      <w:spacing w:val="20"/>
      <w:sz w:val="44"/>
      <w:szCs w:val="44"/>
    </w:rPr>
  </w:style>
  <w:style w:type="paragraph" w:styleId="1178" w:customStyle="1">
    <w:name w:val="Table Paragraph"/>
    <w:basedOn w:val="670"/>
    <w:uiPriority w:val="1"/>
    <w:unhideWhenUsed/>
    <w:qFormat/>
    <w:rPr>
      <w:rFonts w:hint="eastAsia"/>
      <w:sz w:val="24"/>
    </w:rPr>
  </w:style>
  <w:style w:type="paragraph" w:styleId="1179" w:customStyle="1">
    <w:name w:val="标题 211"/>
    <w:basedOn w:val="670"/>
    <w:next w:val="670"/>
    <w:uiPriority w:val="9"/>
    <w:unhideWhenUsed/>
    <w:qFormat/>
    <w:pPr>
      <w:keepLines/>
      <w:keepNext/>
      <w:spacing w:before="360" w:after="200"/>
      <w:outlineLvl w:val="1"/>
    </w:pPr>
    <w:rPr>
      <w:rFonts w:ascii="Arial" w:hAnsi="Arial" w:eastAsia="Arial" w:cs="Arial"/>
      <w:sz w:val="34"/>
    </w:rPr>
  </w:style>
  <w:style w:type="paragraph" w:styleId="1180" w:customStyle="1">
    <w:name w:val="正文文本缩进11"/>
    <w:basedOn w:val="670"/>
    <w:uiPriority w:val="0"/>
    <w:qFormat/>
    <w:pPr>
      <w:ind w:firstLine="540"/>
      <w:widowControl/>
    </w:pPr>
    <w:rPr>
      <w:rFonts w:ascii="宋体" w:hAnsi="MS Sans Serif"/>
      <w:spacing w:val="12"/>
      <w:sz w:val="24"/>
    </w:rPr>
  </w:style>
  <w:style w:type="paragraph" w:styleId="118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2" w:customStyle="1">
    <w:name w:val="纯文本11"/>
    <w:basedOn w:val="670"/>
    <w:uiPriority w:val="0"/>
    <w:qFormat/>
    <w:rPr>
      <w:rFonts w:ascii="宋体" w:hAnsi="Courier New"/>
    </w:rPr>
  </w:style>
  <w:style w:type="paragraph" w:styleId="1183" w:customStyle="1">
    <w:name w:val="标题 411"/>
    <w:basedOn w:val="670"/>
    <w:next w:val="670"/>
    <w:uiPriority w:val="9"/>
    <w:unhideWhenUsed/>
    <w:qFormat/>
    <w:pPr>
      <w:keepLines/>
      <w:keepNext/>
      <w:spacing w:before="320" w:after="200"/>
      <w:outlineLvl w:val="3"/>
    </w:pPr>
    <w:rPr>
      <w:rFonts w:ascii="Arial" w:hAnsi="Arial" w:eastAsia="Arial" w:cs="Arial"/>
      <w:b/>
      <w:bCs/>
      <w:sz w:val="26"/>
      <w:szCs w:val="26"/>
    </w:rPr>
  </w:style>
  <w:style w:type="paragraph" w:styleId="1184" w:customStyle="1">
    <w:name w:val="页脚11"/>
    <w:basedOn w:val="670"/>
    <w:uiPriority w:val="99"/>
    <w:unhideWhenUsed/>
    <w:qFormat/>
    <w:pPr>
      <w:tabs>
        <w:tab w:val="center" w:pos="7143" w:leader="none"/>
        <w:tab w:val="right" w:pos="14287" w:leader="none"/>
      </w:tabs>
    </w:pPr>
  </w:style>
  <w:style w:type="character" w:styleId="1185" w:customStyle="1">
    <w:name w:val="font01"/>
    <w:basedOn w:val="680"/>
    <w:uiPriority w:val="0"/>
    <w:qFormat/>
    <w:rPr>
      <w:rFonts w:hint="eastAsia" w:ascii="宋体" w:hAnsi="宋体" w:eastAsia="宋体" w:cs="宋体"/>
      <w:color w:val="000000"/>
      <w:sz w:val="22"/>
      <w:szCs w:val="22"/>
      <w:u w:val="none"/>
    </w:rPr>
  </w:style>
  <w:style w:type="character" w:styleId="1186" w:customStyle="1">
    <w:name w:val="段 Char"/>
    <w:link w:val="717"/>
    <w:uiPriority w:val="0"/>
    <w:qFormat/>
    <w:rPr>
      <w:rFonts w:hint="default" w:ascii="宋体" w:hAnsi="Times New Roman" w:eastAsia="宋体" w:cs="Times New Roman"/>
      <w:sz w:val="21"/>
      <w:lang w:val="en-US" w:eastAsia="zh-CN" w:bidi="ar-SA"/>
    </w:rPr>
  </w:style>
  <w:style w:type="numbering" w:styleId="14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杨亚丁</cp:lastModifiedBy>
  <cp:revision>5</cp:revision>
  <dcterms:created xsi:type="dcterms:W3CDTF">2025-02-20T02:40:00Z</dcterms:created>
  <dcterms:modified xsi:type="dcterms:W3CDTF">2025-04-28T08:36:15Z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3039187017624E60B3E89399F2EAC8D4_13</vt:lpwstr>
  </property>
  <property fmtid="{D5CDD505-2E9C-101B-9397-08002B2CF9AE}" pid="4" name="KSOTemplateDocerSaveRecord">
    <vt:lpwstr>eyJoZGlkIjoiNjM2N2UzMzk5NjFmM2U5MDU0NWY5OGYwODMxY2YzZGYiLCJ1c2VySWQiOiIyMTYwNzA0MTIifQ==</vt:lpwstr>
  </property>
</Properties>
</file>