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0B37F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丹阳市延陵镇环卫卫生保洁服务项目变更内容</w:t>
      </w:r>
    </w:p>
    <w:p w14:paraId="6D75FB30">
      <w:pPr>
        <w:jc w:val="left"/>
        <w:rPr>
          <w:rFonts w:hint="eastAsia" w:ascii="宋体" w:hAnsi="宋体"/>
          <w:b/>
          <w:sz w:val="24"/>
          <w:szCs w:val="24"/>
        </w:rPr>
      </w:pPr>
    </w:p>
    <w:p w14:paraId="0C0904D2">
      <w:pPr>
        <w:jc w:val="left"/>
        <w:rPr>
          <w:rFonts w:hint="eastAsia" w:ascii="宋体" w:hAnsi="宋体" w:eastAsiaTheme="minorEastAsia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2"/>
          <w:szCs w:val="22"/>
        </w:rPr>
        <w:t>招标文件“第五部分 评标办法和标准8.本项目采用综合评分法</w:t>
      </w:r>
      <w:r>
        <w:rPr>
          <w:rFonts w:hint="eastAsia" w:ascii="宋体" w:hAnsi="宋体" w:cs="宋体"/>
          <w:bCs/>
          <w:kern w:val="0"/>
          <w:sz w:val="22"/>
          <w:szCs w:val="22"/>
          <w:lang w:eastAsia="zh-CN"/>
        </w:rPr>
        <w:t>”</w:t>
      </w:r>
    </w:p>
    <w:tbl>
      <w:tblPr>
        <w:tblStyle w:val="7"/>
        <w:tblW w:w="61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653"/>
        <w:gridCol w:w="3767"/>
        <w:gridCol w:w="3767"/>
        <w:gridCol w:w="696"/>
      </w:tblGrid>
      <w:tr w14:paraId="15A4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487E225C">
            <w:pPr>
              <w:spacing w:line="288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20"/>
                <w:szCs w:val="21"/>
              </w:rPr>
              <w:t>序号</w:t>
            </w:r>
          </w:p>
        </w:tc>
        <w:tc>
          <w:tcPr>
            <w:tcW w:w="783" w:type="pct"/>
            <w:vAlign w:val="center"/>
          </w:tcPr>
          <w:p w14:paraId="0C024B3B">
            <w:pPr>
              <w:spacing w:line="288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20"/>
                <w:szCs w:val="21"/>
              </w:rPr>
              <w:t>更正</w:t>
            </w:r>
            <w:r>
              <w:rPr>
                <w:rFonts w:hint="eastAsia" w:asciiTheme="minorEastAsia" w:hAnsiTheme="minorEastAsia"/>
                <w:b/>
                <w:bCs/>
                <w:kern w:val="0"/>
                <w:sz w:val="20"/>
                <w:szCs w:val="21"/>
                <w:lang w:eastAsia="zh-CN"/>
              </w:rPr>
              <w:t>项</w:t>
            </w:r>
          </w:p>
        </w:tc>
        <w:tc>
          <w:tcPr>
            <w:tcW w:w="1784" w:type="pct"/>
            <w:vAlign w:val="center"/>
          </w:tcPr>
          <w:p w14:paraId="30A60FC5">
            <w:pPr>
              <w:spacing w:line="288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20"/>
                <w:szCs w:val="21"/>
              </w:rPr>
              <w:t>更正前内容</w:t>
            </w:r>
          </w:p>
        </w:tc>
        <w:tc>
          <w:tcPr>
            <w:tcW w:w="1784" w:type="pct"/>
            <w:vAlign w:val="center"/>
          </w:tcPr>
          <w:p w14:paraId="2105B261">
            <w:pPr>
              <w:spacing w:line="288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20"/>
                <w:szCs w:val="21"/>
              </w:rPr>
              <w:t>更正后内容</w:t>
            </w:r>
          </w:p>
        </w:tc>
        <w:tc>
          <w:tcPr>
            <w:tcW w:w="329" w:type="pct"/>
            <w:vAlign w:val="center"/>
          </w:tcPr>
          <w:p w14:paraId="4BB9A7CA">
            <w:pPr>
              <w:spacing w:line="288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20"/>
                <w:szCs w:val="21"/>
              </w:rPr>
              <w:t>备注</w:t>
            </w:r>
          </w:p>
        </w:tc>
      </w:tr>
      <w:tr w14:paraId="210A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4F41976A">
            <w:pPr>
              <w:spacing w:line="288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783" w:type="pct"/>
            <w:vAlign w:val="center"/>
          </w:tcPr>
          <w:p w14:paraId="4A61DCB2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招标文件“第五部分 评标办法和标准”“8.本项目采用综合评分法。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技术评估 1.1人工保洁清扫作业方案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784" w:type="pct"/>
            <w:vAlign w:val="center"/>
          </w:tcPr>
          <w:p w14:paraId="1B85B44E">
            <w:pPr>
              <w:pStyle w:val="14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供应商提交的完整人工保洁清扫作业方案，结合本项目作业量清单，方案内容包含但不限于：项目组成人员清单、人工作业方案、作业人员配置、内部管理方案。方案完全包含上述要点的得4分；有缺项或未提供方案的不得分；方案针对性强的加2分，可操性强的加2分。</w:t>
            </w:r>
          </w:p>
        </w:tc>
        <w:tc>
          <w:tcPr>
            <w:tcW w:w="1784" w:type="pct"/>
            <w:vAlign w:val="center"/>
          </w:tcPr>
          <w:p w14:paraId="42D693EE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根据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投标供应商提交的完整人工保洁清扫作业方案，结合本项目作业量清单，方案内容包含但不限于：项目组成人员清单、人工作业方案、作业人员配置、内部管理方案。方案完全包含上述要点的得6分；有缺项或未提供方案的不得分；方案针对性强的加2分，可操性强的加2分。</w:t>
            </w:r>
          </w:p>
        </w:tc>
        <w:tc>
          <w:tcPr>
            <w:tcW w:w="329" w:type="pct"/>
            <w:vAlign w:val="center"/>
          </w:tcPr>
          <w:p w14:paraId="2B410CA3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37F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3A9563DE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783" w:type="pct"/>
            <w:vAlign w:val="center"/>
          </w:tcPr>
          <w:p w14:paraId="490968F5">
            <w:pPr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招标文件“第五部分 评标办法和标准”“8.本项目采用综合评分法。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技术评估 1.2道路机械化保洁清扫作业方案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784" w:type="pct"/>
            <w:vAlign w:val="center"/>
          </w:tcPr>
          <w:p w14:paraId="31F0829D">
            <w:pPr>
              <w:pStyle w:val="14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1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供应商提供的道路机械化保洁清扫作业方案，方案内容需包含但不限于以下要点：机械化设备配备清单、设备作业方案、车辆作业时间表、设备管理制度、作业人员管理制度、作业人员岗位职责及设备保养等内容。方案完全包含上述要点的得4分；有缺项或未提供方案的不得分；方案针对性强的加2分，可操性强的加2分。</w:t>
            </w:r>
          </w:p>
        </w:tc>
        <w:tc>
          <w:tcPr>
            <w:tcW w:w="1784" w:type="pct"/>
            <w:vAlign w:val="center"/>
          </w:tcPr>
          <w:p w14:paraId="0ABDF037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根据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投标供应商提供的道路机械化保洁清扫作业方案，方案内容需包含但不限于以下要点：机械化设备配备清单、设备作业方案、车辆作业时间表、设备管理制度、作业人员管理制度、作业人员岗位职责及设备保养等内容。方案完全包含上述要点的得6分；有缺项或未提供方案的不得分；方案针对性强的加2分，可操性强的加2分。</w:t>
            </w:r>
          </w:p>
        </w:tc>
        <w:tc>
          <w:tcPr>
            <w:tcW w:w="329" w:type="pct"/>
            <w:vAlign w:val="center"/>
          </w:tcPr>
          <w:p w14:paraId="0057A266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3E9E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19696DC3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783" w:type="pct"/>
            <w:vAlign w:val="center"/>
          </w:tcPr>
          <w:p w14:paraId="4BB73B26">
            <w:pPr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招标文件“第五部分 评标办法和标准”“8.本项目采用综合评分法。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技术评估 1.3公厕保洁管理方案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784" w:type="pct"/>
            <w:vAlign w:val="center"/>
          </w:tcPr>
          <w:p w14:paraId="3536B8BA">
            <w:pPr>
              <w:pStyle w:val="14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根据投标供应商提供的公厕保洁管理方案，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方案内容需包含但不限于以下要点：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公厕日常保洁方案、公厕保洁人员配置、公厕管理和保洁制度。方案完全包含上述要点得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784" w:type="pct"/>
            <w:vAlign w:val="center"/>
          </w:tcPr>
          <w:p w14:paraId="398F62F3">
            <w:pPr>
              <w:pStyle w:val="14"/>
              <w:jc w:val="left"/>
              <w:rPr>
                <w:rStyle w:val="8"/>
                <w:rFonts w:hint="default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根据投标供应商提供的公厕保洁管理方案，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方案内容需包含但不限于以下要点：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公厕日常保洁方案、公厕保洁人员配置、公厕管理和保洁制度。方案完全包含上述要点得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分。</w:t>
            </w:r>
          </w:p>
        </w:tc>
        <w:tc>
          <w:tcPr>
            <w:tcW w:w="329" w:type="pct"/>
            <w:vAlign w:val="center"/>
          </w:tcPr>
          <w:p w14:paraId="27053B0C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57771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250477DB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783" w:type="pct"/>
            <w:vAlign w:val="center"/>
          </w:tcPr>
          <w:p w14:paraId="2273539D">
            <w:pPr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招标文件“第五部分 评标办法和标准”“8.本项目采用综合评分法。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技术评估 1.4生活垃圾清（转）运方案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784" w:type="pct"/>
            <w:vAlign w:val="center"/>
          </w:tcPr>
          <w:p w14:paraId="5D2A2D32">
            <w:pPr>
              <w:pStyle w:val="14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根据投标供应商提供的生活垃圾清（转）运方案，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方案内容需包含但不限于以下要点：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垃圾收集方案、清（转）运管理方案、中转环节管理、环保与安全管理方案、质量控制管理方案。方案完全包含上述要点得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784" w:type="pct"/>
            <w:vAlign w:val="center"/>
          </w:tcPr>
          <w:p w14:paraId="1F12E823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根据投标供应商提供的生活垃圾清（转）运方案，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方案内容需包含但不限于以下要点：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垃圾收集方案、清（转）运管理方案、中转环节管理、环保与安全管理方案、质量控制管理方案。方案完全包含上述要点得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分。</w:t>
            </w:r>
          </w:p>
        </w:tc>
        <w:tc>
          <w:tcPr>
            <w:tcW w:w="329" w:type="pct"/>
            <w:vAlign w:val="center"/>
          </w:tcPr>
          <w:p w14:paraId="7A09ABA2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D71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10B1F9A4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783" w:type="pct"/>
            <w:vAlign w:val="center"/>
          </w:tcPr>
          <w:p w14:paraId="5C82C664">
            <w:pP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招标文件“第五部分 评标办法和标准”“8.本项目采用综合评分法。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技术评估 </w:t>
            </w:r>
            <w:r>
              <w:rPr>
                <w:rStyle w:val="13"/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highlight w:val="none"/>
                <w:lang w:eastAsia="zh-CN"/>
              </w:rPr>
              <w:t>环卫设施日常维护方案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784" w:type="pct"/>
            <w:vAlign w:val="center"/>
          </w:tcPr>
          <w:p w14:paraId="51B164A5">
            <w:pPr>
              <w:pStyle w:val="14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根据投标供应商提供的环卫设施日常维护方案，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方案内容需包含但不限于以下要点：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环卫设施日常维护内容、环卫设施日常维护内容计划、环卫设施日常维护具体措施。方案完全包含上述要点得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784" w:type="pct"/>
            <w:vAlign w:val="center"/>
          </w:tcPr>
          <w:p w14:paraId="6853171A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根据投标供应商提供的环卫设施日常维护方案，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方案内容需包含但不限于以下要点：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环卫设施日常维护内容、环卫设施日常维护内容计划、环卫设施日常维护具体措施。方案完全包含上述要点得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分。</w:t>
            </w:r>
          </w:p>
        </w:tc>
        <w:tc>
          <w:tcPr>
            <w:tcW w:w="329" w:type="pct"/>
            <w:vAlign w:val="center"/>
          </w:tcPr>
          <w:p w14:paraId="63F55F39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79A0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5B48BF26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783" w:type="pct"/>
            <w:vAlign w:val="center"/>
          </w:tcPr>
          <w:p w14:paraId="4629B6B9">
            <w:pPr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招标文件“第五部分 评标办法和标准”“8.本项目采用综合评分法。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技术评估 1.6应急保障预案及安全、文明作业管理实施方案及保障措施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784" w:type="pct"/>
            <w:vAlign w:val="center"/>
          </w:tcPr>
          <w:p w14:paraId="71024C89">
            <w:pPr>
              <w:pStyle w:val="14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根据投标供应商提供的应急抢险、突击保障方案，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方案内容需包含但不限于以下要点：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重大活动保障应急预案、特殊季节性保洁应急预案、道路大面积污染应急预案、融雪除冰应急预案、台风暴雨等恶劣天气应急预案；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安全制度、安全事故预防及处置措施、安全培训、安全检查及记录要求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等内容。方案完全包含上述要点得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784" w:type="pct"/>
            <w:vAlign w:val="center"/>
          </w:tcPr>
          <w:p w14:paraId="3B1C9BD1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根据投标供应商提供的应急抢险、突击保障方案，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方案内容需包含但不限于以下要点：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重大活动保障应急预案、特殊季节性保洁应急预案、道路大面积污染应急预案、融雪除冰应急预案、台风暴雨等恶劣天气应急预案；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安全制度、安全事故预防及处置措施、安全培训、安全检查及记录要求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等内容。方案完全包含上述</w:t>
            </w:r>
            <w:bookmarkStart w:id="0" w:name="_GoBack"/>
            <w:bookmarkEnd w:id="0"/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分。</w:t>
            </w:r>
          </w:p>
        </w:tc>
        <w:tc>
          <w:tcPr>
            <w:tcW w:w="329" w:type="pct"/>
            <w:vAlign w:val="center"/>
          </w:tcPr>
          <w:p w14:paraId="408F5EDB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073B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29B15700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783" w:type="pct"/>
            <w:vAlign w:val="center"/>
          </w:tcPr>
          <w:p w14:paraId="4EBE8497">
            <w:pPr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招标文件“第五部分 评标办法和标准”“8.本项目采用综合评分法。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技术评估 1.7与项目原保洁单位对接方案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784" w:type="pct"/>
            <w:vAlign w:val="center"/>
          </w:tcPr>
          <w:p w14:paraId="56AEF46E">
            <w:pPr>
              <w:pStyle w:val="14"/>
              <w:jc w:val="left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根据投标供应商提供的与项目原保洁单位衔接方案，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方案内容需包含但不限于以下要点：项目信息交接方案、人员安置方案、设备设施交接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方案。方案完全包含上述要点得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784" w:type="pct"/>
            <w:vAlign w:val="center"/>
          </w:tcPr>
          <w:p w14:paraId="5F01DE24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根据投标供应商提供的与项目原保洁单位衔接方案，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方案内容需包含但不限于以下要点：项目信息交接方案、人员安置方案、设备设施交接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方案。方案完全包含上述要点得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分；有缺项或未提供方案的不得分；方案针对性强的加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分，方案可操性强的加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分。</w:t>
            </w:r>
          </w:p>
        </w:tc>
        <w:tc>
          <w:tcPr>
            <w:tcW w:w="329" w:type="pct"/>
            <w:vAlign w:val="center"/>
          </w:tcPr>
          <w:p w14:paraId="235859A2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14:paraId="688F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17" w:type="pct"/>
            <w:vAlign w:val="center"/>
          </w:tcPr>
          <w:p w14:paraId="410319F2">
            <w:pPr>
              <w:spacing w:line="288" w:lineRule="auto"/>
              <w:jc w:val="center"/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783" w:type="pct"/>
            <w:vAlign w:val="center"/>
          </w:tcPr>
          <w:p w14:paraId="1CF59C0A">
            <w:pPr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招标文件“第五部分 评标办法和标准”“8.本项目采用综合评分法。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价格评估 1.1</w:t>
            </w:r>
            <w:r>
              <w:rPr>
                <w:rStyle w:val="13"/>
                <w:rFonts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报价得分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1784" w:type="pct"/>
            <w:vAlign w:val="center"/>
          </w:tcPr>
          <w:p w14:paraId="7575A826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满足招标文件要求且投标价格最低的投标报价为评定的基准价，其价格分为满分。其他投标人的价格分统一按照下列公式计算：报价得分=（评分基准价/投标报价）×30分（精确到小数点后2位）</w:t>
            </w:r>
          </w:p>
        </w:tc>
        <w:tc>
          <w:tcPr>
            <w:tcW w:w="1784" w:type="pct"/>
            <w:vAlign w:val="center"/>
          </w:tcPr>
          <w:p w14:paraId="327F3EE0">
            <w:pPr>
              <w:pStyle w:val="14"/>
              <w:jc w:val="left"/>
              <w:rPr>
                <w:rStyle w:val="8"/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满足招标文件要求且投标价格最低的投标报价为评定的基准价，其价格分为满分。其他投标人的价格分统一按照下列公式计算：报价得分=（评分基准价/投标报价）×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分（精确到小数点后2位）</w:t>
            </w:r>
          </w:p>
        </w:tc>
        <w:tc>
          <w:tcPr>
            <w:tcW w:w="329" w:type="pct"/>
            <w:vAlign w:val="center"/>
          </w:tcPr>
          <w:p w14:paraId="1254828D">
            <w:pPr>
              <w:spacing w:line="288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14:paraId="21159FF2"/>
    <w:p w14:paraId="0534C91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F1B77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4073F">
                          <w:pPr>
                            <w:pStyle w:val="4"/>
                          </w:pPr>
                          <w:r>
                            <w:t>第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4073F">
                    <w:pPr>
                      <w:pStyle w:val="4"/>
                    </w:pPr>
                    <w:r>
                      <w:t>第</w:t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21"/>
    <w:rsid w:val="00077A65"/>
    <w:rsid w:val="00146ACF"/>
    <w:rsid w:val="00281621"/>
    <w:rsid w:val="00426C1A"/>
    <w:rsid w:val="004C0B16"/>
    <w:rsid w:val="006F4033"/>
    <w:rsid w:val="00CB4E53"/>
    <w:rsid w:val="16415521"/>
    <w:rsid w:val="1ADA6143"/>
    <w:rsid w:val="1BF40050"/>
    <w:rsid w:val="231C4C45"/>
    <w:rsid w:val="2DBD1A29"/>
    <w:rsid w:val="32C51A10"/>
    <w:rsid w:val="334E67B6"/>
    <w:rsid w:val="37D34E85"/>
    <w:rsid w:val="37DD1207"/>
    <w:rsid w:val="47246F9A"/>
    <w:rsid w:val="4C6F6A75"/>
    <w:rsid w:val="4D0F7FFF"/>
    <w:rsid w:val="5E865EFB"/>
    <w:rsid w:val="5EB34C8F"/>
    <w:rsid w:val="5EC450EE"/>
    <w:rsid w:val="610453CB"/>
    <w:rsid w:val="679B09B6"/>
    <w:rsid w:val="68240BD6"/>
    <w:rsid w:val="688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默认段落字体1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Normal_6"/>
    <w:qFormat/>
    <w:uiPriority w:val="0"/>
    <w:rPr>
      <w:rFonts w:hint="default"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2496</Words>
  <Characters>2535</Characters>
  <Lines>8</Lines>
  <Paragraphs>2</Paragraphs>
  <TotalTime>1</TotalTime>
  <ScaleCrop>false</ScaleCrop>
  <LinksUpToDate>false</LinksUpToDate>
  <CharactersWithSpaces>2552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2025-04-08T01:45:00Z</dcterms:created>
  <dc:creator>_xffff_</dc:creator>
  <cp:lastModifiedBy>远在咫尺1388500570</cp:lastModifiedBy>
  <cp:lastPrinted>2025-11-25T00:11:00Z</cp:lastPrinted>
  <dcterms:modified xsi:type="dcterms:W3CDTF">2026-01-19T08:35:49Z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eyJoZGlkIjoiZDk4MWFmN2FiZWUyNWM3N2UxYTZlZDBmMDYyODg1NGYiLCJ1c2VySWQiOiIxMDI0MDQ3NiJ9</vt:lpwstr>
  </property>
  <property fmtid="{D5CDD505-2E9C-101B-9397-08002B2CF9AE}" pid="3" name="KSOProductBuildVer">
    <vt:lpwstr>2052-12.1.0.24657</vt:lpwstr>
  </property>
  <property fmtid="{D5CDD505-2E9C-101B-9397-08002B2CF9AE}" pid="4" name="ICV">
    <vt:lpwstr>9D11C57462614CA8AC143BCF8D802189_13</vt:lpwstr>
  </property>
</Properties>
</file>