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30"/>
          <w:szCs w:val="30"/>
          <w:lang w:eastAsia="zh-CN"/>
        </w:rPr>
      </w:pPr>
      <w:r>
        <w:rPr>
          <w:rFonts w:hint="eastAsia" w:ascii="宋体" w:hAnsi="宋体" w:cs="宋体"/>
          <w:b/>
          <w:sz w:val="30"/>
          <w:szCs w:val="30"/>
          <w:lang w:eastAsia="zh-CN"/>
        </w:rPr>
        <w:t>宜城社区卫生服务中心CT、DR检测中心建设项目</w:t>
      </w:r>
    </w:p>
    <w:p>
      <w:pPr>
        <w:spacing w:line="360" w:lineRule="auto"/>
        <w:jc w:val="center"/>
        <w:rPr>
          <w:rFonts w:ascii="宋体" w:hAnsi="宋体" w:cs="宋体"/>
          <w:b/>
          <w:sz w:val="30"/>
          <w:szCs w:val="30"/>
        </w:rPr>
      </w:pPr>
      <w:r>
        <w:rPr>
          <w:rFonts w:hint="eastAsia" w:ascii="宋体" w:hAnsi="宋体" w:cs="宋体"/>
          <w:b/>
          <w:sz w:val="30"/>
          <w:szCs w:val="30"/>
        </w:rPr>
        <w:t>工程量清单编制说明</w:t>
      </w:r>
    </w:p>
    <w:p>
      <w:pPr>
        <w:spacing w:line="360" w:lineRule="auto"/>
        <w:rPr>
          <w:rFonts w:ascii="宋体" w:hAnsi="宋体" w:cs="宋体"/>
          <w:b/>
          <w:sz w:val="24"/>
        </w:rPr>
      </w:pPr>
      <w:r>
        <w:rPr>
          <w:rFonts w:hint="eastAsia" w:ascii="宋体" w:hAnsi="宋体" w:cs="宋体"/>
          <w:b/>
          <w:sz w:val="24"/>
        </w:rPr>
        <w:t>一、工程概况</w:t>
      </w:r>
    </w:p>
    <w:p>
      <w:pPr>
        <w:spacing w:line="360" w:lineRule="auto"/>
        <w:ind w:firstLine="480"/>
        <w:jc w:val="left"/>
        <w:rPr>
          <w:rFonts w:ascii="宋体" w:hAnsi="宋体" w:cs="宋体"/>
          <w:sz w:val="24"/>
          <w:lang w:val="zh-CN"/>
        </w:rPr>
      </w:pPr>
      <w:r>
        <w:rPr>
          <w:rFonts w:hint="eastAsia" w:ascii="宋体" w:hAnsi="宋体" w:cs="宋体"/>
          <w:sz w:val="24"/>
        </w:rPr>
        <w:t>1、</w:t>
      </w:r>
      <w:r>
        <w:rPr>
          <w:rFonts w:hint="eastAsia" w:ascii="宋体" w:hAnsi="宋体" w:cs="宋体"/>
          <w:sz w:val="24"/>
          <w:lang w:val="zh-CN"/>
        </w:rPr>
        <w:t>宜城社区卫生服务中心CT、DR检测中心建设项目位于</w:t>
      </w:r>
      <w:r>
        <w:rPr>
          <w:rFonts w:hint="eastAsia" w:ascii="宋体" w:hAnsi="宋体" w:cs="宋体"/>
          <w:sz w:val="24"/>
          <w:lang w:val="en-US" w:eastAsia="zh-CN"/>
        </w:rPr>
        <w:t>丹徒区</w:t>
      </w:r>
      <w:r>
        <w:rPr>
          <w:rFonts w:hint="eastAsia" w:ascii="宋体" w:hAnsi="宋体" w:cs="宋体"/>
          <w:sz w:val="24"/>
          <w:lang w:val="zh-CN"/>
        </w:rPr>
        <w:t>，</w:t>
      </w:r>
      <w:r>
        <w:rPr>
          <w:rFonts w:hint="eastAsia" w:ascii="宋体" w:hAnsi="宋体" w:cs="宋体"/>
          <w:sz w:val="24"/>
        </w:rPr>
        <w:t>主要</w:t>
      </w:r>
      <w:r>
        <w:rPr>
          <w:rFonts w:hint="eastAsia" w:ascii="宋体" w:hAnsi="宋体" w:cs="宋体"/>
          <w:sz w:val="24"/>
          <w:lang w:val="en-US" w:eastAsia="zh-CN"/>
        </w:rPr>
        <w:t>土建工程，水电安装，暖通工程</w:t>
      </w:r>
      <w:r>
        <w:rPr>
          <w:rFonts w:hint="eastAsia" w:ascii="宋体" w:hAnsi="宋体" w:cs="宋体"/>
          <w:sz w:val="24"/>
        </w:rPr>
        <w:t>等</w:t>
      </w:r>
      <w:r>
        <w:rPr>
          <w:rFonts w:hint="eastAsia" w:ascii="宋体" w:hAnsi="宋体" w:cs="宋体"/>
          <w:sz w:val="24"/>
          <w:lang w:val="zh-CN"/>
        </w:rPr>
        <w:t>。</w:t>
      </w:r>
    </w:p>
    <w:p>
      <w:pPr>
        <w:spacing w:line="360" w:lineRule="auto"/>
        <w:ind w:firstLine="480"/>
        <w:jc w:val="left"/>
        <w:rPr>
          <w:rFonts w:ascii="宋体" w:hAnsi="宋体" w:cs="宋体"/>
          <w:sz w:val="24"/>
          <w:lang w:val="zh-CN"/>
        </w:rPr>
      </w:pPr>
      <w:r>
        <w:rPr>
          <w:rFonts w:hint="eastAsia" w:ascii="宋体" w:hAnsi="宋体" w:cs="宋体"/>
          <w:sz w:val="24"/>
          <w:lang w:val="zh-CN"/>
        </w:rPr>
        <w:t>2、工期要求：详见招标文件。</w:t>
      </w:r>
    </w:p>
    <w:p>
      <w:pPr>
        <w:spacing w:line="360" w:lineRule="auto"/>
        <w:ind w:firstLine="480"/>
        <w:jc w:val="left"/>
        <w:rPr>
          <w:rFonts w:ascii="宋体" w:hAnsi="宋体" w:cs="宋体"/>
          <w:sz w:val="24"/>
          <w:lang w:val="zh-CN"/>
        </w:rPr>
      </w:pPr>
      <w:r>
        <w:rPr>
          <w:rFonts w:hint="eastAsia" w:ascii="宋体" w:hAnsi="宋体" w:cs="宋体"/>
          <w:sz w:val="24"/>
          <w:lang w:val="zh-CN"/>
        </w:rPr>
        <w:t>3、质量要求：详见招标文件，同时应满足国家有关的设计、施工以及验收规范的要求。</w:t>
      </w:r>
    </w:p>
    <w:p>
      <w:pPr>
        <w:spacing w:line="360" w:lineRule="auto"/>
        <w:outlineLvl w:val="0"/>
        <w:rPr>
          <w:rFonts w:ascii="宋体" w:hAnsi="宋体" w:cs="宋体"/>
          <w:b/>
          <w:sz w:val="24"/>
        </w:rPr>
      </w:pPr>
      <w:r>
        <w:rPr>
          <w:rFonts w:hint="eastAsia" w:ascii="宋体" w:hAnsi="宋体" w:cs="宋体"/>
          <w:b/>
          <w:sz w:val="24"/>
        </w:rPr>
        <w:t>二、工程量清单编制范围和依据</w:t>
      </w:r>
    </w:p>
    <w:p>
      <w:pPr>
        <w:spacing w:line="360" w:lineRule="auto"/>
        <w:ind w:firstLine="480" w:firstLineChars="200"/>
        <w:outlineLvl w:val="0"/>
        <w:rPr>
          <w:rFonts w:ascii="宋体" w:hAnsi="宋体" w:cs="宋体"/>
          <w:b/>
          <w:sz w:val="24"/>
        </w:rPr>
      </w:pPr>
      <w:r>
        <w:rPr>
          <w:rFonts w:hint="eastAsia" w:ascii="宋体" w:hAnsi="宋体" w:cs="宋体"/>
          <w:sz w:val="24"/>
        </w:rPr>
        <w:t>1、</w:t>
      </w:r>
      <w:r>
        <w:rPr>
          <w:rFonts w:hint="eastAsia" w:ascii="宋体" w:hAnsi="宋体" w:cs="宋体"/>
          <w:sz w:val="24"/>
          <w:lang w:val="zh-CN"/>
        </w:rPr>
        <w:t>本工程量清单根据</w:t>
      </w:r>
      <w:r>
        <w:rPr>
          <w:rFonts w:hint="eastAsia" w:ascii="宋体" w:hAnsi="宋体" w:cs="宋体"/>
          <w:sz w:val="24"/>
        </w:rPr>
        <w:t>业主</w:t>
      </w:r>
      <w:r>
        <w:rPr>
          <w:rFonts w:hint="eastAsia" w:ascii="宋体" w:hAnsi="宋体" w:cs="宋体"/>
          <w:sz w:val="24"/>
          <w:lang w:val="zh-CN"/>
        </w:rPr>
        <w:t>提供的</w:t>
      </w:r>
      <w:r>
        <w:rPr>
          <w:rFonts w:hint="eastAsia" w:ascii="宋体" w:hAnsi="宋体" w:cs="宋体"/>
          <w:sz w:val="24"/>
        </w:rPr>
        <w:t>相关内容</w:t>
      </w:r>
      <w:r>
        <w:rPr>
          <w:rFonts w:hint="eastAsia" w:ascii="宋体" w:hAnsi="宋体" w:cs="宋体"/>
          <w:sz w:val="24"/>
          <w:lang w:val="zh-CN"/>
        </w:rPr>
        <w:t>；</w:t>
      </w:r>
      <w:r>
        <w:rPr>
          <w:rFonts w:hint="eastAsia" w:ascii="宋体" w:hAnsi="宋体" w:cs="宋体"/>
          <w:sz w:val="24"/>
        </w:rPr>
        <w:t>所有工程量清单；招标文件</w:t>
      </w:r>
      <w:r>
        <w:rPr>
          <w:rFonts w:hint="eastAsia" w:ascii="宋体" w:hAnsi="宋体" w:cs="宋体"/>
          <w:sz w:val="24"/>
          <w:lang w:val="zh-CN"/>
        </w:rPr>
        <w:t>；与建设工程有关的标准、规范与技术资料；常规施工方案。</w:t>
      </w:r>
    </w:p>
    <w:p>
      <w:pPr>
        <w:spacing w:line="360" w:lineRule="auto"/>
        <w:ind w:firstLine="480" w:firstLineChars="200"/>
        <w:jc w:val="left"/>
        <w:rPr>
          <w:rFonts w:ascii="宋体" w:hAnsi="宋体" w:cs="宋体"/>
          <w:sz w:val="24"/>
          <w:lang w:val="zh-CN"/>
        </w:rPr>
      </w:pPr>
      <w:r>
        <w:rPr>
          <w:rFonts w:hint="eastAsia" w:ascii="宋体" w:hAnsi="宋体" w:cs="宋体"/>
          <w:sz w:val="24"/>
        </w:rPr>
        <w:t>2.</w:t>
      </w:r>
      <w:r>
        <w:rPr>
          <w:rFonts w:hint="eastAsia" w:ascii="宋体" w:hAnsi="宋体" w:cs="宋体"/>
          <w:sz w:val="24"/>
          <w:lang w:val="zh-CN"/>
        </w:rPr>
        <w:t>本工程采用工程量清单计价方式，执行</w:t>
      </w:r>
      <w:r>
        <w:rPr>
          <w:rFonts w:hint="eastAsia" w:ascii="宋体" w:hAnsi="宋体" w:cs="宋体"/>
          <w:sz w:val="24"/>
        </w:rPr>
        <w:t>《建设工程工程量清单计价规范》（GB50500-2013）、《江苏省建筑与装饰工程量计算规范》（GB50857-2013）、《江苏省建筑与装饰工程计价定额》（2014版）</w:t>
      </w:r>
      <w:r>
        <w:rPr>
          <w:rFonts w:hint="eastAsia" w:ascii="宋体" w:hAnsi="宋体" w:cs="宋体"/>
          <w:sz w:val="24"/>
          <w:lang w:val="en-US" w:eastAsia="zh-CN"/>
        </w:rPr>
        <w:t>、2014年《江苏安装工程计价定额》</w:t>
      </w:r>
      <w:r>
        <w:rPr>
          <w:rFonts w:hint="eastAsia" w:ascii="宋体" w:hAnsi="宋体" w:cs="宋体"/>
          <w:sz w:val="24"/>
          <w:lang w:eastAsia="zh-CN"/>
        </w:rPr>
        <w:t>、</w:t>
      </w:r>
      <w:r>
        <w:rPr>
          <w:rFonts w:hint="eastAsia" w:ascii="宋体" w:hAnsi="宋体" w:cs="宋体"/>
          <w:sz w:val="24"/>
          <w:lang w:val="en-US" w:eastAsia="zh-CN"/>
        </w:rPr>
        <w:t>2014版《江苏省建设工程费用定额》</w:t>
      </w:r>
      <w:r>
        <w:rPr>
          <w:rFonts w:hint="eastAsia" w:ascii="宋体" w:hAnsi="宋体" w:cs="宋体"/>
          <w:sz w:val="24"/>
        </w:rPr>
        <w:t>及</w:t>
      </w:r>
      <w:r>
        <w:rPr>
          <w:rFonts w:hint="eastAsia" w:ascii="宋体" w:hAnsi="宋体" w:cs="宋体"/>
          <w:sz w:val="24"/>
          <w:lang w:val="zh-CN"/>
        </w:rPr>
        <w:t>《苏建价（</w:t>
      </w:r>
      <w:r>
        <w:rPr>
          <w:rFonts w:hint="eastAsia" w:ascii="宋体" w:hAnsi="宋体" w:cs="宋体"/>
          <w:sz w:val="24"/>
        </w:rPr>
        <w:t>2019）178</w:t>
      </w:r>
      <w:r>
        <w:rPr>
          <w:rFonts w:hint="eastAsia" w:ascii="宋体" w:hAnsi="宋体" w:cs="宋体"/>
          <w:sz w:val="24"/>
          <w:lang w:val="zh-CN"/>
        </w:rPr>
        <w:t>号》营改后调整内容。</w:t>
      </w:r>
    </w:p>
    <w:p>
      <w:pPr>
        <w:spacing w:line="360" w:lineRule="auto"/>
        <w:ind w:firstLine="480" w:firstLineChars="200"/>
        <w:jc w:val="left"/>
        <w:rPr>
          <w:rFonts w:ascii="宋体" w:hAnsi="宋体" w:cs="宋体"/>
          <w:sz w:val="24"/>
          <w:lang w:val="zh-CN"/>
        </w:rPr>
      </w:pPr>
      <w:r>
        <w:rPr>
          <w:rFonts w:hint="eastAsia" w:ascii="宋体" w:hAnsi="宋体" w:cs="宋体"/>
          <w:sz w:val="24"/>
        </w:rPr>
        <w:t>3</w:t>
      </w:r>
      <w:r>
        <w:rPr>
          <w:rFonts w:hint="eastAsia" w:ascii="宋体" w:hAnsi="宋体" w:cs="宋体"/>
          <w:sz w:val="24"/>
          <w:lang w:val="zh-CN"/>
        </w:rPr>
        <w:t>、根据江苏省住房城乡建设厅苏建价〔2018〕24号文《省住房城乡建设厅关于调整建设工程按质论价等费用计取方法的公告》及镇江市建设工程造价管理处2018年12月7日出的通知，“扬尘污染防治增加费”增加在现场安全文明施工费基本费中，该费用为不可竞争费，投标单位不得更改。</w:t>
      </w:r>
    </w:p>
    <w:p>
      <w:pPr>
        <w:spacing w:line="360" w:lineRule="auto"/>
        <w:ind w:firstLine="480" w:firstLineChars="200"/>
        <w:jc w:val="left"/>
        <w:rPr>
          <w:rFonts w:ascii="宋体" w:hAnsi="宋体" w:cs="宋体"/>
          <w:sz w:val="24"/>
          <w:lang w:val="zh-CN"/>
        </w:rPr>
      </w:pPr>
      <w:r>
        <w:rPr>
          <w:rFonts w:hint="eastAsia" w:ascii="宋体" w:hAnsi="宋体" w:cs="宋体"/>
          <w:sz w:val="24"/>
        </w:rPr>
        <w:t>4</w:t>
      </w:r>
      <w:r>
        <w:rPr>
          <w:rFonts w:hint="eastAsia" w:ascii="宋体" w:hAnsi="宋体" w:cs="宋体"/>
          <w:sz w:val="24"/>
          <w:lang w:val="zh-CN"/>
        </w:rPr>
        <w:t>、根据镇江市住房城乡建设局苏建价〔201</w:t>
      </w:r>
      <w:r>
        <w:rPr>
          <w:rFonts w:hint="eastAsia" w:ascii="宋体" w:hAnsi="宋体" w:cs="宋体"/>
          <w:sz w:val="24"/>
        </w:rPr>
        <w:t>9</w:t>
      </w:r>
      <w:r>
        <w:rPr>
          <w:rFonts w:hint="eastAsia" w:ascii="宋体" w:hAnsi="宋体" w:cs="宋体"/>
          <w:sz w:val="24"/>
          <w:lang w:val="zh-CN"/>
        </w:rPr>
        <w:t>〕</w:t>
      </w:r>
      <w:r>
        <w:rPr>
          <w:rFonts w:hint="eastAsia" w:ascii="宋体" w:hAnsi="宋体" w:cs="宋体"/>
          <w:sz w:val="24"/>
        </w:rPr>
        <w:t>14</w:t>
      </w:r>
      <w:r>
        <w:rPr>
          <w:rFonts w:hint="eastAsia" w:ascii="宋体" w:hAnsi="宋体" w:cs="宋体"/>
          <w:sz w:val="24"/>
          <w:lang w:val="zh-CN"/>
        </w:rPr>
        <w:t>号文《国家税务总局江苏省税务局 江苏省生态环境厅关于部分行业环境保护税应纳税额计算方法的公告》及镇江市建设工程造价管理处201</w:t>
      </w:r>
      <w:r>
        <w:rPr>
          <w:rFonts w:hint="eastAsia" w:ascii="宋体" w:hAnsi="宋体" w:cs="宋体"/>
          <w:sz w:val="24"/>
        </w:rPr>
        <w:t>9</w:t>
      </w:r>
      <w:r>
        <w:rPr>
          <w:rFonts w:hint="eastAsia" w:ascii="宋体" w:hAnsi="宋体" w:cs="宋体"/>
          <w:sz w:val="24"/>
          <w:lang w:val="zh-CN"/>
        </w:rPr>
        <w:t>年</w:t>
      </w:r>
      <w:r>
        <w:rPr>
          <w:rFonts w:hint="eastAsia" w:ascii="宋体" w:hAnsi="宋体" w:cs="宋体"/>
          <w:sz w:val="24"/>
        </w:rPr>
        <w:t>7</w:t>
      </w:r>
      <w:r>
        <w:rPr>
          <w:rFonts w:hint="eastAsia" w:ascii="宋体" w:hAnsi="宋体" w:cs="宋体"/>
          <w:sz w:val="24"/>
          <w:lang w:val="zh-CN"/>
        </w:rPr>
        <w:t>月</w:t>
      </w:r>
      <w:r>
        <w:rPr>
          <w:rFonts w:hint="eastAsia" w:ascii="宋体" w:hAnsi="宋体" w:cs="宋体"/>
          <w:sz w:val="24"/>
        </w:rPr>
        <w:t>30</w:t>
      </w:r>
      <w:r>
        <w:rPr>
          <w:rFonts w:hint="eastAsia" w:ascii="宋体" w:hAnsi="宋体" w:cs="宋体"/>
          <w:sz w:val="24"/>
          <w:lang w:val="zh-CN"/>
        </w:rPr>
        <w:t>日出的通知，建设工程发承包计价中不再计列“环境保护税”。</w:t>
      </w:r>
    </w:p>
    <w:p>
      <w:pPr>
        <w:spacing w:line="360" w:lineRule="auto"/>
        <w:ind w:firstLine="480" w:firstLineChars="200"/>
        <w:jc w:val="left"/>
        <w:rPr>
          <w:rFonts w:ascii="宋体" w:hAnsi="宋体" w:cs="宋体"/>
          <w:sz w:val="24"/>
          <w:lang w:val="zh-CN"/>
        </w:rPr>
      </w:pPr>
      <w:r>
        <w:rPr>
          <w:rFonts w:hint="eastAsia" w:ascii="宋体" w:hAnsi="宋体" w:cs="宋体"/>
          <w:sz w:val="24"/>
        </w:rPr>
        <w:t>5、执行</w:t>
      </w:r>
      <w:r>
        <w:rPr>
          <w:rFonts w:hint="eastAsia" w:ascii="宋体" w:hAnsi="宋体" w:cs="宋体"/>
          <w:sz w:val="24"/>
          <w:lang w:val="zh-CN"/>
        </w:rPr>
        <w:t>镇江地区的相关计价规定。</w:t>
      </w:r>
    </w:p>
    <w:p>
      <w:pPr>
        <w:spacing w:line="360" w:lineRule="exact"/>
        <w:ind w:firstLine="480" w:firstLineChars="200"/>
        <w:rPr>
          <w:rFonts w:ascii="宋体" w:hAnsi="宋体" w:cs="宋体"/>
          <w:sz w:val="24"/>
        </w:rPr>
      </w:pPr>
      <w:r>
        <w:rPr>
          <w:rFonts w:hint="eastAsia" w:ascii="宋体" w:hAnsi="宋体" w:cs="宋体"/>
          <w:sz w:val="24"/>
        </w:rPr>
        <w:t>6、委托方编标要求。</w:t>
      </w:r>
    </w:p>
    <w:p>
      <w:pPr>
        <w:tabs>
          <w:tab w:val="left" w:pos="540"/>
          <w:tab w:val="left" w:pos="2700"/>
          <w:tab w:val="left" w:pos="5040"/>
        </w:tabs>
        <w:spacing w:line="380" w:lineRule="exact"/>
        <w:outlineLvl w:val="0"/>
        <w:rPr>
          <w:rFonts w:ascii="宋体" w:hAnsi="宋体" w:cs="宋体"/>
          <w:b/>
          <w:sz w:val="24"/>
        </w:rPr>
      </w:pPr>
      <w:r>
        <w:rPr>
          <w:rFonts w:hint="eastAsia" w:ascii="宋体" w:hAnsi="宋体" w:cs="宋体"/>
          <w:b/>
          <w:sz w:val="24"/>
        </w:rPr>
        <w:t>三、工程类别及取费标准</w:t>
      </w:r>
    </w:p>
    <w:p>
      <w:pPr>
        <w:spacing w:line="360" w:lineRule="auto"/>
        <w:ind w:firstLine="480" w:firstLineChars="200"/>
        <w:rPr>
          <w:rFonts w:hint="eastAsia" w:ascii="宋体" w:hAnsi="宋体" w:cs="宋体"/>
          <w:sz w:val="24"/>
        </w:rPr>
      </w:pPr>
      <w:r>
        <w:rPr>
          <w:rFonts w:hint="eastAsia" w:ascii="宋体" w:hAnsi="宋体" w:cs="宋体"/>
          <w:sz w:val="24"/>
        </w:rPr>
        <w:t>1、工程类别按2014年《江苏省建设工程费用定额》划分标准执行，按</w:t>
      </w:r>
      <w:r>
        <w:rPr>
          <w:rFonts w:hint="eastAsia" w:ascii="宋体" w:hAnsi="宋体" w:cs="宋体"/>
          <w:b/>
          <w:bCs/>
          <w:sz w:val="24"/>
          <w:u w:val="single"/>
          <w:lang w:val="en-US" w:eastAsia="zh-CN"/>
        </w:rPr>
        <w:t>土建三类，安装三类</w:t>
      </w:r>
      <w:r>
        <w:rPr>
          <w:rFonts w:hint="eastAsia" w:ascii="宋体" w:hAnsi="宋体" w:cs="宋体"/>
          <w:sz w:val="24"/>
        </w:rPr>
        <w:t>取费。</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color w:val="000000"/>
          <w:sz w:val="24"/>
        </w:rPr>
        <w:t>规费及现场安全文明措施费率：</w:t>
      </w:r>
      <w:r>
        <w:rPr>
          <w:rFonts w:hint="eastAsia" w:ascii="宋体" w:hAnsi="宋体" w:cs="宋体"/>
          <w:sz w:val="24"/>
        </w:rPr>
        <w:t>安全文明施工措施费、各项规费、税金按镇江市规定费率计取，其余由各投标单位自主报价。</w:t>
      </w:r>
    </w:p>
    <w:p>
      <w:pPr>
        <w:spacing w:line="360" w:lineRule="auto"/>
        <w:ind w:firstLine="480" w:firstLineChars="200"/>
        <w:rPr>
          <w:rFonts w:ascii="宋体" w:hAnsi="宋体" w:cs="宋体"/>
          <w:sz w:val="24"/>
        </w:rPr>
      </w:pPr>
      <w:r>
        <w:rPr>
          <w:rFonts w:hint="eastAsia" w:ascii="宋体" w:hAnsi="宋体" w:cs="宋体"/>
          <w:sz w:val="24"/>
        </w:rPr>
        <w:t>3、各项规费税金税率（%）如下：</w:t>
      </w:r>
    </w:p>
    <w:tbl>
      <w:tblPr>
        <w:tblStyle w:val="5"/>
        <w:tblW w:w="8946" w:type="dxa"/>
        <w:tblInd w:w="0" w:type="dxa"/>
        <w:tblLayout w:type="fixed"/>
        <w:tblCellMar>
          <w:top w:w="0" w:type="dxa"/>
          <w:left w:w="0" w:type="dxa"/>
          <w:bottom w:w="0" w:type="dxa"/>
          <w:right w:w="0" w:type="dxa"/>
        </w:tblCellMar>
      </w:tblPr>
      <w:tblGrid>
        <w:gridCol w:w="1797"/>
        <w:gridCol w:w="1136"/>
        <w:gridCol w:w="900"/>
        <w:gridCol w:w="1080"/>
        <w:gridCol w:w="1186"/>
        <w:gridCol w:w="1276"/>
        <w:gridCol w:w="1571"/>
      </w:tblGrid>
      <w:tr>
        <w:tblPrEx>
          <w:tblCellMar>
            <w:top w:w="0" w:type="dxa"/>
            <w:left w:w="0" w:type="dxa"/>
            <w:bottom w:w="0" w:type="dxa"/>
            <w:right w:w="0" w:type="dxa"/>
          </w:tblCellMar>
        </w:tblPrEx>
        <w:trPr>
          <w:cantSplit/>
          <w:trHeight w:val="312" w:hRule="atLeast"/>
        </w:trPr>
        <w:tc>
          <w:tcPr>
            <w:tcW w:w="179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eastAsia="宋体" w:cs="宋体"/>
                <w:szCs w:val="21"/>
              </w:rPr>
            </w:pPr>
            <w:r>
              <w:rPr>
                <w:rFonts w:hint="eastAsia" w:ascii="宋体" w:hAnsi="宋体" w:eastAsia="宋体" w:cs="宋体"/>
                <w:szCs w:val="21"/>
              </w:rPr>
              <w:t>工程项目</w:t>
            </w:r>
          </w:p>
        </w:tc>
        <w:tc>
          <w:tcPr>
            <w:tcW w:w="1136" w:type="dxa"/>
            <w:vMerge w:val="restart"/>
            <w:tcBorders>
              <w:top w:val="single" w:color="auto" w:sz="4" w:space="0"/>
              <w:left w:val="single" w:color="auto" w:sz="4" w:space="0"/>
              <w:right w:val="single" w:color="auto" w:sz="4" w:space="0"/>
            </w:tcBorders>
            <w:noWrap/>
            <w:vAlign w:val="center"/>
          </w:tcPr>
          <w:p>
            <w:pPr>
              <w:jc w:val="center"/>
              <w:rPr>
                <w:rFonts w:hint="eastAsia" w:ascii="宋体" w:hAnsi="宋体" w:eastAsia="宋体" w:cs="宋体"/>
                <w:szCs w:val="21"/>
              </w:rPr>
            </w:pPr>
            <w:r>
              <w:rPr>
                <w:rFonts w:hint="eastAsia" w:ascii="宋体" w:hAnsi="宋体" w:eastAsia="宋体" w:cs="宋体"/>
                <w:szCs w:val="21"/>
              </w:rPr>
              <w:t>社会保</w:t>
            </w:r>
          </w:p>
          <w:p>
            <w:pPr>
              <w:jc w:val="center"/>
              <w:rPr>
                <w:rFonts w:hint="eastAsia" w:ascii="宋体" w:hAnsi="宋体" w:eastAsia="宋体" w:cs="宋体"/>
                <w:szCs w:val="21"/>
              </w:rPr>
            </w:pPr>
            <w:r>
              <w:rPr>
                <w:rFonts w:hint="eastAsia" w:ascii="宋体" w:hAnsi="宋体" w:eastAsia="宋体" w:cs="宋体"/>
                <w:szCs w:val="21"/>
              </w:rPr>
              <w:t>障费率</w:t>
            </w:r>
          </w:p>
          <w:p>
            <w:pPr>
              <w:jc w:val="center"/>
              <w:rPr>
                <w:rFonts w:hint="eastAsia" w:ascii="宋体" w:hAnsi="宋体" w:eastAsia="宋体" w:cs="宋体"/>
                <w:szCs w:val="21"/>
              </w:rPr>
            </w:pPr>
            <w:r>
              <w:rPr>
                <w:rFonts w:hint="eastAsia" w:ascii="宋体" w:hAnsi="宋体" w:eastAsia="宋体" w:cs="宋体"/>
                <w:kern w:val="0"/>
                <w:szCs w:val="21"/>
              </w:rPr>
              <w:t>（%）</w:t>
            </w:r>
          </w:p>
        </w:tc>
        <w:tc>
          <w:tcPr>
            <w:tcW w:w="900" w:type="dxa"/>
            <w:vMerge w:val="restart"/>
            <w:tcBorders>
              <w:top w:val="single" w:color="auto" w:sz="4" w:space="0"/>
              <w:left w:val="single" w:color="auto" w:sz="4" w:space="0"/>
              <w:right w:val="single" w:color="auto" w:sz="4" w:space="0"/>
            </w:tcBorders>
            <w:noWrap/>
            <w:vAlign w:val="center"/>
          </w:tcPr>
          <w:p>
            <w:pPr>
              <w:jc w:val="center"/>
              <w:rPr>
                <w:rFonts w:hint="eastAsia" w:ascii="宋体" w:hAnsi="宋体" w:eastAsia="宋体" w:cs="宋体"/>
                <w:szCs w:val="21"/>
              </w:rPr>
            </w:pPr>
            <w:r>
              <w:rPr>
                <w:rFonts w:hint="eastAsia" w:ascii="宋体" w:hAnsi="宋体" w:eastAsia="宋体" w:cs="宋体"/>
                <w:szCs w:val="21"/>
              </w:rPr>
              <w:t>公积金</w:t>
            </w:r>
          </w:p>
          <w:p>
            <w:pPr>
              <w:jc w:val="center"/>
              <w:rPr>
                <w:rFonts w:hint="eastAsia" w:ascii="宋体" w:hAnsi="宋体" w:eastAsia="宋体" w:cs="宋体"/>
                <w:szCs w:val="21"/>
              </w:rPr>
            </w:pPr>
            <w:r>
              <w:rPr>
                <w:rFonts w:hint="eastAsia" w:ascii="宋体" w:hAnsi="宋体" w:eastAsia="宋体" w:cs="宋体"/>
                <w:szCs w:val="21"/>
              </w:rPr>
              <w:t>费率</w:t>
            </w:r>
          </w:p>
          <w:p>
            <w:pPr>
              <w:jc w:val="center"/>
              <w:rPr>
                <w:rFonts w:hint="eastAsia" w:ascii="宋体" w:hAnsi="宋体" w:eastAsia="宋体" w:cs="宋体"/>
                <w:szCs w:val="21"/>
              </w:rPr>
            </w:pPr>
            <w:r>
              <w:rPr>
                <w:rFonts w:hint="eastAsia" w:ascii="宋体" w:hAnsi="宋体" w:eastAsia="宋体" w:cs="宋体"/>
                <w:kern w:val="0"/>
                <w:szCs w:val="21"/>
              </w:rPr>
              <w:t>（%）</w:t>
            </w:r>
          </w:p>
        </w:tc>
        <w:tc>
          <w:tcPr>
            <w:tcW w:w="1080" w:type="dxa"/>
            <w:vMerge w:val="restart"/>
            <w:tcBorders>
              <w:top w:val="single" w:color="auto" w:sz="4" w:space="0"/>
              <w:left w:val="single" w:color="auto" w:sz="4" w:space="0"/>
              <w:right w:val="single" w:color="auto" w:sz="4" w:space="0"/>
            </w:tcBorders>
            <w:noWrap/>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增值税税率</w:t>
            </w:r>
          </w:p>
          <w:p>
            <w:pPr>
              <w:jc w:val="center"/>
              <w:rPr>
                <w:rFonts w:hint="eastAsia" w:ascii="宋体" w:hAnsi="宋体" w:eastAsia="宋体" w:cs="宋体"/>
                <w:szCs w:val="21"/>
              </w:rPr>
            </w:pPr>
            <w:r>
              <w:rPr>
                <w:rFonts w:hint="eastAsia" w:ascii="宋体" w:hAnsi="宋体" w:eastAsia="宋体" w:cs="宋体"/>
                <w:color w:val="auto"/>
                <w:kern w:val="0"/>
                <w:szCs w:val="21"/>
              </w:rPr>
              <w:t>（%）</w:t>
            </w:r>
          </w:p>
        </w:tc>
        <w:tc>
          <w:tcPr>
            <w:tcW w:w="403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Cs w:val="21"/>
              </w:rPr>
            </w:pPr>
            <w:r>
              <w:rPr>
                <w:rFonts w:hint="eastAsia" w:ascii="宋体" w:hAnsi="宋体" w:eastAsia="宋体" w:cs="宋体"/>
                <w:szCs w:val="21"/>
              </w:rPr>
              <w:t>现场安全文明施工措施费率</w:t>
            </w:r>
          </w:p>
        </w:tc>
      </w:tr>
      <w:tr>
        <w:tblPrEx>
          <w:tblCellMar>
            <w:top w:w="0" w:type="dxa"/>
            <w:left w:w="0" w:type="dxa"/>
            <w:bottom w:w="0" w:type="dxa"/>
            <w:right w:w="0" w:type="dxa"/>
          </w:tblCellMar>
        </w:tblPrEx>
        <w:trPr>
          <w:cantSplit/>
          <w:trHeight w:val="836" w:hRule="atLeast"/>
        </w:trPr>
        <w:tc>
          <w:tcPr>
            <w:tcW w:w="1797"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Cs w:val="21"/>
              </w:rPr>
            </w:pPr>
          </w:p>
        </w:tc>
        <w:tc>
          <w:tcPr>
            <w:tcW w:w="1136" w:type="dxa"/>
            <w:vMerge w:val="continue"/>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szCs w:val="21"/>
              </w:rPr>
            </w:pPr>
          </w:p>
        </w:tc>
        <w:tc>
          <w:tcPr>
            <w:tcW w:w="900" w:type="dxa"/>
            <w:vMerge w:val="continue"/>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szCs w:val="21"/>
              </w:rPr>
            </w:pPr>
          </w:p>
        </w:tc>
        <w:tc>
          <w:tcPr>
            <w:tcW w:w="1080" w:type="dxa"/>
            <w:vMerge w:val="continue"/>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szCs w:val="21"/>
              </w:rPr>
            </w:pPr>
          </w:p>
        </w:tc>
        <w:tc>
          <w:tcPr>
            <w:tcW w:w="118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Cs w:val="21"/>
              </w:rPr>
            </w:pPr>
            <w:r>
              <w:rPr>
                <w:rFonts w:hint="eastAsia" w:ascii="宋体" w:hAnsi="宋体" w:eastAsia="宋体" w:cs="宋体"/>
                <w:szCs w:val="21"/>
              </w:rPr>
              <w:t>基本费率</w:t>
            </w:r>
          </w:p>
          <w:p>
            <w:pPr>
              <w:jc w:val="center"/>
              <w:rPr>
                <w:rFonts w:hint="eastAsia" w:ascii="宋体" w:hAnsi="宋体" w:eastAsia="宋体" w:cs="宋体"/>
                <w:szCs w:val="21"/>
              </w:rPr>
            </w:pPr>
            <w:r>
              <w:rPr>
                <w:rFonts w:hint="eastAsia" w:ascii="宋体" w:hAnsi="宋体" w:eastAsia="宋体" w:cs="宋体"/>
                <w:kern w:val="0"/>
                <w:szCs w:val="21"/>
              </w:rPr>
              <w:t>（%）</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Cs w:val="21"/>
              </w:rPr>
            </w:pPr>
            <w:r>
              <w:rPr>
                <w:rFonts w:hint="eastAsia" w:ascii="宋体" w:hAnsi="宋体" w:eastAsia="宋体" w:cs="宋体"/>
                <w:szCs w:val="21"/>
              </w:rPr>
              <w:t>增加费率</w:t>
            </w:r>
          </w:p>
          <w:p>
            <w:pPr>
              <w:jc w:val="center"/>
              <w:rPr>
                <w:rFonts w:hint="eastAsia" w:ascii="宋体" w:hAnsi="宋体" w:eastAsia="宋体" w:cs="宋体"/>
                <w:szCs w:val="21"/>
              </w:rPr>
            </w:pPr>
            <w:r>
              <w:rPr>
                <w:rFonts w:hint="eastAsia" w:ascii="宋体" w:hAnsi="宋体" w:eastAsia="宋体" w:cs="宋体"/>
                <w:kern w:val="0"/>
                <w:szCs w:val="21"/>
              </w:rPr>
              <w:t>（%）</w:t>
            </w:r>
          </w:p>
        </w:tc>
        <w:tc>
          <w:tcPr>
            <w:tcW w:w="157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Cs w:val="21"/>
              </w:rPr>
            </w:pPr>
            <w:r>
              <w:rPr>
                <w:rFonts w:hint="eastAsia" w:ascii="宋体" w:hAnsi="宋体" w:eastAsia="宋体" w:cs="宋体"/>
                <w:szCs w:val="21"/>
              </w:rPr>
              <w:t>扬尘污染防治</w:t>
            </w:r>
          </w:p>
          <w:p>
            <w:pPr>
              <w:jc w:val="center"/>
              <w:rPr>
                <w:rFonts w:hint="eastAsia" w:ascii="宋体" w:hAnsi="宋体" w:eastAsia="宋体" w:cs="宋体"/>
                <w:szCs w:val="21"/>
              </w:rPr>
            </w:pPr>
            <w:r>
              <w:rPr>
                <w:rFonts w:hint="eastAsia" w:ascii="宋体" w:hAnsi="宋体" w:eastAsia="宋体" w:cs="宋体"/>
                <w:szCs w:val="21"/>
              </w:rPr>
              <w:t>增加费（%）</w:t>
            </w:r>
          </w:p>
        </w:tc>
      </w:tr>
      <w:tr>
        <w:tblPrEx>
          <w:tblCellMar>
            <w:top w:w="0" w:type="dxa"/>
            <w:left w:w="0" w:type="dxa"/>
            <w:bottom w:w="0" w:type="dxa"/>
            <w:right w:w="0" w:type="dxa"/>
          </w:tblCellMar>
        </w:tblPrEx>
        <w:trPr>
          <w:trHeight w:val="427" w:hRule="atLeast"/>
        </w:trPr>
        <w:tc>
          <w:tcPr>
            <w:tcW w:w="179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hint="default" w:ascii="宋体" w:hAnsi="宋体" w:cs="宋体"/>
                <w:szCs w:val="21"/>
                <w:lang w:val="en-US" w:eastAsia="zh-CN"/>
              </w:rPr>
            </w:pPr>
            <w:r>
              <w:rPr>
                <w:rFonts w:hint="eastAsia" w:ascii="宋体" w:hAnsi="宋体" w:cs="宋体"/>
                <w:color w:val="auto"/>
                <w:szCs w:val="21"/>
                <w:lang w:val="en-US" w:eastAsia="zh-CN"/>
              </w:rPr>
              <w:t>安装工程</w:t>
            </w:r>
          </w:p>
        </w:tc>
        <w:tc>
          <w:tcPr>
            <w:tcW w:w="113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bCs/>
                <w:szCs w:val="21"/>
                <w:lang w:val="en-US" w:eastAsia="zh-CN"/>
              </w:rPr>
            </w:pPr>
            <w:r>
              <w:rPr>
                <w:rFonts w:hint="eastAsia" w:ascii="宋体" w:hAnsi="宋体" w:cs="宋体"/>
                <w:bCs/>
                <w:color w:val="auto"/>
                <w:szCs w:val="21"/>
                <w:lang w:val="en-US" w:eastAsia="zh-CN"/>
              </w:rPr>
              <w:t>2.4</w:t>
            </w:r>
          </w:p>
        </w:tc>
        <w:tc>
          <w:tcPr>
            <w:tcW w:w="90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bCs/>
                <w:szCs w:val="21"/>
                <w:lang w:val="en-US" w:eastAsia="zh-CN"/>
              </w:rPr>
            </w:pPr>
            <w:r>
              <w:rPr>
                <w:rFonts w:hint="eastAsia" w:ascii="宋体" w:hAnsi="宋体" w:cs="宋体"/>
                <w:bCs/>
                <w:color w:val="auto"/>
                <w:szCs w:val="21"/>
                <w:lang w:val="en-US" w:eastAsia="zh-CN"/>
              </w:rPr>
              <w:t>0.42</w:t>
            </w:r>
          </w:p>
        </w:tc>
        <w:tc>
          <w:tcPr>
            <w:tcW w:w="108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Cs/>
                <w:szCs w:val="21"/>
              </w:rPr>
            </w:pPr>
            <w:r>
              <w:rPr>
                <w:rFonts w:hint="eastAsia" w:ascii="宋体" w:hAnsi="宋体" w:cs="宋体"/>
                <w:bCs/>
                <w:szCs w:val="21"/>
                <w:lang w:val="en-US" w:eastAsia="zh-CN"/>
              </w:rPr>
              <w:t>9</w:t>
            </w:r>
          </w:p>
        </w:tc>
        <w:tc>
          <w:tcPr>
            <w:tcW w:w="118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1.5</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Cs w:val="21"/>
              </w:rPr>
            </w:pPr>
            <w:r>
              <w:rPr>
                <w:rFonts w:hint="eastAsia" w:ascii="宋体" w:hAnsi="宋体" w:eastAsia="宋体" w:cs="宋体"/>
                <w:szCs w:val="21"/>
              </w:rPr>
              <w:t>/</w:t>
            </w:r>
          </w:p>
        </w:tc>
        <w:tc>
          <w:tcPr>
            <w:tcW w:w="1571"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szCs w:val="21"/>
                <w:lang w:val="en-US" w:eastAsia="zh-CN"/>
              </w:rPr>
            </w:pPr>
            <w:r>
              <w:rPr>
                <w:rFonts w:hint="eastAsia" w:ascii="宋体" w:hAnsi="宋体" w:cs="宋体"/>
                <w:szCs w:val="21"/>
                <w:lang w:val="en-US" w:eastAsia="zh-CN"/>
              </w:rPr>
              <w:t>0.21</w:t>
            </w:r>
          </w:p>
        </w:tc>
      </w:tr>
      <w:tr>
        <w:tblPrEx>
          <w:tblCellMar>
            <w:top w:w="0" w:type="dxa"/>
            <w:left w:w="0" w:type="dxa"/>
            <w:bottom w:w="0" w:type="dxa"/>
            <w:right w:w="0" w:type="dxa"/>
          </w:tblCellMar>
        </w:tblPrEx>
        <w:trPr>
          <w:trHeight w:val="427" w:hRule="atLeast"/>
        </w:trPr>
        <w:tc>
          <w:tcPr>
            <w:tcW w:w="179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hint="default" w:ascii="宋体" w:hAnsi="宋体" w:cs="宋体"/>
                <w:szCs w:val="21"/>
                <w:lang w:val="en-US" w:eastAsia="zh-CN"/>
              </w:rPr>
            </w:pPr>
            <w:r>
              <w:rPr>
                <w:rFonts w:hint="eastAsia" w:ascii="宋体" w:hAnsi="宋体" w:cs="宋体"/>
                <w:color w:val="auto"/>
                <w:szCs w:val="21"/>
                <w:lang w:val="en-US" w:eastAsia="zh-CN"/>
              </w:rPr>
              <w:t>建筑</w:t>
            </w:r>
            <w:r>
              <w:rPr>
                <w:rFonts w:hint="eastAsia" w:ascii="宋体" w:hAnsi="宋体" w:cs="宋体"/>
                <w:color w:val="auto"/>
                <w:szCs w:val="21"/>
              </w:rPr>
              <w:t>工程</w:t>
            </w:r>
          </w:p>
        </w:tc>
        <w:tc>
          <w:tcPr>
            <w:tcW w:w="113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3.2</w:t>
            </w:r>
          </w:p>
        </w:tc>
        <w:tc>
          <w:tcPr>
            <w:tcW w:w="90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Cs/>
                <w:szCs w:val="21"/>
                <w:lang w:val="en-US" w:eastAsia="zh-CN"/>
              </w:rPr>
            </w:pPr>
            <w:r>
              <w:rPr>
                <w:rFonts w:hint="eastAsia" w:ascii="宋体" w:hAnsi="宋体" w:cs="宋体"/>
                <w:bCs/>
                <w:color w:val="auto"/>
                <w:szCs w:val="21"/>
                <w:lang w:val="en-US" w:eastAsia="zh-CN"/>
              </w:rPr>
              <w:t>0.53</w:t>
            </w:r>
          </w:p>
        </w:tc>
        <w:tc>
          <w:tcPr>
            <w:tcW w:w="108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Cs/>
                <w:szCs w:val="21"/>
              </w:rPr>
            </w:pPr>
            <w:r>
              <w:rPr>
                <w:rFonts w:hint="eastAsia" w:ascii="宋体" w:hAnsi="宋体" w:cs="宋体"/>
                <w:bCs/>
                <w:szCs w:val="21"/>
                <w:lang w:val="en-US" w:eastAsia="zh-CN"/>
              </w:rPr>
              <w:t>9</w:t>
            </w:r>
          </w:p>
        </w:tc>
        <w:tc>
          <w:tcPr>
            <w:tcW w:w="118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Cs/>
                <w:szCs w:val="21"/>
                <w:lang w:val="en-US" w:eastAsia="zh-CN"/>
              </w:rPr>
            </w:pPr>
            <w:r>
              <w:rPr>
                <w:rFonts w:hint="eastAsia" w:ascii="宋体" w:hAnsi="宋体" w:cs="宋体"/>
                <w:bCs/>
                <w:color w:val="auto"/>
                <w:szCs w:val="21"/>
                <w:lang w:val="en-US" w:eastAsia="zh-CN"/>
              </w:rPr>
              <w:t>3.1</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Cs w:val="21"/>
              </w:rPr>
            </w:pPr>
            <w:r>
              <w:rPr>
                <w:rFonts w:hint="eastAsia" w:ascii="宋体" w:hAnsi="宋体" w:cs="宋体"/>
                <w:color w:val="auto"/>
                <w:szCs w:val="21"/>
              </w:rPr>
              <w:t>/</w:t>
            </w:r>
          </w:p>
        </w:tc>
        <w:tc>
          <w:tcPr>
            <w:tcW w:w="157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Cs w:val="21"/>
                <w:lang w:val="en-US" w:eastAsia="zh-CN"/>
              </w:rPr>
            </w:pPr>
            <w:r>
              <w:rPr>
                <w:rFonts w:hint="eastAsia" w:ascii="宋体" w:hAnsi="宋体" w:cs="宋体"/>
                <w:color w:val="auto"/>
                <w:szCs w:val="21"/>
                <w:lang w:val="en-US" w:eastAsia="zh-CN"/>
              </w:rPr>
              <w:t>0.31</w:t>
            </w:r>
          </w:p>
        </w:tc>
      </w:tr>
    </w:tbl>
    <w:p>
      <w:pPr>
        <w:tabs>
          <w:tab w:val="left" w:pos="900"/>
        </w:tabs>
        <w:spacing w:line="360" w:lineRule="auto"/>
        <w:ind w:firstLine="360" w:firstLineChars="150"/>
        <w:rPr>
          <w:rFonts w:ascii="宋体" w:hAnsi="宋体" w:cs="宋体"/>
          <w:sz w:val="24"/>
        </w:rPr>
      </w:pPr>
      <w:r>
        <w:rPr>
          <w:rFonts w:hint="eastAsia" w:ascii="宋体" w:hAnsi="宋体" w:cs="宋体"/>
          <w:sz w:val="24"/>
        </w:rPr>
        <w:t>4、各项措施费率如下：各投标单位应结合工程实际、工期、设计要求和投标单位的施工组织设计、施工方案等综合考虑一切可见和不可见因素，相关的费用均视为已含在措施费用或报价中，竣工结算时不再调整和增加任何费用，除措施项目清单中所列项目外，投标人根据施工组织设计需要自主增加和报价。</w:t>
      </w:r>
    </w:p>
    <w:p>
      <w:pPr>
        <w:spacing w:line="360" w:lineRule="auto"/>
        <w:rPr>
          <w:rFonts w:ascii="宋体" w:hAnsi="宋体" w:cs="宋体"/>
          <w:b/>
          <w:sz w:val="24"/>
        </w:rPr>
      </w:pPr>
      <w:r>
        <w:rPr>
          <w:rFonts w:hint="eastAsia" w:ascii="宋体" w:hAnsi="宋体" w:cs="宋体"/>
          <w:b/>
          <w:sz w:val="24"/>
        </w:rPr>
        <w:t>四、其他项目费</w:t>
      </w:r>
    </w:p>
    <w:p>
      <w:pPr>
        <w:tabs>
          <w:tab w:val="left" w:pos="900"/>
        </w:tabs>
        <w:spacing w:line="360" w:lineRule="auto"/>
        <w:ind w:firstLine="360" w:firstLineChars="150"/>
        <w:rPr>
          <w:rFonts w:hint="eastAsia" w:ascii="宋体" w:hAnsi="宋体" w:cs="宋体"/>
          <w:sz w:val="24"/>
          <w:lang w:val="zh-CN"/>
        </w:rPr>
      </w:pPr>
      <w:r>
        <w:rPr>
          <w:rFonts w:hint="eastAsia" w:ascii="宋体" w:hAnsi="宋体" w:cs="宋体"/>
          <w:sz w:val="24"/>
          <w:lang w:val="zh-CN"/>
        </w:rPr>
        <w:t>1、暂列金额：详见其他项目清单暂列金额。</w:t>
      </w:r>
    </w:p>
    <w:p>
      <w:pPr>
        <w:tabs>
          <w:tab w:val="left" w:pos="900"/>
        </w:tabs>
        <w:spacing w:line="360" w:lineRule="auto"/>
        <w:ind w:firstLine="360" w:firstLineChars="150"/>
        <w:rPr>
          <w:rFonts w:hint="eastAsia" w:ascii="宋体" w:hAnsi="宋体" w:cs="宋体"/>
          <w:sz w:val="24"/>
          <w:lang w:val="zh-CN"/>
        </w:rPr>
      </w:pPr>
      <w:r>
        <w:rPr>
          <w:rFonts w:hint="eastAsia" w:ascii="宋体" w:hAnsi="宋体" w:cs="宋体"/>
          <w:sz w:val="24"/>
          <w:lang w:val="zh-CN"/>
        </w:rPr>
        <w:t>2、专业工程暂估价: 详见其他项目清单专业工程暂估价。</w:t>
      </w:r>
    </w:p>
    <w:p>
      <w:pPr>
        <w:spacing w:line="360" w:lineRule="auto"/>
        <w:rPr>
          <w:rFonts w:ascii="宋体" w:hAnsi="宋体" w:cs="宋体"/>
          <w:b/>
          <w:bCs/>
          <w:color w:val="000000"/>
          <w:sz w:val="24"/>
        </w:rPr>
      </w:pPr>
      <w:r>
        <w:rPr>
          <w:rFonts w:hint="eastAsia" w:ascii="宋体" w:hAnsi="宋体" w:cs="宋体"/>
          <w:b/>
          <w:bCs/>
          <w:color w:val="000000"/>
          <w:sz w:val="24"/>
        </w:rPr>
        <w:t>五、人工及材料价格取定</w:t>
      </w:r>
    </w:p>
    <w:p>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360" w:firstLineChars="150"/>
        <w:textAlignment w:val="auto"/>
        <w:rPr>
          <w:rFonts w:hint="eastAsia" w:ascii="宋体" w:hAnsi="宋体" w:cs="宋体"/>
          <w:sz w:val="24"/>
          <w:lang w:val="zh-CN"/>
        </w:rPr>
      </w:pPr>
      <w:r>
        <w:rPr>
          <w:rFonts w:hint="eastAsia" w:ascii="宋体" w:hAnsi="宋体" w:cs="宋体"/>
          <w:sz w:val="24"/>
          <w:lang w:val="zh-CN"/>
        </w:rPr>
        <w:t>1、本工程材料价格按《镇江工程造价信息》镇江市 2</w:t>
      </w:r>
      <w:r>
        <w:rPr>
          <w:rFonts w:hint="eastAsia" w:ascii="宋体" w:hAnsi="宋体" w:cs="宋体"/>
          <w:sz w:val="24"/>
        </w:rPr>
        <w:t>02</w:t>
      </w:r>
      <w:r>
        <w:rPr>
          <w:rFonts w:hint="eastAsia" w:ascii="宋体" w:hAnsi="宋体" w:cs="宋体"/>
          <w:sz w:val="24"/>
          <w:lang w:val="en-US" w:eastAsia="zh-CN"/>
        </w:rPr>
        <w:t>5</w:t>
      </w:r>
      <w:r>
        <w:rPr>
          <w:rFonts w:hint="eastAsia" w:ascii="宋体" w:hAnsi="宋体" w:cs="宋体"/>
          <w:sz w:val="24"/>
          <w:lang w:val="zh-CN"/>
        </w:rPr>
        <w:t>年第</w:t>
      </w:r>
      <w:r>
        <w:rPr>
          <w:rFonts w:hint="eastAsia" w:ascii="宋体" w:hAnsi="宋体" w:cs="宋体"/>
          <w:sz w:val="24"/>
          <w:lang w:val="en-US" w:eastAsia="zh-CN"/>
        </w:rPr>
        <w:t>5</w:t>
      </w:r>
      <w:bookmarkStart w:id="0" w:name="_GoBack"/>
      <w:bookmarkEnd w:id="0"/>
      <w:r>
        <w:rPr>
          <w:rFonts w:hint="eastAsia" w:ascii="宋体" w:hAnsi="宋体" w:cs="宋体"/>
          <w:sz w:val="24"/>
          <w:lang w:val="zh-CN"/>
        </w:rPr>
        <w:t>期并结合市场价与市场波动等因素综合考虑。人工单价执行苏建函价[20</w:t>
      </w:r>
      <w:r>
        <w:rPr>
          <w:rFonts w:hint="eastAsia" w:ascii="宋体" w:hAnsi="宋体" w:cs="宋体"/>
          <w:sz w:val="24"/>
        </w:rPr>
        <w:t>2</w:t>
      </w:r>
      <w:r>
        <w:rPr>
          <w:rFonts w:hint="eastAsia" w:ascii="宋体" w:hAnsi="宋体" w:cs="宋体"/>
          <w:sz w:val="24"/>
          <w:lang w:val="en-US" w:eastAsia="zh-CN"/>
        </w:rPr>
        <w:t>5</w:t>
      </w:r>
      <w:r>
        <w:rPr>
          <w:rFonts w:hint="eastAsia" w:ascii="宋体" w:hAnsi="宋体" w:cs="宋体"/>
          <w:sz w:val="24"/>
          <w:lang w:val="zh-CN"/>
        </w:rPr>
        <w:t>]</w:t>
      </w:r>
      <w:r>
        <w:rPr>
          <w:rFonts w:hint="eastAsia" w:ascii="宋体" w:hAnsi="宋体" w:cs="宋体"/>
          <w:sz w:val="24"/>
          <w:lang w:val="en-US" w:eastAsia="zh-CN"/>
        </w:rPr>
        <w:t>66</w:t>
      </w:r>
      <w:r>
        <w:rPr>
          <w:rFonts w:hint="eastAsia" w:ascii="宋体" w:hAnsi="宋体" w:cs="宋体"/>
          <w:sz w:val="24"/>
          <w:lang w:val="zh-CN"/>
        </w:rPr>
        <w:t>号文件。</w:t>
      </w:r>
    </w:p>
    <w:p>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360" w:firstLineChars="150"/>
        <w:textAlignment w:val="auto"/>
        <w:rPr>
          <w:rFonts w:hint="eastAsia" w:ascii="宋体" w:hAnsi="宋体" w:cs="宋体"/>
          <w:sz w:val="24"/>
          <w:lang w:val="zh-CN"/>
        </w:rPr>
      </w:pPr>
      <w:r>
        <w:rPr>
          <w:rFonts w:hint="eastAsia" w:ascii="宋体" w:hAnsi="宋体" w:cs="宋体"/>
          <w:sz w:val="24"/>
          <w:lang w:val="zh-CN"/>
        </w:rPr>
        <w:t>2、各投标人根据招标文件要求和工程实际情况（自行踏勘现场），充分考虑市场风险，结合市场行情、自身实力和管理水平等因素自主报价。</w:t>
      </w: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textAlignment w:val="auto"/>
        <w:rPr>
          <w:rFonts w:ascii="宋体" w:hAnsi="宋体" w:cs="宋体"/>
          <w:b/>
          <w:bCs/>
          <w:sz w:val="24"/>
        </w:rPr>
      </w:pPr>
      <w:r>
        <w:rPr>
          <w:rFonts w:hint="eastAsia" w:ascii="宋体" w:hAnsi="宋体" w:cs="宋体"/>
          <w:b/>
          <w:bCs/>
          <w:sz w:val="24"/>
        </w:rPr>
        <w:t>六、其他说明：</w:t>
      </w:r>
    </w:p>
    <w:p>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val="zh-CN" w:eastAsia="zh-CN"/>
        </w:rPr>
        <w:t>本工程量清单中“工作内容”为完成本项目所需的主要工作内容，各投标单位投标报价时应结合施工图纸、本单位施工方案综合考虑，竣工结算时工程量按实调整, 综合单价不变。</w:t>
      </w:r>
    </w:p>
    <w:p>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2、工程量清单与工程量清单编制说明不一致的以工程量清单编制说明为准。</w:t>
      </w:r>
    </w:p>
    <w:p>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3、光伏工程不在本项目范围内。</w:t>
      </w:r>
    </w:p>
    <w:p>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w:t>
      </w:r>
      <w:r>
        <w:rPr>
          <w:rFonts w:hint="eastAsia" w:ascii="宋体" w:hAnsi="宋体" w:cs="宋体"/>
          <w:sz w:val="24"/>
          <w:lang w:val="en-US" w:eastAsia="zh-CN"/>
        </w:rPr>
        <w:t>射线警示灯、电动门、急停按钮、设备控制柜、摄像头等专业设备</w:t>
      </w:r>
      <w:r>
        <w:rPr>
          <w:rFonts w:hint="eastAsia" w:asciiTheme="minorEastAsia" w:hAnsiTheme="minorEastAsia" w:eastAsiaTheme="minorEastAsia" w:cstheme="minorEastAsia"/>
          <w:sz w:val="24"/>
          <w:lang w:val="en-US" w:eastAsia="zh-CN"/>
        </w:rPr>
        <w:t>不在本项目范围内。</w:t>
      </w:r>
    </w:p>
    <w:p>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w:t>
      </w:r>
      <w:r>
        <w:rPr>
          <w:rFonts w:hint="eastAsia" w:ascii="宋体" w:hAnsi="宋体" w:cs="宋体"/>
          <w:sz w:val="24"/>
          <w:lang w:val="en-US" w:eastAsia="zh-CN"/>
        </w:rPr>
        <w:t>玻璃雨篷</w:t>
      </w:r>
      <w:r>
        <w:rPr>
          <w:rFonts w:hint="eastAsia" w:asciiTheme="minorEastAsia" w:hAnsiTheme="minorEastAsia" w:eastAsiaTheme="minorEastAsia" w:cstheme="minorEastAsia"/>
          <w:sz w:val="24"/>
          <w:lang w:val="en-US" w:eastAsia="zh-CN"/>
        </w:rPr>
        <w:t>不在本项目范围内。</w:t>
      </w:r>
    </w:p>
    <w:p>
      <w:pPr>
        <w:pStyle w:val="3"/>
        <w:rPr>
          <w:rFonts w:hint="eastAsia" w:ascii="宋体" w:hAnsi="宋体" w:cs="宋体"/>
          <w:color w:val="auto"/>
          <w:sz w:val="24"/>
          <w:lang w:val="en-US" w:eastAsia="zh-CN"/>
        </w:rPr>
      </w:pPr>
    </w:p>
    <w:p>
      <w:pPr>
        <w:pStyle w:val="3"/>
        <w:rPr>
          <w:rFonts w:hint="eastAsia" w:ascii="宋体" w:hAnsi="宋体" w:cs="宋体"/>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default" w:asciiTheme="minorEastAsia" w:hAnsiTheme="minorEastAsia" w:eastAsiaTheme="minorEastAsia" w:cstheme="minorEastAsia"/>
          <w:sz w:val="24"/>
          <w:lang w:val="en-US" w:eastAsia="zh-CN"/>
        </w:rPr>
      </w:pPr>
    </w:p>
    <w:p>
      <w:pPr>
        <w:spacing w:line="360" w:lineRule="auto"/>
        <w:ind w:firstLine="480"/>
        <w:jc w:val="right"/>
        <w:rPr>
          <w:rFonts w:hint="default" w:ascii="宋体" w:hAnsi="宋体" w:eastAsia="宋体" w:cs="宋体"/>
          <w:sz w:val="24"/>
          <w:lang w:val="en-US" w:eastAsia="zh-CN"/>
        </w:rPr>
      </w:pPr>
      <w:r>
        <w:rPr>
          <w:rFonts w:hint="eastAsia" w:ascii="宋体" w:hAnsi="宋体" w:cs="宋体"/>
          <w:sz w:val="24"/>
          <w:lang w:val="zh-CN"/>
        </w:rPr>
        <w:t>20</w:t>
      </w:r>
      <w:r>
        <w:rPr>
          <w:rFonts w:hint="eastAsia" w:ascii="宋体" w:hAnsi="宋体" w:cs="宋体"/>
          <w:sz w:val="24"/>
        </w:rPr>
        <w:t>2</w:t>
      </w:r>
      <w:r>
        <w:rPr>
          <w:rFonts w:hint="eastAsia" w:ascii="宋体" w:hAnsi="宋体" w:cs="宋体"/>
          <w:sz w:val="24"/>
          <w:lang w:val="en-US" w:eastAsia="zh-CN"/>
        </w:rPr>
        <w:t>5</w:t>
      </w:r>
      <w:r>
        <w:rPr>
          <w:rFonts w:hint="eastAsia" w:ascii="宋体" w:hAnsi="宋体" w:cs="宋体"/>
          <w:sz w:val="24"/>
          <w:lang w:val="zh-CN"/>
        </w:rPr>
        <w:t>.</w:t>
      </w:r>
      <w:r>
        <w:rPr>
          <w:rFonts w:hint="eastAsia" w:ascii="宋体" w:hAnsi="宋体" w:cs="宋体"/>
          <w:sz w:val="24"/>
          <w:lang w:val="en-US" w:eastAsia="zh-CN"/>
        </w:rPr>
        <w:t>6</w:t>
      </w:r>
    </w:p>
    <w:sectPr>
      <w:footerReference r:id="rId3" w:type="default"/>
      <w:footerReference r:id="rId4" w:type="even"/>
      <w:pgSz w:w="11906" w:h="16838"/>
      <w:pgMar w:top="1440" w:right="1418" w:bottom="1135" w:left="153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OTE5ZmQ1MjQ2NDA2Mjc3NWJmZDg0N2UxMzYxNWUifQ=="/>
  </w:docVars>
  <w:rsids>
    <w:rsidRoot w:val="3A7D3A53"/>
    <w:rsid w:val="0222218B"/>
    <w:rsid w:val="02581FAD"/>
    <w:rsid w:val="0ACB4E95"/>
    <w:rsid w:val="0DFE23C8"/>
    <w:rsid w:val="0E9E5877"/>
    <w:rsid w:val="12942742"/>
    <w:rsid w:val="12B72DB4"/>
    <w:rsid w:val="14D819C0"/>
    <w:rsid w:val="15236C69"/>
    <w:rsid w:val="16FC6853"/>
    <w:rsid w:val="180B6CBC"/>
    <w:rsid w:val="1BFC74FD"/>
    <w:rsid w:val="1C76116A"/>
    <w:rsid w:val="1DC33B6E"/>
    <w:rsid w:val="1FDE11D7"/>
    <w:rsid w:val="205C5F46"/>
    <w:rsid w:val="22752280"/>
    <w:rsid w:val="25E718BA"/>
    <w:rsid w:val="282D754F"/>
    <w:rsid w:val="28DD578D"/>
    <w:rsid w:val="29127667"/>
    <w:rsid w:val="2A0A472D"/>
    <w:rsid w:val="2A5F7045"/>
    <w:rsid w:val="2ACB5CC2"/>
    <w:rsid w:val="2C8114F5"/>
    <w:rsid w:val="2E9A675D"/>
    <w:rsid w:val="2FDD46A4"/>
    <w:rsid w:val="350E3976"/>
    <w:rsid w:val="369141D0"/>
    <w:rsid w:val="3A7D3A53"/>
    <w:rsid w:val="3DB4062C"/>
    <w:rsid w:val="41800FC2"/>
    <w:rsid w:val="48A47630"/>
    <w:rsid w:val="49F615DF"/>
    <w:rsid w:val="4C0F31BB"/>
    <w:rsid w:val="4DC1028E"/>
    <w:rsid w:val="50857AC7"/>
    <w:rsid w:val="560D69D7"/>
    <w:rsid w:val="57A466F8"/>
    <w:rsid w:val="57B779AD"/>
    <w:rsid w:val="597D203B"/>
    <w:rsid w:val="5B4A7DAE"/>
    <w:rsid w:val="5E5065DE"/>
    <w:rsid w:val="5EF42916"/>
    <w:rsid w:val="618D6CCC"/>
    <w:rsid w:val="642736E8"/>
    <w:rsid w:val="64D84182"/>
    <w:rsid w:val="64EF6F83"/>
    <w:rsid w:val="65027A7F"/>
    <w:rsid w:val="6605273D"/>
    <w:rsid w:val="66AE6114"/>
    <w:rsid w:val="68117F41"/>
    <w:rsid w:val="695A31DC"/>
    <w:rsid w:val="6A057E75"/>
    <w:rsid w:val="6A2D34DC"/>
    <w:rsid w:val="6A316002"/>
    <w:rsid w:val="6BB0333E"/>
    <w:rsid w:val="6C5F7088"/>
    <w:rsid w:val="6CC76906"/>
    <w:rsid w:val="6F5035DA"/>
    <w:rsid w:val="70E63C96"/>
    <w:rsid w:val="71BE3412"/>
    <w:rsid w:val="7432158F"/>
    <w:rsid w:val="79F9215D"/>
    <w:rsid w:val="7ACD74A9"/>
    <w:rsid w:val="7B021C12"/>
    <w:rsid w:val="7D02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lock Text"/>
    <w:basedOn w:val="1"/>
    <w:qFormat/>
    <w:uiPriority w:val="0"/>
    <w:pPr>
      <w:spacing w:afterLines="0" w:afterAutospacing="0"/>
      <w:ind w:left="0" w:leftChars="0" w:rightChars="0"/>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1364</Words>
  <Characters>1495</Characters>
  <Lines>0</Lines>
  <Paragraphs>0</Paragraphs>
  <TotalTime>0</TotalTime>
  <ScaleCrop>false</ScaleCrop>
  <LinksUpToDate>false</LinksUpToDate>
  <CharactersWithSpaces>1499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2020-12-09T11:07:00Z</dcterms:created>
  <dc:creator>穆晨</dc:creator>
  <cp:lastModifiedBy>Q</cp:lastModifiedBy>
  <dcterms:modified xsi:type="dcterms:W3CDTF">2025-06-10T07:18:15Z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D16C2C3E31C74149AE4CB15C2F83E8AC</vt:lpwstr>
  </property>
</Properties>
</file>