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72"/>
        </w:rPr>
        <w:t xml:space="preserve">连云港市政府采购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679" w:right="0" w:hanging="12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项目名称：灌云县森林火灾智能监测预警系统提升项目</w:t>
      </w:r>
      <w:r/>
    </w:p>
    <w:p>
      <w:pPr>
        <w:ind w:left="0" w:right="0" w:firstLine="160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项目编号：JSZC-320723-JSZC-C2025-0102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采购人：灌云县自然资源和规划局</w:t>
      </w:r>
      <w:r/>
    </w:p>
    <w:p>
      <w:pPr>
        <w:ind w:left="0" w:right="0" w:firstLine="1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采购代理机构：江苏志诚工程咨询管理有限公司</w:t>
      </w:r>
      <w:r/>
    </w:p>
    <w:p>
      <w:pPr>
        <w:ind w:left="0" w:right="0" w:firstLine="0"/>
        <w:jc w:val="center"/>
        <w:spacing w:before="240" w:after="24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2025年12月</w:t>
      </w: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jc w:val="center"/>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line="113" w:lineRule="atLeast"/>
        <w:tabs>
          <w:tab w:val="left" w:pos="9440" w:leader="none"/>
          <w:tab w:val="left" w:pos="94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 目 录</w:t>
      </w:r>
      <w:r/>
    </w:p>
    <w:p>
      <w:pPr>
        <w:ind w:left="0" w:right="0" w:firstLine="0"/>
        <w:spacing w:before="0" w:after="0" w:line="113" w:lineRule="atLeast"/>
        <w:tabs>
          <w:tab w:val="left" w:pos="9440" w:leader="none"/>
          <w:tab w:val="left" w:pos="945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5901" w:history="1">
        <w:r>
          <w:rPr>
            <w:rStyle w:val="932"/>
            <w:rFonts w:ascii="SimSun" w:hAnsi="SimSun" w:eastAsia="SimSun" w:cs="SimSun"/>
            <w:b/>
            <w:color w:val="0000ee"/>
            <w:sz w:val="24"/>
            <w:u w:val="single"/>
          </w:rPr>
          <w:t xml:space="preserve">第一章 竞争性磋商采购公告</w:t>
          <w:tab/>
        </w:r>
      </w:hyperlink>
      <w:r/>
      <w:r/>
    </w:p>
    <w:p>
      <w:pPr>
        <w:ind w:left="0" w:right="0" w:firstLine="0"/>
        <w:spacing w:before="0" w:after="0" w:line="113" w:lineRule="atLeast"/>
        <w:tabs>
          <w:tab w:val="left" w:pos="9440" w:leader="none"/>
          <w:tab w:val="left" w:pos="945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300" w:history="1">
        <w:r>
          <w:rPr>
            <w:rStyle w:val="932"/>
            <w:rFonts w:ascii="SimSun" w:hAnsi="SimSun" w:eastAsia="SimSun" w:cs="SimSun"/>
            <w:b/>
            <w:color w:val="0000ee"/>
            <w:sz w:val="24"/>
            <w:u w:val="single"/>
          </w:rPr>
          <w:t xml:space="preserve">第二章 磋商须知</w:t>
          <w:tab/>
        </w:r>
      </w:hyperlink>
      <w:r/>
      <w:r/>
    </w:p>
    <w:p>
      <w:pPr>
        <w:ind w:left="0" w:right="0" w:firstLine="0"/>
        <w:spacing w:before="0" w:after="0" w:line="113" w:lineRule="atLeast"/>
        <w:tabs>
          <w:tab w:val="left" w:pos="9440" w:leader="none"/>
          <w:tab w:val="left" w:pos="945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768" w:history="1">
        <w:r>
          <w:rPr>
            <w:rStyle w:val="932"/>
            <w:rFonts w:ascii="SimSun" w:hAnsi="SimSun" w:eastAsia="SimSun" w:cs="SimSun"/>
            <w:b/>
            <w:color w:val="0000ee"/>
            <w:sz w:val="24"/>
            <w:u w:val="single"/>
          </w:rPr>
          <w:t xml:space="preserve">第三章 政府采购合同格式</w:t>
          <w:tab/>
        </w:r>
      </w:hyperlink>
      <w:r/>
      <w:r/>
    </w:p>
    <w:p>
      <w:pPr>
        <w:ind w:left="0" w:right="0" w:firstLine="0"/>
        <w:spacing w:before="0" w:after="0" w:line="113" w:lineRule="atLeast"/>
        <w:tabs>
          <w:tab w:val="left" w:pos="9440" w:leader="none"/>
          <w:tab w:val="left" w:pos="945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8322" w:history="1">
        <w:r>
          <w:rPr>
            <w:rStyle w:val="932"/>
            <w:rFonts w:ascii="SimSun" w:hAnsi="SimSun" w:eastAsia="SimSun" w:cs="SimSun"/>
            <w:b/>
            <w:color w:val="0000ee"/>
            <w:sz w:val="24"/>
            <w:u w:val="single"/>
          </w:rPr>
          <w:t xml:space="preserve">第四章 采购需求</w:t>
          <w:tab/>
        </w:r>
      </w:hyperlink>
      <w:r/>
      <w:r/>
    </w:p>
    <w:p>
      <w:pPr>
        <w:ind w:left="0" w:right="0" w:firstLine="0"/>
        <w:spacing w:before="0" w:after="0" w:line="113" w:lineRule="atLeast"/>
        <w:tabs>
          <w:tab w:val="left" w:pos="9440" w:leader="none"/>
          <w:tab w:val="left" w:pos="9451"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446" w:history="1">
        <w:r>
          <w:rPr>
            <w:rStyle w:val="932"/>
            <w:rFonts w:ascii="SimSun" w:hAnsi="SimSun" w:eastAsia="SimSun" w:cs="SimSun"/>
            <w:b/>
            <w:color w:val="0000ee"/>
            <w:sz w:val="24"/>
            <w:u w:val="single"/>
          </w:rPr>
          <w:t xml:space="preserve">第五章 评审方法和评审标准</w:t>
          <w:tab/>
        </w:r>
      </w:hyperlink>
      <w:r/>
      <w:r/>
    </w:p>
    <w:p>
      <w:pPr>
        <w:ind w:left="0" w:right="0" w:firstLine="0"/>
        <w:spacing w:before="0" w:after="0" w:line="113" w:lineRule="atLeast"/>
        <w:tabs>
          <w:tab w:val="left" w:pos="9440" w:leader="none"/>
          <w:tab w:val="left" w:pos="9451"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3854" w:history="1">
        <w:r>
          <w:rPr>
            <w:rStyle w:val="932"/>
            <w:rFonts w:ascii="SimSun" w:hAnsi="SimSun" w:eastAsia="SimSun" w:cs="SimSun"/>
            <w:b/>
            <w:color w:val="0000ee"/>
            <w:sz w:val="24"/>
            <w:u w:val="single"/>
          </w:rPr>
          <w:t xml:space="preserve">第六章 竞争性磋商响应文件格式</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 竞争性磋商采购公告</w:t>
      </w:r>
      <w:r/>
    </w:p>
    <w:p>
      <w:pPr>
        <w:ind w:left="0" w:right="0" w:firstLine="482"/>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2"/>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灌云县森林火灾智能监测预警系统提升项目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 江苏政府采购网 </w:t>
      </w:r>
      <w:r>
        <w:rPr>
          <w:rFonts w:ascii="SimSun" w:hAnsi="SimSun" w:eastAsia="SimSun" w:cs="SimSun"/>
          <w:color w:val="000000"/>
          <w:sz w:val="24"/>
        </w:rPr>
        <w:t xml:space="preserve">自行免费获取采购文件，并于</w:t>
      </w:r>
      <w:r>
        <w:rPr>
          <w:rFonts w:ascii="SimSun" w:hAnsi="SimSun" w:eastAsia="SimSun" w:cs="SimSun"/>
          <w:color w:val="000000"/>
          <w:sz w:val="24"/>
          <w:u w:val="single"/>
        </w:rPr>
        <w:t xml:space="preserve">2025年12月15日10点00分00秒</w:t>
      </w:r>
      <w:r>
        <w:rPr>
          <w:rFonts w:ascii="SimSun" w:hAnsi="SimSun" w:eastAsia="SimSun" w:cs="SimSun"/>
          <w:color w:val="000000"/>
          <w:sz w:val="24"/>
        </w:rPr>
        <w:t xml:space="preserve">（北京时间）前上传电子响应文件。</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项目编号：JSZC-320723-JSZC-C2025-0102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项目名称：灌云县森林火灾智能监测预警系统提升项目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预算金额：98万元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最高投标限价：98万元，报价超出最高投标限价的按无效响应处理。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为了建立智慧林业信息化管理应用系统，实现“统一平台、全面监管、多级监控”，实现森林管理科学化、信息化、调度网络化的目标，现于连云港市灌云县增补6个监控点位，提高其林火预警和辅助应急指挥的能力。前端监控站点利用高清云台、山林附近高空杆塔（15米到50米），前端设备由市电供电，使用有线的方式进行传输，打造稳定的森林防火预警系统。对灌云县大伊山、伊芦山重点防火区域提供6路高空高清视频监控服务。具体内容详见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对采购需求部分的询问、质疑请与采购人联系，由采购人负责答复。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合同履行期限：自本项目合同签订之日起三年。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（2）具有良好的商业信誉和健全的财务会计制度（成立不满一年不需提供）；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提供提交响应文件截止时间前一年内至少一个月依法缴纳税收及缴纳社会保障资金的证明材料，供应商依法享受缓缴、免缴税收、社会保障资金的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按连财购〔2023〕4号文件要求，（2）（3）项符合要求的提交《财务状况报告及税收、社会保障资金缴纳情况承诺函》，并上传至电子响应文件中，格式详见采购文件；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4.本项目的其他资格要求：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递交截止前，被信用中国、中国政府采购网列入失信被执行人、重大税收违法案件当事人名单、政府采购严重违法失信行为记录名单的供应商，拒绝其参与政府采购活动。（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（3）本项目不接受进口产品（进口产品是指通过中国海关报关验放进入中国境内且产自关境外的产品）投标，中标后不允许分包或转包。（响应文件中无需提供证明材料）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5.法律、法规规定的其他条件。（如有，请按要求提供）</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w:t>
      </w:r>
      <w:r>
        <w:rPr>
          <w:rFonts w:ascii="SimSun" w:hAnsi="SimSun" w:eastAsia="SimSun" w:cs="SimSun"/>
          <w:b/>
          <w:color w:val="000000"/>
          <w:sz w:val="24"/>
        </w:rPr>
        <w:t xml:space="preserve">获取磋商文件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1.时间：自本磋商邀请发布之日起5个工作日。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（1）潜在供应商访问电子招标投标交易平台的网络地址和方法：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①登录http://jszfcg.jsczt.cn/ ，或进入江苏政府采购网，点击“苏采云”进入系统。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④招标文件（后缀名为“.kedt”）、供应商操作手册及政府采购客户端工具可通过“苏采云”系统－－已报名项目－－报名详情页面内相应链接进行下载。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⑤招标代理机构（采购代理机构）将数据电文形式的招标文件加载至“苏采云”系统，供潜在供应商下载或者查阅。</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提交响应文件截止时间、开启时间和地点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1.响应文件接收截止时间：2025年12月15日10点00分（北京时间）。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2.开启时间：同提交响应文件截止时间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点：“苏采云”政府采购交易系统网上开标大厅。请潜在投标单位提前安装相应的控件（详见《江苏省政府采购管理交易系统（苏采云）供应商操作手册》并使用谷歌浏览器登录“苏采云”系统参与不见面开评标。</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公告期限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1.本次磋商采购不收取磋商保证金。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2.本磋商文件中标注★的款项为实质性响应要求和条件，由采购人根据实际情况设置，供应商须逐条明确作出满足实质性要求和条件的响应，否则将按无效响应处理。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及江苏志诚工程咨询管理有限公司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4.成交后成交供应商提供纸质响应文件一正二副。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w:t>
      </w:r>
      <w:r>
        <w:rPr>
          <w:rFonts w:ascii="SimSun" w:hAnsi="SimSun" w:eastAsia="SimSun" w:cs="SimSun"/>
          <w:color w:val="000000"/>
          <w:sz w:val="24"/>
        </w:rPr>
        <w:t xml:space="preserve">9.html</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导致电子响应文件被拒绝、造成无效响应的，自行承担一切损失。</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七、凡对本次采购提出询问，请按以下方式联系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名称：灌云县自然资源和规划局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地址：连云港市灌云县伊山镇小鸭河路299号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人：徐主任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15996102255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名称：江苏志诚工程咨询管理有限公司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址：连云港市高新区花果山大道11号金鹰国际花园46号楼三楼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0518-85850559</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项目联系人：徐主任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话：15996102255</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第二章磋商须知</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一、总则</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采购方式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合格的供应商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2.3满足本磋商文件实质性要求和条件的规定。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符合上述条件的供应商应承担参与磋商采购及履约过程应承担的全部责任与义务。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适用法律</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磋商费用</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4.1供应商应自行承担所有与参加本次磋商有关的费用，无论磋商过程中的做法和结果如何，江苏志诚工程咨询管理有限公司（以下简称代理机构）在任何情况下均无义务和责任承担这些费用。</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4.2本项目的招标代理服务收费共计人民币壹万伍仟元整（￥15000.00元），由成交供应商在领取成交通知书时一次性付清。供应商在投标报价时应综合考虑以上费用，不得单列。</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磋商文件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磋商文件构成</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（1）竞争性磋商采购公告</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（2）磋商须知</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（3）政府采购合同格式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（5）评审方法和评审标准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（6）竞争性磋商响应文件格式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w:t>
      </w:r>
      <w:r>
        <w:rPr>
          <w:rFonts w:ascii="SimSun" w:hAnsi="SimSun" w:eastAsia="SimSun" w:cs="SimSun"/>
          <w:color w:val="000000"/>
          <w:sz w:val="24"/>
        </w:rPr>
        <w:t xml:space="preserve">磋商文件的澄清</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任何要求对磋商文件进行澄清的供应商，应在磋商截止期5日前按磋商公告中的通讯地址，以书面形式通知采购人或代理机构。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磋商文件的澄清和修改</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在响应文件提交截止时间前，采购人和代理机构可以对磋商文件进行澄清和修改，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采购人和代理机构有权按照法定的要求推迟提交响应文件截止时间和开启时间。</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磋商文件的修改将在江苏政府采购网公布，补充文件将作为磋商文件的组成部分，并对供应商具有约束力。</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三、响应文件的编制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响应文件编写注意事项</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10.响应文件的语言及度量衡单位</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中文内容明显与外文内容不一致的，其不利后果由供应商自行承担。</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除技术性能另有规定外，响应文件所使用的度量衡单位，均须采用国家法定计量单位。</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w:t>
      </w:r>
      <w:r>
        <w:rPr>
          <w:rFonts w:ascii="SimSun" w:hAnsi="SimSun" w:eastAsia="SimSun" w:cs="SimSun"/>
          <w:color w:val="000000"/>
          <w:sz w:val="24"/>
        </w:rPr>
        <w:t xml:space="preserve">响应文件构成</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11.1供应商编写的响应文件应包括资格证明文件、符合性证明文件、分项报价表、技术要求响应及偏离表、商务要求响应及偏离表、其他证明文件、磋商响应函等部分。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如标书制作工具中格式和内容与“江苏政府采购网”发布的磋商文件不一致，请以“江苏政府采购网”发布的磋商文件为准。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特别提醒供应商，混乱的编排导致响应文件被误读或竞争性磋商小组（以下简称磋商小组）查找不到有效文件是供应商的风险。</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w:t>
      </w:r>
      <w:r>
        <w:rPr>
          <w:rFonts w:ascii="SimSun" w:hAnsi="SimSun" w:eastAsia="SimSun" w:cs="SimSun"/>
          <w:color w:val="000000"/>
          <w:sz w:val="24"/>
        </w:rPr>
        <w:t xml:space="preserve">证明磋商响应标的符合磋商文件规定的文件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12.1供应商应按照磋商文件要求提交证明文件，证明其及磋商响应标的符合磋商文件规定。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12.2磋商文件对证明文件无明确形式要求的，证明文件可以以文字资料、图纸和数据等形式提交。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供应商委托代理时应当提交授权委托书，请按磋商文件第六章给定格式及要求填写并附法定代表人（单位负责人）与委托代理人身份证明。</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13.分项报价表</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13.1供应商应根据响应报价要求在分项报价表中列明各项单价、总价等，未全部列示的作无效响应处理。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13.2磋商货币。响应文件中的单价和总价无特殊规定的采用人民币报价，以元为单位标注。磋商文件中另有规定的按规定执行。</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14.技术要求响应及偏离表、商务要求响应及偏离表</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14.1供应商需对磋商文件中的技术要求与商务要求逐项作出响应或偏离，并说明原因。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14.2供应商可在响应文件中提供认为需要的其他技术文件或说明。</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15.服务承诺、培训计划、人员安排及其他</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15.1供应商需根据磋商文件要求提供有关售后服务的管理制度，售后服务机构的分布情况，售后服务人员的数量、素质、技术水平及售后服务的反应能力等。</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15.2供应商需根据磋商文件要求提供培训计划、人员安排等。</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15.3供应商需根据磋商文件要求提供磋商响应标的的主要组成部分、功能设计、实现思路及关键技术等。</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w:t>
      </w:r>
      <w:r>
        <w:rPr>
          <w:rFonts w:ascii="SimSun" w:hAnsi="SimSun" w:eastAsia="SimSun" w:cs="SimSun"/>
          <w:color w:val="000000"/>
          <w:sz w:val="24"/>
        </w:rPr>
        <w:t xml:space="preserve">磋商响应函</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16.1供应商应按照磋商文件中提供的格式完整、正确填写磋商响应函。</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16.2对于采用货币报价的项目，开标一览表中的投标总报价应与投标分项报价表中的投标总报价一致，如不一致，不作为无效投标处理，但评标时按开标一览表中价格为准。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17.磋商有效期</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17.1磋商有效期为代理机构规定的提交响应文件截止之日后六十（60）天。磋商有效期比规定短的将被视为非实质性响应磋商文件而予以拒绝。</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四、响应文件的递交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w:t>
      </w:r>
      <w:r>
        <w:rPr>
          <w:rFonts w:ascii="SimSun" w:hAnsi="SimSun" w:eastAsia="SimSun" w:cs="SimSun"/>
          <w:color w:val="000000"/>
          <w:sz w:val="24"/>
        </w:rPr>
        <w:t xml:space="preserve">电子磋商响应文件的递交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19.提交响应文件截止时间</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19.1供应商提交（上传）电子响应文件的时间不得迟于磋商公告中规定的提交响应文件截止时间。</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供应商应充分考虑计算机硬件、软件及网络环境等风险因素，如因供应商自身原因造成的电子响应文件上传不成功的按照本磋商文件第二章第29.1条规定做无效响应处理。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采购人和代理机构可以按照规定，通过修改磋商文件酌情延长提交响应文件截止日期，在此情况下，供应商的所有权利和义务以及供应商受制的截止日期均应以延长后新的截止日期为准。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rPr>
          <w:rFonts w:ascii="SimSun" w:hAnsi="SimSun" w:eastAsia="SimSun" w:cs="SimSun"/>
          <w:color w:val="000000"/>
          <w:sz w:val="24"/>
        </w:rPr>
        <w:t xml:space="preserve">响应文件的拒收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采购人及采购代理机构拒绝接收在其规定的提交响应文件截止时间后提交上传的任何电子响应文件。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响应文件的撤回和修改</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供应商可在提交（上传）响应文件截止时间前，撤回其电子响应文件，具体操作方法见《操作手册》。供应商撤回电子响应文件的，则认为其不再参与本项目采购活动。</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在提交（上传）响应文件截止时间至磋商文件规定的磋商有效期满之间的这段时间内，供应商不得撤回其电子响应文件。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五、响应文件的解密与评审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w:t>
      </w:r>
      <w:r>
        <w:rPr>
          <w:rFonts w:ascii="SimSun" w:hAnsi="SimSun" w:eastAsia="SimSun" w:cs="SimSun"/>
          <w:color w:val="000000"/>
          <w:sz w:val="24"/>
        </w:rPr>
        <w:t xml:space="preserve">响应文件开启（解密）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采购代理机构将在磋商公告中规定的时间和地点组织响应文件开启。供应商应当按时参加，并在“苏采云”系统规定的时间内对其电子响应文件进行解密。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供应商在开启（解密）过程中涉及的响应文件解密、开启结果确认等工作，应当按照《操作手册》规定执行。</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供应商未参加开启（解密）的，视同认可开启（解密）结果。</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供应商在开启（解密）、澄清、磋商、最后报价、评审全过程中应保持通信畅通，及时登录“苏采云”系统查阅、答复相关信息，并安排专人与采购代理机构及磋商小组联系。</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w:t>
      </w:r>
      <w:r>
        <w:rPr>
          <w:rFonts w:ascii="SimSun" w:hAnsi="SimSun" w:eastAsia="SimSun" w:cs="SimSun"/>
          <w:color w:val="000000"/>
          <w:sz w:val="24"/>
        </w:rPr>
        <w:t xml:space="preserve">磋商小组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响应文件开启（解密）后，采购代理机构将组织磋商小组进行评审。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磋商小组由采购人代表和有关技术、经济等方面的评审专家组成，且人员构成符合政府采购有关规定。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磋商小组按照磋商文件规定的评审程序、评审方法和评审标准进行独立评审并确定成交候选人。</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24.评审过程的保密与公正</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凡是与审查、澄清、评价和比较有关的资料以及成交建议等，采购人、评审专家、采购代理机构均不得向供应商或与评审无关的其他人员透露。</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在评审过程中，供应商不得以任何行为影响评审过程，否则其响应文件将被作为无效响应文件。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采购代理机构和磋商小组不向未成交的供应商解释未成交原因，也不公布评审过程中的相关细节。</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25.响应文件的澄清</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w:t>
      </w:r>
      <w:r/>
    </w:p>
    <w:p>
      <w:pPr>
        <w:ind w:left="0" w:right="0" w:firstLine="48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供应商的澄清、说明或者补正应当采用书面形式，并加盖公章，或者由法定代表人（单位负责人）或其授权的代表签字。供应商的澄清、说明或者更正不得超出响应文件的范围或者改变响应文件的实质性内容。</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接到磋商小组澄清、说明和更正要求的供应商如未按规定作出澄清、说明和更正，其风险由供应商自行承担。</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w:t>
      </w:r>
      <w:r>
        <w:rPr>
          <w:rFonts w:ascii="SimSun" w:hAnsi="SimSun" w:eastAsia="SimSun" w:cs="SimSun"/>
          <w:color w:val="000000"/>
          <w:sz w:val="24"/>
        </w:rPr>
        <w:t xml:space="preserve">对响应文件的审查</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采购人或采购代理机构通过信用中国网站（www.creditchina.gov.cn）、中国政府采购网（www.ccgp.gov.cn）查询供应商的信用记录，以确定供应商是否具备磋商资格，查询结果留存并归档。</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政府采购异常低价审查：</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（一）评审过程中出现下列情形之一的，磋商小组应当启动异常低价响应审查程序：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1.响应报价低于采购项目预算50%的，即响应报价〈采购项目预算×50%；</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2.响应报价低于采购项目最高限价45%的，即响应报价〈采购项目最高限价×45%；</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3.磋商小组认定的供应商报价过低、有可能影响产品质量或者不能诚信履约的其他情形。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报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磋商小组将通过“苏采云”系统要求其在合理的时间内提供书面说明、证明材料。供应商可在响应文件中提供项目具体成本测算等与报价合理性相关的书面说明及相关证明材料，对响应价格作出解释，便于评审。</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包含但不限于设备质量、技术规格、售后服务和履约能力等材料明显不能满足招标文件要求，有可能影响产品质量或者不能诚信履约，而且限制了合同中买方和代理机构的权利或供应商的义务，纠正这些偏离或保留将会对其他实质性响应要求的供应商的竞争地位产生不公正的影响。</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重大偏离的认定需经过磋商小组按照少数服从多数的原则作出结论。磋商小组决定响应文件的响应性只根据响应文件本身的内容，而不寻求外部的证据。</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26.3如果响应文件实质上没有响应磋商文件的要求，磋商小组将予以拒绝，供应商不得通过修改或撤销不符合要求的偏离或保留而使其成为实质性响应的文件。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w:t>
      </w:r>
      <w:r>
        <w:rPr>
          <w:rFonts w:ascii="SimSun" w:hAnsi="SimSun" w:eastAsia="SimSun" w:cs="SimSun"/>
          <w:color w:val="000000"/>
          <w:sz w:val="24"/>
        </w:rPr>
        <w:t xml:space="preserve">4评委会将对确定为实质性响应的投标进行进一步审核，确定其是否有计算上或累加上的算术错误，修正错误的原则如下：</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26.5评委会将按上述修正错误的方法调整投标文件中的响应报价，并通过苏采云系统告知供应商，调整后的价格应对供应商具有约束力。如果供应商不接受修正后的价格，则其投标将被拒绝。</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26.6供应商在开、评标全过程中应保持通信畅通，及时登录苏采云系统查阅、答复相关信息，并安排专人与采购代理机构及评标委员会联系。</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供应商未按照要求作出响应的视为放弃磋商，其响应文件按无效响应处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已提交响应文件的供应商，在提交最后报价之前，可以根据磋商情况退出磋商采购，应在“苏采云”系统中提交“退出磋商函”，并加盖CA电子公章。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最后报价格式表须加盖CA电子公章，否则视为未实质性响应。</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28.评审方法和评审标准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评审方法。详见本磋商文件第五章。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评审标准。详见本磋商文件第五章。</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29.未实质性响应磋商文件的情形和采购活动终止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未实质性响应磋商文件的情形：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（1）供应商未按照磋商文件要求提交（上传）电子响应文件的。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（2）供应商在“苏采云”系统规定的时间内未成功解密电子响应文件的。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（3）供应商不具备磋商文件中规定的资格要求的。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的情形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（5）不符合磋商文件规定的实质性要求和条件的。（本磋商文件中标注★</w:t>
      </w:r>
      <w:r>
        <w:rPr>
          <w:rFonts w:ascii="SimSun" w:hAnsi="SimSun" w:eastAsia="SimSun" w:cs="SimSun"/>
          <w:b/>
          <w:color w:val="000000"/>
          <w:sz w:val="24"/>
        </w:rPr>
        <w:t xml:space="preserve">的款项</w:t>
      </w:r>
      <w:r>
        <w:rPr>
          <w:rFonts w:ascii="SimSun" w:hAnsi="SimSun" w:eastAsia="SimSun" w:cs="SimSun"/>
          <w:color w:val="000000"/>
          <w:sz w:val="24"/>
        </w:rPr>
        <w:t xml:space="preserve">为实质性要求和条件）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购产品（如有）被财政部、国家发展改革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（7）供应商未通过符合性审查的。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（8）供应商未按照要求对磋商或者最后报价作出响应的。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（9）供应商提交两个（含两个）以上不同的最后报价的。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（10）供应商的最后报价超过了采购预算或者最高限价的。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（12）响应文件含有采购人不能接受的附加条件的。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（13）响应文件未按照磋商文件要求加盖公章（CA电子公章）的。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（14）其他法律、法规及本磋商文件规定的属于未实质性响应磋商文件的情形。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有下列情形之一的，视为供应商串通，响应无效：</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（1）不同供应商的响应文件由同一单位或者个人编制。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（2）不同供应商委托同一单位或者个人办理磋商事宜。</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（3）不同供应商的响应文件载明的项目管理成员或者联系人员为同一人。</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（4）不同供应商的响应文件异常一致或者最后报价呈规律性差异。</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（5）不同供应商的响应文件相互混装。</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采购活动终止的情形：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（1）因“苏采云”系统故障原因造成开启（解密）不成功的，或者至磋商文件规定的截止时间成功解密电子响应文件的供应商不足三家的。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（2）磋商小组认定磋商文件存在歧义、重大缺陷导致评审工作无法进行，或者磋商文件内容违反国家有关强制性规定的。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（3）除本磋商文件第二章第27.2条第三款规定的情形外，符合专业条件的供应商或者对磋商文件作实质响应的供应商不足三家的。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（4）出现影响采购公正的违法、违规行为的。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w:t>
      </w:r>
      <w:r>
        <w:rPr>
          <w:rFonts w:ascii="SimSun" w:hAnsi="SimSun" w:eastAsia="SimSun" w:cs="SimSun"/>
          <w:color w:val="000000"/>
          <w:sz w:val="24"/>
        </w:rPr>
        <w:t xml:space="preserve">成交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w:t>
      </w:r>
      <w:r>
        <w:rPr>
          <w:rFonts w:ascii="SimSun" w:hAnsi="SimSun" w:eastAsia="SimSun" w:cs="SimSun"/>
          <w:color w:val="000000"/>
          <w:sz w:val="24"/>
        </w:rPr>
        <w:t xml:space="preserve">确定成交单位</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及其他情形由采购人以抽签方式随机抽取确定。</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30.2采购人从评审报告提出的成交候选供应商中，按照排序由高到低的原则确定成交供应商。采购人确定成交供应商后，代理机构将在“江苏政府采购网”发布成交结果公告，公告期限为1个工作日。</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30.3若有充分证据证明，成交供应商出现下列情况之一的，一经查实，将被取消成交资格：</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（2）与评审专家、采购人、其他供应商或者代理机构工作人员恶意串通的。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（3）向评审专家、采购人或代理机构工作人员行贿或者提供其他不正当利益的。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（4）恶意竞争，最后报价明显低于其自身合理成本且又无法提供证明的。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（5）不满足本磋商文件规定的实质性要求，但在评审过程中又未被磋商小组发现的。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（6）成交后无正当理由拒不与采购人签订政府采购合同或者未按照磋商文件确定的事项签订政府采购合同的。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（7）将政府采购合同转包的。</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31.成交通知书</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成交供应商应在成交后七个工作日内，向采购人和采购代理机构各提供三份（一正二副）与电子响应文件一致的纸质打印胶装响应文件，纸质与电子标书内容不一致的，以电子标书为准，封面、骑缝需加盖公章。正本和副本的封面上应清楚地标记“正本”或“副本”的字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32.签订合同</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32.l成交供应商应当在成交通知书发出之日起三十日内，按照磋商文件确定的事项与采购人签订政府采购合同。</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32.2磋商文件、成交供应商的响应文件及磋商过程中有关澄清、承诺文件均应作为合同附件。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32.4采购人应当在合同签订后2日内上传合同至苏采云公示。</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33.合同标的的追加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34.政府采购履约资金扶持政策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成交供应商可凭政府采购合同办理融资贷款，详情请见江苏政府采购网“政采贷”专栏。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八、询问与质疑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35.询问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36.质疑提出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提出质疑的供应商应当是参与所质疑项目采购活动的供应商。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未按照采购公告要求获取采购文件的供应商，视为未参与该项目采购活动，不具备对该采购文件提出质疑的法定权利。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质疑函的接收方式为供应商书面原件提交。联系部门、联系电话和通讯地址详见磋商文件第一章。质疑实行实名制，不得进行虚假、恶意质疑。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质疑函应当使用范本，详见磋商文件第六章。供应商提出质疑应当提交质疑函和必要的证明材料，应当包括下列内容：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（8）营业执照复印件及授权委托书原件、法定代表人身份证复印件、委托代理人身份证复印件。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37.质疑函的受理和答复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对不符合质疑要求的，采购人、采购代理机构有权要求其补充必要的证明材料，质疑供应商未在法定时间内补充必要的证明材料的，视同放弃质疑。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以下情形的质疑依法不予受理：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（3）以传真、电子邮件等方式提交的非原件形式的质疑。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（4）未参与采购活动或在采购活动中自身权益未受到损害的供应商提出的质疑。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 采购人、采购代理机构依法受理的质疑，将按照政府采购有关规定，在法定期限内作出答复。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37.6 因质疑供应商所留联系方式无效，或者无故不接收，导致质疑答复结果无法送达的，视为质疑供应商主动放弃知晓质疑答复结果的权利。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质疑供应商未按照法定程序进行质疑投诉的，视为一般失信行为。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质疑供应商不配合或者采取不正当手段干扰政府采购质疑、投诉处理工作的，视为一般失信行为。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质疑供应商投诉受理期间，就同一事项多头举报，干扰财政部门投诉处理的，视为一般失信行为。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质疑供应商在全国范围12个月内三次以上质疑查无实据的，视为一般失信行为。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质疑供应商在全国范围12个月内三次以上投诉查无实据的，视为严重失信行为。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38.7 投诉执行相关法律法规规定。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九、政府采购政策功能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39.促进中小企业发展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项目执行《关于印发〈政府釆购促进中小企业发展管理办法〉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釆购支持中小企业力度的通知》（财库〔2022〕19号）的规定。对于小型企业、微型企业、监狱企业、残疾人福利性单位最后磋商报价以扣除优惠比</w:t>
      </w:r>
      <w:r>
        <w:rPr>
          <w:rFonts w:ascii="SimSun" w:hAnsi="SimSun" w:eastAsia="SimSun" w:cs="SimSun"/>
          <w:color w:val="000000"/>
          <w:sz w:val="24"/>
        </w:rPr>
        <w:t xml:space="preserve">率后的价格参与评审，但不作为成交价和合同签约价。成交价和合同签约价仍以其最后磋商报价为准。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根据财政部、工业和信息化部关于印发《政府采购促进中小企业发展管理办法》的通知（财库〔2020〕46号，以下简称《办法》）规定，中小企业是指在中华人民共和国境内依法设立，依据国务院批准的中小企业划分标准确定的小型企业、微型企业，但与大企业的负责人为同一人，或者与大企业存在直接控股、管理关系的除外。符合中小企业划分标准的个体工商户，在政府采购活动中视同中小企业。服务由小型或微型企业承接，即提供服务的人员为中小企业依照《中华人民共和国劳动合同法》订立劳动合同的从业人员。根据工业和信息化部等四部委《关于印发</w:t>
      </w:r>
      <w:r>
        <w:rPr>
          <w:rFonts w:ascii="SimSun" w:hAnsi="SimSun" w:eastAsia="SimSun" w:cs="SimSun"/>
          <w:color w:val="000000"/>
          <w:sz w:val="24"/>
        </w:rPr>
        <w:t xml:space="preserve">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小型或微型企业，不得按《通知》规定声明为小微企业，也不适用《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w:t>
      </w:r>
      <w:r>
        <w:rPr>
          <w:rFonts w:ascii="SimSun" w:hAnsi="SimSun" w:eastAsia="SimSun" w:cs="SimSun"/>
          <w:b/>
          <w:color w:val="000000"/>
          <w:sz w:val="24"/>
        </w:rPr>
        <w:t xml:space="preserve">本项目对提供的服务全部由小型企业、微型企业、监狱企业和残疾人福利性单位承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接的报价给予10%的扣除，用扣除后的价格参与评审。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本项目价格扣除计算方法如下：参与报价得分计算的价格＝供应商的最后磋商报价-小型企业、微型企业、监狱企业、残疾人福利性单位的最后磋商报价×10%。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39.4参加本项目政府采购活动的供应商享受价格评审优惠的应当提供的材料：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（1）供应商为中小型企业、微型企业的，提供《中小企业声明函》。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（2）供应商为残疾人福利性单位的，符合《关于促进残疾人就业政府采购政策的通知》（财库〔2017〕141号）文件规定条件的残疾人福利性单位视同小型企业、微型企业，提供《残疾人福利性单位声明函》。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（3）供应商为监狱企业的，提供省级以上监狱管理局、戒毒管理局（含新疆生产建设兵团）出具的属于监狱企业的证明文件。根据《财政部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w:t>
      </w:r>
      <w:r>
        <w:rPr>
          <w:rFonts w:ascii="SimSun" w:hAnsi="SimSun" w:eastAsia="SimSun" w:cs="SimSun"/>
          <w:color w:val="000000"/>
          <w:sz w:val="24"/>
        </w:rPr>
        <w:t xml:space="preserve">毒管理局的企业。监狱企业参与政府采购活动时，提供由省级以上监狱管理局、戒毒管理局（含新疆生产建设兵团）出具的属于监狱企业的证明文件。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39.6享受扶持政策获得政府采购合同的，小微型企业不得将合同分包给大中型企业，中型企业不得将合同分包给大型企业。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40.支持绿色发展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40.3本项目执行《财政部 生态环境部 工业和信息化部关于印发&lt;绿色数据中心政府采购需求标准（试行）&gt;的通知》（财库〔2023〕7号）的相关要求。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为落实挥发性有机化合物（VOCs）治理要求，本项目采购标的如涉及涂料、胶黏剂、油墨、清洗剂等挥发性有机物产品的，应当执行国家和我省VOCs含量限制标准，并优先使用低挥发性原辅材料。使用低VOCs含量的涂料、胶黏剂等将纳入政府采购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41.政府采购需求标准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w:t>
      </w:r>
      <w:r>
        <w:rPr>
          <w:rFonts w:ascii="SimSun" w:hAnsi="SimSun" w:eastAsia="SimSun" w:cs="SimSun"/>
          <w:color w:val="000000"/>
          <w:sz w:val="24"/>
        </w:rPr>
        <w:t xml:space="preserve">操作系统、数据库的，执行相关政府采购需求标准。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42.解释权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42.1本磋商文件是参照《中华人民共和国政府采购法》、《中华人民共和国政府采购法实施条例》、《政府采购竞争性磋商采购方式管理暂行办法》及相关法律法规编制，解释权属采购人。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磋商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jc w:val="center"/>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856"/>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856"/>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856"/>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856"/>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 政府采购合同格式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20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20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 云 港 市 政 府 采 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rPr>
          <w:rFonts w:ascii="SimSun" w:hAnsi="SimSun" w:eastAsia="SimSun" w:cs="SimSun"/>
          <w:b/>
          <w:color w:val="000000"/>
          <w:sz w:val="44"/>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5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359" w:right="0" w:firstLine="19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359" w:right="0" w:firstLine="198"/>
        <w:jc w:val="both"/>
        <w:spacing w:before="0" w:after="0" w:line="85"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357"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1.合同书</w:t>
      </w:r>
      <w:r/>
    </w:p>
    <w:p>
      <w:pPr>
        <w:ind w:left="357"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2.中标通知书</w:t>
      </w:r>
      <w:r/>
    </w:p>
    <w:p>
      <w:pPr>
        <w:ind w:left="357"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3.项目更改及补充文件</w:t>
      </w:r>
      <w:r/>
    </w:p>
    <w:p>
      <w:pPr>
        <w:ind w:left="360"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4.投标报价表</w:t>
      </w:r>
      <w:r/>
    </w:p>
    <w:p>
      <w:pPr>
        <w:ind w:left="360"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5.中标单位澄清函</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以下为中标后签订本项目合同的通用条款，中标供应商不得提出实质性的修改，关于专用条款将由采购人与中标供应商结合本项目具体情况协商后签订。</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）竞争性磋商采购的结果，签订本合同。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服务内容：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服务要求：</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服务标准：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补充条款：</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本合同价款包含所有乙方提供合同约定产品和服务的报酬及乙方提供合同中产品和服务所支出的必要费用，甲方在上述合同价款之外不再向乙方支付其他任何费用。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乙方应按磋商文件规定的时间向甲方提供有关技术资料。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五、产权担保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乙方保证所交付标的的所有权完全属于乙方且无任何抵押、查封等产权瑕疵。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本合同不收取履约保证金。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本合同范围内产品或服务，应由乙方直接供应，不得转让他人供应或部分分包给他人供应。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如有转让和未经甲方同意的分包行为，甲方有权终止合同。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八、服务时间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8.1服务时间：</w:t>
      </w:r>
      <w:r>
        <w:rPr>
          <w:rFonts w:ascii="SimSun" w:hAnsi="SimSun" w:eastAsia="SimSun" w:cs="SimSun"/>
          <w:color w:val="000000"/>
          <w:sz w:val="24"/>
          <w:u w:val="single"/>
        </w:rPr>
        <w:t xml:space="preserve">自本项目合同签订之日起三年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九、合同内容的交付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交 付 期：</w:t>
      </w:r>
      <w:r>
        <w:rPr>
          <w:rFonts w:ascii="SimSun" w:hAnsi="SimSun" w:eastAsia="SimSun" w:cs="SimSun"/>
          <w:color w:val="000000"/>
          <w:sz w:val="24"/>
          <w:u w:val="single"/>
        </w:rPr>
        <w:t xml:space="preserve">合同签订后60日历天内完成前端视频监控设备安装、平台部署</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交付方式：</w:t>
      </w:r>
      <w:r>
        <w:rPr>
          <w:rFonts w:ascii="SimSun" w:hAnsi="SimSun" w:eastAsia="SimSun" w:cs="SimSun"/>
          <w:color w:val="000000"/>
          <w:sz w:val="24"/>
          <w:u w:val="single"/>
        </w:rPr>
        <w:t xml:space="preserve"> 采购人指定方式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交付地点：</w:t>
      </w:r>
      <w:r>
        <w:rPr>
          <w:rFonts w:ascii="SimSun" w:hAnsi="SimSun" w:eastAsia="SimSun" w:cs="SimSun"/>
          <w:color w:val="000000"/>
          <w:sz w:val="24"/>
          <w:u w:val="single"/>
        </w:rPr>
        <w:t xml:space="preserve"> 采购人指定地点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乙方在合同标的交付甲方48小时前通知甲方准备接收。合同标的在规定的交付期限内由乙方送达甲方指定的地点视为交付，乙方同时需通知甲方已送达。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十、合同款支付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付款方式：预付款10%，所有设备安装调试完成并通过验收后支付至合同价款总额的90%；服务期满付清剩余款项。（以上付款均无息）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当采购数量与实际使用数量不一致时，乙方应根据实际使用量提供产品和服务，合同的最终结算金额按实际使用量乘以成交单价计算。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十一、税费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本合同执行中相关的一切税费均由乙方负担。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十二、双方权利义务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（1）遵守合同约定，按时给付乙方服务费用；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（2）甲方对乙方聘用的人员工作表现有权进行评议，对不称职的员工可以向乙方提出更换，乙方应当予以更换；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（3）甲方对服务工作有监督、检查权利，发现问题责令整改；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（4）协助乙方做好工作中所需水、电的协调及宣传教育；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（1）乙方根据技术规范、质量标准及有关规定，积极主动保质保量地完成服务工作，自觉接受甲方有关部门和人员的检查监督，并认真整改存在的问题；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（5）乙方必须加强人员管理，制定各类应急预案，建立专项制度、安排专职责任人做好自查考核管理工作；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（7）乙方必须加强安全生产管理，安全生产管理措施落实到位，服务期间所发生的一切劳动用工争议或人身伤害，及一切安全问题所产生的法律责任均由乙方承担；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十三、质量保证及售后服务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乙方应按磋商文件规定和响应文件承诺的性能、技术要求、质量标准向甲方提供产品或服务。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乙方提供的产品或服务在服务期内因其本身出现质量问题，根据实际情况，经双方协商，可按以下办法处理：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（1）更换：由乙方承担所产生的全部费用。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（2）合同终止处理：合同终止，乙方退还甲方支付的合同款，同时承担由此产生的全部费用，甲方不承担任何产生费用。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如在使用过程中发生质量问题，乙方在接到甲方通知后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在服务期内，乙方应对产品或服务出现的质量及安全问题负责处理解决并承担一切费用。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十四、项目验收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甲方依法组织履约验收工作。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对于实际使用人和甲方分离的项目，甲方邀请实际使用人参与验收。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如有必要，甲方邀请参加本项目的其他供应商或第三方专业机构及专家参与验收，相关意见将作为验收书的参考资料。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甲方无正当理由拒收的，甲方向乙方偿付拒收标的总值</w:t>
      </w:r>
      <w:r>
        <w:rPr>
          <w:rFonts w:ascii="SimSun" w:hAnsi="SimSun" w:eastAsia="SimSun" w:cs="SimSun"/>
          <w:color w:val="000000"/>
          <w:sz w:val="24"/>
          <w:u w:val="single"/>
        </w:rPr>
        <w:t xml:space="preserve"> 百分之五 </w:t>
      </w:r>
      <w:r>
        <w:rPr>
          <w:rFonts w:ascii="SimSun" w:hAnsi="SimSun" w:eastAsia="SimSun" w:cs="SimSun"/>
          <w:color w:val="000000"/>
          <w:sz w:val="24"/>
        </w:rPr>
        <w:t xml:space="preserve">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甲方无故逾期验收和办理合同款支付手续的，甲方应按逾期付款总额每日</w:t>
      </w:r>
      <w:r>
        <w:rPr>
          <w:rFonts w:ascii="SimSun" w:hAnsi="SimSun" w:eastAsia="SimSun" w:cs="SimSun"/>
          <w:color w:val="000000"/>
          <w:sz w:val="24"/>
          <w:u w:val="single"/>
        </w:rPr>
        <w:t xml:space="preserve"> 万分之五</w:t>
      </w:r>
      <w:r>
        <w:rPr>
          <w:rFonts w:ascii="SimSun" w:hAnsi="SimSun" w:eastAsia="SimSun" w:cs="SimSun"/>
          <w:color w:val="000000"/>
          <w:sz w:val="24"/>
        </w:rPr>
        <w:t xml:space="preserve">向乙方支付违约金，最高限额为本合同总额的</w:t>
      </w:r>
      <w:r>
        <w:rPr>
          <w:rFonts w:ascii="SimSun" w:hAnsi="SimSun" w:eastAsia="SimSun" w:cs="SimSun"/>
          <w:color w:val="000000"/>
          <w:sz w:val="24"/>
          <w:u w:val="single"/>
        </w:rPr>
        <w:t xml:space="preserve"> 百分之五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乙方逾期交付合同标的的，乙方应按逾期交付总额每日</w:t>
      </w:r>
      <w:r>
        <w:rPr>
          <w:rFonts w:ascii="SimSun" w:hAnsi="SimSun" w:eastAsia="SimSun" w:cs="SimSun"/>
          <w:color w:val="000000"/>
          <w:sz w:val="24"/>
          <w:u w:val="single"/>
        </w:rPr>
        <w:t xml:space="preserve"> 千分之六 </w:t>
      </w:r>
      <w:r>
        <w:rPr>
          <w:rFonts w:ascii="SimSun" w:hAnsi="SimSun" w:eastAsia="SimSun" w:cs="SimSun"/>
          <w:color w:val="000000"/>
          <w:sz w:val="24"/>
        </w:rPr>
        <w:t xml:space="preserve">向甲方支付违约金，由甲方从待付合同款中扣除，最高限额为本合同总额的</w:t>
      </w:r>
      <w:r>
        <w:rPr>
          <w:rFonts w:ascii="SimSun" w:hAnsi="SimSun" w:eastAsia="SimSun" w:cs="SimSun"/>
          <w:color w:val="000000"/>
          <w:sz w:val="24"/>
          <w:u w:val="single"/>
        </w:rPr>
        <w:t xml:space="preserve"> 百分之五 </w:t>
      </w:r>
      <w:r>
        <w:rPr>
          <w:rFonts w:ascii="SimSun" w:hAnsi="SimSun" w:eastAsia="SimSun" w:cs="SimSun"/>
          <w:color w:val="000000"/>
          <w:sz w:val="24"/>
        </w:rPr>
        <w:t xml:space="preserve">。逾期超过约定日期</w:t>
      </w:r>
      <w:r>
        <w:rPr>
          <w:rFonts w:ascii="SimSun" w:hAnsi="SimSun" w:eastAsia="SimSun" w:cs="SimSun"/>
          <w:color w:val="000000"/>
          <w:sz w:val="24"/>
          <w:u w:val="single"/>
        </w:rPr>
        <w:t xml:space="preserve"> 10个工作日 </w:t>
      </w:r>
      <w:r>
        <w:rPr>
          <w:rFonts w:ascii="SimSun" w:hAnsi="SimSun" w:eastAsia="SimSun" w:cs="SimSun"/>
          <w:color w:val="000000"/>
          <w:sz w:val="24"/>
        </w:rPr>
        <w:t xml:space="preserve">不能交付的，甲方可解除本合同。乙方因逾期交付或因其他违约行为导致甲方解除合同的，乙方应向甲方支付合同总额</w:t>
      </w:r>
      <w:r>
        <w:rPr>
          <w:rFonts w:ascii="SimSun" w:hAnsi="SimSun" w:eastAsia="SimSun" w:cs="SimSun"/>
          <w:color w:val="000000"/>
          <w:sz w:val="24"/>
          <w:u w:val="single"/>
        </w:rPr>
        <w:t xml:space="preserve"> 百分之五 </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十六、不可抗力事件处理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在合同有效期内，任何一方因不可抗力事件导致不能履行合同的，则合同履行期可延长，其延长期与不可抗力影响期相同。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不可抗力事件发生后，应立即通知对方，并寄送有关权威机构出具的证明。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不可抗力事件延续120天以上，双方应通过友好协商，确定是否继续履行合同。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十七、解决争议的方法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甲乙双方因合同签订、履行而发生的一切争议，应通过友好协商解决。如协商不成，按下列第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（1）向连云港仲裁委员会申请仲裁。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（2）向合同签订地法院起诉，合同签订地在此约定为</w:t>
      </w:r>
      <w:r>
        <w:rPr>
          <w:rFonts w:ascii="SimSun" w:hAnsi="SimSun" w:eastAsia="SimSun" w:cs="SimSun"/>
          <w:color w:val="000000"/>
          <w:sz w:val="24"/>
          <w:u w:val="single"/>
        </w:rPr>
        <w:t xml:space="preserve">连云港市灌云县</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合同经双方法定代表人或授权代表签字并加盖单位公章后生效。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本合同未尽事宜，遵照《中华人民共和国民法典》、《中华人民共和国政府采购法》有关条文执行。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本合同正本一式五份，具有同等法律效力，甲方、乙方各执二份，甲方报一份至政府采购监督管理部门。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 采购需求</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说明：</w:t>
      </w:r>
      <w:r>
        <w:rPr>
          <w:rFonts w:ascii="SimSun" w:hAnsi="SimSun" w:eastAsia="SimSun" w:cs="SimSun"/>
          <w:color w:val="000000"/>
          <w:sz w:val="24"/>
        </w:rPr>
        <w:t xml:space="preserve">本项目采购方式为公开招标，项目属性为</w:t>
      </w:r>
      <w:r>
        <w:rPr>
          <w:rFonts w:ascii="SimSun" w:hAnsi="SimSun" w:eastAsia="SimSun" w:cs="SimSun"/>
          <w:color w:val="000000"/>
          <w:sz w:val="24"/>
          <w:u w:val="single"/>
        </w:rPr>
        <w:t xml:space="preserve">服务</w:t>
      </w:r>
      <w:r>
        <w:rPr>
          <w:rFonts w:ascii="SimSun" w:hAnsi="SimSun" w:eastAsia="SimSun" w:cs="SimSun"/>
          <w:color w:val="000000"/>
          <w:sz w:val="24"/>
        </w:rPr>
        <w:t xml:space="preserve">，采购标的对应的中小企业划分标准所属行业为</w:t>
      </w:r>
      <w:r>
        <w:rPr>
          <w:rFonts w:ascii="SimSun" w:hAnsi="SimSun" w:eastAsia="SimSun" w:cs="SimSun"/>
          <w:b/>
          <w:color w:val="000000"/>
          <w:sz w:val="24"/>
          <w:u w:val="single"/>
        </w:rPr>
        <w:t xml:space="preserve">软件和信息技术服务业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1.根据《政府采购需求管理办法》等有关规定，采购人确定采购需求。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本磋商文件中标注★的款项为实质性要求和条件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党的二十大报告中，习近平总书记指出“我们坚持绿水青山就是金山银山的理念，坚持山水林田湖草沙一体化保护和系统治理，全方位、全地域、全过程加强生态环境保护，生态文明制度体系更加健全”“以国家重点生态功能区、生态保护红线、自然保护地等为重点，加快实施重要生态系统保护和修复重大工程，推进以国家公园为主体的自然保护地体系建设”。</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深入贯彻落实连云港市政府印发《连云港市森林防火规划（2018—2025年）》，着力完善连云港市森林防火体系，全面提升森林火灾防控能力，实现森林防火治理体系和治理能力现代化，现于连云港市灌云县新建一套森林火灾智能监测预警系统，提高其林火预警和辅助应急指挥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目标：为提高森林防火治理能力，实现“统一平台、全面监管、多级监控”，实现森林管理科学化、信息化、调度网络化的目标，现于连云港市灌云县增补6个监控点位，提高其林火预警和辅助应急指挥的能力。前端监控站点利用高清云台、山林附近高空杆塔（15米到50米），前端设备由市电供电，使用有线的方式进行传输，打造稳定的森林防火预警系统。对灌云县大伊山、伊芦山重点防火区域提供6路高空高清视频监控服务。我局拟采购视频分析平台及前端高空视频监控设备租赁服务，视频分析平台及前端高空视频监控设备所有权归供应商所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应践行新发展理念，充分共享社会塔点多面广塔高的特点，借助其在挂高、网络、电源和运维上的资源，通过GIS智能选址技术，合理布设监控点位，实现大伊山、伊芦山重点防火区域重点覆盖，具备全天候实时监控能力。视频分析平台对监控区域高空视频流进行算法分析，基于深度学习可见光烟雾识别技术，主动识别出产生的火点和烟雾，精确定位火点位置，并进行有效取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2.服务范围：对灌云县大伊山、伊芦山重点防火区域提供6路高空高清视频监控服务。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3.本项目包含的各项内容均须上门服务，成交后不允许分包或转包。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4.1拟租赁的视频分析平台须具备以下功能：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视频分析平台应包含全景展示、监测预警、视频监控、古树名木、林区卡口、工作台六 大模块。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（1）全景展示模块整体态势分析，主要展示告警事件情况和设备运行情况。包含设备信 息、告警类型、告警趋势、告警事件高频时间、隐患类型统计、森林火险等信息。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▲（2）监测预警模块可以查看摄像机实时视频、查看告警事件信息、森林火险气象预警、 显示天气、温度、风力，显示网格范围。地图控制支持地图放大、缩小，比例尺控制，矢量 地图/卫星地图/三维地图/二维地形图切换。图层支持控制地图图层显隐，图层包括摄像机、 告警事件、资源、网格、网格员。分析周边资源隔离带，危险源，网格员摄像机气 象站等资源。支持导航功能。</w:t>
      </w:r>
      <w:r>
        <w:rPr>
          <w:rFonts w:ascii="SimSun" w:hAnsi="SimSun" w:eastAsia="SimSun" w:cs="SimSun"/>
          <w:b/>
          <w:color w:val="000000"/>
          <w:sz w:val="24"/>
        </w:rPr>
        <w:t xml:space="preserve">（响应文件中需提供系统截图或承诺满足此功能）</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测预警模块的告警事件列表包括接收摄像头AI识别告警事件、人工告警事件、一键告警、摄像机告警事件、卫星告警事件。可按照告警类型、告警等级、告警状态查询告警事件。告警事件详情包括告警图片、告警视频、火点定位（可手动修正）等事件信息等，对告警事件进行真/假等研判。提供实时视频、查看关联视频、看向告警点、周边分析、查看应急预案、导航、标绘、标签等快捷功能。</w:t>
      </w:r>
      <w:r>
        <w:rPr>
          <w:rFonts w:ascii="SimSun" w:hAnsi="SimSun" w:eastAsia="SimSun" w:cs="SimSun"/>
          <w:b/>
          <w:color w:val="000000"/>
          <w:sz w:val="24"/>
        </w:rPr>
        <w:t xml:space="preserve">（响应文件中需提供系统截图或承诺满足此功能）</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（4）监测预警模块火情发现后，支持对火情进行远程指挥调度、现场快速处置。包含应 急预案、周边分析、地图标绘、融合通信等模块。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▲（5）视频监控模块发现火情后，支持火点定位导航、一键看向告警点、全部看向告警 点的功能，帮助管理人员实时掌握火情发展态势并及时前往现场处置。支持对云台控制和预 置位设置。支持将摄像机转动到预置位、看守位，启用、停用巡航计划。支持主/子码流切换播放模式、切换播放流协议、抓图、电子放大、3D放大、语音喊话、开启/关闭音频、查看 摄像机地图、雨天模式、指北针、看这里、算法配置、气象数据、空气质量数据、云台操控、 算法识别区域、告警屏蔽区域、全屏播放等。（</w:t>
      </w:r>
      <w:r>
        <w:rPr>
          <w:rFonts w:ascii="SimSun" w:hAnsi="SimSun" w:eastAsia="SimSun" w:cs="SimSun"/>
          <w:b/>
          <w:color w:val="000000"/>
          <w:sz w:val="24"/>
        </w:rPr>
        <w:t xml:space="preserve">响应文件中需提供系统截图或承诺满足此功能</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（6）古树名木模块古树名木实现对一级古树、二级古树、三级古树和名木信息的数字 化监管，加强古树名木保护工作，做到古树名木位置可感、数字可知、信息可查、实景可见。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（7）林区卡口模块支持林区车流分析、卡口分布情况、卡口实时视频、实时抓拍记录等 相关应用。卡口列表可查看当前用户权限下所有卡口数量，可查询卡口列表，支持在地图上 展示，地图展示摄像机识别次数，可播放实时画面，可选择卡口实时画面的播放模式。支持 对林区卡口监控和识别，对进出林区的人员进行管控，辅助调查取证、林区管理。实时抓拍 列表包括：车辆图片、车牌号、摄像机名称、通过时间。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作台模块支持通过摄像机名称、摄像机编号、通道名称、通道编号、摄像机状态、所属区域等查询卡口信息。支持导出卡口数据。支持对灾后评估结果以word报告的形式导出。支持对古树信息进行上传和管理，可对位置、生长状况、树木基本情况进行记录。支持批量导入、批量导出、批量删除操作。支持维护的古树数据在古树名木大屏展示，地图可展示对应古树打点位置，列表展示古树并支持详情查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（9）承诺视频监控平台以WEB页面的方式展示，并提供手机APP应用客户端。支持大屏、PC和APP多种终端提供服务。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（10）承诺平台具备烟火识别告警功能，平台支持将烟火识别告警推送至手机APP客户 端，APP客户端支持对已识别火点定位导航功能，并支持地图导航软件；APP客户端支持对烟 火识别告警的研判操作，支持对重复告警的压制（可以选择压制时间）。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4.2拟租赁的前端视频监控须具备以下功能：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4.2.1云台摄像机（6路）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1.热成像分辨率：不小于640×512</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2.热成像焦距：不小于50mm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3.火点最远报警距离：3000m范围内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4.可见光分辨率：2688×1520，400万实时高清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5.可见光焦距范围：不小于6～336mm，光学变倍56倍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6.可见光补光功能：激光补光有效距离800m</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7.可见光透雾功能：支持光学透雾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8.可见光防抖功能：电子防抖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9.外壳材质：高强度铝合金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▲10.防太阳灼伤功能检验：样机断电时，热成像通道的挡片可自动关闭，避免被太阳灼伤。样机自检过程中，热成像通道的挡片始终保持关闭状态，避免自检过程被太阳灼伤。 </w:t>
      </w:r>
      <w:r>
        <w:rPr>
          <w:rFonts w:ascii="SimSun" w:hAnsi="SimSun" w:eastAsia="SimSun" w:cs="SimSun"/>
          <w:b/>
          <w:color w:val="000000"/>
          <w:sz w:val="24"/>
        </w:rPr>
        <w:t xml:space="preserve">（响应文件中提供具有CMA和CNAS认证的权威机构的有效检测报告复印件加盖原厂公章）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▲11.最小可分辨温差（MRTD）检验：≤150mK</w:t>
      </w:r>
      <w:r>
        <w:rPr>
          <w:rFonts w:ascii="SimSun" w:hAnsi="SimSun" w:eastAsia="SimSun" w:cs="SimSun"/>
          <w:b/>
          <w:color w:val="000000"/>
          <w:sz w:val="24"/>
        </w:rPr>
        <w:t xml:space="preserve">（响应文件中提供具有CMA和CNAS认证的权威机构的有效检测报告复印件加盖原厂公章）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热成像镜头、可见光镜头聚焦次数检验：使用客户端软件控制样机进行聚焦操作，采用循环重复“near-far-near”的聚焦方式进行试验，通过后台软件对聚焦次数进行统计，单次“near-far-near”操作记为一次聚焦操作，样机进行不少于1500000次聚焦操作后，应能正常工作（</w:t>
      </w:r>
      <w:r>
        <w:rPr>
          <w:rFonts w:ascii="SimSun" w:hAnsi="SimSun" w:eastAsia="SimSun" w:cs="SimSun"/>
          <w:b/>
          <w:color w:val="000000"/>
          <w:sz w:val="24"/>
        </w:rPr>
        <w:t xml:space="preserve">响应文件中提供具有CMA和CNAS认证的权威机构的有效检测报告复印件加盖原厂公章</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▲13.样机在不增加外接设备、不扩展外置模块、不改变外观的情况下，激光补光模块和激光测距模块可同时正常工作。</w:t>
      </w:r>
      <w:r>
        <w:rPr>
          <w:rFonts w:ascii="SimSun" w:hAnsi="SimSun" w:eastAsia="SimSun" w:cs="SimSun"/>
          <w:b/>
          <w:color w:val="000000"/>
          <w:sz w:val="24"/>
        </w:rPr>
        <w:t xml:space="preserve">（响应文件中提供具有CMA和CNAS认证的权威机构的有效检测报告复印件加盖原厂公章）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4"/>
          <w:u w:val="none"/>
        </w:rPr>
        <w:t xml:space="preserve">1</w:t>
      </w:r>
      <w:r>
        <w:rPr>
          <w:rFonts w:ascii="SimSun" w:hAnsi="SimSun" w:eastAsia="SimSun" w:cs="SimSun"/>
          <w:color w:val="000000"/>
          <w:sz w:val="24"/>
        </w:rPr>
        <w:t xml:space="preserve">4.平均无故障工作时间检验：MCBF不低于650万转，以10rpm换算为MTBF不低于18056h</w:t>
      </w:r>
      <w:r>
        <w:rPr>
          <w:rFonts w:ascii="SimSun" w:hAnsi="SimSun" w:eastAsia="SimSun" w:cs="SimSun"/>
          <w:b/>
          <w:color w:val="000000"/>
          <w:sz w:val="24"/>
        </w:rPr>
        <w:t xml:space="preserve">（</w:t>
      </w:r>
      <w:r>
        <w:rPr>
          <w:rFonts w:ascii="SimSun" w:hAnsi="SimSun" w:eastAsia="SimSun" w:cs="SimSun"/>
          <w:b/>
          <w:color w:val="000000"/>
          <w:sz w:val="24"/>
          <w:u w:val="none"/>
        </w:rPr>
        <w:t xml:space="preserve">响应文件中</w:t>
      </w:r>
      <w:r>
        <w:rPr>
          <w:rFonts w:ascii="SimSun" w:hAnsi="SimSun" w:eastAsia="SimSun" w:cs="SimSun"/>
          <w:b/>
          <w:color w:val="000000"/>
          <w:sz w:val="24"/>
        </w:rPr>
        <w:t xml:space="preserve">提供具有CMA和CNAS认证的权威机构的有效检测报告复印件加盖原厂公章）</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▲15.自动巡航功能检验：应具有8300个预置位可设置；可按照所设置的预置位完成巡航路径，最多支持2000条巡航线，每条最大可设置300个预置点；在IE浏览器下，具有一键巡航控制按钮，并应支持一键巡航操作</w:t>
      </w:r>
      <w:r>
        <w:rPr>
          <w:rFonts w:ascii="SimSun" w:hAnsi="SimSun" w:eastAsia="SimSun" w:cs="SimSun"/>
          <w:b/>
          <w:color w:val="000000"/>
          <w:sz w:val="24"/>
        </w:rPr>
        <w:t xml:space="preserve">（响应文件中提供具有CMA和CNAS认证的权威机构的有效检测报告复印件加盖原厂公章）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6</w:t>
      </w:r>
      <w:r>
        <w:rPr>
          <w:rFonts w:ascii="SimSun" w:hAnsi="SimSun" w:eastAsia="SimSun" w:cs="SimSun"/>
          <w:color w:val="000000"/>
          <w:sz w:val="24"/>
        </w:rPr>
        <w:t xml:space="preserve">.需提供二次开发接口，快速实现与原灌云县森林防火监测预警系统互联互通（</w:t>
      </w:r>
      <w:r>
        <w:rPr>
          <w:rFonts w:ascii="SimSun" w:hAnsi="SimSun" w:eastAsia="SimSun" w:cs="SimSun"/>
          <w:color w:val="000000"/>
          <w:sz w:val="24"/>
          <w:u w:val="none"/>
        </w:rPr>
        <w:t xml:space="preserve">提供设备生产制造商针对此项目的承诺函，加盖制造商公章响应</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▲4.3数据链路：承诺提供固定专线不低于20M。（</w:t>
      </w:r>
      <w:r>
        <w:rPr>
          <w:rFonts w:ascii="SimSun" w:hAnsi="SimSun" w:eastAsia="SimSun" w:cs="SimSun"/>
          <w:b/>
          <w:color w:val="000000"/>
          <w:sz w:val="24"/>
        </w:rPr>
        <w:t xml:space="preserve">响应文件中提供承诺书</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4.4安装点位要求：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★前端设备具体挂载点位位置如下：</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7"/>
        <w:gridCol w:w="1808"/>
        <w:gridCol w:w="1808"/>
        <w:gridCol w:w="1808"/>
        <w:gridCol w:w="1563"/>
        <w:gridCol w:w="1563"/>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站名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经度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维度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高空杆塔/建筑物挂高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高程</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大伊山东南面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119.24182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34.297986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5.87</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大伊山东面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119.251843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34.312038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大伊山西面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119.219711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34.313943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伊芦山西北面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119.327845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34.446542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伊芦山东面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119.345615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34.437412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4.16</w:t>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伊芦山东北面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119.354304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34.444478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4.67</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托高塔探头、视频分析技术及现场巡查等措施，提供性价比高、安全性好、可靠性高、可维护强、易扩展、满足多种使用环境的智能防治系统，一旦发现火情，防火人员能够快速反应及时获取详细的现场情况及拍照取证并执法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视频分析服务极大地提高森林防火工作管理的效率和现代化水平，进一步提高决策的科学性、合理性。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在服务期间，供应商需配备专业的项目团队，提供值班服务，保证系统正常运行，及时 配合采购人需求，为采购人提供火点监测咨询服务。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6.服务人员要求：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6.1项目实施阶段团队要求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须派项目团队成员不低于6名，包括项目负责人1名，项目组成员不低于5名。负责视频监控建设，确保满足项目需求和技术要求。主要工作包含前端点位建设、平台相应使用功能开发，与采购人的沟通协调，服务期的技术服务等。投标文件中提供人员名单及供应商为其缴纳的近半年内任意一个月（2025年5月至2025年10月）社保证明材料；若人员入职时间不足一个月，可提供投标单位出具的在职承诺函（加盖公章），承诺该人员为投标单位正式员工并将依法缴纳社保，否则承担相应责任；如已退休的必须提供退休证明及聘用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6.2售后服务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本项目要求提供服务期内的设备维保和系统7*24小时的服务，保证系统安全可靠运行。 在服务期内，一旦发生障碍，成交供应商应在接到通知后的2小时内进行响应，并在12小时 内组织人员到现场进行检修，确因产品本身质量问题的，成交供应商组织人员进行维修、更 换，费用由成交供应商负责。出现故障24小时不能修复的，免费提供同等功能的产品供采购 人使用，直至故障修复。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（1）服务期内应提供技术服务包括在正常条件下保证前端设备及平台软件系统正常稳定 运行、平台系统软件升级服务、前端设备及平台系统软件和维护技术咨询服务、提供电话或 现场技术服务等。服务期内一旦出现故障，须在2小时内响应，在12小时内到设备现场进行 故障排除，若24小时内无法排除故障，须提供替代设备确保平台正常运行、视频图像正常浏 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本项目的设备、系统，向采购人提供免费技术培训，培训内容应涵盖视频分析平台的操作使用、前端监控设备的操控方式等。培训方式需结合理论讲解与实际操作演练，确保采购人相关工作人员能够熟练掌握系统功能，独立完成日常监控、告警处理及基础故障排查工作。培训结束后，供应商还需提供详细的培训资料，包括操作手册、常见问题解答等，以便后续查阅和复习，使采购人技术人员掌握基本的故障处理方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7.质量与安全措施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障措施应涵盖设备采购、安装调试及服务过程的全流程管控。严格筛选具备CMA和CNAS认证的品牌产品，确保核心设备符合国家及行业技术标准，关键▲项性能参数需提供具有CMA和CNAS认证的权威机构的有效检测报告复印件加盖原厂公章。安装施工前组织技术团队进行现场勘查，明确施工规范和质量控制点，施工过程中安排专人进行旁站监理，对设备安装牢固性、线路连接规范性等进行实时检查，安装完成后通过第三方检测机构进行性能测试，确保监控画面清晰度、火点识别准确率等指标达标。服务期内建立设备定期巡检机制，每月对前端摄像机镜头清</w:t>
      </w:r>
      <w:r>
        <w:rPr>
          <w:rFonts w:ascii="SimSun" w:hAnsi="SimSun" w:eastAsia="SimSun" w:cs="SimSun"/>
          <w:color w:val="000000"/>
          <w:sz w:val="24"/>
        </w:rPr>
        <w:t xml:space="preserve">洁度、云台转动灵活性、平台服务器运行状态等进行全面检查，每季度开展系统功能联调，模拟火情场景验证告警响应速度和定位精度，同时对平台软件进行漏洞扫描和安全加固，保障系统稳定运行。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障措施需重点关注施工安全与数据安全。施工团队必须具备相应资质，作业前进行安全技术交底，配备安全帽、安全带等防护用具，高空作业时严格遵守操作规程，设置安全警示标识，确保施工区域无无关人员进入。涉及电力线路连接时，须由专业电工操作，避免触电事故发生。数据安全方面，视频分析平台应部署防火墙、入侵检测系统，对敏感数据如监控视频、火点位置等进行加密存储和传输，访问平台需采用二次认证机制，不同用户角色分配差异化权限，防止数据泄露或篡改。建立应急处置预案，针对设备故障、网络中断、火灾告警误报等突发情况制定响应流程，</w:t>
      </w:r>
      <w:r>
        <w:rPr>
          <w:rFonts w:ascii="SimSun" w:hAnsi="SimSun" w:eastAsia="SimSun" w:cs="SimSun"/>
          <w:color w:val="000000"/>
          <w:sz w:val="24"/>
        </w:rPr>
        <w:t xml:space="preserve">定期组织应急演练，提升团队快速处置能力。同时，加强对项目人员的安全意识培训，签订保密协议，严禁泄露项目相关信息，确保森林防火监控服务在安全可控的前提下高效开展。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（1）在设备安装后的15日内完成试运行，安装调试完成后进行验收。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（2）在试运行期间，如果系统某些功能、性能、指标等达不到要求，成交单位应尽快完 善。运行无故障并通过测试内容指标项，视为试运行合格。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（3）验收时，对磋商文件、投标文件、采购合同中的系统功能、性能、指标的履约情况 进行验收确认。验收结束后，出具验收书，列明各项标准的验收情况及项目总体评价，由验 收双方共同签署。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a.监控平台视频画面正常播放，系统平台运行正常无重大故障。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b.技术服务工作成果的验收标准为运行15天无问题后即验收。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c.项目竣工后，签署验收报告，以提供服务无问题的第16天作为验收通过时间。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三、合同履行期限及交付要求：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合同履行期限：自本项目合同签订之日起三年。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交付期：合同签订后60日历天内完成前端视频监控设备安装、平台部署。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3.交付方式：项目需求单位指定方式。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4.交付地点：项目需求单位指定地点。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预付款10%，所有设备安装调试完成并通过验收后支付至合同价款总额的90%；服务期满付清剩余款项。（以上付款均无息）</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说明：按以上进度付款，无任何利息补偿。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1.本项目报价不得超过预算价。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2.特别提醒：应根据国家收费标准并结合市场实际进行报价。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3.工作中涉及的敏感资料、电子数据等相关信息，成交供应商应严格执行保密的相关规定，</w:t>
      </w:r>
      <w:r>
        <w:rPr>
          <w:rFonts w:ascii="SimSun" w:hAnsi="SimSun" w:eastAsia="SimSun" w:cs="SimSun"/>
          <w:color w:val="000000"/>
          <w:spacing w:val="-6"/>
          <w:sz w:val="24"/>
        </w:rPr>
        <w:t xml:space="preserve">不得以任何方式向任何第三人披露、泄露或许可第三人使用，否则追究其相应法律责任。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报价包括但不限于设备使用、耗材、人员的工资、五险、公积金（工资、五险及公积金不能低于连云港市最低标准等规定）、防暑降温费、超过法定工时的工作日加班、周末加班、法定休假日加班等费用、福利、税费、合理利润、成果验收费、指导服务、政策性文件规定及合同包含的所有风险、责任等各项应有费用，以及相关知识产权和所需缴纳的任何税费（包含所有隐含费用）。供应商漏报少报的费用，视为此项费用已包含在投标报价中，成交供应商不得再向采购单位收取任何费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 评审方法和评审标准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本采购项目磋商小组由采购人代表和评审专家组成。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经磋商确定最终采购需求和确定提交最后报价的供应商后，由磋商小组采用综合评分法对提交最后报价的供应商的响应文件和最后报价进行综合评分。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（一）评审时，磋商小组以磋商文件为评审依据，磋商小组各成员独立对每个有效响应的文件进行评价、打分，然后汇总每个供应商每项评审因素的得分。</w:t>
      </w:r>
      <w:r/>
    </w:p>
    <w:p>
      <w:pPr>
        <w:ind w:left="0" w:right="0" w:firstLine="480"/>
        <w:spacing w:before="240" w:after="24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（二）本项目评分总分为100分，按四舍五入取至小数点后两位。</w:t>
      </w:r>
      <w:r/>
    </w:p>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综合评分法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1.价格分：10分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评标过程中，不得去掉报价中的最高报价和最低报价。因落实政府采购政策进行价格调整的，以调整后的价格计算磋商基准价和最后磋商报价，小数点后保留两位。</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2.商务技术分：90分</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1"/>
        <w:gridCol w:w="1195"/>
        <w:gridCol w:w="6472"/>
        <w:gridCol w:w="976"/>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2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项目要求评审基准分为30分，标注★部分为核心基本参数，须全部满足，有一项不满足做无效响应处理；标注▲部分参数，有一项负偏离扣3分，未标注部分参数，每有一项负偏离扣1分，扣完为止。</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注：①以上“技术参数及要求”响应情况均须在响应文件《技术规格偏离表》中表述清楚，如表述不清，则按不满足（负偏离）处理。</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②“技术参数及要求”中标“▲”的条款，磋商供应商需按采购文件的要求提供相关证明材料及▲评分索引表，如磋商供应商的响应文件中未提供相关证明材料及▲评分索引表的，按不满足（负偏离）处理。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1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根据供应商提供的实施方案评分，方案包括但不限于项目实施、管理及配套措施、项目实施规划、时序进度安排、实施小组组织结构和管理体系等内容：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优：内容完整详细、合理，标准规范、措施到位、可行性强的得6（含）分；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良：内容完整、合理、措施到位、可行性较强的得4分；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一般：方案一般且没有量化的得2分；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该项未见阐述不得分。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根据供应商提供的设计方案评分，内容包括但不限于需求分析方案、系统架构、拓扑结构等内容：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优：方案科学合理、完整详细、安全严密、具有一定的前瞻性的得6（含）分；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良：方案科学合理、安全严密、具有前瞻性的得4分；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一般：方案较差的，未提供拓扑结构的得2分；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该项未见阐述不得分。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供货、安装调试方案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投标人针对本项目安装调试方案，内容须包含但不限于供货、安装方案，调试方法及保护措施：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优：内容全面具体，可行性、可操作性强，措施完善：6分；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良：内容有缺失、可行性、可操作性较差：4分；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一般：内容与本项目基本无关联性得2分；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该项未见阐述不得分。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质量与安全保障措施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根据供应商提供的质量与安全保障措施进行评分，方案包括但不限于质量保障措施、安全保障措施等内容：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优：方案内容详细、科学合理、可实施性强的得6分；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良：方案内容较详细、较科学合理、可实施性较强的得4分；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一般：方案阐述不全面、不完整、可实施性一般的得2分；该项未见阐述不得分。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根据供应商提供的培训方案进行评分，方案包括但不限于培训计划、培训课程、培训对象等内容：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优：方案内容详细、科学合理、可实施性强的得5分；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良：方案内容较详细、较科学合理、可实施性较强的得3分；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一般：方案阐述不全面、不完整、可实施性一般的得1分；该项未见阐述不得分。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根据投标人提供的售后服务方案进行评分，方案包括但不限于售后服务流程、管理制度、响应时间、服务范围等内容：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优：方案内容详细、完整合理、可实施性强的得6分；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良：方案内容较详细、较完整合理、可实施性较强的得4分；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一般：方案阐述不全面、不完整、可实施性一般的得2分；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该项未见阐述不得分。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1.拟派项目负责人具有嵌入式系统设计师证书的得5分，本项最高得5分；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2.拟派项目团队成员（项目负责人除外）中每有一人具有高级工程师的得2分，具有中级工程师的得1分，本项最高得4分；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3.拟派项目团队成员（项目负责人除外）中每有一人具有网络工程师或通信专业工程师（传输与接入）或信息系统项目管理师证书的，提供一项证书得2分，最高得6分。（本项一人多证按一证计分）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提供满足条件要求人员的身份证、相关证书等证明材料及供应商为其缴纳的近半年内任意一个月（2025年5月至2025年10月）的社保缴费证明；若人员入职时间不足一个月，可提供投标单位出具的在职承诺函（加盖公章），承诺该人员为投标单位正式员工并将依法缴纳社保，否则承担相应责任；如已退休的必须提供退休证明及聘用合同。②以上所有证明材料的原件均需扫描加盖公章上传至投标系统中，否则不得分。提供的相关人员需为本项目实际工作人员，未经采购人同意，不得随意变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供应商于2022年1月1日（以合同签订时间为准）以来承担过与本次磋商项目需求类似业绩，每提供1个得2分，本项最高得6分。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注：提供业绩合同原件扫描件上传至投标系统中，需体现出项目内容，否则不得分。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供应商具有视频平台系统软件类著作权证书的，得2分；投标人具有APP系统软件类著作权证书的，得2分，本项最高得4分。注：提供证书扫描件并加盖投标人公章。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bl>
    <w:p>
      <w:pPr>
        <w:ind w:left="0" w:right="0" w:firstLine="0"/>
        <w:spacing w:before="240" w:after="24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五、成交标准：</w:t>
      </w:r>
      <w:r/>
    </w:p>
    <w:p>
      <w:pPr>
        <w:ind w:left="0" w:right="0" w:firstLine="480"/>
        <w:spacing w:before="240" w:after="24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及其他情形由采购人以抽签方式随机抽取确定。</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 竞争性磋商响应文件格式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3607" w:right="0" w:hanging="25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标 段 名 称：灌云县森林火灾智能监测预警系统提升项目</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标 段 编 号：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供应商地址：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委托代理人（委托代理时填写）：</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p>
    <w:p>
      <w:pPr>
        <w:numPr>
          <w:ilvl w:val="0"/>
          <w:numId w:val="5"/>
        </w:numPr>
        <w:spacing w:before="360" w:after="20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5"/>
        </w:numPr>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二、具有良好的商业信誉和健全的财务会计制度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（提供《财务状况报告及税收、社会保障资金缴纳情况承诺函》或2023年度或2024年度经审计的财务状况报告，成立不满一年无需提供）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财务状况报告及税收、社会保障资金缴纳情况承诺函》或提供提交响应文件截止时间前一年内至少一个月依法缴纳税收及缴纳社会保障资金的证明材料，供应商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四、具备履行合同所必需的设备和专业技术能力的声明及证明材料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具备履行合同所必需的设备和专业技术能力的声明及证明材料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五、参加政府采购活动前3年内在经营活动中没有重大违法记录的书面声明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六 、落实政府采购政策需满足的资格要求的证明文件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七、本项目的特定资格要求的证明文件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八、法律、法规规定的其他条件的证明文件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为我方代理人。代理人根据授权，以我方名义签署、澄清确认、提交、撤回、修改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）响应文件和处理有关事宜，其法律后果由我方承担。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9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委托代理人（签字/签章）：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1.若供应商为事业单位或其他组织或分支机构（仅当磋商文件注明允许分支机构参与磋商的），则法定代表人（单位负责人）处的签署人可为单位负责人。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2.若响应文件中全部签字之处均为法定代表人（单位负责人）本人签署，则可不提供本《授权委托书》，但须提供《法定代表人（单位负责人）身份证明》。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十、磋商响应函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磋商响应函</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2"/>
        </w:rPr>
        <w:t xml:space="preserve">项目（项目编号：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）磋商文件，正式授权下述签字人</w:t>
      </w:r>
      <w:r>
        <w:rPr>
          <w:rFonts w:ascii="SimSun" w:hAnsi="SimSun" w:eastAsia="SimSun" w:cs="SimSun"/>
          <w:color w:val="000000"/>
          <w:sz w:val="21"/>
          <w:u w:val="single"/>
        </w:rPr>
        <w:t xml:space="preserve">        （姓名）</w:t>
      </w:r>
      <w:r>
        <w:rPr>
          <w:rFonts w:ascii="SimSun" w:hAnsi="SimSun" w:eastAsia="SimSun" w:cs="SimSun"/>
          <w:color w:val="000000"/>
          <w:sz w:val="22"/>
        </w:rPr>
        <w:t xml:space="preserve">全权代表我方</w:t>
      </w:r>
      <w:r>
        <w:rPr>
          <w:rFonts w:ascii="SimSun" w:hAnsi="SimSun" w:eastAsia="SimSun" w:cs="SimSun"/>
          <w:color w:val="000000"/>
          <w:sz w:val="21"/>
          <w:u w:val="single"/>
        </w:rPr>
        <w:t xml:space="preserve">       （供应商的名称）</w:t>
      </w:r>
      <w:r>
        <w:rPr>
          <w:rFonts w:ascii="SimSun" w:hAnsi="SimSun" w:eastAsia="SimSun" w:cs="SimSun"/>
          <w:color w:val="000000"/>
          <w:sz w:val="22"/>
        </w:rPr>
        <w:t xml:space="preserve">参加贵方组织的采购活动，按照磋商文件要求提交响应文件。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1.按磋商文件项目需求提交响应报价，报价、合同履行期等详见开标一览表。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2.我方同意在本标段磋商文件中规定的响应文件递交截止之日起60天内遵守本响应文件中的承诺且在此期限期满之前均具有约束力。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3.我方承诺已经具备《中华人民共和国政府采购法》中规定的参加政府采购活动的供应商应当具备的条件：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（5）参加此项采购活动前三年内，在经营活动中没有重大违法记录。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4.我方根据磋商文件的规定，承担完成合同的责任和义务。</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5.我方已详细审核磋商文件，我方知道必须放弃提出含糊不清或误解问题的权利。</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6.如果在响应文件有效期内撤回或者有其他违约行为，我方的保证金可被贵方全部或部分没收。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7.同意应贵方要求提供与本次采购活动有关的任何数据或资料。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8.我方完全理解，最低报价不是成交的唯一条件。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9.若贵方需要，我方愿意提供我方作出的一切承诺的证明材料。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（1）提供虚假材料谋取中标、成交的；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（2）采取不正当手段诋毁、排挤其他供应商的；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（3）与采购人、其他供应商或者采购代理机构恶意串通的；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（4）向采购人、采购代理机构行贿或者提供其他不正当利益的；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（5）在招标采购过程中与采购人进行协商谈判的；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（6）拒绝有关部门监督检查或提供虚假情况的。</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法定代表人或其委托代理人签字（或盖章）：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供应商公章：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十一、中小企业声明函（服务）</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）采购活动，提供的服务全部由符合政策要求的中小企业承接。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3.成交供应商的《中小企业声明函》随成交结果公开，接受社会监督。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十二、残疾人福利性单位声明函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1.请供应商如实填写，所填内容将作为评审的依据，如填写不完整或不一致或填写有误，将不享受扶持政策。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2.成交供应商的《残疾人福利性单位声明函》随成交结果公开，接受社会监督。</w:t>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十三、分项报价表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单位：元</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646"/>
        <w:gridCol w:w="1221"/>
        <w:gridCol w:w="844"/>
        <w:gridCol w:w="1070"/>
        <w:gridCol w:w="1509"/>
        <w:gridCol w:w="789"/>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单项合计价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价格构成或报价要求：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1.此表可以根据需要自行增减行数，且该表报价非本次磋商中的最后报价。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2.各分项最终结算价按首次磋商报价与最后磋商报价同比例变动。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3.项目如有分包，请各磋商供应商按投报的分包分别列表。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报价包括但不限于设备使用、耗材、人员的工资、五险、公积金（工资、五险及公积金不能低于连云港市最低标准等规定）、防暑降温费、超过法定工时的工作日加班、周末加班、法定休假日加班等费用、福利、税费、合理利润、成果验收费、指导服务、政策性文件规定及合同包含的所有风险、责任等各项应有费用，以及相关知识产权和所需缴纳的任何税费（包含所有隐含费用）。供应商漏报少报的费用，视为此项费用已包含在投标报价中，成交供应商不得再向采购单位收取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十四、技术要求响应及偏离表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
        <w:gridCol w:w="3326"/>
        <w:gridCol w:w="2696"/>
        <w:gridCol w:w="12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▲评分索引表</w:t>
      </w:r>
      <w:r/>
    </w:p>
    <w:p>
      <w:pPr>
        <w:ind w:left="0" w:right="0" w:firstLine="36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8"/>
        <w:gridCol w:w="4421"/>
        <w:gridCol w:w="3526"/>
      </w:tblGrid>
      <w:tr>
        <w:trPr>
          <w:trHeight w:val="46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8" w:type="dxa"/>
            <w:vAlign w:val="center"/>
            <w:textDirection w:val="lrTb"/>
            <w:noWrap/>
          </w:tcPr>
          <w:p>
            <w:pPr>
              <w:ind w:left="0" w:right="0" w:firstLine="25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在响应文件中的页码位置</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本表可拓展使用。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十五、商务要求响应及偏离表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2916"/>
        <w:gridCol w:w="2713"/>
        <w:gridCol w:w="2045"/>
      </w:tblGrid>
      <w:tr>
        <w:trPr>
          <w:trHeight w:val="8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十六、类似项目业绩一览表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9"/>
        <w:gridCol w:w="3035"/>
        <w:gridCol w:w="1625"/>
        <w:gridCol w:w="1742"/>
        <w:gridCol w:w="1160"/>
      </w:tblGrid>
      <w:tr>
        <w:trPr>
          <w:trHeight w:val="9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十七、项目团队人员一览表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2"/>
        <w:gridCol w:w="1647"/>
        <w:gridCol w:w="1898"/>
        <w:gridCol w:w="1007"/>
        <w:gridCol w:w="1007"/>
        <w:gridCol w:w="13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rPr>
          <w:rFonts w:ascii="SimSun" w:hAnsi="SimSun" w:eastAsia="SimSun" w:cs="SimSun"/>
          <w:color w:val="000000"/>
          <w:sz w:val="21"/>
          <w:u w:val="single"/>
        </w:rPr>
        <w:t xml:space="preserve">                        </w:t>
      </w: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质疑项目的名称：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质疑项目的编号：</w:t>
      </w:r>
      <w:r>
        <w:rPr>
          <w:rFonts w:ascii="SimSun" w:hAnsi="SimSun" w:eastAsia="SimSun" w:cs="SimSun"/>
          <w:color w:val="000000"/>
          <w:sz w:val="21"/>
          <w:u w:val="single"/>
        </w:rPr>
        <w:t xml:space="preserve">                         </w:t>
      </w:r>
      <w:r>
        <w:rPr>
          <w:rFonts w:ascii="SimSun" w:hAnsi="SimSun" w:eastAsia="SimSun" w:cs="SimSun"/>
          <w:color w:val="000000"/>
          <w:sz w:val="21"/>
        </w:rPr>
        <w:t xml:space="preserve">包号：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采购文件获取日期：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质疑事项1：</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事实依据：</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法律依据：</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请求：</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签字（签章）：公章：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3.质疑供应商若对项目的某一分包进行质疑，质疑函中应列明具体分包号。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83"/>
        <w:ind w:firstLine="48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sectPr>
      <w:footerReference w:type="default" r:id="rId9"/>
      <w:footerReference w:type="first" r:id="rId10"/>
      <w:footnotePr/>
      <w:endnotePr/>
      <w:type w:val="nextPage"/>
      <w:pgSz w:w="11906" w:h="16838" w:orient="portrait"/>
      <w:pgMar w:top="1440" w:right="1080" w:bottom="1440" w:left="1080" w:header="851" w:footer="907" w:gutter="0"/>
      <w:pgNumType w:start="56"/>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黑体_GBK">
    <w:panose1 w:val="020B0503020202020204"/>
  </w:font>
  <w:font w:name="Calibri">
    <w:panose1 w:val="020F0502020204030204"/>
  </w:font>
  <w:font w:name="Tahoma">
    <w:panose1 w:val="020B0604030504040204"/>
  </w:font>
  <w:font w:name="Book Antiqua">
    <w:panose1 w:val="02040602050305030304"/>
  </w:font>
  <w:font w:name="MS Mincho">
    <w:panose1 w:val="02020603050405090304"/>
  </w:font>
  <w:font w:name="仿宋">
    <w:panose1 w:val="02010609060101010101"/>
  </w:font>
  <w:font w:name="方正楷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44"/>
      <w:isLgl w:val="false"/>
      <w:suff w:val="tab"/>
      <w:lvlText w:val="第%1章"/>
      <w:lvlJc w:val="left"/>
      <w:pPr>
        <w:pStyle w:val="883"/>
        <w:ind w:left="9351" w:hanging="420"/>
      </w:pPr>
      <w:rPr>
        <w:rFonts w:hint="eastAsia" w:ascii="黑体" w:eastAsia="黑体"/>
        <w:b w:val="0"/>
        <w:sz w:val="36"/>
        <w:lang w:val="en-US"/>
      </w:rPr>
    </w:lvl>
    <w:lvl w:ilvl="1">
      <w:start w:val="1"/>
      <w:numFmt w:val="decimal"/>
      <w:pStyle w:val="1145"/>
      <w:isLgl w:val="false"/>
      <w:suff w:val="tab"/>
      <w:lvlText w:val="%1.%2"/>
      <w:lvlJc w:val="left"/>
      <w:pPr>
        <w:pStyle w:val="883"/>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46"/>
      <w:isLgl w:val="false"/>
      <w:suff w:val="tab"/>
      <w:lvlText w:val="%1.%2.%3"/>
      <w:lvlJc w:val="left"/>
      <w:pPr>
        <w:pStyle w:val="883"/>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3"/>
      <w:isLgl w:val="false"/>
      <w:suff w:val="tab"/>
      <w:lvlText w:val="%1.%2.%3.%4"/>
      <w:lvlJc w:val="left"/>
      <w:pPr>
        <w:pStyle w:val="883"/>
        <w:ind w:left="0" w:firstLine="0"/>
        <w:tabs>
          <w:tab w:val="num" w:pos="1134" w:leader="none"/>
        </w:tabs>
      </w:pPr>
      <w:rPr>
        <w:rFonts w:hint="eastAsia"/>
      </w:rPr>
    </w:lvl>
    <w:lvl w:ilvl="4">
      <w:start w:val="1"/>
      <w:numFmt w:val="decimal"/>
      <w:isLgl w:val="false"/>
      <w:suff w:val="tab"/>
      <w:lvlText w:val="%1.%2.%3.%4.%5"/>
      <w:lvlJc w:val="left"/>
      <w:pPr>
        <w:pStyle w:val="883"/>
        <w:ind w:left="4620" w:hanging="850"/>
        <w:tabs>
          <w:tab w:val="num" w:pos="4850" w:leader="none"/>
        </w:tabs>
      </w:pPr>
      <w:rPr>
        <w:rFonts w:hint="eastAsia"/>
      </w:rPr>
    </w:lvl>
    <w:lvl w:ilvl="5">
      <w:start w:val="1"/>
      <w:numFmt w:val="decimal"/>
      <w:isLgl w:val="false"/>
      <w:suff w:val="tab"/>
      <w:lvlText w:val="%1.%2.%3.%4.%5.%6"/>
      <w:lvlJc w:val="left"/>
      <w:pPr>
        <w:pStyle w:val="883"/>
        <w:ind w:left="5329" w:hanging="1134"/>
        <w:tabs>
          <w:tab w:val="num" w:pos="5635" w:leader="none"/>
        </w:tabs>
      </w:pPr>
      <w:rPr>
        <w:rFonts w:hint="eastAsia"/>
      </w:rPr>
    </w:lvl>
    <w:lvl w:ilvl="6">
      <w:start w:val="1"/>
      <w:numFmt w:val="decimal"/>
      <w:isLgl w:val="false"/>
      <w:suff w:val="tab"/>
      <w:lvlText w:val="%1.%2.%3.%4.%5.%6.%7"/>
      <w:lvlJc w:val="left"/>
      <w:pPr>
        <w:pStyle w:val="883"/>
        <w:ind w:left="5896" w:hanging="1276"/>
        <w:tabs>
          <w:tab w:val="num" w:pos="6420" w:leader="none"/>
        </w:tabs>
      </w:pPr>
      <w:rPr>
        <w:rFonts w:hint="eastAsia"/>
      </w:rPr>
    </w:lvl>
    <w:lvl w:ilvl="7">
      <w:start w:val="1"/>
      <w:numFmt w:val="decimal"/>
      <w:isLgl w:val="false"/>
      <w:suff w:val="tab"/>
      <w:lvlText w:val="%1.%2.%3.%4.%5.%6.%7.%8"/>
      <w:lvlJc w:val="left"/>
      <w:pPr>
        <w:pStyle w:val="883"/>
        <w:ind w:left="6463" w:hanging="1418"/>
        <w:tabs>
          <w:tab w:val="num" w:pos="6845" w:leader="none"/>
        </w:tabs>
      </w:pPr>
      <w:rPr>
        <w:rFonts w:hint="eastAsia"/>
      </w:rPr>
    </w:lvl>
    <w:lvl w:ilvl="8">
      <w:start w:val="1"/>
      <w:numFmt w:val="decimal"/>
      <w:isLgl w:val="false"/>
      <w:suff w:val="tab"/>
      <w:lvlText w:val="%1.%2.%3.%4.%5.%6.%7.%8.%9"/>
      <w:lvlJc w:val="left"/>
      <w:pPr>
        <w:pStyle w:val="883"/>
        <w:ind w:left="7171" w:hanging="1700"/>
        <w:tabs>
          <w:tab w:val="num" w:pos="7631" w:leader="none"/>
        </w:tabs>
      </w:pPr>
      <w:rPr>
        <w:rFonts w:hint="eastAsia"/>
      </w:rPr>
    </w:lvl>
  </w:abstractNum>
  <w:abstractNum w:abstractNumId="1">
    <w:multiLevelType w:val="hybridMultilevel"/>
    <w:lvl w:ilvl="0">
      <w:start w:val="1"/>
      <w:numFmt w:val="upperLetter"/>
      <w:pStyle w:val="1141"/>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883"/>
    <w:next w:val="883"/>
    <w:link w:val="895"/>
    <w:uiPriority w:val="9"/>
    <w:qFormat/>
    <w:pPr>
      <w:keepLines/>
      <w:keepNext/>
      <w:spacing w:before="480" w:after="200"/>
      <w:outlineLvl w:val="0"/>
    </w:pPr>
    <w:rPr>
      <w:rFonts w:ascii="Arial" w:hAnsi="Arial" w:eastAsia="Arial" w:cs="Arial"/>
      <w:sz w:val="40"/>
      <w:szCs w:val="40"/>
    </w:rPr>
  </w:style>
  <w:style w:type="paragraph" w:styleId="854">
    <w:name w:val="Heading 2"/>
    <w:basedOn w:val="883"/>
    <w:next w:val="883"/>
    <w:link w:val="896"/>
    <w:uiPriority w:val="9"/>
    <w:unhideWhenUsed/>
    <w:qFormat/>
    <w:pPr>
      <w:keepLines/>
      <w:keepNext/>
      <w:spacing w:before="360" w:after="200"/>
      <w:outlineLvl w:val="1"/>
    </w:pPr>
    <w:rPr>
      <w:rFonts w:ascii="Arial" w:hAnsi="Arial" w:eastAsia="Arial" w:cs="Arial"/>
      <w:sz w:val="34"/>
    </w:rPr>
  </w:style>
  <w:style w:type="paragraph" w:styleId="855">
    <w:name w:val="Heading 3"/>
    <w:basedOn w:val="883"/>
    <w:next w:val="883"/>
    <w:link w:val="897"/>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83"/>
    <w:next w:val="883"/>
    <w:link w:val="899"/>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83"/>
    <w:next w:val="883"/>
    <w:link w:val="900"/>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83"/>
    <w:next w:val="883"/>
    <w:link w:val="901"/>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83"/>
    <w:next w:val="883"/>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83"/>
    <w:next w:val="883"/>
    <w:link w:val="903"/>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83"/>
    <w:next w:val="883"/>
    <w:link w:val="904"/>
    <w:uiPriority w:val="9"/>
    <w:unhideWhenUsed/>
    <w:qFormat/>
    <w:pPr>
      <w:keepLines/>
      <w:keepNext/>
      <w:spacing w:before="320" w:after="200"/>
      <w:outlineLvl w:val="8"/>
    </w:pPr>
    <w:rPr>
      <w:rFonts w:ascii="Arial" w:hAnsi="Arial" w:eastAsia="Arial" w:cs="Arial"/>
      <w:i/>
      <w:iCs/>
      <w:sz w:val="21"/>
      <w:szCs w:val="21"/>
    </w:rPr>
  </w:style>
  <w:style w:type="paragraph" w:styleId="862">
    <w:name w:val="Title"/>
    <w:basedOn w:val="883"/>
    <w:next w:val="883"/>
    <w:link w:val="929"/>
    <w:uiPriority w:val="10"/>
    <w:qFormat/>
    <w:pPr>
      <w:contextualSpacing/>
      <w:spacing w:before="300" w:after="200"/>
    </w:pPr>
    <w:rPr>
      <w:sz w:val="48"/>
      <w:szCs w:val="48"/>
    </w:rPr>
  </w:style>
  <w:style w:type="paragraph" w:styleId="863">
    <w:name w:val="Subtitle"/>
    <w:basedOn w:val="883"/>
    <w:next w:val="883"/>
    <w:link w:val="921"/>
    <w:uiPriority w:val="11"/>
    <w:qFormat/>
    <w:pPr>
      <w:spacing w:before="200" w:after="200"/>
    </w:pPr>
    <w:rPr>
      <w:sz w:val="24"/>
      <w:szCs w:val="24"/>
    </w:rPr>
  </w:style>
  <w:style w:type="paragraph" w:styleId="864">
    <w:name w:val="Header"/>
    <w:basedOn w:val="883"/>
    <w:link w:val="917"/>
    <w:uiPriority w:val="99"/>
    <w:unhideWhenUsed/>
    <w:pPr>
      <w:spacing w:after="0" w:line="240" w:lineRule="auto"/>
      <w:tabs>
        <w:tab w:val="center" w:pos="7143" w:leader="none"/>
        <w:tab w:val="right" w:pos="14287" w:leader="none"/>
      </w:tabs>
    </w:pPr>
  </w:style>
  <w:style w:type="paragraph" w:styleId="865">
    <w:name w:val="Footer"/>
    <w:basedOn w:val="883"/>
    <w:link w:val="934"/>
    <w:uiPriority w:val="99"/>
    <w:unhideWhenUsed/>
    <w:pPr>
      <w:spacing w:after="0" w:line="240" w:lineRule="auto"/>
      <w:tabs>
        <w:tab w:val="center" w:pos="7143" w:leader="none"/>
        <w:tab w:val="right" w:pos="14287" w:leader="none"/>
      </w:tabs>
    </w:pPr>
  </w:style>
  <w:style w:type="paragraph" w:styleId="866">
    <w:name w:val="Caption"/>
    <w:basedOn w:val="883"/>
    <w:next w:val="883"/>
    <w:uiPriority w:val="35"/>
    <w:semiHidden/>
    <w:unhideWhenUsed/>
    <w:qFormat/>
    <w:pPr>
      <w:spacing w:line="276" w:lineRule="auto"/>
    </w:pPr>
    <w:rPr>
      <w:b/>
      <w:bCs/>
      <w:color w:val="4f81bd" w:themeColor="accent1"/>
      <w:sz w:val="18"/>
      <w:szCs w:val="18"/>
    </w:rPr>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Hyperlink"/>
    <w:uiPriority w:val="99"/>
    <w:unhideWhenUsed/>
    <w:rPr>
      <w:color w:val="0000ff" w:themeColor="hyperlink"/>
      <w:u w:val="single"/>
    </w:rPr>
  </w:style>
  <w:style w:type="paragraph" w:styleId="869">
    <w:name w:val="footnote text"/>
    <w:basedOn w:val="883"/>
    <w:link w:val="923"/>
    <w:uiPriority w:val="99"/>
    <w:semiHidden/>
    <w:unhideWhenUsed/>
    <w:pPr>
      <w:spacing w:after="40" w:line="240" w:lineRule="auto"/>
    </w:pPr>
    <w:rPr>
      <w:sz w:val="18"/>
    </w:rPr>
  </w:style>
  <w:style w:type="character" w:styleId="870">
    <w:name w:val="footnote reference"/>
    <w:uiPriority w:val="99"/>
    <w:unhideWhenUsed/>
    <w:rPr>
      <w:vertAlign w:val="superscript"/>
    </w:rPr>
  </w:style>
  <w:style w:type="paragraph" w:styleId="871">
    <w:name w:val="endnote text"/>
    <w:basedOn w:val="883"/>
    <w:link w:val="913"/>
    <w:uiPriority w:val="99"/>
    <w:semiHidden/>
    <w:unhideWhenUsed/>
    <w:pPr>
      <w:spacing w:after="0" w:line="240" w:lineRule="auto"/>
    </w:pPr>
    <w:rPr>
      <w:sz w:val="20"/>
    </w:rPr>
  </w:style>
  <w:style w:type="character" w:styleId="872">
    <w:name w:val="endnote reference"/>
    <w:uiPriority w:val="99"/>
    <w:semiHidden/>
    <w:unhideWhenUsed/>
    <w:rPr>
      <w:vertAlign w:val="superscript"/>
    </w:rPr>
  </w:style>
  <w:style w:type="paragraph" w:styleId="873">
    <w:name w:val="toc 1"/>
    <w:basedOn w:val="883"/>
    <w:next w:val="883"/>
    <w:uiPriority w:val="39"/>
    <w:unhideWhenUsed/>
    <w:pPr>
      <w:ind w:left="0" w:right="0" w:firstLine="0"/>
      <w:spacing w:after="57"/>
    </w:pPr>
  </w:style>
  <w:style w:type="paragraph" w:styleId="874">
    <w:name w:val="toc 2"/>
    <w:basedOn w:val="883"/>
    <w:next w:val="883"/>
    <w:uiPriority w:val="39"/>
    <w:unhideWhenUsed/>
    <w:pPr>
      <w:ind w:left="283" w:right="0" w:firstLine="0"/>
      <w:spacing w:after="57"/>
    </w:pPr>
  </w:style>
  <w:style w:type="paragraph" w:styleId="875">
    <w:name w:val="toc 3"/>
    <w:basedOn w:val="883"/>
    <w:next w:val="883"/>
    <w:uiPriority w:val="39"/>
    <w:unhideWhenUsed/>
    <w:pPr>
      <w:ind w:left="567" w:right="0" w:firstLine="0"/>
      <w:spacing w:after="57"/>
    </w:pPr>
  </w:style>
  <w:style w:type="paragraph" w:styleId="876">
    <w:name w:val="toc 4"/>
    <w:basedOn w:val="883"/>
    <w:next w:val="883"/>
    <w:uiPriority w:val="39"/>
    <w:unhideWhenUsed/>
    <w:pPr>
      <w:ind w:left="850" w:right="0" w:firstLine="0"/>
      <w:spacing w:after="57"/>
    </w:pPr>
  </w:style>
  <w:style w:type="paragraph" w:styleId="877">
    <w:name w:val="toc 5"/>
    <w:basedOn w:val="883"/>
    <w:next w:val="883"/>
    <w:uiPriority w:val="39"/>
    <w:unhideWhenUsed/>
    <w:pPr>
      <w:ind w:left="1134" w:right="0" w:firstLine="0"/>
      <w:spacing w:after="57"/>
    </w:pPr>
  </w:style>
  <w:style w:type="paragraph" w:styleId="878">
    <w:name w:val="toc 6"/>
    <w:basedOn w:val="883"/>
    <w:next w:val="883"/>
    <w:uiPriority w:val="39"/>
    <w:unhideWhenUsed/>
    <w:pPr>
      <w:ind w:left="1417" w:right="0" w:firstLine="0"/>
      <w:spacing w:after="57"/>
    </w:pPr>
  </w:style>
  <w:style w:type="paragraph" w:styleId="879">
    <w:name w:val="toc 7"/>
    <w:basedOn w:val="883"/>
    <w:next w:val="883"/>
    <w:uiPriority w:val="39"/>
    <w:unhideWhenUsed/>
    <w:pPr>
      <w:ind w:left="1701" w:right="0" w:firstLine="0"/>
      <w:spacing w:after="57"/>
    </w:pPr>
  </w:style>
  <w:style w:type="paragraph" w:styleId="880">
    <w:name w:val="toc 8"/>
    <w:basedOn w:val="883"/>
    <w:next w:val="883"/>
    <w:uiPriority w:val="39"/>
    <w:unhideWhenUsed/>
    <w:pPr>
      <w:ind w:left="1984" w:right="0" w:firstLine="0"/>
      <w:spacing w:after="57"/>
    </w:pPr>
  </w:style>
  <w:style w:type="paragraph" w:styleId="881">
    <w:name w:val="toc 9"/>
    <w:basedOn w:val="883"/>
    <w:next w:val="883"/>
    <w:uiPriority w:val="39"/>
    <w:unhideWhenUsed/>
    <w:pPr>
      <w:ind w:left="2268" w:right="0" w:firstLine="0"/>
      <w:spacing w:after="57"/>
    </w:pPr>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eastAsia="宋体" w:cs="Times New Roman"/>
      <w:sz w:val="21"/>
      <w:szCs w:val="24"/>
      <w:lang w:val="en-US" w:eastAsia="zh-CN" w:bidi="ar-SA"/>
    </w:rPr>
  </w:style>
  <w:style w:type="paragraph" w:styleId="884">
    <w:name w:val="标题 1"/>
    <w:basedOn w:val="883"/>
    <w:next w:val="883"/>
    <w:link w:val="895"/>
    <w:uiPriority w:val="9"/>
    <w:qFormat/>
    <w:pPr>
      <w:keepLines/>
      <w:keepNext/>
      <w:spacing w:before="480" w:after="200"/>
      <w:outlineLvl w:val="0"/>
    </w:pPr>
    <w:rPr>
      <w:rFonts w:ascii="Arial" w:hAnsi="Arial" w:eastAsia="Arial" w:cs="Arial"/>
      <w:sz w:val="40"/>
      <w:szCs w:val="40"/>
    </w:rPr>
  </w:style>
  <w:style w:type="paragraph" w:styleId="885">
    <w:name w:val="标题 2"/>
    <w:basedOn w:val="883"/>
    <w:next w:val="883"/>
    <w:link w:val="896"/>
    <w:uiPriority w:val="9"/>
    <w:unhideWhenUsed/>
    <w:qFormat/>
    <w:pPr>
      <w:keepLines/>
      <w:keepNext/>
      <w:spacing w:before="360" w:after="200"/>
      <w:outlineLvl w:val="1"/>
    </w:pPr>
    <w:rPr>
      <w:rFonts w:ascii="Arial" w:hAnsi="Arial" w:eastAsia="Arial" w:cs="Arial"/>
      <w:sz w:val="34"/>
    </w:rPr>
  </w:style>
  <w:style w:type="paragraph" w:styleId="886">
    <w:name w:val="标题 3"/>
    <w:basedOn w:val="883"/>
    <w:next w:val="898"/>
    <w:link w:val="897"/>
    <w:uiPriority w:val="9"/>
    <w:unhideWhenUsed/>
    <w:qFormat/>
    <w:pPr>
      <w:keepLines/>
      <w:keepNext/>
      <w:spacing w:before="320" w:after="200"/>
      <w:outlineLvl w:val="2"/>
    </w:pPr>
    <w:rPr>
      <w:rFonts w:ascii="Arial" w:hAnsi="Arial" w:eastAsia="Arial" w:cs="Arial"/>
      <w:sz w:val="30"/>
      <w:szCs w:val="30"/>
    </w:rPr>
  </w:style>
  <w:style w:type="paragraph" w:styleId="887">
    <w:name w:val="标题 4"/>
    <w:basedOn w:val="883"/>
    <w:next w:val="883"/>
    <w:link w:val="899"/>
    <w:uiPriority w:val="9"/>
    <w:unhideWhenUsed/>
    <w:qFormat/>
    <w:pPr>
      <w:keepLines/>
      <w:keepNext/>
      <w:spacing w:before="320" w:after="200"/>
      <w:outlineLvl w:val="3"/>
    </w:pPr>
    <w:rPr>
      <w:rFonts w:ascii="Arial" w:hAnsi="Arial" w:eastAsia="Arial" w:cs="Arial"/>
      <w:b/>
      <w:bCs/>
      <w:sz w:val="26"/>
      <w:szCs w:val="26"/>
    </w:rPr>
  </w:style>
  <w:style w:type="paragraph" w:styleId="888">
    <w:name w:val="标题 5"/>
    <w:basedOn w:val="883"/>
    <w:next w:val="883"/>
    <w:link w:val="900"/>
    <w:uiPriority w:val="9"/>
    <w:unhideWhenUsed/>
    <w:qFormat/>
    <w:pPr>
      <w:keepLines/>
      <w:keepNext/>
      <w:spacing w:before="320" w:after="200"/>
      <w:outlineLvl w:val="4"/>
    </w:pPr>
    <w:rPr>
      <w:rFonts w:ascii="Arial" w:hAnsi="Arial" w:eastAsia="Arial" w:cs="Arial"/>
      <w:b/>
      <w:bCs/>
      <w:sz w:val="24"/>
      <w:szCs w:val="24"/>
    </w:rPr>
  </w:style>
  <w:style w:type="paragraph" w:styleId="889">
    <w:name w:val="标题 6"/>
    <w:basedOn w:val="883"/>
    <w:next w:val="883"/>
    <w:link w:val="901"/>
    <w:uiPriority w:val="9"/>
    <w:unhideWhenUsed/>
    <w:qFormat/>
    <w:pPr>
      <w:keepLines/>
      <w:keepNext/>
      <w:spacing w:before="320" w:after="200"/>
      <w:outlineLvl w:val="5"/>
    </w:pPr>
    <w:rPr>
      <w:rFonts w:ascii="Arial" w:hAnsi="Arial" w:eastAsia="Arial" w:cs="Arial"/>
      <w:b/>
      <w:bCs/>
      <w:sz w:val="22"/>
      <w:szCs w:val="22"/>
    </w:rPr>
  </w:style>
  <w:style w:type="paragraph" w:styleId="890">
    <w:name w:val="标题 7"/>
    <w:basedOn w:val="883"/>
    <w:next w:val="883"/>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标题 8"/>
    <w:basedOn w:val="883"/>
    <w:next w:val="883"/>
    <w:link w:val="903"/>
    <w:uiPriority w:val="9"/>
    <w:unhideWhenUsed/>
    <w:qFormat/>
    <w:pPr>
      <w:keepLines/>
      <w:keepNext/>
      <w:spacing w:before="320" w:after="200"/>
      <w:outlineLvl w:val="7"/>
    </w:pPr>
    <w:rPr>
      <w:rFonts w:ascii="Arial" w:hAnsi="Arial" w:eastAsia="Arial" w:cs="Arial"/>
      <w:i/>
      <w:iCs/>
      <w:sz w:val="22"/>
      <w:szCs w:val="22"/>
    </w:rPr>
  </w:style>
  <w:style w:type="paragraph" w:styleId="892">
    <w:name w:val="标题 9"/>
    <w:basedOn w:val="883"/>
    <w:next w:val="883"/>
    <w:link w:val="904"/>
    <w:uiPriority w:val="9"/>
    <w:unhideWhenUsed/>
    <w:qFormat/>
    <w:pPr>
      <w:keepLines/>
      <w:keepNext/>
      <w:spacing w:before="320" w:after="200"/>
      <w:outlineLvl w:val="8"/>
    </w:pPr>
    <w:rPr>
      <w:rFonts w:ascii="Arial" w:hAnsi="Arial" w:eastAsia="Arial" w:cs="Arial"/>
      <w:i/>
      <w:iCs/>
      <w:sz w:val="21"/>
      <w:szCs w:val="21"/>
    </w:rPr>
  </w:style>
  <w:style w:type="character" w:styleId="893">
    <w:name w:val="默认段落字体"/>
    <w:next w:val="893"/>
    <w:link w:val="883"/>
    <w:uiPriority w:val="1"/>
    <w:unhideWhenUsed/>
    <w:qFormat/>
  </w:style>
  <w:style w:type="table" w:styleId="894">
    <w:name w:val="普通表格"/>
    <w:next w:val="894"/>
    <w:link w:val="883"/>
    <w:uiPriority w:val="99"/>
    <w:unhideWhenUsed/>
    <w:qFormat/>
    <w:tblPr/>
  </w:style>
  <w:style w:type="character" w:styleId="895">
    <w:name w:val="Heading 1 Char"/>
    <w:next w:val="895"/>
    <w:link w:val="884"/>
    <w:uiPriority w:val="9"/>
    <w:qFormat/>
    <w:rPr>
      <w:rFonts w:ascii="Arial" w:hAnsi="Arial" w:eastAsia="Arial" w:cs="Arial"/>
      <w:sz w:val="40"/>
      <w:szCs w:val="40"/>
    </w:rPr>
  </w:style>
  <w:style w:type="character" w:styleId="896">
    <w:name w:val="Heading 2 Char"/>
    <w:next w:val="896"/>
    <w:link w:val="885"/>
    <w:uiPriority w:val="9"/>
    <w:qFormat/>
    <w:rPr>
      <w:rFonts w:ascii="Arial" w:hAnsi="Arial" w:eastAsia="Arial" w:cs="Arial"/>
      <w:sz w:val="34"/>
    </w:rPr>
  </w:style>
  <w:style w:type="character" w:styleId="897">
    <w:name w:val="Heading 3 Char"/>
    <w:next w:val="897"/>
    <w:link w:val="886"/>
    <w:uiPriority w:val="9"/>
    <w:qFormat/>
    <w:rPr>
      <w:rFonts w:ascii="Arial" w:hAnsi="Arial" w:eastAsia="Arial" w:cs="Arial"/>
      <w:sz w:val="30"/>
      <w:szCs w:val="30"/>
    </w:rPr>
  </w:style>
  <w:style w:type="paragraph" w:styleId="898">
    <w:name w:val="正文缩进"/>
    <w:basedOn w:val="883"/>
    <w:next w:val="883"/>
    <w:link w:val="883"/>
    <w:qFormat/>
    <w:pPr>
      <w:ind w:firstLine="420"/>
    </w:pPr>
    <w:rPr>
      <w:szCs w:val="20"/>
    </w:rPr>
  </w:style>
  <w:style w:type="character" w:styleId="899">
    <w:name w:val="Heading 4 Char"/>
    <w:next w:val="899"/>
    <w:link w:val="887"/>
    <w:uiPriority w:val="9"/>
    <w:qFormat/>
    <w:rPr>
      <w:rFonts w:ascii="Arial" w:hAnsi="Arial" w:eastAsia="Arial" w:cs="Arial"/>
      <w:b/>
      <w:bCs/>
      <w:sz w:val="26"/>
      <w:szCs w:val="26"/>
    </w:rPr>
  </w:style>
  <w:style w:type="character" w:styleId="900">
    <w:name w:val="Heading 5 Char"/>
    <w:next w:val="900"/>
    <w:link w:val="888"/>
    <w:uiPriority w:val="9"/>
    <w:qFormat/>
    <w:rPr>
      <w:rFonts w:ascii="Arial" w:hAnsi="Arial" w:eastAsia="Arial" w:cs="Arial"/>
      <w:b/>
      <w:bCs/>
      <w:sz w:val="24"/>
      <w:szCs w:val="24"/>
    </w:rPr>
  </w:style>
  <w:style w:type="character" w:styleId="901">
    <w:name w:val="Heading 6 Char"/>
    <w:next w:val="901"/>
    <w:link w:val="889"/>
    <w:uiPriority w:val="9"/>
    <w:qFormat/>
    <w:rPr>
      <w:rFonts w:ascii="Arial" w:hAnsi="Arial" w:eastAsia="Arial" w:cs="Arial"/>
      <w:b/>
      <w:bCs/>
      <w:sz w:val="22"/>
      <w:szCs w:val="22"/>
    </w:rPr>
  </w:style>
  <w:style w:type="character" w:styleId="902">
    <w:name w:val="Heading 7 Char"/>
    <w:next w:val="902"/>
    <w:link w:val="890"/>
    <w:uiPriority w:val="9"/>
    <w:qFormat/>
    <w:rPr>
      <w:rFonts w:ascii="Arial" w:hAnsi="Arial" w:eastAsia="Arial" w:cs="Arial"/>
      <w:b/>
      <w:bCs/>
      <w:i/>
      <w:iCs/>
      <w:sz w:val="22"/>
      <w:szCs w:val="22"/>
    </w:rPr>
  </w:style>
  <w:style w:type="character" w:styleId="903">
    <w:name w:val="Heading 8 Char"/>
    <w:next w:val="903"/>
    <w:link w:val="891"/>
    <w:uiPriority w:val="9"/>
    <w:qFormat/>
    <w:rPr>
      <w:rFonts w:ascii="Arial" w:hAnsi="Arial" w:eastAsia="Arial" w:cs="Arial"/>
      <w:i/>
      <w:iCs/>
      <w:sz w:val="22"/>
      <w:szCs w:val="22"/>
    </w:rPr>
  </w:style>
  <w:style w:type="character" w:styleId="904">
    <w:name w:val="Heading 9 Char"/>
    <w:next w:val="904"/>
    <w:link w:val="892"/>
    <w:uiPriority w:val="9"/>
    <w:qFormat/>
    <w:rPr>
      <w:rFonts w:ascii="Arial" w:hAnsi="Arial" w:eastAsia="Arial" w:cs="Arial"/>
      <w:i/>
      <w:iCs/>
      <w:sz w:val="21"/>
      <w:szCs w:val="21"/>
    </w:rPr>
  </w:style>
  <w:style w:type="paragraph" w:styleId="905">
    <w:name w:val="目录 7"/>
    <w:basedOn w:val="883"/>
    <w:next w:val="883"/>
    <w:link w:val="883"/>
    <w:uiPriority w:val="39"/>
    <w:unhideWhenUsed/>
    <w:qFormat/>
    <w:pPr>
      <w:ind w:left="1701" w:right="0" w:firstLine="0"/>
      <w:spacing w:after="57"/>
    </w:pPr>
  </w:style>
  <w:style w:type="paragraph" w:styleId="906">
    <w:name w:val="题注"/>
    <w:basedOn w:val="883"/>
    <w:next w:val="883"/>
    <w:link w:val="883"/>
    <w:uiPriority w:val="35"/>
    <w:unhideWhenUsed/>
    <w:qFormat/>
    <w:pPr>
      <w:spacing w:line="276" w:lineRule="auto"/>
    </w:pPr>
    <w:rPr>
      <w:b/>
      <w:bCs/>
      <w:color w:val="4f81bd"/>
      <w:sz w:val="18"/>
      <w:szCs w:val="18"/>
    </w:rPr>
  </w:style>
  <w:style w:type="paragraph" w:styleId="907">
    <w:name w:val="批注文字"/>
    <w:basedOn w:val="883"/>
    <w:next w:val="907"/>
    <w:link w:val="883"/>
    <w:qFormat/>
    <w:pPr>
      <w:ind w:firstLine="922"/>
      <w:jc w:val="left"/>
      <w:spacing w:line="360" w:lineRule="auto"/>
    </w:pPr>
    <w:rPr>
      <w:rFonts w:ascii="Times New Roman" w:hAnsi="Times New Roman" w:eastAsia="宋体" w:cs="Times New Roman"/>
      <w:szCs w:val="24"/>
    </w:rPr>
  </w:style>
  <w:style w:type="paragraph" w:styleId="908">
    <w:name w:val="正文文本"/>
    <w:basedOn w:val="883"/>
    <w:next w:val="908"/>
    <w:link w:val="883"/>
    <w:qFormat/>
    <w:rPr>
      <w:rFonts w:ascii="楷体_GB2312" w:hAnsi="Arial" w:eastAsia="楷体_GB2312"/>
      <w:sz w:val="28"/>
      <w:szCs w:val="28"/>
    </w:rPr>
  </w:style>
  <w:style w:type="paragraph" w:styleId="909">
    <w:name w:val="目录 5"/>
    <w:basedOn w:val="883"/>
    <w:next w:val="883"/>
    <w:link w:val="883"/>
    <w:uiPriority w:val="39"/>
    <w:unhideWhenUsed/>
    <w:qFormat/>
    <w:pPr>
      <w:ind w:left="1134" w:right="0" w:firstLine="0"/>
      <w:spacing w:after="57"/>
    </w:pPr>
  </w:style>
  <w:style w:type="paragraph" w:styleId="910">
    <w:name w:val="目录 3"/>
    <w:basedOn w:val="883"/>
    <w:next w:val="883"/>
    <w:link w:val="883"/>
    <w:uiPriority w:val="39"/>
    <w:unhideWhenUsed/>
    <w:qFormat/>
    <w:pPr>
      <w:ind w:left="567" w:right="0" w:firstLine="0"/>
      <w:spacing w:after="57"/>
    </w:pPr>
  </w:style>
  <w:style w:type="paragraph" w:styleId="911">
    <w:name w:val="目录 8"/>
    <w:basedOn w:val="883"/>
    <w:next w:val="883"/>
    <w:link w:val="883"/>
    <w:uiPriority w:val="39"/>
    <w:unhideWhenUsed/>
    <w:qFormat/>
    <w:pPr>
      <w:ind w:left="1984" w:right="0" w:firstLine="0"/>
      <w:spacing w:after="57"/>
    </w:pPr>
  </w:style>
  <w:style w:type="paragraph" w:styleId="912">
    <w:name w:val="尾注文本"/>
    <w:basedOn w:val="883"/>
    <w:next w:val="912"/>
    <w:link w:val="913"/>
    <w:uiPriority w:val="99"/>
    <w:unhideWhenUsed/>
    <w:qFormat/>
    <w:pPr>
      <w:spacing w:after="0" w:line="240" w:lineRule="auto"/>
    </w:pPr>
    <w:rPr>
      <w:sz w:val="20"/>
    </w:rPr>
  </w:style>
  <w:style w:type="character" w:styleId="913">
    <w:name w:val="Endnote Text Char"/>
    <w:next w:val="913"/>
    <w:link w:val="912"/>
    <w:uiPriority w:val="99"/>
    <w:qFormat/>
    <w:rPr>
      <w:sz w:val="20"/>
    </w:rPr>
  </w:style>
  <w:style w:type="paragraph" w:styleId="914">
    <w:name w:val="页脚"/>
    <w:basedOn w:val="883"/>
    <w:next w:val="914"/>
    <w:link w:val="915"/>
    <w:uiPriority w:val="99"/>
    <w:unhideWhenUsed/>
    <w:qFormat/>
    <w:pPr>
      <w:spacing w:after="0" w:line="240" w:lineRule="auto"/>
      <w:tabs>
        <w:tab w:val="center" w:pos="7143" w:leader="none"/>
        <w:tab w:val="right" w:pos="14287" w:leader="none"/>
      </w:tabs>
    </w:pPr>
  </w:style>
  <w:style w:type="character" w:styleId="915">
    <w:name w:val="Footer Char"/>
    <w:next w:val="915"/>
    <w:link w:val="914"/>
    <w:uiPriority w:val="99"/>
    <w:qFormat/>
  </w:style>
  <w:style w:type="paragraph" w:styleId="916">
    <w:name w:val="页眉"/>
    <w:basedOn w:val="883"/>
    <w:next w:val="916"/>
    <w:link w:val="917"/>
    <w:uiPriority w:val="99"/>
    <w:unhideWhenUsed/>
    <w:qFormat/>
    <w:pPr>
      <w:spacing w:after="0" w:line="240" w:lineRule="auto"/>
      <w:tabs>
        <w:tab w:val="center" w:pos="7143" w:leader="none"/>
        <w:tab w:val="right" w:pos="14287" w:leader="none"/>
      </w:tabs>
    </w:pPr>
  </w:style>
  <w:style w:type="character" w:styleId="917">
    <w:name w:val="Header Char"/>
    <w:next w:val="917"/>
    <w:link w:val="916"/>
    <w:uiPriority w:val="99"/>
    <w:qFormat/>
  </w:style>
  <w:style w:type="paragraph" w:styleId="918">
    <w:name w:val="目录 1"/>
    <w:basedOn w:val="883"/>
    <w:next w:val="883"/>
    <w:link w:val="883"/>
    <w:uiPriority w:val="39"/>
    <w:unhideWhenUsed/>
    <w:qFormat/>
    <w:pPr>
      <w:ind w:left="0" w:right="0" w:firstLine="0"/>
      <w:spacing w:after="57"/>
    </w:pPr>
  </w:style>
  <w:style w:type="paragraph" w:styleId="919">
    <w:name w:val="目录 4"/>
    <w:basedOn w:val="883"/>
    <w:next w:val="883"/>
    <w:link w:val="883"/>
    <w:uiPriority w:val="39"/>
    <w:unhideWhenUsed/>
    <w:qFormat/>
    <w:pPr>
      <w:ind w:left="850" w:right="0" w:firstLine="0"/>
      <w:spacing w:after="57"/>
    </w:pPr>
  </w:style>
  <w:style w:type="paragraph" w:styleId="920">
    <w:name w:val="副标题"/>
    <w:basedOn w:val="883"/>
    <w:next w:val="883"/>
    <w:link w:val="921"/>
    <w:uiPriority w:val="11"/>
    <w:qFormat/>
    <w:pPr>
      <w:spacing w:before="200" w:after="200"/>
    </w:pPr>
    <w:rPr>
      <w:sz w:val="24"/>
      <w:szCs w:val="24"/>
    </w:rPr>
  </w:style>
  <w:style w:type="character" w:styleId="921">
    <w:name w:val="Subtitle Char"/>
    <w:next w:val="921"/>
    <w:link w:val="920"/>
    <w:uiPriority w:val="11"/>
    <w:qFormat/>
    <w:rPr>
      <w:sz w:val="24"/>
      <w:szCs w:val="24"/>
    </w:rPr>
  </w:style>
  <w:style w:type="paragraph" w:styleId="922">
    <w:name w:val="脚注文本"/>
    <w:basedOn w:val="883"/>
    <w:next w:val="922"/>
    <w:link w:val="923"/>
    <w:uiPriority w:val="99"/>
    <w:unhideWhenUsed/>
    <w:qFormat/>
    <w:pPr>
      <w:spacing w:after="40" w:line="240" w:lineRule="auto"/>
    </w:pPr>
    <w:rPr>
      <w:sz w:val="18"/>
    </w:rPr>
  </w:style>
  <w:style w:type="character" w:styleId="923">
    <w:name w:val="Footnote Text Char"/>
    <w:next w:val="923"/>
    <w:link w:val="922"/>
    <w:uiPriority w:val="99"/>
    <w:qFormat/>
    <w:rPr>
      <w:sz w:val="18"/>
    </w:rPr>
  </w:style>
  <w:style w:type="paragraph" w:styleId="924">
    <w:name w:val="目录 6"/>
    <w:basedOn w:val="883"/>
    <w:next w:val="883"/>
    <w:link w:val="883"/>
    <w:uiPriority w:val="39"/>
    <w:unhideWhenUsed/>
    <w:qFormat/>
    <w:pPr>
      <w:ind w:left="1417" w:right="0" w:firstLine="0"/>
      <w:spacing w:after="57"/>
    </w:pPr>
  </w:style>
  <w:style w:type="paragraph" w:styleId="925">
    <w:name w:val="图表目录"/>
    <w:basedOn w:val="883"/>
    <w:next w:val="883"/>
    <w:link w:val="883"/>
    <w:uiPriority w:val="99"/>
    <w:unhideWhenUsed/>
    <w:qFormat/>
    <w:pPr>
      <w:spacing w:after="0" w:afterAutospacing="0"/>
    </w:pPr>
  </w:style>
  <w:style w:type="paragraph" w:styleId="926">
    <w:name w:val="目录 2"/>
    <w:basedOn w:val="883"/>
    <w:next w:val="883"/>
    <w:link w:val="883"/>
    <w:uiPriority w:val="39"/>
    <w:unhideWhenUsed/>
    <w:qFormat/>
    <w:pPr>
      <w:ind w:left="283" w:right="0" w:firstLine="0"/>
      <w:spacing w:after="57"/>
    </w:pPr>
  </w:style>
  <w:style w:type="paragraph" w:styleId="927">
    <w:name w:val="目录 9"/>
    <w:basedOn w:val="883"/>
    <w:next w:val="883"/>
    <w:link w:val="883"/>
    <w:uiPriority w:val="39"/>
    <w:unhideWhenUsed/>
    <w:qFormat/>
    <w:pPr>
      <w:ind w:left="2268" w:right="0" w:firstLine="0"/>
      <w:spacing w:after="57"/>
    </w:pPr>
  </w:style>
  <w:style w:type="paragraph" w:styleId="928">
    <w:name w:val="标题"/>
    <w:basedOn w:val="883"/>
    <w:next w:val="883"/>
    <w:link w:val="929"/>
    <w:uiPriority w:val="10"/>
    <w:qFormat/>
    <w:pPr>
      <w:contextualSpacing/>
      <w:spacing w:before="300" w:after="200"/>
    </w:pPr>
    <w:rPr>
      <w:sz w:val="48"/>
      <w:szCs w:val="48"/>
    </w:rPr>
  </w:style>
  <w:style w:type="character" w:styleId="929">
    <w:name w:val="Title Char"/>
    <w:next w:val="929"/>
    <w:link w:val="928"/>
    <w:uiPriority w:val="10"/>
    <w:qFormat/>
    <w:rPr>
      <w:sz w:val="48"/>
      <w:szCs w:val="48"/>
    </w:rPr>
  </w:style>
  <w:style w:type="table" w:styleId="930">
    <w:name w:val="网格型"/>
    <w:next w:val="930"/>
    <w:link w:val="883"/>
    <w:uiPriority w:val="59"/>
    <w:qFormat/>
    <w:pPr>
      <w:spacing w:after="0" w:line="240" w:lineRule="auto"/>
    </w:pPr>
    <w:tblPr/>
  </w:style>
  <w:style w:type="character" w:styleId="931">
    <w:name w:val="尾注引用"/>
    <w:next w:val="931"/>
    <w:link w:val="883"/>
    <w:uiPriority w:val="99"/>
    <w:unhideWhenUsed/>
    <w:qFormat/>
    <w:rPr>
      <w:vertAlign w:val="superscript"/>
    </w:rPr>
  </w:style>
  <w:style w:type="character" w:styleId="932">
    <w:name w:val="超链接"/>
    <w:next w:val="932"/>
    <w:link w:val="883"/>
    <w:uiPriority w:val="99"/>
    <w:unhideWhenUsed/>
    <w:qFormat/>
    <w:rPr>
      <w:color w:val="0000ff"/>
      <w:u w:val="single"/>
    </w:rPr>
  </w:style>
  <w:style w:type="character" w:styleId="933">
    <w:name w:val="脚注引用"/>
    <w:next w:val="933"/>
    <w:link w:val="883"/>
    <w:uiPriority w:val="99"/>
    <w:unhideWhenUsed/>
    <w:qFormat/>
    <w:rPr>
      <w:vertAlign w:val="superscript"/>
    </w:rPr>
  </w:style>
  <w:style w:type="character" w:styleId="934">
    <w:name w:val="Caption Char"/>
    <w:next w:val="934"/>
    <w:link w:val="914"/>
    <w:uiPriority w:val="99"/>
    <w:qFormat/>
  </w:style>
  <w:style w:type="paragraph" w:styleId="935">
    <w:name w:val="段"/>
    <w:next w:val="883"/>
    <w:link w:val="883"/>
    <w:qFormat/>
    <w:pPr>
      <w:ind w:firstLine="200"/>
      <w:jc w:val="both"/>
      <w:spacing w:line="360" w:lineRule="auto"/>
    </w:pPr>
    <w:rPr>
      <w:rFonts w:ascii="宋体" w:hAnsi="Times New Roman" w:eastAsia="宋体" w:cs="Times New Roman"/>
      <w:sz w:val="24"/>
      <w:szCs w:val="22"/>
      <w:lang w:val="en-US" w:eastAsia="zh-CN" w:bidi="ar-SA"/>
    </w:rPr>
  </w:style>
  <w:style w:type="character" w:styleId="936">
    <w:name w:val="jj1"/>
    <w:next w:val="936"/>
    <w:link w:val="883"/>
    <w:qFormat/>
    <w:rPr>
      <w:sz w:val="20"/>
      <w:szCs w:val="20"/>
      <w:u w:val="none"/>
    </w:rPr>
  </w:style>
  <w:style w:type="paragraph" w:styleId="937">
    <w:name w:val="List Paragraph"/>
    <w:basedOn w:val="883"/>
    <w:next w:val="937"/>
    <w:link w:val="883"/>
    <w:uiPriority w:val="34"/>
    <w:qFormat/>
    <w:pPr>
      <w:contextualSpacing/>
      <w:ind w:left="720"/>
    </w:pPr>
  </w:style>
  <w:style w:type="paragraph" w:styleId="938">
    <w:name w:val="No Spacing"/>
    <w:next w:val="938"/>
    <w:link w:val="883"/>
    <w:uiPriority w:val="1"/>
    <w:qFormat/>
    <w:pPr>
      <w:spacing w:before="0" w:after="0" w:line="240" w:lineRule="auto"/>
    </w:pPr>
    <w:rPr>
      <w:rFonts w:ascii="Times New Roman" w:hAnsi="Times New Roman" w:eastAsia="宋体" w:cs="Times New Roman"/>
    </w:rPr>
  </w:style>
  <w:style w:type="paragraph" w:styleId="939">
    <w:name w:val="Quote"/>
    <w:basedOn w:val="883"/>
    <w:next w:val="883"/>
    <w:link w:val="940"/>
    <w:uiPriority w:val="29"/>
    <w:qFormat/>
    <w:pPr>
      <w:ind w:left="720" w:right="720"/>
    </w:pPr>
    <w:rPr>
      <w:i/>
    </w:rPr>
  </w:style>
  <w:style w:type="character" w:styleId="940">
    <w:name w:val="Quote Char"/>
    <w:next w:val="940"/>
    <w:link w:val="939"/>
    <w:uiPriority w:val="29"/>
    <w:qFormat/>
    <w:rPr>
      <w:i/>
    </w:rPr>
  </w:style>
  <w:style w:type="paragraph" w:styleId="941">
    <w:name w:val="Intense Quote"/>
    <w:basedOn w:val="883"/>
    <w:next w:val="883"/>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name w:val="Intense Quote Char"/>
    <w:next w:val="942"/>
    <w:link w:val="941"/>
    <w:uiPriority w:val="30"/>
    <w:qFormat/>
    <w:rPr>
      <w:i/>
    </w:rPr>
  </w:style>
  <w:style w:type="table" w:styleId="943">
    <w:name w:val="Table Grid Light"/>
    <w:next w:val="943"/>
    <w:link w:val="883"/>
    <w:uiPriority w:val="59"/>
    <w:qFormat/>
    <w:pPr>
      <w:spacing w:after="0" w:line="240" w:lineRule="auto"/>
    </w:pPr>
    <w:tblPr/>
  </w:style>
  <w:style w:type="table" w:styleId="944">
    <w:name w:val="Plain Table 1"/>
    <w:next w:val="944"/>
    <w:link w:val="883"/>
    <w:uiPriority w:val="59"/>
    <w:qFormat/>
    <w:pPr>
      <w:spacing w:after="0" w:line="240" w:lineRule="auto"/>
    </w:pPr>
    <w:tblPr/>
  </w:style>
  <w:style w:type="table" w:styleId="945">
    <w:name w:val="Plain Table 2"/>
    <w:next w:val="945"/>
    <w:link w:val="883"/>
    <w:uiPriority w:val="59"/>
    <w:qFormat/>
    <w:pPr>
      <w:spacing w:after="0" w:line="240" w:lineRule="auto"/>
    </w:pPr>
    <w:tblPr/>
  </w:style>
  <w:style w:type="table" w:styleId="946">
    <w:name w:val="Plain Table 3"/>
    <w:next w:val="946"/>
    <w:link w:val="883"/>
    <w:uiPriority w:val="99"/>
    <w:qFormat/>
    <w:pPr>
      <w:spacing w:after="0" w:line="240" w:lineRule="auto"/>
    </w:pPr>
    <w:tblPr/>
  </w:style>
  <w:style w:type="table" w:styleId="947">
    <w:name w:val="Plain Table 4"/>
    <w:next w:val="947"/>
    <w:link w:val="883"/>
    <w:uiPriority w:val="99"/>
    <w:qFormat/>
    <w:pPr>
      <w:spacing w:after="0" w:line="240" w:lineRule="auto"/>
    </w:pPr>
    <w:tblPr/>
  </w:style>
  <w:style w:type="table" w:styleId="948">
    <w:name w:val="Plain Table 5"/>
    <w:next w:val="948"/>
    <w:link w:val="883"/>
    <w:uiPriority w:val="99"/>
    <w:qFormat/>
    <w:pPr>
      <w:spacing w:after="0" w:line="240" w:lineRule="auto"/>
    </w:pPr>
    <w:tblPr/>
  </w:style>
  <w:style w:type="table" w:styleId="949">
    <w:name w:val="Grid Table 1 Light"/>
    <w:next w:val="949"/>
    <w:link w:val="883"/>
    <w:uiPriority w:val="99"/>
    <w:qFormat/>
    <w:pPr>
      <w:spacing w:after="0" w:line="240" w:lineRule="auto"/>
    </w:pPr>
    <w:tblPr/>
  </w:style>
  <w:style w:type="table" w:styleId="950">
    <w:name w:val="Grid Table 1 Light - Accent 1"/>
    <w:next w:val="950"/>
    <w:link w:val="883"/>
    <w:uiPriority w:val="99"/>
    <w:qFormat/>
    <w:pPr>
      <w:spacing w:after="0" w:line="240" w:lineRule="auto"/>
    </w:pPr>
    <w:tblPr/>
  </w:style>
  <w:style w:type="table" w:styleId="951">
    <w:name w:val="Grid Table 1 Light - Accent 2"/>
    <w:next w:val="951"/>
    <w:link w:val="883"/>
    <w:uiPriority w:val="99"/>
    <w:qFormat/>
    <w:pPr>
      <w:spacing w:after="0" w:line="240" w:lineRule="auto"/>
    </w:pPr>
    <w:tblPr/>
  </w:style>
  <w:style w:type="table" w:styleId="952">
    <w:name w:val="Grid Table 1 Light - Accent 3"/>
    <w:next w:val="952"/>
    <w:link w:val="883"/>
    <w:uiPriority w:val="99"/>
    <w:qFormat/>
    <w:pPr>
      <w:spacing w:after="0" w:line="240" w:lineRule="auto"/>
    </w:pPr>
    <w:tblPr/>
  </w:style>
  <w:style w:type="table" w:styleId="953">
    <w:name w:val="Grid Table 1 Light - Accent 4"/>
    <w:next w:val="953"/>
    <w:link w:val="883"/>
    <w:uiPriority w:val="99"/>
    <w:qFormat/>
    <w:pPr>
      <w:spacing w:after="0" w:line="240" w:lineRule="auto"/>
    </w:pPr>
    <w:tblPr/>
  </w:style>
  <w:style w:type="table" w:styleId="954">
    <w:name w:val="Grid Table 1 Light - Accent 5"/>
    <w:next w:val="954"/>
    <w:link w:val="883"/>
    <w:uiPriority w:val="99"/>
    <w:qFormat/>
    <w:pPr>
      <w:spacing w:after="0" w:line="240" w:lineRule="auto"/>
    </w:pPr>
    <w:tblPr/>
  </w:style>
  <w:style w:type="table" w:styleId="955">
    <w:name w:val="Grid Table 1 Light - Accent 6"/>
    <w:next w:val="955"/>
    <w:link w:val="883"/>
    <w:uiPriority w:val="99"/>
    <w:qFormat/>
    <w:pPr>
      <w:spacing w:after="0" w:line="240" w:lineRule="auto"/>
    </w:pPr>
    <w:tblPr/>
  </w:style>
  <w:style w:type="table" w:styleId="956">
    <w:name w:val="Grid Table 2"/>
    <w:next w:val="956"/>
    <w:link w:val="883"/>
    <w:uiPriority w:val="99"/>
    <w:qFormat/>
    <w:pPr>
      <w:spacing w:after="0" w:line="240" w:lineRule="auto"/>
    </w:pPr>
    <w:tblPr/>
  </w:style>
  <w:style w:type="table" w:styleId="957">
    <w:name w:val="Grid Table 2 - Accent 1"/>
    <w:next w:val="957"/>
    <w:link w:val="883"/>
    <w:uiPriority w:val="99"/>
    <w:qFormat/>
    <w:pPr>
      <w:spacing w:after="0" w:line="240" w:lineRule="auto"/>
    </w:pPr>
    <w:tblPr/>
  </w:style>
  <w:style w:type="table" w:styleId="958">
    <w:name w:val="Grid Table 2 - Accent 2"/>
    <w:next w:val="958"/>
    <w:link w:val="883"/>
    <w:uiPriority w:val="99"/>
    <w:qFormat/>
    <w:pPr>
      <w:spacing w:after="0" w:line="240" w:lineRule="auto"/>
    </w:pPr>
    <w:tblPr/>
  </w:style>
  <w:style w:type="table" w:styleId="959">
    <w:name w:val="Grid Table 2 - Accent 3"/>
    <w:next w:val="959"/>
    <w:link w:val="883"/>
    <w:uiPriority w:val="99"/>
    <w:qFormat/>
    <w:pPr>
      <w:spacing w:after="0" w:line="240" w:lineRule="auto"/>
    </w:pPr>
    <w:tblPr/>
  </w:style>
  <w:style w:type="table" w:styleId="960">
    <w:name w:val="Grid Table 2 - Accent 4"/>
    <w:next w:val="960"/>
    <w:link w:val="883"/>
    <w:uiPriority w:val="99"/>
    <w:qFormat/>
    <w:pPr>
      <w:spacing w:after="0" w:line="240" w:lineRule="auto"/>
    </w:pPr>
    <w:tblPr/>
  </w:style>
  <w:style w:type="table" w:styleId="961">
    <w:name w:val="Grid Table 2 - Accent 5"/>
    <w:next w:val="961"/>
    <w:link w:val="883"/>
    <w:uiPriority w:val="99"/>
    <w:qFormat/>
    <w:pPr>
      <w:spacing w:after="0" w:line="240" w:lineRule="auto"/>
    </w:pPr>
    <w:tblPr/>
  </w:style>
  <w:style w:type="table" w:styleId="962">
    <w:name w:val="Grid Table 2 - Accent 6"/>
    <w:next w:val="962"/>
    <w:link w:val="883"/>
    <w:uiPriority w:val="99"/>
    <w:qFormat/>
    <w:pPr>
      <w:spacing w:after="0" w:line="240" w:lineRule="auto"/>
    </w:pPr>
    <w:tblPr/>
  </w:style>
  <w:style w:type="table" w:styleId="963">
    <w:name w:val="Grid Table 3"/>
    <w:next w:val="963"/>
    <w:link w:val="883"/>
    <w:uiPriority w:val="99"/>
    <w:qFormat/>
    <w:pPr>
      <w:spacing w:after="0" w:line="240" w:lineRule="auto"/>
    </w:pPr>
    <w:tblPr/>
  </w:style>
  <w:style w:type="table" w:styleId="964">
    <w:name w:val="Grid Table 3 - Accent 1"/>
    <w:next w:val="964"/>
    <w:link w:val="883"/>
    <w:uiPriority w:val="99"/>
    <w:qFormat/>
    <w:pPr>
      <w:spacing w:after="0" w:line="240" w:lineRule="auto"/>
    </w:pPr>
    <w:tblPr/>
  </w:style>
  <w:style w:type="table" w:styleId="965">
    <w:name w:val="Grid Table 3 - Accent 2"/>
    <w:next w:val="965"/>
    <w:link w:val="883"/>
    <w:uiPriority w:val="99"/>
    <w:qFormat/>
    <w:pPr>
      <w:spacing w:after="0" w:line="240" w:lineRule="auto"/>
    </w:pPr>
    <w:tblPr/>
  </w:style>
  <w:style w:type="table" w:styleId="966">
    <w:name w:val="Grid Table 3 - Accent 3"/>
    <w:next w:val="966"/>
    <w:link w:val="883"/>
    <w:uiPriority w:val="99"/>
    <w:qFormat/>
    <w:pPr>
      <w:spacing w:after="0" w:line="240" w:lineRule="auto"/>
    </w:pPr>
    <w:tblPr/>
  </w:style>
  <w:style w:type="table" w:styleId="967">
    <w:name w:val="Grid Table 3 - Accent 4"/>
    <w:next w:val="967"/>
    <w:link w:val="883"/>
    <w:uiPriority w:val="99"/>
    <w:qFormat/>
    <w:pPr>
      <w:spacing w:after="0" w:line="240" w:lineRule="auto"/>
    </w:pPr>
    <w:tblPr/>
  </w:style>
  <w:style w:type="table" w:styleId="968">
    <w:name w:val="Grid Table 3 - Accent 5"/>
    <w:next w:val="968"/>
    <w:link w:val="883"/>
    <w:uiPriority w:val="99"/>
    <w:qFormat/>
    <w:pPr>
      <w:spacing w:after="0" w:line="240" w:lineRule="auto"/>
    </w:pPr>
    <w:tblPr/>
  </w:style>
  <w:style w:type="table" w:styleId="969">
    <w:name w:val="Grid Table 3 - Accent 6"/>
    <w:next w:val="969"/>
    <w:link w:val="883"/>
    <w:uiPriority w:val="99"/>
    <w:qFormat/>
    <w:pPr>
      <w:spacing w:after="0" w:line="240" w:lineRule="auto"/>
    </w:pPr>
    <w:tblPr/>
  </w:style>
  <w:style w:type="table" w:styleId="970">
    <w:name w:val="Grid Table 4"/>
    <w:next w:val="970"/>
    <w:link w:val="883"/>
    <w:uiPriority w:val="59"/>
    <w:qFormat/>
    <w:pPr>
      <w:spacing w:after="0" w:line="240" w:lineRule="auto"/>
    </w:pPr>
    <w:tblPr/>
  </w:style>
  <w:style w:type="table" w:styleId="971">
    <w:name w:val="Grid Table 4 - Accent 1"/>
    <w:next w:val="971"/>
    <w:link w:val="883"/>
    <w:uiPriority w:val="59"/>
    <w:qFormat/>
    <w:pPr>
      <w:spacing w:after="0" w:line="240" w:lineRule="auto"/>
    </w:pPr>
    <w:tblPr/>
  </w:style>
  <w:style w:type="table" w:styleId="972">
    <w:name w:val="Grid Table 4 - Accent 2"/>
    <w:next w:val="972"/>
    <w:link w:val="883"/>
    <w:uiPriority w:val="59"/>
    <w:qFormat/>
    <w:pPr>
      <w:spacing w:after="0" w:line="240" w:lineRule="auto"/>
    </w:pPr>
    <w:tblPr/>
  </w:style>
  <w:style w:type="table" w:styleId="973">
    <w:name w:val="Grid Table 4 - Accent 3"/>
    <w:next w:val="973"/>
    <w:link w:val="883"/>
    <w:uiPriority w:val="59"/>
    <w:qFormat/>
    <w:pPr>
      <w:spacing w:after="0" w:line="240" w:lineRule="auto"/>
    </w:pPr>
    <w:tblPr/>
  </w:style>
  <w:style w:type="table" w:styleId="974">
    <w:name w:val="Grid Table 4 - Accent 4"/>
    <w:next w:val="974"/>
    <w:link w:val="883"/>
    <w:uiPriority w:val="59"/>
    <w:qFormat/>
    <w:pPr>
      <w:spacing w:after="0" w:line="240" w:lineRule="auto"/>
    </w:pPr>
    <w:tblPr/>
  </w:style>
  <w:style w:type="table" w:styleId="975">
    <w:name w:val="Grid Table 4 - Accent 5"/>
    <w:next w:val="975"/>
    <w:link w:val="883"/>
    <w:uiPriority w:val="59"/>
    <w:qFormat/>
    <w:pPr>
      <w:spacing w:after="0" w:line="240" w:lineRule="auto"/>
    </w:pPr>
    <w:tblPr/>
  </w:style>
  <w:style w:type="table" w:styleId="976">
    <w:name w:val="Grid Table 4 - Accent 6"/>
    <w:next w:val="976"/>
    <w:link w:val="883"/>
    <w:uiPriority w:val="59"/>
    <w:qFormat/>
    <w:pPr>
      <w:spacing w:after="0" w:line="240" w:lineRule="auto"/>
    </w:pPr>
    <w:tblPr/>
  </w:style>
  <w:style w:type="table" w:styleId="977">
    <w:name w:val="Grid Table 5 Dark"/>
    <w:next w:val="977"/>
    <w:link w:val="883"/>
    <w:uiPriority w:val="99"/>
    <w:qFormat/>
    <w:pPr>
      <w:spacing w:after="0" w:line="240" w:lineRule="auto"/>
    </w:pPr>
    <w:tblPr/>
  </w:style>
  <w:style w:type="table" w:styleId="978">
    <w:name w:val="Grid Table 5 Dark- Accent 1"/>
    <w:next w:val="978"/>
    <w:link w:val="883"/>
    <w:uiPriority w:val="99"/>
    <w:qFormat/>
    <w:pPr>
      <w:spacing w:after="0" w:line="240" w:lineRule="auto"/>
    </w:pPr>
    <w:tblPr/>
  </w:style>
  <w:style w:type="table" w:styleId="979">
    <w:name w:val="Grid Table 5 Dark - Accent 2"/>
    <w:next w:val="979"/>
    <w:link w:val="883"/>
    <w:uiPriority w:val="99"/>
    <w:qFormat/>
    <w:pPr>
      <w:spacing w:after="0" w:line="240" w:lineRule="auto"/>
    </w:pPr>
    <w:tblPr/>
  </w:style>
  <w:style w:type="table" w:styleId="980">
    <w:name w:val="Grid Table 5 Dark - Accent 3"/>
    <w:next w:val="980"/>
    <w:link w:val="883"/>
    <w:uiPriority w:val="99"/>
    <w:qFormat/>
    <w:pPr>
      <w:spacing w:after="0" w:line="240" w:lineRule="auto"/>
    </w:pPr>
    <w:tblPr/>
  </w:style>
  <w:style w:type="table" w:styleId="981">
    <w:name w:val="Grid Table 5 Dark- Accent 4"/>
    <w:next w:val="981"/>
    <w:link w:val="883"/>
    <w:uiPriority w:val="99"/>
    <w:pPr>
      <w:spacing w:after="0" w:line="240" w:lineRule="auto"/>
    </w:pPr>
    <w:tblPr/>
  </w:style>
  <w:style w:type="table" w:styleId="982">
    <w:name w:val="Grid Table 5 Dark - Accent 5"/>
    <w:next w:val="982"/>
    <w:link w:val="883"/>
    <w:uiPriority w:val="99"/>
    <w:qFormat/>
    <w:pPr>
      <w:spacing w:after="0" w:line="240" w:lineRule="auto"/>
    </w:pPr>
    <w:tblPr/>
  </w:style>
  <w:style w:type="table" w:styleId="983">
    <w:name w:val="Grid Table 5 Dark - Accent 6"/>
    <w:next w:val="983"/>
    <w:link w:val="883"/>
    <w:uiPriority w:val="99"/>
    <w:qFormat/>
    <w:pPr>
      <w:spacing w:after="0" w:line="240" w:lineRule="auto"/>
    </w:pPr>
    <w:tblPr/>
  </w:style>
  <w:style w:type="table" w:styleId="984">
    <w:name w:val="Grid Table 6 Colorful"/>
    <w:next w:val="984"/>
    <w:link w:val="883"/>
    <w:uiPriority w:val="99"/>
    <w:qFormat/>
    <w:pPr>
      <w:spacing w:after="0" w:line="240" w:lineRule="auto"/>
    </w:pPr>
    <w:tblPr/>
  </w:style>
  <w:style w:type="table" w:styleId="985">
    <w:name w:val="Grid Table 6 Colorful - Accent 1"/>
    <w:next w:val="985"/>
    <w:link w:val="883"/>
    <w:uiPriority w:val="99"/>
    <w:qFormat/>
    <w:pPr>
      <w:spacing w:after="0" w:line="240" w:lineRule="auto"/>
    </w:pPr>
    <w:tblPr/>
  </w:style>
  <w:style w:type="table" w:styleId="986">
    <w:name w:val="Grid Table 6 Colorful - Accent 2"/>
    <w:next w:val="986"/>
    <w:link w:val="883"/>
    <w:uiPriority w:val="99"/>
    <w:qFormat/>
    <w:pPr>
      <w:spacing w:after="0" w:line="240" w:lineRule="auto"/>
    </w:pPr>
    <w:tblPr/>
  </w:style>
  <w:style w:type="table" w:styleId="987">
    <w:name w:val="Grid Table 6 Colorful - Accent 3"/>
    <w:next w:val="987"/>
    <w:link w:val="883"/>
    <w:uiPriority w:val="99"/>
    <w:qFormat/>
    <w:pPr>
      <w:spacing w:after="0" w:line="240" w:lineRule="auto"/>
    </w:pPr>
    <w:tblPr/>
  </w:style>
  <w:style w:type="table" w:styleId="988">
    <w:name w:val="Grid Table 6 Colorful - Accent 4"/>
    <w:next w:val="988"/>
    <w:link w:val="883"/>
    <w:uiPriority w:val="99"/>
    <w:qFormat/>
    <w:pPr>
      <w:spacing w:after="0" w:line="240" w:lineRule="auto"/>
    </w:pPr>
    <w:tblPr/>
  </w:style>
  <w:style w:type="table" w:styleId="989">
    <w:name w:val="Grid Table 6 Colorful - Accent 5"/>
    <w:next w:val="989"/>
    <w:link w:val="883"/>
    <w:uiPriority w:val="99"/>
    <w:pPr>
      <w:spacing w:after="0" w:line="240" w:lineRule="auto"/>
    </w:pPr>
    <w:tblPr/>
  </w:style>
  <w:style w:type="table" w:styleId="990">
    <w:name w:val="Grid Table 6 Colorful - Accent 6"/>
    <w:next w:val="990"/>
    <w:link w:val="883"/>
    <w:uiPriority w:val="99"/>
    <w:qFormat/>
    <w:pPr>
      <w:spacing w:after="0" w:line="240" w:lineRule="auto"/>
    </w:pPr>
    <w:tblPr/>
  </w:style>
  <w:style w:type="table" w:styleId="991">
    <w:name w:val="Grid Table 7 Colorful"/>
    <w:next w:val="991"/>
    <w:link w:val="883"/>
    <w:uiPriority w:val="99"/>
    <w:qFormat/>
    <w:pPr>
      <w:spacing w:after="0" w:line="240" w:lineRule="auto"/>
    </w:pPr>
    <w:tblPr/>
  </w:style>
  <w:style w:type="table" w:styleId="992">
    <w:name w:val="Grid Table 7 Colorful - Accent 1"/>
    <w:next w:val="992"/>
    <w:link w:val="883"/>
    <w:uiPriority w:val="99"/>
    <w:qFormat/>
    <w:pPr>
      <w:spacing w:after="0" w:line="240" w:lineRule="auto"/>
    </w:pPr>
    <w:tblPr/>
  </w:style>
  <w:style w:type="table" w:styleId="993">
    <w:name w:val="Grid Table 7 Colorful - Accent 2"/>
    <w:next w:val="993"/>
    <w:link w:val="883"/>
    <w:uiPriority w:val="99"/>
    <w:qFormat/>
    <w:pPr>
      <w:spacing w:after="0" w:line="240" w:lineRule="auto"/>
    </w:pPr>
    <w:tblPr/>
  </w:style>
  <w:style w:type="table" w:styleId="994">
    <w:name w:val="Grid Table 7 Colorful - Accent 3"/>
    <w:next w:val="994"/>
    <w:link w:val="883"/>
    <w:uiPriority w:val="99"/>
    <w:qFormat/>
    <w:pPr>
      <w:spacing w:after="0" w:line="240" w:lineRule="auto"/>
    </w:pPr>
    <w:tblPr/>
  </w:style>
  <w:style w:type="table" w:styleId="995">
    <w:name w:val="Grid Table 7 Colorful - Accent 4"/>
    <w:next w:val="995"/>
    <w:link w:val="883"/>
    <w:uiPriority w:val="99"/>
    <w:qFormat/>
    <w:pPr>
      <w:spacing w:after="0" w:line="240" w:lineRule="auto"/>
    </w:pPr>
    <w:tblPr/>
  </w:style>
  <w:style w:type="table" w:styleId="996">
    <w:name w:val="Grid Table 7 Colorful - Accent 5"/>
    <w:next w:val="996"/>
    <w:link w:val="883"/>
    <w:uiPriority w:val="99"/>
    <w:qFormat/>
    <w:pPr>
      <w:spacing w:after="0" w:line="240" w:lineRule="auto"/>
    </w:pPr>
    <w:tblPr/>
  </w:style>
  <w:style w:type="table" w:styleId="997">
    <w:name w:val="Grid Table 7 Colorful - Accent 6"/>
    <w:next w:val="997"/>
    <w:link w:val="883"/>
    <w:uiPriority w:val="99"/>
    <w:qFormat/>
    <w:pPr>
      <w:spacing w:after="0" w:line="240" w:lineRule="auto"/>
    </w:pPr>
    <w:tblPr/>
  </w:style>
  <w:style w:type="table" w:styleId="998">
    <w:name w:val="List Table 1 Light"/>
    <w:next w:val="998"/>
    <w:link w:val="883"/>
    <w:uiPriority w:val="99"/>
    <w:qFormat/>
    <w:pPr>
      <w:spacing w:after="0" w:line="240" w:lineRule="auto"/>
    </w:pPr>
    <w:tblPr/>
  </w:style>
  <w:style w:type="table" w:styleId="999">
    <w:name w:val="List Table 1 Light - Accent 1"/>
    <w:next w:val="999"/>
    <w:link w:val="883"/>
    <w:uiPriority w:val="99"/>
    <w:qFormat/>
    <w:pPr>
      <w:spacing w:after="0" w:line="240" w:lineRule="auto"/>
    </w:pPr>
    <w:tblPr/>
  </w:style>
  <w:style w:type="table" w:styleId="1000">
    <w:name w:val="List Table 1 Light - Accent 2"/>
    <w:next w:val="1000"/>
    <w:link w:val="883"/>
    <w:uiPriority w:val="99"/>
    <w:qFormat/>
    <w:pPr>
      <w:spacing w:after="0" w:line="240" w:lineRule="auto"/>
    </w:pPr>
    <w:tblPr/>
  </w:style>
  <w:style w:type="table" w:styleId="1001">
    <w:name w:val="List Table 1 Light - Accent 3"/>
    <w:next w:val="1001"/>
    <w:link w:val="883"/>
    <w:uiPriority w:val="99"/>
    <w:qFormat/>
    <w:pPr>
      <w:spacing w:after="0" w:line="240" w:lineRule="auto"/>
    </w:pPr>
    <w:tblPr/>
  </w:style>
  <w:style w:type="table" w:styleId="1002">
    <w:name w:val="List Table 1 Light - Accent 4"/>
    <w:next w:val="1002"/>
    <w:link w:val="883"/>
    <w:uiPriority w:val="99"/>
    <w:qFormat/>
    <w:pPr>
      <w:spacing w:after="0" w:line="240" w:lineRule="auto"/>
    </w:pPr>
    <w:tblPr/>
  </w:style>
  <w:style w:type="table" w:styleId="1003">
    <w:name w:val="List Table 1 Light - Accent 5"/>
    <w:next w:val="1003"/>
    <w:link w:val="883"/>
    <w:uiPriority w:val="99"/>
    <w:qFormat/>
    <w:pPr>
      <w:spacing w:after="0" w:line="240" w:lineRule="auto"/>
    </w:pPr>
    <w:tblPr/>
  </w:style>
  <w:style w:type="table" w:styleId="1004">
    <w:name w:val="List Table 1 Light - Accent 6"/>
    <w:next w:val="1004"/>
    <w:link w:val="883"/>
    <w:uiPriority w:val="99"/>
    <w:qFormat/>
    <w:pPr>
      <w:spacing w:after="0" w:line="240" w:lineRule="auto"/>
    </w:pPr>
    <w:tblPr/>
  </w:style>
  <w:style w:type="table" w:styleId="1005">
    <w:name w:val="List Table 2"/>
    <w:next w:val="1005"/>
    <w:link w:val="883"/>
    <w:uiPriority w:val="99"/>
    <w:qFormat/>
    <w:pPr>
      <w:spacing w:after="0" w:line="240" w:lineRule="auto"/>
    </w:pPr>
    <w:tblPr/>
  </w:style>
  <w:style w:type="table" w:styleId="1006">
    <w:name w:val="List Table 2 - Accent 1"/>
    <w:next w:val="1006"/>
    <w:link w:val="883"/>
    <w:uiPriority w:val="99"/>
    <w:qFormat/>
    <w:pPr>
      <w:spacing w:after="0" w:line="240" w:lineRule="auto"/>
    </w:pPr>
    <w:tblPr/>
  </w:style>
  <w:style w:type="table" w:styleId="1007">
    <w:name w:val="List Table 2 - Accent 2"/>
    <w:next w:val="1007"/>
    <w:link w:val="883"/>
    <w:uiPriority w:val="99"/>
    <w:qFormat/>
    <w:pPr>
      <w:spacing w:after="0" w:line="240" w:lineRule="auto"/>
    </w:pPr>
    <w:tblPr/>
  </w:style>
  <w:style w:type="table" w:styleId="1008">
    <w:name w:val="List Table 2 - Accent 3"/>
    <w:next w:val="1008"/>
    <w:link w:val="883"/>
    <w:uiPriority w:val="99"/>
    <w:qFormat/>
    <w:pPr>
      <w:spacing w:after="0" w:line="240" w:lineRule="auto"/>
    </w:pPr>
    <w:tblPr/>
  </w:style>
  <w:style w:type="table" w:styleId="1009">
    <w:name w:val="List Table 2 - Accent 4"/>
    <w:next w:val="1009"/>
    <w:link w:val="883"/>
    <w:uiPriority w:val="99"/>
    <w:qFormat/>
    <w:pPr>
      <w:spacing w:after="0" w:line="240" w:lineRule="auto"/>
    </w:pPr>
    <w:tblPr/>
  </w:style>
  <w:style w:type="table" w:styleId="1010">
    <w:name w:val="List Table 2 - Accent 5"/>
    <w:next w:val="1010"/>
    <w:link w:val="883"/>
    <w:uiPriority w:val="99"/>
    <w:qFormat/>
    <w:pPr>
      <w:spacing w:after="0" w:line="240" w:lineRule="auto"/>
    </w:pPr>
    <w:tblPr/>
  </w:style>
  <w:style w:type="table" w:styleId="1011">
    <w:name w:val="List Table 2 - Accent 6"/>
    <w:next w:val="1011"/>
    <w:link w:val="883"/>
    <w:uiPriority w:val="99"/>
    <w:qFormat/>
    <w:pPr>
      <w:spacing w:after="0" w:line="240" w:lineRule="auto"/>
    </w:pPr>
    <w:tblPr/>
  </w:style>
  <w:style w:type="table" w:styleId="1012">
    <w:name w:val="List Table 3"/>
    <w:next w:val="1012"/>
    <w:link w:val="883"/>
    <w:uiPriority w:val="99"/>
    <w:qFormat/>
    <w:pPr>
      <w:spacing w:after="0" w:line="240" w:lineRule="auto"/>
    </w:pPr>
    <w:tblPr/>
  </w:style>
  <w:style w:type="table" w:styleId="1013">
    <w:name w:val="List Table 3 - Accent 1"/>
    <w:next w:val="1013"/>
    <w:link w:val="883"/>
    <w:uiPriority w:val="99"/>
    <w:qFormat/>
    <w:pPr>
      <w:spacing w:after="0" w:line="240" w:lineRule="auto"/>
    </w:pPr>
    <w:tblPr/>
  </w:style>
  <w:style w:type="table" w:styleId="1014">
    <w:name w:val="List Table 3 - Accent 2"/>
    <w:next w:val="1014"/>
    <w:link w:val="883"/>
    <w:uiPriority w:val="99"/>
    <w:qFormat/>
    <w:pPr>
      <w:spacing w:after="0" w:line="240" w:lineRule="auto"/>
    </w:pPr>
    <w:tblPr/>
  </w:style>
  <w:style w:type="table" w:styleId="1015">
    <w:name w:val="List Table 3 - Accent 3"/>
    <w:next w:val="1015"/>
    <w:link w:val="883"/>
    <w:uiPriority w:val="99"/>
    <w:qFormat/>
    <w:pPr>
      <w:spacing w:after="0" w:line="240" w:lineRule="auto"/>
    </w:pPr>
    <w:tblPr/>
  </w:style>
  <w:style w:type="table" w:styleId="1016">
    <w:name w:val="List Table 3 - Accent 4"/>
    <w:next w:val="1016"/>
    <w:link w:val="883"/>
    <w:uiPriority w:val="99"/>
    <w:qFormat/>
    <w:pPr>
      <w:spacing w:after="0" w:line="240" w:lineRule="auto"/>
    </w:pPr>
    <w:tblPr/>
  </w:style>
  <w:style w:type="table" w:styleId="1017">
    <w:name w:val="List Table 3 - Accent 5"/>
    <w:next w:val="1017"/>
    <w:link w:val="883"/>
    <w:uiPriority w:val="99"/>
    <w:qFormat/>
    <w:pPr>
      <w:spacing w:after="0" w:line="240" w:lineRule="auto"/>
    </w:pPr>
    <w:tblPr/>
  </w:style>
  <w:style w:type="table" w:styleId="1018">
    <w:name w:val="List Table 3 - Accent 6"/>
    <w:next w:val="1018"/>
    <w:link w:val="883"/>
    <w:uiPriority w:val="99"/>
    <w:qFormat/>
    <w:pPr>
      <w:spacing w:after="0" w:line="240" w:lineRule="auto"/>
    </w:pPr>
    <w:tblPr/>
  </w:style>
  <w:style w:type="table" w:styleId="1019">
    <w:name w:val="List Table 4"/>
    <w:next w:val="1019"/>
    <w:link w:val="883"/>
    <w:uiPriority w:val="99"/>
    <w:qFormat/>
    <w:pPr>
      <w:spacing w:after="0" w:line="240" w:lineRule="auto"/>
    </w:pPr>
    <w:tblPr/>
  </w:style>
  <w:style w:type="table" w:styleId="1020">
    <w:name w:val="List Table 4 - Accent 1"/>
    <w:next w:val="1020"/>
    <w:link w:val="883"/>
    <w:uiPriority w:val="99"/>
    <w:qFormat/>
    <w:pPr>
      <w:spacing w:after="0" w:line="240" w:lineRule="auto"/>
    </w:pPr>
    <w:tblPr/>
  </w:style>
  <w:style w:type="table" w:styleId="1021">
    <w:name w:val="List Table 4 - Accent 2"/>
    <w:next w:val="1021"/>
    <w:link w:val="883"/>
    <w:uiPriority w:val="99"/>
    <w:qFormat/>
    <w:pPr>
      <w:spacing w:after="0" w:line="240" w:lineRule="auto"/>
    </w:pPr>
    <w:tblPr/>
  </w:style>
  <w:style w:type="table" w:styleId="1022">
    <w:name w:val="List Table 4 - Accent 3"/>
    <w:next w:val="1022"/>
    <w:link w:val="883"/>
    <w:uiPriority w:val="99"/>
    <w:qFormat/>
    <w:pPr>
      <w:spacing w:after="0" w:line="240" w:lineRule="auto"/>
    </w:pPr>
    <w:tblPr/>
  </w:style>
  <w:style w:type="table" w:styleId="1023">
    <w:name w:val="List Table 4 - Accent 4"/>
    <w:next w:val="1023"/>
    <w:link w:val="883"/>
    <w:uiPriority w:val="99"/>
    <w:qFormat/>
    <w:pPr>
      <w:spacing w:after="0" w:line="240" w:lineRule="auto"/>
    </w:pPr>
    <w:tblPr/>
  </w:style>
  <w:style w:type="table" w:styleId="1024">
    <w:name w:val="List Table 4 - Accent 5"/>
    <w:next w:val="1024"/>
    <w:link w:val="883"/>
    <w:uiPriority w:val="99"/>
    <w:qFormat/>
    <w:pPr>
      <w:spacing w:after="0" w:line="240" w:lineRule="auto"/>
    </w:pPr>
    <w:tblPr/>
  </w:style>
  <w:style w:type="table" w:styleId="1025">
    <w:name w:val="List Table 4 - Accent 6"/>
    <w:next w:val="1025"/>
    <w:link w:val="883"/>
    <w:uiPriority w:val="99"/>
    <w:qFormat/>
    <w:pPr>
      <w:spacing w:after="0" w:line="240" w:lineRule="auto"/>
    </w:pPr>
    <w:tblPr/>
  </w:style>
  <w:style w:type="table" w:styleId="1026">
    <w:name w:val="List Table 5 Dark"/>
    <w:next w:val="1026"/>
    <w:link w:val="883"/>
    <w:uiPriority w:val="99"/>
    <w:qFormat/>
    <w:pPr>
      <w:spacing w:after="0" w:line="240" w:lineRule="auto"/>
    </w:pPr>
    <w:tblPr/>
  </w:style>
  <w:style w:type="table" w:styleId="1027">
    <w:name w:val="List Table 5 Dark - Accent 1"/>
    <w:next w:val="1027"/>
    <w:link w:val="883"/>
    <w:uiPriority w:val="99"/>
    <w:qFormat/>
    <w:pPr>
      <w:spacing w:after="0" w:line="240" w:lineRule="auto"/>
    </w:pPr>
    <w:tblPr/>
  </w:style>
  <w:style w:type="table" w:styleId="1028">
    <w:name w:val="List Table 5 Dark - Accent 2"/>
    <w:next w:val="1028"/>
    <w:link w:val="883"/>
    <w:uiPriority w:val="99"/>
    <w:qFormat/>
    <w:pPr>
      <w:spacing w:after="0" w:line="240" w:lineRule="auto"/>
    </w:pPr>
    <w:tblPr/>
  </w:style>
  <w:style w:type="table" w:styleId="1029">
    <w:name w:val="List Table 5 Dark - Accent 3"/>
    <w:next w:val="1029"/>
    <w:link w:val="883"/>
    <w:uiPriority w:val="99"/>
    <w:qFormat/>
    <w:pPr>
      <w:spacing w:after="0" w:line="240" w:lineRule="auto"/>
    </w:pPr>
    <w:tblPr/>
  </w:style>
  <w:style w:type="table" w:styleId="1030">
    <w:name w:val="List Table 5 Dark - Accent 4"/>
    <w:next w:val="1030"/>
    <w:link w:val="883"/>
    <w:uiPriority w:val="99"/>
    <w:qFormat/>
    <w:pPr>
      <w:spacing w:after="0" w:line="240" w:lineRule="auto"/>
    </w:pPr>
    <w:tblPr/>
  </w:style>
  <w:style w:type="table" w:styleId="1031">
    <w:name w:val="List Table 5 Dark - Accent 5"/>
    <w:next w:val="1031"/>
    <w:link w:val="883"/>
    <w:uiPriority w:val="99"/>
    <w:qFormat/>
    <w:pPr>
      <w:spacing w:after="0" w:line="240" w:lineRule="auto"/>
    </w:pPr>
    <w:tblPr/>
  </w:style>
  <w:style w:type="table" w:styleId="1032">
    <w:name w:val="List Table 5 Dark - Accent 6"/>
    <w:next w:val="1032"/>
    <w:link w:val="883"/>
    <w:uiPriority w:val="99"/>
    <w:qFormat/>
    <w:pPr>
      <w:spacing w:after="0" w:line="240" w:lineRule="auto"/>
    </w:pPr>
    <w:tblPr/>
  </w:style>
  <w:style w:type="table" w:styleId="1033">
    <w:name w:val="List Table 6 Colorful"/>
    <w:next w:val="1033"/>
    <w:link w:val="883"/>
    <w:uiPriority w:val="99"/>
    <w:qFormat/>
    <w:pPr>
      <w:spacing w:after="0" w:line="240" w:lineRule="auto"/>
    </w:pPr>
    <w:tblPr/>
  </w:style>
  <w:style w:type="table" w:styleId="1034">
    <w:name w:val="List Table 6 Colorful - Accent 1"/>
    <w:next w:val="1034"/>
    <w:link w:val="883"/>
    <w:uiPriority w:val="99"/>
    <w:qFormat/>
    <w:pPr>
      <w:spacing w:after="0" w:line="240" w:lineRule="auto"/>
    </w:pPr>
    <w:tblPr/>
  </w:style>
  <w:style w:type="table" w:styleId="1035">
    <w:name w:val="List Table 6 Colorful - Accent 2"/>
    <w:next w:val="1035"/>
    <w:link w:val="883"/>
    <w:uiPriority w:val="99"/>
    <w:qFormat/>
    <w:pPr>
      <w:spacing w:after="0" w:line="240" w:lineRule="auto"/>
    </w:pPr>
    <w:tblPr/>
  </w:style>
  <w:style w:type="table" w:styleId="1036">
    <w:name w:val="List Table 6 Colorful - Accent 3"/>
    <w:next w:val="1036"/>
    <w:link w:val="883"/>
    <w:uiPriority w:val="99"/>
    <w:qFormat/>
    <w:pPr>
      <w:spacing w:after="0" w:line="240" w:lineRule="auto"/>
    </w:pPr>
    <w:tblPr/>
  </w:style>
  <w:style w:type="table" w:styleId="1037">
    <w:name w:val="List Table 6 Colorful - Accent 4"/>
    <w:next w:val="1037"/>
    <w:link w:val="883"/>
    <w:uiPriority w:val="99"/>
    <w:qFormat/>
    <w:pPr>
      <w:spacing w:after="0" w:line="240" w:lineRule="auto"/>
    </w:pPr>
    <w:tblPr/>
  </w:style>
  <w:style w:type="table" w:styleId="1038">
    <w:name w:val="List Table 6 Colorful - Accent 5"/>
    <w:next w:val="1038"/>
    <w:link w:val="883"/>
    <w:uiPriority w:val="99"/>
    <w:qFormat/>
    <w:pPr>
      <w:spacing w:after="0" w:line="240" w:lineRule="auto"/>
    </w:pPr>
    <w:tblPr/>
  </w:style>
  <w:style w:type="table" w:styleId="1039">
    <w:name w:val="List Table 6 Colorful - Accent 6"/>
    <w:next w:val="1039"/>
    <w:link w:val="883"/>
    <w:uiPriority w:val="99"/>
    <w:qFormat/>
    <w:pPr>
      <w:spacing w:after="0" w:line="240" w:lineRule="auto"/>
    </w:pPr>
    <w:tblPr/>
  </w:style>
  <w:style w:type="table" w:styleId="1040">
    <w:name w:val="List Table 7 Colorful"/>
    <w:next w:val="1040"/>
    <w:link w:val="883"/>
    <w:uiPriority w:val="99"/>
    <w:qFormat/>
    <w:pPr>
      <w:spacing w:after="0" w:line="240" w:lineRule="auto"/>
    </w:pPr>
    <w:tblPr/>
  </w:style>
  <w:style w:type="table" w:styleId="1041">
    <w:name w:val="List Table 7 Colorful - Accent 1"/>
    <w:next w:val="1041"/>
    <w:link w:val="883"/>
    <w:uiPriority w:val="99"/>
    <w:qFormat/>
    <w:pPr>
      <w:spacing w:after="0" w:line="240" w:lineRule="auto"/>
    </w:pPr>
    <w:tblPr/>
  </w:style>
  <w:style w:type="table" w:styleId="1042">
    <w:name w:val="List Table 7 Colorful - Accent 2"/>
    <w:next w:val="1042"/>
    <w:link w:val="883"/>
    <w:uiPriority w:val="99"/>
    <w:qFormat/>
    <w:pPr>
      <w:spacing w:after="0" w:line="240" w:lineRule="auto"/>
    </w:pPr>
    <w:tblPr/>
  </w:style>
  <w:style w:type="table" w:styleId="1043">
    <w:name w:val="List Table 7 Colorful - Accent 3"/>
    <w:next w:val="1043"/>
    <w:link w:val="883"/>
    <w:uiPriority w:val="99"/>
    <w:qFormat/>
    <w:pPr>
      <w:spacing w:after="0" w:line="240" w:lineRule="auto"/>
    </w:pPr>
    <w:tblPr/>
  </w:style>
  <w:style w:type="table" w:styleId="1044">
    <w:name w:val="List Table 7 Colorful - Accent 4"/>
    <w:next w:val="1044"/>
    <w:link w:val="883"/>
    <w:uiPriority w:val="99"/>
    <w:qFormat/>
    <w:pPr>
      <w:spacing w:after="0" w:line="240" w:lineRule="auto"/>
    </w:pPr>
    <w:tblPr/>
  </w:style>
  <w:style w:type="table" w:styleId="1045">
    <w:name w:val="List Table 7 Colorful - Accent 5"/>
    <w:next w:val="1045"/>
    <w:link w:val="883"/>
    <w:uiPriority w:val="99"/>
    <w:qFormat/>
    <w:pPr>
      <w:spacing w:after="0" w:line="240" w:lineRule="auto"/>
    </w:pPr>
    <w:tblPr/>
  </w:style>
  <w:style w:type="table" w:styleId="1046">
    <w:name w:val="List Table 7 Colorful - Accent 6"/>
    <w:next w:val="1046"/>
    <w:link w:val="883"/>
    <w:uiPriority w:val="99"/>
    <w:qFormat/>
    <w:pPr>
      <w:spacing w:after="0" w:line="240" w:lineRule="auto"/>
    </w:pPr>
    <w:tblPr/>
  </w:style>
  <w:style w:type="table" w:styleId="1047">
    <w:name w:val="Lined - Accent"/>
    <w:next w:val="1047"/>
    <w:link w:val="883"/>
    <w:uiPriority w:val="99"/>
    <w:qFormat/>
    <w:pPr>
      <w:spacing w:after="0" w:line="240" w:lineRule="auto"/>
    </w:pPr>
    <w:rPr>
      <w:color w:val="404040"/>
    </w:rPr>
    <w:tblPr/>
  </w:style>
  <w:style w:type="table" w:styleId="1048">
    <w:name w:val="Lined - Accent 1"/>
    <w:next w:val="1048"/>
    <w:link w:val="883"/>
    <w:uiPriority w:val="99"/>
    <w:qFormat/>
    <w:pPr>
      <w:spacing w:after="0" w:line="240" w:lineRule="auto"/>
    </w:pPr>
    <w:rPr>
      <w:color w:val="404040"/>
    </w:rPr>
    <w:tblPr/>
  </w:style>
  <w:style w:type="table" w:styleId="1049">
    <w:name w:val="Lined - Accent 2"/>
    <w:next w:val="1049"/>
    <w:link w:val="883"/>
    <w:uiPriority w:val="99"/>
    <w:qFormat/>
    <w:pPr>
      <w:spacing w:after="0" w:line="240" w:lineRule="auto"/>
    </w:pPr>
    <w:rPr>
      <w:color w:val="404040"/>
    </w:rPr>
    <w:tblPr/>
  </w:style>
  <w:style w:type="table" w:styleId="1050">
    <w:name w:val="Lined - Accent 3"/>
    <w:next w:val="1050"/>
    <w:link w:val="883"/>
    <w:uiPriority w:val="99"/>
    <w:qFormat/>
    <w:pPr>
      <w:spacing w:after="0" w:line="240" w:lineRule="auto"/>
    </w:pPr>
    <w:rPr>
      <w:color w:val="404040"/>
    </w:rPr>
    <w:tblPr/>
  </w:style>
  <w:style w:type="table" w:styleId="1051">
    <w:name w:val="Lined - Accent 4"/>
    <w:next w:val="1051"/>
    <w:link w:val="883"/>
    <w:uiPriority w:val="99"/>
    <w:qFormat/>
    <w:pPr>
      <w:spacing w:after="0" w:line="240" w:lineRule="auto"/>
    </w:pPr>
    <w:rPr>
      <w:color w:val="404040"/>
    </w:rPr>
    <w:tblPr/>
  </w:style>
  <w:style w:type="table" w:styleId="1052">
    <w:name w:val="Lined - Accent 5"/>
    <w:next w:val="1052"/>
    <w:link w:val="883"/>
    <w:uiPriority w:val="99"/>
    <w:qFormat/>
    <w:pPr>
      <w:spacing w:after="0" w:line="240" w:lineRule="auto"/>
    </w:pPr>
    <w:rPr>
      <w:color w:val="404040"/>
    </w:rPr>
    <w:tblPr/>
  </w:style>
  <w:style w:type="table" w:styleId="1053">
    <w:name w:val="Lined - Accent 6"/>
    <w:next w:val="1053"/>
    <w:link w:val="883"/>
    <w:uiPriority w:val="99"/>
    <w:qFormat/>
    <w:pPr>
      <w:spacing w:after="0" w:line="240" w:lineRule="auto"/>
    </w:pPr>
    <w:rPr>
      <w:color w:val="404040"/>
    </w:rPr>
    <w:tblPr/>
  </w:style>
  <w:style w:type="table" w:styleId="1054">
    <w:name w:val="Bordered &amp; Lined - Accent"/>
    <w:next w:val="1054"/>
    <w:link w:val="883"/>
    <w:uiPriority w:val="99"/>
    <w:qFormat/>
    <w:pPr>
      <w:spacing w:after="0" w:line="240" w:lineRule="auto"/>
    </w:pPr>
    <w:rPr>
      <w:color w:val="404040"/>
    </w:rPr>
    <w:tblPr/>
  </w:style>
  <w:style w:type="table" w:styleId="1055">
    <w:name w:val="Bordered &amp; Lined - Accent 1"/>
    <w:next w:val="1055"/>
    <w:link w:val="883"/>
    <w:uiPriority w:val="99"/>
    <w:qFormat/>
    <w:pPr>
      <w:spacing w:after="0" w:line="240" w:lineRule="auto"/>
    </w:pPr>
    <w:rPr>
      <w:color w:val="404040"/>
    </w:rPr>
    <w:tblPr/>
  </w:style>
  <w:style w:type="table" w:styleId="1056">
    <w:name w:val="Bordered &amp; Lined - Accent 2"/>
    <w:next w:val="1056"/>
    <w:link w:val="883"/>
    <w:uiPriority w:val="99"/>
    <w:qFormat/>
    <w:pPr>
      <w:spacing w:after="0" w:line="240" w:lineRule="auto"/>
    </w:pPr>
    <w:rPr>
      <w:color w:val="404040"/>
    </w:rPr>
    <w:tblPr/>
  </w:style>
  <w:style w:type="table" w:styleId="1057">
    <w:name w:val="Bordered &amp; Lined - Accent 3"/>
    <w:next w:val="1057"/>
    <w:link w:val="883"/>
    <w:uiPriority w:val="99"/>
    <w:qFormat/>
    <w:pPr>
      <w:spacing w:after="0" w:line="240" w:lineRule="auto"/>
    </w:pPr>
    <w:rPr>
      <w:color w:val="404040"/>
    </w:rPr>
    <w:tblPr/>
  </w:style>
  <w:style w:type="table" w:styleId="1058">
    <w:name w:val="Bordered &amp; Lined - Accent 4"/>
    <w:next w:val="1058"/>
    <w:link w:val="883"/>
    <w:uiPriority w:val="99"/>
    <w:qFormat/>
    <w:pPr>
      <w:spacing w:after="0" w:line="240" w:lineRule="auto"/>
    </w:pPr>
    <w:rPr>
      <w:color w:val="404040"/>
    </w:rPr>
    <w:tblPr/>
  </w:style>
  <w:style w:type="table" w:styleId="1059">
    <w:name w:val="Bordered &amp; Lined - Accent 5"/>
    <w:next w:val="1059"/>
    <w:link w:val="883"/>
    <w:uiPriority w:val="99"/>
    <w:qFormat/>
    <w:pPr>
      <w:spacing w:after="0" w:line="240" w:lineRule="auto"/>
    </w:pPr>
    <w:rPr>
      <w:color w:val="404040"/>
    </w:rPr>
    <w:tblPr/>
  </w:style>
  <w:style w:type="table" w:styleId="1060">
    <w:name w:val="Bordered &amp; Lined - Accent 6"/>
    <w:next w:val="1060"/>
    <w:link w:val="883"/>
    <w:uiPriority w:val="99"/>
    <w:qFormat/>
    <w:pPr>
      <w:spacing w:after="0" w:line="240" w:lineRule="auto"/>
    </w:pPr>
    <w:rPr>
      <w:color w:val="404040"/>
    </w:rPr>
    <w:tblPr/>
  </w:style>
  <w:style w:type="table" w:styleId="1061">
    <w:name w:val="Bordered"/>
    <w:next w:val="1061"/>
    <w:link w:val="883"/>
    <w:uiPriority w:val="99"/>
    <w:qFormat/>
    <w:pPr>
      <w:spacing w:after="0" w:line="240" w:lineRule="auto"/>
    </w:pPr>
    <w:tblPr/>
  </w:style>
  <w:style w:type="table" w:styleId="1062">
    <w:name w:val="Bordered - Accent 1"/>
    <w:next w:val="1062"/>
    <w:link w:val="883"/>
    <w:uiPriority w:val="99"/>
    <w:qFormat/>
    <w:pPr>
      <w:spacing w:after="0" w:line="240" w:lineRule="auto"/>
    </w:pPr>
    <w:tblPr/>
  </w:style>
  <w:style w:type="table" w:styleId="1063">
    <w:name w:val="Bordered - Accent 2"/>
    <w:next w:val="1063"/>
    <w:link w:val="883"/>
    <w:uiPriority w:val="99"/>
    <w:qFormat/>
    <w:pPr>
      <w:spacing w:after="0" w:line="240" w:lineRule="auto"/>
    </w:pPr>
    <w:tblPr/>
  </w:style>
  <w:style w:type="table" w:styleId="1064">
    <w:name w:val="Bordered - Accent 3"/>
    <w:next w:val="1064"/>
    <w:link w:val="883"/>
    <w:uiPriority w:val="99"/>
    <w:qFormat/>
    <w:pPr>
      <w:spacing w:after="0" w:line="240" w:lineRule="auto"/>
    </w:pPr>
    <w:tblPr/>
  </w:style>
  <w:style w:type="table" w:styleId="1065">
    <w:name w:val="Bordered - Accent 4"/>
    <w:next w:val="1065"/>
    <w:link w:val="883"/>
    <w:uiPriority w:val="99"/>
    <w:qFormat/>
    <w:pPr>
      <w:spacing w:after="0" w:line="240" w:lineRule="auto"/>
    </w:pPr>
    <w:tblPr/>
  </w:style>
  <w:style w:type="table" w:styleId="1066">
    <w:name w:val="Bordered - Accent 5"/>
    <w:next w:val="1066"/>
    <w:link w:val="883"/>
    <w:uiPriority w:val="99"/>
    <w:qFormat/>
    <w:pPr>
      <w:spacing w:after="0" w:line="240" w:lineRule="auto"/>
    </w:pPr>
    <w:tblPr/>
  </w:style>
  <w:style w:type="table" w:styleId="1067">
    <w:name w:val="Bordered - Accent 6"/>
    <w:next w:val="1067"/>
    <w:link w:val="883"/>
    <w:uiPriority w:val="99"/>
    <w:qFormat/>
    <w:pPr>
      <w:spacing w:after="0" w:line="240" w:lineRule="auto"/>
    </w:pPr>
    <w:tblPr/>
  </w:style>
  <w:style w:type="paragraph" w:styleId="1068">
    <w:name w:val="TOC Heading"/>
    <w:next w:val="1068"/>
    <w:link w:val="883"/>
    <w:uiPriority w:val="39"/>
    <w:unhideWhenUsed/>
    <w:qFormat/>
    <w:rPr>
      <w:rFonts w:ascii="Times New Roman" w:hAnsi="Times New Roman" w:eastAsia="宋体" w:cs="Times New Roman"/>
    </w:rPr>
  </w:style>
  <w:style w:type="paragraph" w:styleId="1069">
    <w:name w:val="标题 11"/>
    <w:basedOn w:val="883"/>
    <w:next w:val="883"/>
    <w:link w:val="1070"/>
    <w:qFormat/>
    <w:pPr>
      <w:keepNext/>
      <w:outlineLvl w:val="0"/>
    </w:pPr>
    <w:rPr>
      <w:rFonts w:ascii="楷体_GB2312" w:eastAsia="楷体_GB2312"/>
      <w:sz w:val="28"/>
      <w:szCs w:val="20"/>
    </w:rPr>
  </w:style>
  <w:style w:type="character" w:styleId="1070">
    <w:name w:val="标题 1 Char"/>
    <w:next w:val="1070"/>
    <w:link w:val="1069"/>
    <w:qFormat/>
    <w:rPr>
      <w:rFonts w:ascii="楷体_GB2312" w:eastAsia="楷体_GB2312"/>
      <w:sz w:val="28"/>
      <w:lang w:val="en-US" w:eastAsia="zh-CN" w:bidi="ar-SA"/>
    </w:rPr>
  </w:style>
  <w:style w:type="paragraph" w:styleId="1071">
    <w:name w:val="标题 21"/>
    <w:basedOn w:val="883"/>
    <w:next w:val="1072"/>
    <w:link w:val="883"/>
    <w:qFormat/>
    <w:pPr>
      <w:jc w:val="center"/>
      <w:keepLines/>
      <w:keepNext/>
      <w:spacing w:before="260" w:after="260" w:line="416" w:lineRule="auto"/>
      <w:outlineLvl w:val="1"/>
    </w:pPr>
    <w:rPr>
      <w:rFonts w:ascii="Arial" w:hAnsi="Arial" w:eastAsia="幼圆"/>
      <w:b/>
      <w:sz w:val="44"/>
      <w:szCs w:val="20"/>
    </w:rPr>
  </w:style>
  <w:style w:type="paragraph" w:styleId="1072">
    <w:name w:val="正文缩进1"/>
    <w:basedOn w:val="883"/>
    <w:next w:val="1072"/>
    <w:link w:val="1073"/>
    <w:qFormat/>
    <w:pPr>
      <w:ind w:firstLine="420"/>
    </w:pPr>
    <w:rPr>
      <w:szCs w:val="20"/>
    </w:rPr>
  </w:style>
  <w:style w:type="character" w:styleId="1073">
    <w:name w:val="正文缩进 Char"/>
    <w:next w:val="1073"/>
    <w:link w:val="1072"/>
    <w:qFormat/>
    <w:rPr>
      <w:rFonts w:eastAsia="宋体"/>
      <w:sz w:val="21"/>
      <w:lang w:val="en-US" w:eastAsia="zh-CN" w:bidi="ar-SA"/>
    </w:rPr>
  </w:style>
  <w:style w:type="paragraph" w:styleId="1074">
    <w:name w:val="标题 31"/>
    <w:basedOn w:val="883"/>
    <w:next w:val="1072"/>
    <w:link w:val="883"/>
    <w:qFormat/>
    <w:pPr>
      <w:keepLines/>
      <w:keepNext/>
      <w:spacing w:before="260" w:after="260" w:line="416" w:lineRule="auto"/>
      <w:outlineLvl w:val="2"/>
    </w:pPr>
    <w:rPr>
      <w:b/>
      <w:sz w:val="32"/>
      <w:szCs w:val="20"/>
    </w:rPr>
  </w:style>
  <w:style w:type="paragraph" w:styleId="1075">
    <w:name w:val="标题 41"/>
    <w:basedOn w:val="883"/>
    <w:next w:val="883"/>
    <w:link w:val="883"/>
    <w:qFormat/>
    <w:pPr>
      <w:keepLines/>
      <w:keepNext/>
      <w:spacing w:before="280" w:after="290" w:line="376" w:lineRule="auto"/>
      <w:outlineLvl w:val="3"/>
    </w:pPr>
    <w:rPr>
      <w:rFonts w:ascii="Arial" w:hAnsi="Arial" w:eastAsia="黑体"/>
      <w:b/>
      <w:bCs/>
      <w:sz w:val="28"/>
      <w:szCs w:val="28"/>
    </w:rPr>
  </w:style>
  <w:style w:type="paragraph" w:styleId="1076">
    <w:name w:val="标题 51"/>
    <w:basedOn w:val="883"/>
    <w:next w:val="883"/>
    <w:link w:val="883"/>
    <w:qFormat/>
    <w:pPr>
      <w:keepNext/>
      <w:outlineLvl w:val="4"/>
    </w:pPr>
    <w:rPr>
      <w:rFonts w:ascii="宋体" w:hAnsi="宋体"/>
      <w:b/>
      <w:bCs/>
    </w:rPr>
  </w:style>
  <w:style w:type="character" w:styleId="1077">
    <w:name w:val="默认段落字体1"/>
    <w:next w:val="1077"/>
    <w:link w:val="883"/>
    <w:semiHidden/>
    <w:qFormat/>
  </w:style>
  <w:style w:type="table" w:styleId="1078">
    <w:name w:val="普通表格1"/>
    <w:next w:val="1078"/>
    <w:link w:val="883"/>
    <w:semiHidden/>
    <w:qFormat/>
    <w:tblPr/>
  </w:style>
  <w:style w:type="paragraph" w:styleId="1079">
    <w:name w:val="正文文本1"/>
    <w:basedOn w:val="883"/>
    <w:next w:val="883"/>
    <w:link w:val="883"/>
    <w:qFormat/>
    <w:rPr>
      <w:rFonts w:ascii="楷体_GB2312" w:hAnsi="Arial" w:eastAsia="楷体_GB2312"/>
      <w:sz w:val="28"/>
      <w:szCs w:val="20"/>
    </w:rPr>
  </w:style>
  <w:style w:type="paragraph" w:styleId="1080">
    <w:name w:val="目录 71"/>
    <w:basedOn w:val="883"/>
    <w:next w:val="883"/>
    <w:link w:val="883"/>
    <w:semiHidden/>
    <w:qFormat/>
    <w:pPr>
      <w:ind w:left="2520"/>
    </w:pPr>
  </w:style>
  <w:style w:type="paragraph" w:styleId="1081">
    <w:name w:val="文档结构图1"/>
    <w:basedOn w:val="883"/>
    <w:next w:val="1081"/>
    <w:link w:val="883"/>
    <w:semiHidden/>
    <w:qFormat/>
    <w:pPr>
      <w:shd w:val="clear" w:color="auto" w:fill="000080"/>
    </w:pPr>
  </w:style>
  <w:style w:type="paragraph" w:styleId="1082">
    <w:name w:val="批注文字1"/>
    <w:basedOn w:val="883"/>
    <w:next w:val="1082"/>
    <w:link w:val="1083"/>
    <w:qFormat/>
    <w:pPr>
      <w:jc w:val="left"/>
    </w:pPr>
  </w:style>
  <w:style w:type="character" w:styleId="1083">
    <w:name w:val="批注文字 Char"/>
    <w:next w:val="1083"/>
    <w:link w:val="1082"/>
    <w:qFormat/>
    <w:rPr>
      <w:sz w:val="21"/>
      <w:szCs w:val="24"/>
    </w:rPr>
  </w:style>
  <w:style w:type="paragraph" w:styleId="1084">
    <w:name w:val="正文文本 31"/>
    <w:basedOn w:val="883"/>
    <w:next w:val="1084"/>
    <w:link w:val="883"/>
    <w:qFormat/>
    <w:rPr>
      <w:rFonts w:ascii="仿宋_GB2312" w:hAnsi="Arial" w:eastAsia="仿宋_GB2312"/>
      <w:sz w:val="32"/>
      <w:szCs w:val="20"/>
    </w:rPr>
  </w:style>
  <w:style w:type="paragraph" w:styleId="1085">
    <w:name w:val="正文文本缩进1"/>
    <w:basedOn w:val="883"/>
    <w:next w:val="1085"/>
    <w:link w:val="883"/>
    <w:qFormat/>
    <w:pPr>
      <w:ind w:firstLine="645"/>
    </w:pPr>
    <w:rPr>
      <w:rFonts w:ascii="楷体_GB2312" w:eastAsia="楷体_GB2312"/>
      <w:sz w:val="32"/>
      <w:szCs w:val="20"/>
    </w:rPr>
  </w:style>
  <w:style w:type="paragraph" w:styleId="1086">
    <w:name w:val="文本块1"/>
    <w:basedOn w:val="883"/>
    <w:next w:val="1086"/>
    <w:link w:val="883"/>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87">
    <w:name w:val="目录 51"/>
    <w:basedOn w:val="883"/>
    <w:next w:val="883"/>
    <w:link w:val="883"/>
    <w:semiHidden/>
    <w:qFormat/>
    <w:pPr>
      <w:ind w:left="1680"/>
    </w:pPr>
  </w:style>
  <w:style w:type="paragraph" w:styleId="1088">
    <w:name w:val="目录 31"/>
    <w:basedOn w:val="883"/>
    <w:next w:val="883"/>
    <w:link w:val="883"/>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89">
    <w:name w:val="纯文本1"/>
    <w:basedOn w:val="883"/>
    <w:next w:val="1089"/>
    <w:link w:val="1090"/>
    <w:qFormat/>
    <w:rPr>
      <w:rFonts w:ascii="宋体" w:hAnsi="Courier New"/>
      <w:szCs w:val="20"/>
    </w:rPr>
  </w:style>
  <w:style w:type="character" w:styleId="1090">
    <w:name w:val="纯文本 Char"/>
    <w:next w:val="1090"/>
    <w:link w:val="1089"/>
    <w:qFormat/>
    <w:rPr>
      <w:rFonts w:ascii="宋体" w:hAnsi="Courier New"/>
      <w:sz w:val="21"/>
    </w:rPr>
  </w:style>
  <w:style w:type="paragraph" w:styleId="1091">
    <w:name w:val="目录 81"/>
    <w:basedOn w:val="883"/>
    <w:next w:val="883"/>
    <w:link w:val="883"/>
    <w:semiHidden/>
    <w:qFormat/>
    <w:pPr>
      <w:ind w:left="2940"/>
    </w:pPr>
  </w:style>
  <w:style w:type="paragraph" w:styleId="1092">
    <w:name w:val="日期1"/>
    <w:basedOn w:val="883"/>
    <w:next w:val="883"/>
    <w:link w:val="883"/>
    <w:qFormat/>
    <w:rPr>
      <w:sz w:val="24"/>
      <w:szCs w:val="20"/>
    </w:rPr>
  </w:style>
  <w:style w:type="paragraph" w:styleId="1093">
    <w:name w:val="正文文本缩进 21"/>
    <w:basedOn w:val="883"/>
    <w:next w:val="1093"/>
    <w:link w:val="883"/>
    <w:qFormat/>
    <w:pPr>
      <w:ind w:firstLine="560"/>
    </w:pPr>
    <w:rPr>
      <w:rFonts w:ascii="宋体" w:hAnsi="宋体"/>
      <w:sz w:val="28"/>
    </w:rPr>
  </w:style>
  <w:style w:type="paragraph" w:styleId="1094">
    <w:name w:val="批注框文本1"/>
    <w:basedOn w:val="883"/>
    <w:next w:val="1094"/>
    <w:link w:val="883"/>
    <w:semiHidden/>
    <w:qFormat/>
    <w:rPr>
      <w:sz w:val="18"/>
      <w:szCs w:val="18"/>
    </w:rPr>
  </w:style>
  <w:style w:type="paragraph" w:styleId="1095">
    <w:name w:val="页脚1"/>
    <w:basedOn w:val="883"/>
    <w:next w:val="1095"/>
    <w:link w:val="883"/>
    <w:qFormat/>
    <w:pPr>
      <w:jc w:val="left"/>
      <w:tabs>
        <w:tab w:val="center" w:pos="4153" w:leader="none"/>
        <w:tab w:val="right" w:pos="8306" w:leader="none"/>
      </w:tabs>
    </w:pPr>
    <w:rPr>
      <w:sz w:val="18"/>
      <w:szCs w:val="20"/>
    </w:rPr>
  </w:style>
  <w:style w:type="paragraph" w:styleId="1096">
    <w:name w:val="页眉1"/>
    <w:basedOn w:val="883"/>
    <w:next w:val="1096"/>
    <w:link w:val="883"/>
    <w:qFormat/>
    <w:pPr>
      <w:jc w:val="center"/>
      <w:tabs>
        <w:tab w:val="center" w:pos="4153" w:leader="none"/>
        <w:tab w:val="right" w:pos="8306" w:leader="none"/>
      </w:tabs>
      <w:pBdr>
        <w:bottom w:val="single" w:color="000000" w:sz="6" w:space="1"/>
      </w:pBdr>
    </w:pPr>
    <w:rPr>
      <w:sz w:val="18"/>
      <w:szCs w:val="18"/>
    </w:rPr>
  </w:style>
  <w:style w:type="paragraph" w:styleId="1097">
    <w:name w:val="目录 11"/>
    <w:basedOn w:val="883"/>
    <w:next w:val="883"/>
    <w:link w:val="883"/>
    <w:uiPriority w:val="39"/>
    <w:qFormat/>
    <w:pPr>
      <w:jc w:val="left"/>
      <w:spacing w:before="120" w:after="120" w:line="300" w:lineRule="exact"/>
      <w:tabs>
        <w:tab w:val="right" w:pos="9440" w:leader="dot"/>
      </w:tabs>
    </w:pPr>
    <w:rPr>
      <w:rFonts w:ascii="黑体" w:eastAsia="黑体"/>
      <w:b/>
      <w:caps/>
      <w:sz w:val="18"/>
      <w:szCs w:val="28"/>
    </w:rPr>
  </w:style>
  <w:style w:type="paragraph" w:styleId="1098">
    <w:name w:val="目录 41"/>
    <w:basedOn w:val="883"/>
    <w:next w:val="883"/>
    <w:link w:val="883"/>
    <w:semiHidden/>
    <w:qFormat/>
    <w:pPr>
      <w:ind w:left="1260"/>
    </w:pPr>
  </w:style>
  <w:style w:type="paragraph" w:styleId="1099">
    <w:name w:val="副标题1"/>
    <w:basedOn w:val="883"/>
    <w:next w:val="883"/>
    <w:link w:val="1100"/>
    <w:qFormat/>
    <w:pPr>
      <w:jc w:val="center"/>
      <w:spacing w:before="240" w:after="60" w:line="312" w:lineRule="auto"/>
      <w:outlineLvl w:val="1"/>
    </w:pPr>
    <w:rPr>
      <w:rFonts w:ascii="Cambria" w:hAnsi="Cambria"/>
      <w:b/>
      <w:bCs/>
      <w:sz w:val="32"/>
      <w:szCs w:val="32"/>
    </w:rPr>
  </w:style>
  <w:style w:type="character" w:styleId="1100">
    <w:name w:val="副标题 Char"/>
    <w:next w:val="1100"/>
    <w:link w:val="1099"/>
    <w:qFormat/>
    <w:rPr>
      <w:rFonts w:ascii="Cambria" w:hAnsi="Cambria"/>
      <w:b/>
      <w:bCs/>
      <w:sz w:val="32"/>
      <w:szCs w:val="32"/>
    </w:rPr>
  </w:style>
  <w:style w:type="paragraph" w:styleId="1101">
    <w:name w:val="目录 61"/>
    <w:basedOn w:val="883"/>
    <w:next w:val="883"/>
    <w:link w:val="883"/>
    <w:semiHidden/>
    <w:qFormat/>
    <w:pPr>
      <w:ind w:left="2100"/>
    </w:pPr>
  </w:style>
  <w:style w:type="paragraph" w:styleId="1102">
    <w:name w:val="正文文本缩进 31"/>
    <w:basedOn w:val="883"/>
    <w:next w:val="1102"/>
    <w:link w:val="883"/>
    <w:qFormat/>
    <w:pPr>
      <w:ind w:firstLine="523"/>
    </w:pPr>
    <w:rPr>
      <w:rFonts w:ascii="仿宋_GB2312" w:hAnsi="宋体" w:eastAsia="仿宋_GB2312"/>
      <w:sz w:val="24"/>
    </w:rPr>
  </w:style>
  <w:style w:type="paragraph" w:styleId="1103">
    <w:name w:val="目录 21"/>
    <w:basedOn w:val="883"/>
    <w:next w:val="883"/>
    <w:link w:val="883"/>
    <w:uiPriority w:val="39"/>
    <w:qFormat/>
    <w:pPr>
      <w:jc w:val="left"/>
      <w:spacing w:line="260" w:lineRule="exact"/>
      <w:tabs>
        <w:tab w:val="right" w:pos="9440" w:leader="dot"/>
      </w:tabs>
    </w:pPr>
    <w:rPr>
      <w:rFonts w:ascii="黑体" w:eastAsia="黑体"/>
      <w:b/>
      <w:bCs/>
      <w:smallCaps/>
      <w:sz w:val="18"/>
      <w:szCs w:val="44"/>
    </w:rPr>
  </w:style>
  <w:style w:type="paragraph" w:styleId="1104">
    <w:name w:val="目录 91"/>
    <w:basedOn w:val="883"/>
    <w:next w:val="883"/>
    <w:link w:val="883"/>
    <w:semiHidden/>
    <w:qFormat/>
    <w:pPr>
      <w:ind w:left="3360"/>
    </w:pPr>
  </w:style>
  <w:style w:type="paragraph" w:styleId="1105">
    <w:name w:val="正文文本 21"/>
    <w:basedOn w:val="883"/>
    <w:next w:val="1105"/>
    <w:link w:val="883"/>
    <w:qFormat/>
    <w:pPr>
      <w:jc w:val="center"/>
    </w:pPr>
    <w:rPr>
      <w:rFonts w:ascii="仿宋_GB2312" w:eastAsia="仿宋_GB2312"/>
      <w:sz w:val="44"/>
    </w:rPr>
  </w:style>
  <w:style w:type="paragraph" w:styleId="1106">
    <w:name w:val="HTML 预设格式1"/>
    <w:basedOn w:val="883"/>
    <w:next w:val="1106"/>
    <w:link w:val="11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07">
    <w:name w:val="HTML 预设格式 Char"/>
    <w:next w:val="1107"/>
    <w:link w:val="1106"/>
    <w:qFormat/>
    <w:rPr>
      <w:rFonts w:ascii="黑体" w:hAnsi="Courier New" w:eastAsia="黑体" w:cs="Courier New"/>
    </w:rPr>
  </w:style>
  <w:style w:type="paragraph" w:styleId="1108">
    <w:name w:val="普通(网站)1"/>
    <w:basedOn w:val="883"/>
    <w:next w:val="1108"/>
    <w:link w:val="883"/>
    <w:unhideWhenUsed/>
    <w:qFormat/>
    <w:pPr>
      <w:jc w:val="left"/>
      <w:spacing w:before="100" w:beforeAutospacing="1" w:after="100" w:afterAutospacing="1"/>
      <w:widowControl/>
    </w:pPr>
    <w:rPr>
      <w:rFonts w:ascii="宋体" w:hAnsi="宋体" w:cs="宋体"/>
      <w:sz w:val="24"/>
    </w:rPr>
  </w:style>
  <w:style w:type="paragraph" w:styleId="1109">
    <w:name w:val="索引 11"/>
    <w:basedOn w:val="883"/>
    <w:next w:val="883"/>
    <w:link w:val="883"/>
    <w:semiHidden/>
    <w:qFormat/>
    <w:rPr>
      <w:rFonts w:ascii="宋体" w:hAnsi="宋体"/>
      <w:szCs w:val="18"/>
    </w:rPr>
  </w:style>
  <w:style w:type="paragraph" w:styleId="1110">
    <w:name w:val="批注主题1"/>
    <w:basedOn w:val="1082"/>
    <w:next w:val="1082"/>
    <w:link w:val="1111"/>
    <w:qFormat/>
    <w:rPr>
      <w:b/>
      <w:bCs/>
    </w:rPr>
  </w:style>
  <w:style w:type="character" w:styleId="1111">
    <w:name w:val="批注主题 Char"/>
    <w:next w:val="1111"/>
    <w:link w:val="1110"/>
    <w:qFormat/>
    <w:rPr>
      <w:b/>
      <w:bCs/>
      <w:sz w:val="21"/>
      <w:szCs w:val="24"/>
    </w:rPr>
  </w:style>
  <w:style w:type="paragraph" w:styleId="1112">
    <w:name w:val="正文首行缩进1"/>
    <w:basedOn w:val="1079"/>
    <w:next w:val="883"/>
    <w:link w:val="883"/>
    <w:uiPriority w:val="99"/>
    <w:qFormat/>
    <w:pPr>
      <w:ind w:firstLine="420"/>
      <w:tabs>
        <w:tab w:val="left" w:pos="567" w:leader="none"/>
      </w:tabs>
    </w:pPr>
  </w:style>
  <w:style w:type="paragraph" w:styleId="1113">
    <w:name w:val="正文首行缩进 21"/>
    <w:basedOn w:val="1085"/>
    <w:next w:val="883"/>
    <w:link w:val="883"/>
    <w:qFormat/>
    <w:pPr>
      <w:ind w:firstLine="420"/>
    </w:pPr>
  </w:style>
  <w:style w:type="table" w:styleId="1114">
    <w:name w:val="网格型1"/>
    <w:basedOn w:val="1078"/>
    <w:next w:val="1114"/>
    <w:link w:val="883"/>
    <w:qFormat/>
    <w:pPr>
      <w:jc w:val="both"/>
      <w:widowControl w:val="off"/>
    </w:pPr>
    <w:tblPr/>
  </w:style>
  <w:style w:type="character" w:styleId="1115">
    <w:name w:val="要点1"/>
    <w:next w:val="1115"/>
    <w:link w:val="883"/>
    <w:qFormat/>
    <w:rPr>
      <w:b/>
      <w:bCs/>
    </w:rPr>
  </w:style>
  <w:style w:type="character" w:styleId="1116">
    <w:name w:val="页码1"/>
    <w:next w:val="1116"/>
    <w:link w:val="883"/>
    <w:qFormat/>
  </w:style>
  <w:style w:type="character" w:styleId="1117">
    <w:name w:val="已访问的超链接1"/>
    <w:next w:val="1117"/>
    <w:link w:val="883"/>
    <w:qFormat/>
    <w:rPr>
      <w:color w:val="800080"/>
      <w:u w:val="none"/>
    </w:rPr>
  </w:style>
  <w:style w:type="character" w:styleId="1118">
    <w:name w:val="HTML 定义1"/>
    <w:next w:val="1118"/>
    <w:link w:val="883"/>
    <w:qFormat/>
  </w:style>
  <w:style w:type="character" w:styleId="1119">
    <w:name w:val="HTML 打字机1"/>
    <w:next w:val="1119"/>
    <w:link w:val="883"/>
    <w:qFormat/>
    <w:rPr>
      <w:rFonts w:ascii="monospace" w:hAnsi="monospace" w:eastAsia="monospace" w:cs="monospace"/>
      <w:sz w:val="20"/>
    </w:rPr>
  </w:style>
  <w:style w:type="character" w:styleId="1120">
    <w:name w:val="HTML 缩写1"/>
    <w:next w:val="1120"/>
    <w:link w:val="883"/>
    <w:qFormat/>
  </w:style>
  <w:style w:type="character" w:styleId="1121">
    <w:name w:val="HTML 变量1"/>
    <w:next w:val="1121"/>
    <w:link w:val="883"/>
    <w:qFormat/>
  </w:style>
  <w:style w:type="character" w:styleId="1122">
    <w:name w:val="超链接1"/>
    <w:next w:val="1122"/>
    <w:link w:val="883"/>
    <w:uiPriority w:val="99"/>
    <w:qFormat/>
    <w:rPr>
      <w:color w:val="0000ff"/>
      <w:u w:val="none"/>
    </w:rPr>
  </w:style>
  <w:style w:type="character" w:styleId="1123">
    <w:name w:val="HTML 代码1"/>
    <w:next w:val="1123"/>
    <w:link w:val="883"/>
    <w:qFormat/>
    <w:rPr>
      <w:rFonts w:ascii="monospace" w:hAnsi="monospace" w:eastAsia="monospace" w:cs="monospace"/>
      <w:sz w:val="20"/>
    </w:rPr>
  </w:style>
  <w:style w:type="character" w:styleId="1124">
    <w:name w:val="批注引用1"/>
    <w:next w:val="1124"/>
    <w:link w:val="883"/>
    <w:uiPriority w:val="99"/>
    <w:qFormat/>
    <w:rPr>
      <w:sz w:val="21"/>
      <w:szCs w:val="21"/>
    </w:rPr>
  </w:style>
  <w:style w:type="character" w:styleId="1125">
    <w:name w:val="HTML 引文1"/>
    <w:next w:val="1125"/>
    <w:link w:val="883"/>
    <w:qFormat/>
  </w:style>
  <w:style w:type="character" w:styleId="1126">
    <w:name w:val="HTML 键盘1"/>
    <w:next w:val="1126"/>
    <w:link w:val="883"/>
    <w:qFormat/>
    <w:rPr>
      <w:rFonts w:ascii="monospace" w:hAnsi="monospace" w:eastAsia="monospace" w:cs="monospace"/>
      <w:sz w:val="20"/>
    </w:rPr>
  </w:style>
  <w:style w:type="character" w:styleId="1127">
    <w:name w:val="HTML 样本1"/>
    <w:next w:val="1127"/>
    <w:link w:val="883"/>
    <w:qFormat/>
    <w:rPr>
      <w:rFonts w:ascii="monospace" w:hAnsi="monospace" w:eastAsia="monospace" w:cs="monospace"/>
    </w:rPr>
  </w:style>
  <w:style w:type="character" w:styleId="1128">
    <w:name w:val="_正文段落 Char"/>
    <w:next w:val="1128"/>
    <w:link w:val="1129"/>
    <w:qFormat/>
    <w:rPr>
      <w:rFonts w:ascii="宋体" w:hAnsi="宋体"/>
      <w:sz w:val="24"/>
      <w:szCs w:val="24"/>
    </w:rPr>
  </w:style>
  <w:style w:type="paragraph" w:styleId="1129">
    <w:name w:val="_正文段落"/>
    <w:basedOn w:val="883"/>
    <w:next w:val="1129"/>
    <w:link w:val="1128"/>
    <w:qFormat/>
    <w:pPr>
      <w:ind w:firstLine="200"/>
      <w:spacing w:line="360" w:lineRule="auto"/>
    </w:pPr>
    <w:rPr>
      <w:rFonts w:ascii="宋体" w:hAnsi="宋体"/>
      <w:sz w:val="24"/>
    </w:rPr>
  </w:style>
  <w:style w:type="character" w:styleId="1130">
    <w:name w:val="标题2 Char"/>
    <w:next w:val="1130"/>
    <w:link w:val="883"/>
    <w:qFormat/>
    <w:rPr>
      <w:rFonts w:ascii="方正楷体_GBK" w:hAnsi="Book Antiqua" w:eastAsia="方正楷体_GBK"/>
      <w:sz w:val="32"/>
      <w:lang w:val="en-US" w:eastAsia="zh-CN" w:bidi="ar-SA"/>
    </w:rPr>
  </w:style>
  <w:style w:type="character" w:styleId="1131">
    <w:name w:val="正文-zy Char"/>
    <w:next w:val="1131"/>
    <w:link w:val="1132"/>
    <w:qFormat/>
    <w:rPr>
      <w:sz w:val="24"/>
    </w:rPr>
  </w:style>
  <w:style w:type="paragraph" w:styleId="1132">
    <w:name w:val="正文-zy"/>
    <w:basedOn w:val="883"/>
    <w:next w:val="1132"/>
    <w:link w:val="1131"/>
    <w:qFormat/>
    <w:pPr>
      <w:ind w:firstLine="480"/>
      <w:spacing w:line="360" w:lineRule="auto"/>
    </w:pPr>
    <w:rPr>
      <w:sz w:val="24"/>
      <w:szCs w:val="20"/>
    </w:rPr>
  </w:style>
  <w:style w:type="character" w:styleId="1133">
    <w:name w:val="纯文本 字符"/>
    <w:next w:val="1133"/>
    <w:link w:val="883"/>
    <w:qFormat/>
    <w:rPr>
      <w:rFonts w:ascii="宋体" w:hAnsi="Courier New" w:eastAsia="宋体"/>
      <w:sz w:val="21"/>
      <w:lang w:val="en-US" w:eastAsia="zh-CN" w:bidi="ar-SA"/>
    </w:rPr>
  </w:style>
  <w:style w:type="character" w:styleId="1134">
    <w:name w:val="二级标题2 Char"/>
    <w:next w:val="1134"/>
    <w:link w:val="1135"/>
    <w:qFormat/>
    <w:rPr>
      <w:rFonts w:ascii="华文中宋" w:hAnsi="华文中宋" w:eastAsia="华文中宋"/>
      <w:b/>
      <w:bCs/>
      <w:sz w:val="24"/>
      <w:szCs w:val="24"/>
    </w:rPr>
  </w:style>
  <w:style w:type="paragraph" w:styleId="1135">
    <w:name w:val="二级标题2"/>
    <w:basedOn w:val="1071"/>
    <w:next w:val="1079"/>
    <w:link w:val="1134"/>
    <w:qFormat/>
    <w:pPr>
      <w:jc w:val="both"/>
      <w:spacing w:before="0" w:after="0" w:line="360" w:lineRule="auto"/>
    </w:pPr>
    <w:rPr>
      <w:rFonts w:ascii="华文中宋" w:hAnsi="华文中宋" w:eastAsia="华文中宋"/>
      <w:bCs/>
      <w:sz w:val="24"/>
      <w:szCs w:val="24"/>
    </w:rPr>
  </w:style>
  <w:style w:type="character" w:styleId="1136">
    <w:name w:val="列出段落 Char"/>
    <w:next w:val="1136"/>
    <w:link w:val="1137"/>
    <w:uiPriority w:val="34"/>
    <w:qFormat/>
    <w:rPr>
      <w:rFonts w:ascii="Calibri" w:hAnsi="Calibri"/>
      <w:sz w:val="24"/>
      <w:szCs w:val="24"/>
      <w:lang w:eastAsia="en-US" w:bidi="en-US"/>
    </w:rPr>
  </w:style>
  <w:style w:type="paragraph" w:styleId="1137">
    <w:name w:val="列出段落1"/>
    <w:basedOn w:val="883"/>
    <w:next w:val="1137"/>
    <w:link w:val="1136"/>
    <w:uiPriority w:val="34"/>
    <w:qFormat/>
    <w:pPr>
      <w:contextualSpacing/>
      <w:ind w:left="720"/>
      <w:jc w:val="left"/>
      <w:widowControl/>
    </w:pPr>
    <w:rPr>
      <w:rFonts w:ascii="Calibri" w:hAnsi="Calibri"/>
      <w:sz w:val="24"/>
      <w:lang w:eastAsia="en-US" w:bidi="en-US"/>
    </w:rPr>
  </w:style>
  <w:style w:type="character" w:styleId="1138">
    <w:name w:val="纯文本 Char1"/>
    <w:next w:val="1138"/>
    <w:link w:val="883"/>
    <w:qFormat/>
    <w:rPr>
      <w:rFonts w:ascii="宋体" w:hAnsi="Courier New"/>
      <w:sz w:val="21"/>
    </w:rPr>
  </w:style>
  <w:style w:type="character" w:styleId="1139">
    <w:name w:val="Default Char"/>
    <w:next w:val="1139"/>
    <w:link w:val="1140"/>
    <w:uiPriority w:val="99"/>
    <w:qFormat/>
    <w:rPr>
      <w:rFonts w:ascii="MS Mincho" w:eastAsia="MS Mincho"/>
      <w:color w:val="000000"/>
      <w:sz w:val="24"/>
      <w:szCs w:val="24"/>
      <w:lang w:val="en-US" w:eastAsia="zh-CN" w:bidi="ar-SA"/>
    </w:rPr>
  </w:style>
  <w:style w:type="paragraph" w:styleId="1140">
    <w:name w:val="Default"/>
    <w:next w:val="1140"/>
    <w:link w:val="1139"/>
    <w:uiPriority w:val="99"/>
    <w:qFormat/>
    <w:pPr>
      <w:widowControl w:val="off"/>
    </w:pPr>
    <w:rPr>
      <w:rFonts w:ascii="MS Mincho" w:hAnsi="Times New Roman" w:eastAsia="MS Mincho" w:cs="Times New Roman"/>
      <w:color w:val="000000"/>
      <w:sz w:val="24"/>
      <w:szCs w:val="24"/>
      <w:lang w:val="en-US" w:eastAsia="zh-CN" w:bidi="ar-SA"/>
    </w:rPr>
  </w:style>
  <w:style w:type="paragraph" w:styleId="1141">
    <w:name w:val="附录1"/>
    <w:next w:val="1141"/>
    <w:link w:val="883"/>
    <w:qFormat/>
    <w:pPr>
      <w:numPr>
        <w:ilvl w:val="0"/>
        <w:numId w:val="1"/>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42">
    <w:name w:val="普通正文"/>
    <w:basedOn w:val="883"/>
    <w:next w:val="1142"/>
    <w:link w:val="883"/>
    <w:qFormat/>
    <w:pPr>
      <w:ind w:firstLine="480"/>
      <w:jc w:val="left"/>
      <w:spacing w:before="120" w:after="120" w:line="360" w:lineRule="auto"/>
    </w:pPr>
    <w:rPr>
      <w:rFonts w:ascii="Arial" w:hAnsi="Arial"/>
      <w:sz w:val="24"/>
    </w:rPr>
  </w:style>
  <w:style w:type="paragraph" w:styleId="1143">
    <w:name w:val="正文 A"/>
    <w:next w:val="1143"/>
    <w:link w:val="883"/>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44">
    <w:name w:val="正文 第一章"/>
    <w:basedOn w:val="883"/>
    <w:next w:val="1145"/>
    <w:link w:val="883"/>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45">
    <w:name w:val="正文 1.1"/>
    <w:basedOn w:val="883"/>
    <w:next w:val="1146"/>
    <w:link w:val="883"/>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46">
    <w:name w:val="正文 1.1.1"/>
    <w:basedOn w:val="883"/>
    <w:next w:val="883"/>
    <w:link w:val="883"/>
    <w:qFormat/>
    <w:pPr>
      <w:numPr>
        <w:ilvl w:val="2"/>
        <w:numId w:val="2"/>
      </w:numPr>
      <w:spacing w:line="360" w:lineRule="auto"/>
      <w:tabs>
        <w:tab w:val="left" w:pos="851" w:leader="none"/>
      </w:tabs>
      <w:outlineLvl w:val="2"/>
    </w:pPr>
    <w:rPr>
      <w:rFonts w:ascii="宋体" w:hAnsi="宋体"/>
      <w:color w:val="000000"/>
      <w:sz w:val="28"/>
      <w:szCs w:val="21"/>
    </w:rPr>
  </w:style>
  <w:style w:type="paragraph" w:styleId="1147">
    <w:name w:val=" Char"/>
    <w:basedOn w:val="883"/>
    <w:next w:val="1147"/>
    <w:link w:val="883"/>
    <w:qFormat/>
    <w:rPr>
      <w:rFonts w:ascii="Tahoma" w:hAnsi="Tahoma"/>
      <w:sz w:val="24"/>
      <w:szCs w:val="20"/>
    </w:rPr>
  </w:style>
  <w:style w:type="paragraph" w:styleId="1148">
    <w:name w:val="Coms Alinea"/>
    <w:next w:val="1148"/>
    <w:link w:val="883"/>
    <w:qFormat/>
    <w:pPr>
      <w:widowControl w:val="off"/>
    </w:pPr>
    <w:rPr>
      <w:rFonts w:ascii="Arial" w:hAnsi="Arial" w:eastAsia="宋体" w:cs="Arial"/>
      <w:lang w:val="en-US" w:eastAsia="zh-CN" w:bidi="ar-SA"/>
    </w:rPr>
  </w:style>
  <w:style w:type="paragraph" w:styleId="1149">
    <w:name w:val="标题2"/>
    <w:basedOn w:val="883"/>
    <w:next w:val="883"/>
    <w:link w:val="883"/>
    <w:qFormat/>
    <w:pPr>
      <w:jc w:val="center"/>
    </w:pPr>
    <w:rPr>
      <w:rFonts w:eastAsia="方正楷体_GBK"/>
    </w:rPr>
  </w:style>
  <w:style w:type="paragraph" w:styleId="1150">
    <w:name w:val="标书正文格式"/>
    <w:next w:val="1150"/>
    <w:link w:val="883"/>
    <w:qFormat/>
    <w:pPr>
      <w:ind w:firstLine="200"/>
      <w:spacing w:line="360" w:lineRule="auto"/>
    </w:pPr>
    <w:rPr>
      <w:rFonts w:ascii="Times New Roman" w:hAnsi="Times New Roman" w:eastAsia="楷体_GB2312" w:cs="Times New Roman"/>
      <w:sz w:val="24"/>
      <w:szCs w:val="24"/>
      <w:lang w:val="en-US" w:eastAsia="zh-CN" w:bidi="ar-SA"/>
    </w:rPr>
  </w:style>
  <w:style w:type="paragraph" w:styleId="1151">
    <w:name w:val="HTML 预先格式化"/>
    <w:basedOn w:val="883"/>
    <w:next w:val="1151"/>
    <w:link w:val="8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2">
    <w:name w:val=" Char Char Char Char1 Char Char"/>
    <w:basedOn w:val="883"/>
    <w:next w:val="1152"/>
    <w:link w:val="883"/>
    <w:qFormat/>
    <w:pPr>
      <w:tabs>
        <w:tab w:val="left" w:pos="360" w:leader="none"/>
      </w:tabs>
    </w:pPr>
    <w:rPr>
      <w:sz w:val="24"/>
    </w:rPr>
  </w:style>
  <w:style w:type="paragraph" w:styleId="1153">
    <w:name w:val="标题3"/>
    <w:basedOn w:val="883"/>
    <w:next w:val="883"/>
    <w:link w:val="883"/>
    <w:qFormat/>
    <w:rPr>
      <w:rFonts w:eastAsia="方正黑体_GBK"/>
    </w:rPr>
  </w:style>
  <w:style w:type="paragraph" w:styleId="1154">
    <w:name w:val="Table Text"/>
    <w:next w:val="1154"/>
    <w:link w:val="883"/>
    <w:qFormat/>
    <w:pPr>
      <w:jc w:val="center"/>
      <w:spacing w:before="143" w:after="80"/>
    </w:pPr>
    <w:rPr>
      <w:rFonts w:ascii="仿宋_GB2312" w:hAnsi="宋体" w:eastAsia="仿宋_GB2312" w:cs="Times New Roman"/>
      <w:sz w:val="24"/>
      <w:lang w:val="en-US" w:eastAsia="zh-CN" w:bidi="ar-SA"/>
    </w:rPr>
  </w:style>
  <w:style w:type="paragraph" w:styleId="1155">
    <w:name w:val="默认段落字体 Para Char Char Char Char Char Char Char Char Char1 Char Char Char Char Char Char Char"/>
    <w:basedOn w:val="1081"/>
    <w:next w:val="1155"/>
    <w:link w:val="883"/>
    <w:qFormat/>
    <w:rPr>
      <w:rFonts w:ascii="Tahoma" w:hAnsi="Tahoma"/>
      <w:sz w:val="24"/>
    </w:rPr>
  </w:style>
  <w:style w:type="paragraph" w:styleId="1156">
    <w:name w:val="正文_13"/>
    <w:next w:val="1156"/>
    <w:link w:val="883"/>
    <w:qFormat/>
    <w:pPr>
      <w:jc w:val="both"/>
      <w:widowControl w:val="off"/>
    </w:pPr>
    <w:rPr>
      <w:rFonts w:ascii="Times New Roman" w:hAnsi="Times New Roman" w:eastAsia="宋体" w:cs="Times New Roman"/>
      <w:sz w:val="21"/>
      <w:szCs w:val="24"/>
      <w:lang w:val="en-US" w:eastAsia="zh-CN" w:bidi="ar-SA"/>
    </w:rPr>
  </w:style>
  <w:style w:type="paragraph" w:styleId="1157">
    <w:name w:val="列出段落"/>
    <w:basedOn w:val="883"/>
    <w:next w:val="1157"/>
    <w:link w:val="883"/>
    <w:uiPriority w:val="99"/>
    <w:qFormat/>
    <w:pPr>
      <w:ind w:firstLine="420"/>
    </w:pPr>
    <w:rPr>
      <w:rFonts w:ascii="Calibri" w:hAnsi="Calibri"/>
      <w:szCs w:val="22"/>
    </w:rPr>
  </w:style>
  <w:style w:type="paragraph" w:styleId="1158">
    <w:name w:val="Char"/>
    <w:basedOn w:val="883"/>
    <w:next w:val="1158"/>
    <w:link w:val="883"/>
    <w:qFormat/>
    <w:pPr>
      <w:ind w:firstLine="916"/>
      <w:jc w:val="center"/>
      <w:tabs>
        <w:tab w:val="left" w:pos="360" w:leader="none"/>
      </w:tabs>
    </w:pPr>
    <w:rPr>
      <w:rFonts w:ascii="宋体" w:hAnsi="宋体"/>
      <w:b/>
      <w:bCs/>
      <w:sz w:val="24"/>
      <w:szCs w:val="21"/>
    </w:rPr>
  </w:style>
  <w:style w:type="paragraph" w:styleId="1159">
    <w:name w:val="Char Char Char Char1 Char Char Char"/>
    <w:basedOn w:val="1081"/>
    <w:next w:val="1159"/>
    <w:link w:val="883"/>
    <w:qFormat/>
    <w:pPr>
      <w:spacing w:line="360" w:lineRule="auto"/>
    </w:pPr>
    <w:rPr>
      <w:rFonts w:ascii="Tahoma" w:hAnsi="Tahoma"/>
      <w:sz w:val="24"/>
    </w:rPr>
  </w:style>
  <w:style w:type="paragraph" w:styleId="1160">
    <w:name w:val="BioQuote Tekst"/>
    <w:basedOn w:val="883"/>
    <w:next w:val="1160"/>
    <w:link w:val="883"/>
    <w:qFormat/>
    <w:pPr>
      <w:ind w:right="-1"/>
    </w:pPr>
    <w:rPr>
      <w:rFonts w:ascii="Arial" w:hAnsi="Arial"/>
      <w:sz w:val="22"/>
      <w:szCs w:val="20"/>
      <w:lang w:eastAsia="en-US"/>
    </w:rPr>
  </w:style>
  <w:style w:type="paragraph" w:styleId="1161">
    <w:name w:val="TOC 标题"/>
    <w:basedOn w:val="1069"/>
    <w:next w:val="883"/>
    <w:link w:val="883"/>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162">
    <w:name w:val="正文空2格  1."/>
    <w:basedOn w:val="883"/>
    <w:next w:val="1162"/>
    <w:link w:val="883"/>
    <w:qFormat/>
    <w:pPr>
      <w:ind w:firstLine="480"/>
      <w:spacing w:line="360" w:lineRule="auto"/>
    </w:pPr>
    <w:rPr>
      <w:rFonts w:ascii="宋体" w:eastAsia="仿宋" w:cs="宋体"/>
      <w:sz w:val="28"/>
      <w:szCs w:val="20"/>
    </w:rPr>
  </w:style>
  <w:style w:type="paragraph" w:styleId="1163">
    <w:name w:val="第四级"/>
    <w:basedOn w:val="883"/>
    <w:next w:val="883"/>
    <w:link w:val="883"/>
    <w:qFormat/>
    <w:pPr>
      <w:numPr>
        <w:ilvl w:val="3"/>
        <w:numId w:val="2"/>
      </w:numPr>
      <w:spacing w:line="360" w:lineRule="auto"/>
      <w:tabs>
        <w:tab w:val="left" w:pos="1134" w:leader="none"/>
      </w:tabs>
    </w:pPr>
    <w:rPr>
      <w:rFonts w:ascii="宋体" w:hAnsi="宋体" w:eastAsia="仿宋"/>
      <w:sz w:val="28"/>
      <w:szCs w:val="21"/>
    </w:rPr>
  </w:style>
  <w:style w:type="paragraph" w:styleId="1164">
    <w:name w:val="Char Char Char Char"/>
    <w:basedOn w:val="1081"/>
    <w:next w:val="1164"/>
    <w:link w:val="883"/>
    <w:qFormat/>
    <w:pPr>
      <w:spacing w:line="360" w:lineRule="auto"/>
    </w:pPr>
    <w:rPr>
      <w:rFonts w:ascii="Tahoma" w:hAnsi="Tahoma"/>
      <w:sz w:val="24"/>
    </w:rPr>
  </w:style>
  <w:style w:type="paragraph" w:styleId="1165">
    <w:name w:val="xl47"/>
    <w:basedOn w:val="883"/>
    <w:next w:val="1165"/>
    <w:link w:val="883"/>
    <w:qFormat/>
    <w:pPr>
      <w:jc w:val="center"/>
      <w:spacing w:before="100" w:beforeAutospacing="1" w:after="100" w:afterAutospacing="1"/>
      <w:widowControl/>
    </w:pPr>
    <w:rPr>
      <w:rFonts w:hint="eastAsia" w:ascii="方正姚体" w:hAnsi="宋体" w:eastAsia="方正姚体"/>
      <w:b/>
      <w:bCs/>
      <w:sz w:val="36"/>
      <w:szCs w:val="36"/>
    </w:rPr>
  </w:style>
  <w:style w:type="paragraph" w:styleId="1166">
    <w:name w:val="标题1"/>
    <w:basedOn w:val="883"/>
    <w:next w:val="883"/>
    <w:link w:val="883"/>
    <w:qFormat/>
    <w:pPr>
      <w:jc w:val="center"/>
      <w:spacing w:line="700" w:lineRule="atLeast"/>
      <w:tabs>
        <w:tab w:val="left" w:pos="9193" w:leader="none"/>
        <w:tab w:val="left" w:pos="9827" w:leader="none"/>
      </w:tabs>
    </w:pPr>
    <w:rPr>
      <w:rFonts w:eastAsia="方正小标宋_GBK"/>
      <w:sz w:val="44"/>
    </w:rPr>
  </w:style>
  <w:style w:type="table" w:styleId="1167">
    <w:name w:val="Table Normal"/>
    <w:next w:val="1167"/>
    <w:link w:val="883"/>
    <w:unhideWhenUsed/>
    <w:qFormat/>
    <w:rPr>
      <w:lang w:val="en-US" w:eastAsia="zh-CN" w:bidi="ar-SA"/>
    </w:rPr>
    <w:tblPr/>
  </w:style>
  <w:style w:type="paragraph" w:styleId="1168">
    <w:name w:val="纯文本11"/>
    <w:basedOn w:val="883"/>
    <w:next w:val="1168"/>
    <w:link w:val="883"/>
    <w:qFormat/>
    <w:rPr>
      <w:rFonts w:ascii="宋体" w:hAnsi="Courier New"/>
      <w:szCs w:val="20"/>
    </w:rPr>
  </w:style>
  <w:style w:type="paragraph" w:styleId="1169">
    <w:name w:val="Other|1"/>
    <w:basedOn w:val="883"/>
    <w:next w:val="1169"/>
    <w:link w:val="883"/>
    <w:qFormat/>
    <w:pPr>
      <w:ind w:firstLine="400"/>
      <w:spacing w:line="480" w:lineRule="auto"/>
    </w:pPr>
    <w:rPr>
      <w:rFonts w:ascii="宋体" w:hAnsi="宋体" w:eastAsia="宋体" w:cs="宋体"/>
      <w:sz w:val="22"/>
      <w:szCs w:val="22"/>
      <w:lang w:val="zh-TW" w:eastAsia="zh-TW" w:bidi="zh-TW"/>
    </w:rPr>
  </w:style>
  <w:style w:type="character" w:styleId="1170" w:default="1">
    <w:name w:val="Default Paragraph Font"/>
    <w:uiPriority w:val="1"/>
    <w:semiHidden/>
    <w:unhideWhenUsed/>
  </w:style>
  <w:style w:type="numbering" w:styleId="1171" w:default="1">
    <w:name w:val="No List"/>
    <w:uiPriority w:val="99"/>
    <w:semiHidden/>
    <w:unhideWhenUsed/>
  </w:style>
  <w:style w:type="table" w:styleId="11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90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0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76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322"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4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85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dc:title>
  <dc:creator>c</dc:creator>
  <cp:lastModifiedBy>王举蕾</cp:lastModifiedBy>
  <cp:revision>3</cp:revision>
  <dcterms:created xsi:type="dcterms:W3CDTF">2024-06-04T10:39:00Z</dcterms:created>
  <dcterms:modified xsi:type="dcterms:W3CDTF">2025-12-01T06:46:40Z</dcterms:modified>
</cp:coreProperties>
</file>