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hint="eastAsia"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-114300</wp:posOffset>
                </wp:positionH>
                <wp:positionV relativeFrom="paragraph">
                  <wp:posOffset>198120</wp:posOffset>
                </wp:positionV>
                <wp:extent cx="1270" cy="0"/>
                <wp:effectExtent l="0" t="4445" r="0" b="5080"/>
                <wp:wrapNone/>
                <wp:docPr id="1" name="shape 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0.0pt;mso-wrap-distance-top:0.0pt;mso-wrap-distance-right:0.0pt;mso-wrap-distance-bottom:0.0pt;visibility:visible;" from="-9.0pt,15.6pt" to="-8.9pt,15.6pt" filled="f" strokecolor="#000000" strokeweight="0.75pt">
                <v:stroke dashstyle="solid"/>
              </v:line>
            </w:pict>
          </mc:Fallback>
        </mc:AlternateContent>
      </w:r>
      <w:r>
        <w:rPr>
          <w:rFonts w:hint="eastAsia" w:ascii="黑体" w:hAnsi="华文中宋" w:eastAsia="黑体"/>
          <w:bCs/>
          <w:color w:val="auto"/>
          <w:spacing w:val="20"/>
          <w:sz w:val="52"/>
          <w:szCs w:val="52"/>
          <w:highlight w:val="none"/>
        </w:rPr>
        <w:t xml:space="preserve">招标文件</w:t>
      </w:r>
      <w:r/>
    </w:p>
    <w:p>
      <w:pPr>
        <w:jc w:val="center"/>
        <w:rPr>
          <w:rFonts w:hint="eastAsia" w:ascii="黑体" w:hAnsi="华文中宋" w:eastAsia="黑体"/>
          <w:bCs/>
          <w:color w:val="auto"/>
          <w:spacing w:val="20"/>
          <w:sz w:val="52"/>
          <w:szCs w:val="52"/>
          <w:highlight w:val="none"/>
          <w:lang w:eastAsia="zh-CN"/>
        </w:rPr>
      </w:pPr>
      <w:r>
        <w:rPr>
          <w:rFonts w:hint="eastAsia" w:ascii="黑体" w:hAnsi="华文中宋" w:eastAsia="黑体"/>
          <w:bCs/>
          <w:color w:val="auto"/>
          <w:spacing w:val="20"/>
          <w:sz w:val="52"/>
          <w:szCs w:val="52"/>
          <w:highlight w:val="none"/>
          <w:lang w:eastAsia="zh-CN"/>
        </w:rPr>
        <w:t xml:space="preserve">（</w:t>
      </w:r>
      <w:r>
        <w:rPr>
          <w:rFonts w:hint="eastAsia" w:ascii="黑体" w:hAnsi="华文中宋" w:eastAsia="黑体"/>
          <w:bCs/>
          <w:color w:val="auto"/>
          <w:spacing w:val="20"/>
          <w:sz w:val="52"/>
          <w:szCs w:val="52"/>
          <w:highlight w:val="none"/>
          <w:lang w:val="en-US" w:eastAsia="zh-CN"/>
        </w:rPr>
        <w:t xml:space="preserve">暗标</w:t>
      </w:r>
      <w:r>
        <w:rPr>
          <w:rFonts w:hint="eastAsia" w:ascii="黑体" w:hAnsi="华文中宋" w:eastAsia="黑体"/>
          <w:bCs/>
          <w:color w:val="auto"/>
          <w:spacing w:val="20"/>
          <w:sz w:val="52"/>
          <w:szCs w:val="52"/>
          <w:highlight w:val="none"/>
          <w:lang w:eastAsia="zh-CN"/>
        </w:rPr>
        <w:t xml:space="preserve">）</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JSZC-320214-JSZH-G2024-0129</w:t>
      </w:r>
      <w:r/>
    </w:p>
    <w:p>
      <w:pPr>
        <w:ind w:firstLine="9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2024-2026年度江溪街道雨污水管网养护服务项目</w:t>
      </w:r>
      <w:r/>
    </w:p>
    <w:p>
      <w:pPr>
        <w:ind w:firstLine="9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采购代理机构：江苏智汇锡建工程项目管理有限公司</w:t>
      </w:r>
      <w:r/>
    </w:p>
    <w:p>
      <w:pPr>
        <w:rPr>
          <w:rFonts w:ascii="华文中宋" w:hAnsi="华文中宋" w:eastAsia="华文中宋"/>
          <w:bCs/>
          <w:color w:val="auto"/>
          <w:sz w:val="32"/>
          <w:highlight w:val="none"/>
        </w:rPr>
      </w:pPr>
      <w:r>
        <w:rPr>
          <w:rFonts w:ascii="华文中宋" w:hAnsi="华文中宋" w:eastAsia="华文中宋"/>
          <w:bCs/>
          <w:color w:val="auto"/>
          <w:sz w:val="32"/>
          <w:highlight w:val="none"/>
        </w:rPr>
      </w:r>
      <w:r/>
    </w:p>
    <w:p>
      <w:pPr>
        <w:jc w:val="cente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二○二四年</w:t>
      </w:r>
      <w:r>
        <w:rPr>
          <w:rFonts w:hint="eastAsia" w:ascii="黑体" w:hAnsi="华文中宋" w:eastAsia="黑体"/>
          <w:bCs/>
          <w:color w:val="auto"/>
          <w:sz w:val="30"/>
          <w:szCs w:val="30"/>
          <w:highlight w:val="none"/>
          <w:lang w:val="en-US" w:eastAsia="zh-CN"/>
        </w:rPr>
        <w:t xml:space="preserve">十一</w:t>
      </w:r>
      <w:r>
        <w:rPr>
          <w:rFonts w:hint="eastAsia" w:ascii="黑体" w:hAnsi="华文中宋" w:eastAsia="黑体"/>
          <w:bCs/>
          <w:color w:val="auto"/>
          <w:sz w:val="30"/>
          <w:szCs w:val="30"/>
          <w:highlight w:val="none"/>
        </w:rPr>
        <w:t xml:space="preserve">月</w:t>
      </w:r>
      <w:r/>
    </w:p>
    <w:p>
      <w:pPr>
        <w:jc w:val="center"/>
        <w:rPr>
          <w:rStyle w:val="715"/>
          <w:rFonts w:eastAsia="黑体"/>
          <w:bCs/>
          <w:color w:val="auto"/>
          <w:sz w:val="48"/>
          <w:highlight w:val="none"/>
        </w:rPr>
      </w:pPr>
      <w:r>
        <w:rPr>
          <w:rStyle w:val="715"/>
          <w:rFonts w:eastAsia="黑体"/>
          <w:bCs/>
          <w:color w:val="auto"/>
          <w:sz w:val="48"/>
          <w:highlight w:val="none"/>
        </w:rPr>
        <w:br w:type="page" w:clear="all"/>
      </w:r>
      <w:r>
        <w:rPr>
          <w:rStyle w:val="715"/>
          <w:rFonts w:hint="eastAsia" w:eastAsia="黑体"/>
          <w:bCs/>
          <w:color w:val="auto"/>
          <w:sz w:val="48"/>
          <w:highlight w:val="none"/>
        </w:rPr>
        <w:t xml:space="preserve">目录</w:t>
      </w:r>
      <w:r/>
    </w:p>
    <w:p>
      <w:pPr>
        <w:jc w:val="center"/>
        <w:rPr>
          <w:rFonts w:ascii="黑体" w:eastAsia="黑体"/>
          <w:bCs/>
          <w:color w:val="auto"/>
          <w:sz w:val="30"/>
          <w:highlight w:val="none"/>
        </w:rPr>
      </w:pPr>
      <w:r>
        <w:rPr>
          <w:rFonts w:ascii="黑体" w:eastAsia="黑体"/>
          <w:bCs/>
          <w:color w:val="auto"/>
          <w:sz w:val="30"/>
          <w:highlight w:val="none"/>
        </w:rPr>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一．投标邀请函</w:t>
      </w:r>
      <w:r>
        <w:rPr>
          <w:rFonts w:ascii="宋体"/>
          <w:bCs/>
          <w:color w:val="auto"/>
          <w:sz w:val="30"/>
          <w:szCs w:val="30"/>
          <w:highlight w:val="none"/>
        </w:rPr>
        <w:t xml:space="preserve">-----------------------------------</w:t>
      </w:r>
      <w:r>
        <w:rPr>
          <w:rFonts w:hint="eastAsia" w:ascii="宋体" w:hAnsi="宋体"/>
          <w:bCs/>
          <w:color w:val="auto"/>
          <w:sz w:val="30"/>
          <w:szCs w:val="30"/>
          <w:highlight w:val="none"/>
        </w:rPr>
        <w:t xml:space="preserve">（3）</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二．投标人须知</w:t>
      </w:r>
      <w:r>
        <w:rPr>
          <w:rFonts w:ascii="宋体"/>
          <w:bCs/>
          <w:color w:val="auto"/>
          <w:sz w:val="30"/>
          <w:szCs w:val="30"/>
          <w:highlight w:val="none"/>
        </w:rPr>
        <w:t xml:space="preserve">-----------------------------------</w:t>
      </w:r>
      <w:r>
        <w:rPr>
          <w:rFonts w:hint="eastAsia" w:ascii="宋体" w:hAnsi="宋体"/>
          <w:bCs/>
          <w:color w:val="auto"/>
          <w:sz w:val="30"/>
          <w:szCs w:val="30"/>
          <w:highlight w:val="none"/>
        </w:rPr>
        <w:t xml:space="preserve">（7）</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三．项目技术要求和有关说明</w:t>
      </w:r>
      <w:r>
        <w:rPr>
          <w:rFonts w:ascii="宋体"/>
          <w:bCs/>
          <w:color w:val="auto"/>
          <w:sz w:val="30"/>
          <w:szCs w:val="30"/>
          <w:highlight w:val="none"/>
        </w:rPr>
        <w:t xml:space="preserve">-----------------------</w:t>
      </w:r>
      <w:r>
        <w:rPr>
          <w:rFonts w:hint="eastAsia" w:ascii="宋体" w:hAnsi="宋体"/>
          <w:bCs/>
          <w:color w:val="auto"/>
          <w:sz w:val="30"/>
          <w:szCs w:val="30"/>
          <w:highlight w:val="none"/>
        </w:rPr>
        <w:t xml:space="preserve">（1</w:t>
      </w:r>
      <w:r>
        <w:rPr>
          <w:rFonts w:hint="eastAsia" w:ascii="宋体" w:hAnsi="宋体"/>
          <w:bCs/>
          <w:color w:val="auto"/>
          <w:sz w:val="30"/>
          <w:szCs w:val="30"/>
          <w:highlight w:val="none"/>
          <w:lang w:val="en-US" w:eastAsia="zh-CN"/>
        </w:rPr>
        <w:t xml:space="preserve">8</w:t>
      </w:r>
      <w:r>
        <w:rPr>
          <w:rFonts w:hint="eastAsia" w:ascii="宋体" w:hAnsi="宋体"/>
          <w:bCs/>
          <w:color w:val="auto"/>
          <w:sz w:val="30"/>
          <w:szCs w:val="30"/>
          <w:highlight w:val="none"/>
        </w:rPr>
        <w:t xml:space="preserve">）</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四．合同书（格式文本）</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31</w:t>
      </w:r>
      <w:r>
        <w:rPr>
          <w:rFonts w:hint="eastAsia" w:ascii="宋体" w:hAnsi="宋体"/>
          <w:bCs/>
          <w:color w:val="auto"/>
          <w:sz w:val="30"/>
          <w:szCs w:val="30"/>
          <w:highlight w:val="none"/>
        </w:rPr>
        <w:t xml:space="preserve">）</w:t>
      </w:r>
      <w:r/>
    </w:p>
    <w:p>
      <w:pPr>
        <w:ind w:firstLine="450"/>
        <w:spacing w:line="720" w:lineRule="auto"/>
        <w:rPr>
          <w:rFonts w:ascii="宋体" w:hAnsi="宋体"/>
          <w:bCs/>
          <w:color w:val="auto"/>
          <w:sz w:val="30"/>
          <w:szCs w:val="30"/>
          <w:highlight w:val="none"/>
        </w:rPr>
      </w:pPr>
      <w:r>
        <w:rPr>
          <w:rFonts w:hint="eastAsia" w:ascii="宋体" w:hAnsi="宋体"/>
          <w:bCs/>
          <w:color w:val="auto"/>
          <w:sz w:val="30"/>
          <w:szCs w:val="30"/>
          <w:highlight w:val="none"/>
        </w:rPr>
        <w:t xml:space="preserve">五．合同条款（格式）</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32</w:t>
      </w:r>
      <w:r>
        <w:rPr>
          <w:rFonts w:hint="eastAsia" w:ascii="宋体" w:hAnsi="宋体"/>
          <w:bCs/>
          <w:color w:val="auto"/>
          <w:sz w:val="30"/>
          <w:szCs w:val="30"/>
          <w:highlight w:val="none"/>
        </w:rPr>
        <w:t xml:space="preserve">）</w:t>
      </w:r>
      <w:r/>
    </w:p>
    <w:p>
      <w:pPr>
        <w:ind w:firstLine="450"/>
        <w:spacing w:line="720" w:lineRule="auto"/>
        <w:rPr>
          <w:rFonts w:ascii="宋体" w:hAnsi="宋体"/>
          <w:bCs/>
          <w:color w:val="auto"/>
          <w:sz w:val="30"/>
          <w:szCs w:val="30"/>
          <w:highlight w:val="none"/>
        </w:rPr>
      </w:pPr>
      <w:r>
        <w:rPr>
          <w:rFonts w:hint="eastAsia" w:ascii="宋体" w:hAnsi="宋体"/>
          <w:bCs/>
          <w:color w:val="auto"/>
          <w:sz w:val="30"/>
          <w:szCs w:val="30"/>
          <w:highlight w:val="none"/>
        </w:rPr>
        <w:t xml:space="preserve">六．附件</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35</w:t>
      </w:r>
      <w:r>
        <w:rPr>
          <w:rFonts w:hint="eastAsia" w:ascii="宋体" w:hAnsi="宋体"/>
          <w:bCs/>
          <w:color w:val="auto"/>
          <w:sz w:val="30"/>
          <w:szCs w:val="30"/>
          <w:highlight w:val="none"/>
        </w:rPr>
        <w:t xml:space="preserve">）</w:t>
      </w:r>
      <w:r/>
    </w:p>
    <w:p>
      <w:pPr>
        <w:spacing w:line="720" w:lineRule="auto"/>
        <w:rPr>
          <w:rFonts w:ascii="宋体"/>
          <w:bCs/>
          <w:color w:val="auto"/>
          <w:sz w:val="28"/>
          <w:szCs w:val="28"/>
          <w:highlight w:val="none"/>
        </w:rPr>
      </w:pPr>
      <w:r>
        <w:rPr>
          <w:rFonts w:ascii="宋体"/>
          <w:bCs/>
          <w:color w:val="auto"/>
          <w:sz w:val="28"/>
          <w:szCs w:val="28"/>
          <w:highlight w:val="none"/>
        </w:rPr>
      </w:r>
      <w:r/>
    </w:p>
    <w:p>
      <w:pPr>
        <w:spacing w:line="720" w:lineRule="auto"/>
        <w:rPr>
          <w:rFonts w:ascii="宋体"/>
          <w:bCs/>
          <w:color w:val="auto"/>
          <w:sz w:val="30"/>
          <w:highlight w:val="none"/>
        </w:rPr>
      </w:pPr>
      <w:r>
        <w:rPr>
          <w:rFonts w:ascii="宋体"/>
          <w:bCs/>
          <w:color w:val="auto"/>
          <w:sz w:val="30"/>
          <w:highlight w:val="none"/>
        </w:rPr>
      </w:r>
      <w:r/>
    </w:p>
    <w:p>
      <w:pPr>
        <w:spacing w:line="480" w:lineRule="auto"/>
        <w:rPr>
          <w:rFonts w:ascii="宋体"/>
          <w:bCs/>
          <w:color w:val="auto"/>
          <w:sz w:val="30"/>
          <w:highlight w:val="none"/>
        </w:rPr>
      </w:pPr>
      <w:r>
        <w:rPr>
          <w:rFonts w:ascii="宋体"/>
          <w:bCs/>
          <w:color w:val="auto"/>
          <w:sz w:val="30"/>
          <w:highlight w:val="none"/>
        </w:rPr>
      </w:r>
      <w:r/>
    </w:p>
    <w:p>
      <w:pPr>
        <w:rPr>
          <w:rFonts w:ascii="宋体"/>
          <w:bCs/>
          <w:color w:val="auto"/>
          <w:sz w:val="28"/>
          <w:highlight w:val="none"/>
        </w:rPr>
      </w:pPr>
      <w:r>
        <w:rPr>
          <w:rFonts w:ascii="宋体"/>
          <w:bCs/>
          <w:color w:val="auto"/>
          <w:sz w:val="28"/>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jc w:val="center"/>
        <w:spacing w:line="360" w:lineRule="auto"/>
        <w:rPr>
          <w:rFonts w:ascii="黑体" w:eastAsia="黑体"/>
          <w:bCs/>
          <w:color w:val="auto"/>
          <w:sz w:val="28"/>
          <w:szCs w:val="28"/>
          <w:highlight w:val="none"/>
        </w:rPr>
        <w:outlineLvl w:val="0"/>
      </w:pPr>
      <w:r/>
      <w:bookmarkStart w:id="0" w:name="报价方须知前附表"/>
      <w:r/>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rPr>
        <w:t xml:space="preserve">一</w:t>
      </w:r>
      <w:r>
        <w:rPr>
          <w:rFonts w:hint="eastAsia" w:ascii="黑体" w:eastAsia="黑体"/>
          <w:bCs/>
          <w:color w:val="auto"/>
          <w:sz w:val="28"/>
          <w:szCs w:val="28"/>
          <w:highlight w:val="none"/>
          <w:lang w:val="en-US" w:eastAsia="zh-CN"/>
        </w:rPr>
        <w:t xml:space="preserve">.</w:t>
      </w:r>
      <w:r>
        <w:rPr>
          <w:rFonts w:hint="eastAsia" w:ascii="黑体" w:eastAsia="黑体"/>
          <w:bCs/>
          <w:color w:val="auto"/>
          <w:sz w:val="28"/>
          <w:szCs w:val="28"/>
          <w:highlight w:val="none"/>
        </w:rPr>
        <w:t xml:space="preserve">投标邀请函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江苏智汇锡建工程项目管理有限公司受无锡市新吴区人民政府江溪街道办事处委托，对</w:t>
      </w:r>
      <w:r>
        <w:rPr>
          <w:rFonts w:hint="eastAsia" w:ascii="宋体" w:hAnsi="宋体"/>
          <w:bCs/>
          <w:color w:val="auto"/>
          <w:sz w:val="24"/>
          <w:szCs w:val="24"/>
          <w:highlight w:val="none"/>
          <w:lang w:eastAsia="zh-CN"/>
        </w:rPr>
        <w:t xml:space="preserve">2024-2026年度江溪街道雨污水管网养护服务项目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2024-2026年度江溪街道雨污水管网养护服务项目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JSZC-320214-JSZH-G2024-0129</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3.合同履行期限：</w:t>
      </w:r>
      <w:r>
        <w:rPr>
          <w:rFonts w:hint="eastAsia" w:ascii="宋体" w:hAnsi="宋体" w:cs="宋体"/>
          <w:color w:val="auto"/>
          <w:sz w:val="24"/>
          <w:szCs w:val="24"/>
          <w:highlight w:val="none"/>
          <w:lang w:eastAsia="zh-CN"/>
        </w:rPr>
        <w:t xml:space="preserve">两年（以合同签订日期为准）</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val="en-US" w:eastAsia="zh-CN"/>
        </w:rPr>
        <w:t xml:space="preserve">835.00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一标段：421.00万元，二标段：414.00万元</w:t>
      </w:r>
      <w:r>
        <w:rPr>
          <w:rFonts w:hint="eastAsia" w:ascii="宋体" w:hAnsi="宋体" w:cs="宋体"/>
          <w:color w:val="auto"/>
          <w:sz w:val="24"/>
          <w:szCs w:val="24"/>
          <w:highlight w:val="none"/>
          <w:lang w:eastAsia="zh-CN"/>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5.最高限价：</w:t>
      </w:r>
      <w:r>
        <w:rPr>
          <w:rFonts w:hint="eastAsia" w:ascii="宋体" w:hAnsi="宋体" w:cs="宋体"/>
          <w:color w:val="auto"/>
          <w:sz w:val="24"/>
          <w:szCs w:val="24"/>
          <w:highlight w:val="none"/>
          <w:lang w:val="en-US" w:eastAsia="zh-CN"/>
        </w:rPr>
        <w:t xml:space="preserve">834.674216万元（一标段：420.99616万元，二标段：413.678056万元）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7.采购人：无锡市新吴区人民政府江溪街道办事处</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rPr>
        <w:t xml:space="preserve">本项目是否专门面向中小企业：是；</w:t>
      </w:r>
      <w:r/>
    </w:p>
    <w:p>
      <w:pPr>
        <w:ind w:firstLine="480"/>
        <w:jc w:val="left"/>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本项目共设两个标段，其中一标段为南站片区、街道道路管网养护、应急排查及抢修服务；二标段为坊前片区、太湖大道以北管网养护、应急排查及抢修服务；详见招标文件中“三．项目技术要求和有关说明”。</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供应商可以参加本次采购所有符合报名条件的2个标段的投标报名，但中标最多只能中1个标段，由评分排名第1名中标。评分排名均在前的情况下根据投标单位在投标文件中的承诺确定中标标段。如某标段排名第一的投标人已经中了其他标段，则该标段由排名第二的投标人中标，依次类推。</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（1）投标供应商应为中国大陆境内合法注册的独立企（事）业法人单位；（2）未被“信用中国”网站列入失信</w:t>
      </w:r>
      <w:r>
        <w:rPr>
          <w:rFonts w:hint="eastAsia" w:ascii="宋体" w:hAnsi="宋体"/>
          <w:color w:val="auto"/>
          <w:sz w:val="24"/>
          <w:szCs w:val="24"/>
          <w:highlight w:val="none"/>
          <w:lang w:val="en-US" w:eastAsia="zh-CN"/>
        </w:rPr>
        <w:t xml:space="preserve">被</w:t>
      </w:r>
      <w:r>
        <w:rPr>
          <w:rFonts w:hint="eastAsia" w:ascii="宋体" w:hAnsi="宋体"/>
          <w:color w:val="auto"/>
          <w:sz w:val="24"/>
          <w:szCs w:val="24"/>
          <w:highlight w:val="none"/>
        </w:rPr>
        <w:t xml:space="preserve">执行人、重大税收违法案件当事人名单、政府采购严重违法失信行为记录名单；</w:t>
      </w:r>
      <w:r>
        <w:rPr>
          <w:rFonts w:hint="eastAsia" w:ascii="宋体" w:hAnsi="宋体"/>
          <w:color w:val="auto"/>
          <w:sz w:val="24"/>
          <w:szCs w:val="24"/>
          <w:highlight w:val="none"/>
        </w:rPr>
        <w:t xml:space="preserve">（3）</w:t>
      </w:r>
      <w:r>
        <w:rPr>
          <w:rFonts w:hint="eastAsia" w:ascii="宋体" w:hAnsi="宋体" w:cs="宋体"/>
          <w:color w:val="auto"/>
          <w:sz w:val="24"/>
          <w:szCs w:val="24"/>
          <w:highlight w:val="none"/>
        </w:rPr>
        <w:t xml:space="preserve">投标供应商具有市政公用工程施工总承包三级</w:t>
      </w:r>
      <w:r>
        <w:rPr>
          <w:rFonts w:hint="eastAsia" w:ascii="宋体" w:hAnsi="宋体" w:cs="宋体"/>
          <w:color w:val="auto"/>
          <w:sz w:val="24"/>
          <w:szCs w:val="24"/>
          <w:highlight w:val="none"/>
          <w:lang w:eastAsia="zh-CN"/>
        </w:rPr>
        <w:t xml:space="preserve">及以上资质</w:t>
      </w:r>
      <w:r>
        <w:rPr>
          <w:rFonts w:hint="eastAsia" w:ascii="宋体" w:hAnsi="宋体" w:cs="宋体"/>
          <w:color w:val="auto"/>
          <w:sz w:val="24"/>
          <w:szCs w:val="24"/>
          <w:highlight w:val="none"/>
        </w:rPr>
        <w:t xml:space="preserve">；（4）投标供应商具有有效的安全生产许可证；（5）项目负责人具备市政公用工程注册建造师二级及以上和有效的《建筑施工企业项目负责人安全生产考核合格证书》；</w:t>
      </w:r>
      <w:r>
        <w:rPr>
          <w:rFonts w:hint="eastAsia" w:ascii="宋体" w:hAnsi="宋体" w:cs="宋体"/>
          <w:color w:val="auto"/>
          <w:sz w:val="24"/>
          <w:szCs w:val="24"/>
          <w:highlight w:val="none"/>
        </w:rPr>
        <w:t xml:space="preserve">（6）</w:t>
      </w:r>
      <w:r>
        <w:rPr>
          <w:rFonts w:hint="eastAsia" w:ascii="宋体" w:hAnsi="宋体"/>
          <w:color w:val="auto"/>
          <w:sz w:val="24"/>
          <w:szCs w:val="24"/>
          <w:highlight w:val="none"/>
        </w:rPr>
        <w:t xml:space="preserve">授权委托人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项目负责人</w:t>
      </w:r>
      <w:r>
        <w:rPr>
          <w:rFonts w:hint="eastAsia" w:ascii="宋体" w:hAnsi="宋体"/>
          <w:color w:val="auto"/>
          <w:sz w:val="24"/>
          <w:szCs w:val="24"/>
          <w:highlight w:val="none"/>
        </w:rPr>
        <w:t xml:space="preserve">应为投标供应商企业在职员工；（</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）本项目不接受联合体投标。</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在“江苏省政府采购（苏采云）平台”</w:t>
      </w:r>
      <w:r>
        <w:rPr>
          <w:rFonts w:hint="eastAsia" w:ascii="宋体" w:hAnsi="宋体"/>
          <w:color w:val="auto"/>
          <w:sz w:val="24"/>
          <w:szCs w:val="24"/>
          <w:highlight w:val="none"/>
          <w:lang w:eastAsia="zh-CN"/>
        </w:rPr>
        <w:t xml:space="preserve">账号登录</w:t>
      </w:r>
      <w:r>
        <w:rPr>
          <w:rFonts w:hint="eastAsia"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9:00-11:30，13:00-17:00）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1.潜在投标供应商可在项目招标公告附件中查看公开招标文件，如确定投标，必须在苏采云平台（http://jszfcg.jscz.gov.cn/jszc/login）中免费下载公开招标文件（“无锡政府采购网——江苏省政府采购（苏采云）平台</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江苏智汇锡建工程项目管理有限公司</w:t>
      </w:r>
      <w:r>
        <w:rPr>
          <w:rFonts w:hint="eastAsia" w:ascii="宋体" w:hAnsi="宋体"/>
          <w:bCs/>
          <w:color w:val="auto"/>
          <w:sz w:val="24"/>
          <w:szCs w:val="24"/>
          <w:highlight w:val="none"/>
        </w:rPr>
        <w:t xml:space="preserve">将以线上不见面、电话咨询、传真等方式开展线上答疑服务。截止至</w:t>
      </w:r>
      <w:r>
        <w:rPr>
          <w:rFonts w:hint="eastAsia" w:ascii="宋体" w:hAnsi="宋体" w:cs="宋体"/>
          <w:color w:val="auto"/>
          <w:sz w:val="24"/>
          <w:szCs w:val="24"/>
          <w:highlight w:val="none"/>
        </w:rPr>
        <w:t xml:space="preserve">2024年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17</w:t>
      </w:r>
      <w:r>
        <w:rPr>
          <w:rFonts w:hint="eastAsia" w:ascii="宋体" w:hAnsi="宋体" w:cs="宋体"/>
          <w:color w:val="auto"/>
          <w:sz w:val="24"/>
          <w:szCs w:val="24"/>
          <w:highlight w:val="none"/>
        </w:rPr>
        <w:t xml:space="preserve">:00前，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JSZC-320214-JSZH-G2024-0129</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auto"/>
          <w:sz w:val="24"/>
          <w:szCs w:val="24"/>
          <w:highlight w:val="none"/>
        </w:rPr>
        <w:t xml:space="preserve">  </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网上投标截止时间：2024年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网上投标解密时间：2024年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日开启解密后半小时。</w:t>
      </w:r>
      <w:r/>
    </w:p>
    <w:p>
      <w:pPr>
        <w:ind w:firstLine="480"/>
        <w:jc w:val="left"/>
        <w:spacing w:line="360" w:lineRule="auto"/>
        <w:widowControl/>
        <w:rPr>
          <w:rFonts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1" w:name="_Toc28359007"/>
      <w:r>
        <w:rPr>
          <w:rFonts w:hint="eastAsia" w:ascii="宋体" w:hAnsi="宋体" w:cs="宋体"/>
          <w:color w:val="auto"/>
          <w:sz w:val="24"/>
          <w:szCs w:val="24"/>
          <w:highlight w:val="none"/>
        </w:rPr>
        <w:t xml:space="preserve">“苏采云”系统（网址：http://jszfcg.jsczt.cn/）</w:t>
      </w:r>
      <w:bookmarkEnd w:id="1"/>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（九）其它</w:t>
      </w:r>
      <w:r/>
    </w:p>
    <w:p>
      <w:pPr>
        <w:pStyle w:val="706"/>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706"/>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采购人：无锡市新吴区人民政府江溪街道办事处</w:t>
      </w:r>
      <w:r/>
    </w:p>
    <w:p>
      <w:pPr>
        <w:pStyle w:val="706"/>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采购人地址：无锡市新吴区苏巷路1号</w:t>
      </w:r>
      <w:r/>
    </w:p>
    <w:p>
      <w:pPr>
        <w:pStyle w:val="706"/>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联系人：</w:t>
      </w:r>
      <w:r>
        <w:rPr>
          <w:rFonts w:hint="eastAsia" w:cs="宋体"/>
          <w:color w:val="auto"/>
          <w:highlight w:val="none"/>
        </w:rPr>
        <w:t xml:space="preserve">周晓静</w:t>
      </w:r>
      <w:r/>
    </w:p>
    <w:p>
      <w:pPr>
        <w:pStyle w:val="706"/>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联系电话：0510-82110033</w:t>
      </w:r>
      <w:r/>
    </w:p>
    <w:p>
      <w:pPr>
        <w:pStyle w:val="706"/>
        <w:ind w:firstLine="480"/>
        <w:spacing w:before="0" w:beforeAutospacing="0" w:after="0" w:afterAutospacing="0" w:line="460" w:lineRule="exact"/>
        <w:tabs>
          <w:tab w:val="left" w:pos="0" w:leader="none"/>
        </w:tabs>
        <w:rPr>
          <w:rFonts w:cs="宋体"/>
          <w:color w:val="auto"/>
          <w:highlight w:val="none"/>
          <w:lang w:val="zh-CN"/>
        </w:rPr>
      </w:pPr>
      <w:r>
        <w:rPr>
          <w:rFonts w:cs="宋体"/>
          <w:color w:val="auto"/>
          <w:highlight w:val="none"/>
          <w:lang w:val="zh-CN"/>
        </w:rPr>
      </w:r>
      <w:r/>
    </w:p>
    <w:p>
      <w:pPr>
        <w:pStyle w:val="706"/>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采购代理机构：江苏智汇锡建工程项目管理有限公司</w:t>
      </w:r>
      <w:r/>
    </w:p>
    <w:p>
      <w:pPr>
        <w:pStyle w:val="706"/>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采购代理机构统一信用代码：91320214727400523L</w:t>
      </w:r>
      <w:r/>
    </w:p>
    <w:p>
      <w:pPr>
        <w:pStyle w:val="706"/>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联系人：徐丽平、吴雨洁</w:t>
      </w:r>
      <w:r/>
    </w:p>
    <w:p>
      <w:pPr>
        <w:pStyle w:val="706"/>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联系电话：0510-82796055</w:t>
      </w:r>
      <w:r/>
    </w:p>
    <w:p>
      <w:pPr>
        <w:pStyle w:val="706"/>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联系地址：</w:t>
      </w:r>
      <w:r>
        <w:rPr>
          <w:rFonts w:hint="eastAsia"/>
          <w:bCs/>
          <w:color w:val="auto"/>
          <w:highlight w:val="none"/>
        </w:rPr>
        <w:t xml:space="preserve">无锡市新吴区太湖国际科技园菱湖大道180-8号B栋9楼</w:t>
      </w:r>
      <w:r/>
    </w:p>
    <w:p>
      <w:pPr>
        <w:pStyle w:val="706"/>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邮政编码：214000</w:t>
      </w:r>
      <w:r/>
    </w:p>
    <w:p>
      <w:pPr>
        <w:pStyle w:val="706"/>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电子邮件地址：jszh009@163.com</w:t>
      </w:r>
      <w:r/>
    </w:p>
    <w:p>
      <w:pPr>
        <w:pStyle w:val="706"/>
        <w:ind w:firstLine="480"/>
        <w:spacing w:before="0" w:beforeAutospacing="0" w:after="0" w:afterAutospacing="0" w:line="460" w:lineRule="exact"/>
        <w:tabs>
          <w:tab w:val="left" w:pos="0" w:leader="none"/>
        </w:tabs>
        <w:rPr>
          <w:rFonts w:ascii="黑体" w:hAnsi="黑体" w:eastAsia="黑体"/>
          <w:bCs/>
          <w:color w:val="auto"/>
          <w:highlight w:val="none"/>
        </w:rPr>
      </w:pPr>
      <w:r>
        <w:rPr>
          <w:rFonts w:hint="eastAsia" w:ascii="黑体" w:hAnsi="黑体" w:eastAsia="黑体"/>
          <w:bCs/>
          <w:color w:val="auto"/>
          <w:highlight w:val="none"/>
        </w:rPr>
        <w:t xml:space="preserve">（十）其它</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纸质投标文件：本项目为不见面开标，报价人无需递交纸质投标文件至现场，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黑体" w:eastAsia="黑体"/>
          <w:bCs/>
          <w:color w:val="auto"/>
          <w:sz w:val="28"/>
          <w:szCs w:val="28"/>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706"/>
        <w:ind w:firstLine="560"/>
        <w:jc w:val="center"/>
        <w:spacing w:before="0" w:beforeAutospacing="0" w:after="0" w:afterAutospacing="0" w:line="460" w:lineRule="exact"/>
        <w:tabs>
          <w:tab w:val="left" w:pos="0" w:leader="none"/>
        </w:tabs>
        <w:rPr>
          <w:rFonts w:ascii="黑体" w:eastAsia="黑体"/>
          <w:bCs/>
          <w:color w:val="auto"/>
          <w:sz w:val="28"/>
          <w:szCs w:val="28"/>
          <w:highlight w:val="none"/>
        </w:rPr>
        <w:outlineLvl w:val="0"/>
      </w:pPr>
      <w:r>
        <w:rPr>
          <w:rFonts w:ascii="黑体" w:eastAsia="黑体"/>
          <w:bCs/>
          <w:color w:val="auto"/>
          <w:sz w:val="28"/>
          <w:szCs w:val="28"/>
          <w:highlight w:val="none"/>
        </w:rPr>
        <w:br w:type="page" w:clear="all"/>
      </w:r>
      <w:r>
        <w:rPr>
          <w:rFonts w:hint="eastAsia" w:ascii="黑体" w:eastAsia="黑体"/>
          <w:bCs/>
          <w:color w:val="auto"/>
          <w:sz w:val="28"/>
          <w:szCs w:val="28"/>
          <w:highlight w:val="none"/>
        </w:rPr>
        <w:t xml:space="preserve">二</w:t>
      </w:r>
      <w:r>
        <w:rPr>
          <w:rFonts w:hint="eastAsia" w:ascii="黑体" w:eastAsia="黑体"/>
          <w:bCs/>
          <w:color w:val="auto"/>
          <w:sz w:val="28"/>
          <w:szCs w:val="28"/>
          <w:highlight w:val="none"/>
          <w:lang w:val="en-US" w:eastAsia="zh-CN"/>
        </w:rPr>
        <w:t xml:space="preserve">.</w:t>
      </w:r>
      <w:r>
        <w:rPr>
          <w:rFonts w:hint="eastAsia" w:ascii="黑体" w:eastAsia="黑体"/>
          <w:bCs/>
          <w:color w:val="auto"/>
          <w:sz w:val="28"/>
          <w:szCs w:val="28"/>
          <w:highlight w:val="none"/>
        </w:rPr>
        <w:t xml:space="preserve">投标人须知</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4"/>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4"/>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4"/>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投标供应商应在苏采云平台（http://jszfcg.jscz.gov.cn/jszc/login）下载招标文件及有关资料，按要求制作、上传投标文件，对招标文件各项内容做出实质性响应，否则投标无效。</w:t>
      </w:r>
      <w:r/>
    </w:p>
    <w:p>
      <w:pPr>
        <w:numPr>
          <w:ilvl w:val="0"/>
          <w:numId w:val="4"/>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1.江苏智汇锡建工程项目管理有限公司可在投标截止时间十五日前对招标文件进行必要的澄清或者修改，不足15日的，将顺延提交投标文件的截止时间。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2.如需对招标文件进行澄清或修正，江苏智汇锡建工程项目管理有限公司将在无锡政府采购网、江苏政府采购网发布更正公告，该澄清或修正的内容为招标文件的组成部分。投标人应在投标截止时间前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答复。投标人在法定质疑期限外送达的质疑函或法定质疑期限内送达的质疑函不符合上述要求的均为无效质疑，江苏智汇锡建工程项目管理有限公司对无效质疑不予受理。</w:t>
      </w:r>
      <w:r/>
    </w:p>
    <w:p>
      <w:pPr>
        <w:ind w:left="1200" w:hanging="72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lang w:eastAsia="zh-CN"/>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接收单位：江苏智汇锡建工程项目管理有限公司</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地址：无锡市新吴区太湖国际科技园菱湖大道180-8号B栋9楼</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联系人：吴雨洁</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电话：0510-82796055</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928"/>
        <w:numPr>
          <w:ilvl w:val="1"/>
          <w:numId w:val="5"/>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928"/>
        <w:numPr>
          <w:ilvl w:val="1"/>
          <w:numId w:val="5"/>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具有独立承担民事责任能力的投标人营业执照或相关部门的登记证明文件（投标人如是</w:t>
      </w:r>
      <w:r>
        <w:rPr>
          <w:rFonts w:hint="eastAsia" w:ascii="宋体" w:hAnsi="宋体" w:cs="宋体"/>
          <w:color w:val="auto"/>
          <w:sz w:val="24"/>
          <w:szCs w:val="24"/>
          <w:highlight w:val="none"/>
        </w:rPr>
        <w:t xml:space="preserve">允许以分支机构身份参加投标的，提供投标人分支机构的营业执照</w:t>
      </w:r>
      <w:r>
        <w:rPr>
          <w:rFonts w:hint="eastAsia" w:ascii="宋体" w:hAnsi="宋体"/>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如是</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lang w:eastAsia="zh-CN"/>
        </w:rPr>
        <w:t xml:space="preserve">涉及</w:t>
      </w:r>
      <w:r>
        <w:rPr>
          <w:rFonts w:hint="eastAsia" w:ascii="宋体" w:hAnsi="宋体" w:cs="宋体"/>
          <w:color w:val="auto"/>
          <w:sz w:val="24"/>
          <w:szCs w:val="24"/>
          <w:highlight w:val="none"/>
        </w:rPr>
        <w:t xml:space="preserve">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近一年中任意一个月份（不含投标当月）</w:t>
      </w:r>
      <w:r>
        <w:rPr>
          <w:rFonts w:hint="eastAsia" w:ascii="宋体" w:hAnsi="宋体"/>
          <w:bCs/>
          <w:color w:val="auto"/>
          <w:sz w:val="24"/>
          <w:szCs w:val="24"/>
          <w:highlight w:val="none"/>
        </w:rPr>
        <w:t xml:space="preserve">为其法定代表人授权代表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项目负责人</w:t>
      </w:r>
      <w:r>
        <w:rPr>
          <w:rFonts w:hint="eastAsia" w:ascii="宋体" w:hAnsi="宋体"/>
          <w:bCs/>
          <w:color w:val="auto"/>
          <w:sz w:val="24"/>
          <w:szCs w:val="24"/>
          <w:highlight w:val="none"/>
        </w:rPr>
        <w:t xml:space="preserve">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近一年中任意一个月份（不含投标当月）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val="en-US" w:eastAsia="zh-CN"/>
        </w:rPr>
        <w:t xml:space="preserve">2023</w:t>
      </w:r>
      <w:r>
        <w:rPr>
          <w:rFonts w:hint="eastAsia" w:ascii="宋体" w:hAnsi="宋体"/>
          <w:bCs/>
          <w:color w:val="auto"/>
          <w:sz w:val="24"/>
          <w:szCs w:val="24"/>
          <w:highlight w:val="none"/>
        </w:rPr>
        <w:t xml:space="preserve">年度的审计报告和所附已审财务报告；</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近一年中任意一个月份（不含投标当月）</w:t>
      </w:r>
      <w:r>
        <w:rPr>
          <w:rFonts w:hint="eastAsia" w:ascii="宋体" w:hAnsi="宋体"/>
          <w:bCs/>
          <w:color w:val="auto"/>
          <w:sz w:val="24"/>
          <w:szCs w:val="24"/>
          <w:highlight w:val="none"/>
        </w:rPr>
        <w:t xml:space="preserve">的依法缴纳税收的相关材料（提供相关主管部门证明或银行代扣证明）；</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近一年中任意一个月份（不含投标当月）</w:t>
      </w:r>
      <w:r>
        <w:rPr>
          <w:rFonts w:hint="eastAsia" w:ascii="宋体" w:hAnsi="宋体"/>
          <w:bCs/>
          <w:color w:val="auto"/>
          <w:sz w:val="24"/>
          <w:szCs w:val="24"/>
          <w:highlight w:val="none"/>
        </w:rPr>
        <w:t xml:space="preserve">的依法缴纳社会保障资金的相关材料（提供相关主管部门证明或银行代扣证明）；</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服务保障承诺书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投标</w:t>
      </w:r>
      <w:r>
        <w:rPr>
          <w:rFonts w:hint="eastAsia" w:ascii="宋体"/>
          <w:bCs/>
          <w:color w:val="auto"/>
          <w:sz w:val="24"/>
          <w:szCs w:val="24"/>
          <w:highlight w:val="none"/>
          <w:lang w:val="en-US" w:eastAsia="zh-CN"/>
        </w:rPr>
        <w:t xml:space="preserve">人</w:t>
      </w:r>
      <w:r>
        <w:rPr>
          <w:rFonts w:hint="eastAsia" w:ascii="宋体"/>
          <w:bCs/>
          <w:color w:val="auto"/>
          <w:sz w:val="24"/>
          <w:szCs w:val="24"/>
          <w:highlight w:val="none"/>
        </w:rPr>
        <w:t xml:space="preserve">如为中小微企业的提供中小企业声明函（</w:t>
      </w:r>
      <w:r>
        <w:rPr>
          <w:rFonts w:hint="eastAsia" w:ascii="宋体"/>
          <w:b/>
          <w:color w:val="auto"/>
          <w:sz w:val="24"/>
          <w:szCs w:val="24"/>
          <w:highlight w:val="none"/>
        </w:rPr>
        <w:t xml:space="preserve">格式见附件</w:t>
      </w:r>
      <w:r>
        <w:rPr>
          <w:rFonts w:hint="eastAsia" w:ascii="宋体"/>
          <w:bCs/>
          <w:color w:val="auto"/>
          <w:sz w:val="24"/>
          <w:szCs w:val="24"/>
          <w:highlight w:val="none"/>
        </w:rPr>
        <w:t xml:space="preserve">）；投标</w:t>
      </w:r>
      <w:r>
        <w:rPr>
          <w:rFonts w:hint="eastAsia" w:ascii="宋体"/>
          <w:bCs/>
          <w:color w:val="auto"/>
          <w:sz w:val="24"/>
          <w:szCs w:val="24"/>
          <w:highlight w:val="none"/>
          <w:lang w:val="en-US" w:eastAsia="zh-CN"/>
        </w:rPr>
        <w:t xml:space="preserve">人</w:t>
      </w:r>
      <w:r>
        <w:rPr>
          <w:rFonts w:hint="eastAsia" w:ascii="宋体"/>
          <w:bCs/>
          <w:color w:val="auto"/>
          <w:sz w:val="24"/>
          <w:szCs w:val="24"/>
          <w:highlight w:val="none"/>
        </w:rPr>
        <w:t xml:space="preserve">如为监狱和戒毒企业的，按照财政部《司法部关于政府采购支持监狱企业发展有关问题》（财库〔2014〕68号）的规定提供由省级以上监狱管理局、戒毒管理局（含新疆生产建设兵团）出具的属于监狱企业的证明文件</w:t>
      </w:r>
      <w:r>
        <w:rPr>
          <w:rFonts w:hint="eastAsia" w:ascii="宋体"/>
          <w:bCs/>
          <w:color w:val="auto"/>
          <w:sz w:val="24"/>
          <w:szCs w:val="24"/>
          <w:highlight w:val="none"/>
          <w:lang w:val="en-US" w:eastAsia="zh-CN"/>
        </w:rPr>
        <w:t xml:space="preserve">扫描件</w:t>
      </w:r>
      <w:r>
        <w:rPr>
          <w:rFonts w:hint="eastAsia" w:ascii="宋体"/>
          <w:bCs/>
          <w:color w:val="auto"/>
          <w:sz w:val="24"/>
          <w:szCs w:val="24"/>
          <w:highlight w:val="none"/>
        </w:rPr>
        <w:t xml:space="preserve">；投标供应商如为残疾人福利性单位的提供《残疾人福利性单位声明函》。</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4、报价明细表（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6、中标标段优先顺序承诺函（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7、项目管理机构配备情况表（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8、项目负责人简历表（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9、投标单位情况表（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hint="eastAsia" w:ascii="宋体" w:hAnsi="宋体"/>
          <w:b/>
          <w:bCs w:val="0"/>
          <w:color w:val="auto"/>
          <w:sz w:val="24"/>
          <w:szCs w:val="24"/>
          <w:highlight w:val="none"/>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技术文件</w:t>
      </w: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暗标，</w:t>
      </w:r>
      <w:r>
        <w:rPr>
          <w:rFonts w:hint="eastAsia" w:ascii="宋体" w:hAnsi="宋体"/>
          <w:b/>
          <w:bCs w:val="0"/>
          <w:color w:val="auto"/>
          <w:sz w:val="24"/>
          <w:szCs w:val="24"/>
          <w:highlight w:val="none"/>
        </w:rPr>
        <w:t xml:space="preserve">内容参照评标办法）</w:t>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spacing w:line="360" w:lineRule="auto"/>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spacing w:line="360" w:lineRule="auto"/>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bCs/>
          <w:color w:val="auto"/>
          <w:sz w:val="24"/>
          <w:szCs w:val="24"/>
          <w:highlight w:val="none"/>
        </w:rPr>
      </w:pPr>
      <w:r>
        <w:rPr>
          <w:rFonts w:hint="eastAsia" w:ascii="宋体" w:hAnsi="宋体" w:cs="Times New Roman"/>
          <w:b/>
          <w:color w:val="auto"/>
          <w:sz w:val="24"/>
          <w:szCs w:val="21"/>
          <w:highlight w:val="none"/>
          <w:lang w:val="en-US" w:eastAsia="zh-CN"/>
        </w:rPr>
        <w:t xml:space="preserve">④</w:t>
      </w:r>
      <w:r>
        <w:rPr>
          <w:rFonts w:hint="eastAsia" w:ascii="宋体" w:hAnsi="宋体" w:eastAsia="宋体" w:cs="Times New Roman"/>
          <w:b/>
          <w:color w:val="auto"/>
          <w:sz w:val="24"/>
          <w:szCs w:val="21"/>
          <w:highlight w:val="none"/>
        </w:rPr>
        <w:t xml:space="preserve">不得有其他体现投标人身份的内容。</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、评分标准中对应</w:t>
      </w:r>
      <w:r>
        <w:rPr>
          <w:rFonts w:hint="eastAsia" w:ascii="宋体" w:hAnsi="宋体"/>
          <w:bCs/>
          <w:color w:val="auto"/>
          <w:sz w:val="24"/>
          <w:szCs w:val="24"/>
          <w:highlight w:val="none"/>
          <w:lang w:eastAsia="zh-CN"/>
        </w:rPr>
        <w:t xml:space="preserve">的其他</w:t>
      </w:r>
      <w:r>
        <w:rPr>
          <w:rFonts w:hint="eastAsia" w:ascii="宋体" w:hAnsi="宋体"/>
          <w:bCs/>
          <w:color w:val="auto"/>
          <w:sz w:val="24"/>
          <w:szCs w:val="24"/>
          <w:highlight w:val="none"/>
        </w:rPr>
        <w:t xml:space="preserve">所需证明材料（如有自行添加）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、要求采购人提供的配合（如有自拟并自行添加）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、其它（报价人认为有必要提供的声明和文件，如有自拟并自行添加）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上述1-</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w:t>
      </w:r>
      <w:r>
        <w:rPr>
          <w:rFonts w:hint="eastAsia" w:ascii="宋体" w:hAnsi="宋体"/>
          <w:bCs/>
          <w:color w:val="auto"/>
          <w:sz w:val="24"/>
          <w:szCs w:val="24"/>
          <w:highlight w:val="none"/>
          <w:lang w:eastAsia="zh-CN"/>
        </w:rPr>
        <w:t xml:space="preserve">或其他</w:t>
      </w:r>
      <w:r>
        <w:rPr>
          <w:rFonts w:hint="eastAsia" w:ascii="宋体" w:hAnsi="宋体"/>
          <w:bCs/>
          <w:color w:val="auto"/>
          <w:sz w:val="24"/>
          <w:szCs w:val="24"/>
          <w:highlight w:val="none"/>
        </w:rPr>
        <w:t xml:space="preserve">可在中国大陆有效居留的许可证明。</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6"/>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6"/>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6"/>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结算单位为“元”。</w:t>
      </w:r>
      <w:r/>
    </w:p>
    <w:p>
      <w:pPr>
        <w:numPr>
          <w:ilvl w:val="0"/>
          <w:numId w:val="6"/>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投标供应商应由其法定代表人或法定代表人授权代表在规定的网上投标时间内，凭CA数字证书登陆苏采云平台获取招标文件，在投标客户端制作投标文件（电子数据），并在投标截止时间之前上传投标文件。</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8"/>
        </w:numPr>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电子投标文件中技术文件暗标部分有体现投标人身份的内容；</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不同投标人委托同一单位或者个人办理投标事宜的；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w:t>
      </w:r>
      <w:r>
        <w:rPr>
          <w:rFonts w:hint="eastAsia" w:ascii="宋体" w:hAnsi="宋体"/>
          <w:bCs/>
          <w:color w:val="auto"/>
          <w:sz w:val="24"/>
          <w:szCs w:val="24"/>
          <w:highlight w:val="none"/>
          <w:lang w:eastAsia="zh-CN"/>
        </w:rPr>
        <w:t xml:space="preserve">的其他</w:t>
      </w:r>
      <w:r>
        <w:rPr>
          <w:rFonts w:hint="eastAsia" w:ascii="宋体" w:hAnsi="宋体"/>
          <w:bCs/>
          <w:color w:val="auto"/>
          <w:sz w:val="24"/>
          <w:szCs w:val="24"/>
          <w:highlight w:val="none"/>
        </w:rPr>
        <w:t xml:space="preserve">实质性要求的；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w:t>
      </w:r>
      <w:r>
        <w:rPr>
          <w:rFonts w:hint="eastAsia" w:ascii="宋体" w:hAnsi="宋体"/>
          <w:bCs/>
          <w:color w:val="auto"/>
          <w:sz w:val="24"/>
          <w:szCs w:val="24"/>
          <w:highlight w:val="none"/>
          <w:lang w:eastAsia="zh-CN"/>
        </w:rPr>
        <w:t xml:space="preserve">的其他</w:t>
      </w:r>
      <w:r>
        <w:rPr>
          <w:rFonts w:hint="eastAsia" w:ascii="宋体" w:hAnsi="宋体"/>
          <w:bCs/>
          <w:color w:val="auto"/>
          <w:sz w:val="24"/>
          <w:szCs w:val="24"/>
          <w:highlight w:val="none"/>
        </w:rPr>
        <w:t xml:space="preserve">无效情形。</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（十）开标、评标：</w:t>
      </w:r>
      <w:r/>
    </w:p>
    <w:p>
      <w:pPr>
        <w:numPr>
          <w:ilvl w:val="1"/>
          <w:numId w:val="9"/>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9"/>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9"/>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9"/>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9"/>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投标人未参加开标的，视同认可开标结果。</w:t>
      </w:r>
      <w:r/>
    </w:p>
    <w:p>
      <w:pPr>
        <w:numPr>
          <w:ilvl w:val="1"/>
          <w:numId w:val="9"/>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评标工作由江苏智汇锡建工程项目管理有限公司负责组织，具体评标事务由依法组建的评标委员会负责。</w:t>
      </w:r>
      <w:r/>
    </w:p>
    <w:p>
      <w:pPr>
        <w:numPr>
          <w:ilvl w:val="0"/>
          <w:numId w:val="10"/>
        </w:numPr>
        <w:ind w:left="0" w:firstLine="523"/>
        <w:spacing w:line="360" w:lineRule="auto"/>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11"/>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11"/>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0"/>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10"/>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9"/>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9"/>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（十一）定标：</w:t>
      </w:r>
      <w:r/>
    </w:p>
    <w:p>
      <w:pPr>
        <w:numPr>
          <w:ilvl w:val="0"/>
          <w:numId w:val="12"/>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江苏智汇锡建工程项目管理有限公司将在无锡政府采购网、江苏政府采购网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2"/>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江苏智汇锡建工程项目管理有限公司向中标供应商</w:t>
      </w:r>
      <w:r>
        <w:rPr>
          <w:rFonts w:hint="eastAsia" w:ascii="宋体" w:hAnsi="宋体"/>
          <w:bCs/>
          <w:color w:val="auto"/>
          <w:sz w:val="24"/>
          <w:szCs w:val="24"/>
          <w:highlight w:val="none"/>
          <w:lang w:eastAsia="zh-CN"/>
        </w:rPr>
        <w:t xml:space="preserve">发出</w:t>
      </w:r>
      <w:r>
        <w:rPr>
          <w:rFonts w:hint="eastAsia" w:ascii="宋体" w:hAnsi="宋体"/>
          <w:bCs/>
          <w:color w:val="auto"/>
          <w:sz w:val="24"/>
          <w:szCs w:val="24"/>
          <w:highlight w:val="none"/>
        </w:rPr>
        <w:t xml:space="preserve">中标通知书。</w:t>
      </w:r>
      <w:r/>
    </w:p>
    <w:p>
      <w:pPr>
        <w:numPr>
          <w:ilvl w:val="0"/>
          <w:numId w:val="12"/>
        </w:numPr>
        <w:ind w:left="0" w:firstLine="523"/>
        <w:spacing w:line="360" w:lineRule="auto"/>
        <w:tabs>
          <w:tab w:val="left" w:pos="525" w:leader="none"/>
          <w:tab w:val="left" w:pos="945" w:leader="none"/>
          <w:tab w:val="left" w:pos="1155"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（十二）废标的确认：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13"/>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（十三）中标无效的确认：</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采取不正当手段诋毁、排挤其他投标人的；</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与招标采购单位、其他投标人恶意串通的；</w:t>
      </w:r>
      <w:r/>
    </w:p>
    <w:p>
      <w:pPr>
        <w:numPr>
          <w:ilvl w:val="2"/>
          <w:numId w:val="9"/>
        </w:numPr>
        <w:ind w:left="0" w:firstLine="523"/>
        <w:spacing w:line="360" w:lineRule="auto"/>
        <w:tabs>
          <w:tab w:val="clear" w:pos="1140" w:leader="none"/>
        </w:tabs>
        <w:rPr>
          <w:rFonts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2"/>
          <w:numId w:val="9"/>
        </w:numPr>
        <w:ind w:left="0" w:firstLine="523"/>
        <w:spacing w:line="360" w:lineRule="auto"/>
        <w:tabs>
          <w:tab w:val="clear" w:pos="1140" w:leader="none"/>
        </w:tabs>
        <w:rPr>
          <w:rFonts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9"/>
        </w:numPr>
        <w:ind w:left="0" w:firstLine="523"/>
        <w:spacing w:line="360" w:lineRule="auto"/>
        <w:tabs>
          <w:tab w:val="clear" w:pos="1140" w:leader="none"/>
        </w:tabs>
        <w:rPr>
          <w:rFonts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5"/>
        </w:numPr>
        <w:ind w:left="-105" w:firstLine="525"/>
        <w:spacing w:line="360" w:lineRule="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0"/>
          <w:numId w:val="15"/>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15"/>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9"/>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9"/>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9"/>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ascii="宋体" w:hAnsi="宋体"/>
          <w:bCs/>
          <w:color w:val="auto"/>
          <w:sz w:val="24"/>
          <w:highlight w:val="none"/>
        </w:rPr>
      </w:pPr>
      <w:r>
        <w:rPr>
          <w:rFonts w:hint="eastAsia" w:ascii="宋体" w:hAnsi="宋体"/>
          <w:color w:val="auto"/>
          <w:sz w:val="24"/>
          <w:highlight w:val="none"/>
        </w:rPr>
        <w:t xml:space="preserve">1.本项目招标代理服务费以中标金额为计费基础，按差额定率累进法计算：</w:t>
      </w:r>
      <w:r>
        <w:rPr>
          <w:rFonts w:ascii="宋体" w:hAnsi="宋体"/>
          <w:color w:val="auto"/>
          <w:sz w:val="24"/>
          <w:highlight w:val="none"/>
        </w:rPr>
        <w:t xml:space="preserve">100万以下费率为1.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100万－500万</w:t>
      </w:r>
      <w:r>
        <w:rPr>
          <w:rFonts w:ascii="宋体" w:hAnsi="宋体"/>
          <w:color w:val="auto"/>
          <w:sz w:val="24"/>
          <w:highlight w:val="none"/>
        </w:rPr>
        <w:t xml:space="preserve">费率为</w:t>
      </w:r>
      <w:r>
        <w:rPr>
          <w:rFonts w:hint="eastAsia" w:ascii="宋体" w:hAnsi="宋体"/>
          <w:color w:val="auto"/>
          <w:sz w:val="24"/>
          <w:highlight w:val="none"/>
        </w:rPr>
        <w:t xml:space="preserve">0.8</w:t>
      </w:r>
      <w:r>
        <w:rPr>
          <w:rFonts w:ascii="宋体" w:hAnsi="宋体"/>
          <w:color w:val="auto"/>
          <w:sz w:val="24"/>
          <w:highlight w:val="none"/>
        </w:rPr>
        <w:t xml:space="preserve">%</w:t>
      </w:r>
      <w:r>
        <w:rPr>
          <w:rFonts w:hint="eastAsia" w:ascii="宋体" w:hAnsi="宋体"/>
          <w:color w:val="auto"/>
          <w:sz w:val="24"/>
          <w:highlight w:val="none"/>
          <w:lang w:eastAsia="zh-CN"/>
        </w:rPr>
        <w:t xml:space="preserve">，500万-1000万</w:t>
      </w:r>
      <w:r>
        <w:rPr>
          <w:rFonts w:hint="eastAsia" w:ascii="宋体" w:hAnsi="宋体" w:eastAsia="宋体" w:cs="宋体"/>
          <w:color w:val="auto"/>
          <w:sz w:val="24"/>
          <w:highlight w:val="none"/>
        </w:rPr>
        <w:t xml:space="preserve">费率为0.</w:t>
      </w:r>
      <w:r>
        <w:rPr>
          <w:rFonts w:hint="eastAsia" w:ascii="宋体" w:hAnsi="宋体" w:eastAsia="宋体" w:cs="宋体"/>
          <w:color w:val="auto"/>
          <w:sz w:val="24"/>
          <w:highlight w:val="none"/>
          <w:lang w:val="en-US" w:eastAsia="zh-CN"/>
        </w:rPr>
        <w:t xml:space="preserve">45</w:t>
      </w:r>
      <w:r>
        <w:rPr>
          <w:rFonts w:hint="eastAsia" w:ascii="宋体" w:hAnsi="宋体" w:eastAsia="宋体" w:cs="宋体"/>
          <w:color w:val="auto"/>
          <w:sz w:val="24"/>
          <w:highlight w:val="none"/>
        </w:rPr>
        <w:t xml:space="preserve">%</w:t>
      </w:r>
      <w:r>
        <w:rPr>
          <w:rFonts w:hint="eastAsia" w:ascii="宋体" w:hAnsi="宋体"/>
          <w:bCs/>
          <w:color w:val="auto"/>
          <w:sz w:val="24"/>
          <w:highlight w:val="none"/>
        </w:rPr>
        <w:t xml:space="preserve">；在此基础上打七折计取。</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2.领取中标通知书时由中标供应商向采购代理机构一次性付清。</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采购代理机构将保留诉讼的权利。</w:t>
      </w:r>
      <w:r/>
    </w:p>
    <w:p>
      <w:pPr>
        <w:ind w:firstLine="480"/>
        <w:spacing w:line="360" w:lineRule="auto"/>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pStyle w:val="678"/>
        <w:rPr>
          <w:color w:val="auto"/>
          <w:highlight w:val="none"/>
        </w:rPr>
      </w:pPr>
      <w:r>
        <w:rPr>
          <w:color w:val="auto"/>
          <w:highlight w:val="none"/>
        </w:rPr>
      </w:r>
      <w:r/>
    </w:p>
    <w:p>
      <w:pPr>
        <w:jc w:val="center"/>
        <w:spacing w:line="360" w:lineRule="auto"/>
        <w:rPr>
          <w:rFonts w:ascii="黑体" w:eastAsia="黑体"/>
          <w:bCs/>
          <w:color w:val="auto"/>
          <w:sz w:val="30"/>
          <w:szCs w:val="30"/>
          <w:highlight w:val="none"/>
        </w:rPr>
        <w:outlineLvl w:val="0"/>
      </w:pPr>
      <w:r>
        <w:rPr>
          <w:rFonts w:hint="eastAsia" w:ascii="宋体" w:hAnsi="宋体"/>
          <w:bCs/>
          <w:color w:val="auto"/>
          <w:sz w:val="24"/>
          <w:szCs w:val="24"/>
          <w:highlight w:val="none"/>
        </w:rPr>
        <w:br w:type="page" w:clear="all"/>
      </w:r>
      <w:bookmarkStart w:id="6" w:name="_GoBack"/>
      <w:r/>
      <w:bookmarkEnd w:id="6"/>
      <w:r>
        <w:rPr>
          <w:rFonts w:hint="eastAsia" w:ascii="黑体" w:eastAsia="黑体"/>
          <w:bCs/>
          <w:color w:val="auto"/>
          <w:sz w:val="30"/>
          <w:szCs w:val="30"/>
          <w:highlight w:val="none"/>
        </w:rPr>
        <w:t xml:space="preserve">三</w:t>
      </w:r>
      <w:r>
        <w:rPr>
          <w:rFonts w:hint="eastAsia" w:ascii="黑体" w:eastAsia="黑体"/>
          <w:bCs/>
          <w:color w:val="auto"/>
          <w:sz w:val="30"/>
          <w:szCs w:val="30"/>
          <w:highlight w:val="none"/>
          <w:lang w:val="en-US" w:eastAsia="zh-CN"/>
        </w:rPr>
        <w:t xml:space="preserve">.</w:t>
      </w:r>
      <w:r>
        <w:rPr>
          <w:rFonts w:hint="eastAsia" w:ascii="黑体" w:eastAsia="黑体"/>
          <w:b/>
          <w:color w:val="auto"/>
          <w:sz w:val="30"/>
          <w:szCs w:val="30"/>
          <w:highlight w:val="none"/>
        </w:rPr>
        <w:t xml:space="preserve">项目技术要求和有关说明</w:t>
      </w:r>
      <w:r/>
    </w:p>
    <w:p>
      <w:pPr>
        <w:spacing w:line="440" w:lineRule="exact"/>
        <w:widowControl/>
        <w:rPr>
          <w:rFonts w:hint="eastAsia" w:ascii="宋体" w:hAnsi="宋体" w:cs="宋体"/>
          <w:b/>
          <w:bCs/>
          <w:color w:val="auto"/>
          <w:sz w:val="24"/>
          <w:highlight w:val="none"/>
        </w:rPr>
      </w:pPr>
      <w:r>
        <w:rPr>
          <w:rFonts w:hint="eastAsia" w:ascii="宋体" w:hAnsi="宋体" w:cs="Arial"/>
          <w:b/>
          <w:color w:val="auto"/>
          <w:sz w:val="24"/>
          <w:highlight w:val="none"/>
        </w:rPr>
        <w:t xml:space="preserve">一、采购标的需实现的功能或者目标，以及为落实政府采购政策需满足的要求：</w:t>
      </w:r>
      <w:r>
        <w:rPr>
          <w:rFonts w:hint="eastAsia" w:ascii="宋体" w:hAnsi="宋体"/>
          <w:color w:val="auto"/>
          <w:sz w:val="24"/>
          <w:highlight w:val="none"/>
        </w:rPr>
        <w:t xml:space="preserve">/</w:t>
      </w:r>
      <w:r/>
    </w:p>
    <w:p>
      <w:pPr>
        <w:spacing w:line="440" w:lineRule="exact"/>
        <w:rPr>
          <w:rFonts w:hint="eastAsia" w:ascii="宋体" w:hAnsi="宋体" w:cs="Arial"/>
          <w:b/>
          <w:color w:val="auto"/>
          <w:sz w:val="24"/>
          <w:highlight w:val="none"/>
        </w:rPr>
      </w:pPr>
      <w:r>
        <w:rPr>
          <w:rFonts w:hint="eastAsia" w:ascii="宋体" w:hAnsi="宋体" w:cs="宋体"/>
          <w:b/>
          <w:bCs/>
          <w:color w:val="auto"/>
          <w:sz w:val="24"/>
          <w:highlight w:val="none"/>
        </w:rPr>
        <w:t xml:space="preserve">二、</w:t>
      </w:r>
      <w:r>
        <w:rPr>
          <w:rFonts w:hint="eastAsia" w:ascii="宋体" w:hAnsi="宋体" w:cs="Arial"/>
          <w:b/>
          <w:color w:val="auto"/>
          <w:sz w:val="24"/>
          <w:highlight w:val="none"/>
        </w:rPr>
        <w:t xml:space="preserve">采购标的需执行的国家相关标准、行业标准、地方标准或者其他标准、规范：</w:t>
      </w:r>
      <w:r/>
    </w:p>
    <w:p>
      <w:pPr>
        <w:ind w:firstLine="480"/>
        <w:spacing w:line="440" w:lineRule="exact"/>
        <w:rPr>
          <w:rFonts w:ascii="宋体" w:hAnsi="宋体" w:cs="Arial"/>
          <w:color w:val="auto"/>
          <w:sz w:val="24"/>
          <w:highlight w:val="none"/>
        </w:rPr>
      </w:pPr>
      <w:r>
        <w:rPr>
          <w:rFonts w:hint="eastAsia" w:ascii="宋体" w:hAnsi="宋体" w:cs="Arial"/>
          <w:color w:val="auto"/>
          <w:sz w:val="24"/>
          <w:highlight w:val="none"/>
        </w:rPr>
        <w:t xml:space="preserve">《中华人民共和国政府采购法</w:t>
      </w:r>
      <w:r>
        <w:rPr>
          <w:rFonts w:hint="eastAsia" w:ascii="宋体" w:hAnsi="宋体" w:cs="Arial"/>
          <w:color w:val="auto"/>
          <w:sz w:val="24"/>
          <w:highlight w:val="none"/>
          <w:lang w:eastAsia="zh-CN"/>
        </w:rPr>
        <w:t xml:space="preserve">》《</w:t>
      </w:r>
      <w:r>
        <w:rPr>
          <w:rFonts w:hint="eastAsia" w:ascii="宋体" w:hAnsi="宋体" w:cs="宋体"/>
          <w:color w:val="auto"/>
          <w:sz w:val="24"/>
          <w:highlight w:val="none"/>
        </w:rPr>
        <w:t xml:space="preserve">无锡市建设工程文明施工管理办法</w:t>
      </w:r>
      <w:r>
        <w:rPr>
          <w:rFonts w:hint="eastAsia" w:ascii="宋体" w:hAnsi="宋体" w:cs="宋体"/>
          <w:color w:val="auto"/>
          <w:sz w:val="24"/>
          <w:highlight w:val="none"/>
          <w:lang w:eastAsia="zh-CN"/>
        </w:rPr>
        <w:t xml:space="preserve">》《城镇排水管渠与泵站运行、维护及安全技术规程</w:t>
      </w:r>
      <w:r>
        <w:rPr>
          <w:rFonts w:hint="eastAsia" w:ascii="宋体" w:hAnsi="宋体" w:cs="宋体"/>
          <w:color w:val="auto"/>
          <w:sz w:val="24"/>
          <w:highlight w:val="none"/>
        </w:rPr>
        <w:t xml:space="preserve">》（CJJ68-2016）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《新吴区公共雨污水管网（设施）养护作业参考标准》和</w:t>
      </w:r>
      <w:r>
        <w:rPr>
          <w:rFonts w:hint="eastAsia" w:ascii="宋体" w:hAnsi="宋体" w:cs="宋体"/>
          <w:color w:val="auto"/>
          <w:sz w:val="24"/>
          <w:highlight w:val="none"/>
          <w:lang w:eastAsia="zh-CN"/>
        </w:rPr>
        <w:t xml:space="preserve">《无锡市城区污水管网运行维护管理考核细则》（试行）</w:t>
      </w:r>
      <w:r>
        <w:rPr>
          <w:rFonts w:hint="eastAsia" w:ascii="宋体" w:hAnsi="宋体" w:cs="Arial"/>
          <w:color w:val="auto"/>
          <w:sz w:val="24"/>
          <w:highlight w:val="none"/>
        </w:rPr>
        <w:t xml:space="preserve">等其他法律法规以及江苏省和无锡市行业主管部门颁布的相关文件规定，如</w:t>
      </w:r>
      <w:r>
        <w:rPr>
          <w:rFonts w:hint="eastAsia" w:ascii="宋体" w:hAnsi="宋体" w:cs="Arial"/>
          <w:color w:val="auto"/>
          <w:sz w:val="24"/>
          <w:highlight w:val="none"/>
          <w:lang w:eastAsia="zh-CN"/>
        </w:rPr>
        <w:t xml:space="preserve">地方性法规</w:t>
      </w:r>
      <w:r>
        <w:rPr>
          <w:rFonts w:hint="eastAsia" w:ascii="宋体" w:hAnsi="宋体" w:cs="Arial"/>
          <w:color w:val="auto"/>
          <w:sz w:val="24"/>
          <w:highlight w:val="none"/>
        </w:rPr>
        <w:t xml:space="preserve">与国家法规相抵触，按国家法规执行。</w:t>
      </w:r>
      <w:r/>
    </w:p>
    <w:p>
      <w:pPr>
        <w:spacing w:line="440" w:lineRule="exact"/>
        <w:rPr>
          <w:rFonts w:ascii="宋体" w:hAnsi="宋体" w:cs="Arial"/>
          <w:b/>
          <w:color w:val="auto"/>
          <w:sz w:val="24"/>
          <w:highlight w:val="none"/>
        </w:rPr>
      </w:pPr>
      <w:r>
        <w:rPr>
          <w:rFonts w:hint="eastAsia" w:ascii="宋体" w:hAnsi="宋体" w:cs="Arial"/>
          <w:b/>
          <w:color w:val="auto"/>
          <w:sz w:val="24"/>
          <w:highlight w:val="none"/>
        </w:rPr>
        <w:t xml:space="preserve">三、本项目需满足的质量、安全、技术规格、物理特性等要求：</w:t>
      </w:r>
      <w:r/>
    </w:p>
    <w:p>
      <w:pPr>
        <w:ind w:firstLine="480"/>
        <w:spacing w:line="440" w:lineRule="exact"/>
        <w:tabs>
          <w:tab w:val="left" w:pos="1050" w:leader="none"/>
        </w:tabs>
        <w:rPr>
          <w:rFonts w:hint="eastAsia" w:ascii="宋体" w:hAnsi="宋体" w:cs="宋体"/>
          <w:color w:val="auto"/>
          <w:sz w:val="24"/>
          <w:highlight w:val="none"/>
        </w:rPr>
      </w:pPr>
      <w:r>
        <w:rPr>
          <w:rFonts w:hint="eastAsia" w:ascii="宋体" w:hAnsi="宋体" w:cs="宋体"/>
          <w:color w:val="auto"/>
          <w:sz w:val="24"/>
          <w:highlight w:val="none"/>
        </w:rPr>
        <w:t xml:space="preserve">（一）养护的质量标准和要求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1、质量验收标准：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A</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依据《</w:t>
      </w:r>
      <w:r>
        <w:rPr>
          <w:rFonts w:hint="eastAsia" w:ascii="宋体" w:hAnsi="宋体" w:cs="宋体"/>
          <w:color w:val="auto"/>
          <w:sz w:val="24"/>
          <w:highlight w:val="none"/>
          <w:lang w:eastAsia="zh-CN"/>
        </w:rPr>
        <w:t xml:space="preserve">城镇排水管渠与泵站运行、维护及安全技术规程</w:t>
      </w:r>
      <w:r>
        <w:rPr>
          <w:rFonts w:hint="eastAsia" w:ascii="宋体" w:hAnsi="宋体" w:cs="宋体"/>
          <w:color w:val="auto"/>
          <w:sz w:val="24"/>
          <w:highlight w:val="none"/>
        </w:rPr>
        <w:t xml:space="preserve">》（CJJ68-2016）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《新吴区公共雨污水管网（设施）养护作业参考标准》</w:t>
      </w:r>
      <w:r>
        <w:rPr>
          <w:rFonts w:hint="eastAsia" w:ascii="宋体" w:hAnsi="宋体" w:cs="宋体"/>
          <w:color w:val="auto"/>
          <w:sz w:val="24"/>
          <w:highlight w:val="none"/>
        </w:rPr>
        <w:t xml:space="preserve">执行。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B</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排水设施每日进行巡查，确保沟管畅通，检查井井框盖完好吻合，井内的积淤符合要求，井圈和井盖开裂、丢失应在6小时之内补装完整，并做好安全保护警示措施，以防发生意外事故。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在对排水设施进行维修时，应按《无锡市建设工程文明施工管理办法》（市人民政府令第120号）和《无锡市建设工程安全生产管理条例》的要求实施，同时交通围护也应符合有关规范和规定的要求。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2、考核方法和内容：</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A</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考核分月度考核、年度考核。考核表</w:t>
      </w:r>
      <w:r>
        <w:rPr>
          <w:rFonts w:hint="eastAsia" w:ascii="宋体" w:hAnsi="宋体" w:cs="宋体"/>
          <w:color w:val="auto"/>
          <w:sz w:val="24"/>
          <w:highlight w:val="none"/>
          <w:lang w:eastAsia="zh-CN"/>
        </w:rPr>
        <w:t xml:space="preserve">参考</w:t>
      </w:r>
      <w:r>
        <w:rPr>
          <w:rFonts w:hint="eastAsia" w:ascii="宋体" w:hAnsi="宋体" w:cs="宋体"/>
          <w:color w:val="auto"/>
          <w:sz w:val="24"/>
          <w:highlight w:val="none"/>
        </w:rPr>
        <w:t xml:space="preserve">《养护管理考核表》。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B</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各排水管理机构（江溪街道）按月考得分向运行维护单位支付运行维护经费。月考得分在90分以上（包括90分），则全额支付该月度运行维护费用。月考得分在85～90分（包括85分）则扣除当月养护经费的</w:t>
      </w:r>
      <w:r>
        <w:rPr>
          <w:rFonts w:hint="default" w:ascii="宋体" w:hAnsi="宋体" w:cs="宋体"/>
          <w:color w:val="auto"/>
          <w:sz w:val="24"/>
          <w:highlight w:val="none"/>
          <w:lang w:val="en-US"/>
        </w:rPr>
        <w:t xml:space="preserve">5</w:t>
      </w:r>
      <w:r>
        <w:rPr>
          <w:rFonts w:hint="eastAsia" w:ascii="宋体" w:hAnsi="宋体" w:cs="宋体"/>
          <w:color w:val="auto"/>
          <w:sz w:val="24"/>
          <w:highlight w:val="none"/>
        </w:rPr>
        <w:t xml:space="preserve">%；月考得分在80～85分（包括80分）则扣除当月养护经费的</w:t>
      </w:r>
      <w:r>
        <w:rPr>
          <w:rFonts w:hint="default" w:ascii="宋体" w:hAnsi="宋体" w:cs="宋体"/>
          <w:color w:val="auto"/>
          <w:sz w:val="24"/>
          <w:highlight w:val="none"/>
          <w:lang w:val="en-US"/>
        </w:rPr>
        <w:t xml:space="preserve">1</w:t>
      </w:r>
      <w:r>
        <w:rPr>
          <w:rFonts w:hint="eastAsia" w:ascii="宋体" w:hAnsi="宋体" w:cs="宋体"/>
          <w:color w:val="auto"/>
          <w:sz w:val="24"/>
          <w:highlight w:val="none"/>
        </w:rPr>
        <w:t xml:space="preserve">0%；考核分低于80分的则扣除当月养护经费的</w:t>
      </w:r>
      <w:r>
        <w:rPr>
          <w:rFonts w:hint="default" w:ascii="宋体" w:hAnsi="宋体" w:cs="宋体"/>
          <w:color w:val="auto"/>
          <w:sz w:val="24"/>
          <w:highlight w:val="none"/>
          <w:lang w:val="en-US"/>
        </w:rPr>
        <w:t xml:space="preserve">2</w:t>
      </w:r>
      <w:r>
        <w:rPr>
          <w:rFonts w:hint="eastAsia" w:ascii="宋体" w:hAnsi="宋体" w:cs="宋体"/>
          <w:color w:val="auto"/>
          <w:sz w:val="24"/>
          <w:highlight w:val="none"/>
        </w:rPr>
        <w:t xml:space="preserve">0%，或暂缓支付养护经费，待整改到位后支付。同时甲方有权无条件单方面终止该合同。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注：每月考核经费为计算年度经费/12，如需扣除养护经费，在每个支付期支付时扣除相应的经费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中标单位应建立有效的运行维护信息，按养护规范要求频率进行巡查。同时，每年对排水设施运行维护信息进行汇总。制作运行维护信息年报表。分别于每年12月底前报（江溪街道环境保护科），并做好信息更新工作。巡视不到位、频率不满足要求、资料不齐全、不准确等，按《养护管理考核表》处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4、中标单位必须严格按照《</w:t>
      </w:r>
      <w:r>
        <w:rPr>
          <w:rFonts w:hint="eastAsia" w:ascii="宋体" w:hAnsi="宋体" w:cs="宋体"/>
          <w:color w:val="auto"/>
          <w:sz w:val="24"/>
          <w:highlight w:val="none"/>
          <w:lang w:eastAsia="zh-CN"/>
        </w:rPr>
        <w:t xml:space="preserve">城镇排水管渠与泵站运行、维护及安全技术规程</w:t>
      </w:r>
      <w:r>
        <w:rPr>
          <w:rFonts w:hint="eastAsia" w:ascii="宋体" w:hAnsi="宋体" w:cs="宋体"/>
          <w:color w:val="auto"/>
          <w:sz w:val="24"/>
          <w:highlight w:val="none"/>
        </w:rPr>
        <w:t xml:space="preserve">》（CJJ68-2016）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《新吴区公共雨污水管网（设施）养护作业参考标准》</w:t>
      </w:r>
      <w:r>
        <w:rPr>
          <w:rFonts w:hint="eastAsia" w:ascii="宋体" w:hAnsi="宋体" w:cs="宋体"/>
          <w:color w:val="auto"/>
          <w:sz w:val="24"/>
          <w:highlight w:val="none"/>
        </w:rPr>
        <w:t xml:space="preserve">和市、区有关养护作业标准等的规定。养护技术规范进行作业，针对病害维修要及时、规范，每月按时上报维修工作量、维修质量检查评定情况以及下月维修计划。并将自检评定资料于11月底前上报至甲方备案，甲方进行抽查复检单元设施综合完好率，如不及时交纳，按《养护管理考核表》处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5、养护质量考核要求：中标单位严格按照执行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A</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依据《城镇排水管渠与泵站运行、维护及安全技术规程》（CJJ68-2016）</w:t>
      </w:r>
      <w:r>
        <w:rPr>
          <w:rFonts w:hint="eastAsia" w:ascii="宋体" w:hAnsi="宋体" w:cs="宋体"/>
          <w:color w:val="auto"/>
          <w:sz w:val="24"/>
          <w:highlight w:val="none"/>
          <w:lang w:eastAsia="zh-CN"/>
        </w:rPr>
        <w:t xml:space="preserve">和</w:t>
      </w:r>
      <w:r>
        <w:rPr>
          <w:rFonts w:hint="eastAsia" w:ascii="宋体" w:hAnsi="宋体" w:cs="宋体"/>
          <w:color w:val="auto"/>
          <w:sz w:val="24"/>
          <w:highlight w:val="none"/>
        </w:rPr>
        <w:t xml:space="preserve">《新吴区公共雨污水管网（设施）养护作业参考标准》执行。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B</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排水设施每日巡查，确保沟管畅通，检查井井框盖完好吻合，井内的积淤符合要求，井圈和井盖开裂、丢失应在6小时之内补装完整，并做好安全保护警示措施，以防发生意外事故。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在对排水设施进行维修时，应按《无锡市建设工程文明施工管理办法》（市人民政府令第120号）和《无锡市建设工程安全生产管理条例》的要求实施，同时交通围护也应符合有关规范和规定的要求。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达到养护质量验收要求的，按时支付养护经费，未达到养护质量验收要求的，重新返工，费用由中标单位承担。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6、安全责任：养护作业权合同期内，因养护不及时、不合格或不规范及对养护区域内存在安全隐患的设施清理处置不及时等原因所造成人身伤亡及安全等事故，其费用和责任由中标单位负责承担。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7、中标单价不含大中修费用，在养护作业合同期限内不作调整。</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8、具体考核扣分标准详见《养护管理考核表》。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（二）管道及其附属设施的检查与养护要求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管道及其附属设施的检查与养护要求：要求中标单位应定期对管道及其附属设施进行检查、维护，确保管道始终保持良好的通水功能和结构状态。巡查内容主要包括管道裂缝、腐蚀、沉降、变形、错口、脱节、破损、孔洞、异管穿入、渗漏、冒溢等情况。</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2、养护单位应在事故发生或接到报障、</w:t>
      </w:r>
      <w:r>
        <w:rPr>
          <w:rFonts w:hint="eastAsia" w:ascii="宋体" w:hAnsi="宋体" w:cs="宋体"/>
          <w:color w:val="auto"/>
          <w:sz w:val="24"/>
          <w:highlight w:val="none"/>
          <w:lang w:eastAsia="zh-CN"/>
        </w:rPr>
        <w:t xml:space="preserve">报修</w:t>
      </w:r>
      <w:r>
        <w:rPr>
          <w:rFonts w:hint="eastAsia" w:ascii="宋体" w:hAnsi="宋体" w:cs="宋体"/>
          <w:color w:val="auto"/>
          <w:sz w:val="24"/>
          <w:highlight w:val="none"/>
        </w:rPr>
        <w:t xml:space="preserve">、投诉后2小时内到达现场，组织调查、抢修。重大事故应在12小时内向（江溪街道环境保护科）报告。</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3、养护方式可采用机械作业与人工作业相结合，具体应根据管径、管材、施工工艺等不同区别对待。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4.养护单位应严格按照下表规定对检查井、排放口、管道、倒虹管等进行检查，并建立相应的检查记录以备核查。</w:t>
      </w:r>
      <w:r/>
    </w:p>
    <w:p>
      <w:pPr>
        <w:ind w:firstLine="480"/>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管道及附属设施的检查要求表</w:t>
      </w:r>
      <w:r/>
    </w:p>
    <w:tbl>
      <w:tblPr>
        <w:tblStyle w:val="67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2"/>
        <w:gridCol w:w="1500"/>
        <w:gridCol w:w="6456"/>
      </w:tblGrid>
      <w:tr>
        <w:trPr>
          <w:jc w:val="center"/>
        </w:trPr>
        <w:tc>
          <w:tcPr>
            <w:tcW w:w="1005"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设施种类</w:t>
            </w:r>
            <w:r/>
          </w:p>
        </w:tc>
        <w:tc>
          <w:tcPr>
            <w:tcW w:w="753"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检查方法</w:t>
            </w:r>
            <w:r/>
          </w:p>
        </w:tc>
        <w:tc>
          <w:tcPr>
            <w:tcW w:w="3241"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检查内容</w:t>
            </w:r>
            <w:r/>
          </w:p>
        </w:tc>
      </w:tr>
      <w:tr>
        <w:trPr>
          <w:jc w:val="center"/>
        </w:trPr>
        <w:tc>
          <w:tcPr>
            <w:tcW w:w="1005"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检查井</w:t>
            </w:r>
            <w:r/>
          </w:p>
        </w:tc>
        <w:tc>
          <w:tcPr>
            <w:tcW w:w="753"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目测</w:t>
            </w:r>
            <w:r/>
          </w:p>
        </w:tc>
        <w:tc>
          <w:tcPr>
            <w:tcW w:w="3241"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违章占压、违章接管、井盖井座、梯蹬、井壁结垢、井底积泥、井身结构等</w:t>
            </w:r>
            <w:r/>
          </w:p>
        </w:tc>
      </w:tr>
      <w:tr>
        <w:trPr>
          <w:jc w:val="center"/>
        </w:trPr>
        <w:tc>
          <w:tcPr>
            <w:tcW w:w="1005" w:type="pct"/>
            <w:vAlign w:val="center"/>
            <w:vMerge w:val="restart"/>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管道</w:t>
            </w:r>
            <w:r/>
          </w:p>
        </w:tc>
        <w:tc>
          <w:tcPr>
            <w:tcW w:w="753"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目测</w:t>
            </w:r>
            <w:r/>
          </w:p>
        </w:tc>
        <w:tc>
          <w:tcPr>
            <w:tcW w:w="3241"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违章占压、地面塌陷、水位、水流、淤积情况等</w:t>
            </w:r>
            <w:r/>
          </w:p>
        </w:tc>
      </w:tr>
      <w:tr>
        <w:trPr>
          <w:jc w:val="center"/>
          <w:trHeight w:val="672"/>
        </w:trPr>
        <w:tc>
          <w:tcPr>
            <w:tcW w:w="1005" w:type="pct"/>
            <w:vAlign w:val="center"/>
            <w:vMerge w:val="continue"/>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r>
            <w:r/>
          </w:p>
        </w:tc>
        <w:tc>
          <w:tcPr>
            <w:tcW w:w="753"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管道反光镜或电视检测</w:t>
            </w:r>
            <w:r/>
          </w:p>
        </w:tc>
        <w:tc>
          <w:tcPr>
            <w:tcW w:w="3241"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变形、腐蚀、渗漏、接口、结垢、错接等</w:t>
            </w:r>
            <w:r/>
          </w:p>
        </w:tc>
      </w:tr>
      <w:tr>
        <w:trPr>
          <w:jc w:val="center"/>
        </w:trPr>
        <w:tc>
          <w:tcPr>
            <w:tcW w:w="1005" w:type="pct"/>
            <w:vAlign w:val="center"/>
            <w:vMerge w:val="restart"/>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倒虹管（一般是满水管，无法检查必须定期清淤）</w:t>
            </w:r>
            <w:r/>
          </w:p>
        </w:tc>
        <w:tc>
          <w:tcPr>
            <w:tcW w:w="753"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目测</w:t>
            </w:r>
            <w:r/>
          </w:p>
        </w:tc>
        <w:tc>
          <w:tcPr>
            <w:tcW w:w="3241"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标志牌、两端水位差、闸门等</w:t>
            </w:r>
            <w:r/>
          </w:p>
        </w:tc>
      </w:tr>
      <w:tr>
        <w:trPr>
          <w:jc w:val="center"/>
        </w:trPr>
        <w:tc>
          <w:tcPr>
            <w:tcW w:w="1005" w:type="pct"/>
            <w:vAlign w:val="center"/>
            <w:vMerge w:val="continue"/>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r>
            <w:r/>
          </w:p>
        </w:tc>
        <w:tc>
          <w:tcPr>
            <w:tcW w:w="753"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电视检测</w:t>
            </w:r>
            <w:r/>
          </w:p>
        </w:tc>
        <w:tc>
          <w:tcPr>
            <w:tcW w:w="3241"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淤积、腐蚀、接口渗漏、河床冲刷、管顶覆土等</w:t>
            </w:r>
            <w:r/>
          </w:p>
        </w:tc>
      </w:tr>
      <w:tr>
        <w:trPr>
          <w:jc w:val="center"/>
        </w:trPr>
        <w:tc>
          <w:tcPr>
            <w:tcW w:w="1005"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三格式化粪池</w:t>
            </w:r>
            <w:r/>
          </w:p>
        </w:tc>
        <w:tc>
          <w:tcPr>
            <w:tcW w:w="753"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目测</w:t>
            </w:r>
            <w:r/>
          </w:p>
        </w:tc>
        <w:tc>
          <w:tcPr>
            <w:tcW w:w="3241"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违章占压、变形、结垢、渗漏、淤积情况等</w:t>
            </w:r>
            <w:r/>
          </w:p>
        </w:tc>
      </w:tr>
      <w:tr>
        <w:trPr>
          <w:jc w:val="center"/>
        </w:trPr>
        <w:tc>
          <w:tcPr>
            <w:tcW w:w="1005"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隔油池和捞毛设施</w:t>
            </w:r>
            <w:r/>
          </w:p>
        </w:tc>
        <w:tc>
          <w:tcPr>
            <w:tcW w:w="753"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目测</w:t>
            </w:r>
            <w:r/>
          </w:p>
        </w:tc>
        <w:tc>
          <w:tcPr>
            <w:tcW w:w="3241" w:type="pct"/>
            <w:vAlign w:val="center"/>
            <w:textDirection w:val="lrTb"/>
            <w:noWrap w:val="false"/>
          </w:tcPr>
          <w:p>
            <w:pPr>
              <w:jc w:val="center"/>
              <w:spacing w:line="440" w:lineRule="exact"/>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违章占压、变形、结垢、淤积情况等</w:t>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5、检查井日常巡查检查的内容应符合下表规定</w:t>
      </w:r>
      <w:r/>
    </w:p>
    <w:tbl>
      <w:tblPr>
        <w:tblStyle w:val="67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8"/>
        <w:gridCol w:w="2122"/>
        <w:gridCol w:w="2046"/>
        <w:gridCol w:w="2941"/>
        <w:gridCol w:w="1303"/>
      </w:tblGrid>
      <w:tr>
        <w:trPr>
          <w:jc w:val="center"/>
        </w:trPr>
        <w:tc>
          <w:tcPr>
            <w:tcW w:w="77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部位</w:t>
            </w:r>
            <w:r/>
          </w:p>
        </w:tc>
        <w:tc>
          <w:tcPr>
            <w:gridSpan w:val="2"/>
            <w:tcW w:w="2092"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外部巡查</w:t>
            </w:r>
            <w:r/>
          </w:p>
        </w:tc>
        <w:tc>
          <w:tcPr>
            <w:gridSpan w:val="2"/>
            <w:tcW w:w="213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内部检查</w:t>
            </w:r>
            <w:r/>
          </w:p>
        </w:tc>
      </w:tr>
      <w:tr>
        <w:trPr>
          <w:jc w:val="center"/>
        </w:trPr>
        <w:tc>
          <w:tcPr>
            <w:tcW w:w="777" w:type="pct"/>
            <w:vAlign w:val="center"/>
            <w:vMerge w:val="restart"/>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内容</w:t>
            </w:r>
            <w:r/>
          </w:p>
        </w:tc>
        <w:tc>
          <w:tcPr>
            <w:tcW w:w="106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井的位置标识</w:t>
            </w:r>
            <w:r/>
          </w:p>
        </w:tc>
        <w:tc>
          <w:tcPr>
            <w:tcW w:w="102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盖、框高差</w:t>
            </w:r>
            <w:r/>
          </w:p>
        </w:tc>
        <w:tc>
          <w:tcPr>
            <w:tcW w:w="147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井位标高、井深的标识</w:t>
            </w:r>
            <w:r/>
          </w:p>
        </w:tc>
        <w:tc>
          <w:tcPr>
            <w:tcW w:w="6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管口孔洞</w:t>
            </w:r>
            <w:r/>
          </w:p>
        </w:tc>
      </w:tr>
      <w:tr>
        <w:trPr>
          <w:jc w:val="center"/>
        </w:trPr>
        <w:tc>
          <w:tcPr>
            <w:tcW w:w="777"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6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井盖埋没</w:t>
            </w:r>
            <w:r/>
          </w:p>
        </w:tc>
        <w:tc>
          <w:tcPr>
            <w:tcW w:w="102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盖框突出或凹陷</w:t>
            </w:r>
            <w:r/>
          </w:p>
        </w:tc>
        <w:tc>
          <w:tcPr>
            <w:tcW w:w="147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爬梯松动、锈蚀或缺损</w:t>
            </w:r>
            <w:r/>
          </w:p>
        </w:tc>
        <w:tc>
          <w:tcPr>
            <w:tcW w:w="6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流槽破损</w:t>
            </w:r>
            <w:r/>
          </w:p>
        </w:tc>
      </w:tr>
      <w:tr>
        <w:trPr>
          <w:jc w:val="center"/>
        </w:trPr>
        <w:tc>
          <w:tcPr>
            <w:tcW w:w="777"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6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井盖丢失</w:t>
            </w:r>
            <w:r/>
          </w:p>
        </w:tc>
        <w:tc>
          <w:tcPr>
            <w:tcW w:w="102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跳动和声响</w:t>
            </w:r>
            <w:r/>
          </w:p>
        </w:tc>
        <w:tc>
          <w:tcPr>
            <w:tcW w:w="147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井壁泥垢</w:t>
            </w:r>
            <w:r/>
          </w:p>
        </w:tc>
        <w:tc>
          <w:tcPr>
            <w:tcW w:w="6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井底积泥</w:t>
            </w:r>
            <w:r/>
          </w:p>
        </w:tc>
      </w:tr>
      <w:tr>
        <w:trPr>
          <w:jc w:val="center"/>
        </w:trPr>
        <w:tc>
          <w:tcPr>
            <w:tcW w:w="777"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6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井盖破损</w:t>
            </w:r>
            <w:r/>
          </w:p>
        </w:tc>
        <w:tc>
          <w:tcPr>
            <w:tcW w:w="102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周边路面破损</w:t>
            </w:r>
            <w:r/>
          </w:p>
        </w:tc>
        <w:tc>
          <w:tcPr>
            <w:tcW w:w="147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井壁裂缝</w:t>
            </w:r>
            <w:r/>
          </w:p>
        </w:tc>
        <w:tc>
          <w:tcPr>
            <w:tcW w:w="6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水流不畅</w:t>
            </w:r>
            <w:r/>
          </w:p>
        </w:tc>
      </w:tr>
      <w:tr>
        <w:trPr>
          <w:jc w:val="center"/>
        </w:trPr>
        <w:tc>
          <w:tcPr>
            <w:tcW w:w="777"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6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井框破损</w:t>
            </w:r>
            <w:r/>
          </w:p>
        </w:tc>
        <w:tc>
          <w:tcPr>
            <w:tcW w:w="102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井盖标识错误</w:t>
            </w:r>
            <w:r/>
          </w:p>
        </w:tc>
        <w:tc>
          <w:tcPr>
            <w:tcW w:w="147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井壁渗漏</w:t>
            </w:r>
            <w:r/>
          </w:p>
        </w:tc>
        <w:tc>
          <w:tcPr>
            <w:tcW w:w="6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浮渣</w:t>
            </w:r>
            <w:r/>
          </w:p>
        </w:tc>
      </w:tr>
      <w:tr>
        <w:trPr>
          <w:jc w:val="center"/>
        </w:trPr>
        <w:tc>
          <w:tcPr>
            <w:tcW w:w="777"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6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盖、框间隙</w:t>
            </w:r>
            <w:r/>
          </w:p>
        </w:tc>
        <w:tc>
          <w:tcPr>
            <w:tcW w:w="102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抹面脱落</w:t>
            </w:r>
            <w:r/>
          </w:p>
        </w:tc>
        <w:tc>
          <w:tcPr>
            <w:tcW w:w="6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6、井盖的选用应符合下表规定</w:t>
      </w:r>
      <w:r/>
    </w:p>
    <w:tbl>
      <w:tblPr>
        <w:tblStyle w:val="67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98"/>
        <w:gridCol w:w="3904"/>
        <w:gridCol w:w="2556"/>
      </w:tblGrid>
      <w:tr>
        <w:trPr>
          <w:jc w:val="center"/>
        </w:trPr>
        <w:tc>
          <w:tcPr>
            <w:tcW w:w="175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井盖种类</w:t>
            </w:r>
            <w:r/>
          </w:p>
        </w:tc>
        <w:tc>
          <w:tcPr>
            <w:tcW w:w="196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标准名称</w:t>
            </w:r>
            <w:r/>
          </w:p>
        </w:tc>
        <w:tc>
          <w:tcPr>
            <w:tcW w:w="128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标准标号</w:t>
            </w:r>
            <w:r/>
          </w:p>
        </w:tc>
      </w:tr>
      <w:tr>
        <w:trPr>
          <w:jc w:val="center"/>
        </w:trPr>
        <w:tc>
          <w:tcPr>
            <w:tcW w:w="175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铸铁井盖</w:t>
            </w:r>
            <w:r/>
          </w:p>
        </w:tc>
        <w:tc>
          <w:tcPr>
            <w:tcW w:w="196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《铸铁检查井盖》</w:t>
            </w:r>
            <w:r/>
          </w:p>
        </w:tc>
        <w:tc>
          <w:tcPr>
            <w:tcW w:w="128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CJ/T3012</w:t>
            </w:r>
            <w:r/>
          </w:p>
        </w:tc>
      </w:tr>
      <w:tr>
        <w:trPr>
          <w:jc w:val="center"/>
        </w:trPr>
        <w:tc>
          <w:tcPr>
            <w:tcW w:w="175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混凝土井盖</w:t>
            </w:r>
            <w:r/>
          </w:p>
        </w:tc>
        <w:tc>
          <w:tcPr>
            <w:tcW w:w="196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《钢纤维混凝土检查井盖》</w:t>
            </w:r>
            <w:r/>
          </w:p>
        </w:tc>
        <w:tc>
          <w:tcPr>
            <w:tcW w:w="128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JC889</w:t>
            </w:r>
            <w:r/>
          </w:p>
        </w:tc>
      </w:tr>
      <w:tr>
        <w:trPr>
          <w:jc w:val="center"/>
        </w:trPr>
        <w:tc>
          <w:tcPr>
            <w:tcW w:w="175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塑料树脂类井盖</w:t>
            </w:r>
            <w:r/>
          </w:p>
        </w:tc>
        <w:tc>
          <w:tcPr>
            <w:tcW w:w="196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《再生树脂复合材料检查井盖》</w:t>
            </w:r>
            <w:r/>
          </w:p>
        </w:tc>
        <w:tc>
          <w:tcPr>
            <w:tcW w:w="128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CJ/T 121</w:t>
            </w:r>
            <w:r/>
          </w:p>
        </w:tc>
      </w:tr>
      <w:tr>
        <w:trPr>
          <w:jc w:val="center"/>
        </w:trPr>
        <w:tc>
          <w:tcPr>
            <w:tcW w:w="175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塑料树脂类井箅</w:t>
            </w:r>
            <w:r/>
          </w:p>
        </w:tc>
        <w:tc>
          <w:tcPr>
            <w:tcW w:w="196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《再生树脂复合材料检查井箅》</w:t>
            </w:r>
            <w:r/>
          </w:p>
        </w:tc>
        <w:tc>
          <w:tcPr>
            <w:tcW w:w="128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CJ/T 130</w:t>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7、在车辆经过时，井盖不应出现跳动和声响。井盖与井框间允许误差应符合下表规定。</w:t>
      </w:r>
      <w:r/>
    </w:p>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井盖与井框间允许误差（mm）</w:t>
      </w:r>
      <w:r/>
    </w:p>
    <w:tbl>
      <w:tblPr>
        <w:tblStyle w:val="67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18"/>
        <w:gridCol w:w="2618"/>
        <w:gridCol w:w="2307"/>
        <w:gridCol w:w="2415"/>
      </w:tblGrid>
      <w:tr>
        <w:trPr>
          <w:jc w:val="center"/>
        </w:trPr>
        <w:tc>
          <w:tcPr>
            <w:tcW w:w="1314"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设施种类</w:t>
            </w:r>
            <w:r/>
          </w:p>
        </w:tc>
        <w:tc>
          <w:tcPr>
            <w:tcW w:w="1314"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盖框间隙</w:t>
            </w:r>
            <w:r/>
          </w:p>
        </w:tc>
        <w:tc>
          <w:tcPr>
            <w:tcW w:w="1158"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井盖与井框高低差</w:t>
            </w:r>
            <w:r/>
          </w:p>
        </w:tc>
        <w:tc>
          <w:tcPr>
            <w:tcW w:w="1212"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井框与路面高低差</w:t>
            </w:r>
            <w:r/>
          </w:p>
        </w:tc>
      </w:tr>
      <w:tr>
        <w:trPr>
          <w:jc w:val="center"/>
        </w:trPr>
        <w:tc>
          <w:tcPr>
            <w:tcW w:w="1314"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检查井</w:t>
            </w:r>
            <w:r/>
          </w:p>
        </w:tc>
        <w:tc>
          <w:tcPr>
            <w:tcW w:w="1314"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&lt;</w:t>
            </w:r>
            <w:r>
              <w:rPr>
                <w:rFonts w:hint="eastAsia" w:ascii="宋体" w:hAnsi="宋体" w:cs="宋体"/>
                <w:color w:val="auto"/>
                <w:sz w:val="24"/>
                <w:highlight w:val="none"/>
              </w:rPr>
              <w:t xml:space="preserve">8</w:t>
            </w:r>
            <w:r/>
          </w:p>
        </w:tc>
        <w:tc>
          <w:tcPr>
            <w:tcW w:w="1158"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-10</w:t>
            </w:r>
            <w:r/>
          </w:p>
        </w:tc>
        <w:tc>
          <w:tcPr>
            <w:tcW w:w="1212"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-15</w:t>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8、发现井盖缺失或损坏后，须及时安放护栏和警示标志，并在6小时内修复。</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9、检查井的清掏宜采用吸泥车、抓泥车等机械设备。</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10、管道检查项目可分为功能状况和结构状况两类，主要检查项目包括下表内容。</w:t>
      </w:r>
      <w:r/>
    </w:p>
    <w:p>
      <w:pPr>
        <w:ind w:firstLine="480"/>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管道状况主要检查项目</w:t>
      </w:r>
      <w:r/>
    </w:p>
    <w:tbl>
      <w:tblPr>
        <w:tblStyle w:val="67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20"/>
        <w:gridCol w:w="3865"/>
        <w:gridCol w:w="2875"/>
      </w:tblGrid>
      <w:tr>
        <w:trPr>
          <w:jc w:val="center"/>
          <w:trHeight w:val="316"/>
        </w:trPr>
        <w:tc>
          <w:tcPr>
            <w:tcW w:w="161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检查类别</w:t>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功能状况</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结构状况</w:t>
            </w:r>
            <w:r/>
          </w:p>
        </w:tc>
      </w:tr>
      <w:tr>
        <w:trPr>
          <w:jc w:val="center"/>
        </w:trPr>
        <w:tc>
          <w:tcPr>
            <w:tcW w:w="1616" w:type="pct"/>
            <w:vAlign w:val="center"/>
            <w:vMerge w:val="restart"/>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检查项目</w:t>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管道积泥</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裂缝</w:t>
            </w:r>
            <w:r/>
          </w:p>
        </w:tc>
      </w:tr>
      <w:tr>
        <w:trPr>
          <w:jc w:val="center"/>
        </w:trPr>
        <w:tc>
          <w:tcPr>
            <w:tcW w:w="1616"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检查井积泥</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变形</w:t>
            </w:r>
            <w:r/>
          </w:p>
        </w:tc>
      </w:tr>
      <w:tr>
        <w:trPr>
          <w:jc w:val="center"/>
        </w:trPr>
        <w:tc>
          <w:tcPr>
            <w:tcW w:w="1616"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排放口积泥</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错口</w:t>
            </w:r>
            <w:r/>
          </w:p>
        </w:tc>
      </w:tr>
      <w:tr>
        <w:trPr>
          <w:jc w:val="center"/>
        </w:trPr>
        <w:tc>
          <w:tcPr>
            <w:tcW w:w="1616"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泥垢和油脂</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脱节</w:t>
            </w:r>
            <w:r/>
          </w:p>
        </w:tc>
      </w:tr>
      <w:tr>
        <w:trPr>
          <w:jc w:val="center"/>
        </w:trPr>
        <w:tc>
          <w:tcPr>
            <w:tcW w:w="1616"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树根</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破损与孔洞</w:t>
            </w:r>
            <w:r/>
          </w:p>
        </w:tc>
      </w:tr>
      <w:tr>
        <w:trPr>
          <w:jc w:val="center"/>
        </w:trPr>
        <w:tc>
          <w:tcPr>
            <w:tcW w:w="1616"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水位和水流</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渗漏</w:t>
            </w:r>
            <w:r/>
          </w:p>
        </w:tc>
      </w:tr>
      <w:tr>
        <w:trPr>
          <w:jc w:val="center"/>
        </w:trPr>
        <w:tc>
          <w:tcPr>
            <w:tcW w:w="1616"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残墙、坝根</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异管穿入</w:t>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11、管道养护应符合下列规定：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A</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定期巡视、及时发现和修理管道裂缝、腐蚀、沉降、变形、错口、脱节、破损、孔洞、异管穿入、渗漏、冒溢等情况。</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B</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压力管养护应采用满负荷开泵的方式进行水力冲洗，至少每3个月1次。</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定期开盖检查压力井盖板，发现盖板锈蚀、密封垫老化、井体裂缝、管内积泥等情况应及时维修和保养。</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D</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管道和检查井内不得留有石块等阻碍排水的杂物。管道和检查井的最大积泥深度符合下表规定。</w:t>
      </w:r>
      <w:r/>
    </w:p>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管道和检查井的允许积泥深度</w:t>
      </w:r>
      <w:r/>
    </w:p>
    <w:tbl>
      <w:tblPr>
        <w:tblStyle w:val="67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32"/>
        <w:gridCol w:w="2249"/>
        <w:gridCol w:w="4579"/>
      </w:tblGrid>
      <w:tr>
        <w:trPr>
          <w:jc w:val="center"/>
        </w:trPr>
        <w:tc>
          <w:tcPr>
            <w:gridSpan w:val="2"/>
            <w:tcW w:w="270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设施类别</w:t>
            </w:r>
            <w:r/>
          </w:p>
        </w:tc>
        <w:tc>
          <w:tcPr>
            <w:tcW w:w="2298"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允许积泥深度</w:t>
            </w:r>
            <w:r/>
          </w:p>
        </w:tc>
      </w:tr>
      <w:tr>
        <w:trPr>
          <w:jc w:val="center"/>
        </w:trPr>
        <w:tc>
          <w:tcPr>
            <w:gridSpan w:val="2"/>
            <w:tcW w:w="270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管道</w:t>
            </w:r>
            <w:r/>
          </w:p>
        </w:tc>
        <w:tc>
          <w:tcPr>
            <w:tcW w:w="2298"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管径的1/5</w:t>
            </w:r>
            <w:r/>
          </w:p>
        </w:tc>
      </w:tr>
      <w:tr>
        <w:trPr>
          <w:jc w:val="center"/>
        </w:trPr>
        <w:tc>
          <w:tcPr>
            <w:tcW w:w="1572" w:type="pct"/>
            <w:vAlign w:val="center"/>
            <w:vMerge w:val="restart"/>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检查井</w:t>
            </w:r>
            <w:r/>
          </w:p>
        </w:tc>
        <w:tc>
          <w:tcPr>
            <w:tcW w:w="1129"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有沉泥槽</w:t>
            </w:r>
            <w:r/>
          </w:p>
        </w:tc>
        <w:tc>
          <w:tcPr>
            <w:tcW w:w="2298"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管底以下50mm</w:t>
            </w:r>
            <w:r/>
          </w:p>
        </w:tc>
      </w:tr>
      <w:tr>
        <w:trPr>
          <w:jc w:val="center"/>
        </w:trPr>
        <w:tc>
          <w:tcPr>
            <w:tcW w:w="1572"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9"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无沉泥槽</w:t>
            </w:r>
            <w:r/>
          </w:p>
        </w:tc>
        <w:tc>
          <w:tcPr>
            <w:tcW w:w="2298"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主管径的1/5</w:t>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（三）污泥运输与处置</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1、污泥盛器和车辆在街道上停放应设置安全标志，夜间应悬挂警示灯。疏通作业完毕后，应及时撤离现场。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2、污泥运输应符合下列规定：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A</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通沟污泥可采用罐车、自卸卡车或污泥拖斗运输，也可采用水陆联运。</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B</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在运输过程中，应做到污泥不落地、沿途无洒落。</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污泥运输车辆应加盖，并定期清洗保持整洁。</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D</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污泥在长运输距离前宜进行脱水处理，脱水过程可在中转站进行或送污水处理厂处理。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3、污泥处置应符合下列规定：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A</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污泥在送处置场前，宜进行脱水处理。</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B</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脱水后淤泥运至项目所在地有焚烧资质的专业公司合法合规焚烧处置，</w:t>
      </w:r>
      <w:r>
        <w:rPr>
          <w:rFonts w:hint="eastAsia" w:ascii="宋体" w:hAnsi="宋体" w:cs="宋体"/>
          <w:color w:val="auto"/>
          <w:sz w:val="24"/>
          <w:highlight w:val="none"/>
          <w:lang w:eastAsia="zh-CN"/>
        </w:rPr>
        <w:t xml:space="preserve">淤泥处置不得对环境造成污染</w:t>
      </w:r>
      <w:r>
        <w:rPr>
          <w:rFonts w:hint="eastAsia" w:ascii="宋体" w:hAnsi="宋体" w:cs="宋体"/>
          <w:color w:val="auto"/>
          <w:sz w:val="24"/>
          <w:highlight w:val="none"/>
        </w:rPr>
        <w:t xml:space="preserve">。</w:t>
      </w:r>
      <w:r>
        <w:rPr>
          <w:rFonts w:hint="eastAsia" w:ascii="宋体" w:hAnsi="宋体" w:eastAsia="宋体" w:cs="宋体"/>
          <w:b/>
          <w:bCs/>
          <w:i w:val="0"/>
          <w:iCs w:val="0"/>
          <w:color w:val="auto"/>
          <w:sz w:val="24"/>
          <w:szCs w:val="24"/>
          <w:highlight w:val="none"/>
          <w:u w:val="none"/>
          <w:lang w:val="en-US" w:eastAsia="zh-CN"/>
        </w:rPr>
        <w:t xml:space="preserve">（提供承诺书，</w:t>
      </w:r>
      <w:r>
        <w:rPr>
          <w:rFonts w:hint="eastAsia" w:ascii="宋体" w:hAnsi="宋体" w:cs="宋体"/>
          <w:b/>
          <w:bCs/>
          <w:i w:val="0"/>
          <w:iCs w:val="0"/>
          <w:color w:val="auto"/>
          <w:sz w:val="24"/>
          <w:szCs w:val="24"/>
          <w:highlight w:val="none"/>
          <w:u w:val="none"/>
          <w:lang w:val="en-US" w:eastAsia="zh-CN"/>
        </w:rPr>
        <w:t xml:space="preserve">格式见附件（六）服务保障承诺书</w:t>
      </w:r>
      <w:r>
        <w:rPr>
          <w:rFonts w:hint="eastAsia" w:ascii="宋体" w:hAnsi="宋体" w:eastAsia="宋体" w:cs="宋体"/>
          <w:b/>
          <w:bCs/>
          <w:i w:val="0"/>
          <w:iCs w:val="0"/>
          <w:color w:val="auto"/>
          <w:sz w:val="24"/>
          <w:szCs w:val="24"/>
          <w:highlight w:val="none"/>
          <w:u w:val="none"/>
          <w:lang w:val="en-US" w:eastAsia="zh-CN"/>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（四）安全文明作业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1、养护作业人员上岗前须接受必要的安全作业技术培训，掌握人工急救、防护用具、照明、通讯设备的</w:t>
      </w:r>
      <w:r>
        <w:rPr>
          <w:rFonts w:hint="eastAsia" w:ascii="宋体" w:hAnsi="宋体" w:cs="宋体"/>
          <w:color w:val="auto"/>
          <w:sz w:val="24"/>
          <w:highlight w:val="none"/>
          <w:lang w:eastAsia="zh-CN"/>
        </w:rPr>
        <w:t xml:space="preserve">使</w:t>
      </w:r>
      <w:r>
        <w:rPr>
          <w:rFonts w:hint="eastAsia" w:ascii="宋体" w:hAnsi="宋体" w:cs="宋体"/>
          <w:color w:val="auto"/>
          <w:sz w:val="24"/>
          <w:highlight w:val="none"/>
        </w:rPr>
        <w:t xml:space="preserve">用方法及相关安全知识、经考核合格后持证上岗。</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2、检查井井盖开启后，须立即采取相应安全措施，如加盖安全网盖或设置安全护栏，白天加挂三角红旗，夜间加挂安全红灯或设置反光锥。</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3、作业现场、检查井及管道内严禁明火，车辆、行人不得进入作业区；作业人员下井后，井上应有2人监护；如需人员进入管道作业（管径小于0.8M的管道严禁</w:t>
      </w:r>
      <w:r>
        <w:rPr>
          <w:rFonts w:hint="eastAsia" w:ascii="宋体" w:hAnsi="宋体" w:cs="宋体"/>
          <w:color w:val="auto"/>
          <w:sz w:val="24"/>
          <w:highlight w:val="none"/>
          <w:lang w:eastAsia="zh-CN"/>
        </w:rPr>
        <w:t xml:space="preserve">进入作业</w:t>
      </w:r>
      <w:r>
        <w:rPr>
          <w:rFonts w:hint="eastAsia" w:ascii="宋体" w:hAnsi="宋体" w:cs="宋体"/>
          <w:color w:val="auto"/>
          <w:sz w:val="24"/>
          <w:highlight w:val="none"/>
        </w:rPr>
        <w:t xml:space="preserve">），还需在井内增加监护人员做中间联络；监护人员不得擅离职守。</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4、在征得交管部门同意中断交通后，应在道路两端设置断绝交通的警示标志；在繁华地区作业时，应指派专人指挥交通、维护现场秩序。</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5、下井作业应经过严格的审批手续，管道维护和检查严格执行现行相关行业标准。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6、防毒面具应定期校验，下井作业前须再次校验，合格后方可使用。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7、养护人员应统一着装，作业时应按要求设置警示标志和安全护栏，无抛洒滴漏，工完场清，文明作业。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8、疏通作业完毕后，污泥盛器和运输车辆应及时撤离现场；确需在街道上暂时停放的，须经主管部门同意，停放时间不宜超过一昼夜；污泥盛器和运输车辆在街道上停放过夜时，应悬挂安全红灯或设置反光锥。</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9、巡查、养护、抢修车辆车况应经常保持良好状态，车容整洁，标志明显。</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10、养护单位应建立健全管道及其附属设施档案资料管理制度，配备专职档案资料管理人员。各项管网、设施维护台账健全，记录详细，装订规范。运营档案、资料实行计算机自动化管理。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11、养护单位应向社会公布服务承诺、投诉电话和电子信箱。</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12、每个养护单位养护范围内每年被政府部门行政处罚、被社会有效行政投诉或公众媒体有负面报道次数应少于6次。</w:t>
      </w:r>
      <w:r/>
    </w:p>
    <w:p>
      <w:pPr>
        <w:ind w:firstLine="480"/>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（五）养护次数要求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详见清单。</w:t>
      </w:r>
      <w:r/>
    </w:p>
    <w:p>
      <w:pPr>
        <w:ind w:firstLine="602"/>
        <w:spacing w:line="440" w:lineRule="exact"/>
        <w:rPr>
          <w:rFonts w:ascii="宋体" w:hAnsi="宋体" w:cs="Arial"/>
          <w:b/>
          <w:color w:val="auto"/>
          <w:sz w:val="24"/>
          <w:highlight w:val="none"/>
        </w:rPr>
      </w:pPr>
      <w:r>
        <w:rPr>
          <w:rFonts w:hint="eastAsia" w:ascii="宋体" w:hAnsi="宋体" w:cs="Arial"/>
          <w:b/>
          <w:color w:val="auto"/>
          <w:sz w:val="24"/>
          <w:highlight w:val="none"/>
        </w:rPr>
        <w:t xml:space="preserve">四、本项目采购标的的数量、采购项目交付或者实施的时间和地点要求：</w:t>
      </w:r>
      <w:r/>
    </w:p>
    <w:p>
      <w:pPr>
        <w:ind w:firstLine="480"/>
        <w:spacing w:line="440" w:lineRule="exact"/>
        <w:rPr>
          <w:rFonts w:hint="eastAsia" w:ascii="宋体" w:hAnsi="宋体" w:cs="Arial"/>
          <w:color w:val="auto"/>
          <w:sz w:val="24"/>
          <w:highlight w:val="none"/>
        </w:rPr>
      </w:pPr>
      <w:r>
        <w:rPr>
          <w:rFonts w:hint="eastAsia" w:ascii="宋体" w:hAnsi="宋体" w:cs="Arial"/>
          <w:color w:val="auto"/>
          <w:sz w:val="24"/>
          <w:highlight w:val="none"/>
        </w:rPr>
        <w:t xml:space="preserve">1.采购标的的数量：</w:t>
      </w:r>
      <w:r/>
    </w:p>
    <w:p>
      <w:pPr>
        <w:pStyle w:val="683"/>
        <w:ind w:firstLine="482"/>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一标段：</w:t>
      </w:r>
      <w:r/>
    </w:p>
    <w:tbl>
      <w:tblPr>
        <w:tblStyle w:val="677"/>
        <w:tblW w:w="499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6"/>
        <w:gridCol w:w="1416"/>
        <w:gridCol w:w="4800"/>
        <w:gridCol w:w="558"/>
        <w:gridCol w:w="1176"/>
        <w:gridCol w:w="1536"/>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2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南站片区</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管网养护（除旧改小区污水管网）</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1、范围：养护范围内所有雨、污水管网及配套检查井（含小区管网接入市政主管网段），不同管径费用综合考虑。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管网疏通清淤、清理垃圾，检查井淤泥清掏、垃圾清理等，确保管道畅通，不溢水。含人工局部井下或管内清掏作业及保护措施、临时橡胶气囊封堵、临时排水、临时局部检查检测等；</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149144.7</w:t>
            </w:r>
            <w:r/>
          </w:p>
        </w:tc>
        <w:tc>
          <w:tcPr>
            <w:shd w:val="clear" w:color="auto" w:fill="auto"/>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养护范围内管道每年冲洗不小于2次，管道堵塞随时清理、疏通，确保管道运行正常。</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旧改小区污水管网</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w:t>
            </w:r>
            <w:r>
              <w:rPr>
                <w:rFonts w:hint="eastAsia" w:ascii="宋体" w:hAnsi="宋体" w:eastAsia="宋体" w:cs="宋体"/>
                <w:i w:val="0"/>
                <w:iCs w:val="0"/>
                <w:color w:val="auto"/>
                <w:sz w:val="24"/>
                <w:szCs w:val="24"/>
                <w:highlight w:val="none"/>
                <w:u w:val="none"/>
                <w:lang w:val="en-US" w:eastAsia="zh-CN" w:bidi="ar"/>
              </w:rPr>
              <w:t xml:space="preserve">叙丰家园北区、叙丰家园西区、春城A区、欧典西区、前进花园</w:t>
            </w:r>
            <w:r>
              <w:rPr>
                <w:rFonts w:hint="eastAsia" w:ascii="宋体" w:hAnsi="宋体" w:cs="宋体"/>
                <w:i w:val="0"/>
                <w:iCs w:val="0"/>
                <w:color w:val="auto"/>
                <w:sz w:val="24"/>
                <w:szCs w:val="24"/>
                <w:highlight w:val="none"/>
                <w:u w:val="none"/>
                <w:lang w:val="en-US" w:eastAsia="zh-CN" w:bidi="ar"/>
              </w:rPr>
              <w:t xml:space="preserve">C</w:t>
            </w:r>
            <w:r>
              <w:rPr>
                <w:rFonts w:hint="eastAsia" w:ascii="宋体" w:hAnsi="宋体" w:eastAsia="宋体" w:cs="宋体"/>
                <w:i w:val="0"/>
                <w:iCs w:val="0"/>
                <w:color w:val="auto"/>
                <w:sz w:val="24"/>
                <w:szCs w:val="24"/>
                <w:highlight w:val="none"/>
                <w:u w:val="none"/>
                <w:lang w:val="en-US" w:eastAsia="zh-CN" w:bidi="ar"/>
              </w:rPr>
              <w:t xml:space="preserve">区养护范围内所有污水管网及配套检查井(含小区管网接入市政主管网段)，不同管径费用综合考虑。</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2、工作内容:管网疏通清淤、清理垃圾，检查井淤泥清掏、垃圾清理等，确保管道畅通，不溢水。含人工局部井下或管内清掏作业及保护措施、临时橡胶气囊封堵、临时排水、临时局部检查检测等</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73575</w:t>
            </w:r>
            <w:r/>
          </w:p>
        </w:tc>
        <w:tc>
          <w:tcPr>
            <w:shd w:val="clear" w:color="auto" w:fill="auto"/>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养护范围内管道每年冲洗不小于4次，管道堵塞随时清理、疏通，确保管道运行正常。</w:t>
            </w:r>
            <w:r/>
          </w:p>
        </w:tc>
      </w:tr>
      <w:tr>
        <w:trPr>
          <w:trHeight w:val="683"/>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化粪池养护</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1、范围：养护范围内所有化粪池，不同型号化粪池费用综合考虑；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2、工作内容：化粪池内粪便、杂物等清掏，化粪池内壁冲洗及污水抽排等；</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化粪池清掏、冲洗等养护每年不少于两次。</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淤泥处置</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泥浆运输：由施工现场运至脱水场地；泥浆脱水处理：脱水后含水率在45%～55%；脱水后淤泥处置运费：平板车运输；脱水后的淤泥运输至项目所在地有资质的单位进行合法合规焚烧处置。</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符合环保要求</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井盖更换</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1、范围：养护范围内所有雨污水检查井及收水井包括化粪池，不同型号尺寸井盖综合考虑；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2、工作内容：拆除破损检查井及垃圾物外运处置，更换新的重型磨塑井盖等；</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范围内对行人车辆有安全隐患的井盖</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2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街道道路</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198"/>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管网养护</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太湖大道（锦江苑-苏巷路）、大墩巷路（叙康路-锡甘路）、前卫路（锡甘路-叙康里小区）、坊镇路（春华路-312国道）、坊广路（锡义路-五洲国际大门）、鑫明路（鑫明北路-海力士意法路）、春明路（鑫明路-海泰一支路）、时尚路（锡山大道-纺城大道）、招商城一路二路（兴源路-城南路）、农丰路（梅清路-纺城大道）养护范围内所有污水主管道及配套检查井，不同管径费用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管网疏通清淤、清理垃圾，检查井淤泥清掏、垃圾清理等，确保管道畅通，不溢水。含人工局部井下或管内清掏作业及保护措施、临时橡胶气囊封堵、临时排水、临时局部检查检测等</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7781.5</w:t>
            </w:r>
            <w:r/>
          </w:p>
        </w:tc>
        <w:tc>
          <w:tcPr>
            <w:shd w:val="clear" w:color="auto" w:fill="auto"/>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养护范围内管道每年冲洗不小于4次，管道堵塞随时清理、疏通，确保管道运行正常。</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井盖更换</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1、范围：养护范围内所有雨污水检查井及收水井包括化粪池，不同型号尺寸井盖综合考虑；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2、工作内容：拆除破损检查井及垃圾物外运处置，更换新的重型磨塑井盖等；</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范围内对行人车辆有安全隐患的井盖</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应急排查及抢修</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包含管网临时封堵、翻水、应急排查、检测，疏通及小范围应急管网修复等</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220000.00元，</w:t>
            </w:r>
            <w:r>
              <w:rPr>
                <w:rFonts w:hint="eastAsia" w:ascii="宋体" w:hAnsi="宋体" w:eastAsia="宋体" w:cs="宋体"/>
                <w:i w:val="0"/>
                <w:iCs w:val="0"/>
                <w:color w:val="auto"/>
                <w:sz w:val="24"/>
                <w:szCs w:val="24"/>
                <w:highlight w:val="none"/>
                <w:u w:val="none"/>
                <w:lang w:val="en-US" w:eastAsia="zh-CN" w:bidi="ar"/>
              </w:rPr>
              <w:t xml:space="preserve">此项</w:t>
            </w:r>
            <w:r>
              <w:rPr>
                <w:rFonts w:hint="eastAsia" w:ascii="宋体" w:hAnsi="宋体" w:cs="宋体"/>
                <w:i w:val="0"/>
                <w:iCs w:val="0"/>
                <w:color w:val="auto"/>
                <w:sz w:val="24"/>
                <w:szCs w:val="24"/>
                <w:highlight w:val="none"/>
                <w:u w:val="none"/>
                <w:lang w:val="en-US" w:eastAsia="zh-CN" w:bidi="ar"/>
              </w:rPr>
              <w:t xml:space="preserve">为</w:t>
            </w:r>
            <w:r>
              <w:rPr>
                <w:rFonts w:hint="eastAsia" w:ascii="宋体" w:hAnsi="宋体" w:eastAsia="宋体" w:cs="宋体"/>
                <w:i w:val="0"/>
                <w:iCs w:val="0"/>
                <w:color w:val="auto"/>
                <w:sz w:val="24"/>
                <w:szCs w:val="24"/>
                <w:highlight w:val="none"/>
                <w:u w:val="none"/>
                <w:lang w:val="en-US" w:eastAsia="zh-CN" w:bidi="ar"/>
              </w:rPr>
              <w:t xml:space="preserve">不可竞争</w:t>
            </w:r>
            <w:r>
              <w:rPr>
                <w:rFonts w:hint="eastAsia" w:ascii="宋体" w:hAnsi="宋体" w:cs="宋体"/>
                <w:i w:val="0"/>
                <w:iCs w:val="0"/>
                <w:color w:val="auto"/>
                <w:sz w:val="24"/>
                <w:szCs w:val="24"/>
                <w:highlight w:val="none"/>
                <w:u w:val="none"/>
                <w:lang w:val="en-US" w:eastAsia="zh-CN" w:bidi="ar"/>
              </w:rPr>
              <w:t xml:space="preserve">费</w:t>
            </w:r>
            <w:r/>
          </w:p>
        </w:tc>
      </w:tr>
      <w:tr>
        <w:trPr>
          <w:trHeight w:val="127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说明：1、本工程量清单单价为全费用综合单价，即包含直接费、措施费、管理费、规费、利润和税金。相关的 （临时设施费、包干费、夜间施工增加费、冬雨季施工增加费、已完工程及设备保护费、赶工措施费、按质论价费）</w:t>
            </w:r>
            <w:r>
              <w:rPr>
                <w:rFonts w:hint="eastAsia" w:ascii="宋体" w:hAnsi="宋体" w:cs="宋体"/>
                <w:i w:val="0"/>
                <w:iCs w:val="0"/>
                <w:color w:val="auto"/>
                <w:sz w:val="24"/>
                <w:szCs w:val="24"/>
                <w:highlight w:val="none"/>
                <w:u w:val="none"/>
                <w:lang w:val="en-US" w:eastAsia="zh-CN" w:bidi="ar"/>
              </w:rPr>
              <w:t xml:space="preserve">不再</w:t>
            </w:r>
            <w:r>
              <w:rPr>
                <w:rFonts w:hint="eastAsia" w:ascii="宋体" w:hAnsi="宋体" w:eastAsia="宋体" w:cs="宋体"/>
                <w:i w:val="0"/>
                <w:iCs w:val="0"/>
                <w:color w:val="auto"/>
                <w:sz w:val="24"/>
                <w:szCs w:val="24"/>
                <w:highlight w:val="none"/>
                <w:u w:val="none"/>
                <w:lang w:val="en-US" w:eastAsia="zh-CN" w:bidi="ar"/>
              </w:rPr>
              <w:t xml:space="preserve">另行计取。                                                                                    </w:t>
            </w:r>
            <w:r>
              <w:rPr>
                <w:rFonts w:hint="eastAsia" w:ascii="宋体" w:hAnsi="宋体" w:eastAsia="宋体" w:cs="宋体"/>
                <w:i w:val="0"/>
                <w:iCs w:val="0"/>
                <w:color w:val="auto"/>
                <w:sz w:val="24"/>
                <w:szCs w:val="24"/>
                <w:highlight w:val="none"/>
                <w:u w:val="none"/>
                <w:lang w:val="en-US" w:eastAsia="zh-CN" w:bidi="ar"/>
              </w:rPr>
              <w:br/>
            </w:r>
            <w:r>
              <w:rPr>
                <w:rStyle w:val="945"/>
                <w:rFonts w:hint="eastAsia" w:ascii="宋体" w:hAnsi="宋体" w:eastAsia="宋体" w:cs="宋体"/>
                <w:color w:val="auto"/>
                <w:sz w:val="24"/>
                <w:szCs w:val="24"/>
                <w:highlight w:val="none"/>
                <w:lang w:val="en-US" w:eastAsia="zh-CN" w:bidi="ar"/>
              </w:rPr>
              <w:t xml:space="preserve">2、应急排查及抢修为不可竞争数值，该项费用在项目服务过程中，超过中标价格按中标价结算，不超中标价按实结算。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3、合同养护期间，人工费、材料费等均不再进行调整；投标人所报综合单价必须考虑措施费用等一切费用。</w:t>
            </w:r>
            <w:r/>
          </w:p>
        </w:tc>
      </w:tr>
    </w:tbl>
    <w:p>
      <w:pPr>
        <w:pStyle w:val="683"/>
        <w:ind w:firstLine="482"/>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二标段：</w:t>
      </w:r>
      <w:r/>
    </w:p>
    <w:tbl>
      <w:tblPr>
        <w:tblStyle w:val="677"/>
        <w:tblW w:w="498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6"/>
        <w:gridCol w:w="1250"/>
        <w:gridCol w:w="4888"/>
        <w:gridCol w:w="497"/>
        <w:gridCol w:w="1382"/>
        <w:gridCol w:w="1467"/>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4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88"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坊前片区</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管网养护（除旧改小区污水管网）</w:t>
            </w:r>
            <w:r/>
          </w:p>
        </w:tc>
        <w:tc>
          <w:tcPr>
            <w:shd w:val="clear" w:color="auto" w:fill="auto"/>
            <w:tcBorders>
              <w:top w:val="single" w:color="000000" w:sz="4" w:space="0"/>
              <w:left w:val="single" w:color="000000" w:sz="4" w:space="0"/>
              <w:bottom w:val="single" w:color="000000" w:sz="4" w:space="0"/>
              <w:right w:val="single" w:color="000000" w:sz="4" w:space="0"/>
            </w:tcBorders>
            <w:tcW w:w="245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1、范围：养护范围内所有雨、污水管网及配套检查井（含小区管网接入市政主管网段），不同管径费用综合考虑。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管网疏通清淤、清理垃圾，检查井淤泥清掏、垃圾清理等，确保管道畅通，不溢水。含人工局部井下或管内清掏作业及保护措施、临时橡胶气囊封堵、临时排水、临时局部检查检测等；</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137398.57</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养护范围内管道每年冲洗不小于2次，管道堵塞随时清理、疏通，确保管道运行正常。</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旧改小区污水管网</w:t>
            </w:r>
            <w:r/>
          </w:p>
        </w:tc>
        <w:tc>
          <w:tcPr>
            <w:shd w:val="clear" w:color="auto" w:fill="auto"/>
            <w:tcBorders>
              <w:top w:val="single" w:color="000000" w:sz="4" w:space="0"/>
              <w:left w:val="single" w:color="000000" w:sz="4" w:space="0"/>
              <w:bottom w:val="single" w:color="000000" w:sz="4" w:space="0"/>
              <w:right w:val="single" w:color="000000" w:sz="4" w:space="0"/>
            </w:tcBorders>
            <w:tcW w:w="245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1、范围：万裕苑一期、万裕苑二期养护范围内所有污水管网及配套检查井（含小区管网接入市政主管网段），不同管径费用综合考虑。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管网疏通清淤、清理垃圾，检查井淤泥清掏、垃圾清理等，确保管道畅通，不溢水。含人工局部井下或管内清掏作业及保护措施、临时橡胶气囊封堵、临时排水、临时局部检查检测等；</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58441</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养护范围内管道每年冲洗不小于4次，管道堵塞随时清理、疏通，确保管道运行正常。</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化粪池养护</w:t>
            </w:r>
            <w:r/>
          </w:p>
        </w:tc>
        <w:tc>
          <w:tcPr>
            <w:shd w:val="clear" w:color="auto" w:fill="auto"/>
            <w:tcBorders>
              <w:top w:val="single" w:color="000000" w:sz="4" w:space="0"/>
              <w:left w:val="single" w:color="000000" w:sz="4" w:space="0"/>
              <w:bottom w:val="single" w:color="000000" w:sz="4" w:space="0"/>
              <w:right w:val="single" w:color="000000" w:sz="4" w:space="0"/>
            </w:tcBorders>
            <w:tcW w:w="245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1、范围：养护范围内所有化粪池，不同型号化粪池费用综合考虑；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2、工作内容：化粪池内粪便、杂物等清掏，化粪池内壁冲洗及污水抽排等；</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化粪池清掏、冲洗等养护每年不少于两次。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淤泥处置</w:t>
            </w:r>
            <w:r/>
          </w:p>
        </w:tc>
        <w:tc>
          <w:tcPr>
            <w:shd w:val="clear" w:color="auto" w:fill="auto"/>
            <w:tcBorders>
              <w:top w:val="single" w:color="000000" w:sz="4" w:space="0"/>
              <w:left w:val="single" w:color="000000" w:sz="4" w:space="0"/>
              <w:bottom w:val="single" w:color="000000" w:sz="4" w:space="0"/>
              <w:right w:val="single" w:color="000000" w:sz="4" w:space="0"/>
            </w:tcBorders>
            <w:tcW w:w="245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泥浆运输：由施工现场运至脱水场地；泥浆脱水处理：脱水后含水率在45%～55%；脱水后淤泥处置运费：平板车运输；脱水后的淤泥运输至项目所在地有资质的单位进行合法合规焚烧处置。</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69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符合环保要求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井盖更换</w:t>
            </w:r>
            <w:r/>
          </w:p>
        </w:tc>
        <w:tc>
          <w:tcPr>
            <w:shd w:val="clear" w:color="auto" w:fill="auto"/>
            <w:tcBorders>
              <w:top w:val="single" w:color="000000" w:sz="4" w:space="0"/>
              <w:left w:val="single" w:color="000000" w:sz="4" w:space="0"/>
              <w:bottom w:val="single" w:color="000000" w:sz="4" w:space="0"/>
              <w:right w:val="single" w:color="000000" w:sz="4" w:space="0"/>
            </w:tcBorders>
            <w:tcW w:w="245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1、范围：养护范围内所有雨污水检查井及收水井包括化粪池，不同型号尺寸井盖综合考虑；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2、工作内容：拆除破损检查井及垃圾物外运处置，更换新的重型磨塑井盖等；</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范围内对行人车辆有安全隐患的井盖</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88"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太湖大道以北</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管网养护（除旧改小区污水管网）</w:t>
            </w:r>
            <w:r/>
          </w:p>
        </w:tc>
        <w:tc>
          <w:tcPr>
            <w:shd w:val="clear" w:color="auto" w:fill="auto"/>
            <w:tcBorders>
              <w:top w:val="single" w:color="000000" w:sz="4" w:space="0"/>
              <w:left w:val="single" w:color="000000" w:sz="4" w:space="0"/>
              <w:bottom w:val="single" w:color="000000" w:sz="4" w:space="0"/>
              <w:right w:val="single" w:color="000000" w:sz="4" w:space="0"/>
            </w:tcBorders>
            <w:tcW w:w="245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1、范围：养护范围内所有雨、污水管网及配套检查井（含小区管网接入市政主管网段），不同管径费用综合考虑。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管网疏通清淤、清理垃圾，检查井淤泥清掏、垃圾清理等，确保管道畅通，不溢水。含人工局部井下或管内清掏作业及保护措施、临时橡胶气囊封堵、临时排水、临时局部检查检测等；</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13661</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养护范围内管道每年冲洗不小于2次，管道堵塞随时清理、疏通，确保管道运行正常。</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旧改小区污水管网</w:t>
            </w:r>
            <w:r/>
          </w:p>
        </w:tc>
        <w:tc>
          <w:tcPr>
            <w:shd w:val="clear" w:color="auto" w:fill="auto"/>
            <w:tcBorders>
              <w:top w:val="single" w:color="000000" w:sz="4" w:space="0"/>
              <w:left w:val="single" w:color="000000" w:sz="4" w:space="0"/>
              <w:bottom w:val="single" w:color="000000" w:sz="4" w:space="0"/>
              <w:right w:val="single" w:color="000000" w:sz="4" w:space="0"/>
            </w:tcBorders>
            <w:tcW w:w="245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1、范围：东风家园二期养护范围内所有污水管网及配套检查井（含小区管网接入市政主管网段），不同管径费用综合考虑。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管网疏通清淤、清理垃圾，检查井淤泥清掏、垃圾清理等，确保管道畅通，不溢水。含人工局部井下或管内清掏作业及保护措施、临时橡胶气囊封堵、临时排水、临时局部检查检测等；</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17178</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养护范围内管道每年冲洗不小于4次，管道堵塞随时清理、疏通，确保管道运行正常。</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化粪池养护</w:t>
            </w:r>
            <w:r/>
          </w:p>
        </w:tc>
        <w:tc>
          <w:tcPr>
            <w:shd w:val="clear" w:color="auto" w:fill="auto"/>
            <w:tcBorders>
              <w:top w:val="single" w:color="000000" w:sz="4" w:space="0"/>
              <w:left w:val="single" w:color="000000" w:sz="4" w:space="0"/>
              <w:bottom w:val="single" w:color="000000" w:sz="4" w:space="0"/>
              <w:right w:val="single" w:color="000000" w:sz="4" w:space="0"/>
            </w:tcBorders>
            <w:tcW w:w="245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1、范围：养护范围内所有化粪池，不同型号化粪池费用综合考虑；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2、工作内容：化粪池内粪便、杂物等清掏，化粪池内壁冲洗及污水抽排等；</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化粪池清掏、冲洗等养护每年不少于两次。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淤泥处置</w:t>
            </w:r>
            <w:r/>
          </w:p>
        </w:tc>
        <w:tc>
          <w:tcPr>
            <w:shd w:val="clear" w:color="auto" w:fill="auto"/>
            <w:tcBorders>
              <w:top w:val="single" w:color="000000" w:sz="4" w:space="0"/>
              <w:left w:val="single" w:color="000000" w:sz="4" w:space="0"/>
              <w:bottom w:val="single" w:color="000000" w:sz="4" w:space="0"/>
              <w:right w:val="single" w:color="000000" w:sz="4" w:space="0"/>
            </w:tcBorders>
            <w:tcW w:w="245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泥浆运输：由施工现场运至脱水场地；泥浆脱水处理：脱水后含水率在45%～55%；脱水后淤泥处置运费：平板车运输；脱水后的淤泥运输至项目所在地有资质的单位进行合法合规焚烧处置。</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69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符合环保要求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井盖更换</w:t>
            </w:r>
            <w:r/>
          </w:p>
        </w:tc>
        <w:tc>
          <w:tcPr>
            <w:shd w:val="clear" w:color="auto" w:fill="auto"/>
            <w:tcBorders>
              <w:top w:val="single" w:color="000000" w:sz="4" w:space="0"/>
              <w:left w:val="single" w:color="000000" w:sz="4" w:space="0"/>
              <w:bottom w:val="single" w:color="000000" w:sz="4" w:space="0"/>
              <w:right w:val="single" w:color="000000" w:sz="4" w:space="0"/>
            </w:tcBorders>
            <w:tcW w:w="245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1、范围：养护范围内所有雨污水检查井及收水井包括化粪池，不同型号尺寸井盖综合考虑；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2、工作内容：拆除破损检查井及垃圾物外运处置，更换新的重型磨塑井盖等；</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范围内对行人车辆有安全隐患的井盖</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应急排查及抢修</w:t>
            </w:r>
            <w:r/>
          </w:p>
        </w:tc>
        <w:tc>
          <w:tcPr>
            <w:shd w:val="clear" w:color="auto" w:fill="auto"/>
            <w:tcBorders>
              <w:top w:val="single" w:color="000000" w:sz="4" w:space="0"/>
              <w:left w:val="single" w:color="000000" w:sz="4" w:space="0"/>
              <w:bottom w:val="single" w:color="000000" w:sz="4" w:space="0"/>
              <w:right w:val="single" w:color="000000" w:sz="4" w:space="0"/>
            </w:tcBorders>
            <w:tcW w:w="245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包含管网临时封堵、翻水、应急排查、检测，疏通及小范围应急管网修复等</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200000.00元，</w:t>
            </w:r>
            <w:r>
              <w:rPr>
                <w:rFonts w:hint="eastAsia" w:ascii="宋体" w:hAnsi="宋体" w:eastAsia="宋体" w:cs="宋体"/>
                <w:i w:val="0"/>
                <w:iCs w:val="0"/>
                <w:color w:val="auto"/>
                <w:sz w:val="24"/>
                <w:szCs w:val="24"/>
                <w:highlight w:val="none"/>
                <w:u w:val="none"/>
                <w:lang w:val="en-US" w:eastAsia="zh-CN" w:bidi="ar"/>
              </w:rPr>
              <w:t xml:space="preserve">此项</w:t>
            </w:r>
            <w:r>
              <w:rPr>
                <w:rFonts w:hint="eastAsia" w:ascii="宋体" w:hAnsi="宋体" w:cs="宋体"/>
                <w:i w:val="0"/>
                <w:iCs w:val="0"/>
                <w:color w:val="auto"/>
                <w:sz w:val="24"/>
                <w:szCs w:val="24"/>
                <w:highlight w:val="none"/>
                <w:u w:val="none"/>
                <w:lang w:val="en-US" w:eastAsia="zh-CN" w:bidi="ar"/>
              </w:rPr>
              <w:t xml:space="preserve">为</w:t>
            </w:r>
            <w:r>
              <w:rPr>
                <w:rFonts w:hint="eastAsia" w:ascii="宋体" w:hAnsi="宋体" w:eastAsia="宋体" w:cs="宋体"/>
                <w:i w:val="0"/>
                <w:iCs w:val="0"/>
                <w:color w:val="auto"/>
                <w:sz w:val="24"/>
                <w:szCs w:val="24"/>
                <w:highlight w:val="none"/>
                <w:u w:val="none"/>
                <w:lang w:val="en-US" w:eastAsia="zh-CN" w:bidi="ar"/>
              </w:rPr>
              <w:t xml:space="preserve">不可竞争</w:t>
            </w:r>
            <w:r>
              <w:rPr>
                <w:rFonts w:hint="eastAsia" w:ascii="宋体" w:hAnsi="宋体" w:cs="宋体"/>
                <w:i w:val="0"/>
                <w:iCs w:val="0"/>
                <w:color w:val="auto"/>
                <w:sz w:val="24"/>
                <w:szCs w:val="24"/>
                <w:highlight w:val="none"/>
                <w:u w:val="none"/>
                <w:lang w:val="en-US" w:eastAsia="zh-CN" w:bidi="ar"/>
              </w:rPr>
              <w:t xml:space="preserve">费</w:t>
            </w:r>
            <w:r/>
          </w:p>
        </w:tc>
      </w:tr>
      <w:tr>
        <w:trPr>
          <w:trHeight w:val="23"/>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说明：1、本工程量清单单价为全费用综合单价，即包含直接费、措施费、管理费、规费、利润和税金。相关的 （临时设施费、包干费、夜间施工增加费、冬雨季施工增加费、已完工程及设备保护费、赶工措施费、按质论价费）</w:t>
            </w:r>
            <w:r>
              <w:rPr>
                <w:rFonts w:hint="eastAsia" w:ascii="宋体" w:hAnsi="宋体" w:cs="宋体"/>
                <w:i w:val="0"/>
                <w:iCs w:val="0"/>
                <w:color w:val="auto"/>
                <w:sz w:val="24"/>
                <w:szCs w:val="24"/>
                <w:highlight w:val="none"/>
                <w:u w:val="none"/>
                <w:lang w:val="en-US" w:eastAsia="zh-CN" w:bidi="ar"/>
              </w:rPr>
              <w:t xml:space="preserve">不再</w:t>
            </w:r>
            <w:r>
              <w:rPr>
                <w:rFonts w:hint="eastAsia" w:ascii="宋体" w:hAnsi="宋体" w:eastAsia="宋体" w:cs="宋体"/>
                <w:i w:val="0"/>
                <w:iCs w:val="0"/>
                <w:color w:val="auto"/>
                <w:sz w:val="24"/>
                <w:szCs w:val="24"/>
                <w:highlight w:val="none"/>
                <w:u w:val="none"/>
                <w:lang w:val="en-US" w:eastAsia="zh-CN" w:bidi="ar"/>
              </w:rPr>
              <w:t xml:space="preserve">另行计取。</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2、应急排查及抢修为不可竞争数值，该项费用在项目服务过程中，超过中标价格按中标价结算，不超中标价按实结算。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3、合同养护期间，人工费、材料费等均不再进行调整；投标人所报综合单价必须考虑措施费用等一切费用。</w:t>
            </w:r>
            <w:r/>
          </w:p>
        </w:tc>
      </w:tr>
    </w:tbl>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2.服务期：两年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以合同签订日期为准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3.实施地点：</w:t>
      </w:r>
      <w:r>
        <w:rPr>
          <w:rFonts w:hint="eastAsia" w:ascii="宋体" w:hAnsi="宋体" w:cs="宋体"/>
          <w:color w:val="auto"/>
          <w:sz w:val="24"/>
          <w:highlight w:val="none"/>
          <w:lang w:val="en-US" w:eastAsia="zh-CN"/>
        </w:rPr>
        <w:t xml:space="preserve">无锡市新吴区</w:t>
      </w:r>
      <w:r>
        <w:rPr>
          <w:rFonts w:hint="eastAsia" w:ascii="宋体" w:hAnsi="宋体" w:cs="宋体"/>
          <w:color w:val="auto"/>
          <w:sz w:val="24"/>
          <w:highlight w:val="none"/>
        </w:rPr>
        <w:t xml:space="preserve">江溪街道。</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五、项目技术要求：</w:t>
      </w:r>
      <w:r>
        <w:rPr>
          <w:rFonts w:hint="eastAsia" w:ascii="宋体" w:hAnsi="宋体" w:cs="宋体"/>
          <w:b/>
          <w:bCs/>
          <w:color w:val="auto"/>
          <w:sz w:val="24"/>
          <w:highlight w:val="none"/>
          <w:lang w:eastAsia="zh-CN"/>
        </w:rPr>
        <w:t xml:space="preserve">按照</w:t>
      </w:r>
      <w:r>
        <w:rPr>
          <w:rFonts w:hint="eastAsia" w:ascii="宋体" w:hAnsi="宋体" w:cs="宋体"/>
          <w:b/>
          <w:bCs/>
          <w:color w:val="auto"/>
          <w:sz w:val="24"/>
          <w:highlight w:val="none"/>
        </w:rPr>
        <w:t xml:space="preserve">有关政府及行业标准。</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六、采购标的需满足的服务标准等要求：</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1、服务标准：《</w:t>
      </w:r>
      <w:r>
        <w:rPr>
          <w:rFonts w:hint="eastAsia" w:ascii="宋体" w:hAnsi="宋体" w:cs="宋体"/>
          <w:color w:val="auto"/>
          <w:sz w:val="24"/>
          <w:highlight w:val="none"/>
          <w:lang w:eastAsia="zh-CN"/>
        </w:rPr>
        <w:t xml:space="preserve">城镇排水管渠与泵站运行、维护及安全技术规程</w:t>
      </w:r>
      <w:r>
        <w:rPr>
          <w:rFonts w:hint="eastAsia" w:ascii="宋体" w:hAnsi="宋体" w:cs="宋体"/>
          <w:color w:val="auto"/>
          <w:sz w:val="24"/>
          <w:highlight w:val="none"/>
        </w:rPr>
        <w:t xml:space="preserve">》（CJJ68-2016）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《新吴区公共雨污水管网（设施）养护作业参考标准》</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2、场地、人员、设备要求：</w:t>
      </w:r>
      <w:r/>
    </w:p>
    <w:p>
      <w:pPr>
        <w:ind w:firstLine="480"/>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在无锡范围内具备固定管养场所且面积≥150㎡</w:t>
      </w:r>
      <w:r>
        <w:rPr>
          <w:rFonts w:hint="eastAsia" w:ascii="宋体" w:hAnsi="宋体" w:cs="宋体"/>
          <w:bCs/>
          <w:color w:val="auto"/>
          <w:sz w:val="24"/>
          <w:highlight w:val="none"/>
        </w:rPr>
        <w:t xml:space="preserve">。</w:t>
      </w:r>
      <w:r/>
    </w:p>
    <w:p>
      <w:pPr>
        <w:ind w:firstLine="480"/>
        <w:spacing w:line="360" w:lineRule="auto"/>
        <w:widowControl/>
        <w:rPr>
          <w:rFonts w:hint="eastAsia" w:ascii="宋体" w:hAnsi="宋体" w:cs="宋体"/>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维护期间中标单位</w:t>
      </w:r>
      <w:r>
        <w:rPr>
          <w:rFonts w:hint="eastAsia" w:ascii="宋体" w:hAnsi="宋体" w:cs="宋体"/>
          <w:color w:val="auto"/>
          <w:sz w:val="24"/>
          <w:highlight w:val="none"/>
        </w:rPr>
        <w:t xml:space="preserve">每天必须确保有5名工作人员到场备案，并上传每天的现场工作情况照片。一经发现有人缺席，每人每天罚款1000元，一旦被查三次，采购人有权要求中标单位进行整顿，并对中标单位处以5000元罚金。若反复出现此类情况，采购人有权终止合同，并要求中标单位弥补由此造成的损失。</w:t>
      </w:r>
      <w:r/>
    </w:p>
    <w:p>
      <w:pPr>
        <w:ind w:firstLine="480"/>
        <w:spacing w:line="360" w:lineRule="auto"/>
        <w:widowControl/>
        <w:rPr>
          <w:rFonts w:hint="eastAsia" w:ascii="宋体" w:hAnsi="宋体" w:cs="宋体"/>
          <w:color w:val="auto"/>
          <w:sz w:val="24"/>
          <w:highlight w:val="none"/>
          <w:lang w:val="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维护期间必须确保有淤泥或垃圾运输车、吸污车、</w:t>
      </w:r>
      <w:r>
        <w:rPr>
          <w:rFonts w:hint="eastAsia" w:ascii="宋体" w:hAnsi="宋体" w:cs="宋体"/>
          <w:color w:val="auto"/>
          <w:sz w:val="24"/>
          <w:highlight w:val="none"/>
          <w:lang w:val="zh-CN"/>
        </w:rPr>
        <w:t xml:space="preserve">下水道疏通车</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lang w:val="zh-CN"/>
        </w:rPr>
        <w:t xml:space="preserve">养护设备</w:t>
      </w:r>
      <w:r>
        <w:rPr>
          <w:rFonts w:hint="eastAsia" w:ascii="宋体" w:hAnsi="宋体" w:cs="宋体"/>
          <w:color w:val="auto"/>
          <w:sz w:val="24"/>
          <w:highlight w:val="none"/>
        </w:rPr>
        <w:t xml:space="preserve">可以调配使用</w:t>
      </w:r>
      <w:r>
        <w:rPr>
          <w:rFonts w:hint="eastAsia" w:ascii="宋体" w:hAnsi="宋体" w:cs="宋体"/>
          <w:color w:val="auto"/>
          <w:sz w:val="24"/>
          <w:highlight w:val="none"/>
          <w:lang w:val="zh-CN"/>
        </w:rPr>
        <w:t xml:space="preserve">。</w:t>
      </w:r>
      <w:r/>
    </w:p>
    <w:p>
      <w:pPr>
        <w:ind w:firstLine="480"/>
        <w:spacing w:line="360" w:lineRule="auto"/>
        <w:widowControl/>
        <w:rPr>
          <w:rFonts w:hint="eastAsia" w:ascii="宋体" w:hAnsi="宋体" w:eastAsia="宋体" w:cs="宋体"/>
          <w:b/>
          <w:bCs/>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szCs w:val="24"/>
          <w:highlight w:val="none"/>
        </w:rPr>
        <w:t xml:space="preserve">本次</w:t>
      </w:r>
      <w:r>
        <w:rPr>
          <w:rFonts w:hint="eastAsia" w:ascii="宋体" w:hAnsi="宋体" w:cs="宋体"/>
          <w:color w:val="auto"/>
          <w:sz w:val="24"/>
          <w:highlight w:val="none"/>
          <w:lang w:val="en-US" w:eastAsia="zh-CN"/>
        </w:rPr>
        <w:t xml:space="preserve">脱水后淤泥运至项目所在地有焚烧资质的专业公司合法合规焚烧处置，</w:t>
      </w:r>
      <w:r>
        <w:rPr>
          <w:rFonts w:hint="eastAsia" w:ascii="宋体" w:hAnsi="宋体" w:cs="宋体"/>
          <w:color w:val="auto"/>
          <w:sz w:val="24"/>
          <w:highlight w:val="none"/>
          <w:lang w:eastAsia="zh-CN"/>
        </w:rPr>
        <w:t xml:space="preserve">淤泥处置不得对环境造成污染</w:t>
      </w:r>
      <w:r>
        <w:rPr>
          <w:rFonts w:hint="eastAsia" w:ascii="宋体" w:hAnsi="宋体" w:cs="宋体"/>
          <w:color w:val="auto"/>
          <w:sz w:val="24"/>
          <w:highlight w:val="none"/>
        </w:rPr>
        <w:t xml:space="preserve">。</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七、其他说明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1、投标供应商应仔细阅读招标文件的所有内容，按招标文件的要求提供投标文件，并保证所提供的全部资料的真实性，以使其投标对招标文件</w:t>
      </w:r>
      <w:r>
        <w:rPr>
          <w:rFonts w:hint="eastAsia" w:ascii="宋体" w:hAnsi="宋体" w:cs="宋体"/>
          <w:color w:val="auto"/>
          <w:sz w:val="24"/>
          <w:highlight w:val="none"/>
          <w:lang w:eastAsia="zh-CN"/>
        </w:rPr>
        <w:t xml:space="preserve">作出</w:t>
      </w:r>
      <w:r>
        <w:rPr>
          <w:rFonts w:hint="eastAsia" w:ascii="宋体" w:hAnsi="宋体" w:cs="宋体"/>
          <w:color w:val="auto"/>
          <w:sz w:val="24"/>
          <w:highlight w:val="none"/>
        </w:rPr>
        <w:t xml:space="preserve">实质性响应，否则，其投标可能被拒绝。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2、投标供应商报价时应充分考虑服务期内所有可能影响到报价的因素，如出现投标供应商故意低价竞争，以谋取中标，作废标处理。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3、支付方式：</w:t>
      </w:r>
      <w:r>
        <w:rPr>
          <w:rFonts w:hint="eastAsia" w:ascii="宋体" w:hAnsi="宋体" w:cs="宋体"/>
          <w:color w:val="auto"/>
          <w:sz w:val="24"/>
          <w:highlight w:val="none"/>
        </w:rPr>
        <w:t xml:space="preserve">每半年支付一次；每次支付按确认的已完成实际工作量的50%拨款；服务期满项目审计结束后，付至最终审定价的90%；审计结束的第二年付清余款。</w:t>
      </w:r>
      <w:r/>
    </w:p>
    <w:p>
      <w:pPr>
        <w:rPr>
          <w:rFonts w:hint="eastAsia" w:ascii="宋体" w:hAnsi="宋体" w:eastAsia="宋体" w:cs="宋体"/>
          <w:color w:val="auto"/>
          <w:sz w:val="24"/>
          <w:szCs w:val="24"/>
          <w:highlight w:val="none"/>
          <w:lang w:val="en-US" w:eastAsia="zh-CN"/>
        </w:rPr>
      </w:pPr>
      <w:r/>
      <w:bookmarkStart w:id="2" w:name="_Hlk145511675"/>
      <w:r>
        <w:rPr>
          <w:rFonts w:hint="eastAsia" w:ascii="宋体" w:hAnsi="宋体" w:eastAsia="宋体" w:cs="宋体"/>
          <w:color w:val="auto"/>
          <w:sz w:val="24"/>
          <w:szCs w:val="24"/>
          <w:highlight w:val="none"/>
          <w:lang w:val="en-US" w:eastAsia="zh-CN"/>
        </w:rPr>
        <w:br w:type="page" w:clear="all"/>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附件：</w:t>
      </w:r>
      <w:bookmarkEnd w:id="2"/>
      <w:r>
        <w:rPr>
          <w:rFonts w:hint="eastAsia" w:ascii="宋体" w:hAnsi="宋体" w:eastAsia="宋体" w:cs="宋体"/>
          <w:b/>
          <w:bCs/>
          <w:color w:val="auto"/>
          <w:sz w:val="24"/>
          <w:szCs w:val="24"/>
          <w:highlight w:val="none"/>
        </w:rPr>
        <w:t xml:space="preserve">考核</w:t>
      </w:r>
      <w:r>
        <w:rPr>
          <w:rFonts w:hint="eastAsia" w:ascii="宋体" w:hAnsi="宋体" w:eastAsia="宋体" w:cs="宋体"/>
          <w:b/>
          <w:bCs/>
          <w:color w:val="auto"/>
          <w:sz w:val="24"/>
          <w:szCs w:val="24"/>
          <w:highlight w:val="none"/>
          <w:lang w:eastAsia="zh-CN"/>
        </w:rPr>
        <w:t xml:space="preserve">细则</w:t>
      </w:r>
      <w:r/>
    </w:p>
    <w:tbl>
      <w:tblPr>
        <w:tblStyle w:val="677"/>
        <w:tblW w:w="9617" w:type="dxa"/>
        <w:jc w:val="center"/>
        <w:tblLayout w:type="autofit"/>
        <w:tblCellMar>
          <w:left w:w="108" w:type="dxa"/>
          <w:top w:w="0" w:type="dxa"/>
          <w:right w:w="108" w:type="dxa"/>
          <w:bottom w:w="0" w:type="dxa"/>
        </w:tblCellMar>
        <w:tblLook w:val="04A0" w:firstRow="1" w:lastRow="0" w:firstColumn="1" w:lastColumn="0" w:noHBand="0" w:noVBand="1"/>
      </w:tblPr>
      <w:tblGrid>
        <w:gridCol w:w="476"/>
        <w:gridCol w:w="1058"/>
        <w:gridCol w:w="1790"/>
        <w:gridCol w:w="586"/>
        <w:gridCol w:w="2239"/>
        <w:gridCol w:w="924"/>
        <w:gridCol w:w="1248"/>
        <w:gridCol w:w="1296"/>
      </w:tblGrid>
      <w:tr>
        <w:trPr>
          <w:jc w:val="center"/>
          <w:trHeight w:val="645"/>
        </w:trPr>
        <w:tc>
          <w:tcPr>
            <w:gridSpan w:val="8"/>
            <w:tcBorders>
              <w:top w:val="none" w:color="000000" w:sz="4" w:space="0"/>
              <w:left w:val="none" w:color="000000" w:sz="4" w:space="0"/>
              <w:bottom w:val="none" w:color="000000" w:sz="4" w:space="0"/>
              <w:right w:val="none" w:color="000000" w:sz="4" w:space="0"/>
            </w:tcBorders>
            <w:tcW w:w="9617"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lang w:bidi="ar"/>
              </w:rPr>
              <w:t xml:space="preserve">养护管理考核表</w:t>
            </w:r>
            <w:r/>
          </w:p>
        </w:tc>
      </w:tr>
      <w:tr>
        <w:trPr>
          <w:jc w:val="center"/>
          <w:trHeight w:val="540"/>
        </w:trPr>
        <w:tc>
          <w:tcPr>
            <w:gridSpan w:val="8"/>
            <w:tcBorders>
              <w:top w:val="none" w:color="000000" w:sz="4" w:space="0"/>
              <w:left w:val="none" w:color="000000" w:sz="4" w:space="0"/>
              <w:bottom w:val="none" w:color="000000" w:sz="4" w:space="0"/>
              <w:right w:val="none" w:color="000000" w:sz="4" w:space="0"/>
            </w:tcBorders>
            <w:tcW w:w="9617"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养护单位：</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检查项目</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扣分标准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得分</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扣分原因</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备注</w:t>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58" w:type="dxa"/>
            <w:vAlign w:val="center"/>
            <w:vMerge w:val="restart"/>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雨污水检查井（26）</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检查井内水流畅通，无浮渣；</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发现水流不畅一处扣2分，发现浮渣一处扣1分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井盖无埋没、丢失、破损；井盖标识正确</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发现一处问题扣1分，井盖缺失一处扣2分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井框盖吻合，无破损，启闭灵活</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发现一处问题扣1分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井内爬梯完整，无松动、锈蚀或缺损</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发现一处问题扣1分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井内壁无泥垢、裂缝或渗漏，抹面无脱落</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发现一处问题扣1分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检查井（有沉泥槽）允许积泥深度为管底以下50mm；检查井（无沉泥槽）允许积泥深度为主管径的1/5</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发现积泥超标一处扣2分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058" w:type="dxa"/>
            <w:vAlign w:val="center"/>
            <w:vMerge w:val="restart"/>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收水井（20）</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收水井允许积泥深度为管底以下50mm</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发现积泥超标一处扣2分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雨篦口无堵塞、埋没、破损或丢失现象</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发现一处问题扣1分，雨篦缺失一处扣2分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绿化带排水沟畅通，无树叶、垃圾、淤泥等积聚</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发现一处问题扣1分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出水口（6）</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出水口畅通，未被遮挡、掩埋或堵塞</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发现一处问题扣2分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058" w:type="dxa"/>
            <w:vAlign w:val="center"/>
            <w:vMerge w:val="restart"/>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雨污水管（20）</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管道无破损或沉降</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巡查无反馈，发现一处问题扣2分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沿线无违章占压、私自接管、雨污混接或违法排放现象</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发现一处问题扣2分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管道允许积泥深度为主管径的1/5</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发现积泥超标一处扣2分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14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道路沿线无积水影响车辆通行的状况</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因养护不当发现一处问题扣2分，积水严重造成车辆无法通行，养护考核不得分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因养护不当，造成路面大量积水车辆无法通行的，发包方可解除合同</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058" w:type="dxa"/>
            <w:vAlign w:val="center"/>
            <w:vMerge w:val="restart"/>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养护管理（12）</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淤泥及垃圾应及时装车外运，不得就地堆放，不得抛洒滴漏，清掏作业后必须保持路面清洁</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淤泥及垃圾没有及时处理的1次扣1分，出现抛洒滴漏1次扣1分，影响周边居民1次扣1分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严格按照养护计划开展工作，现场人员车辆到位</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无正当理由未按照养护计划实施养护的一次扣1分，计划调整未及时通知甲方的一次扣1分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养护人员知晓养护范围内的雨污水管网情况</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对雨水管线情况不熟悉一次扣0.5分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及时参加发包方组织的各类养护会议和现场检查、督查</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未按时派员参加一次扣1分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缺席一次扣2000元</w:t>
            </w:r>
            <w:r/>
          </w:p>
        </w:tc>
      </w:tr>
      <w:tr>
        <w:trPr>
          <w:jc w:val="center"/>
          <w:trHeight w:val="124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058" w:type="dxa"/>
            <w:vAlign w:val="center"/>
            <w:vMerge w:val="restart"/>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台账管理（10）</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检查巡查制度、应急处置方案和各类原始记录</w:t>
            </w:r>
            <w:r>
              <w:rPr>
                <w:rFonts w:hint="eastAsia" w:ascii="宋体" w:hAnsi="宋体" w:cs="宋体"/>
                <w:color w:val="auto"/>
                <w:sz w:val="24"/>
                <w:szCs w:val="24"/>
                <w:highlight w:val="none"/>
                <w:lang w:eastAsia="zh-CN" w:bidi="ar"/>
              </w:rPr>
              <w:t xml:space="preserve">台账</w:t>
            </w:r>
            <w:r>
              <w:rPr>
                <w:rFonts w:hint="eastAsia" w:ascii="宋体" w:hAnsi="宋体" w:cs="宋体"/>
                <w:color w:val="auto"/>
                <w:sz w:val="24"/>
                <w:szCs w:val="24"/>
                <w:highlight w:val="none"/>
                <w:lang w:bidi="ar"/>
              </w:rPr>
              <w:t xml:space="preserve">装订成册，各项资料完整齐全</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无</w:t>
            </w:r>
            <w:r>
              <w:rPr>
                <w:rFonts w:hint="eastAsia" w:ascii="宋体" w:hAnsi="宋体" w:cs="宋体"/>
                <w:color w:val="auto"/>
                <w:sz w:val="24"/>
                <w:szCs w:val="24"/>
                <w:highlight w:val="none"/>
                <w:lang w:eastAsia="zh-CN" w:bidi="ar"/>
              </w:rPr>
              <w:t xml:space="preserve">台账</w:t>
            </w:r>
            <w:r>
              <w:rPr>
                <w:rFonts w:hint="eastAsia" w:ascii="宋体" w:hAnsi="宋体" w:cs="宋体"/>
                <w:color w:val="auto"/>
                <w:sz w:val="24"/>
                <w:szCs w:val="24"/>
                <w:highlight w:val="none"/>
                <w:lang w:bidi="ar"/>
              </w:rPr>
              <w:t xml:space="preserve">、记录不计分，巡查记录少1天扣1分；设施清通资料缺一项扣1分，应急处置方案缺一项扣1分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雨污水设施清通频率如少一次，则扣除1000元/次，每年上限2万元。</w:t>
            </w:r>
            <w:r/>
          </w:p>
        </w:tc>
      </w:tr>
      <w:tr>
        <w:trPr>
          <w:jc w:val="center"/>
          <w:trHeight w:val="18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及时上报养护计划、管养场所资料、人员设备清单及管线电子图检测资料</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未及时上报相关材料一项扣1分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视频检测资料每少于1%，扣除一万元；未提供雨污水管线电子图纸的管段不予支付养护资金。</w:t>
            </w:r>
            <w:r/>
          </w:p>
        </w:tc>
      </w:tr>
      <w:tr>
        <w:trPr>
          <w:jc w:val="center"/>
          <w:trHeight w:val="216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058" w:type="dxa"/>
            <w:vAlign w:val="center"/>
            <w:vMerge w:val="restart"/>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安全管理（6）</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突发事故（含井盖或雨篦缺失）响应及时，抢修迅速</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出现处置速度达不到合同规定的一次扣2分，未能在承诺时限内完成交办的应急抢修工作的，一次扣5分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检查井盖（含雨篦）缺失修复超过8小时，每小时扣100元，每天上限1000元。</w:t>
            </w:r>
            <w:r/>
          </w:p>
        </w:tc>
      </w:tr>
      <w:tr>
        <w:trPr>
          <w:jc w:val="center"/>
          <w:trHeight w:val="110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无安全生产责任事故（含人员坠井、交通事故、硫化氢中毒等伤亡事故）</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因巡查和养护作业不到位，发生安全生产责任事故，养护考核不得分</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发生安全生产责任事故，发包方可解除合同。</w:t>
            </w:r>
            <w:r/>
          </w:p>
        </w:tc>
      </w:tr>
      <w:tr>
        <w:trPr>
          <w:jc w:val="center"/>
          <w:trHeight w:val="11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无问题不扣分</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单项分值扣完即止</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lef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shd w:val="clear" w:color="auto"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连续2个月得分低于75分的，发包方可解除合同。</w:t>
            </w:r>
            <w:r/>
          </w:p>
        </w:tc>
      </w:tr>
      <w:tr>
        <w:trPr>
          <w:jc w:val="center"/>
          <w:trHeight w:val="600"/>
        </w:trPr>
        <w:tc>
          <w:tcPr>
            <w:gridSpan w:val="8"/>
            <w:tcBorders>
              <w:top w:val="none" w:color="000000" w:sz="4" w:space="0"/>
              <w:left w:val="none" w:color="000000" w:sz="4" w:space="0"/>
              <w:bottom w:val="none" w:color="000000" w:sz="4" w:space="0"/>
              <w:right w:val="none" w:color="000000" w:sz="4" w:space="0"/>
            </w:tcBorders>
            <w:tcW w:w="9617" w:type="dxa"/>
            <w:vAlign w:val="center"/>
            <w:textDirection w:val="lrTb"/>
            <w:noWrap w:val="false"/>
          </w:tcPr>
          <w:p>
            <w:pPr>
              <w:shd w:val="clear" w:color="auto" w:fill="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考核人员：</w:t>
            </w:r>
            <w:r>
              <w:rPr>
                <w:rFonts w:hint="eastAsia" w:ascii="宋体" w:hAnsi="宋体" w:cs="宋体"/>
                <w:b/>
                <w:bCs/>
                <w:color w:val="auto"/>
                <w:sz w:val="24"/>
                <w:szCs w:val="24"/>
                <w:highlight w:val="none"/>
                <w:u w:val="single"/>
                <w:lang w:bidi="ar"/>
              </w:rPr>
              <w:t xml:space="preserve">          </w:t>
            </w:r>
            <w:r>
              <w:rPr>
                <w:rFonts w:hint="eastAsia" w:ascii="宋体" w:hAnsi="宋体" w:cs="宋体"/>
                <w:b/>
                <w:bCs/>
                <w:color w:val="auto"/>
                <w:sz w:val="24"/>
                <w:szCs w:val="24"/>
                <w:highlight w:val="none"/>
                <w:lang w:bidi="ar"/>
              </w:rPr>
              <w:t xml:space="preserve"> 　　　　　　　　　　　考核日期：</w:t>
            </w:r>
            <w:r>
              <w:rPr>
                <w:rFonts w:hint="eastAsia" w:ascii="宋体" w:hAnsi="宋体" w:cs="宋体"/>
                <w:b/>
                <w:bCs/>
                <w:color w:val="auto"/>
                <w:sz w:val="24"/>
                <w:szCs w:val="24"/>
                <w:highlight w:val="none"/>
                <w:u w:val="single"/>
                <w:lang w:bidi="ar"/>
              </w:rPr>
              <w:t xml:space="preserve">     </w:t>
            </w:r>
            <w:r>
              <w:rPr>
                <w:rFonts w:hint="eastAsia" w:ascii="宋体" w:hAnsi="宋体" w:cs="宋体"/>
                <w:b/>
                <w:bCs/>
                <w:color w:val="auto"/>
                <w:sz w:val="24"/>
                <w:szCs w:val="24"/>
                <w:highlight w:val="none"/>
                <w:lang w:bidi="ar"/>
              </w:rPr>
              <w:t xml:space="preserve">年</w:t>
            </w:r>
            <w:r>
              <w:rPr>
                <w:rFonts w:hint="eastAsia" w:ascii="宋体" w:hAnsi="宋体" w:cs="宋体"/>
                <w:b/>
                <w:bCs/>
                <w:color w:val="auto"/>
                <w:sz w:val="24"/>
                <w:szCs w:val="24"/>
                <w:highlight w:val="none"/>
                <w:u w:val="single"/>
                <w:lang w:bidi="ar"/>
              </w:rPr>
              <w:t xml:space="preserve">    </w:t>
            </w:r>
            <w:r>
              <w:rPr>
                <w:rFonts w:hint="eastAsia" w:ascii="宋体" w:hAnsi="宋体" w:cs="宋体"/>
                <w:b/>
                <w:bCs/>
                <w:color w:val="auto"/>
                <w:sz w:val="24"/>
                <w:szCs w:val="24"/>
                <w:highlight w:val="none"/>
                <w:lang w:bidi="ar"/>
              </w:rPr>
              <w:t xml:space="preserve">月</w:t>
            </w:r>
            <w:r>
              <w:rPr>
                <w:rFonts w:hint="eastAsia" w:ascii="宋体" w:hAnsi="宋体" w:cs="宋体"/>
                <w:b/>
                <w:bCs/>
                <w:color w:val="auto"/>
                <w:sz w:val="24"/>
                <w:szCs w:val="24"/>
                <w:highlight w:val="none"/>
                <w:u w:val="single"/>
                <w:lang w:bidi="ar"/>
              </w:rPr>
              <w:t xml:space="preserve">    </w:t>
            </w:r>
            <w:r>
              <w:rPr>
                <w:rFonts w:hint="eastAsia" w:ascii="宋体" w:hAnsi="宋体" w:cs="宋体"/>
                <w:b/>
                <w:bCs/>
                <w:color w:val="auto"/>
                <w:sz w:val="24"/>
                <w:szCs w:val="24"/>
                <w:highlight w:val="none"/>
                <w:lang w:bidi="ar"/>
              </w:rPr>
              <w:t xml:space="preserve">日</w:t>
            </w:r>
            <w:r/>
          </w:p>
        </w:tc>
      </w:tr>
    </w:tbl>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560"/>
        <w:jc w:val="center"/>
        <w:spacing w:line="360" w:lineRule="auto"/>
        <w:rPr>
          <w:rFonts w:ascii="黑体" w:hAnsi="宋体" w:eastAsia="黑体"/>
          <w:b/>
          <w:bCs w:val="0"/>
          <w:color w:val="auto"/>
          <w:sz w:val="28"/>
          <w:szCs w:val="28"/>
          <w:highlight w:val="none"/>
        </w:rPr>
        <w:outlineLvl w:val="0"/>
      </w:pPr>
      <w:r>
        <w:rPr>
          <w:rFonts w:hint="eastAsia" w:ascii="黑体" w:eastAsia="黑体"/>
          <w:b/>
          <w:bCs w:val="0"/>
          <w:color w:val="auto"/>
          <w:sz w:val="28"/>
          <w:szCs w:val="28"/>
          <w:highlight w:val="none"/>
        </w:rPr>
        <w:t xml:space="preserve">四</w:t>
      </w:r>
      <w:r>
        <w:rPr>
          <w:rFonts w:hint="eastAsia" w:ascii="黑体" w:eastAsia="黑体"/>
          <w:b/>
          <w:bCs w:val="0"/>
          <w:color w:val="auto"/>
          <w:sz w:val="28"/>
          <w:szCs w:val="28"/>
          <w:highlight w:val="none"/>
          <w:lang w:val="en-US" w:eastAsia="zh-CN"/>
        </w:rPr>
        <w:t xml:space="preserve">.</w:t>
      </w:r>
      <w:r>
        <w:rPr>
          <w:rFonts w:hint="eastAsia" w:ascii="黑体" w:hAnsi="宋体" w:eastAsia="黑体"/>
          <w:b/>
          <w:bCs w:val="0"/>
          <w:color w:val="auto"/>
          <w:sz w:val="28"/>
          <w:szCs w:val="28"/>
          <w:highlight w:val="none"/>
        </w:rPr>
        <w:t xml:space="preserve">合同书（格式文本）</w:t>
      </w:r>
      <w:r/>
    </w:p>
    <w:p>
      <w:pPr>
        <w:ind w:firstLine="480"/>
        <w:spacing w:line="360" w:lineRule="auto"/>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根据《中华人民共和国政府采购法》及相关法规、《中华人民共和国民法典》，遵循平等、自愿、公平和诚实信用的原则，供需双方就项目（项目编号：</w:t>
      </w: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rPr>
        <w:t xml:space="preserve">）实施及有关事项协商一致，共同达成如下协议：</w:t>
      </w:r>
      <w:r/>
    </w:p>
    <w:p>
      <w:pPr>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ind w:firstLine="480"/>
        <w:spacing w:line="46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一、政府采购编号：  </w:t>
      </w:r>
      <w:r/>
    </w:p>
    <w:p>
      <w:pPr>
        <w:ind w:firstLine="480"/>
        <w:spacing w:line="46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3" w:name="_Hlk2066327"/>
      <w:r/>
      <w:bookmarkEnd w:id="3"/>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三、中标总金额：</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大写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rPr>
        <w:t xml:space="preserve">小写</w:t>
      </w:r>
      <w:r>
        <w:rPr>
          <w:rFonts w:hint="eastAsia" w:ascii="宋体" w:hAnsi="宋体" w:cs="宋体"/>
          <w:bCs/>
          <w:color w:val="auto"/>
          <w:sz w:val="24"/>
          <w:highlight w:val="none"/>
          <w:lang w:eastAsia="zh-CN"/>
        </w:rPr>
        <w:t xml:space="preserve">）</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五、服务期：</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六、服务地点和方式：</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七、服务费支付步骤和办法：</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八、违约责任：</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color w:val="auto"/>
          <w:sz w:val="24"/>
          <w:highlight w:val="none"/>
        </w:rPr>
        <w:t xml:space="preserve">九、解决争议的方式：</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十、</w:t>
      </w:r>
      <w:r>
        <w:rPr>
          <w:rFonts w:hint="eastAsia" w:ascii="宋体" w:hAnsi="宋体" w:cs="宋体"/>
          <w:bCs/>
          <w:color w:val="auto"/>
          <w:sz w:val="24"/>
          <w:highlight w:val="none"/>
          <w:lang w:eastAsia="zh-CN"/>
        </w:rPr>
        <w:t xml:space="preserve">其他</w:t>
      </w:r>
      <w:r>
        <w:rPr>
          <w:rFonts w:hint="eastAsia" w:ascii="宋体" w:hAnsi="宋体" w:cs="宋体"/>
          <w:bCs/>
          <w:color w:val="auto"/>
          <w:sz w:val="24"/>
          <w:highlight w:val="none"/>
        </w:rPr>
        <w:t xml:space="preserve">事项：</w:t>
      </w:r>
      <w:r/>
    </w:p>
    <w:p>
      <w:pPr>
        <w:ind w:firstLine="480"/>
        <w:spacing w:line="46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十一、合同不可分割部分：招标文件、投标文件、合同条款及中标通知书，供方在投标、评标过程中所作其它有关承诺、声明、书面澄清等均为合同不可分割的部分，与主合同具有同等法律效力。</w:t>
      </w:r>
      <w:r/>
    </w:p>
    <w:p>
      <w:pPr>
        <w:ind w:firstLine="480"/>
        <w:spacing w:line="46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十二、合同备案：合同一式伍份，供需双方各执贰份，见证方一份。</w:t>
      </w:r>
      <w:r/>
    </w:p>
    <w:p>
      <w:pPr>
        <w:ind w:firstLine="480"/>
        <w:spacing w:line="46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十三、合同生效：本合同由供需双方签字盖章并经见证后生效。</w:t>
      </w:r>
      <w:r/>
    </w:p>
    <w:p>
      <w:pPr>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p>
    <w:p>
      <w:pPr>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                        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p>
    <w:p>
      <w:pPr>
        <w:ind w:firstLine="840"/>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年  月  日                              年  月  日</w:t>
      </w:r>
      <w:r/>
    </w:p>
    <w:p>
      <w:pPr>
        <w:ind w:firstLine="3240"/>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               供方户名：</w:t>
      </w:r>
      <w:r/>
    </w:p>
    <w:p>
      <w:pPr>
        <w:ind w:firstLine="5040"/>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供方开户银行：</w:t>
      </w:r>
      <w:r/>
    </w:p>
    <w:p>
      <w:pP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                                          供方账号：</w:t>
      </w:r>
      <w:r/>
    </w:p>
    <w:p>
      <w:pPr>
        <w:spacing w:line="460" w:lineRule="exact"/>
        <w:rPr>
          <w:rFonts w:ascii="宋体" w:hAnsi="宋体" w:cs="宋体"/>
          <w:bCs/>
          <w:color w:val="auto"/>
          <w:sz w:val="24"/>
          <w:highlight w:val="none"/>
        </w:rPr>
      </w:pPr>
      <w:r>
        <w:rPr>
          <w:rFonts w:ascii="宋体" w:hAnsi="宋体" w:cs="宋体"/>
          <w:bCs/>
          <w:color w:val="auto"/>
          <w:sz w:val="24"/>
          <w:highlight w:val="none"/>
        </w:rPr>
      </w:r>
      <w:r/>
    </w:p>
    <w:p>
      <w:pP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见证方（公章）：                          日期：</w:t>
      </w:r>
      <w:r/>
    </w:p>
    <w:p>
      <w:pPr>
        <w:jc w:val="center"/>
        <w:spacing w:line="440" w:lineRule="exact"/>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br w:type="page" w:clear="all"/>
      </w:r>
      <w:r>
        <w:rPr>
          <w:rFonts w:hint="eastAsia" w:ascii="黑体" w:hAnsi="黑体" w:eastAsia="黑体"/>
          <w:bCs/>
          <w:color w:val="auto"/>
          <w:sz w:val="28"/>
          <w:szCs w:val="28"/>
          <w:highlight w:val="none"/>
        </w:rPr>
        <w:t xml:space="preserve">五</w:t>
      </w:r>
      <w:r>
        <w:rPr>
          <w:rFonts w:hint="eastAsia" w:ascii="黑体" w:hAnsi="黑体" w:eastAsia="黑体"/>
          <w:bCs/>
          <w:color w:val="auto"/>
          <w:sz w:val="28"/>
          <w:szCs w:val="28"/>
          <w:highlight w:val="none"/>
          <w:lang w:val="en-US" w:eastAsia="zh-CN"/>
        </w:rPr>
        <w:t xml:space="preserve">.</w:t>
      </w:r>
      <w:r>
        <w:rPr>
          <w:rFonts w:hint="eastAsia" w:ascii="黑体" w:hAnsi="黑体" w:eastAsia="黑体"/>
          <w:bCs/>
          <w:color w:val="auto"/>
          <w:sz w:val="28"/>
          <w:szCs w:val="28"/>
          <w:highlight w:val="none"/>
        </w:rPr>
        <w:t xml:space="preserve">合同条款</w:t>
      </w:r>
      <w:r/>
    </w:p>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ind w:firstLine="420"/>
        <w:jc w:val="left"/>
        <w:spacing w:line="400" w:lineRule="exact"/>
        <w:rPr>
          <w:rFonts w:ascii="宋体" w:hAnsi="宋体"/>
          <w:color w:val="auto"/>
          <w:sz w:val="24"/>
          <w:highlight w:val="none"/>
        </w:rPr>
      </w:pPr>
      <w:r>
        <w:rPr>
          <w:rFonts w:hint="eastAsia" w:ascii="宋体" w:hAnsi="宋体"/>
          <w:color w:val="auto"/>
          <w:sz w:val="24"/>
          <w:highlight w:val="none"/>
          <w:lang w:val="zh-CN"/>
        </w:rPr>
        <w:t xml:space="preserve">根据《中华人民共和国政府采购法》《中华人民共和国民法典》等法律法规的规定，甲乙双方按照采购结果签订本合同。</w:t>
      </w:r>
      <w:r/>
    </w:p>
    <w:p>
      <w:pPr>
        <w:spacing w:line="400" w:lineRule="exact"/>
        <w:rPr>
          <w:rFonts w:ascii="楷体_GB2312" w:eastAsia="楷体_GB2312"/>
          <w:color w:val="auto"/>
          <w:sz w:val="24"/>
          <w:highlight w:val="none"/>
        </w:rPr>
      </w:pPr>
      <w:r>
        <w:rPr>
          <w:rFonts w:ascii="楷体_GB2312" w:eastAsia="楷体_GB2312"/>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第一条　采购内容</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1、项目名称（项目编号）：</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2、服务内容：</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3、服务范围：</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4、服务期限：</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5、其他：</w:t>
      </w:r>
      <w:r>
        <w:rPr>
          <w:rFonts w:hint="eastAsia" w:ascii="宋体" w:hAnsi="宋体" w:cs="宋体"/>
          <w:color w:val="auto"/>
          <w:sz w:val="24"/>
          <w:highlight w:val="none"/>
          <w:u w:val="single"/>
        </w:rPr>
        <w:t xml:space="preserve">　　　　　　　　　　　　　　　　　　　　　　　　　　　　</w:t>
      </w:r>
      <w:r/>
    </w:p>
    <w:p>
      <w:pPr>
        <w:jc w:val="left"/>
        <w:spacing w:line="360" w:lineRule="auto"/>
        <w:rPr>
          <w:rFonts w:hint="eastAsia" w:ascii="宋体" w:hAnsi="宋体" w:cs="宋体"/>
          <w:color w:val="auto"/>
          <w:sz w:val="24"/>
          <w:highlight w:val="none"/>
          <w:lang w:val="zh-CN"/>
        </w:rPr>
      </w:pPr>
      <w:r>
        <w:rPr>
          <w:rFonts w:hint="eastAsia" w:ascii="宋体" w:hAnsi="宋体" w:cs="宋体"/>
          <w:bCs/>
          <w:color w:val="auto"/>
          <w:sz w:val="24"/>
          <w:highlight w:val="none"/>
          <w:lang w:val="zh-CN"/>
        </w:rPr>
        <w:t xml:space="preserve">第二条　合同总价款</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本合同人民币总价款为</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（小写），</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（大写）。</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本合同服务期限内合同总价款不变。（有另行规定的除外）</w:t>
      </w:r>
      <w:r/>
    </w:p>
    <w:p>
      <w:pPr>
        <w:spacing w:line="360" w:lineRule="auto"/>
        <w:rPr>
          <w:rFonts w:hint="eastAsia" w:ascii="宋体" w:hAnsi="宋体" w:cs="宋体"/>
          <w:color w:val="auto"/>
          <w:sz w:val="24"/>
          <w:highlight w:val="none"/>
          <w:lang w:val="zh-CN"/>
        </w:rPr>
      </w:pPr>
      <w:r>
        <w:rPr>
          <w:rFonts w:hint="eastAsia" w:ascii="宋体" w:hAnsi="宋体" w:cs="宋体"/>
          <w:bCs/>
          <w:color w:val="auto"/>
          <w:sz w:val="24"/>
          <w:highlight w:val="none"/>
          <w:lang w:val="zh-CN"/>
        </w:rPr>
        <w:t xml:space="preserve">第三条　组成本合同的有关文件</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（1）招标文件；</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（2）投标文件；</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（3）中标通知书；</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（4）中标人在投标、评标过程中所作其他有关承诺、声明、书面澄清；</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（5）甲乙双方商定的其他文件等。</w:t>
      </w:r>
      <w:r/>
    </w:p>
    <w:p>
      <w:pPr>
        <w:jc w:val="left"/>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第四条　权利保证</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乙方应保证甲方在合同履行期限内不受第三方提出侵犯其专利权、版权、商标权或其他权利的起诉。一旦出现侵权，乙方应承担全部责任。</w:t>
      </w:r>
      <w:r/>
    </w:p>
    <w:p>
      <w:pPr>
        <w:jc w:val="left"/>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第五条　质量保证和售后服务</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1、乙方应按招标文件规定的服务要求、技术要求、质量标准向甲方提供服务。</w:t>
      </w:r>
      <w:r/>
    </w:p>
    <w:p>
      <w:pPr>
        <w:ind w:firstLine="480"/>
        <w:jc w:val="left"/>
        <w:spacing w:line="360" w:lineRule="auto"/>
        <w:rPr>
          <w:rFonts w:hint="eastAsia" w:ascii="宋体" w:hAnsi="宋体" w:cs="宋体"/>
          <w:bCs/>
          <w:color w:val="auto"/>
          <w:sz w:val="24"/>
          <w:highlight w:val="none"/>
          <w:u w:val="single"/>
          <w:lang w:val="zh-CN"/>
        </w:rPr>
      </w:pPr>
      <w:r>
        <w:rPr>
          <w:rFonts w:hint="eastAsia" w:ascii="宋体" w:hAnsi="宋体" w:cs="宋体"/>
          <w:bCs/>
          <w:color w:val="auto"/>
          <w:sz w:val="24"/>
          <w:highlight w:val="none"/>
          <w:lang w:val="zh-CN"/>
        </w:rPr>
        <w:t xml:space="preserve">2、质量保证：</w:t>
      </w:r>
      <w:r>
        <w:rPr>
          <w:rFonts w:hint="eastAsia" w:ascii="宋体" w:hAnsi="宋体" w:cs="宋体"/>
          <w:bCs/>
          <w:color w:val="auto"/>
          <w:sz w:val="24"/>
          <w:highlight w:val="none"/>
          <w:u w:val="single"/>
          <w:lang w:val="zh-CN"/>
        </w:rPr>
        <w:t xml:space="preserve">　　　　　　　　　　　　　　　　　　　　　　　　　　</w:t>
      </w:r>
      <w:r/>
    </w:p>
    <w:p>
      <w:pPr>
        <w:ind w:firstLine="480"/>
        <w:jc w:val="left"/>
        <w:spacing w:line="360" w:lineRule="auto"/>
        <w:rPr>
          <w:rFonts w:hint="eastAsia" w:ascii="宋体" w:hAnsi="宋体" w:cs="宋体"/>
          <w:bCs/>
          <w:color w:val="auto"/>
          <w:sz w:val="24"/>
          <w:highlight w:val="none"/>
          <w:u w:val="single"/>
          <w:lang w:val="zh-CN"/>
        </w:rPr>
      </w:pPr>
      <w:r>
        <w:rPr>
          <w:rFonts w:hint="eastAsia" w:ascii="宋体" w:hAnsi="宋体" w:cs="宋体"/>
          <w:bCs/>
          <w:color w:val="auto"/>
          <w:sz w:val="24"/>
          <w:highlight w:val="none"/>
          <w:lang w:val="zh-CN"/>
        </w:rPr>
        <w:t xml:space="preserve">3、售后服务：</w:t>
      </w:r>
      <w:r>
        <w:rPr>
          <w:rFonts w:hint="eastAsia" w:ascii="宋体" w:hAnsi="宋体" w:cs="宋体"/>
          <w:bCs/>
          <w:color w:val="auto"/>
          <w:sz w:val="24"/>
          <w:highlight w:val="none"/>
          <w:u w:val="single"/>
          <w:lang w:val="zh-CN"/>
        </w:rPr>
        <w:t xml:space="preserve">　　　　　　　　　　　　　　　　　　　　　　　　　　</w:t>
      </w:r>
      <w:r/>
    </w:p>
    <w:p>
      <w:pPr>
        <w:jc w:val="left"/>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第六条　验收</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bCs/>
          <w:color w:val="auto"/>
          <w:sz w:val="24"/>
          <w:highlight w:val="none"/>
          <w:lang w:val="zh-CN"/>
        </w:rPr>
        <w:t xml:space="preserve">验收标准：</w:t>
      </w:r>
      <w:r>
        <w:rPr>
          <w:rFonts w:hint="eastAsia" w:ascii="宋体" w:hAnsi="宋体" w:cs="宋体"/>
          <w:color w:val="auto"/>
          <w:sz w:val="24"/>
          <w:highlight w:val="none"/>
          <w:lang w:val="zh-CN"/>
        </w:rPr>
        <w:t xml:space="preserve">按招标文件所规定的服务标准和乙方投标文件的承诺，</w:t>
      </w:r>
      <w:r>
        <w:rPr>
          <w:rFonts w:hint="eastAsia" w:ascii="宋体" w:hAnsi="宋体" w:cs="宋体"/>
          <w:color w:val="auto"/>
          <w:sz w:val="24"/>
          <w:highlight w:val="none"/>
        </w:rPr>
        <w:t xml:space="preserve">根据《无锡市政府采购验收管理暂行办法》程序组织验收，费用由乙方承担。</w:t>
      </w:r>
      <w:r/>
    </w:p>
    <w:p>
      <w:pPr>
        <w:jc w:val="left"/>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第七条　付款</w:t>
      </w:r>
      <w:r/>
    </w:p>
    <w:p>
      <w:pPr>
        <w:ind w:firstLine="420"/>
        <w:jc w:val="lef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1、每半年支付一次；每次支付按确认的已完成实际工作量的50%拨款；服务期满项目审计结束后，付至最终审定价的90%；审计结束的第二年付清余款。</w:t>
      </w:r>
      <w:r/>
    </w:p>
    <w:p>
      <w:pPr>
        <w:ind w:firstLine="42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2、本合同项下所有款项均以人民币支付，乙方向甲方开具发票。</w:t>
      </w:r>
      <w:r/>
    </w:p>
    <w:p>
      <w:pPr>
        <w:ind w:firstLine="72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第八条　违约责任</w:t>
      </w:r>
      <w:r/>
    </w:p>
    <w:p>
      <w:pPr>
        <w:ind w:firstLine="480"/>
        <w:jc w:val="left"/>
        <w:spacing w:line="360" w:lineRule="auto"/>
        <w:widowControl/>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1、</w:t>
      </w:r>
      <w:r>
        <w:rPr>
          <w:rFonts w:hint="eastAsia" w:ascii="宋体" w:hAnsi="宋体" w:cs="宋体"/>
          <w:color w:val="auto"/>
          <w:sz w:val="24"/>
          <w:szCs w:val="24"/>
          <w:highlight w:val="none"/>
          <w:u w:val="single"/>
        </w:rPr>
        <w:t xml:space="preserve">在履行合同的过程中，如果成交人遇到妨碍未按时提供服务的情况，应及时以书面形式将拖延的事实、可能拖延的时间和原因通知采购人。采购人在收到成交人通知后，应尽快对情况进行核实，并确定是否酌情延长交货时间以及是否收取误期赔偿费或在对成交人违约而采取的任何补救措施不受影响的情况下，向成交人发出书面通知书，提出终止部分或全部合同。延期应通过修改合同的方式由双方认可并重新签署。</w:t>
      </w:r>
      <w:r/>
    </w:p>
    <w:p>
      <w:pPr>
        <w:ind w:firstLine="480"/>
        <w:jc w:val="left"/>
        <w:spacing w:line="360" w:lineRule="auto"/>
        <w:widowControl/>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2、</w:t>
      </w:r>
      <w:r>
        <w:rPr>
          <w:rFonts w:hint="eastAsia" w:ascii="宋体" w:hAnsi="宋体" w:cs="宋体"/>
          <w:color w:val="auto"/>
          <w:sz w:val="24"/>
          <w:szCs w:val="24"/>
          <w:highlight w:val="none"/>
          <w:u w:val="single"/>
        </w:rPr>
        <w:t xml:space="preserve">                          </w:t>
      </w:r>
      <w:r/>
    </w:p>
    <w:p>
      <w:pPr>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lang w:val="zh-CN"/>
        </w:rPr>
        <w:t xml:space="preserve">第九条　</w:t>
      </w:r>
      <w:r>
        <w:rPr>
          <w:rFonts w:hint="eastAsia" w:ascii="宋体" w:hAnsi="宋体" w:cs="宋体"/>
          <w:bCs/>
          <w:color w:val="auto"/>
          <w:sz w:val="24"/>
          <w:highlight w:val="none"/>
        </w:rPr>
        <w:t xml:space="preserve">不可抗力</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4、合同各方应根据不可抗力对本合同履行的影响程度，协商确定是否终止本合同</w:t>
      </w:r>
      <w:r>
        <w:rPr>
          <w:rFonts w:hint="eastAsia" w:ascii="宋体" w:hAnsi="宋体" w:cs="宋体"/>
          <w:bCs/>
          <w:color w:val="auto"/>
          <w:sz w:val="24"/>
          <w:highlight w:val="none"/>
          <w:lang w:eastAsia="zh-CN"/>
        </w:rPr>
        <w:t xml:space="preserve">或</w:t>
      </w:r>
      <w:r>
        <w:rPr>
          <w:rFonts w:hint="eastAsia" w:ascii="宋体" w:hAnsi="宋体" w:cs="宋体"/>
          <w:bCs/>
          <w:color w:val="auto"/>
          <w:sz w:val="24"/>
          <w:highlight w:val="none"/>
        </w:rPr>
        <w:t xml:space="preserve">继续履行本合同。</w:t>
      </w:r>
      <w:r/>
    </w:p>
    <w:p>
      <w:pPr>
        <w:jc w:val="left"/>
        <w:spacing w:line="360" w:lineRule="auto"/>
        <w:widowControl/>
        <w:rPr>
          <w:rFonts w:hint="eastAsia" w:ascii="宋体" w:hAnsi="宋体" w:cs="宋体"/>
          <w:bCs/>
          <w:color w:val="auto"/>
          <w:sz w:val="24"/>
          <w:highlight w:val="none"/>
          <w:lang w:val="zh-CN"/>
        </w:rPr>
      </w:pPr>
      <w:r>
        <w:rPr>
          <w:rFonts w:hint="eastAsia" w:ascii="宋体" w:hAnsi="宋体" w:cs="宋体"/>
          <w:color w:val="auto"/>
          <w:sz w:val="24"/>
          <w:highlight w:val="none"/>
        </w:rPr>
        <w:t xml:space="preserve">第十条　</w:t>
      </w:r>
      <w:r>
        <w:rPr>
          <w:rFonts w:hint="eastAsia" w:ascii="宋体" w:hAnsi="宋体" w:cs="宋体"/>
          <w:bCs/>
          <w:color w:val="auto"/>
          <w:sz w:val="24"/>
          <w:highlight w:val="none"/>
          <w:lang w:val="zh-CN"/>
        </w:rPr>
        <w:t xml:space="preserve">合同的变更和终止</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1、除《中华人民共和国政府采购法》第五十条规定的情形外，本合同一经签订，甲乙双方不得擅自变更、中止或终止合同。</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除发生法律规定的不能预见、不能避免并不能克服的客观情况外，甲乙双方不得放弃或拒绝履行合同。</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第十一条  合同的终止</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本合同因下列原因而终止：</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本合同正常履行完毕；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因不可抗力导致本合同无法履行或履行不必要；</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任何一方行使解除权解除本合同；</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合同的继续履行将损害国家利益和社会公共利益。</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除上述情形外，甲乙双方不得擅自终止合同。</w:t>
      </w:r>
      <w:r/>
    </w:p>
    <w:p>
      <w:pPr>
        <w:jc w:val="left"/>
        <w:spacing w:line="360" w:lineRule="auto"/>
        <w:widowControl/>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第十二条　争议的解决</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1、因履行本合同引起的或与本合同有关的争议，甲、乙双方应首先通过友好协商解决，如果协商不能解决争议，则采取以下2种方式解决争议：</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（1）向甲方所在地有管辖权的人民法院提起诉讼；</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（2）向甲方所在地仲裁委员会按其仲裁规则申请仲裁。</w:t>
      </w:r>
      <w:r/>
    </w:p>
    <w:p>
      <w:pPr>
        <w:ind w:firstLine="42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2、在仲裁期间，本合同应继续履行。</w:t>
      </w:r>
      <w:r/>
    </w:p>
    <w:p>
      <w:pPr>
        <w:jc w:val="left"/>
        <w:spacing w:line="360" w:lineRule="auto"/>
        <w:widowControl/>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第十三条　合同生效及其他</w:t>
      </w:r>
      <w:r/>
    </w:p>
    <w:p>
      <w:pPr>
        <w:ind w:firstLine="480"/>
        <w:jc w:val="left"/>
        <w:spacing w:line="360" w:lineRule="auto"/>
        <w:widowControl/>
        <w:rPr>
          <w:rFonts w:hint="eastAsia" w:ascii="宋体" w:hAnsi="宋体" w:cs="宋体"/>
          <w:bCs/>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本合同由甲乙双方签字、盖章，并经</w:t>
      </w:r>
      <w:r>
        <w:rPr>
          <w:rFonts w:hint="eastAsia" w:ascii="宋体" w:hAnsi="宋体" w:cs="宋体"/>
          <w:bCs/>
          <w:color w:val="auto"/>
          <w:sz w:val="24"/>
          <w:highlight w:val="none"/>
        </w:rPr>
        <w:t xml:space="preserve">采购代理机构</w:t>
      </w:r>
      <w:r>
        <w:rPr>
          <w:rFonts w:hint="eastAsia" w:ascii="宋体" w:hAnsi="宋体" w:cs="宋体"/>
          <w:color w:val="auto"/>
          <w:sz w:val="24"/>
          <w:highlight w:val="none"/>
        </w:rPr>
        <w:t xml:space="preserve">见证后生效。</w:t>
      </w:r>
      <w:r/>
    </w:p>
    <w:p>
      <w:pPr>
        <w:ind w:firstLine="480"/>
        <w:jc w:val="left"/>
        <w:spacing w:line="360" w:lineRule="auto"/>
        <w:widowControl/>
        <w:rPr>
          <w:rFonts w:hint="eastAsia" w:ascii="宋体" w:hAnsi="宋体" w:cs="宋体"/>
          <w:bCs/>
          <w:color w:val="auto"/>
          <w:sz w:val="24"/>
          <w:highlight w:val="none"/>
          <w:lang w:val="zh-CN"/>
        </w:rPr>
      </w:pPr>
      <w:r>
        <w:rPr>
          <w:rFonts w:hint="eastAsia" w:ascii="宋体" w:hAnsi="宋体" w:cs="宋体"/>
          <w:color w:val="auto"/>
          <w:sz w:val="24"/>
          <w:highlight w:val="none"/>
          <w:lang w:val="zh-CN"/>
        </w:rPr>
        <w:t xml:space="preserve">2、本合同一式伍份，供需双方各执贰份，见证方壹份。</w:t>
      </w:r>
      <w:r/>
    </w:p>
    <w:p>
      <w:pPr>
        <w:ind w:firstLine="480"/>
        <w:jc w:val="left"/>
        <w:spacing w:line="360" w:lineRule="auto"/>
        <w:widowControl/>
        <w:rPr>
          <w:rFonts w:ascii="宋体" w:hAnsi="宋体" w:cs="宋体"/>
          <w:bCs/>
          <w:color w:val="auto"/>
          <w:sz w:val="24"/>
          <w:highlight w:val="none"/>
          <w:lang w:val="zh-CN"/>
        </w:rPr>
      </w:pPr>
      <w:r>
        <w:rPr>
          <w:rFonts w:hint="eastAsia" w:ascii="宋体" w:hAnsi="宋体" w:cs="宋体"/>
          <w:color w:val="auto"/>
          <w:sz w:val="24"/>
          <w:highlight w:val="none"/>
          <w:lang w:val="zh-CN"/>
        </w:rPr>
        <w:t xml:space="preserve">3、本合同应按照中华人民共和国的现行法律进行解释。</w:t>
      </w:r>
      <w:r/>
    </w:p>
    <w:p>
      <w:pPr>
        <w:pStyle w:val="678"/>
        <w:ind w:firstLine="482"/>
        <w:keepLines w:val="0"/>
        <w:keepNext w:val="0"/>
        <w:pageBreakBefore w:val="0"/>
        <w:spacing w:line="420" w:lineRule="exact"/>
        <w:widowControl w:val="off"/>
        <w:rPr>
          <w:rFonts w:ascii="宋体" w:hAnsi="宋体" w:cs="宋体"/>
          <w:bCs/>
          <w:color w:val="auto"/>
          <w:sz w:val="24"/>
          <w:highlight w:val="none"/>
        </w:rPr>
      </w:pPr>
      <w:r>
        <w:rPr>
          <w:rFonts w:ascii="宋体" w:hAnsi="宋体" w:cs="宋体"/>
          <w:bCs/>
          <w:color w:val="auto"/>
          <w:sz w:val="24"/>
          <w:highlight w:val="none"/>
        </w:rPr>
      </w:r>
      <w:r/>
    </w:p>
    <w:p>
      <w:pPr>
        <w:jc w:val="center"/>
        <w:rPr>
          <w:rFonts w:ascii="黑体" w:eastAsia="黑体"/>
          <w:bCs/>
          <w:color w:val="auto"/>
          <w:sz w:val="28"/>
          <w:szCs w:val="28"/>
          <w:highlight w:val="none"/>
        </w:rPr>
        <w:outlineLvl w:val="0"/>
      </w:pPr>
      <w:r>
        <w:rPr>
          <w:rFonts w:hint="eastAsia" w:ascii="宋体" w:hAnsi="宋体" w:cs="宋体"/>
          <w:b/>
          <w:color w:val="auto"/>
          <w:spacing w:val="-4"/>
          <w:sz w:val="24"/>
          <w:highlight w:val="none"/>
        </w:rPr>
        <w:br w:type="page" w:clear="all"/>
      </w:r>
      <w:r>
        <w:rPr>
          <w:rFonts w:hint="eastAsia" w:ascii="黑体" w:eastAsia="黑体"/>
          <w:bCs/>
          <w:color w:val="auto"/>
          <w:sz w:val="28"/>
          <w:szCs w:val="28"/>
          <w:highlight w:val="none"/>
        </w:rPr>
        <w:t xml:space="preserve">六</w:t>
      </w:r>
      <w:r>
        <w:rPr>
          <w:rFonts w:hint="eastAsia" w:ascii="黑体" w:eastAsia="黑体"/>
          <w:bCs/>
          <w:color w:val="auto"/>
          <w:sz w:val="28"/>
          <w:szCs w:val="28"/>
          <w:highlight w:val="none"/>
          <w:lang w:val="en-US" w:eastAsia="zh-CN"/>
        </w:rPr>
        <w:t xml:space="preserve">.</w:t>
      </w:r>
      <w:r>
        <w:rPr>
          <w:rFonts w:hint="eastAsia" w:ascii="黑体" w:eastAsia="黑体"/>
          <w:bCs/>
          <w:color w:val="auto"/>
          <w:sz w:val="28"/>
          <w:szCs w:val="28"/>
          <w:highlight w:val="none"/>
        </w:rPr>
        <w:t xml:space="preserve">附件</w:t>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left="0"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特别注意：本项目采用暗标形式，投标人须对商务部分和技术</w:t>
      </w:r>
      <w:r>
        <w:rPr>
          <w:rFonts w:hint="eastAsia" w:ascii="宋体" w:hAnsi="宋体" w:cs="宋体"/>
          <w:b/>
          <w:bCs/>
          <w:color w:val="auto"/>
          <w:sz w:val="24"/>
          <w:highlight w:val="none"/>
          <w:lang w:val="en-US" w:eastAsia="zh-CN"/>
        </w:rPr>
        <w:t xml:space="preserve">文件</w:t>
      </w:r>
      <w:r>
        <w:rPr>
          <w:rFonts w:hint="eastAsia" w:ascii="宋体" w:hAnsi="宋体" w:cs="宋体"/>
          <w:b/>
          <w:bCs/>
          <w:color w:val="auto"/>
          <w:sz w:val="24"/>
          <w:highlight w:val="none"/>
        </w:rPr>
        <w:t xml:space="preserve">部分分别进行制作。其中技术</w:t>
      </w:r>
      <w:r>
        <w:rPr>
          <w:rFonts w:hint="eastAsia" w:ascii="宋体" w:hAnsi="宋体" w:cs="宋体"/>
          <w:b/>
          <w:bCs/>
          <w:color w:val="auto"/>
          <w:sz w:val="24"/>
          <w:highlight w:val="none"/>
          <w:lang w:val="en-US" w:eastAsia="zh-CN"/>
        </w:rPr>
        <w:t xml:space="preserve">文件</w:t>
      </w:r>
      <w:r>
        <w:rPr>
          <w:rFonts w:hint="eastAsia" w:ascii="宋体" w:hAnsi="宋体" w:cs="宋体"/>
          <w:b/>
          <w:bCs/>
          <w:color w:val="auto"/>
          <w:sz w:val="24"/>
          <w:highlight w:val="none"/>
        </w:rPr>
        <w:t xml:space="preserve">部分属于暗标，投标人在制作技术</w:t>
      </w:r>
      <w:r>
        <w:rPr>
          <w:rFonts w:hint="eastAsia" w:ascii="宋体" w:hAnsi="宋体" w:cs="宋体"/>
          <w:b/>
          <w:bCs/>
          <w:color w:val="auto"/>
          <w:sz w:val="24"/>
          <w:highlight w:val="none"/>
          <w:lang w:val="en-US" w:eastAsia="zh-CN"/>
        </w:rPr>
        <w:t xml:space="preserve">文件</w:t>
      </w:r>
      <w:r>
        <w:rPr>
          <w:rFonts w:hint="eastAsia" w:ascii="宋体" w:hAnsi="宋体" w:cs="宋体"/>
          <w:b/>
          <w:bCs/>
          <w:color w:val="auto"/>
          <w:sz w:val="24"/>
          <w:highlight w:val="none"/>
        </w:rPr>
        <w:t xml:space="preserve">部分相关内容时不得有体现投标人身份的内容，否则投标无效。</w:t>
      </w:r>
      <w:r/>
    </w:p>
    <w:p>
      <w:pPr>
        <w:ind w:left="0" w:firstLine="482"/>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评分项目及分值（总分100分）</w:t>
      </w:r>
      <w:r/>
    </w:p>
    <w:p>
      <w:pPr>
        <w:ind w:left="0" w:firstLine="482"/>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投标报价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30分</w:t>
      </w:r>
      <w:r/>
    </w:p>
    <w:p>
      <w:pPr>
        <w:ind w:left="0" w:firstLine="482"/>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投标供应商评价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20</w:t>
      </w:r>
      <w:r>
        <w:rPr>
          <w:rFonts w:hint="eastAsia" w:ascii="宋体" w:hAnsi="宋体" w:cs="宋体"/>
          <w:b/>
          <w:color w:val="auto"/>
          <w:sz w:val="24"/>
          <w:highlight w:val="none"/>
        </w:rPr>
        <w:t xml:space="preserve">分</w:t>
      </w:r>
      <w:r/>
    </w:p>
    <w:p>
      <w:pPr>
        <w:ind w:left="0" w:firstLine="482"/>
        <w:keepLines w:val="0"/>
        <w:keepNext w:val="0"/>
        <w:pageBreakBefore w:val="0"/>
        <w:spacing w:line="360" w:lineRule="auto"/>
        <w:widowControl w:val="off"/>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技术文件</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暗标</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50</w:t>
      </w:r>
      <w:r>
        <w:rPr>
          <w:rFonts w:hint="eastAsia" w:ascii="宋体" w:hAnsi="宋体" w:cs="宋体"/>
          <w:b/>
          <w:color w:val="auto"/>
          <w:sz w:val="24"/>
          <w:highlight w:val="none"/>
        </w:rPr>
        <w:t xml:space="preserve">分</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各项目评分标准</w:t>
      </w:r>
      <w:r/>
    </w:p>
    <w:p>
      <w:pPr>
        <w:ind w:left="0" w:firstLine="482"/>
        <w:jc w:val="left"/>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1.投标报价（30分）</w:t>
      </w:r>
      <w:r/>
    </w:p>
    <w:p>
      <w:pPr>
        <w:ind w:left="0" w:firstLine="480"/>
        <w:jc w:val="left"/>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left="0" w:firstLine="480"/>
        <w:jc w:val="left"/>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评标基准价／投标报价</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×价格权值×100。</w:t>
      </w:r>
      <w:r/>
    </w:p>
    <w:p>
      <w:pPr>
        <w:ind w:left="0" w:firstLine="482"/>
        <w:keepLines w:val="0"/>
        <w:keepNext w:val="0"/>
        <w:pageBreakBefore w:val="0"/>
        <w:spacing w:line="360" w:lineRule="auto"/>
        <w:widowControl w:val="off"/>
        <w:tabs>
          <w:tab w:val="left" w:pos="420" w:leader="none"/>
          <w:tab w:val="left" w:pos="945" w:leader="none"/>
          <w:tab w:val="left" w:pos="115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2、投标供应商评价（</w:t>
      </w:r>
      <w:r>
        <w:rPr>
          <w:rFonts w:hint="eastAsia" w:ascii="宋体" w:hAnsi="宋体" w:cs="宋体"/>
          <w:b/>
          <w:bCs/>
          <w:color w:val="auto"/>
          <w:sz w:val="24"/>
          <w:szCs w:val="24"/>
          <w:highlight w:val="none"/>
          <w:lang w:val="en-US" w:eastAsia="zh-CN"/>
        </w:rPr>
        <w:t xml:space="preserve">20</w:t>
      </w:r>
      <w:r>
        <w:rPr>
          <w:rFonts w:hint="eastAsia" w:ascii="宋体" w:hAnsi="宋体" w:cs="宋体"/>
          <w:b/>
          <w:bCs/>
          <w:color w:val="auto"/>
          <w:sz w:val="24"/>
          <w:szCs w:val="24"/>
          <w:highlight w:val="none"/>
        </w:rPr>
        <w:t xml:space="preserve">分）</w:t>
      </w:r>
      <w:r/>
    </w:p>
    <w:p>
      <w:pPr>
        <w:ind w:left="0" w:firstLine="480"/>
        <w:jc w:val="left"/>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1、体系认证（</w:t>
      </w:r>
      <w:r>
        <w:rPr>
          <w:rFonts w:hint="eastAsia" w:ascii="宋体" w:hAnsi="宋体" w:cs="宋体"/>
          <w:bCs/>
          <w:color w:val="auto"/>
          <w:sz w:val="24"/>
          <w:highlight w:val="none"/>
          <w:lang w:val="en-US" w:eastAsia="zh-CN"/>
        </w:rPr>
        <w:t xml:space="preserve">1.5</w:t>
      </w:r>
      <w:r>
        <w:rPr>
          <w:rFonts w:hint="eastAsia" w:ascii="宋体" w:hAnsi="宋体" w:cs="宋体"/>
          <w:bCs/>
          <w:color w:val="auto"/>
          <w:sz w:val="24"/>
          <w:highlight w:val="none"/>
        </w:rPr>
        <w:t xml:space="preserve">分）：投标供应商具有有效的质量管理体系认证证书、环境管理体系认证证书、职业健康安全管理体系认证证书，每有1个得</w:t>
      </w:r>
      <w:r>
        <w:rPr>
          <w:rFonts w:hint="eastAsia" w:ascii="宋体" w:hAnsi="宋体" w:cs="宋体"/>
          <w:bCs/>
          <w:color w:val="auto"/>
          <w:sz w:val="24"/>
          <w:highlight w:val="none"/>
          <w:lang w:val="en-US" w:eastAsia="zh-CN"/>
        </w:rPr>
        <w:t xml:space="preserve">0.5</w:t>
      </w:r>
      <w:r>
        <w:rPr>
          <w:rFonts w:hint="eastAsia" w:ascii="宋体" w:hAnsi="宋体" w:cs="宋体"/>
          <w:bCs/>
          <w:color w:val="auto"/>
          <w:sz w:val="24"/>
          <w:highlight w:val="none"/>
        </w:rPr>
        <w:t xml:space="preserve">分，本项最高得</w:t>
      </w:r>
      <w:r>
        <w:rPr>
          <w:rFonts w:hint="eastAsia" w:ascii="宋体" w:hAnsi="宋体" w:cs="宋体"/>
          <w:bCs/>
          <w:color w:val="auto"/>
          <w:sz w:val="24"/>
          <w:highlight w:val="none"/>
          <w:lang w:val="en-US" w:eastAsia="zh-CN"/>
        </w:rPr>
        <w:t xml:space="preserve">1.5</w:t>
      </w:r>
      <w:r>
        <w:rPr>
          <w:rFonts w:hint="eastAsia" w:ascii="宋体" w:hAnsi="宋体" w:cs="宋体"/>
          <w:bCs/>
          <w:color w:val="auto"/>
          <w:sz w:val="24"/>
          <w:highlight w:val="none"/>
        </w:rPr>
        <w:t xml:space="preserve">分【提供证书扫描件上传至电子投标文件，未按要求提供不得分】</w:t>
      </w:r>
      <w:r/>
    </w:p>
    <w:p>
      <w:pPr>
        <w:ind w:left="0" w:firstLine="480"/>
        <w:jc w:val="left"/>
        <w:keepLines w:val="0"/>
        <w:keepNext w:val="0"/>
        <w:pageBreakBefore w:val="0"/>
        <w:spacing w:line="360" w:lineRule="auto"/>
        <w:widowControl w:val="off"/>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2、作业能力</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2分</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投标供应商</w:t>
      </w:r>
      <w:r>
        <w:rPr>
          <w:rFonts w:hint="eastAsia" w:ascii="宋体" w:hAnsi="宋体" w:cs="宋体"/>
          <w:bCs/>
          <w:color w:val="auto"/>
          <w:sz w:val="24"/>
          <w:highlight w:val="none"/>
          <w:lang w:val="en-US" w:eastAsia="zh-CN"/>
        </w:rPr>
        <w:t xml:space="preserve">具有《排水管道检测与评估作业</w:t>
      </w:r>
      <w:r>
        <w:rPr>
          <w:rFonts w:hint="eastAsia" w:ascii="宋体" w:hAnsi="宋体" w:cs="宋体"/>
          <w:bCs/>
          <w:color w:val="auto"/>
          <w:sz w:val="24"/>
          <w:highlight w:val="none"/>
        </w:rPr>
        <w:t xml:space="preserve">能力等级证书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乙级得1分，甲级得2分，本项最高得2分</w:t>
      </w:r>
      <w:r>
        <w:rPr>
          <w:rFonts w:hint="eastAsia" w:ascii="宋体" w:hAnsi="宋体" w:cs="宋体"/>
          <w:bCs/>
          <w:color w:val="auto"/>
          <w:sz w:val="24"/>
          <w:highlight w:val="none"/>
        </w:rPr>
        <w:t xml:space="preserve">【提供证书扫描件上传至电子投标文件，未按要求提供不得分】</w:t>
      </w:r>
      <w:r/>
    </w:p>
    <w:p>
      <w:pPr>
        <w:ind w:left="0" w:firstLine="480"/>
        <w:jc w:val="left"/>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业绩（</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分）：投标供应商自202</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年1月1日以来承担过同类项目的（日期以合同签订日期为准），每有1个得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分，本项最高得</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分【提供中标通知书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合同</w:t>
      </w:r>
      <w:r>
        <w:rPr>
          <w:rFonts w:hint="eastAsia" w:ascii="宋体" w:hAnsi="宋体" w:cs="宋体"/>
          <w:bCs/>
          <w:color w:val="auto"/>
          <w:sz w:val="24"/>
          <w:highlight w:val="none"/>
          <w:lang w:val="en-US" w:eastAsia="zh-CN"/>
        </w:rPr>
        <w:t xml:space="preserve">原件</w:t>
      </w:r>
      <w:r>
        <w:rPr>
          <w:rFonts w:hint="eastAsia" w:ascii="宋体" w:hAnsi="宋体" w:cs="宋体"/>
          <w:bCs/>
          <w:color w:val="auto"/>
          <w:sz w:val="24"/>
          <w:highlight w:val="none"/>
        </w:rPr>
        <w:t xml:space="preserve">扫描件上传至电子投标文件，未按要求提供不得分】</w:t>
      </w:r>
      <w:r/>
    </w:p>
    <w:p>
      <w:pPr>
        <w:ind w:left="0" w:firstLine="480"/>
        <w:jc w:val="left"/>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4、养护基地（4分）：</w:t>
      </w:r>
      <w:r/>
    </w:p>
    <w:p>
      <w:pPr>
        <w:ind w:left="0" w:firstLine="480"/>
        <w:jc w:val="left"/>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投标供应商在本地（不含江阴、宜兴）设有固定的养护场所、施工机械及养护设备停放、备品备料场地的，养护保障场所面积在1000平方米及以上的，</w:t>
      </w:r>
      <w:r>
        <w:rPr>
          <w:rFonts w:hint="default" w:ascii="宋体" w:hAnsi="宋体" w:cs="宋体"/>
          <w:bCs/>
          <w:color w:val="auto"/>
          <w:sz w:val="24"/>
          <w:highlight w:val="none"/>
          <w:lang w:val="en-US" w:eastAsia="zh-CN"/>
        </w:rPr>
        <w:t xml:space="preserve">得2分；养护基地设置在新吴区的，加2分</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本项最高得4分</w:t>
      </w:r>
      <w:r>
        <w:rPr>
          <w:rFonts w:hint="eastAsia" w:ascii="宋体" w:hAnsi="宋体" w:cs="宋体"/>
          <w:bCs/>
          <w:color w:val="auto"/>
          <w:sz w:val="24"/>
          <w:highlight w:val="none"/>
        </w:rPr>
        <w:t xml:space="preserve">【</w:t>
      </w:r>
      <w:r>
        <w:rPr>
          <w:rFonts w:hint="eastAsia" w:ascii="宋体" w:hAnsi="宋体" w:cs="宋体"/>
          <w:b w:val="0"/>
          <w:bCs/>
          <w:color w:val="auto"/>
          <w:sz w:val="24"/>
          <w:highlight w:val="none"/>
          <w:lang w:val="en-US" w:eastAsia="zh-CN"/>
        </w:rPr>
        <w:t xml:space="preserve">自有房产提供房产证扫描件；租赁用房提供租赁合同、被租赁方的房产证或房屋所有权证明、租赁费发票扫描件（发票抬头的单位为投标单位），租赁期需涵盖本项目服务期；提供以上材料扫描件</w:t>
      </w:r>
      <w:r>
        <w:rPr>
          <w:rFonts w:hint="eastAsia" w:ascii="宋体" w:hAnsi="宋体" w:cs="宋体"/>
          <w:bCs/>
          <w:color w:val="auto"/>
          <w:sz w:val="24"/>
          <w:highlight w:val="none"/>
        </w:rPr>
        <w:t xml:space="preserve">上传至电子投标文件</w:t>
      </w:r>
      <w:r>
        <w:rPr>
          <w:rFonts w:hint="eastAsia" w:ascii="宋体" w:hAnsi="宋体" w:cs="宋体"/>
          <w:b w:val="0"/>
          <w:bCs/>
          <w:color w:val="auto"/>
          <w:sz w:val="24"/>
          <w:highlight w:val="none"/>
          <w:lang w:val="en-US" w:eastAsia="zh-CN"/>
        </w:rPr>
        <w:t xml:space="preserve">，未按要求提供不得分</w:t>
      </w:r>
      <w:r>
        <w:rPr>
          <w:rFonts w:hint="eastAsia" w:ascii="宋体" w:hAnsi="宋体" w:cs="宋体"/>
          <w:bCs/>
          <w:color w:val="auto"/>
          <w:sz w:val="24"/>
          <w:highlight w:val="none"/>
        </w:rPr>
        <w:t xml:space="preserve">】</w:t>
      </w:r>
      <w:r/>
    </w:p>
    <w:p>
      <w:pPr>
        <w:ind w:left="0" w:firstLine="480"/>
        <w:jc w:val="left"/>
        <w:keepLines w:val="0"/>
        <w:keepNext w:val="0"/>
        <w:pageBreakBefore w:val="0"/>
        <w:spacing w:line="360" w:lineRule="auto"/>
        <w:widowControl w:val="off"/>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5、人员配备（5.5分）：</w:t>
      </w:r>
      <w:r/>
    </w:p>
    <w:p>
      <w:pPr>
        <w:ind w:left="0" w:firstLine="480"/>
        <w:jc w:val="left"/>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①项目负责人：项目负责人具有市政工程专业中级及以上工程师证书得1分，最高得1分；</w:t>
      </w:r>
      <w:r/>
    </w:p>
    <w:p>
      <w:pPr>
        <w:ind w:left="0" w:firstLine="480"/>
        <w:jc w:val="left"/>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②项目组成员具有排水管道检测与评估高级工程师或管道CCTV检测高级工程师或地下管线检测评估高级工程师的，有1人得1分，最高得2分；</w:t>
      </w:r>
      <w:r/>
    </w:p>
    <w:p>
      <w:pPr>
        <w:ind w:left="0" w:firstLine="480"/>
        <w:jc w:val="left"/>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③项目组成员具有中国潜水救捞行业协会颁发市政工程潜水员证的，有1人得1分，最高得1分；</w:t>
      </w:r>
      <w:r/>
    </w:p>
    <w:p>
      <w:pPr>
        <w:ind w:left="0" w:firstLine="480"/>
        <w:jc w:val="left"/>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④项目组成员具有管道工高级及以上的，有1人得1分，最高得1分；</w:t>
      </w:r>
      <w:r/>
    </w:p>
    <w:p>
      <w:pPr>
        <w:ind w:left="0" w:firstLine="480"/>
        <w:jc w:val="left"/>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⑤项目组成员具有下水道养护工中级及以上的，有1人得0.5分，最高得0.5分。</w:t>
      </w:r>
      <w:r/>
    </w:p>
    <w:p>
      <w:pPr>
        <w:ind w:left="0" w:firstLine="480"/>
        <w:jc w:val="left"/>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注：以上同一人员的证书不重复得分，要求提供上述人员有效期内的证件原件扫描件及由社保机构出具的供应商本企业为其2024年8月-2024年10月缴纳社会保险的缴费证明（如投标供应商成立时间迟于要求开始的时间，则时间要求为投标供应商成立时间至截止时间）</w:t>
      </w:r>
      <w:r>
        <w:rPr>
          <w:rFonts w:hint="eastAsia" w:ascii="宋体" w:hAnsi="宋体" w:cs="宋体"/>
          <w:bCs/>
          <w:color w:val="auto"/>
          <w:sz w:val="24"/>
          <w:highlight w:val="none"/>
        </w:rPr>
        <w:t xml:space="preserve">上传至电子投标文件</w:t>
      </w:r>
      <w:r>
        <w:rPr>
          <w:rFonts w:hint="eastAsia" w:ascii="宋体" w:hAnsi="宋体" w:cs="宋体"/>
          <w:b w:val="0"/>
          <w:bCs/>
          <w:color w:val="auto"/>
          <w:sz w:val="24"/>
          <w:highlight w:val="none"/>
          <w:lang w:val="en-US" w:eastAsia="zh-CN"/>
        </w:rPr>
        <w:t xml:space="preserve">，未按要求提供的不得分】</w:t>
      </w:r>
      <w:r/>
    </w:p>
    <w:p>
      <w:pPr>
        <w:ind w:left="0" w:firstLine="480"/>
        <w:jc w:val="left"/>
        <w:keepLines w:val="0"/>
        <w:keepNext w:val="0"/>
        <w:pageBreakBefore w:val="0"/>
        <w:spacing w:line="360" w:lineRule="auto"/>
        <w:widowControl w:val="off"/>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6、车辆</w:t>
      </w:r>
      <w:r>
        <w:rPr>
          <w:rFonts w:hint="eastAsia" w:ascii="宋体" w:hAnsi="宋体" w:cs="宋体"/>
          <w:b w:val="0"/>
          <w:bCs/>
          <w:color w:val="auto"/>
          <w:sz w:val="24"/>
          <w:highlight w:val="none"/>
        </w:rPr>
        <w:t xml:space="preserve">配备（</w:t>
      </w:r>
      <w:r>
        <w:rPr>
          <w:rFonts w:hint="eastAsia" w:ascii="宋体" w:hAnsi="宋体" w:cs="宋体"/>
          <w:b w:val="0"/>
          <w:bCs/>
          <w:color w:val="auto"/>
          <w:sz w:val="24"/>
          <w:highlight w:val="none"/>
          <w:lang w:val="en-US" w:eastAsia="zh-CN"/>
        </w:rPr>
        <w:t xml:space="preserve">5</w:t>
      </w:r>
      <w:r>
        <w:rPr>
          <w:rFonts w:hint="eastAsia" w:ascii="宋体" w:hAnsi="宋体" w:cs="宋体"/>
          <w:b w:val="0"/>
          <w:bCs/>
          <w:color w:val="auto"/>
          <w:sz w:val="24"/>
          <w:highlight w:val="none"/>
        </w:rPr>
        <w:t xml:space="preserve">分）：</w:t>
      </w:r>
      <w:r/>
    </w:p>
    <w:p>
      <w:pPr>
        <w:ind w:left="0" w:firstLine="480"/>
        <w:jc w:val="left"/>
        <w:keepLines w:val="0"/>
        <w:keepNext w:val="0"/>
        <w:pageBreakBefore w:val="0"/>
        <w:spacing w:line="360" w:lineRule="auto"/>
        <w:widowControl w:val="off"/>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①配置救险车或移动泵车（排水量≥3000m³/h），有1辆得2分，最高得2分；</w:t>
      </w:r>
      <w:r/>
    </w:p>
    <w:p>
      <w:pPr>
        <w:ind w:left="0" w:firstLine="480"/>
        <w:jc w:val="left"/>
        <w:keepLines w:val="0"/>
        <w:keepNext w:val="0"/>
        <w:pageBreakBefore w:val="0"/>
        <w:spacing w:line="360" w:lineRule="auto"/>
        <w:widowControl w:val="off"/>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②配置高压下水道疏通车（具有高压冲洗功能，配备应对特殊情况的特色喷头至少3种）有1辆得1分，最高得1分；</w:t>
      </w:r>
      <w:r/>
    </w:p>
    <w:p>
      <w:pPr>
        <w:ind w:left="0" w:firstLine="480"/>
        <w:jc w:val="left"/>
        <w:keepLines w:val="0"/>
        <w:keepNext w:val="0"/>
        <w:pageBreakBefore w:val="0"/>
        <w:spacing w:line="360" w:lineRule="auto"/>
        <w:widowControl w:val="off"/>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③配置吸污车，有1辆得1分，最高得1分；</w:t>
      </w:r>
      <w:r/>
    </w:p>
    <w:p>
      <w:pPr>
        <w:ind w:left="0" w:firstLine="480"/>
        <w:jc w:val="left"/>
        <w:keepLines w:val="0"/>
        <w:keepNext w:val="0"/>
        <w:pageBreakBefore w:val="0"/>
        <w:spacing w:line="360" w:lineRule="auto"/>
        <w:widowControl w:val="off"/>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④配置自装卸式垃圾车（污泥自卸车），有1辆得1分，最高得1分</w:t>
      </w:r>
      <w:r/>
    </w:p>
    <w:p>
      <w:pPr>
        <w:ind w:left="0" w:firstLine="480"/>
        <w:jc w:val="left"/>
        <w:keepLines w:val="0"/>
        <w:keepNext w:val="0"/>
        <w:pageBreakBefore w:val="0"/>
        <w:spacing w:line="360" w:lineRule="auto"/>
        <w:widowControl w:val="off"/>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【自有的需提供购置发票（发票抬头为投标单位）、车辆照片及行驶证原件扫描件</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租赁的需提供租赁合同、租赁发票（发票抬头的单位为投标单位）、购置发票、车辆照片</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行驶证原件扫描件</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租赁期需涵盖本项目服务期</w:t>
      </w:r>
      <w:r>
        <w:rPr>
          <w:rFonts w:hint="eastAsia" w:ascii="宋体" w:hAnsi="宋体" w:cs="宋体"/>
          <w:b w:val="0"/>
          <w:bCs/>
          <w:color w:val="auto"/>
          <w:sz w:val="24"/>
          <w:highlight w:val="none"/>
        </w:rPr>
        <w:t xml:space="preserve">；提供上述资料原件扫描件上传至投标文件</w:t>
      </w:r>
      <w:r>
        <w:rPr>
          <w:rFonts w:hint="eastAsia" w:ascii="宋体" w:hAnsi="宋体" w:cs="宋体"/>
          <w:b w:val="0"/>
          <w:bCs/>
          <w:color w:val="auto"/>
          <w:sz w:val="24"/>
          <w:highlight w:val="none"/>
          <w:lang w:val="en-US" w:eastAsia="zh-CN"/>
        </w:rPr>
        <w:t xml:space="preserve">，未按要求提供的不得分</w:t>
      </w:r>
      <w:r>
        <w:rPr>
          <w:rFonts w:hint="eastAsia" w:ascii="宋体" w:hAnsi="宋体" w:cs="宋体"/>
          <w:b w:val="0"/>
          <w:bCs/>
          <w:color w:val="auto"/>
          <w:sz w:val="24"/>
          <w:highlight w:val="none"/>
        </w:rPr>
        <w:t xml:space="preserve">】</w:t>
      </w:r>
      <w:r/>
    </w:p>
    <w:p>
      <w:pPr>
        <w:ind w:left="0" w:firstLine="482"/>
        <w:jc w:val="left"/>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3.技术文件（暗标）（</w:t>
      </w:r>
      <w:r>
        <w:rPr>
          <w:rFonts w:hint="eastAsia" w:ascii="宋体" w:hAnsi="宋体" w:cs="宋体"/>
          <w:b/>
          <w:bCs/>
          <w:color w:val="auto"/>
          <w:sz w:val="24"/>
          <w:szCs w:val="24"/>
          <w:highlight w:val="none"/>
          <w:lang w:val="en-US" w:eastAsia="zh-CN"/>
        </w:rPr>
        <w:t xml:space="preserve">50</w:t>
      </w:r>
      <w:r>
        <w:rPr>
          <w:rFonts w:hint="eastAsia" w:ascii="宋体" w:hAnsi="宋体" w:cs="宋体"/>
          <w:b/>
          <w:bCs/>
          <w:color w:val="auto"/>
          <w:sz w:val="24"/>
          <w:szCs w:val="24"/>
          <w:highlight w:val="none"/>
        </w:rPr>
        <w:t xml:space="preserve">分）</w:t>
      </w:r>
      <w:r/>
    </w:p>
    <w:p>
      <w:pPr>
        <w:ind w:left="0" w:firstLine="482"/>
        <w:jc w:val="left"/>
        <w:keepLines w:val="0"/>
        <w:keepNext w:val="0"/>
        <w:pageBreakBefore w:val="0"/>
        <w:spacing w:line="360" w:lineRule="auto"/>
        <w:widowControl w:val="off"/>
        <w:rPr>
          <w:rFonts w:hint="eastAsia" w:ascii="宋体" w:hAnsi="宋体" w:cs="宋体"/>
          <w:b/>
          <w:bCs w:val="0"/>
          <w:color w:val="auto"/>
          <w:sz w:val="24"/>
          <w:szCs w:val="24"/>
          <w:highlight w:val="none"/>
          <w:u w:val="single"/>
          <w:lang w:val="zh-CN"/>
        </w:rPr>
      </w:pPr>
      <w:r>
        <w:rPr>
          <w:rFonts w:hint="eastAsia" w:ascii="宋体" w:hAnsi="宋体" w:cs="宋体"/>
          <w:b/>
          <w:bCs w:val="0"/>
          <w:color w:val="auto"/>
          <w:sz w:val="24"/>
          <w:szCs w:val="24"/>
          <w:highlight w:val="none"/>
          <w:u w:val="single"/>
          <w:lang w:val="zh-CN"/>
        </w:rPr>
        <w:t xml:space="preserve">注：技术</w:t>
      </w:r>
      <w:r>
        <w:rPr>
          <w:rFonts w:hint="eastAsia" w:ascii="宋体" w:hAnsi="宋体" w:cs="宋体"/>
          <w:b/>
          <w:bCs w:val="0"/>
          <w:color w:val="auto"/>
          <w:sz w:val="24"/>
          <w:szCs w:val="24"/>
          <w:highlight w:val="none"/>
          <w:u w:val="single"/>
          <w:lang w:val="en-US" w:eastAsia="zh-CN"/>
        </w:rPr>
        <w:t xml:space="preserve">文件</w:t>
      </w:r>
      <w:r>
        <w:rPr>
          <w:rFonts w:hint="eastAsia" w:ascii="宋体" w:hAnsi="宋体" w:cs="宋体"/>
          <w:b/>
          <w:bCs w:val="0"/>
          <w:color w:val="auto"/>
          <w:sz w:val="24"/>
          <w:szCs w:val="24"/>
          <w:highlight w:val="none"/>
          <w:u w:val="single"/>
          <w:lang w:val="zh-CN"/>
        </w:rPr>
        <w:t xml:space="preserve">部分属于暗标，投标人在制作技术</w:t>
      </w:r>
      <w:r>
        <w:rPr>
          <w:rFonts w:hint="eastAsia" w:ascii="宋体" w:hAnsi="宋体" w:cs="宋体"/>
          <w:b/>
          <w:bCs w:val="0"/>
          <w:color w:val="auto"/>
          <w:sz w:val="24"/>
          <w:szCs w:val="24"/>
          <w:highlight w:val="none"/>
          <w:u w:val="single"/>
          <w:lang w:val="en-US" w:eastAsia="zh-CN"/>
        </w:rPr>
        <w:t xml:space="preserve">文件</w:t>
      </w:r>
      <w:r>
        <w:rPr>
          <w:rFonts w:hint="eastAsia" w:ascii="宋体" w:hAnsi="宋体" w:cs="宋体"/>
          <w:b/>
          <w:bCs w:val="0"/>
          <w:color w:val="auto"/>
          <w:sz w:val="24"/>
          <w:szCs w:val="24"/>
          <w:highlight w:val="none"/>
          <w:u w:val="single"/>
          <w:lang w:val="zh-CN"/>
        </w:rPr>
        <w:t xml:space="preserve">部分相关内容时不得有体现投标人身份的内容，否则投标无效。</w:t>
      </w:r>
      <w:r/>
    </w:p>
    <w:p>
      <w:pPr>
        <w:ind w:left="0" w:firstLine="480"/>
        <w:jc w:val="left"/>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本项目排水管网现状实际情况摸底排查说明（6分）：对本项目排水管网现状的了解掌握并分析。内容详实、需求贴合度高且条理清晰的得6分；内容较为简单、可行、细节有待完善得4分；内容粗略、无针对性、基本满足采购需求得2分。方案不能满足采购需求，或存在逻辑错误、前后矛盾，或存在违反现行相关规范的，该项不得分。</w:t>
      </w:r>
      <w:r/>
    </w:p>
    <w:p>
      <w:pPr>
        <w:ind w:left="0" w:firstLine="480"/>
        <w:jc w:val="left"/>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本项目管网养护方案（10分）：包括但不限于日常巡检、养护方案，清掏疏通方案，养护中产生的垃圾安全处置方案等；方案完整、科学、合理、全面，与采购需求贴合度高的得10分；方案较完整、科学、合理、但稍有缺陷的得7分；方案简略、基本满足采购需求且有逻辑性的得4分；方案不能满足采购需求，或存在逻辑错误、前后矛盾，或存在违反现行相关规范的，该项不得分。</w:t>
      </w:r>
      <w:r/>
    </w:p>
    <w:p>
      <w:pPr>
        <w:ind w:left="0" w:firstLine="480"/>
        <w:jc w:val="left"/>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本项目养护应急处置方案（10分）：包括但不限于污水外溢、管道沉降损坏等各类应急处理方案；方案完整、科学、合理、全面，与采购需求贴合度高的得10分；方案较完整、科学、合理、但稍有缺陷的得7分；方案简略、基本满足采购需求且有逻辑性的得4分；方案不能满足采购需求，或存在逻辑错误、前后矛盾，或存在违反现行相关规范的，该项不得分。</w:t>
      </w:r>
      <w:r/>
    </w:p>
    <w:p>
      <w:pPr>
        <w:ind w:left="0" w:firstLine="480"/>
        <w:jc w:val="left"/>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4）本项目安全文明管理保障措施（10分）：包括但不限于正常营运及养护作业时和发生事故时的交通组织和安全防护措施等；措施完整、科学、合理、全面，与采购需求贴合度高的得10分；措施较完整、科学、合理、但稍有缺陷的得7分；措施简略、基本满足采购需求且有逻辑性的得4分；措施不能满足采购需求，或存在逻辑错误、前后矛盾，或存在违反现行相关规范的，该项不得分。</w:t>
      </w:r>
      <w:r/>
    </w:p>
    <w:p>
      <w:pPr>
        <w:ind w:left="0" w:firstLine="480"/>
        <w:jc w:val="left"/>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（5）本项目质量保证措施（8分）：包括但不限于工作重点、难点及其解决措施，质量保证措施等；措施完整、科学、合理、全面，与采购需求贴合度高的得</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val="zh-CN"/>
        </w:rPr>
        <w:t xml:space="preserve">分；措施较完整、科学、合理、但稍有缺陷的得</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val="zh-CN"/>
        </w:rPr>
        <w:t xml:space="preserve">分；措施简略、基本满足采购需求且有逻辑性的得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zh-CN"/>
        </w:rPr>
        <w:t xml:space="preserve">分；措施不能满足采购需求，或存在逻辑错误、前后矛盾，或存在违反现行相关规范的，该项不得分。</w:t>
      </w:r>
      <w:r/>
    </w:p>
    <w:p>
      <w:pPr>
        <w:ind w:left="0" w:firstLine="480"/>
        <w:jc w:val="left"/>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6）本项目进度安排措施（6分）：包括但不限于劳动力投入、机械设备投入、材料投入等安排措施；措施完整、科学、合理、全面，与采购需求贴合度高的得6分；措施较完整、科学、合理、但稍有缺陷的得4分；措施简略、基本满足采购需求且有逻辑性的得2分；措施不能满足采购需求，或存在逻辑错误、前后矛盾，或存在违反现行相关规范的，该项不得分。</w:t>
      </w:r>
      <w:r/>
    </w:p>
    <w:p>
      <w:pPr>
        <w:ind w:left="0" w:firstLine="482"/>
        <w:jc w:val="left"/>
        <w:keepLines w:val="0"/>
        <w:keepNext w:val="0"/>
        <w:pageBreakBefore w:val="0"/>
        <w:spacing w:line="360" w:lineRule="auto"/>
        <w:widowControl w:val="off"/>
        <w:tabs>
          <w:tab w:val="left" w:pos="1401" w:leader="none"/>
        </w:tabs>
        <w:rPr>
          <w:rFonts w:ascii="黑体" w:eastAsia="黑体"/>
          <w:bCs/>
          <w:color w:val="auto"/>
          <w:sz w:val="24"/>
          <w:szCs w:val="24"/>
          <w:highlight w:val="none"/>
        </w:rPr>
      </w:pPr>
      <w:r>
        <w:rPr>
          <w:rFonts w:hint="eastAsia" w:ascii="宋体" w:hAnsi="宋体" w:cs="宋体"/>
          <w:b/>
          <w:bCs/>
          <w:color w:val="auto"/>
          <w:sz w:val="24"/>
          <w:szCs w:val="24"/>
          <w:highlight w:val="none"/>
          <w:shd w:val="clear" w:color="auto" w:fill="ffffff"/>
        </w:rPr>
        <w:t xml:space="preserve">未列入本评分细则的其他条件不作为评分内容。</w:t>
      </w: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738"/>
        <w:rPr>
          <w:rFonts w:ascii="黑体" w:eastAsia="黑体"/>
          <w:bCs/>
          <w:color w:val="auto"/>
          <w:sz w:val="32"/>
          <w:highlight w:val="none"/>
        </w:rPr>
      </w:pPr>
      <w:r>
        <w:rPr>
          <w:rFonts w:ascii="黑体" w:eastAsia="黑体"/>
          <w:bCs/>
          <w:color w:val="auto"/>
          <w:sz w:val="32"/>
          <w:highlight w:val="none"/>
        </w:rPr>
      </w:r>
      <w:r/>
    </w:p>
    <w:p>
      <w:pPr>
        <w:pStyle w:val="738"/>
        <w:rPr>
          <w:rFonts w:ascii="黑体" w:eastAsia="黑体"/>
          <w:bCs/>
          <w:color w:val="auto"/>
          <w:sz w:val="32"/>
          <w:highlight w:val="none"/>
        </w:rPr>
      </w:pPr>
      <w:r>
        <w:rPr>
          <w:rFonts w:ascii="黑体" w:eastAsia="黑体"/>
          <w:bCs/>
          <w:color w:val="auto"/>
          <w:sz w:val="32"/>
          <w:highlight w:val="none"/>
        </w:rPr>
      </w:r>
      <w:r/>
    </w:p>
    <w:p>
      <w:pPr>
        <w:pStyle w:val="738"/>
        <w:rPr>
          <w:rFonts w:ascii="黑体" w:eastAsia="黑体"/>
          <w:bCs/>
          <w:color w:val="auto"/>
          <w:sz w:val="32"/>
          <w:highlight w:val="none"/>
        </w:rPr>
      </w:pPr>
      <w:r>
        <w:rPr>
          <w:rFonts w:ascii="黑体" w:eastAsia="黑体"/>
          <w:bCs/>
          <w:color w:val="auto"/>
          <w:sz w:val="32"/>
          <w:highlight w:val="none"/>
        </w:rPr>
      </w:r>
      <w:r/>
    </w:p>
    <w:p>
      <w:pPr>
        <w:pStyle w:val="738"/>
        <w:rPr>
          <w:rFonts w:ascii="黑体" w:eastAsia="黑体"/>
          <w:bCs/>
          <w:color w:val="auto"/>
          <w:sz w:val="32"/>
          <w:highlight w:val="none"/>
        </w:rPr>
      </w:pPr>
      <w:r>
        <w:rPr>
          <w:rFonts w:ascii="黑体" w:eastAsia="黑体"/>
          <w:bCs/>
          <w:color w:val="auto"/>
          <w:sz w:val="32"/>
          <w:highlight w:val="none"/>
        </w:rPr>
      </w:r>
      <w:r/>
    </w:p>
    <w:p>
      <w:pPr>
        <w:pStyle w:val="738"/>
        <w:rPr>
          <w:rFonts w:ascii="黑体" w:eastAsia="黑体"/>
          <w:bCs/>
          <w:color w:val="auto"/>
          <w:sz w:val="32"/>
          <w:highlight w:val="none"/>
        </w:rPr>
      </w:pPr>
      <w:r>
        <w:rPr>
          <w:rFonts w:ascii="黑体" w:eastAsia="黑体"/>
          <w:bCs/>
          <w:color w:val="auto"/>
          <w:sz w:val="32"/>
          <w:highlight w:val="none"/>
        </w:rPr>
      </w:r>
      <w:r/>
    </w:p>
    <w:p>
      <w:pPr>
        <w:pStyle w:val="738"/>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JSZC-320214-JSZH-G2024-0129</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2024-2026年度江溪街道雨污水管网养护服务项目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二○二四年</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月</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日</w:t>
      </w:r>
      <w:r/>
    </w:p>
    <w:p>
      <w:pPr>
        <w:rPr>
          <w:rFonts w:hint="eastAsia" w:ascii="黑体" w:hAnsi="宋体" w:eastAsia="黑体"/>
          <w:bCs/>
          <w:color w:val="auto"/>
          <w:sz w:val="24"/>
          <w:szCs w:val="24"/>
          <w:highlight w:val="none"/>
        </w:rPr>
      </w:pPr>
      <w:r/>
      <w:bookmarkStart w:id="4" w:name="一．报价函（格式）"/>
      <w:r/>
      <w:bookmarkEnd w:id="4"/>
      <w:r>
        <w:rPr>
          <w:rFonts w:hint="eastAsia" w:ascii="黑体" w:hAnsi="宋体" w:eastAsia="黑体"/>
          <w:bCs/>
          <w:color w:val="auto"/>
          <w:sz w:val="24"/>
          <w:szCs w:val="24"/>
          <w:highlight w:val="none"/>
        </w:rPr>
        <w:br w:type="page" w:clear="all"/>
      </w:r>
      <w:r/>
    </w:p>
    <w:p>
      <w:pPr>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致无锡市新吴区人民政府江溪街道办事处：</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JSZC-320214-JSZH-G2024-0129</w:t>
      </w:r>
      <w:r>
        <w:rPr>
          <w:rFonts w:hint="eastAsia" w:ascii="宋体" w:hAnsi="宋体"/>
          <w:bCs/>
          <w:color w:val="auto"/>
          <w:sz w:val="24"/>
          <w:szCs w:val="24"/>
          <w:highlight w:val="none"/>
        </w:rPr>
        <w:t xml:space="preserve">招标文件，经仔细阅读和研究，我方决定参加此项目的投标。</w:t>
      </w:r>
      <w:r/>
    </w:p>
    <w:p>
      <w:pPr>
        <w:numPr>
          <w:ilvl w:val="0"/>
          <w:numId w:val="16"/>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716"/>
          <w:bCs/>
          <w:color w:val="auto"/>
          <w:highlight w:val="none"/>
        </w:rPr>
      </w:pPr>
      <w:r>
        <w:rPr>
          <w:rFonts w:hint="eastAsia" w:ascii="宋体" w:hAnsi="宋体"/>
          <w:bCs/>
          <w:color w:val="auto"/>
          <w:sz w:val="24"/>
          <w:szCs w:val="24"/>
          <w:highlight w:val="none"/>
        </w:rPr>
        <w:t xml:space="preserve">我方愿意提供江苏智汇锡建工程项目管理有限公司在招标文件中要求的文件、资料。</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邮编：</w:t>
      </w:r>
      <w:r/>
    </w:p>
    <w:p>
      <w:pPr>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outlineLvl w:val="9"/>
      </w:pPr>
      <w:r/>
      <w:bookmarkStart w:id="5" w:name="报价方关于资格的声明函（格式）"/>
      <w:r/>
      <w:bookmarkEnd w:id="5"/>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无锡市新吴区人民政府江溪街道办事处：</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JSZC-320214-JSZH-G2024-0129</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JSZC-320214-JSZH-G2024-0129</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9"/>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rPr>
        <w:t xml:space="preserve">无锡市新吴区人民政府江溪街道办事处：</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JSZC-320214-JSZH-G2024-0129</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性别：</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41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w:t>
      </w:r>
      <w:r>
        <w:rPr>
          <w:rFonts w:ascii="宋体" w:hAnsi="宋体"/>
          <w:bCs/>
          <w:color w:val="auto"/>
          <w:sz w:val="24"/>
          <w:szCs w:val="24"/>
          <w:highlight w:val="none"/>
          <w:u w:val="non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outlineLvl w:val="9"/>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outlineLvl w:val="9"/>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ascii="黑体" w:hAnsi="宋体" w:eastAsia="黑体"/>
          <w:bCs/>
          <w:color w:val="auto"/>
          <w:sz w:val="24"/>
          <w:szCs w:val="24"/>
          <w:highlight w:val="none"/>
        </w:rPr>
        <w:outlineLvl w:val="9"/>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（六）服务保障承诺书（格式）：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服务保障承诺书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JSZC-320214-JSZH-G2024-0129</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JSZC-320214-JSZH-G2024-0129</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717"/>
          <w:rFonts w:hint="eastAsia" w:ascii="宋体" w:hAnsi="宋体"/>
          <w:bCs/>
          <w:color w:val="auto"/>
          <w:sz w:val="24"/>
          <w:szCs w:val="24"/>
          <w:highlight w:val="none"/>
        </w:rPr>
        <w:t xml:space="preserve">www.creditchina.gov.cn</w:t>
      </w:r>
      <w:r>
        <w:rPr>
          <w:rStyle w:val="717"/>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 xml:space="preserve">脱水后淤泥运至项目所在地有焚烧资质的专业公司合法合规焚烧处置，淤泥处置不得对环境造成污染。</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jc w:val="left"/>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开标一览表</w:t>
      </w:r>
      <w:r/>
    </w:p>
    <w:p>
      <w:pPr>
        <w:spacing w:line="300" w:lineRule="auto"/>
        <w:rPr>
          <w:rFonts w:ascii="宋体" w:hAnsi="宋体" w:cs="宋体"/>
          <w:color w:val="auto"/>
          <w:highlight w:val="none"/>
        </w:rPr>
      </w:pPr>
      <w:r>
        <w:rPr>
          <w:rFonts w:ascii="宋体" w:hAnsi="宋体" w:cs="宋体"/>
          <w:color w:val="auto"/>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投标人名称（盖章）采购项目编号：</w:t>
      </w:r>
      <w:r>
        <w:rPr>
          <w:rFonts w:hint="eastAsia" w:ascii="黑体" w:eastAsia="黑体"/>
          <w:bCs/>
          <w:color w:val="auto"/>
          <w:sz w:val="24"/>
          <w:szCs w:val="24"/>
          <w:highlight w:val="none"/>
          <w:lang w:eastAsia="zh-CN"/>
        </w:rPr>
        <w:t xml:space="preserve">JSZC-320214-JSZH-G2024-0129</w:t>
      </w:r>
      <w:r/>
    </w:p>
    <w:tbl>
      <w:tblPr>
        <w:tblStyle w:val="677"/>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71"/>
        <w:gridCol w:w="6109"/>
      </w:tblGrid>
      <w:tr>
        <w:trPr>
          <w:cantSplit/>
          <w:jc w:val="center"/>
          <w:trHeight w:val="567"/>
        </w:trPr>
        <w:tc>
          <w:tcPr>
            <w:tcW w:w="3971"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6109"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229"/>
        </w:trPr>
        <w:tc>
          <w:tcPr>
            <w:tcW w:w="3971" w:type="dxa"/>
            <w:vAlign w:val="center"/>
            <w:textDirection w:val="lrTb"/>
            <w:noWrap/>
          </w:tcPr>
          <w:p>
            <w:pPr>
              <w:pStyle w:val="929"/>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2024-2026年度江溪街道雨污水管网养护服务项目（</w:t>
            </w:r>
            <w:r>
              <w:rPr>
                <w:rFonts w:hint="eastAsia" w:hAnsi="宋体"/>
                <w:bCs/>
                <w:color w:val="auto"/>
                <w:szCs w:val="24"/>
                <w:highlight w:val="none"/>
                <w:u w:val="single"/>
                <w:lang w:val="en-US" w:eastAsia="zh-CN"/>
              </w:rPr>
              <w:t xml:space="preserve">     </w:t>
            </w:r>
            <w:r>
              <w:rPr>
                <w:rFonts w:hint="eastAsia" w:hAnsi="宋体"/>
                <w:bCs/>
                <w:color w:val="auto"/>
                <w:szCs w:val="24"/>
                <w:highlight w:val="none"/>
                <w:u w:val="none"/>
                <w:lang w:val="en-US" w:eastAsia="zh-CN"/>
              </w:rPr>
              <w:t xml:space="preserve">标段</w:t>
            </w:r>
            <w:r>
              <w:rPr>
                <w:rFonts w:hint="eastAsia" w:hAnsi="宋体"/>
                <w:bCs/>
                <w:color w:val="auto"/>
                <w:szCs w:val="24"/>
                <w:highlight w:val="none"/>
                <w:lang w:eastAsia="zh-CN"/>
              </w:rPr>
              <w:t xml:space="preserve">）</w:t>
            </w:r>
            <w:r/>
          </w:p>
        </w:tc>
        <w:tc>
          <w:tcPr>
            <w:tcW w:w="6109" w:type="dxa"/>
            <w:vAlign w:val="center"/>
            <w:textDirection w:val="lrTb"/>
            <w:noWrap/>
          </w:tcPr>
          <w:p>
            <w:pPr>
              <w:pStyle w:val="929"/>
              <w:spacing w:line="360" w:lineRule="auto"/>
              <w:rPr>
                <w:rFonts w:hAnsi="宋体"/>
                <w:bCs/>
                <w:color w:val="auto"/>
                <w:szCs w:val="24"/>
                <w:highlight w:val="none"/>
              </w:rPr>
            </w:pPr>
            <w:r>
              <w:rPr>
                <w:rFonts w:hint="eastAsia" w:hAnsi="宋体"/>
                <w:bCs/>
                <w:color w:val="auto"/>
                <w:szCs w:val="24"/>
                <w:highlight w:val="none"/>
              </w:rPr>
              <w:t xml:space="preserve">投标报价（小写）：</w:t>
            </w:r>
            <w:r>
              <w:rPr>
                <w:rFonts w:hint="eastAsia" w:hAnsi="宋体"/>
                <w:bCs/>
                <w:color w:val="auto"/>
                <w:szCs w:val="24"/>
                <w:highlight w:val="none"/>
                <w:u w:val="single"/>
                <w:lang w:val="en-US" w:eastAsia="zh-CN"/>
              </w:rPr>
              <w:t xml:space="preserve">             </w:t>
            </w:r>
            <w:r>
              <w:rPr>
                <w:rFonts w:hint="eastAsia" w:hAnsi="宋体"/>
                <w:bCs/>
                <w:color w:val="auto"/>
                <w:szCs w:val="24"/>
                <w:highlight w:val="none"/>
              </w:rPr>
              <w:t xml:space="preserve">元</w:t>
            </w:r>
            <w:r/>
          </w:p>
          <w:p>
            <w:pPr>
              <w:pStyle w:val="929"/>
              <w:spacing w:line="360" w:lineRule="auto"/>
              <w:rPr>
                <w:bCs/>
                <w:color w:val="auto"/>
                <w:highlight w:val="none"/>
              </w:rPr>
            </w:pPr>
            <w:r>
              <w:rPr>
                <w:rFonts w:hint="eastAsia" w:hAnsi="宋体"/>
                <w:bCs/>
                <w:color w:val="auto"/>
                <w:szCs w:val="24"/>
                <w:highlight w:val="none"/>
              </w:rPr>
              <w:t xml:space="preserve">投标报价（大写）：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olor w:val="auto"/>
                <w:sz w:val="24"/>
                <w:highlight w:val="none"/>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服务质量：</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spacing w:line="500" w:lineRule="exact"/>
        <w:rPr>
          <w:rFonts w:ascii="宋体" w:hAnsi="宋体" w:cs="宋体"/>
          <w:b/>
          <w:color w:val="auto"/>
          <w:sz w:val="24"/>
          <w:highlight w:val="none"/>
        </w:rPr>
      </w:pPr>
      <w:r>
        <w:rPr>
          <w:rFonts w:hint="eastAsia" w:ascii="宋体" w:hAnsi="宋体" w:cs="宋体"/>
          <w:b/>
          <w:bCs/>
          <w:color w:val="auto"/>
          <w:sz w:val="24"/>
          <w:highlight w:val="none"/>
        </w:rPr>
        <w:t xml:space="preserve">2.供应商的投标报价的总额应是供应商在报价文件中提出的各项支付金额的总和，也应是完成投标文件所列采购需求的全部费用。</w:t>
      </w:r>
      <w:r/>
    </w:p>
    <w:p>
      <w:pPr>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（八）报价明细表（格式）：</w:t>
      </w:r>
      <w:r/>
    </w:p>
    <w:p>
      <w:pPr>
        <w:jc w:val="center"/>
        <w:spacing w:line="400" w:lineRule="exact"/>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 xml:space="preserve">报价明细表</w:t>
      </w:r>
      <w:r>
        <w:rPr>
          <w:rFonts w:hint="eastAsia" w:ascii="宋体" w:hAnsi="宋体"/>
          <w:bCs/>
          <w:color w:val="auto"/>
          <w:sz w:val="28"/>
          <w:szCs w:val="28"/>
          <w:highlight w:val="none"/>
          <w:lang w:eastAsia="zh-CN"/>
        </w:rPr>
        <w:t xml:space="preserve">（</w:t>
      </w:r>
      <w:r>
        <w:rPr>
          <w:rFonts w:hint="eastAsia" w:ascii="宋体" w:hAnsi="宋体"/>
          <w:bCs/>
          <w:color w:val="auto"/>
          <w:sz w:val="28"/>
          <w:szCs w:val="28"/>
          <w:highlight w:val="none"/>
          <w:lang w:val="en-US" w:eastAsia="zh-CN"/>
        </w:rPr>
        <w:t xml:space="preserve">一标段</w:t>
      </w:r>
      <w:r>
        <w:rPr>
          <w:rFonts w:hint="eastAsia" w:ascii="宋体" w:hAnsi="宋体"/>
          <w:bCs/>
          <w:color w:val="auto"/>
          <w:sz w:val="28"/>
          <w:szCs w:val="28"/>
          <w:highlight w:val="none"/>
          <w:lang w:eastAsia="zh-CN"/>
        </w:rPr>
        <w:t xml:space="preserve">）</w:t>
      </w:r>
      <w:r/>
    </w:p>
    <w:p>
      <w:pPr>
        <w:ind w:firstLine="840"/>
        <w:spacing w:line="400" w:lineRule="exact"/>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w:t>
      </w:r>
      <w:r>
        <w:rPr>
          <w:rFonts w:hint="eastAsia" w:ascii="黑体" w:eastAsia="黑体"/>
          <w:bCs/>
          <w:color w:val="auto"/>
          <w:sz w:val="24"/>
          <w:szCs w:val="24"/>
          <w:highlight w:val="none"/>
          <w:lang w:val="en-US" w:eastAsia="zh-CN"/>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JSZC-320214-JSZH-G2024-0129</w:t>
      </w:r>
      <w:r/>
    </w:p>
    <w:p>
      <w:pPr>
        <w:pStyle w:val="678"/>
        <w:ind w:firstLine="480"/>
        <w:rPr>
          <w:rFonts w:ascii="宋体" w:hAnsi="宋体"/>
          <w:color w:val="auto"/>
          <w:sz w:val="24"/>
          <w:highlight w:val="none"/>
        </w:rPr>
      </w:pPr>
      <w:r>
        <w:rPr>
          <w:rFonts w:ascii="宋体" w:hAnsi="宋体"/>
          <w:color w:val="auto"/>
          <w:sz w:val="24"/>
          <w:highlight w:val="none"/>
        </w:rPr>
      </w:r>
      <w:r/>
    </w:p>
    <w:tbl>
      <w:tblPr>
        <w:tblStyle w:val="67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26"/>
        <w:gridCol w:w="1266"/>
        <w:gridCol w:w="4121"/>
        <w:gridCol w:w="436"/>
        <w:gridCol w:w="1056"/>
        <w:gridCol w:w="846"/>
        <w:gridCol w:w="846"/>
        <w:gridCol w:w="959"/>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0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04"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南站片区</w:t>
            </w:r>
            <w:r/>
          </w:p>
        </w:tc>
        <w:tc>
          <w:tcPr>
            <w:shd w:val="clear" w:color="auto" w:fill="auto"/>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1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管网养护（除旧改小区污水管网）</w:t>
            </w:r>
            <w:r/>
          </w:p>
        </w:tc>
        <w:tc>
          <w:tcPr>
            <w:shd w:val="clear" w:color="auto" w:fill="auto"/>
            <w:tcBorders>
              <w:top w:val="single" w:color="000000" w:sz="4" w:space="0"/>
              <w:left w:val="single" w:color="000000" w:sz="4" w:space="0"/>
              <w:bottom w:val="single" w:color="000000" w:sz="4" w:space="0"/>
              <w:right w:val="single" w:color="000000" w:sz="4" w:space="0"/>
            </w:tcBorders>
            <w:tcW w:w="206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1、范围：养护范围内所有雨、污水管网及配套检查井（含小区管网接入市政主管网段），不同管径费用综合考虑。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管网疏通清淤、清理垃圾，检查井淤泥清掏、垃圾清理等，确保管道畅通，不溢水。含人工局部井下或管内清掏作业及保护措施、临时橡胶气囊封堵、临时排水、临时局部检查检测等；</w:t>
            </w:r>
            <w:r/>
          </w:p>
        </w:tc>
        <w:tc>
          <w:tcPr>
            <w:shd w:val="clear" w:color="auto" w:fill="auto"/>
            <w:tcBorders>
              <w:top w:val="single" w:color="000000" w:sz="4" w:space="0"/>
              <w:left w:val="single" w:color="000000" w:sz="4" w:space="0"/>
              <w:bottom w:val="single" w:color="000000" w:sz="4" w:space="0"/>
              <w:right w:val="single" w:color="000000" w:sz="4" w:space="0"/>
            </w:tcBorders>
            <w:tcW w:w="2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149144.7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养护范围内管道每年冲洗不小于2次，管道堵塞随时清理、疏通，确保管道运行正常。</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21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旧改小区污水管网</w:t>
            </w:r>
            <w:r/>
          </w:p>
        </w:tc>
        <w:tc>
          <w:tcPr>
            <w:shd w:val="clear" w:color="auto" w:fill="auto"/>
            <w:tcBorders>
              <w:top w:val="single" w:color="000000" w:sz="4" w:space="0"/>
              <w:left w:val="single" w:color="000000" w:sz="4" w:space="0"/>
              <w:bottom w:val="single" w:color="000000" w:sz="4" w:space="0"/>
              <w:right w:val="single" w:color="000000" w:sz="4" w:space="0"/>
            </w:tcBorders>
            <w:tcW w:w="206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1、范围：叙丰家园北区、叙丰家园西区、春城A区、欧典西区、前进花园C区养护范围内所有污水管网及配套检查井(含小区管网接入市政主管网段)，不同管径费用综合考虑。</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2、工作内容:管网疏通清淤、清理垃圾，检查井淤泥清掏、垃圾清理等，确保管道畅通，不溢水。含人工局部井下或管内清掏作业及保护措施、临时橡胶气囊封堵、临时排水、临时局部检查检测等；</w:t>
            </w:r>
            <w:r/>
          </w:p>
        </w:tc>
        <w:tc>
          <w:tcPr>
            <w:shd w:val="clear" w:color="auto" w:fill="auto"/>
            <w:tcBorders>
              <w:top w:val="single" w:color="000000" w:sz="4" w:space="0"/>
              <w:left w:val="single" w:color="000000" w:sz="4" w:space="0"/>
              <w:bottom w:val="single" w:color="000000" w:sz="4" w:space="0"/>
              <w:right w:val="single" w:color="000000" w:sz="4" w:space="0"/>
            </w:tcBorders>
            <w:tcW w:w="2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73575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养护范围内管道每年冲洗不小于4次，管道堵塞随时清理、疏通，确保管道运行正常。</w:t>
            </w:r>
            <w:r/>
          </w:p>
        </w:tc>
      </w:tr>
      <w:tr>
        <w:trPr>
          <w:trHeight w:val="683"/>
        </w:trPr>
        <w:tc>
          <w:tcPr>
            <w:shd w:val="clear" w:color="auto" w:fill="auto"/>
            <w:tcBorders>
              <w:top w:val="single" w:color="000000" w:sz="4" w:space="0"/>
              <w:left w:val="single" w:color="000000" w:sz="4" w:space="0"/>
              <w:bottom w:val="single" w:color="000000" w:sz="4" w:space="0"/>
              <w:right w:val="single" w:color="000000" w:sz="4" w:space="0"/>
            </w:tcBorders>
            <w:tcW w:w="21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化粪池养护</w:t>
            </w:r>
            <w:r/>
          </w:p>
        </w:tc>
        <w:tc>
          <w:tcPr>
            <w:shd w:val="clear" w:color="auto" w:fill="auto"/>
            <w:tcBorders>
              <w:top w:val="single" w:color="000000" w:sz="4" w:space="0"/>
              <w:left w:val="single" w:color="000000" w:sz="4" w:space="0"/>
              <w:bottom w:val="single" w:color="000000" w:sz="4" w:space="0"/>
              <w:right w:val="single" w:color="000000" w:sz="4" w:space="0"/>
            </w:tcBorders>
            <w:tcW w:w="206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1、范围：养护范围内所有化粪池，不同型号化粪池费用综合考虑；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2、工作内容：化粪池内粪便、杂物等清掏，化粪池内壁冲洗及污水抽排等；</w:t>
            </w:r>
            <w:r/>
          </w:p>
        </w:tc>
        <w:tc>
          <w:tcPr>
            <w:shd w:val="clear" w:color="auto" w:fill="auto"/>
            <w:tcBorders>
              <w:top w:val="single" w:color="000000" w:sz="4" w:space="0"/>
              <w:left w:val="single" w:color="000000" w:sz="4" w:space="0"/>
              <w:bottom w:val="single" w:color="000000" w:sz="4" w:space="0"/>
              <w:right w:val="single" w:color="000000" w:sz="4" w:space="0"/>
            </w:tcBorders>
            <w:tcW w:w="2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化粪池清掏、冲洗等养护每年不少于两次。</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1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淤泥处置</w:t>
            </w:r>
            <w:r/>
          </w:p>
        </w:tc>
        <w:tc>
          <w:tcPr>
            <w:shd w:val="clear" w:color="auto" w:fill="auto"/>
            <w:tcBorders>
              <w:top w:val="single" w:color="000000" w:sz="4" w:space="0"/>
              <w:left w:val="single" w:color="000000" w:sz="4" w:space="0"/>
              <w:bottom w:val="single" w:color="000000" w:sz="4" w:space="0"/>
              <w:right w:val="single" w:color="000000" w:sz="4" w:space="0"/>
            </w:tcBorders>
            <w:tcW w:w="206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泥浆运输：由施工现场运至脱水场地；泥浆脱水处理：脱水后含水率在45%～55%；脱水后淤泥处置运费：平板车运输；脱水后的淤泥运输至项目所在地有资质的单位进行合法合规焚烧处置。</w:t>
            </w:r>
            <w:r/>
          </w:p>
        </w:tc>
        <w:tc>
          <w:tcPr>
            <w:shd w:val="clear" w:color="auto" w:fill="auto"/>
            <w:tcBorders>
              <w:top w:val="single" w:color="000000" w:sz="4" w:space="0"/>
              <w:left w:val="single" w:color="000000" w:sz="4" w:space="0"/>
              <w:bottom w:val="single" w:color="000000" w:sz="4" w:space="0"/>
              <w:right w:val="single" w:color="000000" w:sz="4" w:space="0"/>
            </w:tcBorders>
            <w:tcW w:w="2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符合环保要求</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21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井盖更换</w:t>
            </w:r>
            <w:r/>
          </w:p>
        </w:tc>
        <w:tc>
          <w:tcPr>
            <w:shd w:val="clear" w:color="auto" w:fill="auto"/>
            <w:tcBorders>
              <w:top w:val="single" w:color="000000" w:sz="4" w:space="0"/>
              <w:left w:val="single" w:color="000000" w:sz="4" w:space="0"/>
              <w:bottom w:val="single" w:color="000000" w:sz="4" w:space="0"/>
              <w:right w:val="single" w:color="000000" w:sz="4" w:space="0"/>
            </w:tcBorders>
            <w:tcW w:w="206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1、范围：养护范围内所有雨污水检查井及收水井包括化粪池，不同型号尺寸井盖综合考虑；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2、工作内容：拆除破损检查井及垃圾物外运处置，更换新的重型磨塑井盖等；</w:t>
            </w:r>
            <w:r/>
          </w:p>
        </w:tc>
        <w:tc>
          <w:tcPr>
            <w:shd w:val="clear" w:color="auto" w:fill="auto"/>
            <w:tcBorders>
              <w:top w:val="single" w:color="000000" w:sz="4" w:space="0"/>
              <w:left w:val="single" w:color="000000" w:sz="4" w:space="0"/>
              <w:bottom w:val="single" w:color="000000" w:sz="4" w:space="0"/>
              <w:right w:val="single" w:color="000000" w:sz="4" w:space="0"/>
            </w:tcBorders>
            <w:tcW w:w="2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范围内对行人车辆有安全隐患的井盖</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1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0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1-5项小计</w:t>
            </w:r>
            <w:r/>
          </w:p>
        </w:tc>
        <w:tc>
          <w:tcPr>
            <w:shd w:val="clear" w:color="auto" w:fill="auto"/>
            <w:tcBorders>
              <w:top w:val="single" w:color="000000" w:sz="4" w:space="0"/>
              <w:left w:val="single" w:color="000000" w:sz="4" w:space="0"/>
              <w:bottom w:val="single" w:color="000000" w:sz="4" w:space="0"/>
              <w:right w:val="single" w:color="000000" w:sz="4" w:space="0"/>
            </w:tcBorders>
            <w:tcW w:w="218"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04"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街道道路</w:t>
            </w:r>
            <w:r/>
          </w:p>
        </w:tc>
        <w:tc>
          <w:tcPr>
            <w:shd w:val="clear" w:color="auto" w:fill="auto"/>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198"/>
        </w:trPr>
        <w:tc>
          <w:tcPr>
            <w:shd w:val="clear" w:color="auto" w:fill="auto"/>
            <w:tcBorders>
              <w:top w:val="single" w:color="000000" w:sz="4" w:space="0"/>
              <w:left w:val="single" w:color="000000" w:sz="4" w:space="0"/>
              <w:bottom w:val="single" w:color="000000" w:sz="4" w:space="0"/>
              <w:right w:val="single" w:color="000000" w:sz="4" w:space="0"/>
            </w:tcBorders>
            <w:tcW w:w="21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管网养护</w:t>
            </w:r>
            <w:r/>
          </w:p>
        </w:tc>
        <w:tc>
          <w:tcPr>
            <w:shd w:val="clear" w:color="auto" w:fill="auto"/>
            <w:tcBorders>
              <w:top w:val="single" w:color="000000" w:sz="4" w:space="0"/>
              <w:left w:val="single" w:color="000000" w:sz="4" w:space="0"/>
              <w:bottom w:val="single" w:color="000000" w:sz="4" w:space="0"/>
              <w:right w:val="single" w:color="000000" w:sz="4" w:space="0"/>
            </w:tcBorders>
            <w:tcW w:w="206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太湖大道（锦江苑-苏巷路）、大墩巷路（叙康路-锡甘路）、前卫路（锡甘路-叙康里小区）、坊镇路（春华路-312国道）、坊广路（锡义路-五洲国际大门）、鑫明路（鑫明北路-海力士意法路）、春明路（鑫明路-海泰一支路）、时尚路（锡山大道-纺城大道）、招商城一路二路（兴源路-城南路）、农丰路（梅清路-纺城大道）养护范围内所有污水主管道及配套检查井，不同管径费用综合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管网疏通清淤、清理垃圾，检查井淤泥清掏、垃圾清理等，确保管道畅通，不溢水。含人工局部井下或管内清掏作业及保护措施、临时橡胶气囊封堵、临时排水、临时局部检查检测等</w:t>
            </w:r>
            <w:r/>
          </w:p>
        </w:tc>
        <w:tc>
          <w:tcPr>
            <w:shd w:val="clear" w:color="auto" w:fill="auto"/>
            <w:tcBorders>
              <w:top w:val="single" w:color="000000" w:sz="4" w:space="0"/>
              <w:left w:val="single" w:color="000000" w:sz="4" w:space="0"/>
              <w:bottom w:val="single" w:color="000000" w:sz="4" w:space="0"/>
              <w:right w:val="single" w:color="000000" w:sz="4" w:space="0"/>
            </w:tcBorders>
            <w:tcW w:w="2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7781.5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养护范围内管道每年冲洗不小于4次，管道堵塞随时清理、疏通，确保管道运行正常。</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1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井盖更换</w:t>
            </w:r>
            <w:r/>
          </w:p>
        </w:tc>
        <w:tc>
          <w:tcPr>
            <w:shd w:val="clear" w:color="auto" w:fill="auto"/>
            <w:tcBorders>
              <w:top w:val="single" w:color="000000" w:sz="4" w:space="0"/>
              <w:left w:val="single" w:color="000000" w:sz="4" w:space="0"/>
              <w:bottom w:val="single" w:color="000000" w:sz="4" w:space="0"/>
              <w:right w:val="single" w:color="000000" w:sz="4" w:space="0"/>
            </w:tcBorders>
            <w:tcW w:w="206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1、范围：养护范围内所有雨污水检查井及收水井包括化粪池，不同型号尺寸井盖综合考虑；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2、工作内容：拆除破损检查井及垃圾物外运处置，更换新的重型磨塑井盖等；</w:t>
            </w:r>
            <w:r/>
          </w:p>
        </w:tc>
        <w:tc>
          <w:tcPr>
            <w:shd w:val="clear" w:color="auto" w:fill="auto"/>
            <w:tcBorders>
              <w:top w:val="single" w:color="000000" w:sz="4" w:space="0"/>
              <w:left w:val="single" w:color="000000" w:sz="4" w:space="0"/>
              <w:bottom w:val="single" w:color="000000" w:sz="4" w:space="0"/>
              <w:right w:val="single" w:color="000000" w:sz="4" w:space="0"/>
            </w:tcBorders>
            <w:tcW w:w="21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范围内对行人车辆有安全隐患的井盖</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1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0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7-8项小计</w:t>
            </w:r>
            <w:r/>
          </w:p>
        </w:tc>
        <w:tc>
          <w:tcPr>
            <w:shd w:val="clear" w:color="auto" w:fill="auto"/>
            <w:tcBorders>
              <w:top w:val="single" w:color="000000" w:sz="4" w:space="0"/>
              <w:left w:val="single" w:color="000000" w:sz="4" w:space="0"/>
              <w:bottom w:val="single" w:color="000000" w:sz="4" w:space="0"/>
              <w:right w:val="single" w:color="000000" w:sz="4" w:space="0"/>
            </w:tcBorders>
            <w:tcW w:w="218"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1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年度养护费用</w:t>
            </w:r>
            <w:r/>
          </w:p>
        </w:tc>
        <w:tc>
          <w:tcPr>
            <w:shd w:val="clear" w:color="auto" w:fill="auto"/>
            <w:tcBorders>
              <w:top w:val="single" w:color="000000" w:sz="4" w:space="0"/>
              <w:left w:val="single" w:color="000000" w:sz="4" w:space="0"/>
              <w:bottom w:val="single" w:color="000000" w:sz="4" w:space="0"/>
              <w:right w:val="single" w:color="000000" w:sz="4" w:space="0"/>
            </w:tcBorders>
            <w:tcW w:w="20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6+9项总计</w:t>
            </w:r>
            <w:r/>
          </w:p>
        </w:tc>
        <w:tc>
          <w:tcPr>
            <w:shd w:val="clear" w:color="auto" w:fill="auto"/>
            <w:tcBorders>
              <w:top w:val="single" w:color="000000" w:sz="4" w:space="0"/>
              <w:left w:val="single" w:color="000000" w:sz="4" w:space="0"/>
              <w:bottom w:val="single" w:color="000000" w:sz="4" w:space="0"/>
              <w:right w:val="single" w:color="000000" w:sz="4" w:space="0"/>
            </w:tcBorders>
            <w:tcW w:w="2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1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应急排查及抢修</w:t>
            </w:r>
            <w:r/>
          </w:p>
        </w:tc>
        <w:tc>
          <w:tcPr>
            <w:shd w:val="clear" w:color="auto" w:fill="auto"/>
            <w:tcBorders>
              <w:top w:val="single" w:color="000000" w:sz="4" w:space="0"/>
              <w:left w:val="single" w:color="000000" w:sz="4" w:space="0"/>
              <w:bottom w:val="single" w:color="000000" w:sz="4" w:space="0"/>
              <w:right w:val="single" w:color="000000" w:sz="4" w:space="0"/>
            </w:tcBorders>
            <w:tcW w:w="206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包含管网临时封堵、翻水、应急排查、检测，疏通及小范围应急管网修复等</w:t>
            </w:r>
            <w:r/>
          </w:p>
        </w:tc>
        <w:tc>
          <w:tcPr>
            <w:shd w:val="clear" w:color="auto" w:fill="auto"/>
            <w:tcBorders>
              <w:top w:val="single" w:color="000000" w:sz="4" w:space="0"/>
              <w:left w:val="single" w:color="000000" w:sz="4" w:space="0"/>
              <w:bottom w:val="single" w:color="000000" w:sz="4" w:space="0"/>
              <w:right w:val="single" w:color="000000" w:sz="4" w:space="0"/>
            </w:tcBorders>
            <w:tcW w:w="2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220000</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此项不可竞争</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1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206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第【三】项年度费用×2年+第【四】项</w:t>
            </w:r>
            <w:r/>
          </w:p>
        </w:tc>
        <w:tc>
          <w:tcPr>
            <w:shd w:val="clear" w:color="auto" w:fill="auto"/>
            <w:tcBorders>
              <w:top w:val="single" w:color="000000" w:sz="4" w:space="0"/>
              <w:left w:val="single" w:color="000000" w:sz="4" w:space="0"/>
              <w:bottom w:val="single" w:color="000000" w:sz="4" w:space="0"/>
              <w:right w:val="single" w:color="000000" w:sz="4" w:space="0"/>
            </w:tcBorders>
            <w:tcW w:w="2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2"/>
                <w:szCs w:val="22"/>
                <w:highlight w:val="none"/>
                <w:u w:val="none"/>
                <w:lang w:val="en-US" w:eastAsia="zh-CN" w:bidi="ar"/>
              </w:rPr>
              <w:t xml:space="preserve">两年养护总费用</w:t>
            </w:r>
            <w:r/>
          </w:p>
        </w:tc>
      </w:tr>
    </w:tbl>
    <w:p>
      <w:pPr>
        <w:pStyle w:val="678"/>
        <w:ind w:firstLine="480"/>
        <w:rPr>
          <w:rFonts w:hint="eastAsia" w:ascii="宋体" w:hAnsi="宋体"/>
          <w:color w:val="auto"/>
          <w:sz w:val="24"/>
          <w:highlight w:val="none"/>
        </w:rPr>
      </w:pPr>
      <w:r>
        <w:rPr>
          <w:rFonts w:hint="eastAsia" w:ascii="宋体" w:hAnsi="宋体"/>
          <w:color w:val="auto"/>
          <w:sz w:val="24"/>
          <w:highlight w:val="none"/>
        </w:rPr>
      </w:r>
      <w:r/>
    </w:p>
    <w:p>
      <w:pPr>
        <w:pStyle w:val="678"/>
        <w:ind w:left="0" w:firstLine="480"/>
        <w:rPr>
          <w:rFonts w:ascii="宋体" w:hAnsi="宋体"/>
          <w:color w:val="auto"/>
          <w:sz w:val="24"/>
          <w:highlight w:val="none"/>
        </w:rPr>
      </w:pPr>
      <w:r>
        <w:rPr>
          <w:rFonts w:hint="eastAsia" w:ascii="宋体" w:hAnsi="宋体"/>
          <w:color w:val="auto"/>
          <w:sz w:val="24"/>
          <w:highlight w:val="none"/>
        </w:rPr>
        <w:t xml:space="preserve">注：本工程量清单单价为全费用综合单价，即包含直接费、措施费、管理费、规费、利润和税金。相关的 （临时设施费、包干费、夜间施工增加费、冬雨季施工增加费、已完工程及设备保护费、赶工措施费、按质论价费）</w:t>
      </w:r>
      <w:r>
        <w:rPr>
          <w:rFonts w:hint="eastAsia" w:ascii="宋体" w:hAnsi="宋体"/>
          <w:color w:val="auto"/>
          <w:sz w:val="24"/>
          <w:highlight w:val="none"/>
          <w:lang w:eastAsia="zh-CN"/>
        </w:rPr>
        <w:t xml:space="preserve">不再另行</w:t>
      </w:r>
      <w:r>
        <w:rPr>
          <w:rFonts w:hint="eastAsia" w:ascii="宋体" w:hAnsi="宋体"/>
          <w:color w:val="auto"/>
          <w:sz w:val="24"/>
          <w:highlight w:val="none"/>
        </w:rPr>
        <w:t xml:space="preserve">计取。</w:t>
      </w:r>
      <w:r/>
    </w:p>
    <w:p>
      <w:pPr>
        <w:pStyle w:val="678"/>
        <w:ind w:firstLine="480"/>
        <w:rPr>
          <w:rFonts w:ascii="宋体" w:hAnsi="宋体"/>
          <w:color w:val="auto"/>
          <w:sz w:val="24"/>
          <w:highlight w:val="none"/>
        </w:rPr>
      </w:pPr>
      <w:r>
        <w:rPr>
          <w:rFonts w:ascii="宋体" w:hAnsi="宋体"/>
          <w:color w:val="auto"/>
          <w:sz w:val="24"/>
          <w:highlight w:val="none"/>
        </w:rPr>
      </w:r>
      <w:r/>
    </w:p>
    <w:p>
      <w:pPr>
        <w:pStyle w:val="678"/>
        <w:ind w:firstLine="480"/>
        <w:rPr>
          <w:rFonts w:ascii="宋体" w:hAnsi="宋体"/>
          <w:color w:val="auto"/>
          <w:sz w:val="24"/>
          <w:highlight w:val="none"/>
        </w:rPr>
      </w:pPr>
      <w:r>
        <w:rPr>
          <w:rFonts w:ascii="宋体" w:hAnsi="宋体"/>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供应商（盖章）：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法定代表人或授权代表签字或盖章：</w:t>
      </w:r>
      <w:r/>
    </w:p>
    <w:p>
      <w:pPr>
        <w:jc w:val="center"/>
        <w:spacing w:line="400" w:lineRule="exact"/>
        <w:rPr>
          <w:rFonts w:hint="eastAsia" w:ascii="宋体" w:hAnsi="宋体" w:eastAsia="宋体"/>
          <w:bCs/>
          <w:color w:val="auto"/>
          <w:sz w:val="28"/>
          <w:szCs w:val="28"/>
          <w:highlight w:val="none"/>
          <w:lang w:eastAsia="zh-CN"/>
        </w:rPr>
      </w:pPr>
      <w:r>
        <w:rPr>
          <w:rFonts w:hint="eastAsia" w:ascii="宋体" w:hAnsi="宋体"/>
          <w:bCs/>
          <w:color w:val="auto"/>
          <w:sz w:val="24"/>
          <w:highlight w:val="none"/>
        </w:rPr>
        <w:t xml:space="preserve">日期：</w:t>
      </w:r>
      <w:r>
        <w:rPr>
          <w:rFonts w:hint="eastAsia" w:ascii="黑体" w:hAnsi="宋体" w:eastAsia="黑体"/>
          <w:bCs/>
          <w:color w:val="auto"/>
          <w:sz w:val="24"/>
          <w:szCs w:val="24"/>
          <w:highlight w:val="none"/>
        </w:rPr>
        <w:br w:type="page" w:clear="all"/>
      </w:r>
      <w:r>
        <w:rPr>
          <w:rFonts w:hint="eastAsia" w:ascii="宋体" w:hAnsi="宋体"/>
          <w:bCs/>
          <w:color w:val="auto"/>
          <w:sz w:val="28"/>
          <w:szCs w:val="28"/>
          <w:highlight w:val="none"/>
        </w:rPr>
        <w:t xml:space="preserve">报价明细表</w:t>
      </w:r>
      <w:r>
        <w:rPr>
          <w:rFonts w:hint="eastAsia" w:ascii="宋体" w:hAnsi="宋体"/>
          <w:bCs/>
          <w:color w:val="auto"/>
          <w:sz w:val="28"/>
          <w:szCs w:val="28"/>
          <w:highlight w:val="none"/>
          <w:lang w:eastAsia="zh-CN"/>
        </w:rPr>
        <w:t xml:space="preserve">（</w:t>
      </w:r>
      <w:r>
        <w:rPr>
          <w:rFonts w:hint="eastAsia" w:ascii="宋体" w:hAnsi="宋体"/>
          <w:bCs/>
          <w:color w:val="auto"/>
          <w:sz w:val="28"/>
          <w:szCs w:val="28"/>
          <w:highlight w:val="none"/>
          <w:lang w:val="en-US" w:eastAsia="zh-CN"/>
        </w:rPr>
        <w:t xml:space="preserve">二标段</w:t>
      </w:r>
      <w:r>
        <w:rPr>
          <w:rFonts w:hint="eastAsia" w:ascii="宋体" w:hAnsi="宋体"/>
          <w:bCs/>
          <w:color w:val="auto"/>
          <w:sz w:val="28"/>
          <w:szCs w:val="28"/>
          <w:highlight w:val="none"/>
          <w:lang w:eastAsia="zh-CN"/>
        </w:rPr>
        <w:t xml:space="preserve">）</w:t>
      </w:r>
      <w:r/>
    </w:p>
    <w:p>
      <w:pPr>
        <w:ind w:firstLine="840"/>
        <w:spacing w:line="400" w:lineRule="exact"/>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w:t>
      </w:r>
      <w:r>
        <w:rPr>
          <w:rFonts w:hint="eastAsia" w:ascii="黑体" w:eastAsia="黑体"/>
          <w:bCs/>
          <w:color w:val="auto"/>
          <w:sz w:val="24"/>
          <w:szCs w:val="24"/>
          <w:highlight w:val="none"/>
          <w:lang w:val="en-US" w:eastAsia="zh-CN"/>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JSZC-320214-JSZH-G2024-0129</w:t>
      </w:r>
      <w:r/>
    </w:p>
    <w:p>
      <w:pPr>
        <w:pStyle w:val="678"/>
        <w:ind w:firstLine="480"/>
        <w:rPr>
          <w:rFonts w:ascii="宋体" w:hAnsi="宋体"/>
          <w:color w:val="auto"/>
          <w:sz w:val="24"/>
          <w:highlight w:val="none"/>
        </w:rPr>
      </w:pPr>
      <w:r>
        <w:rPr>
          <w:rFonts w:ascii="宋体" w:hAnsi="宋体"/>
          <w:color w:val="auto"/>
          <w:sz w:val="24"/>
          <w:highlight w:val="none"/>
        </w:rPr>
      </w:r>
      <w:r/>
    </w:p>
    <w:tbl>
      <w:tblPr>
        <w:tblStyle w:val="677"/>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6"/>
        <w:gridCol w:w="1255"/>
        <w:gridCol w:w="4137"/>
        <w:gridCol w:w="416"/>
        <w:gridCol w:w="1051"/>
        <w:gridCol w:w="850"/>
        <w:gridCol w:w="850"/>
        <w:gridCol w:w="956"/>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07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09"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坊前片区</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2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管网养护（除旧改小区污水管网）</w:t>
            </w:r>
            <w:r/>
          </w:p>
        </w:tc>
        <w:tc>
          <w:tcPr>
            <w:shd w:val="clear" w:color="auto" w:fill="auto"/>
            <w:tcBorders>
              <w:top w:val="single" w:color="000000" w:sz="4" w:space="0"/>
              <w:left w:val="single" w:color="000000" w:sz="4" w:space="0"/>
              <w:bottom w:val="single" w:color="000000" w:sz="4" w:space="0"/>
              <w:right w:val="single" w:color="000000" w:sz="4" w:space="0"/>
            </w:tcBorders>
            <w:tcW w:w="207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1、范围：养护范围内所有雨、污水管网及配套检查井（含小区管网接入市政主管网段），不同管径费用综合考虑。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2、工作内容</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管网疏通清淤、清理垃圾，检查井淤泥清掏、垃圾清理等，确保管道畅通，不溢水。含人工局部井下或管内清掏作业及保护措施、临时橡胶气囊封堵、临时排水、临时局部检查检测等；</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137398.57</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养护范围内管道每年冲洗不小于2次，管道堵塞随时清理、疏通，确保管道运行正常。</w:t>
            </w:r>
            <w:r/>
          </w:p>
        </w:tc>
      </w:tr>
      <w:tr>
        <w:trPr>
          <w:trHeight w:val="1422"/>
        </w:trPr>
        <w:tc>
          <w:tcPr>
            <w:shd w:val="clear" w:color="auto" w:fill="auto"/>
            <w:tcBorders>
              <w:top w:val="single" w:color="000000" w:sz="4" w:space="0"/>
              <w:left w:val="single" w:color="000000" w:sz="4" w:space="0"/>
              <w:bottom w:val="single" w:color="000000" w:sz="4" w:space="0"/>
              <w:right w:val="single" w:color="000000" w:sz="4" w:space="0"/>
            </w:tcBorders>
            <w:tcW w:w="2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旧改小区污水管网</w:t>
            </w:r>
            <w:r/>
          </w:p>
        </w:tc>
        <w:tc>
          <w:tcPr>
            <w:shd w:val="clear" w:color="auto" w:fill="auto"/>
            <w:tcBorders>
              <w:top w:val="single" w:color="000000" w:sz="4" w:space="0"/>
              <w:left w:val="single" w:color="000000" w:sz="4" w:space="0"/>
              <w:bottom w:val="single" w:color="000000" w:sz="4" w:space="0"/>
              <w:right w:val="single" w:color="000000" w:sz="4" w:space="0"/>
            </w:tcBorders>
            <w:tcW w:w="207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1、范围：万裕苑一期、万裕苑二期养护范围内所有污水管网及配套检查井（含小区管网接入市政主管网段），不同管径费用综合考虑。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管网疏通清淤、清理垃圾，检查井淤泥清掏、垃圾清理等，确保管道畅通，不溢水。含人工局部井下或管内清掏作业及保护措施、临时橡胶气囊封堵、临时排水、临时局部检查检测等；</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58441</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养护范围内管道每年冲洗不小于4次，管道堵塞随时清理、疏通，确保管道运行正常。</w:t>
            </w:r>
            <w:r/>
          </w:p>
        </w:tc>
      </w:tr>
      <w:tr>
        <w:trPr>
          <w:trHeight w:val="859"/>
        </w:trPr>
        <w:tc>
          <w:tcPr>
            <w:shd w:val="clear" w:color="auto" w:fill="auto"/>
            <w:tcBorders>
              <w:top w:val="single" w:color="000000" w:sz="4" w:space="0"/>
              <w:left w:val="single" w:color="000000" w:sz="4" w:space="0"/>
              <w:bottom w:val="single" w:color="000000" w:sz="4" w:space="0"/>
              <w:right w:val="single" w:color="000000" w:sz="4" w:space="0"/>
            </w:tcBorders>
            <w:tcW w:w="2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化粪池养护</w:t>
            </w:r>
            <w:r/>
          </w:p>
        </w:tc>
        <w:tc>
          <w:tcPr>
            <w:shd w:val="clear" w:color="auto" w:fill="auto"/>
            <w:tcBorders>
              <w:top w:val="single" w:color="000000" w:sz="4" w:space="0"/>
              <w:left w:val="single" w:color="000000" w:sz="4" w:space="0"/>
              <w:bottom w:val="single" w:color="000000" w:sz="4" w:space="0"/>
              <w:right w:val="single" w:color="000000" w:sz="4" w:space="0"/>
            </w:tcBorders>
            <w:tcW w:w="207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1、范围：养护范围内所有化粪池，不同型号化粪池费用综合考虑；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2、工作内容：化粪池内粪便、杂物等清掏，化粪池内壁冲洗及污水抽排等；</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化粪池清掏、冲洗等养护每年不少于两次。</w:t>
            </w:r>
            <w:r/>
          </w:p>
        </w:tc>
      </w:tr>
      <w:tr>
        <w:trPr>
          <w:trHeight w:val="859"/>
        </w:trPr>
        <w:tc>
          <w:tcPr>
            <w:shd w:val="clear" w:color="auto" w:fill="auto"/>
            <w:tcBorders>
              <w:top w:val="single" w:color="000000" w:sz="4" w:space="0"/>
              <w:left w:val="single" w:color="000000" w:sz="4" w:space="0"/>
              <w:bottom w:val="single" w:color="000000" w:sz="4" w:space="0"/>
              <w:right w:val="single" w:color="000000" w:sz="4" w:space="0"/>
            </w:tcBorders>
            <w:tcW w:w="2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淤泥处置</w:t>
            </w:r>
            <w:r/>
          </w:p>
        </w:tc>
        <w:tc>
          <w:tcPr>
            <w:shd w:val="clear" w:color="auto" w:fill="auto"/>
            <w:tcBorders>
              <w:top w:val="single" w:color="000000" w:sz="4" w:space="0"/>
              <w:left w:val="single" w:color="000000" w:sz="4" w:space="0"/>
              <w:bottom w:val="single" w:color="000000" w:sz="4" w:space="0"/>
              <w:right w:val="single" w:color="000000" w:sz="4" w:space="0"/>
            </w:tcBorders>
            <w:tcW w:w="207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泥浆运输：由施工现场运至脱水场地；泥浆脱水处理：脱水后含水率在45%～55%；脱水后淤泥处置运费：平板车运输；脱水后的淤泥运输至项目所在地有资质的单位进行合法合规焚烧处置。</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符合环保要求 </w:t>
            </w:r>
            <w:r/>
          </w:p>
        </w:tc>
      </w:tr>
      <w:tr>
        <w:trPr>
          <w:trHeight w:val="938"/>
        </w:trPr>
        <w:tc>
          <w:tcPr>
            <w:shd w:val="clear" w:color="auto" w:fill="auto"/>
            <w:tcBorders>
              <w:top w:val="single" w:color="000000" w:sz="4" w:space="0"/>
              <w:left w:val="single" w:color="000000" w:sz="4" w:space="0"/>
              <w:bottom w:val="single" w:color="000000" w:sz="4" w:space="0"/>
              <w:right w:val="single" w:color="000000" w:sz="4" w:space="0"/>
            </w:tcBorders>
            <w:tcW w:w="2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井盖更换</w:t>
            </w:r>
            <w:r/>
          </w:p>
        </w:tc>
        <w:tc>
          <w:tcPr>
            <w:shd w:val="clear" w:color="auto" w:fill="auto"/>
            <w:tcBorders>
              <w:top w:val="single" w:color="000000" w:sz="4" w:space="0"/>
              <w:left w:val="single" w:color="000000" w:sz="4" w:space="0"/>
              <w:bottom w:val="single" w:color="000000" w:sz="4" w:space="0"/>
              <w:right w:val="single" w:color="000000" w:sz="4" w:space="0"/>
            </w:tcBorders>
            <w:tcW w:w="207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1、范围：养护范围内所有雨污水检查井及收水井包括化粪池，不同型号尺寸井盖综合考虑；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2、工作内容：拆除破损检查井及垃圾物外运处置，更换新的重型磨塑井盖等；</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范围内对行人车辆有安全隐患的井盖</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2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07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1-6项小计</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09"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太湖大道以北</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2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管网养护（除旧改小区污水管网）</w:t>
            </w:r>
            <w:r/>
          </w:p>
        </w:tc>
        <w:tc>
          <w:tcPr>
            <w:shd w:val="clear" w:color="auto" w:fill="auto"/>
            <w:tcBorders>
              <w:top w:val="single" w:color="000000" w:sz="4" w:space="0"/>
              <w:left w:val="single" w:color="000000" w:sz="4" w:space="0"/>
              <w:bottom w:val="single" w:color="000000" w:sz="4" w:space="0"/>
              <w:right w:val="single" w:color="000000" w:sz="4" w:space="0"/>
            </w:tcBorders>
            <w:tcW w:w="207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1、范围：养护范围内所有雨、污水管网及配套检查井（含小区管网接入市政主管网段），不同管径费用综合考虑。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2、工作内容</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管网疏通清淤、清理垃圾，检查井淤泥清掏、垃圾清理等，确保管道畅通，不溢水。含人工局部井下或管内清掏作业及保护措施、临时橡胶气囊封堵、临时排水、临时局部检查检测等；</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13661</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养护范围内管道每年冲洗不小于2次，管道堵塞随时清理、疏通，确保管道运行正常。</w:t>
            </w:r>
            <w:r/>
          </w:p>
        </w:tc>
      </w:tr>
      <w:tr>
        <w:trPr>
          <w:trHeight w:val="1422"/>
        </w:trPr>
        <w:tc>
          <w:tcPr>
            <w:shd w:val="clear" w:color="auto" w:fill="auto"/>
            <w:tcBorders>
              <w:top w:val="single" w:color="000000" w:sz="4" w:space="0"/>
              <w:left w:val="single" w:color="000000" w:sz="4" w:space="0"/>
              <w:bottom w:val="single" w:color="000000" w:sz="4" w:space="0"/>
              <w:right w:val="single" w:color="000000" w:sz="4" w:space="0"/>
            </w:tcBorders>
            <w:tcW w:w="2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旧改小区污水管网</w:t>
            </w:r>
            <w:r/>
          </w:p>
        </w:tc>
        <w:tc>
          <w:tcPr>
            <w:shd w:val="clear" w:color="auto" w:fill="auto"/>
            <w:tcBorders>
              <w:top w:val="single" w:color="000000" w:sz="4" w:space="0"/>
              <w:left w:val="single" w:color="000000" w:sz="4" w:space="0"/>
              <w:bottom w:val="single" w:color="000000" w:sz="4" w:space="0"/>
              <w:right w:val="single" w:color="000000" w:sz="4" w:space="0"/>
            </w:tcBorders>
            <w:tcW w:w="207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1、范围：东风家园二期养护范围内所有污水管网及配套检查井（含小区管网接入市政主管网段），不同管径费用综合考虑。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管网疏通清淤、清理垃圾，检查井淤泥清掏、垃圾清理等，确保管道畅通，不溢水。含人工局部井下或管内清掏作业及保护措施、临时橡胶气囊封堵、临时排水、临时局部检查检测等；</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17178</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养护范围内管道每年冲洗不小于4次，管道堵塞随时清理、疏通，确保管道运行正常。</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2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化粪池养护</w:t>
            </w:r>
            <w:r/>
          </w:p>
        </w:tc>
        <w:tc>
          <w:tcPr>
            <w:shd w:val="clear" w:color="auto" w:fill="auto"/>
            <w:tcBorders>
              <w:top w:val="single" w:color="000000" w:sz="4" w:space="0"/>
              <w:left w:val="single" w:color="000000" w:sz="4" w:space="0"/>
              <w:bottom w:val="single" w:color="000000" w:sz="4" w:space="0"/>
              <w:right w:val="single" w:color="000000" w:sz="4" w:space="0"/>
            </w:tcBorders>
            <w:tcW w:w="207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1、范围：养护范围内所有化粪池，不同型号化粪池费用综合考虑；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2、工作内容：化粪池内粪便、杂物等清掏，化粪池内壁冲洗及污水抽排等；</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化粪池清掏、冲洗等养护每年不少于两次。</w:t>
            </w:r>
            <w:r/>
          </w:p>
        </w:tc>
      </w:tr>
      <w:tr>
        <w:trPr>
          <w:trHeight w:val="923"/>
        </w:trPr>
        <w:tc>
          <w:tcPr>
            <w:shd w:val="clear" w:color="auto" w:fill="auto"/>
            <w:tcBorders>
              <w:top w:val="single" w:color="000000" w:sz="4" w:space="0"/>
              <w:left w:val="single" w:color="000000" w:sz="4" w:space="0"/>
              <w:bottom w:val="single" w:color="000000" w:sz="4" w:space="0"/>
              <w:right w:val="single" w:color="000000" w:sz="4" w:space="0"/>
            </w:tcBorders>
            <w:tcW w:w="2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淤泥处置</w:t>
            </w:r>
            <w:r/>
          </w:p>
        </w:tc>
        <w:tc>
          <w:tcPr>
            <w:shd w:val="clear" w:color="auto" w:fill="auto"/>
            <w:tcBorders>
              <w:top w:val="single" w:color="000000" w:sz="4" w:space="0"/>
              <w:left w:val="single" w:color="000000" w:sz="4" w:space="0"/>
              <w:bottom w:val="single" w:color="000000" w:sz="4" w:space="0"/>
              <w:right w:val="single" w:color="000000" w:sz="4" w:space="0"/>
            </w:tcBorders>
            <w:tcW w:w="207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泥浆运输：由施工现场运至脱水场地；泥浆脱水处理：脱水后含水率在45%～55%；脱水后淤泥处置运费：平板车运输；脱水后的淤泥运输至项目所在地有资质的单位进行合法合规焚烧处置。</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符合环保要求 </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2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井盖更换</w:t>
            </w:r>
            <w:r/>
          </w:p>
        </w:tc>
        <w:tc>
          <w:tcPr>
            <w:shd w:val="clear" w:color="auto" w:fill="auto"/>
            <w:tcBorders>
              <w:top w:val="single" w:color="000000" w:sz="4" w:space="0"/>
              <w:left w:val="single" w:color="000000" w:sz="4" w:space="0"/>
              <w:bottom w:val="single" w:color="000000" w:sz="4" w:space="0"/>
              <w:right w:val="single" w:color="000000" w:sz="4" w:space="0"/>
            </w:tcBorders>
            <w:tcW w:w="207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1、范围：养护范围内所有雨污水检查井及收水井包括化粪池，不同型号尺寸井盖综合考虑；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2、工作内容：拆除破损检查井及垃圾物外运处置，更换新的重型磨塑井盖等；</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范围内对行人车辆有安全隐患的井盖</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07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7-11项小计</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2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年度养护费用</w:t>
            </w:r>
            <w:r/>
          </w:p>
        </w:tc>
        <w:tc>
          <w:tcPr>
            <w:shd w:val="clear" w:color="auto" w:fill="auto"/>
            <w:tcBorders>
              <w:top w:val="single" w:color="000000" w:sz="4" w:space="0"/>
              <w:left w:val="single" w:color="000000" w:sz="4" w:space="0"/>
              <w:bottom w:val="single" w:color="000000" w:sz="4" w:space="0"/>
              <w:right w:val="single" w:color="000000" w:sz="4" w:space="0"/>
            </w:tcBorders>
            <w:tcW w:w="207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6+12项总计</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2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应急排查及抢修</w:t>
            </w:r>
            <w:r/>
          </w:p>
        </w:tc>
        <w:tc>
          <w:tcPr>
            <w:shd w:val="clear" w:color="auto" w:fill="auto"/>
            <w:tcBorders>
              <w:top w:val="single" w:color="000000" w:sz="4" w:space="0"/>
              <w:left w:val="single" w:color="000000" w:sz="4" w:space="0"/>
              <w:bottom w:val="single" w:color="000000" w:sz="4" w:space="0"/>
              <w:right w:val="single" w:color="000000" w:sz="4" w:space="0"/>
            </w:tcBorders>
            <w:tcW w:w="207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包含管网临时封堵、翻水、应急排查、检测，疏通及小范围应急管网修复等</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200000.00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此项不可竞争</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招标控制价</w:t>
            </w:r>
            <w:r/>
          </w:p>
        </w:tc>
        <w:tc>
          <w:tcPr>
            <w:shd w:val="clear" w:color="auto" w:fill="auto"/>
            <w:tcBorders>
              <w:top w:val="single" w:color="000000" w:sz="4" w:space="0"/>
              <w:left w:val="single" w:color="000000" w:sz="4" w:space="0"/>
              <w:bottom w:val="single" w:color="000000" w:sz="4" w:space="0"/>
              <w:right w:val="single" w:color="000000" w:sz="4" w:space="0"/>
            </w:tcBorders>
            <w:tcW w:w="207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第【三】项年度费用×2年+第【四】项</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两年养护总费用</w:t>
            </w:r>
            <w:r/>
          </w:p>
        </w:tc>
      </w:tr>
    </w:tbl>
    <w:p>
      <w:pPr>
        <w:pStyle w:val="678"/>
        <w:ind w:left="0" w:firstLine="480"/>
        <w:rPr>
          <w:rFonts w:ascii="宋体" w:hAnsi="宋体"/>
          <w:color w:val="auto"/>
          <w:sz w:val="24"/>
          <w:highlight w:val="none"/>
        </w:rPr>
      </w:pPr>
      <w:r>
        <w:rPr>
          <w:rFonts w:hint="eastAsia" w:ascii="宋体" w:hAnsi="宋体"/>
          <w:color w:val="auto"/>
          <w:sz w:val="24"/>
          <w:highlight w:val="none"/>
        </w:rPr>
        <w:t xml:space="preserve">注：本工程量清单单价为全费用综合单价，即包含直接费、措施费、管理费、规费、利润和税金。相关的 （临时设施费、包干费、夜间施工增加费、冬雨季施工增加费、已完工程及设备保护费、赶工措施费、按质论价费）</w:t>
      </w:r>
      <w:r>
        <w:rPr>
          <w:rFonts w:hint="eastAsia" w:ascii="宋体" w:hAnsi="宋体"/>
          <w:color w:val="auto"/>
          <w:sz w:val="24"/>
          <w:highlight w:val="none"/>
          <w:lang w:eastAsia="zh-CN"/>
        </w:rPr>
        <w:t xml:space="preserve">不再另行</w:t>
      </w:r>
      <w:r>
        <w:rPr>
          <w:rFonts w:hint="eastAsia" w:ascii="宋体" w:hAnsi="宋体"/>
          <w:color w:val="auto"/>
          <w:sz w:val="24"/>
          <w:highlight w:val="none"/>
        </w:rPr>
        <w:t xml:space="preserve">计取。</w:t>
      </w:r>
      <w:r/>
    </w:p>
    <w:p>
      <w:pPr>
        <w:pStyle w:val="678"/>
        <w:ind w:firstLine="480"/>
        <w:rPr>
          <w:rFonts w:ascii="宋体" w:hAnsi="宋体"/>
          <w:color w:val="auto"/>
          <w:sz w:val="24"/>
          <w:highlight w:val="none"/>
        </w:rPr>
      </w:pPr>
      <w:r>
        <w:rPr>
          <w:rFonts w:ascii="宋体" w:hAnsi="宋体"/>
          <w:color w:val="auto"/>
          <w:sz w:val="24"/>
          <w:highlight w:val="none"/>
        </w:rPr>
      </w:r>
      <w:r/>
    </w:p>
    <w:p>
      <w:pPr>
        <w:pStyle w:val="678"/>
        <w:ind w:firstLine="480"/>
        <w:rPr>
          <w:rFonts w:ascii="宋体" w:hAnsi="宋体"/>
          <w:color w:val="auto"/>
          <w:sz w:val="24"/>
          <w:highlight w:val="none"/>
        </w:rPr>
      </w:pPr>
      <w:r>
        <w:rPr>
          <w:rFonts w:ascii="宋体" w:hAnsi="宋体"/>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供应商（盖章）：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法定代表人或授权代表签字或盖章：</w:t>
      </w:r>
      <w:r/>
    </w:p>
    <w:p>
      <w:pPr>
        <w:rPr>
          <w:rFonts w:hint="eastAsia" w:ascii="黑体" w:hAnsi="宋体" w:eastAsia="黑体"/>
          <w:bCs/>
          <w:color w:val="auto"/>
          <w:sz w:val="24"/>
          <w:szCs w:val="24"/>
          <w:highlight w:val="none"/>
        </w:rPr>
      </w:pPr>
      <w:r>
        <w:rPr>
          <w:rFonts w:hint="eastAsia" w:ascii="宋体" w:hAnsi="宋体"/>
          <w:bCs/>
          <w:color w:val="auto"/>
          <w:sz w:val="24"/>
          <w:highlight w:val="none"/>
        </w:rPr>
        <w:t xml:space="preserve">日期：</w:t>
      </w:r>
      <w:r>
        <w:rPr>
          <w:rFonts w:hint="eastAsia" w:ascii="黑体" w:hAnsi="宋体" w:eastAsia="黑体"/>
          <w:bCs/>
          <w:color w:val="auto"/>
          <w:sz w:val="24"/>
          <w:szCs w:val="24"/>
          <w:highlight w:val="none"/>
        </w:rPr>
        <w:br w:type="page" w:clear="all"/>
      </w:r>
      <w:r/>
    </w:p>
    <w:p>
      <w:pPr>
        <w:spacing w:line="480" w:lineRule="auto"/>
        <w:rPr>
          <w:rFonts w:ascii="黑体" w:eastAsia="黑体"/>
          <w:bCs/>
          <w:color w:val="auto"/>
          <w:sz w:val="28"/>
          <w:szCs w:val="28"/>
          <w:highlight w:val="none"/>
        </w:rPr>
      </w:pPr>
      <w:r>
        <w:rPr>
          <w:rFonts w:hint="eastAsia" w:ascii="黑体" w:hAnsi="宋体" w:eastAsia="黑体"/>
          <w:bCs/>
          <w:color w:val="auto"/>
          <w:sz w:val="24"/>
          <w:szCs w:val="24"/>
          <w:highlight w:val="none"/>
        </w:rPr>
        <w:t xml:space="preserve">（九）投标偏离表（格式）：</w:t>
      </w:r>
      <w:r/>
    </w:p>
    <w:p>
      <w:pPr>
        <w:ind w:firstLine="490"/>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JSZC-320214-JSZH-G2024-0129</w:t>
      </w:r>
      <w:r/>
    </w:p>
    <w:tbl>
      <w:tblPr>
        <w:tblStyle w:val="677"/>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9"/>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9"/>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rPr>
          <w:rFonts w:ascii="宋体"/>
          <w:bCs/>
          <w:color w:val="auto"/>
          <w:sz w:val="24"/>
          <w:szCs w:val="24"/>
          <w:highlight w:val="none"/>
        </w:rPr>
        <w:outlineLvl w:val="9"/>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（十）项目管理机构配备情况表</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格式</w:t>
      </w:r>
      <w:r>
        <w:rPr>
          <w:rFonts w:hint="eastAsia" w:ascii="黑体" w:hAnsi="宋体" w:eastAsia="黑体"/>
          <w:bCs/>
          <w:color w:val="auto"/>
          <w:sz w:val="24"/>
          <w:szCs w:val="24"/>
          <w:highlight w:val="none"/>
          <w:lang w:eastAsia="zh-CN"/>
        </w:rPr>
        <w:t xml:space="preserve">）</w:t>
      </w:r>
      <w:r/>
    </w:p>
    <w:p>
      <w:pPr>
        <w:jc w:val="center"/>
        <w:rPr>
          <w:rFonts w:ascii="宋体" w:hAnsi="宋体"/>
          <w:bCs/>
          <w:color w:val="auto"/>
          <w:sz w:val="24"/>
          <w:szCs w:val="24"/>
          <w:highlight w:val="none"/>
        </w:rPr>
      </w:pPr>
      <w:r>
        <w:rPr>
          <w:rFonts w:ascii="宋体" w:hAnsi="宋体"/>
          <w:bCs/>
          <w:color w:val="auto"/>
          <w:sz w:val="24"/>
          <w:szCs w:val="24"/>
          <w:highlight w:val="none"/>
        </w:rPr>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项目管理机构配备情况表</w:t>
      </w:r>
      <w:r/>
    </w:p>
    <w:p>
      <w:pPr>
        <w:pStyle w:val="709"/>
        <w:ind w:firstLine="210"/>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Cs/>
          <w:color w:val="auto"/>
          <w:szCs w:val="21"/>
          <w:highlight w:val="none"/>
        </w:rPr>
      </w:pPr>
      <w:r>
        <w:rPr>
          <w:rFonts w:hint="eastAsia" w:ascii="宋体" w:hAnsi="宋体" w:cs="宋体"/>
          <w:bCs/>
          <w:color w:val="auto"/>
          <w:sz w:val="24"/>
          <w:szCs w:val="24"/>
          <w:highlight w:val="none"/>
        </w:rPr>
        <w:t xml:space="preserve">供应商名称（盖章）                                       项目编号： </w:t>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序号</w:t>
            </w:r>
            <w:r/>
          </w:p>
        </w:tc>
        <w:tc>
          <w:tcPr>
            <w:tcW w:w="104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姓名</w:t>
            </w:r>
            <w:r/>
          </w:p>
        </w:tc>
        <w:tc>
          <w:tcPr>
            <w:tcW w:w="730"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性别</w:t>
            </w:r>
            <w:r/>
          </w:p>
        </w:tc>
        <w:tc>
          <w:tcPr>
            <w:tcW w:w="709"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年龄</w:t>
            </w:r>
            <w:r/>
          </w:p>
        </w:tc>
        <w:tc>
          <w:tcPr>
            <w:tcW w:w="147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岗位名称</w:t>
            </w:r>
            <w:r/>
          </w:p>
        </w:tc>
        <w:tc>
          <w:tcPr>
            <w:tcW w:w="1236"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学历</w:t>
            </w:r>
            <w:r/>
          </w:p>
        </w:tc>
        <w:tc>
          <w:tcPr>
            <w:tcW w:w="1236"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职称</w:t>
            </w:r>
            <w:r/>
          </w:p>
        </w:tc>
        <w:tc>
          <w:tcPr>
            <w:tcW w:w="185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主要资历、经验及承担过的项目</w:t>
            </w:r>
            <w:r/>
          </w:p>
        </w:tc>
        <w:tc>
          <w:tcPr>
            <w:tcW w:w="932"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trHeight w:val="521"/>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7"/>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3"/>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1"/>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03"/>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0"/>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7"/>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30"/>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Cs w:val="21"/>
          <w:highlight w:val="none"/>
        </w:rPr>
      </w:pPr>
      <w:r>
        <w:rPr>
          <w:rFonts w:hint="eastAsia" w:ascii="宋体" w:hAnsi="宋体"/>
          <w:bCs/>
          <w:color w:val="auto"/>
          <w:szCs w:val="21"/>
          <w:highlight w:val="none"/>
        </w:rPr>
        <w:t xml:space="preserve">注：上表可自行延长。</w:t>
      </w:r>
      <w:r/>
    </w:p>
    <w:p>
      <w:pPr>
        <w:jc w:val="left"/>
        <w:spacing w:line="460" w:lineRule="exact"/>
        <w:rPr>
          <w:rFonts w:ascii="黑体" w:hAnsi="宋体" w:eastAsia="黑体"/>
          <w:bCs/>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（十一）项目负责人简历表（格式）</w:t>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项目负责人简历表</w:t>
      </w:r>
      <w:r/>
    </w:p>
    <w:p>
      <w:pPr>
        <w:pStyle w:val="930"/>
        <w:rPr>
          <w:rFonts w:hint="eastAsia" w:ascii="黑体" w:eastAsia="黑体"/>
          <w:bCs w:val="0"/>
          <w:color w:val="auto"/>
          <w:highlight w:val="none"/>
        </w:rPr>
      </w:pPr>
      <w:r>
        <w:rPr>
          <w:rFonts w:hint="eastAsia" w:ascii="黑体" w:eastAsia="黑体"/>
          <w:bCs w:val="0"/>
          <w:color w:val="auto"/>
          <w:highlight w:val="none"/>
        </w:rPr>
      </w:r>
      <w:r/>
    </w:p>
    <w:p>
      <w:pPr>
        <w:pStyle w:val="930"/>
        <w:rPr>
          <w:rFonts w:ascii="黑体" w:eastAsia="黑体"/>
          <w:bCs w:val="0"/>
          <w:color w:val="auto"/>
          <w:highlight w:val="none"/>
        </w:rPr>
      </w:pPr>
      <w:r>
        <w:rPr>
          <w:rFonts w:hint="eastAsia" w:ascii="黑体" w:eastAsia="黑体"/>
          <w:bCs w:val="0"/>
          <w:color w:val="auto"/>
          <w:highlight w:val="none"/>
        </w:rPr>
        <w:t xml:space="preserve">投标供应商名称（盖章）                             采购项目编号：JSZHCG2023-016 </w:t>
      </w:r>
      <w:r/>
    </w:p>
    <w:tbl>
      <w:tblPr>
        <w:tblStyle w:val="67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851" w:type="dxa"/>
            <w:vAlign w:val="center"/>
            <w:textDirection w:val="lrTb"/>
            <w:noWrap/>
          </w:tcPr>
          <w:p>
            <w:pPr>
              <w:pStyle w:val="678"/>
              <w:ind w:firstLine="0"/>
              <w:jc w:val="center"/>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2394" w:type="dxa"/>
            <w:vAlign w:val="center"/>
            <w:textDirection w:val="lrTb"/>
            <w:noWrap/>
          </w:tcPr>
          <w:p>
            <w:pPr>
              <w:pStyle w:val="678"/>
              <w:ind w:firstLine="480"/>
              <w:jc w:val="center"/>
              <w:rPr>
                <w:rFonts w:ascii="宋体" w:hAnsi="宋体" w:cs="宋体"/>
                <w:color w:val="auto"/>
                <w:sz w:val="24"/>
                <w:highlight w:val="none"/>
              </w:rPr>
            </w:pPr>
            <w:r>
              <w:rPr>
                <w:rFonts w:ascii="宋体" w:hAnsi="宋体" w:cs="宋体"/>
                <w:color w:val="auto"/>
                <w:sz w:val="24"/>
                <w:highlight w:val="none"/>
              </w:rPr>
            </w:r>
            <w:r/>
          </w:p>
        </w:tc>
        <w:tc>
          <w:tcPr>
            <w:tcW w:w="1083" w:type="dxa"/>
            <w:vAlign w:val="center"/>
            <w:textDirection w:val="lrTb"/>
            <w:noWrap/>
          </w:tcPr>
          <w:p>
            <w:pPr>
              <w:pStyle w:val="678"/>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gridSpan w:val="2"/>
            <w:tcW w:w="3612" w:type="dxa"/>
            <w:vAlign w:val="center"/>
            <w:textDirection w:val="lrTb"/>
            <w:noWrap/>
          </w:tcPr>
          <w:p>
            <w:pPr>
              <w:pStyle w:val="678"/>
              <w:ind w:firstLine="480"/>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851" w:type="dxa"/>
            <w:vAlign w:val="center"/>
            <w:textDirection w:val="lrTb"/>
            <w:noWrap/>
          </w:tcPr>
          <w:p>
            <w:pPr>
              <w:pStyle w:val="678"/>
              <w:ind w:firstLine="0"/>
              <w:jc w:val="center"/>
              <w:rPr>
                <w:rFonts w:ascii="宋体" w:hAnsi="宋体" w:cs="宋体"/>
                <w:color w:val="auto"/>
                <w:sz w:val="24"/>
                <w:highlight w:val="none"/>
              </w:rPr>
            </w:pPr>
            <w:r>
              <w:rPr>
                <w:rFonts w:hint="eastAsia" w:ascii="宋体" w:hAnsi="宋体" w:cs="宋体"/>
                <w:color w:val="auto"/>
                <w:sz w:val="24"/>
                <w:highlight w:val="none"/>
              </w:rPr>
              <w:t xml:space="preserve">身份证号码</w:t>
            </w:r>
            <w:r/>
          </w:p>
        </w:tc>
        <w:tc>
          <w:tcPr>
            <w:gridSpan w:val="2"/>
            <w:tcW w:w="3477" w:type="dxa"/>
            <w:vAlign w:val="center"/>
            <w:textDirection w:val="lrTb"/>
            <w:noWrap/>
          </w:tcPr>
          <w:p>
            <w:pPr>
              <w:pStyle w:val="678"/>
              <w:ind w:firstLine="480"/>
              <w:jc w:val="center"/>
              <w:rPr>
                <w:rFonts w:ascii="宋体" w:hAnsi="宋体" w:cs="宋体"/>
                <w:color w:val="auto"/>
                <w:sz w:val="24"/>
                <w:highlight w:val="none"/>
              </w:rPr>
            </w:pPr>
            <w:r>
              <w:rPr>
                <w:rFonts w:ascii="宋体" w:hAnsi="宋体" w:cs="宋体"/>
                <w:color w:val="auto"/>
                <w:sz w:val="24"/>
                <w:highlight w:val="none"/>
              </w:rPr>
            </w:r>
            <w:r/>
          </w:p>
        </w:tc>
        <w:tc>
          <w:tcPr>
            <w:tcW w:w="1254" w:type="dxa"/>
            <w:vAlign w:val="center"/>
            <w:textDirection w:val="lrTb"/>
            <w:noWrap/>
          </w:tcPr>
          <w:p>
            <w:pPr>
              <w:pStyle w:val="678"/>
              <w:ind w:firstLine="0"/>
              <w:jc w:val="center"/>
              <w:rPr>
                <w:rFonts w:ascii="宋体" w:hAnsi="宋体" w:cs="宋体"/>
                <w:color w:val="auto"/>
                <w:sz w:val="24"/>
                <w:highlight w:val="none"/>
              </w:rPr>
            </w:pPr>
            <w:r>
              <w:rPr>
                <w:rFonts w:hint="eastAsia" w:ascii="宋体" w:hAnsi="宋体" w:cs="宋体"/>
                <w:color w:val="auto"/>
                <w:sz w:val="24"/>
                <w:highlight w:val="none"/>
              </w:rPr>
              <w:t xml:space="preserve">出生年月</w:t>
            </w:r>
            <w:r/>
          </w:p>
        </w:tc>
        <w:tc>
          <w:tcPr>
            <w:tcW w:w="2358" w:type="dxa"/>
            <w:vAlign w:val="center"/>
            <w:textDirection w:val="lrTb"/>
            <w:noWrap/>
          </w:tcPr>
          <w:p>
            <w:pPr>
              <w:pStyle w:val="678"/>
              <w:ind w:firstLine="480"/>
              <w:jc w:val="center"/>
              <w:rPr>
                <w:rFonts w:ascii="宋体" w:hAnsi="宋体" w:cs="宋体"/>
                <w:color w:val="auto"/>
                <w:sz w:val="24"/>
                <w:highlight w:val="none"/>
              </w:rPr>
            </w:pPr>
            <w:r>
              <w:rPr>
                <w:rFonts w:hint="eastAsia" w:ascii="宋体" w:hAnsi="宋体" w:cs="宋体"/>
                <w:color w:val="auto"/>
                <w:sz w:val="24"/>
                <w:highlight w:val="none"/>
              </w:rPr>
              <w:t xml:space="preserve">年     月</w:t>
            </w:r>
            <w:r/>
          </w:p>
        </w:tc>
      </w:tr>
      <w:tr>
        <w:trPr>
          <w:cantSplit/>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gridSpan w:val="5"/>
            <w:tcW w:w="8940" w:type="dxa"/>
            <w:vAlign w:val="center"/>
            <w:textDirection w:val="lrTb"/>
            <w:noWrap/>
          </w:tcPr>
          <w:p>
            <w:pPr>
              <w:pStyle w:val="678"/>
              <w:ind w:firstLine="480"/>
              <w:jc w:val="center"/>
              <w:rPr>
                <w:rFonts w:ascii="宋体" w:hAnsi="宋体" w:cs="宋体"/>
                <w:color w:val="auto"/>
                <w:sz w:val="24"/>
                <w:highlight w:val="none"/>
              </w:rPr>
            </w:pPr>
            <w:r>
              <w:rPr>
                <w:rFonts w:hint="eastAsia" w:ascii="宋体" w:hAnsi="宋体" w:cs="宋体"/>
                <w:color w:val="auto"/>
                <w:sz w:val="24"/>
                <w:highlight w:val="none"/>
              </w:rPr>
              <w:t xml:space="preserve">联系电话/传真：</w:t>
            </w:r>
            <w:r/>
          </w:p>
        </w:tc>
      </w:tr>
      <w:tr>
        <w:trPr>
          <w:cantSplit/>
          <w:jc w:val="center"/>
          <w:trHeight w:val="196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gridSpan w:val="5"/>
            <w:tcW w:w="8940" w:type="dxa"/>
            <w:textDirection w:val="lrTb"/>
            <w:noWrap/>
          </w:tcPr>
          <w:p>
            <w:pPr>
              <w:pStyle w:val="678"/>
              <w:ind w:firstLine="480"/>
              <w:jc w:val="left"/>
              <w:rPr>
                <w:rFonts w:ascii="宋体" w:hAnsi="宋体" w:cs="宋体"/>
                <w:color w:val="auto"/>
                <w:sz w:val="24"/>
                <w:highlight w:val="none"/>
              </w:rPr>
            </w:pPr>
            <w:r>
              <w:rPr>
                <w:rFonts w:hint="eastAsia" w:ascii="宋体" w:hAnsi="宋体" w:cs="宋体"/>
                <w:color w:val="auto"/>
                <w:sz w:val="24"/>
                <w:highlight w:val="none"/>
              </w:rPr>
              <w:t xml:space="preserve">从事本项工作时间及工作经历：</w:t>
            </w:r>
            <w:r/>
          </w:p>
        </w:tc>
      </w:tr>
      <w:tr>
        <w:trPr>
          <w:cantSplit/>
          <w:jc w:val="center"/>
          <w:trHeight w:val="62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gridSpan w:val="5"/>
            <w:tcW w:w="8940" w:type="dxa"/>
            <w:vAlign w:val="center"/>
            <w:textDirection w:val="lrTb"/>
            <w:noWrap/>
          </w:tcPr>
          <w:p>
            <w:pPr>
              <w:pStyle w:val="678"/>
              <w:ind w:firstLine="480"/>
              <w:jc w:val="left"/>
              <w:rPr>
                <w:rFonts w:ascii="宋体" w:hAnsi="宋体" w:cs="宋体"/>
                <w:color w:val="auto"/>
                <w:sz w:val="24"/>
                <w:highlight w:val="none"/>
              </w:rPr>
            </w:pPr>
            <w:r>
              <w:rPr>
                <w:rFonts w:hint="eastAsia" w:ascii="宋体" w:hAnsi="宋体" w:cs="宋体"/>
                <w:color w:val="auto"/>
                <w:sz w:val="24"/>
                <w:highlight w:val="none"/>
              </w:rPr>
              <w:t xml:space="preserve">拥有关于本项服务方面的职称：</w:t>
            </w:r>
            <w:r/>
          </w:p>
        </w:tc>
      </w:tr>
      <w:tr>
        <w:trPr>
          <w:cantSplit/>
          <w:jc w:val="center"/>
          <w:trHeight w:val="641"/>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6</w:t>
            </w:r>
            <w:r/>
          </w:p>
        </w:tc>
        <w:tc>
          <w:tcPr>
            <w:gridSpan w:val="5"/>
            <w:tcW w:w="8940" w:type="dxa"/>
            <w:vAlign w:val="center"/>
            <w:textDirection w:val="lrTb"/>
            <w:noWrap/>
          </w:tcPr>
          <w:p>
            <w:pPr>
              <w:pStyle w:val="678"/>
              <w:ind w:firstLine="480"/>
              <w:jc w:val="left"/>
              <w:rPr>
                <w:rFonts w:ascii="宋体" w:hAnsi="宋体" w:cs="宋体"/>
                <w:color w:val="auto"/>
                <w:sz w:val="24"/>
                <w:highlight w:val="none"/>
              </w:rPr>
            </w:pPr>
            <w:r>
              <w:rPr>
                <w:rFonts w:hint="eastAsia" w:ascii="宋体" w:hAnsi="宋体" w:cs="宋体"/>
                <w:color w:val="auto"/>
                <w:sz w:val="24"/>
                <w:highlight w:val="none"/>
              </w:rPr>
              <w:t xml:space="preserve">曾获得的关于本项服务方面的奖励情况：</w:t>
            </w:r>
            <w:r/>
          </w:p>
        </w:tc>
      </w:tr>
      <w:tr>
        <w:trPr>
          <w:cantSplit/>
          <w:jc w:val="center"/>
          <w:trHeight w:val="1708"/>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7</w:t>
            </w:r>
            <w:r/>
          </w:p>
        </w:tc>
        <w:tc>
          <w:tcPr>
            <w:gridSpan w:val="5"/>
            <w:tcW w:w="8940" w:type="dxa"/>
            <w:textDirection w:val="lrTb"/>
            <w:noWrap/>
          </w:tcPr>
          <w:p>
            <w:pPr>
              <w:pStyle w:val="678"/>
              <w:ind w:firstLine="480"/>
              <w:jc w:val="left"/>
              <w:rPr>
                <w:rFonts w:ascii="宋体" w:hAnsi="宋体" w:cs="宋体"/>
                <w:color w:val="auto"/>
                <w:sz w:val="24"/>
                <w:highlight w:val="none"/>
              </w:rPr>
            </w:pPr>
            <w:r>
              <w:rPr>
                <w:rFonts w:hint="eastAsia" w:ascii="宋体" w:hAnsi="宋体" w:cs="宋体"/>
                <w:color w:val="auto"/>
                <w:sz w:val="24"/>
                <w:highlight w:val="none"/>
              </w:rPr>
              <w:t xml:space="preserve">近5年内负责的服务项目：</w:t>
            </w:r>
            <w:r/>
          </w:p>
        </w:tc>
      </w:tr>
      <w:tr>
        <w:trPr>
          <w:cantSplit/>
          <w:jc w:val="center"/>
          <w:trHeight w:val="607"/>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w:t>
            </w:r>
            <w:r/>
          </w:p>
        </w:tc>
        <w:tc>
          <w:tcPr>
            <w:gridSpan w:val="5"/>
            <w:tcW w:w="8940" w:type="dxa"/>
            <w:vAlign w:val="center"/>
            <w:textDirection w:val="lrTb"/>
            <w:noWrap/>
          </w:tcPr>
          <w:p>
            <w:pPr>
              <w:pStyle w:val="678"/>
              <w:ind w:firstLine="480"/>
              <w:jc w:val="left"/>
              <w:rPr>
                <w:rFonts w:ascii="宋体" w:hAnsi="宋体" w:cs="宋体"/>
                <w:color w:val="auto"/>
                <w:sz w:val="24"/>
                <w:highlight w:val="none"/>
              </w:rPr>
            </w:pPr>
            <w:r>
              <w:rPr>
                <w:rFonts w:hint="eastAsia" w:ascii="宋体" w:hAnsi="宋体" w:cs="宋体"/>
                <w:color w:val="auto"/>
                <w:sz w:val="24"/>
                <w:highlight w:val="none"/>
              </w:rPr>
              <w:t xml:space="preserve">其他需要说明的情况</w:t>
            </w:r>
            <w:r/>
          </w:p>
        </w:tc>
      </w:tr>
    </w:tbl>
    <w:p>
      <w:pPr>
        <w:ind w:firstLine="3120"/>
        <w:spacing w:line="360" w:lineRule="auto"/>
        <w:rPr>
          <w:rFonts w:ascii="宋体" w:hAnsi="宋体" w:cs="宋体"/>
          <w:b/>
          <w:bCs/>
          <w:color w:val="auto"/>
          <w:sz w:val="24"/>
          <w:highlight w:val="none"/>
        </w:rPr>
        <w:outlineLvl w:val="9"/>
      </w:pPr>
      <w:r>
        <w:rPr>
          <w:rFonts w:ascii="宋体" w:hAnsi="宋体" w:cs="宋体"/>
          <w:b/>
          <w:bCs/>
          <w:color w:val="auto"/>
          <w:sz w:val="24"/>
          <w:highlight w:val="none"/>
        </w:rPr>
      </w:r>
      <w:r/>
    </w:p>
    <w:p>
      <w:pPr>
        <w:ind w:firstLine="3600"/>
        <w:spacing w:line="360" w:lineRule="auto"/>
        <w:rPr>
          <w:rFonts w:ascii="宋体" w:hAnsi="宋体" w:cs="宋体"/>
          <w:bCs/>
          <w:color w:val="auto"/>
          <w:szCs w:val="21"/>
          <w:highlight w:val="none"/>
        </w:rPr>
        <w:outlineLvl w:val="9"/>
      </w:pPr>
      <w:r>
        <w:rPr>
          <w:rFonts w:hint="eastAsia" w:ascii="宋体" w:hAnsi="宋体" w:cs="宋体"/>
          <w:b/>
          <w:bCs/>
          <w:color w:val="auto"/>
          <w:sz w:val="24"/>
          <w:highlight w:val="none"/>
        </w:rPr>
        <w:t xml:space="preserve">法定代表人或法定代表人授权代表签字或盖章：</w:t>
      </w:r>
      <w:r/>
    </w:p>
    <w:p>
      <w:pPr>
        <w:ind w:firstLine="240"/>
        <w:spacing w:line="360" w:lineRule="auto"/>
        <w:rPr>
          <w:rFonts w:ascii="宋体" w:hAnsi="宋体" w:cs="宋体"/>
          <w:color w:val="auto"/>
          <w:sz w:val="24"/>
          <w:highlight w:val="none"/>
          <w:lang w:val="zh-CN"/>
        </w:rPr>
      </w:pPr>
      <w:r>
        <w:rPr>
          <w:rFonts w:hint="eastAsia" w:ascii="宋体" w:hAnsi="宋体" w:cs="宋体"/>
          <w:bCs/>
          <w:color w:val="auto"/>
          <w:sz w:val="24"/>
          <w:highlight w:val="none"/>
        </w:rPr>
        <w:t xml:space="preserve">注：请附身份证、相关资格证明</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如有</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扫描件。</w:t>
      </w:r>
      <w:r/>
    </w:p>
    <w:p>
      <w:pPr>
        <w:jc w:val="left"/>
        <w:spacing w:line="460" w:lineRule="exact"/>
        <w:rPr>
          <w:rFonts w:ascii="黑体" w:hAnsi="宋体" w:eastAsia="黑体"/>
          <w:bCs/>
          <w:color w:val="auto"/>
          <w:sz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（十二）投标人基本情况声明</w:t>
      </w:r>
      <w:r/>
    </w:p>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678"/>
        <w:ind w:firstLine="480"/>
        <w:rPr>
          <w:rFonts w:ascii="宋体" w:hAnsi="宋体"/>
          <w:color w:val="auto"/>
          <w:sz w:val="24"/>
          <w:highlight w:val="none"/>
        </w:rPr>
      </w:pPr>
      <w:r>
        <w:rPr>
          <w:rFonts w:hint="eastAsia" w:ascii="宋体" w:hAnsi="宋体"/>
          <w:color w:val="auto"/>
          <w:sz w:val="24"/>
          <w:highlight w:val="none"/>
        </w:rPr>
        <w:t xml:space="preserve">投标人情况表1</w:t>
      </w:r>
      <w:r/>
    </w:p>
    <w:p>
      <w:pPr>
        <w:pStyle w:val="678"/>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6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gridSpan w:val="2"/>
            <w:tcW w:w="2259"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W w:w="2601"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5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gridSpan w:val="2"/>
            <w:tcW w:w="2259"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W w:w="2601"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4"/>
            <w:tcW w:w="6617"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5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W w:w="2110"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c>
          <w:tcPr>
            <w:gridSpan w:val="3"/>
            <w:tcW w:w="4507"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p>
            <w:pPr>
              <w:pStyle w:val="678"/>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中级职称人数、</w:t>
            </w:r>
            <w:r/>
          </w:p>
          <w:p>
            <w:pPr>
              <w:pStyle w:val="678"/>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高级职称人数</w:t>
            </w:r>
            <w:r/>
          </w:p>
        </w:tc>
      </w:tr>
      <w:tr>
        <w:trPr>
          <w:trHeight w:val="566"/>
        </w:trPr>
        <w:tc>
          <w:tcPr>
            <w:tcW w:w="25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2023年12月资产总额</w:t>
            </w:r>
            <w:r/>
          </w:p>
        </w:tc>
        <w:tc>
          <w:tcPr>
            <w:tcW w:w="21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W w:w="2601"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2023年12月股东权益</w:t>
            </w:r>
            <w:r/>
          </w:p>
        </w:tc>
        <w:tc>
          <w:tcPr>
            <w:tcW w:w="21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2023</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W w:w="2601"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2023年实现利润</w:t>
            </w:r>
            <w:r/>
          </w:p>
        </w:tc>
        <w:tc>
          <w:tcPr>
            <w:tcW w:w="21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gridSpan w:val="2"/>
            <w:tcW w:w="1906"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c>
          <w:tcPr>
            <w:tcW w:w="2601"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5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c>
          <w:tcPr>
            <w:tcW w:w="2110"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平方米</w:t>
            </w:r>
            <w:r/>
          </w:p>
        </w:tc>
        <w:tc>
          <w:tcPr>
            <w:gridSpan w:val="2"/>
            <w:tcW w:w="1906"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W w:w="2601"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rHeight w:val="590"/>
        </w:trPr>
        <w:tc>
          <w:tcPr>
            <w:gridSpan w:val="2"/>
            <w:tcW w:w="4620" w:type="dxa"/>
            <w:vAlign w:val="center"/>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W w:w="4507"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r>
      <w:tr>
        <w:trPr>
          <w:trHeight w:val="595"/>
        </w:trPr>
        <w:tc>
          <w:tcPr>
            <w:gridSpan w:val="2"/>
            <w:tcW w:w="4620" w:type="dxa"/>
            <w:vAlign w:val="center"/>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3"/>
            <w:tcW w:w="4507"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W w:w="4620" w:type="dxa"/>
            <w:vAlign w:val="center"/>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W w:w="4507"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W w:w="4620" w:type="dxa"/>
            <w:vAlign w:val="center"/>
            <w:textDirection w:val="lrTb"/>
            <w:noWrap/>
          </w:tcPr>
          <w:p>
            <w:pPr>
              <w:pStyle w:val="678"/>
              <w:ind w:firstLine="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W w:w="4507"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r>
      <w:tr>
        <w:trPr>
          <w:trHeight w:val="965"/>
        </w:trPr>
        <w:tc>
          <w:tcPr>
            <w:gridSpan w:val="2"/>
            <w:tcW w:w="4620" w:type="dxa"/>
            <w:vAlign w:val="center"/>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w:t>
            </w:r>
            <w:r>
              <w:rPr>
                <w:rFonts w:hint="eastAsia" w:ascii="宋体" w:hAnsi="宋体"/>
                <w:color w:val="auto"/>
                <w:sz w:val="24"/>
                <w:highlight w:val="none"/>
                <w:lang w:eastAsia="zh-CN"/>
              </w:rPr>
              <w:t xml:space="preserve">或</w:t>
            </w:r>
            <w:r>
              <w:rPr>
                <w:rFonts w:ascii="宋体" w:hAnsi="宋体"/>
                <w:color w:val="auto"/>
                <w:sz w:val="24"/>
                <w:highlight w:val="none"/>
              </w:rPr>
              <w:t xml:space="preserve">其他原因被投诉或起诉的情况及说明</w:t>
            </w:r>
            <w:r/>
          </w:p>
        </w:tc>
        <w:tc>
          <w:tcPr>
            <w:gridSpan w:val="3"/>
            <w:tcW w:w="4507" w:type="dxa"/>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trHeight w:val="1004"/>
        </w:trPr>
        <w:tc>
          <w:tcPr>
            <w:gridSpan w:val="2"/>
            <w:tcW w:w="4620" w:type="dxa"/>
            <w:vAlign w:val="center"/>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W w:w="450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747"/>
        </w:trPr>
        <w:tc>
          <w:tcPr>
            <w:gridSpan w:val="2"/>
            <w:tcW w:w="4620" w:type="dxa"/>
            <w:vAlign w:val="center"/>
            <w:textDirection w:val="lrTb"/>
            <w:noWrap/>
          </w:tcPr>
          <w:p>
            <w:pPr>
              <w:pStyle w:val="678"/>
              <w:ind w:firstLine="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W w:w="4507" w:type="dxa"/>
            <w:textDirection w:val="lrTb"/>
            <w:noWrap/>
          </w:tcPr>
          <w:p>
            <w:pPr>
              <w:pStyle w:val="678"/>
              <w:ind w:firstLine="0"/>
              <w:spacing w:line="400" w:lineRule="exact"/>
              <w:rPr>
                <w:rFonts w:ascii="宋体" w:hAnsi="宋体"/>
                <w:color w:val="auto"/>
                <w:sz w:val="24"/>
                <w:highlight w:val="none"/>
              </w:rPr>
            </w:pPr>
            <w:r>
              <w:rPr>
                <w:rFonts w:ascii="宋体" w:hAnsi="宋体"/>
                <w:color w:val="auto"/>
                <w:sz w:val="24"/>
                <w:highlight w:val="none"/>
              </w:rPr>
            </w:r>
            <w:r/>
          </w:p>
        </w:tc>
      </w:tr>
    </w:tbl>
    <w:p>
      <w:pPr>
        <w:pStyle w:val="678"/>
        <w:ind w:firstLine="480"/>
        <w:rPr>
          <w:rFonts w:ascii="宋体" w:hAnsi="宋体"/>
          <w:color w:val="auto"/>
          <w:sz w:val="24"/>
          <w:highlight w:val="none"/>
        </w:rPr>
      </w:pPr>
      <w:r>
        <w:rPr>
          <w:rFonts w:hint="eastAsia" w:ascii="宋体" w:hAnsi="宋体"/>
          <w:color w:val="auto"/>
          <w:sz w:val="24"/>
          <w:highlight w:val="none"/>
        </w:rPr>
        <w:t xml:space="preserve">注：本表可以扩展。</w:t>
      </w:r>
      <w:r/>
    </w:p>
    <w:p>
      <w:pPr>
        <w:ind w:firstLine="480"/>
        <w:spacing w:line="360" w:lineRule="auto"/>
        <w:rPr>
          <w:rFonts w:hint="eastAsia" w:ascii="黑体" w:hAnsi="宋体" w:eastAsia="黑体"/>
          <w:bCs/>
          <w:color w:val="auto"/>
          <w:sz w:val="24"/>
          <w:szCs w:val="24"/>
          <w:highlight w:val="none"/>
        </w:rPr>
      </w:pPr>
      <w:r>
        <w:rPr>
          <w:rFonts w:hint="eastAsia" w:ascii="宋体" w:hAnsi="宋体"/>
          <w:color w:val="auto"/>
          <w:sz w:val="24"/>
          <w:highlight w:val="none"/>
        </w:rPr>
        <w:t xml:space="preserve">法定代表人或授权代表签字或盖章：</w:t>
      </w: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（十三）</w:t>
      </w:r>
      <w:r>
        <w:rPr>
          <w:rFonts w:hint="eastAsia" w:eastAsia="黑体"/>
          <w:bCs/>
          <w:color w:val="auto"/>
          <w:sz w:val="24"/>
          <w:szCs w:val="24"/>
          <w:highlight w:val="none"/>
          <w:lang w:eastAsia="zh-CN"/>
        </w:rPr>
        <w:t xml:space="preserve">中标标段优先顺序承诺函（格式）</w:t>
      </w:r>
      <w:r/>
    </w:p>
    <w:p>
      <w:pPr>
        <w:jc w:val="center"/>
        <w:rPr>
          <w:rFonts w:hint="eastAsia" w:ascii="宋体" w:hAnsi="宋体" w:eastAsia="宋体"/>
          <w:color w:val="auto"/>
          <w:sz w:val="28"/>
          <w:szCs w:val="28"/>
          <w:highlight w:val="none"/>
        </w:rPr>
        <w:outlineLvl w:val="9"/>
      </w:pPr>
      <w:r>
        <w:rPr>
          <w:rFonts w:hint="eastAsia" w:ascii="宋体" w:hAnsi="宋体" w:eastAsia="宋体"/>
          <w:color w:val="auto"/>
          <w:sz w:val="28"/>
          <w:szCs w:val="28"/>
          <w:highlight w:val="none"/>
        </w:rPr>
      </w:r>
      <w:r/>
    </w:p>
    <w:p>
      <w:pPr>
        <w:jc w:val="center"/>
        <w:rPr>
          <w:rFonts w:hint="eastAsia" w:ascii="宋体" w:hAnsi="宋体" w:eastAsia="宋体"/>
          <w:b/>
          <w:bCs/>
          <w:color w:val="auto"/>
          <w:sz w:val="28"/>
          <w:szCs w:val="28"/>
          <w:highlight w:val="none"/>
        </w:rPr>
        <w:outlineLvl w:val="9"/>
      </w:pPr>
      <w:r>
        <w:rPr>
          <w:rFonts w:hint="eastAsia" w:ascii="宋体" w:hAnsi="宋体" w:eastAsia="宋体"/>
          <w:b/>
          <w:bCs/>
          <w:color w:val="auto"/>
          <w:sz w:val="28"/>
          <w:szCs w:val="28"/>
          <w:highlight w:val="none"/>
        </w:rPr>
        <w:t xml:space="preserve">中标标段优先顺序承诺函</w:t>
      </w:r>
      <w:r/>
    </w:p>
    <w:p>
      <w:pPr>
        <w:rPr>
          <w:rFonts w:hint="eastAsia" w:ascii="宋体" w:hAnsi="宋体"/>
          <w:color w:val="auto"/>
          <w:sz w:val="24"/>
          <w:highlight w:val="none"/>
        </w:rPr>
      </w:pPr>
      <w:r>
        <w:rPr>
          <w:rFonts w:hint="eastAsia" w:ascii="宋体" w:hAnsi="宋体"/>
          <w:color w:val="auto"/>
          <w:sz w:val="24"/>
          <w:highlight w:val="none"/>
        </w:rPr>
      </w:r>
      <w:r/>
    </w:p>
    <w:p>
      <w:pPr>
        <w:rPr>
          <w:rFonts w:hint="default" w:ascii="宋体" w:hAnsi="宋体"/>
          <w:b/>
          <w:bCs/>
          <w:color w:val="auto"/>
          <w:sz w:val="24"/>
          <w:highlight w:val="none"/>
          <w:u w:val="single"/>
          <w:lang w:val="en-US"/>
        </w:rPr>
      </w:pPr>
      <w:r>
        <w:rPr>
          <w:rFonts w:hint="eastAsia" w:ascii="宋体" w:hAnsi="宋体"/>
          <w:bCs/>
          <w:color w:val="auto"/>
          <w:sz w:val="24"/>
          <w:highlight w:val="none"/>
        </w:rPr>
        <w:t xml:space="preserve">致：</w:t>
      </w:r>
      <w:r>
        <w:rPr>
          <w:rFonts w:hint="eastAsia" w:ascii="宋体" w:hAnsi="宋体"/>
          <w:b/>
          <w:bCs/>
          <w:color w:val="auto"/>
          <w:sz w:val="24"/>
          <w:highlight w:val="none"/>
          <w:u w:val="single"/>
          <w:lang w:val="en-US" w:eastAsia="zh-CN"/>
        </w:rPr>
        <w:t xml:space="preserve">     </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lang w:val="en-US" w:eastAsia="zh-CN"/>
        </w:rPr>
        <w:t xml:space="preserve">采购人</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lang w:val="en-US" w:eastAsia="zh-CN"/>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1、我公司完全理解</w:t>
      </w:r>
      <w:r>
        <w:rPr>
          <w:rFonts w:hint="eastAsia" w:ascii="宋体" w:hAnsi="宋体"/>
          <w:color w:val="auto"/>
          <w:sz w:val="24"/>
          <w:highlight w:val="none"/>
        </w:rPr>
        <w:t xml:space="preserve">本次招标最多可中一个标段的要求。</w:t>
      </w:r>
      <w:r>
        <w:rPr>
          <w:rFonts w:hint="eastAsia" w:ascii="宋体" w:hAnsi="宋体"/>
          <w:bCs/>
          <w:color w:val="auto"/>
          <w:sz w:val="24"/>
          <w:highlight w:val="none"/>
        </w:rPr>
        <w:t xml:space="preserve">将按照投标供应商承诺的中标标段优先顺序确定中标标段，并放弃对这方面有不明或误解的权利。</w:t>
      </w:r>
      <w:r/>
    </w:p>
    <w:p>
      <w:pPr>
        <w:ind w:firstLine="480"/>
        <w:spacing w:line="400" w:lineRule="exact"/>
        <w:widowControl/>
        <w:rPr>
          <w:rFonts w:hint="eastAsia" w:ascii="宋体" w:hAnsi="宋体"/>
          <w:bCs/>
          <w:color w:val="auto"/>
          <w:sz w:val="24"/>
          <w:highlight w:val="none"/>
        </w:rPr>
        <w:outlineLvl w:val="9"/>
      </w:pPr>
      <w:r>
        <w:rPr>
          <w:rFonts w:hint="eastAsia" w:ascii="宋体" w:hAnsi="宋体"/>
          <w:bCs/>
          <w:color w:val="auto"/>
          <w:sz w:val="24"/>
          <w:highlight w:val="none"/>
        </w:rPr>
        <w:t xml:space="preserve">2、如果我公司经评委评审后在多个标段评分排名均为第一名时，我公司愿意按照下表的优先顺序选择排列于前的标段中标，放弃其余标段的中标权。</w:t>
      </w:r>
      <w:r/>
    </w:p>
    <w:p>
      <w:pPr>
        <w:ind w:firstLine="480"/>
        <w:spacing w:line="400" w:lineRule="exact"/>
        <w:widowControl/>
        <w:rPr>
          <w:rFonts w:hint="eastAsia" w:ascii="宋体" w:hAnsi="宋体"/>
          <w:bCs/>
          <w:color w:val="auto"/>
          <w:sz w:val="24"/>
          <w:highlight w:val="none"/>
        </w:rPr>
        <w:outlineLvl w:val="9"/>
      </w:pPr>
      <w:r>
        <w:rPr>
          <w:rFonts w:hint="eastAsia" w:ascii="宋体" w:hAnsi="宋体"/>
          <w:bCs/>
          <w:color w:val="auto"/>
          <w:sz w:val="24"/>
          <w:highlight w:val="none"/>
        </w:rPr>
      </w:r>
      <w:r/>
    </w:p>
    <w:p>
      <w:pPr>
        <w:ind w:firstLine="480"/>
        <w:spacing w:line="400" w:lineRule="exact"/>
        <w:widowControl/>
        <w:rPr>
          <w:rFonts w:hint="eastAsia" w:ascii="宋体" w:hAnsi="宋体"/>
          <w:bCs/>
          <w:color w:val="auto"/>
          <w:sz w:val="24"/>
          <w:highlight w:val="none"/>
        </w:rPr>
        <w:outlineLvl w:val="9"/>
      </w:pPr>
      <w:r>
        <w:rPr>
          <w:rFonts w:hint="eastAsia" w:ascii="宋体" w:hAnsi="宋体"/>
          <w:bCs/>
          <w:color w:val="auto"/>
          <w:sz w:val="24"/>
          <w:highlight w:val="none"/>
        </w:rPr>
      </w:r>
      <w:r/>
    </w:p>
    <w:tbl>
      <w:tblPr>
        <w:tblStyle w:val="6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399"/>
        </w:trPr>
        <w:tc>
          <w:tcPr>
            <w:tcW w:w="3130"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中标优先顺序</w:t>
            </w:r>
            <w:r/>
          </w:p>
        </w:tc>
        <w:tc>
          <w:tcPr>
            <w:tcW w:w="3133"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标段</w:t>
            </w:r>
            <w:r/>
          </w:p>
        </w:tc>
        <w:tc>
          <w:tcPr>
            <w:tcW w:w="3133"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名称及地点</w:t>
            </w:r>
            <w:r/>
          </w:p>
        </w:tc>
      </w:tr>
      <w:tr>
        <w:trPr>
          <w:jc w:val="center"/>
          <w:trHeight w:val="447"/>
        </w:trPr>
        <w:tc>
          <w:tcPr>
            <w:tcW w:w="3130"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1</w:t>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r>
      <w:tr>
        <w:trPr>
          <w:jc w:val="center"/>
          <w:trHeight w:val="454"/>
        </w:trPr>
        <w:tc>
          <w:tcPr>
            <w:tcW w:w="3130"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2</w:t>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r>
    </w:tbl>
    <w:p>
      <w:pPr>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bCs/>
          <w:color w:val="auto"/>
          <w:sz w:val="24"/>
          <w:highlight w:val="none"/>
        </w:rPr>
      </w:pPr>
      <w:r>
        <w:rPr>
          <w:rFonts w:hint="eastAsia" w:ascii="宋体" w:hAnsi="宋体"/>
          <w:bCs/>
          <w:color w:val="auto"/>
          <w:sz w:val="24"/>
          <w:highlight w:val="none"/>
        </w:rPr>
      </w:r>
      <w:r/>
    </w:p>
    <w:p>
      <w:pPr>
        <w:ind w:firstLine="560"/>
        <w:jc w:val="center"/>
        <w:rPr>
          <w:rFonts w:hint="eastAsia" w:ascii="宋体" w:hAnsi="宋体"/>
          <w:bCs/>
          <w:color w:val="auto"/>
          <w:sz w:val="24"/>
          <w:highlight w:val="none"/>
        </w:rPr>
      </w:pPr>
      <w:r>
        <w:rPr>
          <w:rFonts w:hint="eastAsia" w:ascii="宋体" w:hAnsi="宋体"/>
          <w:bCs/>
          <w:color w:val="auto"/>
          <w:sz w:val="24"/>
          <w:highlight w:val="none"/>
        </w:rPr>
        <w:t xml:space="preserve">                                  投标供应商（全称并加盖公章）：</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ind w:firstLine="5520"/>
        <w:rPr>
          <w:rFonts w:hint="eastAsia" w:ascii="黑体" w:hAnsi="宋体" w:eastAsia="黑体"/>
          <w:bCs/>
          <w:color w:val="auto"/>
          <w:sz w:val="24"/>
          <w:szCs w:val="24"/>
          <w:highlight w:val="none"/>
        </w:rPr>
      </w:pPr>
      <w:r>
        <w:rPr>
          <w:rFonts w:hint="eastAsia" w:ascii="宋体" w:hAnsi="宋体"/>
          <w:color w:val="auto"/>
          <w:sz w:val="24"/>
          <w:highlight w:val="none"/>
        </w:rPr>
        <w:t xml:space="preserve">日期：</w:t>
      </w:r>
      <w:r>
        <w:rPr>
          <w:rFonts w:hint="eastAsia" w:ascii="黑体" w:hAnsi="宋体" w:eastAsia="黑体"/>
          <w:bCs/>
          <w:color w:val="auto"/>
          <w:sz w:val="24"/>
          <w:szCs w:val="24"/>
          <w:highlight w:val="none"/>
        </w:rPr>
        <w:br w:type="page" w:clear="all"/>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lang w:val="en-US" w:eastAsia="zh-CN"/>
        </w:rPr>
        <w:t xml:space="preserve">十四</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技术方案（格式自拟）</w:t>
      </w:r>
      <w:r/>
    </w:p>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928"/>
        <w:ind w:firstLine="0"/>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p>
      <w:pPr>
        <w:pStyle w:val="928"/>
        <w:ind w:firstLine="0"/>
        <w:rPr>
          <w:color w:val="auto"/>
          <w:sz w:val="24"/>
          <w:highlight w:val="none"/>
        </w:rPr>
      </w:pPr>
      <w:r>
        <w:rPr>
          <w:color w:val="auto"/>
          <w:sz w:val="24"/>
          <w:highlight w:val="none"/>
        </w:rPr>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spacing w:line="360" w:lineRule="auto"/>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spacing w:line="360" w:lineRule="auto"/>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eastAsia"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ind w:firstLine="482"/>
        <w:spacing w:line="360" w:lineRule="auto"/>
        <w:rPr>
          <w:rFonts w:ascii="宋体" w:hAnsi="宋体"/>
          <w:bCs/>
          <w:color w:val="auto"/>
          <w:sz w:val="24"/>
          <w:szCs w:val="24"/>
          <w:highlight w:val="none"/>
        </w:rPr>
      </w:pPr>
      <w:r>
        <w:rPr>
          <w:rFonts w:hint="eastAsia" w:ascii="宋体" w:hAnsi="宋体" w:cs="Times New Roman"/>
          <w:b/>
          <w:color w:val="auto"/>
          <w:sz w:val="24"/>
          <w:szCs w:val="21"/>
          <w:highlight w:val="none"/>
          <w:lang w:val="en-US" w:eastAsia="zh-CN"/>
        </w:rPr>
        <w:t xml:space="preserve">④</w:t>
      </w:r>
      <w:r>
        <w:rPr>
          <w:rFonts w:hint="eastAsia" w:ascii="宋体" w:hAnsi="宋体" w:eastAsia="宋体" w:cs="Times New Roman"/>
          <w:b/>
          <w:color w:val="auto"/>
          <w:sz w:val="24"/>
          <w:szCs w:val="21"/>
          <w:highlight w:val="none"/>
        </w:rPr>
        <w:t xml:space="preserve">不得有其他体现投标人身份的内容。</w:t>
      </w:r>
      <w:r/>
    </w:p>
    <w:sectPr>
      <w:headerReference w:type="default" r:id="rId9"/>
      <w:headerReference w:type="first" r:id="rId10"/>
      <w:footerReference w:type="default" r:id="rId11"/>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Arial">
    <w:panose1 w:val="020B0604020202020204"/>
  </w:font>
  <w:font w:name="华文细黑">
    <w:panose1 w:val="02010600040101010101"/>
  </w:font>
  <w:font w:name="Cambria">
    <w:panose1 w:val="02040503050406030204"/>
  </w:font>
  <w:font w:name="Courier New">
    <w:panose1 w:val="02070309020205020404"/>
  </w:font>
  <w:font w:name="黑体">
    <w:panose1 w:val="02010609060101010101"/>
  </w:font>
  <w:font w:name="华文中宋">
    <w:panose1 w:val="02010600040101010101"/>
  </w:font>
  <w:font w:name="楷体_GB2312">
    <w:panose1 w:val="0201060906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pPr>
    <w:r>
      <w:rPr>
        <w:rFonts w:hint="eastAsia" w:ascii="宋体" w:hAnsi="宋体"/>
        <w:lang w:eastAsia="zh-CN"/>
      </w:rPr>
      <w:t xml:space="preserve">JSZC-320214-JSZH-G2024-0129</w:t>
    </w:r>
    <w:r>
      <w:rPr>
        <w:rFonts w:hint="eastAsia" w:ascii="宋体" w:hAnsi="宋体"/>
        <w:lang w:val="en-US" w:eastAsia="zh-CN"/>
      </w:rPr>
      <w:t xml:space="preserve">                       </w:t>
    </w:r>
    <w:r>
      <w:rPr>
        <w:rFonts w:hint="eastAsia" w:ascii="宋体" w:hAnsi="宋体"/>
        <w:lang w:eastAsia="zh-CN"/>
      </w:rPr>
      <w:t xml:space="preserve">2024-2026年度江溪街道雨污水管网养护服务项目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pPr>
    <w:r>
      <w:rPr>
        <w:rFonts w:hint="eastAsia" w:ascii="宋体" w:hAnsi="宋体"/>
        <w:lang w:eastAsia="zh-CN"/>
      </w:rPr>
      <w:t xml:space="preserve">JSZC-320214-JSZH-G2024-01292024-2026年度江溪街道雨污水管网养护服务项目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lang w:val="en-US"/>
      </w:rPr>
    </w:lvl>
    <w:lvl w:ilvl="1">
      <w:start w:val="1"/>
      <w:numFmt w:val="decimal"/>
      <w:pStyle w:val="720"/>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2">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5">
    <w:multiLevelType w:val="hybridMultilevel"/>
    <w:lvl w:ilvl="0">
      <w:start w:val="1"/>
      <w:numFmt w:val="bullet"/>
      <w:pStyle w:val="69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upperLetter"/>
      <w:pStyle w:val="67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7"/>
  </w:num>
  <w:num w:numId="2">
    <w:abstractNumId w:val="5"/>
  </w:num>
  <w:num w:numId="3">
    <w:abstractNumId w:val="0"/>
  </w:num>
  <w:num w:numId="4">
    <w:abstractNumId w:val="13"/>
  </w:num>
  <w:num w:numId="5">
    <w:abstractNumId w:val="3"/>
  </w:num>
  <w:num w:numId="6">
    <w:abstractNumId w:val="2"/>
  </w:num>
  <w:num w:numId="7">
    <w:abstractNumId w:val="9"/>
  </w:num>
  <w:num w:numId="8">
    <w:abstractNumId w:val="10"/>
  </w:num>
  <w:num w:numId="9">
    <w:abstractNumId w:val="15"/>
  </w:num>
  <w:num w:numId="10">
    <w:abstractNumId w:val="8"/>
  </w:num>
  <w:num w:numId="11">
    <w:abstractNumId w:val="1"/>
  </w:num>
  <w:num w:numId="12">
    <w:abstractNumId w:val="11"/>
  </w:num>
  <w:num w:numId="13">
    <w:abstractNumId w:val="14"/>
  </w:num>
  <w:num w:numId="14">
    <w:abstractNumId w:val="4"/>
  </w:num>
  <w:num w:numId="15">
    <w:abstractNumId w:val="1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next w:val="678"/>
    <w:uiPriority w:val="0"/>
    <w:qFormat/>
    <w:pPr>
      <w:jc w:val="both"/>
      <w:widowControl w:val="off"/>
    </w:pPr>
    <w:rPr>
      <w:rFonts w:hint="default" w:ascii="Times New Roman" w:hAnsi="Times New Roman" w:eastAsia="宋体" w:cs="Times New Roman"/>
      <w:sz w:val="21"/>
      <w:lang w:val="en-US" w:eastAsia="zh-CN" w:bidi="ar-SA"/>
    </w:rPr>
  </w:style>
  <w:style w:type="paragraph" w:styleId="671">
    <w:name w:val="Heading 1"/>
    <w:basedOn w:val="670"/>
    <w:next w:val="670"/>
    <w:link w:val="898"/>
    <w:uiPriority w:val="99"/>
    <w:qFormat/>
    <w:pPr>
      <w:jc w:val="center"/>
      <w:keepNext/>
      <w:outlineLvl w:val="0"/>
    </w:pPr>
    <w:rPr>
      <w:rFonts w:ascii="楷体_GB2312" w:eastAsia="楷体_GB2312"/>
      <w:b/>
      <w:sz w:val="28"/>
    </w:rPr>
  </w:style>
  <w:style w:type="paragraph" w:styleId="672">
    <w:name w:val="Heading 2"/>
    <w:basedOn w:val="670"/>
    <w:next w:val="670"/>
    <w:link w:val="899"/>
    <w:uiPriority w:val="99"/>
    <w:qFormat/>
    <w:pPr>
      <w:jc w:val="center"/>
      <w:keepNext/>
      <w:outlineLvl w:val="1"/>
    </w:pPr>
    <w:rPr>
      <w:rFonts w:ascii="楷体_GB2312" w:eastAsia="楷体_GB2312"/>
      <w:b/>
      <w:bCs/>
      <w:sz w:val="18"/>
    </w:rPr>
  </w:style>
  <w:style w:type="paragraph" w:styleId="673">
    <w:name w:val="Heading 3"/>
    <w:basedOn w:val="670"/>
    <w:next w:val="670"/>
    <w:link w:val="900"/>
    <w:uiPriority w:val="99"/>
    <w:qFormat/>
    <w:pPr>
      <w:jc w:val="center"/>
      <w:keepNext/>
      <w:outlineLvl w:val="2"/>
    </w:pPr>
    <w:rPr>
      <w:rFonts w:eastAsia="楷体_GB2312"/>
      <w:b/>
      <w:bCs/>
      <w:sz w:val="15"/>
    </w:rPr>
  </w:style>
  <w:style w:type="paragraph" w:styleId="674">
    <w:name w:val="Heading 4"/>
    <w:basedOn w:val="670"/>
    <w:next w:val="670"/>
    <w:link w:val="901"/>
    <w:uiPriority w:val="99"/>
    <w:qFormat/>
    <w:pPr>
      <w:jc w:val="center"/>
      <w:keepNext/>
      <w:outlineLvl w:val="3"/>
    </w:pPr>
    <w:rPr>
      <w:rFonts w:eastAsia="楷体_GB2312"/>
      <w:b/>
      <w:bCs/>
      <w:sz w:val="13"/>
    </w:rPr>
  </w:style>
  <w:style w:type="paragraph" w:styleId="675">
    <w:name w:val="Heading 5"/>
    <w:basedOn w:val="670"/>
    <w:next w:val="670"/>
    <w:link w:val="902"/>
    <w:uiPriority w:val="99"/>
    <w:qFormat/>
    <w:pPr>
      <w:numPr>
        <w:ilvl w:val="0"/>
        <w:numId w:val="1"/>
      </w:numPr>
      <w:keepNext/>
      <w:outlineLvl w:val="4"/>
    </w:pPr>
    <w:rPr>
      <w:rFonts w:ascii="楷体_GB2312" w:eastAsia="楷体_GB2312"/>
      <w:bCs/>
      <w:sz w:val="28"/>
    </w:rPr>
  </w:style>
  <w:style w:type="character" w:styleId="676" w:default="1">
    <w:name w:val="Default Paragraph Font"/>
    <w:uiPriority w:val="1"/>
    <w:qFormat/>
  </w:style>
  <w:style w:type="table" w:styleId="677" w:default="1">
    <w:name w:val="Normal Table"/>
    <w:uiPriority w:val="99"/>
    <w:qFormat/>
    <w:tblPr>
      <w:tblCellMar>
        <w:left w:w="108" w:type="dxa"/>
        <w:top w:w="0" w:type="dxa"/>
        <w:right w:w="108" w:type="dxa"/>
        <w:bottom w:w="0" w:type="dxa"/>
      </w:tblCellMar>
    </w:tblPr>
  </w:style>
  <w:style w:type="paragraph" w:styleId="678">
    <w:name w:val="Normal Indent"/>
    <w:basedOn w:val="670"/>
    <w:link w:val="903"/>
    <w:uiPriority w:val="0"/>
    <w:qFormat/>
    <w:pPr>
      <w:ind w:firstLine="420"/>
    </w:pPr>
    <w:rPr>
      <w:szCs w:val="24"/>
    </w:rPr>
  </w:style>
  <w:style w:type="paragraph" w:styleId="679">
    <w:name w:val="toc 7"/>
    <w:basedOn w:val="670"/>
    <w:next w:val="670"/>
    <w:uiPriority w:val="39"/>
    <w:qFormat/>
    <w:pPr>
      <w:ind w:left="1701"/>
      <w:spacing w:after="57"/>
    </w:pPr>
  </w:style>
  <w:style w:type="paragraph" w:styleId="680">
    <w:name w:val="index 5"/>
    <w:basedOn w:val="670"/>
    <w:next w:val="670"/>
    <w:uiPriority w:val="99"/>
    <w:qFormat/>
    <w:pPr>
      <w:ind w:left="800"/>
    </w:pPr>
  </w:style>
  <w:style w:type="paragraph" w:styleId="681">
    <w:name w:val="Document Map"/>
    <w:basedOn w:val="670"/>
    <w:next w:val="670"/>
    <w:link w:val="904"/>
    <w:uiPriority w:val="99"/>
    <w:qFormat/>
    <w:pPr>
      <w:shd w:val="clear" w:color="auto" w:fill="000080"/>
    </w:pPr>
    <w:rPr>
      <w:sz w:val="20"/>
    </w:rPr>
  </w:style>
  <w:style w:type="paragraph" w:styleId="682">
    <w:name w:val="annotation text"/>
    <w:basedOn w:val="670"/>
    <w:link w:val="905"/>
    <w:uiPriority w:val="0"/>
    <w:qFormat/>
    <w:pPr>
      <w:jc w:val="left"/>
    </w:pPr>
    <w:rPr>
      <w:sz w:val="20"/>
      <w:szCs w:val="24"/>
    </w:rPr>
  </w:style>
  <w:style w:type="paragraph" w:styleId="683">
    <w:name w:val="Body Text"/>
    <w:basedOn w:val="670"/>
    <w:next w:val="670"/>
    <w:link w:val="906"/>
    <w:uiPriority w:val="99"/>
    <w:qFormat/>
    <w:rPr>
      <w:rFonts w:ascii="华文中宋" w:eastAsia="华文中宋"/>
      <w:bCs/>
      <w:sz w:val="28"/>
    </w:rPr>
  </w:style>
  <w:style w:type="paragraph" w:styleId="684">
    <w:name w:val="Body Text Indent"/>
    <w:basedOn w:val="670"/>
    <w:next w:val="670"/>
    <w:link w:val="907"/>
    <w:uiPriority w:val="0"/>
    <w:qFormat/>
    <w:pPr>
      <w:ind w:firstLine="576"/>
    </w:pPr>
    <w:rPr>
      <w:b/>
      <w:sz w:val="30"/>
    </w:rPr>
  </w:style>
  <w:style w:type="paragraph" w:styleId="685">
    <w:name w:val="toc 5"/>
    <w:basedOn w:val="670"/>
    <w:next w:val="670"/>
    <w:uiPriority w:val="39"/>
    <w:qFormat/>
    <w:pPr>
      <w:ind w:left="1134"/>
      <w:spacing w:after="57"/>
    </w:pPr>
  </w:style>
  <w:style w:type="paragraph" w:styleId="686">
    <w:name w:val="toc 3"/>
    <w:basedOn w:val="670"/>
    <w:next w:val="670"/>
    <w:uiPriority w:val="39"/>
    <w:qFormat/>
    <w:pPr>
      <w:ind w:left="567"/>
      <w:spacing w:after="57"/>
    </w:pPr>
  </w:style>
  <w:style w:type="paragraph" w:styleId="687">
    <w:name w:val="Plain Text"/>
    <w:basedOn w:val="670"/>
    <w:link w:val="908"/>
    <w:uiPriority w:val="0"/>
    <w:qFormat/>
    <w:rPr>
      <w:rFonts w:ascii="宋体" w:hAnsi="Courier New"/>
      <w:szCs w:val="21"/>
    </w:rPr>
  </w:style>
  <w:style w:type="paragraph" w:styleId="688">
    <w:name w:val="toc 8"/>
    <w:basedOn w:val="670"/>
    <w:next w:val="670"/>
    <w:uiPriority w:val="39"/>
    <w:qFormat/>
    <w:pPr>
      <w:ind w:left="1984"/>
      <w:spacing w:after="57"/>
    </w:pPr>
  </w:style>
  <w:style w:type="paragraph" w:styleId="689">
    <w:name w:val="Date"/>
    <w:basedOn w:val="670"/>
    <w:next w:val="670"/>
    <w:link w:val="909"/>
    <w:uiPriority w:val="99"/>
    <w:qFormat/>
    <w:rPr>
      <w:rFonts w:eastAsia="黑体"/>
      <w:b/>
      <w:sz w:val="36"/>
    </w:rPr>
  </w:style>
  <w:style w:type="paragraph" w:styleId="690">
    <w:name w:val="Body Text Indent 2"/>
    <w:basedOn w:val="670"/>
    <w:link w:val="910"/>
    <w:uiPriority w:val="99"/>
    <w:qFormat/>
    <w:pPr>
      <w:ind w:left="900"/>
    </w:pPr>
    <w:rPr>
      <w:rFonts w:ascii="楷体_GB2312" w:eastAsia="楷体_GB2312"/>
      <w:b/>
      <w:sz w:val="28"/>
    </w:rPr>
  </w:style>
  <w:style w:type="paragraph" w:styleId="691">
    <w:name w:val="endnote text"/>
    <w:basedOn w:val="670"/>
    <w:link w:val="896"/>
    <w:uiPriority w:val="99"/>
    <w:qFormat/>
    <w:rPr>
      <w:sz w:val="20"/>
    </w:rPr>
  </w:style>
  <w:style w:type="paragraph" w:styleId="692">
    <w:name w:val="Balloon Text"/>
    <w:basedOn w:val="670"/>
    <w:link w:val="911"/>
    <w:uiPriority w:val="99"/>
    <w:qFormat/>
    <w:rPr>
      <w:sz w:val="18"/>
      <w:szCs w:val="18"/>
    </w:rPr>
  </w:style>
  <w:style w:type="paragraph" w:styleId="693">
    <w:name w:val="Footer"/>
    <w:basedOn w:val="670"/>
    <w:link w:val="912"/>
    <w:uiPriority w:val="99"/>
    <w:qFormat/>
    <w:pPr>
      <w:jc w:val="left"/>
      <w:tabs>
        <w:tab w:val="center" w:pos="4153" w:leader="none"/>
        <w:tab w:val="right" w:pos="8306" w:leader="none"/>
      </w:tabs>
    </w:pPr>
    <w:rPr>
      <w:sz w:val="18"/>
      <w:szCs w:val="18"/>
    </w:rPr>
  </w:style>
  <w:style w:type="paragraph" w:styleId="694">
    <w:name w:val="Header"/>
    <w:basedOn w:val="670"/>
    <w:link w:val="913"/>
    <w:uiPriority w:val="0"/>
    <w:qFormat/>
    <w:pPr>
      <w:jc w:val="center"/>
      <w:tabs>
        <w:tab w:val="center" w:pos="4153" w:leader="none"/>
        <w:tab w:val="right" w:pos="8306" w:leader="none"/>
      </w:tabs>
      <w:pBdr>
        <w:bottom w:val="single" w:color="000000" w:sz="6" w:space="1"/>
      </w:pBdr>
    </w:pPr>
    <w:rPr>
      <w:sz w:val="18"/>
      <w:szCs w:val="18"/>
    </w:rPr>
  </w:style>
  <w:style w:type="paragraph" w:styleId="695">
    <w:name w:val="toc 1"/>
    <w:basedOn w:val="670"/>
    <w:next w:val="670"/>
    <w:uiPriority w:val="39"/>
    <w:qFormat/>
    <w:pPr>
      <w:spacing w:after="57"/>
    </w:pPr>
  </w:style>
  <w:style w:type="paragraph" w:styleId="696">
    <w:name w:val="toc 4"/>
    <w:basedOn w:val="670"/>
    <w:next w:val="670"/>
    <w:uiPriority w:val="39"/>
    <w:qFormat/>
    <w:pPr>
      <w:ind w:left="850"/>
      <w:spacing w:after="57"/>
    </w:pPr>
  </w:style>
  <w:style w:type="paragraph" w:styleId="697">
    <w:name w:val="Subtitle"/>
    <w:basedOn w:val="670"/>
    <w:next w:val="670"/>
    <w:link w:val="759"/>
    <w:uiPriority w:val="11"/>
    <w:qFormat/>
    <w:pPr>
      <w:spacing w:before="200" w:after="200"/>
    </w:pPr>
    <w:rPr>
      <w:sz w:val="24"/>
      <w:szCs w:val="24"/>
    </w:rPr>
  </w:style>
  <w:style w:type="paragraph" w:styleId="698">
    <w:name w:val="List"/>
    <w:basedOn w:val="670"/>
    <w:uiPriority w:val="0"/>
    <w:qFormat/>
    <w:pPr>
      <w:numPr>
        <w:ilvl w:val="0"/>
        <w:numId w:val="2"/>
      </w:numPr>
      <w:spacing w:after="20" w:line="288" w:lineRule="auto"/>
    </w:pPr>
    <w:rPr>
      <w:lang w:val="en-GB"/>
    </w:rPr>
  </w:style>
  <w:style w:type="paragraph" w:styleId="699">
    <w:name w:val="footnote text"/>
    <w:basedOn w:val="670"/>
    <w:next w:val="680"/>
    <w:link w:val="914"/>
    <w:uiPriority w:val="0"/>
    <w:qFormat/>
    <w:pPr>
      <w:ind w:firstLine="425"/>
      <w:jc w:val="left"/>
      <w:spacing w:before="120" w:line="360" w:lineRule="auto"/>
    </w:pPr>
    <w:rPr>
      <w:sz w:val="18"/>
    </w:rPr>
  </w:style>
  <w:style w:type="paragraph" w:styleId="700">
    <w:name w:val="toc 6"/>
    <w:basedOn w:val="670"/>
    <w:next w:val="670"/>
    <w:uiPriority w:val="39"/>
    <w:qFormat/>
    <w:pPr>
      <w:ind w:left="1417"/>
      <w:spacing w:after="57"/>
    </w:pPr>
  </w:style>
  <w:style w:type="paragraph" w:styleId="701">
    <w:name w:val="Body Text Indent 3"/>
    <w:basedOn w:val="670"/>
    <w:link w:val="915"/>
    <w:uiPriority w:val="99"/>
    <w:qFormat/>
    <w:pPr>
      <w:ind w:left="359" w:firstLine="359"/>
    </w:pPr>
    <w:rPr>
      <w:sz w:val="20"/>
    </w:rPr>
  </w:style>
  <w:style w:type="paragraph" w:styleId="702">
    <w:name w:val="table of figures"/>
    <w:basedOn w:val="670"/>
    <w:next w:val="670"/>
    <w:uiPriority w:val="99"/>
    <w:qFormat/>
  </w:style>
  <w:style w:type="paragraph" w:styleId="703">
    <w:name w:val="toc 2"/>
    <w:basedOn w:val="670"/>
    <w:next w:val="670"/>
    <w:uiPriority w:val="39"/>
    <w:qFormat/>
    <w:pPr>
      <w:ind w:left="283"/>
      <w:spacing w:after="57"/>
    </w:pPr>
  </w:style>
  <w:style w:type="paragraph" w:styleId="704">
    <w:name w:val="toc 9"/>
    <w:basedOn w:val="670"/>
    <w:next w:val="670"/>
    <w:uiPriority w:val="39"/>
    <w:qFormat/>
    <w:pPr>
      <w:ind w:left="2268"/>
      <w:spacing w:after="57"/>
    </w:pPr>
  </w:style>
  <w:style w:type="paragraph" w:styleId="705">
    <w:name w:val="Body Text 2"/>
    <w:basedOn w:val="670"/>
    <w:link w:val="916"/>
    <w:uiPriority w:val="99"/>
    <w:qFormat/>
    <w:pPr>
      <w:spacing w:after="120" w:line="480" w:lineRule="auto"/>
    </w:pPr>
    <w:rPr>
      <w:sz w:val="20"/>
    </w:rPr>
  </w:style>
  <w:style w:type="paragraph" w:styleId="706">
    <w:name w:val="Normal (Web)"/>
    <w:basedOn w:val="670"/>
    <w:link w:val="917"/>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07">
    <w:name w:val="Title"/>
    <w:basedOn w:val="670"/>
    <w:next w:val="670"/>
    <w:link w:val="758"/>
    <w:uiPriority w:val="10"/>
    <w:qFormat/>
    <w:pPr>
      <w:contextualSpacing/>
      <w:spacing w:before="300" w:after="200"/>
    </w:pPr>
    <w:rPr>
      <w:sz w:val="48"/>
      <w:szCs w:val="48"/>
    </w:rPr>
  </w:style>
  <w:style w:type="paragraph" w:styleId="708">
    <w:name w:val="annotation subject"/>
    <w:basedOn w:val="682"/>
    <w:next w:val="682"/>
    <w:link w:val="918"/>
    <w:uiPriority w:val="0"/>
    <w:qFormat/>
    <w:rPr>
      <w:b/>
      <w:bCs/>
    </w:rPr>
  </w:style>
  <w:style w:type="paragraph" w:styleId="709">
    <w:name w:val="Body Text First Indent"/>
    <w:basedOn w:val="670"/>
    <w:link w:val="919"/>
    <w:uiPriority w:val="99"/>
    <w:qFormat/>
    <w:pPr>
      <w:ind w:firstLine="420"/>
      <w:spacing w:after="120"/>
    </w:pPr>
    <w:rPr>
      <w:rFonts w:eastAsia="华文中宋"/>
    </w:rPr>
  </w:style>
  <w:style w:type="paragraph" w:styleId="710">
    <w:name w:val="Body Text First Indent 2"/>
    <w:basedOn w:val="684"/>
    <w:uiPriority w:val="0"/>
    <w:qFormat/>
    <w:pPr>
      <w:ind w:left="420" w:firstLine="420"/>
      <w:spacing w:after="120"/>
    </w:pPr>
    <w:rPr>
      <w:rFonts w:ascii="Cambria" w:hAnsi="Cambria" w:eastAsia="华文细黑"/>
      <w:sz w:val="21"/>
    </w:rPr>
  </w:style>
  <w:style w:type="table" w:styleId="7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Strong"/>
    <w:uiPriority w:val="99"/>
    <w:qFormat/>
    <w:rPr>
      <w:rFonts w:cs="Times New Roman"/>
      <w:b/>
      <w:bCs/>
    </w:rPr>
  </w:style>
  <w:style w:type="character" w:styleId="713">
    <w:name w:val="endnote reference"/>
    <w:uiPriority w:val="99"/>
    <w:qFormat/>
    <w:rPr>
      <w:vertAlign w:val="superscript"/>
    </w:rPr>
  </w:style>
  <w:style w:type="character" w:styleId="714">
    <w:name w:val="page number"/>
    <w:uiPriority w:val="0"/>
    <w:qFormat/>
    <w:rPr>
      <w:rFonts w:cs="Times New Roman"/>
    </w:rPr>
  </w:style>
  <w:style w:type="character" w:styleId="715">
    <w:name w:val="FollowedHyperlink"/>
    <w:uiPriority w:val="99"/>
    <w:qFormat/>
    <w:rPr>
      <w:rFonts w:cs="Times New Roman"/>
      <w:color w:val="000000"/>
      <w:u w:val="none"/>
    </w:rPr>
  </w:style>
  <w:style w:type="character" w:styleId="716">
    <w:name w:val="HTML Typewriter"/>
    <w:uiPriority w:val="99"/>
    <w:qFormat/>
    <w:rPr>
      <w:rFonts w:ascii="宋体" w:hAnsi="宋体" w:eastAsia="宋体" w:cs="宋体"/>
      <w:sz w:val="24"/>
      <w:szCs w:val="24"/>
    </w:rPr>
  </w:style>
  <w:style w:type="character" w:styleId="717">
    <w:name w:val="Hyperlink"/>
    <w:uiPriority w:val="0"/>
    <w:qFormat/>
    <w:rPr>
      <w:color w:val="000000"/>
      <w:u w:val="none"/>
    </w:rPr>
  </w:style>
  <w:style w:type="character" w:styleId="718">
    <w:name w:val="annotation reference"/>
    <w:uiPriority w:val="0"/>
    <w:qFormat/>
    <w:rPr>
      <w:sz w:val="21"/>
      <w:szCs w:val="21"/>
    </w:rPr>
  </w:style>
  <w:style w:type="character" w:styleId="719">
    <w:name w:val="footnote reference"/>
    <w:uiPriority w:val="99"/>
    <w:qFormat/>
    <w:rPr>
      <w:vertAlign w:val="superscript"/>
    </w:rPr>
  </w:style>
  <w:style w:type="paragraph" w:styleId="720" w:customStyle="1">
    <w:name w:val="标题 21"/>
    <w:basedOn w:val="670"/>
    <w:next w:val="670"/>
    <w:uiPriority w:val="0"/>
    <w:qFormat/>
    <w:pPr>
      <w:numPr>
        <w:ilvl w:val="1"/>
        <w:numId w:val="3"/>
      </w:numPr>
      <w:keepLines/>
      <w:keepNext/>
      <w:spacing w:before="260" w:after="260" w:line="416" w:lineRule="auto"/>
      <w:outlineLvl w:val="1"/>
    </w:pPr>
    <w:rPr>
      <w:rFonts w:ascii="Arial" w:hAnsi="Arial" w:eastAsia="黑体"/>
      <w:b/>
      <w:bCs/>
      <w:sz w:val="32"/>
      <w:szCs w:val="32"/>
    </w:rPr>
  </w:style>
  <w:style w:type="character" w:styleId="721" w:customStyle="1">
    <w:name w:val="Heading 1 Char"/>
    <w:basedOn w:val="676"/>
    <w:uiPriority w:val="9"/>
    <w:qFormat/>
    <w:rPr>
      <w:rFonts w:ascii="Arial" w:hAnsi="Arial" w:eastAsia="Arial" w:cs="Arial"/>
      <w:sz w:val="40"/>
      <w:szCs w:val="40"/>
    </w:rPr>
  </w:style>
  <w:style w:type="character" w:styleId="722" w:customStyle="1">
    <w:name w:val="Heading 2 Char"/>
    <w:basedOn w:val="676"/>
    <w:uiPriority w:val="9"/>
    <w:qFormat/>
    <w:rPr>
      <w:rFonts w:ascii="Arial" w:hAnsi="Arial" w:eastAsia="Arial" w:cs="Arial"/>
      <w:sz w:val="34"/>
    </w:rPr>
  </w:style>
  <w:style w:type="character" w:styleId="723" w:customStyle="1">
    <w:name w:val="Heading 3 Char"/>
    <w:basedOn w:val="676"/>
    <w:uiPriority w:val="9"/>
    <w:qFormat/>
    <w:rPr>
      <w:rFonts w:ascii="Arial" w:hAnsi="Arial" w:eastAsia="Arial" w:cs="Arial"/>
      <w:sz w:val="30"/>
      <w:szCs w:val="30"/>
    </w:rPr>
  </w:style>
  <w:style w:type="character" w:styleId="724" w:customStyle="1">
    <w:name w:val="Heading 4 Char"/>
    <w:basedOn w:val="676"/>
    <w:uiPriority w:val="9"/>
    <w:qFormat/>
    <w:rPr>
      <w:rFonts w:ascii="Arial" w:hAnsi="Arial" w:eastAsia="Arial" w:cs="Arial"/>
      <w:b/>
      <w:bCs/>
      <w:sz w:val="26"/>
      <w:szCs w:val="26"/>
    </w:rPr>
  </w:style>
  <w:style w:type="character" w:styleId="725" w:customStyle="1">
    <w:name w:val="Heading 5 Char"/>
    <w:basedOn w:val="676"/>
    <w:uiPriority w:val="9"/>
    <w:qFormat/>
    <w:rPr>
      <w:rFonts w:ascii="Arial" w:hAnsi="Arial" w:eastAsia="Arial" w:cs="Arial"/>
      <w:b/>
      <w:bCs/>
      <w:sz w:val="24"/>
      <w:szCs w:val="24"/>
    </w:rPr>
  </w:style>
  <w:style w:type="character" w:styleId="726" w:customStyle="1">
    <w:name w:val="Heading 6 Char"/>
    <w:basedOn w:val="676"/>
    <w:uiPriority w:val="9"/>
    <w:qFormat/>
    <w:rPr>
      <w:rFonts w:ascii="Arial" w:hAnsi="Arial" w:eastAsia="Arial" w:cs="Arial"/>
      <w:b/>
      <w:bCs/>
      <w:sz w:val="22"/>
      <w:szCs w:val="22"/>
    </w:rPr>
  </w:style>
  <w:style w:type="character" w:styleId="727" w:customStyle="1">
    <w:name w:val="Heading 7 Char"/>
    <w:basedOn w:val="676"/>
    <w:uiPriority w:val="9"/>
    <w:qFormat/>
    <w:rPr>
      <w:rFonts w:ascii="Arial" w:hAnsi="Arial" w:eastAsia="Arial" w:cs="Arial"/>
      <w:b/>
      <w:bCs/>
      <w:i/>
      <w:iCs/>
      <w:sz w:val="22"/>
      <w:szCs w:val="22"/>
    </w:rPr>
  </w:style>
  <w:style w:type="character" w:styleId="728" w:customStyle="1">
    <w:name w:val="Heading 8 Char"/>
    <w:basedOn w:val="676"/>
    <w:uiPriority w:val="9"/>
    <w:qFormat/>
    <w:rPr>
      <w:rFonts w:ascii="Arial" w:hAnsi="Arial" w:eastAsia="Arial" w:cs="Arial"/>
      <w:i/>
      <w:iCs/>
      <w:sz w:val="22"/>
      <w:szCs w:val="22"/>
    </w:rPr>
  </w:style>
  <w:style w:type="character" w:styleId="729" w:customStyle="1">
    <w:name w:val="Heading 9 Char"/>
    <w:basedOn w:val="676"/>
    <w:uiPriority w:val="9"/>
    <w:qFormat/>
    <w:rPr>
      <w:rFonts w:ascii="Arial" w:hAnsi="Arial" w:eastAsia="Arial" w:cs="Arial"/>
      <w:i/>
      <w:iCs/>
      <w:sz w:val="21"/>
      <w:szCs w:val="21"/>
    </w:rPr>
  </w:style>
  <w:style w:type="character" w:styleId="730" w:customStyle="1">
    <w:name w:val="Title Char"/>
    <w:basedOn w:val="676"/>
    <w:uiPriority w:val="10"/>
    <w:qFormat/>
    <w:rPr>
      <w:sz w:val="48"/>
      <w:szCs w:val="48"/>
    </w:rPr>
  </w:style>
  <w:style w:type="character" w:styleId="731" w:customStyle="1">
    <w:name w:val="Subtitle Char"/>
    <w:basedOn w:val="676"/>
    <w:uiPriority w:val="11"/>
    <w:qFormat/>
    <w:rPr>
      <w:sz w:val="24"/>
      <w:szCs w:val="24"/>
    </w:rPr>
  </w:style>
  <w:style w:type="character" w:styleId="732" w:customStyle="1">
    <w:name w:val="Quote Char"/>
    <w:uiPriority w:val="29"/>
    <w:qFormat/>
    <w:rPr>
      <w:i/>
    </w:rPr>
  </w:style>
  <w:style w:type="character" w:styleId="733" w:customStyle="1">
    <w:name w:val="Intense Quote Char"/>
    <w:uiPriority w:val="30"/>
    <w:qFormat/>
    <w:rPr>
      <w:i/>
    </w:rPr>
  </w:style>
  <w:style w:type="character" w:styleId="734" w:customStyle="1">
    <w:name w:val="Header Char"/>
    <w:basedOn w:val="676"/>
    <w:uiPriority w:val="99"/>
    <w:qFormat/>
  </w:style>
  <w:style w:type="character" w:styleId="735" w:customStyle="1">
    <w:name w:val="Footer Char"/>
    <w:basedOn w:val="676"/>
    <w:uiPriority w:val="99"/>
    <w:qFormat/>
  </w:style>
  <w:style w:type="character" w:styleId="736" w:customStyle="1">
    <w:name w:val="Endnote Text Char"/>
    <w:uiPriority w:val="99"/>
    <w:qFormat/>
    <w:rPr>
      <w:sz w:val="20"/>
    </w:rPr>
  </w:style>
  <w:style w:type="paragraph" w:styleId="737" w:customStyle="1">
    <w:name w:val="TOC Heading"/>
    <w:uiPriority w:val="39"/>
    <w:unhideWhenUsed/>
    <w:qFormat/>
    <w:rPr>
      <w:rFonts w:hint="default" w:ascii="Times New Roman" w:hAnsi="Times New Roman" w:eastAsia="宋体" w:cs="Times New Roman"/>
    </w:rPr>
  </w:style>
  <w:style w:type="paragraph" w:styleId="738" w:customStyle="1">
    <w:name w:val="正文文本1"/>
    <w:basedOn w:val="670"/>
    <w:uiPriority w:val="0"/>
    <w:qFormat/>
    <w:rPr>
      <w:rFonts w:ascii="华文中宋" w:eastAsia="华文中宋"/>
      <w:bCs/>
      <w:sz w:val="28"/>
    </w:rPr>
  </w:style>
  <w:style w:type="paragraph" w:styleId="739" w:customStyle="1">
    <w:name w:val="Heading 1"/>
    <w:basedOn w:val="670"/>
    <w:next w:val="670"/>
    <w:link w:val="740"/>
    <w:uiPriority w:val="9"/>
    <w:qFormat/>
    <w:pPr>
      <w:keepLines/>
      <w:keepNext/>
      <w:spacing w:before="480" w:after="200"/>
      <w:outlineLvl w:val="0"/>
    </w:pPr>
    <w:rPr>
      <w:rFonts w:ascii="Arial" w:hAnsi="Arial" w:eastAsia="Arial" w:cs="Arial"/>
      <w:sz w:val="40"/>
      <w:szCs w:val="40"/>
    </w:rPr>
  </w:style>
  <w:style w:type="character" w:styleId="740" w:customStyle="1">
    <w:name w:val="Heading 1 Char_0d9d6434-8aef-434f-b4cf-07c27d364c24"/>
    <w:link w:val="739"/>
    <w:uiPriority w:val="9"/>
    <w:qFormat/>
    <w:rPr>
      <w:rFonts w:ascii="Arial" w:hAnsi="Arial" w:eastAsia="Arial" w:cs="Arial"/>
      <w:sz w:val="40"/>
      <w:szCs w:val="40"/>
    </w:rPr>
  </w:style>
  <w:style w:type="paragraph" w:styleId="741" w:customStyle="1">
    <w:name w:val="Heading 2"/>
    <w:basedOn w:val="670"/>
    <w:next w:val="670"/>
    <w:link w:val="742"/>
    <w:uiPriority w:val="9"/>
    <w:qFormat/>
    <w:pPr>
      <w:keepLines/>
      <w:keepNext/>
      <w:spacing w:before="360" w:after="200"/>
      <w:outlineLvl w:val="1"/>
    </w:pPr>
    <w:rPr>
      <w:rFonts w:ascii="Arial" w:hAnsi="Arial" w:eastAsia="Arial" w:cs="Arial"/>
      <w:sz w:val="34"/>
    </w:rPr>
  </w:style>
  <w:style w:type="character" w:styleId="742" w:customStyle="1">
    <w:name w:val="Heading 2 Char_23f81bc3-ec57-4402-8e13-eaba3a985afa"/>
    <w:link w:val="741"/>
    <w:uiPriority w:val="9"/>
    <w:qFormat/>
    <w:rPr>
      <w:rFonts w:ascii="Arial" w:hAnsi="Arial" w:eastAsia="Arial" w:cs="Arial"/>
      <w:sz w:val="34"/>
    </w:rPr>
  </w:style>
  <w:style w:type="paragraph" w:styleId="743" w:customStyle="1">
    <w:name w:val="Heading 3"/>
    <w:basedOn w:val="670"/>
    <w:next w:val="670"/>
    <w:link w:val="744"/>
    <w:uiPriority w:val="9"/>
    <w:qFormat/>
    <w:pPr>
      <w:keepLines/>
      <w:keepNext/>
      <w:spacing w:before="320" w:after="200"/>
      <w:outlineLvl w:val="2"/>
    </w:pPr>
    <w:rPr>
      <w:rFonts w:ascii="Arial" w:hAnsi="Arial" w:eastAsia="Arial" w:cs="Arial"/>
      <w:sz w:val="30"/>
      <w:szCs w:val="30"/>
    </w:rPr>
  </w:style>
  <w:style w:type="character" w:styleId="744" w:customStyle="1">
    <w:name w:val="Heading 3 Char_a972020d-e2de-423e-8ccf-32b62e9782f5"/>
    <w:link w:val="743"/>
    <w:uiPriority w:val="9"/>
    <w:qFormat/>
    <w:rPr>
      <w:rFonts w:ascii="Arial" w:hAnsi="Arial" w:eastAsia="Arial" w:cs="Arial"/>
      <w:sz w:val="30"/>
      <w:szCs w:val="30"/>
    </w:rPr>
  </w:style>
  <w:style w:type="paragraph" w:styleId="745" w:customStyle="1">
    <w:name w:val="Heading 4"/>
    <w:basedOn w:val="670"/>
    <w:next w:val="670"/>
    <w:link w:val="746"/>
    <w:uiPriority w:val="9"/>
    <w:qFormat/>
    <w:pPr>
      <w:keepLines/>
      <w:keepNext/>
      <w:spacing w:before="320" w:after="200"/>
      <w:outlineLvl w:val="3"/>
    </w:pPr>
    <w:rPr>
      <w:rFonts w:ascii="Arial" w:hAnsi="Arial" w:eastAsia="Arial" w:cs="Arial"/>
      <w:b/>
      <w:bCs/>
      <w:sz w:val="26"/>
      <w:szCs w:val="26"/>
    </w:rPr>
  </w:style>
  <w:style w:type="character" w:styleId="746" w:customStyle="1">
    <w:name w:val="Heading 4 Char_c737420b-353d-4424-86d3-425d70bb16f0"/>
    <w:link w:val="745"/>
    <w:uiPriority w:val="9"/>
    <w:qFormat/>
    <w:rPr>
      <w:rFonts w:ascii="Arial" w:hAnsi="Arial" w:eastAsia="Arial" w:cs="Arial"/>
      <w:b/>
      <w:bCs/>
      <w:sz w:val="26"/>
      <w:szCs w:val="26"/>
    </w:rPr>
  </w:style>
  <w:style w:type="paragraph" w:styleId="747" w:customStyle="1">
    <w:name w:val="Heading 5"/>
    <w:basedOn w:val="670"/>
    <w:next w:val="670"/>
    <w:link w:val="748"/>
    <w:uiPriority w:val="9"/>
    <w:qFormat/>
    <w:pPr>
      <w:keepLines/>
      <w:keepNext/>
      <w:spacing w:before="320" w:after="200"/>
      <w:outlineLvl w:val="4"/>
    </w:pPr>
    <w:rPr>
      <w:rFonts w:ascii="Arial" w:hAnsi="Arial" w:eastAsia="Arial" w:cs="Arial"/>
      <w:b/>
      <w:bCs/>
      <w:sz w:val="24"/>
      <w:szCs w:val="24"/>
    </w:rPr>
  </w:style>
  <w:style w:type="character" w:styleId="748" w:customStyle="1">
    <w:name w:val="Heading 5 Char_f1483993-90ab-4a83-891e-aa61b1a8567c"/>
    <w:link w:val="747"/>
    <w:uiPriority w:val="9"/>
    <w:qFormat/>
    <w:rPr>
      <w:rFonts w:ascii="Arial" w:hAnsi="Arial" w:eastAsia="Arial" w:cs="Arial"/>
      <w:b/>
      <w:bCs/>
      <w:sz w:val="24"/>
      <w:szCs w:val="24"/>
    </w:rPr>
  </w:style>
  <w:style w:type="paragraph" w:styleId="749" w:customStyle="1">
    <w:name w:val="Heading 6"/>
    <w:basedOn w:val="670"/>
    <w:next w:val="670"/>
    <w:link w:val="750"/>
    <w:uiPriority w:val="9"/>
    <w:qFormat/>
    <w:pPr>
      <w:keepLines/>
      <w:keepNext/>
      <w:spacing w:before="320" w:after="200"/>
      <w:outlineLvl w:val="5"/>
    </w:pPr>
    <w:rPr>
      <w:rFonts w:ascii="Arial" w:hAnsi="Arial" w:eastAsia="Arial" w:cs="Arial"/>
      <w:b/>
      <w:bCs/>
      <w:sz w:val="22"/>
      <w:szCs w:val="22"/>
    </w:rPr>
  </w:style>
  <w:style w:type="character" w:styleId="750" w:customStyle="1">
    <w:name w:val="Heading 6 Char_95307583-6a43-4f74-9f95-be30b6ad72b6"/>
    <w:link w:val="749"/>
    <w:uiPriority w:val="9"/>
    <w:qFormat/>
    <w:rPr>
      <w:rFonts w:ascii="Arial" w:hAnsi="Arial" w:eastAsia="Arial" w:cs="Arial"/>
      <w:b/>
      <w:bCs/>
      <w:sz w:val="22"/>
      <w:szCs w:val="22"/>
    </w:rPr>
  </w:style>
  <w:style w:type="paragraph" w:styleId="751" w:customStyle="1">
    <w:name w:val="Heading 7"/>
    <w:basedOn w:val="670"/>
    <w:next w:val="670"/>
    <w:link w:val="752"/>
    <w:uiPriority w:val="9"/>
    <w:qFormat/>
    <w:pPr>
      <w:keepLines/>
      <w:keepNext/>
      <w:spacing w:before="320" w:after="200"/>
      <w:outlineLvl w:val="6"/>
    </w:pPr>
    <w:rPr>
      <w:rFonts w:ascii="Arial" w:hAnsi="Arial" w:eastAsia="Arial" w:cs="Arial"/>
      <w:b/>
      <w:bCs/>
      <w:i/>
      <w:iCs/>
      <w:sz w:val="22"/>
      <w:szCs w:val="22"/>
    </w:rPr>
  </w:style>
  <w:style w:type="character" w:styleId="752" w:customStyle="1">
    <w:name w:val="Heading 7 Char_f24e9cd0-472e-495e-8828-91abe7bea686"/>
    <w:link w:val="751"/>
    <w:uiPriority w:val="9"/>
    <w:qFormat/>
    <w:rPr>
      <w:rFonts w:ascii="Arial" w:hAnsi="Arial" w:eastAsia="Arial" w:cs="Arial"/>
      <w:b/>
      <w:bCs/>
      <w:i/>
      <w:iCs/>
      <w:sz w:val="22"/>
      <w:szCs w:val="22"/>
    </w:rPr>
  </w:style>
  <w:style w:type="paragraph" w:styleId="753" w:customStyle="1">
    <w:name w:val="Heading 8"/>
    <w:basedOn w:val="670"/>
    <w:next w:val="670"/>
    <w:link w:val="754"/>
    <w:uiPriority w:val="9"/>
    <w:qFormat/>
    <w:pPr>
      <w:keepLines/>
      <w:keepNext/>
      <w:spacing w:before="320" w:after="200"/>
      <w:outlineLvl w:val="7"/>
    </w:pPr>
    <w:rPr>
      <w:rFonts w:ascii="Arial" w:hAnsi="Arial" w:eastAsia="Arial" w:cs="Arial"/>
      <w:i/>
      <w:iCs/>
      <w:sz w:val="22"/>
      <w:szCs w:val="22"/>
    </w:rPr>
  </w:style>
  <w:style w:type="character" w:styleId="754" w:customStyle="1">
    <w:name w:val="Heading 8 Char_949354d7-fea5-452e-b32d-28b774b8e361"/>
    <w:link w:val="753"/>
    <w:uiPriority w:val="9"/>
    <w:qFormat/>
    <w:rPr>
      <w:rFonts w:ascii="Arial" w:hAnsi="Arial" w:eastAsia="Arial" w:cs="Arial"/>
      <w:i/>
      <w:iCs/>
      <w:sz w:val="22"/>
      <w:szCs w:val="22"/>
    </w:rPr>
  </w:style>
  <w:style w:type="paragraph" w:styleId="755" w:customStyle="1">
    <w:name w:val="Heading 9"/>
    <w:basedOn w:val="670"/>
    <w:next w:val="670"/>
    <w:link w:val="756"/>
    <w:uiPriority w:val="9"/>
    <w:qFormat/>
    <w:pPr>
      <w:keepLines/>
      <w:keepNext/>
      <w:spacing w:before="320" w:after="200"/>
      <w:outlineLvl w:val="8"/>
    </w:pPr>
    <w:rPr>
      <w:rFonts w:ascii="Arial" w:hAnsi="Arial" w:eastAsia="Arial" w:cs="Arial"/>
      <w:i/>
      <w:iCs/>
      <w:szCs w:val="21"/>
    </w:rPr>
  </w:style>
  <w:style w:type="character" w:styleId="756" w:customStyle="1">
    <w:name w:val="Heading 9 Char_334f07fe-e714-48c5-92e4-af04d7a4d58e"/>
    <w:link w:val="755"/>
    <w:uiPriority w:val="9"/>
    <w:qFormat/>
    <w:rPr>
      <w:rFonts w:ascii="Arial" w:hAnsi="Arial" w:eastAsia="Arial" w:cs="Arial"/>
      <w:i/>
      <w:iCs/>
      <w:sz w:val="21"/>
      <w:szCs w:val="21"/>
    </w:rPr>
  </w:style>
  <w:style w:type="paragraph" w:styleId="757">
    <w:name w:val="No Spacing"/>
    <w:uiPriority w:val="1"/>
    <w:qFormat/>
    <w:rPr>
      <w:rFonts w:hint="default" w:ascii="Times New Roman" w:hAnsi="Times New Roman" w:eastAsia="宋体" w:cs="Times New Roman"/>
      <w:lang w:val="en-US" w:eastAsia="zh-CN" w:bidi="ar-SA"/>
    </w:rPr>
  </w:style>
  <w:style w:type="character" w:styleId="758" w:customStyle="1">
    <w:name w:val="标题 Char"/>
    <w:link w:val="707"/>
    <w:uiPriority w:val="10"/>
    <w:qFormat/>
    <w:rPr>
      <w:sz w:val="48"/>
      <w:szCs w:val="48"/>
    </w:rPr>
  </w:style>
  <w:style w:type="character" w:styleId="759" w:customStyle="1">
    <w:name w:val="副标题 Char"/>
    <w:link w:val="697"/>
    <w:uiPriority w:val="11"/>
    <w:qFormat/>
    <w:rPr>
      <w:sz w:val="24"/>
      <w:szCs w:val="24"/>
    </w:rPr>
  </w:style>
  <w:style w:type="paragraph" w:styleId="760">
    <w:name w:val="Quote"/>
    <w:basedOn w:val="670"/>
    <w:next w:val="670"/>
    <w:link w:val="761"/>
    <w:uiPriority w:val="29"/>
    <w:qFormat/>
    <w:pPr>
      <w:ind w:left="720" w:right="720"/>
    </w:pPr>
    <w:rPr>
      <w:i/>
    </w:rPr>
  </w:style>
  <w:style w:type="character" w:styleId="761" w:customStyle="1">
    <w:name w:val="引用 Char"/>
    <w:link w:val="760"/>
    <w:uiPriority w:val="29"/>
    <w:qFormat/>
    <w:rPr>
      <w:i/>
    </w:rPr>
  </w:style>
  <w:style w:type="paragraph" w:styleId="762">
    <w:name w:val="Intense Quote"/>
    <w:basedOn w:val="670"/>
    <w:next w:val="670"/>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明显引用 Char"/>
    <w:link w:val="762"/>
    <w:uiPriority w:val="30"/>
    <w:qFormat/>
    <w:rPr>
      <w:i/>
    </w:rPr>
  </w:style>
  <w:style w:type="paragraph" w:styleId="764" w:customStyle="1">
    <w:name w:val="Header"/>
    <w:basedOn w:val="670"/>
    <w:link w:val="765"/>
    <w:uiPriority w:val="99"/>
    <w:qFormat/>
    <w:pPr>
      <w:tabs>
        <w:tab w:val="center" w:pos="7143" w:leader="none"/>
        <w:tab w:val="right" w:pos="14287" w:leader="none"/>
      </w:tabs>
    </w:pPr>
  </w:style>
  <w:style w:type="character" w:styleId="765" w:customStyle="1">
    <w:name w:val="Header Char_0b364515-3a76-4734-91ae-7a75fdd67d1d"/>
    <w:link w:val="764"/>
    <w:uiPriority w:val="99"/>
    <w:qFormat/>
  </w:style>
  <w:style w:type="paragraph" w:styleId="766" w:customStyle="1">
    <w:name w:val="Footer"/>
    <w:basedOn w:val="670"/>
    <w:link w:val="769"/>
    <w:uiPriority w:val="99"/>
    <w:qFormat/>
    <w:pPr>
      <w:tabs>
        <w:tab w:val="center" w:pos="7143" w:leader="none"/>
        <w:tab w:val="right" w:pos="14287" w:leader="none"/>
      </w:tabs>
    </w:pPr>
  </w:style>
  <w:style w:type="character" w:styleId="767" w:customStyle="1">
    <w:name w:val="Footer Char_7e8afb0f-436d-41ae-8f0b-04c613e42983"/>
    <w:link w:val="766"/>
    <w:uiPriority w:val="99"/>
    <w:qFormat/>
  </w:style>
  <w:style w:type="paragraph" w:styleId="768" w:customStyle="1">
    <w:name w:val="Caption"/>
    <w:basedOn w:val="670"/>
    <w:next w:val="670"/>
    <w:uiPriority w:val="35"/>
    <w:qFormat/>
    <w:pPr>
      <w:spacing w:line="276" w:lineRule="auto"/>
    </w:pPr>
    <w:rPr>
      <w:b/>
      <w:bCs/>
      <w:color w:val="4f81bd"/>
      <w:sz w:val="18"/>
      <w:szCs w:val="18"/>
    </w:rPr>
  </w:style>
  <w:style w:type="character" w:styleId="769" w:customStyle="1">
    <w:name w:val="Caption Char"/>
    <w:link w:val="766"/>
    <w:uiPriority w:val="99"/>
    <w:qFormat/>
  </w:style>
  <w:style w:type="table" w:styleId="770"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71"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77"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78"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7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78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81"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8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783"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8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78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786"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78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78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78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790"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9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799"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0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0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0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0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0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0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0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0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0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0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1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11"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1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1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14"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1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1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1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18"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1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25"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27"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28"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2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3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31"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32"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3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34"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3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3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3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3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3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41"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4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4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4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4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4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48"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4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5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5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5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53"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5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5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56"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5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5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5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60"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6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62"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63"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6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6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6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67"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6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69"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7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7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7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7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81"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82"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83"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84"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8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8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8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88"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889"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90"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89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89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893"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89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895" w:customStyle="1">
    <w:name w:val="Footnote Text Char"/>
    <w:link w:val="699"/>
    <w:uiPriority w:val="99"/>
    <w:qFormat/>
    <w:rPr>
      <w:sz w:val="18"/>
    </w:rPr>
  </w:style>
  <w:style w:type="character" w:styleId="896" w:customStyle="1">
    <w:name w:val="尾注文本 Char"/>
    <w:link w:val="691"/>
    <w:uiPriority w:val="99"/>
    <w:qFormat/>
    <w:rPr>
      <w:sz w:val="20"/>
    </w:rPr>
  </w:style>
  <w:style w:type="paragraph" w:styleId="897" w:customStyle="1">
    <w:name w:val="TOC 标题1"/>
    <w:uiPriority w:val="39"/>
    <w:qFormat/>
    <w:rPr>
      <w:rFonts w:hint="default" w:ascii="Times New Roman" w:hAnsi="Times New Roman" w:eastAsia="宋体" w:cs="Times New Roman"/>
      <w:lang w:val="en-US" w:eastAsia="zh-CN" w:bidi="ar-SA"/>
    </w:rPr>
  </w:style>
  <w:style w:type="character" w:styleId="898" w:customStyle="1">
    <w:name w:val="标题 1 Char"/>
    <w:link w:val="671"/>
    <w:uiPriority w:val="99"/>
    <w:qFormat/>
    <w:rPr>
      <w:rFonts w:ascii="楷体_GB2312" w:hAnsi="Times New Roman" w:eastAsia="楷体_GB2312" w:cs="Times New Roman"/>
      <w:b/>
      <w:sz w:val="28"/>
      <w:szCs w:val="20"/>
    </w:rPr>
  </w:style>
  <w:style w:type="character" w:styleId="899" w:customStyle="1">
    <w:name w:val="标题 2 Char"/>
    <w:link w:val="672"/>
    <w:uiPriority w:val="99"/>
    <w:qFormat/>
    <w:rPr>
      <w:rFonts w:ascii="楷体_GB2312" w:hAnsi="Times New Roman" w:eastAsia="楷体_GB2312" w:cs="Times New Roman"/>
      <w:b/>
      <w:bCs/>
      <w:sz w:val="18"/>
      <w:szCs w:val="20"/>
    </w:rPr>
  </w:style>
  <w:style w:type="character" w:styleId="900" w:customStyle="1">
    <w:name w:val="标题 3 Char"/>
    <w:link w:val="673"/>
    <w:uiPriority w:val="99"/>
    <w:qFormat/>
    <w:rPr>
      <w:rFonts w:ascii="Times New Roman" w:hAnsi="Times New Roman" w:eastAsia="楷体_GB2312" w:cs="Times New Roman"/>
      <w:b/>
      <w:bCs/>
      <w:sz w:val="15"/>
      <w:szCs w:val="20"/>
    </w:rPr>
  </w:style>
  <w:style w:type="character" w:styleId="901" w:customStyle="1">
    <w:name w:val="标题 4 Char"/>
    <w:link w:val="674"/>
    <w:uiPriority w:val="99"/>
    <w:qFormat/>
    <w:rPr>
      <w:rFonts w:ascii="Times New Roman" w:hAnsi="Times New Roman" w:eastAsia="楷体_GB2312" w:cs="Times New Roman"/>
      <w:b/>
      <w:bCs/>
      <w:sz w:val="13"/>
      <w:szCs w:val="20"/>
    </w:rPr>
  </w:style>
  <w:style w:type="character" w:styleId="902" w:customStyle="1">
    <w:name w:val="标题 5 Char"/>
    <w:link w:val="675"/>
    <w:uiPriority w:val="99"/>
    <w:qFormat/>
    <w:rPr>
      <w:rFonts w:ascii="楷体_GB2312" w:hAnsi="Times New Roman" w:eastAsia="楷体_GB2312" w:cs="Times New Roman"/>
      <w:bCs/>
      <w:sz w:val="28"/>
      <w:szCs w:val="20"/>
    </w:rPr>
  </w:style>
  <w:style w:type="character" w:styleId="903" w:customStyle="1">
    <w:name w:val="正文缩进 Char"/>
    <w:link w:val="678"/>
    <w:uiPriority w:val="0"/>
    <w:qFormat/>
    <w:rPr>
      <w:rFonts w:ascii="Times New Roman" w:hAnsi="Times New Roman"/>
      <w:sz w:val="21"/>
      <w:szCs w:val="24"/>
    </w:rPr>
  </w:style>
  <w:style w:type="character" w:styleId="904" w:customStyle="1">
    <w:name w:val="文档结构图 Char"/>
    <w:link w:val="681"/>
    <w:uiPriority w:val="99"/>
    <w:qFormat/>
    <w:rPr>
      <w:rFonts w:ascii="Times New Roman" w:hAnsi="Times New Roman" w:eastAsia="宋体" w:cs="Times New Roman"/>
      <w:szCs w:val="20"/>
      <w:shd w:val="clear" w:color="auto" w:fill="000080"/>
    </w:rPr>
  </w:style>
  <w:style w:type="character" w:styleId="905" w:customStyle="1">
    <w:name w:val="批注文字 Char"/>
    <w:link w:val="682"/>
    <w:uiPriority w:val="0"/>
    <w:qFormat/>
    <w:rPr>
      <w:rFonts w:ascii="Times New Roman" w:hAnsi="Times New Roman" w:eastAsia="宋体" w:cs="Times New Roman"/>
      <w:szCs w:val="24"/>
    </w:rPr>
  </w:style>
  <w:style w:type="character" w:styleId="906" w:customStyle="1">
    <w:name w:val="正文文本 Char"/>
    <w:link w:val="683"/>
    <w:uiPriority w:val="99"/>
    <w:qFormat/>
    <w:rPr>
      <w:rFonts w:ascii="华文中宋" w:hAnsi="Times New Roman" w:eastAsia="华文中宋" w:cs="Times New Roman"/>
      <w:bCs/>
      <w:sz w:val="28"/>
      <w:szCs w:val="20"/>
    </w:rPr>
  </w:style>
  <w:style w:type="character" w:styleId="907" w:customStyle="1">
    <w:name w:val="正文文本缩进 Char"/>
    <w:link w:val="684"/>
    <w:uiPriority w:val="0"/>
    <w:qFormat/>
    <w:rPr>
      <w:rFonts w:ascii="Times New Roman" w:hAnsi="Times New Roman" w:eastAsia="宋体" w:cs="Times New Roman"/>
      <w:b/>
      <w:sz w:val="30"/>
      <w:szCs w:val="20"/>
    </w:rPr>
  </w:style>
  <w:style w:type="character" w:styleId="908" w:customStyle="1">
    <w:name w:val="纯文本 Char"/>
    <w:link w:val="687"/>
    <w:uiPriority w:val="0"/>
    <w:qFormat/>
    <w:rPr>
      <w:rFonts w:ascii="宋体" w:hAnsi="Courier New"/>
      <w:sz w:val="21"/>
      <w:szCs w:val="21"/>
    </w:rPr>
  </w:style>
  <w:style w:type="character" w:styleId="909" w:customStyle="1">
    <w:name w:val="日期 Char"/>
    <w:link w:val="689"/>
    <w:uiPriority w:val="99"/>
    <w:qFormat/>
    <w:rPr>
      <w:rFonts w:ascii="Times New Roman" w:hAnsi="Times New Roman" w:eastAsia="黑体" w:cs="Times New Roman"/>
      <w:b/>
      <w:sz w:val="36"/>
      <w:szCs w:val="20"/>
    </w:rPr>
  </w:style>
  <w:style w:type="character" w:styleId="910" w:customStyle="1">
    <w:name w:val="正文文本缩进 2 Char"/>
    <w:link w:val="690"/>
    <w:uiPriority w:val="99"/>
    <w:qFormat/>
    <w:rPr>
      <w:rFonts w:ascii="楷体_GB2312" w:hAnsi="Times New Roman" w:eastAsia="楷体_GB2312" w:cs="Times New Roman"/>
      <w:b/>
      <w:sz w:val="28"/>
      <w:szCs w:val="20"/>
    </w:rPr>
  </w:style>
  <w:style w:type="character" w:styleId="911" w:customStyle="1">
    <w:name w:val="批注框文本 Char"/>
    <w:link w:val="692"/>
    <w:uiPriority w:val="99"/>
    <w:qFormat/>
    <w:rPr>
      <w:rFonts w:ascii="Times New Roman" w:hAnsi="Times New Roman" w:eastAsia="宋体" w:cs="Times New Roman"/>
      <w:sz w:val="18"/>
      <w:szCs w:val="18"/>
    </w:rPr>
  </w:style>
  <w:style w:type="character" w:styleId="912" w:customStyle="1">
    <w:name w:val="页脚 Char"/>
    <w:link w:val="693"/>
    <w:uiPriority w:val="99"/>
    <w:qFormat/>
    <w:rPr>
      <w:sz w:val="18"/>
      <w:szCs w:val="18"/>
    </w:rPr>
  </w:style>
  <w:style w:type="character" w:styleId="913" w:customStyle="1">
    <w:name w:val="页眉 Char"/>
    <w:link w:val="694"/>
    <w:uiPriority w:val="0"/>
    <w:qFormat/>
    <w:rPr>
      <w:sz w:val="18"/>
      <w:szCs w:val="18"/>
    </w:rPr>
  </w:style>
  <w:style w:type="character" w:styleId="914" w:customStyle="1">
    <w:name w:val="脚注文本 Char"/>
    <w:link w:val="699"/>
    <w:uiPriority w:val="0"/>
    <w:qFormat/>
    <w:rPr>
      <w:rFonts w:ascii="Times New Roman" w:hAnsi="Times New Roman"/>
      <w:sz w:val="18"/>
    </w:rPr>
  </w:style>
  <w:style w:type="character" w:styleId="915" w:customStyle="1">
    <w:name w:val="正文文本缩进 3 Char"/>
    <w:link w:val="701"/>
    <w:uiPriority w:val="99"/>
    <w:qFormat/>
    <w:rPr>
      <w:rFonts w:ascii="Times New Roman" w:hAnsi="Times New Roman" w:eastAsia="宋体" w:cs="Times New Roman"/>
      <w:szCs w:val="20"/>
    </w:rPr>
  </w:style>
  <w:style w:type="character" w:styleId="916" w:customStyle="1">
    <w:name w:val="正文文本 2 Char"/>
    <w:link w:val="705"/>
    <w:uiPriority w:val="99"/>
    <w:qFormat/>
    <w:rPr>
      <w:rFonts w:ascii="Times New Roman" w:hAnsi="Times New Roman" w:eastAsia="宋体" w:cs="Times New Roman"/>
      <w:szCs w:val="20"/>
    </w:rPr>
  </w:style>
  <w:style w:type="character" w:styleId="917" w:customStyle="1">
    <w:name w:val="普通(网站) Char"/>
    <w:link w:val="706"/>
    <w:uiPriority w:val="0"/>
    <w:qFormat/>
    <w:rPr>
      <w:rFonts w:ascii="宋体" w:hAnsi="宋体"/>
      <w:sz w:val="24"/>
      <w:szCs w:val="24"/>
    </w:rPr>
  </w:style>
  <w:style w:type="character" w:styleId="918" w:customStyle="1">
    <w:name w:val="批注主题 Char"/>
    <w:link w:val="708"/>
    <w:uiPriority w:val="0"/>
    <w:qFormat/>
    <w:rPr>
      <w:rFonts w:ascii="Times New Roman" w:hAnsi="Times New Roman" w:eastAsia="宋体" w:cs="Times New Roman"/>
      <w:b/>
      <w:bCs/>
      <w:szCs w:val="24"/>
    </w:rPr>
  </w:style>
  <w:style w:type="character" w:styleId="919" w:customStyle="1">
    <w:name w:val="正文首行缩进 Char"/>
    <w:link w:val="709"/>
    <w:uiPriority w:val="99"/>
    <w:qFormat/>
    <w:rPr>
      <w:rFonts w:ascii="Times New Roman" w:hAnsi="Times New Roman" w:eastAsia="华文中宋" w:cs="Times New Roman"/>
      <w:sz w:val="21"/>
      <w:szCs w:val="20"/>
    </w:rPr>
  </w:style>
  <w:style w:type="character" w:styleId="920" w:customStyle="1">
    <w:name w:val="批注框文本 Char1"/>
    <w:uiPriority w:val="99"/>
    <w:qFormat/>
    <w:rPr>
      <w:rFonts w:ascii="Times New Roman" w:hAnsi="Times New Roman" w:eastAsia="宋体" w:cs="Times New Roman"/>
      <w:sz w:val="18"/>
      <w:szCs w:val="18"/>
    </w:rPr>
  </w:style>
  <w:style w:type="character" w:styleId="921" w:customStyle="1">
    <w:name w:val="正文文本 2 Char1"/>
    <w:uiPriority w:val="99"/>
    <w:qFormat/>
    <w:rPr>
      <w:rFonts w:ascii="Times New Roman" w:hAnsi="Times New Roman" w:eastAsia="宋体" w:cs="Times New Roman"/>
      <w:szCs w:val="20"/>
    </w:rPr>
  </w:style>
  <w:style w:type="character" w:styleId="922" w:customStyle="1">
    <w:name w:val="文档结构图 Char1"/>
    <w:uiPriority w:val="99"/>
    <w:qFormat/>
    <w:rPr>
      <w:rFonts w:ascii="宋体" w:hAnsi="Times New Roman" w:eastAsia="宋体" w:cs="Times New Roman"/>
      <w:sz w:val="18"/>
      <w:szCs w:val="18"/>
    </w:rPr>
  </w:style>
  <w:style w:type="character" w:styleId="923" w:customStyle="1">
    <w:name w:val="正文文本缩进 Char1"/>
    <w:uiPriority w:val="99"/>
    <w:qFormat/>
    <w:rPr>
      <w:rFonts w:ascii="Times New Roman" w:hAnsi="Times New Roman" w:eastAsia="宋体" w:cs="Times New Roman"/>
      <w:szCs w:val="20"/>
    </w:rPr>
  </w:style>
  <w:style w:type="character" w:styleId="924" w:customStyle="1">
    <w:name w:val="15"/>
    <w:uiPriority w:val="0"/>
    <w:qFormat/>
    <w:rPr>
      <w:rFonts w:ascii="Times New Roman" w:hAnsi="Times New Roman" w:cs="Times New Roman"/>
    </w:rPr>
  </w:style>
  <w:style w:type="character" w:styleId="925" w:customStyle="1">
    <w:name w:val="正文文本缩进 2 Char1"/>
    <w:uiPriority w:val="99"/>
    <w:qFormat/>
    <w:rPr>
      <w:rFonts w:ascii="Times New Roman" w:hAnsi="Times New Roman" w:eastAsia="宋体" w:cs="Times New Roman"/>
      <w:szCs w:val="20"/>
    </w:rPr>
  </w:style>
  <w:style w:type="character" w:styleId="926" w:customStyle="1">
    <w:name w:val="日期 Char1"/>
    <w:uiPriority w:val="99"/>
    <w:qFormat/>
    <w:rPr>
      <w:rFonts w:ascii="Times New Roman" w:hAnsi="Times New Roman" w:eastAsia="宋体" w:cs="Times New Roman"/>
      <w:szCs w:val="20"/>
    </w:rPr>
  </w:style>
  <w:style w:type="character" w:styleId="927" w:customStyle="1">
    <w:name w:val="正文文本缩进 3 Char1"/>
    <w:uiPriority w:val="99"/>
    <w:qFormat/>
    <w:rPr>
      <w:rFonts w:ascii="Times New Roman" w:hAnsi="Times New Roman" w:eastAsia="宋体" w:cs="Times New Roman"/>
      <w:sz w:val="16"/>
      <w:szCs w:val="16"/>
    </w:rPr>
  </w:style>
  <w:style w:type="paragraph" w:styleId="928">
    <w:name w:val="List Paragraph"/>
    <w:basedOn w:val="670"/>
    <w:uiPriority w:val="0"/>
    <w:qFormat/>
    <w:pPr>
      <w:ind w:firstLine="420"/>
    </w:pPr>
    <w:rPr>
      <w:szCs w:val="21"/>
    </w:rPr>
  </w:style>
  <w:style w:type="paragraph" w:styleId="929" w:customStyle="1">
    <w:name w:val="普通文字"/>
    <w:basedOn w:val="670"/>
    <w:next w:val="670"/>
    <w:uiPriority w:val="0"/>
    <w:qFormat/>
    <w:rPr>
      <w:rFonts w:ascii="宋体"/>
      <w:sz w:val="24"/>
    </w:rPr>
  </w:style>
  <w:style w:type="paragraph" w:styleId="930" w:customStyle="1">
    <w:name w:val="样式 小四 段前: 5 磅 段后: 5 磅 首行缩进:  2 字符"/>
    <w:basedOn w:val="670"/>
    <w:uiPriority w:val="0"/>
    <w:qFormat/>
    <w:pPr>
      <w:jc w:val="center"/>
      <w:spacing w:line="360" w:lineRule="auto"/>
    </w:pPr>
    <w:rPr>
      <w:rFonts w:ascii="宋体" w:hAnsi="宋体"/>
      <w:bCs/>
      <w:color w:val="ff0000"/>
      <w:sz w:val="24"/>
      <w:szCs w:val="24"/>
    </w:rPr>
  </w:style>
  <w:style w:type="paragraph" w:styleId="931" w:customStyle="1">
    <w:name w:val="列出段落1"/>
    <w:basedOn w:val="670"/>
    <w:uiPriority w:val="0"/>
    <w:qFormat/>
    <w:pPr>
      <w:ind w:firstLine="420"/>
    </w:pPr>
    <w:rPr>
      <w:szCs w:val="24"/>
    </w:rPr>
  </w:style>
  <w:style w:type="paragraph" w:styleId="932" w:customStyle="1">
    <w:name w:val="段"/>
    <w:next w:val="670"/>
    <w:uiPriority w:val="0"/>
    <w:qFormat/>
    <w:pPr>
      <w:ind w:firstLine="200"/>
      <w:jc w:val="both"/>
    </w:pPr>
    <w:rPr>
      <w:rFonts w:hint="default" w:ascii="宋体" w:hAnsi="Times New Roman" w:eastAsia="宋体" w:cs="Times New Roman"/>
      <w:sz w:val="21"/>
      <w:lang w:val="en-US" w:eastAsia="zh-CN" w:bidi="ar-SA"/>
    </w:rPr>
  </w:style>
  <w:style w:type="paragraph" w:styleId="93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34"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35" w:customStyle="1">
    <w:name w:val="Other|1"/>
    <w:basedOn w:val="670"/>
    <w:uiPriority w:val="0"/>
    <w:qFormat/>
    <w:pPr>
      <w:ind w:firstLine="220"/>
    </w:pPr>
    <w:rPr>
      <w:rFonts w:ascii="宋体" w:hAnsi="宋体" w:cs="宋体"/>
      <w:sz w:val="20"/>
      <w:lang w:val="zh-TW" w:eastAsia="zh-TW" w:bidi="zh-TW"/>
    </w:rPr>
  </w:style>
  <w:style w:type="character" w:styleId="936" w:customStyle="1">
    <w:name w:val="font11"/>
    <w:uiPriority w:val="0"/>
    <w:qFormat/>
    <w:rPr>
      <w:rFonts w:hint="eastAsia" w:ascii="宋体" w:hAnsi="宋体" w:eastAsia="宋体" w:cs="宋体"/>
      <w:color w:val="333333"/>
      <w:sz w:val="20"/>
      <w:szCs w:val="20"/>
      <w:u w:val="none"/>
    </w:rPr>
  </w:style>
  <w:style w:type="paragraph" w:styleId="937" w:customStyle="1">
    <w:name w:val="纯文本1"/>
    <w:basedOn w:val="670"/>
    <w:uiPriority w:val="0"/>
    <w:qFormat/>
    <w:rPr>
      <w:rFonts w:ascii="宋体" w:hAnsi="Courier New" w:eastAsia="楷体_GB2312"/>
      <w:sz w:val="26"/>
    </w:rPr>
  </w:style>
  <w:style w:type="character" w:styleId="938" w:customStyle="1">
    <w:name w:val="font21"/>
    <w:uiPriority w:val="0"/>
    <w:qFormat/>
    <w:rPr>
      <w:rFonts w:hint="eastAsia" w:ascii="宋体" w:hAnsi="宋体" w:eastAsia="宋体" w:cs="宋体"/>
      <w:color w:val="000000"/>
      <w:sz w:val="20"/>
      <w:szCs w:val="20"/>
      <w:u w:val="none"/>
    </w:rPr>
  </w:style>
  <w:style w:type="character" w:styleId="939" w:customStyle="1">
    <w:name w:val="font01"/>
    <w:uiPriority w:val="0"/>
    <w:qFormat/>
    <w:rPr>
      <w:rFonts w:ascii="Tahoma" w:hAnsi="Tahoma" w:eastAsia="Tahoma" w:cs="Tahoma"/>
      <w:color w:val="333333"/>
      <w:sz w:val="20"/>
      <w:szCs w:val="20"/>
      <w:u w:val="none"/>
    </w:rPr>
  </w:style>
  <w:style w:type="paragraph" w:styleId="940" w:customStyle="1">
    <w:name w:val="列出段落2"/>
    <w:basedOn w:val="670"/>
    <w:uiPriority w:val="34"/>
    <w:qFormat/>
    <w:pPr>
      <w:ind w:firstLine="420"/>
    </w:pPr>
  </w:style>
  <w:style w:type="paragraph" w:styleId="941" w:customStyle="1">
    <w:name w:val="正文文本2"/>
    <w:basedOn w:val="670"/>
    <w:next w:val="942"/>
    <w:uiPriority w:val="0"/>
    <w:qFormat/>
    <w:rPr>
      <w:rFonts w:ascii="华文中宋" w:eastAsia="华文中宋"/>
      <w:bCs/>
      <w:sz w:val="28"/>
    </w:rPr>
  </w:style>
  <w:style w:type="paragraph" w:styleId="942" w:customStyle="1">
    <w:name w:val="列表项目符号 51"/>
    <w:basedOn w:val="670"/>
    <w:uiPriority w:val="0"/>
    <w:qFormat/>
    <w:pPr>
      <w:ind w:left="2040" w:hanging="360"/>
      <w:spacing w:line="360" w:lineRule="exact"/>
      <w:widowControl/>
      <w:tabs>
        <w:tab w:val="left" w:pos="2040" w:leader="none"/>
      </w:tabs>
    </w:pPr>
    <w:rPr>
      <w:rFonts w:eastAsia="楷体_GB2312"/>
      <w:sz w:val="24"/>
    </w:rPr>
  </w:style>
  <w:style w:type="paragraph" w:styleId="943" w:customStyle="1">
    <w:name w:val="页脚1"/>
    <w:basedOn w:val="670"/>
    <w:next w:val="670"/>
    <w:uiPriority w:val="99"/>
    <w:qFormat/>
    <w:pPr>
      <w:jc w:val="left"/>
      <w:tabs>
        <w:tab w:val="center" w:pos="4153" w:leader="none"/>
        <w:tab w:val="right" w:pos="8306" w:leader="none"/>
      </w:tabs>
    </w:pPr>
    <w:rPr>
      <w:sz w:val="18"/>
      <w:szCs w:val="18"/>
    </w:rPr>
  </w:style>
  <w:style w:type="character" w:styleId="944" w:customStyle="1">
    <w:name w:val="font51"/>
    <w:basedOn w:val="676"/>
    <w:uiPriority w:val="0"/>
    <w:qFormat/>
    <w:rPr>
      <w:rFonts w:hint="eastAsia" w:ascii="宋体" w:hAnsi="宋体" w:eastAsia="宋体" w:cs="宋体"/>
      <w:color w:val="ff0000"/>
      <w:sz w:val="22"/>
      <w:szCs w:val="22"/>
      <w:u w:val="none"/>
    </w:rPr>
  </w:style>
  <w:style w:type="character" w:styleId="945" w:customStyle="1">
    <w:name w:val="font41"/>
    <w:basedOn w:val="676"/>
    <w:uiPriority w:val="0"/>
    <w:qFormat/>
    <w:rPr>
      <w:rFonts w:hint="eastAsia" w:ascii="宋体" w:hAnsi="宋体" w:eastAsia="宋体" w:cs="宋体"/>
      <w:color w:val="000000"/>
      <w:sz w:val="21"/>
      <w:szCs w:val="21"/>
      <w:u w:val="none"/>
    </w:rPr>
  </w:style>
  <w:style w:type="numbering" w:styleId="146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11</cp:revision>
  <dcterms:created xsi:type="dcterms:W3CDTF">2024-07-29T10:25:00Z</dcterms:created>
  <dcterms:modified xsi:type="dcterms:W3CDTF">2024-10-31T08:43:57Z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4441ff8e6d5b410faa9a047a93beee98_23</vt:lpwstr>
  </property>
</Properties>
</file>