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5881A">
      <w:pPr>
        <w:jc w:val="center"/>
        <w:rPr>
          <w:rFonts w:hint="eastAsia" w:ascii="仿宋_GB2312" w:hAnsi="仿宋" w:eastAsia="仿宋_GB2312" w:cs="仿宋"/>
          <w:b/>
          <w:sz w:val="30"/>
          <w:szCs w:val="30"/>
          <w:lang w:eastAsia="zh-CN"/>
        </w:rPr>
      </w:pPr>
      <w:r>
        <w:rPr>
          <w:rFonts w:hint="eastAsia" w:ascii="仿宋_GB2312" w:hAnsi="仿宋" w:eastAsia="仿宋_GB2312" w:cs="仿宋"/>
          <w:b/>
          <w:sz w:val="30"/>
          <w:szCs w:val="30"/>
          <w:lang w:eastAsia="zh-CN"/>
        </w:rPr>
        <w:t>2025年度工管中心机电设备维修项目</w:t>
      </w:r>
    </w:p>
    <w:p w14:paraId="63BBFA6B">
      <w:pPr>
        <w:jc w:val="center"/>
        <w:rPr>
          <w:rFonts w:hint="eastAsia" w:ascii="仿宋_GB2312" w:hAnsi="仿宋" w:eastAsia="仿宋_GB2312" w:cs="仿宋"/>
          <w:b/>
          <w:sz w:val="36"/>
          <w:szCs w:val="36"/>
        </w:rPr>
      </w:pPr>
      <w:r>
        <w:rPr>
          <w:rFonts w:hint="eastAsia" w:ascii="仿宋_GB2312" w:hAnsi="仿宋" w:eastAsia="仿宋_GB2312" w:cs="仿宋"/>
          <w:b/>
          <w:sz w:val="30"/>
          <w:szCs w:val="30"/>
        </w:rPr>
        <w:t>工程量清单编制总说明</w:t>
      </w:r>
    </w:p>
    <w:p w14:paraId="0E214088">
      <w:pPr>
        <w:snapToGrid w:val="0"/>
        <w:spacing w:line="360" w:lineRule="auto"/>
        <w:jc w:val="left"/>
        <w:rPr>
          <w:rFonts w:hint="eastAsia" w:ascii="仿宋_GB2312" w:hAnsi="仿宋" w:eastAsia="仿宋_GB2312" w:cs="仿宋"/>
          <w:b/>
          <w:sz w:val="24"/>
        </w:rPr>
      </w:pPr>
      <w:bookmarkStart w:id="0" w:name="_Hlk36104576"/>
      <w:r>
        <w:rPr>
          <w:rFonts w:hint="eastAsia" w:ascii="仿宋_GB2312" w:hAnsi="仿宋" w:eastAsia="仿宋_GB2312" w:cs="仿宋"/>
          <w:b/>
          <w:sz w:val="24"/>
        </w:rPr>
        <w:t>一、工程概况：</w:t>
      </w:r>
    </w:p>
    <w:bookmarkEnd w:id="0"/>
    <w:p w14:paraId="1050C152">
      <w:pPr>
        <w:snapToGrid w:val="0"/>
        <w:spacing w:line="360" w:lineRule="auto"/>
        <w:ind w:firstLine="480" w:firstLineChars="200"/>
        <w:jc w:val="left"/>
        <w:rPr>
          <w:rFonts w:hint="eastAsia" w:ascii="仿宋_GB2312" w:hAnsi="仿宋" w:eastAsia="仿宋_GB2312" w:cs="仿宋"/>
          <w:sz w:val="24"/>
        </w:rPr>
      </w:pPr>
      <w:r>
        <w:rPr>
          <w:rFonts w:hint="eastAsia" w:ascii="仿宋_GB2312" w:hAnsi="仿宋" w:eastAsia="仿宋_GB2312" w:cs="仿宋"/>
          <w:sz w:val="24"/>
          <w:lang w:eastAsia="zh-CN"/>
        </w:rPr>
        <w:t>2025年度工管中心机电设备维修项目</w:t>
      </w:r>
      <w:r>
        <w:rPr>
          <w:rFonts w:hint="eastAsia" w:ascii="仿宋_GB2312" w:hAnsi="仿宋" w:eastAsia="仿宋_GB2312" w:cs="仿宋"/>
          <w:sz w:val="24"/>
        </w:rPr>
        <w:t>，维修范围包括仙蠡桥南枢纽红绿灯安装、仙蠡桥技术供排水系统改造、张巷浜液压启闭机接地</w:t>
      </w:r>
      <w:r>
        <w:rPr>
          <w:rFonts w:hint="eastAsia" w:ascii="仿宋_GB2312" w:hAnsi="仿宋" w:eastAsia="仿宋_GB2312" w:cs="仿宋"/>
          <w:sz w:val="24"/>
          <w:lang w:val="en-US" w:eastAsia="zh-CN"/>
        </w:rPr>
        <w:t>制作安装</w:t>
      </w:r>
      <w:r>
        <w:rPr>
          <w:rFonts w:hint="eastAsia" w:ascii="仿宋_GB2312" w:hAnsi="仿宋" w:eastAsia="仿宋_GB2312" w:cs="仿宋"/>
          <w:sz w:val="24"/>
          <w:lang w:eastAsia="zh-CN"/>
        </w:rPr>
        <w:t>、</w:t>
      </w:r>
      <w:r>
        <w:rPr>
          <w:rFonts w:hint="eastAsia" w:ascii="仿宋_GB2312" w:hAnsi="仿宋" w:eastAsia="仿宋_GB2312" w:cs="仿宋"/>
          <w:sz w:val="24"/>
        </w:rPr>
        <w:t>百子桥</w:t>
      </w:r>
      <w:bookmarkStart w:id="3" w:name="_GoBack"/>
      <w:bookmarkEnd w:id="3"/>
      <w:r>
        <w:rPr>
          <w:rFonts w:hint="eastAsia" w:ascii="仿宋_GB2312" w:hAnsi="仿宋" w:eastAsia="仿宋_GB2312" w:cs="仿宋"/>
          <w:sz w:val="24"/>
        </w:rPr>
        <w:t>闸站4#水泵、三里桥闸站3#水泵大修、顾桥闸站接地</w:t>
      </w:r>
      <w:r>
        <w:rPr>
          <w:rFonts w:hint="eastAsia" w:ascii="仿宋_GB2312" w:hAnsi="仿宋" w:eastAsia="仿宋_GB2312" w:cs="仿宋"/>
          <w:sz w:val="24"/>
          <w:lang w:val="en-US" w:eastAsia="zh-CN"/>
        </w:rPr>
        <w:t>制作安装</w:t>
      </w:r>
      <w:r>
        <w:rPr>
          <w:rFonts w:hint="eastAsia" w:ascii="仿宋_GB2312" w:hAnsi="仿宋" w:eastAsia="仿宋_GB2312" w:cs="仿宋"/>
          <w:sz w:val="24"/>
          <w:lang w:eastAsia="zh-CN"/>
        </w:rPr>
        <w:t>、</w:t>
      </w:r>
      <w:r>
        <w:rPr>
          <w:rFonts w:hint="eastAsia" w:ascii="仿宋_GB2312" w:hAnsi="仿宋" w:eastAsia="仿宋_GB2312" w:cs="仿宋"/>
          <w:sz w:val="24"/>
        </w:rPr>
        <w:t>西直湖港南枢纽船闸路灯改造、蠡湖所三水桥总柜及螺杆启闭机柜更换</w:t>
      </w:r>
      <w:r>
        <w:rPr>
          <w:rFonts w:hint="eastAsia" w:ascii="仿宋_GB2312" w:hAnsi="仿宋" w:eastAsia="仿宋_GB2312" w:cs="仿宋"/>
          <w:sz w:val="24"/>
          <w:lang w:eastAsia="zh-CN"/>
        </w:rPr>
        <w:t>、</w:t>
      </w:r>
      <w:r>
        <w:rPr>
          <w:rFonts w:hint="eastAsia" w:ascii="仿宋_GB2312" w:hAnsi="仿宋" w:eastAsia="仿宋_GB2312" w:cs="仿宋"/>
          <w:sz w:val="24"/>
        </w:rPr>
        <w:t>严埭港枢纽路灯</w:t>
      </w:r>
      <w:r>
        <w:rPr>
          <w:rFonts w:hint="eastAsia" w:ascii="仿宋_GB2312" w:hAnsi="仿宋" w:eastAsia="仿宋_GB2312" w:cs="仿宋"/>
          <w:sz w:val="24"/>
          <w:lang w:val="en-US" w:eastAsia="zh-CN"/>
        </w:rPr>
        <w:t>维修</w:t>
      </w:r>
      <w:r>
        <w:rPr>
          <w:rFonts w:hint="eastAsia" w:ascii="仿宋_GB2312" w:hAnsi="仿宋" w:eastAsia="仿宋_GB2312" w:cs="仿宋"/>
          <w:sz w:val="24"/>
          <w:lang w:eastAsia="zh-CN"/>
        </w:rPr>
        <w:t>、</w:t>
      </w:r>
      <w:r>
        <w:rPr>
          <w:rFonts w:hint="eastAsia" w:ascii="仿宋_GB2312" w:hAnsi="仿宋" w:eastAsia="仿宋_GB2312" w:cs="仿宋"/>
          <w:sz w:val="24"/>
        </w:rPr>
        <w:t>伯渎港枢纽管理楼场地路灯</w:t>
      </w:r>
      <w:r>
        <w:rPr>
          <w:rFonts w:hint="eastAsia" w:ascii="仿宋_GB2312" w:hAnsi="仿宋" w:eastAsia="仿宋_GB2312" w:cs="仿宋"/>
          <w:sz w:val="24"/>
          <w:lang w:val="en-US" w:eastAsia="zh-CN"/>
        </w:rPr>
        <w:t>安装</w:t>
      </w:r>
      <w:r>
        <w:rPr>
          <w:rFonts w:hint="eastAsia" w:ascii="仿宋_GB2312" w:hAnsi="仿宋" w:eastAsia="仿宋_GB2312" w:cs="仿宋"/>
          <w:sz w:val="24"/>
        </w:rPr>
        <w:t>、伯渎港枢纽内、外闸首两侧</w:t>
      </w:r>
      <w:r>
        <w:rPr>
          <w:rFonts w:hint="eastAsia" w:ascii="仿宋_GB2312" w:hAnsi="仿宋" w:eastAsia="仿宋_GB2312" w:cs="仿宋"/>
          <w:sz w:val="24"/>
          <w:lang w:val="en-US" w:eastAsia="zh-CN"/>
        </w:rPr>
        <w:t>及</w:t>
      </w:r>
      <w:r>
        <w:rPr>
          <w:rFonts w:hint="eastAsia" w:ascii="仿宋_GB2312" w:hAnsi="仿宋" w:eastAsia="仿宋_GB2312" w:cs="仿宋"/>
          <w:sz w:val="24"/>
        </w:rPr>
        <w:t>节制闸两侧路灯</w:t>
      </w:r>
      <w:r>
        <w:rPr>
          <w:rFonts w:hint="eastAsia" w:ascii="仿宋_GB2312" w:hAnsi="仿宋" w:eastAsia="仿宋_GB2312" w:cs="仿宋"/>
          <w:sz w:val="24"/>
          <w:lang w:val="en-US" w:eastAsia="zh-CN"/>
        </w:rPr>
        <w:t>安装</w:t>
      </w:r>
      <w:r>
        <w:rPr>
          <w:rFonts w:hint="eastAsia" w:ascii="仿宋_GB2312" w:hAnsi="仿宋" w:eastAsia="仿宋_GB2312" w:cs="仿宋"/>
          <w:sz w:val="24"/>
        </w:rPr>
        <w:t>、利民桥水利枢纽进水池</w:t>
      </w:r>
      <w:r>
        <w:rPr>
          <w:rFonts w:hint="eastAsia" w:ascii="仿宋_GB2312" w:hAnsi="仿宋" w:eastAsia="仿宋_GB2312" w:cs="仿宋"/>
          <w:sz w:val="24"/>
          <w:lang w:val="en-US" w:eastAsia="zh-CN"/>
        </w:rPr>
        <w:t>及</w:t>
      </w:r>
      <w:r>
        <w:rPr>
          <w:rFonts w:hint="eastAsia" w:ascii="仿宋_GB2312" w:hAnsi="仿宋" w:eastAsia="仿宋_GB2312" w:cs="仿宋"/>
          <w:sz w:val="24"/>
        </w:rPr>
        <w:t>利民桥水利枢纽清污机平台</w:t>
      </w:r>
      <w:r>
        <w:rPr>
          <w:rFonts w:hint="eastAsia" w:ascii="仿宋_GB2312" w:hAnsi="仿宋" w:eastAsia="仿宋_GB2312" w:cs="仿宋"/>
          <w:sz w:val="24"/>
          <w:lang w:val="en-US" w:eastAsia="zh-CN"/>
        </w:rPr>
        <w:t>路灯安装</w:t>
      </w:r>
      <w:r>
        <w:rPr>
          <w:rFonts w:hint="eastAsia" w:ascii="仿宋_GB2312" w:hAnsi="仿宋" w:eastAsia="仿宋_GB2312" w:cs="仿宋"/>
          <w:sz w:val="24"/>
        </w:rPr>
        <w:t>。</w:t>
      </w:r>
    </w:p>
    <w:p w14:paraId="2430FF45">
      <w:pPr>
        <w:adjustRightInd w:val="0"/>
        <w:snapToGrid w:val="0"/>
        <w:spacing w:line="400" w:lineRule="exact"/>
        <w:jc w:val="left"/>
        <w:outlineLvl w:val="0"/>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二、工程招标范围</w:t>
      </w:r>
    </w:p>
    <w:p w14:paraId="15DEA3F3">
      <w:pPr>
        <w:autoSpaceDE w:val="0"/>
        <w:autoSpaceDN w:val="0"/>
        <w:adjustRightInd w:val="0"/>
        <w:snapToGrid w:val="0"/>
        <w:spacing w:line="400" w:lineRule="exact"/>
        <w:ind w:left="-19" w:leftChars="-9" w:firstLine="480" w:firstLineChars="200"/>
        <w:rPr>
          <w:rFonts w:hint="eastAsia" w:ascii="仿宋_GB2312" w:hAnsi="仿宋_GB2312" w:eastAsia="仿宋_GB2312" w:cs="Times New Roman"/>
          <w:sz w:val="24"/>
          <w:szCs w:val="24"/>
        </w:rPr>
      </w:pPr>
      <w:r>
        <w:rPr>
          <w:rFonts w:hint="eastAsia" w:ascii="仿宋_GB2312" w:hAnsi="仿宋" w:eastAsia="仿宋_GB2312" w:cs="仿宋"/>
          <w:sz w:val="24"/>
          <w:lang w:eastAsia="zh-CN"/>
        </w:rPr>
        <w:t>2025年度工管中心机电设备维修项目</w:t>
      </w:r>
      <w:r>
        <w:rPr>
          <w:rFonts w:hint="eastAsia" w:ascii="仿宋_GB2312" w:hAnsi="仿宋" w:eastAsia="仿宋_GB2312" w:cs="仿宋"/>
          <w:sz w:val="24"/>
        </w:rPr>
        <w:t>，具体内容详见工程量清单</w:t>
      </w:r>
      <w:r>
        <w:rPr>
          <w:rFonts w:hint="eastAsia" w:ascii="仿宋_GB2312" w:hAnsi="仿宋_GB2312" w:eastAsia="仿宋_GB2312" w:cs="仿宋_GB2312"/>
          <w:sz w:val="24"/>
          <w:szCs w:val="24"/>
        </w:rPr>
        <w:t>。</w:t>
      </w:r>
    </w:p>
    <w:p w14:paraId="4706DDAC">
      <w:pPr>
        <w:spacing w:line="400" w:lineRule="exact"/>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三、工程量清单编制依据</w:t>
      </w:r>
    </w:p>
    <w:p w14:paraId="2AEC4782">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1、国家相关法律、法规。</w:t>
      </w:r>
    </w:p>
    <w:p w14:paraId="75A5C6DF">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w:t>
      </w:r>
      <w:r>
        <w:rPr>
          <w:rFonts w:hint="eastAsia" w:ascii="仿宋_GB2312" w:hAnsi="仿宋" w:eastAsia="仿宋_GB2312" w:cs="仿宋"/>
          <w:sz w:val="24"/>
        </w:rPr>
        <w:t>建设单位提供的相关资料</w:t>
      </w:r>
      <w:r>
        <w:rPr>
          <w:rFonts w:hint="eastAsia" w:ascii="仿宋_GB2312" w:hAnsi="仿宋_GB2312" w:eastAsia="仿宋_GB2312" w:cs="仿宋_GB2312"/>
          <w:sz w:val="24"/>
          <w:szCs w:val="24"/>
        </w:rPr>
        <w:t>。</w:t>
      </w:r>
    </w:p>
    <w:p w14:paraId="491844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3、《建设工程工程量清单计价规范》GB50500-2013、《通用安装工程工程量计算规范》(GB50856-2013)。</w:t>
      </w:r>
    </w:p>
    <w:p w14:paraId="743DC2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4、苏建价【2014】448号《省住房城乡建设厅关于《建设工程工程量清单计价规范》（GB50500-2013）及其9本工程量计算规范的贯彻意见》。</w:t>
      </w:r>
    </w:p>
    <w:p w14:paraId="1910018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5、江苏省住房和城乡建设厅颁发的</w:t>
      </w:r>
      <w:r>
        <w:rPr>
          <w:rFonts w:hint="eastAsia" w:ascii="仿宋_GB2312" w:hAnsi="仿宋" w:eastAsia="仿宋_GB2312" w:cs="仿宋"/>
          <w:sz w:val="24"/>
        </w:rPr>
        <w:t>《江苏省安装定额计价定额》（2014）</w:t>
      </w:r>
      <w:r>
        <w:rPr>
          <w:rFonts w:hint="eastAsia" w:ascii="仿宋_GB2312" w:hAnsi="仿宋_GB2312" w:eastAsia="仿宋_GB2312" w:cs="仿宋_GB2312"/>
          <w:sz w:val="24"/>
          <w:szCs w:val="24"/>
        </w:rPr>
        <w:t>。</w:t>
      </w:r>
    </w:p>
    <w:p w14:paraId="1EBF9646">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6、《江苏省建设工程费用定额》（2014）及其营改增后补充条款及苏建价【2016】154号文。</w:t>
      </w:r>
    </w:p>
    <w:p w14:paraId="51F32E80">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7、苏建价〔2016〕154号文《省住房城乡建设厅关于建筑业实施营改增后江苏省建设工程计价依据调整的通知》及</w:t>
      </w:r>
      <w:bookmarkStart w:id="1" w:name="_Hlk15382256"/>
      <w:r>
        <w:rPr>
          <w:rFonts w:hint="eastAsia" w:ascii="仿宋_GB2312" w:hAnsi="仿宋_GB2312" w:eastAsia="仿宋_GB2312" w:cs="仿宋_GB2312"/>
          <w:sz w:val="24"/>
          <w:szCs w:val="24"/>
        </w:rPr>
        <w:t>苏建函价【2018】298号、苏建函价【2019】178号</w:t>
      </w:r>
      <w:bookmarkEnd w:id="1"/>
      <w:bookmarkStart w:id="2" w:name="_Hlk15382276"/>
      <w:r>
        <w:rPr>
          <w:rFonts w:hint="eastAsia" w:ascii="仿宋_GB2312" w:hAnsi="仿宋_GB2312" w:eastAsia="仿宋_GB2312" w:cs="仿宋_GB2312"/>
          <w:sz w:val="24"/>
          <w:szCs w:val="24"/>
        </w:rPr>
        <w:t>增值税计价政策调整的通知</w:t>
      </w:r>
      <w:bookmarkEnd w:id="2"/>
      <w:r>
        <w:rPr>
          <w:rFonts w:hint="eastAsia" w:ascii="仿宋_GB2312" w:hAnsi="仿宋_GB2312" w:eastAsia="仿宋_GB2312" w:cs="仿宋_GB2312"/>
          <w:sz w:val="24"/>
          <w:szCs w:val="24"/>
        </w:rPr>
        <w:t>。</w:t>
      </w:r>
    </w:p>
    <w:p w14:paraId="28F4BC3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8、江苏省住房和城乡建设厅公告[2018]第24号《省住房城乡建设厅关于调整建设工程按质论价等费用计取方法的公告》。</w:t>
      </w:r>
    </w:p>
    <w:p w14:paraId="56923A2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9、《江苏省住房城乡建设厅关于建筑工人实名制费用计取方法的公告》(2019)第19号。</w:t>
      </w:r>
    </w:p>
    <w:p w14:paraId="3C37BEE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10、无锡市建设局有关文件。</w:t>
      </w:r>
    </w:p>
    <w:p w14:paraId="664AA61B">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11、本工程招标文件。</w:t>
      </w:r>
    </w:p>
    <w:p w14:paraId="11680F0F">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四、</w:t>
      </w:r>
      <w:r>
        <w:rPr>
          <w:rFonts w:hint="eastAsia" w:ascii="仿宋_GB2312" w:hAnsi="仿宋_GB2312" w:eastAsia="仿宋_GB2312" w:cs="仿宋_GB2312"/>
          <w:b/>
          <w:bCs/>
          <w:kern w:val="0"/>
          <w:sz w:val="24"/>
          <w:szCs w:val="24"/>
        </w:rPr>
        <w:t>工程质量、材料、施工等特殊要求：</w:t>
      </w:r>
    </w:p>
    <w:p w14:paraId="0BF82BD5">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1、工程质量要求和具体施工做法详见招标文件、图纸及行业和国家发布的现行有效规范。</w:t>
      </w:r>
    </w:p>
    <w:p w14:paraId="596C0DA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五、暂列金额：</w:t>
      </w:r>
    </w:p>
    <w:p w14:paraId="0759833A">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sz w:val="24"/>
          <w:szCs w:val="24"/>
        </w:rPr>
        <w:t xml:space="preserve">    本项目设暂列金额</w:t>
      </w:r>
      <w:r>
        <w:rPr>
          <w:rFonts w:hint="eastAsia" w:ascii="仿宋_GB2312" w:hAnsi="仿宋_GB2312" w:eastAsia="仿宋_GB2312" w:cs="仿宋_GB2312"/>
          <w:i/>
          <w:sz w:val="24"/>
          <w:szCs w:val="24"/>
          <w:u w:val="single"/>
        </w:rPr>
        <w:t>29000</w:t>
      </w:r>
      <w:r>
        <w:rPr>
          <w:rFonts w:hint="eastAsia" w:ascii="仿宋_GB2312" w:hAnsi="仿宋_GB2312" w:eastAsia="仿宋_GB2312" w:cs="仿宋_GB2312"/>
          <w:sz w:val="24"/>
          <w:szCs w:val="24"/>
        </w:rPr>
        <w:t>元。</w:t>
      </w:r>
    </w:p>
    <w:p w14:paraId="29FF45B3">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六、专业工程暂估价：</w:t>
      </w:r>
    </w:p>
    <w:p w14:paraId="4282C451">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本项目无专业工程暂估价。</w:t>
      </w:r>
    </w:p>
    <w:p w14:paraId="152C73B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七、关于工程量清单编制说明</w:t>
      </w:r>
    </w:p>
    <w:p w14:paraId="4FE69D5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1、《建设工程工程量清单计价规范》（2013）中列举了各清单项目编码应有的工作内容，如无特殊说明，该工作内容即为工程量清单的工作内容，所有的工作内容所需费用均应包括在投标报价的综合单价内。</w:t>
      </w:r>
    </w:p>
    <w:p w14:paraId="7270C263">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2、工程量清单应与投标须知、合同条件、合同协议条款、招标范围和图纸一起使用。</w:t>
      </w:r>
    </w:p>
    <w:p w14:paraId="7F8F393B">
      <w:pPr>
        <w:adjustRightInd w:val="0"/>
        <w:snapToGrid w:val="0"/>
        <w:spacing w:line="400" w:lineRule="exact"/>
        <w:ind w:firstLine="480" w:firstLineChars="200"/>
        <w:jc w:val="left"/>
        <w:rPr>
          <w:rFonts w:hint="eastAsia" w:ascii="仿宋_GB2312" w:hAnsi="仿宋_GB2312" w:eastAsia="仿宋_GB2312" w:cs="Times New Roman"/>
          <w:b/>
          <w:bCs/>
          <w:sz w:val="24"/>
          <w:szCs w:val="24"/>
        </w:rPr>
      </w:pPr>
      <w:r>
        <w:rPr>
          <w:rFonts w:hint="eastAsia" w:ascii="仿宋_GB2312" w:hAnsi="仿宋_GB2312" w:eastAsia="仿宋_GB2312" w:cs="仿宋_GB2312"/>
          <w:sz w:val="24"/>
          <w:szCs w:val="24"/>
        </w:rPr>
        <w:t>3、投标单位在取得工程量清单后应按照招标文件的要求自主进行报价，报价时充分考虑各类风险因素，特别是项目特征中描述为按项包干使用的费用。</w:t>
      </w:r>
    </w:p>
    <w:p w14:paraId="4016380D">
      <w:pPr>
        <w:adjustRightInd w:val="0"/>
        <w:snapToGrid w:val="0"/>
        <w:spacing w:line="44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八、不可竞争费</w:t>
      </w:r>
    </w:p>
    <w:tbl>
      <w:tblPr>
        <w:tblStyle w:val="5"/>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570"/>
        <w:gridCol w:w="4485"/>
        <w:gridCol w:w="1240"/>
      </w:tblGrid>
      <w:tr w14:paraId="3E7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08" w:type="dxa"/>
            <w:gridSpan w:val="2"/>
            <w:vAlign w:val="center"/>
          </w:tcPr>
          <w:p w14:paraId="74AE9F52">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费用名称</w:t>
            </w:r>
          </w:p>
        </w:tc>
        <w:tc>
          <w:tcPr>
            <w:tcW w:w="4485" w:type="dxa"/>
            <w:vAlign w:val="center"/>
          </w:tcPr>
          <w:p w14:paraId="191745C4">
            <w:pPr>
              <w:jc w:val="center"/>
              <w:rPr>
                <w:rFonts w:hint="eastAsia" w:ascii="仿宋_GB2312" w:hAnsi="仿宋_GB2312" w:eastAsia="仿宋_GB2312" w:cs="Times New Roman"/>
                <w:sz w:val="24"/>
                <w:szCs w:val="24"/>
              </w:rPr>
            </w:pPr>
            <w:r>
              <w:rPr>
                <w:rFonts w:hint="eastAsia" w:ascii="仿宋_GB2312" w:hAnsi="仿宋_GB2312" w:eastAsia="仿宋_GB2312" w:cs="仿宋_GB2312"/>
              </w:rPr>
              <w:t>计算基础</w:t>
            </w:r>
          </w:p>
        </w:tc>
        <w:tc>
          <w:tcPr>
            <w:tcW w:w="1240" w:type="dxa"/>
          </w:tcPr>
          <w:p w14:paraId="73209997">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安装    工程</w:t>
            </w:r>
          </w:p>
        </w:tc>
      </w:tr>
      <w:tr w14:paraId="21A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8" w:type="dxa"/>
            <w:vMerge w:val="restart"/>
            <w:vAlign w:val="center"/>
          </w:tcPr>
          <w:p w14:paraId="2E99491E">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现场安全文明施工措施费</w:t>
            </w:r>
          </w:p>
        </w:tc>
        <w:tc>
          <w:tcPr>
            <w:tcW w:w="1570" w:type="dxa"/>
            <w:vAlign w:val="center"/>
          </w:tcPr>
          <w:p w14:paraId="2BA08019">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基本费</w:t>
            </w:r>
          </w:p>
        </w:tc>
        <w:tc>
          <w:tcPr>
            <w:tcW w:w="4485" w:type="dxa"/>
            <w:vAlign w:val="center"/>
          </w:tcPr>
          <w:p w14:paraId="04067F8E">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17A2683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40" w:type="dxa"/>
            <w:vAlign w:val="center"/>
          </w:tcPr>
          <w:p w14:paraId="6B383D0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r>
      <w:tr w14:paraId="5034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38" w:type="dxa"/>
            <w:vMerge w:val="continue"/>
            <w:vAlign w:val="center"/>
          </w:tcPr>
          <w:p w14:paraId="24C3C628">
            <w:pPr>
              <w:jc w:val="center"/>
              <w:rPr>
                <w:rFonts w:hint="eastAsia" w:ascii="仿宋_GB2312" w:hAnsi="仿宋_GB2312" w:eastAsia="仿宋_GB2312" w:cs="Times New Roman"/>
                <w:sz w:val="24"/>
                <w:szCs w:val="24"/>
              </w:rPr>
            </w:pPr>
          </w:p>
        </w:tc>
        <w:tc>
          <w:tcPr>
            <w:tcW w:w="1570" w:type="dxa"/>
            <w:vAlign w:val="center"/>
          </w:tcPr>
          <w:p w14:paraId="6A0E38C5">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标化增加费</w:t>
            </w:r>
          </w:p>
        </w:tc>
        <w:tc>
          <w:tcPr>
            <w:tcW w:w="4485" w:type="dxa"/>
            <w:vAlign w:val="center"/>
          </w:tcPr>
          <w:p w14:paraId="62797061">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57A7DC48">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40" w:type="dxa"/>
            <w:vAlign w:val="center"/>
          </w:tcPr>
          <w:p w14:paraId="3B46E28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310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38" w:type="dxa"/>
            <w:vMerge w:val="continue"/>
            <w:vAlign w:val="center"/>
          </w:tcPr>
          <w:p w14:paraId="466CDA4F">
            <w:pPr>
              <w:jc w:val="center"/>
              <w:rPr>
                <w:rFonts w:hint="eastAsia" w:ascii="仿宋_GB2312" w:hAnsi="仿宋_GB2312" w:eastAsia="仿宋_GB2312" w:cs="Times New Roman"/>
                <w:sz w:val="24"/>
                <w:szCs w:val="24"/>
              </w:rPr>
            </w:pPr>
          </w:p>
        </w:tc>
        <w:tc>
          <w:tcPr>
            <w:tcW w:w="1570" w:type="dxa"/>
            <w:vAlign w:val="center"/>
          </w:tcPr>
          <w:p w14:paraId="3D938835">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扬尘污染防治增加费</w:t>
            </w:r>
          </w:p>
        </w:tc>
        <w:tc>
          <w:tcPr>
            <w:tcW w:w="4485" w:type="dxa"/>
            <w:vAlign w:val="center"/>
          </w:tcPr>
          <w:p w14:paraId="70B83407">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3BCEFE3B">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40" w:type="dxa"/>
            <w:vAlign w:val="center"/>
          </w:tcPr>
          <w:p w14:paraId="7CAA8F9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0.21%</w:t>
            </w:r>
          </w:p>
        </w:tc>
      </w:tr>
      <w:tr w14:paraId="7C6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8" w:type="dxa"/>
            <w:vMerge w:val="restart"/>
            <w:vAlign w:val="center"/>
          </w:tcPr>
          <w:p w14:paraId="32C06BA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规费</w:t>
            </w:r>
          </w:p>
        </w:tc>
        <w:tc>
          <w:tcPr>
            <w:tcW w:w="1570" w:type="dxa"/>
            <w:vAlign w:val="center"/>
          </w:tcPr>
          <w:p w14:paraId="7EF8A89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社会保险费</w:t>
            </w:r>
          </w:p>
        </w:tc>
        <w:tc>
          <w:tcPr>
            <w:tcW w:w="4485" w:type="dxa"/>
            <w:vAlign w:val="center"/>
          </w:tcPr>
          <w:p w14:paraId="1FCBEF20">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40" w:type="dxa"/>
            <w:vAlign w:val="center"/>
          </w:tcPr>
          <w:p w14:paraId="2E379FD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w:t>
            </w:r>
          </w:p>
        </w:tc>
      </w:tr>
      <w:tr w14:paraId="6C6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38" w:type="dxa"/>
            <w:vMerge w:val="continue"/>
            <w:vAlign w:val="center"/>
          </w:tcPr>
          <w:p w14:paraId="6620DB7A">
            <w:pPr>
              <w:jc w:val="center"/>
              <w:rPr>
                <w:rFonts w:hint="eastAsia" w:ascii="仿宋_GB2312" w:hAnsi="仿宋_GB2312" w:eastAsia="仿宋_GB2312" w:cs="Times New Roman"/>
                <w:sz w:val="24"/>
                <w:szCs w:val="24"/>
              </w:rPr>
            </w:pPr>
          </w:p>
        </w:tc>
        <w:tc>
          <w:tcPr>
            <w:tcW w:w="1570" w:type="dxa"/>
            <w:vAlign w:val="center"/>
          </w:tcPr>
          <w:p w14:paraId="58A252F2">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住房公积金</w:t>
            </w:r>
          </w:p>
        </w:tc>
        <w:tc>
          <w:tcPr>
            <w:tcW w:w="4485" w:type="dxa"/>
            <w:vAlign w:val="center"/>
          </w:tcPr>
          <w:p w14:paraId="0596CAE7">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40" w:type="dxa"/>
            <w:vAlign w:val="center"/>
          </w:tcPr>
          <w:p w14:paraId="74D2C12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0.42%</w:t>
            </w:r>
          </w:p>
        </w:tc>
      </w:tr>
      <w:tr w14:paraId="088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8" w:type="dxa"/>
            <w:vMerge w:val="continue"/>
            <w:vAlign w:val="center"/>
          </w:tcPr>
          <w:p w14:paraId="1121C64E">
            <w:pPr>
              <w:jc w:val="center"/>
              <w:rPr>
                <w:rFonts w:hint="eastAsia" w:ascii="仿宋_GB2312" w:hAnsi="仿宋_GB2312" w:eastAsia="仿宋_GB2312" w:cs="Times New Roman"/>
                <w:sz w:val="24"/>
                <w:szCs w:val="24"/>
              </w:rPr>
            </w:pPr>
          </w:p>
        </w:tc>
        <w:tc>
          <w:tcPr>
            <w:tcW w:w="1570" w:type="dxa"/>
            <w:vAlign w:val="center"/>
          </w:tcPr>
          <w:p w14:paraId="08B9194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环境保护税</w:t>
            </w:r>
          </w:p>
        </w:tc>
        <w:tc>
          <w:tcPr>
            <w:tcW w:w="4485" w:type="dxa"/>
            <w:vAlign w:val="center"/>
          </w:tcPr>
          <w:p w14:paraId="1361F06C">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40" w:type="dxa"/>
            <w:vAlign w:val="center"/>
          </w:tcPr>
          <w:p w14:paraId="7BE0BF9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73B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08" w:type="dxa"/>
            <w:gridSpan w:val="2"/>
            <w:vAlign w:val="center"/>
          </w:tcPr>
          <w:p w14:paraId="53C3794A">
            <w:pPr>
              <w:jc w:val="center"/>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税金</w:t>
            </w:r>
          </w:p>
        </w:tc>
        <w:tc>
          <w:tcPr>
            <w:tcW w:w="4485" w:type="dxa"/>
            <w:vAlign w:val="center"/>
          </w:tcPr>
          <w:p w14:paraId="18D8375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分部分项工程费+措施项目费+其他项目费+规费-除税甲供材料和甲供设备费/1.01</w:t>
            </w:r>
          </w:p>
        </w:tc>
        <w:tc>
          <w:tcPr>
            <w:tcW w:w="1240" w:type="dxa"/>
            <w:vAlign w:val="center"/>
          </w:tcPr>
          <w:p w14:paraId="51D8433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r>
    </w:tbl>
    <w:p w14:paraId="3790276F">
      <w:pPr>
        <w:spacing w:line="440" w:lineRule="exact"/>
        <w:jc w:val="left"/>
        <w:rPr>
          <w:rFonts w:hint="eastAsia" w:ascii="仿宋_GB2312" w:hAnsi="仿宋_GB2312" w:eastAsia="仿宋_GB2312" w:cs="Times New Roman"/>
          <w:sz w:val="24"/>
          <w:szCs w:val="24"/>
        </w:rPr>
      </w:pPr>
    </w:p>
    <w:p w14:paraId="0BFC768A">
      <w:pPr>
        <w:pStyle w:val="11"/>
        <w:wordWrap w:val="0"/>
        <w:spacing w:line="440" w:lineRule="exact"/>
        <w:ind w:left="420" w:firstLine="0" w:firstLineChars="0"/>
        <w:jc w:val="right"/>
        <w:rPr>
          <w:rFonts w:hint="eastAsia" w:ascii="仿宋_GB2312" w:hAnsi="仿宋_GB2312" w:eastAsia="仿宋_GB2312" w:cs="Times New Roman"/>
          <w:sz w:val="24"/>
          <w:szCs w:val="24"/>
        </w:rPr>
      </w:pPr>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32649"/>
    <w:rsid w:val="00035181"/>
    <w:rsid w:val="000502CD"/>
    <w:rsid w:val="00053489"/>
    <w:rsid w:val="00054977"/>
    <w:rsid w:val="00054B92"/>
    <w:rsid w:val="00060FEF"/>
    <w:rsid w:val="000619EF"/>
    <w:rsid w:val="00072767"/>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95D15"/>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E03AB"/>
    <w:rsid w:val="00603EB0"/>
    <w:rsid w:val="00605BBF"/>
    <w:rsid w:val="00607CF4"/>
    <w:rsid w:val="0063128B"/>
    <w:rsid w:val="006367EC"/>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785F"/>
    <w:rsid w:val="00B44EBD"/>
    <w:rsid w:val="00B467D9"/>
    <w:rsid w:val="00B55E49"/>
    <w:rsid w:val="00B76645"/>
    <w:rsid w:val="00B77D23"/>
    <w:rsid w:val="00B912A3"/>
    <w:rsid w:val="00B9532D"/>
    <w:rsid w:val="00B96E12"/>
    <w:rsid w:val="00BC455A"/>
    <w:rsid w:val="00BD3478"/>
    <w:rsid w:val="00BE11E9"/>
    <w:rsid w:val="00BE6CF2"/>
    <w:rsid w:val="00C06963"/>
    <w:rsid w:val="00C07678"/>
    <w:rsid w:val="00C11770"/>
    <w:rsid w:val="00C15B51"/>
    <w:rsid w:val="00C33E87"/>
    <w:rsid w:val="00C36EF5"/>
    <w:rsid w:val="00C4087F"/>
    <w:rsid w:val="00C455D9"/>
    <w:rsid w:val="00C45B10"/>
    <w:rsid w:val="00C538DF"/>
    <w:rsid w:val="00C56A4A"/>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0D3D"/>
    <w:rsid w:val="00D364A1"/>
    <w:rsid w:val="00D42829"/>
    <w:rsid w:val="00D43A91"/>
    <w:rsid w:val="00D4577B"/>
    <w:rsid w:val="00D46AEB"/>
    <w:rsid w:val="00D47EA1"/>
    <w:rsid w:val="00D51917"/>
    <w:rsid w:val="00D56EBC"/>
    <w:rsid w:val="00D615C6"/>
    <w:rsid w:val="00D64AE1"/>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31D68A5"/>
    <w:rsid w:val="0644736D"/>
    <w:rsid w:val="064E1442"/>
    <w:rsid w:val="08E72549"/>
    <w:rsid w:val="0B5D2899"/>
    <w:rsid w:val="104F612C"/>
    <w:rsid w:val="146A5D4F"/>
    <w:rsid w:val="19623988"/>
    <w:rsid w:val="199E7A7E"/>
    <w:rsid w:val="1A507406"/>
    <w:rsid w:val="1BD63875"/>
    <w:rsid w:val="1EE2613A"/>
    <w:rsid w:val="25043A4C"/>
    <w:rsid w:val="27104C22"/>
    <w:rsid w:val="27841F53"/>
    <w:rsid w:val="2E99061E"/>
    <w:rsid w:val="307B0DD6"/>
    <w:rsid w:val="317F749C"/>
    <w:rsid w:val="339C6C14"/>
    <w:rsid w:val="34F211E2"/>
    <w:rsid w:val="360A2DAA"/>
    <w:rsid w:val="36752032"/>
    <w:rsid w:val="37237D90"/>
    <w:rsid w:val="3D68382E"/>
    <w:rsid w:val="3FEB70BA"/>
    <w:rsid w:val="41A73BF7"/>
    <w:rsid w:val="48F406D2"/>
    <w:rsid w:val="4A6F3652"/>
    <w:rsid w:val="4DAD0130"/>
    <w:rsid w:val="51B14B87"/>
    <w:rsid w:val="55EB5C26"/>
    <w:rsid w:val="571B5611"/>
    <w:rsid w:val="57DB745C"/>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1E3086"/>
    <w:rsid w:val="78B2253F"/>
    <w:rsid w:val="7A6A0DAE"/>
    <w:rsid w:val="7F123C55"/>
    <w:rsid w:val="7FF72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qFormat/>
    <w:uiPriority w:val="99"/>
    <w:rPr>
      <w:rFonts w:ascii="宋体" w:cs="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文档结构图 Char"/>
    <w:link w:val="2"/>
    <w:semiHidden/>
    <w:qFormat/>
    <w:locked/>
    <w:uiPriority w:val="99"/>
    <w:rPr>
      <w:rFonts w:ascii="宋体" w:eastAsia="宋体" w:cs="宋体"/>
      <w:sz w:val="18"/>
      <w:szCs w:val="18"/>
    </w:rPr>
  </w:style>
  <w:style w:type="character" w:customStyle="1" w:styleId="9">
    <w:name w:val="页脚 Char"/>
    <w:link w:val="3"/>
    <w:qFormat/>
    <w:locked/>
    <w:uiPriority w:val="99"/>
    <w:rPr>
      <w:sz w:val="18"/>
      <w:szCs w:val="18"/>
    </w:rPr>
  </w:style>
  <w:style w:type="character" w:customStyle="1" w:styleId="10">
    <w:name w:val="页眉 Char"/>
    <w:link w:val="4"/>
    <w:qFormat/>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2</Pages>
  <Words>1236</Words>
  <Characters>1355</Characters>
  <Lines>10</Lines>
  <Paragraphs>2</Paragraphs>
  <TotalTime>0</TotalTime>
  <ScaleCrop>false</ScaleCrop>
  <LinksUpToDate>false</LinksUpToDate>
  <CharactersWithSpaces>1363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2020-03-25T11:10:00Z</dcterms:created>
  <dc:creator>YAO</dc:creator>
  <cp:lastModifiedBy>CcCcC</cp:lastModifiedBy>
  <cp:lastPrinted>2020-03-27T01:09:00Z</cp:lastPrinted>
  <dcterms:modified xsi:type="dcterms:W3CDTF">2025-11-06T02:40:51Z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B44F9316BCC34C07AA72DB9408595320_12</vt:lpwstr>
  </property>
  <property fmtid="{D5CDD505-2E9C-101B-9397-08002B2CF9AE}" pid="4" name="KSOTemplateDocerSaveRecord">
    <vt:lpwstr>eyJoZGlkIjoiZGQwN2VkOTcxYTE4MDlkZDIzYjgzYzQ3NTA2M2I1ODQiLCJ1c2VySWQiOiIyNTM1NTU5MDgifQ==</vt:lpwstr>
  </property>
</Properties>
</file>