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D83DBD">
      <w:pPr>
        <w:spacing w:line="500" w:lineRule="exact"/>
        <w:jc w:val="center"/>
        <w:rPr>
          <w:rFonts w:hint="eastAsia" w:eastAsia="宋体"/>
          <w:b/>
          <w:sz w:val="32"/>
          <w:szCs w:val="32"/>
          <w:lang w:eastAsia="zh-CN"/>
        </w:rPr>
      </w:pPr>
      <w:r>
        <w:rPr>
          <w:rFonts w:hint="eastAsia"/>
          <w:b/>
          <w:sz w:val="32"/>
          <w:szCs w:val="32"/>
          <w:lang w:eastAsia="zh-CN"/>
        </w:rPr>
        <w:t>丹徒区世业镇江洲南路改造工程</w:t>
      </w:r>
    </w:p>
    <w:p w14:paraId="445DE442">
      <w:pPr>
        <w:spacing w:line="500" w:lineRule="exact"/>
        <w:jc w:val="center"/>
        <w:rPr>
          <w:rFonts w:hint="eastAsia"/>
          <w:b/>
          <w:sz w:val="32"/>
          <w:szCs w:val="32"/>
        </w:rPr>
      </w:pPr>
      <w:r>
        <w:rPr>
          <w:rFonts w:hint="eastAsia"/>
          <w:b/>
          <w:sz w:val="32"/>
          <w:szCs w:val="32"/>
        </w:rPr>
        <w:t>编  制  说  明</w:t>
      </w:r>
    </w:p>
    <w:p w14:paraId="2368D610">
      <w:pPr>
        <w:spacing w:line="500" w:lineRule="exact"/>
        <w:rPr>
          <w:rFonts w:hint="eastAsia"/>
          <w:b/>
          <w:sz w:val="24"/>
        </w:rPr>
      </w:pPr>
      <w:r>
        <w:rPr>
          <w:rFonts w:hint="eastAsia"/>
          <w:b/>
          <w:sz w:val="24"/>
        </w:rPr>
        <w:t xml:space="preserve">    1. 编制范围及依据</w:t>
      </w:r>
    </w:p>
    <w:p w14:paraId="48864D1E">
      <w:pPr>
        <w:spacing w:line="400" w:lineRule="exact"/>
        <w:ind w:firstLine="480" w:firstLineChars="200"/>
        <w:rPr>
          <w:rFonts w:hint="eastAsia" w:ascii="宋体" w:hAnsi="宋体"/>
          <w:sz w:val="24"/>
        </w:rPr>
      </w:pPr>
      <w:r>
        <w:rPr>
          <w:rFonts w:hint="eastAsia" w:ascii="宋体" w:hAnsi="宋体"/>
          <w:sz w:val="24"/>
          <w:lang w:eastAsia="zh-CN"/>
        </w:rPr>
        <w:t>丹徒区世业镇江洲南路改造工程</w:t>
      </w:r>
      <w:r>
        <w:rPr>
          <w:rFonts w:hint="eastAsia" w:ascii="宋体" w:hAnsi="宋体"/>
          <w:bCs/>
          <w:sz w:val="24"/>
        </w:rPr>
        <w:t>位于</w:t>
      </w:r>
      <w:r>
        <w:rPr>
          <w:rFonts w:hint="eastAsia" w:ascii="宋体" w:hAnsi="宋体" w:eastAsia="宋体" w:cs="宋体"/>
          <w:color w:val="000000"/>
          <w:kern w:val="0"/>
          <w:sz w:val="24"/>
          <w:szCs w:val="24"/>
          <w:lang w:val="en-US" w:eastAsia="zh-CN" w:bidi="ar"/>
        </w:rPr>
        <w:t>三洲路位于</w:t>
      </w:r>
      <w:r>
        <w:rPr>
          <w:rFonts w:hint="eastAsia" w:ascii="宋体" w:hAnsi="宋体" w:cs="宋体"/>
          <w:color w:val="000000"/>
          <w:kern w:val="0"/>
          <w:sz w:val="24"/>
          <w:szCs w:val="24"/>
          <w:lang w:val="en-US" w:eastAsia="zh-CN" w:bidi="ar"/>
        </w:rPr>
        <w:t>丹徒区</w:t>
      </w:r>
      <w:r>
        <w:rPr>
          <w:rFonts w:hint="eastAsia" w:ascii="宋体" w:hAnsi="宋体" w:eastAsia="宋体" w:cs="宋体"/>
          <w:color w:val="000000"/>
          <w:kern w:val="0"/>
          <w:sz w:val="24"/>
          <w:szCs w:val="24"/>
          <w:lang w:val="en-US" w:eastAsia="zh-CN" w:bidi="ar"/>
        </w:rPr>
        <w:t>，本工程起点与世卫路平交，路线自西向东延伸，终点与Y905堤顶线相接，路线全长5.5km。工程全线老路为水泥混凝土路面，部分路段为沥青混凝土路面,路面宽约 3.5~4.5m，全线老路总体状况较为良好，局部段落病害较为严重</w:t>
      </w:r>
      <w:r>
        <w:rPr>
          <w:rFonts w:hint="eastAsia" w:ascii="宋体" w:hAnsi="宋体"/>
          <w:bCs/>
          <w:sz w:val="24"/>
        </w:rPr>
        <w:t>。</w:t>
      </w:r>
      <w:r>
        <w:rPr>
          <w:rFonts w:hint="eastAsia" w:ascii="宋体" w:hAnsi="宋体" w:cs="宋体"/>
          <w:kern w:val="0"/>
          <w:sz w:val="24"/>
        </w:rPr>
        <w:t>具体工程详见图纸。</w:t>
      </w:r>
    </w:p>
    <w:p w14:paraId="1F701EEC">
      <w:pPr>
        <w:spacing w:line="500" w:lineRule="exact"/>
        <w:rPr>
          <w:rFonts w:hint="eastAsia"/>
          <w:b/>
          <w:sz w:val="24"/>
        </w:rPr>
      </w:pPr>
      <w:r>
        <w:rPr>
          <w:rFonts w:hint="eastAsia"/>
          <w:b/>
          <w:sz w:val="24"/>
        </w:rPr>
        <w:t>　　编制依据</w:t>
      </w:r>
    </w:p>
    <w:p w14:paraId="7EAA01D3">
      <w:pPr>
        <w:spacing w:line="500" w:lineRule="exact"/>
        <w:rPr>
          <w:rFonts w:hint="eastAsia"/>
          <w:sz w:val="24"/>
        </w:rPr>
      </w:pPr>
      <w:r>
        <w:rPr>
          <w:rFonts w:hint="eastAsia"/>
          <w:sz w:val="24"/>
        </w:rPr>
        <w:t>　　1.《公路工程建设项目概算预算编制办法》（JTG3830-2018</w:t>
      </w:r>
      <w:bookmarkStart w:id="5" w:name="_GoBack"/>
      <w:bookmarkEnd w:id="5"/>
      <w:r>
        <w:rPr>
          <w:rFonts w:hint="eastAsia"/>
          <w:sz w:val="24"/>
        </w:rPr>
        <w:t>）；</w:t>
      </w:r>
    </w:p>
    <w:p w14:paraId="3F7226A0">
      <w:pPr>
        <w:spacing w:line="500" w:lineRule="exact"/>
        <w:rPr>
          <w:rFonts w:hint="eastAsia"/>
          <w:sz w:val="24"/>
        </w:rPr>
      </w:pPr>
      <w:r>
        <w:rPr>
          <w:rFonts w:hint="eastAsia"/>
          <w:sz w:val="24"/>
        </w:rPr>
        <w:t>　　2.</w:t>
      </w:r>
      <w:r>
        <w:rPr>
          <w:sz w:val="24"/>
        </w:rPr>
        <w:t>中华人民共和国交通</w:t>
      </w:r>
      <w:r>
        <w:rPr>
          <w:rFonts w:hint="eastAsia"/>
          <w:sz w:val="24"/>
        </w:rPr>
        <w:t>运输</w:t>
      </w:r>
      <w:r>
        <w:rPr>
          <w:sz w:val="24"/>
        </w:rPr>
        <w:t>部《公路工程</w:t>
      </w:r>
      <w:r>
        <w:rPr>
          <w:rFonts w:hint="eastAsia"/>
          <w:sz w:val="24"/>
        </w:rPr>
        <w:t>标准施工</w:t>
      </w:r>
      <w:r>
        <w:rPr>
          <w:sz w:val="24"/>
        </w:rPr>
        <w:t>招标文件(20</w:t>
      </w:r>
      <w:r>
        <w:rPr>
          <w:rFonts w:hint="eastAsia"/>
          <w:sz w:val="24"/>
        </w:rPr>
        <w:t>18</w:t>
      </w:r>
      <w:r>
        <w:rPr>
          <w:sz w:val="24"/>
        </w:rPr>
        <w:t>年版)》</w:t>
      </w:r>
      <w:r>
        <w:rPr>
          <w:rFonts w:hint="eastAsia"/>
          <w:sz w:val="24"/>
        </w:rPr>
        <w:t>；</w:t>
      </w:r>
    </w:p>
    <w:p w14:paraId="6A318D87">
      <w:pPr>
        <w:spacing w:line="500" w:lineRule="exact"/>
        <w:rPr>
          <w:rFonts w:hint="eastAsia"/>
          <w:sz w:val="24"/>
        </w:rPr>
      </w:pPr>
      <w:r>
        <w:rPr>
          <w:rFonts w:hint="eastAsia"/>
          <w:sz w:val="24"/>
        </w:rPr>
        <w:t>　　3.江苏省交通厅关于执行交通部《公路工程基本建设项目概算预算编制办法》有关补充规定的通知苏交建［2019］22号；</w:t>
      </w:r>
    </w:p>
    <w:p w14:paraId="520FC845">
      <w:pPr>
        <w:spacing w:line="500" w:lineRule="exact"/>
        <w:rPr>
          <w:rFonts w:hint="eastAsia"/>
          <w:sz w:val="24"/>
        </w:rPr>
      </w:pPr>
      <w:r>
        <w:rPr>
          <w:rFonts w:hint="eastAsia"/>
          <w:sz w:val="24"/>
        </w:rPr>
        <w:t>　　4.《江苏省公路水运工程安全生产费用使用指南》(苏交规〔2012〕9号)；</w:t>
      </w:r>
    </w:p>
    <w:p w14:paraId="49F4E85B">
      <w:pPr>
        <w:spacing w:line="500" w:lineRule="exact"/>
        <w:rPr>
          <w:rFonts w:hint="eastAsia" w:eastAsia="宋体"/>
          <w:sz w:val="24"/>
          <w:lang w:eastAsia="zh-CN"/>
        </w:rPr>
      </w:pPr>
      <w:r>
        <w:rPr>
          <w:rFonts w:hint="eastAsia"/>
          <w:sz w:val="24"/>
        </w:rPr>
        <w:t>　　5.施工招标</w:t>
      </w:r>
      <w:r>
        <w:rPr>
          <w:sz w:val="24"/>
        </w:rPr>
        <w:t>文件</w:t>
      </w:r>
      <w:r>
        <w:rPr>
          <w:rFonts w:hint="eastAsia"/>
          <w:sz w:val="24"/>
        </w:rPr>
        <w:t>和施工设计图纸</w:t>
      </w:r>
      <w:r>
        <w:rPr>
          <w:rFonts w:hint="eastAsia"/>
          <w:sz w:val="24"/>
          <w:lang w:eastAsia="zh-CN"/>
        </w:rPr>
        <w:t>；</w:t>
      </w:r>
    </w:p>
    <w:p w14:paraId="579B9437">
      <w:pPr>
        <w:spacing w:line="500" w:lineRule="exact"/>
        <w:rPr>
          <w:rFonts w:hint="eastAsia"/>
          <w:sz w:val="24"/>
        </w:rPr>
      </w:pPr>
      <w:r>
        <w:rPr>
          <w:rFonts w:hint="eastAsia"/>
          <w:b/>
          <w:sz w:val="24"/>
        </w:rPr>
        <w:t>　　</w:t>
      </w:r>
      <w:r>
        <w:rPr>
          <w:rFonts w:hint="eastAsia"/>
          <w:sz w:val="24"/>
        </w:rPr>
        <w:t>6.《公路工程预算定额》（JTG/T 3832-2018）、及相应配套文件；</w:t>
      </w:r>
    </w:p>
    <w:p w14:paraId="34766118">
      <w:pPr>
        <w:spacing w:line="500" w:lineRule="exact"/>
        <w:rPr>
          <w:rFonts w:hint="eastAsia"/>
          <w:sz w:val="24"/>
        </w:rPr>
      </w:pPr>
      <w:r>
        <w:rPr>
          <w:rFonts w:hint="eastAsia"/>
          <w:sz w:val="24"/>
        </w:rPr>
        <w:t>　  7.《公路工程机械台班费用定额》（JTG/T 3833-2018）。</w:t>
      </w:r>
    </w:p>
    <w:p w14:paraId="622C5CB2">
      <w:pPr>
        <w:spacing w:line="500" w:lineRule="exact"/>
        <w:textAlignment w:val="baseline"/>
        <w:rPr>
          <w:rFonts w:hint="eastAsia" w:eastAsia="黑体"/>
          <w:b/>
          <w:sz w:val="28"/>
          <w:szCs w:val="28"/>
        </w:rPr>
      </w:pPr>
      <w:bookmarkStart w:id="0" w:name="_Toc152042555"/>
      <w:bookmarkStart w:id="1" w:name="_Toc179632790"/>
      <w:bookmarkStart w:id="2" w:name="_Toc144974835"/>
      <w:bookmarkStart w:id="3" w:name="_Toc152045773"/>
      <w:r>
        <w:rPr>
          <w:rFonts w:hint="eastAsia" w:eastAsia="黑体"/>
          <w:b/>
          <w:sz w:val="28"/>
          <w:szCs w:val="28"/>
        </w:rPr>
        <w:t>　　2.工程量清单说明</w:t>
      </w:r>
      <w:bookmarkEnd w:id="0"/>
      <w:bookmarkEnd w:id="1"/>
      <w:bookmarkEnd w:id="2"/>
      <w:bookmarkEnd w:id="3"/>
    </w:p>
    <w:p w14:paraId="37DDBA79">
      <w:pPr>
        <w:spacing w:line="500" w:lineRule="exact"/>
        <w:ind w:firstLine="482" w:firstLineChars="200"/>
        <w:rPr>
          <w:rFonts w:hint="eastAsia" w:ascii="黑体" w:hAnsi="宋体" w:eastAsia="黑体"/>
          <w:b/>
          <w:sz w:val="24"/>
        </w:rPr>
      </w:pPr>
      <w:r>
        <w:rPr>
          <w:rFonts w:hint="eastAsia" w:ascii="黑体" w:hAnsi="宋体" w:eastAsia="黑体"/>
          <w:b/>
          <w:sz w:val="24"/>
        </w:rPr>
        <w:t>现对工程量清单中发包人认为有必要提醒各潜在投标人注意的、需要特别说明的部分项目说明如下，请各潜在投标单位认真阅读，并以此作为投标时关于下述工程量清单项目定价的依据。同时，发包人提供的工程量清单说明中所有涉及计量的方法也将会是发包人在施工过程中进行计量的依据：</w:t>
      </w:r>
    </w:p>
    <w:p w14:paraId="0BB23470">
      <w:pPr>
        <w:spacing w:line="500" w:lineRule="exact"/>
        <w:ind w:firstLine="480" w:firstLineChars="200"/>
        <w:rPr>
          <w:rFonts w:hint="eastAsia"/>
          <w:sz w:val="24"/>
        </w:rPr>
      </w:pPr>
      <w:r>
        <w:rPr>
          <w:rFonts w:hint="eastAsia"/>
          <w:sz w:val="24"/>
        </w:rPr>
        <w:t>2.1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002D93A5">
      <w:pPr>
        <w:spacing w:line="500" w:lineRule="exact"/>
        <w:ind w:firstLine="480" w:firstLineChars="200"/>
        <w:rPr>
          <w:rFonts w:hint="eastAsia"/>
          <w:sz w:val="24"/>
        </w:rPr>
      </w:pPr>
      <w:r>
        <w:rPr>
          <w:rFonts w:hint="eastAsia"/>
          <w:sz w:val="24"/>
        </w:rPr>
        <w:t>2.2本工程量清单应与招标文件中的投标人须知、通用合同条款、专用合同条款、技术标准和要求及图纸等一起阅读和理解。</w:t>
      </w:r>
    </w:p>
    <w:p w14:paraId="1E6C0966">
      <w:pPr>
        <w:spacing w:line="500" w:lineRule="exact"/>
        <w:ind w:firstLine="480" w:firstLineChars="200"/>
        <w:rPr>
          <w:rFonts w:hint="eastAsia"/>
          <w:sz w:val="24"/>
        </w:rPr>
      </w:pPr>
      <w:r>
        <w:rPr>
          <w:rFonts w:hint="eastAsia"/>
          <w:sz w:val="24"/>
        </w:rPr>
        <w:t>2.3本工程量清单中所列工程数量是估算的或设计的预计数量，仅作为投标报价的共同基础，不能作为最终结算的依据。实际支付应按实际完成的工程量，由承包人按技术规范及工程量清单说明的规定的计量方法，以监理人认可的尺寸、断面计量，按工程量清单的单价或总额价计算支付金额。</w:t>
      </w:r>
    </w:p>
    <w:p w14:paraId="044FD026">
      <w:pPr>
        <w:spacing w:line="500" w:lineRule="exact"/>
        <w:ind w:firstLine="480" w:firstLineChars="200"/>
        <w:rPr>
          <w:rFonts w:hint="eastAsia"/>
          <w:sz w:val="24"/>
        </w:rPr>
      </w:pPr>
      <w:r>
        <w:rPr>
          <w:rFonts w:hint="eastAsia"/>
          <w:sz w:val="24"/>
        </w:rPr>
        <w:t>2.4工程量清单各章是按现行</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sz w:val="24"/>
        </w:rPr>
        <w:t>的相应章次编号的，因此，工程量清单各章的工程子目的范围与计量等应与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sz w:val="24"/>
        </w:rPr>
        <w:t>相应章节的范围、计量与支付条款结合起来理解或解释。</w:t>
      </w:r>
    </w:p>
    <w:p w14:paraId="0E317D01">
      <w:pPr>
        <w:spacing w:line="500" w:lineRule="exact"/>
        <w:ind w:firstLine="480" w:firstLineChars="200"/>
        <w:rPr>
          <w:rFonts w:hint="eastAsia"/>
          <w:sz w:val="24"/>
        </w:rPr>
      </w:pPr>
      <w:r>
        <w:rPr>
          <w:rFonts w:hint="eastAsia"/>
          <w:sz w:val="24"/>
        </w:rPr>
        <w:t>2.5对作业和材料的一般说明或规定，未重复写入工程量清单内，除非本文件有特殊规定，在给工程量清单各子目标价前，应参阅“技术规范”和施工图纸的有关内容。</w:t>
      </w:r>
    </w:p>
    <w:p w14:paraId="070A9DA9">
      <w:pPr>
        <w:spacing w:line="500" w:lineRule="exact"/>
        <w:ind w:firstLine="480" w:firstLineChars="200"/>
        <w:rPr>
          <w:rFonts w:hint="eastAsia"/>
          <w:sz w:val="24"/>
        </w:rPr>
      </w:pPr>
      <w:r>
        <w:rPr>
          <w:rFonts w:hint="eastAsia"/>
          <w:sz w:val="24"/>
        </w:rPr>
        <w:t>2.6工程量清单中所列工程量的变动，丝毫不会降低或影响合同条款的效力，也不免除承包人按规定的标准进行施工和修复缺陷的责任。</w:t>
      </w:r>
    </w:p>
    <w:p w14:paraId="38183FE0">
      <w:pPr>
        <w:spacing w:line="500" w:lineRule="exact"/>
        <w:ind w:firstLine="480" w:firstLineChars="200"/>
        <w:rPr>
          <w:rFonts w:hint="eastAsia"/>
          <w:sz w:val="24"/>
        </w:rPr>
      </w:pPr>
      <w:r>
        <w:rPr>
          <w:rFonts w:hint="eastAsia"/>
          <w:sz w:val="24"/>
        </w:rPr>
        <w:t>2.7图纸中所列的工程数量表及数量汇总表仅是提供资料，不是工程量清单的外延。当图纸与工程量清单所列数量不一致时，以工程量清单所列数量作为报价的依据。</w:t>
      </w:r>
    </w:p>
    <w:p w14:paraId="5CF4D88F">
      <w:pPr>
        <w:spacing w:line="500" w:lineRule="exact"/>
        <w:textAlignment w:val="baseline"/>
        <w:rPr>
          <w:rFonts w:hint="eastAsia" w:eastAsia="黑体"/>
          <w:b/>
          <w:sz w:val="28"/>
          <w:szCs w:val="28"/>
        </w:rPr>
      </w:pPr>
      <w:r>
        <w:rPr>
          <w:rFonts w:hint="eastAsia" w:eastAsia="黑体"/>
          <w:b/>
          <w:sz w:val="28"/>
          <w:szCs w:val="28"/>
        </w:rPr>
        <w:t>　　3. 投标报价说明</w:t>
      </w:r>
    </w:p>
    <w:p w14:paraId="1D8520A9">
      <w:pPr>
        <w:spacing w:line="500" w:lineRule="exact"/>
        <w:ind w:firstLine="480" w:firstLineChars="200"/>
        <w:rPr>
          <w:rFonts w:hint="eastAsia"/>
          <w:sz w:val="24"/>
        </w:rPr>
      </w:pPr>
      <w:r>
        <w:rPr>
          <w:rFonts w:hint="eastAsia"/>
          <w:sz w:val="24"/>
        </w:rPr>
        <w:t>3.1工程量清单中的每一子目须填入单价或价格，且只允许有一个报价。</w:t>
      </w:r>
    </w:p>
    <w:p w14:paraId="619D2215">
      <w:pPr>
        <w:spacing w:line="500" w:lineRule="exact"/>
        <w:ind w:firstLine="480" w:firstLineChars="200"/>
        <w:rPr>
          <w:rFonts w:hint="eastAsia"/>
          <w:sz w:val="24"/>
        </w:rPr>
      </w:pPr>
      <w:r>
        <w:rPr>
          <w:rFonts w:hint="eastAsia"/>
          <w:sz w:val="24"/>
        </w:rPr>
        <w:t>3.2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160CC25">
      <w:pPr>
        <w:spacing w:line="500" w:lineRule="exact"/>
        <w:ind w:firstLine="480" w:firstLineChars="200"/>
        <w:rPr>
          <w:rFonts w:hint="eastAsia"/>
          <w:sz w:val="24"/>
        </w:rPr>
      </w:pPr>
      <w:r>
        <w:rPr>
          <w:rFonts w:hint="eastAsia"/>
          <w:sz w:val="24"/>
        </w:rPr>
        <w:t>3.3工程量清单中投标人没有填入单价或价格的子目，其费用视为已分摊在工程量清单中其他相关子目的单价或价格之中。承包人必须按监理工程师指令完成工程量清单中未填入单价或价格的子目，但不能得到结算与支付。</w:t>
      </w:r>
    </w:p>
    <w:p w14:paraId="368903DD">
      <w:pPr>
        <w:spacing w:line="500" w:lineRule="exact"/>
        <w:ind w:firstLine="480" w:firstLineChars="200"/>
        <w:rPr>
          <w:rFonts w:hint="eastAsia"/>
          <w:sz w:val="24"/>
        </w:rPr>
      </w:pPr>
      <w:r>
        <w:rPr>
          <w:rFonts w:hint="eastAsia"/>
          <w:sz w:val="24"/>
        </w:rPr>
        <w:t>3.4符合合同条款规定的全部费用应认为已被计入有标价的工程量清单所列各子目之中，未列子目不予计量的工作，其费用应视为已分摊在本合同工程的有关子目的单价或总额价之中。</w:t>
      </w:r>
    </w:p>
    <w:p w14:paraId="4F4060C0">
      <w:pPr>
        <w:spacing w:line="500" w:lineRule="exact"/>
        <w:ind w:firstLine="480" w:firstLineChars="200"/>
        <w:rPr>
          <w:rFonts w:hint="eastAsia"/>
          <w:sz w:val="24"/>
        </w:rPr>
      </w:pPr>
      <w:r>
        <w:rPr>
          <w:rFonts w:hint="eastAsia"/>
          <w:sz w:val="24"/>
        </w:rPr>
        <w:t>3.5承包人用于本合同工程的各类装备的提供、运输、维护、拆卸、拼装等支付的费用，已包括在工程清单的单价和总额价之中。</w:t>
      </w:r>
    </w:p>
    <w:p w14:paraId="0EFEB46B">
      <w:pPr>
        <w:spacing w:line="500" w:lineRule="exact"/>
        <w:ind w:firstLine="480" w:firstLineChars="200"/>
        <w:rPr>
          <w:rFonts w:hint="eastAsia"/>
          <w:sz w:val="24"/>
        </w:rPr>
      </w:pPr>
      <w:r>
        <w:rPr>
          <w:rFonts w:hint="eastAsia"/>
          <w:sz w:val="24"/>
        </w:rPr>
        <w:t>3.6工程量清单中各项金额均以人民币（元）结算。</w:t>
      </w:r>
    </w:p>
    <w:p w14:paraId="675C7F5D">
      <w:pPr>
        <w:numPr>
          <w:ilvl w:val="0"/>
          <w:numId w:val="1"/>
        </w:numPr>
        <w:spacing w:line="500" w:lineRule="exact"/>
        <w:ind w:left="562" w:leftChars="0" w:firstLine="0" w:firstLineChars="0"/>
        <w:textAlignment w:val="baseline"/>
        <w:rPr>
          <w:rFonts w:hint="eastAsia" w:eastAsia="黑体"/>
          <w:b/>
          <w:sz w:val="28"/>
          <w:szCs w:val="28"/>
        </w:rPr>
      </w:pPr>
      <w:bookmarkStart w:id="4" w:name="_Toc179632792"/>
      <w:r>
        <w:rPr>
          <w:rFonts w:hint="eastAsia" w:eastAsia="黑体"/>
          <w:b/>
          <w:sz w:val="28"/>
          <w:szCs w:val="28"/>
        </w:rPr>
        <w:t>其他说明</w:t>
      </w:r>
      <w:bookmarkEnd w:id="4"/>
    </w:p>
    <w:p w14:paraId="5CB08CDC">
      <w:pPr>
        <w:spacing w:line="500" w:lineRule="exact"/>
        <w:ind w:firstLine="480" w:firstLineChars="200"/>
        <w:rPr>
          <w:rFonts w:hint="eastAsia" w:eastAsia="黑体"/>
          <w:b/>
          <w:sz w:val="28"/>
          <w:szCs w:val="28"/>
        </w:rPr>
      </w:pPr>
      <w:r>
        <w:rPr>
          <w:rFonts w:hint="eastAsia"/>
          <w:sz w:val="24"/>
          <w:lang w:val="en-US" w:eastAsia="zh-CN"/>
        </w:rPr>
        <w:t>本项目招标人不组织现场考察，</w:t>
      </w:r>
      <w:r>
        <w:rPr>
          <w:rFonts w:hint="eastAsia"/>
          <w:sz w:val="24"/>
        </w:rPr>
        <w:t>投标人投标前要充分考察现场，要充分考虑施工机械的进出线路、土方运输线路（如因农路桥梁限载或部分道路运输不便而必须实施便桥或便道等），在投标报价时综合考虑在其他报价中，施工过程中不得由此而提出任何费用。</w:t>
      </w:r>
    </w:p>
    <w:p w14:paraId="3CCA4DB6">
      <w:pPr>
        <w:spacing w:line="500" w:lineRule="exact"/>
        <w:ind w:firstLine="480" w:firstLineChars="200"/>
        <w:rPr>
          <w:rFonts w:hint="eastAsia" w:ascii="宋体" w:hAnsi="宋体"/>
          <w:sz w:val="24"/>
        </w:rPr>
      </w:pPr>
      <w:r>
        <w:rPr>
          <w:rFonts w:hint="eastAsia"/>
          <w:sz w:val="24"/>
        </w:rPr>
        <w:t>本部分内容是根据本工程实际情况，对</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中“技术规范”中关于计量内容的补充，是对工程量清单中发包人认为有必要提醒各潜在投标人注意的、需要特别说明的部分项目进行的说明，应与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中“技术规范”的内容结合起来理解。</w:t>
      </w:r>
      <w:r>
        <w:rPr>
          <w:rFonts w:hint="eastAsia"/>
          <w:sz w:val="24"/>
        </w:rPr>
        <w:t>发包人编制的“特殊说明”并不限于本部分</w:t>
      </w:r>
      <w:r>
        <w:rPr>
          <w:rFonts w:hint="eastAsia" w:ascii="宋体" w:hAnsi="宋体"/>
          <w:sz w:val="24"/>
        </w:rPr>
        <w:t>所列内容。请各潜在投标单位认真阅读，并以此作为投标时关于下述工程量清单项目定价的依据。同时，本说明涉及的计量方法也将会是发包人在施工过程中进行计量的依据：</w:t>
      </w:r>
    </w:p>
    <w:p w14:paraId="3831BCDE">
      <w:pPr>
        <w:spacing w:line="500" w:lineRule="exact"/>
        <w:ind w:firstLine="480" w:firstLineChars="200"/>
        <w:rPr>
          <w:rFonts w:hint="eastAsia"/>
          <w:sz w:val="24"/>
        </w:rPr>
      </w:pPr>
      <w:r>
        <w:rPr>
          <w:rFonts w:hint="eastAsia"/>
          <w:sz w:val="24"/>
        </w:rPr>
        <w:t>4.1计量时工程量数量计算采用的小数点后精确位数与本招标文件工程量清单提供数量的精确位数相同。且本清单计量子目的单位如存在与</w:t>
      </w:r>
      <w:r>
        <w:rPr>
          <w:rFonts w:ascii="宋体" w:hAnsi="宋体"/>
          <w:sz w:val="24"/>
        </w:rPr>
        <w:t>《公路工程</w:t>
      </w:r>
      <w:r>
        <w:rPr>
          <w:rFonts w:hint="eastAsia" w:ascii="宋体" w:hAnsi="宋体"/>
          <w:sz w:val="24"/>
        </w:rPr>
        <w:t>标准施工</w:t>
      </w:r>
      <w:r>
        <w:rPr>
          <w:rFonts w:ascii="宋体" w:hAnsi="宋体"/>
          <w:sz w:val="24"/>
        </w:rPr>
        <w:t>招标文件 (20</w:t>
      </w:r>
      <w:r>
        <w:rPr>
          <w:rFonts w:hint="eastAsia" w:ascii="宋体" w:hAnsi="宋体"/>
          <w:sz w:val="24"/>
        </w:rPr>
        <w:t>18</w:t>
      </w:r>
      <w:r>
        <w:rPr>
          <w:rFonts w:ascii="宋体" w:hAnsi="宋体"/>
          <w:sz w:val="24"/>
        </w:rPr>
        <w:t>年版)》</w:t>
      </w:r>
      <w:r>
        <w:rPr>
          <w:rFonts w:hint="eastAsia" w:ascii="宋体" w:hAnsi="宋体"/>
          <w:sz w:val="24"/>
        </w:rPr>
        <w:t>中“技术规范”的内容不同的情况，也按照</w:t>
      </w:r>
      <w:r>
        <w:rPr>
          <w:rFonts w:hint="eastAsia"/>
          <w:sz w:val="24"/>
        </w:rPr>
        <w:t>本清单计量子目的单位进行计量。</w:t>
      </w:r>
    </w:p>
    <w:p w14:paraId="43B54225">
      <w:pPr>
        <w:spacing w:line="500" w:lineRule="exact"/>
        <w:ind w:firstLine="480" w:firstLineChars="200"/>
        <w:rPr>
          <w:rFonts w:hint="eastAsia"/>
          <w:sz w:val="24"/>
        </w:rPr>
      </w:pPr>
      <w:r>
        <w:rPr>
          <w:rFonts w:hint="eastAsia"/>
          <w:sz w:val="24"/>
        </w:rPr>
        <w:t>4.2投标人应在其投标价中综合考虑临时用地、供水与排污设施、施工环保、电信设施的提供、维修与拆除等所需的费用，发包人不单独计量。</w:t>
      </w:r>
    </w:p>
    <w:p w14:paraId="3B23A80F">
      <w:pPr>
        <w:spacing w:line="500" w:lineRule="exact"/>
        <w:ind w:firstLine="480" w:firstLineChars="200"/>
        <w:rPr>
          <w:rFonts w:hint="eastAsia"/>
          <w:sz w:val="24"/>
        </w:rPr>
      </w:pPr>
      <w:r>
        <w:rPr>
          <w:rFonts w:hint="eastAsia"/>
          <w:sz w:val="24"/>
        </w:rPr>
        <w:t>无论在何种情况下，发包人均不对应属于承包人自行与施工当地签署临时用地协议而使用的临时用地范围内、因承包人施工造成的任何拆迁考虑补偿。因此，投标人应认真了解、考察施工现场，避免因选择临时用地不当而产生损失。</w:t>
      </w:r>
    </w:p>
    <w:p w14:paraId="05AA42B3">
      <w:pPr>
        <w:spacing w:line="500" w:lineRule="exact"/>
        <w:ind w:firstLine="482" w:firstLineChars="200"/>
        <w:rPr>
          <w:rFonts w:hint="eastAsia"/>
          <w:sz w:val="24"/>
        </w:rPr>
      </w:pPr>
      <w:r>
        <w:rPr>
          <w:rFonts w:hint="eastAsia" w:ascii="黑体" w:eastAsia="黑体"/>
          <w:b/>
          <w:sz w:val="24"/>
        </w:rPr>
        <w:t>4.3业主标底编制：</w:t>
      </w:r>
      <w:r>
        <w:rPr>
          <w:sz w:val="24"/>
        </w:rPr>
        <w:t>编制依据为</w:t>
      </w:r>
      <w:r>
        <w:rPr>
          <w:rFonts w:hint="eastAsia"/>
          <w:sz w:val="24"/>
        </w:rPr>
        <w:t>公路招标范本（2018版），《公路工程预算定额》（JTG/T 3832-2018）</w:t>
      </w:r>
      <w:r>
        <w:rPr>
          <w:sz w:val="24"/>
        </w:rPr>
        <w:t>及</w:t>
      </w:r>
      <w:r>
        <w:rPr>
          <w:rFonts w:hint="eastAsia"/>
          <w:sz w:val="24"/>
        </w:rPr>
        <w:t>《公路工程机械台班费用定额》（JTG/T 3833-2018）</w:t>
      </w:r>
      <w:r>
        <w:rPr>
          <w:sz w:val="24"/>
        </w:rPr>
        <w:t>；人工费单价</w:t>
      </w:r>
      <w:r>
        <w:rPr>
          <w:rFonts w:hint="eastAsia"/>
          <w:sz w:val="24"/>
        </w:rPr>
        <w:t>128.17</w:t>
      </w:r>
      <w:r>
        <w:rPr>
          <w:sz w:val="24"/>
        </w:rPr>
        <w:t>元/工日，机械人工费单价</w:t>
      </w:r>
      <w:r>
        <w:rPr>
          <w:rFonts w:hint="eastAsia"/>
          <w:sz w:val="24"/>
        </w:rPr>
        <w:t>128.17</w:t>
      </w:r>
      <w:r>
        <w:rPr>
          <w:sz w:val="24"/>
        </w:rPr>
        <w:t>元/工日；养老保险费</w:t>
      </w:r>
      <w:r>
        <w:rPr>
          <w:rFonts w:hint="eastAsia"/>
          <w:sz w:val="24"/>
        </w:rPr>
        <w:t>16</w:t>
      </w:r>
      <w:r>
        <w:rPr>
          <w:sz w:val="24"/>
        </w:rPr>
        <w:t>%，失业保险费</w:t>
      </w:r>
      <w:r>
        <w:rPr>
          <w:rFonts w:hint="eastAsia"/>
          <w:sz w:val="24"/>
        </w:rPr>
        <w:t>0.5</w:t>
      </w:r>
      <w:r>
        <w:rPr>
          <w:sz w:val="24"/>
        </w:rPr>
        <w:t>%，医疗保险费</w:t>
      </w:r>
      <w:r>
        <w:rPr>
          <w:rFonts w:hint="eastAsia"/>
          <w:sz w:val="24"/>
        </w:rPr>
        <w:t>6.8</w:t>
      </w:r>
      <w:r>
        <w:rPr>
          <w:sz w:val="24"/>
        </w:rPr>
        <w:t>%（含生育保险0.8%），住房公积金</w:t>
      </w:r>
      <w:r>
        <w:rPr>
          <w:rFonts w:hint="eastAsia"/>
          <w:sz w:val="24"/>
        </w:rPr>
        <w:t>10</w:t>
      </w:r>
      <w:r>
        <w:rPr>
          <w:sz w:val="24"/>
        </w:rPr>
        <w:t>%，工伤保险费</w:t>
      </w:r>
      <w:r>
        <w:rPr>
          <w:rFonts w:hint="eastAsia"/>
          <w:sz w:val="24"/>
        </w:rPr>
        <w:t>1.1</w:t>
      </w:r>
      <w:r>
        <w:rPr>
          <w:sz w:val="24"/>
        </w:rPr>
        <w:t>%；其他工程费、间接费中的企业管理费、利润和税金均按部颁费率执行。</w:t>
      </w:r>
      <w:r>
        <w:rPr>
          <w:rFonts w:hint="eastAsia"/>
          <w:sz w:val="24"/>
        </w:rPr>
        <w:t>材料价格执行江苏省交通厅202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月份指导价，缺项的执行202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月《镇江工程造价》的建筑材料市场指导价</w:t>
      </w:r>
      <w:r>
        <w:rPr>
          <w:rFonts w:hint="eastAsia"/>
          <w:sz w:val="24"/>
          <w:lang w:val="en-US" w:eastAsia="zh-CN"/>
        </w:rPr>
        <w:t>及市场调研价格</w:t>
      </w:r>
      <w:r>
        <w:rPr>
          <w:rFonts w:hint="eastAsia"/>
          <w:sz w:val="24"/>
        </w:rPr>
        <w:t>。</w:t>
      </w:r>
    </w:p>
    <w:p w14:paraId="268B4724">
      <w:pPr>
        <w:spacing w:line="500" w:lineRule="exact"/>
        <w:ind w:firstLine="482" w:firstLineChars="200"/>
        <w:rPr>
          <w:rFonts w:hint="eastAsia" w:ascii="黑体" w:hAnsi="宋体" w:eastAsia="黑体"/>
          <w:b/>
          <w:sz w:val="24"/>
        </w:rPr>
      </w:pPr>
      <w:r>
        <w:rPr>
          <w:rFonts w:hint="eastAsia" w:ascii="黑体" w:hAnsi="宋体" w:eastAsia="黑体"/>
          <w:b/>
          <w:sz w:val="24"/>
        </w:rPr>
        <w:t>4.4招标人提醒：</w:t>
      </w:r>
    </w:p>
    <w:p w14:paraId="7641A484">
      <w:pPr>
        <w:spacing w:line="500" w:lineRule="exact"/>
        <w:ind w:firstLine="354" w:firstLineChars="147"/>
        <w:rPr>
          <w:rFonts w:hint="eastAsia" w:ascii="黑体" w:hAnsi="宋体" w:eastAsia="黑体"/>
          <w:b/>
          <w:sz w:val="24"/>
        </w:rPr>
      </w:pPr>
      <w:r>
        <w:rPr>
          <w:rFonts w:hint="eastAsia" w:ascii="黑体" w:hAnsi="宋体" w:eastAsia="黑体"/>
          <w:b/>
          <w:sz w:val="24"/>
        </w:rPr>
        <w:t>（1）设计图纸是各潜在投标单位投标的基础，各潜在投标单位要认真阅读和审查图纸。同时，工程量清单是依据</w:t>
      </w:r>
      <w:r>
        <w:rPr>
          <w:rFonts w:ascii="黑体" w:hAnsi="宋体" w:eastAsia="黑体"/>
          <w:b/>
          <w:sz w:val="24"/>
        </w:rPr>
        <w:t>《</w:t>
      </w:r>
      <w:r>
        <w:rPr>
          <w:rFonts w:hint="eastAsia" w:ascii="黑体" w:hAnsi="宋体" w:eastAsia="黑体"/>
          <w:b/>
          <w:sz w:val="24"/>
        </w:rPr>
        <w:t>标准</w:t>
      </w:r>
      <w:r>
        <w:rPr>
          <w:rFonts w:ascii="黑体" w:hAnsi="宋体" w:eastAsia="黑体"/>
          <w:b/>
          <w:sz w:val="24"/>
        </w:rPr>
        <w:t>文件》</w:t>
      </w:r>
      <w:r>
        <w:rPr>
          <w:rFonts w:hint="eastAsia" w:ascii="黑体" w:hAnsi="宋体" w:eastAsia="黑体"/>
          <w:b/>
          <w:sz w:val="24"/>
        </w:rPr>
        <w:t>中《技术规范》对应编列的，是对设计图纸各个施工内容（投标人须知规定的招标范围内的项目）的汇总。因此，无论工程量清单中是否有现成的子目与设计图纸对应，各潜在投标单位的投标报价中均应包含设计图纸（投标人须知规定的招标范围内的项目）的全部施工内容。</w:t>
      </w:r>
    </w:p>
    <w:p w14:paraId="64EA23A0">
      <w:pPr>
        <w:spacing w:line="400" w:lineRule="exact"/>
        <w:ind w:firstLine="360" w:firstLineChars="150"/>
        <w:rPr>
          <w:rFonts w:hint="eastAsia"/>
          <w:color w:val="auto"/>
          <w:sz w:val="24"/>
          <w:lang w:val="en-US" w:eastAsia="zh-CN"/>
        </w:rPr>
      </w:pPr>
      <w:r>
        <w:rPr>
          <w:rFonts w:hint="eastAsia"/>
          <w:color w:val="auto"/>
          <w:sz w:val="24"/>
          <w:lang w:val="en-US" w:eastAsia="zh-CN"/>
        </w:rPr>
        <w:t>（2）101-1按照合同条款，承包人必须为本项目所有人员（包括临时工）缴纳建筑业工伤保险费，按有关规定缴纳工程一切险、第三者责任保险。在投标报价时，按工程量清单所示固定价进行报价，承包人投保后以票据结算，并按总额控制。若承包人未按照招标文件和国家有关规定办理各种保险，一旦发生保险范围内的事件，损失由承包人自行承担。</w:t>
      </w:r>
    </w:p>
    <w:p w14:paraId="6F1D9EB3">
      <w:pPr>
        <w:numPr>
          <w:ilvl w:val="0"/>
          <w:numId w:val="2"/>
        </w:numPr>
        <w:spacing w:line="400" w:lineRule="exact"/>
        <w:ind w:firstLine="360" w:firstLineChars="15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安全生产费按固定价列于工程量清单汇总表，在投标报价时，按工程量清单所示固定价进行报价，合同实施时，将由监理人对承包人相关工作进行考核后，根据考核结果进行计量，并按总额控制。</w:t>
      </w:r>
    </w:p>
    <w:p w14:paraId="3573F2B2">
      <w:pPr>
        <w:numPr>
          <w:ilvl w:val="0"/>
          <w:numId w:val="2"/>
        </w:numPr>
        <w:spacing w:line="400" w:lineRule="exact"/>
        <w:ind w:left="0" w:leftChars="0" w:firstLine="360" w:firstLineChars="15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竣工文件按固定价报价，不得修改。在项目实施工程中由监理人考核合格后以总额计量包干使用。以上实际费用超出清单总额价的，超出部分费用已包含在投标总价内，招标人不另行计量与支付，投标人应予以充分考虑。</w:t>
      </w:r>
    </w:p>
    <w:p w14:paraId="4A554B06">
      <w:pPr>
        <w:spacing w:line="400" w:lineRule="exact"/>
        <w:ind w:firstLine="360" w:firstLineChars="150"/>
        <w:rPr>
          <w:rFonts w:hint="default" w:ascii="Times New Roman" w:hAnsi="Times New Roman" w:eastAsia="宋体" w:cs="Times New Roman"/>
          <w:color w:val="auto"/>
          <w:sz w:val="24"/>
          <w:lang w:val="en-US" w:eastAsia="zh-CN"/>
        </w:rPr>
      </w:pPr>
      <w:r>
        <w:rPr>
          <w:rFonts w:hint="eastAsia"/>
          <w:color w:val="auto"/>
          <w:sz w:val="24"/>
          <w:lang w:val="en-US" w:eastAsia="zh-CN"/>
        </w:rPr>
        <w:t>（5）</w:t>
      </w:r>
      <w:r>
        <w:rPr>
          <w:rFonts w:hint="eastAsia" w:ascii="Times New Roman" w:hAnsi="Times New Roman" w:eastAsia="宋体" w:cs="Times New Roman"/>
          <w:color w:val="auto"/>
          <w:sz w:val="24"/>
          <w:lang w:val="en-US" w:eastAsia="zh-CN"/>
        </w:rPr>
        <w:t>根据省交通运输厅《关于招标文件贯彻落实扬尘污染防治有关法律法规规定的指导意见》，施工环保费含扬尘污染防治措施等费用，包含裸露土方及易扬尘物料的覆盖、洒水、清扫、保洁等降尘控尘措施，并开启喷淋、雾炮等降尘设施等内容。</w:t>
      </w:r>
    </w:p>
    <w:p w14:paraId="5A62A1A6">
      <w:pPr>
        <w:spacing w:line="400" w:lineRule="exact"/>
        <w:ind w:firstLine="360" w:firstLineChars="150"/>
        <w:rPr>
          <w:rFonts w:hint="default" w:ascii="Times New Roman" w:hAnsi="Times New Roman" w:eastAsia="宋体" w:cs="Times New Roman"/>
          <w:color w:val="auto"/>
          <w:sz w:val="24"/>
          <w:lang w:val="en-US" w:eastAsia="zh-CN"/>
        </w:rPr>
      </w:pPr>
      <w:r>
        <w:rPr>
          <w:rFonts w:hint="eastAsia"/>
          <w:color w:val="auto"/>
          <w:sz w:val="24"/>
          <w:lang w:val="en-US" w:eastAsia="zh-CN"/>
        </w:rPr>
        <w:t>（6）</w:t>
      </w:r>
      <w:r>
        <w:rPr>
          <w:rFonts w:hint="eastAsia" w:ascii="Times New Roman" w:hAnsi="Times New Roman" w:eastAsia="宋体" w:cs="Times New Roman"/>
          <w:color w:val="auto"/>
          <w:sz w:val="24"/>
          <w:lang w:val="en-US" w:eastAsia="zh-CN"/>
        </w:rPr>
        <w:t>承包人驻地建设费按固定价列于100章中，投标人按固定价报价，不得修改。超出部分费用视为已包含在投标总价内，招标人不另行计量与支付，投标人应予以充分考虑。</w:t>
      </w:r>
    </w:p>
    <w:p w14:paraId="29626625">
      <w:pPr>
        <w:spacing w:line="400" w:lineRule="exact"/>
        <w:ind w:firstLine="360" w:firstLineChars="150"/>
        <w:rPr>
          <w:rFonts w:hint="eastAsia" w:ascii="Times New Roman" w:hAnsi="Times New Roman" w:eastAsia="宋体" w:cs="Times New Roman"/>
          <w:color w:val="auto"/>
          <w:sz w:val="24"/>
          <w:lang w:val="en-US" w:eastAsia="zh-CN"/>
        </w:rPr>
      </w:pPr>
      <w:r>
        <w:rPr>
          <w:rFonts w:hint="eastAsia"/>
          <w:color w:val="auto"/>
          <w:sz w:val="24"/>
          <w:lang w:val="en-US" w:eastAsia="zh-CN"/>
        </w:rPr>
        <w:t>（7）</w:t>
      </w:r>
      <w:r>
        <w:rPr>
          <w:rFonts w:hint="eastAsia" w:ascii="Times New Roman" w:hAnsi="Times New Roman" w:eastAsia="宋体" w:cs="Times New Roman"/>
          <w:color w:val="auto"/>
          <w:sz w:val="24"/>
          <w:lang w:val="en-US" w:eastAsia="zh-CN"/>
        </w:rPr>
        <w:t>100章内容根据标段清单所列为准，不单列的子目由投标人考虑在其它相关子目单价中综合报价。</w:t>
      </w:r>
    </w:p>
    <w:p w14:paraId="2C905562">
      <w:pPr>
        <w:numPr>
          <w:ilvl w:val="0"/>
          <w:numId w:val="0"/>
        </w:numPr>
        <w:spacing w:line="400" w:lineRule="exact"/>
        <w:ind w:firstLine="480" w:firstLineChars="200"/>
        <w:rPr>
          <w:rFonts w:hint="eastAsia" w:ascii="Times New Roman" w:hAnsi="Times New Roman" w:eastAsia="宋体" w:cs="Times New Roman"/>
          <w:color w:val="auto"/>
          <w:sz w:val="24"/>
          <w:lang w:val="en-US" w:eastAsia="zh-CN"/>
        </w:rPr>
      </w:pPr>
      <w:r>
        <w:rPr>
          <w:rFonts w:hint="eastAsia"/>
          <w:color w:val="auto"/>
          <w:sz w:val="24"/>
          <w:lang w:val="en-US" w:eastAsia="zh-CN"/>
        </w:rPr>
        <w:t>（8）</w:t>
      </w:r>
      <w:r>
        <w:rPr>
          <w:rFonts w:hint="eastAsia" w:ascii="Times New Roman" w:hAnsi="Times New Roman" w:eastAsia="宋体" w:cs="Times New Roman"/>
          <w:color w:val="auto"/>
          <w:sz w:val="24"/>
          <w:lang w:val="en-US" w:eastAsia="zh-CN"/>
        </w:rPr>
        <w:t>本工程施工所需水、接电（或自发电）由承包人负责，以上费用在其它相关子目单价中综合报价。</w:t>
      </w:r>
    </w:p>
    <w:p w14:paraId="1A938289">
      <w:pPr>
        <w:numPr>
          <w:ilvl w:val="0"/>
          <w:numId w:val="0"/>
        </w:numPr>
        <w:spacing w:line="400" w:lineRule="exact"/>
        <w:ind w:leftChars="150"/>
        <w:rPr>
          <w:rFonts w:hint="eastAsia" w:ascii="Times New Roman" w:hAnsi="Times New Roman" w:eastAsia="宋体" w:cs="Times New Roman"/>
          <w:color w:val="auto"/>
          <w:sz w:val="24"/>
          <w:lang w:val="en-US" w:eastAsia="zh-CN"/>
        </w:rPr>
      </w:pPr>
      <w:r>
        <w:rPr>
          <w:rFonts w:hint="eastAsia"/>
          <w:color w:val="auto"/>
          <w:sz w:val="24"/>
          <w:lang w:val="en-US" w:eastAsia="zh-CN"/>
        </w:rPr>
        <w:t>（9）</w:t>
      </w:r>
      <w:r>
        <w:rPr>
          <w:rFonts w:hint="eastAsia" w:ascii="Times New Roman" w:hAnsi="Times New Roman" w:eastAsia="宋体" w:cs="Times New Roman"/>
          <w:color w:val="auto"/>
          <w:sz w:val="24"/>
          <w:lang w:val="en-US" w:eastAsia="zh-CN"/>
        </w:rPr>
        <w:t>其余详见编制说明、招标文件项目专用本及《公路工程标准施工招标文件》（2018年版）。</w:t>
      </w:r>
    </w:p>
    <w:p w14:paraId="54C76BCD">
      <w:pPr>
        <w:spacing w:line="500" w:lineRule="exact"/>
        <w:jc w:val="left"/>
        <w:rPr>
          <w:rFonts w:hint="eastAsia"/>
          <w:b/>
          <w:color w:val="auto"/>
          <w:sz w:val="24"/>
        </w:rPr>
      </w:pPr>
      <w:r>
        <w:rPr>
          <w:rFonts w:hint="eastAsia"/>
          <w:b/>
          <w:color w:val="auto"/>
          <w:sz w:val="24"/>
        </w:rPr>
        <w:t>　　5. 税金</w:t>
      </w:r>
    </w:p>
    <w:p w14:paraId="77C20159">
      <w:pPr>
        <w:spacing w:line="500" w:lineRule="exact"/>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5.1、</w:t>
      </w:r>
      <w:r>
        <w:rPr>
          <w:rFonts w:hint="eastAsia" w:ascii="Times New Roman" w:hAnsi="Times New Roman" w:eastAsia="宋体" w:cs="Times New Roman"/>
          <w:color w:val="auto"/>
          <w:sz w:val="24"/>
          <w:lang w:val="en-US" w:eastAsia="zh-CN"/>
        </w:rPr>
        <w:t>本项目清单预算及投标文件均执行《公路工程建设项目概算预算编制办法》</w:t>
      </w:r>
      <w:r>
        <w:rPr>
          <w:rFonts w:hint="eastAsia" w:ascii="Times New Roman" w:hAnsi="Times New Roman" w:eastAsia="宋体" w:cs="Times New Roman"/>
          <w:color w:val="auto"/>
          <w:sz w:val="24"/>
          <w:lang w:val="en-US" w:eastAsia="en-US"/>
        </w:rPr>
        <w:t>（JTG3830</w:t>
      </w:r>
      <w:r>
        <w:rPr>
          <w:rFonts w:hint="eastAsia" w:ascii="Times New Roman" w:hAnsi="Times New Roman" w:eastAsia="宋体" w:cs="Times New Roman"/>
          <w:color w:val="auto"/>
          <w:sz w:val="24"/>
          <w:lang w:val="en-US" w:eastAsia="zh-CN"/>
        </w:rPr>
        <w:t>-2018）及相应定 額；本工程釆用一般计税法，工程清单价按税率9%编制。</w:t>
      </w:r>
    </w:p>
    <w:p w14:paraId="4447F664">
      <w:pPr>
        <w:spacing w:line="500" w:lineRule="exact"/>
        <w:rPr>
          <w:rFonts w:hint="default" w:eastAsia="宋体"/>
          <w:b/>
          <w:sz w:val="24"/>
          <w:lang w:val="en-US" w:eastAsia="zh-CN"/>
        </w:rPr>
      </w:pPr>
      <w:r>
        <w:rPr>
          <w:rFonts w:hint="eastAsia"/>
          <w:b/>
          <w:sz w:val="24"/>
        </w:rPr>
        <w:t xml:space="preserve">  </w:t>
      </w:r>
      <w:r>
        <w:rPr>
          <w:rFonts w:hint="eastAsia"/>
          <w:b/>
          <w:sz w:val="24"/>
          <w:lang w:val="en-US" w:eastAsia="zh-CN"/>
        </w:rPr>
        <w:t>6.</w:t>
      </w:r>
      <w:r>
        <w:rPr>
          <w:rFonts w:hint="eastAsia"/>
          <w:b/>
          <w:sz w:val="24"/>
        </w:rPr>
        <w:t xml:space="preserve"> </w:t>
      </w:r>
      <w:r>
        <w:rPr>
          <w:rFonts w:hint="eastAsia"/>
          <w:b/>
          <w:sz w:val="24"/>
          <w:lang w:val="en-US" w:eastAsia="zh-CN"/>
        </w:rPr>
        <w:t>甲供材料</w:t>
      </w:r>
    </w:p>
    <w:p w14:paraId="14D26AE7">
      <w:pPr>
        <w:spacing w:line="500" w:lineRule="exact"/>
        <w:ind w:firstLine="480"/>
        <w:rPr>
          <w:rFonts w:hint="eastAsia"/>
          <w:sz w:val="24"/>
        </w:rPr>
      </w:pPr>
      <w:r>
        <w:rPr>
          <w:rFonts w:hint="eastAsia"/>
          <w:sz w:val="24"/>
          <w:lang w:val="en-US" w:eastAsia="zh-CN"/>
        </w:rPr>
        <w:t>6</w:t>
      </w:r>
      <w:r>
        <w:rPr>
          <w:rFonts w:hint="eastAsia"/>
          <w:sz w:val="24"/>
        </w:rPr>
        <w:t xml:space="preserve">.1 </w:t>
      </w:r>
      <w:r>
        <w:rPr>
          <w:rFonts w:hint="eastAsia"/>
          <w:sz w:val="24"/>
          <w:lang w:val="en-US" w:eastAsia="zh-CN"/>
        </w:rPr>
        <w:t>无</w:t>
      </w:r>
      <w:r>
        <w:rPr>
          <w:rFonts w:hint="eastAsia"/>
          <w:sz w:val="24"/>
        </w:rPr>
        <w:t>。</w:t>
      </w:r>
    </w:p>
    <w:p w14:paraId="3EC80A5E">
      <w:pPr>
        <w:spacing w:line="500" w:lineRule="exact"/>
        <w:rPr>
          <w:rFonts w:hint="eastAsia"/>
          <w:b/>
          <w:sz w:val="24"/>
          <w:lang w:val="en-US" w:eastAsia="zh-CN"/>
        </w:rPr>
      </w:pPr>
      <w:r>
        <w:rPr>
          <w:rFonts w:hint="eastAsia"/>
          <w:b/>
          <w:sz w:val="24"/>
        </w:rPr>
        <w:t xml:space="preserve">  </w:t>
      </w:r>
      <w:r>
        <w:rPr>
          <w:rFonts w:hint="eastAsia"/>
          <w:b/>
          <w:sz w:val="24"/>
          <w:lang w:val="en-US" w:eastAsia="zh-CN"/>
        </w:rPr>
        <w:t>7.</w:t>
      </w:r>
      <w:r>
        <w:rPr>
          <w:rFonts w:hint="eastAsia"/>
          <w:b/>
          <w:sz w:val="24"/>
        </w:rPr>
        <w:t xml:space="preserve"> </w:t>
      </w:r>
      <w:r>
        <w:rPr>
          <w:rFonts w:hint="eastAsia"/>
          <w:b/>
          <w:sz w:val="24"/>
          <w:lang w:val="en-US" w:eastAsia="zh-CN"/>
        </w:rPr>
        <w:t>暂列金额</w:t>
      </w:r>
    </w:p>
    <w:p w14:paraId="033A85DE">
      <w:pPr>
        <w:spacing w:line="500" w:lineRule="exact"/>
        <w:ind w:firstLine="480"/>
        <w:rPr>
          <w:rFonts w:hint="eastAsia"/>
          <w:sz w:val="24"/>
        </w:rPr>
      </w:pPr>
      <w:r>
        <w:rPr>
          <w:rFonts w:hint="eastAsia"/>
          <w:sz w:val="24"/>
          <w:lang w:val="en-US" w:eastAsia="zh-CN"/>
        </w:rPr>
        <w:t>7</w:t>
      </w:r>
      <w:r>
        <w:rPr>
          <w:rFonts w:hint="eastAsia"/>
          <w:sz w:val="24"/>
        </w:rPr>
        <w:t>.1</w:t>
      </w:r>
      <w:r>
        <w:rPr>
          <w:rFonts w:hint="eastAsia"/>
          <w:sz w:val="24"/>
          <w:lang w:eastAsia="zh-CN"/>
        </w:rPr>
        <w:t>、</w:t>
      </w:r>
      <w:r>
        <w:rPr>
          <w:rFonts w:hint="eastAsia"/>
          <w:sz w:val="24"/>
          <w:lang w:val="en-US" w:eastAsia="zh-CN"/>
        </w:rPr>
        <w:t>预留金=</w:t>
      </w:r>
      <w:r>
        <w:rPr>
          <w:rFonts w:hint="eastAsia"/>
          <w:sz w:val="24"/>
        </w:rPr>
        <w:t xml:space="preserve"> </w:t>
      </w:r>
      <w:r>
        <w:rPr>
          <w:rFonts w:hint="eastAsia"/>
          <w:sz w:val="24"/>
          <w:lang w:val="en-US" w:eastAsia="zh-CN"/>
        </w:rPr>
        <w:t>150000.00元、投标不予调整</w:t>
      </w:r>
      <w:r>
        <w:rPr>
          <w:rFonts w:hint="eastAsia"/>
          <w:sz w:val="24"/>
        </w:rPr>
        <w:t>。</w:t>
      </w:r>
    </w:p>
    <w:p w14:paraId="6D144A18">
      <w:pPr>
        <w:spacing w:line="500" w:lineRule="exact"/>
        <w:rPr>
          <w:rFonts w:hint="default"/>
          <w:b/>
          <w:sz w:val="24"/>
          <w:lang w:val="en-US" w:eastAsia="zh-CN"/>
        </w:rPr>
      </w:pPr>
    </w:p>
    <w:p w14:paraId="53B7AD16">
      <w:pPr>
        <w:spacing w:line="500" w:lineRule="exact"/>
        <w:ind w:firstLine="480"/>
        <w:rPr>
          <w:rFonts w:hint="eastAsia"/>
          <w:sz w:val="24"/>
        </w:rPr>
      </w:pPr>
    </w:p>
    <w:p w14:paraId="2B6C2C45">
      <w:pPr>
        <w:spacing w:line="500" w:lineRule="exact"/>
        <w:rPr>
          <w:sz w:val="24"/>
        </w:rPr>
      </w:pPr>
    </w:p>
    <w:sectPr>
      <w:pgSz w:w="11906" w:h="16838"/>
      <w:pgMar w:top="851" w:right="1134" w:bottom="56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F81E"/>
    <w:multiLevelType w:val="singleLevel"/>
    <w:tmpl w:val="84AFF81E"/>
    <w:lvl w:ilvl="0" w:tentative="0">
      <w:start w:val="3"/>
      <w:numFmt w:val="decimal"/>
      <w:suff w:val="nothing"/>
      <w:lvlText w:val="（%1）"/>
      <w:lvlJc w:val="left"/>
    </w:lvl>
  </w:abstractNum>
  <w:abstractNum w:abstractNumId="1">
    <w:nsid w:val="79516150"/>
    <w:multiLevelType w:val="singleLevel"/>
    <w:tmpl w:val="79516150"/>
    <w:lvl w:ilvl="0" w:tentative="0">
      <w:start w:val="4"/>
      <w:numFmt w:val="decimal"/>
      <w:lvlText w:val="%1."/>
      <w:lvlJc w:val="left"/>
      <w:pPr>
        <w:tabs>
          <w:tab w:val="left" w:pos="312"/>
        </w:tabs>
        <w:ind w:left="562"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jEzNjBkMjM1ODNmYTQ5YzNiZDE3OGZjODIwM2EifQ=="/>
  </w:docVars>
  <w:rsids>
    <w:rsidRoot w:val="00172A27"/>
    <w:rsid w:val="00001CAD"/>
    <w:rsid w:val="000F3379"/>
    <w:rsid w:val="00153039"/>
    <w:rsid w:val="00211E1D"/>
    <w:rsid w:val="00250BC1"/>
    <w:rsid w:val="00271164"/>
    <w:rsid w:val="002D7DAA"/>
    <w:rsid w:val="003102B0"/>
    <w:rsid w:val="0032496F"/>
    <w:rsid w:val="003A124C"/>
    <w:rsid w:val="003A3D17"/>
    <w:rsid w:val="003B7613"/>
    <w:rsid w:val="003C0FEB"/>
    <w:rsid w:val="00422BFC"/>
    <w:rsid w:val="00456B89"/>
    <w:rsid w:val="00480870"/>
    <w:rsid w:val="0050346B"/>
    <w:rsid w:val="0060505A"/>
    <w:rsid w:val="006B4278"/>
    <w:rsid w:val="006B457A"/>
    <w:rsid w:val="007163FC"/>
    <w:rsid w:val="007873C3"/>
    <w:rsid w:val="00840133"/>
    <w:rsid w:val="008C3BB4"/>
    <w:rsid w:val="008D2736"/>
    <w:rsid w:val="00935ECD"/>
    <w:rsid w:val="009A13E1"/>
    <w:rsid w:val="009E7DA2"/>
    <w:rsid w:val="00A00927"/>
    <w:rsid w:val="00A50C7A"/>
    <w:rsid w:val="00AB0FC6"/>
    <w:rsid w:val="00AE7D60"/>
    <w:rsid w:val="00B32DBB"/>
    <w:rsid w:val="00B3341F"/>
    <w:rsid w:val="00BC7B97"/>
    <w:rsid w:val="00C607CE"/>
    <w:rsid w:val="00C70666"/>
    <w:rsid w:val="00D53F05"/>
    <w:rsid w:val="00DA1949"/>
    <w:rsid w:val="00DC1445"/>
    <w:rsid w:val="00DD7F7B"/>
    <w:rsid w:val="00E750BF"/>
    <w:rsid w:val="00E856C8"/>
    <w:rsid w:val="00F12F18"/>
    <w:rsid w:val="00F266B3"/>
    <w:rsid w:val="00FA6FE5"/>
    <w:rsid w:val="00FE366C"/>
    <w:rsid w:val="05087233"/>
    <w:rsid w:val="052C1DF7"/>
    <w:rsid w:val="05E457CE"/>
    <w:rsid w:val="06001FB2"/>
    <w:rsid w:val="0701218C"/>
    <w:rsid w:val="0B416FFB"/>
    <w:rsid w:val="0C744C0B"/>
    <w:rsid w:val="0DA30933"/>
    <w:rsid w:val="108E1E42"/>
    <w:rsid w:val="10901D27"/>
    <w:rsid w:val="14885C9A"/>
    <w:rsid w:val="149D101A"/>
    <w:rsid w:val="15721ED6"/>
    <w:rsid w:val="163D4F1E"/>
    <w:rsid w:val="1A457C31"/>
    <w:rsid w:val="1CAB4C1C"/>
    <w:rsid w:val="1F7B6F6A"/>
    <w:rsid w:val="206F3DB1"/>
    <w:rsid w:val="222735A6"/>
    <w:rsid w:val="26D8337F"/>
    <w:rsid w:val="33D67D9C"/>
    <w:rsid w:val="37295CEF"/>
    <w:rsid w:val="38961E84"/>
    <w:rsid w:val="39987CFB"/>
    <w:rsid w:val="3A1F234D"/>
    <w:rsid w:val="3DE6740A"/>
    <w:rsid w:val="402D428E"/>
    <w:rsid w:val="40FF5994"/>
    <w:rsid w:val="412D1713"/>
    <w:rsid w:val="42D55C9F"/>
    <w:rsid w:val="45D16E7D"/>
    <w:rsid w:val="48076CA2"/>
    <w:rsid w:val="48285FAD"/>
    <w:rsid w:val="48A453A1"/>
    <w:rsid w:val="49297D75"/>
    <w:rsid w:val="4986458E"/>
    <w:rsid w:val="4BBA0AB6"/>
    <w:rsid w:val="51DF39E7"/>
    <w:rsid w:val="51FA7E28"/>
    <w:rsid w:val="52CF6C40"/>
    <w:rsid w:val="53125328"/>
    <w:rsid w:val="53AC0356"/>
    <w:rsid w:val="559612BE"/>
    <w:rsid w:val="567D13ED"/>
    <w:rsid w:val="567F1D52"/>
    <w:rsid w:val="56D119C3"/>
    <w:rsid w:val="5B4B23CB"/>
    <w:rsid w:val="5B5D514B"/>
    <w:rsid w:val="5CA31741"/>
    <w:rsid w:val="5DEB374F"/>
    <w:rsid w:val="5EA7344E"/>
    <w:rsid w:val="5ED42598"/>
    <w:rsid w:val="5F0F49E8"/>
    <w:rsid w:val="606B2A28"/>
    <w:rsid w:val="62DA7BFB"/>
    <w:rsid w:val="63F77A92"/>
    <w:rsid w:val="67A25996"/>
    <w:rsid w:val="6B272C8C"/>
    <w:rsid w:val="6CA95F6B"/>
    <w:rsid w:val="6E46678C"/>
    <w:rsid w:val="713F0604"/>
    <w:rsid w:val="71634B0A"/>
    <w:rsid w:val="736070C3"/>
    <w:rsid w:val="78C338C8"/>
    <w:rsid w:val="7C6E7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qFormat/>
    <w:uiPriority w:val="0"/>
    <w:rPr>
      <w:b/>
      <w:bCs/>
    </w:rPr>
  </w:style>
  <w:style w:type="paragraph" w:customStyle="1" w:styleId="9">
    <w:name w:val="默认段落字体 Para Char Char Char Char Char Char Char"/>
    <w:basedOn w:val="1"/>
    <w:qFormat/>
    <w:uiPriority w:val="0"/>
    <w:rPr>
      <w:szCs w:val="20"/>
    </w:rPr>
  </w:style>
  <w:style w:type="character" w:customStyle="1" w:styleId="10">
    <w:name w:val="页眉 Char"/>
    <w:link w:val="4"/>
    <w:qFormat/>
    <w:uiPriority w:val="0"/>
    <w:rPr>
      <w:kern w:val="2"/>
      <w:sz w:val="18"/>
      <w:szCs w:val="18"/>
    </w:rPr>
  </w:style>
  <w:style w:type="character" w:customStyle="1" w:styleId="11">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3288</Words>
  <Characters>3511</Characters>
  <Lines>22</Lines>
  <Paragraphs>6</Paragraphs>
  <TotalTime>0</TotalTime>
  <ScaleCrop>false</ScaleCrop>
  <LinksUpToDate>false</LinksUpToDate>
  <CharactersWithSpaces>3566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2014-10-11T09:11:00Z</dcterms:created>
  <dc:creator>雨林木风</dc:creator>
  <cp:lastModifiedBy>刘冲</cp:lastModifiedBy>
  <cp:lastPrinted>2016-09-03T02:26:00Z</cp:lastPrinted>
  <dcterms:modified xsi:type="dcterms:W3CDTF">2025-10-30T07:55:34Z</dcterms:modified>
  <dc:title>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BE632D7C9054483A8BFD10CD7E9C6DEF_13</vt:lpwstr>
  </property>
  <property fmtid="{D5CDD505-2E9C-101B-9397-08002B2CF9AE}" pid="4" name="KSOTemplateDocerSaveRecord">
    <vt:lpwstr>eyJoZGlkIjoiYWYzOWQ2NjJjNjY1MWMwNWMxNWYyYjQ5ODQ2N2YxNTkiLCJ1c2VySWQiOiI2MTAwNDgxNzMifQ==</vt:lpwstr>
  </property>
</Properties>
</file>