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7"/>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南京市第29中学新校区</w:t>
      </w:r>
      <w:r>
        <w:rPr>
          <w:rFonts w:hint="eastAsia" w:cs="Times New Roman"/>
          <w:b/>
          <w:bCs w:val="0"/>
          <w:color w:val="000000"/>
          <w:sz w:val="32"/>
          <w:szCs w:val="32"/>
          <w:u w:val="none"/>
          <w:lang w:val="en-US" w:eastAsia="zh-CN"/>
        </w:rPr>
        <w:t xml:space="preserve">办公</w:t>
      </w:r>
      <w:r>
        <w:rPr>
          <w:rFonts w:hint="eastAsia" w:ascii="Times New Roman" w:hAnsi="Times New Roman" w:eastAsia="宋体" w:cs="Times New Roman"/>
          <w:b/>
          <w:bCs w:val="0"/>
          <w:color w:val="000000"/>
          <w:sz w:val="32"/>
          <w:szCs w:val="32"/>
          <w:u w:val="none"/>
          <w:lang w:val="en-US" w:eastAsia="zh-CN"/>
        </w:rPr>
        <w:t xml:space="preserve">家具</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5"/>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JSZC-320100-JZCG-G2025-0425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5"/>
        <w:ind w:firstLine="0"/>
        <w:jc w:val="center"/>
        <w:rPr>
          <w:rFonts w:hint="eastAsia" w:ascii="Times New Roman" w:hAnsi="Times New Roman" w:eastAsia="宋体" w:cs="Times New Roman"/>
          <w:b/>
          <w:bCs/>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7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评标方法与评标标准………………………41</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投标文件格式………………………………45</w:t>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75"/>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受</w:t>
      </w:r>
      <w:r>
        <w:rPr>
          <w:rFonts w:hint="eastAsia" w:ascii="宋体" w:hAnsi="宋体"/>
          <w:color w:val="000000"/>
          <w:sz w:val="24"/>
          <w:szCs w:val="24"/>
          <w:u w:val="none"/>
          <w:lang w:val="en-US" w:eastAsia="zh-CN"/>
        </w:rPr>
        <w:t xml:space="preserve">南京市鼓楼区教育局</w:t>
      </w:r>
      <w:r>
        <w:rPr>
          <w:rFonts w:hint="eastAsia" w:ascii="宋体" w:hAnsi="宋体" w:eastAsia="宋体" w:cs="Times New Roman"/>
          <w:color w:val="000000"/>
          <w:sz w:val="24"/>
          <w:szCs w:val="24"/>
          <w:u w:val="none"/>
          <w:lang w:val="en-US" w:eastAsia="zh-CN"/>
        </w:rPr>
        <w:t xml:space="preserve">（采购单位）委托，南京市公共资源交易中心（以下简称“交易中心”）就南京市第29中学新校区办公家具（项目名称）项目进行公开招标采购，欢迎符合条件的供应商投标。</w:t>
      </w:r>
      <w:r>
        <w:rPr>
          <w:rFonts w:hint="eastAsia" w:ascii="宋体" w:hAnsi="宋体" w:eastAsia="宋体" w:cs="Times New Roman"/>
          <w:color w:val="000000"/>
          <w:sz w:val="24"/>
          <w:szCs w:val="24"/>
          <w:u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1</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lang w:val="en-US" w:eastAsia="zh-CN"/>
        </w:rPr>
        <w:t xml:space="preserve">JSZC-320100-JZCG-G2025-0425 </w:t>
      </w:r>
      <w:r>
        <w:rPr>
          <w:rFonts w:hint="eastAsia" w:ascii="宋体" w:hAnsi="宋体" w:eastAsia="宋体" w:cs="Times New Roman"/>
          <w:color w:val="000000"/>
          <w:sz w:val="24"/>
          <w:szCs w:val="24"/>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val="en-US" w:eastAsia="zh-CN"/>
        </w:rPr>
        <w:t xml:space="preserve">南京市第29中学新校区办公家具</w:t>
      </w:r>
      <w:r>
        <w:rPr>
          <w:rFonts w:hint="eastAsia" w:ascii="宋体" w:hAnsi="宋体" w:eastAsia="宋体" w:cs="Times New Roman"/>
          <w:color w:val="000000"/>
          <w:sz w:val="24"/>
          <w:szCs w:val="24"/>
          <w:lang w:eastAsia="zh-CN"/>
        </w:rPr>
      </w:r>
      <w:r/>
    </w:p>
    <w:p>
      <w:pPr>
        <w:pStyle w:val="875"/>
        <w:ind w:firstLine="480"/>
        <w:pageBreakBefore w:val="0"/>
        <w:spacing w:line="252" w:lineRule="auto"/>
        <w:widowControl w:val="off"/>
        <w:rPr>
          <w:rFonts w:hint="eastAsia" w:ascii="宋体" w:hAnsi="宋体"/>
          <w:color w:val="000000"/>
          <w:sz w:val="24"/>
          <w:szCs w:val="24"/>
        </w:rPr>
      </w:pPr>
      <w:r/>
      <w:bookmarkEnd w:id="11"/>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360</w:t>
      </w:r>
      <w:r>
        <w:rPr>
          <w:rFonts w:hint="eastAsia" w:ascii="宋体" w:hAnsi="宋体" w:eastAsia="宋体" w:cs="Times New Roman"/>
          <w:color w:val="000000"/>
          <w:sz w:val="24"/>
          <w:szCs w:val="24"/>
          <w:highlight w:val="none"/>
        </w:rPr>
        <w:t xml:space="preserve">万元</w:t>
      </w:r>
      <w:r>
        <w:rPr>
          <w:rFonts w:hint="eastAsia" w:ascii="宋体" w:hAnsi="宋体"/>
          <w:color w:val="000000"/>
          <w:sz w:val="24"/>
          <w:szCs w:val="24"/>
        </w:rPr>
      </w:r>
      <w:r/>
    </w:p>
    <w:p>
      <w:pPr>
        <w:pStyle w:val="875"/>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75"/>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29中学新校区办公室、会议室等空间办公家具采购。</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75"/>
        <w:ind w:firstLine="480"/>
        <w:pageBreakBefore w:val="0"/>
        <w:spacing w:line="252"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30天。</w:t>
      </w:r>
      <w:r>
        <w:rPr>
          <w:rFonts w:ascii="宋体" w:hAnsi="宋体" w:eastAsia="宋体"/>
          <w:color w:val="000000"/>
          <w:sz w:val="24"/>
          <w:szCs w:val="24"/>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8985264"/>
      <w:r/>
      <w:bookmarkStart w:id="14" w:name="_Toc35393791"/>
      <w:r/>
      <w:bookmarkStart w:id="15" w:name="_Toc28359080"/>
      <w:r/>
      <w:bookmarkStart w:id="16" w:name="_Toc35393622"/>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5"/>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5"/>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b w:val="0"/>
          <w:bCs w:val="0"/>
          <w:color w:val="000000"/>
          <w:sz w:val="24"/>
          <w:szCs w:val="24"/>
          <w:highlight w:val="none"/>
          <w:lang w:val="zh-CN"/>
        </w:rPr>
        <w:t xml:space="preserve">本项目专门面向中小</w:t>
      </w:r>
      <w:r>
        <w:rPr>
          <w:rFonts w:hint="eastAsia" w:ascii="宋体" w:hAnsi="宋体" w:eastAsia="宋体" w:cs="Times New Roman"/>
          <w:b w:val="0"/>
          <w:bCs w:val="0"/>
          <w:color w:val="000000"/>
          <w:sz w:val="24"/>
          <w:szCs w:val="24"/>
          <w:highlight w:val="none"/>
          <w:lang w:val="zh-CN" w:eastAsia="zh-CN"/>
        </w:rPr>
        <w:t xml:space="preserve">微</w:t>
      </w:r>
      <w:r>
        <w:rPr>
          <w:rFonts w:hint="eastAsia" w:ascii="宋体" w:hAnsi="宋体" w:eastAsia="宋体" w:cs="Times New Roman"/>
          <w:b w:val="0"/>
          <w:bCs w:val="0"/>
          <w:color w:val="000000"/>
          <w:sz w:val="24"/>
          <w:szCs w:val="24"/>
          <w:highlight w:val="none"/>
          <w:lang w:val="zh-CN"/>
        </w:rPr>
        <w:t xml:space="preserve">企业采购，全部货物制造商应为中小微企业或监狱企业或残疾人福利性单位。（声明函格式见第六章）</w:t>
      </w:r>
      <w:r>
        <w:rPr>
          <w:rFonts w:hint="eastAsia" w:ascii="宋体" w:hAnsi="宋体" w:eastAsia="宋体" w:cs="Times New Roman"/>
          <w:b w:val="0"/>
          <w:bCs w:val="0"/>
          <w:color w:val="000000"/>
          <w:sz w:val="24"/>
          <w:szCs w:val="24"/>
          <w:highlight w:val="none"/>
          <w:lang w:val="zh-CN"/>
        </w:rPr>
      </w:r>
      <w:r/>
    </w:p>
    <w:p>
      <w:pPr>
        <w:pStyle w:val="875"/>
        <w:ind w:firstLine="480"/>
        <w:pageBreakBefore w:val="0"/>
        <w:spacing w:line="252"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w:t>
      </w:r>
      <w:r>
        <w:rPr>
          <w:rFonts w:hint="eastAsia" w:ascii="宋体" w:hAnsi="宋体" w:eastAsia="宋体" w:cs="Times New Roman"/>
          <w:color w:val="000000"/>
          <w:sz w:val="24"/>
          <w:szCs w:val="24"/>
          <w:u w:val="none"/>
          <w:lang w:val="zh-CN"/>
        </w:rPr>
        <w:t xml:space="preserve">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color w:val="000000"/>
          <w:sz w:val="24"/>
          <w:szCs w:val="24"/>
          <w:lang w:val="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www.ccgp.gov.cn</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5"/>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bCs/>
          <w:color w:val="000000"/>
          <w:sz w:val="24"/>
          <w:szCs w:val="24"/>
          <w:u w:val="single"/>
          <w:lang w:val="en-US" w:eastAsia="zh-CN"/>
        </w:rPr>
      </w:pPr>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24</w:t>
      </w:r>
      <w:r>
        <w:rPr>
          <w:rFonts w:hint="eastAsia" w:ascii="宋体" w:hAnsi="宋体"/>
          <w:bCs/>
          <w:color w:val="000000"/>
          <w:sz w:val="24"/>
          <w:szCs w:val="24"/>
          <w:u w:val="none"/>
        </w:rPr>
        <w:t xml:space="preserve">日14</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5"/>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w:t>
      </w:r>
      <w:r>
        <w:rPr>
          <w:rFonts w:hint="eastAsia" w:ascii="宋体" w:hAnsi="宋体" w:eastAsia="宋体" w:cs="宋体"/>
          <w:color w:val="000000"/>
          <w:sz w:val="24"/>
          <w:szCs w:val="24"/>
          <w:lang w:val="en-US" w:eastAsia="zh-CN"/>
        </w:rPr>
        <w:t xml:space="preserve">系统</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27" w:name="_Toc35393794"/>
      <w:r/>
      <w:bookmarkStart w:id="28" w:name="_Toc28359007"/>
      <w:r/>
      <w:bookmarkStart w:id="29" w:name="_Toc38985267"/>
      <w:r/>
      <w:bookmarkStart w:id="30" w:name="_Toc28359084"/>
      <w:r/>
      <w:bookmarkStart w:id="31" w:name="_Toc35393625"/>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627"/>
      <w:r/>
      <w:bookmarkStart w:id="36" w:name="_Toc28359085"/>
      <w:r/>
      <w:bookmarkStart w:id="37" w:name="_Toc35393796"/>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0"/>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5"/>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en-US"/>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5"/>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en-US"/>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名  称：南京市鼓楼区教育局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址：南京市鼓楼区中山北路540号下关大厦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联系人：陈老师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联系电话：025-83230037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rPr>
          <w:rFonts w:hint="eastAsia" w:ascii="宋体" w:hAnsi="宋体" w:eastAsia="宋体" w:cs="Times New Roman"/>
          <w:color w:val="000000"/>
          <w:sz w:val="24"/>
          <w:szCs w:val="24"/>
          <w:u w:val="none"/>
          <w:lang w:val="en-US" w:eastAsia="zh-CN"/>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513029203"/>
      <w:r/>
      <w:bookmarkStart w:id="50" w:name="_Toc16938519"/>
      <w:r/>
      <w:bookmarkStart w:id="51" w:name="_Toc16938558"/>
      <w:r/>
      <w:bookmarkStart w:id="52" w:name="_Toc20823314"/>
      <w:r/>
      <w:bookmarkStart w:id="53" w:name="_Toc513029242"/>
      <w:r/>
      <w:bookmarkStart w:id="54" w:name="_Toc479757207"/>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20823279"/>
      <w:r/>
      <w:bookmarkStart w:id="69" w:name="_Toc462564067"/>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513029210"/>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16938529"/>
      <w:r/>
      <w:bookmarkStart w:id="89" w:name="_Toc513029213"/>
      <w:r/>
      <w:bookmarkStart w:id="90"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513029215"/>
      <w:r/>
      <w:bookmarkStart w:id="97" w:name="_Toc20823287"/>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9"/>
      <w:r/>
      <w:bookmarkStart w:id="110" w:name="_Hlt26670373"/>
      <w:r/>
      <w:bookmarkEnd w:id="110"/>
      <w:r>
        <w:rPr>
          <w:rFonts w:hint="eastAsia" w:ascii="方正楷体_GBK" w:hAnsi="方正楷体_GBK" w:eastAsia="方正楷体_GBK" w:cs="方正楷体_GBK"/>
          <w:b/>
          <w:bCs/>
        </w:rPr>
        <w:t xml:space="preserve">表</w:t>
      </w:r>
      <w:bookmarkEnd w:id="108"/>
      <w:r>
        <w:rPr>
          <w:rFonts w:hint="eastAsia" w:ascii="方正楷体_GBK" w:hAnsi="方正楷体_GBK" w:eastAsia="方正楷体_GBK" w:cs="方正楷体_GBK"/>
          <w:b/>
          <w:bCs/>
          <w:lang w:eastAsia="zh-CN"/>
        </w:rPr>
        <w:t xml:space="preserve">（如有）</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954846"/>
      <w:r/>
      <w:bookmarkEnd w:id="114"/>
      <w:r/>
      <w:bookmarkStart w:id="115" w:name="_Hlt26670425"/>
      <w:r/>
      <w:bookmarkEnd w:id="115"/>
      <w:r/>
      <w:bookmarkStart w:id="116" w:name="_Hlt26670482"/>
      <w:r/>
      <w:bookmarkEnd w:id="116"/>
      <w:r/>
      <w:bookmarkStart w:id="117" w:name="_Hlt26954731"/>
      <w:r/>
      <w:bookmarkEnd w:id="117"/>
      <w:r/>
      <w:bookmarkStart w:id="118" w:name="_Hlt26954842"/>
      <w:r/>
      <w:bookmarkEnd w:id="118"/>
      <w:r/>
      <w:bookmarkStart w:id="119" w:name="_Hlt26670403"/>
      <w:r/>
      <w:bookmarkEnd w:id="119"/>
      <w:r/>
      <w:bookmarkStart w:id="120" w:name="_Hlt26668983"/>
      <w:r/>
      <w:bookmarkEnd w:id="120"/>
      <w:r/>
      <w:bookmarkStart w:id="121" w:name="_Hlt26670486"/>
      <w:r/>
      <w:bookmarkEnd w:id="121"/>
      <w:r/>
      <w:bookmarkStart w:id="122" w:name="_Hlt26954844"/>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20614217"/>
      <w:r/>
      <w:bookmarkStart w:id="133" w:name="_Toc16938540"/>
      <w:r/>
      <w:bookmarkStart w:id="134" w:name="_Toc513029224"/>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513029225"/>
      <w:r/>
      <w:bookmarkStart w:id="138" w:name="_Toc20823297"/>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w:t>
      </w:r>
      <w:r>
        <w:rPr>
          <w:rFonts w:hint="eastAsia" w:ascii="宋体" w:hAnsi="宋体" w:eastAsia="宋体" w:cs="Times New Roman"/>
          <w:color w:val="000000"/>
          <w:sz w:val="24"/>
          <w:lang w:val="zh-CN"/>
        </w:rPr>
        <w:t xml:space="preserve">招标公告规定的</w:t>
      </w:r>
      <w:r>
        <w:rPr>
          <w:rFonts w:hint="eastAsia" w:ascii="宋体" w:hAnsi="宋体" w:eastAsia="宋体" w:cs="Times New Roman"/>
          <w:color w:val="000000"/>
          <w:sz w:val="24"/>
          <w:lang w:val="zh-CN"/>
        </w:rPr>
        <w:t xml:space="preserve">投标截止时间前制作并上传电子投标文件。</w:t>
      </w:r>
      <w:bookmarkStart w:id="140" w:name="_Toc20823298"/>
      <w:r/>
      <w:bookmarkStart w:id="141" w:name="_Toc513029226"/>
      <w:r/>
      <w:bookmarkStart w:id="142" w:name="_Toc16938542"/>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6938545"/>
      <w:r/>
      <w:bookmarkStart w:id="152" w:name="_Toc120614218"/>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w:t>
      </w:r>
      <w:r>
        <w:rPr>
          <w:rFonts w:hint="eastAsia" w:ascii="宋体" w:hAnsi="宋体" w:eastAsia="宋体" w:cs="Times New Roman"/>
          <w:color w:val="000000"/>
          <w:sz w:val="24"/>
          <w:lang w:val="zh-CN"/>
        </w:rPr>
        <w:t xml:space="preserve">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20823303"/>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rPr>
        <w:t xml:space="preserve">”）进行。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rPr>
        <w:t xml:space="preserve">》并加盖电子公章。澄清、说明和补正的内容作为投标文件的补充部分，具体操作方式见《操作手册》。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16938549"/>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16938550"/>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16938551"/>
      <w:r/>
      <w:bookmarkStart w:id="169" w:name="_Toc20823307"/>
      <w:r/>
      <w:bookmarkStart w:id="170"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bCs/>
          <w:color w:val="000000"/>
          <w:sz w:val="24"/>
          <w:szCs w:val="21"/>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w:t>
      </w:r>
      <w:r>
        <w:rPr>
          <w:rFonts w:hint="eastAsia" w:ascii="宋体" w:hAnsi="宋体" w:eastAsia="宋体" w:cs="Times New Roman"/>
          <w:color w:val="000000"/>
          <w:sz w:val="24"/>
          <w:lang w:val="zh-CN"/>
        </w:rPr>
        <w:t xml:space="preserve">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1" w:name="_Toc120614219"/>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513029236"/>
      <w:r/>
      <w:bookmarkStart w:id="178" w:name="_Toc16938552"/>
      <w:r/>
      <w:bookmarkStart w:id="179" w:name="_Toc20823308"/>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lang w:val="en-US" w:eastAsia="zh-CN"/>
        </w:rPr>
        <w:t xml:space="preserve">询问或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2"/>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t xml:space="preserve"> </w:t>
      </w:r>
      <w:r>
        <w:rPr>
          <w:rFonts w:hint="eastAsia" w:ascii="宋体" w:hAnsi="宋体" w:eastAsia="宋体" w:cs="Times New Roman"/>
          <w:b/>
          <w:bCs/>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w:t>
      </w:r>
      <w:r>
        <w:rPr>
          <w:rFonts w:hint="eastAsia" w:ascii="宋体" w:hAnsi="宋体" w:eastAsia="宋体" w:cs="Times New Roman"/>
          <w:color w:val="000000"/>
          <w:sz w:val="24"/>
          <w:lang w:val="en-US" w:eastAsia="zh-CN"/>
        </w:rPr>
        <w:t xml:space="preserve">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5"/>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9"/>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79"/>
        <w:ind w:firstLine="42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jc w:val="center"/>
        <w:keepLines w:val="0"/>
        <w:keepNext w:val="0"/>
        <w:pageBreakBefore w:val="0"/>
        <w:spacing w:line="252" w:lineRule="auto"/>
        <w:widowControl w:val="off"/>
        <w:rPr>
          <w:rFonts w:hint="eastAsia" w:ascii="黑体" w:hAnsi="Times New Roman" w:eastAsia="黑体" w:cs="Times New Roman"/>
          <w:color w:val="000000"/>
          <w:sz w:val="44"/>
          <w:szCs w:val="44"/>
        </w:rPr>
        <w:outlineLvl w:val="0"/>
      </w:pPr>
      <w:r>
        <w:rPr>
          <w:rFonts w:hint="eastAsia" w:ascii="宋体" w:hAnsi="宋体" w:eastAsia="宋体" w:cs="Times New Roman"/>
          <w:color w:val="000000"/>
          <w:sz w:val="24"/>
          <w:lang w:val="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5"/>
        <w:ind w:firstLine="480"/>
        <w:keepLines w:val="0"/>
        <w:keepNext w:val="0"/>
        <w:pageBreakBefore w:val="0"/>
        <w:spacing w:line="264" w:lineRule="auto"/>
        <w:widowControl w:val="off"/>
        <w:rPr>
          <w:rFonts w:hint="eastAsia" w:ascii="宋体" w:hAnsi="宋体"/>
          <w:bCs/>
          <w:color w:val="000000"/>
          <w:sz w:val="24"/>
          <w:szCs w:val="21"/>
        </w:rPr>
      </w:pPr>
      <w:r/>
      <w:bookmarkStart w:id="183" w:name="_Toc513029243"/>
      <w:r/>
      <w:bookmarkStart w:id="184" w:name="_Toc16938559"/>
      <w:r/>
      <w:bookmarkStart w:id="185"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w:t>
      </w:r>
      <w:r>
        <w:rPr>
          <w:rFonts w:hint="eastAsia" w:ascii="宋体" w:hAnsi="宋体"/>
          <w:bCs/>
          <w:color w:val="000000"/>
          <w:sz w:val="24"/>
          <w:szCs w:val="21"/>
          <w:lang w:val="en-US" w:eastAsia="zh-CN"/>
        </w:rPr>
        <w:t xml:space="preserve">对</w:t>
      </w:r>
      <w:r>
        <w:rPr>
          <w:rFonts w:hint="eastAsia" w:ascii="宋体" w:hAnsi="宋体"/>
          <w:bCs/>
          <w:color w:val="000000"/>
          <w:sz w:val="24"/>
          <w:szCs w:val="21"/>
          <w:lang w:val="en-US" w:eastAsia="zh-CN"/>
        </w:rPr>
        <w:t xml:space="preserve">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w:t>
      </w:r>
      <w:r>
        <w:rPr>
          <w:rFonts w:hint="eastAsia" w:ascii="宋体" w:hAnsi="宋体" w:eastAsia="宋体" w:cs="Courier New"/>
          <w:color w:val="000000"/>
          <w:sz w:val="24"/>
          <w:szCs w:val="24"/>
        </w:rPr>
        <w:t xml:space="preserve">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6"/>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w:t>
      </w:r>
      <w:r>
        <w:rPr>
          <w:rFonts w:hint="eastAsia" w:hAnsi="宋体" w:eastAsia="宋体" w:cs="Courier New"/>
          <w:sz w:val="24"/>
          <w:szCs w:val="24"/>
        </w:rPr>
        <w:t xml:space="preserve">____________________</w:t>
      </w:r>
      <w:r>
        <w:rPr>
          <w:rFonts w:hint="eastAsia" w:hAnsi="宋体" w:eastAsia="宋体" w:cs="Courier New"/>
          <w:sz w:val="24"/>
          <w:szCs w:val="24"/>
        </w:rPr>
        <w:t xml:space="preserve">圆（</w:t>
      </w:r>
      <w:r>
        <w:rPr>
          <w:rFonts w:hint="eastAsia" w:hAnsi="宋体" w:eastAsia="宋体" w:cs="Courier New"/>
          <w:sz w:val="24"/>
          <w:szCs w:val="24"/>
        </w:rPr>
        <w:t xml:space="preserve">_________________</w:t>
      </w:r>
      <w:r>
        <w:rPr>
          <w:rFonts w:hint="eastAsia" w:hAnsi="宋体" w:eastAsia="宋体" w:cs="Courier New"/>
          <w:sz w:val="24"/>
          <w:szCs w:val="24"/>
        </w:rPr>
        <w:t xml:space="preserve">元）人民币。</w:t>
      </w:r>
      <w:r>
        <w:rPr>
          <w:rFonts w:ascii="宋体" w:hAnsi="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color w:val="000000"/>
          <w:sz w:val="24"/>
          <w:szCs w:val="24"/>
        </w:rPr>
        <w:t xml:space="preserve">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3"/>
      </w:pPr>
      <w:r>
        <w:rPr>
          <w:rFonts w:hint="eastAsia" w:ascii="宋体" w:hAnsi="宋体" w:eastAsia="宋体" w:cs="Courier New"/>
          <w:b w:val="0"/>
          <w:bCs w:val="0"/>
          <w:color w:val="000000" w:themeColor="text1"/>
          <w:sz w:val="24"/>
          <w:szCs w:val="24"/>
          <w:highlight w:val="none"/>
          <w:lang w:val="en-US" w:eastAsia="zh-CN"/>
        </w:rPr>
        <w:t xml:space="preserve">6.1 </w:t>
      </w:r>
      <w:r>
        <w:rPr>
          <w:rFonts w:hint="eastAsia" w:ascii="宋体" w:hAnsi="宋体" w:eastAsia="宋体" w:cs="Courier New"/>
          <w:b w:val="0"/>
          <w:bCs w:val="0"/>
          <w:color w:val="000000" w:themeColor="text1"/>
          <w:sz w:val="24"/>
          <w:szCs w:val="24"/>
          <w:highlight w:val="none"/>
          <w:lang w:val="en-US" w:eastAsia="zh-CN"/>
        </w:rPr>
        <w:t xml:space="preserve">本项目乙方无需缴纳</w:t>
      </w:r>
      <w:r>
        <w:rPr>
          <w:rFonts w:hint="eastAsia" w:ascii="宋体" w:hAnsi="宋体" w:eastAsia="宋体" w:cs="Courier New"/>
          <w:b w:val="0"/>
          <w:bCs w:val="0"/>
          <w:color w:val="000000" w:themeColor="text1"/>
          <w:sz w:val="24"/>
          <w:szCs w:val="24"/>
          <w:highlight w:val="none"/>
        </w:rPr>
        <w:t xml:space="preserve">履约保证金</w:t>
      </w:r>
      <w:r>
        <w:rPr>
          <w:rFonts w:hint="eastAsia" w:ascii="宋体" w:hAnsi="宋体" w:eastAsia="宋体" w:cs="Courier New"/>
          <w:b w:val="0"/>
          <w:bCs w:val="0"/>
          <w:color w:val="000000" w:themeColor="text1"/>
          <w:sz w:val="24"/>
          <w:szCs w:val="24"/>
          <w:highlight w:val="none"/>
          <w:lang w:eastAsia="zh-CN"/>
        </w:rPr>
        <w:t xml:space="preserve">。</w:t>
      </w:r>
      <w:r>
        <w:rPr>
          <w:color w:val="000000" w:themeColor="text1"/>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七、合同转包或分包</w:t>
      </w:r>
      <w:r>
        <w:rPr>
          <w:color w:val="000000" w:themeColor="text1"/>
        </w:rPr>
      </w:r>
      <w:r/>
    </w:p>
    <w:p>
      <w:pPr>
        <w:pStyle w:val="875"/>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乙方不得将合同标的转包给他人履行。</w:t>
      </w:r>
      <w:r>
        <w:rPr>
          <w:color w:val="000000" w:themeColor="text1"/>
        </w:rPr>
      </w:r>
      <w:r/>
    </w:p>
    <w:p>
      <w:pPr>
        <w:pStyle w:val="875"/>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除招标文件接受分包并经甲方同意，乙方可按分包意向协议分包情况外，乙方不得将合同标的分包给他人履行。</w:t>
      </w:r>
      <w:r>
        <w:rPr>
          <w:color w:val="000000" w:themeColor="text1"/>
        </w:rPr>
      </w:r>
      <w:r/>
    </w:p>
    <w:p>
      <w:pPr>
        <w:pStyle w:val="875"/>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7.3</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乙方如有转包或未经甲方同意的分包行为，甲方有权终止合同。</w:t>
      </w:r>
      <w:r>
        <w:rPr>
          <w:color w:val="000000" w:themeColor="text1"/>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八、合同款项支付</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color w:val="000000" w:themeColor="text1"/>
          <w:sz w:val="24"/>
          <w:szCs w:val="24"/>
        </w:rPr>
        <w:outlineLvl w:val="3"/>
      </w:pPr>
      <w:r>
        <w:rPr>
          <w:rFonts w:hint="eastAsia" w:ascii="宋体" w:hAnsi="宋体" w:eastAsia="宋体" w:cs="Courier New"/>
          <w:color w:val="000000" w:themeColor="text1"/>
          <w:sz w:val="24"/>
          <w:szCs w:val="24"/>
        </w:rPr>
        <w:t xml:space="preserve">8.1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合同款项的支付方式及</w:t>
      </w:r>
      <w:r>
        <w:rPr>
          <w:rFonts w:hint="eastAsia" w:ascii="宋体" w:hAnsi="宋体" w:eastAsia="宋体" w:cs="Courier New"/>
          <w:color w:val="000000" w:themeColor="text1"/>
          <w:sz w:val="24"/>
          <w:szCs w:val="24"/>
          <w:lang w:val="en-US" w:eastAsia="zh-CN"/>
        </w:rPr>
        <w:t xml:space="preserve">时间</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8.1.1</w:t>
      </w:r>
      <w:r>
        <w:rPr>
          <w:rFonts w:hint="eastAsia" w:ascii="宋体" w:hAnsi="宋体" w:eastAsia="宋体" w:cs="Courier New"/>
          <w:color w:val="000000" w:themeColor="text1"/>
          <w:sz w:val="24"/>
          <w:szCs w:val="24"/>
          <w:highlight w:val="none"/>
          <w:lang w:val="en-US" w:eastAsia="zh-CN"/>
        </w:rPr>
        <w:t xml:space="preserve"> 合同签订后，甲方支付合同总价款的30%作为预付款。</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8.1.2 </w:t>
      </w:r>
      <w:r>
        <w:rPr>
          <w:rFonts w:hint="eastAsia" w:ascii="宋体" w:hAnsi="宋体" w:eastAsia="宋体" w:cs="Courier New"/>
          <w:color w:val="000000" w:themeColor="text1"/>
          <w:sz w:val="24"/>
          <w:szCs w:val="24"/>
          <w:highlight w:val="none"/>
          <w:lang w:val="en-US" w:eastAsia="zh-CN"/>
        </w:rPr>
        <w:t xml:space="preserve">供货结束并验收合格后，甲方支付合同总价款的70%。</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themeColor="text1"/>
          <w:sz w:val="24"/>
          <w:szCs w:val="24"/>
          <w:lang w:val="en-US" w:eastAsia="zh-CN"/>
        </w:rPr>
        <w:t xml:space="preserve">8.1.3 满足合同约定支付条件的，</w:t>
      </w:r>
      <w:r>
        <w:rPr>
          <w:rFonts w:hint="eastAsia" w:ascii="宋体" w:hAnsi="宋体" w:eastAsia="宋体" w:cs="Courier New"/>
          <w:color w:val="000000" w:themeColor="text1"/>
          <w:sz w:val="24"/>
          <w:szCs w:val="24"/>
          <w:lang w:val="en-US" w:eastAsia="zh-CN"/>
        </w:rPr>
        <w:t xml:space="preserve">甲方</w:t>
      </w:r>
      <w:r>
        <w:rPr>
          <w:rFonts w:hint="eastAsia" w:ascii="宋体" w:hAnsi="宋体" w:eastAsia="宋体" w:cs="Courier New"/>
          <w:color w:val="000000" w:themeColor="text1"/>
          <w:sz w:val="24"/>
          <w:szCs w:val="24"/>
          <w:lang w:val="en-US" w:eastAsia="zh-CN"/>
        </w:rPr>
        <w:t xml:space="preserve">收到乙方发票后10个工</w:t>
      </w:r>
      <w:r>
        <w:rPr>
          <w:rFonts w:hint="eastAsia" w:ascii="宋体" w:hAnsi="宋体" w:eastAsia="宋体" w:cs="Courier New"/>
          <w:sz w:val="24"/>
          <w:szCs w:val="24"/>
          <w:lang w:val="en-US" w:eastAsia="zh-CN"/>
        </w:rPr>
        <w:t xml:space="preserve">作日内，将资金支付到合同约定的乙方账户。 </w:t>
      </w:r>
      <w:r>
        <w:rPr>
          <w:rFonts w:hint="eastAsia" w:ascii="宋体" w:hAnsi="宋体" w:eastAsia="宋体" w:cs="Courier New"/>
          <w:sz w:val="24"/>
          <w:szCs w:val="24"/>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范围内。超过</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w:t>
      </w:r>
      <w:r>
        <w:rPr>
          <w:rFonts w:hint="eastAsia" w:ascii="宋体" w:hAnsi="宋体" w:eastAsia="宋体" w:cs="Courier New"/>
          <w:color w:val="000000"/>
          <w:sz w:val="24"/>
          <w:szCs w:val="24"/>
        </w:rPr>
        <w:t xml:space="preserve">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w:t>
      </w:r>
      <w:r>
        <w:rPr>
          <w:rFonts w:hint="eastAsia" w:ascii="宋体" w:hAnsi="宋体" w:eastAsia="宋体" w:cs="Courier New"/>
          <w:color w:val="000000"/>
          <w:sz w:val="24"/>
          <w:szCs w:val="24"/>
        </w:rPr>
        <w:t xml:space="preserve">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86" w:name="_Hlt16619369"/>
      <w:r/>
      <w:bookmarkEnd w:id="186"/>
      <w:r/>
      <w:bookmarkStart w:id="187" w:name="_Hlt16619350"/>
      <w:r/>
      <w:bookmarkStart w:id="188" w:name="_Toc120614244"/>
      <w:r/>
      <w:bookmarkStart w:id="189" w:name="_Toc20823346"/>
      <w:r/>
      <w:bookmarkStart w:id="190" w:name="_Toc16938590"/>
      <w:r/>
      <w:bookmarkStart w:id="191" w:name="_Toc462564139"/>
      <w:r/>
      <w:bookmarkStart w:id="192" w:name="_Toc479757211"/>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（一）项目背景</w:t>
      </w:r>
      <w:r>
        <w:rPr>
          <w:rFonts w:hint="eastAsia" w:ascii="宋体" w:hAnsi="宋体" w:eastAsia="宋体" w:cs="宋体"/>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本项目为29中学新校区办公家具采购。</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）项目建设遵循标准</w:t>
      </w:r>
      <w:r>
        <w:rPr>
          <w:rFonts w:hint="eastAsia" w:ascii="宋体" w:hAnsi="宋体" w:eastAsia="宋体" w:cs="宋体"/>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遵循国家、行业及地方现行的规范和标准。</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招标文件涉及标准中未标年号的一律采用最新的标准；随着标准的修订，以修订后的最新标准为依据。</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lang w:val="en-US" w:eastAsia="zh-CN"/>
        </w:rPr>
        <w:t xml:space="preserve">资产配置标准</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val="en-US" w:eastAsia="zh-CN"/>
        </w:rPr>
        <w:t xml:space="preserve">符合《</w:t>
      </w:r>
      <w:bookmarkStart w:id="195" w:name="OLE_LINK1"/>
      <w:r>
        <w:rPr>
          <w:rFonts w:hint="eastAsia" w:ascii="宋体" w:hAnsi="宋体" w:eastAsia="宋体" w:cs="宋体"/>
          <w:color w:val="000000"/>
          <w:sz w:val="24"/>
          <w:szCs w:val="24"/>
          <w:lang w:val="en-US" w:eastAsia="zh-CN"/>
        </w:rPr>
        <w:t xml:space="preserve">市政府办公厅关于印发&lt;南京市市级行政事业单位资产配置标准&gt;、&lt;南京市市级行政事业单位资产使用年限标准&gt;（2016年修订版）的通知》</w:t>
      </w:r>
      <w:bookmarkEnd w:id="195"/>
      <w:r>
        <w:rPr>
          <w:rFonts w:hint="eastAsia" w:ascii="宋体" w:hAnsi="宋体" w:eastAsia="宋体" w:cs="宋体"/>
          <w:color w:val="000000"/>
          <w:sz w:val="24"/>
          <w:szCs w:val="24"/>
          <w:lang w:val="en-US" w:eastAsia="zh-CN"/>
        </w:rPr>
        <w:t xml:space="preserve">及《关于印发南京市中小学通用资产配置标准的通知》（2023年）。</w:t>
      </w:r>
      <w:r>
        <w:rPr>
          <w:rFonts w:hint="eastAsia" w:ascii="宋体" w:hAnsi="宋体" w:eastAsia="宋体" w:cs="宋体"/>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W w:w="10376"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359"/>
        <w:gridCol w:w="736"/>
        <w:gridCol w:w="704"/>
        <w:gridCol w:w="1704"/>
        <w:gridCol w:w="1280"/>
        <w:gridCol w:w="1192"/>
        <w:gridCol w:w="880"/>
        <w:gridCol w:w="794"/>
      </w:tblGrid>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lang w:val="en-US" w:eastAsia="zh-CN" w:bidi="ar"/>
              </w:rPr>
            </w:r>
            <w:r/>
          </w:p>
        </w:tc>
        <w:tc>
          <w:tcPr>
            <w:tcW w:w="2359"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标的名称</w:t>
            </w:r>
            <w:r>
              <w:rPr>
                <w:rFonts w:hint="eastAsia" w:ascii="宋体" w:hAnsi="宋体" w:eastAsia="宋体" w:cs="宋体"/>
                <w:i w:val="0"/>
                <w:iCs w:val="0"/>
                <w:color w:val="000000"/>
                <w:sz w:val="24"/>
                <w:szCs w:val="24"/>
                <w:u w:val="none"/>
                <w:lang w:val="en-US" w:eastAsia="zh-CN" w:bidi="ar"/>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7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单价上限（元）</w:t>
            </w:r>
            <w:r>
              <w:rPr>
                <w:rFonts w:hint="eastAsia" w:ascii="宋体" w:hAnsi="宋体" w:eastAsia="宋体" w:cs="宋体"/>
                <w:i w:val="0"/>
                <w:iCs w:val="0"/>
                <w:color w:val="000000"/>
                <w:sz w:val="24"/>
                <w:szCs w:val="24"/>
                <w:u w:val="none"/>
              </w:rPr>
            </w:r>
            <w:r/>
          </w:p>
        </w:tc>
        <w:tc>
          <w:tcPr>
            <w:tcW w:w="12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产品类型</w:t>
            </w: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属性</w:t>
            </w:r>
            <w:r>
              <w:rPr>
                <w:rFonts w:hint="eastAsia" w:ascii="宋体" w:hAnsi="宋体" w:eastAsia="宋体" w:cs="宋体"/>
                <w:i w:val="0"/>
                <w:iCs w:val="0"/>
                <w:color w:val="000000"/>
                <w:sz w:val="24"/>
                <w:szCs w:val="24"/>
                <w:u w:val="none"/>
              </w:rPr>
            </w:r>
            <w:r/>
          </w:p>
        </w:tc>
        <w:tc>
          <w:tcPr>
            <w:tcW w:w="79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办公椅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主要产品</w:t>
            </w:r>
            <w:r>
              <w:rPr>
                <w:rFonts w:hint="eastAsia" w:ascii="宋体" w:hAnsi="宋体" w:eastAsia="宋体" w:cs="宋体"/>
                <w:b/>
                <w:bCs/>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办公桌（钢木）</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核心产品</w:t>
            </w:r>
            <w:r>
              <w:rPr>
                <w:rFonts w:hint="eastAsia" w:ascii="宋体" w:hAnsi="宋体" w:eastAsia="宋体" w:cs="宋体"/>
                <w:b/>
                <w:bCs/>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组合柜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主要产品</w:t>
            </w:r>
            <w:r>
              <w:rPr>
                <w:rFonts w:hint="eastAsia" w:ascii="宋体" w:hAnsi="宋体" w:eastAsia="宋体" w:cs="宋体"/>
                <w:b/>
                <w:bCs/>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保密柜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查阅桌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储物柜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处置柜（校医）</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打印机桌1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打印机桌2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三人位沙发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单人位沙发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方几</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长茶几</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教师办公桌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钢制凭证柜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共用办公桌3</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广播室桌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会议桌3</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会议桌4</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会议桌5</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会议桌6</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检查床</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控制台</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控制台椅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器械柜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洽谈椅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手动密集架</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讨论桌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讨论椅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行政办公椅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行政办公桌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行政会议桌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行政会议椅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行政书柜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诊疗凳</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直条办公桌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器材室存储架（篮球馆、武术馆通用）</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定制武术馆器材室存储架（长棍）</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定制武术馆器材室存储架（刀剑）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钢制文件柜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存储架</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茶水柜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接待沙发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接待茶几</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屏风工位S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书柜S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办公椅S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共用办公椅S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会议桌S1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会议桌S2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会议桌S3</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会议椅S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75"/>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5"/>
        <w:ind w:firstLine="480"/>
        <w:keepLines w:val="0"/>
        <w:keepNext w:val="0"/>
        <w:pageBreakBefore w:val="0"/>
        <w:spacing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ff"/>
          <w:sz w:val="24"/>
          <w:szCs w:val="24"/>
          <w:lang w:val="en-US" w:eastAsia="zh-CN"/>
        </w:rPr>
      </w:r>
      <w:r/>
    </w:p>
    <w:tbl>
      <w:tblPr>
        <w:tblpPr w:horzAnchor="page" w:tblpX="1069" w:vertAnchor="text" w:tblpY="312" w:leftFromText="180" w:topFromText="0" w:rightFromText="180" w:bottomFromText="0"/>
        <w:tblW w:w="10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16"/>
        <w:gridCol w:w="1944"/>
        <w:gridCol w:w="6797"/>
      </w:tblGrid>
      <w:tr>
        <w:trPr>
          <w:trHeight w:val="56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品名</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规格（mm)</w:t>
            </w:r>
            <w:r>
              <w:rPr>
                <w:rFonts w:hint="eastAsia" w:ascii="宋体" w:hAnsi="宋体" w:eastAsia="宋体" w:cs="宋体"/>
                <w:i w:val="0"/>
                <w:iCs w:val="0"/>
                <w:color w:val="000000"/>
                <w:sz w:val="21"/>
                <w:szCs w:val="21"/>
                <w:u w:val="none"/>
              </w:rPr>
            </w:r>
            <w:r/>
          </w:p>
        </w:tc>
        <w:tc>
          <w:tcPr>
            <w:tcW w:w="679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功能、性能、配置不低于以下要求</w:t>
            </w:r>
            <w:r>
              <w:rPr>
                <w:rFonts w:hint="eastAsia" w:ascii="宋体" w:hAnsi="宋体" w:eastAsia="宋体" w:cs="宋体"/>
                <w:i w:val="0"/>
                <w:iCs w:val="0"/>
                <w:color w:val="000000"/>
                <w:sz w:val="21"/>
                <w:szCs w:val="21"/>
                <w:u w:val="none"/>
              </w:rPr>
            </w:r>
            <w:r/>
          </w:p>
        </w:tc>
      </w:tr>
      <w:tr>
        <w:trPr>
          <w:trHeight w:val="432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W665*D685*H1035-1310mm（±3mm）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1、外框：塑胶框架，选用黑色高强度尼龙加玻璃纤维环保新料内外框架；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2、头枕：面料采用环保聚酯纤维材质网布，3D头枕主体前后0-90度调整，5段上下调节，上下调节距离≥11.5CM；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3、椅背：采用环保高弹性网布，背连接支撑架黑色高强度尼龙加玻璃纤维环保新料，后仰力度可调节，椅背后仰3段锁定，角度≥145度，提供腰部强力支撑独立可调式活动腰靠；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4、扶手：3D升降扶手PU扶手面，采用黑色高强度尼龙加玻璃纤维环保新料内管，扶手主体5段式高度升降≥6CM；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5、坐垫：高弹性网布座垫，深浅3段调节(滑座)，滑动距离5CM；座垫高度调节10CM；框架主体材料为黑色高强度尼龙加玻璃纤维环保新料；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6、底盘：ET型单杆式机械底盘，旋杯式后仰力度调节；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7、气压棒：采用4级气压棒，棒芯壁厚≥2.5MM，并采用QPQ渗碳技术处理；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8、椅脚：360MM高载重黑色高强度尼龙加玻璃纤维环保新料椅脚，可载重≥1500KG；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9、脚踏：抽拉翻转网布脚踏。</w:t>
            </w:r>
            <w:r>
              <w:rPr>
                <w:rFonts w:hint="eastAsia" w:ascii="宋体" w:hAnsi="宋体" w:eastAsia="宋体" w:cs="宋体"/>
                <w:i w:val="0"/>
                <w:iCs w:val="0"/>
                <w:color w:val="000000"/>
                <w:sz w:val="21"/>
                <w:szCs w:val="21"/>
                <w:u w:val="none"/>
                <w:lang w:val="en-US" w:eastAsia="zh-CN" w:bidi="ar"/>
              </w:rPr>
            </w:r>
            <w:r/>
          </w:p>
        </w:tc>
      </w:tr>
      <w:tr>
        <w:trPr>
          <w:trHeight w:val="317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办公桌（钢木）</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6、主台：桌面预留走线孔位；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7、配三抽活动柜。</w:t>
            </w:r>
            <w:r>
              <w:rPr>
                <w:rFonts w:hint="eastAsia" w:ascii="宋体" w:hAnsi="宋体" w:eastAsia="宋体" w:cs="宋体"/>
                <w:i w:val="0"/>
                <w:iCs w:val="0"/>
                <w:color w:val="000000"/>
                <w:sz w:val="21"/>
                <w:szCs w:val="21"/>
                <w:u w:val="none"/>
                <w:lang w:val="en-US" w:eastAsia="zh-CN" w:bidi="ar"/>
              </w:rPr>
            </w:r>
            <w:r/>
          </w:p>
        </w:tc>
      </w:tr>
      <w:tr>
        <w:trPr>
          <w:trHeight w:val="269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组合柜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下柜W750*D600*H750mm+上柜W750*D400*H1250mm（±3mm）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w:t>
            </w:r>
            <w:r>
              <w:rPr>
                <w:rFonts w:hint="eastAsia" w:ascii="宋体" w:hAnsi="宋体" w:eastAsia="宋体" w:cs="宋体"/>
                <w:i w:val="0"/>
                <w:iCs w:val="0"/>
                <w:color w:val="000000"/>
                <w:sz w:val="21"/>
                <w:szCs w:val="21"/>
                <w:u w:val="none"/>
                <w:lang w:val="en-US" w:eastAsia="zh-CN" w:bidi="ar"/>
              </w:rPr>
              <w:t xml:space="preserve">材：采用实木多层板，甲醛释放量达到《GB/T 39600-2021人造板及其制品甲醛释放量分级》ENF级，甲醛释放量≤0.025mg/m³，含水率5-16%，胶合强度≥0.7Mpa，台面厚度≥25mm，其他部分≥18mm；                                                                                                                                       3、封边条：采用≥2</w:t>
            </w:r>
            <w:r>
              <w:rPr>
                <w:rFonts w:hint="eastAsia" w:ascii="宋体" w:hAnsi="宋体" w:eastAsia="宋体" w:cs="宋体"/>
                <w:i w:val="0"/>
                <w:iCs w:val="0"/>
                <w:color w:val="000000"/>
                <w:sz w:val="21"/>
                <w:szCs w:val="21"/>
                <w:u w:val="none"/>
                <w:lang w:val="en-US" w:eastAsia="zh-CN" w:bidi="ar"/>
              </w:rPr>
              <w:t xml:space="preserve">.0mmPVC同色封边条封边，弹性好，耐撞击，封边严密、平整、无脱胶、表面无胶渍；                                                                                                                                                                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r>
            <w:r/>
          </w:p>
          <w:p>
            <w:pPr>
              <w:pStyle w:val="875"/>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5、结构：独立四开门，左侧：上层衣柜带锁、下层储物柜带锁，一块可调层板；右侧：上层两块可调层板，下层一块可调层板。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6、踢脚线需要预留插座面板孔位，后期与学校确定。</w:t>
            </w:r>
            <w:r>
              <w:rPr>
                <w:rFonts w:hint="eastAsia" w:ascii="宋体" w:hAnsi="宋体" w:eastAsia="宋体" w:cs="宋体"/>
                <w:i w:val="0"/>
                <w:iCs w:val="0"/>
                <w:color w:val="000000"/>
                <w:sz w:val="21"/>
                <w:szCs w:val="21"/>
                <w:u w:val="none"/>
                <w:lang w:val="en-US" w:eastAsia="zh-CN" w:bidi="ar"/>
              </w:rPr>
            </w:r>
            <w:r/>
          </w:p>
        </w:tc>
      </w:tr>
      <w:tr>
        <w:trPr>
          <w:trHeight w:val="334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保密柜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W850*D400*H1850mm（±3mm）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1、材质：采用冷轧钢板，厚度≥1.2mm，通过剪切、冲压、折弯、焊接而成；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3、喷粉：涂层厚度≥70um，硬度高、耐撞击，抗腐蚀力强；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5、柜边：超薄处理，体现最佳美感；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6、层板：上、下层各配一块层板，层板钩采用卡扣式，结合柜体预留的调节孔，可自由调节高度；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7、锁具：配备密码锁，双门双锁；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8、其他：内部结构可根据学校需要设置隔层和抽屉。</w:t>
            </w:r>
            <w:r>
              <w:rPr>
                <w:rFonts w:hint="eastAsia" w:ascii="宋体" w:hAnsi="宋体" w:eastAsia="宋体" w:cs="宋体"/>
                <w:i w:val="0"/>
                <w:iCs w:val="0"/>
                <w:color w:val="000000"/>
                <w:sz w:val="21"/>
                <w:szCs w:val="21"/>
                <w:u w:val="none"/>
                <w:lang w:val="en-US" w:eastAsia="zh-CN" w:bidi="ar"/>
              </w:rPr>
            </w:r>
            <w:r/>
          </w:p>
        </w:tc>
      </w:tr>
      <w:tr>
        <w:trPr>
          <w:trHeight w:val="2767"/>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查阅桌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123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W900*D600*H2000mm（±3mm）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39600-2021人造板及其制品甲醛释放量分级》ENF级，甲醛释放量≤0.025mg/m³，含水率5-16%，胶合强度≥0.7Mpa；                                                                                                                                       3、封边条：采用≥2.0mm </w:t>
            </w:r>
            <w:r>
              <w:rPr>
                <w:rFonts w:hint="eastAsia" w:ascii="宋体" w:hAnsi="宋体" w:eastAsia="宋体" w:cs="宋体"/>
                <w:i w:val="0"/>
                <w:iCs w:val="0"/>
                <w:color w:val="000000"/>
                <w:sz w:val="21"/>
                <w:szCs w:val="21"/>
                <w:u w:val="none"/>
                <w:lang w:val="en-US" w:eastAsia="zh-CN" w:bidi="ar"/>
              </w:rPr>
              <w:t xml:space="preserve">PVC同色封边条封边，弹性好，耐撞击，封边严密、平整、无脱胶、表面无胶渍；                                                                                                                                                                    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5、部分需要预留插座面板孔位，后期与学校确定。</w:t>
            </w:r>
            <w:r>
              <w:rPr>
                <w:rFonts w:hint="eastAsia" w:ascii="宋体" w:hAnsi="宋体" w:eastAsia="宋体" w:cs="宋体"/>
                <w:i w:val="0"/>
                <w:iCs w:val="0"/>
                <w:color w:val="000000"/>
                <w:sz w:val="21"/>
                <w:szCs w:val="21"/>
                <w:u w:val="none"/>
                <w:lang w:val="en-US" w:eastAsia="zh-CN" w:bidi="ar"/>
              </w:rPr>
            </w:r>
            <w:r/>
          </w:p>
        </w:tc>
      </w:tr>
      <w:tr>
        <w:trPr>
          <w:trHeight w:val="47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处置柜（校医）</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W1200*D400*H750mm（±3mm）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39600-2021人造板及其制品甲醛释放量分级》ENF级，甲醛释放量≤0.025mg/m³，含水率5-16%，胶合强度≥0.7Mpa，板材厚度≥18mm；                                                                                                                                       3、封边条：采用≥2.0</w:t>
            </w:r>
            <w:r>
              <w:rPr>
                <w:rFonts w:hint="eastAsia" w:ascii="宋体" w:hAnsi="宋体" w:eastAsia="宋体" w:cs="宋体"/>
                <w:i w:val="0"/>
                <w:iCs w:val="0"/>
                <w:color w:val="000000"/>
                <w:sz w:val="21"/>
                <w:szCs w:val="21"/>
                <w:u w:val="none"/>
                <w:lang w:val="en-US" w:eastAsia="zh-CN" w:bidi="ar"/>
              </w:rPr>
              <w:t xml:space="preserve">mm PVC同色封边条封边，弹性好，耐撞击，封边严密、平整、无脱胶、表面无胶渍；                                                                                                                                                                 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6、垃圾配件：配2个脚踏式垃圾桶，颜色可选；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5、台面：石英石，厚度≥20mm。</w:t>
            </w:r>
            <w:r>
              <w:rPr>
                <w:rFonts w:hint="eastAsia" w:ascii="宋体" w:hAnsi="宋体" w:eastAsia="宋体" w:cs="宋体"/>
                <w:i w:val="0"/>
                <w:iCs w:val="0"/>
                <w:color w:val="000000"/>
                <w:sz w:val="21"/>
                <w:szCs w:val="21"/>
                <w:u w:val="none"/>
                <w:lang w:val="en-US" w:eastAsia="zh-CN" w:bidi="ar"/>
              </w:rPr>
            </w:r>
            <w:r/>
          </w:p>
        </w:tc>
      </w:tr>
      <w:tr>
        <w:trPr>
          <w:trHeight w:val="3137"/>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打印机桌1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4、金属桌架：定制钢架，壁厚≥1.8mm。经酸洗、磷化处理后粉末静电喷涂，表面光滑平整无瑕疵，符合国家标准；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6、桌脚带走线功能，桌面预留走线孔位；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7、其他：配2个W800*D400*H650mm储物柜。</w:t>
            </w:r>
            <w:r>
              <w:rPr>
                <w:rFonts w:hint="eastAsia" w:ascii="宋体" w:hAnsi="宋体" w:eastAsia="宋体" w:cs="宋体"/>
                <w:i w:val="0"/>
                <w:iCs w:val="0"/>
                <w:color w:val="000000"/>
                <w:sz w:val="21"/>
                <w:szCs w:val="21"/>
                <w:u w:val="none"/>
                <w:lang w:val="en-US" w:eastAsia="zh-CN" w:bidi="ar"/>
              </w:rPr>
            </w:r>
            <w:r/>
          </w:p>
        </w:tc>
      </w:tr>
      <w:tr>
        <w:trPr>
          <w:trHeight w:val="284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打印机桌2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127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三人位沙发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W2000*D750*H750mm（±3mm）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1、面料：采用环保西皮，厚度≥1.5mm，手感柔软、细腻、有韧性； 富有弹性，颜色为黑色 (可选)；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2、海棉：采用一次成型海棉，坐垫海绵密度≥40kg/m³，靠背海绵密度≥35kg/m³。厚实、弹性好，表面涂防止老化变形的保护膜，确保5年内不会出现弹不起现象；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3、弹簧：环保蛇形弹簧加橡皮绷带；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4、框架：选用环保天然硬性实木，经专业干燥设备处理，含水率在10±1%，保证长时间使用不开裂、不变形；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5、油漆：环保水性漆。</w:t>
            </w:r>
            <w:r>
              <w:rPr>
                <w:rFonts w:hint="eastAsia" w:ascii="宋体" w:hAnsi="宋体" w:eastAsia="宋体" w:cs="宋体"/>
                <w:i w:val="0"/>
                <w:iCs w:val="0"/>
                <w:color w:val="000000"/>
                <w:sz w:val="21"/>
                <w:szCs w:val="21"/>
                <w:u w:val="none"/>
                <w:lang w:val="en-US" w:eastAsia="zh-CN" w:bidi="ar"/>
              </w:rPr>
            </w:r>
            <w:r/>
          </w:p>
        </w:tc>
      </w:tr>
      <w:tr>
        <w:trPr>
          <w:trHeight w:val="242"/>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单人位沙发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W750*D750*H750mm（±3mm）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1、面料：采用环保西皮，厚度≥1.5mm，手感柔软、细腻、有韧性； 富有弹性，颜色为黑色 (可选)；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2、海棉：采用一次成型海棉，坐垫海绵密度≥40kg/m³ ，靠背海绵密度≥35kg/m³。厚实、弹性好，表面涂防止老化变形的保护膜，确保5年内不会出现弹不起现象；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3、弹簧：环保蛇形弹簧加橡皮绷带；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4、框架：选用环保天然硬性实木，经专业干燥设备处理，含水率在10±1%，保证长时间使用不开裂、不变形；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5、油漆：环保水性漆。</w:t>
            </w:r>
            <w:r>
              <w:rPr>
                <w:rFonts w:hint="eastAsia" w:ascii="宋体" w:hAnsi="宋体" w:eastAsia="宋体" w:cs="宋体"/>
                <w:i w:val="0"/>
                <w:iCs w:val="0"/>
                <w:color w:val="000000"/>
                <w:sz w:val="21"/>
                <w:szCs w:val="21"/>
                <w:u w:val="none"/>
                <w:lang w:val="en-US" w:eastAsia="zh-CN" w:bidi="ar"/>
              </w:rPr>
            </w:r>
            <w:r/>
          </w:p>
        </w:tc>
      </w:tr>
      <w:tr>
        <w:trPr>
          <w:trHeight w:val="26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方几</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W600*D600*H430mm（±3mm）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5、胶水：环保白乳胶，不含甲醛。</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长茶几</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W800*D450*H750mm（±3mm）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5、胶水：环保白乳胶，不含甲醛。</w:t>
            </w:r>
            <w:r>
              <w:rPr>
                <w:rFonts w:hint="eastAsia" w:ascii="宋体" w:hAnsi="宋体" w:eastAsia="宋体" w:cs="宋体"/>
                <w:i w:val="0"/>
                <w:iCs w:val="0"/>
                <w:color w:val="000000"/>
                <w:sz w:val="21"/>
                <w:szCs w:val="21"/>
                <w:u w:val="none"/>
                <w:lang w:val="en-US" w:eastAsia="zh-CN" w:bidi="ar"/>
              </w:rPr>
            </w:r>
            <w:r/>
          </w:p>
        </w:tc>
      </w:tr>
      <w:tr>
        <w:trPr>
          <w:trHeight w:val="304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教师办公桌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W1600*D1400*H750mm（±3mm）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4、金属桌架：定制钢架，壁厚≥1.8mm。经酸洗、磷化处理后粉末静电喷涂，表面光滑平整无瑕疵，符合国家标准；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6、主台：桌面预留走线孔位；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7、配副柜、活动柜。</w:t>
            </w:r>
            <w:r>
              <w:rPr>
                <w:rFonts w:hint="eastAsia" w:ascii="宋体" w:hAnsi="宋体" w:eastAsia="宋体" w:cs="宋体"/>
                <w:i w:val="0"/>
                <w:iCs w:val="0"/>
                <w:color w:val="000000"/>
                <w:sz w:val="21"/>
                <w:szCs w:val="21"/>
                <w:u w:val="none"/>
                <w:lang w:val="en-US" w:eastAsia="zh-CN" w:bidi="ar"/>
              </w:rPr>
            </w:r>
            <w:r/>
          </w:p>
        </w:tc>
      </w:tr>
      <w:tr>
        <w:trPr>
          <w:trHeight w:val="237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钢制凭证柜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W860*D600*H1850mm（±3mm）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4、柜边：超薄处理；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5、层板：配置六块层板，层板钩采用卡扣式，结合柜体预留的调节孔，可自由调节高度。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r>
            <w:r/>
          </w:p>
        </w:tc>
      </w:tr>
      <w:tr>
        <w:trPr>
          <w:trHeight w:val="40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 ；曲木板：使用实木木材，纹理清晰，经蒸汽烘干处理，并经防腐，防虫处理，拼接严密牢固，其木材无节子、无裂纹、无缺棱；椅座可向上垂直翻动90°，黑色底壳带“拉手”槽，方便搬运移动，整椅可以实现前后推叠，能有效的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273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676"/>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W1300*D600*H750mm（±3mm）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267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共用办公桌3</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W1100*D600*H750mm（±3mm）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2786"/>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广播室桌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W1100*D1245*H750mm（±3mm）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W2400*D1200*H750mm（±3mm）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W3600*D1200*H750mm（±3mm）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会议桌3</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W4100*D1600*H750mm（±3mm）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43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会议桌4</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W5000*D2400*H750mm（±3mm）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会议桌5</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W6000*D2000*H750mm（±3mm）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会议桌6</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208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W630*D720*H1030mm（±3mm）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1、面料：采用环保西皮，持久耐用，手感柔软，厚薄均匀，纹理清晰平整；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2、海绵：≥40kg/m³密度高回弹发泡成型海绵，曲度依照人体工程学背部曲线设计，密度好，回弹力强；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检查床</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W1950*D650*H650（±3mm）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1、面料：选用西皮，柔软贴手，透气性好、无色差，表面无龟裂、破损，无油腻感。厚度和理化性应符合国家现行检测标准；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2、泡棉：采用环保型高密度、高回弹阻燃泡棉，附体不含氟氨化合物的高弹力定型海绵及多层丝绵作填充圆润厚实，弹性好，泡棉无苯胶粘剂粘贴，且表面涂防老化变形保护膜；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钢架：采用一体式的钢管链接，壁厚≥2.0mm，表面采用磷化处理生产线进行严格除油除锈及磷化工艺处理后，通过粉末喷涂设备进行静电喷塑防止钢件的生锈腐蚀，11道隧道式防锈处理，液体烤漆，漆膜厚度23u以上，粉体烤漆膜厚度≥30u；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4、加PVC塑料脚垫。</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控制台</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W1000*D800*H750mm（±3mm）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1、尺寸说明：台面高度≥750mm，铝合金屏风高≥200mm，实木颗粒板厚≥25mm，柜体钢板框架厚≥1.2mm，承重部分≥1.5mm，钢板门厚≥1.0mm；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2、材质说明：台面采用≥25mm厚实木颗粒板，侧板为实木颗粒板≥25mm+≥15mm装饰板，柜体采用≥1.2mm，承重部分≥1.5mm冷轧钢板，操作台台面屏风挡板采用铝合金型材板一次冲压而成，表面进行美工处理；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3、桌屏带LED灯，透明亚克力；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4、每个人位开2个网口面板孔，1个显示器外挂支架，1个PDU插座。</w:t>
            </w:r>
            <w:r>
              <w:rPr>
                <w:rFonts w:hint="eastAsia" w:ascii="宋体" w:hAnsi="宋体" w:eastAsia="宋体" w:cs="宋体"/>
                <w:i w:val="0"/>
                <w:iCs w:val="0"/>
                <w:color w:val="000000"/>
                <w:sz w:val="21"/>
                <w:szCs w:val="21"/>
                <w:u w:val="none"/>
                <w:lang w:val="en-US" w:eastAsia="zh-CN" w:bidi="ar"/>
              </w:rPr>
            </w:r>
            <w:r/>
          </w:p>
        </w:tc>
      </w:tr>
      <w:tr>
        <w:trPr>
          <w:trHeight w:val="432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控制台椅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W665*D685*H1035-1310mm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1、外框：塑胶框架，选用黑色高强度尼龙加玻璃纤维环保新料内外框架；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2、头枕：面料采用环保聚酯纤维材质网布，3D头枕主体前后0-90度调整，5段上下调节，上下调节距离≥11.5CM；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3、椅背：采用环保高弹性网布，背连接支撑架黑色高强度尼龙加玻璃纤维环保新料，后仰力度可调节，椅背后仰3段锁定，角度≥145度，提供腰部强力支撑独立可调式活动腰靠；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4、扶手：3D升降扶手PU扶手面，采用黑色高强度尼龙加玻璃纤维环保新料内管，扶手主体5段式高度升降≥6CM；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5、坐垫：高弹性网布座垫，密度60-65Kg/m3硬度35-45，深浅3段调节(滑座)，滑动距离5CM；座垫高度调节10CM；框架主体材料为黑色高强度尼龙加玻璃纤维环保新料；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6、底盘：ET型单杆式机械底盘，旋杯式后仰力度调节；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7、气压棒：采用4级气压棒，棒芯壁厚≥2.5MM，并采用QPQ渗碳技术处理；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8、椅脚：350MM高载重黑色高强度尼龙加玻璃纤维环保新料椅脚，可载重≥1500KG；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9、脚踏：抽拉翻转网布脚踏。</w:t>
            </w:r>
            <w:r>
              <w:rPr>
                <w:rFonts w:hint="eastAsia" w:ascii="宋体" w:hAnsi="宋体" w:eastAsia="宋体" w:cs="宋体"/>
                <w:i w:val="0"/>
                <w:iCs w:val="0"/>
                <w:color w:val="000000"/>
                <w:sz w:val="21"/>
                <w:szCs w:val="21"/>
                <w:u w:val="none"/>
                <w:lang w:val="en-US" w:eastAsia="zh-CN" w:bidi="ar"/>
              </w:rPr>
            </w:r>
            <w:r/>
          </w:p>
        </w:tc>
      </w:tr>
      <w:tr>
        <w:trPr>
          <w:trHeight w:val="828"/>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器械柜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W1000*D400*H1850mm（±3mm）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4、柜边：超薄处理，体现最佳美感；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5、层板：上、下层各配一块层板，层板钩采用卡扣式，结合柜体预留的调节孔，可自由调节高度。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洽谈椅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曲木板：使用实木木材，纹理清晰，经蒸汽烘干处理，并经防腐，防虫处理，拼接严密牢固，其木材无节子、无裂纹、无缺棱；椅座可向上垂直翻动90°，黑色底壳带“拉手”槽，方便搬运移动，整椅可以实现前后推叠，能有效的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157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手动密集架</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W950*D560*H2450mm（±3mm）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底盘部件各项技术指标：洛氏硬度符合GB/T230.1-2018检测要求；盐雾/干燥/湿气循环（循环A，≥60循环）符合GB/T31588.1-2015检测要求；中性盐雾试验和乙酸盐雾试验均≥1300h并达10级要求，符合GB/T10125-2021检测要求；屈服强度、抗拉强度符合GB/T228.1-2021检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压筋立柱部件各项技术指标：洛氏硬度符合GB/T230.1-2018检测要求；盐雾/干燥/湿气循环（循环A，≥60循环）符合GB/T31588.1-2015检测要求；中性盐雾试验和乙酸盐雾试验均≥1300h并达10级要求，符合GB/T10125-2021检测要求；屈服强度、抗拉强度符合GB/T228.1-2021检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侧板部件各项技术指标：抽样基数不少于1500组；抑菌率测试结果达≥99.2%、金黄色葡萄球菌检测具有较好的抗菌效果、耐霉菌性等级达0级、力学性能-拉伸试验屈服强度≥352MPa、抗拉强度410~540MPa、断后伸长率≥32.0%、重金属含量可溶性铅（Pb）≤4mg/kg、可溶性镉（Cd）≤0.5mg/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顶板部件各项技术指标：洛氏硬度符合GB/T230.1-2018检测要求；盐雾/干燥/湿气循环（循环A，≥60循环）符合GB/T31588.1-2015检测要求；中性盐雾试验和乙酸盐雾试验均≥1300h并达10级要求，符合GB/T10125-2021检测要求；屈服强度、抗拉强度符合GB/T228.1-2021检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门板：采用≥1.0mm冷轧钢板制作而成，门板四角压仿古浮雕花纹。门板部件各项技术指标：抽样基数不少于1500组；抑菌率测试结果达≥99.2%、金黄色葡萄球菌检测具有较好的抗菌效果、耐霉菌性等级达到0级、力学性能-拉伸试验屈服强度≥311MPa、抗拉强度410~540MPa、断后伸长率≥28.0%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动机构部件各项技术指标：抽样基数不少于1500组；抑菌率达≥99.3%、金黄色葡萄球菌检测具有较好的抗菌效果、耐霉菌性等级达到0级、力学性能-拉伸试验屈服强度≥306MPa、抗拉强度410~540MPa、断后伸长率≥30.5%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7、链条部件各项技术指标：抽样基数不少于1500组；抑菌率达99.5%、金黄色葡萄球菌检测具有较好的抗菌效果、耐霉菌性等级达到0；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摇手柄部件各项技术指标：抽样基数不少于1500组；抑菌率测试结果达≥99.4%、耐霉菌性等级达到0级、耐老化性≥500h测试（冲击强度的保持率≥78%、外观颜色变化评级≥4级）；检测结果符合GB/T1741-2020、GB/T32487-2016、GB/T31402-2015及《2024年家具及人造板产品抽样检验实施方案》。</w:t>
            </w:r>
            <w:r>
              <w:rPr>
                <w:rFonts w:hint="eastAsia" w:ascii="宋体" w:hAnsi="宋体" w:eastAsia="宋体" w:cs="宋体"/>
                <w:i w:val="0"/>
                <w:iCs w:val="0"/>
                <w:color w:val="000000"/>
                <w:sz w:val="21"/>
                <w:szCs w:val="21"/>
                <w:u w:val="none"/>
                <w:lang w:val="en-US" w:eastAsia="zh-CN" w:bidi="ar"/>
              </w:rPr>
            </w:r>
            <w:r/>
          </w:p>
        </w:tc>
      </w:tr>
      <w:tr>
        <w:trPr>
          <w:trHeight w:val="298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讨论桌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W2400*D1200*H750mm（±3mm）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5、桌脚带走线功能，桌面配置滑动轨道轨道插座（五孔插座4个、USB接口1个、Typc1个）。</w:t>
            </w:r>
            <w:r>
              <w:rPr>
                <w:rFonts w:hint="eastAsia" w:ascii="宋体" w:hAnsi="宋体" w:eastAsia="宋体" w:cs="宋体"/>
                <w:i w:val="0"/>
                <w:iCs w:val="0"/>
                <w:color w:val="000000"/>
                <w:sz w:val="21"/>
                <w:szCs w:val="21"/>
                <w:u w:val="none"/>
                <w:lang w:val="en-US" w:eastAsia="zh-CN" w:bidi="ar"/>
              </w:rPr>
            </w:r>
            <w:r/>
          </w:p>
        </w:tc>
      </w:tr>
      <w:tr>
        <w:trPr>
          <w:trHeight w:val="378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讨论椅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曲木板：使用实木木材，纹理清晰，经蒸汽烘干处理，并经防腐，防虫处理，拼接严密牢固，其木材无节子、无裂纹、无缺棱；椅座可向上垂直翻动90°，黑色底壳带“拉手”槽，方便搬运移动，整椅可以实现前后推叠，能有效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行政办公椅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W680*D800*H1100mm（±3mm）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r>
            <w:r>
              <w:rPr>
                <w:rFonts w:hint="eastAsia" w:ascii="宋体" w:hAnsi="宋体" w:eastAsia="宋体" w:cs="宋体"/>
                <w:i w:val="0"/>
                <w:iCs w:val="0"/>
                <w:color w:val="000000"/>
                <w:sz w:val="21"/>
                <w:szCs w:val="21"/>
                <w:u w:val="none"/>
                <w:lang w:val="en-US" w:eastAsia="zh-CN" w:bidi="ar"/>
              </w:rPr>
              <w:t xml:space="preserve">1、面料：采用一级环保PU皮，持久耐用，质量绝对保证，手感柔软，厚薄均匀，纹理清晰平整；</w:t>
            </w:r>
            <w:r>
              <w:rPr>
                <w:rFonts w:hint="eastAsia" w:ascii="宋体" w:hAnsi="宋体" w:eastAsia="宋体" w:cs="宋体"/>
                <w:i w:val="0"/>
                <w:iCs w:val="0"/>
                <w:color w:val="000000"/>
                <w:sz w:val="21"/>
                <w:szCs w:val="21"/>
                <w:u w:val="none"/>
                <w:lang w:val="en-US" w:eastAsia="zh-CN" w:bidi="ar"/>
              </w:rPr>
            </w:r>
            <w:r/>
          </w:p>
          <w:p>
            <w:pPr>
              <w:jc w:val="left"/>
              <w:keepLines w:val="0"/>
              <w:keepNext w:val="0"/>
              <w:widowControl/>
              <w:rPr>
                <w:rFonts w:hint="eastAsia" w:ascii="宋体" w:hAnsi="宋体" w:eastAsia="宋体" w:cs="宋体"/>
                <w:bCs w:val="0"/>
                <w:i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2、海绵：≥40kg/m³密度高回弹发泡成型海绵，曲度依照人体工程学背部曲线设计，舒适性好，密度高，回弹力强；</w:t>
            </w:r>
            <w:r>
              <w:rPr>
                <w:rFonts w:hint="eastAsia" w:ascii="宋体" w:hAnsi="宋体" w:eastAsia="宋体" w:cs="宋体"/>
                <w:bCs w:val="0"/>
                <w:i w:val="0"/>
                <w:color w:val="000000"/>
                <w:sz w:val="21"/>
                <w:szCs w:val="21"/>
                <w:u w:val="none"/>
                <w:lang w:val="en-US" w:eastAsia="zh-CN" w:bidi="ar"/>
              </w:rPr>
            </w:r>
            <w:r/>
          </w:p>
          <w:p>
            <w:pPr>
              <w:jc w:val="left"/>
              <w:keepLines w:val="0"/>
              <w:keepNext w:val="0"/>
              <w:widowControl/>
              <w:rPr>
                <w:rFonts w:hint="eastAsia" w:ascii="宋体" w:hAnsi="宋体" w:eastAsia="宋体" w:cs="宋体"/>
                <w:bCs w:val="0"/>
                <w:i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bCs w:val="0"/>
                <w:i w:val="0"/>
                <w:color w:val="000000"/>
                <w:sz w:val="21"/>
                <w:szCs w:val="21"/>
                <w:u w:val="none"/>
                <w:lang w:val="en-US" w:eastAsia="zh-CN" w:bidi="ar"/>
              </w:rPr>
            </w:r>
            <w:r/>
          </w:p>
          <w:p>
            <w:pPr>
              <w:jc w:val="left"/>
              <w:keepLines w:val="0"/>
              <w:keepNext w:val="0"/>
              <w:widowControl/>
              <w:rPr>
                <w:rFonts w:hint="eastAsia" w:ascii="宋体" w:hAnsi="宋体" w:eastAsia="宋体" w:cs="宋体"/>
                <w:bCs w:val="0"/>
                <w:i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p>
        </w:tc>
      </w:tr>
      <w:tr>
        <w:trPr>
          <w:trHeight w:val="40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行政办公桌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W2000*D1450*H750mm（±3mm）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4、油漆：采用环保水性漆，标准厚度为0.5mm，底着色，五底三面油漆工艺，清晰体现实木质感；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配件：采用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7、桌面预留走线孔位。</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行政会议桌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W2200*D1000*H750mm（±3mm）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245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行政会议椅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W630*D720*H1030mm（±3mm）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1、面料：采用环保西皮，持久耐用，手感柔软，厚薄均匀，纹理清晰平整；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2、海绵：≥40kg/m³密度高回弹发泡成型海绵，曲度依照人体工程学背部曲线设计，密度好，回弹力强；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rPr>
                <w:rFonts w:hint="eastAsia" w:ascii="宋体" w:hAnsi="宋体" w:eastAsia="宋体" w:cs="宋体"/>
                <w:i w:val="0"/>
                <w:iCs w:val="0"/>
                <w:color w:val="000000"/>
                <w:sz w:val="21"/>
                <w:szCs w:val="21"/>
                <w:u w:val="none"/>
                <w:lang w:val="en-US" w:eastAsia="zh-CN" w:bidi="ar"/>
              </w:rPr>
            </w:r>
            <w:r/>
          </w:p>
        </w:tc>
      </w:tr>
      <w:tr>
        <w:trPr>
          <w:trHeight w:val="343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行政书柜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W1050*D500*H2000mm（±3mm）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4、油漆：采用环保水性漆，标准厚度为0.5mm，底着色，五底三面油漆工艺，清晰体现实木质感；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r>
            <w:r/>
          </w:p>
        </w:tc>
      </w:tr>
      <w:tr>
        <w:trPr>
          <w:trHeight w:val="224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诊疗凳</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W340*D270*H430mm（±3mm）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1、面料：座背椅板为PU自结皮材质，专用高速数控冲床配合专用冲孔模具冲孔，一体冷压成型。使用专用精密发泡模具，配合成型座背铁板，采用高速压力PU机一体发泡成型；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钢架：采用一体式的钢管链接，壁厚≥2.0mm，表面采用磷化处理生产线进行严格除油除锈及磷化工艺处理后，通过粉末喷涂设备进行静电喷塑防止钢件的生锈腐蚀，11道隧道式防锈处理，液体烤漆，粉体烤漆膜厚度≥30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3、加PVC塑料脚垫。</w:t>
            </w:r>
            <w:r>
              <w:rPr>
                <w:rFonts w:hint="eastAsia" w:ascii="宋体" w:hAnsi="宋体" w:eastAsia="宋体" w:cs="宋体"/>
                <w:i w:val="0"/>
                <w:iCs w:val="0"/>
                <w:color w:val="000000"/>
                <w:sz w:val="21"/>
                <w:szCs w:val="21"/>
                <w:u w:val="none"/>
                <w:lang w:val="en-US" w:eastAsia="zh-CN" w:bidi="ar"/>
              </w:rPr>
            </w:r>
            <w:r/>
          </w:p>
        </w:tc>
      </w:tr>
      <w:tr>
        <w:trPr>
          <w:trHeight w:val="288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直条办公桌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7、配活动柜。</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器材室存储架（篮球馆、武术馆通用）</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2、层载重量≥200kg，立柱截面规格为80*40*1.2mm，接50mm节距可调节，层板为整块钢板，板材厚≥0.7mm，横梁64*40*1.0mm，层板为两板两筋；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层数为4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247"/>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定制武术馆器材室存储架（长棍）</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jc w:val="left"/>
              <w:keepLines w:val="0"/>
              <w:keepNext w:val="0"/>
              <w:widowControl/>
              <w:framePr w:vAnchor="text" w:hAnchor="page" w:x="1069" w:y="312"/>
              <w:suppressLineNumbers w:val="0"/>
            </w:pPr>
            <w:r>
              <w:rPr>
                <w:rFonts w:hint="eastAsia" w:ascii="宋体" w:hAnsi="宋体" w:eastAsia="宋体" w:cs="宋体"/>
                <w:bCs w:val="0"/>
                <w:i w:val="0"/>
                <w:color w:val="000000"/>
                <w:sz w:val="21"/>
                <w:szCs w:val="21"/>
                <w:u w:val="none"/>
                <w:lang w:val="en-US" w:eastAsia="zh-CN" w:bidi="ar"/>
                <w14:ligatures w14:val="none"/>
              </w:rPr>
              <w:t xml:space="preserve">1、采用冷轧钢板，厚度≥1.0mm；</w:t>
            </w:r>
            <w:r>
              <w:rPr>
                <w:rFonts w:hint="eastAsia" w:ascii="宋体" w:hAnsi="宋体" w:eastAsia="宋体" w:cs="宋体"/>
                <w:bCs w:val="0"/>
                <w:i w:val="0"/>
                <w:color w:val="000000"/>
                <w:sz w:val="21"/>
                <w:szCs w:val="21"/>
                <w:u w:val="none"/>
                <w:lang w:val="en-US" w:eastAsia="zh-CN" w:bidi="ar"/>
                <w14:ligatures w14:val="none"/>
              </w:rPr>
            </w:r>
            <w:r/>
          </w:p>
          <w:p>
            <w:pPr>
              <w:jc w:val="left"/>
              <w:keepLines w:val="0"/>
              <w:keepNext w:val="0"/>
              <w:widowControl/>
              <w:rPr>
                <w:rFonts w:hint="eastAsia" w:ascii="宋体" w:hAnsi="宋体" w:eastAsia="宋体" w:cs="宋体"/>
                <w:bCs w:val="0"/>
                <w:i w:val="0"/>
                <w:color w:val="000000"/>
                <w:sz w:val="21"/>
                <w:szCs w:val="21"/>
                <w:u w:val="none"/>
                <w:lang w:val="en-US" w:eastAsia="zh-CN" w:bidi="ar"/>
                <w14:ligatures w14:val="none"/>
              </w:rPr>
              <w:framePr w:vAnchor="text" w:hAnchor="page" w:x="1069" w:y="312"/>
              <w:suppressLineNumbers w:val="0"/>
            </w:pPr>
            <w:r>
              <w:rPr>
                <w:rFonts w:hint="eastAsia" w:ascii="宋体" w:hAnsi="宋体" w:eastAsia="宋体" w:cs="宋体"/>
                <w:bCs w:val="0"/>
                <w:i w:val="0"/>
                <w:color w:val="000000"/>
                <w:sz w:val="21"/>
                <w:szCs w:val="21"/>
                <w:u w:val="none"/>
                <w:lang w:val="en-US" w:eastAsia="zh-CN" w:bidi="ar"/>
                <w14:ligatures w14:val="none"/>
              </w:rPr>
              <w:t xml:space="preserve">2、层数单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定制武术馆器材室存储架（刀剑）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1、采用冷轧钢板，厚度≥1.0mm；</w:t>
            </w:r>
            <w:r>
              <w:rPr>
                <w:rFonts w:hint="eastAsia" w:ascii="宋体" w:hAnsi="宋体" w:eastAsia="宋体" w:cs="宋体"/>
                <w:i w:val="0"/>
                <w:iCs w:val="0"/>
                <w:color w:val="000000"/>
                <w:sz w:val="21"/>
                <w:szCs w:val="21"/>
                <w:u w:val="none"/>
                <w:lang w:val="en-US" w:eastAsia="zh-CN" w:bidi="ar"/>
              </w:rPr>
            </w:r>
            <w:r/>
          </w:p>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层数上、下两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2342"/>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钢制文件柜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W860*D400*H1850mm（±3mm）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4、柜边：超薄处理；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5、结构：上玻下抽屉，上层层板钩采用卡扣式，结合柜体预留的调节孔，可自由调节高度。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r>
            <w:r/>
          </w:p>
        </w:tc>
      </w:tr>
      <w:tr>
        <w:trPr>
          <w:trHeight w:val="223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存储架</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1、采用冷轧钢板，厚度≥1.0mm；</w:t>
            </w:r>
            <w:r>
              <w:rPr>
                <w:rFonts w:hint="eastAsia" w:ascii="宋体" w:hAnsi="宋体" w:eastAsia="宋体" w:cs="宋体"/>
                <w:i w:val="0"/>
                <w:iCs w:val="0"/>
                <w:color w:val="000000"/>
                <w:sz w:val="21"/>
                <w:szCs w:val="21"/>
                <w:u w:val="none"/>
                <w:lang w:val="en-US" w:eastAsia="zh-CN" w:bidi="ar"/>
              </w:rPr>
            </w:r>
            <w:r/>
          </w:p>
          <w:p>
            <w:pPr>
              <w:pStyle w:val="875"/>
              <w:jc w:val="left"/>
              <w:keepLines w:val="0"/>
              <w:keepNext w:val="0"/>
              <w:widowControl/>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2、层载重量≥200kg，立柱截面规格为80*40*1.2mm，接50mm节距可调节，层板为整块钢板，板材厚≥0.7mm，横梁64*40*1.0mm，层板为两板两筋；</w:t>
            </w:r>
            <w:r>
              <w:rPr>
                <w:rFonts w:hint="eastAsia" w:ascii="宋体" w:hAnsi="宋体" w:eastAsia="宋体" w:cs="宋体"/>
                <w:i w:val="0"/>
                <w:iCs w:val="0"/>
                <w:color w:val="000000"/>
                <w:sz w:val="21"/>
                <w:szCs w:val="21"/>
                <w:u w:val="none"/>
                <w:lang w:val="en-US" w:eastAsia="zh-CN" w:bidi="ar"/>
              </w:rPr>
            </w:r>
            <w:r/>
          </w:p>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层数为4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343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W800*D400*H850mm（±3mm）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r>
            <w:r/>
          </w:p>
        </w:tc>
      </w:tr>
      <w:tr>
        <w:trPr>
          <w:trHeight w:val="288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接待沙发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W854*D689*H800mm（±3mm）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1、表层：环保贵宾接待沙发专用布料，经液态浸色及防潮工艺处理，光泽持久性透气性强、耐磨性强、无异味、弹性好、肌理清晰，健康</w:t>
            </w:r>
            <w:r>
              <w:rPr>
                <w:rFonts w:hint="eastAsia" w:ascii="宋体" w:hAnsi="宋体" w:eastAsia="宋体" w:cs="宋体"/>
                <w:i w:val="0"/>
                <w:iCs w:val="0"/>
                <w:color w:val="000000"/>
                <w:sz w:val="21"/>
                <w:szCs w:val="21"/>
                <w:u w:val="none"/>
                <w:lang w:val="en-US" w:eastAsia="zh-CN" w:bidi="ar"/>
              </w:rPr>
              <w:t xml:space="preserve">环保，经久耐用；                                                                                             2、泡绵：环保型高密度、高回弹PU泡绵，附不含氟氨化合物的高弹力定型海绵及多层丝棉作填充，座垫泡棉密度≥40kg/m³，靠垫泡棉密度≥25kg/m³, 圆润厚实，弹性好，表面涂有防止老化变形的保护膜；                                                       </w:t>
            </w:r>
            <w:r>
              <w:rPr>
                <w:rFonts w:hint="eastAsia" w:ascii="宋体" w:hAnsi="宋体" w:eastAsia="宋体" w:cs="宋体"/>
                <w:i w:val="0"/>
                <w:iCs w:val="0"/>
                <w:color w:val="000000"/>
                <w:sz w:val="21"/>
                <w:szCs w:val="21"/>
                <w:u w:val="none"/>
                <w:lang w:val="en-US" w:eastAsia="zh-CN" w:bidi="ar"/>
              </w:rPr>
              <w:t xml:space="preserve">                                                                                                     3.内部：实木框架，木材含水率≥10%，无虫蚀、腐朽材，木材经四面刨光处理，结合部位无松动，框架主体榫结构，内部衬垫物干燥卫生，无腐烂变质、无夹杂泥沙及金属杂物，高强度S形弹簧和高弹力绷带打底；                                                          </w:t>
            </w:r>
            <w:r>
              <w:rPr>
                <w:rFonts w:hint="eastAsia" w:ascii="宋体" w:hAnsi="宋体" w:eastAsia="宋体" w:cs="宋体"/>
                <w:i w:val="0"/>
                <w:iCs w:val="0"/>
                <w:color w:val="000000"/>
                <w:sz w:val="21"/>
                <w:szCs w:val="21"/>
                <w:u w:val="none"/>
                <w:lang w:val="en-US" w:eastAsia="zh-CN" w:bidi="ar"/>
              </w:rPr>
              <w:t xml:space="preserve">                                                                                                                                                                                                                  4.外露木料：选用环保橡胶木料，榫卯结构，油漆采用环保型PE底漆，PU面漆，颜色均匀硬度高。</w:t>
            </w:r>
            <w:r>
              <w:rPr>
                <w:rFonts w:hint="eastAsia" w:ascii="宋体" w:hAnsi="宋体" w:eastAsia="宋体" w:cs="宋体"/>
                <w:i w:val="0"/>
                <w:iCs w:val="0"/>
                <w:color w:val="000000"/>
                <w:sz w:val="21"/>
                <w:szCs w:val="21"/>
                <w:u w:val="none"/>
                <w:lang w:val="en-US" w:eastAsia="zh-CN" w:bidi="ar"/>
              </w:rPr>
            </w:r>
            <w:r/>
          </w:p>
        </w:tc>
      </w:tr>
      <w:tr>
        <w:trPr>
          <w:trHeight w:val="323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接待茶几</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W680*D480*H550mm（±3mm）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5、脚：橡胶木实木脚；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6、配件：采用符合国家标准五金配件。</w:t>
            </w:r>
            <w:r>
              <w:rPr>
                <w:rFonts w:hint="eastAsia" w:ascii="宋体" w:hAnsi="宋体" w:eastAsia="宋体" w:cs="宋体"/>
                <w:i w:val="0"/>
                <w:iCs w:val="0"/>
                <w:color w:val="000000"/>
                <w:sz w:val="21"/>
                <w:szCs w:val="21"/>
                <w:u w:val="none"/>
                <w:lang w:val="en-US" w:eastAsia="zh-CN" w:bidi="ar"/>
              </w:rPr>
            </w:r>
            <w:r/>
          </w:p>
        </w:tc>
      </w:tr>
      <w:tr>
        <w:trPr>
          <w:trHeight w:val="2656"/>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屏风工位S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W1500*D1800*H1100mm（±3mm）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1、铝材：采用T4型铝型材（铝型材合金框架）：主材壁厚≥1.2MM，氧化铝，屏风厚≥40mm,屏风上部配置走线槽。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2、屏风面料：上部采用实木颗粒板+条纹玻璃，下部采用实木颗粒板；                                                       3、屏风内芯：采用环保型实木颗粒板，板材甲醛释放量达到《GB/T 39600-2021人造板及其制品甲醛释放量分级》ENF级，甲醛释放量≤0.025mg/m³，含水率5-16%，胶合强度≥0.7Mpa；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4、台面板：≥25mm三聚氰胺纸饰面实木颗粒板；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5、封边：采用PVC同色封边条封边，封边条厚度≥2.0mm；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7、配三抽活动柜。</w:t>
            </w:r>
            <w:r>
              <w:rPr>
                <w:rFonts w:hint="eastAsia" w:ascii="宋体" w:hAnsi="宋体" w:eastAsia="宋体" w:cs="宋体"/>
                <w:i w:val="0"/>
                <w:iCs w:val="0"/>
                <w:color w:val="000000"/>
                <w:sz w:val="21"/>
                <w:szCs w:val="21"/>
                <w:u w:val="none"/>
                <w:lang w:val="en-US" w:eastAsia="zh-CN" w:bidi="ar"/>
              </w:rPr>
            </w:r>
            <w:r/>
          </w:p>
        </w:tc>
      </w:tr>
      <w:tr>
        <w:trPr>
          <w:trHeight w:val="206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书柜S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W800*D600/400*H2000mm（±3mm）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w:t>
            </w:r>
            <w:r>
              <w:rPr>
                <w:rFonts w:hint="eastAsia" w:ascii="宋体" w:hAnsi="宋体" w:eastAsia="宋体" w:cs="宋体"/>
                <w:i w:val="0"/>
                <w:iCs w:val="0"/>
                <w:color w:val="000000"/>
                <w:sz w:val="21"/>
                <w:szCs w:val="21"/>
                <w:u w:val="none"/>
                <w:lang w:val="en-US" w:eastAsia="zh-CN" w:bidi="ar"/>
              </w:rPr>
              <w:t xml:space="preserve">：采用实木多层板，甲醛释放量达到《GB/T 39600-2021人造板及其制品甲醛释放量分级》ENF级，甲醛释放量≤0.025mg/m³，含水率5-16%，胶合强度≥0.7Mpa，台面厚度≥25mm，其他部分≥18mm；                                                                                                                                       3、封边条：采用≥2.</w:t>
            </w:r>
            <w:r>
              <w:rPr>
                <w:rFonts w:hint="eastAsia" w:ascii="宋体" w:hAnsi="宋体" w:eastAsia="宋体" w:cs="宋体"/>
                <w:i w:val="0"/>
                <w:iCs w:val="0"/>
                <w:color w:val="000000"/>
                <w:sz w:val="21"/>
                <w:szCs w:val="21"/>
                <w:u w:val="none"/>
                <w:lang w:val="en-US" w:eastAsia="zh-CN" w:bidi="ar"/>
              </w:rPr>
              <w:t xml:space="preserve">0mm PVC同色封边条封边，弹性好，耐撞击，封边严密、平整、无脱胶、表面无胶渍；                                                                                                                                                                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r>
            <w:r/>
          </w:p>
        </w:tc>
      </w:tr>
      <w:tr>
        <w:trPr>
          <w:trHeight w:val="432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办公椅S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W665*D685*H1035-1310mm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1、外框：塑胶框架，选用黑色高强度尼龙加玻璃纤维环保新料内外框架；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2、头枕：面料采用环保聚酯纤维材质网布，3D头枕主体前后0-90度调整，5段上下调节，上下调节距离≥11.5CM；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3、椅背：采用环保高弹性网布，背连接支撑架黑色高强度尼龙加玻璃纤维环保新料，后仰力度可调节，椅背后仰3段锁定，角度≥145度，提供腰部强力支撑独立可调式活动腰靠；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4、扶手：3D升降扶手PU扶手面，采用黑色高强度尼龙加玻璃纤维环保新料内管，扶手主体5段式高度升降≥6CM；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5、坐垫：高弹性网布座垫，密度60-65Kg/m³硬度35-45，深浅3段调节(滑座)，滑动距离5CM；座垫高度调节10CM；框架主体材料为黑色高强度尼龙加玻璃纤维环保新料；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6、底盘：ET型单杆式机械底盘，旋杯式后仰力度调节；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7、气压棒：采用4级气压棒，棒芯壁厚≥2.5MM，并采用QPQ渗碳技术处理；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8、椅脚：350MM高载重黑色高强度尼龙加玻璃纤维环保新料椅脚，可载重≥1500KG；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9、脚踏：抽拉翻转网布脚踏。</w:t>
            </w:r>
            <w:r>
              <w:rPr>
                <w:rFonts w:hint="eastAsia" w:ascii="宋体" w:hAnsi="宋体" w:eastAsia="宋体" w:cs="宋体"/>
                <w:i w:val="0"/>
                <w:iCs w:val="0"/>
                <w:color w:val="000000"/>
                <w:sz w:val="21"/>
                <w:szCs w:val="21"/>
                <w:u w:val="none"/>
                <w:lang w:val="en-US" w:eastAsia="zh-CN" w:bidi="ar"/>
              </w:rPr>
            </w:r>
            <w:r/>
          </w:p>
        </w:tc>
      </w:tr>
      <w:tr>
        <w:trPr>
          <w:trHeight w:val="26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502"/>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共用办公椅S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曲木板：使用实木木材，纹理清晰，经蒸汽烘干处理，并经防腐，防虫处理，拼接严密牢固，其木材无节子、无裂纹、无缺棱；椅座可向上垂直翻动90°，黑色底壳带“拉手”槽，方便搬运移动，整椅可以实现前后推叠，能有效的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会议桌S1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W8400*D2400*H750mm（±3mm）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360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会议桌S2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W4800*D1800*H750mm（±3mm）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7、其他：主台带走线功能，桌内设置走线槽，桌面配置6个多功能线盒。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会议桌S3</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W7700*D2400*H750mm（±3mm）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会议椅S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W630*D720*H1030mm（±3mm）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1、面料：采用环保西皮，持久耐用，手感柔软，厚薄均匀，纹理清晰平整；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2、海绵：≥40kg/m³密度高回弹发泡成型海绵，曲度依照人体工程学背部曲线设计，密度好，回弹力强；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rPr>
                <w:rFonts w:hint="eastAsia" w:ascii="宋体" w:hAnsi="宋体" w:eastAsia="宋体" w:cs="宋体"/>
                <w:i w:val="0"/>
                <w:iCs w:val="0"/>
                <w:color w:val="000000"/>
                <w:sz w:val="21"/>
                <w:szCs w:val="21"/>
                <w:u w:val="none"/>
                <w:lang w:val="en-US" w:eastAsia="zh-CN" w:bidi="ar"/>
              </w:rPr>
            </w:r>
            <w:r/>
          </w:p>
        </w:tc>
      </w:tr>
    </w:tbl>
    <w:p>
      <w:pPr>
        <w:pStyle w:val="875"/>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★（二）商务要求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（1）总体要求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①供应商提供设备安装日程计划。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②供应商应及时与采购人联系，对本项目所有产品的规格尺寸、款式、颜色等要求进一步确认，得到采购人的签字盖章认可后方可生产，并确保产品质量。</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（2）质量要求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（3）安全施工要求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供应商应采取安全措施，确保施工安全。因本项目施工产生的施工人员和学校师生人身安全问题由供应商承担全部责任。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（4）验收要求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（5）质保（维保）及售后要求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①本项目质保期八年（自验收合格之日起，进入质保期）。质保期内，每年维护保养1次，维护保养及更换损坏件的费用包含在投标总价中。</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②质保期内，每年维护保养1次，维护保养及更换损坏件的费用包含在投标总价中。</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③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④质保期外，供应商提供终生服务，在货物的设计使用寿命周期内，供应商能保证采购人更换到原厂备件材料，确保产品的正常使用。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⑤质保期内维修（人为因素除外）费用包含在投标总价中，质保期外提供不高于市场价格的终身维护。中标后提供质保期外配件价格明细表。</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（6）平台监管要求：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②供应商须在履约过程中，严格按照“南京市教育装备项目管理平台”的技术与管理规范，在规定的时间节点，提供相应的合同履约资料，包括照片。</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③供应商在合同履约过程中，必须通过“南京市教育装备项目管理平台”申请验收，验收不合格即记录在平台中，整改后验收仍不合格的，采购人有权依据法律追究合同责任方的责任。</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④供应商须对所有进入固定资产的设备，按南京市的统一要求，通过“南京市教育装备项目管理平台”（南京市教育装备项目管理平台网址ttp://nj.cneefix.com）制作二维码标签，并张贴到设备上。</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⑤供应商须通过“南京市教育装备项目管理平台”提供售后维护维保服务。</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3.付款条件</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交付时间及地点</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bCs/>
          <w:color w:val="000000"/>
          <w:sz w:val="24"/>
          <w:szCs w:val="24"/>
          <w:highlight w:val="none"/>
          <w:lang w:val="en-US" w:eastAsia="zh-CN"/>
        </w:rPr>
        <w:t xml:space="preserve">天内交付并完成安装调试及验收等相关工作</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（2）交付地点：采购人指定地点</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（三）演示要求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视频文件的格式为*.mp4或*.avi，供应商须将视频文件压缩为*.zip文件上传（单个文件不得大于50M，大于50M的需分段压缩，所有文件合计不得大于300M）。文件上传方式见《操作手册》，上传的演示视频将作为投标文件的组成部分。视频时长总计不超过10分钟。</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2.演示内容详见“第五章  评标方法与评标标准”。</w:t>
      </w:r>
      <w:r>
        <w:rPr>
          <w:rFonts w:hint="eastAsia" w:ascii="宋体" w:hAnsi="宋体" w:eastAsia="宋体" w:cs="宋体"/>
          <w:bCs/>
          <w:color w:val="000000"/>
          <w:sz w:val="24"/>
          <w:szCs w:val="24"/>
          <w:highlight w:val="none"/>
          <w:lang w:val="en-US" w:eastAsia="zh-CN"/>
        </w:rPr>
      </w:r>
      <w:r/>
    </w:p>
    <w:p>
      <w:pPr>
        <w:pStyle w:val="875"/>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pStyle w:val="875"/>
        <w:rPr>
          <w:rFonts w:hint="eastAsia" w:ascii="宋体" w:hAnsi="宋体" w:eastAsia="宋体" w:cs="宋体"/>
          <w:sz w:val="24"/>
          <w:szCs w:val="24"/>
        </w:rPr>
      </w:pPr>
      <w:r>
        <w:rPr>
          <w:rFonts w:hint="eastAsia" w:ascii="宋体" w:hAnsi="宋体" w:eastAsia="宋体" w:cs="宋体"/>
          <w:sz w:val="24"/>
          <w:szCs w:val="24"/>
        </w:rPr>
      </w:r>
      <w:r/>
    </w:p>
    <w:p>
      <w:pPr>
        <w:pStyle w:val="875"/>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bookmarkStart w:id="196" w:name="_Toc120614281"/>
      <w:r>
        <w:rPr>
          <w:rFonts w:hint="eastAsia" w:ascii="宋体" w:hAnsi="宋体" w:eastAsia="宋体" w:cs="宋体"/>
          <w:b/>
          <w:bCs/>
          <w:color w:val="0000ff"/>
          <w:sz w:val="24"/>
          <w:szCs w:val="24"/>
          <w:highlight w:val="none"/>
          <w:u w:val="none"/>
          <w:lang w:val="en-US" w:eastAsia="zh-CN"/>
        </w:rPr>
      </w:r>
      <w:r/>
    </w:p>
    <w:p>
      <w:pPr>
        <w:pStyle w:val="875"/>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87"/>
        <w:numPr>
          <w:ilvl w:val="0"/>
          <w:numId w:val="6"/>
        </w:numPr>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教师办公室示意图</w:t>
      </w:r>
      <w:r>
        <w:rPr>
          <w:rFonts w:hint="eastAsia" w:ascii="宋体" w:hAnsi="宋体" w:eastAsia="宋体" w:cs="宋体"/>
          <w:color w:val="000000"/>
          <w:sz w:val="21"/>
          <w:szCs w:val="22"/>
          <w:lang w:val="en-US" w:eastAsia="zh-CN" w:bidi="ar-SA"/>
        </w:rPr>
      </w:r>
      <w:r/>
    </w:p>
    <w:p>
      <w:pPr>
        <w:pStyle w:val="875"/>
        <w:numPr>
          <w:ilvl w:val="0"/>
          <w:numId w:val="0"/>
        </w:numPr>
        <w:jc w:val="both"/>
        <w:widowControl w:val="off"/>
        <w:rPr>
          <w:lang w:val="en-US" w:eastAsia="zh-CN"/>
        </w:rPr>
      </w:pPr>
      <w:r>
        <w:rPr>
          <w:rFonts w:hint="eastAsia" w:ascii="方正小标宋简体" w:hAnsi="方正小标宋简体" w:eastAsia="方正小标宋简体" w:cs="方正小标宋简体"/>
          <w:color w:val="000000"/>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519430</wp:posOffset>
                </wp:positionH>
                <wp:positionV relativeFrom="paragraph">
                  <wp:posOffset>44450</wp:posOffset>
                </wp:positionV>
                <wp:extent cx="3420110" cy="282130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420110" cy="2821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9pt;mso-position-horizontal:absolute;mso-position-vertical-relative:text;margin-top:3.5pt;mso-position-vertical:absolute;width:269.3pt;height:222.1pt;mso-wrap-distance-left:9.0pt;mso-wrap-distance-top:0.0pt;mso-wrap-distance-right:9.0pt;mso-wrap-distance-bottom:0.0pt;" stroked="f">
                <v:path textboxrect="0,0,0,0"/>
                <v:imagedata r:id="rId12" o:title=""/>
              </v:shape>
            </w:pict>
          </mc:Fallback>
        </mc:AlternateContent>
      </w: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rFonts w:hint="eastAsia"/>
          <w:lang w:val="en-US" w:eastAsia="zh-CN"/>
        </w:rPr>
      </w:pPr>
      <w:r>
        <w:rPr>
          <w:rFonts w:hint="eastAsia"/>
          <w:lang w:val="en-US" w:eastAsia="zh-CN"/>
        </w:rPr>
      </w:r>
      <w:r/>
    </w:p>
    <w:p>
      <w:pPr>
        <w:pStyle w:val="887"/>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87"/>
        <w:numPr>
          <w:ilvl w:val="0"/>
          <w:numId w:val="6"/>
        </w:numPr>
        <w:rPr>
          <w:rFonts w:hint="eastAsia" w:ascii="宋体" w:hAnsi="宋体" w:eastAsia="宋体" w:cs="宋体"/>
          <w:color w:val="000000"/>
          <w:sz w:val="21"/>
          <w:szCs w:val="22"/>
          <w:lang w:val="en-US" w:eastAsia="zh-CN" w:bidi="ar-SA"/>
        </w:rPr>
      </w:pPr>
      <w:r>
        <w:rPr>
          <w:rFonts w:hint="eastAsia"/>
          <w:lang w:val="en-US" w:eastAsia="zh-CN"/>
        </w:rPr>
        <w:t xml:space="preserve">会</w:t>
      </w:r>
      <w:r>
        <w:rPr>
          <w:rFonts w:hint="eastAsia" w:ascii="宋体" w:hAnsi="宋体" w:eastAsia="宋体" w:cs="宋体"/>
          <w:color w:val="000000"/>
          <w:sz w:val="21"/>
          <w:szCs w:val="22"/>
          <w:lang w:val="en-US" w:eastAsia="zh-CN" w:bidi="ar-SA"/>
        </w:rPr>
        <w:t xml:space="preserve">议室示意图</w:t>
      </w: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533400</wp:posOffset>
                </wp:positionH>
                <wp:positionV relativeFrom="paragraph">
                  <wp:posOffset>69850</wp:posOffset>
                </wp:positionV>
                <wp:extent cx="3804285" cy="23120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04285" cy="2312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42.0pt;mso-position-horizontal:absolute;mso-position-vertical-relative:text;margin-top:5.5pt;mso-position-vertical:absolute;width:299.6pt;height:18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lang w:val="en-US" w:eastAsia="zh-CN"/>
        </w:rPr>
      </w:pPr>
      <w:r>
        <w:rPr>
          <w:rFonts w:hint="eastAsia"/>
          <w:lang w:val="en-US" w:eastAsia="zh-CN"/>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lang w:val="en-US" w:eastAsia="zh-CN"/>
        </w:rPr>
      </w:pPr>
      <w:r>
        <w:rPr>
          <w:rFonts w:hint="eastAsia"/>
          <w:lang w:val="en-US" w:eastAsia="zh-CN"/>
        </w:rPr>
      </w:r>
      <w:r/>
    </w:p>
    <w:p>
      <w:pPr>
        <w:pStyle w:val="887"/>
        <w:numPr>
          <w:ilvl w:val="0"/>
          <w:numId w:val="6"/>
        </w:numPr>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档案室示意图</w:t>
      </w:r>
      <w:r>
        <w:rPr>
          <w:rFonts w:ascii="宋体" w:hAnsi="宋体" w:eastAsia="宋体" w:cs="宋体"/>
          <w:color w:val="000000"/>
          <w:sz w:val="21"/>
          <w:szCs w:val="22"/>
          <w:lang w:val="en-US" w:eastAsia="zh-CN" w:bidi="ar-SA"/>
        </w:rPr>
      </w:r>
      <w:r/>
    </w:p>
    <w:p>
      <w:pPr>
        <w:pStyle w:val="887"/>
        <w:numPr>
          <w:ilvl w:val="0"/>
          <w:numId w:val="0"/>
        </w:numPr>
        <w:rPr>
          <w:rFonts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558165</wp:posOffset>
                </wp:positionH>
                <wp:positionV relativeFrom="paragraph">
                  <wp:posOffset>59055</wp:posOffset>
                </wp:positionV>
                <wp:extent cx="3691255" cy="24187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691255" cy="2418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43.9pt;mso-position-horizontal:absolute;mso-position-vertical-relative:text;margin-top:4.6pt;mso-position-vertical:absolute;width:290.6pt;height:190.4pt;mso-wrap-distance-left:9.0pt;mso-wrap-distance-top:0.0pt;mso-wrap-distance-right:9.0pt;mso-wrap-distance-bottom:0.0pt;" stroked="f">
                <v:path textboxrect="0,0,0,0"/>
                <v:imagedata r:id="rId14" o:title=""/>
              </v:shape>
            </w:pict>
          </mc:Fallback>
        </mc:AlternateContent>
      </w:r>
      <w:r>
        <w:rPr>
          <w:rFonts w:ascii="宋体" w:hAnsi="宋体" w:eastAsia="宋体" w:cs="宋体"/>
          <w:color w:val="000000"/>
          <w:sz w:val="21"/>
          <w:szCs w:val="22"/>
          <w:lang w:val="en-US" w:eastAsia="zh-CN" w:bidi="ar-SA"/>
        </w:rPr>
      </w:r>
      <w:r/>
    </w:p>
    <w:p>
      <w:pPr>
        <w:pStyle w:val="875"/>
        <w:rPr>
          <w:lang w:val="en-US" w:eastAsia="zh-CN"/>
        </w:rPr>
      </w:pPr>
      <w:r>
        <w:rPr>
          <w:lang w:val="en-US" w:eastAsia="zh-CN"/>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5"/>
        <w:keepLines w:val="0"/>
        <w:keepNext w:val="0"/>
        <w:pageBreakBefore w:val="0"/>
        <w:spacing w:line="264"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2.1-2.4项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w:t>
      </w:r>
      <w:r>
        <w:rPr>
          <w:rFonts w:hint="eastAsia" w:ascii="宋体" w:hAnsi="宋体" w:eastAsia="宋体" w:cs="宋体"/>
          <w:color w:val="000000"/>
          <w:sz w:val="24"/>
          <w:szCs w:val="24"/>
          <w:lang w:eastAsia="zh-CN"/>
        </w:rPr>
        <w:t xml:space="preserve">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lang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lang w:eastAsia="zh-CN"/>
        </w:rPr>
      </w:r>
      <w:r/>
    </w:p>
    <w:tbl>
      <w:tblPr>
        <w:tblStyle w:val="992"/>
        <w:tblW w:w="9835" w:type="dxa"/>
        <w:jc w:val="center"/>
        <w:tblInd w:w="-4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6"/>
        <w:gridCol w:w="709"/>
        <w:gridCol w:w="992"/>
      </w:tblGrid>
      <w:tr>
        <w:trPr>
          <w:trHeight w:val="454"/>
          <w:tblHeader/>
        </w:trPr>
        <w:tc>
          <w:tcPr>
            <w:tcW w:w="623"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276"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236"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709"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92"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835" w:type="dxa"/>
            <w:vAlign w:val="top"/>
            <w:textDirection w:val="lrTb"/>
            <w:noWrap w:val="false"/>
          </w:tcPr>
          <w:p>
            <w:pPr>
              <w:pStyle w:val="875"/>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236" w:type="dxa"/>
            <w:vAlign w:val="center"/>
            <w:textDirection w:val="lrTb"/>
            <w:noWrap w:val="false"/>
          </w:tcPr>
          <w:p>
            <w:pPr>
              <w:pStyle w:val="875"/>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价格分值（小数点保留两位）</w:t>
            </w:r>
            <w:r>
              <w:rPr>
                <w:rFonts w:ascii="宋体" w:hAnsi="宋体" w:eastAsia="宋体" w:cs="宋体"/>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val="en-US" w:eastAsia="zh-CN"/>
              </w:rPr>
            </w:pPr>
            <w:r>
              <w:rPr>
                <w:rFonts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835" w:type="dxa"/>
            <w:vAlign w:val="top"/>
            <w:textDirection w:val="lrTb"/>
            <w:noWrap w:val="false"/>
          </w:tcPr>
          <w:p>
            <w:pPr>
              <w:pStyle w:val="875"/>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spacing w:val="-2"/>
                <w:lang w:eastAsia="zh-CN"/>
              </w:rPr>
            </w:pPr>
            <w:r>
              <w:rPr>
                <w:rFonts w:ascii="宋体" w:hAnsi="宋体" w:eastAsia="宋体" w:cs="宋体"/>
                <w:color w:val="000000"/>
                <w:spacing w:val="-2"/>
                <w:lang w:val="en-US" w:eastAsia="zh-CN"/>
              </w:rPr>
              <w:t xml:space="preserve">产品技术参数</w:t>
            </w:r>
            <w:r>
              <w:rPr>
                <w:rFonts w:hint="eastAsia" w:ascii="宋体" w:hAnsi="宋体" w:eastAsia="宋体" w:cs="宋体"/>
                <w:color w:val="0000ff"/>
                <w:spacing w:val="-2"/>
                <w:lang w:eastAsia="zh-CN"/>
              </w:rPr>
            </w:r>
            <w:r/>
          </w:p>
        </w:tc>
        <w:tc>
          <w:tcPr>
            <w:tcW w:w="6236" w:type="dxa"/>
            <w:vAlign w:val="center"/>
            <w:textDirection w:val="lrTb"/>
            <w:noWrap w:val="false"/>
          </w:tcPr>
          <w:p>
            <w:pPr>
              <w:pStyle w:val="875"/>
              <w:jc w:val="both"/>
              <w:keepLines w:val="0"/>
              <w:keepNext w:val="0"/>
              <w:pageBreakBefore w:val="0"/>
              <w:spacing w:line="240" w:lineRule="auto"/>
              <w:widowControl w:val="off"/>
              <w:rPr>
                <w:rFonts w:hint="eastAsia" w:ascii="宋体" w:hAnsi="宋体" w:eastAsia="宋体" w:cs="宋体"/>
                <w:spacing w:val="1"/>
              </w:rPr>
            </w:pPr>
            <w:r>
              <w:rPr>
                <w:rFonts w:hint="eastAsia" w:ascii="宋体" w:hAnsi="宋体" w:eastAsia="宋体" w:cs="宋体"/>
                <w:lang w:val="en-US" w:eastAsia="zh-CN"/>
              </w:rPr>
              <w:t xml:space="preserve">产品技术参数全部满足招标要求的得满分，打★指标为必须满足项，如有负偏离将作为无效投标，其余指标有1项负偏离扣1分，扣完为止。</w:t>
            </w:r>
            <w:r>
              <w:rPr>
                <w:rFonts w:hint="eastAsia" w:ascii="宋体" w:hAnsi="宋体" w:eastAsia="宋体" w:cs="宋体"/>
                <w:spacing w:val="1"/>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21</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2.2</w:t>
            </w:r>
            <w:r>
              <w:rPr>
                <w:rFonts w:ascii="宋体" w:hAnsi="宋体" w:eastAsia="宋体" w:cs="宋体"/>
                <w:spacing w:val="-2"/>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原材料检测报告</w:t>
            </w:r>
            <w:r>
              <w:rPr>
                <w:rFonts w:hint="eastAsia" w:ascii="宋体" w:hAnsi="宋体" w:eastAsia="宋体" w:cs="宋体"/>
                <w:color w:val="000000"/>
                <w:spacing w:val="-2"/>
                <w:lang w:val="en-US" w:eastAsia="zh-CN"/>
              </w:rPr>
            </w:r>
            <w:r/>
          </w:p>
          <w:p>
            <w:pPr>
              <w:pStyle w:val="875"/>
              <w:jc w:val="left"/>
              <w:keepLines w:val="0"/>
              <w:keepNext w:val="0"/>
              <w:pageBreakBefore w:val="0"/>
              <w:spacing w:before="68" w:line="240" w:lineRule="auto"/>
              <w:widowControl w:val="off"/>
              <w:rPr>
                <w:rFonts w:ascii="宋体" w:hAnsi="宋体" w:eastAsia="宋体" w:cs="宋体"/>
                <w:color w:val="0000ff"/>
                <w:spacing w:val="-2"/>
              </w:rPr>
            </w:pPr>
            <w:r>
              <w:rPr>
                <w:rFonts w:ascii="宋体" w:hAnsi="宋体" w:eastAsia="宋体" w:cs="宋体"/>
                <w:color w:val="0000ff"/>
                <w:spacing w:val="-2"/>
              </w:rPr>
            </w:r>
            <w:r/>
          </w:p>
        </w:tc>
        <w:tc>
          <w:tcPr>
            <w:tcW w:w="6236" w:type="dxa"/>
            <w:vAlign w:val="center"/>
            <w:textDirection w:val="lrTb"/>
            <w:noWrap w:val="false"/>
          </w:tcPr>
          <w:p>
            <w:pPr>
              <w:pStyle w:val="875"/>
              <w:jc w:val="left"/>
              <w:rPr>
                <w:rFonts w:hint="eastAsia" w:ascii="宋体" w:hAnsi="宋体" w:cs="宋体"/>
                <w:sz w:val="21"/>
                <w:szCs w:val="21"/>
                <w:vertAlign w:val="baseline"/>
              </w:rPr>
            </w:pPr>
            <w:r>
              <w:rPr>
                <w:rFonts w:hint="eastAsia" w:ascii="宋体" w:hAnsi="宋体" w:eastAsia="宋体" w:cs="宋体"/>
                <w:sz w:val="21"/>
                <w:szCs w:val="21"/>
                <w:vertAlign w:val="baseline"/>
              </w:rPr>
              <w:t xml:space="preserve">投标人提供</w:t>
            </w:r>
            <w:r>
              <w:rPr>
                <w:rFonts w:hint="eastAsia" w:ascii="宋体" w:hAnsi="宋体" w:eastAsia="宋体" w:cs="宋体"/>
                <w:sz w:val="21"/>
                <w:szCs w:val="21"/>
                <w:highlight w:val="none"/>
                <w:vertAlign w:val="baseline"/>
                <w:lang w:val="en-US" w:eastAsia="zh-CN"/>
              </w:rPr>
              <w:t xml:space="preserve">2023年1月1日后具有</w:t>
            </w:r>
            <w:r>
              <w:rPr>
                <w:rFonts w:hint="eastAsia" w:ascii="宋体" w:hAnsi="宋体" w:eastAsia="宋体" w:cs="宋体"/>
                <w:sz w:val="21"/>
                <w:szCs w:val="21"/>
                <w:vertAlign w:val="baseline"/>
              </w:rPr>
              <w:t xml:space="preserve">CMA标识的原材料检测报告，包括：</w:t>
            </w:r>
            <w:r>
              <w:rPr>
                <w:rFonts w:ascii="宋体" w:hAnsi="宋体" w:cs="宋体"/>
              </w:rPr>
            </w:r>
            <w:r/>
          </w:p>
          <w:p>
            <w:pPr>
              <w:jc w:val="both"/>
              <w:keepLines w:val="0"/>
              <w:keepNext w:val="0"/>
              <w:pageBreakBefore w:val="0"/>
              <w:spacing w:line="240" w:lineRule="auto"/>
              <w:widowControl w:val="off"/>
              <w:rPr>
                <w:rFonts w:ascii="宋体" w:hAnsi="宋体" w:cs="宋体"/>
              </w:rPr>
            </w:pPr>
            <w:r>
              <w:rPr>
                <w:rFonts w:hint="eastAsia" w:ascii="宋体" w:hAnsi="宋体" w:eastAsia="宋体" w:cs="宋体"/>
                <w:color w:val="000000"/>
                <w:sz w:val="21"/>
                <w:szCs w:val="21"/>
                <w:lang w:val="en-US" w:eastAsia="zh-CN"/>
              </w:rPr>
              <w:t xml:space="preserve">1、</w:t>
            </w:r>
            <w:r>
              <w:rPr>
                <w:rFonts w:ascii="宋体" w:hAnsi="宋体" w:eastAsia="宋体" w:cs="宋体"/>
                <w:b/>
                <w:bCs/>
              </w:rPr>
              <w:t xml:space="preserve">实木颗粒板</w:t>
            </w:r>
            <w:r>
              <w:rPr>
                <w:rFonts w:ascii="宋体" w:hAnsi="宋体" w:eastAsia="宋体" w:cs="宋体"/>
              </w:rPr>
              <w:t xml:space="preserve">，检验检测依据GB/T4897-2015《刨花板》、GB/T 35601-2024《绿色产品评价人造板和木质地板》、GB/T 39600-2021《人造板及其制品甲醛释放量分级》、JC/T2039-2010《抗菌防霉木质装饰板》、GB8624-2012《建筑材料及制品燃烧性能分、QB/T4371-2012《家具抗菌性能的评价》，检测至少包含：外观质量无断痕、透裂，合格；垂直度≤2mm/m。板内密度偏差+3.3%，甲醛释放量分级达到ENF级，甲醛释放量≤0.025mg/m³，挥发性有机化合物释放浓</w:t>
            </w:r>
            <w:r>
              <w:rPr>
                <w:rFonts w:ascii="宋体" w:hAnsi="宋体" w:eastAsia="宋体" w:cs="宋体"/>
              </w:rPr>
              <w:t xml:space="preserve">度（苯、甲苯、二甲苯、总挥发性有机化合物）未检出；燃烧性能（热释放速率峰值≤100KW,5min总热释放量≤20MJ，最大烟密度≤50%）合格，防霉菌性能（黑曲霉、桔青霉、大毛霉、宛氏拟青霉、球毛壳霉、绳状青霉、赭绿青霉、链格孢、黄曲霉）等级0级，合格；抗菌性能-抑菌率（金黄色葡萄球菌、白色葡萄球菌、大肠杆菌、肺炎克雷伯氏菌、粘质沙雷伯氏菌、绿脓假单胞菌、表皮葡萄球菌）≥99%，具有较好的抗菌效果。</w:t>
            </w:r>
            <w:r>
              <w:rPr>
                <w:rFonts w:ascii="宋体" w:hAnsi="宋体" w:cs="宋体"/>
              </w:rPr>
            </w:r>
            <w:r/>
          </w:p>
          <w:p>
            <w:pPr>
              <w:jc w:val="both"/>
              <w:keepLines w:val="0"/>
              <w:keepNext w:val="0"/>
              <w:pageBreakBefore w:val="0"/>
              <w:spacing w:line="240" w:lineRule="auto"/>
              <w:widowControl w:val="off"/>
              <w:rPr>
                <w:rFonts w:ascii="宋体" w:hAnsi="宋体" w:cs="宋体"/>
              </w:rPr>
            </w:pPr>
            <w:r>
              <w:rPr>
                <w:rFonts w:hint="eastAsia" w:ascii="宋体" w:hAnsi="宋体" w:eastAsia="宋体" w:cs="宋体"/>
                <w:color w:val="000000"/>
                <w:sz w:val="21"/>
                <w:szCs w:val="21"/>
                <w:lang w:val="en-US" w:eastAsia="zh-CN"/>
              </w:rPr>
              <w:t xml:space="preserve">2、</w:t>
            </w:r>
            <w:r>
              <w:rPr>
                <w:rFonts w:ascii="宋体" w:hAnsi="宋体" w:eastAsia="宋体" w:cs="宋体"/>
                <w:b/>
                <w:bCs/>
              </w:rPr>
              <w:t xml:space="preserve">金属桌架</w:t>
            </w:r>
            <w:r>
              <w:rPr>
                <w:rFonts w:ascii="宋体" w:hAnsi="宋体" w:eastAsia="宋体" w:cs="宋体"/>
              </w:rPr>
              <w:t xml:space="preserve">，检验检测依据GB/T 3325-2024《金属家具通用技术条件》、QB/T3826-1999《轻工产品金属镀层和化学处理层的耐腐蚀试验方法中性盐雾试验(NSS)法》、QB/T3832-1999《轻工产品金属镀层腐蚀试验结果的评价》，检测至少包含：外观性能-金属件（管材、焊接件、喷漆（塑）涂层）检测合格，力学性能-桌几类强度和耐久性（水平静载荷试验、主桌面垂直静载荷试验、水平耐久性试验、垂直耐久性试验、其他桌面的垂直冲击试验）检测合格，力学性能-桌几类稳定性（垂直加载稳定性、垂直和水平加载稳定性）</w:t>
            </w:r>
            <w:r>
              <w:rPr>
                <w:rFonts w:ascii="宋体" w:hAnsi="宋体" w:eastAsia="宋体" w:cs="宋体"/>
              </w:rPr>
              <w:t xml:space="preserve">检测合格，安全性能-有害物质限量的可迁移有害元素（锑、砷、钡、铅、镉、铬、汞、硒）未检出。中性盐雾试验24小时连续喷雾，涂层本身的耐腐蚀等级为10级。</w:t>
            </w:r>
            <w:r>
              <w:rPr>
                <w:rFonts w:ascii="宋体" w:hAnsi="宋体" w:cs="宋体"/>
              </w:rPr>
            </w:r>
            <w:r/>
          </w:p>
          <w:p>
            <w:pPr>
              <w:pStyle w:val="875"/>
              <w:jc w:val="left"/>
              <w:keepLines w:val="0"/>
              <w:keepNext w:val="0"/>
              <w:pageBreakBefore w:val="0"/>
              <w:spacing w:line="240" w:lineRule="auto"/>
              <w:widowControl w:val="off"/>
              <w:rPr>
                <w:rFonts w:hint="eastAsia" w:ascii="宋体" w:hAnsi="宋体" w:cs="宋体"/>
                <w:sz w:val="21"/>
                <w:szCs w:val="21"/>
                <w:highlight w:val="none"/>
                <w:vertAlign w:val="baseline"/>
              </w:rPr>
            </w:pPr>
            <w:r>
              <w:rPr>
                <w:rFonts w:hint="eastAsia" w:ascii="宋体" w:hAnsi="宋体" w:eastAsia="宋体" w:cs="宋体"/>
                <w:sz w:val="21"/>
                <w:szCs w:val="21"/>
                <w:vertAlign w:val="baseline"/>
                <w:lang w:val="en-US" w:eastAsia="zh-CN"/>
              </w:rPr>
              <w:t xml:space="preserve">投标人所投产品提供</w:t>
            </w:r>
            <w:r>
              <w:rPr>
                <w:rFonts w:hint="eastAsia" w:ascii="宋体" w:hAnsi="宋体" w:eastAsia="宋体" w:cs="宋体"/>
                <w:sz w:val="21"/>
                <w:szCs w:val="21"/>
                <w:vertAlign w:val="baseline"/>
              </w:rPr>
              <w:t xml:space="preserve">以上各项检测报告为合格的</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每提供一项得</w:t>
            </w: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rPr>
              <w:t xml:space="preserve">分，最多得</w:t>
            </w: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rPr>
              <w:t xml:space="preserve">分(提供检测报告，需体现可验真伪途径信息，需提供检测报告首页、内容页、结尾页 完整内容，未按上述要求提供或未提供的不得分)</w:t>
            </w:r>
            <w:r>
              <w:rPr>
                <w:rFonts w:hint="eastAsia" w:ascii="宋体" w:hAnsi="宋体" w:eastAsia="宋体" w:cs="宋体"/>
                <w:sz w:val="21"/>
                <w:szCs w:val="21"/>
                <w:highlight w:val="none"/>
                <w:vertAlign w:val="baseline"/>
                <w:lang w:val="en-US" w:eastAsia="zh-CN"/>
              </w:rPr>
              <w:t xml:space="preserve">。</w:t>
            </w:r>
            <w:r>
              <w:rPr>
                <w:rFonts w:ascii="宋体" w:hAnsi="宋体" w:cs="宋体"/>
              </w:rPr>
            </w:r>
            <w:r/>
          </w:p>
          <w:p>
            <w:pPr>
              <w:pStyle w:val="875"/>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color w:val="000000"/>
                <w:lang w:val="en-US" w:eastAsia="zh-CN"/>
              </w:rPr>
              <w:t xml:space="preserve">备注：（1）所提供检测报告中“</w:t>
            </w:r>
            <w:r>
              <w:rPr>
                <w:rStyle w:val="953"/>
                <w:rFonts w:hint="eastAsia" w:ascii="宋体" w:hAnsi="宋体" w:eastAsia="宋体" w:cs="宋体"/>
                <w:color w:val="000000"/>
                <w:sz w:val="21"/>
                <w:szCs w:val="21"/>
                <w:lang w:val="en-US" w:eastAsia="zh-CN" w:bidi="ar-SA"/>
              </w:rPr>
              <w:t xml:space="preserve">产品名称和</w:t>
            </w:r>
            <w:r>
              <w:rPr>
                <w:rFonts w:hint="eastAsia" w:ascii="宋体" w:hAnsi="宋体" w:eastAsia="宋体" w:cs="宋体"/>
                <w:color w:val="000000"/>
                <w:lang w:val="en-US" w:eastAsia="zh-CN"/>
              </w:rPr>
              <w:t xml:space="preserve">检测内容”与</w:t>
            </w:r>
            <w:r>
              <w:rPr>
                <w:rStyle w:val="953"/>
                <w:rFonts w:hint="eastAsia" w:ascii="宋体" w:hAnsi="宋体" w:eastAsia="宋体" w:cs="宋体"/>
                <w:color w:val="000000"/>
                <w:sz w:val="21"/>
                <w:szCs w:val="21"/>
                <w:lang w:val="en-US" w:eastAsia="zh-CN" w:bidi="ar-SA"/>
              </w:rPr>
              <w:t xml:space="preserve">评分细则规定</w:t>
            </w:r>
            <w:r>
              <w:rPr>
                <w:rFonts w:hint="eastAsia" w:ascii="宋体" w:hAnsi="宋体" w:eastAsia="宋体" w:cs="宋体"/>
                <w:color w:val="000000"/>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pacing w:val="-2"/>
                <w:lang w:val="en-US" w:eastAsia="zh-CN"/>
              </w:rPr>
              <w:t xml:space="preserve">（2）上述涉及</w:t>
            </w:r>
            <w:r>
              <w:rPr>
                <w:rFonts w:hint="eastAsia" w:ascii="宋体" w:hAnsi="宋体" w:eastAsia="宋体" w:cs="宋体"/>
                <w:color w:val="000000"/>
                <w:spacing w:val="-2"/>
                <w:lang w:val="en-US" w:eastAsia="zh-CN"/>
              </w:rPr>
              <w:t xml:space="preserve">标准中未标年号的一律采用最新的标准；随着标准的修订，以修订后的最新标准为依据。</w:t>
            </w:r>
            <w:r>
              <w:rPr>
                <w:rFonts w:hint="eastAsia" w:ascii="宋体" w:hAnsi="宋体" w:eastAsia="宋体" w:cs="宋体"/>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lang w:eastAsia="zh-CN"/>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2.3</w:t>
            </w:r>
            <w:r>
              <w:rPr>
                <w:rFonts w:ascii="宋体" w:hAnsi="宋体" w:eastAsia="宋体" w:cs="宋体"/>
                <w:spacing w:val="-2"/>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成品检测报告</w:t>
            </w:r>
            <w:r>
              <w:rPr>
                <w:rFonts w:hint="eastAsia" w:ascii="宋体" w:hAnsi="宋体" w:eastAsia="宋体" w:cs="宋体"/>
                <w:color w:val="000000"/>
                <w:spacing w:val="-2"/>
                <w:lang w:val="en-US" w:eastAsia="zh-CN"/>
              </w:rPr>
            </w:r>
            <w:r/>
          </w:p>
          <w:p>
            <w:pPr>
              <w:pStyle w:val="875"/>
              <w:jc w:val="left"/>
              <w:keepLines w:val="0"/>
              <w:keepNext w:val="0"/>
              <w:pageBreakBefore w:val="0"/>
              <w:spacing w:before="68" w:line="240" w:lineRule="auto"/>
              <w:widowControl w:val="off"/>
              <w:rPr>
                <w:rFonts w:hint="eastAsia" w:ascii="宋体" w:hAnsi="宋体" w:eastAsia="宋体" w:cs="宋体"/>
                <w:color w:val="0000ff"/>
                <w:spacing w:val="-2"/>
                <w:lang w:val="en-US" w:eastAsia="zh-CN"/>
              </w:rPr>
            </w:pPr>
            <w:r>
              <w:rPr>
                <w:rFonts w:hint="eastAsia" w:ascii="宋体" w:hAnsi="宋体" w:eastAsia="宋体" w:cs="宋体"/>
                <w:color w:val="0000ff"/>
                <w:spacing w:val="-2"/>
                <w:lang w:val="en-US" w:eastAsia="zh-CN"/>
              </w:rPr>
            </w:r>
            <w:r/>
          </w:p>
        </w:tc>
        <w:tc>
          <w:tcPr>
            <w:tcW w:w="6236"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提供 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年1月1日后具有CMA标识的成品检测报告，包括：                </w:t>
            </w:r>
            <w:r>
              <w:rPr>
                <w:rFonts w:hint="eastAsia" w:ascii="宋体" w:hAnsi="宋体" w:eastAsia="宋体" w:cs="宋体"/>
                <w:color w:val="000000"/>
                <w:sz w:val="21"/>
                <w:szCs w:val="21"/>
              </w:rPr>
            </w:r>
            <w:r/>
          </w:p>
          <w:p>
            <w:pPr>
              <w:jc w:val="left"/>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highlight w:val="none"/>
                <w:lang w:val="en-US" w:eastAsia="zh-CN"/>
              </w:rPr>
              <w:t xml:space="preserve">办公桌(钢木）（序号2）</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lang w:val="en-US" w:eastAsia="zh-CN"/>
              </w:rPr>
              <w:t xml:space="preserve">检验检测依据GB/T3324-2024《木家具通用技术条件》，检测至少包含：形状和位置公差（底脚平稳性≤0.5mm）；木制件表面理化性能（耐湿热≤3级、耐干热≤1级、耐磨性≤2级、抗冲击≤3级、耐冷热循环无鼓泡、裂缝）合格；力学性能桌类强度和耐久性，无缺陷，合格；安全性（基本结构安全）符合要求，检测合格；甲醛释放量≤0.08mg/m³。</w:t>
            </w:r>
            <w:r>
              <w:rPr>
                <w:rFonts w:hint="eastAsia" w:ascii="宋体" w:hAnsi="宋体" w:eastAsia="宋体" w:cs="宋体"/>
                <w:color w:val="000000"/>
                <w:sz w:val="21"/>
                <w:szCs w:val="21"/>
                <w:lang w:val="en-US" w:eastAsia="zh-CN"/>
              </w:rPr>
            </w:r>
            <w:r/>
          </w:p>
          <w:p>
            <w:pPr>
              <w:pStyle w:val="875"/>
              <w:jc w:val="left"/>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组合柜</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lang w:val="en-US" w:eastAsia="zh-CN"/>
              </w:rPr>
              <w:t xml:space="preserve">序号3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检验</w:t>
            </w:r>
            <w:r>
              <w:rPr>
                <w:rFonts w:hint="eastAsia" w:ascii="宋体" w:hAnsi="宋体" w:eastAsia="宋体" w:cs="宋体"/>
                <w:color w:val="000000"/>
                <w:sz w:val="21"/>
                <w:szCs w:val="21"/>
                <w:highlight w:val="none"/>
              </w:rPr>
              <w:t xml:space="preserve">检测</w:t>
            </w:r>
            <w:r>
              <w:rPr>
                <w:rFonts w:hint="eastAsia" w:ascii="宋体" w:hAnsi="宋体" w:eastAsia="宋体" w:cs="宋体"/>
                <w:color w:val="000000"/>
                <w:sz w:val="21"/>
                <w:szCs w:val="21"/>
                <w:highlight w:val="none"/>
                <w:lang w:val="en-US" w:eastAsia="zh-CN"/>
              </w:rPr>
              <w:t xml:space="preserve">依据GB/T 3324-2024《木家具通用技术条件》，检测至少</w:t>
            </w:r>
            <w:r>
              <w:rPr>
                <w:rFonts w:hint="eastAsia" w:ascii="宋体" w:hAnsi="宋体" w:eastAsia="宋体" w:cs="宋体"/>
                <w:color w:val="000000"/>
                <w:sz w:val="21"/>
                <w:szCs w:val="21"/>
                <w:highlight w:val="none"/>
              </w:rPr>
              <w:t xml:space="preserve">包含：形状和位置公差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底脚平稳性≤0.5mm）；木材含水率为8-15.9%</w:t>
            </w:r>
            <w:r>
              <w:rPr>
                <w:rFonts w:hint="eastAsia" w:ascii="宋体" w:hAnsi="宋体" w:eastAsia="宋体" w:cs="宋体"/>
                <w:color w:val="000000"/>
                <w:sz w:val="21"/>
                <w:szCs w:val="21"/>
                <w:highlight w:val="none"/>
              </w:rPr>
              <w:t xml:space="preserve">，外观要求-漆膜合格，外观要求-木工要求符合，</w:t>
            </w:r>
            <w:r>
              <w:rPr>
                <w:rFonts w:hint="eastAsia" w:ascii="宋体" w:hAnsi="宋体" w:eastAsia="宋体" w:cs="宋体"/>
                <w:color w:val="000000"/>
                <w:sz w:val="21"/>
                <w:szCs w:val="21"/>
                <w:highlight w:val="none"/>
                <w:lang w:val="en-US" w:eastAsia="zh-CN"/>
              </w:rPr>
              <w:t xml:space="preserve">表面</w:t>
            </w:r>
            <w:r>
              <w:rPr>
                <w:rFonts w:hint="eastAsia" w:ascii="宋体" w:hAnsi="宋体" w:eastAsia="宋体" w:cs="宋体"/>
                <w:color w:val="000000"/>
                <w:sz w:val="21"/>
                <w:szCs w:val="21"/>
                <w:highlight w:val="none"/>
              </w:rPr>
              <w:t xml:space="preserve">理化性能（</w:t>
            </w:r>
            <w:r>
              <w:rPr>
                <w:rFonts w:hint="eastAsia" w:ascii="宋体" w:hAnsi="宋体" w:eastAsia="宋体" w:cs="宋体"/>
                <w:color w:val="000000"/>
                <w:sz w:val="21"/>
                <w:szCs w:val="21"/>
                <w:lang w:val="en-US" w:eastAsia="zh-CN"/>
              </w:rPr>
              <w:t xml:space="preserve">耐液性≤3级、耐湿热≤3级、耐干热≤3级、附着力≤1级、耐磨性≤2级、抗冲击≤3级、</w:t>
            </w:r>
            <w:r>
              <w:rPr>
                <w:rFonts w:hint="eastAsia" w:ascii="宋体" w:hAnsi="宋体" w:eastAsia="宋体" w:cs="宋体"/>
                <w:color w:val="000000"/>
                <w:sz w:val="21"/>
                <w:szCs w:val="21"/>
                <w:highlight w:val="none"/>
              </w:rPr>
              <w:t xml:space="preserve">耐黄变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达到灰度卡≥</w:t>
            </w:r>
            <w:r>
              <w:rPr>
                <w:rFonts w:hint="eastAsia" w:ascii="宋体" w:hAnsi="宋体" w:eastAsia="宋体" w:cs="宋体"/>
                <w:color w:val="000000"/>
                <w:sz w:val="21"/>
                <w:szCs w:val="21"/>
                <w:lang w:val="en-US" w:eastAsia="zh-CN"/>
              </w:rPr>
              <w:t xml:space="preserve">4级、耐冷热温差，无鼓泡、裂缝和明显失光。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检测合格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力学性能-柜架类强度（顶板和底板持续加载试验、顶板和底板静载荷试验、结构、底架和/或腿强度试验、跌落试验、开门垂直加载试验、开门水平加载试验、开门猛关试验、开门耐久性试验）合格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力学性能（柜架类稳定性），无倾翻，合格。</w:t>
            </w:r>
            <w:r>
              <w:rPr>
                <w:rFonts w:hint="eastAsia" w:ascii="宋体" w:hAnsi="宋体" w:eastAsia="宋体" w:cs="宋体"/>
                <w:lang w:val="en-US" w:eastAsia="zh-CN"/>
              </w:rPr>
            </w:r>
            <w:r/>
          </w:p>
          <w:p>
            <w:pPr>
              <w:pStyle w:val="887"/>
              <w:ind w:left="0" w:firstLine="0"/>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vertAlign w:val="baseline"/>
                <w:lang w:val="en-US" w:eastAsia="zh-CN"/>
              </w:rPr>
              <w:t xml:space="preserve">投标人所投产品提供</w:t>
            </w:r>
            <w:r>
              <w:rPr>
                <w:rFonts w:hint="eastAsia" w:ascii="宋体" w:hAnsi="宋体" w:eastAsia="宋体" w:cs="宋体"/>
                <w:sz w:val="21"/>
                <w:szCs w:val="21"/>
                <w:vertAlign w:val="baseline"/>
              </w:rPr>
              <w:t xml:space="preserve">以上各项检测报告为合格的，每提供一项得</w:t>
            </w: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rPr>
              <w:t xml:space="preserve">分，最多得</w:t>
            </w: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rPr>
              <w:t xml:space="preserve">分(提供检测报告，需体现可验真伪途径信息，需提供检测报告首页、内容页、结尾页 完整内容，未按上述要求提供或未提供的不得分)</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val="en-US" w:eastAsia="zh-CN"/>
              </w:rPr>
            </w:r>
            <w:r/>
          </w:p>
          <w:p>
            <w:pPr>
              <w:pStyle w:val="875"/>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color w:val="000000"/>
                <w:lang w:val="en-US" w:eastAsia="zh-CN"/>
              </w:rPr>
              <w:t xml:space="preserve">备注：（1）所提供检测报告中“</w:t>
            </w:r>
            <w:r>
              <w:rPr>
                <w:rStyle w:val="953"/>
                <w:rFonts w:hint="eastAsia" w:ascii="宋体" w:hAnsi="宋体" w:eastAsia="宋体" w:cs="宋体"/>
                <w:color w:val="000000"/>
                <w:sz w:val="21"/>
                <w:szCs w:val="21"/>
                <w:lang w:val="en-US" w:eastAsia="zh-CN" w:bidi="ar-SA"/>
              </w:rPr>
              <w:t xml:space="preserve">产品名称和</w:t>
            </w:r>
            <w:r>
              <w:rPr>
                <w:rFonts w:hint="eastAsia" w:ascii="宋体" w:hAnsi="宋体" w:eastAsia="宋体" w:cs="宋体"/>
                <w:color w:val="000000"/>
                <w:lang w:val="en-US" w:eastAsia="zh-CN"/>
              </w:rPr>
              <w:t xml:space="preserve">检测内容”与</w:t>
            </w:r>
            <w:r>
              <w:rPr>
                <w:rStyle w:val="953"/>
                <w:rFonts w:hint="eastAsia" w:ascii="宋体" w:hAnsi="宋体" w:eastAsia="宋体" w:cs="宋体"/>
                <w:color w:val="000000"/>
                <w:sz w:val="21"/>
                <w:szCs w:val="21"/>
                <w:lang w:val="en-US" w:eastAsia="zh-CN" w:bidi="ar-SA"/>
              </w:rPr>
              <w:t xml:space="preserve">评分细则规定</w:t>
            </w:r>
            <w:r>
              <w:rPr>
                <w:rFonts w:hint="eastAsia" w:ascii="宋体" w:hAnsi="宋体" w:eastAsia="宋体" w:cs="宋体"/>
                <w:color w:val="000000"/>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pacing w:val="-2"/>
                <w:lang w:val="en-US" w:eastAsia="zh-CN"/>
              </w:rPr>
              <w:t xml:space="preserve">（2）上述涉及标准中未标年号的一律采用最新的标准；随着标准的修订，以修订后的最新标准为依据。</w:t>
            </w:r>
            <w:r>
              <w:rPr>
                <w:rFonts w:hint="eastAsia" w:ascii="宋体" w:hAnsi="宋体" w:eastAsia="宋体" w:cs="宋体"/>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6"/>
              </w:rPr>
            </w:pPr>
            <w:r>
              <w:rPr>
                <w:rFonts w:hint="eastAsia" w:ascii="宋体" w:hAnsi="宋体" w:eastAsia="宋体" w:cs="宋体"/>
                <w:spacing w:val="-6"/>
                <w:lang w:eastAsia="zh-CN"/>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spacing w:val="-6"/>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highlight w:val="none"/>
                <w:lang w:val="en-US" w:eastAsia="zh-CN"/>
              </w:rPr>
            </w:pPr>
            <w:r>
              <w:rPr>
                <w:rFonts w:hint="eastAsia" w:ascii="宋体" w:hAnsi="宋体" w:eastAsia="宋体" w:cs="宋体"/>
                <w:spacing w:val="-2"/>
                <w:sz w:val="21"/>
                <w:szCs w:val="21"/>
                <w:highlight w:val="none"/>
                <w:lang w:val="en-US" w:eastAsia="zh-CN"/>
              </w:rPr>
              <w:t xml:space="preserve">2.4</w:t>
            </w:r>
            <w:r>
              <w:rPr>
                <w:rFonts w:ascii="宋体" w:hAnsi="宋体" w:eastAsia="宋体" w:cs="宋体"/>
                <w:highlight w:val="none"/>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highlight w:val="none"/>
                <w:lang w:val="en-US" w:eastAsia="zh-CN"/>
              </w:rPr>
            </w:pPr>
            <w:r>
              <w:rPr>
                <w:rFonts w:hint="eastAsia" w:ascii="宋体" w:hAnsi="宋体" w:eastAsia="宋体" w:cs="宋体"/>
                <w:color w:val="000000"/>
                <w:spacing w:val="0"/>
                <w:sz w:val="21"/>
                <w:szCs w:val="21"/>
                <w:highlight w:val="none"/>
                <w:lang w:val="en-US" w:eastAsia="zh-CN"/>
              </w:rPr>
              <w:t xml:space="preserve">视频演示</w:t>
            </w:r>
            <w:r>
              <w:rPr>
                <w:rFonts w:hint="eastAsia" w:ascii="宋体" w:hAnsi="宋体" w:eastAsia="宋体" w:cs="宋体"/>
                <w:color w:val="0000ff"/>
                <w:highlight w:val="none"/>
                <w:lang w:val="en-US" w:eastAsia="zh-CN"/>
              </w:rPr>
            </w:r>
            <w:r/>
          </w:p>
        </w:tc>
        <w:tc>
          <w:tcPr>
            <w:tcW w:w="6236" w:type="dxa"/>
            <w:vAlign w:val="center"/>
            <w:textDirection w:val="lrTb"/>
            <w:noWrap w:val="false"/>
          </w:tcPr>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w:t>
            </w:r>
            <w:r>
              <w:rPr>
                <w:rFonts w:hint="eastAsia" w:ascii="宋体" w:hAnsi="宋体" w:eastAsia="宋体" w:cs="宋体"/>
                <w:color w:val="000000"/>
                <w:sz w:val="21"/>
                <w:szCs w:val="21"/>
                <w:highlight w:val="none"/>
                <w:lang w:val="en-US" w:eastAsia="zh-CN"/>
              </w:rPr>
              <w:t xml:space="preserve">序号2办公桌（钢木）、序号3组合柜和序号1办公椅”视频演示（演示时间不超过10分钟），样品制作标准与方法同清单描述一致，具体包括：1.</w:t>
            </w:r>
            <w:r>
              <w:rPr>
                <w:rFonts w:hint="eastAsia" w:ascii="宋体" w:hAnsi="宋体" w:eastAsia="宋体" w:cs="宋体"/>
                <w:sz w:val="21"/>
                <w:szCs w:val="21"/>
                <w:highlight w:val="none"/>
                <w:lang w:val="en-US" w:eastAsia="zh-CN"/>
              </w:rPr>
              <w:t xml:space="preserve">产品结构；2.产品工艺等方面进行综合评分：</w:t>
            </w:r>
            <w:r>
              <w:rPr>
                <w:rFonts w:hint="eastAsia" w:ascii="宋体" w:hAnsi="宋体" w:eastAsia="宋体" w:cs="宋体"/>
                <w:sz w:val="21"/>
                <w:szCs w:val="21"/>
                <w:highlight w:val="none"/>
                <w:lang w:val="en-US" w:eastAsia="zh-CN"/>
              </w:rPr>
            </w:r>
            <w:r/>
          </w:p>
          <w:p>
            <w:pPr>
              <w:pStyle w:val="887"/>
              <w:numPr>
                <w:ilvl w:val="0"/>
                <w:numId w:val="7"/>
              </w:numPr>
              <w:ind w:left="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办公桌（钢木）</w:t>
            </w:r>
            <w:r>
              <w:rPr>
                <w:rFonts w:hint="eastAsia" w:ascii="宋体" w:hAnsi="宋体" w:eastAsia="宋体" w:cs="宋体"/>
                <w:sz w:val="21"/>
                <w:szCs w:val="21"/>
                <w:highlight w:val="none"/>
                <w:lang w:val="en-US" w:eastAsia="zh-CN"/>
              </w:rPr>
              <w:t xml:space="preserve">：整体结构及连接方式紧密稳定牢固，无晃动、无变形，得3分；样品整体结构及连接方式较稳定牢固，无晃动、变形，得2分；样品整体结构及连接方式稍稳定牢固，有轻微晃动、变形，得1分；结构不稳定有明显的晃动、变形不得分。</w:t>
            </w:r>
            <w:r>
              <w:rPr>
                <w:rFonts w:hint="eastAsia" w:ascii="宋体" w:hAnsi="宋体" w:eastAsia="宋体" w:cs="宋体"/>
                <w:sz w:val="21"/>
                <w:szCs w:val="21"/>
                <w:highlight w:val="none"/>
                <w:lang w:val="en-US" w:eastAsia="zh-CN"/>
              </w:rPr>
            </w:r>
            <w:r/>
          </w:p>
          <w:p>
            <w:pPr>
              <w:pStyle w:val="887"/>
              <w:numPr>
                <w:ilvl w:val="0"/>
                <w:numId w:val="7"/>
              </w:numPr>
              <w:ind w:left="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组合柜</w:t>
            </w:r>
            <w:r>
              <w:rPr>
                <w:rFonts w:hint="eastAsia" w:ascii="宋体" w:hAnsi="宋体" w:eastAsia="宋体" w:cs="宋体"/>
                <w:sz w:val="21"/>
                <w:szCs w:val="21"/>
                <w:highlight w:val="none"/>
                <w:lang w:val="en-US" w:eastAsia="zh-CN"/>
              </w:rPr>
              <w:t xml:space="preserve">：整体结构及连接方式紧密稳定牢固，无晃动、变形，得3分；样品整体结构及连接方式较稳定牢固，无晃动、变形，得2分；样品整体结构及连接方式稍稳定牢固，有轻微晃动、变形，得1分；结构不稳定有明显的晃动、变形不得分。</w:t>
            </w:r>
            <w:r>
              <w:rPr>
                <w:rFonts w:hint="eastAsia" w:ascii="宋体" w:hAnsi="宋体" w:eastAsia="宋体" w:cs="宋体"/>
                <w:sz w:val="21"/>
                <w:szCs w:val="21"/>
                <w:highlight w:val="none"/>
                <w:lang w:val="en-US" w:eastAsia="zh-CN"/>
              </w:rPr>
            </w:r>
            <w:r/>
          </w:p>
          <w:p>
            <w:pPr>
              <w:pStyle w:val="887"/>
              <w:numPr>
                <w:ilvl w:val="0"/>
                <w:numId w:val="7"/>
              </w:numPr>
              <w:ind w:left="0"/>
              <w:rPr>
                <w:rFonts w:hint="eastAsia" w:ascii="宋体" w:hAnsi="宋体" w:eastAsia="宋体" w:cs="宋体"/>
                <w:lang w:val="en-US" w:eastAsia="zh-CN"/>
              </w:rPr>
            </w:pPr>
            <w:r>
              <w:rPr>
                <w:rFonts w:hint="eastAsia" w:ascii="宋体" w:hAnsi="宋体" w:eastAsia="宋体" w:cs="宋体"/>
                <w:sz w:val="21"/>
                <w:szCs w:val="21"/>
                <w:highlight w:val="none"/>
                <w:lang w:val="en-US" w:eastAsia="zh-CN"/>
              </w:rPr>
              <w:t xml:space="preserve">办公椅：</w:t>
            </w:r>
            <w:r>
              <w:rPr>
                <w:rFonts w:hint="eastAsia" w:ascii="宋体" w:hAnsi="宋体" w:eastAsia="宋体" w:cs="宋体"/>
                <w:sz w:val="21"/>
                <w:szCs w:val="21"/>
                <w:highlight w:val="none"/>
                <w:lang w:val="en-US" w:eastAsia="zh-CN"/>
              </w:rPr>
              <w:t xml:space="preserve">头枕3段锁定，六向调整，头枕可变肩枕；椅背后仰力度可调节，椅背后仰3段锁定；提供腰部强力支撑，独立可调式活动腰靠；坐垫深浅3段调节(滑座)。</w:t>
            </w:r>
            <w:r>
              <w:rPr>
                <w:rFonts w:hint="eastAsia" w:ascii="宋体" w:hAnsi="宋体" w:eastAsia="宋体" w:cs="宋体"/>
                <w:sz w:val="21"/>
                <w:szCs w:val="21"/>
                <w:highlight w:val="none"/>
                <w:lang w:val="en-US" w:eastAsia="zh-CN"/>
              </w:rPr>
              <w:t xml:space="preserve">以上全部满足，得3分；部分满足得2分；都不满足，不得分。</w:t>
            </w:r>
            <w:r>
              <w:rPr>
                <w:rFonts w:hint="eastAsia" w:ascii="宋体" w:hAnsi="宋体" w:eastAsia="宋体" w:cs="宋体"/>
                <w:lang w:val="en-US" w:eastAsia="zh-CN"/>
              </w:rPr>
            </w:r>
            <w:r/>
          </w:p>
          <w:p>
            <w:pPr>
              <w:pStyle w:val="887"/>
              <w:ind w:left="0"/>
              <w:rPr>
                <w:rFonts w:hint="eastAsia" w:ascii="宋体" w:hAnsi="宋体" w:eastAsia="宋体" w:cs="宋体"/>
                <w:highlight w:val="none"/>
                <w:lang w:val="en-US" w:eastAsia="zh-CN"/>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highlight w:val="none"/>
                <w:lang w:val="en-US" w:eastAsia="zh-CN"/>
              </w:rPr>
              <w:t xml:space="preserve">投标人提供的样品不全或不符合本项目评审要求的不得分，</w:t>
            </w:r>
            <w:r>
              <w:rPr>
                <w:rFonts w:hint="eastAsia" w:ascii="宋体" w:hAnsi="宋体" w:eastAsia="宋体" w:cs="宋体"/>
                <w:sz w:val="21"/>
                <w:szCs w:val="21"/>
                <w:highlight w:val="none"/>
                <w:lang w:val="zh-CN" w:eastAsia="zh-CN"/>
              </w:rPr>
              <w:t xml:space="preserve">未提供视频文件或因投标人自身原因视频文件无法打开或视频画面不清晰无法辨认的不得分。</w:t>
            </w:r>
            <w:r>
              <w:rPr>
                <w:rFonts w:hint="eastAsia" w:ascii="宋体" w:hAnsi="宋体" w:eastAsia="宋体" w:cs="宋体"/>
                <w:highlight w:val="no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highlight w:val="none"/>
                <w:lang w:val="en-US" w:eastAsia="zh-CN"/>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2.5</w:t>
            </w:r>
            <w:r>
              <w:rPr>
                <w:rFonts w:ascii="宋体" w:hAnsi="宋体" w:eastAsia="宋体" w:cs="宋体"/>
                <w:spacing w:val="-2"/>
                <w:sz w:val="21"/>
                <w:szCs w:val="21"/>
                <w:highlight w:val="none"/>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highlight w:val="none"/>
                <w:lang w:val="en-US" w:eastAsia="zh-CN"/>
              </w:rPr>
              <w:t xml:space="preserve">深化设计方案</w:t>
            </w:r>
            <w:r>
              <w:rPr>
                <w:rFonts w:hint="eastAsia" w:ascii="宋体" w:hAnsi="宋体" w:eastAsia="宋体" w:cs="宋体"/>
                <w:color w:val="000000"/>
                <w:spacing w:val="0"/>
                <w:sz w:val="21"/>
                <w:szCs w:val="21"/>
                <w:highlight w:val="none"/>
                <w:lang w:val="en-US" w:eastAsia="zh-CN"/>
              </w:rPr>
            </w:r>
            <w:r/>
          </w:p>
        </w:tc>
        <w:tc>
          <w:tcPr>
            <w:tcW w:w="6236" w:type="dxa"/>
            <w:vAlign w:val="center"/>
            <w:textDirection w:val="lrTb"/>
            <w:noWrap w:val="false"/>
          </w:tcPr>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评委根据投标人提供的项目需求清单及教师办公室、会议室和档案室深化设计方案综合评分。包含：1、深化设计摆放分布图；2、三维图；3、效果图。以上每项内容逐条阐述。</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vertAlign w:val="baseline"/>
                <w:lang w:val="en-US" w:eastAsia="zh-CN"/>
              </w:rPr>
              <w:t xml:space="preserve">上述每项内容完整</w:t>
            </w:r>
            <w:r>
              <w:rPr>
                <w:rFonts w:hint="eastAsia" w:ascii="宋体" w:hAnsi="宋体" w:eastAsia="宋体" w:cs="宋体"/>
                <w:sz w:val="21"/>
                <w:szCs w:val="21"/>
                <w:highlight w:val="none"/>
                <w:lang w:val="en-US" w:eastAsia="zh-CN"/>
              </w:rPr>
              <w:t xml:space="preserve">，整体设计完全满足采购人需求，功能区域布局合理，得3分；</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vertAlign w:val="baseline"/>
                <w:lang w:val="en-US" w:eastAsia="zh-CN"/>
              </w:rPr>
              <w:t xml:space="preserve">上述每项内容较完整</w:t>
            </w:r>
            <w:r>
              <w:rPr>
                <w:rFonts w:hint="eastAsia" w:ascii="宋体" w:hAnsi="宋体" w:eastAsia="宋体" w:cs="宋体"/>
                <w:sz w:val="21"/>
                <w:szCs w:val="21"/>
                <w:highlight w:val="none"/>
                <w:lang w:val="en-US" w:eastAsia="zh-CN"/>
              </w:rPr>
              <w:t xml:space="preserve">，整体设计达到采购人需求，功能区域布局较合理，得2分；</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vertAlign w:val="baseline"/>
                <w:lang w:val="en-US" w:eastAsia="zh-CN"/>
              </w:rPr>
              <w:t xml:space="preserve">上述每项内容基本完整</w:t>
            </w:r>
            <w:r>
              <w:rPr>
                <w:rFonts w:hint="eastAsia" w:ascii="宋体" w:hAnsi="宋体" w:eastAsia="宋体" w:cs="宋体"/>
                <w:sz w:val="21"/>
                <w:szCs w:val="21"/>
                <w:highlight w:val="none"/>
                <w:lang w:val="en-US" w:eastAsia="zh-CN"/>
              </w:rPr>
              <w:t xml:space="preserve">，整体设计基本达到采购人需求，功能区域布局基本合理，得1分；</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vertAlign w:val="baseline"/>
                <w:lang w:val="en-US" w:eastAsia="zh-CN"/>
              </w:rPr>
              <w:t xml:space="preserve">上述每项内容</w:t>
            </w:r>
            <w:r>
              <w:rPr>
                <w:rFonts w:hint="eastAsia" w:ascii="宋体" w:hAnsi="宋体" w:eastAsia="宋体" w:cs="宋体"/>
                <w:sz w:val="21"/>
                <w:szCs w:val="21"/>
                <w:highlight w:val="none"/>
                <w:lang w:val="zh-CN" w:eastAsia="zh-CN"/>
              </w:rPr>
              <w:t xml:space="preserve">不符合要求，或存在重大缺陷，</w:t>
            </w:r>
            <w:r>
              <w:rPr>
                <w:rFonts w:hint="eastAsia" w:ascii="宋体" w:hAnsi="宋体" w:eastAsia="宋体" w:cs="宋体"/>
                <w:sz w:val="21"/>
                <w:szCs w:val="21"/>
                <w:highlight w:val="none"/>
                <w:lang w:val="en-US" w:eastAsia="zh-CN"/>
              </w:rPr>
              <w:t xml:space="preserve">或未提供图纸的，不得分。</w:t>
            </w:r>
            <w:r>
              <w:rPr>
                <w:rFonts w:hint="eastAsia" w:ascii="宋体" w:hAnsi="宋体" w:eastAsia="宋体" w:cs="宋体"/>
                <w:sz w:val="21"/>
                <w:szCs w:val="21"/>
                <w:lang w:val="en-US" w:eastAsia="zh-CN"/>
              </w:rPr>
            </w:r>
            <w:r/>
          </w:p>
        </w:tc>
        <w:tc>
          <w:tcPr>
            <w:tcW w:w="70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lang w:val="en-US" w:eastAsia="zh-CN"/>
              </w:rPr>
              <w:t xml:space="preserve">9</w:t>
            </w:r>
            <w:r>
              <w:rPr>
                <w:rFonts w:hint="eastAsia" w:ascii="宋体" w:hAnsi="宋体" w:eastAsia="宋体" w:cs="宋体"/>
                <w:sz w:val="21"/>
                <w:szCs w:val="21"/>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sz w:val="21"/>
                <w:szCs w:val="21"/>
                <w:highlight w:val="none"/>
                <w:lang w:eastAsia="zh-CN"/>
              </w:rPr>
            </w:pPr>
            <w:r>
              <w:rPr>
                <w:rFonts w:hint="eastAsia" w:ascii="宋体" w:hAnsi="宋体" w:eastAsia="宋体" w:cs="宋体"/>
                <w:spacing w:val="-6"/>
                <w:lang w:val="en-US" w:eastAsia="zh-CN"/>
              </w:rPr>
              <w:t xml:space="preserve">主观分</w:t>
            </w:r>
            <w:r>
              <w:rPr>
                <w:rFonts w:hint="eastAsia" w:ascii="宋体" w:hAnsi="宋体" w:eastAsia="宋体" w:cs="宋体"/>
                <w:spacing w:val="-6"/>
                <w:sz w:val="21"/>
                <w:szCs w:val="21"/>
                <w:highlight w:val="none"/>
                <w:lang w:eastAsia="zh-CN"/>
              </w:rPr>
            </w:r>
            <w:r/>
          </w:p>
        </w:tc>
      </w:tr>
      <w:tr>
        <w:trPr>
          <w:trHeight w:val="472"/>
        </w:trPr>
        <w:tc>
          <w:tcPr>
            <w:gridSpan w:val="5"/>
            <w:tcW w:w="9835" w:type="dxa"/>
            <w:vAlign w:val="center"/>
            <w:textDirection w:val="lrTb"/>
            <w:noWrap w:val="false"/>
          </w:tcPr>
          <w:p>
            <w:pPr>
              <w:pStyle w:val="875"/>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90"/>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实施方案</w:t>
            </w:r>
            <w:r>
              <w:rPr>
                <w:rFonts w:hint="eastAsia" w:ascii="宋体" w:hAnsi="宋体" w:eastAsia="宋体" w:cs="宋体"/>
                <w:color w:val="0000ff"/>
                <w:spacing w:val="0"/>
                <w:highlight w:val="none"/>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评委根据投标人提供的项目实施方案综合评分，包含：1.供货进度保证措施；2.质量保证措施；3.协调配合措施；4.应急措施。以上每项内容逐条阐述。</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（1）上述每项内容完整，科学合理、操作性强的，得2分；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（2）上述每项内容较完整，较科学合理，有可操作性的，得1分；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zh-CN" w:eastAsia="zh-CN"/>
              </w:rPr>
            </w:pPr>
            <w:r>
              <w:rPr>
                <w:rFonts w:hint="eastAsia" w:ascii="宋体" w:hAnsi="宋体" w:eastAsia="宋体" w:cs="宋体"/>
                <w:sz w:val="21"/>
                <w:szCs w:val="21"/>
                <w:highlight w:val="none"/>
                <w:vertAlign w:val="baseline"/>
                <w:lang w:val="en-US" w:eastAsia="zh-CN"/>
              </w:rPr>
              <w:t xml:space="preserve">（3）上述每项内容不科学合理、无操作性或未提供的不得分。</w:t>
            </w:r>
            <w:r>
              <w:rPr>
                <w:rFonts w:hint="eastAsia" w:ascii="宋体" w:hAnsi="宋体" w:eastAsia="宋体" w:cs="宋体"/>
                <w:sz w:val="21"/>
                <w:szCs w:val="21"/>
                <w:highlight w:val="none"/>
                <w:vertAlign w:val="baseline"/>
                <w:lang w:val="zh-CN" w:eastAsia="zh-CN"/>
              </w:rPr>
            </w:r>
            <w:r/>
          </w:p>
        </w:tc>
        <w:tc>
          <w:tcPr>
            <w:tcW w:w="70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8</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售后服务方案</w:t>
            </w:r>
            <w:r>
              <w:rPr>
                <w:rFonts w:hint="eastAsia" w:ascii="宋体" w:hAnsi="宋体" w:eastAsia="宋体" w:cs="宋体"/>
                <w:color w:val="0000ff"/>
                <w:spacing w:val="0"/>
                <w:highlight w:val="none"/>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评委根据投标人提供的项目售后服务方案综合评分，包含：1.售后服务内容；2.故障解决方案；3.售后服务体系。以上每项内容逐条阐述。</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（1）上述每项内容完整，科学合理、操作性强的，得2分；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（2）上述每项内容较完整，较科学合理，有可操作性的，得1分；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（3）上述每项内容不科学合理、无操作性或未提供的不得分。</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835" w:type="dxa"/>
            <w:vAlign w:val="center"/>
            <w:textDirection w:val="lrTb"/>
            <w:noWrap w:val="false"/>
          </w:tcPr>
          <w:p>
            <w:pPr>
              <w:pStyle w:val="875"/>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513"/>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hint="eastAsia" w:ascii="宋体" w:hAnsi="宋体" w:eastAsia="宋体" w:cs="宋体"/>
                <w:spacing w:val="-2"/>
              </w:rPr>
              <w:t xml:space="preserve">.1</w:t>
            </w:r>
            <w:r>
              <w:rPr>
                <w:rFonts w:ascii="宋体" w:hAnsi="宋体" w:eastAsia="宋体" w:cs="宋体"/>
                <w:spacing w:val="-2"/>
              </w:rPr>
            </w:r>
            <w:r/>
          </w:p>
        </w:tc>
        <w:tc>
          <w:tcPr>
            <w:tcW w:w="1276" w:type="dxa"/>
            <w:vAlign w:val="center"/>
            <w:textDirection w:val="lrTb"/>
            <w:noWrap w:val="false"/>
          </w:tcPr>
          <w:p>
            <w:pPr>
              <w:pStyle w:val="875"/>
              <w:spacing w:before="69" w:line="264" w:lineRule="auto"/>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hint="eastAsia" w:ascii="宋体" w:hAnsi="宋体" w:eastAsia="宋体" w:cs="宋体"/>
                <w:color w:val="000000"/>
                <w:spacing w:val="-1"/>
              </w:rPr>
              <w:t xml:space="preserve">业绩</w:t>
            </w:r>
            <w:r>
              <w:rPr>
                <w:rFonts w:ascii="宋体" w:hAnsi="宋体" w:eastAsia="宋体" w:cs="宋体"/>
                <w:spacing w:val="-2"/>
              </w:rPr>
            </w:r>
            <w:r/>
          </w:p>
        </w:tc>
        <w:tc>
          <w:tcPr>
            <w:tcW w:w="6236" w:type="dxa"/>
            <w:vAlign w:val="center"/>
            <w:textDirection w:val="lrTb"/>
            <w:noWrap w:val="false"/>
          </w:tcPr>
          <w:p>
            <w:pPr>
              <w:pStyle w:val="875"/>
              <w:jc w:val="both"/>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sz w:val="21"/>
                <w:szCs w:val="22"/>
                <w:lang w:val="en-US" w:eastAsia="zh-CN" w:bidi="ar-SA"/>
              </w:rPr>
              <w:t xml:space="preserve">投</w:t>
            </w:r>
            <w:r>
              <w:rPr>
                <w:rFonts w:hint="eastAsia" w:ascii="宋体" w:hAnsi="宋体" w:eastAsia="宋体" w:cs="宋体"/>
                <w:sz w:val="21"/>
                <w:szCs w:val="22"/>
                <w:lang w:val="en-US" w:eastAsia="zh-CN" w:bidi="ar-SA"/>
              </w:rPr>
              <w:t xml:space="preserve">标人提供2022年1月1日（含）以来类似项目业绩，每提供1个得1分，最多得3分。（时间以合同签订时间为准，提供有效合同，合同页须清晰可见相应内容）</w:t>
            </w:r>
            <w:r>
              <w:rPr>
                <w:rFonts w:ascii="Times New Roman" w:hAnsi="Times New Roman" w:eastAsia="方正仿宋_GBK" w:cs="Times New Roman"/>
                <w:color w:val="000000"/>
                <w:sz w:val="21"/>
                <w:szCs w:val="21"/>
                <w:lang w:val="en-US" w:eastAsia="zh-CN" w:bidi="zh-CN"/>
              </w:rPr>
            </w:r>
            <w:r/>
          </w:p>
        </w:tc>
        <w:tc>
          <w:tcPr>
            <w:tcW w:w="709" w:type="dxa"/>
            <w:vAlign w:val="center"/>
            <w:textDirection w:val="lrTb"/>
            <w:noWrap w:val="false"/>
          </w:tcPr>
          <w:p>
            <w:pPr>
              <w:pStyle w:val="875"/>
              <w:jc w:val="center"/>
              <w:spacing w:line="24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lang w:val="en-US" w:eastAsia="zh-CN"/>
              </w:rPr>
              <w:t xml:space="preserve">3</w:t>
            </w:r>
            <w:r>
              <w:rPr>
                <w:rFonts w:ascii="Times New Roman" w:hAnsi="Times New Roman" w:eastAsia="宋体" w:cs="Times New Roman"/>
                <w:color w:val="000000"/>
                <w:sz w:val="21"/>
                <w:szCs w:val="21"/>
                <w:lang w:val="en-US" w:eastAsia="zh-CN" w:bidi="ar-SA"/>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835" w:type="dxa"/>
            <w:vAlign w:val="top"/>
            <w:textDirection w:val="lrTb"/>
            <w:noWrap w:val="false"/>
          </w:tcPr>
          <w:p>
            <w:pPr>
              <w:pStyle w:val="875"/>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hint="eastAsia" w:ascii="宋体" w:hAnsi="宋体" w:eastAsia="宋体" w:cs="宋体"/>
                <w:color w:val="000000"/>
                <w:spacing w:val="-2"/>
              </w:rPr>
              <w:t xml:space="preserve">.1</w:t>
            </w:r>
            <w:r>
              <w:rPr>
                <w:rFonts w:ascii="宋体" w:hAnsi="宋体" w:eastAsia="宋体" w:cs="宋体"/>
                <w:color w:val="000000"/>
                <w:spacing w:val="-2"/>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ascii="宋体" w:hAnsi="宋体" w:eastAsia="宋体" w:cs="宋体"/>
                <w:color w:val="0000ff"/>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ff"/>
                <w:spacing w:val="-1"/>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投标人具有有效期内的“家具中有害物质限量认证证书”，产品类别包含：金属家具、钢木家具、钢塑家具、实木家具、板木家具、沙发、椅类。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备注：所提供证书产品类别与评标标准给定名称不同时，应提供符合上述要求的内容（功能）说明及关键信息，否则不予认可。为方便评委评审，认证范围产品名称可用箭头、标红或下划线等进行明显标注。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color w:val="000000"/>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hint="eastAsia" w:ascii="宋体" w:hAnsi="宋体" w:eastAsia="宋体" w:cs="宋体"/>
                <w:spacing w:val="-2"/>
              </w:rPr>
              <w:t xml:space="preserve">.2</w:t>
            </w:r>
            <w:r>
              <w:rPr>
                <w:rFonts w:ascii="宋体" w:hAnsi="宋体" w:eastAsia="宋体" w:cs="宋体"/>
                <w:spacing w:val="-2"/>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ascii="宋体" w:hAnsi="宋体" w:eastAsia="宋体" w:cs="宋体"/>
                <w:color w:val="0000ff"/>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ascii="宋体" w:hAnsi="宋体" w:eastAsia="宋体" w:cs="宋体"/>
                <w:color w:val="0000ff"/>
                <w:spacing w:val="-1"/>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投标人具有有效期内的“产品安全认证证书”，产品类别包含：金属家具、钢木家具、钢塑家具、实木家具、板木家具、沙发类。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备注：所提供证书产品类别与评标标准给定名称不同时，应提供符合上述要求的内容（功能）说明及关键信息，否则不予认可。为方便评委评审，认证范围产品名称可用箭头、标红或下划线等进行明显标注。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spacing w:val="-6"/>
                <w:lang w:val="en-US" w:eastAsia="zh-CN"/>
              </w:rPr>
              <w:t xml:space="preserve">客观分</w:t>
            </w:r>
            <w:r>
              <w:rPr>
                <w:rFonts w:ascii="宋体" w:hAnsi="宋体" w:eastAsia="宋体" w:cs="宋体"/>
                <w:lang w:val="en-US" w:eastAsia="zh-CN"/>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5</w:t>
            </w:r>
            <w:r>
              <w:rPr>
                <w:rFonts w:hint="eastAsia" w:ascii="宋体" w:hAnsi="宋体" w:eastAsia="宋体" w:cs="宋体"/>
                <w:spacing w:val="-2"/>
              </w:rPr>
              <w:t xml:space="preserve">.</w:t>
            </w:r>
            <w:r>
              <w:rPr>
                <w:rFonts w:hint="eastAsia" w:ascii="宋体" w:hAnsi="宋体" w:eastAsia="宋体" w:cs="宋体"/>
                <w:spacing w:val="-2"/>
                <w:lang w:val="en-US" w:eastAsia="zh-CN"/>
              </w:rPr>
              <w:t xml:space="preserve">3</w:t>
            </w:r>
            <w:r>
              <w:rPr>
                <w:rFonts w:hint="eastAsia" w:ascii="宋体" w:hAnsi="宋体" w:eastAsia="宋体" w:cs="宋体"/>
                <w:spacing w:val="-2"/>
                <w:lang w:val="en-US" w:eastAsia="zh-CN"/>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hint="eastAsia" w:ascii="宋体" w:hAnsi="宋体" w:eastAsia="宋体" w:cs="宋体"/>
                <w:color w:val="0000ff"/>
                <w:spacing w:val="-1"/>
                <w:lang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ff"/>
                <w:spacing w:val="-1"/>
                <w:lang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投标人具有有效期内的“低VOCs家具产品认证证书”，产品类别包含：金属家具、钢木家具、钢塑家具、实木家具、板木家具、沙发、椅类。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备注：所提供证书产品类别与评标标准给定名称不同时，应提供符合上述要求的内容（功能）说明及关键信息，否则不予认可。为方便评委评审，认证范围产品名称可用箭头、标红或下划线等进行明显标注。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pacing w:val="-6"/>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5</w:t>
            </w:r>
            <w:r>
              <w:rPr>
                <w:rFonts w:hint="eastAsia" w:ascii="宋体" w:hAnsi="宋体" w:eastAsia="宋体" w:cs="宋体"/>
                <w:spacing w:val="-2"/>
              </w:rPr>
              <w:t xml:space="preserve">.</w:t>
            </w:r>
            <w:r>
              <w:rPr>
                <w:rFonts w:hint="eastAsia" w:ascii="宋体" w:hAnsi="宋体" w:eastAsia="宋体" w:cs="宋体"/>
                <w:spacing w:val="-2"/>
                <w:lang w:val="en-US" w:eastAsia="zh-CN"/>
              </w:rPr>
              <w:t xml:space="preserve">4</w:t>
            </w:r>
            <w:r>
              <w:rPr>
                <w:rFonts w:hint="eastAsia" w:ascii="宋体" w:hAnsi="宋体" w:eastAsia="宋体" w:cs="宋体"/>
                <w:spacing w:val="-2"/>
                <w:lang w:val="en-US" w:eastAsia="zh-CN"/>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hint="eastAsia" w:ascii="宋体" w:hAnsi="宋体" w:eastAsia="宋体" w:cs="宋体"/>
                <w:color w:val="0000ff"/>
                <w:spacing w:val="-1"/>
                <w:lang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4</w:t>
            </w:r>
            <w:r>
              <w:rPr>
                <w:rFonts w:hint="eastAsia" w:ascii="宋体" w:hAnsi="宋体" w:eastAsia="宋体" w:cs="宋体"/>
                <w:color w:val="0000ff"/>
                <w:spacing w:val="-1"/>
                <w:lang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投标人具有有效期内的“人类工效学产品认证证书”，认证单元包含：①桌台椅凳类、②柜架类、③床类、④沙发类。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pacing w:val="-6"/>
              </w:rPr>
            </w:r>
            <w:r/>
          </w:p>
        </w:tc>
      </w:tr>
      <w:tr>
        <w:trPr>
          <w:trHeight w:val="433"/>
        </w:trPr>
        <w:tc>
          <w:tcPr>
            <w:gridSpan w:val="5"/>
            <w:tcW w:w="9835" w:type="dxa"/>
            <w:vAlign w:val="center"/>
            <w:textDirection w:val="lrTb"/>
            <w:noWrap w:val="false"/>
          </w:tcPr>
          <w:p>
            <w:pPr>
              <w:pStyle w:val="875"/>
              <w:jc w:val="both"/>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b/>
                <w:bCs/>
                <w:spacing w:val="-3"/>
                <w:lang w:val="en-US" w:eastAsia="zh-CN"/>
              </w:rPr>
              <w:t xml:space="preserve">6.节能环保</w:t>
            </w:r>
            <w:r>
              <w:rPr>
                <w:rFonts w:hint="eastAsia" w:ascii="宋体" w:hAnsi="宋体" w:eastAsia="宋体" w:cs="宋体"/>
                <w:spacing w:val="-6"/>
                <w:sz w:val="21"/>
                <w:szCs w:val="22"/>
                <w:lang w:val="en-US" w:eastAsia="zh-CN" w:bidi="ar-SA"/>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6.1</w:t>
            </w:r>
            <w:r>
              <w:rPr>
                <w:rFonts w:ascii="宋体" w:hAnsi="宋体" w:eastAsia="宋体" w:cs="宋体"/>
                <w:spacing w:val="-2"/>
                <w:sz w:val="21"/>
                <w:szCs w:val="22"/>
                <w:lang w:val="en-US" w:eastAsia="zh-CN" w:bidi="ar-SA"/>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val="en-US" w:eastAsia="zh-CN"/>
              </w:rPr>
              <w:t xml:space="preserve">节能环保</w:t>
            </w:r>
            <w:r>
              <w:rPr>
                <w:rFonts w:hint="eastAsia" w:ascii="宋体" w:hAnsi="宋体" w:eastAsia="宋体" w:cs="宋体"/>
                <w:color w:val="000000"/>
                <w:spacing w:val="-1"/>
                <w:sz w:val="21"/>
                <w:szCs w:val="22"/>
                <w:lang w:val="en-US" w:eastAsia="zh-CN" w:bidi="ar-SA"/>
              </w:rPr>
            </w:r>
            <w:r/>
          </w:p>
        </w:tc>
        <w:tc>
          <w:tcPr>
            <w:tcW w:w="6236" w:type="dxa"/>
            <w:vAlign w:val="center"/>
            <w:textDirection w:val="lrTb"/>
            <w:noWrap w:val="false"/>
          </w:tcPr>
          <w:p>
            <w:pPr>
              <w:pStyle w:val="875"/>
              <w:jc w:val="both"/>
              <w:keepLines w:val="0"/>
              <w:keepNext w:val="0"/>
              <w:pageBreakBefore w:val="0"/>
              <w:spacing w:line="264" w:lineRule="auto"/>
              <w:widowControl w:val="off"/>
              <w:rPr>
                <w:lang w:val="en-US" w:eastAsia="zh-CN"/>
              </w:rPr>
            </w:pPr>
            <w:r>
              <w:rPr>
                <w:rFonts w:hint="eastAsia" w:ascii="宋体" w:hAnsi="宋体" w:eastAsia="宋体" w:cs="宋体"/>
                <w:lang w:val="en-US" w:eastAsia="zh-CN"/>
              </w:rPr>
              <w:t xml:space="preserve">投标产品属于财政部、生态环境部公布的《</w:t>
            </w:r>
            <w:r>
              <w:rPr>
                <w:rFonts w:ascii="宋体" w:hAnsi="宋体" w:eastAsia="宋体" w:cs="宋体"/>
                <w:lang w:val="en-US" w:eastAsia="zh-CN"/>
              </w:rPr>
              <w:t xml:space="preserve">环境标志产品品目清单</w:t>
            </w:r>
            <w:r>
              <w:rPr>
                <w:rFonts w:hint="eastAsia" w:ascii="宋体" w:hAnsi="宋体" w:eastAsia="宋体" w:cs="宋体"/>
                <w:lang w:val="en-US" w:eastAsia="zh-CN"/>
              </w:rPr>
              <w:t xml:space="preserve">》</w:t>
            </w:r>
            <w:r>
              <w:rPr>
                <w:rFonts w:ascii="宋体" w:hAnsi="宋体" w:eastAsia="宋体" w:cs="宋体"/>
              </w:rPr>
              <w:t xml:space="preserve">（财库〔2019〕1</w:t>
            </w:r>
            <w:r>
              <w:rPr>
                <w:rFonts w:hint="eastAsia" w:ascii="宋体" w:hAnsi="宋体" w:eastAsia="宋体" w:cs="宋体"/>
                <w:lang w:val="en-US" w:eastAsia="zh-CN"/>
              </w:rPr>
              <w:t xml:space="preserve">8</w:t>
            </w:r>
            <w:r>
              <w:rPr>
                <w:rFonts w:ascii="宋体" w:hAnsi="宋体" w:eastAsia="宋体" w:cs="宋体"/>
              </w:rPr>
              <w:t xml:space="preserve">号）</w:t>
            </w:r>
            <w:r>
              <w:rPr>
                <w:rFonts w:hint="eastAsia" w:ascii="宋体" w:hAnsi="宋体" w:eastAsia="宋体" w:cs="宋体"/>
                <w:lang w:val="en-US" w:eastAsia="zh-CN"/>
              </w:rPr>
              <w:t xml:space="preserve">范围内的，投标人提供国家确定的认证机构出具的、处于有效期内的该环境标志产品认证证书的，有1个得1分，最多得2分。</w:t>
            </w:r>
            <w:r>
              <w:rPr>
                <w:lang w:val="en-US" w:eastAsia="zh-CN"/>
              </w:rPr>
            </w:r>
            <w:r/>
          </w:p>
        </w:tc>
        <w:tc>
          <w:tcPr>
            <w:tcW w:w="709" w:type="dxa"/>
            <w:vAlign w:val="center"/>
            <w:textDirection w:val="lrTb"/>
            <w:noWrap w:val="false"/>
          </w:tcPr>
          <w:p>
            <w:pPr>
              <w:pStyle w:val="875"/>
              <w:jc w:val="center"/>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rPr>
                <w:rFonts w:hint="eastAsia" w:ascii="宋体" w:hAnsi="宋体" w:eastAsia="宋体" w:cs="宋体"/>
                <w:sz w:val="21"/>
                <w:szCs w:val="22"/>
                <w:lang w:val="en-US" w:eastAsia="zh-CN" w:bidi="ar-SA"/>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623" w:type="dxa"/>
            <w:vAlign w:val="center"/>
            <w:textDirection w:val="lrTb"/>
            <w:noWrap w:val="false"/>
          </w:tcPr>
          <w:p>
            <w:pPr>
              <w:pStyle w:val="875"/>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12" w:type="dxa"/>
            <w:vAlign w:val="center"/>
            <w:textDirection w:val="lrTb"/>
            <w:noWrap w:val="false"/>
          </w:tcPr>
          <w:p>
            <w:pPr>
              <w:pStyle w:val="875"/>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701" w:type="dxa"/>
            <w:vAlign w:val="center"/>
            <w:textDirection w:val="lrTb"/>
            <w:noWrap w:val="false"/>
          </w:tcPr>
          <w:p>
            <w:pPr>
              <w:pStyle w:val="875"/>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87"/>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7"/>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7"/>
        <w:rPr>
          <w:rFonts w:hint="eastAsia"/>
        </w:rPr>
      </w:pPr>
      <w:r>
        <w:rPr>
          <w:rFonts w:hint="eastAsia"/>
        </w:rPr>
      </w:r>
      <w:r/>
    </w:p>
    <w:p>
      <w:pPr>
        <w:pStyle w:val="875"/>
        <w:rPr>
          <w:rFonts w:hint="eastAsia"/>
        </w:rPr>
      </w:pPr>
      <w:r>
        <w:rPr>
          <w:rFonts w:hint="eastAsia"/>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5"/>
        <w:jc w:val="center"/>
        <w:rPr>
          <w:rFonts w:hint="eastAsia" w:ascii="宋体" w:hAnsi="宋体"/>
          <w:b/>
          <w:color w:val="000000"/>
          <w:sz w:val="72"/>
          <w:szCs w:val="21"/>
        </w:rPr>
      </w:pPr>
      <w:r/>
      <w:bookmarkStart w:id="197" w:name="_Hlt26955039"/>
      <w:r/>
      <w:bookmarkEnd w:id="197"/>
      <w:r/>
      <w:bookmarkStart w:id="198" w:name="_Hlt26671244"/>
      <w:r/>
      <w:bookmarkEnd w:id="198"/>
      <w:r/>
      <w:bookmarkStart w:id="199" w:name="_Toc26554094"/>
      <w:r/>
      <w:bookmarkStart w:id="200" w:name="_Toc49090576"/>
      <w:r/>
      <w:bookmarkStart w:id="201" w:name="_Toc120614282"/>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End w:id="199"/>
      <w:r/>
      <w:bookmarkEnd w:id="200"/>
      <w:r/>
      <w:bookmarkEnd w:id="201"/>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5"/>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87"/>
        <w:rPr>
          <w:rFonts w:hint="eastAsia"/>
          <w:lang w:eastAsia="zh-CN"/>
        </w:rPr>
      </w:pPr>
      <w:r>
        <w:rPr>
          <w:rFonts w:hint="eastAsia"/>
          <w:lang w:eastAsia="zh-CN"/>
        </w:rPr>
      </w:r>
      <w:r/>
    </w:p>
    <w:p>
      <w:pPr>
        <w:pStyle w:val="875"/>
        <w:rPr>
          <w:rFonts w:hint="eastAsia"/>
          <w:lang w:eastAsia="zh-CN"/>
        </w:rPr>
      </w:pPr>
      <w:r>
        <w:rPr>
          <w:rFonts w:hint="eastAsia"/>
          <w:lang w:eastAsia="zh-CN"/>
        </w:rPr>
      </w:r>
      <w:r/>
    </w:p>
    <w:p>
      <w:pPr>
        <w:pStyle w:val="875"/>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5"/>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bCs/>
          <w:i/>
          <w:color w:val="000000"/>
          <w:sz w:val="32"/>
          <w:szCs w:val="32"/>
          <w:u w:val="singl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pStyle w:val="875"/>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5"/>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955070"/>
      <w:r/>
      <w:bookmarkEnd w:id="203"/>
      <w:r/>
      <w:bookmarkStart w:id="204" w:name="_格式3__银行出具的资信证明"/>
      <w:r/>
      <w:bookmarkEnd w:id="204"/>
      <w:r/>
      <w:bookmarkStart w:id="205" w:name="_Hlt26671380"/>
      <w:r/>
      <w:bookmarkEnd w:id="205"/>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5"/>
        <w:spacing w:line="460" w:lineRule="exact"/>
        <w:rPr>
          <w:rFonts w:hint="eastAsia" w:ascii="楷体" w:hAnsi="楷体" w:eastAsia="楷体"/>
          <w:bCs/>
          <w:sz w:val="24"/>
          <w:szCs w:val="24"/>
        </w:rPr>
      </w:pPr>
      <w:r>
        <w:rPr>
          <w:rFonts w:hint="eastAsia" w:ascii="楷体" w:hAnsi="楷体" w:eastAsia="楷体"/>
          <w:bCs/>
          <w:sz w:val="24"/>
          <w:szCs w:val="24"/>
        </w:rPr>
      </w:r>
      <w:r/>
    </w:p>
    <w:p>
      <w:pPr>
        <w:pStyle w:val="875"/>
        <w:spacing w:line="4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w:t>
      </w:r>
      <w:r>
        <w:rPr>
          <w:rFonts w:hint="eastAsia" w:ascii="宋体" w:hAnsi="宋体"/>
          <w:sz w:val="24"/>
          <w:szCs w:val="24"/>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rPr>
              <w:t xml:space="preserve">（元）</w:t>
            </w:r>
            <w:r>
              <w:rPr>
                <w:rFonts w:hint="eastAsia" w:ascii="宋体" w:hAnsi="宋体" w:cs="宋体"/>
              </w:rPr>
              <w:t xml:space="preserve">：                             </w:t>
            </w:r>
            <w:r>
              <w:rPr>
                <w:rFonts w:hint="eastAsia" w:ascii="宋体" w:hAnsi="宋体"/>
                <w:szCs w:val="21"/>
              </w:rPr>
            </w:r>
            <w:r/>
          </w:p>
        </w:tc>
      </w:tr>
    </w:tbl>
    <w:p>
      <w:pPr>
        <w:pStyle w:val="875"/>
        <w:rPr>
          <w:rFonts w:ascii="宋体" w:hAnsi="宋体"/>
          <w:sz w:val="24"/>
          <w:szCs w:val="24"/>
        </w:rPr>
      </w:pPr>
      <w:r>
        <w:rPr>
          <w:rFonts w:ascii="宋体" w:hAnsi="宋体"/>
          <w:sz w:val="24"/>
          <w:szCs w:val="24"/>
        </w:rPr>
      </w:r>
      <w:r/>
    </w:p>
    <w:p>
      <w:pPr>
        <w:pStyle w:val="87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7"/>
        <w:rPr>
          <w:rFonts w:hint="eastAsia"/>
        </w:rPr>
      </w:pPr>
      <w:r>
        <w:rPr>
          <w:rFonts w:hint="eastAsia"/>
        </w:rPr>
      </w:r>
      <w:r/>
    </w:p>
    <w:p>
      <w:pPr>
        <w:pStyle w:val="875"/>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75"/>
        <w:rPr>
          <w:rFonts w:hint="eastAsia"/>
        </w:rPr>
      </w:pPr>
      <w:r>
        <w:rPr>
          <w:rFonts w:hint="eastAsia"/>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zh-CN"/>
              </w:rPr>
              <w:t xml:space="preserve">序号</w:t>
            </w:r>
            <w:r>
              <w:rPr>
                <w:rFonts w:hint="eastAsia" w:ascii="宋体" w:hAnsi="宋体" w:eastAsia="宋体" w:cs="Times New Roman"/>
                <w:sz w:val="24"/>
                <w:szCs w:val="24"/>
                <w:lang w:val="zh-CN"/>
              </w:rPr>
            </w:r>
            <w:r/>
          </w:p>
        </w:tc>
        <w:tc>
          <w:tcPr>
            <w:tcW w:w="3753"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rPr>
              <w:t xml:space="preserve">名称</w:t>
            </w:r>
            <w:r>
              <w:rPr>
                <w:rFonts w:hint="eastAsia" w:ascii="宋体" w:hAnsi="宋体" w:eastAsia="宋体" w:cs="Times New Roman"/>
                <w:sz w:val="24"/>
                <w:szCs w:val="24"/>
                <w:lang w:val="zh-CN"/>
              </w:rPr>
            </w:r>
            <w:r/>
          </w:p>
        </w:tc>
        <w:tc>
          <w:tcPr>
            <w:tcW w:w="2158"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rPr>
              <w:t xml:space="preserve">品牌</w:t>
            </w:r>
            <w:r>
              <w:rPr>
                <w:rFonts w:hint="eastAsia" w:ascii="宋体" w:hAnsi="宋体" w:eastAsia="宋体" w:cs="Times New Roman"/>
                <w:sz w:val="24"/>
                <w:szCs w:val="24"/>
                <w:lang w:val="zh-CN"/>
              </w:rPr>
            </w:r>
            <w:r/>
          </w:p>
        </w:tc>
        <w:tc>
          <w:tcPr>
            <w:tcW w:w="239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zh-CN"/>
              </w:rPr>
              <w:t xml:space="preserve">规格或型号</w:t>
            </w:r>
            <w:r>
              <w:rPr>
                <w:rFonts w:hint="eastAsia" w:ascii="宋体" w:hAnsi="宋体" w:eastAsia="宋体" w:cs="Times New Roman"/>
                <w:sz w:val="24"/>
                <w:szCs w:val="24"/>
                <w:lang w:val="zh-CN"/>
              </w:rPr>
            </w:r>
            <w:r/>
          </w:p>
        </w:tc>
      </w:tr>
      <w:tr>
        <w:trPr>
          <w:trHeight w:val="963"/>
        </w:trPr>
        <w:tc>
          <w:tcPr>
            <w:tcW w:w="1044" w:type="dxa"/>
            <w:vAlign w:val="center"/>
            <w:textDirection w:val="lrTb"/>
            <w:noWrap w:val="false"/>
          </w:tcPr>
          <w:p>
            <w:pPr>
              <w:pStyle w:val="875"/>
              <w:jc w:val="center"/>
              <w:spacing w:line="360" w:lineRule="auto"/>
              <w:widowControl/>
              <w:rPr>
                <w:rFonts w:ascii="宋体" w:hAnsi="宋体" w:cs="宋体"/>
                <w:szCs w:val="21"/>
                <w:lang w:val="zh-CN"/>
              </w:rPr>
              <w:framePr w:vAnchor="page" w:hAnchor="page" w:xAlign="center" w:y="133"/>
            </w:pPr>
            <w:r>
              <w:rPr>
                <w:rFonts w:hint="eastAsia" w:ascii="宋体" w:hAnsi="宋体" w:eastAsia="宋体" w:cs="Times New Roman"/>
                <w:sz w:val="24"/>
                <w:szCs w:val="24"/>
                <w:lang w:val="zh-CN"/>
              </w:rPr>
              <w:t xml:space="preserve">1</w:t>
            </w:r>
            <w:r>
              <w:rPr>
                <w:rFonts w:ascii="宋体" w:hAnsi="宋体" w:cs="宋体"/>
                <w:szCs w:val="21"/>
                <w:lang w:val="zh-CN"/>
              </w:rPr>
            </w:r>
            <w:r/>
          </w:p>
        </w:tc>
        <w:tc>
          <w:tcPr>
            <w:tcW w:w="3753" w:type="dxa"/>
            <w:vAlign w:val="center"/>
            <w:textDirection w:val="lrTb"/>
            <w:noWrap w:val="false"/>
          </w:tcPr>
          <w:p>
            <w:pPr>
              <w:pStyle w:val="875"/>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158" w:type="dxa"/>
            <w:vAlign w:val="top"/>
            <w:textDirection w:val="lrTb"/>
            <w:noWrap w:val="false"/>
          </w:tcPr>
          <w:p>
            <w:pPr>
              <w:pStyle w:val="875"/>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5"/>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jc w:val="left"/>
        <w:spacing w:line="360" w:lineRule="auto"/>
        <w:widowControl/>
        <w:rPr>
          <w:rFonts w:ascii="宋体" w:cs="宋体"/>
          <w:color w:val="000000"/>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pStyle w:val="875"/>
        <w:ind w:firstLine="480"/>
        <w:jc w:val="left"/>
        <w:spacing w:line="360" w:lineRule="auto"/>
        <w:widowControl/>
        <w:rPr>
          <w:rFonts w:hint="eastAsia" w:ascii="宋体" w:hAnsi="宋体" w:cs="宋体"/>
          <w:color w:val="000000"/>
          <w:highlight w:val="none"/>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55"/>
        <w:gridCol w:w="1305"/>
      </w:tblGrid>
      <w:tr>
        <w:trPr>
          <w:cantSplit/>
          <w:trHeight w:val="544"/>
        </w:trPr>
        <w:tc>
          <w:tcPr>
            <w:tcW w:w="581" w:type="dxa"/>
            <w:vAlign w:val="center"/>
            <w:vMerge w:val="restart"/>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55"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305"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305"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75"/>
        <w:ind w:firstLine="480"/>
        <w:rPr>
          <w:rFonts w:hint="eastAsia" w:ascii="宋体" w:hAnsi="宋体"/>
          <w:sz w:val="24"/>
          <w:szCs w:val="24"/>
        </w:rPr>
      </w:pP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5"/>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5"/>
        <w:rPr>
          <w:rFonts w:ascii="宋体" w:hAnsi="宋体"/>
          <w:sz w:val="24"/>
          <w:szCs w:val="24"/>
          <w:highlight w:val="none"/>
          <w:lang w:eastAsia="zh-CN"/>
        </w:rPr>
      </w:pPr>
      <w:r>
        <w:rPr>
          <w:rFonts w:ascii="宋体" w:hAnsi="宋体"/>
          <w:sz w:val="24"/>
          <w:szCs w:val="24"/>
          <w:highlight w:val="none"/>
          <w:lang w:eastAsia="zh-CN"/>
        </w:rPr>
      </w:r>
      <w:r/>
    </w:p>
    <w:p>
      <w:pPr>
        <w:pStyle w:val="875"/>
        <w:rPr>
          <w:rFonts w:ascii="宋体" w:hAnsi="宋体"/>
          <w:sz w:val="24"/>
          <w:szCs w:val="24"/>
          <w:highlight w:val="none"/>
          <w:lang w:eastAsia="zh-CN"/>
        </w:rPr>
      </w:pPr>
      <w:r>
        <w:rPr>
          <w:rFonts w:ascii="宋体" w:hAnsi="宋体"/>
          <w:sz w:val="24"/>
          <w:szCs w:val="24"/>
          <w:highlight w:val="none"/>
          <w:lang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pPr>
            <w:r/>
            <w:r/>
          </w:p>
          <w:p>
            <w:pPr>
              <w:pStyle w:val="887"/>
              <w:rPr>
                <w:rFonts w:hint="eastAsia"/>
              </w:rPr>
            </w:pPr>
            <w:r>
              <w:rPr>
                <w:rFonts w:hint="eastAsia"/>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1"/>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1"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pPr>
            <w:r/>
            <w:r/>
          </w:p>
          <w:p>
            <w:pPr>
              <w:pStyle w:val="887"/>
              <w:rPr>
                <w:rFonts w:hint="eastAsia"/>
              </w:rPr>
            </w:pPr>
            <w:r>
              <w:rPr>
                <w:rFonts w:hint="eastAsia"/>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1.供应商须对采购文件商务要求中的实质性要求（斜体下划线内容或打“★”内容）做出明确响应，否则视为无效投标。</w:t>
      </w:r>
      <w:r>
        <w:rPr>
          <w:rFonts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spacing w:line="480" w:lineRule="auto"/>
        <w:rPr>
          <w:rFonts w:hint="eastAsia" w:ascii="宋体" w:hAnsi="宋体"/>
          <w:color w:val="000000"/>
          <w:sz w:val="24"/>
          <w:szCs w:val="21"/>
        </w:rPr>
      </w:pPr>
      <w:r>
        <w:rPr>
          <w:rFonts w:hint="eastAsia" w:ascii="宋体" w:hAnsi="宋体"/>
          <w:color w:val="000000"/>
          <w:sz w:val="24"/>
          <w:szCs w:val="21"/>
        </w:rPr>
      </w:r>
      <w:r/>
    </w:p>
    <w:p>
      <w:pPr>
        <w:pStyle w:val="87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5"/>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5"/>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5"/>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7"/>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5"/>
        <w:ind w:firstLine="480"/>
        <w:keepLines w:val="0"/>
        <w:keepNext w:val="0"/>
        <w:pageBreakBefore w:val="0"/>
        <w:spacing w:line="31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5"/>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7"/>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spacing w:line="588" w:lineRule="exact"/>
        <w:rPr>
          <w:rFonts w:hint="eastAsia" w:ascii="宋体" w:hAnsi="宋体"/>
          <w:sz w:val="24"/>
        </w:rPr>
      </w:pP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3"/>
      </w:pPr>
      <w:r/>
      <w:r/>
    </w:p>
    <w:p>
      <w:pPr>
        <w:pStyle w:val="87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5"/>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5"/>
        <w:ind w:firstLine="645"/>
        <w:spacing w:line="560" w:lineRule="exact"/>
        <w:rPr>
          <w:rFonts w:hint="eastAsia" w:ascii="宋体" w:hAnsi="宋体"/>
          <w:sz w:val="24"/>
        </w:rPr>
      </w:pPr>
      <w:r>
        <w:rPr>
          <w:rFonts w:hint="eastAsia" w:ascii="宋体" w:hAnsi="宋体"/>
          <w:sz w:val="24"/>
        </w:rPr>
      </w:r>
      <w:r/>
    </w:p>
    <w:p>
      <w:pPr>
        <w:pStyle w:val="87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5"/>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5"/>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5"/>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7"/>
        <w:rPr>
          <w:rFonts w:hint="eastAsia" w:ascii="宋体" w:hAnsi="宋体" w:eastAsia="宋体" w:cs="Times New Roman"/>
          <w:sz w:val="24"/>
        </w:rPr>
      </w:pPr>
      <w:r>
        <w:rPr>
          <w:rFonts w:hint="eastAsia" w:ascii="宋体" w:hAnsi="宋体" w:eastAsia="宋体" w:cs="Times New Roman"/>
          <w:sz w:val="24"/>
        </w:rPr>
      </w:r>
      <w:r/>
    </w:p>
    <w:p>
      <w:pPr>
        <w:pStyle w:val="875"/>
        <w:rPr>
          <w:rFonts w:hint="eastAsia"/>
        </w:rPr>
      </w:pPr>
      <w:r>
        <w:rPr>
          <w:rFonts w:hint="eastAsia"/>
        </w:rPr>
      </w:r>
      <w:r/>
    </w:p>
    <w:p>
      <w:pPr>
        <w:pStyle w:val="875"/>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5"/>
        <w:ind w:firstLine="645"/>
        <w:spacing w:line="560" w:lineRule="exact"/>
        <w:rPr>
          <w:rFonts w:hint="eastAsia" w:ascii="宋体" w:hAnsi="宋体"/>
          <w:sz w:val="24"/>
          <w:szCs w:val="24"/>
        </w:rPr>
      </w:pPr>
      <w:r>
        <w:rPr>
          <w:rFonts w:hint="eastAsia" w:ascii="宋体" w:hAnsi="宋体"/>
          <w:sz w:val="24"/>
        </w:rPr>
      </w:r>
      <w:r/>
    </w:p>
    <w:p>
      <w:pPr>
        <w:pStyle w:val="875"/>
        <w:jc w:val="center"/>
        <w:rPr>
          <w:rFonts w:hint="eastAsia" w:ascii="方正小标宋简体" w:hAnsi="方正小标宋简体" w:eastAsia="方正小标宋简体" w:cs="方正小标宋简体"/>
          <w:b w:val="0"/>
          <w:bCs w:val="0"/>
          <w:sz w:val="32"/>
          <w:szCs w:val="32"/>
        </w:rPr>
      </w:pPr>
      <w:r/>
      <w:bookmarkEnd w:id="191"/>
      <w:r/>
      <w:bookmarkEnd w:id="192"/>
      <w:r/>
      <w:bookmarkEnd w:id="202"/>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spacing w:line="480" w:lineRule="exact"/>
        <w:rPr>
          <w:rFonts w:hint="eastAsia" w:ascii="宋体" w:hAnsi="宋体"/>
          <w:b w:val="0"/>
          <w:bCs/>
          <w:sz w:val="24"/>
          <w:szCs w:val="24"/>
        </w:rPr>
      </w:pPr>
      <w:r>
        <w:rPr>
          <w:rFonts w:hint="eastAsia" w:ascii="宋体" w:hAnsi="宋体"/>
          <w:b w:val="0"/>
          <w:bCs/>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４２</w:t>
    </w:r>
    <w:r>
      <w:rPr>
        <w:rFonts w:ascii="宋体" w:hAnsi="宋体"/>
      </w:rPr>
      <w:fldChar w:fldCharType="end"/>
    </w:r>
    <w:r>
      <w:rPr>
        <w:rStyle w:val="949"/>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upperLetter"/>
      <w:pStyle w:val="960"/>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sz w:val="21"/>
      <w:szCs w:val="22"/>
      <w:lang w:val="en-US" w:eastAsia="zh-CN" w:bidi="ar-SA"/>
    </w:rPr>
  </w:style>
  <w:style w:type="paragraph" w:styleId="876">
    <w:name w:val="标题 1"/>
    <w:basedOn w:val="875"/>
    <w:next w:val="875"/>
    <w:link w:val="888"/>
    <w:qFormat/>
    <w:pPr>
      <w:jc w:val="center"/>
      <w:keepNext/>
      <w:outlineLvl w:val="0"/>
    </w:pPr>
    <w:rPr>
      <w:rFonts w:ascii="楷体_GB2312" w:hAnsi="Times New Roman" w:eastAsia="楷体_GB2312" w:cs="Times New Roman"/>
      <w:sz w:val="28"/>
      <w:szCs w:val="28"/>
    </w:rPr>
  </w:style>
  <w:style w:type="paragraph" w:styleId="877">
    <w:name w:val="标题 2"/>
    <w:basedOn w:val="875"/>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0"/>
    <w:link w:val="893"/>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4"/>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索引 41"/>
    <w:basedOn w:val="875"/>
    <w:next w:val="875"/>
    <w:link w:val="875"/>
    <w:semiHidden/>
    <w:qFormat/>
    <w:pPr>
      <w:ind w:left="1260"/>
    </w:pPr>
    <w:rPr>
      <w:rFonts w:ascii="Calibri" w:hAnsi="Calibri" w:eastAsia="Calibri" w:cs="宋体"/>
      <w:sz w:val="20"/>
      <w:lang w:val="zh-CN"/>
    </w:rPr>
  </w:style>
  <w:style w:type="character" w:styleId="888">
    <w:name w:val="标题 1 Char"/>
    <w:next w:val="888"/>
    <w:link w:val="876"/>
    <w:rPr>
      <w:rFonts w:ascii="楷体_GB2312" w:hAnsi="Times New Roman" w:eastAsia="楷体_GB2312" w:cs="Times New Roman"/>
      <w:sz w:val="28"/>
      <w:szCs w:val="28"/>
    </w:rPr>
  </w:style>
  <w:style w:type="character" w:styleId="889">
    <w:name w:val="标题 2 Char"/>
    <w:next w:val="889"/>
    <w:link w:val="877"/>
    <w:rPr>
      <w:rFonts w:ascii="Arial" w:hAnsi="Arial" w:eastAsia="幼圆" w:cs="Arial"/>
      <w:b/>
      <w:bCs/>
      <w:sz w:val="44"/>
      <w:szCs w:val="44"/>
    </w:rPr>
  </w:style>
  <w:style w:type="paragraph" w:styleId="890">
    <w:name w:val="正文缩进"/>
    <w:basedOn w:val="875"/>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8"/>
    <w:rPr>
      <w:rFonts w:ascii="Times New Roman" w:hAnsi="Times New Roman" w:eastAsia="宋体" w:cs="Times New Roman"/>
      <w:b/>
      <w:bCs/>
      <w:sz w:val="32"/>
      <w:szCs w:val="32"/>
    </w:rPr>
  </w:style>
  <w:style w:type="character" w:styleId="893">
    <w:name w:val="标题 4 Char"/>
    <w:next w:val="893"/>
    <w:link w:val="879"/>
    <w:rPr>
      <w:rFonts w:ascii="Arial" w:hAnsi="Arial" w:eastAsia="黑体" w:cs="Arial"/>
      <w:b/>
      <w:bCs/>
      <w:sz w:val="28"/>
      <w:szCs w:val="28"/>
    </w:rPr>
  </w:style>
  <w:style w:type="character" w:styleId="894">
    <w:name w:val="标题 5 Char"/>
    <w:next w:val="894"/>
    <w:link w:val="880"/>
    <w:rPr>
      <w:rFonts w:ascii="宋体" w:hAnsi="Times New Roman" w:eastAsia="宋体" w:cs="Times New Roman"/>
      <w:color w:val="000000"/>
      <w:sz w:val="28"/>
      <w:szCs w:val="28"/>
    </w:rPr>
  </w:style>
  <w:style w:type="character" w:styleId="895">
    <w:name w:val="标题 6 Char"/>
    <w:next w:val="895"/>
    <w:link w:val="881"/>
    <w:rPr>
      <w:rFonts w:ascii="Arial" w:hAnsi="Arial" w:eastAsia="黑体" w:cs="Times New Roman"/>
      <w:b/>
      <w:bCs/>
      <w:sz w:val="24"/>
      <w:szCs w:val="24"/>
    </w:rPr>
  </w:style>
  <w:style w:type="character" w:styleId="896">
    <w:name w:val="标题 7 Char"/>
    <w:next w:val="896"/>
    <w:link w:val="882"/>
    <w:rPr>
      <w:rFonts w:ascii="Times New Roman" w:hAnsi="Times New Roman" w:eastAsia="宋体" w:cs="Times New Roman"/>
      <w:b/>
      <w:bCs/>
      <w:sz w:val="24"/>
      <w:szCs w:val="24"/>
    </w:rPr>
  </w:style>
  <w:style w:type="character" w:styleId="897">
    <w:name w:val="标题 8 Char"/>
    <w:next w:val="897"/>
    <w:link w:val="883"/>
    <w:rPr>
      <w:rFonts w:ascii="Arial" w:hAnsi="Arial" w:eastAsia="黑体" w:cs="Times New Roman"/>
      <w:sz w:val="24"/>
      <w:szCs w:val="24"/>
    </w:rPr>
  </w:style>
  <w:style w:type="character" w:styleId="898">
    <w:name w:val="标题 9 Char"/>
    <w:next w:val="898"/>
    <w:link w:val="884"/>
    <w:rPr>
      <w:rFonts w:ascii="Arial" w:hAnsi="Arial" w:eastAsia="黑体" w:cs="Times New Roman"/>
      <w:szCs w:val="21"/>
    </w:rPr>
  </w:style>
  <w:style w:type="paragraph" w:styleId="899">
    <w:name w:val="列表 3"/>
    <w:basedOn w:val="875"/>
    <w:next w:val="899"/>
    <w:link w:val="875"/>
    <w:pPr>
      <w:ind w:left="100" w:hanging="200"/>
    </w:pPr>
    <w:rPr>
      <w:rFonts w:ascii="Times New Roman" w:hAnsi="Times New Roman" w:eastAsia="宋体" w:cs="Times New Roman"/>
      <w:szCs w:val="21"/>
    </w:rPr>
  </w:style>
  <w:style w:type="paragraph" w:styleId="900">
    <w:name w:val="目录 7"/>
    <w:basedOn w:val="875"/>
    <w:next w:val="875"/>
    <w:link w:val="875"/>
    <w:semiHidden/>
    <w:pPr>
      <w:ind w:left="1260"/>
      <w:jc w:val="left"/>
    </w:pPr>
    <w:rPr>
      <w:rFonts w:ascii="Times New Roman" w:hAnsi="Times New Roman" w:eastAsia="宋体" w:cs="Times New Roman"/>
      <w:szCs w:val="21"/>
    </w:rPr>
  </w:style>
  <w:style w:type="paragraph" w:styleId="901">
    <w:name w:val="文档结构图"/>
    <w:basedOn w:val="875"/>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5"/>
    <w:next w:val="903"/>
    <w:link w:val="904"/>
    <w:unhideWhenUsed/>
    <w:pPr>
      <w:jc w:val="left"/>
    </w:pPr>
  </w:style>
  <w:style w:type="character" w:styleId="904">
    <w:name w:val="批注文字 Char"/>
    <w:basedOn w:val="885"/>
    <w:next w:val="904"/>
    <w:link w:val="903"/>
    <w:uiPriority w:val="99"/>
    <w:semiHidden/>
  </w:style>
  <w:style w:type="paragraph" w:styleId="905">
    <w:name w:val="正文文本 3"/>
    <w:basedOn w:val="875"/>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911"/>
    <w:link w:val="910"/>
    <w:unhideWhenUsed/>
    <w:pPr>
      <w:ind w:left="420"/>
      <w:spacing w:after="120"/>
    </w:pPr>
  </w:style>
  <w:style w:type="character" w:styleId="910">
    <w:name w:val="正文文本缩进 Char"/>
    <w:basedOn w:val="885"/>
    <w:next w:val="910"/>
    <w:link w:val="909"/>
    <w:uiPriority w:val="99"/>
    <w:semiHidden/>
  </w:style>
  <w:style w:type="paragraph" w:styleId="911">
    <w:name w:val="正文首行缩进 2"/>
    <w:basedOn w:val="909"/>
    <w:next w:val="875"/>
    <w:link w:val="912"/>
    <w:pPr>
      <w:ind w:left="0" w:firstLine="420"/>
      <w:spacing w:after="0" w:line="360" w:lineRule="auto"/>
    </w:pPr>
    <w:rPr>
      <w:rFonts w:ascii="宋体" w:hAnsi="宋体" w:eastAsia="宋体" w:cs="Times New Roman"/>
      <w:szCs w:val="20"/>
    </w:rPr>
  </w:style>
  <w:style w:type="character" w:styleId="912">
    <w:name w:val="正文首行缩进 2 Char"/>
    <w:next w:val="912"/>
    <w:link w:val="911"/>
    <w:rPr>
      <w:rFonts w:ascii="宋体" w:hAnsi="宋体" w:eastAsia="宋体" w:cs="Times New Roman"/>
      <w:szCs w:val="20"/>
    </w:rPr>
  </w:style>
  <w:style w:type="paragraph" w:styleId="913">
    <w:name w:val="列表 2"/>
    <w:basedOn w:val="875"/>
    <w:next w:val="913"/>
    <w:link w:val="875"/>
    <w:pPr>
      <w:ind w:left="100" w:hanging="200"/>
    </w:pPr>
    <w:rPr>
      <w:rFonts w:ascii="Times New Roman" w:hAnsi="Times New Roman" w:eastAsia="宋体" w:cs="Times New Roman"/>
      <w:szCs w:val="21"/>
    </w:rPr>
  </w:style>
  <w:style w:type="paragraph" w:styleId="914">
    <w:name w:val="目录 5"/>
    <w:basedOn w:val="875"/>
    <w:next w:val="875"/>
    <w:link w:val="875"/>
    <w:semiHidden/>
    <w:pPr>
      <w:ind w:left="840"/>
      <w:jc w:val="left"/>
    </w:pPr>
    <w:rPr>
      <w:rFonts w:ascii="Times New Roman" w:hAnsi="Times New Roman" w:eastAsia="宋体" w:cs="Times New Roman"/>
      <w:szCs w:val="21"/>
    </w:rPr>
  </w:style>
  <w:style w:type="paragraph" w:styleId="915">
    <w:name w:val="目录 3"/>
    <w:basedOn w:val="875"/>
    <w:next w:val="875"/>
    <w:link w:val="875"/>
    <w:semiHidden/>
    <w:pPr>
      <w:ind w:left="420"/>
      <w:jc w:val="left"/>
    </w:pPr>
    <w:rPr>
      <w:rFonts w:ascii="Times New Roman" w:hAnsi="Times New Roman" w:eastAsia="宋体" w:cs="Times New Roman"/>
      <w:i/>
      <w:iCs/>
      <w:szCs w:val="24"/>
    </w:rPr>
  </w:style>
  <w:style w:type="paragraph" w:styleId="916">
    <w:name w:val="纯文本"/>
    <w:basedOn w:val="875"/>
    <w:next w:val="916"/>
    <w:link w:val="917"/>
    <w:rPr>
      <w:rFonts w:ascii="宋体" w:hAnsi="Courier New" w:eastAsia="宋体" w:cs="Courier New"/>
      <w:szCs w:val="21"/>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rPr>
      <w:rFonts w:ascii="Times New Roman" w:hAnsi="Times New Roman" w:eastAsia="宋体" w:cs="Times New Roman"/>
      <w:szCs w:val="21"/>
    </w:rPr>
  </w:style>
  <w:style w:type="paragraph" w:styleId="919">
    <w:name w:val="日期"/>
    <w:basedOn w:val="875"/>
    <w:next w:val="875"/>
    <w:link w:val="920"/>
    <w:rPr>
      <w:rFonts w:ascii="Times New Roman" w:hAnsi="Times New Roman" w:eastAsia="宋体" w:cs="Times New Roman"/>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rFonts w:ascii="Times New Roman" w:hAnsi="Times New Roman" w:eastAsia="宋体" w:cs="Times New Roman"/>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rFonts w:ascii="Times New Roman" w:hAnsi="Times New Roman" w:eastAsia="宋体" w:cs="Times New Roman"/>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寄信人地址"/>
    <w:basedOn w:val="875"/>
    <w:next w:val="927"/>
    <w:link w:val="875"/>
    <w:qFormat/>
    <w:rPr>
      <w:rFonts w:ascii="Arial" w:hAnsi="Arial" w:eastAsia="宋体" w:cs="宋体"/>
    </w:rPr>
  </w:style>
  <w:style w:type="paragraph" w:styleId="928">
    <w:name w:val="页眉"/>
    <w:basedOn w:val="875"/>
    <w:next w:val="928"/>
    <w:link w:val="92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5"/>
    <w:next w:val="875"/>
    <w:link w:val="875"/>
    <w:semiHidden/>
    <w:pPr>
      <w:ind w:left="630"/>
      <w:jc w:val="left"/>
    </w:pPr>
    <w:rPr>
      <w:rFonts w:ascii="Times New Roman" w:hAnsi="Times New Roman" w:eastAsia="宋体" w:cs="Times New Roman"/>
      <w:szCs w:val="21"/>
    </w:rPr>
  </w:style>
  <w:style w:type="paragraph" w:styleId="932">
    <w:name w:val="列表"/>
    <w:basedOn w:val="875"/>
    <w:next w:val="932"/>
    <w:link w:val="875"/>
    <w:pPr>
      <w:ind w:left="200" w:hanging="200"/>
    </w:pPr>
    <w:rPr>
      <w:rFonts w:ascii="Times New Roman" w:hAnsi="Times New Roman" w:eastAsia="宋体" w:cs="Times New Roman"/>
      <w:szCs w:val="21"/>
    </w:rPr>
  </w:style>
  <w:style w:type="paragraph" w:styleId="933">
    <w:name w:val="目录 6"/>
    <w:basedOn w:val="875"/>
    <w:next w:val="875"/>
    <w:link w:val="875"/>
    <w:semiHidden/>
    <w:pPr>
      <w:ind w:left="1050"/>
      <w:jc w:val="left"/>
    </w:pPr>
    <w:rPr>
      <w:rFonts w:ascii="Times New Roman" w:hAnsi="Times New Roman" w:eastAsia="宋体" w:cs="Times New Roman"/>
      <w:szCs w:val="21"/>
    </w:rPr>
  </w:style>
  <w:style w:type="paragraph" w:styleId="934">
    <w:name w:val="正文文本缩进 3"/>
    <w:basedOn w:val="875"/>
    <w:next w:val="934"/>
    <w:link w:val="935"/>
    <w:pPr>
      <w:ind w:left="645" w:firstLine="645"/>
    </w:pPr>
    <w:rPr>
      <w:rFonts w:ascii="Arial" w:hAnsi="Arial" w:eastAsia="仿宋_GB2312" w:cs="Arial"/>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5"/>
    <w:next w:val="875"/>
    <w:link w:val="875"/>
    <w:semiHidden/>
    <w:pPr>
      <w:ind w:left="840" w:hanging="420"/>
    </w:pPr>
    <w:rPr>
      <w:rFonts w:ascii="Times New Roman" w:hAnsi="Times New Roman" w:eastAsia="宋体" w:cs="Times New Roman"/>
      <w:szCs w:val="21"/>
    </w:rPr>
  </w:style>
  <w:style w:type="paragraph" w:styleId="937">
    <w:name w:val="目录 2"/>
    <w:basedOn w:val="875"/>
    <w:next w:val="875"/>
    <w:link w:val="875"/>
    <w:semiHidden/>
    <w:pPr>
      <w:ind w:left="210"/>
      <w:jc w:val="left"/>
    </w:pPr>
    <w:rPr>
      <w:rFonts w:ascii="Times New Roman" w:hAnsi="Times New Roman" w:eastAsia="宋体" w:cs="Times New Roman"/>
      <w:smallCaps/>
      <w:szCs w:val="24"/>
    </w:rPr>
  </w:style>
  <w:style w:type="paragraph" w:styleId="938">
    <w:name w:val="目录 9"/>
    <w:basedOn w:val="875"/>
    <w:next w:val="875"/>
    <w:link w:val="875"/>
    <w:semiHidden/>
    <w:pPr>
      <w:ind w:left="1680"/>
      <w:jc w:val="left"/>
    </w:pPr>
    <w:rPr>
      <w:rFonts w:ascii="Times New Roman" w:hAnsi="Times New Roman" w:eastAsia="宋体" w:cs="Times New Roman"/>
      <w:szCs w:val="21"/>
    </w:rPr>
  </w:style>
  <w:style w:type="paragraph" w:styleId="939">
    <w:name w:val="正文文本 2"/>
    <w:basedOn w:val="875"/>
    <w:next w:val="939"/>
    <w:link w:val="940"/>
    <w:pPr>
      <w:jc w:val="center"/>
      <w:widowControl/>
    </w:pPr>
    <w:rPr>
      <w:rFonts w:ascii="楷体_GB2312" w:hAnsi="Times New Roman" w:eastAsia="楷体_GB2312" w:cs="Times New Roman"/>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5"/>
    <w:next w:val="941"/>
    <w:link w:val="875"/>
    <w:uiPriority w:val="99"/>
    <w:pPr>
      <w:jc w:val="left"/>
      <w:spacing w:before="100" w:beforeAutospacing="1" w:after="100" w:afterAutospacing="1"/>
      <w:widowControl/>
    </w:pPr>
    <w:rPr>
      <w:rFonts w:ascii="宋体" w:hAnsi="宋体" w:eastAsia="宋体" w:cs="宋体"/>
      <w:sz w:val="24"/>
      <w:szCs w:val="24"/>
    </w:rPr>
  </w:style>
  <w:style w:type="paragraph" w:styleId="942">
    <w:name w:val="索引 1"/>
    <w:basedOn w:val="875"/>
    <w:next w:val="875"/>
    <w:link w:val="875"/>
    <w:semiHidden/>
    <w:pPr>
      <w:spacing w:line="240" w:lineRule="atLeast"/>
    </w:pPr>
    <w:rPr>
      <w:rFonts w:ascii="Times New Roman" w:hAnsi="Times New Roman" w:eastAsia="宋体" w:cs="Times New Roman"/>
      <w:b/>
      <w:bCs/>
      <w:szCs w:val="21"/>
    </w:rPr>
  </w:style>
  <w:style w:type="paragraph" w:styleId="943">
    <w:name w:val="批注主题"/>
    <w:basedOn w:val="903"/>
    <w:next w:val="903"/>
    <w:link w:val="944"/>
    <w:semiHidden/>
    <w:rPr>
      <w:rFonts w:ascii="Times New Roman" w:hAnsi="Times New Roman" w:eastAsia="宋体" w:cs="Times New Roman"/>
      <w:b/>
      <w:bCs/>
      <w:szCs w:val="21"/>
    </w:rPr>
  </w:style>
  <w:style w:type="character" w:styleId="944">
    <w:name w:val="批注主题 Char"/>
    <w:next w:val="944"/>
    <w:link w:val="943"/>
    <w:semiHidden/>
    <w:rPr>
      <w:rFonts w:ascii="Times New Roman" w:hAnsi="Times New Roman" w:eastAsia="宋体" w:cs="Times New Roman"/>
      <w:b/>
      <w:bCs/>
      <w:szCs w:val="21"/>
    </w:rPr>
  </w:style>
  <w:style w:type="paragraph" w:styleId="945">
    <w:name w:val="正文首行缩进"/>
    <w:basedOn w:val="875"/>
    <w:next w:val="945"/>
    <w:link w:val="946"/>
    <w:pPr>
      <w:ind w:firstLine="200"/>
      <w:spacing w:line="360" w:lineRule="auto"/>
    </w:pPr>
    <w:rPr>
      <w:rFonts w:ascii="仿宋_GB2312" w:hAnsi="Times New Roman" w:eastAsia="仿宋_GB2312" w:cs="Times New Roman"/>
      <w:sz w:val="30"/>
      <w:szCs w:val="30"/>
    </w:rPr>
  </w:style>
  <w:style w:type="character" w:styleId="946">
    <w:name w:val="正文首行缩进 Char"/>
    <w:next w:val="946"/>
    <w:link w:val="945"/>
    <w:rPr>
      <w:rFonts w:ascii="仿宋_GB2312" w:hAnsi="Times New Roman" w:eastAsia="仿宋_GB2312" w:cs="Times New Roman"/>
      <w:sz w:val="30"/>
      <w:szCs w:val="30"/>
    </w:rPr>
  </w:style>
  <w:style w:type="table" w:styleId="947">
    <w:name w:val="网格型"/>
    <w:basedOn w:val="886"/>
    <w:next w:val="947"/>
    <w:link w:val="875"/>
    <w:pPr>
      <w:jc w:val="both"/>
      <w:widowControl w:val="off"/>
    </w:pPr>
    <w:rPr>
      <w:rFonts w:ascii="Times New Roman" w:hAnsi="Times New Roman" w:eastAsia="宋体" w:cs="Times New Roman"/>
      <w:sz w:val="20"/>
      <w:szCs w:val="20"/>
    </w:rPr>
    <w:tblPr/>
  </w:style>
  <w:style w:type="character" w:styleId="948">
    <w:name w:val="要点"/>
    <w:next w:val="948"/>
    <w:link w:val="875"/>
    <w:qFormat/>
    <w:rPr>
      <w:b/>
      <w:bCs/>
    </w:rPr>
  </w:style>
  <w:style w:type="character" w:styleId="949">
    <w:name w:val="页码"/>
    <w:next w:val="949"/>
    <w:link w:val="875"/>
  </w:style>
  <w:style w:type="character" w:styleId="950">
    <w:name w:val="已访问的超链接"/>
    <w:next w:val="950"/>
    <w:link w:val="875"/>
    <w:rPr>
      <w:color w:val="800080"/>
      <w:u w:val="single"/>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character" w:styleId="953">
    <w:name w:val="默认段落字体1"/>
    <w:next w:val="953"/>
    <w:link w:val="875"/>
    <w:uiPriority w:val="1"/>
    <w:unhideWhenUsed/>
    <w:qFormat/>
    <w:rPr>
      <w:rFonts w:ascii="Times New Roman" w:hAnsi="Times New Roman" w:eastAsia="宋体" w:cs="Times New Roman"/>
      <w:sz w:val="21"/>
      <w:szCs w:val="22"/>
      <w:lang w:val="en-US" w:eastAsia="zh-CN" w:bidi="ar-SA"/>
    </w:rPr>
  </w:style>
  <w:style w:type="paragraph" w:styleId="954">
    <w:name w:val="正文首行缩进1"/>
    <w:basedOn w:val="955"/>
    <w:next w:val="954"/>
    <w:link w:val="875"/>
    <w:qFormat/>
    <w:pPr>
      <w:ind w:firstLine="200"/>
      <w:spacing w:line="360" w:lineRule="auto"/>
    </w:pPr>
    <w:rPr>
      <w:rFonts w:ascii="仿宋_GB2312" w:hAnsi="Times New Roman" w:eastAsia="仿宋_GB2312"/>
      <w:sz w:val="30"/>
      <w:szCs w:val="30"/>
    </w:rPr>
  </w:style>
  <w:style w:type="paragraph" w:styleId="955">
    <w:name w:val="正文文本1"/>
    <w:basedOn w:val="875"/>
    <w:next w:val="875"/>
    <w:link w:val="875"/>
    <w:semiHidden/>
    <w:qFormat/>
    <w:rPr>
      <w:rFonts w:ascii="Arial" w:hAnsi="Arial" w:eastAsia="Arial" w:cs="Arial"/>
      <w:sz w:val="21"/>
      <w:szCs w:val="21"/>
      <w:lang w:val="en-US" w:eastAsia="en-US" w:bidi="ar-SA"/>
    </w:rPr>
  </w:style>
  <w:style w:type="paragraph" w:styleId="956">
    <w:name w:val="列出段落1"/>
    <w:basedOn w:val="875"/>
    <w:next w:val="956"/>
    <w:link w:val="957"/>
    <w:qFormat/>
    <w:pPr>
      <w:contextualSpacing/>
      <w:ind w:left="720"/>
      <w:jc w:val="left"/>
      <w:widowControl/>
    </w:pPr>
    <w:rPr>
      <w:rFonts w:ascii="Calibri" w:hAnsi="Calibri"/>
      <w:sz w:val="24"/>
      <w:szCs w:val="24"/>
      <w:lang w:eastAsia="en-US" w:bidi="en-US"/>
    </w:rPr>
  </w:style>
  <w:style w:type="character" w:styleId="957">
    <w:name w:val="列出段落 Char,Bullet List Char,numbered Char,FooterText Char,List Paragraph1 Char,Paragraphe de liste1 Char"/>
    <w:next w:val="957"/>
    <w:link w:val="956"/>
    <w:rPr>
      <w:rFonts w:ascii="Calibri" w:hAnsi="Calibri"/>
      <w:sz w:val="24"/>
      <w:szCs w:val="24"/>
      <w:lang w:eastAsia="en-US" w:bidi="en-US"/>
    </w:rPr>
  </w:style>
  <w:style w:type="character" w:styleId="958">
    <w:name w:val="font5 Char"/>
    <w:next w:val="958"/>
    <w:link w:val="875"/>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5"/>
    <w:link w:val="959"/>
    <w:pPr>
      <w:numPr>
        <w:ilvl w:val="0"/>
        <w:numId w:val="2"/>
      </w:numPr>
      <w:tabs>
        <w:tab w:val="left" w:pos="907" w:leader="none"/>
        <w:tab w:val="left" w:pos="1145" w:leader="none"/>
      </w:tabs>
      <w:outlineLvl w:val="1"/>
    </w:pPr>
    <w:rPr>
      <w:b/>
      <w:sz w:val="30"/>
      <w:szCs w:val="28"/>
      <w:lang w:val="en-US" w:eastAsia="zh-CN" w:bidi="ar-SA"/>
    </w:rPr>
  </w:style>
  <w:style w:type="paragraph" w:styleId="961">
    <w:name w:val="Body Text(ch)"/>
    <w:basedOn w:val="875"/>
    <w:next w:val="907"/>
    <w:link w:val="875"/>
    <w:pPr>
      <w:spacing w:after="120"/>
    </w:pPr>
    <w:rPr>
      <w:rFonts w:ascii="宋体" w:hAnsi="Arial" w:eastAsia="宋体" w:cs="Times New Roman"/>
      <w:bCs/>
      <w:iCs/>
      <w:szCs w:val="24"/>
    </w:rPr>
  </w:style>
  <w:style w:type="paragraph" w:styleId="962">
    <w:name w:val="xl27"/>
    <w:basedOn w:val="875"/>
    <w:next w:val="962"/>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5"/>
    <w:next w:val="963"/>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5"/>
    <w:next w:val="964"/>
    <w:link w:val="875"/>
    <w:pPr>
      <w:ind w:firstLine="200"/>
      <w:tabs>
        <w:tab w:val="left" w:pos="360" w:leader="none"/>
      </w:tabs>
    </w:pPr>
    <w:rPr>
      <w:rFonts w:ascii="Times New Roman" w:hAnsi="Times New Roman" w:eastAsia="宋体" w:cs="Times New Roman"/>
      <w:sz w:val="28"/>
      <w:szCs w:val="30"/>
    </w:rPr>
  </w:style>
  <w:style w:type="paragraph" w:styleId="965">
    <w:name w:val=" Char"/>
    <w:basedOn w:val="901"/>
    <w:next w:val="965"/>
    <w:link w:val="875"/>
    <w:rPr>
      <w:rFonts w:ascii="Tahoma" w:hAnsi="Tahoma"/>
      <w:sz w:val="24"/>
      <w:szCs w:val="24"/>
    </w:rPr>
  </w:style>
  <w:style w:type="paragraph" w:styleId="966">
    <w:name w:val="普通正文"/>
    <w:basedOn w:val="875"/>
    <w:next w:val="966"/>
    <w:link w:val="875"/>
    <w:pPr>
      <w:ind w:firstLine="480"/>
      <w:jc w:val="left"/>
      <w:spacing w:before="120" w:after="120" w:line="360" w:lineRule="auto"/>
    </w:pPr>
    <w:rPr>
      <w:rFonts w:ascii="Arial" w:hAnsi="Arial" w:eastAsia="宋体" w:cs="Times New Roman"/>
      <w:sz w:val="24"/>
      <w:szCs w:val="24"/>
    </w:rPr>
  </w:style>
  <w:style w:type="paragraph" w:styleId="967">
    <w:name w:val="table_lines"/>
    <w:basedOn w:val="875"/>
    <w:next w:val="967"/>
    <w:link w:val="875"/>
    <w:pPr>
      <w:jc w:val="left"/>
      <w:widowControl/>
    </w:pPr>
    <w:rPr>
      <w:rFonts w:ascii="Times New Roman" w:hAnsi="Times New Roman" w:eastAsia="宋体" w:cs="Times New Roman"/>
      <w:sz w:val="20"/>
      <w:szCs w:val="20"/>
      <w:lang w:val="de-DE" w:eastAsia="de-DE"/>
    </w:rPr>
  </w:style>
  <w:style w:type="paragraph" w:styleId="968">
    <w:name w:val="附录1"/>
    <w:next w:val="968"/>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5"/>
    <w:next w:val="969"/>
    <w:link w:val="875"/>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901"/>
    <w:next w:val="970"/>
    <w:link w:val="875"/>
    <w:pPr>
      <w:spacing w:line="360" w:lineRule="auto"/>
    </w:pPr>
    <w:rPr>
      <w:rFonts w:ascii="Tahoma" w:hAnsi="Tahoma"/>
      <w:sz w:val="24"/>
      <w:szCs w:val="24"/>
    </w:rPr>
  </w:style>
  <w:style w:type="paragraph" w:styleId="971">
    <w:name w:val="列出段落"/>
    <w:basedOn w:val="875"/>
    <w:next w:val="971"/>
    <w:link w:val="875"/>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5"/>
    <w:next w:val="934"/>
    <w:link w:val="875"/>
    <w:pPr>
      <w:ind w:firstLine="420"/>
      <w:spacing w:line="360" w:lineRule="auto"/>
    </w:pPr>
    <w:rPr>
      <w:rFonts w:ascii="Times New Roman" w:hAnsi="Times New Roman" w:eastAsia="宋体" w:cs="Times New Roman"/>
      <w:color w:val="ff0000"/>
      <w:sz w:val="24"/>
      <w:szCs w:val="24"/>
    </w:rPr>
  </w:style>
  <w:style w:type="paragraph" w:styleId="973">
    <w:name w:val="普通 (Web)"/>
    <w:basedOn w:val="875"/>
    <w:next w:val="973"/>
    <w:link w:val="875"/>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5"/>
    <w:next w:val="974"/>
    <w:link w:val="875"/>
    <w:pPr>
      <w:spacing w:line="360" w:lineRule="auto"/>
    </w:pPr>
    <w:rPr>
      <w:rFonts w:ascii="Times New Roman" w:hAnsi="Times New Roman" w:eastAsia="宋体" w:cs="Times New Roman"/>
      <w:sz w:val="24"/>
      <w:szCs w:val="20"/>
    </w:rPr>
  </w:style>
  <w:style w:type="paragraph" w:styleId="975">
    <w:name w:val="样式1"/>
    <w:basedOn w:val="875"/>
    <w:next w:val="975"/>
    <w:link w:val="875"/>
    <w:pPr>
      <w:numPr>
        <w:ilvl w:val="0"/>
        <w:numId w:val="3"/>
      </w:numPr>
      <w:tabs>
        <w:tab w:val="left" w:pos="709" w:leader="none"/>
      </w:tabs>
    </w:pPr>
    <w:rPr>
      <w:rFonts w:ascii="宋体" w:hAnsi="宋体" w:eastAsia="宋体" w:cs="Times New Roman"/>
      <w:szCs w:val="21"/>
    </w:rPr>
  </w:style>
  <w:style w:type="paragraph" w:styleId="976">
    <w:name w:val="font6"/>
    <w:basedOn w:val="875"/>
    <w:next w:val="976"/>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5"/>
    <w:next w:val="977"/>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80">
    <w:name w:val="xl24"/>
    <w:basedOn w:val="875"/>
    <w:next w:val="980"/>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5"/>
    <w:next w:val="981"/>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5"/>
    <w:next w:val="982"/>
    <w:link w:val="875"/>
    <w:pPr>
      <w:jc w:val="left"/>
      <w:spacing w:after="160" w:line="240" w:lineRule="exact"/>
      <w:widowControl/>
    </w:pPr>
    <w:rPr>
      <w:rFonts w:ascii="Verdana" w:hAnsi="Verdana" w:eastAsia="宋体" w:cs="Times New Roman"/>
      <w:sz w:val="20"/>
      <w:szCs w:val="20"/>
      <w:lang w:eastAsia="en-US"/>
    </w:rPr>
  </w:style>
  <w:style w:type="paragraph" w:styleId="983">
    <w:name w:val="xl28"/>
    <w:basedOn w:val="875"/>
    <w:next w:val="983"/>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5"/>
    <w:next w:val="984"/>
    <w:link w:val="875"/>
    <w:pPr>
      <w:jc w:val="left"/>
      <w:spacing w:after="160" w:line="240" w:lineRule="exact"/>
      <w:widowControl/>
    </w:pPr>
    <w:rPr>
      <w:rFonts w:ascii="Verdana" w:hAnsi="Verdana" w:eastAsia="宋体" w:cs="Times New Roman"/>
      <w:sz w:val="20"/>
      <w:szCs w:val="20"/>
      <w:lang w:eastAsia="en-US"/>
    </w:rPr>
  </w:style>
  <w:style w:type="paragraph" w:styleId="985">
    <w:name w:val="xl30"/>
    <w:basedOn w:val="875"/>
    <w:next w:val="985"/>
    <w:link w:val="875"/>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901"/>
    <w:next w:val="986"/>
    <w:link w:val="875"/>
    <w:pPr>
      <w:spacing w:line="360" w:lineRule="auto"/>
    </w:pPr>
    <w:rPr>
      <w:rFonts w:ascii="Tahoma" w:hAnsi="Tahoma"/>
      <w:sz w:val="24"/>
      <w:szCs w:val="24"/>
    </w:rPr>
  </w:style>
  <w:style w:type="paragraph" w:styleId="987">
    <w:name w:val="table_1stline"/>
    <w:basedOn w:val="875"/>
    <w:next w:val="987"/>
    <w:link w:val="875"/>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5"/>
    <w:next w:val="988"/>
    <w:link w:val="875"/>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5"/>
    <w:uiPriority w:val="99"/>
    <w:semiHidden/>
    <w:rPr>
      <w:rFonts w:ascii="Times New Roman" w:hAnsi="Times New Roman"/>
      <w:sz w:val="21"/>
      <w:szCs w:val="21"/>
      <w:lang w:val="en-US" w:eastAsia="zh-CN" w:bidi="ar-SA"/>
    </w:rPr>
  </w:style>
  <w:style w:type="paragraph" w:styleId="991">
    <w:name w:val="无间隔"/>
    <w:next w:val="991"/>
    <w:link w:val="875"/>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5"/>
    <w:qFormat/>
    <w:tblPr/>
  </w:style>
  <w:style w:type="paragraph" w:styleId="993">
    <w:name w:val="正文文本12"/>
    <w:basedOn w:val="875"/>
    <w:next w:val="993"/>
    <w:link w:val="875"/>
    <w:uiPriority w:val="1"/>
    <w:qFormat/>
    <w:pPr>
      <w:ind w:left="120"/>
    </w:pPr>
    <w:rPr>
      <w:rFonts w:ascii="宋体" w:hAnsi="宋体" w:eastAsia="宋体" w:cs="宋体"/>
      <w:sz w:val="21"/>
      <w:szCs w:val="21"/>
      <w:lang w:val="zh-CN" w:eastAsia="zh-CN" w:bidi="zh-CN"/>
    </w:rPr>
  </w:style>
  <w:style w:type="paragraph" w:styleId="994">
    <w:name w:val="正文文本 211"/>
    <w:basedOn w:val="875"/>
    <w:next w:val="994"/>
    <w:link w:val="875"/>
    <w:uiPriority w:val="99"/>
    <w:qFormat/>
    <w:pPr>
      <w:jc w:val="center"/>
    </w:pPr>
    <w:rPr>
      <w:b/>
      <w:bCs/>
      <w:sz w:val="20"/>
      <w:szCs w:val="20"/>
    </w:rPr>
  </w:style>
  <w:style w:type="paragraph" w:styleId="995">
    <w:name w:val="Table Paragraph"/>
    <w:basedOn w:val="875"/>
    <w:next w:val="995"/>
    <w:link w:val="875"/>
    <w:uiPriority w:val="1"/>
    <w:qFormat/>
    <w:pPr>
      <w:jc w:val="left"/>
    </w:pPr>
    <w:rPr>
      <w:rFonts w:ascii="宋体" w:hAnsi="宋体" w:eastAsia="宋体" w:cs="宋体"/>
      <w:sz w:val="22"/>
      <w:szCs w:val="22"/>
      <w:lang w:val="zh-CN" w:bidi="zh-CN"/>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正文文本缩进1"/>
    <w:basedOn w:val="875"/>
    <w:next w:val="999"/>
    <w:link w:val="875"/>
    <w:unhideWhenUsed/>
    <w:qFormat/>
    <w:pPr>
      <w:ind w:left="420"/>
      <w:spacing w:after="120"/>
    </w:pPr>
  </w:style>
  <w:style w:type="paragraph" w:styleId="999">
    <w:name w:val="正文文本首行缩进 2"/>
    <w:basedOn w:val="998"/>
    <w:next w:val="999"/>
    <w:link w:val="875"/>
    <w:qFormat/>
    <w:pPr>
      <w:ind w:left="0" w:firstLine="420"/>
      <w:spacing w:after="0" w:line="360" w:lineRule="auto"/>
    </w:pPr>
    <w:rPr>
      <w:rFonts w:ascii="宋体" w:hAnsi="宋体"/>
      <w:sz w:val="20"/>
      <w:szCs w:val="20"/>
      <w:lang w:val="en-US" w:eastAsia="en-US"/>
    </w:rPr>
  </w:style>
  <w:style w:type="table" w:styleId="1000">
    <w:name w:val="Table Normal_0"/>
    <w:next w:val="1000"/>
    <w:link w:val="875"/>
    <w:qFormat/>
    <w:tblPr/>
  </w:style>
  <w:style w:type="character" w:styleId="1001">
    <w:name w:val="font51"/>
    <w:basedOn w:val="1002"/>
    <w:next w:val="1001"/>
    <w:link w:val="875"/>
    <w:qFormat/>
    <w:rPr>
      <w:sz w:val="21"/>
      <w:szCs w:val="22"/>
      <w:lang w:val="en-US" w:eastAsia="zh-CN" w:bidi="ar-SA"/>
    </w:rPr>
  </w:style>
  <w:style w:type="character" w:styleId="1002">
    <w:name w:val="默认段落字体11"/>
    <w:next w:val="1002"/>
    <w:link w:val="875"/>
    <w:uiPriority w:val="1"/>
    <w:unhideWhenUsed/>
    <w:qFormat/>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13</cp:revision>
  <dcterms:created xsi:type="dcterms:W3CDTF">2023-03-16T02:13:00Z</dcterms:created>
  <dcterms:modified xsi:type="dcterms:W3CDTF">2025-11-07T08:09:50Z</dcterms:modified>
</cp:coreProperties>
</file>